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AB5F6" w14:textId="77777777" w:rsidR="00257FF4" w:rsidRPr="00553397" w:rsidRDefault="00E12C9B" w:rsidP="002A32FD">
      <w:pPr>
        <w:pStyle w:val="ContentsHeading"/>
        <w:rPr>
          <w:smallCaps/>
        </w:rPr>
      </w:pPr>
      <w:r w:rsidRPr="00553397">
        <w:t>Productivity Commission</w:t>
      </w:r>
    </w:p>
    <w:p w14:paraId="45011115" w14:textId="38E73E5A" w:rsidR="00D15252" w:rsidRDefault="00915F49">
      <w:pPr>
        <w:pStyle w:val="TOC1"/>
        <w:rPr>
          <w:rFonts w:asciiTheme="minorHAnsi" w:eastAsiaTheme="minorEastAsia" w:hAnsiTheme="minorHAnsi" w:cstheme="minorBidi"/>
          <w:b w:val="0"/>
          <w:caps w:val="0"/>
          <w:noProof/>
          <w:sz w:val="22"/>
          <w:szCs w:val="22"/>
        </w:rPr>
      </w:pPr>
      <w:r>
        <w:fldChar w:fldCharType="begin"/>
      </w:r>
      <w:r>
        <w:instrText xml:space="preserve"> TOC \h \z \t </w:instrText>
      </w:r>
      <w:r w:rsidR="00E6396A">
        <w:instrText>“</w:instrText>
      </w:r>
      <w:r>
        <w:instrText>Heading 2,1,Heading 3,2</w:instrText>
      </w:r>
      <w:r w:rsidR="00E6396A">
        <w:instrText>”</w:instrText>
      </w:r>
      <w:r>
        <w:instrText xml:space="preserve"> </w:instrText>
      </w:r>
      <w:r>
        <w:fldChar w:fldCharType="separate"/>
      </w:r>
      <w:hyperlink w:anchor="_Toc99047060" w:history="1">
        <w:r w:rsidR="00D15252" w:rsidRPr="001E0FEF">
          <w:rPr>
            <w:rStyle w:val="Hyperlink"/>
            <w:noProof/>
          </w:rPr>
          <w:t>Section 1: Entity overview and resources</w:t>
        </w:r>
        <w:r w:rsidR="00D15252">
          <w:rPr>
            <w:noProof/>
            <w:webHidden/>
          </w:rPr>
          <w:tab/>
        </w:r>
        <w:r w:rsidR="00D15252">
          <w:rPr>
            <w:noProof/>
            <w:webHidden/>
          </w:rPr>
          <w:fldChar w:fldCharType="begin"/>
        </w:r>
        <w:r w:rsidR="00D15252">
          <w:rPr>
            <w:noProof/>
            <w:webHidden/>
          </w:rPr>
          <w:instrText xml:space="preserve"> PAGEREF _Toc99047060 \h </w:instrText>
        </w:r>
        <w:r w:rsidR="00D15252">
          <w:rPr>
            <w:noProof/>
            <w:webHidden/>
          </w:rPr>
        </w:r>
        <w:r w:rsidR="00D15252">
          <w:rPr>
            <w:noProof/>
            <w:webHidden/>
          </w:rPr>
          <w:fldChar w:fldCharType="separate"/>
        </w:r>
        <w:r w:rsidR="000F1D59">
          <w:rPr>
            <w:noProof/>
            <w:webHidden/>
          </w:rPr>
          <w:t>325</w:t>
        </w:r>
        <w:r w:rsidR="00D15252">
          <w:rPr>
            <w:noProof/>
            <w:webHidden/>
          </w:rPr>
          <w:fldChar w:fldCharType="end"/>
        </w:r>
      </w:hyperlink>
    </w:p>
    <w:p w14:paraId="54F91F48" w14:textId="33B6D2DB" w:rsidR="00D15252" w:rsidRDefault="000D4D95">
      <w:pPr>
        <w:pStyle w:val="TOC2"/>
        <w:tabs>
          <w:tab w:val="left" w:pos="800"/>
        </w:tabs>
        <w:rPr>
          <w:rFonts w:asciiTheme="minorHAnsi" w:eastAsiaTheme="minorEastAsia" w:hAnsiTheme="minorHAnsi" w:cstheme="minorBidi"/>
          <w:noProof/>
          <w:sz w:val="22"/>
          <w:szCs w:val="22"/>
        </w:rPr>
      </w:pPr>
      <w:hyperlink w:anchor="_Toc99047061" w:history="1">
        <w:r w:rsidR="00D15252" w:rsidRPr="001E0FEF">
          <w:rPr>
            <w:rStyle w:val="Hyperlink"/>
            <w:noProof/>
          </w:rPr>
          <w:t>1.1</w:t>
        </w:r>
        <w:r w:rsidR="00D15252">
          <w:rPr>
            <w:rFonts w:asciiTheme="minorHAnsi" w:eastAsiaTheme="minorEastAsia" w:hAnsiTheme="minorHAnsi" w:cstheme="minorBidi"/>
            <w:noProof/>
            <w:sz w:val="22"/>
            <w:szCs w:val="22"/>
          </w:rPr>
          <w:tab/>
        </w:r>
        <w:r w:rsidR="00D15252" w:rsidRPr="001E0FEF">
          <w:rPr>
            <w:rStyle w:val="Hyperlink"/>
            <w:noProof/>
          </w:rPr>
          <w:t>Strategic direction statement</w:t>
        </w:r>
        <w:r w:rsidR="00D15252">
          <w:rPr>
            <w:noProof/>
            <w:webHidden/>
          </w:rPr>
          <w:tab/>
        </w:r>
        <w:r w:rsidR="00D15252">
          <w:rPr>
            <w:noProof/>
            <w:webHidden/>
          </w:rPr>
          <w:fldChar w:fldCharType="begin"/>
        </w:r>
        <w:r w:rsidR="00D15252">
          <w:rPr>
            <w:noProof/>
            <w:webHidden/>
          </w:rPr>
          <w:instrText xml:space="preserve"> PAGEREF _Toc99047061 \h </w:instrText>
        </w:r>
        <w:r w:rsidR="00D15252">
          <w:rPr>
            <w:noProof/>
            <w:webHidden/>
          </w:rPr>
        </w:r>
        <w:r w:rsidR="00D15252">
          <w:rPr>
            <w:noProof/>
            <w:webHidden/>
          </w:rPr>
          <w:fldChar w:fldCharType="separate"/>
        </w:r>
        <w:r w:rsidR="000F1D59">
          <w:rPr>
            <w:noProof/>
            <w:webHidden/>
          </w:rPr>
          <w:t>325</w:t>
        </w:r>
        <w:r w:rsidR="00D15252">
          <w:rPr>
            <w:noProof/>
            <w:webHidden/>
          </w:rPr>
          <w:fldChar w:fldCharType="end"/>
        </w:r>
      </w:hyperlink>
    </w:p>
    <w:p w14:paraId="7431E006" w14:textId="02EC6444" w:rsidR="00D15252" w:rsidRDefault="000D4D95">
      <w:pPr>
        <w:pStyle w:val="TOC2"/>
        <w:tabs>
          <w:tab w:val="left" w:pos="800"/>
        </w:tabs>
        <w:rPr>
          <w:rFonts w:asciiTheme="minorHAnsi" w:eastAsiaTheme="minorEastAsia" w:hAnsiTheme="minorHAnsi" w:cstheme="minorBidi"/>
          <w:noProof/>
          <w:sz w:val="22"/>
          <w:szCs w:val="22"/>
        </w:rPr>
      </w:pPr>
      <w:hyperlink w:anchor="_Toc99047062" w:history="1">
        <w:r w:rsidR="00D15252" w:rsidRPr="001E0FEF">
          <w:rPr>
            <w:rStyle w:val="Hyperlink"/>
            <w:noProof/>
          </w:rPr>
          <w:t>1.2</w:t>
        </w:r>
        <w:r w:rsidR="00D15252">
          <w:rPr>
            <w:rFonts w:asciiTheme="minorHAnsi" w:eastAsiaTheme="minorEastAsia" w:hAnsiTheme="minorHAnsi" w:cstheme="minorBidi"/>
            <w:noProof/>
            <w:sz w:val="22"/>
            <w:szCs w:val="22"/>
          </w:rPr>
          <w:tab/>
        </w:r>
        <w:r w:rsidR="00D15252" w:rsidRPr="001E0FEF">
          <w:rPr>
            <w:rStyle w:val="Hyperlink"/>
            <w:noProof/>
          </w:rPr>
          <w:t>Entity resource statement</w:t>
        </w:r>
        <w:r w:rsidR="00D15252">
          <w:rPr>
            <w:noProof/>
            <w:webHidden/>
          </w:rPr>
          <w:tab/>
        </w:r>
        <w:r w:rsidR="00D15252">
          <w:rPr>
            <w:noProof/>
            <w:webHidden/>
          </w:rPr>
          <w:fldChar w:fldCharType="begin"/>
        </w:r>
        <w:r w:rsidR="00D15252">
          <w:rPr>
            <w:noProof/>
            <w:webHidden/>
          </w:rPr>
          <w:instrText xml:space="preserve"> PAGEREF _Toc99047062 \h </w:instrText>
        </w:r>
        <w:r w:rsidR="00D15252">
          <w:rPr>
            <w:noProof/>
            <w:webHidden/>
          </w:rPr>
        </w:r>
        <w:r w:rsidR="00D15252">
          <w:rPr>
            <w:noProof/>
            <w:webHidden/>
          </w:rPr>
          <w:fldChar w:fldCharType="separate"/>
        </w:r>
        <w:r w:rsidR="000F1D59">
          <w:rPr>
            <w:noProof/>
            <w:webHidden/>
          </w:rPr>
          <w:t>327</w:t>
        </w:r>
        <w:r w:rsidR="00D15252">
          <w:rPr>
            <w:noProof/>
            <w:webHidden/>
          </w:rPr>
          <w:fldChar w:fldCharType="end"/>
        </w:r>
      </w:hyperlink>
    </w:p>
    <w:p w14:paraId="386C4256" w14:textId="461E0936" w:rsidR="00D15252" w:rsidRDefault="000D4D95">
      <w:pPr>
        <w:pStyle w:val="TOC2"/>
        <w:tabs>
          <w:tab w:val="left" w:pos="800"/>
        </w:tabs>
        <w:rPr>
          <w:rFonts w:asciiTheme="minorHAnsi" w:eastAsiaTheme="minorEastAsia" w:hAnsiTheme="minorHAnsi" w:cstheme="minorBidi"/>
          <w:noProof/>
          <w:sz w:val="22"/>
          <w:szCs w:val="22"/>
        </w:rPr>
      </w:pPr>
      <w:hyperlink w:anchor="_Toc99047063" w:history="1">
        <w:r w:rsidR="00D15252" w:rsidRPr="001E0FEF">
          <w:rPr>
            <w:rStyle w:val="Hyperlink"/>
            <w:noProof/>
          </w:rPr>
          <w:t>1.3</w:t>
        </w:r>
        <w:r w:rsidR="00D15252">
          <w:rPr>
            <w:rFonts w:asciiTheme="minorHAnsi" w:eastAsiaTheme="minorEastAsia" w:hAnsiTheme="minorHAnsi" w:cstheme="minorBidi"/>
            <w:noProof/>
            <w:sz w:val="22"/>
            <w:szCs w:val="22"/>
          </w:rPr>
          <w:tab/>
        </w:r>
        <w:r w:rsidR="00D15252" w:rsidRPr="001E0FEF">
          <w:rPr>
            <w:rStyle w:val="Hyperlink"/>
            <w:noProof/>
          </w:rPr>
          <w:t>Budget measures</w:t>
        </w:r>
        <w:r w:rsidR="00D15252">
          <w:rPr>
            <w:noProof/>
            <w:webHidden/>
          </w:rPr>
          <w:tab/>
        </w:r>
        <w:r w:rsidR="00D15252">
          <w:rPr>
            <w:noProof/>
            <w:webHidden/>
          </w:rPr>
          <w:fldChar w:fldCharType="begin"/>
        </w:r>
        <w:r w:rsidR="00D15252">
          <w:rPr>
            <w:noProof/>
            <w:webHidden/>
          </w:rPr>
          <w:instrText xml:space="preserve"> PAGEREF _Toc99047063 \h </w:instrText>
        </w:r>
        <w:r w:rsidR="00D15252">
          <w:rPr>
            <w:noProof/>
            <w:webHidden/>
          </w:rPr>
        </w:r>
        <w:r w:rsidR="00D15252">
          <w:rPr>
            <w:noProof/>
            <w:webHidden/>
          </w:rPr>
          <w:fldChar w:fldCharType="separate"/>
        </w:r>
        <w:r w:rsidR="000F1D59">
          <w:rPr>
            <w:noProof/>
            <w:webHidden/>
          </w:rPr>
          <w:t>327</w:t>
        </w:r>
        <w:r w:rsidR="00D15252">
          <w:rPr>
            <w:noProof/>
            <w:webHidden/>
          </w:rPr>
          <w:fldChar w:fldCharType="end"/>
        </w:r>
      </w:hyperlink>
    </w:p>
    <w:p w14:paraId="2C39B655" w14:textId="006644E9" w:rsidR="00D15252" w:rsidRDefault="000D4D95">
      <w:pPr>
        <w:pStyle w:val="TOC1"/>
        <w:rPr>
          <w:rFonts w:asciiTheme="minorHAnsi" w:eastAsiaTheme="minorEastAsia" w:hAnsiTheme="minorHAnsi" w:cstheme="minorBidi"/>
          <w:b w:val="0"/>
          <w:caps w:val="0"/>
          <w:noProof/>
          <w:sz w:val="22"/>
          <w:szCs w:val="22"/>
        </w:rPr>
      </w:pPr>
      <w:hyperlink w:anchor="_Toc99047064" w:history="1">
        <w:r w:rsidR="00D15252" w:rsidRPr="001E0FEF">
          <w:rPr>
            <w:rStyle w:val="Hyperlink"/>
            <w:noProof/>
          </w:rPr>
          <w:t>Section 2: Outcomes and planned performance</w:t>
        </w:r>
        <w:r w:rsidR="00D15252">
          <w:rPr>
            <w:noProof/>
            <w:webHidden/>
          </w:rPr>
          <w:tab/>
        </w:r>
        <w:r w:rsidR="00D15252">
          <w:rPr>
            <w:noProof/>
            <w:webHidden/>
          </w:rPr>
          <w:fldChar w:fldCharType="begin"/>
        </w:r>
        <w:r w:rsidR="00D15252">
          <w:rPr>
            <w:noProof/>
            <w:webHidden/>
          </w:rPr>
          <w:instrText xml:space="preserve"> PAGEREF _Toc99047064 \h </w:instrText>
        </w:r>
        <w:r w:rsidR="00D15252">
          <w:rPr>
            <w:noProof/>
            <w:webHidden/>
          </w:rPr>
        </w:r>
        <w:r w:rsidR="00D15252">
          <w:rPr>
            <w:noProof/>
            <w:webHidden/>
          </w:rPr>
          <w:fldChar w:fldCharType="separate"/>
        </w:r>
        <w:r w:rsidR="000F1D59">
          <w:rPr>
            <w:noProof/>
            <w:webHidden/>
          </w:rPr>
          <w:t>328</w:t>
        </w:r>
        <w:r w:rsidR="00D15252">
          <w:rPr>
            <w:noProof/>
            <w:webHidden/>
          </w:rPr>
          <w:fldChar w:fldCharType="end"/>
        </w:r>
      </w:hyperlink>
    </w:p>
    <w:p w14:paraId="3D14B398" w14:textId="1937621A" w:rsidR="00D15252" w:rsidRDefault="000D4D95">
      <w:pPr>
        <w:pStyle w:val="TOC2"/>
        <w:tabs>
          <w:tab w:val="left" w:pos="800"/>
        </w:tabs>
        <w:rPr>
          <w:rFonts w:asciiTheme="minorHAnsi" w:eastAsiaTheme="minorEastAsia" w:hAnsiTheme="minorHAnsi" w:cstheme="minorBidi"/>
          <w:noProof/>
          <w:sz w:val="22"/>
          <w:szCs w:val="22"/>
        </w:rPr>
      </w:pPr>
      <w:hyperlink w:anchor="_Toc99047065" w:history="1">
        <w:r w:rsidR="00D15252" w:rsidRPr="001E0FEF">
          <w:rPr>
            <w:rStyle w:val="Hyperlink"/>
            <w:noProof/>
          </w:rPr>
          <w:t xml:space="preserve">2.1 </w:t>
        </w:r>
        <w:r w:rsidR="00D15252">
          <w:rPr>
            <w:rFonts w:asciiTheme="minorHAnsi" w:eastAsiaTheme="minorEastAsia" w:hAnsiTheme="minorHAnsi" w:cstheme="minorBidi"/>
            <w:noProof/>
            <w:sz w:val="22"/>
            <w:szCs w:val="22"/>
          </w:rPr>
          <w:tab/>
        </w:r>
        <w:r w:rsidR="00D15252" w:rsidRPr="001E0FEF">
          <w:rPr>
            <w:rStyle w:val="Hyperlink"/>
            <w:noProof/>
          </w:rPr>
          <w:t>Budgeted expenses and performance for Outcome 1</w:t>
        </w:r>
        <w:r w:rsidR="00D15252">
          <w:rPr>
            <w:noProof/>
            <w:webHidden/>
          </w:rPr>
          <w:tab/>
        </w:r>
        <w:r w:rsidR="00D15252">
          <w:rPr>
            <w:noProof/>
            <w:webHidden/>
          </w:rPr>
          <w:fldChar w:fldCharType="begin"/>
        </w:r>
        <w:r w:rsidR="00D15252">
          <w:rPr>
            <w:noProof/>
            <w:webHidden/>
          </w:rPr>
          <w:instrText xml:space="preserve"> PAGEREF _Toc99047065 \h </w:instrText>
        </w:r>
        <w:r w:rsidR="00D15252">
          <w:rPr>
            <w:noProof/>
            <w:webHidden/>
          </w:rPr>
        </w:r>
        <w:r w:rsidR="00D15252">
          <w:rPr>
            <w:noProof/>
            <w:webHidden/>
          </w:rPr>
          <w:fldChar w:fldCharType="separate"/>
        </w:r>
        <w:r w:rsidR="000F1D59">
          <w:rPr>
            <w:noProof/>
            <w:webHidden/>
          </w:rPr>
          <w:t>329</w:t>
        </w:r>
        <w:r w:rsidR="00D15252">
          <w:rPr>
            <w:noProof/>
            <w:webHidden/>
          </w:rPr>
          <w:fldChar w:fldCharType="end"/>
        </w:r>
      </w:hyperlink>
    </w:p>
    <w:p w14:paraId="5E3AAA74" w14:textId="3686036C" w:rsidR="00D15252" w:rsidRDefault="000D4D95">
      <w:pPr>
        <w:pStyle w:val="TOC1"/>
        <w:rPr>
          <w:rFonts w:asciiTheme="minorHAnsi" w:eastAsiaTheme="minorEastAsia" w:hAnsiTheme="minorHAnsi" w:cstheme="minorBidi"/>
          <w:b w:val="0"/>
          <w:caps w:val="0"/>
          <w:noProof/>
          <w:sz w:val="22"/>
          <w:szCs w:val="22"/>
        </w:rPr>
      </w:pPr>
      <w:hyperlink w:anchor="_Toc99047066" w:history="1">
        <w:r w:rsidR="00D15252" w:rsidRPr="001E0FEF">
          <w:rPr>
            <w:rStyle w:val="Hyperlink"/>
            <w:noProof/>
          </w:rPr>
          <w:t>Section 3: Budgeted financial statements</w:t>
        </w:r>
        <w:r w:rsidR="00D15252">
          <w:rPr>
            <w:noProof/>
            <w:webHidden/>
          </w:rPr>
          <w:tab/>
        </w:r>
        <w:r w:rsidR="00D15252">
          <w:rPr>
            <w:noProof/>
            <w:webHidden/>
          </w:rPr>
          <w:fldChar w:fldCharType="begin"/>
        </w:r>
        <w:r w:rsidR="00D15252">
          <w:rPr>
            <w:noProof/>
            <w:webHidden/>
          </w:rPr>
          <w:instrText xml:space="preserve"> PAGEREF _Toc99047066 \h </w:instrText>
        </w:r>
        <w:r w:rsidR="00D15252">
          <w:rPr>
            <w:noProof/>
            <w:webHidden/>
          </w:rPr>
        </w:r>
        <w:r w:rsidR="00D15252">
          <w:rPr>
            <w:noProof/>
            <w:webHidden/>
          </w:rPr>
          <w:fldChar w:fldCharType="separate"/>
        </w:r>
        <w:r w:rsidR="000F1D59">
          <w:rPr>
            <w:noProof/>
            <w:webHidden/>
          </w:rPr>
          <w:t>331</w:t>
        </w:r>
        <w:r w:rsidR="00D15252">
          <w:rPr>
            <w:noProof/>
            <w:webHidden/>
          </w:rPr>
          <w:fldChar w:fldCharType="end"/>
        </w:r>
      </w:hyperlink>
    </w:p>
    <w:p w14:paraId="0BAA14FC" w14:textId="3ECEDCAE" w:rsidR="00D15252" w:rsidRDefault="000D4D95">
      <w:pPr>
        <w:pStyle w:val="TOC2"/>
        <w:tabs>
          <w:tab w:val="left" w:pos="800"/>
        </w:tabs>
        <w:rPr>
          <w:rFonts w:asciiTheme="minorHAnsi" w:eastAsiaTheme="minorEastAsia" w:hAnsiTheme="minorHAnsi" w:cstheme="minorBidi"/>
          <w:noProof/>
          <w:sz w:val="22"/>
          <w:szCs w:val="22"/>
        </w:rPr>
      </w:pPr>
      <w:hyperlink w:anchor="_Toc99047067" w:history="1">
        <w:r w:rsidR="00D15252" w:rsidRPr="001E0FEF">
          <w:rPr>
            <w:rStyle w:val="Hyperlink"/>
            <w:noProof/>
          </w:rPr>
          <w:t>3.1</w:t>
        </w:r>
        <w:r w:rsidR="00D15252">
          <w:rPr>
            <w:rFonts w:asciiTheme="minorHAnsi" w:eastAsiaTheme="minorEastAsia" w:hAnsiTheme="minorHAnsi" w:cstheme="minorBidi"/>
            <w:noProof/>
            <w:sz w:val="22"/>
            <w:szCs w:val="22"/>
          </w:rPr>
          <w:tab/>
        </w:r>
        <w:r w:rsidR="00D15252" w:rsidRPr="001E0FEF">
          <w:rPr>
            <w:rStyle w:val="Hyperlink"/>
            <w:noProof/>
          </w:rPr>
          <w:t>Budgeted financial statements</w:t>
        </w:r>
        <w:r w:rsidR="00D15252">
          <w:rPr>
            <w:noProof/>
            <w:webHidden/>
          </w:rPr>
          <w:tab/>
        </w:r>
        <w:r w:rsidR="00D15252">
          <w:rPr>
            <w:noProof/>
            <w:webHidden/>
          </w:rPr>
          <w:fldChar w:fldCharType="begin"/>
        </w:r>
        <w:r w:rsidR="00D15252">
          <w:rPr>
            <w:noProof/>
            <w:webHidden/>
          </w:rPr>
          <w:instrText xml:space="preserve"> PAGEREF _Toc99047067 \h </w:instrText>
        </w:r>
        <w:r w:rsidR="00D15252">
          <w:rPr>
            <w:noProof/>
            <w:webHidden/>
          </w:rPr>
        </w:r>
        <w:r w:rsidR="00D15252">
          <w:rPr>
            <w:noProof/>
            <w:webHidden/>
          </w:rPr>
          <w:fldChar w:fldCharType="separate"/>
        </w:r>
        <w:r w:rsidR="000F1D59">
          <w:rPr>
            <w:noProof/>
            <w:webHidden/>
          </w:rPr>
          <w:t>331</w:t>
        </w:r>
        <w:r w:rsidR="00D15252">
          <w:rPr>
            <w:noProof/>
            <w:webHidden/>
          </w:rPr>
          <w:fldChar w:fldCharType="end"/>
        </w:r>
      </w:hyperlink>
    </w:p>
    <w:p w14:paraId="16F3D028" w14:textId="6C5FD795" w:rsidR="00D15252" w:rsidRDefault="000D4D95">
      <w:pPr>
        <w:pStyle w:val="TOC2"/>
        <w:tabs>
          <w:tab w:val="left" w:pos="800"/>
        </w:tabs>
        <w:rPr>
          <w:rFonts w:asciiTheme="minorHAnsi" w:eastAsiaTheme="minorEastAsia" w:hAnsiTheme="minorHAnsi" w:cstheme="minorBidi"/>
          <w:noProof/>
          <w:sz w:val="22"/>
          <w:szCs w:val="22"/>
        </w:rPr>
      </w:pPr>
      <w:hyperlink w:anchor="_Toc99047068" w:history="1">
        <w:r w:rsidR="00D15252" w:rsidRPr="001E0FEF">
          <w:rPr>
            <w:rStyle w:val="Hyperlink"/>
            <w:noProof/>
          </w:rPr>
          <w:t>3.2.</w:t>
        </w:r>
        <w:r w:rsidR="00D15252">
          <w:rPr>
            <w:rFonts w:asciiTheme="minorHAnsi" w:eastAsiaTheme="minorEastAsia" w:hAnsiTheme="minorHAnsi" w:cstheme="minorBidi"/>
            <w:noProof/>
            <w:sz w:val="22"/>
            <w:szCs w:val="22"/>
          </w:rPr>
          <w:tab/>
        </w:r>
        <w:r w:rsidR="00D15252" w:rsidRPr="001E0FEF">
          <w:rPr>
            <w:rStyle w:val="Hyperlink"/>
            <w:noProof/>
          </w:rPr>
          <w:t>Budgeted financial statements tables</w:t>
        </w:r>
        <w:r w:rsidR="00D15252">
          <w:rPr>
            <w:noProof/>
            <w:webHidden/>
          </w:rPr>
          <w:tab/>
        </w:r>
        <w:r w:rsidR="00D15252">
          <w:rPr>
            <w:noProof/>
            <w:webHidden/>
          </w:rPr>
          <w:fldChar w:fldCharType="begin"/>
        </w:r>
        <w:r w:rsidR="00D15252">
          <w:rPr>
            <w:noProof/>
            <w:webHidden/>
          </w:rPr>
          <w:instrText xml:space="preserve"> PAGEREF _Toc99047068 \h </w:instrText>
        </w:r>
        <w:r w:rsidR="00D15252">
          <w:rPr>
            <w:noProof/>
            <w:webHidden/>
          </w:rPr>
        </w:r>
        <w:r w:rsidR="00D15252">
          <w:rPr>
            <w:noProof/>
            <w:webHidden/>
          </w:rPr>
          <w:fldChar w:fldCharType="separate"/>
        </w:r>
        <w:r w:rsidR="000F1D59">
          <w:rPr>
            <w:noProof/>
            <w:webHidden/>
          </w:rPr>
          <w:t>332</w:t>
        </w:r>
        <w:r w:rsidR="00D15252">
          <w:rPr>
            <w:noProof/>
            <w:webHidden/>
          </w:rPr>
          <w:fldChar w:fldCharType="end"/>
        </w:r>
      </w:hyperlink>
    </w:p>
    <w:p w14:paraId="63E2A59C" w14:textId="6DF7A26B" w:rsidR="003E2B5E" w:rsidRPr="008B5AFD" w:rsidRDefault="00915F49" w:rsidP="00DB7BDC">
      <w:pPr>
        <w:pStyle w:val="TOC1"/>
      </w:pPr>
      <w:r>
        <w:fldChar w:fldCharType="end"/>
      </w:r>
    </w:p>
    <w:p w14:paraId="33D25074" w14:textId="77777777" w:rsidR="007960FE" w:rsidRDefault="007960FE" w:rsidP="00257FF4">
      <w:pPr>
        <w:sectPr w:rsidR="007960FE" w:rsidSect="00170128">
          <w:footerReference w:type="even" r:id="rId9"/>
          <w:footerReference w:type="default" r:id="rId10"/>
          <w:type w:val="oddPage"/>
          <w:pgSz w:w="11906" w:h="16838" w:code="9"/>
          <w:pgMar w:top="2835" w:right="2098" w:bottom="2466" w:left="2098" w:header="1814" w:footer="1814" w:gutter="0"/>
          <w:cols w:space="708"/>
          <w:titlePg/>
          <w:docGrid w:linePitch="360"/>
        </w:sectPr>
      </w:pPr>
    </w:p>
    <w:p w14:paraId="26653833" w14:textId="77777777" w:rsidR="00257FF4" w:rsidRPr="00C10BC3" w:rsidRDefault="00E12C9B" w:rsidP="00C10BC3">
      <w:pPr>
        <w:pStyle w:val="Heading1"/>
        <w:rPr>
          <w:smallCaps/>
        </w:rPr>
      </w:pPr>
      <w:r w:rsidRPr="00C10BC3">
        <w:lastRenderedPageBreak/>
        <w:t>Productivity Commission</w:t>
      </w:r>
    </w:p>
    <w:p w14:paraId="1429D000" w14:textId="77777777" w:rsidR="00257FF4" w:rsidRPr="00B427A0" w:rsidRDefault="00257FF4" w:rsidP="00B427A0">
      <w:pPr>
        <w:pStyle w:val="Heading2"/>
        <w:rPr>
          <w:b w:val="0"/>
        </w:rPr>
      </w:pPr>
      <w:bookmarkStart w:id="0" w:name="_Toc190682308"/>
      <w:bookmarkStart w:id="1" w:name="_Toc190682526"/>
      <w:bookmarkStart w:id="2" w:name="_Toc444523508"/>
      <w:bookmarkStart w:id="3" w:name="_Toc99047060"/>
      <w:r w:rsidRPr="00B427A0">
        <w:t xml:space="preserve">Section 1: </w:t>
      </w:r>
      <w:r w:rsidR="007E6BBD" w:rsidRPr="00B427A0">
        <w:t xml:space="preserve">Entity </w:t>
      </w:r>
      <w:r w:rsidR="00605163" w:rsidRPr="00B427A0">
        <w:t>overview and resources</w:t>
      </w:r>
      <w:bookmarkEnd w:id="0"/>
      <w:bookmarkEnd w:id="1"/>
      <w:bookmarkEnd w:id="2"/>
      <w:bookmarkEnd w:id="3"/>
    </w:p>
    <w:p w14:paraId="231D50D1" w14:textId="77777777" w:rsidR="00257FF4" w:rsidRPr="00403C7E" w:rsidRDefault="00257FF4" w:rsidP="00403C7E">
      <w:pPr>
        <w:pStyle w:val="Heading3"/>
        <w:rPr>
          <w:smallCaps/>
        </w:rPr>
      </w:pPr>
      <w:bookmarkStart w:id="4" w:name="_Toc190682309"/>
      <w:bookmarkStart w:id="5" w:name="_Toc190682527"/>
      <w:bookmarkStart w:id="6" w:name="_Toc444523509"/>
      <w:bookmarkStart w:id="7" w:name="_Toc99047061"/>
      <w:r w:rsidRPr="00403C7E">
        <w:t>1.1</w:t>
      </w:r>
      <w:r w:rsidRPr="00403C7E">
        <w:tab/>
        <w:t xml:space="preserve">Strategic </w:t>
      </w:r>
      <w:r w:rsidR="00D81071" w:rsidRPr="00403C7E">
        <w:t>direction</w:t>
      </w:r>
      <w:bookmarkEnd w:id="4"/>
      <w:bookmarkEnd w:id="5"/>
      <w:r w:rsidR="00D81071" w:rsidRPr="00403C7E">
        <w:t xml:space="preserve"> </w:t>
      </w:r>
      <w:r w:rsidR="00605163" w:rsidRPr="00403C7E">
        <w:t>statement</w:t>
      </w:r>
      <w:bookmarkEnd w:id="6"/>
      <w:bookmarkEnd w:id="7"/>
    </w:p>
    <w:p w14:paraId="36B219F9" w14:textId="38BF82C3" w:rsidR="00E12C9B" w:rsidRPr="006C588E" w:rsidRDefault="00E12C9B" w:rsidP="00131AFC">
      <w:r w:rsidRPr="006C588E">
        <w:t>The Productivity Commission (the Commission) is the Australian Government</w:t>
      </w:r>
      <w:r w:rsidR="00E6396A">
        <w:t>’</w:t>
      </w:r>
      <w:r w:rsidRPr="006C588E">
        <w:t>s independent research and advisory body on a range of economic, social and environmental issues affecting the welfare of Australians. The Commission</w:t>
      </w:r>
      <w:r w:rsidR="00E6396A">
        <w:t>’</w:t>
      </w:r>
      <w:r w:rsidRPr="006C588E">
        <w:t>s work encompasses all sectors of the economy as well as social and environmental issues. Its activities cover all levels of government responsibility</w:t>
      </w:r>
      <w:r w:rsidR="000A088A">
        <w:t xml:space="preserve"> – </w:t>
      </w:r>
      <w:r w:rsidRPr="006C588E">
        <w:t>Federal, State and Territory and</w:t>
      </w:r>
      <w:r w:rsidR="00131AFC">
        <w:t> </w:t>
      </w:r>
      <w:r w:rsidRPr="006C588E">
        <w:t xml:space="preserve">Local. </w:t>
      </w:r>
    </w:p>
    <w:p w14:paraId="699B3A33" w14:textId="77777777" w:rsidR="00E12C9B" w:rsidRPr="006C588E" w:rsidRDefault="00E12C9B" w:rsidP="00E12C9B">
      <w:r w:rsidRPr="006C588E">
        <w:t xml:space="preserve">As a review and advisory body, the Commission does not have responsibility for implementing government programs. It carries out inquiry, research, advising and incidental functions prescribed under the </w:t>
      </w:r>
      <w:r w:rsidRPr="006C588E">
        <w:rPr>
          <w:i/>
          <w:iCs/>
        </w:rPr>
        <w:t>Productivity Commission Act 1998</w:t>
      </w:r>
      <w:r w:rsidRPr="006C588E">
        <w:t>.</w:t>
      </w:r>
    </w:p>
    <w:p w14:paraId="0314A114" w14:textId="62BF5D3F" w:rsidR="00E12C9B" w:rsidRPr="006C588E" w:rsidRDefault="00E12C9B" w:rsidP="00E12C9B">
      <w:r w:rsidRPr="006C588E">
        <w:t>The Commission contributes to well</w:t>
      </w:r>
      <w:r w:rsidR="00E6396A">
        <w:noBreakHyphen/>
      </w:r>
      <w:r w:rsidRPr="006C588E">
        <w:t>informed policy decision</w:t>
      </w:r>
      <w:r w:rsidR="00E6396A">
        <w:noBreakHyphen/>
      </w:r>
      <w:r w:rsidRPr="006C588E">
        <w:t>making and public understanding on matters relating to Australia</w:t>
      </w:r>
      <w:r w:rsidR="00E6396A">
        <w:t>’</w:t>
      </w:r>
      <w:r w:rsidRPr="006C588E">
        <w:t>s economic performance and community wellbeing, based on independent and transparent analysis that takes a broad view encompassing the interests of the community as a whole, rather than just particular industries or groups. The Commission has four broad components of work:</w:t>
      </w:r>
    </w:p>
    <w:p w14:paraId="49743AFB" w14:textId="77777777" w:rsidR="00E12C9B" w:rsidRPr="006C588E" w:rsidRDefault="00E12C9B" w:rsidP="00E12C9B">
      <w:pPr>
        <w:pStyle w:val="Bullet"/>
      </w:pPr>
      <w:r w:rsidRPr="006C588E">
        <w:t>government commissioned projects;</w:t>
      </w:r>
    </w:p>
    <w:p w14:paraId="0B078A4D" w14:textId="77777777" w:rsidR="00E12C9B" w:rsidRPr="006C588E" w:rsidRDefault="00E12C9B" w:rsidP="00E12C9B">
      <w:pPr>
        <w:pStyle w:val="Bullet"/>
      </w:pPr>
      <w:r w:rsidRPr="006C588E">
        <w:t>performance reporting and other services to government bodies;</w:t>
      </w:r>
    </w:p>
    <w:p w14:paraId="3B5171A8" w14:textId="77777777" w:rsidR="00E12C9B" w:rsidRPr="006C588E" w:rsidRDefault="00E12C9B" w:rsidP="00E12C9B">
      <w:pPr>
        <w:pStyle w:val="Bullet"/>
      </w:pPr>
      <w:r w:rsidRPr="006C588E">
        <w:t>competitive neutrality complaints activities; and</w:t>
      </w:r>
    </w:p>
    <w:p w14:paraId="2EEAC853" w14:textId="7C51C416" w:rsidR="00601F42" w:rsidRPr="006C588E" w:rsidRDefault="00E12C9B" w:rsidP="006003E0">
      <w:pPr>
        <w:pStyle w:val="Bullet"/>
      </w:pPr>
      <w:r w:rsidRPr="006C588E">
        <w:rPr>
          <w:lang w:val="en-AU"/>
        </w:rPr>
        <w:t>self</w:t>
      </w:r>
      <w:r w:rsidR="00E6396A">
        <w:rPr>
          <w:lang w:val="en-AU"/>
        </w:rPr>
        <w:noBreakHyphen/>
      </w:r>
      <w:r w:rsidRPr="006C588E">
        <w:rPr>
          <w:lang w:val="en-AU"/>
        </w:rPr>
        <w:t>initiated</w:t>
      </w:r>
      <w:r w:rsidRPr="006C588E">
        <w:t xml:space="preserve"> research and statutory annual reporting.</w:t>
      </w:r>
    </w:p>
    <w:p w14:paraId="1ED3E89A" w14:textId="63B63455" w:rsidR="00923AEB" w:rsidRPr="00A2205D" w:rsidRDefault="00923AEB" w:rsidP="0019014B">
      <w:r w:rsidRPr="006C588E">
        <w:t>In 202</w:t>
      </w:r>
      <w:r w:rsidR="00114E84" w:rsidRPr="006C588E">
        <w:t>2</w:t>
      </w:r>
      <w:r w:rsidR="00E6396A">
        <w:noBreakHyphen/>
      </w:r>
      <w:r w:rsidRPr="006C588E">
        <w:t>2</w:t>
      </w:r>
      <w:r w:rsidR="00114E84" w:rsidRPr="006C588E">
        <w:t>3</w:t>
      </w:r>
      <w:r w:rsidRPr="006C588E">
        <w:t xml:space="preserve"> </w:t>
      </w:r>
      <w:r w:rsidRPr="0019014B">
        <w:t>and</w:t>
      </w:r>
      <w:r w:rsidRPr="006C588E">
        <w:t xml:space="preserve"> the forward years, the Commission will continue to examine a variety of economic, social and environmental issues through its public inquiry and commissioned research. Commissioned projects underway include: </w:t>
      </w:r>
      <w:r w:rsidR="00CC5105" w:rsidRPr="006C588E">
        <w:t>a</w:t>
      </w:r>
      <w:r w:rsidR="00CC5105" w:rsidRPr="006C588E">
        <w:rPr>
          <w:lang w:val="en-US"/>
        </w:rPr>
        <w:t>n</w:t>
      </w:r>
      <w:r w:rsidR="00CC5105" w:rsidRPr="006C588E">
        <w:t xml:space="preserve"> inquiry into</w:t>
      </w:r>
      <w:r w:rsidR="003D6EC6" w:rsidRPr="006C588E">
        <w:t xml:space="preserve"> </w:t>
      </w:r>
      <w:r w:rsidR="00220C58" w:rsidRPr="00067703">
        <w:rPr>
          <w:i/>
          <w:iCs/>
        </w:rPr>
        <w:t>Australia</w:t>
      </w:r>
      <w:r w:rsidR="00E6396A">
        <w:rPr>
          <w:i/>
          <w:iCs/>
        </w:rPr>
        <w:t>’</w:t>
      </w:r>
      <w:r w:rsidR="00220C58" w:rsidRPr="00067703">
        <w:rPr>
          <w:i/>
          <w:iCs/>
        </w:rPr>
        <w:t>s productivity performance</w:t>
      </w:r>
      <w:r w:rsidR="00220C58" w:rsidRPr="00A2205D" w:rsidDel="00740965">
        <w:rPr>
          <w:i/>
          <w:iCs/>
        </w:rPr>
        <w:t xml:space="preserve"> </w:t>
      </w:r>
      <w:r w:rsidR="003738B9" w:rsidRPr="00A2205D">
        <w:rPr>
          <w:i/>
          <w:iCs/>
        </w:rPr>
        <w:t>(The Productivity Review)</w:t>
      </w:r>
      <w:r w:rsidR="00B04227" w:rsidRPr="00A2205D">
        <w:rPr>
          <w:iCs/>
        </w:rPr>
        <w:t xml:space="preserve">, </w:t>
      </w:r>
      <w:r w:rsidR="003D6EC6" w:rsidRPr="00A2205D">
        <w:rPr>
          <w:iCs/>
        </w:rPr>
        <w:t>an inquiry into</w:t>
      </w:r>
      <w:r w:rsidR="00FE7111" w:rsidRPr="00A2205D">
        <w:rPr>
          <w:iCs/>
        </w:rPr>
        <w:t xml:space="preserve"> </w:t>
      </w:r>
      <w:r w:rsidR="00FB4064" w:rsidRPr="00A2205D">
        <w:rPr>
          <w:i/>
          <w:iCs/>
        </w:rPr>
        <w:t>Australia</w:t>
      </w:r>
      <w:r w:rsidR="00E6396A">
        <w:rPr>
          <w:i/>
          <w:iCs/>
        </w:rPr>
        <w:t>’</w:t>
      </w:r>
      <w:r w:rsidR="00FB4064" w:rsidRPr="00A2205D">
        <w:rPr>
          <w:i/>
          <w:iCs/>
        </w:rPr>
        <w:t>s Maritime Logistics System</w:t>
      </w:r>
      <w:r w:rsidR="00CC5105" w:rsidRPr="00A2205D">
        <w:rPr>
          <w:i/>
          <w:iCs/>
        </w:rPr>
        <w:t>,</w:t>
      </w:r>
      <w:r w:rsidR="00B04227" w:rsidRPr="00A2205D">
        <w:rPr>
          <w:i/>
          <w:iCs/>
        </w:rPr>
        <w:t xml:space="preserve"> </w:t>
      </w:r>
      <w:r w:rsidR="00B04227" w:rsidRPr="00A2205D">
        <w:t>and an inquiry into</w:t>
      </w:r>
      <w:r w:rsidR="00B04227" w:rsidRPr="00A2205D">
        <w:rPr>
          <w:i/>
          <w:iCs/>
        </w:rPr>
        <w:t xml:space="preserve"> Carer</w:t>
      </w:r>
      <w:r w:rsidR="00E6396A">
        <w:rPr>
          <w:i/>
          <w:iCs/>
        </w:rPr>
        <w:t>’</w:t>
      </w:r>
      <w:r w:rsidR="00B04227" w:rsidRPr="00A2205D">
        <w:rPr>
          <w:i/>
          <w:iCs/>
        </w:rPr>
        <w:t>s Leave</w:t>
      </w:r>
      <w:r w:rsidR="004A7F6C" w:rsidRPr="00A2205D">
        <w:rPr>
          <w:i/>
          <w:iCs/>
        </w:rPr>
        <w:t xml:space="preserve">. </w:t>
      </w:r>
      <w:r w:rsidR="004A7F6C" w:rsidRPr="00A2205D">
        <w:t>The Commission also has</w:t>
      </w:r>
      <w:r w:rsidR="00CC5105" w:rsidRPr="00A2205D">
        <w:t xml:space="preserve"> </w:t>
      </w:r>
      <w:r w:rsidR="003D6C56" w:rsidRPr="00A2205D">
        <w:t>stud</w:t>
      </w:r>
      <w:r w:rsidR="00186DD0" w:rsidRPr="00A2205D">
        <w:t>ies</w:t>
      </w:r>
      <w:r w:rsidR="003D6C56" w:rsidRPr="00A2205D">
        <w:t xml:space="preserve"> </w:t>
      </w:r>
      <w:r w:rsidR="00067703" w:rsidRPr="00A2205D">
        <w:t xml:space="preserve">underway </w:t>
      </w:r>
      <w:r w:rsidR="003D6C56" w:rsidRPr="00A2205D">
        <w:t>into</w:t>
      </w:r>
      <w:r w:rsidR="003D6C56" w:rsidRPr="00A2205D">
        <w:rPr>
          <w:i/>
          <w:iCs/>
        </w:rPr>
        <w:t xml:space="preserve"> </w:t>
      </w:r>
      <w:r w:rsidR="003D6C56" w:rsidRPr="00A2205D">
        <w:rPr>
          <w:i/>
        </w:rPr>
        <w:t>Aboriginal and Torres Strait Islander Visual Arts and Crafts</w:t>
      </w:r>
      <w:r w:rsidR="0006786C" w:rsidRPr="00067703">
        <w:rPr>
          <w:i/>
        </w:rPr>
        <w:t xml:space="preserve">, </w:t>
      </w:r>
      <w:r w:rsidR="002D7E78" w:rsidRPr="00067703">
        <w:rPr>
          <w:i/>
        </w:rPr>
        <w:t>Aged Care Employment</w:t>
      </w:r>
      <w:r w:rsidR="00186DD0" w:rsidRPr="00A2205D">
        <w:rPr>
          <w:i/>
        </w:rPr>
        <w:t>,</w:t>
      </w:r>
      <w:r w:rsidR="0006786C" w:rsidRPr="00A2205D">
        <w:rPr>
          <w:i/>
        </w:rPr>
        <w:t xml:space="preserve"> </w:t>
      </w:r>
      <w:r w:rsidR="0006786C" w:rsidRPr="00A2205D">
        <w:rPr>
          <w:iCs/>
        </w:rPr>
        <w:t>and</w:t>
      </w:r>
      <w:r w:rsidR="00186DD0" w:rsidRPr="00A2205D">
        <w:rPr>
          <w:iCs/>
        </w:rPr>
        <w:t xml:space="preserve"> </w:t>
      </w:r>
      <w:r w:rsidR="002D7E78" w:rsidRPr="00A2205D">
        <w:rPr>
          <w:iCs/>
        </w:rPr>
        <w:t>a</w:t>
      </w:r>
      <w:r w:rsidR="002D7E78" w:rsidRPr="00067703">
        <w:rPr>
          <w:i/>
        </w:rPr>
        <w:t xml:space="preserve"> </w:t>
      </w:r>
      <w:r w:rsidR="00BD77F3">
        <w:rPr>
          <w:i/>
        </w:rPr>
        <w:t>Re</w:t>
      </w:r>
      <w:r w:rsidR="002D7E78" w:rsidRPr="00067703">
        <w:rPr>
          <w:i/>
        </w:rPr>
        <w:t xml:space="preserve">view of </w:t>
      </w:r>
      <w:r w:rsidR="00E132A7" w:rsidRPr="00067703">
        <w:rPr>
          <w:i/>
        </w:rPr>
        <w:t xml:space="preserve">the </w:t>
      </w:r>
      <w:r w:rsidR="00186DD0" w:rsidRPr="00067703">
        <w:rPr>
          <w:i/>
        </w:rPr>
        <w:t>Housing and Homelessness Agreement</w:t>
      </w:r>
      <w:r w:rsidR="005150CF">
        <w:rPr>
          <w:i/>
        </w:rPr>
        <w:t xml:space="preserve">. </w:t>
      </w:r>
      <w:r w:rsidR="005150CF" w:rsidRPr="00A2205D">
        <w:rPr>
          <w:iCs/>
        </w:rPr>
        <w:t>I</w:t>
      </w:r>
      <w:r w:rsidR="00611260" w:rsidRPr="00A2205D">
        <w:rPr>
          <w:iCs/>
        </w:rPr>
        <w:t>n</w:t>
      </w:r>
      <w:r w:rsidR="005150CF" w:rsidRPr="00A2205D">
        <w:rPr>
          <w:iCs/>
        </w:rPr>
        <w:t xml:space="preserve"> addition, the Commission is undertaking a</w:t>
      </w:r>
      <w:r w:rsidR="0087218A" w:rsidRPr="00A2205D">
        <w:rPr>
          <w:iCs/>
        </w:rPr>
        <w:t xml:space="preserve"> </w:t>
      </w:r>
      <w:r w:rsidR="00D42146">
        <w:rPr>
          <w:iCs/>
        </w:rPr>
        <w:t>self</w:t>
      </w:r>
      <w:r w:rsidR="00E6396A">
        <w:rPr>
          <w:iCs/>
        </w:rPr>
        <w:noBreakHyphen/>
      </w:r>
      <w:r w:rsidR="00D42146">
        <w:rPr>
          <w:iCs/>
        </w:rPr>
        <w:t xml:space="preserve">initiated </w:t>
      </w:r>
      <w:r w:rsidR="0087218A" w:rsidRPr="00A2205D">
        <w:rPr>
          <w:iCs/>
        </w:rPr>
        <w:t>research project on the topic of</w:t>
      </w:r>
      <w:r w:rsidR="0087218A">
        <w:rPr>
          <w:i/>
        </w:rPr>
        <w:t xml:space="preserve"> </w:t>
      </w:r>
      <w:r w:rsidR="0087218A" w:rsidRPr="0087218A">
        <w:rPr>
          <w:i/>
        </w:rPr>
        <w:t xml:space="preserve">Compliance Costs of </w:t>
      </w:r>
      <w:r w:rsidR="00E6396A">
        <w:rPr>
          <w:i/>
        </w:rPr>
        <w:t>‘</w:t>
      </w:r>
      <w:r w:rsidR="0087218A" w:rsidRPr="0087218A">
        <w:rPr>
          <w:i/>
        </w:rPr>
        <w:t>Nuisance</w:t>
      </w:r>
      <w:r w:rsidR="00E6396A">
        <w:rPr>
          <w:i/>
        </w:rPr>
        <w:t>’</w:t>
      </w:r>
      <w:r w:rsidR="0087218A" w:rsidRPr="0087218A">
        <w:rPr>
          <w:i/>
        </w:rPr>
        <w:t xml:space="preserve"> Tariffs</w:t>
      </w:r>
      <w:r w:rsidR="0087218A">
        <w:rPr>
          <w:i/>
        </w:rPr>
        <w:t xml:space="preserve">. </w:t>
      </w:r>
    </w:p>
    <w:p w14:paraId="6BE02159" w14:textId="51445B78" w:rsidR="005722C0" w:rsidRDefault="005722C0" w:rsidP="0019014B">
      <w:r w:rsidRPr="00FC4E9E">
        <w:t xml:space="preserve">The Commission will also operate the </w:t>
      </w:r>
      <w:r>
        <w:t>P</w:t>
      </w:r>
      <w:r w:rsidRPr="00FC4E9E">
        <w:t xml:space="preserve">erformance </w:t>
      </w:r>
      <w:r>
        <w:t>Reporting D</w:t>
      </w:r>
      <w:r w:rsidRPr="00FC4E9E">
        <w:t xml:space="preserve">ashboard and undertake further reviews of </w:t>
      </w:r>
      <w:r w:rsidRPr="0019014B">
        <w:t>nationally</w:t>
      </w:r>
      <w:r w:rsidRPr="00FC4E9E">
        <w:t xml:space="preserve"> significant sector—wide Commonwealth</w:t>
      </w:r>
      <w:r w:rsidR="00E6396A">
        <w:noBreakHyphen/>
      </w:r>
      <w:r w:rsidRPr="00FC4E9E">
        <w:t>State agreements</w:t>
      </w:r>
      <w:r w:rsidR="000A088A">
        <w:t xml:space="preserve">. </w:t>
      </w:r>
    </w:p>
    <w:p w14:paraId="106C515D" w14:textId="34D49BF8" w:rsidR="005722C0" w:rsidRDefault="005722C0" w:rsidP="0019014B">
      <w:r w:rsidRPr="00130530">
        <w:lastRenderedPageBreak/>
        <w:t xml:space="preserve">The Commission </w:t>
      </w:r>
      <w:r>
        <w:t>will continue to</w:t>
      </w:r>
      <w:r w:rsidRPr="00130530">
        <w:t xml:space="preserve"> provid</w:t>
      </w:r>
      <w:r>
        <w:t>e</w:t>
      </w:r>
      <w:r w:rsidRPr="00130530">
        <w:t xml:space="preserve"> cross</w:t>
      </w:r>
      <w:r w:rsidR="00E6396A">
        <w:noBreakHyphen/>
      </w:r>
      <w:r w:rsidRPr="00130530">
        <w:t xml:space="preserve">jurisdictional reporting on </w:t>
      </w:r>
      <w:r>
        <w:t xml:space="preserve">the </w:t>
      </w:r>
      <w:r w:rsidRPr="00130530">
        <w:t>performance of government services; indicators of disadvantage</w:t>
      </w:r>
      <w:r>
        <w:t xml:space="preserve"> experienced by Aboriginal and Torres Strait Islander people</w:t>
      </w:r>
      <w:r w:rsidRPr="00130530">
        <w:t xml:space="preserve">; and expenditure on services to </w:t>
      </w:r>
      <w:r>
        <w:t>Aboriginal and Torres Strait Islander people</w:t>
      </w:r>
      <w:r w:rsidR="000A088A">
        <w:t xml:space="preserve">. </w:t>
      </w:r>
    </w:p>
    <w:p w14:paraId="267A2458" w14:textId="266C444F" w:rsidR="005722C0" w:rsidRPr="00E04CCA" w:rsidRDefault="005722C0" w:rsidP="0019014B">
      <w:r>
        <w:t xml:space="preserve">As part of </w:t>
      </w:r>
      <w:r w:rsidRPr="00E04CCA">
        <w:t xml:space="preserve">its </w:t>
      </w:r>
      <w:r>
        <w:rPr>
          <w:lang w:val="en-US"/>
        </w:rPr>
        <w:t>functions</w:t>
      </w:r>
      <w:r w:rsidRPr="00E04CCA">
        <w:t xml:space="preserve"> under the </w:t>
      </w:r>
      <w:r w:rsidRPr="00E04CCA">
        <w:rPr>
          <w:i/>
        </w:rPr>
        <w:t>National Agreement on Closing the Gap</w:t>
      </w:r>
      <w:r>
        <w:rPr>
          <w:iCs/>
        </w:rPr>
        <w:t xml:space="preserve">, the Commission </w:t>
      </w:r>
      <w:r w:rsidR="0066753F">
        <w:rPr>
          <w:iCs/>
        </w:rPr>
        <w:t>has</w:t>
      </w:r>
      <w:r w:rsidR="0066753F">
        <w:rPr>
          <w:i/>
        </w:rPr>
        <w:t xml:space="preserve"> </w:t>
      </w:r>
      <w:r w:rsidRPr="00E04CCA">
        <w:t>develop</w:t>
      </w:r>
      <w:r w:rsidR="0066753F">
        <w:t>ed</w:t>
      </w:r>
      <w:r w:rsidRPr="00E04CCA">
        <w:t xml:space="preserve"> and maintain</w:t>
      </w:r>
      <w:r w:rsidR="0066753F">
        <w:t>s</w:t>
      </w:r>
      <w:r w:rsidRPr="00E04CCA">
        <w:t xml:space="preserve"> a publicly accessible dashboard and </w:t>
      </w:r>
      <w:r>
        <w:t xml:space="preserve">annual data compilation report, underpinned by an </w:t>
      </w:r>
      <w:r w:rsidRPr="00E04CCA">
        <w:t>information</w:t>
      </w:r>
      <w:r>
        <w:rPr>
          <w:lang w:val="en-US"/>
        </w:rPr>
        <w:t xml:space="preserve"> </w:t>
      </w:r>
      <w:r w:rsidRPr="00E04CCA">
        <w:t>repository to inform reporting on progress</w:t>
      </w:r>
      <w:r>
        <w:rPr>
          <w:lang w:val="en-US"/>
        </w:rPr>
        <w:t xml:space="preserve"> on Closing the Gap</w:t>
      </w:r>
      <w:r w:rsidRPr="00E04CCA">
        <w:t xml:space="preserve">. </w:t>
      </w:r>
      <w:r w:rsidR="0066753F">
        <w:t>In 2022</w:t>
      </w:r>
      <w:r w:rsidR="00E6396A">
        <w:noBreakHyphen/>
      </w:r>
      <w:r w:rsidR="0066753F">
        <w:t>23,</w:t>
      </w:r>
      <w:r w:rsidR="00C5036F">
        <w:t xml:space="preserve"> it is anticipated that</w:t>
      </w:r>
      <w:r w:rsidR="0066753F">
        <w:t xml:space="preserve"> </w:t>
      </w:r>
      <w:r w:rsidR="0066753F">
        <w:rPr>
          <w:lang w:val="en-US"/>
        </w:rPr>
        <w:t xml:space="preserve">the </w:t>
      </w:r>
      <w:r>
        <w:rPr>
          <w:lang w:val="en-US"/>
        </w:rPr>
        <w:t xml:space="preserve">Commission </w:t>
      </w:r>
      <w:r w:rsidRPr="00E04CCA">
        <w:t xml:space="preserve">will also </w:t>
      </w:r>
      <w:r w:rsidR="00067431">
        <w:t>commence</w:t>
      </w:r>
      <w:r w:rsidR="00067431" w:rsidRPr="00E04CCA">
        <w:t xml:space="preserve"> </w:t>
      </w:r>
      <w:r w:rsidR="00C64E29">
        <w:t>the first</w:t>
      </w:r>
      <w:r w:rsidR="00C64E29" w:rsidRPr="00E04CCA">
        <w:t xml:space="preserve"> </w:t>
      </w:r>
      <w:r w:rsidRPr="00E04CCA">
        <w:t>independent review of</w:t>
      </w:r>
      <w:r>
        <w:rPr>
          <w:lang w:val="en-US"/>
        </w:rPr>
        <w:t xml:space="preserve"> </w:t>
      </w:r>
      <w:r w:rsidRPr="00E04CCA">
        <w:t>progress, which will be complementary to a</w:t>
      </w:r>
      <w:r w:rsidR="008034D8">
        <w:t>n</w:t>
      </w:r>
      <w:r w:rsidRPr="00E04CCA">
        <w:t xml:space="preserve"> Aboriginal and Torres</w:t>
      </w:r>
      <w:r>
        <w:rPr>
          <w:lang w:val="en-US"/>
        </w:rPr>
        <w:t xml:space="preserve"> </w:t>
      </w:r>
      <w:r w:rsidRPr="00E04CCA">
        <w:t>Strait Islander</w:t>
      </w:r>
      <w:r w:rsidR="00E6396A">
        <w:noBreakHyphen/>
      </w:r>
      <w:r w:rsidRPr="00E04CCA">
        <w:t>led review</w:t>
      </w:r>
      <w:r>
        <w:rPr>
          <w:lang w:val="en-US"/>
        </w:rPr>
        <w:t xml:space="preserve">. </w:t>
      </w:r>
      <w:r w:rsidR="00DE4B93">
        <w:rPr>
          <w:lang w:val="en-US"/>
        </w:rPr>
        <w:t xml:space="preserve">Both reviews happen every </w:t>
      </w:r>
      <w:r w:rsidR="00131AFC">
        <w:rPr>
          <w:lang w:val="en-US"/>
        </w:rPr>
        <w:t>3</w:t>
      </w:r>
      <w:r w:rsidR="00DE4B93">
        <w:rPr>
          <w:lang w:val="en-US"/>
        </w:rPr>
        <w:t xml:space="preserve"> years.</w:t>
      </w:r>
    </w:p>
    <w:p w14:paraId="23C43003" w14:textId="43EAA4B9" w:rsidR="00E12C9B" w:rsidRPr="00A2205D" w:rsidRDefault="00E12C9B" w:rsidP="0019014B">
      <w:r w:rsidRPr="00A2205D">
        <w:t xml:space="preserve">The Australian </w:t>
      </w:r>
      <w:r w:rsidRPr="0019014B">
        <w:t>Government</w:t>
      </w:r>
      <w:r w:rsidRPr="00A2205D">
        <w:t xml:space="preserve"> Competitive Neutrality Complaints Office (AGCNCO) is an autonomous office located within the Commission. It receives and investigates complaints and advises the Treasurer on the application of competitive neutrality arrangements. AGCNCO also provides informal advice on, and assists agencies in, implementing competitive neutrality requirements.</w:t>
      </w:r>
    </w:p>
    <w:p w14:paraId="4A5A4F5A" w14:textId="28A5865F" w:rsidR="00257FF4" w:rsidRDefault="00923AEB" w:rsidP="00131AFC">
      <w:r w:rsidRPr="00A2205D">
        <w:t>The Commission has a mandate to undertake research to complement its other activities. A full list of the Commission</w:t>
      </w:r>
      <w:r w:rsidR="00E6396A">
        <w:t>’</w:t>
      </w:r>
      <w:r w:rsidRPr="00A2205D">
        <w:t>s research reports and supporting research is provided on the Commission</w:t>
      </w:r>
      <w:r w:rsidR="00E6396A">
        <w:t>’</w:t>
      </w:r>
      <w:r w:rsidRPr="00A2205D">
        <w:t>s website.</w:t>
      </w:r>
      <w:bookmarkStart w:id="8" w:name="_Toc190682310"/>
      <w:bookmarkStart w:id="9" w:name="_Toc190682528"/>
      <w:r w:rsidR="000B36D8" w:rsidRPr="0079797F">
        <w:br w:type="page"/>
      </w:r>
      <w:bookmarkStart w:id="10" w:name="_Toc444523510"/>
      <w:bookmarkStart w:id="11" w:name="_Toc99047062"/>
      <w:r w:rsidR="00257FF4" w:rsidRPr="00131AFC">
        <w:rPr>
          <w:rStyle w:val="Heading3Char"/>
        </w:rPr>
        <w:lastRenderedPageBreak/>
        <w:t>1.2</w:t>
      </w:r>
      <w:r w:rsidR="00257FF4" w:rsidRPr="00131AFC">
        <w:rPr>
          <w:rStyle w:val="Heading3Char"/>
        </w:rPr>
        <w:tab/>
      </w:r>
      <w:r w:rsidR="007E6BBD" w:rsidRPr="00131AFC">
        <w:rPr>
          <w:rStyle w:val="Heading3Char"/>
        </w:rPr>
        <w:t xml:space="preserve">Entity </w:t>
      </w:r>
      <w:r w:rsidR="00257FF4" w:rsidRPr="00131AFC">
        <w:rPr>
          <w:rStyle w:val="Heading3Char"/>
        </w:rPr>
        <w:t>resource statement</w:t>
      </w:r>
      <w:bookmarkEnd w:id="8"/>
      <w:bookmarkEnd w:id="9"/>
      <w:bookmarkEnd w:id="10"/>
      <w:bookmarkEnd w:id="11"/>
    </w:p>
    <w:p w14:paraId="05A31680" w14:textId="77777777" w:rsidR="00923AEB" w:rsidRDefault="00923AEB" w:rsidP="00923AEB">
      <w:bookmarkStart w:id="12" w:name="OLE_LINK11"/>
      <w:bookmarkStart w:id="13" w:name="OLE_LINK12"/>
      <w:r>
        <w:t>Table 1.1 shows the total funding from all sources available to the Commission.</w:t>
      </w:r>
    </w:p>
    <w:p w14:paraId="5CA2E811" w14:textId="70A85602" w:rsidR="00923AEB" w:rsidRDefault="00923AEB" w:rsidP="00923AEB">
      <w:r>
        <w:t>The table summarises how resources will be applied by outcome (government strategic policy objectives) and by administered (on behalf of the Government or the public) and departmental (for the entity</w:t>
      </w:r>
      <w:r w:rsidR="00E6396A">
        <w:t>’</w:t>
      </w:r>
      <w:r>
        <w:t>s operations) classification.</w:t>
      </w:r>
    </w:p>
    <w:p w14:paraId="70ADBD86" w14:textId="1DE2C3F5" w:rsidR="00923AEB" w:rsidRDefault="00923AEB" w:rsidP="00923AEB">
      <w:r>
        <w:t xml:space="preserve">Information in this table is presented on a resourcing (that is, appropriations/cash available) basis, whilst the </w:t>
      </w:r>
      <w:r w:rsidR="00E6396A">
        <w:t>‘</w:t>
      </w:r>
      <w:r>
        <w:t>Budgeted expenses by Outcome 1</w:t>
      </w:r>
      <w:r w:rsidR="00E6396A">
        <w:t>’</w:t>
      </w:r>
      <w:r>
        <w:t xml:space="preserve"> tables in Section 2 and the financial statements in Section 3 are presented on an accrual basis.</w:t>
      </w:r>
    </w:p>
    <w:p w14:paraId="1661E621" w14:textId="6E9C3A90" w:rsidR="004F24E4" w:rsidRPr="004F24E4" w:rsidRDefault="00923AEB" w:rsidP="004F24E4">
      <w:pPr>
        <w:pStyle w:val="TableHeading"/>
        <w:rPr>
          <w:rFonts w:ascii="Times New Roman" w:hAnsi="Times New Roman"/>
        </w:rPr>
      </w:pPr>
      <w:bookmarkStart w:id="14" w:name="OLE_LINK1"/>
      <w:r w:rsidRPr="005731D3">
        <w:t xml:space="preserve">Table 1.1: </w:t>
      </w:r>
      <w:r>
        <w:rPr>
          <w:lang w:val="en-AU"/>
        </w:rPr>
        <w:t xml:space="preserve">Productivity Commission </w:t>
      </w:r>
      <w:r w:rsidRPr="005731D3">
        <w:t>resource statement</w:t>
      </w:r>
      <w:r w:rsidR="000A088A">
        <w:t xml:space="preserve"> – </w:t>
      </w:r>
      <w:r w:rsidRPr="005731D3">
        <w:t>Budget estimates for</w:t>
      </w:r>
      <w:r w:rsidR="00736CA6">
        <w:rPr>
          <w:lang w:val="en-AU"/>
        </w:rPr>
        <w:t> </w:t>
      </w:r>
      <w:r w:rsidRPr="003F3C77">
        <w:t>20</w:t>
      </w:r>
      <w:r>
        <w:rPr>
          <w:lang w:val="en-AU"/>
        </w:rPr>
        <w:t>2</w:t>
      </w:r>
      <w:r w:rsidR="003229DD">
        <w:rPr>
          <w:lang w:val="en-AU"/>
        </w:rPr>
        <w:t>2</w:t>
      </w:r>
      <w:r w:rsidR="00E6396A">
        <w:rPr>
          <w:lang w:val="en-AU"/>
        </w:rPr>
        <w:noBreakHyphen/>
      </w:r>
      <w:r w:rsidR="003229DD">
        <w:rPr>
          <w:lang w:val="en-AU"/>
        </w:rPr>
        <w:t>23</w:t>
      </w:r>
      <w:r>
        <w:rPr>
          <w:lang w:val="en-AU"/>
        </w:rPr>
        <w:t xml:space="preserve"> </w:t>
      </w:r>
      <w:r w:rsidRPr="005731D3">
        <w:t xml:space="preserve">as at Budget </w:t>
      </w:r>
      <w:r w:rsidR="003229DD">
        <w:rPr>
          <w:lang w:val="en-AU"/>
        </w:rPr>
        <w:t>March</w:t>
      </w:r>
      <w:r w:rsidRPr="005731D3">
        <w:t xml:space="preserve"> 20</w:t>
      </w:r>
      <w:r>
        <w:rPr>
          <w:lang w:val="en-AU"/>
        </w:rPr>
        <w:t>2</w:t>
      </w:r>
      <w:bookmarkEnd w:id="14"/>
      <w:r w:rsidR="004F24E4">
        <w:rPr>
          <w:noProof/>
          <w:lang w:val="en-AU"/>
        </w:rPr>
        <w:t>2</w:t>
      </w:r>
    </w:p>
    <w:tbl>
      <w:tblPr>
        <w:tblW w:w="5000" w:type="pct"/>
        <w:tblCellMar>
          <w:left w:w="0" w:type="dxa"/>
          <w:right w:w="28" w:type="dxa"/>
        </w:tblCellMar>
        <w:tblLook w:val="04A0" w:firstRow="1" w:lastRow="0" w:firstColumn="1" w:lastColumn="0" w:noHBand="0" w:noVBand="1"/>
      </w:tblPr>
      <w:tblGrid>
        <w:gridCol w:w="5354"/>
        <w:gridCol w:w="1178"/>
        <w:gridCol w:w="1178"/>
      </w:tblGrid>
      <w:tr w:rsidR="004F24E4" w:rsidRPr="004F24E4" w14:paraId="49A98A4B" w14:textId="77777777" w:rsidTr="004F24E4">
        <w:trPr>
          <w:trHeight w:hRule="exact" w:val="885"/>
        </w:trPr>
        <w:tc>
          <w:tcPr>
            <w:tcW w:w="3472" w:type="pct"/>
            <w:tcBorders>
              <w:top w:val="single" w:sz="4" w:space="0" w:color="auto"/>
              <w:left w:val="nil"/>
              <w:bottom w:val="nil"/>
              <w:right w:val="nil"/>
            </w:tcBorders>
            <w:shd w:val="clear" w:color="000000" w:fill="FFFFFF"/>
            <w:vAlign w:val="bottom"/>
            <w:hideMark/>
          </w:tcPr>
          <w:p w14:paraId="68C88057" w14:textId="63ED0190" w:rsidR="004F24E4" w:rsidRPr="004F24E4" w:rsidRDefault="004F24E4" w:rsidP="004F24E4">
            <w:pPr>
              <w:spacing w:after="0" w:line="240" w:lineRule="auto"/>
              <w:jc w:val="left"/>
              <w:rPr>
                <w:rFonts w:ascii="Arial" w:hAnsi="Arial" w:cs="Arial"/>
                <w:color w:val="000000"/>
                <w:sz w:val="16"/>
                <w:szCs w:val="16"/>
              </w:rPr>
            </w:pPr>
            <w:r w:rsidRPr="004F24E4">
              <w:rPr>
                <w:rFonts w:ascii="Arial" w:hAnsi="Arial" w:cs="Arial"/>
                <w:color w:val="000000"/>
                <w:sz w:val="16"/>
                <w:szCs w:val="16"/>
              </w:rPr>
              <w:t> </w:t>
            </w:r>
          </w:p>
        </w:tc>
        <w:tc>
          <w:tcPr>
            <w:tcW w:w="764" w:type="pct"/>
            <w:tcBorders>
              <w:top w:val="single" w:sz="4" w:space="0" w:color="auto"/>
              <w:left w:val="nil"/>
              <w:bottom w:val="single" w:sz="4" w:space="0" w:color="auto"/>
              <w:right w:val="nil"/>
            </w:tcBorders>
            <w:shd w:val="clear" w:color="000000" w:fill="FFFFFF"/>
            <w:hideMark/>
          </w:tcPr>
          <w:p w14:paraId="6EF07A38" w14:textId="77777777" w:rsidR="004F24E4" w:rsidRPr="004F24E4" w:rsidRDefault="004F24E4" w:rsidP="004F24E4">
            <w:pPr>
              <w:spacing w:after="0" w:line="240" w:lineRule="auto"/>
              <w:jc w:val="right"/>
              <w:rPr>
                <w:rFonts w:ascii="Arial" w:hAnsi="Arial" w:cs="Arial"/>
                <w:i/>
                <w:iCs/>
                <w:color w:val="000000"/>
                <w:sz w:val="16"/>
                <w:szCs w:val="16"/>
              </w:rPr>
            </w:pPr>
            <w:r w:rsidRPr="004F24E4">
              <w:rPr>
                <w:rFonts w:ascii="Arial" w:hAnsi="Arial" w:cs="Arial"/>
                <w:i/>
                <w:iCs/>
                <w:color w:val="000000"/>
                <w:sz w:val="16"/>
                <w:szCs w:val="16"/>
              </w:rPr>
              <w:t xml:space="preserve">2021-22 Estimated actual </w:t>
            </w:r>
            <w:r w:rsidRPr="004F24E4">
              <w:rPr>
                <w:rFonts w:ascii="Arial" w:hAnsi="Arial" w:cs="Arial"/>
                <w:i/>
                <w:iCs/>
                <w:color w:val="000000"/>
                <w:sz w:val="16"/>
                <w:szCs w:val="16"/>
              </w:rPr>
              <w:br/>
              <w:t>$'000</w:t>
            </w:r>
          </w:p>
        </w:tc>
        <w:tc>
          <w:tcPr>
            <w:tcW w:w="764" w:type="pct"/>
            <w:tcBorders>
              <w:top w:val="single" w:sz="4" w:space="0" w:color="auto"/>
              <w:left w:val="nil"/>
              <w:bottom w:val="single" w:sz="4" w:space="0" w:color="auto"/>
              <w:right w:val="nil"/>
            </w:tcBorders>
            <w:shd w:val="clear" w:color="000000" w:fill="E6E6E6"/>
            <w:hideMark/>
          </w:tcPr>
          <w:p w14:paraId="1A8DB6C6" w14:textId="77777777" w:rsidR="004F24E4" w:rsidRPr="004F24E4" w:rsidRDefault="004F24E4" w:rsidP="004F24E4">
            <w:pPr>
              <w:spacing w:after="0" w:line="240" w:lineRule="auto"/>
              <w:jc w:val="right"/>
              <w:rPr>
                <w:rFonts w:ascii="Arial" w:hAnsi="Arial" w:cs="Arial"/>
                <w:color w:val="000000"/>
                <w:sz w:val="16"/>
                <w:szCs w:val="16"/>
              </w:rPr>
            </w:pPr>
            <w:r w:rsidRPr="004F24E4">
              <w:rPr>
                <w:rFonts w:ascii="Arial" w:hAnsi="Arial" w:cs="Arial"/>
                <w:color w:val="000000"/>
                <w:sz w:val="16"/>
                <w:szCs w:val="16"/>
              </w:rPr>
              <w:t>2022-23 Estimate</w:t>
            </w:r>
            <w:r w:rsidRPr="004F24E4">
              <w:rPr>
                <w:rFonts w:ascii="Arial" w:hAnsi="Arial" w:cs="Arial"/>
                <w:color w:val="000000"/>
                <w:sz w:val="16"/>
                <w:szCs w:val="16"/>
              </w:rPr>
              <w:br/>
            </w:r>
            <w:r w:rsidRPr="004F24E4">
              <w:rPr>
                <w:rFonts w:ascii="Arial" w:hAnsi="Arial" w:cs="Arial"/>
                <w:color w:val="000000"/>
                <w:sz w:val="16"/>
                <w:szCs w:val="16"/>
              </w:rPr>
              <w:br/>
              <w:t>$'000</w:t>
            </w:r>
          </w:p>
        </w:tc>
      </w:tr>
      <w:tr w:rsidR="004F24E4" w:rsidRPr="004F24E4" w14:paraId="0A393C13" w14:textId="77777777" w:rsidTr="004F24E4">
        <w:trPr>
          <w:trHeight w:hRule="exact" w:val="225"/>
        </w:trPr>
        <w:tc>
          <w:tcPr>
            <w:tcW w:w="3472" w:type="pct"/>
            <w:tcBorders>
              <w:top w:val="nil"/>
              <w:left w:val="nil"/>
              <w:bottom w:val="nil"/>
              <w:right w:val="nil"/>
            </w:tcBorders>
            <w:shd w:val="clear" w:color="000000" w:fill="FFFFFF"/>
            <w:vAlign w:val="bottom"/>
            <w:hideMark/>
          </w:tcPr>
          <w:p w14:paraId="082B3A36" w14:textId="77777777" w:rsidR="004F24E4" w:rsidRPr="004F24E4" w:rsidRDefault="004F24E4" w:rsidP="004F24E4">
            <w:pPr>
              <w:spacing w:after="0" w:line="240" w:lineRule="auto"/>
              <w:jc w:val="left"/>
              <w:rPr>
                <w:rFonts w:ascii="Arial" w:hAnsi="Arial" w:cs="Arial"/>
                <w:b/>
                <w:bCs/>
                <w:color w:val="000000"/>
                <w:sz w:val="16"/>
                <w:szCs w:val="16"/>
              </w:rPr>
            </w:pPr>
            <w:r w:rsidRPr="004F24E4">
              <w:rPr>
                <w:rFonts w:ascii="Arial" w:hAnsi="Arial" w:cs="Arial"/>
                <w:b/>
                <w:bCs/>
                <w:color w:val="000000"/>
                <w:sz w:val="16"/>
                <w:szCs w:val="16"/>
              </w:rPr>
              <w:t>Departmental</w:t>
            </w:r>
          </w:p>
        </w:tc>
        <w:tc>
          <w:tcPr>
            <w:tcW w:w="764" w:type="pct"/>
            <w:tcBorders>
              <w:top w:val="nil"/>
              <w:left w:val="nil"/>
              <w:bottom w:val="nil"/>
              <w:right w:val="nil"/>
            </w:tcBorders>
            <w:shd w:val="clear" w:color="000000" w:fill="FFFFFF"/>
            <w:vAlign w:val="bottom"/>
            <w:hideMark/>
          </w:tcPr>
          <w:p w14:paraId="7D64F0B9" w14:textId="77777777" w:rsidR="004F24E4" w:rsidRPr="004F24E4" w:rsidRDefault="004F24E4" w:rsidP="004F24E4">
            <w:pPr>
              <w:spacing w:after="0" w:line="240" w:lineRule="auto"/>
              <w:jc w:val="left"/>
              <w:rPr>
                <w:rFonts w:ascii="Arial" w:hAnsi="Arial" w:cs="Arial"/>
                <w:i/>
                <w:iCs/>
                <w:color w:val="000000"/>
                <w:sz w:val="16"/>
                <w:szCs w:val="16"/>
              </w:rPr>
            </w:pPr>
            <w:r w:rsidRPr="004F24E4">
              <w:rPr>
                <w:rFonts w:ascii="Arial" w:hAnsi="Arial" w:cs="Arial"/>
                <w:i/>
                <w:iCs/>
                <w:color w:val="000000"/>
                <w:sz w:val="16"/>
                <w:szCs w:val="16"/>
              </w:rPr>
              <w:t> </w:t>
            </w:r>
          </w:p>
        </w:tc>
        <w:tc>
          <w:tcPr>
            <w:tcW w:w="764" w:type="pct"/>
            <w:tcBorders>
              <w:top w:val="nil"/>
              <w:left w:val="nil"/>
              <w:bottom w:val="nil"/>
              <w:right w:val="nil"/>
            </w:tcBorders>
            <w:shd w:val="clear" w:color="000000" w:fill="E6E6E6"/>
            <w:vAlign w:val="bottom"/>
            <w:hideMark/>
          </w:tcPr>
          <w:p w14:paraId="2473D182" w14:textId="77777777" w:rsidR="004F24E4" w:rsidRPr="004F24E4" w:rsidRDefault="004F24E4" w:rsidP="004F24E4">
            <w:pPr>
              <w:spacing w:after="0" w:line="240" w:lineRule="auto"/>
              <w:jc w:val="left"/>
              <w:rPr>
                <w:rFonts w:ascii="Arial" w:hAnsi="Arial" w:cs="Arial"/>
                <w:color w:val="000000"/>
                <w:sz w:val="16"/>
                <w:szCs w:val="16"/>
              </w:rPr>
            </w:pPr>
            <w:r w:rsidRPr="004F24E4">
              <w:rPr>
                <w:rFonts w:ascii="Arial" w:hAnsi="Arial" w:cs="Arial"/>
                <w:color w:val="000000"/>
                <w:sz w:val="16"/>
                <w:szCs w:val="16"/>
              </w:rPr>
              <w:t> </w:t>
            </w:r>
          </w:p>
        </w:tc>
      </w:tr>
      <w:tr w:rsidR="004F24E4" w:rsidRPr="004F24E4" w14:paraId="5304C80E" w14:textId="77777777" w:rsidTr="004F24E4">
        <w:trPr>
          <w:trHeight w:hRule="exact" w:val="225"/>
        </w:trPr>
        <w:tc>
          <w:tcPr>
            <w:tcW w:w="3472" w:type="pct"/>
            <w:tcBorders>
              <w:top w:val="nil"/>
              <w:left w:val="nil"/>
              <w:bottom w:val="nil"/>
              <w:right w:val="nil"/>
            </w:tcBorders>
            <w:shd w:val="clear" w:color="000000" w:fill="FFFFFF"/>
            <w:vAlign w:val="bottom"/>
            <w:hideMark/>
          </w:tcPr>
          <w:p w14:paraId="50C26231" w14:textId="77777777" w:rsidR="004F24E4" w:rsidRPr="004F24E4" w:rsidRDefault="004F24E4" w:rsidP="004F24E4">
            <w:pPr>
              <w:spacing w:after="0" w:line="240" w:lineRule="auto"/>
              <w:jc w:val="left"/>
              <w:rPr>
                <w:rFonts w:ascii="Arial" w:hAnsi="Arial" w:cs="Arial"/>
                <w:color w:val="000000"/>
                <w:sz w:val="16"/>
                <w:szCs w:val="16"/>
              </w:rPr>
            </w:pPr>
            <w:r w:rsidRPr="004F24E4">
              <w:rPr>
                <w:rFonts w:ascii="Arial" w:hAnsi="Arial" w:cs="Arial"/>
                <w:color w:val="000000"/>
                <w:sz w:val="16"/>
                <w:szCs w:val="16"/>
              </w:rPr>
              <w:t>Annual appropriations - ordinary annual services (a)</w:t>
            </w:r>
          </w:p>
        </w:tc>
        <w:tc>
          <w:tcPr>
            <w:tcW w:w="764" w:type="pct"/>
            <w:tcBorders>
              <w:top w:val="nil"/>
              <w:left w:val="nil"/>
              <w:bottom w:val="nil"/>
              <w:right w:val="nil"/>
            </w:tcBorders>
            <w:shd w:val="clear" w:color="000000" w:fill="FFFFFF"/>
            <w:vAlign w:val="bottom"/>
            <w:hideMark/>
          </w:tcPr>
          <w:p w14:paraId="4C3DE1F8" w14:textId="77777777" w:rsidR="004F24E4" w:rsidRPr="004F24E4" w:rsidRDefault="004F24E4" w:rsidP="004F24E4">
            <w:pPr>
              <w:spacing w:after="0" w:line="240" w:lineRule="auto"/>
              <w:jc w:val="left"/>
              <w:rPr>
                <w:rFonts w:ascii="Arial" w:hAnsi="Arial" w:cs="Arial"/>
                <w:i/>
                <w:iCs/>
                <w:color w:val="000000"/>
                <w:sz w:val="16"/>
                <w:szCs w:val="16"/>
              </w:rPr>
            </w:pPr>
            <w:r w:rsidRPr="004F24E4">
              <w:rPr>
                <w:rFonts w:ascii="Arial" w:hAnsi="Arial" w:cs="Arial"/>
                <w:i/>
                <w:iCs/>
                <w:color w:val="000000"/>
                <w:sz w:val="16"/>
                <w:szCs w:val="16"/>
              </w:rPr>
              <w:t> </w:t>
            </w:r>
          </w:p>
        </w:tc>
        <w:tc>
          <w:tcPr>
            <w:tcW w:w="764" w:type="pct"/>
            <w:tcBorders>
              <w:top w:val="nil"/>
              <w:left w:val="nil"/>
              <w:bottom w:val="nil"/>
              <w:right w:val="nil"/>
            </w:tcBorders>
            <w:shd w:val="clear" w:color="000000" w:fill="E6E6E6"/>
            <w:vAlign w:val="bottom"/>
            <w:hideMark/>
          </w:tcPr>
          <w:p w14:paraId="7D12BDB5" w14:textId="77777777" w:rsidR="004F24E4" w:rsidRPr="004F24E4" w:rsidRDefault="004F24E4" w:rsidP="004F24E4">
            <w:pPr>
              <w:spacing w:after="0" w:line="240" w:lineRule="auto"/>
              <w:jc w:val="left"/>
              <w:rPr>
                <w:rFonts w:ascii="Arial" w:hAnsi="Arial" w:cs="Arial"/>
                <w:color w:val="000000"/>
                <w:sz w:val="16"/>
                <w:szCs w:val="16"/>
              </w:rPr>
            </w:pPr>
            <w:r w:rsidRPr="004F24E4">
              <w:rPr>
                <w:rFonts w:ascii="Arial" w:hAnsi="Arial" w:cs="Arial"/>
                <w:color w:val="000000"/>
                <w:sz w:val="16"/>
                <w:szCs w:val="16"/>
              </w:rPr>
              <w:t> </w:t>
            </w:r>
          </w:p>
        </w:tc>
      </w:tr>
      <w:tr w:rsidR="004F24E4" w:rsidRPr="004F24E4" w14:paraId="18FEE93C" w14:textId="77777777" w:rsidTr="004F24E4">
        <w:trPr>
          <w:trHeight w:hRule="exact" w:val="225"/>
        </w:trPr>
        <w:tc>
          <w:tcPr>
            <w:tcW w:w="3472" w:type="pct"/>
            <w:tcBorders>
              <w:top w:val="nil"/>
              <w:left w:val="nil"/>
              <w:bottom w:val="nil"/>
              <w:right w:val="nil"/>
            </w:tcBorders>
            <w:shd w:val="clear" w:color="000000" w:fill="FFFFFF"/>
            <w:vAlign w:val="bottom"/>
            <w:hideMark/>
          </w:tcPr>
          <w:p w14:paraId="797BB24D" w14:textId="77777777" w:rsidR="004F24E4" w:rsidRPr="004F24E4" w:rsidRDefault="004F24E4" w:rsidP="004F24E4">
            <w:pPr>
              <w:spacing w:after="0" w:line="240" w:lineRule="auto"/>
              <w:jc w:val="left"/>
              <w:rPr>
                <w:rFonts w:ascii="Arial" w:hAnsi="Arial" w:cs="Arial"/>
                <w:color w:val="000000"/>
                <w:sz w:val="16"/>
                <w:szCs w:val="16"/>
              </w:rPr>
            </w:pPr>
            <w:r w:rsidRPr="004F24E4">
              <w:rPr>
                <w:rFonts w:ascii="Arial" w:hAnsi="Arial" w:cs="Arial"/>
                <w:color w:val="000000"/>
                <w:sz w:val="16"/>
                <w:szCs w:val="16"/>
              </w:rPr>
              <w:t xml:space="preserve">    Prior year appropriations available (b)</w:t>
            </w:r>
          </w:p>
        </w:tc>
        <w:tc>
          <w:tcPr>
            <w:tcW w:w="764" w:type="pct"/>
            <w:tcBorders>
              <w:top w:val="nil"/>
              <w:left w:val="nil"/>
              <w:bottom w:val="nil"/>
              <w:right w:val="nil"/>
            </w:tcBorders>
            <w:shd w:val="clear" w:color="000000" w:fill="FFFFFF"/>
            <w:vAlign w:val="bottom"/>
            <w:hideMark/>
          </w:tcPr>
          <w:p w14:paraId="19741F6C" w14:textId="77777777" w:rsidR="004F24E4" w:rsidRPr="004F24E4" w:rsidRDefault="004F24E4" w:rsidP="004F24E4">
            <w:pPr>
              <w:spacing w:after="0" w:line="240" w:lineRule="auto"/>
              <w:jc w:val="right"/>
              <w:rPr>
                <w:rFonts w:ascii="Arial" w:hAnsi="Arial" w:cs="Arial"/>
                <w:i/>
                <w:iCs/>
                <w:color w:val="000000"/>
                <w:sz w:val="16"/>
                <w:szCs w:val="16"/>
              </w:rPr>
            </w:pPr>
            <w:r w:rsidRPr="004F24E4">
              <w:rPr>
                <w:rFonts w:ascii="Arial" w:hAnsi="Arial" w:cs="Arial"/>
                <w:i/>
                <w:iCs/>
                <w:color w:val="000000"/>
                <w:sz w:val="16"/>
                <w:szCs w:val="16"/>
              </w:rPr>
              <w:t xml:space="preserve">34,189 </w:t>
            </w:r>
          </w:p>
        </w:tc>
        <w:tc>
          <w:tcPr>
            <w:tcW w:w="764" w:type="pct"/>
            <w:tcBorders>
              <w:top w:val="nil"/>
              <w:left w:val="nil"/>
              <w:bottom w:val="nil"/>
              <w:right w:val="nil"/>
            </w:tcBorders>
            <w:shd w:val="clear" w:color="000000" w:fill="E6E6E6"/>
            <w:vAlign w:val="bottom"/>
            <w:hideMark/>
          </w:tcPr>
          <w:p w14:paraId="16E637FF" w14:textId="77777777" w:rsidR="004F24E4" w:rsidRPr="004F24E4" w:rsidRDefault="004F24E4" w:rsidP="004F24E4">
            <w:pPr>
              <w:spacing w:after="0" w:line="240" w:lineRule="auto"/>
              <w:jc w:val="right"/>
              <w:rPr>
                <w:rFonts w:ascii="Arial" w:hAnsi="Arial" w:cs="Arial"/>
                <w:color w:val="000000"/>
                <w:sz w:val="16"/>
                <w:szCs w:val="16"/>
              </w:rPr>
            </w:pPr>
            <w:r w:rsidRPr="004F24E4">
              <w:rPr>
                <w:rFonts w:ascii="Arial" w:hAnsi="Arial" w:cs="Arial"/>
                <w:color w:val="000000"/>
                <w:sz w:val="16"/>
                <w:szCs w:val="16"/>
              </w:rPr>
              <w:t xml:space="preserve">34,951 </w:t>
            </w:r>
          </w:p>
        </w:tc>
      </w:tr>
      <w:tr w:rsidR="004F24E4" w:rsidRPr="004F24E4" w14:paraId="6D4A4BAA" w14:textId="77777777" w:rsidTr="004F24E4">
        <w:trPr>
          <w:trHeight w:hRule="exact" w:val="225"/>
        </w:trPr>
        <w:tc>
          <w:tcPr>
            <w:tcW w:w="3472" w:type="pct"/>
            <w:tcBorders>
              <w:top w:val="nil"/>
              <w:left w:val="nil"/>
              <w:bottom w:val="nil"/>
              <w:right w:val="nil"/>
            </w:tcBorders>
            <w:shd w:val="clear" w:color="000000" w:fill="FFFFFF"/>
            <w:vAlign w:val="bottom"/>
            <w:hideMark/>
          </w:tcPr>
          <w:p w14:paraId="06467419" w14:textId="77777777" w:rsidR="004F24E4" w:rsidRPr="004F24E4" w:rsidRDefault="004F24E4" w:rsidP="004F24E4">
            <w:pPr>
              <w:spacing w:after="0" w:line="240" w:lineRule="auto"/>
              <w:jc w:val="left"/>
              <w:rPr>
                <w:rFonts w:ascii="Arial" w:hAnsi="Arial" w:cs="Arial"/>
                <w:color w:val="000000"/>
                <w:sz w:val="16"/>
                <w:szCs w:val="16"/>
              </w:rPr>
            </w:pPr>
            <w:r w:rsidRPr="004F24E4">
              <w:rPr>
                <w:rFonts w:ascii="Arial" w:hAnsi="Arial" w:cs="Arial"/>
                <w:color w:val="000000"/>
                <w:sz w:val="16"/>
                <w:szCs w:val="16"/>
              </w:rPr>
              <w:t xml:space="preserve">    Departmental appropriation (c)</w:t>
            </w:r>
          </w:p>
        </w:tc>
        <w:tc>
          <w:tcPr>
            <w:tcW w:w="764" w:type="pct"/>
            <w:tcBorders>
              <w:top w:val="nil"/>
              <w:left w:val="nil"/>
              <w:bottom w:val="nil"/>
              <w:right w:val="nil"/>
            </w:tcBorders>
            <w:shd w:val="clear" w:color="000000" w:fill="FFFFFF"/>
            <w:vAlign w:val="bottom"/>
            <w:hideMark/>
          </w:tcPr>
          <w:p w14:paraId="57E099A1" w14:textId="77777777" w:rsidR="004F24E4" w:rsidRPr="004F24E4" w:rsidRDefault="004F24E4" w:rsidP="004F24E4">
            <w:pPr>
              <w:spacing w:after="0" w:line="240" w:lineRule="auto"/>
              <w:jc w:val="right"/>
              <w:rPr>
                <w:rFonts w:ascii="Arial" w:hAnsi="Arial" w:cs="Arial"/>
                <w:i/>
                <w:iCs/>
                <w:color w:val="000000"/>
                <w:sz w:val="16"/>
                <w:szCs w:val="16"/>
              </w:rPr>
            </w:pPr>
            <w:r w:rsidRPr="004F24E4">
              <w:rPr>
                <w:rFonts w:ascii="Arial" w:hAnsi="Arial" w:cs="Arial"/>
                <w:i/>
                <w:iCs/>
                <w:color w:val="000000"/>
                <w:sz w:val="16"/>
                <w:szCs w:val="16"/>
              </w:rPr>
              <w:t xml:space="preserve">36,616 </w:t>
            </w:r>
          </w:p>
        </w:tc>
        <w:tc>
          <w:tcPr>
            <w:tcW w:w="764" w:type="pct"/>
            <w:tcBorders>
              <w:top w:val="nil"/>
              <w:left w:val="nil"/>
              <w:bottom w:val="nil"/>
              <w:right w:val="nil"/>
            </w:tcBorders>
            <w:shd w:val="clear" w:color="000000" w:fill="E6E6E6"/>
            <w:vAlign w:val="bottom"/>
            <w:hideMark/>
          </w:tcPr>
          <w:p w14:paraId="5E729851" w14:textId="77777777" w:rsidR="004F24E4" w:rsidRPr="004F24E4" w:rsidRDefault="004F24E4" w:rsidP="004F24E4">
            <w:pPr>
              <w:spacing w:after="0" w:line="240" w:lineRule="auto"/>
              <w:jc w:val="right"/>
              <w:rPr>
                <w:rFonts w:ascii="Arial" w:hAnsi="Arial" w:cs="Arial"/>
                <w:color w:val="000000"/>
                <w:sz w:val="16"/>
                <w:szCs w:val="16"/>
              </w:rPr>
            </w:pPr>
            <w:r w:rsidRPr="004F24E4">
              <w:rPr>
                <w:rFonts w:ascii="Arial" w:hAnsi="Arial" w:cs="Arial"/>
                <w:color w:val="000000"/>
                <w:sz w:val="16"/>
                <w:szCs w:val="16"/>
              </w:rPr>
              <w:t xml:space="preserve">37,418 </w:t>
            </w:r>
          </w:p>
        </w:tc>
      </w:tr>
      <w:tr w:rsidR="004F24E4" w:rsidRPr="004F24E4" w14:paraId="0BFA1C70" w14:textId="77777777" w:rsidTr="004F24E4">
        <w:trPr>
          <w:trHeight w:hRule="exact" w:val="225"/>
        </w:trPr>
        <w:tc>
          <w:tcPr>
            <w:tcW w:w="3472" w:type="pct"/>
            <w:tcBorders>
              <w:top w:val="nil"/>
              <w:left w:val="nil"/>
              <w:bottom w:val="nil"/>
              <w:right w:val="nil"/>
            </w:tcBorders>
            <w:shd w:val="clear" w:color="000000" w:fill="FFFFFF"/>
            <w:vAlign w:val="bottom"/>
            <w:hideMark/>
          </w:tcPr>
          <w:p w14:paraId="5645BCB5" w14:textId="77777777" w:rsidR="004F24E4" w:rsidRPr="004F24E4" w:rsidRDefault="004F24E4" w:rsidP="004F24E4">
            <w:pPr>
              <w:spacing w:after="0" w:line="240" w:lineRule="auto"/>
              <w:jc w:val="left"/>
              <w:rPr>
                <w:rFonts w:ascii="Arial" w:hAnsi="Arial" w:cs="Arial"/>
                <w:color w:val="000000"/>
                <w:sz w:val="16"/>
                <w:szCs w:val="16"/>
              </w:rPr>
            </w:pPr>
            <w:r w:rsidRPr="004F24E4">
              <w:rPr>
                <w:rFonts w:ascii="Arial" w:hAnsi="Arial" w:cs="Arial"/>
                <w:color w:val="000000"/>
                <w:sz w:val="16"/>
                <w:szCs w:val="16"/>
              </w:rPr>
              <w:t xml:space="preserve">    s74 Retained revenue receipts (d)</w:t>
            </w:r>
          </w:p>
        </w:tc>
        <w:tc>
          <w:tcPr>
            <w:tcW w:w="764" w:type="pct"/>
            <w:tcBorders>
              <w:top w:val="nil"/>
              <w:left w:val="nil"/>
              <w:bottom w:val="nil"/>
              <w:right w:val="nil"/>
            </w:tcBorders>
            <w:shd w:val="clear" w:color="auto" w:fill="auto"/>
            <w:vAlign w:val="bottom"/>
            <w:hideMark/>
          </w:tcPr>
          <w:p w14:paraId="4C6540A6" w14:textId="77777777" w:rsidR="004F24E4" w:rsidRPr="004F24E4" w:rsidRDefault="004F24E4" w:rsidP="004F24E4">
            <w:pPr>
              <w:spacing w:after="0" w:line="240" w:lineRule="auto"/>
              <w:jc w:val="right"/>
              <w:rPr>
                <w:rFonts w:ascii="Arial" w:hAnsi="Arial" w:cs="Arial"/>
                <w:i/>
                <w:iCs/>
                <w:color w:val="000000"/>
                <w:sz w:val="16"/>
                <w:szCs w:val="16"/>
              </w:rPr>
            </w:pPr>
            <w:r w:rsidRPr="004F24E4">
              <w:rPr>
                <w:rFonts w:ascii="Arial" w:hAnsi="Arial" w:cs="Arial"/>
                <w:i/>
                <w:iCs/>
                <w:color w:val="000000"/>
                <w:sz w:val="16"/>
                <w:szCs w:val="16"/>
              </w:rPr>
              <w:t xml:space="preserve">10 </w:t>
            </w:r>
          </w:p>
        </w:tc>
        <w:tc>
          <w:tcPr>
            <w:tcW w:w="764" w:type="pct"/>
            <w:tcBorders>
              <w:top w:val="nil"/>
              <w:left w:val="nil"/>
              <w:bottom w:val="nil"/>
              <w:right w:val="nil"/>
            </w:tcBorders>
            <w:shd w:val="clear" w:color="000000" w:fill="E6E6E6"/>
            <w:vAlign w:val="bottom"/>
            <w:hideMark/>
          </w:tcPr>
          <w:p w14:paraId="636DF26D" w14:textId="77777777" w:rsidR="004F24E4" w:rsidRPr="004F24E4" w:rsidRDefault="004F24E4" w:rsidP="004F24E4">
            <w:pPr>
              <w:spacing w:after="0" w:line="240" w:lineRule="auto"/>
              <w:jc w:val="right"/>
              <w:rPr>
                <w:rFonts w:ascii="Arial" w:hAnsi="Arial" w:cs="Arial"/>
                <w:color w:val="000000"/>
                <w:sz w:val="16"/>
                <w:szCs w:val="16"/>
              </w:rPr>
            </w:pPr>
            <w:r w:rsidRPr="004F24E4">
              <w:rPr>
                <w:rFonts w:ascii="Arial" w:hAnsi="Arial" w:cs="Arial"/>
                <w:color w:val="000000"/>
                <w:sz w:val="16"/>
                <w:szCs w:val="16"/>
              </w:rPr>
              <w:t xml:space="preserve">10 </w:t>
            </w:r>
          </w:p>
        </w:tc>
      </w:tr>
      <w:tr w:rsidR="004F24E4" w:rsidRPr="004F24E4" w14:paraId="76E0C9E4" w14:textId="77777777" w:rsidTr="004F24E4">
        <w:trPr>
          <w:trHeight w:hRule="exact" w:val="225"/>
        </w:trPr>
        <w:tc>
          <w:tcPr>
            <w:tcW w:w="3472" w:type="pct"/>
            <w:tcBorders>
              <w:top w:val="nil"/>
              <w:left w:val="nil"/>
              <w:bottom w:val="nil"/>
              <w:right w:val="nil"/>
            </w:tcBorders>
            <w:shd w:val="clear" w:color="000000" w:fill="FFFFFF"/>
            <w:vAlign w:val="bottom"/>
            <w:hideMark/>
          </w:tcPr>
          <w:p w14:paraId="1521AA30" w14:textId="77777777" w:rsidR="004F24E4" w:rsidRPr="004F24E4" w:rsidRDefault="004F24E4" w:rsidP="004F24E4">
            <w:pPr>
              <w:spacing w:after="0" w:line="240" w:lineRule="auto"/>
              <w:jc w:val="left"/>
              <w:rPr>
                <w:rFonts w:ascii="Arial" w:hAnsi="Arial" w:cs="Arial"/>
                <w:color w:val="000000"/>
                <w:sz w:val="16"/>
                <w:szCs w:val="16"/>
              </w:rPr>
            </w:pPr>
            <w:r w:rsidRPr="004F24E4">
              <w:rPr>
                <w:rFonts w:ascii="Arial" w:hAnsi="Arial" w:cs="Arial"/>
                <w:color w:val="000000"/>
                <w:sz w:val="16"/>
                <w:szCs w:val="16"/>
              </w:rPr>
              <w:t xml:space="preserve">    Departmental capital budget (e)</w:t>
            </w:r>
          </w:p>
        </w:tc>
        <w:tc>
          <w:tcPr>
            <w:tcW w:w="764" w:type="pct"/>
            <w:tcBorders>
              <w:top w:val="nil"/>
              <w:left w:val="nil"/>
              <w:bottom w:val="nil"/>
              <w:right w:val="nil"/>
            </w:tcBorders>
            <w:shd w:val="clear" w:color="000000" w:fill="FFFFFF"/>
            <w:vAlign w:val="bottom"/>
            <w:hideMark/>
          </w:tcPr>
          <w:p w14:paraId="478AC170" w14:textId="77777777" w:rsidR="004F24E4" w:rsidRPr="004F24E4" w:rsidRDefault="004F24E4" w:rsidP="004F24E4">
            <w:pPr>
              <w:spacing w:after="0" w:line="240" w:lineRule="auto"/>
              <w:jc w:val="right"/>
              <w:rPr>
                <w:rFonts w:ascii="Arial" w:hAnsi="Arial" w:cs="Arial"/>
                <w:i/>
                <w:iCs/>
                <w:color w:val="000000"/>
                <w:sz w:val="16"/>
                <w:szCs w:val="16"/>
              </w:rPr>
            </w:pPr>
            <w:r w:rsidRPr="004F24E4">
              <w:rPr>
                <w:rFonts w:ascii="Arial" w:hAnsi="Arial" w:cs="Arial"/>
                <w:i/>
                <w:iCs/>
                <w:color w:val="000000"/>
                <w:sz w:val="16"/>
                <w:szCs w:val="16"/>
              </w:rPr>
              <w:t xml:space="preserve">829 </w:t>
            </w:r>
          </w:p>
        </w:tc>
        <w:tc>
          <w:tcPr>
            <w:tcW w:w="764" w:type="pct"/>
            <w:tcBorders>
              <w:top w:val="nil"/>
              <w:left w:val="nil"/>
              <w:bottom w:val="nil"/>
              <w:right w:val="nil"/>
            </w:tcBorders>
            <w:shd w:val="clear" w:color="000000" w:fill="E6E6E6"/>
            <w:vAlign w:val="bottom"/>
            <w:hideMark/>
          </w:tcPr>
          <w:p w14:paraId="312BC2E6" w14:textId="77777777" w:rsidR="004F24E4" w:rsidRPr="004F24E4" w:rsidRDefault="004F24E4" w:rsidP="004F24E4">
            <w:pPr>
              <w:spacing w:after="0" w:line="240" w:lineRule="auto"/>
              <w:jc w:val="right"/>
              <w:rPr>
                <w:rFonts w:ascii="Arial" w:hAnsi="Arial" w:cs="Arial"/>
                <w:color w:val="000000"/>
                <w:sz w:val="16"/>
                <w:szCs w:val="16"/>
              </w:rPr>
            </w:pPr>
            <w:r w:rsidRPr="004F24E4">
              <w:rPr>
                <w:rFonts w:ascii="Arial" w:hAnsi="Arial" w:cs="Arial"/>
                <w:color w:val="000000"/>
                <w:sz w:val="16"/>
                <w:szCs w:val="16"/>
              </w:rPr>
              <w:t xml:space="preserve">834 </w:t>
            </w:r>
          </w:p>
        </w:tc>
      </w:tr>
      <w:tr w:rsidR="004F24E4" w:rsidRPr="004F24E4" w14:paraId="0ECBFF8F" w14:textId="77777777" w:rsidTr="004F24E4">
        <w:trPr>
          <w:trHeight w:hRule="exact" w:val="225"/>
        </w:trPr>
        <w:tc>
          <w:tcPr>
            <w:tcW w:w="3472" w:type="pct"/>
            <w:tcBorders>
              <w:top w:val="nil"/>
              <w:left w:val="nil"/>
              <w:bottom w:val="nil"/>
              <w:right w:val="nil"/>
            </w:tcBorders>
            <w:shd w:val="clear" w:color="000000" w:fill="FFFFFF"/>
            <w:vAlign w:val="bottom"/>
            <w:hideMark/>
          </w:tcPr>
          <w:p w14:paraId="28AE35F4" w14:textId="77777777" w:rsidR="004F24E4" w:rsidRPr="004F24E4" w:rsidRDefault="004F24E4" w:rsidP="004F24E4">
            <w:pPr>
              <w:spacing w:after="0" w:line="240" w:lineRule="auto"/>
              <w:jc w:val="left"/>
              <w:rPr>
                <w:rFonts w:ascii="Arial" w:hAnsi="Arial" w:cs="Arial"/>
                <w:color w:val="000000"/>
                <w:sz w:val="16"/>
                <w:szCs w:val="16"/>
              </w:rPr>
            </w:pPr>
            <w:r w:rsidRPr="004F24E4">
              <w:rPr>
                <w:rFonts w:ascii="Arial" w:hAnsi="Arial" w:cs="Arial"/>
                <w:color w:val="000000"/>
                <w:sz w:val="16"/>
                <w:szCs w:val="16"/>
              </w:rPr>
              <w:t>Total departmental annual appropriations</w:t>
            </w:r>
          </w:p>
        </w:tc>
        <w:tc>
          <w:tcPr>
            <w:tcW w:w="764" w:type="pct"/>
            <w:tcBorders>
              <w:top w:val="single" w:sz="4" w:space="0" w:color="auto"/>
              <w:left w:val="nil"/>
              <w:bottom w:val="single" w:sz="4" w:space="0" w:color="auto"/>
              <w:right w:val="nil"/>
            </w:tcBorders>
            <w:shd w:val="clear" w:color="000000" w:fill="FFFFFF"/>
            <w:vAlign w:val="bottom"/>
            <w:hideMark/>
          </w:tcPr>
          <w:p w14:paraId="3E588A83" w14:textId="77777777" w:rsidR="004F24E4" w:rsidRPr="004F24E4" w:rsidRDefault="004F24E4" w:rsidP="004F24E4">
            <w:pPr>
              <w:spacing w:after="0" w:line="240" w:lineRule="auto"/>
              <w:jc w:val="right"/>
              <w:rPr>
                <w:rFonts w:ascii="Arial" w:hAnsi="Arial" w:cs="Arial"/>
                <w:i/>
                <w:iCs/>
                <w:color w:val="000000"/>
                <w:sz w:val="16"/>
                <w:szCs w:val="16"/>
              </w:rPr>
            </w:pPr>
            <w:r w:rsidRPr="004F24E4">
              <w:rPr>
                <w:rFonts w:ascii="Arial" w:hAnsi="Arial" w:cs="Arial"/>
                <w:i/>
                <w:iCs/>
                <w:color w:val="000000"/>
                <w:sz w:val="16"/>
                <w:szCs w:val="16"/>
              </w:rPr>
              <w:t xml:space="preserve">71,644 </w:t>
            </w:r>
          </w:p>
        </w:tc>
        <w:tc>
          <w:tcPr>
            <w:tcW w:w="764" w:type="pct"/>
            <w:tcBorders>
              <w:top w:val="single" w:sz="4" w:space="0" w:color="auto"/>
              <w:left w:val="nil"/>
              <w:bottom w:val="single" w:sz="4" w:space="0" w:color="auto"/>
              <w:right w:val="nil"/>
            </w:tcBorders>
            <w:shd w:val="clear" w:color="000000" w:fill="E6E6E6"/>
            <w:vAlign w:val="bottom"/>
            <w:hideMark/>
          </w:tcPr>
          <w:p w14:paraId="65C69842" w14:textId="77777777" w:rsidR="004F24E4" w:rsidRPr="004F24E4" w:rsidRDefault="004F24E4" w:rsidP="004F24E4">
            <w:pPr>
              <w:spacing w:after="0" w:line="240" w:lineRule="auto"/>
              <w:jc w:val="right"/>
              <w:rPr>
                <w:rFonts w:ascii="Arial" w:hAnsi="Arial" w:cs="Arial"/>
                <w:i/>
                <w:iCs/>
                <w:color w:val="000000"/>
                <w:sz w:val="16"/>
                <w:szCs w:val="16"/>
              </w:rPr>
            </w:pPr>
            <w:r w:rsidRPr="004F24E4">
              <w:rPr>
                <w:rFonts w:ascii="Arial" w:hAnsi="Arial" w:cs="Arial"/>
                <w:i/>
                <w:iCs/>
                <w:color w:val="000000"/>
                <w:sz w:val="16"/>
                <w:szCs w:val="16"/>
              </w:rPr>
              <w:t xml:space="preserve">73,213 </w:t>
            </w:r>
          </w:p>
        </w:tc>
      </w:tr>
      <w:tr w:rsidR="004F24E4" w:rsidRPr="004F24E4" w14:paraId="5D0C734B" w14:textId="77777777" w:rsidTr="004F24E4">
        <w:trPr>
          <w:trHeight w:hRule="exact" w:val="225"/>
        </w:trPr>
        <w:tc>
          <w:tcPr>
            <w:tcW w:w="3472" w:type="pct"/>
            <w:tcBorders>
              <w:top w:val="nil"/>
              <w:left w:val="nil"/>
              <w:bottom w:val="nil"/>
              <w:right w:val="nil"/>
            </w:tcBorders>
            <w:shd w:val="clear" w:color="000000" w:fill="FFFFFF"/>
            <w:vAlign w:val="bottom"/>
            <w:hideMark/>
          </w:tcPr>
          <w:p w14:paraId="4317D3C9" w14:textId="77777777" w:rsidR="004F24E4" w:rsidRPr="0004320E" w:rsidRDefault="004F24E4" w:rsidP="004F24E4">
            <w:pPr>
              <w:spacing w:after="0" w:line="240" w:lineRule="auto"/>
              <w:jc w:val="left"/>
              <w:rPr>
                <w:rFonts w:ascii="Arial" w:hAnsi="Arial" w:cs="Arial"/>
                <w:b/>
                <w:bCs/>
                <w:color w:val="000000"/>
                <w:sz w:val="16"/>
                <w:szCs w:val="16"/>
              </w:rPr>
            </w:pPr>
            <w:r w:rsidRPr="0004320E">
              <w:rPr>
                <w:rFonts w:ascii="Arial" w:hAnsi="Arial" w:cs="Arial"/>
                <w:b/>
                <w:bCs/>
                <w:color w:val="000000"/>
                <w:sz w:val="16"/>
                <w:szCs w:val="16"/>
              </w:rPr>
              <w:t>Total departmental resourcing</w:t>
            </w:r>
          </w:p>
        </w:tc>
        <w:tc>
          <w:tcPr>
            <w:tcW w:w="764" w:type="pct"/>
            <w:tcBorders>
              <w:top w:val="nil"/>
              <w:left w:val="nil"/>
              <w:bottom w:val="single" w:sz="4" w:space="0" w:color="auto"/>
              <w:right w:val="nil"/>
            </w:tcBorders>
            <w:shd w:val="clear" w:color="auto" w:fill="auto"/>
            <w:vAlign w:val="bottom"/>
            <w:hideMark/>
          </w:tcPr>
          <w:p w14:paraId="0424A0C3" w14:textId="77777777" w:rsidR="004F24E4" w:rsidRPr="004F24E4" w:rsidRDefault="004F24E4" w:rsidP="004F24E4">
            <w:pPr>
              <w:spacing w:after="0" w:line="240" w:lineRule="auto"/>
              <w:jc w:val="right"/>
              <w:rPr>
                <w:rFonts w:ascii="Arial" w:hAnsi="Arial" w:cs="Arial"/>
                <w:b/>
                <w:bCs/>
                <w:i/>
                <w:iCs/>
                <w:color w:val="000000"/>
                <w:sz w:val="16"/>
                <w:szCs w:val="16"/>
              </w:rPr>
            </w:pPr>
            <w:r w:rsidRPr="004F24E4">
              <w:rPr>
                <w:rFonts w:ascii="Arial" w:hAnsi="Arial" w:cs="Arial"/>
                <w:b/>
                <w:bCs/>
                <w:i/>
                <w:iCs/>
                <w:color w:val="000000"/>
                <w:sz w:val="16"/>
                <w:szCs w:val="16"/>
              </w:rPr>
              <w:t xml:space="preserve">71,644 </w:t>
            </w:r>
          </w:p>
        </w:tc>
        <w:tc>
          <w:tcPr>
            <w:tcW w:w="764" w:type="pct"/>
            <w:tcBorders>
              <w:top w:val="nil"/>
              <w:left w:val="nil"/>
              <w:bottom w:val="single" w:sz="4" w:space="0" w:color="auto"/>
              <w:right w:val="nil"/>
            </w:tcBorders>
            <w:shd w:val="clear" w:color="000000" w:fill="E6E6E6"/>
            <w:vAlign w:val="bottom"/>
            <w:hideMark/>
          </w:tcPr>
          <w:p w14:paraId="0C380B0C" w14:textId="77777777" w:rsidR="004F24E4" w:rsidRPr="004F24E4" w:rsidRDefault="004F24E4" w:rsidP="004F24E4">
            <w:pPr>
              <w:spacing w:after="0" w:line="240" w:lineRule="auto"/>
              <w:jc w:val="right"/>
              <w:rPr>
                <w:rFonts w:ascii="Arial" w:hAnsi="Arial" w:cs="Arial"/>
                <w:b/>
                <w:bCs/>
                <w:color w:val="000000"/>
                <w:sz w:val="16"/>
                <w:szCs w:val="16"/>
              </w:rPr>
            </w:pPr>
            <w:r w:rsidRPr="004F24E4">
              <w:rPr>
                <w:rFonts w:ascii="Arial" w:hAnsi="Arial" w:cs="Arial"/>
                <w:b/>
                <w:bCs/>
                <w:color w:val="000000"/>
                <w:sz w:val="16"/>
                <w:szCs w:val="16"/>
              </w:rPr>
              <w:t xml:space="preserve">73,213 </w:t>
            </w:r>
          </w:p>
        </w:tc>
      </w:tr>
      <w:tr w:rsidR="004F24E4" w:rsidRPr="004F24E4" w14:paraId="778E6695" w14:textId="77777777" w:rsidTr="004F24E4">
        <w:trPr>
          <w:trHeight w:hRule="exact" w:val="225"/>
        </w:trPr>
        <w:tc>
          <w:tcPr>
            <w:tcW w:w="3472" w:type="pct"/>
            <w:tcBorders>
              <w:top w:val="nil"/>
              <w:left w:val="nil"/>
              <w:bottom w:val="single" w:sz="4" w:space="0" w:color="auto"/>
              <w:right w:val="nil"/>
            </w:tcBorders>
            <w:shd w:val="clear" w:color="000000" w:fill="FFFFFF"/>
            <w:vAlign w:val="bottom"/>
            <w:hideMark/>
          </w:tcPr>
          <w:p w14:paraId="41AFFD55" w14:textId="77777777" w:rsidR="004F24E4" w:rsidRPr="004F24E4" w:rsidRDefault="004F24E4" w:rsidP="004F24E4">
            <w:pPr>
              <w:spacing w:after="0" w:line="240" w:lineRule="auto"/>
              <w:jc w:val="left"/>
              <w:rPr>
                <w:rFonts w:ascii="Arial" w:hAnsi="Arial" w:cs="Arial"/>
                <w:b/>
                <w:bCs/>
                <w:color w:val="000000"/>
                <w:sz w:val="16"/>
                <w:szCs w:val="16"/>
              </w:rPr>
            </w:pPr>
            <w:r w:rsidRPr="004F24E4">
              <w:rPr>
                <w:rFonts w:ascii="Arial" w:hAnsi="Arial" w:cs="Arial"/>
                <w:b/>
                <w:bCs/>
                <w:color w:val="000000"/>
                <w:sz w:val="16"/>
                <w:szCs w:val="16"/>
              </w:rPr>
              <w:t>Total resourcing for the Productivity Commission</w:t>
            </w:r>
          </w:p>
        </w:tc>
        <w:tc>
          <w:tcPr>
            <w:tcW w:w="764" w:type="pct"/>
            <w:tcBorders>
              <w:top w:val="nil"/>
              <w:left w:val="nil"/>
              <w:bottom w:val="single" w:sz="4" w:space="0" w:color="auto"/>
              <w:right w:val="nil"/>
            </w:tcBorders>
            <w:shd w:val="clear" w:color="000000" w:fill="FFFFFF"/>
            <w:vAlign w:val="bottom"/>
            <w:hideMark/>
          </w:tcPr>
          <w:p w14:paraId="17966DBD" w14:textId="77777777" w:rsidR="004F24E4" w:rsidRPr="004F24E4" w:rsidRDefault="004F24E4" w:rsidP="004F24E4">
            <w:pPr>
              <w:spacing w:after="0" w:line="240" w:lineRule="auto"/>
              <w:jc w:val="right"/>
              <w:rPr>
                <w:rFonts w:ascii="Arial" w:hAnsi="Arial" w:cs="Arial"/>
                <w:b/>
                <w:bCs/>
                <w:i/>
                <w:iCs/>
                <w:color w:val="000000"/>
                <w:sz w:val="16"/>
                <w:szCs w:val="16"/>
              </w:rPr>
            </w:pPr>
            <w:r w:rsidRPr="004F24E4">
              <w:rPr>
                <w:rFonts w:ascii="Arial" w:hAnsi="Arial" w:cs="Arial"/>
                <w:b/>
                <w:bCs/>
                <w:i/>
                <w:iCs/>
                <w:color w:val="000000"/>
                <w:sz w:val="16"/>
                <w:szCs w:val="16"/>
              </w:rPr>
              <w:t xml:space="preserve">71,644 </w:t>
            </w:r>
          </w:p>
        </w:tc>
        <w:tc>
          <w:tcPr>
            <w:tcW w:w="764" w:type="pct"/>
            <w:tcBorders>
              <w:top w:val="nil"/>
              <w:left w:val="nil"/>
              <w:bottom w:val="single" w:sz="4" w:space="0" w:color="auto"/>
              <w:right w:val="nil"/>
            </w:tcBorders>
            <w:shd w:val="clear" w:color="000000" w:fill="E6E6E6"/>
            <w:vAlign w:val="bottom"/>
            <w:hideMark/>
          </w:tcPr>
          <w:p w14:paraId="00FCA68F" w14:textId="77777777" w:rsidR="004F24E4" w:rsidRPr="004F24E4" w:rsidRDefault="004F24E4" w:rsidP="004F24E4">
            <w:pPr>
              <w:spacing w:after="0" w:line="240" w:lineRule="auto"/>
              <w:jc w:val="right"/>
              <w:rPr>
                <w:rFonts w:ascii="Arial" w:hAnsi="Arial" w:cs="Arial"/>
                <w:b/>
                <w:bCs/>
                <w:color w:val="000000"/>
                <w:sz w:val="16"/>
                <w:szCs w:val="16"/>
              </w:rPr>
            </w:pPr>
            <w:r w:rsidRPr="004F24E4">
              <w:rPr>
                <w:rFonts w:ascii="Arial" w:hAnsi="Arial" w:cs="Arial"/>
                <w:b/>
                <w:bCs/>
                <w:color w:val="000000"/>
                <w:sz w:val="16"/>
                <w:szCs w:val="16"/>
              </w:rPr>
              <w:t xml:space="preserve">73,213 </w:t>
            </w:r>
          </w:p>
        </w:tc>
      </w:tr>
      <w:tr w:rsidR="004F24E4" w:rsidRPr="004F24E4" w14:paraId="2ECA8F4F" w14:textId="77777777" w:rsidTr="004F24E4">
        <w:trPr>
          <w:trHeight w:hRule="exact" w:val="65"/>
        </w:trPr>
        <w:tc>
          <w:tcPr>
            <w:tcW w:w="3472" w:type="pct"/>
            <w:tcBorders>
              <w:top w:val="nil"/>
              <w:left w:val="nil"/>
              <w:bottom w:val="nil"/>
              <w:right w:val="nil"/>
            </w:tcBorders>
            <w:shd w:val="clear" w:color="000000" w:fill="FFFFFF"/>
            <w:vAlign w:val="bottom"/>
            <w:hideMark/>
          </w:tcPr>
          <w:p w14:paraId="2D024988" w14:textId="77777777" w:rsidR="004F24E4" w:rsidRPr="004F24E4" w:rsidRDefault="004F24E4" w:rsidP="004F24E4">
            <w:pPr>
              <w:spacing w:after="0" w:line="240" w:lineRule="auto"/>
              <w:jc w:val="left"/>
              <w:rPr>
                <w:rFonts w:ascii="Arial" w:hAnsi="Arial" w:cs="Arial"/>
                <w:color w:val="000000"/>
                <w:sz w:val="16"/>
                <w:szCs w:val="16"/>
              </w:rPr>
            </w:pPr>
            <w:r w:rsidRPr="004F24E4">
              <w:rPr>
                <w:rFonts w:ascii="Arial" w:hAnsi="Arial" w:cs="Arial"/>
                <w:color w:val="000000"/>
                <w:sz w:val="16"/>
                <w:szCs w:val="16"/>
              </w:rPr>
              <w:t> </w:t>
            </w:r>
          </w:p>
        </w:tc>
        <w:tc>
          <w:tcPr>
            <w:tcW w:w="764" w:type="pct"/>
            <w:tcBorders>
              <w:top w:val="nil"/>
              <w:left w:val="nil"/>
              <w:bottom w:val="nil"/>
              <w:right w:val="nil"/>
            </w:tcBorders>
            <w:shd w:val="clear" w:color="000000" w:fill="FFFFFF"/>
            <w:vAlign w:val="bottom"/>
            <w:hideMark/>
          </w:tcPr>
          <w:p w14:paraId="4BCBBEE5" w14:textId="77777777" w:rsidR="004F24E4" w:rsidRPr="004F24E4" w:rsidRDefault="004F24E4" w:rsidP="004F24E4">
            <w:pPr>
              <w:spacing w:after="0" w:line="240" w:lineRule="auto"/>
              <w:jc w:val="left"/>
              <w:rPr>
                <w:rFonts w:ascii="Arial" w:hAnsi="Arial" w:cs="Arial"/>
                <w:i/>
                <w:iCs/>
                <w:color w:val="000000"/>
                <w:sz w:val="16"/>
                <w:szCs w:val="16"/>
              </w:rPr>
            </w:pPr>
            <w:r w:rsidRPr="004F24E4">
              <w:rPr>
                <w:rFonts w:ascii="Arial" w:hAnsi="Arial" w:cs="Arial"/>
                <w:i/>
                <w:iCs/>
                <w:color w:val="000000"/>
                <w:sz w:val="16"/>
                <w:szCs w:val="16"/>
              </w:rPr>
              <w:t> </w:t>
            </w:r>
          </w:p>
        </w:tc>
        <w:tc>
          <w:tcPr>
            <w:tcW w:w="764" w:type="pct"/>
            <w:tcBorders>
              <w:top w:val="nil"/>
              <w:left w:val="nil"/>
              <w:bottom w:val="nil"/>
              <w:right w:val="nil"/>
            </w:tcBorders>
            <w:shd w:val="clear" w:color="000000" w:fill="FFFFFF"/>
            <w:vAlign w:val="bottom"/>
            <w:hideMark/>
          </w:tcPr>
          <w:p w14:paraId="626744E2" w14:textId="77777777" w:rsidR="004F24E4" w:rsidRPr="004F24E4" w:rsidRDefault="004F24E4" w:rsidP="004F24E4">
            <w:pPr>
              <w:spacing w:after="0" w:line="240" w:lineRule="auto"/>
              <w:jc w:val="left"/>
              <w:rPr>
                <w:rFonts w:ascii="Arial" w:hAnsi="Arial" w:cs="Arial"/>
                <w:color w:val="000000"/>
                <w:sz w:val="16"/>
                <w:szCs w:val="16"/>
              </w:rPr>
            </w:pPr>
            <w:r w:rsidRPr="004F24E4">
              <w:rPr>
                <w:rFonts w:ascii="Arial" w:hAnsi="Arial" w:cs="Arial"/>
                <w:color w:val="000000"/>
                <w:sz w:val="16"/>
                <w:szCs w:val="16"/>
              </w:rPr>
              <w:t> </w:t>
            </w:r>
          </w:p>
        </w:tc>
      </w:tr>
      <w:tr w:rsidR="004F24E4" w:rsidRPr="004F24E4" w14:paraId="0C317B9F" w14:textId="77777777" w:rsidTr="004F24E4">
        <w:trPr>
          <w:trHeight w:hRule="exact" w:val="225"/>
        </w:trPr>
        <w:tc>
          <w:tcPr>
            <w:tcW w:w="3472" w:type="pct"/>
            <w:tcBorders>
              <w:top w:val="single" w:sz="4" w:space="0" w:color="auto"/>
              <w:left w:val="nil"/>
              <w:bottom w:val="nil"/>
              <w:right w:val="nil"/>
            </w:tcBorders>
            <w:shd w:val="clear" w:color="000000" w:fill="FFFFFF"/>
            <w:vAlign w:val="bottom"/>
            <w:hideMark/>
          </w:tcPr>
          <w:p w14:paraId="2BE8912F" w14:textId="77777777" w:rsidR="004F24E4" w:rsidRPr="004F24E4" w:rsidRDefault="004F24E4" w:rsidP="004F24E4">
            <w:pPr>
              <w:spacing w:after="0" w:line="240" w:lineRule="auto"/>
              <w:jc w:val="left"/>
              <w:rPr>
                <w:rFonts w:ascii="Arial" w:hAnsi="Arial" w:cs="Arial"/>
                <w:color w:val="000000"/>
                <w:sz w:val="16"/>
                <w:szCs w:val="16"/>
              </w:rPr>
            </w:pPr>
            <w:r w:rsidRPr="004F24E4">
              <w:rPr>
                <w:rFonts w:ascii="Arial" w:hAnsi="Arial" w:cs="Arial"/>
                <w:color w:val="000000"/>
                <w:sz w:val="16"/>
                <w:szCs w:val="16"/>
              </w:rPr>
              <w:t> </w:t>
            </w:r>
          </w:p>
        </w:tc>
        <w:tc>
          <w:tcPr>
            <w:tcW w:w="764" w:type="pct"/>
            <w:tcBorders>
              <w:top w:val="single" w:sz="4" w:space="0" w:color="auto"/>
              <w:left w:val="nil"/>
              <w:bottom w:val="single" w:sz="4" w:space="0" w:color="auto"/>
              <w:right w:val="nil"/>
            </w:tcBorders>
            <w:shd w:val="clear" w:color="000000" w:fill="FFFFFF"/>
            <w:vAlign w:val="bottom"/>
            <w:hideMark/>
          </w:tcPr>
          <w:p w14:paraId="1416767E" w14:textId="77777777" w:rsidR="004F24E4" w:rsidRPr="004F24E4" w:rsidRDefault="004F24E4" w:rsidP="004F24E4">
            <w:pPr>
              <w:spacing w:after="0" w:line="240" w:lineRule="auto"/>
              <w:jc w:val="right"/>
              <w:rPr>
                <w:rFonts w:ascii="Arial" w:hAnsi="Arial" w:cs="Arial"/>
                <w:i/>
                <w:iCs/>
                <w:color w:val="000000"/>
                <w:sz w:val="16"/>
                <w:szCs w:val="16"/>
              </w:rPr>
            </w:pPr>
            <w:r w:rsidRPr="004F24E4">
              <w:rPr>
                <w:rFonts w:ascii="Arial" w:hAnsi="Arial" w:cs="Arial"/>
                <w:i/>
                <w:iCs/>
                <w:color w:val="000000"/>
                <w:sz w:val="16"/>
                <w:szCs w:val="16"/>
              </w:rPr>
              <w:t>2021-22</w:t>
            </w:r>
          </w:p>
        </w:tc>
        <w:tc>
          <w:tcPr>
            <w:tcW w:w="764" w:type="pct"/>
            <w:tcBorders>
              <w:top w:val="single" w:sz="4" w:space="0" w:color="auto"/>
              <w:left w:val="nil"/>
              <w:bottom w:val="single" w:sz="4" w:space="0" w:color="auto"/>
              <w:right w:val="nil"/>
            </w:tcBorders>
            <w:shd w:val="clear" w:color="000000" w:fill="E6E6E6"/>
            <w:vAlign w:val="bottom"/>
            <w:hideMark/>
          </w:tcPr>
          <w:p w14:paraId="3CCC7F03" w14:textId="77777777" w:rsidR="004F24E4" w:rsidRPr="004F24E4" w:rsidRDefault="004F24E4" w:rsidP="004F24E4">
            <w:pPr>
              <w:spacing w:after="0" w:line="240" w:lineRule="auto"/>
              <w:jc w:val="right"/>
              <w:rPr>
                <w:rFonts w:ascii="Arial" w:hAnsi="Arial" w:cs="Arial"/>
                <w:color w:val="000000"/>
                <w:sz w:val="16"/>
                <w:szCs w:val="16"/>
              </w:rPr>
            </w:pPr>
            <w:r w:rsidRPr="004F24E4">
              <w:rPr>
                <w:rFonts w:ascii="Arial" w:hAnsi="Arial" w:cs="Arial"/>
                <w:color w:val="000000"/>
                <w:sz w:val="16"/>
                <w:szCs w:val="16"/>
              </w:rPr>
              <w:t>2022-23</w:t>
            </w:r>
          </w:p>
        </w:tc>
      </w:tr>
      <w:tr w:rsidR="004F24E4" w:rsidRPr="004F24E4" w14:paraId="477CAF91" w14:textId="77777777" w:rsidTr="004F24E4">
        <w:trPr>
          <w:trHeight w:hRule="exact" w:val="225"/>
        </w:trPr>
        <w:tc>
          <w:tcPr>
            <w:tcW w:w="3472" w:type="pct"/>
            <w:tcBorders>
              <w:top w:val="nil"/>
              <w:left w:val="nil"/>
              <w:bottom w:val="single" w:sz="4" w:space="0" w:color="auto"/>
              <w:right w:val="nil"/>
            </w:tcBorders>
            <w:shd w:val="clear" w:color="000000" w:fill="FFFFFF"/>
            <w:vAlign w:val="bottom"/>
            <w:hideMark/>
          </w:tcPr>
          <w:p w14:paraId="61603AF5" w14:textId="77777777" w:rsidR="004F24E4" w:rsidRPr="004F24E4" w:rsidRDefault="004F24E4" w:rsidP="004F24E4">
            <w:pPr>
              <w:spacing w:after="0" w:line="240" w:lineRule="auto"/>
              <w:jc w:val="left"/>
              <w:rPr>
                <w:rFonts w:ascii="Arial" w:hAnsi="Arial" w:cs="Arial"/>
                <w:b/>
                <w:bCs/>
                <w:color w:val="000000"/>
                <w:sz w:val="16"/>
                <w:szCs w:val="16"/>
              </w:rPr>
            </w:pPr>
            <w:r w:rsidRPr="004F24E4">
              <w:rPr>
                <w:rFonts w:ascii="Arial" w:hAnsi="Arial" w:cs="Arial"/>
                <w:b/>
                <w:bCs/>
                <w:color w:val="000000"/>
                <w:sz w:val="16"/>
                <w:szCs w:val="16"/>
              </w:rPr>
              <w:t>Average staffing level (number)</w:t>
            </w:r>
          </w:p>
        </w:tc>
        <w:tc>
          <w:tcPr>
            <w:tcW w:w="764" w:type="pct"/>
            <w:tcBorders>
              <w:top w:val="nil"/>
              <w:left w:val="nil"/>
              <w:bottom w:val="single" w:sz="4" w:space="0" w:color="auto"/>
              <w:right w:val="nil"/>
            </w:tcBorders>
            <w:shd w:val="clear" w:color="auto" w:fill="auto"/>
            <w:vAlign w:val="bottom"/>
            <w:hideMark/>
          </w:tcPr>
          <w:p w14:paraId="43C2ABAF" w14:textId="77777777" w:rsidR="004F24E4" w:rsidRPr="004F24E4" w:rsidRDefault="004F24E4" w:rsidP="004F24E4">
            <w:pPr>
              <w:spacing w:after="0" w:line="240" w:lineRule="auto"/>
              <w:jc w:val="right"/>
              <w:rPr>
                <w:rFonts w:ascii="Arial" w:hAnsi="Arial" w:cs="Arial"/>
                <w:i/>
                <w:iCs/>
                <w:color w:val="000000"/>
                <w:sz w:val="16"/>
                <w:szCs w:val="16"/>
              </w:rPr>
            </w:pPr>
            <w:r w:rsidRPr="004F24E4">
              <w:rPr>
                <w:rFonts w:ascii="Arial" w:hAnsi="Arial" w:cs="Arial"/>
                <w:i/>
                <w:iCs/>
                <w:color w:val="000000"/>
                <w:sz w:val="16"/>
                <w:szCs w:val="16"/>
              </w:rPr>
              <w:t xml:space="preserve">167 </w:t>
            </w:r>
          </w:p>
        </w:tc>
        <w:tc>
          <w:tcPr>
            <w:tcW w:w="764" w:type="pct"/>
            <w:tcBorders>
              <w:top w:val="nil"/>
              <w:left w:val="nil"/>
              <w:bottom w:val="single" w:sz="4" w:space="0" w:color="auto"/>
              <w:right w:val="nil"/>
            </w:tcBorders>
            <w:shd w:val="clear" w:color="000000" w:fill="E6E6E6"/>
            <w:vAlign w:val="bottom"/>
            <w:hideMark/>
          </w:tcPr>
          <w:p w14:paraId="1E413AE2" w14:textId="77777777" w:rsidR="004F24E4" w:rsidRPr="004F24E4" w:rsidRDefault="004F24E4" w:rsidP="004F24E4">
            <w:pPr>
              <w:spacing w:after="0" w:line="240" w:lineRule="auto"/>
              <w:jc w:val="right"/>
              <w:rPr>
                <w:rFonts w:ascii="Arial" w:hAnsi="Arial" w:cs="Arial"/>
                <w:color w:val="000000"/>
                <w:sz w:val="16"/>
                <w:szCs w:val="16"/>
              </w:rPr>
            </w:pPr>
            <w:r w:rsidRPr="004F24E4">
              <w:rPr>
                <w:rFonts w:ascii="Arial" w:hAnsi="Arial" w:cs="Arial"/>
                <w:color w:val="000000"/>
                <w:sz w:val="16"/>
                <w:szCs w:val="16"/>
              </w:rPr>
              <w:t>192</w:t>
            </w:r>
          </w:p>
        </w:tc>
      </w:tr>
    </w:tbl>
    <w:p w14:paraId="01887B87" w14:textId="56CC1707" w:rsidR="00923AEB" w:rsidRPr="00CB2844" w:rsidRDefault="00923AEB" w:rsidP="00680151">
      <w:pPr>
        <w:pStyle w:val="ChartandTableFootnote"/>
      </w:pPr>
      <w:r w:rsidRPr="00696AA8">
        <w:t>All figures shown above are GST exclusive</w:t>
      </w:r>
      <w:r w:rsidR="000A088A">
        <w:t xml:space="preserve"> – </w:t>
      </w:r>
      <w:r w:rsidRPr="00696AA8">
        <w:t>these may not match figures in the cash flow statement.</w:t>
      </w:r>
    </w:p>
    <w:p w14:paraId="6BF78B3C" w14:textId="77777777" w:rsidR="00923AEB" w:rsidRDefault="00923AEB" w:rsidP="00923AEB">
      <w:pPr>
        <w:pStyle w:val="ChartandTableFootnote"/>
      </w:pPr>
      <w:r>
        <w:t>Prepared on a resourcing (</w:t>
      </w:r>
      <w:r>
        <w:rPr>
          <w:lang w:val="en-AU"/>
        </w:rPr>
        <w:t>that is,</w:t>
      </w:r>
      <w:r>
        <w:t xml:space="preserve"> appropriations available) basis.</w:t>
      </w:r>
    </w:p>
    <w:p w14:paraId="12A5688C" w14:textId="0875DC18" w:rsidR="00923AEB" w:rsidRPr="002003A1" w:rsidRDefault="00923AEB" w:rsidP="0019014B">
      <w:pPr>
        <w:pStyle w:val="ChartandTableFootnoteAlpha"/>
      </w:pPr>
      <w:r w:rsidRPr="001071C7">
        <w:t>Appr</w:t>
      </w:r>
      <w:r>
        <w:t>opriation Bill (No. 1) 202</w:t>
      </w:r>
      <w:r w:rsidR="003229DD">
        <w:t>2</w:t>
      </w:r>
      <w:r w:rsidR="00E6396A">
        <w:noBreakHyphen/>
      </w:r>
      <w:r w:rsidR="003229DD">
        <w:t>23</w:t>
      </w:r>
      <w:r>
        <w:t>.</w:t>
      </w:r>
    </w:p>
    <w:p w14:paraId="6EA88984" w14:textId="12A0DF7F" w:rsidR="00923AEB" w:rsidRPr="001071C7" w:rsidRDefault="00923AEB" w:rsidP="0019014B">
      <w:pPr>
        <w:pStyle w:val="ChartandTableFootnoteAlpha"/>
        <w:rPr>
          <w:color w:val="000000"/>
        </w:rPr>
      </w:pPr>
      <w:r w:rsidRPr="001071C7">
        <w:rPr>
          <w:color w:val="000000"/>
        </w:rPr>
        <w:t>E</w:t>
      </w:r>
      <w:r w:rsidR="003229DD">
        <w:rPr>
          <w:color w:val="000000"/>
        </w:rPr>
        <w:t>stimated adjusted balance carried forward from previous year.</w:t>
      </w:r>
    </w:p>
    <w:p w14:paraId="52B071CE" w14:textId="77777777" w:rsidR="00923AEB" w:rsidRDefault="00923AEB" w:rsidP="0019014B">
      <w:pPr>
        <w:pStyle w:val="ChartandTableFootnoteAlpha"/>
        <w:rPr>
          <w:color w:val="000000"/>
        </w:rPr>
      </w:pPr>
      <w:r w:rsidRPr="001071C7">
        <w:rPr>
          <w:color w:val="000000"/>
        </w:rPr>
        <w:t>Excludes departmental capital bu</w:t>
      </w:r>
      <w:r>
        <w:rPr>
          <w:color w:val="000000"/>
        </w:rPr>
        <w:t>d</w:t>
      </w:r>
      <w:r w:rsidRPr="001071C7">
        <w:rPr>
          <w:color w:val="000000"/>
        </w:rPr>
        <w:t>get (DCB).</w:t>
      </w:r>
    </w:p>
    <w:p w14:paraId="560AD88E" w14:textId="77777777" w:rsidR="00923AEB" w:rsidRPr="001071C7" w:rsidRDefault="00923AEB" w:rsidP="0019014B">
      <w:pPr>
        <w:pStyle w:val="ChartandTableFootnoteAlpha"/>
        <w:rPr>
          <w:color w:val="000000"/>
        </w:rPr>
      </w:pPr>
      <w:r w:rsidRPr="001071C7">
        <w:rPr>
          <w:color w:val="000000"/>
        </w:rPr>
        <w:t>Estimated External Revenue receipts under section 74 of the PGPA Act.</w:t>
      </w:r>
    </w:p>
    <w:p w14:paraId="429DB727" w14:textId="237B4C76" w:rsidR="0019014B" w:rsidRDefault="00923AEB" w:rsidP="00965C0B">
      <w:pPr>
        <w:pStyle w:val="ChartandTableFootnoteAlpha"/>
        <w:jc w:val="left"/>
        <w:rPr>
          <w:color w:val="000000"/>
        </w:rPr>
      </w:pPr>
      <w:r w:rsidRPr="004856E9">
        <w:rPr>
          <w:color w:val="000000"/>
        </w:rPr>
        <w:t xml:space="preserve">Departmental capital budgets are not separately identified in Appropriation Bill (No.1) and form part of ordinary annual services items. Please refer to Table 3.5 for further details. For accounting purposes, this amount has been designated as a </w:t>
      </w:r>
      <w:r w:rsidR="00E6396A">
        <w:rPr>
          <w:color w:val="000000"/>
        </w:rPr>
        <w:t>‘</w:t>
      </w:r>
      <w:r w:rsidRPr="004856E9">
        <w:rPr>
          <w:color w:val="000000"/>
        </w:rPr>
        <w:t>contribution by owner</w:t>
      </w:r>
      <w:r w:rsidR="00E6396A">
        <w:rPr>
          <w:color w:val="000000"/>
        </w:rPr>
        <w:t>’</w:t>
      </w:r>
      <w:r w:rsidRPr="004856E9">
        <w:rPr>
          <w:color w:val="000000"/>
        </w:rPr>
        <w:t>.</w:t>
      </w:r>
      <w:bookmarkStart w:id="15" w:name="_Toc190682311"/>
      <w:bookmarkStart w:id="16" w:name="_Toc190682529"/>
      <w:bookmarkStart w:id="17" w:name="_Toc444523511"/>
      <w:bookmarkEnd w:id="12"/>
      <w:bookmarkEnd w:id="13"/>
    </w:p>
    <w:p w14:paraId="1D925171" w14:textId="77777777" w:rsidR="004856E9" w:rsidRPr="004856E9" w:rsidRDefault="004856E9" w:rsidP="004856E9"/>
    <w:p w14:paraId="0E175D58" w14:textId="77777777" w:rsidR="0008449F" w:rsidRPr="005A7C0B" w:rsidRDefault="0008449F" w:rsidP="0019014B">
      <w:pPr>
        <w:pStyle w:val="Heading3"/>
      </w:pPr>
      <w:bookmarkStart w:id="18" w:name="_Toc99047063"/>
      <w:r w:rsidRPr="005A7C0B">
        <w:t>1.3</w:t>
      </w:r>
      <w:r w:rsidRPr="005A7C0B">
        <w:tab/>
        <w:t xml:space="preserve">Budget </w:t>
      </w:r>
      <w:r w:rsidRPr="0019014B">
        <w:t>measures</w:t>
      </w:r>
      <w:bookmarkEnd w:id="15"/>
      <w:bookmarkEnd w:id="16"/>
      <w:bookmarkEnd w:id="17"/>
      <w:bookmarkEnd w:id="18"/>
    </w:p>
    <w:p w14:paraId="7580FE60" w14:textId="7B9BAC35" w:rsidR="00601F42" w:rsidRDefault="00B03A95" w:rsidP="00923AEB">
      <w:r>
        <w:t>The Commission has no new budget measures.</w:t>
      </w:r>
    </w:p>
    <w:p w14:paraId="4A46A23A" w14:textId="14F0DF9D" w:rsidR="00923AEB" w:rsidRPr="00810C6A" w:rsidRDefault="00923AEB" w:rsidP="00923AEB">
      <w:r>
        <w:br w:type="page"/>
      </w:r>
      <w:bookmarkStart w:id="19" w:name="_Toc444523512"/>
      <w:bookmarkStart w:id="20" w:name="_Toc190682312"/>
      <w:bookmarkStart w:id="21" w:name="_Toc190682530"/>
    </w:p>
    <w:p w14:paraId="12CA5780" w14:textId="77777777" w:rsidR="00BE7D58" w:rsidRPr="00152502" w:rsidRDefault="00BE7D58" w:rsidP="00152502">
      <w:pPr>
        <w:pStyle w:val="Heading2"/>
        <w:rPr>
          <w:b w:val="0"/>
        </w:rPr>
      </w:pPr>
      <w:bookmarkStart w:id="22" w:name="_Toc99047064"/>
      <w:r w:rsidRPr="00152502">
        <w:lastRenderedPageBreak/>
        <w:t xml:space="preserve">Section 2: Outcomes and </w:t>
      </w:r>
      <w:r w:rsidR="00CD3382" w:rsidRPr="00152502">
        <w:t>p</w:t>
      </w:r>
      <w:r w:rsidR="0069466B" w:rsidRPr="00152502">
        <w:t>lanned</w:t>
      </w:r>
      <w:r w:rsidRPr="00152502">
        <w:t xml:space="preserve"> performance</w:t>
      </w:r>
      <w:bookmarkEnd w:id="19"/>
      <w:bookmarkEnd w:id="22"/>
    </w:p>
    <w:p w14:paraId="778B8776"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3ED8C263" w14:textId="7EB16479" w:rsidR="00A61BD0" w:rsidRPr="005E6F2B" w:rsidRDefault="00F20DC7" w:rsidP="00BE7D58">
      <w:r>
        <w:t>The Commission</w:t>
      </w:r>
      <w:r w:rsidR="00E6396A">
        <w:t>’</w:t>
      </w:r>
      <w:r>
        <w:t>s</w:t>
      </w:r>
      <w:r w:rsidRPr="005E6F2B">
        <w:t xml:space="preserve"> </w:t>
      </w:r>
      <w:r w:rsidR="00BE7D58" w:rsidRPr="005E6F2B">
        <w:t xml:space="preserve">outcome is described below together with its related </w:t>
      </w:r>
      <w:r w:rsidR="00290933" w:rsidRPr="005E6F2B">
        <w:t>programs</w:t>
      </w:r>
      <w:r w:rsidR="00BE7D58"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r w:rsidR="0051207B" w:rsidRPr="005E6F2B">
        <w:t xml:space="preserve"> </w:t>
      </w:r>
    </w:p>
    <w:p w14:paraId="1CA62802" w14:textId="77777777" w:rsidR="00810C6A" w:rsidRPr="006906E4" w:rsidRDefault="00810C6A" w:rsidP="00810C6A">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14:paraId="2D59989D" w14:textId="523FD5F0" w:rsidR="003876AB" w:rsidRDefault="00173F5C" w:rsidP="00810C6A">
      <w:pPr>
        <w:pBdr>
          <w:top w:val="single" w:sz="2" w:space="6" w:color="auto"/>
          <w:left w:val="single" w:sz="2" w:space="4" w:color="auto"/>
          <w:bottom w:val="single" w:sz="2" w:space="6" w:color="auto"/>
          <w:right w:val="single" w:sz="2" w:space="4" w:color="auto"/>
        </w:pBdr>
      </w:pPr>
      <w:r>
        <w:t>P</w:t>
      </w:r>
      <w:r w:rsidR="00810C6A">
        <w:t xml:space="preserve">erformance reporting requirements in the Portfolio Budget Statements </w:t>
      </w:r>
      <w:r w:rsidR="00801EF6">
        <w:t>are part of the enhanced Commonwealth performance f</w:t>
      </w:r>
      <w:r w:rsidR="00810C6A">
        <w:t>ramework</w:t>
      </w:r>
      <w:r w:rsidR="00801EF6">
        <w:t xml:space="preserve"> established by the </w:t>
      </w:r>
      <w:r w:rsidR="00801EF6" w:rsidRPr="00801EF6">
        <w:rPr>
          <w:i/>
        </w:rPr>
        <w:t>Public Governance, Performance and Accountability Act 2013</w:t>
      </w:r>
      <w:r w:rsidR="00801EF6">
        <w:t xml:space="preserve">. It is </w:t>
      </w:r>
      <w:r w:rsidR="00810C6A">
        <w:t>anticipated that the performance criteria described in Portfolio Budget Statements will be read with broader information provided in an entity</w:t>
      </w:r>
      <w:r w:rsidR="00E6396A">
        <w:t>’</w:t>
      </w:r>
      <w:r w:rsidR="00810C6A">
        <w:t>s corporate plans and annual performance statements – included in Annual Reports</w:t>
      </w:r>
      <w:r w:rsidR="000A088A">
        <w:t xml:space="preserve"> – </w:t>
      </w:r>
      <w:r w:rsidR="00810C6A">
        <w:t>to provide an entity</w:t>
      </w:r>
      <w:r w:rsidR="00E6396A">
        <w:t>’</w:t>
      </w:r>
      <w:r w:rsidR="00810C6A">
        <w:t>s complete performance story.</w:t>
      </w:r>
    </w:p>
    <w:p w14:paraId="6140883D" w14:textId="2F13AACC" w:rsidR="00173F5C" w:rsidRDefault="00173F5C" w:rsidP="00801EF6">
      <w:pPr>
        <w:pBdr>
          <w:top w:val="single" w:sz="2" w:space="6" w:color="auto"/>
          <w:left w:val="single" w:sz="2" w:space="4" w:color="auto"/>
          <w:bottom w:val="single" w:sz="2" w:space="6" w:color="auto"/>
          <w:right w:val="single" w:sz="2" w:space="4" w:color="auto"/>
        </w:pBdr>
      </w:pPr>
      <w:r>
        <w:t xml:space="preserve">The most recent corporate plan for </w:t>
      </w:r>
      <w:r w:rsidR="00F20DC7">
        <w:t>the Commission</w:t>
      </w:r>
      <w:r>
        <w:t xml:space="preserve"> can be found at: </w:t>
      </w:r>
      <w:hyperlink r:id="rId11" w:history="1">
        <w:r w:rsidR="007F3596" w:rsidRPr="00472DBE">
          <w:rPr>
            <w:rStyle w:val="Hyperlink"/>
          </w:rPr>
          <w:t>http://www.pc.gov.au/about/governance/corporate</w:t>
        </w:r>
        <w:r w:rsidR="000A088A">
          <w:rPr>
            <w:rStyle w:val="Hyperlink"/>
          </w:rPr>
          <w:noBreakHyphen/>
        </w:r>
        <w:r w:rsidR="007F3596" w:rsidRPr="00472DBE">
          <w:rPr>
            <w:rStyle w:val="Hyperlink"/>
          </w:rPr>
          <w:t>plan</w:t>
        </w:r>
      </w:hyperlink>
      <w:r w:rsidR="008D20E6">
        <w:t>.</w:t>
      </w:r>
      <w:r w:rsidR="0019014B">
        <w:t xml:space="preserve"> </w:t>
      </w:r>
    </w:p>
    <w:p w14:paraId="03B777C3" w14:textId="0A2CB9DD" w:rsidR="00173F5C" w:rsidRDefault="00173F5C" w:rsidP="00810C6A">
      <w:pPr>
        <w:pBdr>
          <w:top w:val="single" w:sz="2" w:space="6" w:color="auto"/>
          <w:left w:val="single" w:sz="2" w:space="4" w:color="auto"/>
          <w:bottom w:val="single" w:sz="2" w:space="6" w:color="auto"/>
          <w:right w:val="single" w:sz="2" w:space="4" w:color="auto"/>
        </w:pBdr>
        <w:rPr>
          <w:highlight w:val="yellow"/>
        </w:rPr>
      </w:pPr>
      <w:r>
        <w:t xml:space="preserve">The most recent annual performance statement can be found at: </w:t>
      </w:r>
      <w:r w:rsidR="00923AEB" w:rsidRPr="00EA2D47">
        <w:t>https://www.pc.gov.au/about/governance/annual</w:t>
      </w:r>
      <w:r w:rsidR="00E6396A">
        <w:noBreakHyphen/>
      </w:r>
      <w:r w:rsidR="00923AEB" w:rsidRPr="00EA2D47">
        <w:t>reports/20</w:t>
      </w:r>
      <w:r w:rsidR="002C0CA9">
        <w:t>20</w:t>
      </w:r>
      <w:r w:rsidR="00E6396A">
        <w:noBreakHyphen/>
      </w:r>
      <w:r w:rsidR="002C0CA9">
        <w:t>21</w:t>
      </w:r>
    </w:p>
    <w:p w14:paraId="307A2106" w14:textId="77777777" w:rsidR="00810C6A" w:rsidRDefault="00810C6A" w:rsidP="00BE7D58">
      <w:pPr>
        <w:rPr>
          <w:highlight w:val="yellow"/>
        </w:rPr>
      </w:pPr>
    </w:p>
    <w:p w14:paraId="5851AAF6" w14:textId="77777777" w:rsidR="00950281" w:rsidRDefault="00950281" w:rsidP="003876AB">
      <w:pPr>
        <w:pStyle w:val="Heading3"/>
        <w:sectPr w:rsidR="00950281" w:rsidSect="00795AE1">
          <w:headerReference w:type="even" r:id="rId12"/>
          <w:headerReference w:type="default" r:id="rId13"/>
          <w:headerReference w:type="first" r:id="rId14"/>
          <w:footerReference w:type="first" r:id="rId15"/>
          <w:type w:val="oddPage"/>
          <w:pgSz w:w="11906" w:h="16838" w:code="9"/>
          <w:pgMar w:top="2835" w:right="2098" w:bottom="2466" w:left="2098" w:header="1814" w:footer="1814" w:gutter="0"/>
          <w:pgNumType w:start="325"/>
          <w:cols w:space="708"/>
          <w:titlePg/>
          <w:docGrid w:linePitch="360"/>
        </w:sectPr>
      </w:pPr>
    </w:p>
    <w:p w14:paraId="501879A8" w14:textId="621A7571" w:rsidR="003876AB" w:rsidRPr="005213D3" w:rsidRDefault="008462FB" w:rsidP="005213D3">
      <w:pPr>
        <w:pStyle w:val="Heading3"/>
        <w:rPr>
          <w:smallCaps/>
        </w:rPr>
      </w:pPr>
      <w:bookmarkStart w:id="23" w:name="_Toc444523513"/>
      <w:bookmarkStart w:id="24" w:name="_Toc99047065"/>
      <w:r w:rsidRPr="005213D3">
        <w:lastRenderedPageBreak/>
        <w:t>2.1</w:t>
      </w:r>
      <w:r w:rsidR="003876AB" w:rsidRPr="005213D3">
        <w:t xml:space="preserve"> </w:t>
      </w:r>
      <w:r w:rsidR="003876AB" w:rsidRPr="005213D3">
        <w:tab/>
        <w:t xml:space="preserve">Budgeted expenses and performance for Outcome </w:t>
      </w:r>
      <w:bookmarkEnd w:id="23"/>
      <w:r w:rsidR="00F20DC7" w:rsidRPr="005213D3">
        <w:t>1</w:t>
      </w:r>
      <w:bookmarkEnd w:id="24"/>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BE7D58" w:rsidRPr="005E6F2B" w14:paraId="7BD1E2D9" w14:textId="77777777">
        <w:tc>
          <w:tcPr>
            <w:tcW w:w="7713" w:type="dxa"/>
            <w:shd w:val="clear" w:color="auto" w:fill="E6E6E6"/>
          </w:tcPr>
          <w:p w14:paraId="57B953D4" w14:textId="5DC11F16" w:rsidR="00BE7D58" w:rsidRPr="005E6F2B" w:rsidRDefault="00BE7D58" w:rsidP="00EB0ADB">
            <w:pPr>
              <w:pStyle w:val="TableColumnHeadingLeft"/>
            </w:pPr>
            <w:r w:rsidRPr="005E6F2B">
              <w:t xml:space="preserve">Outcome </w:t>
            </w:r>
            <w:r w:rsidR="00FF770C">
              <w:t>1</w:t>
            </w:r>
            <w:r w:rsidRPr="005E6F2B">
              <w:t xml:space="preserve">: </w:t>
            </w:r>
            <w:r w:rsidR="00FF770C" w:rsidRPr="00926D27">
              <w:rPr>
                <w:rFonts w:cs="Arial"/>
              </w:rPr>
              <w:t>Well</w:t>
            </w:r>
            <w:r w:rsidR="00E6396A">
              <w:rPr>
                <w:rFonts w:cs="Arial"/>
              </w:rPr>
              <w:noBreakHyphen/>
            </w:r>
            <w:r w:rsidR="00FF770C" w:rsidRPr="00926D27">
              <w:rPr>
                <w:rFonts w:cs="Arial"/>
              </w:rPr>
              <w:t>informed policy decision</w:t>
            </w:r>
            <w:r w:rsidR="00E6396A">
              <w:rPr>
                <w:rFonts w:cs="Arial"/>
              </w:rPr>
              <w:noBreakHyphen/>
            </w:r>
            <w:r w:rsidR="00FF770C" w:rsidRPr="00926D27">
              <w:rPr>
                <w:rFonts w:cs="Arial"/>
              </w:rPr>
              <w:t>making and public understanding on matters relating to Australia</w:t>
            </w:r>
            <w:r w:rsidR="00E6396A">
              <w:rPr>
                <w:rFonts w:cs="Arial"/>
              </w:rPr>
              <w:t>’</w:t>
            </w:r>
            <w:r w:rsidR="00FF770C" w:rsidRPr="00926D27">
              <w:rPr>
                <w:rFonts w:cs="Arial"/>
              </w:rPr>
              <w:t>s productivity and living standards, based on independent and transparent analysis from a community</w:t>
            </w:r>
            <w:r w:rsidR="00E6396A">
              <w:rPr>
                <w:rFonts w:cs="Arial"/>
              </w:rPr>
              <w:noBreakHyphen/>
            </w:r>
            <w:r w:rsidR="00FF770C" w:rsidRPr="00926D27">
              <w:rPr>
                <w:rFonts w:cs="Arial"/>
              </w:rPr>
              <w:t>wide perspective.</w:t>
            </w:r>
          </w:p>
        </w:tc>
      </w:tr>
    </w:tbl>
    <w:p w14:paraId="3DF8A22F" w14:textId="77777777" w:rsidR="00451501" w:rsidRDefault="00451501" w:rsidP="00451501">
      <w:pPr>
        <w:pStyle w:val="NoSpacing"/>
      </w:pPr>
    </w:p>
    <w:p w14:paraId="0672A897" w14:textId="77777777" w:rsidR="00B86CCD" w:rsidRPr="00446612" w:rsidRDefault="00B86CCD" w:rsidP="004856E9">
      <w:pPr>
        <w:pStyle w:val="Heading4"/>
      </w:pPr>
      <w:r w:rsidRPr="00446612">
        <w:t xml:space="preserve">Budgeted expenses for Outcome </w:t>
      </w:r>
      <w:r w:rsidR="007735E7">
        <w:t>1</w:t>
      </w:r>
    </w:p>
    <w:p w14:paraId="77BA4F37" w14:textId="3F12FB6E" w:rsidR="00923AEB" w:rsidRDefault="00923AEB" w:rsidP="00923AEB">
      <w:r w:rsidRPr="00950281">
        <w:t xml:space="preserve">This table shows how much the </w:t>
      </w:r>
      <w:r>
        <w:t>Commission</w:t>
      </w:r>
      <w:r w:rsidRPr="00950281">
        <w:t xml:space="preserve"> intends to spend (on an accrual basis) on achieving the outcome</w:t>
      </w:r>
      <w:r>
        <w:t>.</w:t>
      </w:r>
    </w:p>
    <w:p w14:paraId="1C24A378" w14:textId="3F65CCCD" w:rsidR="000A088A" w:rsidRDefault="00923AEB" w:rsidP="000A088A">
      <w:pPr>
        <w:pStyle w:val="TableHeading"/>
        <w:rPr>
          <w:rFonts w:ascii="Times New Roman" w:hAnsi="Times New Roman"/>
        </w:rPr>
      </w:pPr>
      <w:r>
        <w:t xml:space="preserve">Table 2.1: Budgeted expenses for Outcome </w:t>
      </w:r>
      <w:r>
        <w:rPr>
          <w:lang w:val="en-AU"/>
        </w:rPr>
        <w:t>1</w:t>
      </w:r>
    </w:p>
    <w:tbl>
      <w:tblPr>
        <w:tblW w:w="5000" w:type="pct"/>
        <w:tblCellMar>
          <w:left w:w="0" w:type="dxa"/>
          <w:right w:w="28" w:type="dxa"/>
        </w:tblCellMar>
        <w:tblLook w:val="04A0" w:firstRow="1" w:lastRow="0" w:firstColumn="1" w:lastColumn="0" w:noHBand="0" w:noVBand="1"/>
      </w:tblPr>
      <w:tblGrid>
        <w:gridCol w:w="3130"/>
        <w:gridCol w:w="968"/>
        <w:gridCol w:w="968"/>
        <w:gridCol w:w="968"/>
        <w:gridCol w:w="859"/>
        <w:gridCol w:w="817"/>
      </w:tblGrid>
      <w:tr w:rsidR="000A088A" w:rsidRPr="000A088A" w14:paraId="646F2074" w14:textId="77777777" w:rsidTr="004856E9">
        <w:trPr>
          <w:trHeight w:hRule="exact" w:val="930"/>
        </w:trPr>
        <w:tc>
          <w:tcPr>
            <w:tcW w:w="2029" w:type="pct"/>
            <w:tcBorders>
              <w:top w:val="single" w:sz="4" w:space="0" w:color="auto"/>
              <w:left w:val="nil"/>
              <w:bottom w:val="single" w:sz="4" w:space="0" w:color="auto"/>
              <w:right w:val="nil"/>
            </w:tcBorders>
            <w:shd w:val="clear" w:color="auto" w:fill="auto"/>
            <w:vAlign w:val="center"/>
            <w:hideMark/>
          </w:tcPr>
          <w:p w14:paraId="0EBA2A95" w14:textId="78BA3F8B" w:rsidR="000A088A" w:rsidRPr="000A088A" w:rsidRDefault="000A088A" w:rsidP="000A088A">
            <w:pPr>
              <w:spacing w:after="0" w:line="240" w:lineRule="auto"/>
              <w:jc w:val="left"/>
              <w:rPr>
                <w:rFonts w:ascii="Arial" w:hAnsi="Arial" w:cs="Arial"/>
                <w:b/>
                <w:bCs/>
                <w:color w:val="000000"/>
                <w:sz w:val="16"/>
                <w:szCs w:val="16"/>
              </w:rPr>
            </w:pPr>
            <w:r w:rsidRPr="000A088A">
              <w:rPr>
                <w:rFonts w:ascii="Arial" w:hAnsi="Arial" w:cs="Arial"/>
                <w:b/>
                <w:bCs/>
                <w:color w:val="000000"/>
                <w:sz w:val="16"/>
                <w:szCs w:val="16"/>
              </w:rPr>
              <w:t> </w:t>
            </w:r>
          </w:p>
        </w:tc>
        <w:tc>
          <w:tcPr>
            <w:tcW w:w="628" w:type="pct"/>
            <w:tcBorders>
              <w:top w:val="single" w:sz="4" w:space="0" w:color="auto"/>
              <w:left w:val="nil"/>
              <w:bottom w:val="single" w:sz="4" w:space="0" w:color="auto"/>
              <w:right w:val="nil"/>
            </w:tcBorders>
            <w:shd w:val="clear" w:color="auto" w:fill="auto"/>
            <w:vAlign w:val="bottom"/>
            <w:hideMark/>
          </w:tcPr>
          <w:p w14:paraId="17004F9A"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2021-22 Estimated actual</w:t>
            </w:r>
            <w:r w:rsidRPr="000A088A">
              <w:rPr>
                <w:rFonts w:ascii="Arial" w:hAnsi="Arial" w:cs="Arial"/>
                <w:sz w:val="16"/>
                <w:szCs w:val="16"/>
              </w:rPr>
              <w:br/>
              <w:t>$'000</w:t>
            </w:r>
          </w:p>
        </w:tc>
        <w:tc>
          <w:tcPr>
            <w:tcW w:w="628" w:type="pct"/>
            <w:tcBorders>
              <w:top w:val="single" w:sz="4" w:space="0" w:color="auto"/>
              <w:left w:val="nil"/>
              <w:bottom w:val="single" w:sz="4" w:space="0" w:color="auto"/>
              <w:right w:val="nil"/>
            </w:tcBorders>
            <w:shd w:val="clear" w:color="000000" w:fill="E6E6E6"/>
            <w:vAlign w:val="bottom"/>
            <w:hideMark/>
          </w:tcPr>
          <w:p w14:paraId="01FA86A3"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2022-23</w:t>
            </w:r>
            <w:r w:rsidRPr="000A088A">
              <w:rPr>
                <w:rFonts w:ascii="Arial" w:hAnsi="Arial" w:cs="Arial"/>
                <w:sz w:val="16"/>
                <w:szCs w:val="16"/>
              </w:rPr>
              <w:br/>
              <w:t>Budget</w:t>
            </w:r>
            <w:r w:rsidRPr="000A088A">
              <w:rPr>
                <w:rFonts w:ascii="Arial" w:hAnsi="Arial" w:cs="Arial"/>
                <w:sz w:val="16"/>
                <w:szCs w:val="16"/>
              </w:rPr>
              <w:br/>
            </w:r>
            <w:r w:rsidRPr="000A088A">
              <w:rPr>
                <w:rFonts w:ascii="Arial" w:hAnsi="Arial" w:cs="Arial"/>
                <w:sz w:val="16"/>
                <w:szCs w:val="16"/>
              </w:rPr>
              <w:br/>
              <w:t>$'000</w:t>
            </w:r>
          </w:p>
        </w:tc>
        <w:tc>
          <w:tcPr>
            <w:tcW w:w="628" w:type="pct"/>
            <w:tcBorders>
              <w:top w:val="single" w:sz="4" w:space="0" w:color="auto"/>
              <w:left w:val="nil"/>
              <w:bottom w:val="single" w:sz="4" w:space="0" w:color="auto"/>
              <w:right w:val="nil"/>
            </w:tcBorders>
            <w:shd w:val="clear" w:color="auto" w:fill="auto"/>
            <w:vAlign w:val="bottom"/>
            <w:hideMark/>
          </w:tcPr>
          <w:p w14:paraId="030BDDD5"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2023-24 Forward estimate</w:t>
            </w:r>
            <w:r w:rsidRPr="000A088A">
              <w:rPr>
                <w:rFonts w:ascii="Arial" w:hAnsi="Arial" w:cs="Arial"/>
                <w:sz w:val="16"/>
                <w:szCs w:val="16"/>
              </w:rPr>
              <w:br/>
              <w:t>$'000</w:t>
            </w:r>
          </w:p>
        </w:tc>
        <w:tc>
          <w:tcPr>
            <w:tcW w:w="557" w:type="pct"/>
            <w:tcBorders>
              <w:top w:val="single" w:sz="4" w:space="0" w:color="auto"/>
              <w:left w:val="nil"/>
              <w:bottom w:val="single" w:sz="4" w:space="0" w:color="auto"/>
              <w:right w:val="nil"/>
            </w:tcBorders>
            <w:shd w:val="clear" w:color="auto" w:fill="auto"/>
            <w:vAlign w:val="bottom"/>
            <w:hideMark/>
          </w:tcPr>
          <w:p w14:paraId="7949D3D9"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2024-25 Forward estimate</w:t>
            </w:r>
            <w:r w:rsidRPr="000A088A">
              <w:rPr>
                <w:rFonts w:ascii="Arial" w:hAnsi="Arial" w:cs="Arial"/>
                <w:sz w:val="16"/>
                <w:szCs w:val="16"/>
              </w:rPr>
              <w:br/>
              <w:t>$'000</w:t>
            </w:r>
          </w:p>
        </w:tc>
        <w:tc>
          <w:tcPr>
            <w:tcW w:w="529" w:type="pct"/>
            <w:tcBorders>
              <w:top w:val="single" w:sz="4" w:space="0" w:color="auto"/>
              <w:left w:val="nil"/>
              <w:bottom w:val="single" w:sz="4" w:space="0" w:color="auto"/>
              <w:right w:val="nil"/>
            </w:tcBorders>
            <w:shd w:val="clear" w:color="auto" w:fill="auto"/>
            <w:vAlign w:val="bottom"/>
            <w:hideMark/>
          </w:tcPr>
          <w:p w14:paraId="205127C3"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2025-26</w:t>
            </w:r>
            <w:r w:rsidRPr="000A088A">
              <w:rPr>
                <w:rFonts w:ascii="Arial" w:hAnsi="Arial" w:cs="Arial"/>
                <w:sz w:val="16"/>
                <w:szCs w:val="16"/>
              </w:rPr>
              <w:br/>
              <w:t>Forward estimate</w:t>
            </w:r>
            <w:r w:rsidRPr="000A088A">
              <w:rPr>
                <w:rFonts w:ascii="Arial" w:hAnsi="Arial" w:cs="Arial"/>
                <w:sz w:val="16"/>
                <w:szCs w:val="16"/>
              </w:rPr>
              <w:br/>
              <w:t>$'000</w:t>
            </w:r>
          </w:p>
        </w:tc>
      </w:tr>
      <w:tr w:rsidR="000A088A" w:rsidRPr="000A088A" w14:paraId="3D421F22" w14:textId="77777777" w:rsidTr="004856E9">
        <w:trPr>
          <w:trHeight w:hRule="exact" w:val="225"/>
        </w:trPr>
        <w:tc>
          <w:tcPr>
            <w:tcW w:w="5000" w:type="pct"/>
            <w:gridSpan w:val="6"/>
            <w:tcBorders>
              <w:top w:val="single" w:sz="4" w:space="0" w:color="auto"/>
              <w:left w:val="nil"/>
              <w:bottom w:val="single" w:sz="4" w:space="0" w:color="auto"/>
              <w:right w:val="nil"/>
            </w:tcBorders>
            <w:shd w:val="clear" w:color="000000" w:fill="E6E6E6"/>
            <w:vAlign w:val="bottom"/>
            <w:hideMark/>
          </w:tcPr>
          <w:p w14:paraId="163D0053" w14:textId="77777777" w:rsidR="000A088A" w:rsidRPr="000A088A" w:rsidRDefault="000A088A" w:rsidP="000A088A">
            <w:pPr>
              <w:spacing w:after="0" w:line="240" w:lineRule="auto"/>
              <w:jc w:val="left"/>
              <w:rPr>
                <w:rFonts w:ascii="Arial" w:hAnsi="Arial" w:cs="Arial"/>
                <w:b/>
                <w:bCs/>
                <w:sz w:val="16"/>
                <w:szCs w:val="16"/>
              </w:rPr>
            </w:pPr>
            <w:r w:rsidRPr="000A088A">
              <w:rPr>
                <w:rFonts w:ascii="Arial" w:hAnsi="Arial" w:cs="Arial"/>
                <w:b/>
                <w:bCs/>
                <w:sz w:val="16"/>
                <w:szCs w:val="16"/>
              </w:rPr>
              <w:t>Program 1.1: Productivity Commission</w:t>
            </w:r>
          </w:p>
        </w:tc>
      </w:tr>
      <w:tr w:rsidR="000A088A" w:rsidRPr="000A088A" w14:paraId="4B2F413A" w14:textId="77777777" w:rsidTr="004856E9">
        <w:trPr>
          <w:trHeight w:hRule="exact" w:val="225"/>
        </w:trPr>
        <w:tc>
          <w:tcPr>
            <w:tcW w:w="2029" w:type="pct"/>
            <w:tcBorders>
              <w:top w:val="single" w:sz="4" w:space="0" w:color="auto"/>
              <w:left w:val="nil"/>
              <w:bottom w:val="nil"/>
              <w:right w:val="nil"/>
            </w:tcBorders>
            <w:shd w:val="clear" w:color="auto" w:fill="auto"/>
            <w:noWrap/>
            <w:vAlign w:val="bottom"/>
            <w:hideMark/>
          </w:tcPr>
          <w:p w14:paraId="2CB130EC" w14:textId="77777777" w:rsidR="000A088A" w:rsidRPr="000A088A" w:rsidRDefault="000A088A" w:rsidP="000A088A">
            <w:pPr>
              <w:spacing w:after="0" w:line="240" w:lineRule="auto"/>
              <w:jc w:val="left"/>
              <w:rPr>
                <w:rFonts w:ascii="Arial" w:hAnsi="Arial" w:cs="Arial"/>
                <w:sz w:val="16"/>
                <w:szCs w:val="16"/>
              </w:rPr>
            </w:pPr>
            <w:r w:rsidRPr="000A088A">
              <w:rPr>
                <w:rFonts w:ascii="Arial" w:hAnsi="Arial" w:cs="Arial"/>
                <w:sz w:val="16"/>
                <w:szCs w:val="16"/>
              </w:rPr>
              <w:t>Departmental expenses</w:t>
            </w:r>
          </w:p>
        </w:tc>
        <w:tc>
          <w:tcPr>
            <w:tcW w:w="628" w:type="pct"/>
            <w:tcBorders>
              <w:top w:val="single" w:sz="4" w:space="0" w:color="auto"/>
              <w:left w:val="nil"/>
              <w:bottom w:val="nil"/>
              <w:right w:val="nil"/>
            </w:tcBorders>
            <w:shd w:val="clear" w:color="auto" w:fill="auto"/>
            <w:noWrap/>
            <w:vAlign w:val="bottom"/>
            <w:hideMark/>
          </w:tcPr>
          <w:p w14:paraId="24AE91D9" w14:textId="77777777" w:rsidR="000A088A" w:rsidRPr="000A088A" w:rsidRDefault="000A088A" w:rsidP="000A088A">
            <w:pPr>
              <w:spacing w:after="0" w:line="240" w:lineRule="auto"/>
              <w:jc w:val="left"/>
              <w:rPr>
                <w:rFonts w:ascii="Arial" w:hAnsi="Arial" w:cs="Arial"/>
                <w:sz w:val="16"/>
                <w:szCs w:val="16"/>
              </w:rPr>
            </w:pPr>
          </w:p>
        </w:tc>
        <w:tc>
          <w:tcPr>
            <w:tcW w:w="628" w:type="pct"/>
            <w:tcBorders>
              <w:top w:val="single" w:sz="4" w:space="0" w:color="auto"/>
              <w:left w:val="nil"/>
              <w:bottom w:val="nil"/>
              <w:right w:val="nil"/>
            </w:tcBorders>
            <w:shd w:val="clear" w:color="000000" w:fill="E6E6E6"/>
            <w:noWrap/>
            <w:vAlign w:val="bottom"/>
            <w:hideMark/>
          </w:tcPr>
          <w:p w14:paraId="581DE994"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 </w:t>
            </w:r>
          </w:p>
        </w:tc>
        <w:tc>
          <w:tcPr>
            <w:tcW w:w="628" w:type="pct"/>
            <w:tcBorders>
              <w:top w:val="single" w:sz="4" w:space="0" w:color="auto"/>
              <w:left w:val="nil"/>
              <w:bottom w:val="nil"/>
              <w:right w:val="nil"/>
            </w:tcBorders>
            <w:shd w:val="clear" w:color="auto" w:fill="auto"/>
            <w:noWrap/>
            <w:vAlign w:val="bottom"/>
            <w:hideMark/>
          </w:tcPr>
          <w:p w14:paraId="0E96B201" w14:textId="77777777" w:rsidR="000A088A" w:rsidRPr="000A088A" w:rsidRDefault="000A088A" w:rsidP="000A088A">
            <w:pPr>
              <w:spacing w:after="0" w:line="240" w:lineRule="auto"/>
              <w:jc w:val="right"/>
              <w:rPr>
                <w:rFonts w:ascii="Arial" w:hAnsi="Arial" w:cs="Arial"/>
                <w:sz w:val="16"/>
                <w:szCs w:val="16"/>
              </w:rPr>
            </w:pPr>
          </w:p>
        </w:tc>
        <w:tc>
          <w:tcPr>
            <w:tcW w:w="557" w:type="pct"/>
            <w:tcBorders>
              <w:top w:val="single" w:sz="4" w:space="0" w:color="auto"/>
              <w:left w:val="nil"/>
              <w:bottom w:val="nil"/>
              <w:right w:val="nil"/>
            </w:tcBorders>
            <w:shd w:val="clear" w:color="auto" w:fill="auto"/>
            <w:noWrap/>
            <w:vAlign w:val="bottom"/>
            <w:hideMark/>
          </w:tcPr>
          <w:p w14:paraId="46377EAB" w14:textId="77777777" w:rsidR="000A088A" w:rsidRPr="000A088A" w:rsidRDefault="000A088A" w:rsidP="000A088A">
            <w:pPr>
              <w:spacing w:after="0" w:line="240" w:lineRule="auto"/>
              <w:jc w:val="left"/>
              <w:rPr>
                <w:rFonts w:ascii="Times New Roman" w:hAnsi="Times New Roman"/>
              </w:rPr>
            </w:pPr>
          </w:p>
        </w:tc>
        <w:tc>
          <w:tcPr>
            <w:tcW w:w="529" w:type="pct"/>
            <w:tcBorders>
              <w:top w:val="single" w:sz="4" w:space="0" w:color="auto"/>
              <w:left w:val="nil"/>
              <w:bottom w:val="nil"/>
              <w:right w:val="nil"/>
            </w:tcBorders>
            <w:shd w:val="clear" w:color="auto" w:fill="auto"/>
            <w:noWrap/>
            <w:vAlign w:val="bottom"/>
            <w:hideMark/>
          </w:tcPr>
          <w:p w14:paraId="5A0349B3" w14:textId="77777777" w:rsidR="000A088A" w:rsidRPr="000A088A" w:rsidRDefault="000A088A" w:rsidP="000A088A">
            <w:pPr>
              <w:spacing w:after="0" w:line="240" w:lineRule="auto"/>
              <w:jc w:val="left"/>
              <w:rPr>
                <w:rFonts w:ascii="Times New Roman" w:hAnsi="Times New Roman"/>
              </w:rPr>
            </w:pPr>
          </w:p>
        </w:tc>
      </w:tr>
      <w:tr w:rsidR="000A088A" w:rsidRPr="000A088A" w14:paraId="3B01EE97" w14:textId="77777777" w:rsidTr="000A088A">
        <w:trPr>
          <w:trHeight w:hRule="exact" w:val="225"/>
        </w:trPr>
        <w:tc>
          <w:tcPr>
            <w:tcW w:w="2029" w:type="pct"/>
            <w:tcBorders>
              <w:top w:val="nil"/>
              <w:left w:val="nil"/>
              <w:bottom w:val="nil"/>
              <w:right w:val="nil"/>
            </w:tcBorders>
            <w:shd w:val="clear" w:color="auto" w:fill="auto"/>
            <w:noWrap/>
            <w:vAlign w:val="bottom"/>
            <w:hideMark/>
          </w:tcPr>
          <w:p w14:paraId="6EE628CE" w14:textId="77777777" w:rsidR="000A088A" w:rsidRPr="000A088A" w:rsidRDefault="000A088A" w:rsidP="000A088A">
            <w:pPr>
              <w:spacing w:after="0" w:line="240" w:lineRule="auto"/>
              <w:ind w:left="170"/>
              <w:jc w:val="left"/>
              <w:rPr>
                <w:rFonts w:ascii="Arial" w:hAnsi="Arial" w:cs="Arial"/>
                <w:sz w:val="16"/>
                <w:szCs w:val="16"/>
              </w:rPr>
            </w:pPr>
            <w:r w:rsidRPr="000A088A">
              <w:rPr>
                <w:rFonts w:ascii="Arial" w:hAnsi="Arial" w:cs="Arial"/>
                <w:sz w:val="16"/>
                <w:szCs w:val="16"/>
              </w:rPr>
              <w:t>Departmental appropriation</w:t>
            </w:r>
          </w:p>
        </w:tc>
        <w:tc>
          <w:tcPr>
            <w:tcW w:w="628" w:type="pct"/>
            <w:tcBorders>
              <w:top w:val="nil"/>
              <w:left w:val="nil"/>
              <w:bottom w:val="nil"/>
              <w:right w:val="nil"/>
            </w:tcBorders>
            <w:shd w:val="clear" w:color="auto" w:fill="auto"/>
            <w:noWrap/>
            <w:vAlign w:val="bottom"/>
            <w:hideMark/>
          </w:tcPr>
          <w:p w14:paraId="0EB865C5" w14:textId="77777777" w:rsidR="000A088A" w:rsidRPr="000A088A" w:rsidRDefault="000A088A" w:rsidP="000A088A">
            <w:pPr>
              <w:spacing w:after="0" w:line="240" w:lineRule="auto"/>
              <w:jc w:val="right"/>
              <w:rPr>
                <w:rFonts w:ascii="Arial" w:hAnsi="Arial" w:cs="Arial"/>
                <w:color w:val="000000"/>
                <w:sz w:val="16"/>
                <w:szCs w:val="16"/>
              </w:rPr>
            </w:pPr>
            <w:r w:rsidRPr="000A088A">
              <w:rPr>
                <w:rFonts w:ascii="Arial" w:hAnsi="Arial" w:cs="Arial"/>
                <w:color w:val="000000"/>
                <w:sz w:val="16"/>
                <w:szCs w:val="16"/>
              </w:rPr>
              <w:t xml:space="preserve">36,982 </w:t>
            </w:r>
          </w:p>
        </w:tc>
        <w:tc>
          <w:tcPr>
            <w:tcW w:w="628" w:type="pct"/>
            <w:tcBorders>
              <w:top w:val="nil"/>
              <w:left w:val="nil"/>
              <w:bottom w:val="nil"/>
              <w:right w:val="nil"/>
            </w:tcBorders>
            <w:shd w:val="clear" w:color="000000" w:fill="E6E6E6"/>
            <w:noWrap/>
            <w:vAlign w:val="bottom"/>
            <w:hideMark/>
          </w:tcPr>
          <w:p w14:paraId="5324DEA7"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 xml:space="preserve">37,658 </w:t>
            </w:r>
          </w:p>
        </w:tc>
        <w:tc>
          <w:tcPr>
            <w:tcW w:w="628" w:type="pct"/>
            <w:tcBorders>
              <w:top w:val="nil"/>
              <w:left w:val="nil"/>
              <w:bottom w:val="nil"/>
              <w:right w:val="nil"/>
            </w:tcBorders>
            <w:shd w:val="clear" w:color="auto" w:fill="auto"/>
            <w:noWrap/>
            <w:vAlign w:val="bottom"/>
            <w:hideMark/>
          </w:tcPr>
          <w:p w14:paraId="487E8D53"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 xml:space="preserve">36,827 </w:t>
            </w:r>
          </w:p>
        </w:tc>
        <w:tc>
          <w:tcPr>
            <w:tcW w:w="557" w:type="pct"/>
            <w:tcBorders>
              <w:top w:val="nil"/>
              <w:left w:val="nil"/>
              <w:bottom w:val="nil"/>
              <w:right w:val="nil"/>
            </w:tcBorders>
            <w:shd w:val="clear" w:color="auto" w:fill="auto"/>
            <w:noWrap/>
            <w:vAlign w:val="bottom"/>
            <w:hideMark/>
          </w:tcPr>
          <w:p w14:paraId="3A008F21"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 xml:space="preserve">36,889 </w:t>
            </w:r>
          </w:p>
        </w:tc>
        <w:tc>
          <w:tcPr>
            <w:tcW w:w="529" w:type="pct"/>
            <w:tcBorders>
              <w:top w:val="nil"/>
              <w:left w:val="nil"/>
              <w:bottom w:val="nil"/>
              <w:right w:val="nil"/>
            </w:tcBorders>
            <w:shd w:val="clear" w:color="auto" w:fill="auto"/>
            <w:noWrap/>
            <w:vAlign w:val="bottom"/>
            <w:hideMark/>
          </w:tcPr>
          <w:p w14:paraId="427FC6FF"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 xml:space="preserve">37,075 </w:t>
            </w:r>
          </w:p>
        </w:tc>
      </w:tr>
      <w:tr w:rsidR="000A088A" w:rsidRPr="000A088A" w14:paraId="6CA67FCA" w14:textId="77777777" w:rsidTr="000A088A">
        <w:trPr>
          <w:trHeight w:hRule="exact" w:val="225"/>
        </w:trPr>
        <w:tc>
          <w:tcPr>
            <w:tcW w:w="2029" w:type="pct"/>
            <w:tcBorders>
              <w:top w:val="nil"/>
              <w:left w:val="nil"/>
              <w:bottom w:val="nil"/>
              <w:right w:val="nil"/>
            </w:tcBorders>
            <w:shd w:val="clear" w:color="auto" w:fill="auto"/>
            <w:vAlign w:val="bottom"/>
            <w:hideMark/>
          </w:tcPr>
          <w:p w14:paraId="542AFB69" w14:textId="77777777" w:rsidR="000A088A" w:rsidRPr="000A088A" w:rsidRDefault="000A088A" w:rsidP="000A088A">
            <w:pPr>
              <w:spacing w:after="0" w:line="240" w:lineRule="auto"/>
              <w:ind w:left="170"/>
              <w:jc w:val="left"/>
              <w:rPr>
                <w:rFonts w:ascii="Arial" w:hAnsi="Arial" w:cs="Arial"/>
                <w:sz w:val="16"/>
                <w:szCs w:val="16"/>
              </w:rPr>
            </w:pPr>
            <w:r w:rsidRPr="000A088A">
              <w:rPr>
                <w:rFonts w:ascii="Arial" w:hAnsi="Arial" w:cs="Arial"/>
                <w:sz w:val="16"/>
                <w:szCs w:val="16"/>
              </w:rPr>
              <w:t>s74 Retained revenue receipts (a)</w:t>
            </w:r>
          </w:p>
        </w:tc>
        <w:tc>
          <w:tcPr>
            <w:tcW w:w="628" w:type="pct"/>
            <w:tcBorders>
              <w:top w:val="nil"/>
              <w:left w:val="nil"/>
              <w:bottom w:val="nil"/>
              <w:right w:val="nil"/>
            </w:tcBorders>
            <w:shd w:val="clear" w:color="auto" w:fill="auto"/>
            <w:noWrap/>
            <w:vAlign w:val="bottom"/>
            <w:hideMark/>
          </w:tcPr>
          <w:p w14:paraId="0FFBBBD8" w14:textId="77777777" w:rsidR="000A088A" w:rsidRPr="000A088A" w:rsidRDefault="000A088A" w:rsidP="000A088A">
            <w:pPr>
              <w:spacing w:after="0" w:line="240" w:lineRule="auto"/>
              <w:jc w:val="right"/>
              <w:rPr>
                <w:rFonts w:ascii="Arial" w:hAnsi="Arial" w:cs="Arial"/>
                <w:color w:val="000000"/>
                <w:sz w:val="16"/>
                <w:szCs w:val="16"/>
              </w:rPr>
            </w:pPr>
            <w:r w:rsidRPr="000A088A">
              <w:rPr>
                <w:rFonts w:ascii="Arial" w:hAnsi="Arial" w:cs="Arial"/>
                <w:color w:val="000000"/>
                <w:sz w:val="16"/>
                <w:szCs w:val="16"/>
              </w:rPr>
              <w:t xml:space="preserve">10 </w:t>
            </w:r>
          </w:p>
        </w:tc>
        <w:tc>
          <w:tcPr>
            <w:tcW w:w="628" w:type="pct"/>
            <w:tcBorders>
              <w:top w:val="nil"/>
              <w:left w:val="nil"/>
              <w:bottom w:val="nil"/>
              <w:right w:val="nil"/>
            </w:tcBorders>
            <w:shd w:val="clear" w:color="000000" w:fill="E6E6E6"/>
            <w:noWrap/>
            <w:vAlign w:val="bottom"/>
            <w:hideMark/>
          </w:tcPr>
          <w:p w14:paraId="476218FF"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 xml:space="preserve">10 </w:t>
            </w:r>
          </w:p>
        </w:tc>
        <w:tc>
          <w:tcPr>
            <w:tcW w:w="628" w:type="pct"/>
            <w:tcBorders>
              <w:top w:val="nil"/>
              <w:left w:val="nil"/>
              <w:bottom w:val="nil"/>
              <w:right w:val="nil"/>
            </w:tcBorders>
            <w:shd w:val="clear" w:color="auto" w:fill="auto"/>
            <w:noWrap/>
            <w:vAlign w:val="bottom"/>
            <w:hideMark/>
          </w:tcPr>
          <w:p w14:paraId="1965CC13"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 xml:space="preserve">10 </w:t>
            </w:r>
          </w:p>
        </w:tc>
        <w:tc>
          <w:tcPr>
            <w:tcW w:w="557" w:type="pct"/>
            <w:tcBorders>
              <w:top w:val="nil"/>
              <w:left w:val="nil"/>
              <w:bottom w:val="nil"/>
              <w:right w:val="nil"/>
            </w:tcBorders>
            <w:shd w:val="clear" w:color="auto" w:fill="auto"/>
            <w:noWrap/>
            <w:vAlign w:val="bottom"/>
            <w:hideMark/>
          </w:tcPr>
          <w:p w14:paraId="7152BBC8"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 xml:space="preserve">10 </w:t>
            </w:r>
          </w:p>
        </w:tc>
        <w:tc>
          <w:tcPr>
            <w:tcW w:w="529" w:type="pct"/>
            <w:tcBorders>
              <w:top w:val="nil"/>
              <w:left w:val="nil"/>
              <w:bottom w:val="nil"/>
              <w:right w:val="nil"/>
            </w:tcBorders>
            <w:shd w:val="clear" w:color="auto" w:fill="auto"/>
            <w:noWrap/>
            <w:vAlign w:val="bottom"/>
            <w:hideMark/>
          </w:tcPr>
          <w:p w14:paraId="0DFAE16B"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 xml:space="preserve">10 </w:t>
            </w:r>
          </w:p>
        </w:tc>
      </w:tr>
      <w:tr w:rsidR="000A088A" w:rsidRPr="000A088A" w14:paraId="47CEB018" w14:textId="77777777" w:rsidTr="000A088A">
        <w:trPr>
          <w:trHeight w:hRule="exact" w:val="705"/>
        </w:trPr>
        <w:tc>
          <w:tcPr>
            <w:tcW w:w="2029" w:type="pct"/>
            <w:tcBorders>
              <w:top w:val="nil"/>
              <w:left w:val="nil"/>
              <w:bottom w:val="nil"/>
              <w:right w:val="nil"/>
            </w:tcBorders>
            <w:shd w:val="clear" w:color="auto" w:fill="auto"/>
            <w:vAlign w:val="bottom"/>
            <w:hideMark/>
          </w:tcPr>
          <w:p w14:paraId="4A8151E2" w14:textId="77777777" w:rsidR="000A088A" w:rsidRPr="000A088A" w:rsidRDefault="000A088A" w:rsidP="000A088A">
            <w:pPr>
              <w:spacing w:after="0" w:line="240" w:lineRule="auto"/>
              <w:ind w:left="170"/>
              <w:jc w:val="left"/>
              <w:rPr>
                <w:rFonts w:ascii="Arial" w:hAnsi="Arial" w:cs="Arial"/>
                <w:sz w:val="16"/>
                <w:szCs w:val="16"/>
              </w:rPr>
            </w:pPr>
            <w:r w:rsidRPr="000A088A">
              <w:rPr>
                <w:rFonts w:ascii="Arial" w:hAnsi="Arial" w:cs="Arial"/>
                <w:sz w:val="16"/>
                <w:szCs w:val="16"/>
              </w:rPr>
              <w:t>Expenses not requiring</w:t>
            </w:r>
            <w:r w:rsidRPr="000A088A">
              <w:rPr>
                <w:rFonts w:ascii="Arial" w:hAnsi="Arial" w:cs="Arial"/>
                <w:sz w:val="16"/>
                <w:szCs w:val="16"/>
              </w:rPr>
              <w:br/>
              <w:t xml:space="preserve">  appropriation in the Budget</w:t>
            </w:r>
            <w:r w:rsidRPr="000A088A">
              <w:rPr>
                <w:rFonts w:ascii="Arial" w:hAnsi="Arial" w:cs="Arial"/>
                <w:sz w:val="16"/>
                <w:szCs w:val="16"/>
              </w:rPr>
              <w:br/>
              <w:t xml:space="preserve">  year (b)</w:t>
            </w:r>
          </w:p>
        </w:tc>
        <w:tc>
          <w:tcPr>
            <w:tcW w:w="628" w:type="pct"/>
            <w:tcBorders>
              <w:top w:val="nil"/>
              <w:left w:val="nil"/>
              <w:bottom w:val="nil"/>
              <w:right w:val="nil"/>
            </w:tcBorders>
            <w:shd w:val="clear" w:color="auto" w:fill="auto"/>
            <w:noWrap/>
            <w:vAlign w:val="bottom"/>
            <w:hideMark/>
          </w:tcPr>
          <w:p w14:paraId="5E2F1B59" w14:textId="77777777" w:rsidR="000A088A" w:rsidRPr="000A088A" w:rsidRDefault="000A088A" w:rsidP="000A088A">
            <w:pPr>
              <w:spacing w:after="0" w:line="240" w:lineRule="auto"/>
              <w:jc w:val="right"/>
              <w:rPr>
                <w:rFonts w:ascii="Arial" w:hAnsi="Arial" w:cs="Arial"/>
                <w:color w:val="000000"/>
                <w:sz w:val="16"/>
                <w:szCs w:val="16"/>
              </w:rPr>
            </w:pPr>
            <w:r w:rsidRPr="000A088A">
              <w:rPr>
                <w:rFonts w:ascii="Arial" w:hAnsi="Arial" w:cs="Arial"/>
                <w:color w:val="000000"/>
                <w:sz w:val="16"/>
                <w:szCs w:val="16"/>
              </w:rPr>
              <w:t xml:space="preserve">1,100 </w:t>
            </w:r>
          </w:p>
        </w:tc>
        <w:tc>
          <w:tcPr>
            <w:tcW w:w="628" w:type="pct"/>
            <w:tcBorders>
              <w:top w:val="nil"/>
              <w:left w:val="nil"/>
              <w:bottom w:val="nil"/>
              <w:right w:val="nil"/>
            </w:tcBorders>
            <w:shd w:val="clear" w:color="000000" w:fill="E6E6E6"/>
            <w:noWrap/>
            <w:vAlign w:val="bottom"/>
            <w:hideMark/>
          </w:tcPr>
          <w:p w14:paraId="503913C7"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 xml:space="preserve">1,100 </w:t>
            </w:r>
          </w:p>
        </w:tc>
        <w:tc>
          <w:tcPr>
            <w:tcW w:w="628" w:type="pct"/>
            <w:tcBorders>
              <w:top w:val="nil"/>
              <w:left w:val="nil"/>
              <w:bottom w:val="nil"/>
              <w:right w:val="nil"/>
            </w:tcBorders>
            <w:shd w:val="clear" w:color="auto" w:fill="auto"/>
            <w:noWrap/>
            <w:vAlign w:val="bottom"/>
            <w:hideMark/>
          </w:tcPr>
          <w:p w14:paraId="38B88918"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 xml:space="preserve">1,100 </w:t>
            </w:r>
          </w:p>
        </w:tc>
        <w:tc>
          <w:tcPr>
            <w:tcW w:w="557" w:type="pct"/>
            <w:tcBorders>
              <w:top w:val="nil"/>
              <w:left w:val="nil"/>
              <w:bottom w:val="nil"/>
              <w:right w:val="nil"/>
            </w:tcBorders>
            <w:shd w:val="clear" w:color="auto" w:fill="auto"/>
            <w:noWrap/>
            <w:vAlign w:val="bottom"/>
            <w:hideMark/>
          </w:tcPr>
          <w:p w14:paraId="1A70225B"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 xml:space="preserve">1,100 </w:t>
            </w:r>
          </w:p>
        </w:tc>
        <w:tc>
          <w:tcPr>
            <w:tcW w:w="529" w:type="pct"/>
            <w:tcBorders>
              <w:top w:val="nil"/>
              <w:left w:val="nil"/>
              <w:bottom w:val="nil"/>
              <w:right w:val="nil"/>
            </w:tcBorders>
            <w:shd w:val="clear" w:color="auto" w:fill="auto"/>
            <w:noWrap/>
            <w:vAlign w:val="bottom"/>
            <w:hideMark/>
          </w:tcPr>
          <w:p w14:paraId="5AE2BF38"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 xml:space="preserve">1,100 </w:t>
            </w:r>
          </w:p>
        </w:tc>
      </w:tr>
      <w:tr w:rsidR="000A088A" w:rsidRPr="000A088A" w14:paraId="795052F5" w14:textId="77777777" w:rsidTr="000A088A">
        <w:trPr>
          <w:trHeight w:hRule="exact" w:val="225"/>
        </w:trPr>
        <w:tc>
          <w:tcPr>
            <w:tcW w:w="2029" w:type="pct"/>
            <w:tcBorders>
              <w:top w:val="nil"/>
              <w:left w:val="nil"/>
              <w:bottom w:val="nil"/>
              <w:right w:val="nil"/>
            </w:tcBorders>
            <w:shd w:val="clear" w:color="auto" w:fill="auto"/>
            <w:vAlign w:val="bottom"/>
            <w:hideMark/>
          </w:tcPr>
          <w:p w14:paraId="5F466002" w14:textId="77777777" w:rsidR="000A088A" w:rsidRPr="000A088A" w:rsidRDefault="000A088A" w:rsidP="000A088A">
            <w:pPr>
              <w:spacing w:after="0" w:line="240" w:lineRule="auto"/>
              <w:jc w:val="right"/>
              <w:rPr>
                <w:rFonts w:ascii="Arial" w:hAnsi="Arial" w:cs="Arial"/>
                <w:b/>
                <w:bCs/>
                <w:sz w:val="16"/>
                <w:szCs w:val="16"/>
              </w:rPr>
            </w:pPr>
            <w:r w:rsidRPr="000A088A">
              <w:rPr>
                <w:rFonts w:ascii="Arial" w:hAnsi="Arial" w:cs="Arial"/>
                <w:b/>
                <w:bCs/>
                <w:sz w:val="16"/>
                <w:szCs w:val="16"/>
              </w:rPr>
              <w:t>Departmental total</w:t>
            </w:r>
          </w:p>
        </w:tc>
        <w:tc>
          <w:tcPr>
            <w:tcW w:w="628" w:type="pct"/>
            <w:tcBorders>
              <w:top w:val="single" w:sz="4" w:space="0" w:color="000000"/>
              <w:left w:val="nil"/>
              <w:bottom w:val="single" w:sz="4" w:space="0" w:color="000000"/>
              <w:right w:val="nil"/>
            </w:tcBorders>
            <w:shd w:val="clear" w:color="auto" w:fill="auto"/>
            <w:noWrap/>
            <w:vAlign w:val="bottom"/>
            <w:hideMark/>
          </w:tcPr>
          <w:p w14:paraId="29DE1E05" w14:textId="77777777" w:rsidR="000A088A" w:rsidRPr="000A088A" w:rsidRDefault="000A088A" w:rsidP="000A088A">
            <w:pPr>
              <w:spacing w:after="0" w:line="240" w:lineRule="auto"/>
              <w:jc w:val="right"/>
              <w:rPr>
                <w:rFonts w:ascii="Arial" w:hAnsi="Arial" w:cs="Arial"/>
                <w:color w:val="000000"/>
                <w:sz w:val="16"/>
                <w:szCs w:val="16"/>
              </w:rPr>
            </w:pPr>
            <w:r w:rsidRPr="000A088A">
              <w:rPr>
                <w:rFonts w:ascii="Arial" w:hAnsi="Arial" w:cs="Arial"/>
                <w:color w:val="000000"/>
                <w:sz w:val="16"/>
                <w:szCs w:val="16"/>
              </w:rPr>
              <w:t xml:space="preserve">38,092 </w:t>
            </w:r>
          </w:p>
        </w:tc>
        <w:tc>
          <w:tcPr>
            <w:tcW w:w="628" w:type="pct"/>
            <w:tcBorders>
              <w:top w:val="single" w:sz="4" w:space="0" w:color="000000"/>
              <w:left w:val="nil"/>
              <w:bottom w:val="single" w:sz="4" w:space="0" w:color="000000"/>
              <w:right w:val="nil"/>
            </w:tcBorders>
            <w:shd w:val="clear" w:color="000000" w:fill="E6E6E6"/>
            <w:noWrap/>
            <w:vAlign w:val="bottom"/>
            <w:hideMark/>
          </w:tcPr>
          <w:p w14:paraId="493271DE" w14:textId="77777777" w:rsidR="000A088A" w:rsidRPr="000A088A" w:rsidRDefault="000A088A" w:rsidP="000A088A">
            <w:pPr>
              <w:spacing w:after="0" w:line="240" w:lineRule="auto"/>
              <w:jc w:val="right"/>
              <w:rPr>
                <w:rFonts w:ascii="Arial" w:hAnsi="Arial" w:cs="Arial"/>
                <w:b/>
                <w:bCs/>
                <w:color w:val="000000"/>
                <w:sz w:val="16"/>
                <w:szCs w:val="16"/>
              </w:rPr>
            </w:pPr>
            <w:r w:rsidRPr="000A088A">
              <w:rPr>
                <w:rFonts w:ascii="Arial" w:hAnsi="Arial" w:cs="Arial"/>
                <w:b/>
                <w:bCs/>
                <w:color w:val="000000"/>
                <w:sz w:val="16"/>
                <w:szCs w:val="16"/>
              </w:rPr>
              <w:t xml:space="preserve">38,768 </w:t>
            </w:r>
          </w:p>
        </w:tc>
        <w:tc>
          <w:tcPr>
            <w:tcW w:w="628" w:type="pct"/>
            <w:tcBorders>
              <w:top w:val="single" w:sz="4" w:space="0" w:color="000000"/>
              <w:left w:val="nil"/>
              <w:bottom w:val="single" w:sz="4" w:space="0" w:color="000000"/>
              <w:right w:val="nil"/>
            </w:tcBorders>
            <w:shd w:val="clear" w:color="auto" w:fill="auto"/>
            <w:noWrap/>
            <w:vAlign w:val="bottom"/>
            <w:hideMark/>
          </w:tcPr>
          <w:p w14:paraId="2F473980" w14:textId="77777777" w:rsidR="000A088A" w:rsidRPr="000A088A" w:rsidRDefault="000A088A" w:rsidP="000A088A">
            <w:pPr>
              <w:spacing w:after="0" w:line="240" w:lineRule="auto"/>
              <w:jc w:val="right"/>
              <w:rPr>
                <w:rFonts w:ascii="Arial" w:hAnsi="Arial" w:cs="Arial"/>
                <w:color w:val="000000"/>
                <w:sz w:val="16"/>
                <w:szCs w:val="16"/>
              </w:rPr>
            </w:pPr>
            <w:r w:rsidRPr="000A088A">
              <w:rPr>
                <w:rFonts w:ascii="Arial" w:hAnsi="Arial" w:cs="Arial"/>
                <w:color w:val="000000"/>
                <w:sz w:val="16"/>
                <w:szCs w:val="16"/>
              </w:rPr>
              <w:t xml:space="preserve">37,937 </w:t>
            </w:r>
          </w:p>
        </w:tc>
        <w:tc>
          <w:tcPr>
            <w:tcW w:w="557" w:type="pct"/>
            <w:tcBorders>
              <w:top w:val="single" w:sz="4" w:space="0" w:color="000000"/>
              <w:left w:val="nil"/>
              <w:bottom w:val="single" w:sz="4" w:space="0" w:color="000000"/>
              <w:right w:val="nil"/>
            </w:tcBorders>
            <w:shd w:val="clear" w:color="auto" w:fill="auto"/>
            <w:noWrap/>
            <w:vAlign w:val="bottom"/>
            <w:hideMark/>
          </w:tcPr>
          <w:p w14:paraId="5A75B3E6" w14:textId="77777777" w:rsidR="000A088A" w:rsidRPr="000A088A" w:rsidRDefault="000A088A" w:rsidP="000A088A">
            <w:pPr>
              <w:spacing w:after="0" w:line="240" w:lineRule="auto"/>
              <w:jc w:val="right"/>
              <w:rPr>
                <w:rFonts w:ascii="Arial" w:hAnsi="Arial" w:cs="Arial"/>
                <w:color w:val="000000"/>
                <w:sz w:val="16"/>
                <w:szCs w:val="16"/>
              </w:rPr>
            </w:pPr>
            <w:r w:rsidRPr="000A088A">
              <w:rPr>
                <w:rFonts w:ascii="Arial" w:hAnsi="Arial" w:cs="Arial"/>
                <w:color w:val="000000"/>
                <w:sz w:val="16"/>
                <w:szCs w:val="16"/>
              </w:rPr>
              <w:t xml:space="preserve">37,999 </w:t>
            </w:r>
          </w:p>
        </w:tc>
        <w:tc>
          <w:tcPr>
            <w:tcW w:w="529" w:type="pct"/>
            <w:tcBorders>
              <w:top w:val="single" w:sz="4" w:space="0" w:color="000000"/>
              <w:left w:val="nil"/>
              <w:bottom w:val="single" w:sz="4" w:space="0" w:color="000000"/>
              <w:right w:val="nil"/>
            </w:tcBorders>
            <w:shd w:val="clear" w:color="auto" w:fill="auto"/>
            <w:noWrap/>
            <w:vAlign w:val="bottom"/>
            <w:hideMark/>
          </w:tcPr>
          <w:p w14:paraId="70835492" w14:textId="77777777" w:rsidR="000A088A" w:rsidRPr="000A088A" w:rsidRDefault="000A088A" w:rsidP="000A088A">
            <w:pPr>
              <w:spacing w:after="0" w:line="240" w:lineRule="auto"/>
              <w:jc w:val="right"/>
              <w:rPr>
                <w:rFonts w:ascii="Arial" w:hAnsi="Arial" w:cs="Arial"/>
                <w:color w:val="000000"/>
                <w:sz w:val="16"/>
                <w:szCs w:val="16"/>
              </w:rPr>
            </w:pPr>
            <w:r w:rsidRPr="000A088A">
              <w:rPr>
                <w:rFonts w:ascii="Arial" w:hAnsi="Arial" w:cs="Arial"/>
                <w:color w:val="000000"/>
                <w:sz w:val="16"/>
                <w:szCs w:val="16"/>
              </w:rPr>
              <w:t xml:space="preserve">38,185 </w:t>
            </w:r>
          </w:p>
        </w:tc>
      </w:tr>
      <w:tr w:rsidR="000A088A" w:rsidRPr="000A088A" w14:paraId="6250CF50" w14:textId="77777777" w:rsidTr="000A088A">
        <w:trPr>
          <w:trHeight w:hRule="exact" w:val="225"/>
        </w:trPr>
        <w:tc>
          <w:tcPr>
            <w:tcW w:w="2029" w:type="pct"/>
            <w:tcBorders>
              <w:top w:val="nil"/>
              <w:left w:val="nil"/>
              <w:bottom w:val="single" w:sz="4" w:space="0" w:color="000000"/>
              <w:right w:val="nil"/>
            </w:tcBorders>
            <w:shd w:val="clear" w:color="auto" w:fill="auto"/>
            <w:vAlign w:val="bottom"/>
            <w:hideMark/>
          </w:tcPr>
          <w:p w14:paraId="198B6CD4" w14:textId="77777777" w:rsidR="000A088A" w:rsidRPr="000A088A" w:rsidRDefault="000A088A" w:rsidP="000A088A">
            <w:pPr>
              <w:spacing w:after="0" w:line="240" w:lineRule="auto"/>
              <w:jc w:val="left"/>
              <w:rPr>
                <w:rFonts w:ascii="Arial" w:hAnsi="Arial" w:cs="Arial"/>
                <w:b/>
                <w:bCs/>
                <w:sz w:val="16"/>
                <w:szCs w:val="16"/>
              </w:rPr>
            </w:pPr>
            <w:r w:rsidRPr="000A088A">
              <w:rPr>
                <w:rFonts w:ascii="Arial" w:hAnsi="Arial" w:cs="Arial"/>
                <w:b/>
                <w:bCs/>
                <w:sz w:val="16"/>
                <w:szCs w:val="16"/>
              </w:rPr>
              <w:t>Total expenses for program 1.1</w:t>
            </w:r>
          </w:p>
        </w:tc>
        <w:tc>
          <w:tcPr>
            <w:tcW w:w="628" w:type="pct"/>
            <w:tcBorders>
              <w:top w:val="nil"/>
              <w:left w:val="nil"/>
              <w:bottom w:val="single" w:sz="4" w:space="0" w:color="000000"/>
              <w:right w:val="nil"/>
            </w:tcBorders>
            <w:shd w:val="clear" w:color="auto" w:fill="auto"/>
            <w:noWrap/>
            <w:vAlign w:val="bottom"/>
            <w:hideMark/>
          </w:tcPr>
          <w:p w14:paraId="14DAC32E" w14:textId="77777777" w:rsidR="000A088A" w:rsidRPr="000A088A" w:rsidRDefault="000A088A" w:rsidP="000A088A">
            <w:pPr>
              <w:spacing w:after="0" w:line="240" w:lineRule="auto"/>
              <w:jc w:val="right"/>
              <w:rPr>
                <w:rFonts w:ascii="Arial" w:hAnsi="Arial" w:cs="Arial"/>
                <w:b/>
                <w:bCs/>
                <w:color w:val="000000"/>
                <w:sz w:val="16"/>
                <w:szCs w:val="16"/>
              </w:rPr>
            </w:pPr>
            <w:r w:rsidRPr="000A088A">
              <w:rPr>
                <w:rFonts w:ascii="Arial" w:hAnsi="Arial" w:cs="Arial"/>
                <w:b/>
                <w:bCs/>
                <w:color w:val="000000"/>
                <w:sz w:val="16"/>
                <w:szCs w:val="16"/>
              </w:rPr>
              <w:t xml:space="preserve">38,092 </w:t>
            </w:r>
          </w:p>
        </w:tc>
        <w:tc>
          <w:tcPr>
            <w:tcW w:w="628" w:type="pct"/>
            <w:tcBorders>
              <w:top w:val="nil"/>
              <w:left w:val="nil"/>
              <w:bottom w:val="single" w:sz="4" w:space="0" w:color="000000"/>
              <w:right w:val="nil"/>
            </w:tcBorders>
            <w:shd w:val="clear" w:color="000000" w:fill="E6E6E6"/>
            <w:noWrap/>
            <w:vAlign w:val="bottom"/>
            <w:hideMark/>
          </w:tcPr>
          <w:p w14:paraId="277E7E19" w14:textId="77777777" w:rsidR="000A088A" w:rsidRPr="000A088A" w:rsidRDefault="000A088A" w:rsidP="000A088A">
            <w:pPr>
              <w:spacing w:after="0" w:line="240" w:lineRule="auto"/>
              <w:jc w:val="right"/>
              <w:rPr>
                <w:rFonts w:ascii="Arial" w:hAnsi="Arial" w:cs="Arial"/>
                <w:b/>
                <w:bCs/>
                <w:color w:val="000000"/>
                <w:sz w:val="16"/>
                <w:szCs w:val="16"/>
              </w:rPr>
            </w:pPr>
            <w:r w:rsidRPr="000A088A">
              <w:rPr>
                <w:rFonts w:ascii="Arial" w:hAnsi="Arial" w:cs="Arial"/>
                <w:b/>
                <w:bCs/>
                <w:color w:val="000000"/>
                <w:sz w:val="16"/>
                <w:szCs w:val="16"/>
              </w:rPr>
              <w:t xml:space="preserve">38,768 </w:t>
            </w:r>
          </w:p>
        </w:tc>
        <w:tc>
          <w:tcPr>
            <w:tcW w:w="628" w:type="pct"/>
            <w:tcBorders>
              <w:top w:val="nil"/>
              <w:left w:val="nil"/>
              <w:bottom w:val="single" w:sz="4" w:space="0" w:color="000000"/>
              <w:right w:val="nil"/>
            </w:tcBorders>
            <w:shd w:val="clear" w:color="auto" w:fill="auto"/>
            <w:noWrap/>
            <w:vAlign w:val="bottom"/>
            <w:hideMark/>
          </w:tcPr>
          <w:p w14:paraId="3AB85C60" w14:textId="77777777" w:rsidR="000A088A" w:rsidRPr="000A088A" w:rsidRDefault="000A088A" w:rsidP="000A088A">
            <w:pPr>
              <w:spacing w:after="0" w:line="240" w:lineRule="auto"/>
              <w:jc w:val="right"/>
              <w:rPr>
                <w:rFonts w:ascii="Arial" w:hAnsi="Arial" w:cs="Arial"/>
                <w:b/>
                <w:bCs/>
                <w:color w:val="000000"/>
                <w:sz w:val="16"/>
                <w:szCs w:val="16"/>
              </w:rPr>
            </w:pPr>
            <w:r w:rsidRPr="000A088A">
              <w:rPr>
                <w:rFonts w:ascii="Arial" w:hAnsi="Arial" w:cs="Arial"/>
                <w:b/>
                <w:bCs/>
                <w:color w:val="000000"/>
                <w:sz w:val="16"/>
                <w:szCs w:val="16"/>
              </w:rPr>
              <w:t xml:space="preserve">37,937 </w:t>
            </w:r>
          </w:p>
        </w:tc>
        <w:tc>
          <w:tcPr>
            <w:tcW w:w="557" w:type="pct"/>
            <w:tcBorders>
              <w:top w:val="nil"/>
              <w:left w:val="nil"/>
              <w:bottom w:val="single" w:sz="4" w:space="0" w:color="000000"/>
              <w:right w:val="nil"/>
            </w:tcBorders>
            <w:shd w:val="clear" w:color="auto" w:fill="auto"/>
            <w:noWrap/>
            <w:vAlign w:val="bottom"/>
            <w:hideMark/>
          </w:tcPr>
          <w:p w14:paraId="4DBC99CE" w14:textId="77777777" w:rsidR="000A088A" w:rsidRPr="000A088A" w:rsidRDefault="000A088A" w:rsidP="000A088A">
            <w:pPr>
              <w:spacing w:after="0" w:line="240" w:lineRule="auto"/>
              <w:jc w:val="right"/>
              <w:rPr>
                <w:rFonts w:ascii="Arial" w:hAnsi="Arial" w:cs="Arial"/>
                <w:b/>
                <w:bCs/>
                <w:color w:val="000000"/>
                <w:sz w:val="16"/>
                <w:szCs w:val="16"/>
              </w:rPr>
            </w:pPr>
            <w:r w:rsidRPr="000A088A">
              <w:rPr>
                <w:rFonts w:ascii="Arial" w:hAnsi="Arial" w:cs="Arial"/>
                <w:b/>
                <w:bCs/>
                <w:color w:val="000000"/>
                <w:sz w:val="16"/>
                <w:szCs w:val="16"/>
              </w:rPr>
              <w:t xml:space="preserve">37,999 </w:t>
            </w:r>
          </w:p>
        </w:tc>
        <w:tc>
          <w:tcPr>
            <w:tcW w:w="529" w:type="pct"/>
            <w:tcBorders>
              <w:top w:val="nil"/>
              <w:left w:val="nil"/>
              <w:bottom w:val="single" w:sz="4" w:space="0" w:color="000000"/>
              <w:right w:val="nil"/>
            </w:tcBorders>
            <w:shd w:val="clear" w:color="auto" w:fill="auto"/>
            <w:noWrap/>
            <w:vAlign w:val="bottom"/>
            <w:hideMark/>
          </w:tcPr>
          <w:p w14:paraId="57653FE3" w14:textId="77777777" w:rsidR="000A088A" w:rsidRPr="000A088A" w:rsidRDefault="000A088A" w:rsidP="000A088A">
            <w:pPr>
              <w:spacing w:after="0" w:line="240" w:lineRule="auto"/>
              <w:jc w:val="right"/>
              <w:rPr>
                <w:rFonts w:ascii="Arial" w:hAnsi="Arial" w:cs="Arial"/>
                <w:b/>
                <w:bCs/>
                <w:color w:val="000000"/>
                <w:sz w:val="16"/>
                <w:szCs w:val="16"/>
              </w:rPr>
            </w:pPr>
            <w:r w:rsidRPr="000A088A">
              <w:rPr>
                <w:rFonts w:ascii="Arial" w:hAnsi="Arial" w:cs="Arial"/>
                <w:b/>
                <w:bCs/>
                <w:color w:val="000000"/>
                <w:sz w:val="16"/>
                <w:szCs w:val="16"/>
              </w:rPr>
              <w:t xml:space="preserve">38,185 </w:t>
            </w:r>
          </w:p>
        </w:tc>
      </w:tr>
      <w:tr w:rsidR="000A088A" w:rsidRPr="000A088A" w14:paraId="52F6BBA0" w14:textId="77777777" w:rsidTr="000A088A">
        <w:trPr>
          <w:trHeight w:hRule="exact" w:val="225"/>
        </w:trPr>
        <w:tc>
          <w:tcPr>
            <w:tcW w:w="2029" w:type="pct"/>
            <w:tcBorders>
              <w:top w:val="nil"/>
              <w:left w:val="nil"/>
              <w:bottom w:val="single" w:sz="4" w:space="0" w:color="000000"/>
              <w:right w:val="nil"/>
            </w:tcBorders>
            <w:shd w:val="clear" w:color="auto" w:fill="auto"/>
            <w:vAlign w:val="bottom"/>
            <w:hideMark/>
          </w:tcPr>
          <w:p w14:paraId="512E26D3" w14:textId="77777777" w:rsidR="000A088A" w:rsidRPr="000A088A" w:rsidRDefault="000A088A" w:rsidP="000A088A">
            <w:pPr>
              <w:spacing w:after="0" w:line="240" w:lineRule="auto"/>
              <w:jc w:val="left"/>
              <w:rPr>
                <w:rFonts w:ascii="Arial" w:hAnsi="Arial" w:cs="Arial"/>
                <w:b/>
                <w:bCs/>
                <w:sz w:val="16"/>
                <w:szCs w:val="16"/>
              </w:rPr>
            </w:pPr>
            <w:r w:rsidRPr="000A088A">
              <w:rPr>
                <w:rFonts w:ascii="Arial" w:hAnsi="Arial" w:cs="Arial"/>
                <w:b/>
                <w:bCs/>
                <w:sz w:val="16"/>
                <w:szCs w:val="16"/>
              </w:rPr>
              <w:t>Total expenses for Outcome 1</w:t>
            </w:r>
          </w:p>
        </w:tc>
        <w:tc>
          <w:tcPr>
            <w:tcW w:w="628" w:type="pct"/>
            <w:tcBorders>
              <w:top w:val="nil"/>
              <w:left w:val="nil"/>
              <w:bottom w:val="single" w:sz="4" w:space="0" w:color="000000"/>
              <w:right w:val="nil"/>
            </w:tcBorders>
            <w:shd w:val="clear" w:color="auto" w:fill="auto"/>
            <w:noWrap/>
            <w:vAlign w:val="bottom"/>
            <w:hideMark/>
          </w:tcPr>
          <w:p w14:paraId="729442AB" w14:textId="77777777" w:rsidR="000A088A" w:rsidRPr="000A088A" w:rsidRDefault="000A088A" w:rsidP="000A088A">
            <w:pPr>
              <w:spacing w:after="0" w:line="240" w:lineRule="auto"/>
              <w:jc w:val="right"/>
              <w:rPr>
                <w:rFonts w:ascii="Arial" w:hAnsi="Arial" w:cs="Arial"/>
                <w:b/>
                <w:bCs/>
                <w:color w:val="000000"/>
                <w:sz w:val="16"/>
                <w:szCs w:val="16"/>
              </w:rPr>
            </w:pPr>
            <w:r w:rsidRPr="000A088A">
              <w:rPr>
                <w:rFonts w:ascii="Arial" w:hAnsi="Arial" w:cs="Arial"/>
                <w:b/>
                <w:bCs/>
                <w:color w:val="000000"/>
                <w:sz w:val="16"/>
                <w:szCs w:val="16"/>
              </w:rPr>
              <w:t xml:space="preserve">38,092 </w:t>
            </w:r>
          </w:p>
        </w:tc>
        <w:tc>
          <w:tcPr>
            <w:tcW w:w="628" w:type="pct"/>
            <w:tcBorders>
              <w:top w:val="nil"/>
              <w:left w:val="nil"/>
              <w:bottom w:val="single" w:sz="4" w:space="0" w:color="000000"/>
              <w:right w:val="nil"/>
            </w:tcBorders>
            <w:shd w:val="clear" w:color="000000" w:fill="E6E6E6"/>
            <w:noWrap/>
            <w:vAlign w:val="bottom"/>
            <w:hideMark/>
          </w:tcPr>
          <w:p w14:paraId="3CCE880B" w14:textId="77777777" w:rsidR="000A088A" w:rsidRPr="000A088A" w:rsidRDefault="000A088A" w:rsidP="000A088A">
            <w:pPr>
              <w:spacing w:after="0" w:line="240" w:lineRule="auto"/>
              <w:jc w:val="right"/>
              <w:rPr>
                <w:rFonts w:ascii="Arial" w:hAnsi="Arial" w:cs="Arial"/>
                <w:b/>
                <w:bCs/>
                <w:color w:val="000000"/>
                <w:sz w:val="16"/>
                <w:szCs w:val="16"/>
              </w:rPr>
            </w:pPr>
            <w:r w:rsidRPr="000A088A">
              <w:rPr>
                <w:rFonts w:ascii="Arial" w:hAnsi="Arial" w:cs="Arial"/>
                <w:b/>
                <w:bCs/>
                <w:color w:val="000000"/>
                <w:sz w:val="16"/>
                <w:szCs w:val="16"/>
              </w:rPr>
              <w:t xml:space="preserve">38,768 </w:t>
            </w:r>
          </w:p>
        </w:tc>
        <w:tc>
          <w:tcPr>
            <w:tcW w:w="628" w:type="pct"/>
            <w:tcBorders>
              <w:top w:val="nil"/>
              <w:left w:val="nil"/>
              <w:bottom w:val="single" w:sz="4" w:space="0" w:color="000000"/>
              <w:right w:val="nil"/>
            </w:tcBorders>
            <w:shd w:val="clear" w:color="auto" w:fill="auto"/>
            <w:noWrap/>
            <w:vAlign w:val="bottom"/>
            <w:hideMark/>
          </w:tcPr>
          <w:p w14:paraId="5A45D374" w14:textId="77777777" w:rsidR="000A088A" w:rsidRPr="000A088A" w:rsidRDefault="000A088A" w:rsidP="000A088A">
            <w:pPr>
              <w:spacing w:after="0" w:line="240" w:lineRule="auto"/>
              <w:jc w:val="right"/>
              <w:rPr>
                <w:rFonts w:ascii="Arial" w:hAnsi="Arial" w:cs="Arial"/>
                <w:b/>
                <w:bCs/>
                <w:color w:val="000000"/>
                <w:sz w:val="16"/>
                <w:szCs w:val="16"/>
              </w:rPr>
            </w:pPr>
            <w:r w:rsidRPr="000A088A">
              <w:rPr>
                <w:rFonts w:ascii="Arial" w:hAnsi="Arial" w:cs="Arial"/>
                <w:b/>
                <w:bCs/>
                <w:color w:val="000000"/>
                <w:sz w:val="16"/>
                <w:szCs w:val="16"/>
              </w:rPr>
              <w:t xml:space="preserve">37,937 </w:t>
            </w:r>
          </w:p>
        </w:tc>
        <w:tc>
          <w:tcPr>
            <w:tcW w:w="557" w:type="pct"/>
            <w:tcBorders>
              <w:top w:val="nil"/>
              <w:left w:val="nil"/>
              <w:bottom w:val="single" w:sz="4" w:space="0" w:color="000000"/>
              <w:right w:val="nil"/>
            </w:tcBorders>
            <w:shd w:val="clear" w:color="auto" w:fill="auto"/>
            <w:noWrap/>
            <w:vAlign w:val="bottom"/>
            <w:hideMark/>
          </w:tcPr>
          <w:p w14:paraId="43CDF197" w14:textId="77777777" w:rsidR="000A088A" w:rsidRPr="000A088A" w:rsidRDefault="000A088A" w:rsidP="000A088A">
            <w:pPr>
              <w:spacing w:after="0" w:line="240" w:lineRule="auto"/>
              <w:jc w:val="right"/>
              <w:rPr>
                <w:rFonts w:ascii="Arial" w:hAnsi="Arial" w:cs="Arial"/>
                <w:b/>
                <w:bCs/>
                <w:color w:val="000000"/>
                <w:sz w:val="16"/>
                <w:szCs w:val="16"/>
              </w:rPr>
            </w:pPr>
            <w:r w:rsidRPr="000A088A">
              <w:rPr>
                <w:rFonts w:ascii="Arial" w:hAnsi="Arial" w:cs="Arial"/>
                <w:b/>
                <w:bCs/>
                <w:color w:val="000000"/>
                <w:sz w:val="16"/>
                <w:szCs w:val="16"/>
              </w:rPr>
              <w:t xml:space="preserve">37,999 </w:t>
            </w:r>
          </w:p>
        </w:tc>
        <w:tc>
          <w:tcPr>
            <w:tcW w:w="529" w:type="pct"/>
            <w:tcBorders>
              <w:top w:val="nil"/>
              <w:left w:val="nil"/>
              <w:bottom w:val="single" w:sz="4" w:space="0" w:color="000000"/>
              <w:right w:val="nil"/>
            </w:tcBorders>
            <w:shd w:val="clear" w:color="auto" w:fill="auto"/>
            <w:noWrap/>
            <w:vAlign w:val="bottom"/>
            <w:hideMark/>
          </w:tcPr>
          <w:p w14:paraId="4EBA0FA3" w14:textId="77777777" w:rsidR="000A088A" w:rsidRPr="000A088A" w:rsidRDefault="000A088A" w:rsidP="000A088A">
            <w:pPr>
              <w:spacing w:after="0" w:line="240" w:lineRule="auto"/>
              <w:jc w:val="right"/>
              <w:rPr>
                <w:rFonts w:ascii="Arial" w:hAnsi="Arial" w:cs="Arial"/>
                <w:b/>
                <w:bCs/>
                <w:color w:val="000000"/>
                <w:sz w:val="16"/>
                <w:szCs w:val="16"/>
              </w:rPr>
            </w:pPr>
            <w:r w:rsidRPr="000A088A">
              <w:rPr>
                <w:rFonts w:ascii="Arial" w:hAnsi="Arial" w:cs="Arial"/>
                <w:b/>
                <w:bCs/>
                <w:color w:val="000000"/>
                <w:sz w:val="16"/>
                <w:szCs w:val="16"/>
              </w:rPr>
              <w:t xml:space="preserve">38,185 </w:t>
            </w:r>
          </w:p>
        </w:tc>
      </w:tr>
      <w:tr w:rsidR="000A088A" w:rsidRPr="000A088A" w14:paraId="38E0F1F1" w14:textId="77777777" w:rsidTr="000A088A">
        <w:trPr>
          <w:trHeight w:hRule="exact" w:val="225"/>
        </w:trPr>
        <w:tc>
          <w:tcPr>
            <w:tcW w:w="2029" w:type="pct"/>
            <w:tcBorders>
              <w:top w:val="nil"/>
              <w:left w:val="nil"/>
              <w:bottom w:val="nil"/>
              <w:right w:val="nil"/>
            </w:tcBorders>
            <w:shd w:val="clear" w:color="auto" w:fill="auto"/>
            <w:noWrap/>
            <w:vAlign w:val="bottom"/>
            <w:hideMark/>
          </w:tcPr>
          <w:p w14:paraId="5E88DA0A" w14:textId="77777777" w:rsidR="000A088A" w:rsidRPr="000A088A" w:rsidRDefault="000A088A" w:rsidP="000A088A">
            <w:pPr>
              <w:spacing w:after="0" w:line="240" w:lineRule="auto"/>
              <w:jc w:val="right"/>
              <w:rPr>
                <w:rFonts w:ascii="Arial" w:hAnsi="Arial" w:cs="Arial"/>
                <w:b/>
                <w:bCs/>
                <w:color w:val="000000"/>
                <w:sz w:val="16"/>
                <w:szCs w:val="16"/>
              </w:rPr>
            </w:pPr>
          </w:p>
        </w:tc>
        <w:tc>
          <w:tcPr>
            <w:tcW w:w="628" w:type="pct"/>
            <w:tcBorders>
              <w:top w:val="nil"/>
              <w:left w:val="nil"/>
              <w:bottom w:val="nil"/>
              <w:right w:val="nil"/>
            </w:tcBorders>
            <w:shd w:val="clear" w:color="auto" w:fill="auto"/>
            <w:noWrap/>
            <w:vAlign w:val="bottom"/>
            <w:hideMark/>
          </w:tcPr>
          <w:p w14:paraId="4321A792" w14:textId="77777777" w:rsidR="000A088A" w:rsidRPr="000A088A" w:rsidRDefault="000A088A" w:rsidP="000A088A">
            <w:pPr>
              <w:spacing w:after="0" w:line="240" w:lineRule="auto"/>
              <w:jc w:val="left"/>
              <w:rPr>
                <w:rFonts w:ascii="Times New Roman" w:hAnsi="Times New Roman"/>
              </w:rPr>
            </w:pPr>
          </w:p>
        </w:tc>
        <w:tc>
          <w:tcPr>
            <w:tcW w:w="628" w:type="pct"/>
            <w:tcBorders>
              <w:top w:val="nil"/>
              <w:left w:val="nil"/>
              <w:bottom w:val="nil"/>
              <w:right w:val="nil"/>
            </w:tcBorders>
            <w:shd w:val="clear" w:color="auto" w:fill="auto"/>
            <w:noWrap/>
            <w:vAlign w:val="bottom"/>
            <w:hideMark/>
          </w:tcPr>
          <w:p w14:paraId="7D266221" w14:textId="77777777" w:rsidR="000A088A" w:rsidRPr="000A088A" w:rsidRDefault="000A088A" w:rsidP="000A088A">
            <w:pPr>
              <w:spacing w:after="0" w:line="240" w:lineRule="auto"/>
              <w:jc w:val="right"/>
              <w:rPr>
                <w:rFonts w:ascii="Times New Roman" w:hAnsi="Times New Roman"/>
              </w:rPr>
            </w:pPr>
          </w:p>
        </w:tc>
        <w:tc>
          <w:tcPr>
            <w:tcW w:w="628" w:type="pct"/>
            <w:tcBorders>
              <w:top w:val="nil"/>
              <w:left w:val="nil"/>
              <w:bottom w:val="nil"/>
              <w:right w:val="nil"/>
            </w:tcBorders>
            <w:shd w:val="clear" w:color="auto" w:fill="auto"/>
            <w:noWrap/>
            <w:vAlign w:val="bottom"/>
            <w:hideMark/>
          </w:tcPr>
          <w:p w14:paraId="448F80E0" w14:textId="77777777" w:rsidR="000A088A" w:rsidRPr="000A088A" w:rsidRDefault="000A088A" w:rsidP="000A088A">
            <w:pPr>
              <w:spacing w:after="0" w:line="240" w:lineRule="auto"/>
              <w:jc w:val="right"/>
              <w:rPr>
                <w:rFonts w:ascii="Times New Roman" w:hAnsi="Times New Roman"/>
              </w:rPr>
            </w:pPr>
          </w:p>
        </w:tc>
        <w:tc>
          <w:tcPr>
            <w:tcW w:w="557" w:type="pct"/>
            <w:tcBorders>
              <w:top w:val="nil"/>
              <w:left w:val="nil"/>
              <w:bottom w:val="nil"/>
              <w:right w:val="nil"/>
            </w:tcBorders>
            <w:shd w:val="clear" w:color="auto" w:fill="auto"/>
            <w:noWrap/>
            <w:vAlign w:val="bottom"/>
            <w:hideMark/>
          </w:tcPr>
          <w:p w14:paraId="504FF900" w14:textId="77777777" w:rsidR="000A088A" w:rsidRPr="000A088A" w:rsidRDefault="000A088A" w:rsidP="000A088A">
            <w:pPr>
              <w:spacing w:after="0" w:line="240" w:lineRule="auto"/>
              <w:jc w:val="left"/>
              <w:rPr>
                <w:rFonts w:ascii="Times New Roman" w:hAnsi="Times New Roman"/>
              </w:rPr>
            </w:pPr>
          </w:p>
        </w:tc>
        <w:tc>
          <w:tcPr>
            <w:tcW w:w="529" w:type="pct"/>
            <w:tcBorders>
              <w:top w:val="nil"/>
              <w:left w:val="nil"/>
              <w:bottom w:val="nil"/>
              <w:right w:val="nil"/>
            </w:tcBorders>
            <w:shd w:val="clear" w:color="auto" w:fill="auto"/>
            <w:noWrap/>
            <w:vAlign w:val="bottom"/>
            <w:hideMark/>
          </w:tcPr>
          <w:p w14:paraId="271056DC" w14:textId="77777777" w:rsidR="000A088A" w:rsidRPr="000A088A" w:rsidRDefault="000A088A" w:rsidP="000A088A">
            <w:pPr>
              <w:spacing w:after="0" w:line="240" w:lineRule="auto"/>
              <w:jc w:val="left"/>
              <w:rPr>
                <w:rFonts w:ascii="Times New Roman" w:hAnsi="Times New Roman"/>
              </w:rPr>
            </w:pPr>
          </w:p>
        </w:tc>
      </w:tr>
      <w:tr w:rsidR="000A088A" w:rsidRPr="000A088A" w14:paraId="6264CE14" w14:textId="77777777" w:rsidTr="000A088A">
        <w:trPr>
          <w:trHeight w:hRule="exact" w:val="225"/>
        </w:trPr>
        <w:tc>
          <w:tcPr>
            <w:tcW w:w="2029" w:type="pct"/>
            <w:tcBorders>
              <w:top w:val="single" w:sz="4" w:space="0" w:color="000000"/>
              <w:left w:val="nil"/>
              <w:bottom w:val="nil"/>
              <w:right w:val="nil"/>
            </w:tcBorders>
            <w:shd w:val="clear" w:color="auto" w:fill="auto"/>
            <w:noWrap/>
            <w:vAlign w:val="bottom"/>
            <w:hideMark/>
          </w:tcPr>
          <w:p w14:paraId="28AE70FC" w14:textId="77777777" w:rsidR="000A088A" w:rsidRPr="000A088A" w:rsidRDefault="000A088A" w:rsidP="000A088A">
            <w:pPr>
              <w:spacing w:after="0" w:line="240" w:lineRule="auto"/>
              <w:jc w:val="left"/>
              <w:rPr>
                <w:rFonts w:ascii="Arial" w:hAnsi="Arial" w:cs="Arial"/>
                <w:color w:val="000000"/>
                <w:sz w:val="16"/>
                <w:szCs w:val="16"/>
              </w:rPr>
            </w:pPr>
            <w:r w:rsidRPr="000A088A">
              <w:rPr>
                <w:rFonts w:ascii="Arial" w:hAnsi="Arial" w:cs="Arial"/>
                <w:color w:val="000000"/>
                <w:sz w:val="16"/>
                <w:szCs w:val="16"/>
              </w:rPr>
              <w:t> </w:t>
            </w:r>
          </w:p>
        </w:tc>
        <w:tc>
          <w:tcPr>
            <w:tcW w:w="628" w:type="pct"/>
            <w:tcBorders>
              <w:top w:val="single" w:sz="4" w:space="0" w:color="auto"/>
              <w:left w:val="nil"/>
              <w:bottom w:val="single" w:sz="4" w:space="0" w:color="auto"/>
              <w:right w:val="nil"/>
            </w:tcBorders>
            <w:shd w:val="clear" w:color="auto" w:fill="auto"/>
            <w:noWrap/>
            <w:vAlign w:val="bottom"/>
            <w:hideMark/>
          </w:tcPr>
          <w:p w14:paraId="4731437F"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2020-21</w:t>
            </w:r>
          </w:p>
        </w:tc>
        <w:tc>
          <w:tcPr>
            <w:tcW w:w="628" w:type="pct"/>
            <w:tcBorders>
              <w:top w:val="single" w:sz="4" w:space="0" w:color="auto"/>
              <w:left w:val="nil"/>
              <w:bottom w:val="single" w:sz="4" w:space="0" w:color="auto"/>
              <w:right w:val="nil"/>
            </w:tcBorders>
            <w:shd w:val="clear" w:color="000000" w:fill="E6E6E6"/>
            <w:noWrap/>
            <w:vAlign w:val="bottom"/>
            <w:hideMark/>
          </w:tcPr>
          <w:p w14:paraId="47F731B5"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2021-22</w:t>
            </w:r>
          </w:p>
        </w:tc>
        <w:tc>
          <w:tcPr>
            <w:tcW w:w="628" w:type="pct"/>
            <w:tcBorders>
              <w:top w:val="nil"/>
              <w:left w:val="nil"/>
              <w:bottom w:val="nil"/>
              <w:right w:val="nil"/>
            </w:tcBorders>
            <w:shd w:val="clear" w:color="auto" w:fill="auto"/>
            <w:noWrap/>
            <w:vAlign w:val="bottom"/>
            <w:hideMark/>
          </w:tcPr>
          <w:p w14:paraId="713ACD09" w14:textId="77777777" w:rsidR="000A088A" w:rsidRPr="000A088A" w:rsidRDefault="000A088A" w:rsidP="000A088A">
            <w:pPr>
              <w:spacing w:after="0" w:line="240" w:lineRule="auto"/>
              <w:jc w:val="right"/>
              <w:rPr>
                <w:rFonts w:ascii="Arial" w:hAnsi="Arial" w:cs="Arial"/>
                <w:sz w:val="16"/>
                <w:szCs w:val="16"/>
              </w:rPr>
            </w:pPr>
          </w:p>
        </w:tc>
        <w:tc>
          <w:tcPr>
            <w:tcW w:w="557" w:type="pct"/>
            <w:tcBorders>
              <w:top w:val="nil"/>
              <w:left w:val="nil"/>
              <w:bottom w:val="nil"/>
              <w:right w:val="nil"/>
            </w:tcBorders>
            <w:shd w:val="clear" w:color="auto" w:fill="auto"/>
            <w:noWrap/>
            <w:vAlign w:val="bottom"/>
            <w:hideMark/>
          </w:tcPr>
          <w:p w14:paraId="77D8BBC4" w14:textId="77777777" w:rsidR="000A088A" w:rsidRPr="000A088A" w:rsidRDefault="000A088A" w:rsidP="000A088A">
            <w:pPr>
              <w:spacing w:after="0" w:line="240" w:lineRule="auto"/>
              <w:jc w:val="left"/>
              <w:rPr>
                <w:rFonts w:ascii="Times New Roman" w:hAnsi="Times New Roman"/>
              </w:rPr>
            </w:pPr>
          </w:p>
        </w:tc>
        <w:tc>
          <w:tcPr>
            <w:tcW w:w="529" w:type="pct"/>
            <w:tcBorders>
              <w:top w:val="nil"/>
              <w:left w:val="nil"/>
              <w:bottom w:val="nil"/>
              <w:right w:val="nil"/>
            </w:tcBorders>
            <w:shd w:val="clear" w:color="auto" w:fill="auto"/>
            <w:noWrap/>
            <w:vAlign w:val="bottom"/>
            <w:hideMark/>
          </w:tcPr>
          <w:p w14:paraId="50A844D0" w14:textId="77777777" w:rsidR="000A088A" w:rsidRPr="000A088A" w:rsidRDefault="000A088A" w:rsidP="000A088A">
            <w:pPr>
              <w:spacing w:after="0" w:line="240" w:lineRule="auto"/>
              <w:jc w:val="left"/>
              <w:rPr>
                <w:rFonts w:ascii="Times New Roman" w:hAnsi="Times New Roman"/>
              </w:rPr>
            </w:pPr>
          </w:p>
        </w:tc>
      </w:tr>
      <w:tr w:rsidR="000A088A" w:rsidRPr="000A088A" w14:paraId="20D09AA2" w14:textId="77777777" w:rsidTr="000A088A">
        <w:trPr>
          <w:trHeight w:hRule="exact" w:val="225"/>
        </w:trPr>
        <w:tc>
          <w:tcPr>
            <w:tcW w:w="2029" w:type="pct"/>
            <w:tcBorders>
              <w:top w:val="nil"/>
              <w:left w:val="nil"/>
              <w:bottom w:val="single" w:sz="4" w:space="0" w:color="000000"/>
              <w:right w:val="nil"/>
            </w:tcBorders>
            <w:shd w:val="clear" w:color="auto" w:fill="auto"/>
            <w:noWrap/>
            <w:vAlign w:val="bottom"/>
            <w:hideMark/>
          </w:tcPr>
          <w:p w14:paraId="5042D265" w14:textId="77777777" w:rsidR="000A088A" w:rsidRPr="000A088A" w:rsidRDefault="000A088A" w:rsidP="000A088A">
            <w:pPr>
              <w:spacing w:after="0" w:line="240" w:lineRule="auto"/>
              <w:jc w:val="left"/>
              <w:rPr>
                <w:rFonts w:ascii="Arial" w:hAnsi="Arial" w:cs="Arial"/>
                <w:b/>
                <w:bCs/>
                <w:color w:val="000000"/>
                <w:sz w:val="16"/>
                <w:szCs w:val="16"/>
              </w:rPr>
            </w:pPr>
            <w:r w:rsidRPr="000A088A">
              <w:rPr>
                <w:rFonts w:ascii="Arial" w:hAnsi="Arial" w:cs="Arial"/>
                <w:b/>
                <w:bCs/>
                <w:color w:val="000000"/>
                <w:sz w:val="16"/>
                <w:szCs w:val="16"/>
              </w:rPr>
              <w:t>Average staffing level (number)</w:t>
            </w:r>
          </w:p>
        </w:tc>
        <w:tc>
          <w:tcPr>
            <w:tcW w:w="628" w:type="pct"/>
            <w:tcBorders>
              <w:top w:val="nil"/>
              <w:left w:val="nil"/>
              <w:bottom w:val="single" w:sz="4" w:space="0" w:color="auto"/>
              <w:right w:val="nil"/>
            </w:tcBorders>
            <w:shd w:val="clear" w:color="auto" w:fill="auto"/>
            <w:noWrap/>
            <w:vAlign w:val="bottom"/>
            <w:hideMark/>
          </w:tcPr>
          <w:p w14:paraId="2E8E5392" w14:textId="77777777" w:rsidR="000A088A" w:rsidRPr="000A088A" w:rsidRDefault="000A088A" w:rsidP="000A088A">
            <w:pPr>
              <w:spacing w:after="0" w:line="240" w:lineRule="auto"/>
              <w:jc w:val="right"/>
              <w:rPr>
                <w:rFonts w:ascii="Arial" w:hAnsi="Arial" w:cs="Arial"/>
                <w:color w:val="000000"/>
                <w:sz w:val="16"/>
                <w:szCs w:val="16"/>
              </w:rPr>
            </w:pPr>
            <w:r w:rsidRPr="000A088A">
              <w:rPr>
                <w:rFonts w:ascii="Arial" w:hAnsi="Arial" w:cs="Arial"/>
                <w:color w:val="000000"/>
                <w:sz w:val="16"/>
                <w:szCs w:val="16"/>
              </w:rPr>
              <w:t xml:space="preserve">167 </w:t>
            </w:r>
          </w:p>
        </w:tc>
        <w:tc>
          <w:tcPr>
            <w:tcW w:w="628" w:type="pct"/>
            <w:tcBorders>
              <w:top w:val="nil"/>
              <w:left w:val="nil"/>
              <w:bottom w:val="single" w:sz="4" w:space="0" w:color="auto"/>
              <w:right w:val="nil"/>
            </w:tcBorders>
            <w:shd w:val="clear" w:color="000000" w:fill="E6E6E6"/>
            <w:noWrap/>
            <w:vAlign w:val="bottom"/>
            <w:hideMark/>
          </w:tcPr>
          <w:p w14:paraId="2528CA94"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 xml:space="preserve">190 </w:t>
            </w:r>
          </w:p>
        </w:tc>
        <w:tc>
          <w:tcPr>
            <w:tcW w:w="628" w:type="pct"/>
            <w:tcBorders>
              <w:top w:val="nil"/>
              <w:left w:val="nil"/>
              <w:bottom w:val="nil"/>
              <w:right w:val="nil"/>
            </w:tcBorders>
            <w:shd w:val="clear" w:color="auto" w:fill="auto"/>
            <w:noWrap/>
            <w:vAlign w:val="bottom"/>
            <w:hideMark/>
          </w:tcPr>
          <w:p w14:paraId="28F04EA2" w14:textId="77777777" w:rsidR="000A088A" w:rsidRPr="000A088A" w:rsidRDefault="000A088A" w:rsidP="000A088A">
            <w:pPr>
              <w:spacing w:after="0" w:line="240" w:lineRule="auto"/>
              <w:jc w:val="right"/>
              <w:rPr>
                <w:rFonts w:ascii="Arial" w:hAnsi="Arial" w:cs="Arial"/>
                <w:sz w:val="16"/>
                <w:szCs w:val="16"/>
              </w:rPr>
            </w:pPr>
          </w:p>
        </w:tc>
        <w:tc>
          <w:tcPr>
            <w:tcW w:w="557" w:type="pct"/>
            <w:tcBorders>
              <w:top w:val="nil"/>
              <w:left w:val="nil"/>
              <w:bottom w:val="nil"/>
              <w:right w:val="nil"/>
            </w:tcBorders>
            <w:shd w:val="clear" w:color="auto" w:fill="auto"/>
            <w:noWrap/>
            <w:vAlign w:val="bottom"/>
            <w:hideMark/>
          </w:tcPr>
          <w:p w14:paraId="26055F8A" w14:textId="77777777" w:rsidR="000A088A" w:rsidRPr="000A088A" w:rsidRDefault="000A088A" w:rsidP="000A088A">
            <w:pPr>
              <w:spacing w:after="0" w:line="240" w:lineRule="auto"/>
              <w:jc w:val="left"/>
              <w:rPr>
                <w:rFonts w:ascii="Times New Roman" w:hAnsi="Times New Roman"/>
              </w:rPr>
            </w:pPr>
          </w:p>
        </w:tc>
        <w:tc>
          <w:tcPr>
            <w:tcW w:w="529" w:type="pct"/>
            <w:tcBorders>
              <w:top w:val="nil"/>
              <w:left w:val="nil"/>
              <w:bottom w:val="nil"/>
              <w:right w:val="nil"/>
            </w:tcBorders>
            <w:shd w:val="clear" w:color="auto" w:fill="auto"/>
            <w:noWrap/>
            <w:vAlign w:val="bottom"/>
            <w:hideMark/>
          </w:tcPr>
          <w:p w14:paraId="372EFDEF" w14:textId="77777777" w:rsidR="000A088A" w:rsidRPr="000A088A" w:rsidRDefault="000A088A" w:rsidP="000A088A">
            <w:pPr>
              <w:spacing w:after="0" w:line="240" w:lineRule="auto"/>
              <w:jc w:val="left"/>
              <w:rPr>
                <w:rFonts w:ascii="Times New Roman" w:hAnsi="Times New Roman"/>
              </w:rPr>
            </w:pPr>
          </w:p>
        </w:tc>
      </w:tr>
    </w:tbl>
    <w:p w14:paraId="192C4BBE" w14:textId="4481B767" w:rsidR="00923AEB" w:rsidRPr="00950281" w:rsidRDefault="00923AEB" w:rsidP="003E4D9D">
      <w:pPr>
        <w:pStyle w:val="ChartandTableFootnoteAlpha"/>
        <w:numPr>
          <w:ilvl w:val="0"/>
          <w:numId w:val="9"/>
        </w:numPr>
      </w:pPr>
      <w:r w:rsidRPr="00950281">
        <w:t>E</w:t>
      </w:r>
      <w:r>
        <w:t>stimated e</w:t>
      </w:r>
      <w:r w:rsidRPr="00950281">
        <w:t xml:space="preserve">xpenses </w:t>
      </w:r>
      <w:r>
        <w:t>incurred in relation to receipts retained under section 74 of the PGPA Act</w:t>
      </w:r>
      <w:r w:rsidRPr="006922DC">
        <w:t>.</w:t>
      </w:r>
    </w:p>
    <w:p w14:paraId="53627876" w14:textId="77777777" w:rsidR="00923AEB" w:rsidRDefault="00923AEB" w:rsidP="000A088A">
      <w:pPr>
        <w:pStyle w:val="ChartandTableFootnoteAlpha"/>
      </w:pPr>
      <w:r w:rsidRPr="00950281">
        <w:t>Expenses not requiring appropriation in the Budget year are made up of depreciation expenses, amortisation expenses, audit fees</w:t>
      </w:r>
      <w:r>
        <w:t xml:space="preserve"> and other resources received free of charge</w:t>
      </w:r>
      <w:r w:rsidRPr="00950281">
        <w:t>.</w:t>
      </w:r>
    </w:p>
    <w:p w14:paraId="5486B151" w14:textId="0E560602" w:rsidR="006922DC" w:rsidRPr="00B166C6" w:rsidRDefault="00923AEB" w:rsidP="00736CA6">
      <w:pPr>
        <w:pStyle w:val="ChartandTableFootnoteAlpha"/>
        <w:numPr>
          <w:ilvl w:val="0"/>
          <w:numId w:val="0"/>
        </w:numPr>
      </w:pPr>
      <w:r w:rsidRPr="008E4ECE">
        <w:t>Figures displayed as a negative (</w:t>
      </w:r>
      <w:r w:rsidR="00E6396A">
        <w:noBreakHyphen/>
      </w:r>
      <w:r w:rsidRPr="008E4ECE">
        <w:t>) represent a decrease in funds and a positive (+) represent an increase in funds.</w:t>
      </w:r>
      <w:r w:rsidR="007649AD">
        <w:br w:type="page"/>
      </w:r>
    </w:p>
    <w:p w14:paraId="4E4D628B" w14:textId="77777777" w:rsidR="00C854F5" w:rsidRPr="00CA05AE" w:rsidRDefault="008E5BB7" w:rsidP="00E5444F">
      <w:pPr>
        <w:pStyle w:val="TableHeading"/>
        <w:rPr>
          <w:lang w:val="en-AU"/>
        </w:rPr>
      </w:pPr>
      <w:bookmarkStart w:id="25" w:name="_Toc190682315"/>
      <w:bookmarkStart w:id="26" w:name="_Toc190682532"/>
      <w:bookmarkEnd w:id="20"/>
      <w:bookmarkEnd w:id="21"/>
      <w:r w:rsidRPr="00F71634">
        <w:lastRenderedPageBreak/>
        <w:t>Table 2.</w:t>
      </w:r>
      <w:r w:rsidR="00BE1819">
        <w:rPr>
          <w:lang w:val="en-AU"/>
        </w:rPr>
        <w:t>2</w:t>
      </w:r>
      <w:r w:rsidRPr="00F71634">
        <w:t xml:space="preserve">: Performance criteria for Outcome </w:t>
      </w:r>
      <w:r w:rsidR="00CA05AE">
        <w:rPr>
          <w:lang w:val="en-AU"/>
        </w:rPr>
        <w:t>1</w:t>
      </w:r>
    </w:p>
    <w:p w14:paraId="2E3214D7" w14:textId="77777777" w:rsidR="00923AEB" w:rsidRDefault="00923AEB" w:rsidP="00923AEB">
      <w:r w:rsidRPr="00B166C6">
        <w:t>Table 2.</w:t>
      </w:r>
      <w:r>
        <w:t>2</w:t>
      </w:r>
      <w:r w:rsidRPr="00B166C6">
        <w:t xml:space="preserve"> below details the performance criteria for </w:t>
      </w:r>
      <w:r>
        <w:t>the</w:t>
      </w:r>
      <w:r w:rsidRPr="00B166C6">
        <w:t xml:space="preserve"> program associated with Outcome </w:t>
      </w:r>
      <w:r>
        <w:t xml:space="preserve">1, and </w:t>
      </w:r>
      <w:r w:rsidRPr="00B166C6">
        <w:t xml:space="preserve">summarises how </w:t>
      </w:r>
      <w:r>
        <w:t>that</w:t>
      </w:r>
      <w:r w:rsidRPr="00B166C6">
        <w:t xml:space="preserve"> program is delivered</w:t>
      </w:r>
      <w:r>
        <w:t>.</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906"/>
      </w:tblGrid>
      <w:tr w:rsidR="00923AEB" w:rsidRPr="00F71634" w14:paraId="545FDFC4" w14:textId="77777777" w:rsidTr="20F2F36B">
        <w:trPr>
          <w:tblHeader/>
        </w:trPr>
        <w:tc>
          <w:tcPr>
            <w:tcW w:w="7741" w:type="dxa"/>
            <w:gridSpan w:val="2"/>
            <w:shd w:val="clear" w:color="auto" w:fill="F2F2F2" w:themeFill="background1" w:themeFillShade="F2"/>
          </w:tcPr>
          <w:p w14:paraId="525650A0" w14:textId="2BCF4E38" w:rsidR="00923AEB" w:rsidRPr="006906E4" w:rsidRDefault="00923AEB" w:rsidP="004476E1">
            <w:pPr>
              <w:pStyle w:val="TableColumnHeadingLeft"/>
            </w:pPr>
            <w:r w:rsidRPr="006906E4">
              <w:t xml:space="preserve">Outcome </w:t>
            </w:r>
            <w:r>
              <w:t>1</w:t>
            </w:r>
            <w:r w:rsidRPr="006906E4">
              <w:t xml:space="preserve"> – </w:t>
            </w:r>
            <w:r w:rsidRPr="00E67CFC">
              <w:rPr>
                <w:b w:val="0"/>
              </w:rPr>
              <w:t>Well</w:t>
            </w:r>
            <w:r w:rsidR="00E6396A">
              <w:rPr>
                <w:b w:val="0"/>
              </w:rPr>
              <w:noBreakHyphen/>
            </w:r>
            <w:r w:rsidRPr="00E67CFC">
              <w:rPr>
                <w:b w:val="0"/>
              </w:rPr>
              <w:t>informed policy decision</w:t>
            </w:r>
            <w:r w:rsidR="00E6396A">
              <w:rPr>
                <w:b w:val="0"/>
              </w:rPr>
              <w:noBreakHyphen/>
            </w:r>
            <w:r w:rsidRPr="00E67CFC">
              <w:rPr>
                <w:b w:val="0"/>
              </w:rPr>
              <w:t>making and public understanding on matters relating to Australia</w:t>
            </w:r>
            <w:r w:rsidR="00E6396A">
              <w:rPr>
                <w:b w:val="0"/>
              </w:rPr>
              <w:t>’</w:t>
            </w:r>
            <w:r w:rsidRPr="00E67CFC">
              <w:rPr>
                <w:b w:val="0"/>
              </w:rPr>
              <w:t>s productivity and living standards, based on independent and transparent analysis from a community</w:t>
            </w:r>
            <w:r w:rsidR="00E6396A">
              <w:rPr>
                <w:b w:val="0"/>
              </w:rPr>
              <w:noBreakHyphen/>
            </w:r>
            <w:r w:rsidRPr="00E67CFC">
              <w:rPr>
                <w:b w:val="0"/>
              </w:rPr>
              <w:t>wide perspective</w:t>
            </w:r>
          </w:p>
        </w:tc>
      </w:tr>
      <w:tr w:rsidR="00923AEB" w:rsidRPr="00F71634" w14:paraId="294DBAEF" w14:textId="77777777" w:rsidTr="20F2F36B">
        <w:trPr>
          <w:tblHeader/>
        </w:trPr>
        <w:tc>
          <w:tcPr>
            <w:tcW w:w="7741" w:type="dxa"/>
            <w:gridSpan w:val="2"/>
            <w:shd w:val="clear" w:color="auto" w:fill="F2F2F2" w:themeFill="background1" w:themeFillShade="F2"/>
          </w:tcPr>
          <w:p w14:paraId="7D1853A4" w14:textId="3A2385BC" w:rsidR="00923AEB" w:rsidRPr="006906E4" w:rsidRDefault="00923AEB" w:rsidP="004476E1">
            <w:pPr>
              <w:tabs>
                <w:tab w:val="left" w:pos="709"/>
              </w:tabs>
              <w:spacing w:before="60" w:after="60" w:line="240" w:lineRule="auto"/>
              <w:jc w:val="left"/>
              <w:rPr>
                <w:rFonts w:ascii="Arial" w:hAnsi="Arial" w:cs="Arial"/>
                <w:sz w:val="16"/>
                <w:szCs w:val="16"/>
              </w:rPr>
            </w:pPr>
            <w:r w:rsidRPr="006906E4">
              <w:rPr>
                <w:rFonts w:ascii="Arial" w:hAnsi="Arial" w:cs="Arial"/>
                <w:b/>
                <w:sz w:val="16"/>
                <w:szCs w:val="16"/>
              </w:rPr>
              <w:t xml:space="preserve">Program </w:t>
            </w:r>
            <w:r>
              <w:rPr>
                <w:rFonts w:ascii="Arial" w:hAnsi="Arial" w:cs="Arial"/>
                <w:b/>
                <w:sz w:val="16"/>
                <w:szCs w:val="16"/>
              </w:rPr>
              <w:t>1</w:t>
            </w:r>
            <w:r w:rsidRPr="003A28E3">
              <w:rPr>
                <w:rFonts w:ascii="Arial" w:hAnsi="Arial" w:cs="Arial"/>
                <w:b/>
                <w:sz w:val="16"/>
                <w:szCs w:val="16"/>
              </w:rPr>
              <w:t>.</w:t>
            </w:r>
            <w:r>
              <w:rPr>
                <w:rFonts w:ascii="Arial" w:hAnsi="Arial" w:cs="Arial"/>
                <w:b/>
                <w:sz w:val="16"/>
                <w:szCs w:val="16"/>
              </w:rPr>
              <w:t>1</w:t>
            </w:r>
            <w:r w:rsidRPr="003A28E3">
              <w:rPr>
                <w:rFonts w:ascii="Arial" w:hAnsi="Arial" w:cs="Arial"/>
                <w:sz w:val="16"/>
                <w:szCs w:val="16"/>
              </w:rPr>
              <w:t xml:space="preserve"> –</w:t>
            </w:r>
            <w:r>
              <w:rPr>
                <w:rFonts w:ascii="Arial" w:hAnsi="Arial" w:cs="Arial"/>
                <w:sz w:val="16"/>
                <w:szCs w:val="16"/>
              </w:rPr>
              <w:t xml:space="preserve"> </w:t>
            </w:r>
            <w:r w:rsidRPr="00285932">
              <w:rPr>
                <w:rFonts w:ascii="Arial" w:hAnsi="Arial" w:cs="Arial"/>
                <w:sz w:val="16"/>
                <w:szCs w:val="16"/>
              </w:rPr>
              <w:t xml:space="preserve">The </w:t>
            </w:r>
            <w:r w:rsidRPr="001369AD">
              <w:rPr>
                <w:rFonts w:ascii="Arial" w:hAnsi="Arial" w:cs="Arial"/>
                <w:sz w:val="16"/>
                <w:szCs w:val="16"/>
              </w:rPr>
              <w:t xml:space="preserve">Commission provides </w:t>
            </w:r>
            <w:r>
              <w:rPr>
                <w:rFonts w:ascii="Arial" w:hAnsi="Arial" w:cs="Arial"/>
                <w:sz w:val="16"/>
                <w:szCs w:val="16"/>
              </w:rPr>
              <w:t>governments and the Australian community with information and advice that better informs policy decisions to improve Australians</w:t>
            </w:r>
            <w:r w:rsidR="00E6396A">
              <w:rPr>
                <w:rFonts w:ascii="Arial" w:hAnsi="Arial" w:cs="Arial"/>
                <w:sz w:val="16"/>
                <w:szCs w:val="16"/>
              </w:rPr>
              <w:t>’</w:t>
            </w:r>
            <w:r>
              <w:rPr>
                <w:rFonts w:ascii="Arial" w:hAnsi="Arial" w:cs="Arial"/>
                <w:sz w:val="16"/>
                <w:szCs w:val="16"/>
              </w:rPr>
              <w:t xml:space="preserve"> wellbeing.</w:t>
            </w:r>
          </w:p>
        </w:tc>
      </w:tr>
      <w:tr w:rsidR="00923AEB" w:rsidRPr="00F71634" w14:paraId="26552BCE" w14:textId="77777777" w:rsidTr="20F2F36B">
        <w:tc>
          <w:tcPr>
            <w:tcW w:w="2835" w:type="dxa"/>
            <w:tcBorders>
              <w:bottom w:val="double" w:sz="4" w:space="0" w:color="auto"/>
            </w:tcBorders>
          </w:tcPr>
          <w:p w14:paraId="26091C25" w14:textId="77777777" w:rsidR="00923AEB" w:rsidRPr="006906E4" w:rsidRDefault="00923AEB" w:rsidP="004476E1">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4906" w:type="dxa"/>
            <w:tcBorders>
              <w:bottom w:val="double" w:sz="4" w:space="0" w:color="auto"/>
            </w:tcBorders>
          </w:tcPr>
          <w:p w14:paraId="46898F8F" w14:textId="5357F7A0" w:rsidR="00923AEB" w:rsidRPr="006906E4" w:rsidRDefault="00923AEB" w:rsidP="004476E1">
            <w:pPr>
              <w:tabs>
                <w:tab w:val="left" w:pos="709"/>
              </w:tabs>
              <w:spacing w:before="60" w:after="60" w:line="240" w:lineRule="auto"/>
              <w:jc w:val="left"/>
              <w:rPr>
                <w:rFonts w:ascii="Arial" w:hAnsi="Arial" w:cs="Arial"/>
                <w:i/>
                <w:color w:val="FF0000"/>
                <w:sz w:val="16"/>
                <w:szCs w:val="16"/>
              </w:rPr>
            </w:pPr>
            <w:r>
              <w:rPr>
                <w:rFonts w:ascii="Arial" w:hAnsi="Arial" w:cs="Arial"/>
                <w:sz w:val="16"/>
                <w:szCs w:val="16"/>
              </w:rPr>
              <w:t>The Commission undertakes inquiries, research, and performance reporting and analysis. It provides robust analysis and advice on a range of economic, social and environmental issues, taking a community</w:t>
            </w:r>
            <w:r w:rsidR="00E6396A">
              <w:rPr>
                <w:rFonts w:ascii="Arial" w:hAnsi="Arial" w:cs="Arial"/>
                <w:sz w:val="16"/>
                <w:szCs w:val="16"/>
              </w:rPr>
              <w:noBreakHyphen/>
            </w:r>
            <w:r>
              <w:rPr>
                <w:rFonts w:ascii="Arial" w:hAnsi="Arial" w:cs="Arial"/>
                <w:sz w:val="16"/>
                <w:szCs w:val="16"/>
              </w:rPr>
              <w:t>wide perspective. The Commission engages widely, including through hearings, release of draft reports, roundtables, seminars and submissions, to seek informed input to its reports.</w:t>
            </w:r>
          </w:p>
        </w:tc>
      </w:tr>
      <w:tr w:rsidR="00923AEB" w:rsidRPr="00F71634" w14:paraId="02DA1D59" w14:textId="77777777" w:rsidTr="20F2F36B">
        <w:tc>
          <w:tcPr>
            <w:tcW w:w="7741" w:type="dxa"/>
            <w:gridSpan w:val="2"/>
            <w:tcBorders>
              <w:top w:val="double" w:sz="4" w:space="0" w:color="auto"/>
              <w:bottom w:val="double" w:sz="4" w:space="0" w:color="auto"/>
            </w:tcBorders>
          </w:tcPr>
          <w:p w14:paraId="2C7E42EC" w14:textId="77777777" w:rsidR="00923AEB" w:rsidRPr="006906E4" w:rsidRDefault="00923AEB" w:rsidP="004476E1">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923AEB" w:rsidRPr="00F71634" w14:paraId="20D78BB8" w14:textId="77777777" w:rsidTr="20F2F36B">
        <w:tc>
          <w:tcPr>
            <w:tcW w:w="2835" w:type="dxa"/>
            <w:tcBorders>
              <w:top w:val="double" w:sz="4" w:space="0" w:color="auto"/>
              <w:left w:val="single" w:sz="4" w:space="0" w:color="auto"/>
              <w:bottom w:val="single" w:sz="4" w:space="0" w:color="auto"/>
              <w:right w:val="single" w:sz="4" w:space="0" w:color="auto"/>
            </w:tcBorders>
          </w:tcPr>
          <w:p w14:paraId="04A488FF" w14:textId="77777777" w:rsidR="00923AEB" w:rsidRPr="006906E4" w:rsidRDefault="00923AEB" w:rsidP="004476E1">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4906" w:type="dxa"/>
            <w:tcBorders>
              <w:top w:val="double" w:sz="4" w:space="0" w:color="auto"/>
              <w:left w:val="single" w:sz="4" w:space="0" w:color="auto"/>
              <w:bottom w:val="single" w:sz="4" w:space="0" w:color="auto"/>
            </w:tcBorders>
          </w:tcPr>
          <w:p w14:paraId="372851D1" w14:textId="1A30A151" w:rsidR="00923AEB" w:rsidRPr="006906E4" w:rsidRDefault="00923AEB" w:rsidP="004476E1">
            <w:pPr>
              <w:tabs>
                <w:tab w:val="left" w:pos="709"/>
              </w:tabs>
              <w:spacing w:before="60" w:after="60" w:line="240" w:lineRule="auto"/>
              <w:jc w:val="left"/>
              <w:rPr>
                <w:rFonts w:ascii="Arial" w:hAnsi="Arial" w:cs="Arial"/>
                <w:b/>
                <w:sz w:val="16"/>
                <w:szCs w:val="16"/>
              </w:rPr>
            </w:pPr>
            <w:r>
              <w:rPr>
                <w:rFonts w:ascii="Arial" w:hAnsi="Arial" w:cs="Arial"/>
                <w:b/>
                <w:sz w:val="16"/>
                <w:szCs w:val="16"/>
              </w:rPr>
              <w:t>20</w:t>
            </w:r>
            <w:r w:rsidR="0032372D">
              <w:rPr>
                <w:rFonts w:ascii="Arial" w:hAnsi="Arial" w:cs="Arial"/>
                <w:b/>
                <w:sz w:val="16"/>
                <w:szCs w:val="16"/>
              </w:rPr>
              <w:t>2</w:t>
            </w:r>
            <w:r w:rsidR="00984E3B">
              <w:rPr>
                <w:rFonts w:ascii="Arial" w:hAnsi="Arial" w:cs="Arial"/>
                <w:b/>
                <w:sz w:val="16"/>
                <w:szCs w:val="16"/>
              </w:rPr>
              <w:t>2</w:t>
            </w:r>
            <w:r w:rsidR="00E6396A">
              <w:rPr>
                <w:rFonts w:ascii="Arial" w:hAnsi="Arial" w:cs="Arial"/>
                <w:b/>
                <w:sz w:val="16"/>
                <w:szCs w:val="16"/>
              </w:rPr>
              <w:noBreakHyphen/>
            </w:r>
            <w:r w:rsidR="0032372D">
              <w:rPr>
                <w:rFonts w:ascii="Arial" w:hAnsi="Arial" w:cs="Arial"/>
                <w:b/>
                <w:sz w:val="16"/>
                <w:szCs w:val="16"/>
              </w:rPr>
              <w:t>2</w:t>
            </w:r>
            <w:r w:rsidR="00984E3B">
              <w:rPr>
                <w:rFonts w:ascii="Arial" w:hAnsi="Arial" w:cs="Arial"/>
                <w:b/>
                <w:sz w:val="16"/>
                <w:szCs w:val="16"/>
              </w:rPr>
              <w:t>3</w:t>
            </w:r>
            <w:r>
              <w:rPr>
                <w:rFonts w:ascii="Arial" w:hAnsi="Arial" w:cs="Arial"/>
                <w:b/>
                <w:sz w:val="16"/>
                <w:szCs w:val="16"/>
              </w:rPr>
              <w:t xml:space="preserve"> and forward years</w:t>
            </w:r>
          </w:p>
        </w:tc>
      </w:tr>
      <w:tr w:rsidR="00923AEB" w:rsidRPr="00F71634" w14:paraId="4BA5E26A" w14:textId="77777777" w:rsidTr="20F2F36B">
        <w:trPr>
          <w:trHeight w:val="60"/>
        </w:trPr>
        <w:tc>
          <w:tcPr>
            <w:tcW w:w="2835" w:type="dxa"/>
            <w:tcBorders>
              <w:top w:val="single" w:sz="4" w:space="0" w:color="auto"/>
              <w:left w:val="single" w:sz="4" w:space="0" w:color="auto"/>
              <w:bottom w:val="dotted" w:sz="4" w:space="0" w:color="auto"/>
              <w:right w:val="single" w:sz="4" w:space="0" w:color="auto"/>
            </w:tcBorders>
          </w:tcPr>
          <w:p w14:paraId="0817E35F" w14:textId="516F1660" w:rsidR="00923AEB" w:rsidRPr="006906E4" w:rsidRDefault="00923AEB" w:rsidP="000A088A">
            <w:pPr>
              <w:tabs>
                <w:tab w:val="left" w:pos="709"/>
              </w:tabs>
              <w:spacing w:before="60" w:after="60" w:line="240" w:lineRule="auto"/>
              <w:jc w:val="left"/>
              <w:rPr>
                <w:i/>
                <w:color w:val="FF0000"/>
              </w:rPr>
            </w:pPr>
            <w:r w:rsidRPr="000A088A">
              <w:rPr>
                <w:rFonts w:ascii="Arial" w:hAnsi="Arial" w:cs="Arial"/>
                <w:sz w:val="16"/>
                <w:szCs w:val="16"/>
              </w:rPr>
              <w:t>The Commission aims to be a valuable source of robust evidence</w:t>
            </w:r>
            <w:r w:rsidR="00E6396A">
              <w:rPr>
                <w:rFonts w:ascii="Arial" w:hAnsi="Arial" w:cs="Arial"/>
                <w:sz w:val="16"/>
                <w:szCs w:val="16"/>
              </w:rPr>
              <w:noBreakHyphen/>
            </w:r>
            <w:r w:rsidRPr="000A088A">
              <w:rPr>
                <w:rFonts w:ascii="Arial" w:hAnsi="Arial" w:cs="Arial"/>
                <w:sz w:val="16"/>
                <w:szCs w:val="16"/>
              </w:rPr>
              <w:t>based analysis to inform public policy; to generate effective public debate; and have recognition that our approach to evidence</w:t>
            </w:r>
            <w:r w:rsidR="00E6396A">
              <w:rPr>
                <w:rFonts w:ascii="Arial" w:hAnsi="Arial" w:cs="Arial"/>
                <w:sz w:val="16"/>
                <w:szCs w:val="16"/>
              </w:rPr>
              <w:noBreakHyphen/>
            </w:r>
            <w:r w:rsidRPr="000A088A">
              <w:rPr>
                <w:rFonts w:ascii="Arial" w:hAnsi="Arial" w:cs="Arial"/>
                <w:sz w:val="16"/>
                <w:szCs w:val="16"/>
              </w:rPr>
              <w:t>based policy analysis is worthy of consideration by other governments. In doing so, it seeks to engage effectively with the community, have open and transparent processes, and provide timely reporting.</w:t>
            </w:r>
          </w:p>
        </w:tc>
        <w:tc>
          <w:tcPr>
            <w:tcW w:w="4906" w:type="dxa"/>
            <w:tcBorders>
              <w:top w:val="single" w:sz="4" w:space="0" w:color="auto"/>
              <w:left w:val="single" w:sz="4" w:space="0" w:color="auto"/>
              <w:bottom w:val="dotted" w:sz="4" w:space="0" w:color="auto"/>
            </w:tcBorders>
          </w:tcPr>
          <w:p w14:paraId="177A589B" w14:textId="1708A905" w:rsidR="00923AEB" w:rsidRPr="006906E4" w:rsidRDefault="00923AEB" w:rsidP="004476E1">
            <w:pPr>
              <w:tabs>
                <w:tab w:val="left" w:pos="709"/>
              </w:tabs>
              <w:spacing w:before="60" w:after="60" w:line="240" w:lineRule="auto"/>
              <w:jc w:val="left"/>
              <w:rPr>
                <w:rFonts w:ascii="Arial" w:hAnsi="Arial" w:cs="Arial"/>
                <w:i/>
                <w:color w:val="FF0000"/>
                <w:sz w:val="16"/>
                <w:szCs w:val="16"/>
              </w:rPr>
            </w:pPr>
            <w:r>
              <w:rPr>
                <w:rFonts w:ascii="Arial" w:hAnsi="Arial" w:cs="Arial"/>
                <w:sz w:val="16"/>
                <w:szCs w:val="16"/>
              </w:rPr>
              <w:t>A range of indicators inform the Commission</w:t>
            </w:r>
            <w:r w:rsidR="00E6396A">
              <w:rPr>
                <w:rFonts w:ascii="Arial" w:hAnsi="Arial" w:cs="Arial"/>
                <w:sz w:val="16"/>
                <w:szCs w:val="16"/>
              </w:rPr>
              <w:t>’</w:t>
            </w:r>
            <w:r>
              <w:rPr>
                <w:rFonts w:ascii="Arial" w:hAnsi="Arial" w:cs="Arial"/>
                <w:sz w:val="16"/>
                <w:szCs w:val="16"/>
              </w:rPr>
              <w:t>s performance assessment, including: the Commission</w:t>
            </w:r>
            <w:r w:rsidR="00E6396A">
              <w:rPr>
                <w:rFonts w:ascii="Arial" w:hAnsi="Arial" w:cs="Arial"/>
                <w:sz w:val="16"/>
                <w:szCs w:val="16"/>
              </w:rPr>
              <w:t>’</w:t>
            </w:r>
            <w:r>
              <w:rPr>
                <w:rFonts w:ascii="Arial" w:hAnsi="Arial" w:cs="Arial"/>
                <w:sz w:val="16"/>
                <w:szCs w:val="16"/>
              </w:rPr>
              <w:t>s work being widely referenced in public policy forums; projects and reports meeting commissioned timelines; and open and transparent processes being followed.</w:t>
            </w:r>
          </w:p>
        </w:tc>
      </w:tr>
      <w:tr w:rsidR="00923AEB" w:rsidRPr="00F71634" w14:paraId="2830A767" w14:textId="77777777" w:rsidTr="20F2F36B">
        <w:tc>
          <w:tcPr>
            <w:tcW w:w="2835" w:type="dxa"/>
          </w:tcPr>
          <w:p w14:paraId="35EBC783" w14:textId="77777777" w:rsidR="00923AEB" w:rsidRPr="006906E4" w:rsidRDefault="00923AEB" w:rsidP="004476E1">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Purposes</w:t>
            </w:r>
          </w:p>
        </w:tc>
        <w:tc>
          <w:tcPr>
            <w:tcW w:w="4906" w:type="dxa"/>
          </w:tcPr>
          <w:p w14:paraId="3151BF9D" w14:textId="61964DF3" w:rsidR="00923AEB" w:rsidRPr="006906E4" w:rsidRDefault="00923AEB" w:rsidP="004476E1">
            <w:pPr>
              <w:tabs>
                <w:tab w:val="left" w:pos="709"/>
              </w:tabs>
              <w:spacing w:before="60" w:after="60" w:line="240" w:lineRule="auto"/>
              <w:jc w:val="left"/>
              <w:rPr>
                <w:rFonts w:ascii="Arial" w:hAnsi="Arial" w:cs="Arial"/>
                <w:i/>
                <w:color w:val="FF0000"/>
                <w:sz w:val="16"/>
                <w:szCs w:val="16"/>
              </w:rPr>
            </w:pPr>
            <w:r>
              <w:rPr>
                <w:rFonts w:ascii="Arial" w:hAnsi="Arial" w:cs="Arial"/>
                <w:sz w:val="16"/>
                <w:szCs w:val="16"/>
              </w:rPr>
              <w:t>The Commission</w:t>
            </w:r>
            <w:r w:rsidR="00E6396A">
              <w:rPr>
                <w:rFonts w:ascii="Arial" w:hAnsi="Arial" w:cs="Arial"/>
                <w:sz w:val="16"/>
                <w:szCs w:val="16"/>
              </w:rPr>
              <w:t>’</w:t>
            </w:r>
            <w:r>
              <w:rPr>
                <w:rFonts w:ascii="Arial" w:hAnsi="Arial" w:cs="Arial"/>
                <w:sz w:val="16"/>
                <w:szCs w:val="16"/>
              </w:rPr>
              <w:t xml:space="preserve">s purpose, as embodied in the </w:t>
            </w:r>
            <w:r w:rsidRPr="00EF1DF9">
              <w:rPr>
                <w:rFonts w:ascii="Arial" w:hAnsi="Arial" w:cs="Arial"/>
                <w:i/>
                <w:sz w:val="16"/>
                <w:szCs w:val="16"/>
              </w:rPr>
              <w:t>Productivity Commission Act 1998</w:t>
            </w:r>
            <w:r>
              <w:rPr>
                <w:rFonts w:ascii="Arial" w:hAnsi="Arial" w:cs="Arial"/>
                <w:sz w:val="16"/>
                <w:szCs w:val="16"/>
              </w:rPr>
              <w:t>, is to provide governments and the Australian community with information and advice that better inform policy decisions to improve Australians</w:t>
            </w:r>
            <w:r w:rsidR="00E6396A">
              <w:rPr>
                <w:rFonts w:ascii="Arial" w:hAnsi="Arial" w:cs="Arial"/>
                <w:sz w:val="16"/>
                <w:szCs w:val="16"/>
              </w:rPr>
              <w:t>’</w:t>
            </w:r>
            <w:r>
              <w:rPr>
                <w:rFonts w:ascii="Arial" w:hAnsi="Arial" w:cs="Arial"/>
                <w:sz w:val="16"/>
                <w:szCs w:val="16"/>
              </w:rPr>
              <w:t xml:space="preserve"> wellbeing.</w:t>
            </w:r>
          </w:p>
        </w:tc>
      </w:tr>
    </w:tbl>
    <w:p w14:paraId="00851F2C" w14:textId="77777777" w:rsidR="000A088A" w:rsidRDefault="000A088A">
      <w:pPr>
        <w:spacing w:after="0" w:line="240" w:lineRule="auto"/>
        <w:jc w:val="left"/>
      </w:pPr>
      <w:r>
        <w:br w:type="page"/>
      </w:r>
    </w:p>
    <w:p w14:paraId="5B14E4D2" w14:textId="77777777" w:rsidR="002F530C" w:rsidRPr="00E33EE7" w:rsidRDefault="002F530C" w:rsidP="00E33EE7">
      <w:pPr>
        <w:pStyle w:val="Heading2"/>
        <w:rPr>
          <w:b w:val="0"/>
        </w:rPr>
      </w:pPr>
      <w:bookmarkStart w:id="27" w:name="_Toc444523516"/>
      <w:bookmarkStart w:id="28" w:name="_Toc99047066"/>
      <w:bookmarkEnd w:id="25"/>
      <w:bookmarkEnd w:id="26"/>
      <w:r w:rsidRPr="00E33EE7">
        <w:lastRenderedPageBreak/>
        <w:t>Section 3: Budgeted financial statements</w:t>
      </w:r>
      <w:bookmarkEnd w:id="27"/>
      <w:bookmarkEnd w:id="28"/>
    </w:p>
    <w:p w14:paraId="4B9B3EA1" w14:textId="1096C3BA" w:rsidR="00923AEB" w:rsidRDefault="00923AEB" w:rsidP="00923AEB">
      <w:r>
        <w:t>Section 3 presents budgeted financial statements which provide a comprehensive snapshot of</w:t>
      </w:r>
      <w:r w:rsidR="009936E6">
        <w:t xml:space="preserve"> entity finances for the 202</w:t>
      </w:r>
      <w:r w:rsidR="0032372D">
        <w:t>2</w:t>
      </w:r>
      <w:r w:rsidR="00E6396A">
        <w:noBreakHyphen/>
      </w:r>
      <w:r w:rsidR="0032372D">
        <w:t>23</w:t>
      </w:r>
      <w:r>
        <w:rPr>
          <w:color w:val="00B050"/>
        </w:rPr>
        <w:t xml:space="preserve"> </w:t>
      </w:r>
      <w:r>
        <w:t>budget year, including the impact of budget measures and resourcing on financial statements.</w:t>
      </w:r>
    </w:p>
    <w:p w14:paraId="1DBE875F" w14:textId="77777777" w:rsidR="00923AEB" w:rsidRPr="000A088A" w:rsidRDefault="00923AEB" w:rsidP="000A088A">
      <w:pPr>
        <w:pStyle w:val="Heading3"/>
      </w:pPr>
      <w:bookmarkStart w:id="29" w:name="_Toc1731164"/>
      <w:bookmarkStart w:id="30" w:name="_Toc99047067"/>
      <w:r w:rsidRPr="000A088A">
        <w:t>3.1</w:t>
      </w:r>
      <w:r w:rsidRPr="000A088A">
        <w:tab/>
        <w:t>Budgeted financial statements</w:t>
      </w:r>
      <w:bookmarkEnd w:id="29"/>
      <w:bookmarkEnd w:id="30"/>
    </w:p>
    <w:p w14:paraId="315C1C08" w14:textId="77777777" w:rsidR="00923AEB" w:rsidRPr="00E33EE7" w:rsidRDefault="00923AEB" w:rsidP="00E33EE7">
      <w:pPr>
        <w:pStyle w:val="Heading4"/>
      </w:pPr>
      <w:r w:rsidRPr="00E33EE7">
        <w:t>3.1.1</w:t>
      </w:r>
      <w:r w:rsidRPr="00E33EE7">
        <w:tab/>
        <w:t>Differences between entity resourcing and financial statements</w:t>
      </w:r>
    </w:p>
    <w:p w14:paraId="35AC348D" w14:textId="77777777" w:rsidR="00923AEB" w:rsidRPr="0079512E" w:rsidRDefault="00923AEB" w:rsidP="00923AEB">
      <w:r>
        <w:t>There are no material differences between entity resourcing and financial statements.</w:t>
      </w:r>
    </w:p>
    <w:p w14:paraId="2A68D04D" w14:textId="77777777" w:rsidR="00923AEB" w:rsidRPr="00E33EE7" w:rsidRDefault="00923AEB" w:rsidP="00E33EE7">
      <w:pPr>
        <w:pStyle w:val="Heading4"/>
      </w:pPr>
      <w:r w:rsidRPr="00E33EE7">
        <w:t>3.1.2</w:t>
      </w:r>
      <w:r w:rsidRPr="00E33EE7">
        <w:tab/>
        <w:t>Explanatory notes and analysis of budgeted financial statements</w:t>
      </w:r>
    </w:p>
    <w:p w14:paraId="3EE1F455" w14:textId="13DD4689" w:rsidR="00B03A95" w:rsidRDefault="00923AEB" w:rsidP="00B03A95">
      <w:pPr>
        <w:rPr>
          <w:rFonts w:ascii="Arial" w:hAnsi="Arial" w:cs="Arial"/>
          <w:b/>
          <w:sz w:val="26"/>
          <w:szCs w:val="26"/>
        </w:rPr>
      </w:pPr>
      <w:r w:rsidRPr="0010019C">
        <w:t>T</w:t>
      </w:r>
      <w:r>
        <w:t>he Commission</w:t>
      </w:r>
      <w:r w:rsidR="00B03A95">
        <w:t xml:space="preserve"> is budgeting for a break</w:t>
      </w:r>
      <w:r w:rsidR="00E6396A">
        <w:noBreakHyphen/>
      </w:r>
      <w:r w:rsidR="00B03A95">
        <w:t>even result in 202</w:t>
      </w:r>
      <w:r w:rsidR="0032372D">
        <w:t>2</w:t>
      </w:r>
      <w:r w:rsidR="00E6396A">
        <w:noBreakHyphen/>
      </w:r>
      <w:r w:rsidR="0032372D">
        <w:t>23</w:t>
      </w:r>
      <w:r w:rsidR="00B03A95">
        <w:t xml:space="preserve"> and the forward years.</w:t>
      </w:r>
      <w:r>
        <w:t xml:space="preserve"> </w:t>
      </w:r>
      <w:bookmarkStart w:id="31" w:name="_Toc444523518"/>
      <w:bookmarkStart w:id="32" w:name="_Toc511733324"/>
    </w:p>
    <w:p w14:paraId="7BCE9BD1" w14:textId="4A49C8EE" w:rsidR="000A088A" w:rsidRDefault="000A088A">
      <w:pPr>
        <w:spacing w:after="0" w:line="240" w:lineRule="auto"/>
        <w:jc w:val="left"/>
        <w:rPr>
          <w:rFonts w:ascii="Arial" w:hAnsi="Arial" w:cs="Arial"/>
          <w:b/>
          <w:sz w:val="26"/>
          <w:szCs w:val="26"/>
        </w:rPr>
      </w:pPr>
      <w:r>
        <w:rPr>
          <w:rFonts w:ascii="Arial" w:hAnsi="Arial" w:cs="Arial"/>
          <w:b/>
          <w:sz w:val="26"/>
          <w:szCs w:val="26"/>
        </w:rPr>
        <w:br w:type="page"/>
      </w:r>
    </w:p>
    <w:p w14:paraId="6F9B03F9" w14:textId="527B93BD" w:rsidR="00E4582E" w:rsidRPr="000A088A" w:rsidRDefault="00E4582E" w:rsidP="000A088A">
      <w:pPr>
        <w:pStyle w:val="Heading3"/>
        <w:rPr>
          <w:rStyle w:val="TableHeadingChar"/>
          <w:rFonts w:ascii="Arial Bold" w:hAnsi="Arial Bold"/>
          <w:b/>
          <w:color w:val="auto"/>
          <w:lang w:val="en-AU" w:eastAsia="en-AU"/>
        </w:rPr>
      </w:pPr>
      <w:bookmarkStart w:id="33" w:name="_Toc99047068"/>
      <w:r w:rsidRPr="000A088A">
        <w:rPr>
          <w:rStyle w:val="TableHeadingChar"/>
          <w:rFonts w:ascii="Arial Bold" w:hAnsi="Arial Bold"/>
          <w:b/>
          <w:color w:val="auto"/>
          <w:lang w:val="en-AU" w:eastAsia="en-AU"/>
        </w:rPr>
        <w:lastRenderedPageBreak/>
        <w:t>3.2.</w:t>
      </w:r>
      <w:r w:rsidR="005F29CD" w:rsidRPr="000A088A">
        <w:rPr>
          <w:rStyle w:val="TableHeadingChar"/>
          <w:rFonts w:ascii="Arial Bold" w:hAnsi="Arial Bold"/>
          <w:b/>
          <w:color w:val="auto"/>
          <w:lang w:val="en-AU" w:eastAsia="en-AU"/>
        </w:rPr>
        <w:tab/>
      </w:r>
      <w:r w:rsidRPr="000A088A">
        <w:rPr>
          <w:rStyle w:val="TableHeadingChar"/>
          <w:rFonts w:ascii="Arial Bold" w:hAnsi="Arial Bold"/>
          <w:b/>
          <w:color w:val="auto"/>
          <w:lang w:val="en-AU" w:eastAsia="en-AU"/>
        </w:rPr>
        <w:t xml:space="preserve">Budgeted </w:t>
      </w:r>
      <w:r w:rsidR="00F626C2" w:rsidRPr="000A088A">
        <w:rPr>
          <w:rStyle w:val="TableHeadingChar"/>
          <w:rFonts w:ascii="Arial Bold" w:hAnsi="Arial Bold"/>
          <w:b/>
          <w:color w:val="auto"/>
          <w:lang w:val="en-AU" w:eastAsia="en-AU"/>
        </w:rPr>
        <w:t>financial statements tables</w:t>
      </w:r>
      <w:bookmarkEnd w:id="31"/>
      <w:bookmarkEnd w:id="32"/>
      <w:bookmarkEnd w:id="33"/>
    </w:p>
    <w:p w14:paraId="09AA0A88" w14:textId="7A0C4A0C" w:rsidR="000A088A" w:rsidRDefault="00383480" w:rsidP="000A088A">
      <w:pPr>
        <w:pStyle w:val="TableHeading"/>
        <w:rPr>
          <w:rFonts w:ascii="Times New Roman" w:hAnsi="Times New Roman"/>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CellMar>
          <w:left w:w="0" w:type="dxa"/>
          <w:right w:w="28" w:type="dxa"/>
        </w:tblCellMar>
        <w:tblLook w:val="04A0" w:firstRow="1" w:lastRow="0" w:firstColumn="1" w:lastColumn="0" w:noHBand="0" w:noVBand="1"/>
      </w:tblPr>
      <w:tblGrid>
        <w:gridCol w:w="3293"/>
        <w:gridCol w:w="883"/>
        <w:gridCol w:w="884"/>
        <w:gridCol w:w="884"/>
        <w:gridCol w:w="884"/>
        <w:gridCol w:w="882"/>
      </w:tblGrid>
      <w:tr w:rsidR="000A088A" w:rsidRPr="000A088A" w14:paraId="6A7712D0" w14:textId="77777777" w:rsidTr="000A088A">
        <w:trPr>
          <w:trHeight w:hRule="exact" w:val="945"/>
        </w:trPr>
        <w:tc>
          <w:tcPr>
            <w:tcW w:w="2136" w:type="pct"/>
            <w:tcBorders>
              <w:top w:val="single" w:sz="4" w:space="0" w:color="auto"/>
              <w:left w:val="nil"/>
              <w:bottom w:val="nil"/>
              <w:right w:val="nil"/>
            </w:tcBorders>
            <w:shd w:val="clear" w:color="auto" w:fill="auto"/>
            <w:noWrap/>
            <w:vAlign w:val="bottom"/>
            <w:hideMark/>
          </w:tcPr>
          <w:p w14:paraId="3BFDD1BC" w14:textId="379FD48E" w:rsidR="000A088A" w:rsidRPr="000A088A" w:rsidRDefault="000A088A" w:rsidP="000A088A">
            <w:pPr>
              <w:spacing w:after="0" w:line="240" w:lineRule="auto"/>
              <w:jc w:val="left"/>
              <w:rPr>
                <w:rFonts w:ascii="Arial" w:hAnsi="Arial" w:cs="Arial"/>
                <w:b/>
                <w:bCs/>
                <w:sz w:val="16"/>
                <w:szCs w:val="16"/>
              </w:rPr>
            </w:pPr>
            <w:r w:rsidRPr="000A088A">
              <w:rPr>
                <w:rFonts w:ascii="Arial" w:hAnsi="Arial" w:cs="Arial"/>
                <w:b/>
                <w:bCs/>
                <w:sz w:val="16"/>
                <w:szCs w:val="16"/>
              </w:rPr>
              <w:t> </w:t>
            </w:r>
          </w:p>
        </w:tc>
        <w:tc>
          <w:tcPr>
            <w:tcW w:w="573" w:type="pct"/>
            <w:tcBorders>
              <w:top w:val="single" w:sz="4" w:space="0" w:color="auto"/>
              <w:left w:val="nil"/>
              <w:bottom w:val="single" w:sz="4" w:space="0" w:color="auto"/>
              <w:right w:val="nil"/>
            </w:tcBorders>
            <w:shd w:val="clear" w:color="auto" w:fill="auto"/>
            <w:vAlign w:val="bottom"/>
            <w:hideMark/>
          </w:tcPr>
          <w:p w14:paraId="1363F922"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2021-22 Estimated actual</w:t>
            </w:r>
            <w:r w:rsidRPr="000A088A">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000000" w:fill="E6E6E6"/>
            <w:vAlign w:val="bottom"/>
            <w:hideMark/>
          </w:tcPr>
          <w:p w14:paraId="7D594D0A"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2022-23</w:t>
            </w:r>
            <w:r w:rsidRPr="000A088A">
              <w:rPr>
                <w:rFonts w:ascii="Arial" w:hAnsi="Arial" w:cs="Arial"/>
                <w:sz w:val="16"/>
                <w:szCs w:val="16"/>
              </w:rPr>
              <w:br/>
              <w:t>Budget</w:t>
            </w:r>
            <w:r w:rsidRPr="000A088A">
              <w:rPr>
                <w:rFonts w:ascii="Arial" w:hAnsi="Arial" w:cs="Arial"/>
                <w:sz w:val="16"/>
                <w:szCs w:val="16"/>
              </w:rPr>
              <w:br/>
            </w:r>
            <w:r w:rsidRPr="000A088A">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65ED619B"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2023-24 Forward estimate</w:t>
            </w:r>
            <w:r w:rsidRPr="000A088A">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5EC66394"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2024-25 Forward estimate</w:t>
            </w:r>
            <w:r w:rsidRPr="000A088A">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7BE710A9" w14:textId="77777777" w:rsidR="000A088A" w:rsidRPr="000A088A" w:rsidRDefault="000A088A" w:rsidP="000A088A">
            <w:pPr>
              <w:spacing w:after="0" w:line="240" w:lineRule="auto"/>
              <w:jc w:val="right"/>
              <w:rPr>
                <w:rFonts w:ascii="Arial" w:hAnsi="Arial" w:cs="Arial"/>
                <w:sz w:val="16"/>
                <w:szCs w:val="16"/>
              </w:rPr>
            </w:pPr>
            <w:r w:rsidRPr="000A088A">
              <w:rPr>
                <w:rFonts w:ascii="Arial" w:hAnsi="Arial" w:cs="Arial"/>
                <w:sz w:val="16"/>
                <w:szCs w:val="16"/>
              </w:rPr>
              <w:t>2025-26</w:t>
            </w:r>
            <w:r w:rsidRPr="000A088A">
              <w:rPr>
                <w:rFonts w:ascii="Arial" w:hAnsi="Arial" w:cs="Arial"/>
                <w:sz w:val="16"/>
                <w:szCs w:val="16"/>
              </w:rPr>
              <w:br/>
              <w:t>Forward estimate</w:t>
            </w:r>
            <w:r w:rsidRPr="000A088A">
              <w:rPr>
                <w:rFonts w:ascii="Arial" w:hAnsi="Arial" w:cs="Arial"/>
                <w:sz w:val="16"/>
                <w:szCs w:val="16"/>
              </w:rPr>
              <w:br/>
              <w:t>$'000</w:t>
            </w:r>
          </w:p>
        </w:tc>
      </w:tr>
      <w:tr w:rsidR="000A088A" w:rsidRPr="000A088A" w14:paraId="051DC048" w14:textId="77777777" w:rsidTr="000A088A">
        <w:trPr>
          <w:trHeight w:hRule="exact" w:val="225"/>
        </w:trPr>
        <w:tc>
          <w:tcPr>
            <w:tcW w:w="2136" w:type="pct"/>
            <w:tcBorders>
              <w:top w:val="nil"/>
              <w:left w:val="nil"/>
              <w:bottom w:val="nil"/>
              <w:right w:val="nil"/>
            </w:tcBorders>
            <w:shd w:val="clear" w:color="auto" w:fill="auto"/>
            <w:noWrap/>
            <w:vAlign w:val="bottom"/>
            <w:hideMark/>
          </w:tcPr>
          <w:p w14:paraId="7519934B" w14:textId="77777777" w:rsidR="000A088A" w:rsidRPr="000A088A" w:rsidRDefault="000A088A" w:rsidP="000A088A">
            <w:pPr>
              <w:spacing w:after="0" w:line="240" w:lineRule="auto"/>
              <w:jc w:val="left"/>
              <w:rPr>
                <w:rFonts w:ascii="Arial" w:hAnsi="Arial" w:cs="Arial"/>
                <w:b/>
                <w:bCs/>
                <w:sz w:val="16"/>
                <w:szCs w:val="16"/>
              </w:rPr>
            </w:pPr>
            <w:r w:rsidRPr="000A088A">
              <w:rPr>
                <w:rFonts w:ascii="Arial" w:hAnsi="Arial" w:cs="Arial"/>
                <w:b/>
                <w:bCs/>
                <w:sz w:val="16"/>
                <w:szCs w:val="16"/>
              </w:rPr>
              <w:t>EXPENSES</w:t>
            </w:r>
          </w:p>
        </w:tc>
        <w:tc>
          <w:tcPr>
            <w:tcW w:w="573" w:type="pct"/>
            <w:tcBorders>
              <w:top w:val="nil"/>
              <w:left w:val="nil"/>
              <w:bottom w:val="nil"/>
              <w:right w:val="nil"/>
            </w:tcBorders>
            <w:shd w:val="clear" w:color="auto" w:fill="auto"/>
            <w:noWrap/>
            <w:vAlign w:val="bottom"/>
            <w:hideMark/>
          </w:tcPr>
          <w:p w14:paraId="7134AD5D" w14:textId="77777777" w:rsidR="000A088A" w:rsidRPr="000A088A" w:rsidRDefault="000A088A" w:rsidP="000A088A">
            <w:pPr>
              <w:spacing w:after="0" w:line="240" w:lineRule="auto"/>
              <w:jc w:val="lef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14:paraId="0CEBB236" w14:textId="77777777" w:rsidR="000A088A" w:rsidRPr="000A088A" w:rsidRDefault="000A088A" w:rsidP="000A088A">
            <w:pPr>
              <w:spacing w:after="0" w:line="240" w:lineRule="auto"/>
              <w:jc w:val="right"/>
              <w:rPr>
                <w:rFonts w:ascii="Arial" w:hAnsi="Arial" w:cs="Arial"/>
                <w:b/>
                <w:bCs/>
                <w:sz w:val="16"/>
                <w:szCs w:val="16"/>
              </w:rPr>
            </w:pPr>
            <w:r w:rsidRPr="000A088A">
              <w:rPr>
                <w:rFonts w:ascii="Arial" w:hAnsi="Arial" w:cs="Arial"/>
                <w:b/>
                <w:bCs/>
                <w:sz w:val="16"/>
                <w:szCs w:val="16"/>
              </w:rPr>
              <w:t> </w:t>
            </w:r>
          </w:p>
        </w:tc>
        <w:tc>
          <w:tcPr>
            <w:tcW w:w="573" w:type="pct"/>
            <w:tcBorders>
              <w:top w:val="nil"/>
              <w:left w:val="nil"/>
              <w:bottom w:val="nil"/>
              <w:right w:val="nil"/>
            </w:tcBorders>
            <w:shd w:val="clear" w:color="auto" w:fill="auto"/>
            <w:noWrap/>
            <w:vAlign w:val="bottom"/>
            <w:hideMark/>
          </w:tcPr>
          <w:p w14:paraId="49208AF9" w14:textId="77777777" w:rsidR="000A088A" w:rsidRPr="000A088A" w:rsidRDefault="000A088A" w:rsidP="000A088A">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008045A2" w14:textId="77777777" w:rsidR="000A088A" w:rsidRPr="000A088A" w:rsidRDefault="000A088A" w:rsidP="000A088A">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53FBFCCA" w14:textId="77777777" w:rsidR="000A088A" w:rsidRPr="000A088A" w:rsidRDefault="000A088A" w:rsidP="000A088A">
            <w:pPr>
              <w:spacing w:after="0" w:line="240" w:lineRule="auto"/>
              <w:jc w:val="right"/>
              <w:rPr>
                <w:rFonts w:ascii="Times New Roman" w:hAnsi="Times New Roman"/>
              </w:rPr>
            </w:pPr>
          </w:p>
        </w:tc>
      </w:tr>
      <w:tr w:rsidR="000A088A" w:rsidRPr="000A088A" w14:paraId="0C97E100" w14:textId="77777777" w:rsidTr="007A659E">
        <w:trPr>
          <w:trHeight w:hRule="exact" w:val="225"/>
        </w:trPr>
        <w:tc>
          <w:tcPr>
            <w:tcW w:w="2136" w:type="pct"/>
            <w:tcBorders>
              <w:top w:val="nil"/>
              <w:left w:val="nil"/>
              <w:bottom w:val="nil"/>
              <w:right w:val="nil"/>
            </w:tcBorders>
            <w:shd w:val="clear" w:color="auto" w:fill="auto"/>
            <w:noWrap/>
            <w:vAlign w:val="bottom"/>
            <w:hideMark/>
          </w:tcPr>
          <w:p w14:paraId="61664280" w14:textId="77777777" w:rsidR="000A088A" w:rsidRPr="000A088A" w:rsidRDefault="000A088A" w:rsidP="000A088A">
            <w:pPr>
              <w:spacing w:after="0" w:line="240" w:lineRule="auto"/>
              <w:ind w:left="170"/>
              <w:jc w:val="left"/>
              <w:rPr>
                <w:rFonts w:ascii="Arial" w:hAnsi="Arial" w:cs="Arial"/>
                <w:sz w:val="16"/>
                <w:szCs w:val="16"/>
              </w:rPr>
            </w:pPr>
            <w:r w:rsidRPr="000A088A">
              <w:rPr>
                <w:rFonts w:ascii="Arial" w:hAnsi="Arial" w:cs="Arial"/>
                <w:sz w:val="16"/>
                <w:szCs w:val="16"/>
              </w:rPr>
              <w:t>Employee benefits</w:t>
            </w:r>
          </w:p>
        </w:tc>
        <w:tc>
          <w:tcPr>
            <w:tcW w:w="573" w:type="pct"/>
            <w:tcBorders>
              <w:top w:val="nil"/>
              <w:left w:val="nil"/>
              <w:bottom w:val="nil"/>
              <w:right w:val="nil"/>
            </w:tcBorders>
            <w:shd w:val="clear" w:color="auto" w:fill="auto"/>
            <w:noWrap/>
            <w:vAlign w:val="bottom"/>
            <w:hideMark/>
          </w:tcPr>
          <w:p w14:paraId="2B12191E"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29,912 </w:t>
            </w:r>
          </w:p>
        </w:tc>
        <w:tc>
          <w:tcPr>
            <w:tcW w:w="573" w:type="pct"/>
            <w:tcBorders>
              <w:top w:val="nil"/>
              <w:left w:val="nil"/>
              <w:bottom w:val="nil"/>
              <w:right w:val="nil"/>
            </w:tcBorders>
            <w:shd w:val="clear" w:color="000000" w:fill="E6E6E6"/>
            <w:noWrap/>
            <w:vAlign w:val="bottom"/>
            <w:hideMark/>
          </w:tcPr>
          <w:p w14:paraId="705A6DF6"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30,358 </w:t>
            </w:r>
          </w:p>
        </w:tc>
        <w:tc>
          <w:tcPr>
            <w:tcW w:w="573" w:type="pct"/>
            <w:tcBorders>
              <w:top w:val="nil"/>
              <w:left w:val="nil"/>
              <w:bottom w:val="nil"/>
              <w:right w:val="nil"/>
            </w:tcBorders>
            <w:shd w:val="clear" w:color="auto" w:fill="auto"/>
            <w:noWrap/>
            <w:vAlign w:val="bottom"/>
            <w:hideMark/>
          </w:tcPr>
          <w:p w14:paraId="58395CF1"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29,474 </w:t>
            </w:r>
          </w:p>
        </w:tc>
        <w:tc>
          <w:tcPr>
            <w:tcW w:w="573" w:type="pct"/>
            <w:tcBorders>
              <w:top w:val="nil"/>
              <w:left w:val="nil"/>
              <w:bottom w:val="nil"/>
              <w:right w:val="nil"/>
            </w:tcBorders>
            <w:shd w:val="clear" w:color="auto" w:fill="auto"/>
            <w:noWrap/>
            <w:vAlign w:val="bottom"/>
            <w:hideMark/>
          </w:tcPr>
          <w:p w14:paraId="2BAF7D04"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29,617 </w:t>
            </w:r>
          </w:p>
        </w:tc>
        <w:tc>
          <w:tcPr>
            <w:tcW w:w="573" w:type="pct"/>
            <w:tcBorders>
              <w:top w:val="nil"/>
              <w:left w:val="nil"/>
              <w:bottom w:val="nil"/>
              <w:right w:val="nil"/>
            </w:tcBorders>
            <w:shd w:val="clear" w:color="auto" w:fill="auto"/>
            <w:noWrap/>
            <w:vAlign w:val="bottom"/>
            <w:hideMark/>
          </w:tcPr>
          <w:p w14:paraId="065BD8C6"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29,472 </w:t>
            </w:r>
          </w:p>
        </w:tc>
      </w:tr>
      <w:tr w:rsidR="000A088A" w:rsidRPr="000A088A" w14:paraId="21B46719" w14:textId="77777777" w:rsidTr="007A659E">
        <w:trPr>
          <w:trHeight w:hRule="exact" w:val="225"/>
        </w:trPr>
        <w:tc>
          <w:tcPr>
            <w:tcW w:w="2136" w:type="pct"/>
            <w:tcBorders>
              <w:top w:val="nil"/>
              <w:left w:val="nil"/>
              <w:bottom w:val="nil"/>
              <w:right w:val="nil"/>
            </w:tcBorders>
            <w:shd w:val="clear" w:color="auto" w:fill="auto"/>
            <w:noWrap/>
            <w:vAlign w:val="bottom"/>
            <w:hideMark/>
          </w:tcPr>
          <w:p w14:paraId="399F71E6" w14:textId="77777777" w:rsidR="000A088A" w:rsidRPr="000A088A" w:rsidRDefault="000A088A" w:rsidP="000A088A">
            <w:pPr>
              <w:spacing w:after="0" w:line="240" w:lineRule="auto"/>
              <w:ind w:left="170"/>
              <w:jc w:val="left"/>
              <w:rPr>
                <w:rFonts w:ascii="Arial" w:hAnsi="Arial" w:cs="Arial"/>
                <w:sz w:val="16"/>
                <w:szCs w:val="16"/>
              </w:rPr>
            </w:pPr>
            <w:r w:rsidRPr="000A088A">
              <w:rPr>
                <w:rFonts w:ascii="Arial" w:hAnsi="Arial" w:cs="Arial"/>
                <w:sz w:val="16"/>
                <w:szCs w:val="16"/>
              </w:rPr>
              <w:t>Suppliers</w:t>
            </w:r>
          </w:p>
        </w:tc>
        <w:tc>
          <w:tcPr>
            <w:tcW w:w="573" w:type="pct"/>
            <w:tcBorders>
              <w:top w:val="nil"/>
              <w:left w:val="nil"/>
              <w:bottom w:val="nil"/>
              <w:right w:val="nil"/>
            </w:tcBorders>
            <w:shd w:val="clear" w:color="auto" w:fill="auto"/>
            <w:noWrap/>
            <w:vAlign w:val="bottom"/>
            <w:hideMark/>
          </w:tcPr>
          <w:p w14:paraId="34E16789"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4,695 </w:t>
            </w:r>
          </w:p>
        </w:tc>
        <w:tc>
          <w:tcPr>
            <w:tcW w:w="573" w:type="pct"/>
            <w:tcBorders>
              <w:top w:val="nil"/>
              <w:left w:val="nil"/>
              <w:bottom w:val="nil"/>
              <w:right w:val="nil"/>
            </w:tcBorders>
            <w:shd w:val="clear" w:color="000000" w:fill="E6E6E6"/>
            <w:noWrap/>
            <w:vAlign w:val="bottom"/>
            <w:hideMark/>
          </w:tcPr>
          <w:p w14:paraId="464DCA96"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4,963 </w:t>
            </w:r>
          </w:p>
        </w:tc>
        <w:tc>
          <w:tcPr>
            <w:tcW w:w="573" w:type="pct"/>
            <w:tcBorders>
              <w:top w:val="nil"/>
              <w:left w:val="nil"/>
              <w:bottom w:val="nil"/>
              <w:right w:val="nil"/>
            </w:tcBorders>
            <w:shd w:val="clear" w:color="auto" w:fill="auto"/>
            <w:noWrap/>
            <w:vAlign w:val="bottom"/>
            <w:hideMark/>
          </w:tcPr>
          <w:p w14:paraId="3161B1D6"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5,056 </w:t>
            </w:r>
          </w:p>
        </w:tc>
        <w:tc>
          <w:tcPr>
            <w:tcW w:w="573" w:type="pct"/>
            <w:tcBorders>
              <w:top w:val="nil"/>
              <w:left w:val="nil"/>
              <w:bottom w:val="nil"/>
              <w:right w:val="nil"/>
            </w:tcBorders>
            <w:shd w:val="clear" w:color="auto" w:fill="auto"/>
            <w:noWrap/>
            <w:vAlign w:val="bottom"/>
            <w:hideMark/>
          </w:tcPr>
          <w:p w14:paraId="0BF03450"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5,019 </w:t>
            </w:r>
          </w:p>
        </w:tc>
        <w:tc>
          <w:tcPr>
            <w:tcW w:w="573" w:type="pct"/>
            <w:tcBorders>
              <w:top w:val="nil"/>
              <w:left w:val="nil"/>
              <w:bottom w:val="nil"/>
              <w:right w:val="nil"/>
            </w:tcBorders>
            <w:shd w:val="clear" w:color="auto" w:fill="auto"/>
            <w:noWrap/>
            <w:vAlign w:val="bottom"/>
            <w:hideMark/>
          </w:tcPr>
          <w:p w14:paraId="1913A52D"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5,410 </w:t>
            </w:r>
          </w:p>
        </w:tc>
      </w:tr>
      <w:tr w:rsidR="000A088A" w:rsidRPr="000A088A" w14:paraId="3338E655" w14:textId="77777777" w:rsidTr="007A659E">
        <w:trPr>
          <w:trHeight w:hRule="exact" w:val="225"/>
        </w:trPr>
        <w:tc>
          <w:tcPr>
            <w:tcW w:w="2136" w:type="pct"/>
            <w:tcBorders>
              <w:top w:val="nil"/>
              <w:left w:val="nil"/>
              <w:bottom w:val="nil"/>
              <w:right w:val="nil"/>
            </w:tcBorders>
            <w:shd w:val="clear" w:color="auto" w:fill="auto"/>
            <w:noWrap/>
            <w:vAlign w:val="bottom"/>
            <w:hideMark/>
          </w:tcPr>
          <w:p w14:paraId="20E3E2F4" w14:textId="26BA3A2A" w:rsidR="000A088A" w:rsidRPr="000A088A" w:rsidRDefault="000A088A" w:rsidP="000A088A">
            <w:pPr>
              <w:spacing w:after="0" w:line="240" w:lineRule="auto"/>
              <w:ind w:left="170"/>
              <w:jc w:val="left"/>
              <w:rPr>
                <w:rFonts w:ascii="Arial" w:hAnsi="Arial" w:cs="Arial"/>
                <w:sz w:val="16"/>
                <w:szCs w:val="16"/>
              </w:rPr>
            </w:pPr>
            <w:r w:rsidRPr="000A088A">
              <w:rPr>
                <w:rFonts w:ascii="Arial" w:hAnsi="Arial" w:cs="Arial"/>
                <w:sz w:val="16"/>
                <w:szCs w:val="16"/>
              </w:rPr>
              <w:t xml:space="preserve">Depreciation and amortisation </w:t>
            </w:r>
            <w:r w:rsidR="004856E9">
              <w:rPr>
                <w:rFonts w:ascii="Arial" w:hAnsi="Arial" w:cs="Arial"/>
                <w:sz w:val="16"/>
                <w:szCs w:val="16"/>
              </w:rPr>
              <w:t xml:space="preserve">(a) </w:t>
            </w:r>
          </w:p>
        </w:tc>
        <w:tc>
          <w:tcPr>
            <w:tcW w:w="573" w:type="pct"/>
            <w:tcBorders>
              <w:top w:val="nil"/>
              <w:left w:val="nil"/>
              <w:bottom w:val="nil"/>
              <w:right w:val="nil"/>
            </w:tcBorders>
            <w:shd w:val="clear" w:color="auto" w:fill="auto"/>
            <w:noWrap/>
            <w:vAlign w:val="bottom"/>
            <w:hideMark/>
          </w:tcPr>
          <w:p w14:paraId="61867F4F"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3,179 </w:t>
            </w:r>
          </w:p>
        </w:tc>
        <w:tc>
          <w:tcPr>
            <w:tcW w:w="573" w:type="pct"/>
            <w:tcBorders>
              <w:top w:val="nil"/>
              <w:left w:val="nil"/>
              <w:bottom w:val="nil"/>
              <w:right w:val="nil"/>
            </w:tcBorders>
            <w:shd w:val="clear" w:color="000000" w:fill="E6E6E6"/>
            <w:noWrap/>
            <w:vAlign w:val="bottom"/>
            <w:hideMark/>
          </w:tcPr>
          <w:p w14:paraId="7FCEDD46"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3,179 </w:t>
            </w:r>
          </w:p>
        </w:tc>
        <w:tc>
          <w:tcPr>
            <w:tcW w:w="573" w:type="pct"/>
            <w:tcBorders>
              <w:top w:val="nil"/>
              <w:left w:val="nil"/>
              <w:bottom w:val="nil"/>
              <w:right w:val="nil"/>
            </w:tcBorders>
            <w:shd w:val="clear" w:color="auto" w:fill="auto"/>
            <w:noWrap/>
            <w:vAlign w:val="bottom"/>
            <w:hideMark/>
          </w:tcPr>
          <w:p w14:paraId="3E0BD5FE"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3,179 </w:t>
            </w:r>
          </w:p>
        </w:tc>
        <w:tc>
          <w:tcPr>
            <w:tcW w:w="573" w:type="pct"/>
            <w:tcBorders>
              <w:top w:val="nil"/>
              <w:left w:val="nil"/>
              <w:bottom w:val="nil"/>
              <w:right w:val="nil"/>
            </w:tcBorders>
            <w:shd w:val="clear" w:color="auto" w:fill="auto"/>
            <w:noWrap/>
            <w:vAlign w:val="bottom"/>
            <w:hideMark/>
          </w:tcPr>
          <w:p w14:paraId="671D4C02"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3,179 </w:t>
            </w:r>
          </w:p>
        </w:tc>
        <w:tc>
          <w:tcPr>
            <w:tcW w:w="573" w:type="pct"/>
            <w:tcBorders>
              <w:top w:val="nil"/>
              <w:left w:val="nil"/>
              <w:bottom w:val="nil"/>
              <w:right w:val="nil"/>
            </w:tcBorders>
            <w:shd w:val="clear" w:color="auto" w:fill="auto"/>
            <w:noWrap/>
            <w:vAlign w:val="bottom"/>
            <w:hideMark/>
          </w:tcPr>
          <w:p w14:paraId="69F9E7A7"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3,244 </w:t>
            </w:r>
          </w:p>
        </w:tc>
      </w:tr>
      <w:tr w:rsidR="000A088A" w:rsidRPr="000A088A" w14:paraId="1F51CF8B" w14:textId="77777777" w:rsidTr="007A659E">
        <w:trPr>
          <w:trHeight w:hRule="exact" w:val="225"/>
        </w:trPr>
        <w:tc>
          <w:tcPr>
            <w:tcW w:w="2136" w:type="pct"/>
            <w:tcBorders>
              <w:top w:val="nil"/>
              <w:left w:val="nil"/>
              <w:bottom w:val="nil"/>
              <w:right w:val="nil"/>
            </w:tcBorders>
            <w:shd w:val="clear" w:color="auto" w:fill="auto"/>
            <w:noWrap/>
            <w:vAlign w:val="bottom"/>
            <w:hideMark/>
          </w:tcPr>
          <w:p w14:paraId="28E91D9A" w14:textId="77777777" w:rsidR="000A088A" w:rsidRPr="000A088A" w:rsidRDefault="000A088A" w:rsidP="000A088A">
            <w:pPr>
              <w:spacing w:after="0" w:line="240" w:lineRule="auto"/>
              <w:ind w:left="170"/>
              <w:jc w:val="left"/>
              <w:rPr>
                <w:rFonts w:ascii="Arial" w:hAnsi="Arial" w:cs="Arial"/>
                <w:sz w:val="16"/>
                <w:szCs w:val="16"/>
              </w:rPr>
            </w:pPr>
            <w:r w:rsidRPr="000A088A">
              <w:rPr>
                <w:rFonts w:ascii="Arial" w:hAnsi="Arial" w:cs="Arial"/>
                <w:sz w:val="16"/>
                <w:szCs w:val="16"/>
              </w:rPr>
              <w:t>Finance costs</w:t>
            </w:r>
          </w:p>
        </w:tc>
        <w:tc>
          <w:tcPr>
            <w:tcW w:w="573" w:type="pct"/>
            <w:tcBorders>
              <w:top w:val="nil"/>
              <w:left w:val="nil"/>
              <w:bottom w:val="nil"/>
              <w:right w:val="nil"/>
            </w:tcBorders>
            <w:shd w:val="clear" w:color="auto" w:fill="auto"/>
            <w:noWrap/>
            <w:vAlign w:val="bottom"/>
            <w:hideMark/>
          </w:tcPr>
          <w:p w14:paraId="122164CE"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306 </w:t>
            </w:r>
          </w:p>
        </w:tc>
        <w:tc>
          <w:tcPr>
            <w:tcW w:w="573" w:type="pct"/>
            <w:tcBorders>
              <w:top w:val="nil"/>
              <w:left w:val="nil"/>
              <w:bottom w:val="single" w:sz="4" w:space="0" w:color="auto"/>
              <w:right w:val="nil"/>
            </w:tcBorders>
            <w:shd w:val="clear" w:color="000000" w:fill="E6E6E6"/>
            <w:noWrap/>
            <w:vAlign w:val="bottom"/>
            <w:hideMark/>
          </w:tcPr>
          <w:p w14:paraId="2624EDBB"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268 </w:t>
            </w:r>
          </w:p>
        </w:tc>
        <w:tc>
          <w:tcPr>
            <w:tcW w:w="573" w:type="pct"/>
            <w:tcBorders>
              <w:top w:val="nil"/>
              <w:left w:val="nil"/>
              <w:bottom w:val="nil"/>
              <w:right w:val="nil"/>
            </w:tcBorders>
            <w:shd w:val="clear" w:color="auto" w:fill="auto"/>
            <w:noWrap/>
            <w:vAlign w:val="bottom"/>
            <w:hideMark/>
          </w:tcPr>
          <w:p w14:paraId="71C0EFEE"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228 </w:t>
            </w:r>
          </w:p>
        </w:tc>
        <w:tc>
          <w:tcPr>
            <w:tcW w:w="573" w:type="pct"/>
            <w:tcBorders>
              <w:top w:val="nil"/>
              <w:left w:val="nil"/>
              <w:bottom w:val="nil"/>
              <w:right w:val="nil"/>
            </w:tcBorders>
            <w:shd w:val="clear" w:color="auto" w:fill="auto"/>
            <w:noWrap/>
            <w:vAlign w:val="bottom"/>
            <w:hideMark/>
          </w:tcPr>
          <w:p w14:paraId="11C164DD"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184 </w:t>
            </w:r>
          </w:p>
        </w:tc>
        <w:tc>
          <w:tcPr>
            <w:tcW w:w="573" w:type="pct"/>
            <w:tcBorders>
              <w:top w:val="nil"/>
              <w:left w:val="nil"/>
              <w:bottom w:val="nil"/>
              <w:right w:val="nil"/>
            </w:tcBorders>
            <w:shd w:val="clear" w:color="auto" w:fill="auto"/>
            <w:noWrap/>
            <w:vAlign w:val="bottom"/>
            <w:hideMark/>
          </w:tcPr>
          <w:p w14:paraId="43473F3D"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59 </w:t>
            </w:r>
          </w:p>
        </w:tc>
      </w:tr>
      <w:tr w:rsidR="000A088A" w:rsidRPr="000A088A" w14:paraId="5ED23F52" w14:textId="77777777" w:rsidTr="007A659E">
        <w:trPr>
          <w:trHeight w:hRule="exact" w:val="225"/>
        </w:trPr>
        <w:tc>
          <w:tcPr>
            <w:tcW w:w="2136" w:type="pct"/>
            <w:tcBorders>
              <w:top w:val="nil"/>
              <w:left w:val="nil"/>
              <w:bottom w:val="nil"/>
              <w:right w:val="nil"/>
            </w:tcBorders>
            <w:shd w:val="clear" w:color="auto" w:fill="auto"/>
            <w:noWrap/>
            <w:vAlign w:val="bottom"/>
            <w:hideMark/>
          </w:tcPr>
          <w:p w14:paraId="2093CCCF" w14:textId="77777777" w:rsidR="000A088A" w:rsidRPr="000A088A" w:rsidRDefault="000A088A" w:rsidP="000A088A">
            <w:pPr>
              <w:spacing w:after="0" w:line="240" w:lineRule="auto"/>
              <w:jc w:val="left"/>
              <w:rPr>
                <w:rFonts w:ascii="Arial" w:hAnsi="Arial" w:cs="Arial"/>
                <w:b/>
                <w:bCs/>
                <w:sz w:val="16"/>
                <w:szCs w:val="16"/>
              </w:rPr>
            </w:pPr>
            <w:r w:rsidRPr="000A088A">
              <w:rPr>
                <w:rFonts w:ascii="Arial" w:hAnsi="Arial" w:cs="Arial"/>
                <w:b/>
                <w:bCs/>
                <w:sz w:val="16"/>
                <w:szCs w:val="16"/>
              </w:rPr>
              <w:t>Total expenses</w:t>
            </w:r>
          </w:p>
        </w:tc>
        <w:tc>
          <w:tcPr>
            <w:tcW w:w="573" w:type="pct"/>
            <w:tcBorders>
              <w:top w:val="single" w:sz="4" w:space="0" w:color="auto"/>
              <w:left w:val="nil"/>
              <w:bottom w:val="single" w:sz="4" w:space="0" w:color="auto"/>
              <w:right w:val="nil"/>
            </w:tcBorders>
            <w:shd w:val="clear" w:color="auto" w:fill="auto"/>
            <w:noWrap/>
            <w:vAlign w:val="bottom"/>
            <w:hideMark/>
          </w:tcPr>
          <w:p w14:paraId="6124D559"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 xml:space="preserve">38,092 </w:t>
            </w:r>
          </w:p>
        </w:tc>
        <w:tc>
          <w:tcPr>
            <w:tcW w:w="573" w:type="pct"/>
            <w:tcBorders>
              <w:top w:val="nil"/>
              <w:left w:val="nil"/>
              <w:bottom w:val="nil"/>
              <w:right w:val="nil"/>
            </w:tcBorders>
            <w:shd w:val="clear" w:color="000000" w:fill="E6E6E6"/>
            <w:noWrap/>
            <w:vAlign w:val="bottom"/>
            <w:hideMark/>
          </w:tcPr>
          <w:p w14:paraId="5D19A15B"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 xml:space="preserve">38,768 </w:t>
            </w:r>
          </w:p>
        </w:tc>
        <w:tc>
          <w:tcPr>
            <w:tcW w:w="573" w:type="pct"/>
            <w:tcBorders>
              <w:top w:val="single" w:sz="4" w:space="0" w:color="auto"/>
              <w:left w:val="nil"/>
              <w:bottom w:val="single" w:sz="4" w:space="0" w:color="auto"/>
              <w:right w:val="nil"/>
            </w:tcBorders>
            <w:shd w:val="clear" w:color="auto" w:fill="auto"/>
            <w:noWrap/>
            <w:vAlign w:val="bottom"/>
            <w:hideMark/>
          </w:tcPr>
          <w:p w14:paraId="3B4FFAB9"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 xml:space="preserve">37,937 </w:t>
            </w:r>
          </w:p>
        </w:tc>
        <w:tc>
          <w:tcPr>
            <w:tcW w:w="573" w:type="pct"/>
            <w:tcBorders>
              <w:top w:val="single" w:sz="4" w:space="0" w:color="auto"/>
              <w:left w:val="nil"/>
              <w:bottom w:val="single" w:sz="4" w:space="0" w:color="auto"/>
              <w:right w:val="nil"/>
            </w:tcBorders>
            <w:shd w:val="clear" w:color="auto" w:fill="auto"/>
            <w:noWrap/>
            <w:vAlign w:val="bottom"/>
            <w:hideMark/>
          </w:tcPr>
          <w:p w14:paraId="06525CCF"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 xml:space="preserve">37,999 </w:t>
            </w:r>
          </w:p>
        </w:tc>
        <w:tc>
          <w:tcPr>
            <w:tcW w:w="573" w:type="pct"/>
            <w:tcBorders>
              <w:top w:val="single" w:sz="4" w:space="0" w:color="auto"/>
              <w:left w:val="nil"/>
              <w:bottom w:val="single" w:sz="4" w:space="0" w:color="auto"/>
              <w:right w:val="nil"/>
            </w:tcBorders>
            <w:shd w:val="clear" w:color="auto" w:fill="auto"/>
            <w:noWrap/>
            <w:vAlign w:val="bottom"/>
            <w:hideMark/>
          </w:tcPr>
          <w:p w14:paraId="20BF1D42"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 xml:space="preserve">38,185 </w:t>
            </w:r>
          </w:p>
        </w:tc>
      </w:tr>
      <w:tr w:rsidR="000A088A" w:rsidRPr="000A088A" w14:paraId="146AEF51" w14:textId="77777777" w:rsidTr="007A659E">
        <w:trPr>
          <w:trHeight w:hRule="exact" w:val="225"/>
        </w:trPr>
        <w:tc>
          <w:tcPr>
            <w:tcW w:w="2136" w:type="pct"/>
            <w:tcBorders>
              <w:top w:val="nil"/>
              <w:left w:val="nil"/>
              <w:bottom w:val="nil"/>
              <w:right w:val="nil"/>
            </w:tcBorders>
            <w:shd w:val="clear" w:color="auto" w:fill="auto"/>
            <w:noWrap/>
            <w:vAlign w:val="bottom"/>
            <w:hideMark/>
          </w:tcPr>
          <w:p w14:paraId="42D41E88" w14:textId="77777777" w:rsidR="000A088A" w:rsidRPr="000A088A" w:rsidRDefault="000A088A" w:rsidP="000A088A">
            <w:pPr>
              <w:spacing w:after="0" w:line="240" w:lineRule="auto"/>
              <w:jc w:val="left"/>
              <w:rPr>
                <w:rFonts w:ascii="Arial" w:hAnsi="Arial" w:cs="Arial"/>
                <w:b/>
                <w:bCs/>
                <w:sz w:val="16"/>
                <w:szCs w:val="16"/>
              </w:rPr>
            </w:pPr>
            <w:r w:rsidRPr="000A088A">
              <w:rPr>
                <w:rFonts w:ascii="Arial" w:hAnsi="Arial" w:cs="Arial"/>
                <w:b/>
                <w:bCs/>
                <w:sz w:val="16"/>
                <w:szCs w:val="16"/>
              </w:rPr>
              <w:t xml:space="preserve">LESS: </w:t>
            </w:r>
          </w:p>
        </w:tc>
        <w:tc>
          <w:tcPr>
            <w:tcW w:w="573" w:type="pct"/>
            <w:tcBorders>
              <w:top w:val="nil"/>
              <w:left w:val="nil"/>
              <w:bottom w:val="nil"/>
              <w:right w:val="nil"/>
            </w:tcBorders>
            <w:shd w:val="clear" w:color="auto" w:fill="auto"/>
            <w:noWrap/>
            <w:vAlign w:val="bottom"/>
            <w:hideMark/>
          </w:tcPr>
          <w:p w14:paraId="5EA416E7" w14:textId="77777777" w:rsidR="000A088A" w:rsidRPr="000A088A" w:rsidRDefault="000A088A" w:rsidP="007A659E">
            <w:pPr>
              <w:spacing w:after="0" w:line="240" w:lineRule="auto"/>
              <w:jc w:val="right"/>
              <w:rPr>
                <w:rFonts w:ascii="Arial" w:hAnsi="Arial" w:cs="Arial"/>
                <w:b/>
                <w:bCs/>
                <w:sz w:val="16"/>
                <w:szCs w:val="16"/>
              </w:rPr>
            </w:pPr>
          </w:p>
        </w:tc>
        <w:tc>
          <w:tcPr>
            <w:tcW w:w="573" w:type="pct"/>
            <w:tcBorders>
              <w:top w:val="single" w:sz="4" w:space="0" w:color="auto"/>
              <w:left w:val="nil"/>
              <w:bottom w:val="nil"/>
              <w:right w:val="nil"/>
            </w:tcBorders>
            <w:shd w:val="clear" w:color="000000" w:fill="E6E6E6"/>
            <w:noWrap/>
            <w:vAlign w:val="bottom"/>
            <w:hideMark/>
          </w:tcPr>
          <w:p w14:paraId="580F9168"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 </w:t>
            </w:r>
          </w:p>
        </w:tc>
        <w:tc>
          <w:tcPr>
            <w:tcW w:w="573" w:type="pct"/>
            <w:tcBorders>
              <w:top w:val="nil"/>
              <w:left w:val="nil"/>
              <w:bottom w:val="nil"/>
              <w:right w:val="nil"/>
            </w:tcBorders>
            <w:shd w:val="clear" w:color="auto" w:fill="auto"/>
            <w:noWrap/>
            <w:vAlign w:val="bottom"/>
            <w:hideMark/>
          </w:tcPr>
          <w:p w14:paraId="684A156D" w14:textId="77777777" w:rsidR="000A088A" w:rsidRPr="000A088A" w:rsidRDefault="000A088A" w:rsidP="007A659E">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7D24DDD8" w14:textId="77777777" w:rsidR="000A088A" w:rsidRPr="000A088A" w:rsidRDefault="000A088A" w:rsidP="007A659E">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0A5FB337" w14:textId="77777777" w:rsidR="000A088A" w:rsidRPr="000A088A" w:rsidRDefault="000A088A" w:rsidP="007A659E">
            <w:pPr>
              <w:spacing w:after="0" w:line="240" w:lineRule="auto"/>
              <w:jc w:val="right"/>
              <w:rPr>
                <w:rFonts w:ascii="Times New Roman" w:hAnsi="Times New Roman"/>
              </w:rPr>
            </w:pPr>
          </w:p>
        </w:tc>
      </w:tr>
      <w:tr w:rsidR="000A088A" w:rsidRPr="000A088A" w14:paraId="43BD8DE0" w14:textId="77777777" w:rsidTr="007A659E">
        <w:trPr>
          <w:trHeight w:hRule="exact" w:val="225"/>
        </w:trPr>
        <w:tc>
          <w:tcPr>
            <w:tcW w:w="2136" w:type="pct"/>
            <w:tcBorders>
              <w:top w:val="nil"/>
              <w:left w:val="nil"/>
              <w:bottom w:val="nil"/>
              <w:right w:val="nil"/>
            </w:tcBorders>
            <w:shd w:val="clear" w:color="auto" w:fill="auto"/>
            <w:noWrap/>
            <w:vAlign w:val="bottom"/>
            <w:hideMark/>
          </w:tcPr>
          <w:p w14:paraId="656BC1F4" w14:textId="77777777" w:rsidR="000A088A" w:rsidRPr="000A088A" w:rsidRDefault="000A088A" w:rsidP="000A088A">
            <w:pPr>
              <w:spacing w:after="0" w:line="240" w:lineRule="auto"/>
              <w:jc w:val="left"/>
              <w:rPr>
                <w:rFonts w:ascii="Arial" w:hAnsi="Arial" w:cs="Arial"/>
                <w:b/>
                <w:bCs/>
                <w:sz w:val="16"/>
                <w:szCs w:val="16"/>
              </w:rPr>
            </w:pPr>
            <w:r w:rsidRPr="000A088A">
              <w:rPr>
                <w:rFonts w:ascii="Arial" w:hAnsi="Arial" w:cs="Arial"/>
                <w:b/>
                <w:bCs/>
                <w:sz w:val="16"/>
                <w:szCs w:val="16"/>
              </w:rPr>
              <w:t>OWN-SOURCE INCOME</w:t>
            </w:r>
          </w:p>
        </w:tc>
        <w:tc>
          <w:tcPr>
            <w:tcW w:w="573" w:type="pct"/>
            <w:tcBorders>
              <w:top w:val="nil"/>
              <w:left w:val="nil"/>
              <w:bottom w:val="nil"/>
              <w:right w:val="nil"/>
            </w:tcBorders>
            <w:shd w:val="clear" w:color="auto" w:fill="auto"/>
            <w:noWrap/>
            <w:vAlign w:val="bottom"/>
            <w:hideMark/>
          </w:tcPr>
          <w:p w14:paraId="71FC8B13" w14:textId="77777777" w:rsidR="000A088A" w:rsidRPr="000A088A" w:rsidRDefault="000A088A" w:rsidP="007A659E">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14:paraId="00704527"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 </w:t>
            </w:r>
          </w:p>
        </w:tc>
        <w:tc>
          <w:tcPr>
            <w:tcW w:w="573" w:type="pct"/>
            <w:tcBorders>
              <w:top w:val="nil"/>
              <w:left w:val="nil"/>
              <w:bottom w:val="nil"/>
              <w:right w:val="nil"/>
            </w:tcBorders>
            <w:shd w:val="clear" w:color="auto" w:fill="auto"/>
            <w:noWrap/>
            <w:vAlign w:val="bottom"/>
            <w:hideMark/>
          </w:tcPr>
          <w:p w14:paraId="6E199659" w14:textId="77777777" w:rsidR="000A088A" w:rsidRPr="000A088A" w:rsidRDefault="000A088A" w:rsidP="007A659E">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66A9C27A" w14:textId="77777777" w:rsidR="000A088A" w:rsidRPr="000A088A" w:rsidRDefault="000A088A" w:rsidP="007A659E">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1996A827" w14:textId="77777777" w:rsidR="000A088A" w:rsidRPr="000A088A" w:rsidRDefault="000A088A" w:rsidP="007A659E">
            <w:pPr>
              <w:spacing w:after="0" w:line="240" w:lineRule="auto"/>
              <w:jc w:val="right"/>
              <w:rPr>
                <w:rFonts w:ascii="Times New Roman" w:hAnsi="Times New Roman"/>
              </w:rPr>
            </w:pPr>
          </w:p>
        </w:tc>
      </w:tr>
      <w:tr w:rsidR="000A088A" w:rsidRPr="000A088A" w14:paraId="14D911BC" w14:textId="77777777" w:rsidTr="007A659E">
        <w:trPr>
          <w:trHeight w:hRule="exact" w:val="225"/>
        </w:trPr>
        <w:tc>
          <w:tcPr>
            <w:tcW w:w="2136" w:type="pct"/>
            <w:tcBorders>
              <w:top w:val="nil"/>
              <w:left w:val="nil"/>
              <w:bottom w:val="nil"/>
              <w:right w:val="nil"/>
            </w:tcBorders>
            <w:shd w:val="clear" w:color="auto" w:fill="auto"/>
            <w:noWrap/>
            <w:vAlign w:val="bottom"/>
            <w:hideMark/>
          </w:tcPr>
          <w:p w14:paraId="59F89C92" w14:textId="77777777" w:rsidR="000A088A" w:rsidRPr="000A088A" w:rsidRDefault="000A088A" w:rsidP="000A088A">
            <w:pPr>
              <w:spacing w:after="0" w:line="240" w:lineRule="auto"/>
              <w:jc w:val="left"/>
              <w:rPr>
                <w:rFonts w:ascii="Arial" w:hAnsi="Arial" w:cs="Arial"/>
                <w:b/>
                <w:bCs/>
                <w:sz w:val="16"/>
                <w:szCs w:val="16"/>
              </w:rPr>
            </w:pPr>
            <w:r w:rsidRPr="000A088A">
              <w:rPr>
                <w:rFonts w:ascii="Arial" w:hAnsi="Arial" w:cs="Arial"/>
                <w:b/>
                <w:bCs/>
                <w:sz w:val="16"/>
                <w:szCs w:val="16"/>
              </w:rPr>
              <w:t>Own-source revenue</w:t>
            </w:r>
          </w:p>
        </w:tc>
        <w:tc>
          <w:tcPr>
            <w:tcW w:w="573" w:type="pct"/>
            <w:tcBorders>
              <w:top w:val="nil"/>
              <w:left w:val="nil"/>
              <w:bottom w:val="nil"/>
              <w:right w:val="nil"/>
            </w:tcBorders>
            <w:shd w:val="clear" w:color="auto" w:fill="auto"/>
            <w:noWrap/>
            <w:vAlign w:val="bottom"/>
            <w:hideMark/>
          </w:tcPr>
          <w:p w14:paraId="319B70D8" w14:textId="77777777" w:rsidR="000A088A" w:rsidRPr="000A088A" w:rsidRDefault="000A088A" w:rsidP="007A659E">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14:paraId="3344E636"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 </w:t>
            </w:r>
          </w:p>
        </w:tc>
        <w:tc>
          <w:tcPr>
            <w:tcW w:w="573" w:type="pct"/>
            <w:tcBorders>
              <w:top w:val="nil"/>
              <w:left w:val="nil"/>
              <w:bottom w:val="nil"/>
              <w:right w:val="nil"/>
            </w:tcBorders>
            <w:shd w:val="clear" w:color="auto" w:fill="auto"/>
            <w:noWrap/>
            <w:vAlign w:val="bottom"/>
            <w:hideMark/>
          </w:tcPr>
          <w:p w14:paraId="754073FD" w14:textId="77777777" w:rsidR="000A088A" w:rsidRPr="000A088A" w:rsidRDefault="000A088A" w:rsidP="007A659E">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44AEB0F6" w14:textId="77777777" w:rsidR="000A088A" w:rsidRPr="000A088A" w:rsidRDefault="000A088A" w:rsidP="007A659E">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7CC7B78A" w14:textId="77777777" w:rsidR="000A088A" w:rsidRPr="000A088A" w:rsidRDefault="000A088A" w:rsidP="007A659E">
            <w:pPr>
              <w:spacing w:after="0" w:line="240" w:lineRule="auto"/>
              <w:jc w:val="right"/>
              <w:rPr>
                <w:rFonts w:ascii="Times New Roman" w:hAnsi="Times New Roman"/>
              </w:rPr>
            </w:pPr>
          </w:p>
        </w:tc>
      </w:tr>
      <w:tr w:rsidR="000A088A" w:rsidRPr="000A088A" w14:paraId="283854D6" w14:textId="77777777" w:rsidTr="007A659E">
        <w:trPr>
          <w:trHeight w:hRule="exact" w:val="510"/>
        </w:trPr>
        <w:tc>
          <w:tcPr>
            <w:tcW w:w="2136" w:type="pct"/>
            <w:tcBorders>
              <w:top w:val="nil"/>
              <w:left w:val="nil"/>
              <w:bottom w:val="nil"/>
              <w:right w:val="nil"/>
            </w:tcBorders>
            <w:shd w:val="clear" w:color="auto" w:fill="auto"/>
            <w:vAlign w:val="bottom"/>
            <w:hideMark/>
          </w:tcPr>
          <w:p w14:paraId="668A22A6" w14:textId="77777777" w:rsidR="000A088A" w:rsidRPr="000A088A" w:rsidRDefault="000A088A" w:rsidP="000A088A">
            <w:pPr>
              <w:spacing w:after="0" w:line="240" w:lineRule="auto"/>
              <w:ind w:left="170"/>
              <w:jc w:val="left"/>
              <w:rPr>
                <w:rFonts w:ascii="Arial" w:hAnsi="Arial" w:cs="Arial"/>
                <w:sz w:val="16"/>
                <w:szCs w:val="16"/>
              </w:rPr>
            </w:pPr>
            <w:r w:rsidRPr="000A088A">
              <w:rPr>
                <w:rFonts w:ascii="Arial" w:hAnsi="Arial" w:cs="Arial"/>
                <w:sz w:val="16"/>
                <w:szCs w:val="16"/>
              </w:rPr>
              <w:t>Sale of goods and rendering of</w:t>
            </w:r>
            <w:r w:rsidRPr="000A088A">
              <w:rPr>
                <w:rFonts w:ascii="Arial" w:hAnsi="Arial" w:cs="Arial"/>
                <w:sz w:val="16"/>
                <w:szCs w:val="16"/>
              </w:rPr>
              <w:br/>
              <w:t xml:space="preserve">  services</w:t>
            </w:r>
          </w:p>
        </w:tc>
        <w:tc>
          <w:tcPr>
            <w:tcW w:w="573" w:type="pct"/>
            <w:tcBorders>
              <w:top w:val="nil"/>
              <w:left w:val="nil"/>
              <w:bottom w:val="nil"/>
              <w:right w:val="nil"/>
            </w:tcBorders>
            <w:shd w:val="clear" w:color="auto" w:fill="auto"/>
            <w:noWrap/>
            <w:vAlign w:val="bottom"/>
            <w:hideMark/>
          </w:tcPr>
          <w:p w14:paraId="5C6033D6"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10 </w:t>
            </w:r>
          </w:p>
        </w:tc>
        <w:tc>
          <w:tcPr>
            <w:tcW w:w="573" w:type="pct"/>
            <w:tcBorders>
              <w:top w:val="nil"/>
              <w:left w:val="nil"/>
              <w:bottom w:val="nil"/>
              <w:right w:val="nil"/>
            </w:tcBorders>
            <w:shd w:val="clear" w:color="000000" w:fill="E6E6E6"/>
            <w:noWrap/>
            <w:vAlign w:val="bottom"/>
            <w:hideMark/>
          </w:tcPr>
          <w:p w14:paraId="71B18A68"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10 </w:t>
            </w:r>
          </w:p>
        </w:tc>
        <w:tc>
          <w:tcPr>
            <w:tcW w:w="573" w:type="pct"/>
            <w:tcBorders>
              <w:top w:val="nil"/>
              <w:left w:val="nil"/>
              <w:bottom w:val="nil"/>
              <w:right w:val="nil"/>
            </w:tcBorders>
            <w:shd w:val="clear" w:color="auto" w:fill="auto"/>
            <w:noWrap/>
            <w:vAlign w:val="bottom"/>
            <w:hideMark/>
          </w:tcPr>
          <w:p w14:paraId="4317A6AD"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10 </w:t>
            </w:r>
          </w:p>
        </w:tc>
        <w:tc>
          <w:tcPr>
            <w:tcW w:w="573" w:type="pct"/>
            <w:tcBorders>
              <w:top w:val="nil"/>
              <w:left w:val="nil"/>
              <w:bottom w:val="nil"/>
              <w:right w:val="nil"/>
            </w:tcBorders>
            <w:shd w:val="clear" w:color="auto" w:fill="auto"/>
            <w:noWrap/>
            <w:vAlign w:val="bottom"/>
            <w:hideMark/>
          </w:tcPr>
          <w:p w14:paraId="7D620E17"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10 </w:t>
            </w:r>
          </w:p>
        </w:tc>
        <w:tc>
          <w:tcPr>
            <w:tcW w:w="573" w:type="pct"/>
            <w:tcBorders>
              <w:top w:val="nil"/>
              <w:left w:val="nil"/>
              <w:bottom w:val="nil"/>
              <w:right w:val="nil"/>
            </w:tcBorders>
            <w:shd w:val="clear" w:color="auto" w:fill="auto"/>
            <w:noWrap/>
            <w:vAlign w:val="bottom"/>
            <w:hideMark/>
          </w:tcPr>
          <w:p w14:paraId="35C380FE"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10 </w:t>
            </w:r>
          </w:p>
        </w:tc>
      </w:tr>
      <w:tr w:rsidR="000A088A" w:rsidRPr="000A088A" w14:paraId="7D6BFE9F" w14:textId="77777777" w:rsidTr="007A659E">
        <w:trPr>
          <w:trHeight w:hRule="exact" w:val="225"/>
        </w:trPr>
        <w:tc>
          <w:tcPr>
            <w:tcW w:w="2136" w:type="pct"/>
            <w:tcBorders>
              <w:top w:val="nil"/>
              <w:left w:val="nil"/>
              <w:bottom w:val="nil"/>
              <w:right w:val="nil"/>
            </w:tcBorders>
            <w:shd w:val="clear" w:color="auto" w:fill="auto"/>
            <w:noWrap/>
            <w:vAlign w:val="bottom"/>
            <w:hideMark/>
          </w:tcPr>
          <w:p w14:paraId="141B50F0" w14:textId="77777777" w:rsidR="000A088A" w:rsidRPr="000A088A" w:rsidRDefault="000A088A" w:rsidP="000A088A">
            <w:pPr>
              <w:spacing w:after="0" w:line="240" w:lineRule="auto"/>
              <w:ind w:left="170"/>
              <w:jc w:val="left"/>
              <w:rPr>
                <w:rFonts w:ascii="Arial" w:hAnsi="Arial" w:cs="Arial"/>
                <w:sz w:val="16"/>
                <w:szCs w:val="16"/>
              </w:rPr>
            </w:pPr>
            <w:r w:rsidRPr="000A088A">
              <w:rPr>
                <w:rFonts w:ascii="Arial" w:hAnsi="Arial" w:cs="Arial"/>
                <w:sz w:val="16"/>
                <w:szCs w:val="16"/>
              </w:rPr>
              <w:t>Other</w:t>
            </w:r>
          </w:p>
        </w:tc>
        <w:tc>
          <w:tcPr>
            <w:tcW w:w="573" w:type="pct"/>
            <w:tcBorders>
              <w:top w:val="nil"/>
              <w:left w:val="nil"/>
              <w:bottom w:val="nil"/>
              <w:right w:val="nil"/>
            </w:tcBorders>
            <w:shd w:val="clear" w:color="auto" w:fill="auto"/>
            <w:noWrap/>
            <w:vAlign w:val="bottom"/>
            <w:hideMark/>
          </w:tcPr>
          <w:p w14:paraId="76FCCDB1"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50 </w:t>
            </w:r>
          </w:p>
        </w:tc>
        <w:tc>
          <w:tcPr>
            <w:tcW w:w="573" w:type="pct"/>
            <w:tcBorders>
              <w:top w:val="nil"/>
              <w:left w:val="nil"/>
              <w:bottom w:val="single" w:sz="4" w:space="0" w:color="auto"/>
              <w:right w:val="nil"/>
            </w:tcBorders>
            <w:shd w:val="clear" w:color="000000" w:fill="E6E6E6"/>
            <w:noWrap/>
            <w:vAlign w:val="bottom"/>
            <w:hideMark/>
          </w:tcPr>
          <w:p w14:paraId="5B6BFC94"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50 </w:t>
            </w:r>
          </w:p>
        </w:tc>
        <w:tc>
          <w:tcPr>
            <w:tcW w:w="573" w:type="pct"/>
            <w:tcBorders>
              <w:top w:val="nil"/>
              <w:left w:val="nil"/>
              <w:bottom w:val="nil"/>
              <w:right w:val="nil"/>
            </w:tcBorders>
            <w:shd w:val="clear" w:color="auto" w:fill="auto"/>
            <w:noWrap/>
            <w:vAlign w:val="bottom"/>
            <w:hideMark/>
          </w:tcPr>
          <w:p w14:paraId="58C5AE94"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50 </w:t>
            </w:r>
          </w:p>
        </w:tc>
        <w:tc>
          <w:tcPr>
            <w:tcW w:w="573" w:type="pct"/>
            <w:tcBorders>
              <w:top w:val="nil"/>
              <w:left w:val="nil"/>
              <w:bottom w:val="nil"/>
              <w:right w:val="nil"/>
            </w:tcBorders>
            <w:shd w:val="clear" w:color="auto" w:fill="auto"/>
            <w:noWrap/>
            <w:vAlign w:val="bottom"/>
            <w:hideMark/>
          </w:tcPr>
          <w:p w14:paraId="32C7446D"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50 </w:t>
            </w:r>
          </w:p>
        </w:tc>
        <w:tc>
          <w:tcPr>
            <w:tcW w:w="573" w:type="pct"/>
            <w:tcBorders>
              <w:top w:val="nil"/>
              <w:left w:val="nil"/>
              <w:bottom w:val="nil"/>
              <w:right w:val="nil"/>
            </w:tcBorders>
            <w:shd w:val="clear" w:color="auto" w:fill="auto"/>
            <w:noWrap/>
            <w:vAlign w:val="bottom"/>
            <w:hideMark/>
          </w:tcPr>
          <w:p w14:paraId="2198C937"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50 </w:t>
            </w:r>
          </w:p>
        </w:tc>
      </w:tr>
      <w:tr w:rsidR="000A088A" w:rsidRPr="000A088A" w14:paraId="2A6C6388" w14:textId="77777777" w:rsidTr="007A659E">
        <w:trPr>
          <w:trHeight w:hRule="exact" w:val="225"/>
        </w:trPr>
        <w:tc>
          <w:tcPr>
            <w:tcW w:w="2136" w:type="pct"/>
            <w:tcBorders>
              <w:top w:val="nil"/>
              <w:left w:val="nil"/>
              <w:bottom w:val="nil"/>
              <w:right w:val="nil"/>
            </w:tcBorders>
            <w:shd w:val="clear" w:color="auto" w:fill="auto"/>
            <w:noWrap/>
            <w:vAlign w:val="bottom"/>
            <w:hideMark/>
          </w:tcPr>
          <w:p w14:paraId="33140A15" w14:textId="77777777" w:rsidR="000A088A" w:rsidRPr="000A088A" w:rsidRDefault="000A088A" w:rsidP="000A088A">
            <w:pPr>
              <w:spacing w:after="0" w:line="240" w:lineRule="auto"/>
              <w:jc w:val="left"/>
              <w:rPr>
                <w:rFonts w:ascii="Arial" w:hAnsi="Arial" w:cs="Arial"/>
                <w:b/>
                <w:bCs/>
                <w:sz w:val="16"/>
                <w:szCs w:val="16"/>
              </w:rPr>
            </w:pPr>
            <w:r w:rsidRPr="000A088A">
              <w:rPr>
                <w:rFonts w:ascii="Arial" w:hAnsi="Arial" w:cs="Arial"/>
                <w:b/>
                <w:bCs/>
                <w:sz w:val="16"/>
                <w:szCs w:val="16"/>
              </w:rPr>
              <w:t>Total own-source revenue</w:t>
            </w:r>
          </w:p>
        </w:tc>
        <w:tc>
          <w:tcPr>
            <w:tcW w:w="573" w:type="pct"/>
            <w:tcBorders>
              <w:top w:val="single" w:sz="4" w:space="0" w:color="auto"/>
              <w:left w:val="nil"/>
              <w:bottom w:val="single" w:sz="4" w:space="0" w:color="auto"/>
              <w:right w:val="nil"/>
            </w:tcBorders>
            <w:shd w:val="clear" w:color="auto" w:fill="auto"/>
            <w:noWrap/>
            <w:vAlign w:val="bottom"/>
            <w:hideMark/>
          </w:tcPr>
          <w:p w14:paraId="22D385E5"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 xml:space="preserve">60 </w:t>
            </w:r>
          </w:p>
        </w:tc>
        <w:tc>
          <w:tcPr>
            <w:tcW w:w="573" w:type="pct"/>
            <w:tcBorders>
              <w:top w:val="nil"/>
              <w:left w:val="nil"/>
              <w:bottom w:val="single" w:sz="4" w:space="0" w:color="auto"/>
              <w:right w:val="nil"/>
            </w:tcBorders>
            <w:shd w:val="clear" w:color="000000" w:fill="E6E6E6"/>
            <w:noWrap/>
            <w:vAlign w:val="bottom"/>
            <w:hideMark/>
          </w:tcPr>
          <w:p w14:paraId="27C479DC"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60 </w:t>
            </w:r>
          </w:p>
        </w:tc>
        <w:tc>
          <w:tcPr>
            <w:tcW w:w="573" w:type="pct"/>
            <w:tcBorders>
              <w:top w:val="single" w:sz="4" w:space="0" w:color="auto"/>
              <w:left w:val="nil"/>
              <w:bottom w:val="single" w:sz="4" w:space="0" w:color="auto"/>
              <w:right w:val="nil"/>
            </w:tcBorders>
            <w:shd w:val="clear" w:color="auto" w:fill="auto"/>
            <w:noWrap/>
            <w:vAlign w:val="bottom"/>
            <w:hideMark/>
          </w:tcPr>
          <w:p w14:paraId="3783B454"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 xml:space="preserve">60 </w:t>
            </w:r>
          </w:p>
        </w:tc>
        <w:tc>
          <w:tcPr>
            <w:tcW w:w="573" w:type="pct"/>
            <w:tcBorders>
              <w:top w:val="single" w:sz="4" w:space="0" w:color="auto"/>
              <w:left w:val="nil"/>
              <w:bottom w:val="single" w:sz="4" w:space="0" w:color="auto"/>
              <w:right w:val="nil"/>
            </w:tcBorders>
            <w:shd w:val="clear" w:color="auto" w:fill="auto"/>
            <w:noWrap/>
            <w:vAlign w:val="bottom"/>
            <w:hideMark/>
          </w:tcPr>
          <w:p w14:paraId="52A9D853"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 xml:space="preserve">60 </w:t>
            </w:r>
          </w:p>
        </w:tc>
        <w:tc>
          <w:tcPr>
            <w:tcW w:w="573" w:type="pct"/>
            <w:tcBorders>
              <w:top w:val="single" w:sz="4" w:space="0" w:color="auto"/>
              <w:left w:val="nil"/>
              <w:bottom w:val="single" w:sz="4" w:space="0" w:color="auto"/>
              <w:right w:val="nil"/>
            </w:tcBorders>
            <w:shd w:val="clear" w:color="auto" w:fill="auto"/>
            <w:noWrap/>
            <w:vAlign w:val="bottom"/>
            <w:hideMark/>
          </w:tcPr>
          <w:p w14:paraId="58DCD1E0"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 xml:space="preserve">60 </w:t>
            </w:r>
          </w:p>
        </w:tc>
      </w:tr>
      <w:tr w:rsidR="000A088A" w:rsidRPr="000A088A" w14:paraId="74CB624E" w14:textId="77777777" w:rsidTr="007A659E">
        <w:trPr>
          <w:trHeight w:hRule="exact" w:val="225"/>
        </w:trPr>
        <w:tc>
          <w:tcPr>
            <w:tcW w:w="2136" w:type="pct"/>
            <w:tcBorders>
              <w:top w:val="nil"/>
              <w:left w:val="nil"/>
              <w:bottom w:val="nil"/>
              <w:right w:val="nil"/>
            </w:tcBorders>
            <w:shd w:val="clear" w:color="auto" w:fill="auto"/>
            <w:noWrap/>
            <w:vAlign w:val="bottom"/>
            <w:hideMark/>
          </w:tcPr>
          <w:p w14:paraId="1B331420" w14:textId="77777777" w:rsidR="000A088A" w:rsidRPr="000A088A" w:rsidRDefault="000A088A" w:rsidP="000A088A">
            <w:pPr>
              <w:spacing w:after="0" w:line="240" w:lineRule="auto"/>
              <w:jc w:val="left"/>
              <w:rPr>
                <w:rFonts w:ascii="Arial" w:hAnsi="Arial" w:cs="Arial"/>
                <w:b/>
                <w:bCs/>
                <w:sz w:val="16"/>
                <w:szCs w:val="16"/>
              </w:rPr>
            </w:pPr>
            <w:r w:rsidRPr="000A088A">
              <w:rPr>
                <w:rFonts w:ascii="Arial" w:hAnsi="Arial" w:cs="Arial"/>
                <w:b/>
                <w:bCs/>
                <w:sz w:val="16"/>
                <w:szCs w:val="16"/>
              </w:rPr>
              <w:t>Total own-source income</w:t>
            </w:r>
          </w:p>
        </w:tc>
        <w:tc>
          <w:tcPr>
            <w:tcW w:w="573" w:type="pct"/>
            <w:tcBorders>
              <w:top w:val="nil"/>
              <w:left w:val="nil"/>
              <w:bottom w:val="single" w:sz="4" w:space="0" w:color="auto"/>
              <w:right w:val="nil"/>
            </w:tcBorders>
            <w:shd w:val="clear" w:color="auto" w:fill="auto"/>
            <w:noWrap/>
            <w:vAlign w:val="bottom"/>
            <w:hideMark/>
          </w:tcPr>
          <w:p w14:paraId="1197E08D"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 xml:space="preserve">60 </w:t>
            </w:r>
          </w:p>
        </w:tc>
        <w:tc>
          <w:tcPr>
            <w:tcW w:w="573" w:type="pct"/>
            <w:tcBorders>
              <w:top w:val="nil"/>
              <w:left w:val="nil"/>
              <w:bottom w:val="single" w:sz="4" w:space="0" w:color="auto"/>
              <w:right w:val="nil"/>
            </w:tcBorders>
            <w:shd w:val="clear" w:color="000000" w:fill="E6E6E6"/>
            <w:noWrap/>
            <w:vAlign w:val="bottom"/>
            <w:hideMark/>
          </w:tcPr>
          <w:p w14:paraId="0A8E3B4C"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60 </w:t>
            </w:r>
          </w:p>
        </w:tc>
        <w:tc>
          <w:tcPr>
            <w:tcW w:w="573" w:type="pct"/>
            <w:tcBorders>
              <w:top w:val="nil"/>
              <w:left w:val="nil"/>
              <w:bottom w:val="single" w:sz="4" w:space="0" w:color="auto"/>
              <w:right w:val="nil"/>
            </w:tcBorders>
            <w:shd w:val="clear" w:color="auto" w:fill="auto"/>
            <w:noWrap/>
            <w:vAlign w:val="bottom"/>
            <w:hideMark/>
          </w:tcPr>
          <w:p w14:paraId="0D857D52"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 xml:space="preserve">60 </w:t>
            </w:r>
          </w:p>
        </w:tc>
        <w:tc>
          <w:tcPr>
            <w:tcW w:w="573" w:type="pct"/>
            <w:tcBorders>
              <w:top w:val="nil"/>
              <w:left w:val="nil"/>
              <w:bottom w:val="single" w:sz="4" w:space="0" w:color="auto"/>
              <w:right w:val="nil"/>
            </w:tcBorders>
            <w:shd w:val="clear" w:color="auto" w:fill="auto"/>
            <w:noWrap/>
            <w:vAlign w:val="bottom"/>
            <w:hideMark/>
          </w:tcPr>
          <w:p w14:paraId="55257ACB"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 xml:space="preserve">60 </w:t>
            </w:r>
          </w:p>
        </w:tc>
        <w:tc>
          <w:tcPr>
            <w:tcW w:w="573" w:type="pct"/>
            <w:tcBorders>
              <w:top w:val="nil"/>
              <w:left w:val="nil"/>
              <w:bottom w:val="single" w:sz="4" w:space="0" w:color="auto"/>
              <w:right w:val="nil"/>
            </w:tcBorders>
            <w:shd w:val="clear" w:color="auto" w:fill="auto"/>
            <w:noWrap/>
            <w:vAlign w:val="bottom"/>
            <w:hideMark/>
          </w:tcPr>
          <w:p w14:paraId="19E4ACF1"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 xml:space="preserve">60 </w:t>
            </w:r>
          </w:p>
        </w:tc>
      </w:tr>
      <w:tr w:rsidR="000A088A" w:rsidRPr="000A088A" w14:paraId="12596DD9" w14:textId="77777777" w:rsidTr="007A659E">
        <w:trPr>
          <w:trHeight w:hRule="exact" w:val="450"/>
        </w:trPr>
        <w:tc>
          <w:tcPr>
            <w:tcW w:w="2136" w:type="pct"/>
            <w:tcBorders>
              <w:top w:val="nil"/>
              <w:left w:val="nil"/>
              <w:bottom w:val="nil"/>
              <w:right w:val="nil"/>
            </w:tcBorders>
            <w:shd w:val="clear" w:color="auto" w:fill="auto"/>
            <w:vAlign w:val="bottom"/>
            <w:hideMark/>
          </w:tcPr>
          <w:p w14:paraId="3987327D" w14:textId="77777777" w:rsidR="000A088A" w:rsidRPr="000A088A" w:rsidRDefault="000A088A" w:rsidP="000A088A">
            <w:pPr>
              <w:spacing w:after="0" w:line="240" w:lineRule="auto"/>
              <w:jc w:val="left"/>
              <w:rPr>
                <w:rFonts w:ascii="Arial" w:hAnsi="Arial" w:cs="Arial"/>
                <w:b/>
                <w:bCs/>
                <w:color w:val="000000"/>
                <w:sz w:val="16"/>
                <w:szCs w:val="16"/>
              </w:rPr>
            </w:pPr>
            <w:r w:rsidRPr="000A088A">
              <w:rPr>
                <w:rFonts w:ascii="Arial" w:hAnsi="Arial" w:cs="Arial"/>
                <w:b/>
                <w:bCs/>
                <w:color w:val="000000"/>
                <w:sz w:val="16"/>
                <w:szCs w:val="16"/>
              </w:rPr>
              <w:t>Net (cost of)/contribution by</w:t>
            </w:r>
            <w:r w:rsidRPr="000A088A">
              <w:rPr>
                <w:rFonts w:ascii="Arial" w:hAnsi="Arial" w:cs="Arial"/>
                <w:b/>
                <w:bCs/>
                <w:color w:val="000000"/>
                <w:sz w:val="16"/>
                <w:szCs w:val="16"/>
              </w:rPr>
              <w:br/>
              <w:t xml:space="preserve">  services</w:t>
            </w:r>
          </w:p>
        </w:tc>
        <w:tc>
          <w:tcPr>
            <w:tcW w:w="573" w:type="pct"/>
            <w:tcBorders>
              <w:top w:val="nil"/>
              <w:left w:val="nil"/>
              <w:bottom w:val="single" w:sz="4" w:space="0" w:color="auto"/>
              <w:right w:val="nil"/>
            </w:tcBorders>
            <w:shd w:val="clear" w:color="auto" w:fill="auto"/>
            <w:noWrap/>
            <w:vAlign w:val="bottom"/>
            <w:hideMark/>
          </w:tcPr>
          <w:p w14:paraId="12A8AB79"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(38,032)</w:t>
            </w:r>
          </w:p>
        </w:tc>
        <w:tc>
          <w:tcPr>
            <w:tcW w:w="573" w:type="pct"/>
            <w:tcBorders>
              <w:top w:val="nil"/>
              <w:left w:val="nil"/>
              <w:bottom w:val="single" w:sz="4" w:space="0" w:color="auto"/>
              <w:right w:val="nil"/>
            </w:tcBorders>
            <w:shd w:val="clear" w:color="000000" w:fill="E6E6E6"/>
            <w:noWrap/>
            <w:vAlign w:val="bottom"/>
            <w:hideMark/>
          </w:tcPr>
          <w:p w14:paraId="6BC6EE10"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(38,708)</w:t>
            </w:r>
          </w:p>
        </w:tc>
        <w:tc>
          <w:tcPr>
            <w:tcW w:w="573" w:type="pct"/>
            <w:tcBorders>
              <w:top w:val="nil"/>
              <w:left w:val="nil"/>
              <w:bottom w:val="single" w:sz="4" w:space="0" w:color="auto"/>
              <w:right w:val="nil"/>
            </w:tcBorders>
            <w:shd w:val="clear" w:color="auto" w:fill="auto"/>
            <w:noWrap/>
            <w:vAlign w:val="bottom"/>
            <w:hideMark/>
          </w:tcPr>
          <w:p w14:paraId="49A7C2FD"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(37,877)</w:t>
            </w:r>
          </w:p>
        </w:tc>
        <w:tc>
          <w:tcPr>
            <w:tcW w:w="573" w:type="pct"/>
            <w:tcBorders>
              <w:top w:val="nil"/>
              <w:left w:val="nil"/>
              <w:bottom w:val="single" w:sz="4" w:space="0" w:color="auto"/>
              <w:right w:val="nil"/>
            </w:tcBorders>
            <w:shd w:val="clear" w:color="auto" w:fill="auto"/>
            <w:noWrap/>
            <w:vAlign w:val="bottom"/>
            <w:hideMark/>
          </w:tcPr>
          <w:p w14:paraId="43F04265"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(37,939)</w:t>
            </w:r>
          </w:p>
        </w:tc>
        <w:tc>
          <w:tcPr>
            <w:tcW w:w="573" w:type="pct"/>
            <w:tcBorders>
              <w:top w:val="nil"/>
              <w:left w:val="nil"/>
              <w:bottom w:val="single" w:sz="4" w:space="0" w:color="auto"/>
              <w:right w:val="nil"/>
            </w:tcBorders>
            <w:shd w:val="clear" w:color="auto" w:fill="auto"/>
            <w:noWrap/>
            <w:vAlign w:val="bottom"/>
            <w:hideMark/>
          </w:tcPr>
          <w:p w14:paraId="732FF867"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(38,125)</w:t>
            </w:r>
          </w:p>
        </w:tc>
      </w:tr>
      <w:tr w:rsidR="000A088A" w:rsidRPr="000A088A" w14:paraId="63F31142" w14:textId="77777777" w:rsidTr="007A659E">
        <w:trPr>
          <w:trHeight w:hRule="exact" w:val="225"/>
        </w:trPr>
        <w:tc>
          <w:tcPr>
            <w:tcW w:w="2136" w:type="pct"/>
            <w:tcBorders>
              <w:top w:val="nil"/>
              <w:left w:val="nil"/>
              <w:bottom w:val="nil"/>
              <w:right w:val="nil"/>
            </w:tcBorders>
            <w:shd w:val="clear" w:color="auto" w:fill="auto"/>
            <w:noWrap/>
            <w:vAlign w:val="bottom"/>
            <w:hideMark/>
          </w:tcPr>
          <w:p w14:paraId="0BD7DD00" w14:textId="77777777" w:rsidR="000A088A" w:rsidRPr="000A088A" w:rsidRDefault="000A088A" w:rsidP="000A088A">
            <w:pPr>
              <w:spacing w:after="0" w:line="240" w:lineRule="auto"/>
              <w:ind w:left="170"/>
              <w:jc w:val="left"/>
              <w:rPr>
                <w:rFonts w:ascii="Arial" w:hAnsi="Arial" w:cs="Arial"/>
                <w:sz w:val="16"/>
                <w:szCs w:val="16"/>
              </w:rPr>
            </w:pPr>
            <w:r w:rsidRPr="000A088A">
              <w:rPr>
                <w:rFonts w:ascii="Arial" w:hAnsi="Arial" w:cs="Arial"/>
                <w:sz w:val="16"/>
                <w:szCs w:val="16"/>
              </w:rPr>
              <w:t>Revenue from Government</w:t>
            </w:r>
          </w:p>
        </w:tc>
        <w:tc>
          <w:tcPr>
            <w:tcW w:w="573" w:type="pct"/>
            <w:tcBorders>
              <w:top w:val="nil"/>
              <w:left w:val="nil"/>
              <w:bottom w:val="single" w:sz="4" w:space="0" w:color="auto"/>
              <w:right w:val="nil"/>
            </w:tcBorders>
            <w:shd w:val="clear" w:color="auto" w:fill="auto"/>
            <w:noWrap/>
            <w:vAlign w:val="bottom"/>
            <w:hideMark/>
          </w:tcPr>
          <w:p w14:paraId="73460132"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36,616 </w:t>
            </w:r>
          </w:p>
        </w:tc>
        <w:tc>
          <w:tcPr>
            <w:tcW w:w="573" w:type="pct"/>
            <w:tcBorders>
              <w:top w:val="nil"/>
              <w:left w:val="nil"/>
              <w:bottom w:val="single" w:sz="4" w:space="0" w:color="auto"/>
              <w:right w:val="nil"/>
            </w:tcBorders>
            <w:shd w:val="clear" w:color="000000" w:fill="E6E6E6"/>
            <w:noWrap/>
            <w:vAlign w:val="bottom"/>
            <w:hideMark/>
          </w:tcPr>
          <w:p w14:paraId="5FA8BDD8"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37,418 </w:t>
            </w:r>
          </w:p>
        </w:tc>
        <w:tc>
          <w:tcPr>
            <w:tcW w:w="573" w:type="pct"/>
            <w:tcBorders>
              <w:top w:val="nil"/>
              <w:left w:val="nil"/>
              <w:bottom w:val="single" w:sz="4" w:space="0" w:color="auto"/>
              <w:right w:val="nil"/>
            </w:tcBorders>
            <w:shd w:val="clear" w:color="auto" w:fill="auto"/>
            <w:noWrap/>
            <w:vAlign w:val="bottom"/>
            <w:hideMark/>
          </w:tcPr>
          <w:p w14:paraId="6787E9D9"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36,699 </w:t>
            </w:r>
          </w:p>
        </w:tc>
        <w:tc>
          <w:tcPr>
            <w:tcW w:w="573" w:type="pct"/>
            <w:tcBorders>
              <w:top w:val="nil"/>
              <w:left w:val="nil"/>
              <w:bottom w:val="single" w:sz="4" w:space="0" w:color="auto"/>
              <w:right w:val="nil"/>
            </w:tcBorders>
            <w:shd w:val="clear" w:color="auto" w:fill="auto"/>
            <w:noWrap/>
            <w:vAlign w:val="bottom"/>
            <w:hideMark/>
          </w:tcPr>
          <w:p w14:paraId="642316A0"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36,919 </w:t>
            </w:r>
          </w:p>
        </w:tc>
        <w:tc>
          <w:tcPr>
            <w:tcW w:w="573" w:type="pct"/>
            <w:tcBorders>
              <w:top w:val="nil"/>
              <w:left w:val="nil"/>
              <w:bottom w:val="single" w:sz="4" w:space="0" w:color="auto"/>
              <w:right w:val="nil"/>
            </w:tcBorders>
            <w:shd w:val="clear" w:color="auto" w:fill="auto"/>
            <w:noWrap/>
            <w:vAlign w:val="bottom"/>
            <w:hideMark/>
          </w:tcPr>
          <w:p w14:paraId="3127EE70" w14:textId="77777777" w:rsidR="000A088A" w:rsidRPr="000A088A" w:rsidRDefault="000A088A" w:rsidP="007A659E">
            <w:pPr>
              <w:spacing w:after="0" w:line="240" w:lineRule="auto"/>
              <w:jc w:val="right"/>
              <w:rPr>
                <w:rFonts w:ascii="Arial" w:hAnsi="Arial" w:cs="Arial"/>
                <w:sz w:val="16"/>
                <w:szCs w:val="16"/>
              </w:rPr>
            </w:pPr>
            <w:r w:rsidRPr="000A088A">
              <w:rPr>
                <w:rFonts w:ascii="Arial" w:hAnsi="Arial" w:cs="Arial"/>
                <w:sz w:val="16"/>
                <w:szCs w:val="16"/>
              </w:rPr>
              <w:t xml:space="preserve">37,105 </w:t>
            </w:r>
          </w:p>
        </w:tc>
      </w:tr>
      <w:tr w:rsidR="000A088A" w:rsidRPr="000A088A" w14:paraId="0807C954" w14:textId="77777777" w:rsidTr="008703DD">
        <w:trPr>
          <w:trHeight w:hRule="exact" w:val="420"/>
        </w:trPr>
        <w:tc>
          <w:tcPr>
            <w:tcW w:w="2136" w:type="pct"/>
            <w:tcBorders>
              <w:top w:val="nil"/>
              <w:left w:val="nil"/>
              <w:bottom w:val="single" w:sz="4" w:space="0" w:color="auto"/>
              <w:right w:val="nil"/>
            </w:tcBorders>
            <w:shd w:val="clear" w:color="auto" w:fill="auto"/>
            <w:vAlign w:val="bottom"/>
            <w:hideMark/>
          </w:tcPr>
          <w:p w14:paraId="7EE9F142" w14:textId="77777777" w:rsidR="000A088A" w:rsidRPr="000A088A" w:rsidRDefault="000A088A" w:rsidP="000A088A">
            <w:pPr>
              <w:spacing w:after="0" w:line="240" w:lineRule="auto"/>
              <w:jc w:val="left"/>
              <w:rPr>
                <w:rFonts w:ascii="Arial" w:hAnsi="Arial" w:cs="Arial"/>
                <w:b/>
                <w:bCs/>
                <w:sz w:val="16"/>
                <w:szCs w:val="16"/>
              </w:rPr>
            </w:pPr>
            <w:r w:rsidRPr="000A088A">
              <w:rPr>
                <w:rFonts w:ascii="Arial" w:hAnsi="Arial" w:cs="Arial"/>
                <w:b/>
                <w:bCs/>
                <w:sz w:val="16"/>
                <w:szCs w:val="16"/>
              </w:rPr>
              <w:t>Surplus/(deficit) attributable to the</w:t>
            </w:r>
            <w:r w:rsidRPr="000A088A">
              <w:rPr>
                <w:rFonts w:ascii="Arial" w:hAnsi="Arial" w:cs="Arial"/>
                <w:b/>
                <w:bCs/>
                <w:sz w:val="16"/>
                <w:szCs w:val="16"/>
              </w:rPr>
              <w:br/>
              <w:t xml:space="preserve">  Australian Government</w:t>
            </w:r>
          </w:p>
        </w:tc>
        <w:tc>
          <w:tcPr>
            <w:tcW w:w="573" w:type="pct"/>
            <w:tcBorders>
              <w:top w:val="nil"/>
              <w:left w:val="nil"/>
              <w:bottom w:val="single" w:sz="4" w:space="0" w:color="auto"/>
              <w:right w:val="nil"/>
            </w:tcBorders>
            <w:shd w:val="clear" w:color="auto" w:fill="auto"/>
            <w:noWrap/>
            <w:vAlign w:val="bottom"/>
            <w:hideMark/>
          </w:tcPr>
          <w:p w14:paraId="6FD95A79"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(1,416)</w:t>
            </w:r>
          </w:p>
        </w:tc>
        <w:tc>
          <w:tcPr>
            <w:tcW w:w="573" w:type="pct"/>
            <w:tcBorders>
              <w:top w:val="nil"/>
              <w:left w:val="nil"/>
              <w:bottom w:val="single" w:sz="4" w:space="0" w:color="auto"/>
              <w:right w:val="nil"/>
            </w:tcBorders>
            <w:shd w:val="clear" w:color="000000" w:fill="E6E6E6"/>
            <w:noWrap/>
            <w:vAlign w:val="bottom"/>
            <w:hideMark/>
          </w:tcPr>
          <w:p w14:paraId="0070CA93"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(1,290)</w:t>
            </w:r>
          </w:p>
        </w:tc>
        <w:tc>
          <w:tcPr>
            <w:tcW w:w="573" w:type="pct"/>
            <w:tcBorders>
              <w:top w:val="nil"/>
              <w:left w:val="nil"/>
              <w:bottom w:val="single" w:sz="4" w:space="0" w:color="auto"/>
              <w:right w:val="nil"/>
            </w:tcBorders>
            <w:shd w:val="clear" w:color="auto" w:fill="auto"/>
            <w:noWrap/>
            <w:vAlign w:val="bottom"/>
            <w:hideMark/>
          </w:tcPr>
          <w:p w14:paraId="02180B33"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(1,178)</w:t>
            </w:r>
          </w:p>
        </w:tc>
        <w:tc>
          <w:tcPr>
            <w:tcW w:w="573" w:type="pct"/>
            <w:tcBorders>
              <w:top w:val="nil"/>
              <w:left w:val="nil"/>
              <w:bottom w:val="single" w:sz="4" w:space="0" w:color="auto"/>
              <w:right w:val="nil"/>
            </w:tcBorders>
            <w:shd w:val="clear" w:color="auto" w:fill="auto"/>
            <w:noWrap/>
            <w:vAlign w:val="bottom"/>
            <w:hideMark/>
          </w:tcPr>
          <w:p w14:paraId="6F7253EE"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(1,020)</w:t>
            </w:r>
          </w:p>
        </w:tc>
        <w:tc>
          <w:tcPr>
            <w:tcW w:w="573" w:type="pct"/>
            <w:tcBorders>
              <w:top w:val="nil"/>
              <w:left w:val="nil"/>
              <w:bottom w:val="single" w:sz="4" w:space="0" w:color="auto"/>
              <w:right w:val="nil"/>
            </w:tcBorders>
            <w:shd w:val="clear" w:color="auto" w:fill="auto"/>
            <w:noWrap/>
            <w:vAlign w:val="bottom"/>
            <w:hideMark/>
          </w:tcPr>
          <w:p w14:paraId="100AC3D7" w14:textId="77777777" w:rsidR="000A088A" w:rsidRPr="000A088A" w:rsidRDefault="000A088A" w:rsidP="007A659E">
            <w:pPr>
              <w:spacing w:after="0" w:line="240" w:lineRule="auto"/>
              <w:jc w:val="right"/>
              <w:rPr>
                <w:rFonts w:ascii="Arial" w:hAnsi="Arial" w:cs="Arial"/>
                <w:b/>
                <w:bCs/>
                <w:sz w:val="16"/>
                <w:szCs w:val="16"/>
              </w:rPr>
            </w:pPr>
            <w:r w:rsidRPr="000A088A">
              <w:rPr>
                <w:rFonts w:ascii="Arial" w:hAnsi="Arial" w:cs="Arial"/>
                <w:b/>
                <w:bCs/>
                <w:sz w:val="16"/>
                <w:szCs w:val="16"/>
              </w:rPr>
              <w:t>(1,020)</w:t>
            </w:r>
          </w:p>
        </w:tc>
      </w:tr>
    </w:tbl>
    <w:p w14:paraId="41EC1F25" w14:textId="3DFBA596" w:rsidR="00383480" w:rsidRPr="000A088A" w:rsidRDefault="00383480" w:rsidP="00383480">
      <w:pPr>
        <w:pStyle w:val="TableGraphic"/>
        <w:rPr>
          <w:sz w:val="14"/>
          <w:szCs w:val="14"/>
          <w:lang w:val="x-none" w:eastAsia="x-none"/>
        </w:rPr>
      </w:pPr>
    </w:p>
    <w:p w14:paraId="6AF5118E" w14:textId="3479C15C" w:rsidR="003E4D9D" w:rsidRDefault="00383480" w:rsidP="003E4D9D">
      <w:pPr>
        <w:pStyle w:val="TableHeadingNoTable"/>
        <w:spacing w:after="0"/>
        <w:rPr>
          <w:rFonts w:ascii="Times New Roman" w:hAnsi="Times New Roman"/>
        </w:rPr>
      </w:pPr>
      <w:r w:rsidRPr="003819E1">
        <w:t>Note: Impact of net cash appropriation arrangements</w:t>
      </w:r>
      <w:bookmarkStart w:id="34" w:name="_Hlk50990951"/>
    </w:p>
    <w:tbl>
      <w:tblPr>
        <w:tblW w:w="5000" w:type="pct"/>
        <w:tblCellMar>
          <w:left w:w="0" w:type="dxa"/>
          <w:right w:w="28" w:type="dxa"/>
        </w:tblCellMar>
        <w:tblLook w:val="04A0" w:firstRow="1" w:lastRow="0" w:firstColumn="1" w:lastColumn="0" w:noHBand="0" w:noVBand="1"/>
      </w:tblPr>
      <w:tblGrid>
        <w:gridCol w:w="3263"/>
        <w:gridCol w:w="890"/>
        <w:gridCol w:w="890"/>
        <w:gridCol w:w="890"/>
        <w:gridCol w:w="890"/>
        <w:gridCol w:w="887"/>
      </w:tblGrid>
      <w:tr w:rsidR="003E4D9D" w:rsidRPr="003E4D9D" w14:paraId="663FC1BF" w14:textId="77777777" w:rsidTr="003E4D9D">
        <w:trPr>
          <w:trHeight w:hRule="exact" w:val="900"/>
        </w:trPr>
        <w:tc>
          <w:tcPr>
            <w:tcW w:w="2117" w:type="pct"/>
            <w:tcBorders>
              <w:top w:val="single" w:sz="4" w:space="0" w:color="auto"/>
              <w:left w:val="nil"/>
              <w:bottom w:val="nil"/>
              <w:right w:val="nil"/>
            </w:tcBorders>
            <w:shd w:val="clear" w:color="auto" w:fill="auto"/>
            <w:vAlign w:val="bottom"/>
            <w:hideMark/>
          </w:tcPr>
          <w:p w14:paraId="4FD46315" w14:textId="423E4BF7" w:rsidR="003E4D9D" w:rsidRPr="003E4D9D" w:rsidRDefault="003E4D9D" w:rsidP="003E4D9D">
            <w:pPr>
              <w:spacing w:after="0" w:line="240" w:lineRule="auto"/>
              <w:jc w:val="left"/>
              <w:rPr>
                <w:rFonts w:ascii="Arial" w:hAnsi="Arial" w:cs="Arial"/>
                <w:sz w:val="16"/>
                <w:szCs w:val="16"/>
              </w:rPr>
            </w:pPr>
            <w:r w:rsidRPr="003E4D9D">
              <w:rPr>
                <w:rFonts w:ascii="Arial" w:hAnsi="Arial" w:cs="Arial"/>
                <w:sz w:val="16"/>
                <w:szCs w:val="16"/>
              </w:rPr>
              <w:t> </w:t>
            </w:r>
          </w:p>
        </w:tc>
        <w:tc>
          <w:tcPr>
            <w:tcW w:w="577" w:type="pct"/>
            <w:tcBorders>
              <w:top w:val="single" w:sz="4" w:space="0" w:color="auto"/>
              <w:left w:val="nil"/>
              <w:bottom w:val="single" w:sz="4" w:space="0" w:color="auto"/>
              <w:right w:val="nil"/>
            </w:tcBorders>
            <w:shd w:val="clear" w:color="auto" w:fill="auto"/>
            <w:vAlign w:val="bottom"/>
            <w:hideMark/>
          </w:tcPr>
          <w:p w14:paraId="21EA005C" w14:textId="77777777" w:rsidR="003E4D9D" w:rsidRPr="003E4D9D" w:rsidRDefault="003E4D9D" w:rsidP="003E4D9D">
            <w:pPr>
              <w:spacing w:after="0" w:line="240" w:lineRule="auto"/>
              <w:jc w:val="right"/>
              <w:rPr>
                <w:rFonts w:ascii="Arial" w:hAnsi="Arial" w:cs="Arial"/>
                <w:sz w:val="16"/>
                <w:szCs w:val="16"/>
              </w:rPr>
            </w:pPr>
            <w:r w:rsidRPr="003E4D9D">
              <w:rPr>
                <w:rFonts w:ascii="Arial" w:hAnsi="Arial" w:cs="Arial"/>
                <w:sz w:val="16"/>
                <w:szCs w:val="16"/>
              </w:rPr>
              <w:t>2021-22 Estimated actual</w:t>
            </w:r>
            <w:r w:rsidRPr="003E4D9D">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000000" w:fill="E6E6E6"/>
            <w:vAlign w:val="bottom"/>
            <w:hideMark/>
          </w:tcPr>
          <w:p w14:paraId="291C9A32" w14:textId="77777777" w:rsidR="003E4D9D" w:rsidRPr="003E4D9D" w:rsidRDefault="003E4D9D" w:rsidP="003E4D9D">
            <w:pPr>
              <w:spacing w:after="0" w:line="240" w:lineRule="auto"/>
              <w:jc w:val="right"/>
              <w:rPr>
                <w:rFonts w:ascii="Arial" w:hAnsi="Arial" w:cs="Arial"/>
                <w:sz w:val="16"/>
                <w:szCs w:val="16"/>
              </w:rPr>
            </w:pPr>
            <w:r w:rsidRPr="003E4D9D">
              <w:rPr>
                <w:rFonts w:ascii="Arial" w:hAnsi="Arial" w:cs="Arial"/>
                <w:sz w:val="16"/>
                <w:szCs w:val="16"/>
              </w:rPr>
              <w:t>2022-23</w:t>
            </w:r>
            <w:r w:rsidRPr="003E4D9D">
              <w:rPr>
                <w:rFonts w:ascii="Arial" w:hAnsi="Arial" w:cs="Arial"/>
                <w:sz w:val="16"/>
                <w:szCs w:val="16"/>
              </w:rPr>
              <w:br/>
              <w:t>Budget</w:t>
            </w:r>
            <w:r w:rsidRPr="003E4D9D">
              <w:rPr>
                <w:rFonts w:ascii="Arial" w:hAnsi="Arial" w:cs="Arial"/>
                <w:sz w:val="16"/>
                <w:szCs w:val="16"/>
              </w:rPr>
              <w:br/>
            </w:r>
            <w:r w:rsidRPr="003E4D9D">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vAlign w:val="bottom"/>
            <w:hideMark/>
          </w:tcPr>
          <w:p w14:paraId="495442A9" w14:textId="77777777" w:rsidR="003E4D9D" w:rsidRPr="003E4D9D" w:rsidRDefault="003E4D9D" w:rsidP="003E4D9D">
            <w:pPr>
              <w:spacing w:after="0" w:line="240" w:lineRule="auto"/>
              <w:jc w:val="right"/>
              <w:rPr>
                <w:rFonts w:ascii="Arial" w:hAnsi="Arial" w:cs="Arial"/>
                <w:sz w:val="16"/>
                <w:szCs w:val="16"/>
              </w:rPr>
            </w:pPr>
            <w:r w:rsidRPr="003E4D9D">
              <w:rPr>
                <w:rFonts w:ascii="Arial" w:hAnsi="Arial" w:cs="Arial"/>
                <w:sz w:val="16"/>
                <w:szCs w:val="16"/>
              </w:rPr>
              <w:t>2023-24 Forward estimate</w:t>
            </w:r>
            <w:r w:rsidRPr="003E4D9D">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vAlign w:val="bottom"/>
            <w:hideMark/>
          </w:tcPr>
          <w:p w14:paraId="408E26B6" w14:textId="77777777" w:rsidR="003E4D9D" w:rsidRPr="003E4D9D" w:rsidRDefault="003E4D9D" w:rsidP="003E4D9D">
            <w:pPr>
              <w:spacing w:after="0" w:line="240" w:lineRule="auto"/>
              <w:jc w:val="right"/>
              <w:rPr>
                <w:rFonts w:ascii="Arial" w:hAnsi="Arial" w:cs="Arial"/>
                <w:sz w:val="16"/>
                <w:szCs w:val="16"/>
              </w:rPr>
            </w:pPr>
            <w:r w:rsidRPr="003E4D9D">
              <w:rPr>
                <w:rFonts w:ascii="Arial" w:hAnsi="Arial" w:cs="Arial"/>
                <w:sz w:val="16"/>
                <w:szCs w:val="16"/>
              </w:rPr>
              <w:t>2024-25 Forward estimate</w:t>
            </w:r>
            <w:r w:rsidRPr="003E4D9D">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vAlign w:val="bottom"/>
            <w:hideMark/>
          </w:tcPr>
          <w:p w14:paraId="286FDB60" w14:textId="77777777" w:rsidR="003E4D9D" w:rsidRPr="003E4D9D" w:rsidRDefault="003E4D9D" w:rsidP="003E4D9D">
            <w:pPr>
              <w:spacing w:after="0" w:line="240" w:lineRule="auto"/>
              <w:jc w:val="right"/>
              <w:rPr>
                <w:rFonts w:ascii="Arial" w:hAnsi="Arial" w:cs="Arial"/>
                <w:sz w:val="16"/>
                <w:szCs w:val="16"/>
              </w:rPr>
            </w:pPr>
            <w:r w:rsidRPr="003E4D9D">
              <w:rPr>
                <w:rFonts w:ascii="Arial" w:hAnsi="Arial" w:cs="Arial"/>
                <w:sz w:val="16"/>
                <w:szCs w:val="16"/>
              </w:rPr>
              <w:t>2025-26</w:t>
            </w:r>
            <w:r w:rsidRPr="003E4D9D">
              <w:rPr>
                <w:rFonts w:ascii="Arial" w:hAnsi="Arial" w:cs="Arial"/>
                <w:sz w:val="16"/>
                <w:szCs w:val="16"/>
              </w:rPr>
              <w:br/>
              <w:t>Forward estimate</w:t>
            </w:r>
            <w:r w:rsidRPr="003E4D9D">
              <w:rPr>
                <w:rFonts w:ascii="Arial" w:hAnsi="Arial" w:cs="Arial"/>
                <w:sz w:val="16"/>
                <w:szCs w:val="16"/>
              </w:rPr>
              <w:br/>
              <w:t>$'000</w:t>
            </w:r>
          </w:p>
        </w:tc>
      </w:tr>
      <w:tr w:rsidR="003E4D9D" w:rsidRPr="003E4D9D" w14:paraId="09F73FBE" w14:textId="77777777" w:rsidTr="003E4D9D">
        <w:trPr>
          <w:trHeight w:hRule="exact" w:val="745"/>
        </w:trPr>
        <w:tc>
          <w:tcPr>
            <w:tcW w:w="2117" w:type="pct"/>
            <w:tcBorders>
              <w:top w:val="nil"/>
              <w:left w:val="nil"/>
              <w:bottom w:val="nil"/>
              <w:right w:val="nil"/>
            </w:tcBorders>
            <w:shd w:val="clear" w:color="auto" w:fill="auto"/>
            <w:vAlign w:val="bottom"/>
            <w:hideMark/>
          </w:tcPr>
          <w:p w14:paraId="36F8AE5B" w14:textId="77777777" w:rsidR="003E4D9D" w:rsidRPr="003E4D9D" w:rsidRDefault="003E4D9D" w:rsidP="003E4D9D">
            <w:pPr>
              <w:spacing w:after="0" w:line="240" w:lineRule="auto"/>
              <w:jc w:val="left"/>
              <w:rPr>
                <w:rFonts w:ascii="Arial" w:hAnsi="Arial" w:cs="Arial"/>
                <w:b/>
                <w:bCs/>
                <w:color w:val="000000"/>
                <w:sz w:val="16"/>
                <w:szCs w:val="16"/>
              </w:rPr>
            </w:pPr>
            <w:r w:rsidRPr="003E4D9D">
              <w:rPr>
                <w:rFonts w:ascii="Arial" w:hAnsi="Arial" w:cs="Arial"/>
                <w:b/>
                <w:bCs/>
                <w:color w:val="000000"/>
                <w:sz w:val="16"/>
                <w:szCs w:val="16"/>
              </w:rPr>
              <w:t>Total comprehensive income/(loss)</w:t>
            </w:r>
            <w:r w:rsidRPr="003E4D9D">
              <w:rPr>
                <w:rFonts w:ascii="Arial" w:hAnsi="Arial" w:cs="Arial"/>
                <w:b/>
                <w:bCs/>
                <w:color w:val="000000"/>
                <w:sz w:val="16"/>
                <w:szCs w:val="16"/>
              </w:rPr>
              <w:br/>
              <w:t xml:space="preserve">  - as per statement of</w:t>
            </w:r>
            <w:r w:rsidRPr="003E4D9D">
              <w:rPr>
                <w:rFonts w:ascii="Arial" w:hAnsi="Arial" w:cs="Arial"/>
                <w:b/>
                <w:bCs/>
                <w:color w:val="000000"/>
                <w:sz w:val="16"/>
                <w:szCs w:val="16"/>
              </w:rPr>
              <w:br/>
              <w:t xml:space="preserve">  Comprehensive Income</w:t>
            </w:r>
          </w:p>
        </w:tc>
        <w:tc>
          <w:tcPr>
            <w:tcW w:w="577" w:type="pct"/>
            <w:tcBorders>
              <w:top w:val="nil"/>
              <w:left w:val="nil"/>
              <w:bottom w:val="nil"/>
              <w:right w:val="nil"/>
            </w:tcBorders>
            <w:shd w:val="clear" w:color="auto" w:fill="auto"/>
            <w:noWrap/>
            <w:vAlign w:val="bottom"/>
            <w:hideMark/>
          </w:tcPr>
          <w:p w14:paraId="7D459719" w14:textId="77777777" w:rsidR="003E4D9D" w:rsidRPr="003E4D9D" w:rsidRDefault="003E4D9D" w:rsidP="003E4D9D">
            <w:pPr>
              <w:spacing w:after="0" w:line="240" w:lineRule="auto"/>
              <w:jc w:val="right"/>
              <w:rPr>
                <w:rFonts w:ascii="Arial" w:hAnsi="Arial" w:cs="Arial"/>
                <w:b/>
                <w:bCs/>
                <w:color w:val="000000"/>
                <w:sz w:val="16"/>
                <w:szCs w:val="16"/>
              </w:rPr>
            </w:pPr>
            <w:r w:rsidRPr="003E4D9D">
              <w:rPr>
                <w:rFonts w:ascii="Arial" w:hAnsi="Arial" w:cs="Arial"/>
                <w:b/>
                <w:bCs/>
                <w:color w:val="000000"/>
                <w:sz w:val="16"/>
                <w:szCs w:val="16"/>
              </w:rPr>
              <w:t>(1,416)</w:t>
            </w:r>
          </w:p>
        </w:tc>
        <w:tc>
          <w:tcPr>
            <w:tcW w:w="577" w:type="pct"/>
            <w:tcBorders>
              <w:top w:val="nil"/>
              <w:left w:val="nil"/>
              <w:bottom w:val="nil"/>
              <w:right w:val="nil"/>
            </w:tcBorders>
            <w:shd w:val="clear" w:color="000000" w:fill="E6E6E6"/>
            <w:noWrap/>
            <w:vAlign w:val="bottom"/>
            <w:hideMark/>
          </w:tcPr>
          <w:p w14:paraId="71C28334" w14:textId="77777777" w:rsidR="003E4D9D" w:rsidRPr="003E4D9D" w:rsidRDefault="003E4D9D" w:rsidP="003E4D9D">
            <w:pPr>
              <w:spacing w:after="0" w:line="240" w:lineRule="auto"/>
              <w:jc w:val="right"/>
              <w:rPr>
                <w:rFonts w:ascii="Arial" w:hAnsi="Arial" w:cs="Arial"/>
                <w:b/>
                <w:bCs/>
                <w:color w:val="000000"/>
                <w:sz w:val="16"/>
                <w:szCs w:val="16"/>
              </w:rPr>
            </w:pPr>
            <w:r w:rsidRPr="003E4D9D">
              <w:rPr>
                <w:rFonts w:ascii="Arial" w:hAnsi="Arial" w:cs="Arial"/>
                <w:b/>
                <w:bCs/>
                <w:color w:val="000000"/>
                <w:sz w:val="16"/>
                <w:szCs w:val="16"/>
              </w:rPr>
              <w:t>(1,290)</w:t>
            </w:r>
          </w:p>
        </w:tc>
        <w:tc>
          <w:tcPr>
            <w:tcW w:w="577" w:type="pct"/>
            <w:tcBorders>
              <w:top w:val="nil"/>
              <w:left w:val="nil"/>
              <w:bottom w:val="nil"/>
              <w:right w:val="nil"/>
            </w:tcBorders>
            <w:shd w:val="clear" w:color="auto" w:fill="auto"/>
            <w:noWrap/>
            <w:vAlign w:val="bottom"/>
            <w:hideMark/>
          </w:tcPr>
          <w:p w14:paraId="4E305C19" w14:textId="77777777" w:rsidR="003E4D9D" w:rsidRPr="003E4D9D" w:rsidRDefault="003E4D9D" w:rsidP="003E4D9D">
            <w:pPr>
              <w:spacing w:after="0" w:line="240" w:lineRule="auto"/>
              <w:jc w:val="right"/>
              <w:rPr>
                <w:rFonts w:ascii="Arial" w:hAnsi="Arial" w:cs="Arial"/>
                <w:b/>
                <w:bCs/>
                <w:color w:val="000000"/>
                <w:sz w:val="16"/>
                <w:szCs w:val="16"/>
              </w:rPr>
            </w:pPr>
            <w:r w:rsidRPr="003E4D9D">
              <w:rPr>
                <w:rFonts w:ascii="Arial" w:hAnsi="Arial" w:cs="Arial"/>
                <w:b/>
                <w:bCs/>
                <w:color w:val="000000"/>
                <w:sz w:val="16"/>
                <w:szCs w:val="16"/>
              </w:rPr>
              <w:t>(1,178)</w:t>
            </w:r>
          </w:p>
        </w:tc>
        <w:tc>
          <w:tcPr>
            <w:tcW w:w="577" w:type="pct"/>
            <w:tcBorders>
              <w:top w:val="nil"/>
              <w:left w:val="nil"/>
              <w:bottom w:val="nil"/>
              <w:right w:val="nil"/>
            </w:tcBorders>
            <w:shd w:val="clear" w:color="auto" w:fill="auto"/>
            <w:noWrap/>
            <w:vAlign w:val="bottom"/>
            <w:hideMark/>
          </w:tcPr>
          <w:p w14:paraId="304A0ED0" w14:textId="77777777" w:rsidR="003E4D9D" w:rsidRPr="003E4D9D" w:rsidRDefault="003E4D9D" w:rsidP="003E4D9D">
            <w:pPr>
              <w:spacing w:after="0" w:line="240" w:lineRule="auto"/>
              <w:jc w:val="right"/>
              <w:rPr>
                <w:rFonts w:ascii="Arial" w:hAnsi="Arial" w:cs="Arial"/>
                <w:b/>
                <w:bCs/>
                <w:color w:val="000000"/>
                <w:sz w:val="16"/>
                <w:szCs w:val="16"/>
              </w:rPr>
            </w:pPr>
            <w:r w:rsidRPr="003E4D9D">
              <w:rPr>
                <w:rFonts w:ascii="Arial" w:hAnsi="Arial" w:cs="Arial"/>
                <w:b/>
                <w:bCs/>
                <w:color w:val="000000"/>
                <w:sz w:val="16"/>
                <w:szCs w:val="16"/>
              </w:rPr>
              <w:t>(1,020)</w:t>
            </w:r>
          </w:p>
        </w:tc>
        <w:tc>
          <w:tcPr>
            <w:tcW w:w="577" w:type="pct"/>
            <w:tcBorders>
              <w:top w:val="nil"/>
              <w:left w:val="nil"/>
              <w:bottom w:val="nil"/>
              <w:right w:val="nil"/>
            </w:tcBorders>
            <w:shd w:val="clear" w:color="auto" w:fill="auto"/>
            <w:noWrap/>
            <w:vAlign w:val="bottom"/>
            <w:hideMark/>
          </w:tcPr>
          <w:p w14:paraId="24271256" w14:textId="77777777" w:rsidR="003E4D9D" w:rsidRPr="003E4D9D" w:rsidRDefault="003E4D9D" w:rsidP="003E4D9D">
            <w:pPr>
              <w:spacing w:after="0" w:line="240" w:lineRule="auto"/>
              <w:jc w:val="right"/>
              <w:rPr>
                <w:rFonts w:ascii="Arial" w:hAnsi="Arial" w:cs="Arial"/>
                <w:b/>
                <w:bCs/>
                <w:color w:val="000000"/>
                <w:sz w:val="16"/>
                <w:szCs w:val="16"/>
              </w:rPr>
            </w:pPr>
            <w:r w:rsidRPr="003E4D9D">
              <w:rPr>
                <w:rFonts w:ascii="Arial" w:hAnsi="Arial" w:cs="Arial"/>
                <w:b/>
                <w:bCs/>
                <w:color w:val="000000"/>
                <w:sz w:val="16"/>
                <w:szCs w:val="16"/>
              </w:rPr>
              <w:t>(1,020)</w:t>
            </w:r>
          </w:p>
        </w:tc>
      </w:tr>
      <w:tr w:rsidR="003E4D9D" w:rsidRPr="003E4D9D" w14:paraId="2F95723D" w14:textId="77777777" w:rsidTr="003E4D9D">
        <w:trPr>
          <w:trHeight w:hRule="exact" w:val="900"/>
        </w:trPr>
        <w:tc>
          <w:tcPr>
            <w:tcW w:w="2117" w:type="pct"/>
            <w:tcBorders>
              <w:top w:val="nil"/>
              <w:left w:val="nil"/>
              <w:bottom w:val="nil"/>
              <w:right w:val="nil"/>
            </w:tcBorders>
            <w:shd w:val="clear" w:color="auto" w:fill="auto"/>
            <w:vAlign w:val="bottom"/>
            <w:hideMark/>
          </w:tcPr>
          <w:p w14:paraId="6D550EF9" w14:textId="77777777" w:rsidR="003E4D9D" w:rsidRPr="003E4D9D" w:rsidRDefault="003E4D9D" w:rsidP="003E4D9D">
            <w:pPr>
              <w:spacing w:after="0" w:line="240" w:lineRule="auto"/>
              <w:ind w:left="170"/>
              <w:jc w:val="left"/>
              <w:rPr>
                <w:rFonts w:ascii="Arial" w:hAnsi="Arial" w:cs="Arial"/>
                <w:color w:val="000000"/>
                <w:sz w:val="16"/>
                <w:szCs w:val="16"/>
              </w:rPr>
            </w:pPr>
            <w:r w:rsidRPr="003E4D9D">
              <w:rPr>
                <w:rFonts w:ascii="Arial" w:hAnsi="Arial" w:cs="Arial"/>
                <w:color w:val="000000"/>
                <w:sz w:val="16"/>
                <w:szCs w:val="16"/>
              </w:rPr>
              <w:t>plus: depreciation/amortisation of assets</w:t>
            </w:r>
            <w:r w:rsidRPr="003E4D9D">
              <w:rPr>
                <w:rFonts w:ascii="Arial" w:hAnsi="Arial" w:cs="Arial"/>
                <w:color w:val="000000"/>
                <w:sz w:val="16"/>
                <w:szCs w:val="16"/>
              </w:rPr>
              <w:br/>
              <w:t xml:space="preserve">  funded through appropriations</w:t>
            </w:r>
            <w:r w:rsidRPr="003E4D9D">
              <w:rPr>
                <w:rFonts w:ascii="Arial" w:hAnsi="Arial" w:cs="Arial"/>
                <w:color w:val="000000"/>
                <w:sz w:val="16"/>
                <w:szCs w:val="16"/>
              </w:rPr>
              <w:br/>
              <w:t xml:space="preserve">  (departmental capital budget funding</w:t>
            </w:r>
            <w:r w:rsidRPr="003E4D9D">
              <w:rPr>
                <w:rFonts w:ascii="Arial" w:hAnsi="Arial" w:cs="Arial"/>
                <w:color w:val="000000"/>
                <w:sz w:val="16"/>
                <w:szCs w:val="16"/>
              </w:rPr>
              <w:br/>
              <w:t xml:space="preserve">  and/or equity injections) (a)</w:t>
            </w:r>
          </w:p>
        </w:tc>
        <w:tc>
          <w:tcPr>
            <w:tcW w:w="577" w:type="pct"/>
            <w:tcBorders>
              <w:top w:val="nil"/>
              <w:left w:val="nil"/>
              <w:bottom w:val="nil"/>
              <w:right w:val="nil"/>
            </w:tcBorders>
            <w:shd w:val="clear" w:color="auto" w:fill="auto"/>
            <w:noWrap/>
            <w:vAlign w:val="bottom"/>
            <w:hideMark/>
          </w:tcPr>
          <w:p w14:paraId="732C5413" w14:textId="77777777" w:rsidR="003E4D9D" w:rsidRPr="003E4D9D" w:rsidRDefault="003E4D9D" w:rsidP="003E4D9D">
            <w:pPr>
              <w:spacing w:after="0" w:line="240" w:lineRule="auto"/>
              <w:jc w:val="right"/>
              <w:rPr>
                <w:rFonts w:ascii="Arial" w:hAnsi="Arial" w:cs="Arial"/>
                <w:sz w:val="16"/>
                <w:szCs w:val="16"/>
              </w:rPr>
            </w:pPr>
            <w:r w:rsidRPr="003E4D9D">
              <w:rPr>
                <w:rFonts w:ascii="Arial" w:hAnsi="Arial" w:cs="Arial"/>
                <w:sz w:val="16"/>
                <w:szCs w:val="16"/>
              </w:rPr>
              <w:t xml:space="preserve">1,050 </w:t>
            </w:r>
          </w:p>
        </w:tc>
        <w:tc>
          <w:tcPr>
            <w:tcW w:w="577" w:type="pct"/>
            <w:tcBorders>
              <w:top w:val="nil"/>
              <w:left w:val="nil"/>
              <w:bottom w:val="nil"/>
              <w:right w:val="nil"/>
            </w:tcBorders>
            <w:shd w:val="clear" w:color="000000" w:fill="E6E6E6"/>
            <w:noWrap/>
            <w:vAlign w:val="bottom"/>
            <w:hideMark/>
          </w:tcPr>
          <w:p w14:paraId="06A25338" w14:textId="77777777" w:rsidR="003E4D9D" w:rsidRPr="003E4D9D" w:rsidRDefault="003E4D9D" w:rsidP="003E4D9D">
            <w:pPr>
              <w:spacing w:after="0" w:line="240" w:lineRule="auto"/>
              <w:jc w:val="right"/>
              <w:rPr>
                <w:rFonts w:ascii="Arial" w:hAnsi="Arial" w:cs="Arial"/>
                <w:b/>
                <w:bCs/>
                <w:sz w:val="16"/>
                <w:szCs w:val="16"/>
              </w:rPr>
            </w:pPr>
            <w:r w:rsidRPr="003E4D9D">
              <w:rPr>
                <w:rFonts w:ascii="Arial" w:hAnsi="Arial" w:cs="Arial"/>
                <w:b/>
                <w:bCs/>
                <w:sz w:val="16"/>
                <w:szCs w:val="16"/>
              </w:rPr>
              <w:t xml:space="preserve">1,050 </w:t>
            </w:r>
          </w:p>
        </w:tc>
        <w:tc>
          <w:tcPr>
            <w:tcW w:w="577" w:type="pct"/>
            <w:tcBorders>
              <w:top w:val="nil"/>
              <w:left w:val="nil"/>
              <w:bottom w:val="nil"/>
              <w:right w:val="nil"/>
            </w:tcBorders>
            <w:shd w:val="clear" w:color="auto" w:fill="auto"/>
            <w:noWrap/>
            <w:vAlign w:val="bottom"/>
            <w:hideMark/>
          </w:tcPr>
          <w:p w14:paraId="1C5F37A1" w14:textId="77777777" w:rsidR="003E4D9D" w:rsidRPr="003E4D9D" w:rsidRDefault="003E4D9D" w:rsidP="003E4D9D">
            <w:pPr>
              <w:spacing w:after="0" w:line="240" w:lineRule="auto"/>
              <w:jc w:val="right"/>
              <w:rPr>
                <w:rFonts w:ascii="Arial" w:hAnsi="Arial" w:cs="Arial"/>
                <w:sz w:val="16"/>
                <w:szCs w:val="16"/>
              </w:rPr>
            </w:pPr>
            <w:r w:rsidRPr="003E4D9D">
              <w:rPr>
                <w:rFonts w:ascii="Arial" w:hAnsi="Arial" w:cs="Arial"/>
                <w:sz w:val="16"/>
                <w:szCs w:val="16"/>
              </w:rPr>
              <w:t xml:space="preserve">1,050 </w:t>
            </w:r>
          </w:p>
        </w:tc>
        <w:tc>
          <w:tcPr>
            <w:tcW w:w="577" w:type="pct"/>
            <w:tcBorders>
              <w:top w:val="nil"/>
              <w:left w:val="nil"/>
              <w:bottom w:val="nil"/>
              <w:right w:val="nil"/>
            </w:tcBorders>
            <w:shd w:val="clear" w:color="auto" w:fill="auto"/>
            <w:noWrap/>
            <w:vAlign w:val="bottom"/>
            <w:hideMark/>
          </w:tcPr>
          <w:p w14:paraId="0BE5DC61" w14:textId="77777777" w:rsidR="003E4D9D" w:rsidRPr="003E4D9D" w:rsidRDefault="003E4D9D" w:rsidP="003E4D9D">
            <w:pPr>
              <w:spacing w:after="0" w:line="240" w:lineRule="auto"/>
              <w:jc w:val="right"/>
              <w:rPr>
                <w:rFonts w:ascii="Arial" w:hAnsi="Arial" w:cs="Arial"/>
                <w:sz w:val="16"/>
                <w:szCs w:val="16"/>
              </w:rPr>
            </w:pPr>
            <w:r w:rsidRPr="003E4D9D">
              <w:rPr>
                <w:rFonts w:ascii="Arial" w:hAnsi="Arial" w:cs="Arial"/>
                <w:sz w:val="16"/>
                <w:szCs w:val="16"/>
              </w:rPr>
              <w:t xml:space="preserve">1,050 </w:t>
            </w:r>
          </w:p>
        </w:tc>
        <w:tc>
          <w:tcPr>
            <w:tcW w:w="577" w:type="pct"/>
            <w:tcBorders>
              <w:top w:val="nil"/>
              <w:left w:val="nil"/>
              <w:bottom w:val="nil"/>
              <w:right w:val="nil"/>
            </w:tcBorders>
            <w:shd w:val="clear" w:color="auto" w:fill="auto"/>
            <w:noWrap/>
            <w:vAlign w:val="bottom"/>
            <w:hideMark/>
          </w:tcPr>
          <w:p w14:paraId="0C443442" w14:textId="77777777" w:rsidR="003E4D9D" w:rsidRPr="003E4D9D" w:rsidRDefault="003E4D9D" w:rsidP="003E4D9D">
            <w:pPr>
              <w:spacing w:after="0" w:line="240" w:lineRule="auto"/>
              <w:jc w:val="right"/>
              <w:rPr>
                <w:rFonts w:ascii="Arial" w:hAnsi="Arial" w:cs="Arial"/>
                <w:sz w:val="16"/>
                <w:szCs w:val="16"/>
              </w:rPr>
            </w:pPr>
            <w:r w:rsidRPr="003E4D9D">
              <w:rPr>
                <w:rFonts w:ascii="Arial" w:hAnsi="Arial" w:cs="Arial"/>
                <w:sz w:val="16"/>
                <w:szCs w:val="16"/>
              </w:rPr>
              <w:t xml:space="preserve">1,050 </w:t>
            </w:r>
          </w:p>
        </w:tc>
      </w:tr>
      <w:tr w:rsidR="003E4D9D" w:rsidRPr="003E4D9D" w14:paraId="23105496" w14:textId="77777777" w:rsidTr="003E4D9D">
        <w:trPr>
          <w:trHeight w:hRule="exact" w:val="450"/>
        </w:trPr>
        <w:tc>
          <w:tcPr>
            <w:tcW w:w="2117" w:type="pct"/>
            <w:tcBorders>
              <w:top w:val="nil"/>
              <w:left w:val="nil"/>
              <w:bottom w:val="nil"/>
              <w:right w:val="nil"/>
            </w:tcBorders>
            <w:shd w:val="clear" w:color="auto" w:fill="auto"/>
            <w:vAlign w:val="bottom"/>
            <w:hideMark/>
          </w:tcPr>
          <w:p w14:paraId="134C52B9" w14:textId="77777777" w:rsidR="003E4D9D" w:rsidRPr="003E4D9D" w:rsidRDefault="003E4D9D" w:rsidP="003E4D9D">
            <w:pPr>
              <w:spacing w:after="0" w:line="240" w:lineRule="auto"/>
              <w:ind w:left="170"/>
              <w:jc w:val="left"/>
              <w:rPr>
                <w:rFonts w:ascii="Arial" w:hAnsi="Arial" w:cs="Arial"/>
                <w:color w:val="000000"/>
                <w:sz w:val="16"/>
                <w:szCs w:val="16"/>
              </w:rPr>
            </w:pPr>
            <w:r w:rsidRPr="003E4D9D">
              <w:rPr>
                <w:rFonts w:ascii="Arial" w:hAnsi="Arial" w:cs="Arial"/>
                <w:color w:val="000000"/>
                <w:sz w:val="16"/>
                <w:szCs w:val="16"/>
              </w:rPr>
              <w:t>plus: depreciation/amortisation</w:t>
            </w:r>
            <w:r w:rsidRPr="003E4D9D">
              <w:rPr>
                <w:rFonts w:ascii="Arial" w:hAnsi="Arial" w:cs="Arial"/>
                <w:color w:val="000000"/>
                <w:sz w:val="16"/>
                <w:szCs w:val="16"/>
              </w:rPr>
              <w:br/>
              <w:t xml:space="preserve">  expenses for ROU assets (b)</w:t>
            </w:r>
          </w:p>
        </w:tc>
        <w:tc>
          <w:tcPr>
            <w:tcW w:w="577" w:type="pct"/>
            <w:tcBorders>
              <w:top w:val="nil"/>
              <w:left w:val="nil"/>
              <w:bottom w:val="nil"/>
              <w:right w:val="nil"/>
            </w:tcBorders>
            <w:shd w:val="clear" w:color="auto" w:fill="auto"/>
            <w:noWrap/>
            <w:vAlign w:val="bottom"/>
            <w:hideMark/>
          </w:tcPr>
          <w:p w14:paraId="720E3E66" w14:textId="77777777" w:rsidR="003E4D9D" w:rsidRPr="003E4D9D" w:rsidRDefault="003E4D9D" w:rsidP="003E4D9D">
            <w:pPr>
              <w:spacing w:after="0" w:line="240" w:lineRule="auto"/>
              <w:jc w:val="right"/>
              <w:rPr>
                <w:rFonts w:ascii="Arial" w:hAnsi="Arial" w:cs="Arial"/>
                <w:sz w:val="16"/>
                <w:szCs w:val="16"/>
              </w:rPr>
            </w:pPr>
            <w:r w:rsidRPr="003E4D9D">
              <w:rPr>
                <w:rFonts w:ascii="Arial" w:hAnsi="Arial" w:cs="Arial"/>
                <w:sz w:val="16"/>
                <w:szCs w:val="16"/>
              </w:rPr>
              <w:t xml:space="preserve">2,129 </w:t>
            </w:r>
          </w:p>
        </w:tc>
        <w:tc>
          <w:tcPr>
            <w:tcW w:w="577" w:type="pct"/>
            <w:tcBorders>
              <w:top w:val="nil"/>
              <w:left w:val="nil"/>
              <w:bottom w:val="nil"/>
              <w:right w:val="nil"/>
            </w:tcBorders>
            <w:shd w:val="clear" w:color="000000" w:fill="E6E6E6"/>
            <w:noWrap/>
            <w:vAlign w:val="bottom"/>
            <w:hideMark/>
          </w:tcPr>
          <w:p w14:paraId="277CBBED" w14:textId="77777777" w:rsidR="003E4D9D" w:rsidRPr="003E4D9D" w:rsidRDefault="003E4D9D" w:rsidP="003E4D9D">
            <w:pPr>
              <w:spacing w:after="0" w:line="240" w:lineRule="auto"/>
              <w:jc w:val="right"/>
              <w:rPr>
                <w:rFonts w:ascii="Arial" w:hAnsi="Arial" w:cs="Arial"/>
                <w:b/>
                <w:bCs/>
                <w:sz w:val="16"/>
                <w:szCs w:val="16"/>
              </w:rPr>
            </w:pPr>
            <w:r w:rsidRPr="003E4D9D">
              <w:rPr>
                <w:rFonts w:ascii="Arial" w:hAnsi="Arial" w:cs="Arial"/>
                <w:b/>
                <w:bCs/>
                <w:sz w:val="16"/>
                <w:szCs w:val="16"/>
              </w:rPr>
              <w:t xml:space="preserve">2,129 </w:t>
            </w:r>
          </w:p>
        </w:tc>
        <w:tc>
          <w:tcPr>
            <w:tcW w:w="577" w:type="pct"/>
            <w:tcBorders>
              <w:top w:val="nil"/>
              <w:left w:val="nil"/>
              <w:bottom w:val="nil"/>
              <w:right w:val="nil"/>
            </w:tcBorders>
            <w:shd w:val="clear" w:color="auto" w:fill="auto"/>
            <w:noWrap/>
            <w:vAlign w:val="bottom"/>
            <w:hideMark/>
          </w:tcPr>
          <w:p w14:paraId="77424A16" w14:textId="77777777" w:rsidR="003E4D9D" w:rsidRPr="003E4D9D" w:rsidRDefault="003E4D9D" w:rsidP="003E4D9D">
            <w:pPr>
              <w:spacing w:after="0" w:line="240" w:lineRule="auto"/>
              <w:jc w:val="right"/>
              <w:rPr>
                <w:rFonts w:ascii="Arial" w:hAnsi="Arial" w:cs="Arial"/>
                <w:sz w:val="16"/>
                <w:szCs w:val="16"/>
              </w:rPr>
            </w:pPr>
            <w:r w:rsidRPr="003E4D9D">
              <w:rPr>
                <w:rFonts w:ascii="Arial" w:hAnsi="Arial" w:cs="Arial"/>
                <w:sz w:val="16"/>
                <w:szCs w:val="16"/>
              </w:rPr>
              <w:t xml:space="preserve">2,129 </w:t>
            </w:r>
          </w:p>
        </w:tc>
        <w:tc>
          <w:tcPr>
            <w:tcW w:w="577" w:type="pct"/>
            <w:tcBorders>
              <w:top w:val="nil"/>
              <w:left w:val="nil"/>
              <w:bottom w:val="nil"/>
              <w:right w:val="nil"/>
            </w:tcBorders>
            <w:shd w:val="clear" w:color="auto" w:fill="auto"/>
            <w:noWrap/>
            <w:vAlign w:val="bottom"/>
            <w:hideMark/>
          </w:tcPr>
          <w:p w14:paraId="452129C6" w14:textId="77777777" w:rsidR="003E4D9D" w:rsidRPr="003E4D9D" w:rsidRDefault="003E4D9D" w:rsidP="003E4D9D">
            <w:pPr>
              <w:spacing w:after="0" w:line="240" w:lineRule="auto"/>
              <w:jc w:val="right"/>
              <w:rPr>
                <w:rFonts w:ascii="Arial" w:hAnsi="Arial" w:cs="Arial"/>
                <w:sz w:val="16"/>
                <w:szCs w:val="16"/>
              </w:rPr>
            </w:pPr>
            <w:r w:rsidRPr="003E4D9D">
              <w:rPr>
                <w:rFonts w:ascii="Arial" w:hAnsi="Arial" w:cs="Arial"/>
                <w:sz w:val="16"/>
                <w:szCs w:val="16"/>
              </w:rPr>
              <w:t xml:space="preserve">2,129 </w:t>
            </w:r>
          </w:p>
        </w:tc>
        <w:tc>
          <w:tcPr>
            <w:tcW w:w="577" w:type="pct"/>
            <w:tcBorders>
              <w:top w:val="nil"/>
              <w:left w:val="nil"/>
              <w:bottom w:val="nil"/>
              <w:right w:val="nil"/>
            </w:tcBorders>
            <w:shd w:val="clear" w:color="auto" w:fill="auto"/>
            <w:noWrap/>
            <w:vAlign w:val="bottom"/>
            <w:hideMark/>
          </w:tcPr>
          <w:p w14:paraId="244C6D78" w14:textId="77777777" w:rsidR="003E4D9D" w:rsidRPr="003E4D9D" w:rsidRDefault="003E4D9D" w:rsidP="003E4D9D">
            <w:pPr>
              <w:spacing w:after="0" w:line="240" w:lineRule="auto"/>
              <w:jc w:val="right"/>
              <w:rPr>
                <w:rFonts w:ascii="Arial" w:hAnsi="Arial" w:cs="Arial"/>
                <w:sz w:val="16"/>
                <w:szCs w:val="16"/>
              </w:rPr>
            </w:pPr>
            <w:r w:rsidRPr="003E4D9D">
              <w:rPr>
                <w:rFonts w:ascii="Arial" w:hAnsi="Arial" w:cs="Arial"/>
                <w:sz w:val="16"/>
                <w:szCs w:val="16"/>
              </w:rPr>
              <w:t xml:space="preserve">2,194 </w:t>
            </w:r>
          </w:p>
        </w:tc>
      </w:tr>
      <w:tr w:rsidR="003E4D9D" w:rsidRPr="003E4D9D" w14:paraId="2609C33F" w14:textId="77777777" w:rsidTr="003E4D9D">
        <w:trPr>
          <w:trHeight w:hRule="exact" w:val="225"/>
        </w:trPr>
        <w:tc>
          <w:tcPr>
            <w:tcW w:w="2117" w:type="pct"/>
            <w:tcBorders>
              <w:top w:val="nil"/>
              <w:left w:val="nil"/>
              <w:bottom w:val="nil"/>
              <w:right w:val="nil"/>
            </w:tcBorders>
            <w:shd w:val="clear" w:color="auto" w:fill="auto"/>
            <w:vAlign w:val="bottom"/>
            <w:hideMark/>
          </w:tcPr>
          <w:p w14:paraId="4489B69D" w14:textId="77777777" w:rsidR="003E4D9D" w:rsidRPr="003E4D9D" w:rsidRDefault="003E4D9D" w:rsidP="003E4D9D">
            <w:pPr>
              <w:spacing w:after="0" w:line="240" w:lineRule="auto"/>
              <w:ind w:left="170"/>
              <w:jc w:val="left"/>
              <w:rPr>
                <w:rFonts w:ascii="Arial" w:hAnsi="Arial" w:cs="Arial"/>
                <w:color w:val="000000"/>
                <w:sz w:val="16"/>
                <w:szCs w:val="16"/>
              </w:rPr>
            </w:pPr>
            <w:r w:rsidRPr="003E4D9D">
              <w:rPr>
                <w:rFonts w:ascii="Arial" w:hAnsi="Arial" w:cs="Arial"/>
                <w:color w:val="000000"/>
                <w:sz w:val="16"/>
                <w:szCs w:val="16"/>
              </w:rPr>
              <w:t>less: lease principal repayments (b)</w:t>
            </w:r>
          </w:p>
        </w:tc>
        <w:tc>
          <w:tcPr>
            <w:tcW w:w="577" w:type="pct"/>
            <w:tcBorders>
              <w:top w:val="nil"/>
              <w:left w:val="nil"/>
              <w:bottom w:val="nil"/>
              <w:right w:val="nil"/>
            </w:tcBorders>
            <w:shd w:val="clear" w:color="auto" w:fill="auto"/>
            <w:noWrap/>
            <w:vAlign w:val="bottom"/>
            <w:hideMark/>
          </w:tcPr>
          <w:p w14:paraId="722F80BF" w14:textId="77777777" w:rsidR="003E4D9D" w:rsidRPr="003E4D9D" w:rsidRDefault="003E4D9D" w:rsidP="003E4D9D">
            <w:pPr>
              <w:spacing w:after="0" w:line="240" w:lineRule="auto"/>
              <w:jc w:val="right"/>
              <w:rPr>
                <w:rFonts w:ascii="Arial" w:hAnsi="Arial" w:cs="Arial"/>
                <w:sz w:val="16"/>
                <w:szCs w:val="16"/>
              </w:rPr>
            </w:pPr>
            <w:r w:rsidRPr="003E4D9D">
              <w:rPr>
                <w:rFonts w:ascii="Arial" w:hAnsi="Arial" w:cs="Arial"/>
                <w:sz w:val="16"/>
                <w:szCs w:val="16"/>
              </w:rPr>
              <w:t xml:space="preserve">1,763 </w:t>
            </w:r>
          </w:p>
        </w:tc>
        <w:tc>
          <w:tcPr>
            <w:tcW w:w="577" w:type="pct"/>
            <w:tcBorders>
              <w:top w:val="nil"/>
              <w:left w:val="nil"/>
              <w:bottom w:val="nil"/>
              <w:right w:val="nil"/>
            </w:tcBorders>
            <w:shd w:val="clear" w:color="000000" w:fill="E6E6E6"/>
            <w:noWrap/>
            <w:vAlign w:val="bottom"/>
            <w:hideMark/>
          </w:tcPr>
          <w:p w14:paraId="236B05D1" w14:textId="77777777" w:rsidR="003E4D9D" w:rsidRPr="003E4D9D" w:rsidRDefault="003E4D9D" w:rsidP="003E4D9D">
            <w:pPr>
              <w:spacing w:after="0" w:line="240" w:lineRule="auto"/>
              <w:jc w:val="right"/>
              <w:rPr>
                <w:rFonts w:ascii="Arial" w:hAnsi="Arial" w:cs="Arial"/>
                <w:b/>
                <w:bCs/>
                <w:sz w:val="16"/>
                <w:szCs w:val="16"/>
              </w:rPr>
            </w:pPr>
            <w:r w:rsidRPr="003E4D9D">
              <w:rPr>
                <w:rFonts w:ascii="Arial" w:hAnsi="Arial" w:cs="Arial"/>
                <w:b/>
                <w:bCs/>
                <w:sz w:val="16"/>
                <w:szCs w:val="16"/>
              </w:rPr>
              <w:t xml:space="preserve">1,889 </w:t>
            </w:r>
          </w:p>
        </w:tc>
        <w:tc>
          <w:tcPr>
            <w:tcW w:w="577" w:type="pct"/>
            <w:tcBorders>
              <w:top w:val="nil"/>
              <w:left w:val="nil"/>
              <w:bottom w:val="nil"/>
              <w:right w:val="nil"/>
            </w:tcBorders>
            <w:shd w:val="clear" w:color="auto" w:fill="auto"/>
            <w:noWrap/>
            <w:vAlign w:val="bottom"/>
            <w:hideMark/>
          </w:tcPr>
          <w:p w14:paraId="5BCAE217" w14:textId="77777777" w:rsidR="003E4D9D" w:rsidRPr="003E4D9D" w:rsidRDefault="003E4D9D" w:rsidP="003E4D9D">
            <w:pPr>
              <w:spacing w:after="0" w:line="240" w:lineRule="auto"/>
              <w:jc w:val="right"/>
              <w:rPr>
                <w:rFonts w:ascii="Arial" w:hAnsi="Arial" w:cs="Arial"/>
                <w:sz w:val="16"/>
                <w:szCs w:val="16"/>
              </w:rPr>
            </w:pPr>
            <w:r w:rsidRPr="003E4D9D">
              <w:rPr>
                <w:rFonts w:ascii="Arial" w:hAnsi="Arial" w:cs="Arial"/>
                <w:sz w:val="16"/>
                <w:szCs w:val="16"/>
              </w:rPr>
              <w:t xml:space="preserve">2,001 </w:t>
            </w:r>
          </w:p>
        </w:tc>
        <w:tc>
          <w:tcPr>
            <w:tcW w:w="577" w:type="pct"/>
            <w:tcBorders>
              <w:top w:val="nil"/>
              <w:left w:val="nil"/>
              <w:bottom w:val="nil"/>
              <w:right w:val="nil"/>
            </w:tcBorders>
            <w:shd w:val="clear" w:color="auto" w:fill="auto"/>
            <w:noWrap/>
            <w:vAlign w:val="bottom"/>
            <w:hideMark/>
          </w:tcPr>
          <w:p w14:paraId="11506AEB" w14:textId="77777777" w:rsidR="003E4D9D" w:rsidRPr="003E4D9D" w:rsidRDefault="003E4D9D" w:rsidP="003E4D9D">
            <w:pPr>
              <w:spacing w:after="0" w:line="240" w:lineRule="auto"/>
              <w:jc w:val="right"/>
              <w:rPr>
                <w:rFonts w:ascii="Arial" w:hAnsi="Arial" w:cs="Arial"/>
                <w:sz w:val="16"/>
                <w:szCs w:val="16"/>
              </w:rPr>
            </w:pPr>
            <w:r w:rsidRPr="003E4D9D">
              <w:rPr>
                <w:rFonts w:ascii="Arial" w:hAnsi="Arial" w:cs="Arial"/>
                <w:sz w:val="16"/>
                <w:szCs w:val="16"/>
              </w:rPr>
              <w:t xml:space="preserve">2,159 </w:t>
            </w:r>
          </w:p>
        </w:tc>
        <w:tc>
          <w:tcPr>
            <w:tcW w:w="577" w:type="pct"/>
            <w:tcBorders>
              <w:top w:val="nil"/>
              <w:left w:val="nil"/>
              <w:bottom w:val="nil"/>
              <w:right w:val="nil"/>
            </w:tcBorders>
            <w:shd w:val="clear" w:color="auto" w:fill="auto"/>
            <w:noWrap/>
            <w:vAlign w:val="bottom"/>
            <w:hideMark/>
          </w:tcPr>
          <w:p w14:paraId="552275B0" w14:textId="77777777" w:rsidR="003E4D9D" w:rsidRPr="003E4D9D" w:rsidRDefault="003E4D9D" w:rsidP="003E4D9D">
            <w:pPr>
              <w:spacing w:after="0" w:line="240" w:lineRule="auto"/>
              <w:jc w:val="right"/>
              <w:rPr>
                <w:rFonts w:ascii="Arial" w:hAnsi="Arial" w:cs="Arial"/>
                <w:sz w:val="16"/>
                <w:szCs w:val="16"/>
              </w:rPr>
            </w:pPr>
            <w:r w:rsidRPr="003E4D9D">
              <w:rPr>
                <w:rFonts w:ascii="Arial" w:hAnsi="Arial" w:cs="Arial"/>
                <w:sz w:val="16"/>
                <w:szCs w:val="16"/>
              </w:rPr>
              <w:t xml:space="preserve">2,224 </w:t>
            </w:r>
          </w:p>
        </w:tc>
      </w:tr>
      <w:tr w:rsidR="003E4D9D" w:rsidRPr="003E4D9D" w14:paraId="5DCB3D0A" w14:textId="77777777" w:rsidTr="008703DD">
        <w:trPr>
          <w:trHeight w:hRule="exact" w:val="280"/>
        </w:trPr>
        <w:tc>
          <w:tcPr>
            <w:tcW w:w="2117" w:type="pct"/>
            <w:tcBorders>
              <w:top w:val="nil"/>
              <w:left w:val="nil"/>
              <w:bottom w:val="single" w:sz="4" w:space="0" w:color="auto"/>
              <w:right w:val="nil"/>
            </w:tcBorders>
            <w:shd w:val="clear" w:color="auto" w:fill="auto"/>
            <w:vAlign w:val="bottom"/>
            <w:hideMark/>
          </w:tcPr>
          <w:p w14:paraId="5F940759" w14:textId="77777777" w:rsidR="003E4D9D" w:rsidRPr="003E4D9D" w:rsidRDefault="003E4D9D" w:rsidP="003E4D9D">
            <w:pPr>
              <w:spacing w:after="0" w:line="240" w:lineRule="auto"/>
              <w:jc w:val="left"/>
              <w:rPr>
                <w:rFonts w:ascii="Arial" w:hAnsi="Arial" w:cs="Arial"/>
                <w:b/>
                <w:bCs/>
                <w:color w:val="000000"/>
                <w:sz w:val="16"/>
                <w:szCs w:val="16"/>
              </w:rPr>
            </w:pPr>
            <w:r w:rsidRPr="003E4D9D">
              <w:rPr>
                <w:rFonts w:ascii="Arial" w:hAnsi="Arial" w:cs="Arial"/>
                <w:b/>
                <w:bCs/>
                <w:color w:val="000000"/>
                <w:sz w:val="16"/>
                <w:szCs w:val="16"/>
              </w:rPr>
              <w:t>Net Cash Operating Surplus/ (Deficit)</w:t>
            </w:r>
          </w:p>
        </w:tc>
        <w:tc>
          <w:tcPr>
            <w:tcW w:w="577" w:type="pct"/>
            <w:tcBorders>
              <w:top w:val="single" w:sz="4" w:space="0" w:color="auto"/>
              <w:left w:val="nil"/>
              <w:bottom w:val="single" w:sz="4" w:space="0" w:color="auto"/>
              <w:right w:val="nil"/>
            </w:tcBorders>
            <w:shd w:val="clear" w:color="auto" w:fill="auto"/>
            <w:vAlign w:val="bottom"/>
            <w:hideMark/>
          </w:tcPr>
          <w:p w14:paraId="4CEADBC4" w14:textId="77777777" w:rsidR="003E4D9D" w:rsidRPr="003E4D9D" w:rsidRDefault="003E4D9D" w:rsidP="003E4D9D">
            <w:pPr>
              <w:spacing w:after="0" w:line="240" w:lineRule="auto"/>
              <w:jc w:val="right"/>
              <w:rPr>
                <w:rFonts w:ascii="Arial" w:hAnsi="Arial" w:cs="Arial"/>
                <w:b/>
                <w:bCs/>
                <w:sz w:val="16"/>
                <w:szCs w:val="16"/>
              </w:rPr>
            </w:pPr>
            <w:r w:rsidRPr="003E4D9D">
              <w:rPr>
                <w:rFonts w:ascii="Arial" w:hAnsi="Arial" w:cs="Arial"/>
                <w:b/>
                <w:bCs/>
                <w:sz w:val="16"/>
                <w:szCs w:val="16"/>
              </w:rPr>
              <w:t xml:space="preserve">- </w:t>
            </w:r>
          </w:p>
        </w:tc>
        <w:tc>
          <w:tcPr>
            <w:tcW w:w="577" w:type="pct"/>
            <w:tcBorders>
              <w:top w:val="single" w:sz="4" w:space="0" w:color="auto"/>
              <w:left w:val="nil"/>
              <w:bottom w:val="single" w:sz="4" w:space="0" w:color="auto"/>
              <w:right w:val="nil"/>
            </w:tcBorders>
            <w:shd w:val="clear" w:color="000000" w:fill="E6E6E6"/>
            <w:vAlign w:val="bottom"/>
            <w:hideMark/>
          </w:tcPr>
          <w:p w14:paraId="68FDC066" w14:textId="77777777" w:rsidR="003E4D9D" w:rsidRPr="003E4D9D" w:rsidRDefault="003E4D9D" w:rsidP="003E4D9D">
            <w:pPr>
              <w:spacing w:after="0" w:line="240" w:lineRule="auto"/>
              <w:jc w:val="right"/>
              <w:rPr>
                <w:rFonts w:ascii="Arial" w:hAnsi="Arial" w:cs="Arial"/>
                <w:b/>
                <w:bCs/>
                <w:sz w:val="16"/>
                <w:szCs w:val="16"/>
              </w:rPr>
            </w:pPr>
            <w:r w:rsidRPr="003E4D9D">
              <w:rPr>
                <w:rFonts w:ascii="Arial" w:hAnsi="Arial" w:cs="Arial"/>
                <w:b/>
                <w:bCs/>
                <w:sz w:val="16"/>
                <w:szCs w:val="16"/>
              </w:rPr>
              <w:t xml:space="preserve">- </w:t>
            </w:r>
          </w:p>
        </w:tc>
        <w:tc>
          <w:tcPr>
            <w:tcW w:w="577" w:type="pct"/>
            <w:tcBorders>
              <w:top w:val="single" w:sz="4" w:space="0" w:color="auto"/>
              <w:left w:val="nil"/>
              <w:bottom w:val="single" w:sz="4" w:space="0" w:color="auto"/>
              <w:right w:val="nil"/>
            </w:tcBorders>
            <w:shd w:val="clear" w:color="auto" w:fill="auto"/>
            <w:vAlign w:val="bottom"/>
            <w:hideMark/>
          </w:tcPr>
          <w:p w14:paraId="69CAECDB" w14:textId="77777777" w:rsidR="003E4D9D" w:rsidRPr="003E4D9D" w:rsidRDefault="003E4D9D" w:rsidP="003E4D9D">
            <w:pPr>
              <w:spacing w:after="0" w:line="240" w:lineRule="auto"/>
              <w:jc w:val="right"/>
              <w:rPr>
                <w:rFonts w:ascii="Arial" w:hAnsi="Arial" w:cs="Arial"/>
                <w:b/>
                <w:bCs/>
                <w:sz w:val="16"/>
                <w:szCs w:val="16"/>
              </w:rPr>
            </w:pPr>
            <w:r w:rsidRPr="003E4D9D">
              <w:rPr>
                <w:rFonts w:ascii="Arial" w:hAnsi="Arial" w:cs="Arial"/>
                <w:b/>
                <w:bCs/>
                <w:sz w:val="16"/>
                <w:szCs w:val="16"/>
              </w:rPr>
              <w:t xml:space="preserve">- </w:t>
            </w:r>
          </w:p>
        </w:tc>
        <w:tc>
          <w:tcPr>
            <w:tcW w:w="577" w:type="pct"/>
            <w:tcBorders>
              <w:top w:val="single" w:sz="4" w:space="0" w:color="auto"/>
              <w:left w:val="nil"/>
              <w:bottom w:val="single" w:sz="4" w:space="0" w:color="auto"/>
              <w:right w:val="nil"/>
            </w:tcBorders>
            <w:shd w:val="clear" w:color="auto" w:fill="auto"/>
            <w:vAlign w:val="bottom"/>
            <w:hideMark/>
          </w:tcPr>
          <w:p w14:paraId="28ED8BAA" w14:textId="77777777" w:rsidR="003E4D9D" w:rsidRPr="003E4D9D" w:rsidRDefault="003E4D9D" w:rsidP="003E4D9D">
            <w:pPr>
              <w:spacing w:after="0" w:line="240" w:lineRule="auto"/>
              <w:jc w:val="right"/>
              <w:rPr>
                <w:rFonts w:ascii="Arial" w:hAnsi="Arial" w:cs="Arial"/>
                <w:b/>
                <w:bCs/>
                <w:sz w:val="16"/>
                <w:szCs w:val="16"/>
              </w:rPr>
            </w:pPr>
            <w:r w:rsidRPr="003E4D9D">
              <w:rPr>
                <w:rFonts w:ascii="Arial" w:hAnsi="Arial" w:cs="Arial"/>
                <w:b/>
                <w:bCs/>
                <w:sz w:val="16"/>
                <w:szCs w:val="16"/>
              </w:rPr>
              <w:t xml:space="preserve">- </w:t>
            </w:r>
          </w:p>
        </w:tc>
        <w:tc>
          <w:tcPr>
            <w:tcW w:w="577" w:type="pct"/>
            <w:tcBorders>
              <w:top w:val="single" w:sz="4" w:space="0" w:color="auto"/>
              <w:left w:val="nil"/>
              <w:bottom w:val="single" w:sz="4" w:space="0" w:color="auto"/>
              <w:right w:val="nil"/>
            </w:tcBorders>
            <w:shd w:val="clear" w:color="auto" w:fill="auto"/>
            <w:vAlign w:val="bottom"/>
            <w:hideMark/>
          </w:tcPr>
          <w:p w14:paraId="3C13C722" w14:textId="77777777" w:rsidR="003E4D9D" w:rsidRPr="003E4D9D" w:rsidRDefault="003E4D9D" w:rsidP="003E4D9D">
            <w:pPr>
              <w:spacing w:after="0" w:line="240" w:lineRule="auto"/>
              <w:jc w:val="right"/>
              <w:rPr>
                <w:rFonts w:ascii="Arial" w:hAnsi="Arial" w:cs="Arial"/>
                <w:b/>
                <w:bCs/>
                <w:sz w:val="16"/>
                <w:szCs w:val="16"/>
              </w:rPr>
            </w:pPr>
            <w:r w:rsidRPr="003E4D9D">
              <w:rPr>
                <w:rFonts w:ascii="Arial" w:hAnsi="Arial" w:cs="Arial"/>
                <w:b/>
                <w:bCs/>
                <w:sz w:val="16"/>
                <w:szCs w:val="16"/>
              </w:rPr>
              <w:t xml:space="preserve">- </w:t>
            </w:r>
          </w:p>
        </w:tc>
      </w:tr>
    </w:tbl>
    <w:p w14:paraId="44A8B24C" w14:textId="0684ECB6" w:rsidR="00AD7443" w:rsidRDefault="00AD7443" w:rsidP="003E4D9D">
      <w:pPr>
        <w:pStyle w:val="ChartandTableFootnote"/>
      </w:pPr>
      <w:r w:rsidRPr="009D54F3">
        <w:t>Prepared on Australian Accounting Standards basis.</w:t>
      </w:r>
    </w:p>
    <w:p w14:paraId="2813D828" w14:textId="0FA38138" w:rsidR="00DE388C" w:rsidRPr="00DE388C" w:rsidRDefault="00DE388C" w:rsidP="003E4D9D">
      <w:pPr>
        <w:pStyle w:val="ChartandTableFootnoteAlpha"/>
        <w:numPr>
          <w:ilvl w:val="0"/>
          <w:numId w:val="10"/>
        </w:numPr>
      </w:pPr>
      <w:r w:rsidRPr="000A088A">
        <w:rPr>
          <w:rFonts w:cs="Arial"/>
        </w:rPr>
        <w:t>From 2010</w:t>
      </w:r>
      <w:r w:rsidR="00E6396A">
        <w:rPr>
          <w:rFonts w:cs="Arial"/>
        </w:rPr>
        <w:noBreakHyphen/>
      </w:r>
      <w:r w:rsidRPr="000A088A">
        <w:rPr>
          <w:rFonts w:cs="Arial"/>
        </w:rPr>
        <w:t>11, the Government introduced net cash appropriation arrangements where Bill 1 revenue appropriations for the depreciation/amortisation expenses of non</w:t>
      </w:r>
      <w:r w:rsidR="00E6396A">
        <w:rPr>
          <w:rFonts w:cs="Arial"/>
        </w:rPr>
        <w:noBreakHyphen/>
      </w:r>
      <w:r w:rsidRPr="000A088A">
        <w:rPr>
          <w:rFonts w:cs="Arial"/>
        </w:rPr>
        <w:t>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49B6A8BD" w14:textId="506404AA" w:rsidR="00383480" w:rsidRPr="002A0F2E" w:rsidRDefault="00383480" w:rsidP="00383480">
      <w:pPr>
        <w:pStyle w:val="ChartandTableFootnoteAlpha"/>
      </w:pPr>
      <w:r w:rsidRPr="00D52088">
        <w:t>Applies</w:t>
      </w:r>
      <w:r w:rsidR="0040043F">
        <w:t xml:space="preserve"> to</w:t>
      </w:r>
      <w:r w:rsidRPr="00D52088">
        <w:t xml:space="preserve"> leases under AASB 16 Leases.</w:t>
      </w:r>
    </w:p>
    <w:bookmarkEnd w:id="34"/>
    <w:p w14:paraId="48057829" w14:textId="15FAEFBE" w:rsidR="00156623" w:rsidRPr="00156623" w:rsidRDefault="00383480" w:rsidP="00156623">
      <w:pPr>
        <w:pStyle w:val="TableHeading"/>
        <w:rPr>
          <w:rFonts w:ascii="Times New Roman" w:hAnsi="Times New Roman"/>
        </w:rPr>
      </w:pPr>
      <w:r w:rsidRPr="00E4582E">
        <w:lastRenderedPageBreak/>
        <w:t>Table</w:t>
      </w:r>
      <w:r>
        <w:t xml:space="preserve"> 3.</w:t>
      </w:r>
      <w:r w:rsidRPr="00E4582E">
        <w:t>2: Budg</w:t>
      </w:r>
      <w:r>
        <w:t xml:space="preserve">eted departmental balance sheet </w:t>
      </w:r>
      <w:r w:rsidRPr="00E4582E">
        <w:t>(as at 30 June</w:t>
      </w:r>
      <w:r w:rsidR="009A1F48">
        <w:rPr>
          <w:lang w:val="en-AU"/>
        </w:rPr>
        <w:t>)</w:t>
      </w:r>
    </w:p>
    <w:tbl>
      <w:tblPr>
        <w:tblW w:w="5000" w:type="pct"/>
        <w:tblCellMar>
          <w:left w:w="0" w:type="dxa"/>
          <w:right w:w="28" w:type="dxa"/>
        </w:tblCellMar>
        <w:tblLook w:val="04A0" w:firstRow="1" w:lastRow="0" w:firstColumn="1" w:lastColumn="0" w:noHBand="0" w:noVBand="1"/>
      </w:tblPr>
      <w:tblGrid>
        <w:gridCol w:w="3083"/>
        <w:gridCol w:w="926"/>
        <w:gridCol w:w="926"/>
        <w:gridCol w:w="925"/>
        <w:gridCol w:w="925"/>
        <w:gridCol w:w="925"/>
      </w:tblGrid>
      <w:tr w:rsidR="00156623" w:rsidRPr="00156623" w14:paraId="442F63BC" w14:textId="77777777" w:rsidTr="00156623">
        <w:trPr>
          <w:trHeight w:hRule="exact" w:val="1035"/>
        </w:trPr>
        <w:tc>
          <w:tcPr>
            <w:tcW w:w="1998" w:type="pct"/>
            <w:tcBorders>
              <w:top w:val="single" w:sz="4" w:space="0" w:color="auto"/>
              <w:left w:val="nil"/>
              <w:bottom w:val="nil"/>
              <w:right w:val="nil"/>
            </w:tcBorders>
            <w:shd w:val="clear" w:color="auto" w:fill="auto"/>
            <w:noWrap/>
            <w:vAlign w:val="bottom"/>
            <w:hideMark/>
          </w:tcPr>
          <w:p w14:paraId="456BE425" w14:textId="3D8C3CCE" w:rsidR="00156623" w:rsidRPr="00156623" w:rsidRDefault="00156623" w:rsidP="00156623">
            <w:pPr>
              <w:spacing w:after="0" w:line="240" w:lineRule="auto"/>
              <w:jc w:val="left"/>
              <w:rPr>
                <w:rFonts w:ascii="Arial" w:hAnsi="Arial" w:cs="Arial"/>
                <w:b/>
                <w:bCs/>
                <w:sz w:val="16"/>
                <w:szCs w:val="16"/>
              </w:rPr>
            </w:pPr>
            <w:r w:rsidRPr="00156623">
              <w:rPr>
                <w:rFonts w:ascii="Arial" w:hAnsi="Arial" w:cs="Arial"/>
                <w:b/>
                <w:bCs/>
                <w:sz w:val="16"/>
                <w:szCs w:val="16"/>
              </w:rPr>
              <w:t> </w:t>
            </w:r>
          </w:p>
        </w:tc>
        <w:tc>
          <w:tcPr>
            <w:tcW w:w="600" w:type="pct"/>
            <w:tcBorders>
              <w:top w:val="single" w:sz="4" w:space="0" w:color="auto"/>
              <w:left w:val="nil"/>
              <w:bottom w:val="single" w:sz="4" w:space="0" w:color="auto"/>
              <w:right w:val="nil"/>
            </w:tcBorders>
            <w:shd w:val="clear" w:color="auto" w:fill="auto"/>
            <w:vAlign w:val="bottom"/>
            <w:hideMark/>
          </w:tcPr>
          <w:p w14:paraId="571C36BB"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2021-22 Estimated actual</w:t>
            </w:r>
            <w:r w:rsidRPr="00156623">
              <w:rPr>
                <w:rFonts w:ascii="Arial" w:hAnsi="Arial" w:cs="Arial"/>
                <w:sz w:val="16"/>
                <w:szCs w:val="16"/>
              </w:rPr>
              <w:br/>
              <w:t>$'000</w:t>
            </w:r>
          </w:p>
        </w:tc>
        <w:tc>
          <w:tcPr>
            <w:tcW w:w="600" w:type="pct"/>
            <w:tcBorders>
              <w:top w:val="single" w:sz="4" w:space="0" w:color="auto"/>
              <w:left w:val="nil"/>
              <w:bottom w:val="single" w:sz="4" w:space="0" w:color="auto"/>
              <w:right w:val="nil"/>
            </w:tcBorders>
            <w:shd w:val="clear" w:color="000000" w:fill="E6E6E6"/>
            <w:vAlign w:val="bottom"/>
            <w:hideMark/>
          </w:tcPr>
          <w:p w14:paraId="706C9539"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2022-23</w:t>
            </w:r>
            <w:r w:rsidRPr="00156623">
              <w:rPr>
                <w:rFonts w:ascii="Arial" w:hAnsi="Arial" w:cs="Arial"/>
                <w:sz w:val="16"/>
                <w:szCs w:val="16"/>
              </w:rPr>
              <w:br/>
              <w:t>Budget</w:t>
            </w:r>
            <w:r w:rsidRPr="00156623">
              <w:rPr>
                <w:rFonts w:ascii="Arial" w:hAnsi="Arial" w:cs="Arial"/>
                <w:sz w:val="16"/>
                <w:szCs w:val="16"/>
              </w:rPr>
              <w:br/>
            </w:r>
            <w:r w:rsidRPr="00156623">
              <w:rPr>
                <w:rFonts w:ascii="Arial" w:hAnsi="Arial" w:cs="Arial"/>
                <w:sz w:val="16"/>
                <w:szCs w:val="16"/>
              </w:rPr>
              <w:br/>
              <w:t>$'000</w:t>
            </w:r>
          </w:p>
        </w:tc>
        <w:tc>
          <w:tcPr>
            <w:tcW w:w="600" w:type="pct"/>
            <w:tcBorders>
              <w:top w:val="single" w:sz="4" w:space="0" w:color="auto"/>
              <w:left w:val="nil"/>
              <w:bottom w:val="single" w:sz="4" w:space="0" w:color="auto"/>
              <w:right w:val="nil"/>
            </w:tcBorders>
            <w:shd w:val="clear" w:color="auto" w:fill="auto"/>
            <w:vAlign w:val="bottom"/>
            <w:hideMark/>
          </w:tcPr>
          <w:p w14:paraId="10A59E20"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2023-24 Forward estimate</w:t>
            </w:r>
            <w:r w:rsidRPr="00156623">
              <w:rPr>
                <w:rFonts w:ascii="Arial" w:hAnsi="Arial" w:cs="Arial"/>
                <w:sz w:val="16"/>
                <w:szCs w:val="16"/>
              </w:rPr>
              <w:br/>
              <w:t>$'000</w:t>
            </w:r>
          </w:p>
        </w:tc>
        <w:tc>
          <w:tcPr>
            <w:tcW w:w="600" w:type="pct"/>
            <w:tcBorders>
              <w:top w:val="single" w:sz="4" w:space="0" w:color="auto"/>
              <w:left w:val="nil"/>
              <w:bottom w:val="single" w:sz="4" w:space="0" w:color="auto"/>
              <w:right w:val="nil"/>
            </w:tcBorders>
            <w:shd w:val="clear" w:color="auto" w:fill="auto"/>
            <w:vAlign w:val="bottom"/>
            <w:hideMark/>
          </w:tcPr>
          <w:p w14:paraId="3CAFF330"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2024-25 Forward estimate</w:t>
            </w:r>
            <w:r w:rsidRPr="00156623">
              <w:rPr>
                <w:rFonts w:ascii="Arial" w:hAnsi="Arial" w:cs="Arial"/>
                <w:sz w:val="16"/>
                <w:szCs w:val="16"/>
              </w:rPr>
              <w:br/>
              <w:t>$'000</w:t>
            </w:r>
          </w:p>
        </w:tc>
        <w:tc>
          <w:tcPr>
            <w:tcW w:w="600" w:type="pct"/>
            <w:tcBorders>
              <w:top w:val="single" w:sz="4" w:space="0" w:color="auto"/>
              <w:left w:val="nil"/>
              <w:bottom w:val="single" w:sz="4" w:space="0" w:color="auto"/>
              <w:right w:val="nil"/>
            </w:tcBorders>
            <w:shd w:val="clear" w:color="auto" w:fill="auto"/>
            <w:vAlign w:val="bottom"/>
            <w:hideMark/>
          </w:tcPr>
          <w:p w14:paraId="45114FCE"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2025-26</w:t>
            </w:r>
            <w:r w:rsidRPr="00156623">
              <w:rPr>
                <w:rFonts w:ascii="Arial" w:hAnsi="Arial" w:cs="Arial"/>
                <w:sz w:val="16"/>
                <w:szCs w:val="16"/>
              </w:rPr>
              <w:br/>
              <w:t>Forward estimate</w:t>
            </w:r>
            <w:r w:rsidRPr="00156623">
              <w:rPr>
                <w:rFonts w:ascii="Arial" w:hAnsi="Arial" w:cs="Arial"/>
                <w:sz w:val="16"/>
                <w:szCs w:val="16"/>
              </w:rPr>
              <w:br/>
              <w:t>$'000</w:t>
            </w:r>
          </w:p>
        </w:tc>
      </w:tr>
      <w:tr w:rsidR="00156623" w:rsidRPr="00156623" w14:paraId="11A96C3B" w14:textId="77777777" w:rsidTr="00156623">
        <w:trPr>
          <w:trHeight w:hRule="exact" w:val="225"/>
        </w:trPr>
        <w:tc>
          <w:tcPr>
            <w:tcW w:w="1998" w:type="pct"/>
            <w:tcBorders>
              <w:top w:val="nil"/>
              <w:left w:val="nil"/>
              <w:bottom w:val="nil"/>
              <w:right w:val="nil"/>
            </w:tcBorders>
            <w:shd w:val="clear" w:color="auto" w:fill="auto"/>
            <w:noWrap/>
            <w:vAlign w:val="bottom"/>
            <w:hideMark/>
          </w:tcPr>
          <w:p w14:paraId="6911EB3A" w14:textId="77777777" w:rsidR="00156623" w:rsidRPr="00156623" w:rsidRDefault="00156623" w:rsidP="00156623">
            <w:pPr>
              <w:spacing w:after="0" w:line="240" w:lineRule="auto"/>
              <w:jc w:val="left"/>
              <w:rPr>
                <w:rFonts w:ascii="Arial" w:hAnsi="Arial" w:cs="Arial"/>
                <w:b/>
                <w:bCs/>
                <w:color w:val="000000"/>
                <w:sz w:val="16"/>
                <w:szCs w:val="16"/>
              </w:rPr>
            </w:pPr>
            <w:r w:rsidRPr="00156623">
              <w:rPr>
                <w:rFonts w:ascii="Arial" w:hAnsi="Arial" w:cs="Arial"/>
                <w:b/>
                <w:bCs/>
                <w:color w:val="000000"/>
                <w:sz w:val="16"/>
                <w:szCs w:val="16"/>
              </w:rPr>
              <w:t>ASSETS</w:t>
            </w:r>
          </w:p>
        </w:tc>
        <w:tc>
          <w:tcPr>
            <w:tcW w:w="600" w:type="pct"/>
            <w:tcBorders>
              <w:top w:val="nil"/>
              <w:left w:val="nil"/>
              <w:bottom w:val="nil"/>
              <w:right w:val="nil"/>
            </w:tcBorders>
            <w:shd w:val="clear" w:color="auto" w:fill="auto"/>
            <w:noWrap/>
            <w:vAlign w:val="bottom"/>
            <w:hideMark/>
          </w:tcPr>
          <w:p w14:paraId="6F79F84B" w14:textId="77777777" w:rsidR="00156623" w:rsidRPr="00156623" w:rsidRDefault="00156623" w:rsidP="00812CA9">
            <w:pPr>
              <w:spacing w:after="0" w:line="240" w:lineRule="auto"/>
              <w:jc w:val="righ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bottom"/>
            <w:hideMark/>
          </w:tcPr>
          <w:p w14:paraId="3537487D"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 </w:t>
            </w:r>
          </w:p>
        </w:tc>
        <w:tc>
          <w:tcPr>
            <w:tcW w:w="600" w:type="pct"/>
            <w:tcBorders>
              <w:top w:val="nil"/>
              <w:left w:val="nil"/>
              <w:bottom w:val="nil"/>
              <w:right w:val="nil"/>
            </w:tcBorders>
            <w:shd w:val="clear" w:color="auto" w:fill="auto"/>
            <w:noWrap/>
            <w:vAlign w:val="bottom"/>
            <w:hideMark/>
          </w:tcPr>
          <w:p w14:paraId="24E4A4F9" w14:textId="77777777" w:rsidR="00156623" w:rsidRPr="00156623" w:rsidRDefault="00156623" w:rsidP="00812CA9">
            <w:pPr>
              <w:spacing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7299BBD2" w14:textId="77777777" w:rsidR="00156623" w:rsidRPr="00156623" w:rsidRDefault="00156623" w:rsidP="00812CA9">
            <w:pPr>
              <w:spacing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hideMark/>
          </w:tcPr>
          <w:p w14:paraId="0EC75F8D" w14:textId="77777777" w:rsidR="00156623" w:rsidRPr="00156623" w:rsidRDefault="00156623" w:rsidP="00812CA9">
            <w:pPr>
              <w:spacing w:after="0" w:line="240" w:lineRule="auto"/>
              <w:jc w:val="right"/>
              <w:rPr>
                <w:rFonts w:ascii="Times New Roman" w:hAnsi="Times New Roman"/>
              </w:rPr>
            </w:pPr>
          </w:p>
        </w:tc>
      </w:tr>
      <w:tr w:rsidR="00156623" w:rsidRPr="00156623" w14:paraId="6A2BB104" w14:textId="77777777" w:rsidTr="00156623">
        <w:trPr>
          <w:trHeight w:hRule="exact" w:val="225"/>
        </w:trPr>
        <w:tc>
          <w:tcPr>
            <w:tcW w:w="1998" w:type="pct"/>
            <w:tcBorders>
              <w:top w:val="nil"/>
              <w:left w:val="nil"/>
              <w:bottom w:val="nil"/>
              <w:right w:val="nil"/>
            </w:tcBorders>
            <w:shd w:val="clear" w:color="auto" w:fill="auto"/>
            <w:noWrap/>
            <w:vAlign w:val="bottom"/>
            <w:hideMark/>
          </w:tcPr>
          <w:p w14:paraId="2BA9DC44" w14:textId="77777777" w:rsidR="00156623" w:rsidRPr="00156623" w:rsidRDefault="00156623" w:rsidP="00156623">
            <w:pPr>
              <w:spacing w:after="0" w:line="240" w:lineRule="auto"/>
              <w:jc w:val="left"/>
              <w:rPr>
                <w:rFonts w:ascii="Arial" w:hAnsi="Arial" w:cs="Arial"/>
                <w:b/>
                <w:bCs/>
                <w:color w:val="000000"/>
                <w:sz w:val="16"/>
                <w:szCs w:val="16"/>
              </w:rPr>
            </w:pPr>
            <w:r w:rsidRPr="00156623">
              <w:rPr>
                <w:rFonts w:ascii="Arial" w:hAnsi="Arial" w:cs="Arial"/>
                <w:b/>
                <w:bCs/>
                <w:color w:val="000000"/>
                <w:sz w:val="16"/>
                <w:szCs w:val="16"/>
              </w:rPr>
              <w:t>Financial assets</w:t>
            </w:r>
          </w:p>
        </w:tc>
        <w:tc>
          <w:tcPr>
            <w:tcW w:w="600" w:type="pct"/>
            <w:tcBorders>
              <w:top w:val="nil"/>
              <w:left w:val="nil"/>
              <w:bottom w:val="nil"/>
              <w:right w:val="nil"/>
            </w:tcBorders>
            <w:shd w:val="clear" w:color="auto" w:fill="auto"/>
            <w:noWrap/>
            <w:vAlign w:val="bottom"/>
            <w:hideMark/>
          </w:tcPr>
          <w:p w14:paraId="2E73E576" w14:textId="77777777" w:rsidR="00156623" w:rsidRPr="00156623" w:rsidRDefault="00156623" w:rsidP="00812CA9">
            <w:pPr>
              <w:spacing w:after="0" w:line="240" w:lineRule="auto"/>
              <w:jc w:val="righ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bottom"/>
            <w:hideMark/>
          </w:tcPr>
          <w:p w14:paraId="2F36A1A8"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 </w:t>
            </w:r>
          </w:p>
        </w:tc>
        <w:tc>
          <w:tcPr>
            <w:tcW w:w="600" w:type="pct"/>
            <w:tcBorders>
              <w:top w:val="nil"/>
              <w:left w:val="nil"/>
              <w:bottom w:val="nil"/>
              <w:right w:val="nil"/>
            </w:tcBorders>
            <w:shd w:val="clear" w:color="auto" w:fill="auto"/>
            <w:noWrap/>
            <w:vAlign w:val="bottom"/>
            <w:hideMark/>
          </w:tcPr>
          <w:p w14:paraId="5DE46FF0" w14:textId="77777777" w:rsidR="00156623" w:rsidRPr="00156623" w:rsidRDefault="00156623" w:rsidP="00812CA9">
            <w:pPr>
              <w:spacing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1FA73616" w14:textId="77777777" w:rsidR="00156623" w:rsidRPr="00156623" w:rsidRDefault="00156623" w:rsidP="00812CA9">
            <w:pPr>
              <w:spacing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hideMark/>
          </w:tcPr>
          <w:p w14:paraId="6CD2B30B" w14:textId="77777777" w:rsidR="00156623" w:rsidRPr="00156623" w:rsidRDefault="00156623" w:rsidP="00812CA9">
            <w:pPr>
              <w:spacing w:after="0" w:line="240" w:lineRule="auto"/>
              <w:jc w:val="right"/>
              <w:rPr>
                <w:rFonts w:ascii="Times New Roman" w:hAnsi="Times New Roman"/>
              </w:rPr>
            </w:pPr>
          </w:p>
        </w:tc>
      </w:tr>
      <w:tr w:rsidR="00156623" w:rsidRPr="00156623" w14:paraId="38C112FA" w14:textId="77777777" w:rsidTr="00156623">
        <w:trPr>
          <w:trHeight w:hRule="exact" w:val="225"/>
        </w:trPr>
        <w:tc>
          <w:tcPr>
            <w:tcW w:w="1998" w:type="pct"/>
            <w:tcBorders>
              <w:top w:val="nil"/>
              <w:left w:val="nil"/>
              <w:bottom w:val="nil"/>
              <w:right w:val="nil"/>
            </w:tcBorders>
            <w:shd w:val="clear" w:color="auto" w:fill="auto"/>
            <w:noWrap/>
            <w:vAlign w:val="bottom"/>
            <w:hideMark/>
          </w:tcPr>
          <w:p w14:paraId="2932E8C1" w14:textId="77777777" w:rsidR="00156623" w:rsidRPr="00156623" w:rsidRDefault="00156623" w:rsidP="00156623">
            <w:pPr>
              <w:spacing w:after="0" w:line="240" w:lineRule="auto"/>
              <w:ind w:left="170"/>
              <w:jc w:val="left"/>
              <w:rPr>
                <w:rFonts w:ascii="Arial" w:hAnsi="Arial" w:cs="Arial"/>
                <w:color w:val="000000"/>
                <w:sz w:val="16"/>
                <w:szCs w:val="16"/>
              </w:rPr>
            </w:pPr>
            <w:r w:rsidRPr="00156623">
              <w:rPr>
                <w:rFonts w:ascii="Arial" w:hAnsi="Arial" w:cs="Arial"/>
                <w:color w:val="000000"/>
                <w:sz w:val="16"/>
                <w:szCs w:val="16"/>
              </w:rPr>
              <w:t xml:space="preserve">Cash </w:t>
            </w:r>
            <w:r w:rsidRPr="00156623">
              <w:rPr>
                <w:rFonts w:ascii="Arial" w:hAnsi="Arial" w:cs="Arial"/>
                <w:sz w:val="16"/>
                <w:szCs w:val="16"/>
              </w:rPr>
              <w:t>and cash equivalents</w:t>
            </w:r>
          </w:p>
        </w:tc>
        <w:tc>
          <w:tcPr>
            <w:tcW w:w="600" w:type="pct"/>
            <w:tcBorders>
              <w:top w:val="nil"/>
              <w:left w:val="nil"/>
              <w:bottom w:val="nil"/>
              <w:right w:val="nil"/>
            </w:tcBorders>
            <w:shd w:val="clear" w:color="auto" w:fill="auto"/>
            <w:noWrap/>
            <w:vAlign w:val="bottom"/>
            <w:hideMark/>
          </w:tcPr>
          <w:p w14:paraId="21180916"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453 </w:t>
            </w:r>
          </w:p>
        </w:tc>
        <w:tc>
          <w:tcPr>
            <w:tcW w:w="600" w:type="pct"/>
            <w:tcBorders>
              <w:top w:val="nil"/>
              <w:left w:val="nil"/>
              <w:bottom w:val="nil"/>
              <w:right w:val="nil"/>
            </w:tcBorders>
            <w:shd w:val="clear" w:color="000000" w:fill="E6E6E6"/>
            <w:noWrap/>
            <w:vAlign w:val="bottom"/>
            <w:hideMark/>
          </w:tcPr>
          <w:p w14:paraId="322143B8"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453 </w:t>
            </w:r>
          </w:p>
        </w:tc>
        <w:tc>
          <w:tcPr>
            <w:tcW w:w="600" w:type="pct"/>
            <w:tcBorders>
              <w:top w:val="nil"/>
              <w:left w:val="nil"/>
              <w:bottom w:val="nil"/>
              <w:right w:val="nil"/>
            </w:tcBorders>
            <w:shd w:val="clear" w:color="auto" w:fill="auto"/>
            <w:noWrap/>
            <w:vAlign w:val="bottom"/>
            <w:hideMark/>
          </w:tcPr>
          <w:p w14:paraId="412FC28F"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453 </w:t>
            </w:r>
          </w:p>
        </w:tc>
        <w:tc>
          <w:tcPr>
            <w:tcW w:w="600" w:type="pct"/>
            <w:tcBorders>
              <w:top w:val="nil"/>
              <w:left w:val="nil"/>
              <w:bottom w:val="nil"/>
              <w:right w:val="nil"/>
            </w:tcBorders>
            <w:shd w:val="clear" w:color="auto" w:fill="auto"/>
            <w:noWrap/>
            <w:vAlign w:val="bottom"/>
            <w:hideMark/>
          </w:tcPr>
          <w:p w14:paraId="6047C42F"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453 </w:t>
            </w:r>
          </w:p>
        </w:tc>
        <w:tc>
          <w:tcPr>
            <w:tcW w:w="600" w:type="pct"/>
            <w:tcBorders>
              <w:top w:val="nil"/>
              <w:left w:val="nil"/>
              <w:bottom w:val="nil"/>
              <w:right w:val="nil"/>
            </w:tcBorders>
            <w:shd w:val="clear" w:color="auto" w:fill="auto"/>
            <w:noWrap/>
            <w:vAlign w:val="bottom"/>
            <w:hideMark/>
          </w:tcPr>
          <w:p w14:paraId="3C3E2FEB"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453 </w:t>
            </w:r>
          </w:p>
        </w:tc>
      </w:tr>
      <w:tr w:rsidR="00156623" w:rsidRPr="00156623" w14:paraId="737813ED" w14:textId="77777777" w:rsidTr="00156623">
        <w:trPr>
          <w:trHeight w:hRule="exact" w:val="225"/>
        </w:trPr>
        <w:tc>
          <w:tcPr>
            <w:tcW w:w="1998" w:type="pct"/>
            <w:tcBorders>
              <w:top w:val="nil"/>
              <w:left w:val="nil"/>
              <w:bottom w:val="nil"/>
              <w:right w:val="nil"/>
            </w:tcBorders>
            <w:shd w:val="clear" w:color="auto" w:fill="auto"/>
            <w:noWrap/>
            <w:vAlign w:val="bottom"/>
            <w:hideMark/>
          </w:tcPr>
          <w:p w14:paraId="6201DB08" w14:textId="77777777" w:rsidR="00156623" w:rsidRPr="00156623" w:rsidRDefault="00156623" w:rsidP="00156623">
            <w:pPr>
              <w:spacing w:after="0" w:line="240" w:lineRule="auto"/>
              <w:ind w:left="170"/>
              <w:jc w:val="left"/>
              <w:rPr>
                <w:rFonts w:ascii="Arial" w:hAnsi="Arial" w:cs="Arial"/>
                <w:sz w:val="16"/>
                <w:szCs w:val="16"/>
              </w:rPr>
            </w:pPr>
            <w:r w:rsidRPr="00156623">
              <w:rPr>
                <w:rFonts w:ascii="Arial" w:hAnsi="Arial" w:cs="Arial"/>
                <w:sz w:val="16"/>
                <w:szCs w:val="16"/>
              </w:rPr>
              <w:t>Trade and other receivables</w:t>
            </w:r>
          </w:p>
        </w:tc>
        <w:tc>
          <w:tcPr>
            <w:tcW w:w="600" w:type="pct"/>
            <w:tcBorders>
              <w:top w:val="nil"/>
              <w:left w:val="nil"/>
              <w:bottom w:val="nil"/>
              <w:right w:val="nil"/>
            </w:tcBorders>
            <w:shd w:val="clear" w:color="auto" w:fill="auto"/>
            <w:noWrap/>
            <w:vAlign w:val="bottom"/>
            <w:hideMark/>
          </w:tcPr>
          <w:p w14:paraId="7C3CB66B"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33,846 </w:t>
            </w:r>
          </w:p>
        </w:tc>
        <w:tc>
          <w:tcPr>
            <w:tcW w:w="600" w:type="pct"/>
            <w:tcBorders>
              <w:top w:val="nil"/>
              <w:left w:val="nil"/>
              <w:bottom w:val="nil"/>
              <w:right w:val="nil"/>
            </w:tcBorders>
            <w:shd w:val="clear" w:color="000000" w:fill="E6E6E6"/>
            <w:noWrap/>
            <w:vAlign w:val="bottom"/>
            <w:hideMark/>
          </w:tcPr>
          <w:p w14:paraId="402F1205"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34,608 </w:t>
            </w:r>
          </w:p>
        </w:tc>
        <w:tc>
          <w:tcPr>
            <w:tcW w:w="600" w:type="pct"/>
            <w:tcBorders>
              <w:top w:val="nil"/>
              <w:left w:val="nil"/>
              <w:bottom w:val="nil"/>
              <w:right w:val="nil"/>
            </w:tcBorders>
            <w:shd w:val="clear" w:color="auto" w:fill="auto"/>
            <w:noWrap/>
            <w:vAlign w:val="bottom"/>
            <w:hideMark/>
          </w:tcPr>
          <w:p w14:paraId="68D31A10"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35,074 </w:t>
            </w:r>
          </w:p>
        </w:tc>
        <w:tc>
          <w:tcPr>
            <w:tcW w:w="600" w:type="pct"/>
            <w:tcBorders>
              <w:top w:val="nil"/>
              <w:left w:val="nil"/>
              <w:bottom w:val="nil"/>
              <w:right w:val="nil"/>
            </w:tcBorders>
            <w:shd w:val="clear" w:color="auto" w:fill="auto"/>
            <w:noWrap/>
            <w:vAlign w:val="bottom"/>
            <w:hideMark/>
          </w:tcPr>
          <w:p w14:paraId="059BC643"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35,241 </w:t>
            </w:r>
          </w:p>
        </w:tc>
        <w:tc>
          <w:tcPr>
            <w:tcW w:w="600" w:type="pct"/>
            <w:tcBorders>
              <w:top w:val="nil"/>
              <w:left w:val="nil"/>
              <w:bottom w:val="nil"/>
              <w:right w:val="nil"/>
            </w:tcBorders>
            <w:shd w:val="clear" w:color="auto" w:fill="auto"/>
            <w:noWrap/>
            <w:vAlign w:val="bottom"/>
            <w:hideMark/>
          </w:tcPr>
          <w:p w14:paraId="4411A1C6"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35,406 </w:t>
            </w:r>
          </w:p>
        </w:tc>
      </w:tr>
      <w:tr w:rsidR="00156623" w:rsidRPr="00156623" w14:paraId="388F24DD" w14:textId="77777777" w:rsidTr="00156623">
        <w:trPr>
          <w:trHeight w:hRule="exact" w:val="225"/>
        </w:trPr>
        <w:tc>
          <w:tcPr>
            <w:tcW w:w="1998" w:type="pct"/>
            <w:tcBorders>
              <w:top w:val="nil"/>
              <w:left w:val="nil"/>
              <w:bottom w:val="nil"/>
              <w:right w:val="nil"/>
            </w:tcBorders>
            <w:shd w:val="clear" w:color="auto" w:fill="auto"/>
            <w:noWrap/>
            <w:vAlign w:val="bottom"/>
            <w:hideMark/>
          </w:tcPr>
          <w:p w14:paraId="60A1539F" w14:textId="77777777" w:rsidR="00156623" w:rsidRPr="00156623" w:rsidRDefault="00156623" w:rsidP="00156623">
            <w:pPr>
              <w:spacing w:after="0" w:line="240" w:lineRule="auto"/>
              <w:jc w:val="left"/>
              <w:rPr>
                <w:rFonts w:ascii="Arial" w:hAnsi="Arial" w:cs="Arial"/>
                <w:b/>
                <w:bCs/>
                <w:i/>
                <w:iCs/>
                <w:color w:val="000000"/>
                <w:sz w:val="16"/>
                <w:szCs w:val="16"/>
              </w:rPr>
            </w:pPr>
            <w:r w:rsidRPr="00156623">
              <w:rPr>
                <w:rFonts w:ascii="Arial" w:hAnsi="Arial" w:cs="Arial"/>
                <w:b/>
                <w:bCs/>
                <w:i/>
                <w:iCs/>
                <w:color w:val="000000"/>
                <w:sz w:val="16"/>
                <w:szCs w:val="16"/>
              </w:rPr>
              <w:t>Total financial assets</w:t>
            </w:r>
          </w:p>
        </w:tc>
        <w:tc>
          <w:tcPr>
            <w:tcW w:w="600" w:type="pct"/>
            <w:tcBorders>
              <w:top w:val="single" w:sz="4" w:space="0" w:color="auto"/>
              <w:left w:val="nil"/>
              <w:bottom w:val="single" w:sz="4" w:space="0" w:color="auto"/>
              <w:right w:val="nil"/>
            </w:tcBorders>
            <w:shd w:val="clear" w:color="auto" w:fill="auto"/>
            <w:noWrap/>
            <w:vAlign w:val="bottom"/>
            <w:hideMark/>
          </w:tcPr>
          <w:p w14:paraId="2811E397" w14:textId="77777777" w:rsidR="00156623" w:rsidRPr="00156623" w:rsidRDefault="00156623" w:rsidP="00812CA9">
            <w:pPr>
              <w:spacing w:after="0" w:line="240" w:lineRule="auto"/>
              <w:jc w:val="right"/>
              <w:rPr>
                <w:rFonts w:ascii="Arial" w:hAnsi="Arial" w:cs="Arial"/>
                <w:b/>
                <w:bCs/>
                <w:sz w:val="16"/>
                <w:szCs w:val="16"/>
              </w:rPr>
            </w:pPr>
            <w:r w:rsidRPr="00156623">
              <w:rPr>
                <w:rFonts w:ascii="Arial" w:hAnsi="Arial" w:cs="Arial"/>
                <w:b/>
                <w:bCs/>
                <w:sz w:val="16"/>
                <w:szCs w:val="16"/>
              </w:rPr>
              <w:t xml:space="preserve">34,299 </w:t>
            </w:r>
          </w:p>
        </w:tc>
        <w:tc>
          <w:tcPr>
            <w:tcW w:w="600" w:type="pct"/>
            <w:tcBorders>
              <w:top w:val="single" w:sz="4" w:space="0" w:color="auto"/>
              <w:left w:val="nil"/>
              <w:bottom w:val="single" w:sz="4" w:space="0" w:color="auto"/>
              <w:right w:val="nil"/>
            </w:tcBorders>
            <w:shd w:val="clear" w:color="000000" w:fill="E6E6E6"/>
            <w:noWrap/>
            <w:vAlign w:val="bottom"/>
            <w:hideMark/>
          </w:tcPr>
          <w:p w14:paraId="5154CFC0" w14:textId="77777777" w:rsidR="00156623" w:rsidRPr="00156623" w:rsidRDefault="00156623" w:rsidP="00812CA9">
            <w:pPr>
              <w:spacing w:after="0" w:line="240" w:lineRule="auto"/>
              <w:jc w:val="right"/>
              <w:rPr>
                <w:rFonts w:ascii="Arial" w:hAnsi="Arial" w:cs="Arial"/>
                <w:b/>
                <w:bCs/>
                <w:sz w:val="16"/>
                <w:szCs w:val="16"/>
              </w:rPr>
            </w:pPr>
            <w:r w:rsidRPr="00156623">
              <w:rPr>
                <w:rFonts w:ascii="Arial" w:hAnsi="Arial" w:cs="Arial"/>
                <w:b/>
                <w:bCs/>
                <w:sz w:val="16"/>
                <w:szCs w:val="16"/>
              </w:rPr>
              <w:t xml:space="preserve">35,061 </w:t>
            </w:r>
          </w:p>
        </w:tc>
        <w:tc>
          <w:tcPr>
            <w:tcW w:w="600" w:type="pct"/>
            <w:tcBorders>
              <w:top w:val="single" w:sz="4" w:space="0" w:color="auto"/>
              <w:left w:val="nil"/>
              <w:bottom w:val="single" w:sz="4" w:space="0" w:color="auto"/>
              <w:right w:val="nil"/>
            </w:tcBorders>
            <w:shd w:val="clear" w:color="auto" w:fill="auto"/>
            <w:noWrap/>
            <w:vAlign w:val="bottom"/>
            <w:hideMark/>
          </w:tcPr>
          <w:p w14:paraId="3DB2E5EC" w14:textId="77777777" w:rsidR="00156623" w:rsidRPr="00156623" w:rsidRDefault="00156623" w:rsidP="00812CA9">
            <w:pPr>
              <w:spacing w:after="0" w:line="240" w:lineRule="auto"/>
              <w:jc w:val="right"/>
              <w:rPr>
                <w:rFonts w:ascii="Arial" w:hAnsi="Arial" w:cs="Arial"/>
                <w:b/>
                <w:bCs/>
                <w:sz w:val="16"/>
                <w:szCs w:val="16"/>
              </w:rPr>
            </w:pPr>
            <w:r w:rsidRPr="00156623">
              <w:rPr>
                <w:rFonts w:ascii="Arial" w:hAnsi="Arial" w:cs="Arial"/>
                <w:b/>
                <w:bCs/>
                <w:sz w:val="16"/>
                <w:szCs w:val="16"/>
              </w:rPr>
              <w:t xml:space="preserve">35,527 </w:t>
            </w:r>
          </w:p>
        </w:tc>
        <w:tc>
          <w:tcPr>
            <w:tcW w:w="600" w:type="pct"/>
            <w:tcBorders>
              <w:top w:val="single" w:sz="4" w:space="0" w:color="auto"/>
              <w:left w:val="nil"/>
              <w:bottom w:val="single" w:sz="4" w:space="0" w:color="auto"/>
              <w:right w:val="nil"/>
            </w:tcBorders>
            <w:shd w:val="clear" w:color="auto" w:fill="auto"/>
            <w:noWrap/>
            <w:vAlign w:val="bottom"/>
            <w:hideMark/>
          </w:tcPr>
          <w:p w14:paraId="132B5B2A" w14:textId="77777777" w:rsidR="00156623" w:rsidRPr="00156623" w:rsidRDefault="00156623" w:rsidP="00812CA9">
            <w:pPr>
              <w:spacing w:after="0" w:line="240" w:lineRule="auto"/>
              <w:jc w:val="right"/>
              <w:rPr>
                <w:rFonts w:ascii="Arial" w:hAnsi="Arial" w:cs="Arial"/>
                <w:b/>
                <w:bCs/>
                <w:sz w:val="16"/>
                <w:szCs w:val="16"/>
              </w:rPr>
            </w:pPr>
            <w:r w:rsidRPr="00156623">
              <w:rPr>
                <w:rFonts w:ascii="Arial" w:hAnsi="Arial" w:cs="Arial"/>
                <w:b/>
                <w:bCs/>
                <w:sz w:val="16"/>
                <w:szCs w:val="16"/>
              </w:rPr>
              <w:t xml:space="preserve">35,694 </w:t>
            </w:r>
          </w:p>
        </w:tc>
        <w:tc>
          <w:tcPr>
            <w:tcW w:w="600" w:type="pct"/>
            <w:tcBorders>
              <w:top w:val="single" w:sz="4" w:space="0" w:color="auto"/>
              <w:left w:val="nil"/>
              <w:bottom w:val="single" w:sz="4" w:space="0" w:color="auto"/>
              <w:right w:val="nil"/>
            </w:tcBorders>
            <w:shd w:val="clear" w:color="auto" w:fill="auto"/>
            <w:noWrap/>
            <w:vAlign w:val="bottom"/>
            <w:hideMark/>
          </w:tcPr>
          <w:p w14:paraId="0155183A" w14:textId="77777777" w:rsidR="00156623" w:rsidRPr="00156623" w:rsidRDefault="00156623" w:rsidP="00812CA9">
            <w:pPr>
              <w:spacing w:after="0" w:line="240" w:lineRule="auto"/>
              <w:jc w:val="right"/>
              <w:rPr>
                <w:rFonts w:ascii="Arial" w:hAnsi="Arial" w:cs="Arial"/>
                <w:b/>
                <w:bCs/>
                <w:sz w:val="16"/>
                <w:szCs w:val="16"/>
              </w:rPr>
            </w:pPr>
            <w:r w:rsidRPr="00156623">
              <w:rPr>
                <w:rFonts w:ascii="Arial" w:hAnsi="Arial" w:cs="Arial"/>
                <w:b/>
                <w:bCs/>
                <w:sz w:val="16"/>
                <w:szCs w:val="16"/>
              </w:rPr>
              <w:t xml:space="preserve">35,859 </w:t>
            </w:r>
          </w:p>
        </w:tc>
      </w:tr>
      <w:tr w:rsidR="00156623" w:rsidRPr="00156623" w14:paraId="2A66B00B" w14:textId="77777777" w:rsidTr="00156623">
        <w:trPr>
          <w:trHeight w:hRule="exact" w:val="225"/>
        </w:trPr>
        <w:tc>
          <w:tcPr>
            <w:tcW w:w="1998" w:type="pct"/>
            <w:tcBorders>
              <w:top w:val="nil"/>
              <w:left w:val="nil"/>
              <w:bottom w:val="nil"/>
              <w:right w:val="nil"/>
            </w:tcBorders>
            <w:shd w:val="clear" w:color="auto" w:fill="auto"/>
            <w:noWrap/>
            <w:vAlign w:val="bottom"/>
            <w:hideMark/>
          </w:tcPr>
          <w:p w14:paraId="66860A2D" w14:textId="77777777" w:rsidR="00156623" w:rsidRPr="00156623" w:rsidRDefault="00156623" w:rsidP="00156623">
            <w:pPr>
              <w:spacing w:after="0" w:line="240" w:lineRule="auto"/>
              <w:jc w:val="left"/>
              <w:rPr>
                <w:rFonts w:ascii="Arial" w:hAnsi="Arial" w:cs="Arial"/>
                <w:b/>
                <w:bCs/>
                <w:color w:val="000000"/>
                <w:sz w:val="16"/>
                <w:szCs w:val="16"/>
              </w:rPr>
            </w:pPr>
            <w:r w:rsidRPr="00156623">
              <w:rPr>
                <w:rFonts w:ascii="Arial" w:hAnsi="Arial" w:cs="Arial"/>
                <w:b/>
                <w:bCs/>
                <w:color w:val="000000"/>
                <w:sz w:val="16"/>
                <w:szCs w:val="16"/>
              </w:rPr>
              <w:t>Non-financial assets</w:t>
            </w:r>
          </w:p>
        </w:tc>
        <w:tc>
          <w:tcPr>
            <w:tcW w:w="600" w:type="pct"/>
            <w:tcBorders>
              <w:top w:val="nil"/>
              <w:left w:val="nil"/>
              <w:bottom w:val="nil"/>
              <w:right w:val="nil"/>
            </w:tcBorders>
            <w:shd w:val="clear" w:color="auto" w:fill="auto"/>
            <w:noWrap/>
            <w:vAlign w:val="bottom"/>
            <w:hideMark/>
          </w:tcPr>
          <w:p w14:paraId="3F414820" w14:textId="77777777" w:rsidR="00156623" w:rsidRPr="00156623" w:rsidRDefault="00156623" w:rsidP="00812CA9">
            <w:pPr>
              <w:spacing w:after="0" w:line="240" w:lineRule="auto"/>
              <w:jc w:val="righ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bottom"/>
            <w:hideMark/>
          </w:tcPr>
          <w:p w14:paraId="4678BD0E"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 </w:t>
            </w:r>
          </w:p>
        </w:tc>
        <w:tc>
          <w:tcPr>
            <w:tcW w:w="600" w:type="pct"/>
            <w:tcBorders>
              <w:top w:val="nil"/>
              <w:left w:val="nil"/>
              <w:bottom w:val="nil"/>
              <w:right w:val="nil"/>
            </w:tcBorders>
            <w:shd w:val="clear" w:color="auto" w:fill="auto"/>
            <w:noWrap/>
            <w:vAlign w:val="bottom"/>
            <w:hideMark/>
          </w:tcPr>
          <w:p w14:paraId="20F99C3A" w14:textId="77777777" w:rsidR="00156623" w:rsidRPr="00156623" w:rsidRDefault="00156623" w:rsidP="00812CA9">
            <w:pPr>
              <w:spacing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22EB2441" w14:textId="77777777" w:rsidR="00156623" w:rsidRPr="00156623" w:rsidRDefault="00156623" w:rsidP="00812CA9">
            <w:pPr>
              <w:spacing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hideMark/>
          </w:tcPr>
          <w:p w14:paraId="31DA9A85" w14:textId="77777777" w:rsidR="00156623" w:rsidRPr="00156623" w:rsidRDefault="00156623" w:rsidP="00812CA9">
            <w:pPr>
              <w:spacing w:after="0" w:line="240" w:lineRule="auto"/>
              <w:jc w:val="right"/>
              <w:rPr>
                <w:rFonts w:ascii="Times New Roman" w:hAnsi="Times New Roman"/>
              </w:rPr>
            </w:pPr>
          </w:p>
        </w:tc>
      </w:tr>
      <w:tr w:rsidR="00156623" w:rsidRPr="00156623" w14:paraId="601E5429" w14:textId="77777777" w:rsidTr="00156623">
        <w:trPr>
          <w:trHeight w:hRule="exact" w:val="225"/>
        </w:trPr>
        <w:tc>
          <w:tcPr>
            <w:tcW w:w="1998" w:type="pct"/>
            <w:tcBorders>
              <w:top w:val="nil"/>
              <w:left w:val="nil"/>
              <w:bottom w:val="nil"/>
              <w:right w:val="nil"/>
            </w:tcBorders>
            <w:shd w:val="clear" w:color="auto" w:fill="auto"/>
            <w:noWrap/>
            <w:vAlign w:val="bottom"/>
            <w:hideMark/>
          </w:tcPr>
          <w:p w14:paraId="407C53AA" w14:textId="77777777" w:rsidR="00156623" w:rsidRPr="00156623" w:rsidRDefault="00156623" w:rsidP="00156623">
            <w:pPr>
              <w:spacing w:after="0" w:line="240" w:lineRule="auto"/>
              <w:ind w:left="170"/>
              <w:jc w:val="left"/>
              <w:rPr>
                <w:rFonts w:ascii="Arial" w:hAnsi="Arial" w:cs="Arial"/>
                <w:color w:val="000000"/>
                <w:sz w:val="16"/>
                <w:szCs w:val="16"/>
              </w:rPr>
            </w:pPr>
            <w:r w:rsidRPr="00156623">
              <w:rPr>
                <w:rFonts w:ascii="Arial" w:hAnsi="Arial" w:cs="Arial"/>
                <w:color w:val="000000"/>
                <w:sz w:val="16"/>
                <w:szCs w:val="16"/>
              </w:rPr>
              <w:t>Land and buildings</w:t>
            </w:r>
          </w:p>
        </w:tc>
        <w:tc>
          <w:tcPr>
            <w:tcW w:w="600" w:type="pct"/>
            <w:tcBorders>
              <w:top w:val="nil"/>
              <w:left w:val="nil"/>
              <w:bottom w:val="nil"/>
              <w:right w:val="nil"/>
            </w:tcBorders>
            <w:shd w:val="clear" w:color="auto" w:fill="auto"/>
            <w:noWrap/>
            <w:vAlign w:val="bottom"/>
            <w:hideMark/>
          </w:tcPr>
          <w:p w14:paraId="7CA2670A"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18,587 </w:t>
            </w:r>
          </w:p>
        </w:tc>
        <w:tc>
          <w:tcPr>
            <w:tcW w:w="600" w:type="pct"/>
            <w:tcBorders>
              <w:top w:val="nil"/>
              <w:left w:val="nil"/>
              <w:bottom w:val="nil"/>
              <w:right w:val="nil"/>
            </w:tcBorders>
            <w:shd w:val="clear" w:color="000000" w:fill="E6E6E6"/>
            <w:noWrap/>
            <w:vAlign w:val="bottom"/>
            <w:hideMark/>
          </w:tcPr>
          <w:p w14:paraId="7D57D301"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15,808 </w:t>
            </w:r>
          </w:p>
        </w:tc>
        <w:tc>
          <w:tcPr>
            <w:tcW w:w="600" w:type="pct"/>
            <w:tcBorders>
              <w:top w:val="nil"/>
              <w:left w:val="nil"/>
              <w:bottom w:val="nil"/>
              <w:right w:val="nil"/>
            </w:tcBorders>
            <w:shd w:val="clear" w:color="auto" w:fill="auto"/>
            <w:noWrap/>
            <w:vAlign w:val="bottom"/>
            <w:hideMark/>
          </w:tcPr>
          <w:p w14:paraId="2D46CE9E"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13,029 </w:t>
            </w:r>
          </w:p>
        </w:tc>
        <w:tc>
          <w:tcPr>
            <w:tcW w:w="600" w:type="pct"/>
            <w:tcBorders>
              <w:top w:val="nil"/>
              <w:left w:val="nil"/>
              <w:bottom w:val="nil"/>
              <w:right w:val="nil"/>
            </w:tcBorders>
            <w:shd w:val="clear" w:color="auto" w:fill="auto"/>
            <w:noWrap/>
            <w:vAlign w:val="bottom"/>
            <w:hideMark/>
          </w:tcPr>
          <w:p w14:paraId="1071439D"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10,250 </w:t>
            </w:r>
          </w:p>
        </w:tc>
        <w:tc>
          <w:tcPr>
            <w:tcW w:w="600" w:type="pct"/>
            <w:tcBorders>
              <w:top w:val="nil"/>
              <w:left w:val="nil"/>
              <w:bottom w:val="nil"/>
              <w:right w:val="nil"/>
            </w:tcBorders>
            <w:shd w:val="clear" w:color="auto" w:fill="auto"/>
            <w:noWrap/>
            <w:vAlign w:val="bottom"/>
            <w:hideMark/>
          </w:tcPr>
          <w:p w14:paraId="643BAB0F"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7,406 </w:t>
            </w:r>
          </w:p>
        </w:tc>
      </w:tr>
      <w:tr w:rsidR="00156623" w:rsidRPr="00156623" w14:paraId="0FD75E3B" w14:textId="77777777" w:rsidTr="00156623">
        <w:trPr>
          <w:trHeight w:hRule="exact" w:val="225"/>
        </w:trPr>
        <w:tc>
          <w:tcPr>
            <w:tcW w:w="1998" w:type="pct"/>
            <w:tcBorders>
              <w:top w:val="nil"/>
              <w:left w:val="nil"/>
              <w:bottom w:val="nil"/>
              <w:right w:val="nil"/>
            </w:tcBorders>
            <w:shd w:val="clear" w:color="auto" w:fill="auto"/>
            <w:noWrap/>
            <w:vAlign w:val="bottom"/>
            <w:hideMark/>
          </w:tcPr>
          <w:p w14:paraId="068F9073" w14:textId="77777777" w:rsidR="00156623" w:rsidRPr="00156623" w:rsidRDefault="00156623" w:rsidP="00156623">
            <w:pPr>
              <w:spacing w:after="0" w:line="240" w:lineRule="auto"/>
              <w:ind w:left="170"/>
              <w:jc w:val="left"/>
              <w:rPr>
                <w:rFonts w:ascii="Arial" w:hAnsi="Arial" w:cs="Arial"/>
                <w:color w:val="000000"/>
                <w:sz w:val="16"/>
                <w:szCs w:val="16"/>
              </w:rPr>
            </w:pPr>
            <w:r w:rsidRPr="00156623">
              <w:rPr>
                <w:rFonts w:ascii="Arial" w:hAnsi="Arial" w:cs="Arial"/>
                <w:color w:val="000000"/>
                <w:sz w:val="16"/>
                <w:szCs w:val="16"/>
              </w:rPr>
              <w:t>Property, plant and equipment</w:t>
            </w:r>
          </w:p>
        </w:tc>
        <w:tc>
          <w:tcPr>
            <w:tcW w:w="600" w:type="pct"/>
            <w:tcBorders>
              <w:top w:val="nil"/>
              <w:left w:val="nil"/>
              <w:bottom w:val="nil"/>
              <w:right w:val="nil"/>
            </w:tcBorders>
            <w:shd w:val="clear" w:color="auto" w:fill="auto"/>
            <w:noWrap/>
            <w:vAlign w:val="bottom"/>
            <w:hideMark/>
          </w:tcPr>
          <w:p w14:paraId="4CA5404D"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967 </w:t>
            </w:r>
          </w:p>
        </w:tc>
        <w:tc>
          <w:tcPr>
            <w:tcW w:w="600" w:type="pct"/>
            <w:tcBorders>
              <w:top w:val="nil"/>
              <w:left w:val="nil"/>
              <w:bottom w:val="nil"/>
              <w:right w:val="nil"/>
            </w:tcBorders>
            <w:shd w:val="clear" w:color="000000" w:fill="E6E6E6"/>
            <w:noWrap/>
            <w:vAlign w:val="bottom"/>
            <w:hideMark/>
          </w:tcPr>
          <w:p w14:paraId="7AA0B079"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759 </w:t>
            </w:r>
          </w:p>
        </w:tc>
        <w:tc>
          <w:tcPr>
            <w:tcW w:w="600" w:type="pct"/>
            <w:tcBorders>
              <w:top w:val="nil"/>
              <w:left w:val="nil"/>
              <w:bottom w:val="nil"/>
              <w:right w:val="nil"/>
            </w:tcBorders>
            <w:shd w:val="clear" w:color="auto" w:fill="auto"/>
            <w:noWrap/>
            <w:vAlign w:val="bottom"/>
            <w:hideMark/>
          </w:tcPr>
          <w:p w14:paraId="019EFE62"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871 </w:t>
            </w:r>
          </w:p>
        </w:tc>
        <w:tc>
          <w:tcPr>
            <w:tcW w:w="600" w:type="pct"/>
            <w:tcBorders>
              <w:top w:val="nil"/>
              <w:left w:val="nil"/>
              <w:bottom w:val="nil"/>
              <w:right w:val="nil"/>
            </w:tcBorders>
            <w:shd w:val="clear" w:color="auto" w:fill="auto"/>
            <w:noWrap/>
            <w:vAlign w:val="bottom"/>
            <w:hideMark/>
          </w:tcPr>
          <w:p w14:paraId="4B91A2C8"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1,288 </w:t>
            </w:r>
          </w:p>
        </w:tc>
        <w:tc>
          <w:tcPr>
            <w:tcW w:w="600" w:type="pct"/>
            <w:tcBorders>
              <w:top w:val="nil"/>
              <w:left w:val="nil"/>
              <w:bottom w:val="nil"/>
              <w:right w:val="nil"/>
            </w:tcBorders>
            <w:shd w:val="clear" w:color="auto" w:fill="auto"/>
            <w:noWrap/>
            <w:vAlign w:val="bottom"/>
            <w:hideMark/>
          </w:tcPr>
          <w:p w14:paraId="2D1EC0CE"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1,713 </w:t>
            </w:r>
          </w:p>
        </w:tc>
      </w:tr>
      <w:tr w:rsidR="00156623" w:rsidRPr="00156623" w14:paraId="332F7D0A" w14:textId="77777777" w:rsidTr="00156623">
        <w:trPr>
          <w:trHeight w:hRule="exact" w:val="225"/>
        </w:trPr>
        <w:tc>
          <w:tcPr>
            <w:tcW w:w="1998" w:type="pct"/>
            <w:tcBorders>
              <w:top w:val="nil"/>
              <w:left w:val="nil"/>
              <w:bottom w:val="nil"/>
              <w:right w:val="nil"/>
            </w:tcBorders>
            <w:shd w:val="clear" w:color="auto" w:fill="auto"/>
            <w:noWrap/>
            <w:vAlign w:val="bottom"/>
            <w:hideMark/>
          </w:tcPr>
          <w:p w14:paraId="5446A42C" w14:textId="77777777" w:rsidR="00156623" w:rsidRPr="00156623" w:rsidRDefault="00156623" w:rsidP="00156623">
            <w:pPr>
              <w:spacing w:after="0" w:line="240" w:lineRule="auto"/>
              <w:ind w:left="170"/>
              <w:jc w:val="left"/>
              <w:rPr>
                <w:rFonts w:ascii="Arial" w:hAnsi="Arial" w:cs="Arial"/>
                <w:color w:val="000000"/>
                <w:sz w:val="16"/>
                <w:szCs w:val="16"/>
              </w:rPr>
            </w:pPr>
            <w:r w:rsidRPr="00156623">
              <w:rPr>
                <w:rFonts w:ascii="Arial" w:hAnsi="Arial" w:cs="Arial"/>
                <w:color w:val="000000"/>
                <w:sz w:val="16"/>
                <w:szCs w:val="16"/>
              </w:rPr>
              <w:t>Intangibles</w:t>
            </w:r>
          </w:p>
        </w:tc>
        <w:tc>
          <w:tcPr>
            <w:tcW w:w="600" w:type="pct"/>
            <w:tcBorders>
              <w:top w:val="nil"/>
              <w:left w:val="nil"/>
              <w:bottom w:val="nil"/>
              <w:right w:val="nil"/>
            </w:tcBorders>
            <w:shd w:val="clear" w:color="auto" w:fill="auto"/>
            <w:noWrap/>
            <w:vAlign w:val="bottom"/>
            <w:hideMark/>
          </w:tcPr>
          <w:p w14:paraId="3515024E"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70 </w:t>
            </w:r>
          </w:p>
        </w:tc>
        <w:tc>
          <w:tcPr>
            <w:tcW w:w="600" w:type="pct"/>
            <w:tcBorders>
              <w:top w:val="nil"/>
              <w:left w:val="nil"/>
              <w:bottom w:val="nil"/>
              <w:right w:val="nil"/>
            </w:tcBorders>
            <w:shd w:val="clear" w:color="000000" w:fill="E6E6E6"/>
            <w:noWrap/>
            <w:vAlign w:val="bottom"/>
            <w:hideMark/>
          </w:tcPr>
          <w:p w14:paraId="02062768"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70 </w:t>
            </w:r>
          </w:p>
        </w:tc>
        <w:tc>
          <w:tcPr>
            <w:tcW w:w="600" w:type="pct"/>
            <w:tcBorders>
              <w:top w:val="nil"/>
              <w:left w:val="nil"/>
              <w:bottom w:val="nil"/>
              <w:right w:val="nil"/>
            </w:tcBorders>
            <w:shd w:val="clear" w:color="auto" w:fill="auto"/>
            <w:noWrap/>
            <w:vAlign w:val="bottom"/>
            <w:hideMark/>
          </w:tcPr>
          <w:p w14:paraId="412275AE"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50 </w:t>
            </w:r>
          </w:p>
        </w:tc>
        <w:tc>
          <w:tcPr>
            <w:tcW w:w="600" w:type="pct"/>
            <w:tcBorders>
              <w:top w:val="nil"/>
              <w:left w:val="nil"/>
              <w:bottom w:val="nil"/>
              <w:right w:val="nil"/>
            </w:tcBorders>
            <w:shd w:val="clear" w:color="auto" w:fill="auto"/>
            <w:noWrap/>
            <w:vAlign w:val="bottom"/>
            <w:hideMark/>
          </w:tcPr>
          <w:p w14:paraId="62097731"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30 </w:t>
            </w:r>
          </w:p>
        </w:tc>
        <w:tc>
          <w:tcPr>
            <w:tcW w:w="600" w:type="pct"/>
            <w:tcBorders>
              <w:top w:val="nil"/>
              <w:left w:val="nil"/>
              <w:bottom w:val="nil"/>
              <w:right w:val="nil"/>
            </w:tcBorders>
            <w:shd w:val="clear" w:color="auto" w:fill="auto"/>
            <w:noWrap/>
            <w:vAlign w:val="bottom"/>
            <w:hideMark/>
          </w:tcPr>
          <w:p w14:paraId="202E819F"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10 </w:t>
            </w:r>
          </w:p>
        </w:tc>
      </w:tr>
      <w:tr w:rsidR="00156623" w:rsidRPr="00156623" w14:paraId="1D89AED4" w14:textId="77777777" w:rsidTr="00156623">
        <w:trPr>
          <w:trHeight w:hRule="exact" w:val="225"/>
        </w:trPr>
        <w:tc>
          <w:tcPr>
            <w:tcW w:w="1998" w:type="pct"/>
            <w:tcBorders>
              <w:top w:val="nil"/>
              <w:left w:val="nil"/>
              <w:bottom w:val="nil"/>
              <w:right w:val="nil"/>
            </w:tcBorders>
            <w:shd w:val="clear" w:color="auto" w:fill="auto"/>
            <w:noWrap/>
            <w:vAlign w:val="bottom"/>
            <w:hideMark/>
          </w:tcPr>
          <w:p w14:paraId="3FDCBF07" w14:textId="77777777" w:rsidR="00156623" w:rsidRPr="00156623" w:rsidRDefault="00156623" w:rsidP="00156623">
            <w:pPr>
              <w:spacing w:after="0" w:line="240" w:lineRule="auto"/>
              <w:ind w:left="170"/>
              <w:jc w:val="left"/>
              <w:rPr>
                <w:rFonts w:ascii="Arial" w:hAnsi="Arial" w:cs="Arial"/>
                <w:color w:val="000000"/>
                <w:sz w:val="16"/>
                <w:szCs w:val="16"/>
              </w:rPr>
            </w:pPr>
            <w:r w:rsidRPr="00156623">
              <w:rPr>
                <w:rFonts w:ascii="Arial" w:hAnsi="Arial" w:cs="Arial"/>
                <w:color w:val="000000"/>
                <w:sz w:val="16"/>
                <w:szCs w:val="16"/>
              </w:rPr>
              <w:t>Other non-financial assets</w:t>
            </w:r>
          </w:p>
        </w:tc>
        <w:tc>
          <w:tcPr>
            <w:tcW w:w="600" w:type="pct"/>
            <w:tcBorders>
              <w:top w:val="nil"/>
              <w:left w:val="nil"/>
              <w:bottom w:val="nil"/>
              <w:right w:val="nil"/>
            </w:tcBorders>
            <w:shd w:val="clear" w:color="auto" w:fill="auto"/>
            <w:noWrap/>
            <w:vAlign w:val="bottom"/>
            <w:hideMark/>
          </w:tcPr>
          <w:p w14:paraId="12993395"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467 </w:t>
            </w:r>
          </w:p>
        </w:tc>
        <w:tc>
          <w:tcPr>
            <w:tcW w:w="600" w:type="pct"/>
            <w:tcBorders>
              <w:top w:val="nil"/>
              <w:left w:val="nil"/>
              <w:bottom w:val="nil"/>
              <w:right w:val="nil"/>
            </w:tcBorders>
            <w:shd w:val="clear" w:color="000000" w:fill="E6E6E6"/>
            <w:noWrap/>
            <w:vAlign w:val="bottom"/>
            <w:hideMark/>
          </w:tcPr>
          <w:p w14:paraId="1A5C8BE9"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467 </w:t>
            </w:r>
          </w:p>
        </w:tc>
        <w:tc>
          <w:tcPr>
            <w:tcW w:w="600" w:type="pct"/>
            <w:tcBorders>
              <w:top w:val="nil"/>
              <w:left w:val="nil"/>
              <w:bottom w:val="nil"/>
              <w:right w:val="nil"/>
            </w:tcBorders>
            <w:shd w:val="clear" w:color="auto" w:fill="auto"/>
            <w:noWrap/>
            <w:vAlign w:val="bottom"/>
            <w:hideMark/>
          </w:tcPr>
          <w:p w14:paraId="6B7026A2"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467 </w:t>
            </w:r>
          </w:p>
        </w:tc>
        <w:tc>
          <w:tcPr>
            <w:tcW w:w="600" w:type="pct"/>
            <w:tcBorders>
              <w:top w:val="nil"/>
              <w:left w:val="nil"/>
              <w:bottom w:val="nil"/>
              <w:right w:val="nil"/>
            </w:tcBorders>
            <w:shd w:val="clear" w:color="auto" w:fill="auto"/>
            <w:noWrap/>
            <w:vAlign w:val="bottom"/>
            <w:hideMark/>
          </w:tcPr>
          <w:p w14:paraId="48870F82"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467 </w:t>
            </w:r>
          </w:p>
        </w:tc>
        <w:tc>
          <w:tcPr>
            <w:tcW w:w="600" w:type="pct"/>
            <w:tcBorders>
              <w:top w:val="nil"/>
              <w:left w:val="nil"/>
              <w:bottom w:val="nil"/>
              <w:right w:val="nil"/>
            </w:tcBorders>
            <w:shd w:val="clear" w:color="auto" w:fill="auto"/>
            <w:noWrap/>
            <w:vAlign w:val="bottom"/>
            <w:hideMark/>
          </w:tcPr>
          <w:p w14:paraId="006AD568"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467 </w:t>
            </w:r>
          </w:p>
        </w:tc>
      </w:tr>
      <w:tr w:rsidR="00156623" w:rsidRPr="00156623" w14:paraId="3D882953" w14:textId="77777777" w:rsidTr="00156623">
        <w:trPr>
          <w:trHeight w:hRule="exact" w:val="225"/>
        </w:trPr>
        <w:tc>
          <w:tcPr>
            <w:tcW w:w="1998" w:type="pct"/>
            <w:tcBorders>
              <w:top w:val="nil"/>
              <w:left w:val="nil"/>
              <w:bottom w:val="nil"/>
              <w:right w:val="nil"/>
            </w:tcBorders>
            <w:shd w:val="clear" w:color="auto" w:fill="auto"/>
            <w:noWrap/>
            <w:vAlign w:val="bottom"/>
            <w:hideMark/>
          </w:tcPr>
          <w:p w14:paraId="4604CFC3" w14:textId="77777777" w:rsidR="00156623" w:rsidRPr="00156623" w:rsidRDefault="00156623" w:rsidP="00156623">
            <w:pPr>
              <w:spacing w:after="0" w:line="240" w:lineRule="auto"/>
              <w:jc w:val="left"/>
              <w:rPr>
                <w:rFonts w:ascii="Arial" w:hAnsi="Arial" w:cs="Arial"/>
                <w:b/>
                <w:bCs/>
                <w:i/>
                <w:iCs/>
                <w:color w:val="000000"/>
                <w:sz w:val="16"/>
                <w:szCs w:val="16"/>
              </w:rPr>
            </w:pPr>
            <w:r w:rsidRPr="00156623">
              <w:rPr>
                <w:rFonts w:ascii="Arial" w:hAnsi="Arial" w:cs="Arial"/>
                <w:b/>
                <w:bCs/>
                <w:i/>
                <w:iCs/>
                <w:color w:val="000000"/>
                <w:sz w:val="16"/>
                <w:szCs w:val="16"/>
              </w:rPr>
              <w:t>Total non-financial assets</w:t>
            </w:r>
          </w:p>
        </w:tc>
        <w:tc>
          <w:tcPr>
            <w:tcW w:w="600" w:type="pct"/>
            <w:tcBorders>
              <w:top w:val="single" w:sz="4" w:space="0" w:color="auto"/>
              <w:left w:val="nil"/>
              <w:bottom w:val="single" w:sz="4" w:space="0" w:color="auto"/>
              <w:right w:val="nil"/>
            </w:tcBorders>
            <w:shd w:val="clear" w:color="auto" w:fill="auto"/>
            <w:noWrap/>
            <w:vAlign w:val="bottom"/>
            <w:hideMark/>
          </w:tcPr>
          <w:p w14:paraId="41A33B87" w14:textId="77777777" w:rsidR="00156623" w:rsidRPr="00156623" w:rsidRDefault="00156623" w:rsidP="00812CA9">
            <w:pPr>
              <w:spacing w:after="0" w:line="240" w:lineRule="auto"/>
              <w:jc w:val="right"/>
              <w:rPr>
                <w:rFonts w:ascii="Arial" w:hAnsi="Arial" w:cs="Arial"/>
                <w:b/>
                <w:bCs/>
                <w:sz w:val="16"/>
                <w:szCs w:val="16"/>
              </w:rPr>
            </w:pPr>
            <w:r w:rsidRPr="00156623">
              <w:rPr>
                <w:rFonts w:ascii="Arial" w:hAnsi="Arial" w:cs="Arial"/>
                <w:b/>
                <w:bCs/>
                <w:sz w:val="16"/>
                <w:szCs w:val="16"/>
              </w:rPr>
              <w:t xml:space="preserve">20,091 </w:t>
            </w:r>
          </w:p>
        </w:tc>
        <w:tc>
          <w:tcPr>
            <w:tcW w:w="600" w:type="pct"/>
            <w:tcBorders>
              <w:top w:val="single" w:sz="4" w:space="0" w:color="auto"/>
              <w:left w:val="nil"/>
              <w:bottom w:val="single" w:sz="4" w:space="0" w:color="auto"/>
              <w:right w:val="nil"/>
            </w:tcBorders>
            <w:shd w:val="clear" w:color="000000" w:fill="E6E6E6"/>
            <w:noWrap/>
            <w:vAlign w:val="bottom"/>
            <w:hideMark/>
          </w:tcPr>
          <w:p w14:paraId="2E2F775F" w14:textId="77777777" w:rsidR="00156623" w:rsidRPr="00156623" w:rsidRDefault="00156623" w:rsidP="00812CA9">
            <w:pPr>
              <w:spacing w:after="0" w:line="240" w:lineRule="auto"/>
              <w:jc w:val="right"/>
              <w:rPr>
                <w:rFonts w:ascii="Arial" w:hAnsi="Arial" w:cs="Arial"/>
                <w:b/>
                <w:bCs/>
                <w:sz w:val="16"/>
                <w:szCs w:val="16"/>
              </w:rPr>
            </w:pPr>
            <w:r w:rsidRPr="00156623">
              <w:rPr>
                <w:rFonts w:ascii="Arial" w:hAnsi="Arial" w:cs="Arial"/>
                <w:b/>
                <w:bCs/>
                <w:sz w:val="16"/>
                <w:szCs w:val="16"/>
              </w:rPr>
              <w:t xml:space="preserve">17,104 </w:t>
            </w:r>
          </w:p>
        </w:tc>
        <w:tc>
          <w:tcPr>
            <w:tcW w:w="600" w:type="pct"/>
            <w:tcBorders>
              <w:top w:val="single" w:sz="4" w:space="0" w:color="auto"/>
              <w:left w:val="nil"/>
              <w:bottom w:val="single" w:sz="4" w:space="0" w:color="auto"/>
              <w:right w:val="nil"/>
            </w:tcBorders>
            <w:shd w:val="clear" w:color="auto" w:fill="auto"/>
            <w:noWrap/>
            <w:vAlign w:val="bottom"/>
            <w:hideMark/>
          </w:tcPr>
          <w:p w14:paraId="6E033C5E" w14:textId="77777777" w:rsidR="00156623" w:rsidRPr="00156623" w:rsidRDefault="00156623" w:rsidP="00812CA9">
            <w:pPr>
              <w:spacing w:after="0" w:line="240" w:lineRule="auto"/>
              <w:jc w:val="right"/>
              <w:rPr>
                <w:rFonts w:ascii="Arial" w:hAnsi="Arial" w:cs="Arial"/>
                <w:b/>
                <w:bCs/>
                <w:sz w:val="16"/>
                <w:szCs w:val="16"/>
              </w:rPr>
            </w:pPr>
            <w:r w:rsidRPr="00156623">
              <w:rPr>
                <w:rFonts w:ascii="Arial" w:hAnsi="Arial" w:cs="Arial"/>
                <w:b/>
                <w:bCs/>
                <w:sz w:val="16"/>
                <w:szCs w:val="16"/>
              </w:rPr>
              <w:t xml:space="preserve">14,417 </w:t>
            </w:r>
          </w:p>
        </w:tc>
        <w:tc>
          <w:tcPr>
            <w:tcW w:w="600" w:type="pct"/>
            <w:tcBorders>
              <w:top w:val="single" w:sz="4" w:space="0" w:color="auto"/>
              <w:left w:val="nil"/>
              <w:bottom w:val="single" w:sz="4" w:space="0" w:color="auto"/>
              <w:right w:val="nil"/>
            </w:tcBorders>
            <w:shd w:val="clear" w:color="auto" w:fill="auto"/>
            <w:noWrap/>
            <w:vAlign w:val="bottom"/>
            <w:hideMark/>
          </w:tcPr>
          <w:p w14:paraId="0D2FDF95" w14:textId="77777777" w:rsidR="00156623" w:rsidRPr="00156623" w:rsidRDefault="00156623" w:rsidP="00812CA9">
            <w:pPr>
              <w:spacing w:after="0" w:line="240" w:lineRule="auto"/>
              <w:jc w:val="right"/>
              <w:rPr>
                <w:rFonts w:ascii="Arial" w:hAnsi="Arial" w:cs="Arial"/>
                <w:b/>
                <w:bCs/>
                <w:sz w:val="16"/>
                <w:szCs w:val="16"/>
              </w:rPr>
            </w:pPr>
            <w:r w:rsidRPr="00156623">
              <w:rPr>
                <w:rFonts w:ascii="Arial" w:hAnsi="Arial" w:cs="Arial"/>
                <w:b/>
                <w:bCs/>
                <w:sz w:val="16"/>
                <w:szCs w:val="16"/>
              </w:rPr>
              <w:t xml:space="preserve">12,035 </w:t>
            </w:r>
          </w:p>
        </w:tc>
        <w:tc>
          <w:tcPr>
            <w:tcW w:w="600" w:type="pct"/>
            <w:tcBorders>
              <w:top w:val="single" w:sz="4" w:space="0" w:color="auto"/>
              <w:left w:val="nil"/>
              <w:bottom w:val="single" w:sz="4" w:space="0" w:color="auto"/>
              <w:right w:val="nil"/>
            </w:tcBorders>
            <w:shd w:val="clear" w:color="auto" w:fill="auto"/>
            <w:noWrap/>
            <w:vAlign w:val="bottom"/>
            <w:hideMark/>
          </w:tcPr>
          <w:p w14:paraId="00A10D4E" w14:textId="77777777" w:rsidR="00156623" w:rsidRPr="00156623" w:rsidRDefault="00156623" w:rsidP="00812CA9">
            <w:pPr>
              <w:spacing w:after="0" w:line="240" w:lineRule="auto"/>
              <w:jc w:val="right"/>
              <w:rPr>
                <w:rFonts w:ascii="Arial" w:hAnsi="Arial" w:cs="Arial"/>
                <w:b/>
                <w:bCs/>
                <w:sz w:val="16"/>
                <w:szCs w:val="16"/>
              </w:rPr>
            </w:pPr>
            <w:r w:rsidRPr="00156623">
              <w:rPr>
                <w:rFonts w:ascii="Arial" w:hAnsi="Arial" w:cs="Arial"/>
                <w:b/>
                <w:bCs/>
                <w:sz w:val="16"/>
                <w:szCs w:val="16"/>
              </w:rPr>
              <w:t xml:space="preserve">9,596 </w:t>
            </w:r>
          </w:p>
        </w:tc>
      </w:tr>
      <w:tr w:rsidR="00156623" w:rsidRPr="00156623" w14:paraId="5B568550" w14:textId="77777777" w:rsidTr="00156623">
        <w:trPr>
          <w:trHeight w:hRule="exact" w:val="225"/>
        </w:trPr>
        <w:tc>
          <w:tcPr>
            <w:tcW w:w="1998" w:type="pct"/>
            <w:tcBorders>
              <w:top w:val="nil"/>
              <w:left w:val="nil"/>
              <w:bottom w:val="nil"/>
              <w:right w:val="nil"/>
            </w:tcBorders>
            <w:shd w:val="clear" w:color="auto" w:fill="auto"/>
            <w:noWrap/>
            <w:vAlign w:val="bottom"/>
            <w:hideMark/>
          </w:tcPr>
          <w:p w14:paraId="2BA633A4" w14:textId="77777777" w:rsidR="00156623" w:rsidRPr="00156623" w:rsidRDefault="00156623" w:rsidP="00156623">
            <w:pPr>
              <w:spacing w:after="0" w:line="240" w:lineRule="auto"/>
              <w:jc w:val="left"/>
              <w:rPr>
                <w:rFonts w:ascii="Arial" w:hAnsi="Arial" w:cs="Arial"/>
                <w:b/>
                <w:bCs/>
                <w:color w:val="000000"/>
                <w:sz w:val="16"/>
                <w:szCs w:val="16"/>
              </w:rPr>
            </w:pPr>
            <w:r w:rsidRPr="00156623">
              <w:rPr>
                <w:rFonts w:ascii="Arial" w:hAnsi="Arial" w:cs="Arial"/>
                <w:b/>
                <w:bCs/>
                <w:color w:val="000000"/>
                <w:sz w:val="16"/>
                <w:szCs w:val="16"/>
              </w:rPr>
              <w:t>Total assets</w:t>
            </w:r>
          </w:p>
        </w:tc>
        <w:tc>
          <w:tcPr>
            <w:tcW w:w="600" w:type="pct"/>
            <w:tcBorders>
              <w:top w:val="nil"/>
              <w:left w:val="nil"/>
              <w:bottom w:val="single" w:sz="4" w:space="0" w:color="000000"/>
              <w:right w:val="nil"/>
            </w:tcBorders>
            <w:shd w:val="clear" w:color="auto" w:fill="auto"/>
            <w:noWrap/>
            <w:vAlign w:val="bottom"/>
            <w:hideMark/>
          </w:tcPr>
          <w:p w14:paraId="2217DB65" w14:textId="67DBBA59" w:rsidR="00156623" w:rsidRPr="00156623" w:rsidRDefault="00156623" w:rsidP="00812CA9">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     54,390</w:t>
            </w:r>
          </w:p>
        </w:tc>
        <w:tc>
          <w:tcPr>
            <w:tcW w:w="600" w:type="pct"/>
            <w:tcBorders>
              <w:top w:val="nil"/>
              <w:left w:val="nil"/>
              <w:bottom w:val="single" w:sz="4" w:space="0" w:color="000000"/>
              <w:right w:val="nil"/>
            </w:tcBorders>
            <w:shd w:val="clear" w:color="000000" w:fill="E6E6E6"/>
            <w:noWrap/>
            <w:vAlign w:val="bottom"/>
            <w:hideMark/>
          </w:tcPr>
          <w:p w14:paraId="084869BE" w14:textId="77777777" w:rsidR="00156623" w:rsidRPr="00156623" w:rsidRDefault="00156623" w:rsidP="00812CA9">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52,165 </w:t>
            </w:r>
          </w:p>
        </w:tc>
        <w:tc>
          <w:tcPr>
            <w:tcW w:w="600" w:type="pct"/>
            <w:tcBorders>
              <w:top w:val="nil"/>
              <w:left w:val="nil"/>
              <w:bottom w:val="single" w:sz="4" w:space="0" w:color="000000"/>
              <w:right w:val="nil"/>
            </w:tcBorders>
            <w:shd w:val="clear" w:color="auto" w:fill="auto"/>
            <w:noWrap/>
            <w:vAlign w:val="bottom"/>
            <w:hideMark/>
          </w:tcPr>
          <w:p w14:paraId="5D0D4C67" w14:textId="77777777" w:rsidR="00156623" w:rsidRPr="00156623" w:rsidRDefault="00156623" w:rsidP="00812CA9">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     49,944 </w:t>
            </w:r>
          </w:p>
        </w:tc>
        <w:tc>
          <w:tcPr>
            <w:tcW w:w="600" w:type="pct"/>
            <w:tcBorders>
              <w:top w:val="nil"/>
              <w:left w:val="nil"/>
              <w:bottom w:val="single" w:sz="4" w:space="0" w:color="000000"/>
              <w:right w:val="nil"/>
            </w:tcBorders>
            <w:shd w:val="clear" w:color="auto" w:fill="auto"/>
            <w:noWrap/>
            <w:vAlign w:val="bottom"/>
            <w:hideMark/>
          </w:tcPr>
          <w:p w14:paraId="6238F5F7" w14:textId="77777777" w:rsidR="00156623" w:rsidRPr="00156623" w:rsidRDefault="00156623" w:rsidP="00812CA9">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     47,729 </w:t>
            </w:r>
          </w:p>
        </w:tc>
        <w:tc>
          <w:tcPr>
            <w:tcW w:w="600" w:type="pct"/>
            <w:tcBorders>
              <w:top w:val="nil"/>
              <w:left w:val="nil"/>
              <w:bottom w:val="single" w:sz="4" w:space="0" w:color="000000"/>
              <w:right w:val="nil"/>
            </w:tcBorders>
            <w:shd w:val="clear" w:color="auto" w:fill="auto"/>
            <w:noWrap/>
            <w:vAlign w:val="bottom"/>
            <w:hideMark/>
          </w:tcPr>
          <w:p w14:paraId="3E40E9CF" w14:textId="77777777" w:rsidR="00156623" w:rsidRPr="00156623" w:rsidRDefault="00156623" w:rsidP="00812CA9">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     45,455 </w:t>
            </w:r>
          </w:p>
        </w:tc>
      </w:tr>
      <w:tr w:rsidR="00156623" w:rsidRPr="00156623" w14:paraId="291EE420" w14:textId="77777777" w:rsidTr="00156623">
        <w:trPr>
          <w:trHeight w:hRule="exact" w:val="225"/>
        </w:trPr>
        <w:tc>
          <w:tcPr>
            <w:tcW w:w="1998" w:type="pct"/>
            <w:tcBorders>
              <w:top w:val="nil"/>
              <w:left w:val="nil"/>
              <w:bottom w:val="nil"/>
              <w:right w:val="nil"/>
            </w:tcBorders>
            <w:shd w:val="clear" w:color="auto" w:fill="auto"/>
            <w:noWrap/>
            <w:vAlign w:val="bottom"/>
            <w:hideMark/>
          </w:tcPr>
          <w:p w14:paraId="2145231C" w14:textId="77777777" w:rsidR="00156623" w:rsidRPr="00156623" w:rsidRDefault="00156623" w:rsidP="00156623">
            <w:pPr>
              <w:spacing w:after="0" w:line="240" w:lineRule="auto"/>
              <w:jc w:val="left"/>
              <w:rPr>
                <w:rFonts w:ascii="Arial" w:hAnsi="Arial" w:cs="Arial"/>
                <w:b/>
                <w:bCs/>
                <w:color w:val="000000"/>
                <w:sz w:val="16"/>
                <w:szCs w:val="16"/>
              </w:rPr>
            </w:pPr>
            <w:r w:rsidRPr="00156623">
              <w:rPr>
                <w:rFonts w:ascii="Arial" w:hAnsi="Arial" w:cs="Arial"/>
                <w:b/>
                <w:bCs/>
                <w:color w:val="000000"/>
                <w:sz w:val="16"/>
                <w:szCs w:val="16"/>
              </w:rPr>
              <w:t>LIABILITIES</w:t>
            </w:r>
          </w:p>
        </w:tc>
        <w:tc>
          <w:tcPr>
            <w:tcW w:w="600" w:type="pct"/>
            <w:tcBorders>
              <w:top w:val="nil"/>
              <w:left w:val="nil"/>
              <w:bottom w:val="nil"/>
              <w:right w:val="nil"/>
            </w:tcBorders>
            <w:shd w:val="clear" w:color="auto" w:fill="auto"/>
            <w:noWrap/>
            <w:vAlign w:val="bottom"/>
            <w:hideMark/>
          </w:tcPr>
          <w:p w14:paraId="7460A2DD" w14:textId="77777777" w:rsidR="00156623" w:rsidRPr="00156623" w:rsidRDefault="00156623" w:rsidP="00812CA9">
            <w:pPr>
              <w:spacing w:after="0" w:line="240" w:lineRule="auto"/>
              <w:jc w:val="righ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bottom"/>
            <w:hideMark/>
          </w:tcPr>
          <w:p w14:paraId="3A54F33E"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 </w:t>
            </w:r>
          </w:p>
        </w:tc>
        <w:tc>
          <w:tcPr>
            <w:tcW w:w="600" w:type="pct"/>
            <w:tcBorders>
              <w:top w:val="nil"/>
              <w:left w:val="nil"/>
              <w:bottom w:val="nil"/>
              <w:right w:val="nil"/>
            </w:tcBorders>
            <w:shd w:val="clear" w:color="auto" w:fill="auto"/>
            <w:noWrap/>
            <w:vAlign w:val="bottom"/>
            <w:hideMark/>
          </w:tcPr>
          <w:p w14:paraId="68046E35" w14:textId="77777777" w:rsidR="00156623" w:rsidRPr="00156623" w:rsidRDefault="00156623" w:rsidP="00812CA9">
            <w:pPr>
              <w:spacing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0D04DB8C" w14:textId="77777777" w:rsidR="00156623" w:rsidRPr="00156623" w:rsidRDefault="00156623" w:rsidP="00812CA9">
            <w:pPr>
              <w:spacing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hideMark/>
          </w:tcPr>
          <w:p w14:paraId="0E6739BE" w14:textId="77777777" w:rsidR="00156623" w:rsidRPr="00156623" w:rsidRDefault="00156623" w:rsidP="00812CA9">
            <w:pPr>
              <w:spacing w:after="0" w:line="240" w:lineRule="auto"/>
              <w:jc w:val="right"/>
              <w:rPr>
                <w:rFonts w:ascii="Times New Roman" w:hAnsi="Times New Roman"/>
              </w:rPr>
            </w:pPr>
          </w:p>
        </w:tc>
      </w:tr>
      <w:tr w:rsidR="00156623" w:rsidRPr="00156623" w14:paraId="4436B116" w14:textId="77777777" w:rsidTr="00156623">
        <w:trPr>
          <w:trHeight w:hRule="exact" w:val="225"/>
        </w:trPr>
        <w:tc>
          <w:tcPr>
            <w:tcW w:w="1998" w:type="pct"/>
            <w:tcBorders>
              <w:top w:val="nil"/>
              <w:left w:val="nil"/>
              <w:bottom w:val="nil"/>
              <w:right w:val="nil"/>
            </w:tcBorders>
            <w:shd w:val="clear" w:color="auto" w:fill="auto"/>
            <w:noWrap/>
            <w:vAlign w:val="bottom"/>
            <w:hideMark/>
          </w:tcPr>
          <w:p w14:paraId="212258A6" w14:textId="77777777" w:rsidR="00156623" w:rsidRPr="00156623" w:rsidRDefault="00156623" w:rsidP="00156623">
            <w:pPr>
              <w:spacing w:after="0" w:line="240" w:lineRule="auto"/>
              <w:jc w:val="left"/>
              <w:rPr>
                <w:rFonts w:ascii="Arial" w:hAnsi="Arial" w:cs="Arial"/>
                <w:b/>
                <w:bCs/>
                <w:color w:val="000000"/>
                <w:sz w:val="16"/>
                <w:szCs w:val="16"/>
              </w:rPr>
            </w:pPr>
            <w:r w:rsidRPr="00156623">
              <w:rPr>
                <w:rFonts w:ascii="Arial" w:hAnsi="Arial" w:cs="Arial"/>
                <w:b/>
                <w:bCs/>
                <w:color w:val="000000"/>
                <w:sz w:val="16"/>
                <w:szCs w:val="16"/>
              </w:rPr>
              <w:t>Payables</w:t>
            </w:r>
          </w:p>
        </w:tc>
        <w:tc>
          <w:tcPr>
            <w:tcW w:w="600" w:type="pct"/>
            <w:tcBorders>
              <w:top w:val="nil"/>
              <w:left w:val="nil"/>
              <w:bottom w:val="nil"/>
              <w:right w:val="nil"/>
            </w:tcBorders>
            <w:shd w:val="clear" w:color="auto" w:fill="auto"/>
            <w:noWrap/>
            <w:vAlign w:val="bottom"/>
            <w:hideMark/>
          </w:tcPr>
          <w:p w14:paraId="3DAF948C" w14:textId="77777777" w:rsidR="00156623" w:rsidRPr="00156623" w:rsidRDefault="00156623" w:rsidP="00812CA9">
            <w:pPr>
              <w:spacing w:after="0" w:line="240" w:lineRule="auto"/>
              <w:jc w:val="righ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bottom"/>
            <w:hideMark/>
          </w:tcPr>
          <w:p w14:paraId="13E29A33"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 </w:t>
            </w:r>
          </w:p>
        </w:tc>
        <w:tc>
          <w:tcPr>
            <w:tcW w:w="600" w:type="pct"/>
            <w:tcBorders>
              <w:top w:val="nil"/>
              <w:left w:val="nil"/>
              <w:bottom w:val="nil"/>
              <w:right w:val="nil"/>
            </w:tcBorders>
            <w:shd w:val="clear" w:color="auto" w:fill="auto"/>
            <w:noWrap/>
            <w:vAlign w:val="bottom"/>
            <w:hideMark/>
          </w:tcPr>
          <w:p w14:paraId="77425A1C" w14:textId="77777777" w:rsidR="00156623" w:rsidRPr="00156623" w:rsidRDefault="00156623" w:rsidP="00812CA9">
            <w:pPr>
              <w:spacing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4787DE3B" w14:textId="77777777" w:rsidR="00156623" w:rsidRPr="00156623" w:rsidRDefault="00156623" w:rsidP="00812CA9">
            <w:pPr>
              <w:spacing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hideMark/>
          </w:tcPr>
          <w:p w14:paraId="4265533A" w14:textId="77777777" w:rsidR="00156623" w:rsidRPr="00156623" w:rsidRDefault="00156623" w:rsidP="00812CA9">
            <w:pPr>
              <w:spacing w:after="0" w:line="240" w:lineRule="auto"/>
              <w:jc w:val="right"/>
              <w:rPr>
                <w:rFonts w:ascii="Times New Roman" w:hAnsi="Times New Roman"/>
              </w:rPr>
            </w:pPr>
          </w:p>
        </w:tc>
      </w:tr>
      <w:tr w:rsidR="00156623" w:rsidRPr="00156623" w14:paraId="57C32D63" w14:textId="77777777" w:rsidTr="00156623">
        <w:trPr>
          <w:trHeight w:hRule="exact" w:val="225"/>
        </w:trPr>
        <w:tc>
          <w:tcPr>
            <w:tcW w:w="1998" w:type="pct"/>
            <w:tcBorders>
              <w:top w:val="nil"/>
              <w:left w:val="nil"/>
              <w:bottom w:val="nil"/>
              <w:right w:val="nil"/>
            </w:tcBorders>
            <w:shd w:val="clear" w:color="auto" w:fill="auto"/>
            <w:noWrap/>
            <w:vAlign w:val="bottom"/>
            <w:hideMark/>
          </w:tcPr>
          <w:p w14:paraId="01346ABE" w14:textId="77777777" w:rsidR="00156623" w:rsidRPr="00156623" w:rsidRDefault="00156623" w:rsidP="00156623">
            <w:pPr>
              <w:spacing w:after="0" w:line="240" w:lineRule="auto"/>
              <w:ind w:left="170"/>
              <w:jc w:val="left"/>
              <w:rPr>
                <w:rFonts w:ascii="Arial" w:hAnsi="Arial" w:cs="Arial"/>
                <w:color w:val="000000"/>
                <w:sz w:val="16"/>
                <w:szCs w:val="16"/>
              </w:rPr>
            </w:pPr>
            <w:r w:rsidRPr="00156623">
              <w:rPr>
                <w:rFonts w:ascii="Arial" w:hAnsi="Arial" w:cs="Arial"/>
                <w:color w:val="000000"/>
                <w:sz w:val="16"/>
                <w:szCs w:val="16"/>
              </w:rPr>
              <w:t>Suppliers</w:t>
            </w:r>
          </w:p>
        </w:tc>
        <w:tc>
          <w:tcPr>
            <w:tcW w:w="600" w:type="pct"/>
            <w:tcBorders>
              <w:top w:val="nil"/>
              <w:left w:val="nil"/>
              <w:bottom w:val="nil"/>
              <w:right w:val="nil"/>
            </w:tcBorders>
            <w:shd w:val="clear" w:color="auto" w:fill="auto"/>
            <w:noWrap/>
            <w:vAlign w:val="bottom"/>
            <w:hideMark/>
          </w:tcPr>
          <w:p w14:paraId="52EFB504"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328 </w:t>
            </w:r>
          </w:p>
        </w:tc>
        <w:tc>
          <w:tcPr>
            <w:tcW w:w="600" w:type="pct"/>
            <w:tcBorders>
              <w:top w:val="nil"/>
              <w:left w:val="nil"/>
              <w:bottom w:val="nil"/>
              <w:right w:val="nil"/>
            </w:tcBorders>
            <w:shd w:val="clear" w:color="000000" w:fill="E6E6E6"/>
            <w:noWrap/>
            <w:vAlign w:val="bottom"/>
            <w:hideMark/>
          </w:tcPr>
          <w:p w14:paraId="51004AEC"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328 </w:t>
            </w:r>
          </w:p>
        </w:tc>
        <w:tc>
          <w:tcPr>
            <w:tcW w:w="600" w:type="pct"/>
            <w:tcBorders>
              <w:top w:val="nil"/>
              <w:left w:val="nil"/>
              <w:bottom w:val="nil"/>
              <w:right w:val="nil"/>
            </w:tcBorders>
            <w:shd w:val="clear" w:color="auto" w:fill="auto"/>
            <w:noWrap/>
            <w:vAlign w:val="bottom"/>
            <w:hideMark/>
          </w:tcPr>
          <w:p w14:paraId="13471754"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328 </w:t>
            </w:r>
          </w:p>
        </w:tc>
        <w:tc>
          <w:tcPr>
            <w:tcW w:w="600" w:type="pct"/>
            <w:tcBorders>
              <w:top w:val="nil"/>
              <w:left w:val="nil"/>
              <w:bottom w:val="nil"/>
              <w:right w:val="nil"/>
            </w:tcBorders>
            <w:shd w:val="clear" w:color="auto" w:fill="auto"/>
            <w:noWrap/>
            <w:vAlign w:val="bottom"/>
            <w:hideMark/>
          </w:tcPr>
          <w:p w14:paraId="2956B1F5"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328 </w:t>
            </w:r>
          </w:p>
        </w:tc>
        <w:tc>
          <w:tcPr>
            <w:tcW w:w="600" w:type="pct"/>
            <w:tcBorders>
              <w:top w:val="nil"/>
              <w:left w:val="nil"/>
              <w:bottom w:val="nil"/>
              <w:right w:val="nil"/>
            </w:tcBorders>
            <w:shd w:val="clear" w:color="auto" w:fill="auto"/>
            <w:noWrap/>
            <w:vAlign w:val="bottom"/>
            <w:hideMark/>
          </w:tcPr>
          <w:p w14:paraId="7DF5BF92"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328 </w:t>
            </w:r>
          </w:p>
        </w:tc>
      </w:tr>
      <w:tr w:rsidR="00156623" w:rsidRPr="00156623" w14:paraId="71C4F1DC" w14:textId="77777777" w:rsidTr="00156623">
        <w:trPr>
          <w:trHeight w:hRule="exact" w:val="225"/>
        </w:trPr>
        <w:tc>
          <w:tcPr>
            <w:tcW w:w="1998" w:type="pct"/>
            <w:tcBorders>
              <w:top w:val="nil"/>
              <w:left w:val="nil"/>
              <w:bottom w:val="nil"/>
              <w:right w:val="nil"/>
            </w:tcBorders>
            <w:shd w:val="clear" w:color="auto" w:fill="auto"/>
            <w:noWrap/>
            <w:vAlign w:val="bottom"/>
            <w:hideMark/>
          </w:tcPr>
          <w:p w14:paraId="75B117C9" w14:textId="77777777" w:rsidR="00156623" w:rsidRPr="00156623" w:rsidRDefault="00156623" w:rsidP="00156623">
            <w:pPr>
              <w:spacing w:after="0" w:line="240" w:lineRule="auto"/>
              <w:jc w:val="left"/>
              <w:rPr>
                <w:rFonts w:ascii="Arial" w:hAnsi="Arial" w:cs="Arial"/>
                <w:b/>
                <w:bCs/>
                <w:i/>
                <w:iCs/>
                <w:color w:val="000000"/>
                <w:sz w:val="16"/>
                <w:szCs w:val="16"/>
              </w:rPr>
            </w:pPr>
            <w:r w:rsidRPr="00156623">
              <w:rPr>
                <w:rFonts w:ascii="Arial" w:hAnsi="Arial" w:cs="Arial"/>
                <w:b/>
                <w:bCs/>
                <w:i/>
                <w:iCs/>
                <w:color w:val="000000"/>
                <w:sz w:val="16"/>
                <w:szCs w:val="16"/>
              </w:rPr>
              <w:t>Total payables</w:t>
            </w:r>
          </w:p>
        </w:tc>
        <w:tc>
          <w:tcPr>
            <w:tcW w:w="600" w:type="pct"/>
            <w:tcBorders>
              <w:top w:val="single" w:sz="4" w:space="0" w:color="auto"/>
              <w:left w:val="nil"/>
              <w:bottom w:val="single" w:sz="4" w:space="0" w:color="auto"/>
              <w:right w:val="nil"/>
            </w:tcBorders>
            <w:shd w:val="clear" w:color="auto" w:fill="auto"/>
            <w:noWrap/>
            <w:vAlign w:val="bottom"/>
            <w:hideMark/>
          </w:tcPr>
          <w:p w14:paraId="25EA7EA5" w14:textId="77777777" w:rsidR="00156623" w:rsidRPr="00156623" w:rsidRDefault="00156623" w:rsidP="00812CA9">
            <w:pPr>
              <w:spacing w:after="0" w:line="240" w:lineRule="auto"/>
              <w:jc w:val="right"/>
              <w:rPr>
                <w:rFonts w:ascii="Arial" w:hAnsi="Arial" w:cs="Arial"/>
                <w:b/>
                <w:bCs/>
                <w:sz w:val="16"/>
                <w:szCs w:val="16"/>
              </w:rPr>
            </w:pPr>
            <w:r w:rsidRPr="00156623">
              <w:rPr>
                <w:rFonts w:ascii="Arial" w:hAnsi="Arial" w:cs="Arial"/>
                <w:b/>
                <w:bCs/>
                <w:sz w:val="16"/>
                <w:szCs w:val="16"/>
              </w:rPr>
              <w:t xml:space="preserve">328 </w:t>
            </w:r>
          </w:p>
        </w:tc>
        <w:tc>
          <w:tcPr>
            <w:tcW w:w="600" w:type="pct"/>
            <w:tcBorders>
              <w:top w:val="single" w:sz="4" w:space="0" w:color="000000"/>
              <w:left w:val="nil"/>
              <w:bottom w:val="single" w:sz="4" w:space="0" w:color="000000"/>
              <w:right w:val="nil"/>
            </w:tcBorders>
            <w:shd w:val="clear" w:color="000000" w:fill="E6E6E6"/>
            <w:noWrap/>
            <w:vAlign w:val="bottom"/>
            <w:hideMark/>
          </w:tcPr>
          <w:p w14:paraId="300946E6" w14:textId="77777777" w:rsidR="00156623" w:rsidRPr="00156623" w:rsidRDefault="00156623" w:rsidP="00812CA9">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328 </w:t>
            </w:r>
          </w:p>
        </w:tc>
        <w:tc>
          <w:tcPr>
            <w:tcW w:w="600" w:type="pct"/>
            <w:tcBorders>
              <w:top w:val="single" w:sz="4" w:space="0" w:color="auto"/>
              <w:left w:val="nil"/>
              <w:bottom w:val="single" w:sz="4" w:space="0" w:color="auto"/>
              <w:right w:val="nil"/>
            </w:tcBorders>
            <w:shd w:val="clear" w:color="auto" w:fill="auto"/>
            <w:noWrap/>
            <w:vAlign w:val="bottom"/>
            <w:hideMark/>
          </w:tcPr>
          <w:p w14:paraId="6EF1BFEA" w14:textId="77777777" w:rsidR="00156623" w:rsidRPr="00156623" w:rsidRDefault="00156623" w:rsidP="00812CA9">
            <w:pPr>
              <w:spacing w:after="0" w:line="240" w:lineRule="auto"/>
              <w:jc w:val="right"/>
              <w:rPr>
                <w:rFonts w:ascii="Arial" w:hAnsi="Arial" w:cs="Arial"/>
                <w:b/>
                <w:bCs/>
                <w:sz w:val="16"/>
                <w:szCs w:val="16"/>
              </w:rPr>
            </w:pPr>
            <w:r w:rsidRPr="00156623">
              <w:rPr>
                <w:rFonts w:ascii="Arial" w:hAnsi="Arial" w:cs="Arial"/>
                <w:b/>
                <w:bCs/>
                <w:sz w:val="16"/>
                <w:szCs w:val="16"/>
              </w:rPr>
              <w:t xml:space="preserve">328 </w:t>
            </w:r>
          </w:p>
        </w:tc>
        <w:tc>
          <w:tcPr>
            <w:tcW w:w="600" w:type="pct"/>
            <w:tcBorders>
              <w:top w:val="single" w:sz="4" w:space="0" w:color="auto"/>
              <w:left w:val="nil"/>
              <w:bottom w:val="single" w:sz="4" w:space="0" w:color="auto"/>
              <w:right w:val="nil"/>
            </w:tcBorders>
            <w:shd w:val="clear" w:color="auto" w:fill="auto"/>
            <w:noWrap/>
            <w:vAlign w:val="bottom"/>
            <w:hideMark/>
          </w:tcPr>
          <w:p w14:paraId="4B5C7675" w14:textId="77777777" w:rsidR="00156623" w:rsidRPr="00156623" w:rsidRDefault="00156623" w:rsidP="00812CA9">
            <w:pPr>
              <w:spacing w:after="0" w:line="240" w:lineRule="auto"/>
              <w:jc w:val="right"/>
              <w:rPr>
                <w:rFonts w:ascii="Arial" w:hAnsi="Arial" w:cs="Arial"/>
                <w:b/>
                <w:bCs/>
                <w:sz w:val="16"/>
                <w:szCs w:val="16"/>
              </w:rPr>
            </w:pPr>
            <w:r w:rsidRPr="00156623">
              <w:rPr>
                <w:rFonts w:ascii="Arial" w:hAnsi="Arial" w:cs="Arial"/>
                <w:b/>
                <w:bCs/>
                <w:sz w:val="16"/>
                <w:szCs w:val="16"/>
              </w:rPr>
              <w:t xml:space="preserve">328 </w:t>
            </w:r>
          </w:p>
        </w:tc>
        <w:tc>
          <w:tcPr>
            <w:tcW w:w="600" w:type="pct"/>
            <w:tcBorders>
              <w:top w:val="single" w:sz="4" w:space="0" w:color="auto"/>
              <w:left w:val="nil"/>
              <w:bottom w:val="single" w:sz="4" w:space="0" w:color="auto"/>
              <w:right w:val="nil"/>
            </w:tcBorders>
            <w:shd w:val="clear" w:color="auto" w:fill="auto"/>
            <w:noWrap/>
            <w:vAlign w:val="bottom"/>
            <w:hideMark/>
          </w:tcPr>
          <w:p w14:paraId="3539497C" w14:textId="77777777" w:rsidR="00156623" w:rsidRPr="00156623" w:rsidRDefault="00156623" w:rsidP="00812CA9">
            <w:pPr>
              <w:spacing w:after="0" w:line="240" w:lineRule="auto"/>
              <w:jc w:val="right"/>
              <w:rPr>
                <w:rFonts w:ascii="Arial" w:hAnsi="Arial" w:cs="Arial"/>
                <w:b/>
                <w:bCs/>
                <w:sz w:val="16"/>
                <w:szCs w:val="16"/>
              </w:rPr>
            </w:pPr>
            <w:r w:rsidRPr="00156623">
              <w:rPr>
                <w:rFonts w:ascii="Arial" w:hAnsi="Arial" w:cs="Arial"/>
                <w:b/>
                <w:bCs/>
                <w:sz w:val="16"/>
                <w:szCs w:val="16"/>
              </w:rPr>
              <w:t xml:space="preserve">328 </w:t>
            </w:r>
          </w:p>
        </w:tc>
      </w:tr>
      <w:tr w:rsidR="00156623" w:rsidRPr="00156623" w14:paraId="209A4203" w14:textId="77777777" w:rsidTr="00156623">
        <w:trPr>
          <w:trHeight w:hRule="exact" w:val="225"/>
        </w:trPr>
        <w:tc>
          <w:tcPr>
            <w:tcW w:w="1998" w:type="pct"/>
            <w:tcBorders>
              <w:top w:val="nil"/>
              <w:left w:val="nil"/>
              <w:bottom w:val="nil"/>
              <w:right w:val="nil"/>
            </w:tcBorders>
            <w:shd w:val="clear" w:color="auto" w:fill="auto"/>
            <w:noWrap/>
            <w:vAlign w:val="bottom"/>
            <w:hideMark/>
          </w:tcPr>
          <w:p w14:paraId="2B7F80A1" w14:textId="77777777" w:rsidR="00156623" w:rsidRPr="00156623" w:rsidRDefault="00156623" w:rsidP="00156623">
            <w:pPr>
              <w:spacing w:after="0" w:line="240" w:lineRule="auto"/>
              <w:jc w:val="left"/>
              <w:rPr>
                <w:rFonts w:ascii="Arial" w:hAnsi="Arial" w:cs="Arial"/>
                <w:b/>
                <w:bCs/>
                <w:color w:val="000000"/>
                <w:sz w:val="16"/>
                <w:szCs w:val="16"/>
              </w:rPr>
            </w:pPr>
            <w:r w:rsidRPr="00156623">
              <w:rPr>
                <w:rFonts w:ascii="Arial" w:hAnsi="Arial" w:cs="Arial"/>
                <w:b/>
                <w:bCs/>
                <w:color w:val="000000"/>
                <w:sz w:val="16"/>
                <w:szCs w:val="16"/>
              </w:rPr>
              <w:t>Interest bearing liabilities</w:t>
            </w:r>
          </w:p>
        </w:tc>
        <w:tc>
          <w:tcPr>
            <w:tcW w:w="600" w:type="pct"/>
            <w:tcBorders>
              <w:top w:val="nil"/>
              <w:left w:val="nil"/>
              <w:bottom w:val="nil"/>
              <w:right w:val="nil"/>
            </w:tcBorders>
            <w:shd w:val="clear" w:color="auto" w:fill="auto"/>
            <w:noWrap/>
            <w:vAlign w:val="bottom"/>
            <w:hideMark/>
          </w:tcPr>
          <w:p w14:paraId="55767621" w14:textId="77777777" w:rsidR="00156623" w:rsidRPr="00156623" w:rsidRDefault="00156623" w:rsidP="00812CA9">
            <w:pPr>
              <w:spacing w:after="0" w:line="240" w:lineRule="auto"/>
              <w:jc w:val="righ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bottom"/>
            <w:hideMark/>
          </w:tcPr>
          <w:p w14:paraId="3C9EC16E"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 </w:t>
            </w:r>
          </w:p>
        </w:tc>
        <w:tc>
          <w:tcPr>
            <w:tcW w:w="600" w:type="pct"/>
            <w:tcBorders>
              <w:top w:val="nil"/>
              <w:left w:val="nil"/>
              <w:bottom w:val="nil"/>
              <w:right w:val="nil"/>
            </w:tcBorders>
            <w:shd w:val="clear" w:color="auto" w:fill="auto"/>
            <w:noWrap/>
            <w:vAlign w:val="bottom"/>
            <w:hideMark/>
          </w:tcPr>
          <w:p w14:paraId="316F72F3" w14:textId="77777777" w:rsidR="00156623" w:rsidRPr="00156623" w:rsidRDefault="00156623" w:rsidP="00812CA9">
            <w:pPr>
              <w:spacing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1B99B3E3" w14:textId="77777777" w:rsidR="00156623" w:rsidRPr="00156623" w:rsidRDefault="00156623" w:rsidP="00812CA9">
            <w:pPr>
              <w:spacing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hideMark/>
          </w:tcPr>
          <w:p w14:paraId="7296DC9C" w14:textId="77777777" w:rsidR="00156623" w:rsidRPr="00156623" w:rsidRDefault="00156623" w:rsidP="00812CA9">
            <w:pPr>
              <w:spacing w:after="0" w:line="240" w:lineRule="auto"/>
              <w:jc w:val="right"/>
              <w:rPr>
                <w:rFonts w:ascii="Times New Roman" w:hAnsi="Times New Roman"/>
              </w:rPr>
            </w:pPr>
          </w:p>
        </w:tc>
      </w:tr>
      <w:tr w:rsidR="00156623" w:rsidRPr="00156623" w14:paraId="669A2A3D" w14:textId="77777777" w:rsidTr="00156623">
        <w:trPr>
          <w:trHeight w:hRule="exact" w:val="225"/>
        </w:trPr>
        <w:tc>
          <w:tcPr>
            <w:tcW w:w="1998" w:type="pct"/>
            <w:tcBorders>
              <w:top w:val="nil"/>
              <w:left w:val="nil"/>
              <w:bottom w:val="nil"/>
              <w:right w:val="nil"/>
            </w:tcBorders>
            <w:shd w:val="clear" w:color="auto" w:fill="auto"/>
            <w:noWrap/>
            <w:vAlign w:val="bottom"/>
            <w:hideMark/>
          </w:tcPr>
          <w:p w14:paraId="58E331F3" w14:textId="77777777" w:rsidR="00156623" w:rsidRPr="00156623" w:rsidRDefault="00156623" w:rsidP="00156623">
            <w:pPr>
              <w:spacing w:after="0" w:line="240" w:lineRule="auto"/>
              <w:ind w:left="170"/>
              <w:jc w:val="left"/>
              <w:rPr>
                <w:rFonts w:ascii="Arial" w:hAnsi="Arial" w:cs="Arial"/>
                <w:color w:val="000000"/>
                <w:sz w:val="16"/>
                <w:szCs w:val="16"/>
              </w:rPr>
            </w:pPr>
            <w:r w:rsidRPr="00156623">
              <w:rPr>
                <w:rFonts w:ascii="Arial" w:hAnsi="Arial" w:cs="Arial"/>
                <w:color w:val="000000"/>
                <w:sz w:val="16"/>
                <w:szCs w:val="16"/>
              </w:rPr>
              <w:t>Leases</w:t>
            </w:r>
          </w:p>
        </w:tc>
        <w:tc>
          <w:tcPr>
            <w:tcW w:w="600" w:type="pct"/>
            <w:tcBorders>
              <w:top w:val="nil"/>
              <w:left w:val="nil"/>
              <w:bottom w:val="nil"/>
              <w:right w:val="nil"/>
            </w:tcBorders>
            <w:shd w:val="clear" w:color="auto" w:fill="auto"/>
            <w:noWrap/>
            <w:vAlign w:val="bottom"/>
            <w:hideMark/>
          </w:tcPr>
          <w:p w14:paraId="1F000E59"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15,900</w:t>
            </w:r>
          </w:p>
        </w:tc>
        <w:tc>
          <w:tcPr>
            <w:tcW w:w="600" w:type="pct"/>
            <w:tcBorders>
              <w:top w:val="nil"/>
              <w:left w:val="nil"/>
              <w:bottom w:val="nil"/>
              <w:right w:val="nil"/>
            </w:tcBorders>
            <w:shd w:val="clear" w:color="000000" w:fill="E6E6E6"/>
            <w:noWrap/>
            <w:vAlign w:val="bottom"/>
            <w:hideMark/>
          </w:tcPr>
          <w:p w14:paraId="6033225B"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14,011</w:t>
            </w:r>
          </w:p>
        </w:tc>
        <w:tc>
          <w:tcPr>
            <w:tcW w:w="600" w:type="pct"/>
            <w:tcBorders>
              <w:top w:val="nil"/>
              <w:left w:val="nil"/>
              <w:bottom w:val="nil"/>
              <w:right w:val="nil"/>
            </w:tcBorders>
            <w:shd w:val="clear" w:color="auto" w:fill="auto"/>
            <w:noWrap/>
            <w:vAlign w:val="bottom"/>
            <w:hideMark/>
          </w:tcPr>
          <w:p w14:paraId="24B9D57A"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12,010</w:t>
            </w:r>
          </w:p>
        </w:tc>
        <w:tc>
          <w:tcPr>
            <w:tcW w:w="600" w:type="pct"/>
            <w:tcBorders>
              <w:top w:val="nil"/>
              <w:left w:val="nil"/>
              <w:bottom w:val="nil"/>
              <w:right w:val="nil"/>
            </w:tcBorders>
            <w:shd w:val="clear" w:color="auto" w:fill="auto"/>
            <w:noWrap/>
            <w:vAlign w:val="bottom"/>
            <w:hideMark/>
          </w:tcPr>
          <w:p w14:paraId="083F69B0"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9,851</w:t>
            </w:r>
          </w:p>
        </w:tc>
        <w:tc>
          <w:tcPr>
            <w:tcW w:w="600" w:type="pct"/>
            <w:tcBorders>
              <w:top w:val="nil"/>
              <w:left w:val="nil"/>
              <w:bottom w:val="nil"/>
              <w:right w:val="nil"/>
            </w:tcBorders>
            <w:shd w:val="clear" w:color="auto" w:fill="auto"/>
            <w:noWrap/>
            <w:vAlign w:val="bottom"/>
            <w:hideMark/>
          </w:tcPr>
          <w:p w14:paraId="03C6398B"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7,627</w:t>
            </w:r>
          </w:p>
        </w:tc>
      </w:tr>
      <w:tr w:rsidR="00156623" w:rsidRPr="00156623" w14:paraId="74378633" w14:textId="77777777" w:rsidTr="00156623">
        <w:trPr>
          <w:trHeight w:hRule="exact" w:val="210"/>
        </w:trPr>
        <w:tc>
          <w:tcPr>
            <w:tcW w:w="1998" w:type="pct"/>
            <w:tcBorders>
              <w:top w:val="nil"/>
              <w:left w:val="nil"/>
              <w:bottom w:val="nil"/>
              <w:right w:val="nil"/>
            </w:tcBorders>
            <w:shd w:val="clear" w:color="auto" w:fill="auto"/>
            <w:noWrap/>
            <w:vAlign w:val="bottom"/>
            <w:hideMark/>
          </w:tcPr>
          <w:p w14:paraId="43534E76" w14:textId="77777777" w:rsidR="00156623" w:rsidRPr="00156623" w:rsidRDefault="00156623" w:rsidP="00156623">
            <w:pPr>
              <w:spacing w:after="0" w:line="240" w:lineRule="auto"/>
              <w:jc w:val="left"/>
              <w:rPr>
                <w:rFonts w:ascii="Arial" w:hAnsi="Arial" w:cs="Arial"/>
                <w:b/>
                <w:bCs/>
                <w:i/>
                <w:iCs/>
                <w:color w:val="000000"/>
                <w:sz w:val="16"/>
                <w:szCs w:val="16"/>
              </w:rPr>
            </w:pPr>
            <w:r w:rsidRPr="00156623">
              <w:rPr>
                <w:rFonts w:ascii="Arial" w:hAnsi="Arial" w:cs="Arial"/>
                <w:b/>
                <w:bCs/>
                <w:i/>
                <w:iCs/>
                <w:color w:val="000000"/>
                <w:sz w:val="16"/>
                <w:szCs w:val="16"/>
              </w:rPr>
              <w:t>Total interest bearing liabilities</w:t>
            </w:r>
          </w:p>
        </w:tc>
        <w:tc>
          <w:tcPr>
            <w:tcW w:w="600" w:type="pct"/>
            <w:tcBorders>
              <w:top w:val="single" w:sz="4" w:space="0" w:color="000000"/>
              <w:left w:val="nil"/>
              <w:bottom w:val="single" w:sz="4" w:space="0" w:color="000000"/>
              <w:right w:val="nil"/>
            </w:tcBorders>
            <w:shd w:val="clear" w:color="auto" w:fill="auto"/>
            <w:noWrap/>
            <w:vAlign w:val="bottom"/>
            <w:hideMark/>
          </w:tcPr>
          <w:p w14:paraId="6DF5D8B6" w14:textId="77777777" w:rsidR="00156623" w:rsidRPr="00156623" w:rsidRDefault="00156623" w:rsidP="00812CA9">
            <w:pPr>
              <w:spacing w:after="0" w:line="240" w:lineRule="auto"/>
              <w:jc w:val="right"/>
              <w:rPr>
                <w:rFonts w:ascii="Arial" w:hAnsi="Arial" w:cs="Arial"/>
                <w:b/>
                <w:bCs/>
                <w:i/>
                <w:iCs/>
                <w:color w:val="000000"/>
                <w:sz w:val="16"/>
                <w:szCs w:val="16"/>
              </w:rPr>
            </w:pPr>
            <w:r w:rsidRPr="00156623">
              <w:rPr>
                <w:rFonts w:ascii="Arial" w:hAnsi="Arial" w:cs="Arial"/>
                <w:b/>
                <w:bCs/>
                <w:i/>
                <w:iCs/>
                <w:color w:val="000000"/>
                <w:sz w:val="16"/>
                <w:szCs w:val="16"/>
              </w:rPr>
              <w:t xml:space="preserve">    15,900 </w:t>
            </w:r>
          </w:p>
        </w:tc>
        <w:tc>
          <w:tcPr>
            <w:tcW w:w="600" w:type="pct"/>
            <w:tcBorders>
              <w:top w:val="single" w:sz="4" w:space="0" w:color="000000"/>
              <w:left w:val="nil"/>
              <w:bottom w:val="single" w:sz="4" w:space="0" w:color="000000"/>
              <w:right w:val="nil"/>
            </w:tcBorders>
            <w:shd w:val="clear" w:color="000000" w:fill="E6E6E6"/>
            <w:noWrap/>
            <w:vAlign w:val="bottom"/>
            <w:hideMark/>
          </w:tcPr>
          <w:p w14:paraId="0B87A1C6" w14:textId="77777777" w:rsidR="00156623" w:rsidRPr="00156623" w:rsidRDefault="00156623" w:rsidP="00812CA9">
            <w:pPr>
              <w:spacing w:after="0" w:line="240" w:lineRule="auto"/>
              <w:jc w:val="right"/>
              <w:rPr>
                <w:rFonts w:ascii="Arial" w:hAnsi="Arial" w:cs="Arial"/>
                <w:b/>
                <w:bCs/>
                <w:i/>
                <w:iCs/>
                <w:color w:val="000000"/>
                <w:sz w:val="16"/>
                <w:szCs w:val="16"/>
              </w:rPr>
            </w:pPr>
            <w:r w:rsidRPr="00156623">
              <w:rPr>
                <w:rFonts w:ascii="Arial" w:hAnsi="Arial" w:cs="Arial"/>
                <w:b/>
                <w:bCs/>
                <w:i/>
                <w:iCs/>
                <w:color w:val="000000"/>
                <w:sz w:val="16"/>
                <w:szCs w:val="16"/>
              </w:rPr>
              <w:t xml:space="preserve">    14,011 </w:t>
            </w:r>
          </w:p>
        </w:tc>
        <w:tc>
          <w:tcPr>
            <w:tcW w:w="600" w:type="pct"/>
            <w:tcBorders>
              <w:top w:val="single" w:sz="4" w:space="0" w:color="000000"/>
              <w:left w:val="nil"/>
              <w:bottom w:val="single" w:sz="4" w:space="0" w:color="000000"/>
              <w:right w:val="nil"/>
            </w:tcBorders>
            <w:shd w:val="clear" w:color="auto" w:fill="auto"/>
            <w:noWrap/>
            <w:vAlign w:val="bottom"/>
            <w:hideMark/>
          </w:tcPr>
          <w:p w14:paraId="6D55F2E2" w14:textId="77777777" w:rsidR="00156623" w:rsidRPr="00156623" w:rsidRDefault="00156623" w:rsidP="00812CA9">
            <w:pPr>
              <w:spacing w:after="0" w:line="240" w:lineRule="auto"/>
              <w:jc w:val="right"/>
              <w:rPr>
                <w:rFonts w:ascii="Arial" w:hAnsi="Arial" w:cs="Arial"/>
                <w:b/>
                <w:bCs/>
                <w:i/>
                <w:iCs/>
                <w:color w:val="000000"/>
                <w:sz w:val="16"/>
                <w:szCs w:val="16"/>
              </w:rPr>
            </w:pPr>
            <w:r w:rsidRPr="00156623">
              <w:rPr>
                <w:rFonts w:ascii="Arial" w:hAnsi="Arial" w:cs="Arial"/>
                <w:b/>
                <w:bCs/>
                <w:i/>
                <w:iCs/>
                <w:color w:val="000000"/>
                <w:sz w:val="16"/>
                <w:szCs w:val="16"/>
              </w:rPr>
              <w:t xml:space="preserve">    12,010 </w:t>
            </w:r>
          </w:p>
        </w:tc>
        <w:tc>
          <w:tcPr>
            <w:tcW w:w="600" w:type="pct"/>
            <w:tcBorders>
              <w:top w:val="single" w:sz="4" w:space="0" w:color="000000"/>
              <w:left w:val="nil"/>
              <w:bottom w:val="single" w:sz="4" w:space="0" w:color="000000"/>
              <w:right w:val="nil"/>
            </w:tcBorders>
            <w:shd w:val="clear" w:color="auto" w:fill="auto"/>
            <w:noWrap/>
            <w:vAlign w:val="bottom"/>
            <w:hideMark/>
          </w:tcPr>
          <w:p w14:paraId="1553ACA9" w14:textId="77777777" w:rsidR="00156623" w:rsidRPr="00156623" w:rsidRDefault="00156623" w:rsidP="00812CA9">
            <w:pPr>
              <w:spacing w:after="0" w:line="240" w:lineRule="auto"/>
              <w:jc w:val="right"/>
              <w:rPr>
                <w:rFonts w:ascii="Arial" w:hAnsi="Arial" w:cs="Arial"/>
                <w:b/>
                <w:bCs/>
                <w:i/>
                <w:iCs/>
                <w:color w:val="000000"/>
                <w:sz w:val="16"/>
                <w:szCs w:val="16"/>
              </w:rPr>
            </w:pPr>
            <w:r w:rsidRPr="00156623">
              <w:rPr>
                <w:rFonts w:ascii="Arial" w:hAnsi="Arial" w:cs="Arial"/>
                <w:b/>
                <w:bCs/>
                <w:i/>
                <w:iCs/>
                <w:color w:val="000000"/>
                <w:sz w:val="16"/>
                <w:szCs w:val="16"/>
              </w:rPr>
              <w:t xml:space="preserve">      9,851 </w:t>
            </w:r>
          </w:p>
        </w:tc>
        <w:tc>
          <w:tcPr>
            <w:tcW w:w="600" w:type="pct"/>
            <w:tcBorders>
              <w:top w:val="single" w:sz="4" w:space="0" w:color="000000"/>
              <w:left w:val="nil"/>
              <w:bottom w:val="single" w:sz="4" w:space="0" w:color="000000"/>
              <w:right w:val="nil"/>
            </w:tcBorders>
            <w:shd w:val="clear" w:color="auto" w:fill="auto"/>
            <w:noWrap/>
            <w:vAlign w:val="bottom"/>
            <w:hideMark/>
          </w:tcPr>
          <w:p w14:paraId="461379E1" w14:textId="77777777" w:rsidR="00156623" w:rsidRPr="00156623" w:rsidRDefault="00156623" w:rsidP="00812CA9">
            <w:pPr>
              <w:spacing w:after="0" w:line="240" w:lineRule="auto"/>
              <w:jc w:val="right"/>
              <w:rPr>
                <w:rFonts w:ascii="Arial" w:hAnsi="Arial" w:cs="Arial"/>
                <w:b/>
                <w:bCs/>
                <w:i/>
                <w:iCs/>
                <w:color w:val="000000"/>
                <w:sz w:val="16"/>
                <w:szCs w:val="16"/>
              </w:rPr>
            </w:pPr>
            <w:r w:rsidRPr="00156623">
              <w:rPr>
                <w:rFonts w:ascii="Arial" w:hAnsi="Arial" w:cs="Arial"/>
                <w:b/>
                <w:bCs/>
                <w:i/>
                <w:iCs/>
                <w:color w:val="000000"/>
                <w:sz w:val="16"/>
                <w:szCs w:val="16"/>
              </w:rPr>
              <w:t xml:space="preserve">      7,627 </w:t>
            </w:r>
          </w:p>
        </w:tc>
      </w:tr>
      <w:tr w:rsidR="00156623" w:rsidRPr="00156623" w14:paraId="541DC5D6" w14:textId="77777777" w:rsidTr="00156623">
        <w:trPr>
          <w:trHeight w:hRule="exact" w:val="225"/>
        </w:trPr>
        <w:tc>
          <w:tcPr>
            <w:tcW w:w="1998" w:type="pct"/>
            <w:tcBorders>
              <w:top w:val="nil"/>
              <w:left w:val="nil"/>
              <w:bottom w:val="nil"/>
              <w:right w:val="nil"/>
            </w:tcBorders>
            <w:shd w:val="clear" w:color="auto" w:fill="auto"/>
            <w:noWrap/>
            <w:vAlign w:val="bottom"/>
            <w:hideMark/>
          </w:tcPr>
          <w:p w14:paraId="11244E16" w14:textId="77777777" w:rsidR="00156623" w:rsidRPr="00156623" w:rsidRDefault="00156623" w:rsidP="00156623">
            <w:pPr>
              <w:spacing w:after="0" w:line="240" w:lineRule="auto"/>
              <w:jc w:val="left"/>
              <w:rPr>
                <w:rFonts w:ascii="Arial" w:hAnsi="Arial" w:cs="Arial"/>
                <w:b/>
                <w:bCs/>
                <w:color w:val="000000"/>
                <w:sz w:val="16"/>
                <w:szCs w:val="16"/>
              </w:rPr>
            </w:pPr>
            <w:r w:rsidRPr="00156623">
              <w:rPr>
                <w:rFonts w:ascii="Arial" w:hAnsi="Arial" w:cs="Arial"/>
                <w:b/>
                <w:bCs/>
                <w:color w:val="000000"/>
                <w:sz w:val="16"/>
                <w:szCs w:val="16"/>
              </w:rPr>
              <w:t>Provisions</w:t>
            </w:r>
          </w:p>
        </w:tc>
        <w:tc>
          <w:tcPr>
            <w:tcW w:w="600" w:type="pct"/>
            <w:tcBorders>
              <w:top w:val="nil"/>
              <w:left w:val="nil"/>
              <w:bottom w:val="nil"/>
              <w:right w:val="nil"/>
            </w:tcBorders>
            <w:shd w:val="clear" w:color="auto" w:fill="auto"/>
            <w:noWrap/>
            <w:vAlign w:val="bottom"/>
            <w:hideMark/>
          </w:tcPr>
          <w:p w14:paraId="38D469B3" w14:textId="77777777" w:rsidR="00156623" w:rsidRPr="00156623" w:rsidRDefault="00156623" w:rsidP="00812CA9">
            <w:pPr>
              <w:spacing w:after="0" w:line="240" w:lineRule="auto"/>
              <w:jc w:val="righ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bottom"/>
            <w:hideMark/>
          </w:tcPr>
          <w:p w14:paraId="47E7CB59"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 </w:t>
            </w:r>
          </w:p>
        </w:tc>
        <w:tc>
          <w:tcPr>
            <w:tcW w:w="600" w:type="pct"/>
            <w:tcBorders>
              <w:top w:val="nil"/>
              <w:left w:val="nil"/>
              <w:bottom w:val="nil"/>
              <w:right w:val="nil"/>
            </w:tcBorders>
            <w:shd w:val="clear" w:color="auto" w:fill="auto"/>
            <w:noWrap/>
            <w:vAlign w:val="bottom"/>
            <w:hideMark/>
          </w:tcPr>
          <w:p w14:paraId="2270EE93" w14:textId="77777777" w:rsidR="00156623" w:rsidRPr="00156623" w:rsidRDefault="00156623" w:rsidP="00812CA9">
            <w:pPr>
              <w:spacing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617D3DB0" w14:textId="77777777" w:rsidR="00156623" w:rsidRPr="00156623" w:rsidRDefault="00156623" w:rsidP="00812CA9">
            <w:pPr>
              <w:spacing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hideMark/>
          </w:tcPr>
          <w:p w14:paraId="1CB4834C" w14:textId="77777777" w:rsidR="00156623" w:rsidRPr="00156623" w:rsidRDefault="00156623" w:rsidP="00812CA9">
            <w:pPr>
              <w:spacing w:after="0" w:line="240" w:lineRule="auto"/>
              <w:jc w:val="right"/>
              <w:rPr>
                <w:rFonts w:ascii="Times New Roman" w:hAnsi="Times New Roman"/>
              </w:rPr>
            </w:pPr>
          </w:p>
        </w:tc>
      </w:tr>
      <w:tr w:rsidR="00156623" w:rsidRPr="00156623" w14:paraId="6C815FD5" w14:textId="77777777" w:rsidTr="00156623">
        <w:trPr>
          <w:trHeight w:hRule="exact" w:val="225"/>
        </w:trPr>
        <w:tc>
          <w:tcPr>
            <w:tcW w:w="1998" w:type="pct"/>
            <w:tcBorders>
              <w:top w:val="nil"/>
              <w:left w:val="nil"/>
              <w:bottom w:val="nil"/>
              <w:right w:val="nil"/>
            </w:tcBorders>
            <w:shd w:val="clear" w:color="auto" w:fill="auto"/>
            <w:noWrap/>
            <w:vAlign w:val="bottom"/>
            <w:hideMark/>
          </w:tcPr>
          <w:p w14:paraId="153B8AAC" w14:textId="77777777" w:rsidR="00156623" w:rsidRPr="00156623" w:rsidRDefault="00156623" w:rsidP="00156623">
            <w:pPr>
              <w:spacing w:after="0" w:line="240" w:lineRule="auto"/>
              <w:ind w:left="170"/>
              <w:jc w:val="left"/>
              <w:rPr>
                <w:rFonts w:ascii="Arial" w:hAnsi="Arial" w:cs="Arial"/>
                <w:color w:val="000000"/>
                <w:sz w:val="16"/>
                <w:szCs w:val="16"/>
              </w:rPr>
            </w:pPr>
            <w:r w:rsidRPr="00156623">
              <w:rPr>
                <w:rFonts w:ascii="Arial" w:hAnsi="Arial" w:cs="Arial"/>
                <w:color w:val="000000"/>
                <w:sz w:val="16"/>
                <w:szCs w:val="16"/>
              </w:rPr>
              <w:t>Employee provisions</w:t>
            </w:r>
          </w:p>
        </w:tc>
        <w:tc>
          <w:tcPr>
            <w:tcW w:w="600" w:type="pct"/>
            <w:tcBorders>
              <w:top w:val="nil"/>
              <w:left w:val="nil"/>
              <w:bottom w:val="nil"/>
              <w:right w:val="nil"/>
            </w:tcBorders>
            <w:shd w:val="clear" w:color="auto" w:fill="auto"/>
            <w:noWrap/>
            <w:vAlign w:val="bottom"/>
            <w:hideMark/>
          </w:tcPr>
          <w:p w14:paraId="2843997D"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10,900 </w:t>
            </w:r>
          </w:p>
        </w:tc>
        <w:tc>
          <w:tcPr>
            <w:tcW w:w="600" w:type="pct"/>
            <w:tcBorders>
              <w:top w:val="nil"/>
              <w:left w:val="nil"/>
              <w:bottom w:val="nil"/>
              <w:right w:val="nil"/>
            </w:tcBorders>
            <w:shd w:val="clear" w:color="000000" w:fill="E6E6E6"/>
            <w:noWrap/>
            <w:vAlign w:val="bottom"/>
            <w:hideMark/>
          </w:tcPr>
          <w:p w14:paraId="4464224F"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11,020 </w:t>
            </w:r>
          </w:p>
        </w:tc>
        <w:tc>
          <w:tcPr>
            <w:tcW w:w="600" w:type="pct"/>
            <w:tcBorders>
              <w:top w:val="nil"/>
              <w:left w:val="nil"/>
              <w:bottom w:val="nil"/>
              <w:right w:val="nil"/>
            </w:tcBorders>
            <w:shd w:val="clear" w:color="auto" w:fill="auto"/>
            <w:noWrap/>
            <w:vAlign w:val="bottom"/>
            <w:hideMark/>
          </w:tcPr>
          <w:p w14:paraId="5084F8A1"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11,140 </w:t>
            </w:r>
          </w:p>
        </w:tc>
        <w:tc>
          <w:tcPr>
            <w:tcW w:w="600" w:type="pct"/>
            <w:tcBorders>
              <w:top w:val="nil"/>
              <w:left w:val="nil"/>
              <w:bottom w:val="nil"/>
              <w:right w:val="nil"/>
            </w:tcBorders>
            <w:shd w:val="clear" w:color="auto" w:fill="auto"/>
            <w:noWrap/>
            <w:vAlign w:val="bottom"/>
            <w:hideMark/>
          </w:tcPr>
          <w:p w14:paraId="184320B7"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11,260 </w:t>
            </w:r>
          </w:p>
        </w:tc>
        <w:tc>
          <w:tcPr>
            <w:tcW w:w="600" w:type="pct"/>
            <w:tcBorders>
              <w:top w:val="nil"/>
              <w:left w:val="nil"/>
              <w:bottom w:val="nil"/>
              <w:right w:val="nil"/>
            </w:tcBorders>
            <w:shd w:val="clear" w:color="auto" w:fill="auto"/>
            <w:noWrap/>
            <w:vAlign w:val="bottom"/>
            <w:hideMark/>
          </w:tcPr>
          <w:p w14:paraId="624AD95B"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11,380 </w:t>
            </w:r>
          </w:p>
        </w:tc>
      </w:tr>
      <w:tr w:rsidR="00156623" w:rsidRPr="00156623" w14:paraId="7B35830B" w14:textId="77777777" w:rsidTr="00156623">
        <w:trPr>
          <w:trHeight w:hRule="exact" w:val="225"/>
        </w:trPr>
        <w:tc>
          <w:tcPr>
            <w:tcW w:w="1998" w:type="pct"/>
            <w:tcBorders>
              <w:top w:val="nil"/>
              <w:left w:val="nil"/>
              <w:bottom w:val="nil"/>
              <w:right w:val="nil"/>
            </w:tcBorders>
            <w:shd w:val="clear" w:color="auto" w:fill="auto"/>
            <w:noWrap/>
            <w:vAlign w:val="bottom"/>
            <w:hideMark/>
          </w:tcPr>
          <w:p w14:paraId="3A465E2C" w14:textId="77777777" w:rsidR="00156623" w:rsidRPr="00156623" w:rsidRDefault="00156623" w:rsidP="00156623">
            <w:pPr>
              <w:spacing w:after="0" w:line="240" w:lineRule="auto"/>
              <w:ind w:left="170"/>
              <w:jc w:val="left"/>
              <w:rPr>
                <w:rFonts w:ascii="Arial" w:hAnsi="Arial" w:cs="Arial"/>
                <w:color w:val="000000"/>
                <w:sz w:val="16"/>
                <w:szCs w:val="16"/>
              </w:rPr>
            </w:pPr>
            <w:r w:rsidRPr="00156623">
              <w:rPr>
                <w:rFonts w:ascii="Arial" w:hAnsi="Arial" w:cs="Arial"/>
                <w:color w:val="000000"/>
                <w:sz w:val="16"/>
                <w:szCs w:val="16"/>
              </w:rPr>
              <w:t>Other provisions</w:t>
            </w:r>
          </w:p>
        </w:tc>
        <w:tc>
          <w:tcPr>
            <w:tcW w:w="600" w:type="pct"/>
            <w:tcBorders>
              <w:top w:val="nil"/>
              <w:left w:val="nil"/>
              <w:bottom w:val="nil"/>
              <w:right w:val="nil"/>
            </w:tcBorders>
            <w:shd w:val="clear" w:color="auto" w:fill="auto"/>
            <w:noWrap/>
            <w:vAlign w:val="bottom"/>
            <w:hideMark/>
          </w:tcPr>
          <w:p w14:paraId="38979820"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 </w:t>
            </w:r>
          </w:p>
        </w:tc>
        <w:tc>
          <w:tcPr>
            <w:tcW w:w="600" w:type="pct"/>
            <w:tcBorders>
              <w:top w:val="nil"/>
              <w:left w:val="nil"/>
              <w:bottom w:val="nil"/>
              <w:right w:val="nil"/>
            </w:tcBorders>
            <w:shd w:val="clear" w:color="000000" w:fill="E6E6E6"/>
            <w:noWrap/>
            <w:vAlign w:val="bottom"/>
            <w:hideMark/>
          </w:tcPr>
          <w:p w14:paraId="2AB3CACF"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 </w:t>
            </w:r>
          </w:p>
        </w:tc>
        <w:tc>
          <w:tcPr>
            <w:tcW w:w="600" w:type="pct"/>
            <w:tcBorders>
              <w:top w:val="nil"/>
              <w:left w:val="nil"/>
              <w:bottom w:val="nil"/>
              <w:right w:val="nil"/>
            </w:tcBorders>
            <w:shd w:val="clear" w:color="auto" w:fill="auto"/>
            <w:noWrap/>
            <w:vAlign w:val="bottom"/>
            <w:hideMark/>
          </w:tcPr>
          <w:p w14:paraId="4E78301B"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 </w:t>
            </w:r>
          </w:p>
        </w:tc>
        <w:tc>
          <w:tcPr>
            <w:tcW w:w="600" w:type="pct"/>
            <w:tcBorders>
              <w:top w:val="nil"/>
              <w:left w:val="nil"/>
              <w:bottom w:val="nil"/>
              <w:right w:val="nil"/>
            </w:tcBorders>
            <w:shd w:val="clear" w:color="auto" w:fill="auto"/>
            <w:noWrap/>
            <w:vAlign w:val="bottom"/>
            <w:hideMark/>
          </w:tcPr>
          <w:p w14:paraId="73DA4B88"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 </w:t>
            </w:r>
          </w:p>
        </w:tc>
        <w:tc>
          <w:tcPr>
            <w:tcW w:w="600" w:type="pct"/>
            <w:tcBorders>
              <w:top w:val="nil"/>
              <w:left w:val="nil"/>
              <w:bottom w:val="nil"/>
              <w:right w:val="nil"/>
            </w:tcBorders>
            <w:shd w:val="clear" w:color="auto" w:fill="auto"/>
            <w:noWrap/>
            <w:vAlign w:val="bottom"/>
            <w:hideMark/>
          </w:tcPr>
          <w:p w14:paraId="18908470" w14:textId="77777777" w:rsidR="00156623" w:rsidRPr="00156623" w:rsidRDefault="00156623" w:rsidP="00812CA9">
            <w:pPr>
              <w:spacing w:after="0" w:line="240" w:lineRule="auto"/>
              <w:jc w:val="right"/>
              <w:rPr>
                <w:rFonts w:ascii="Arial" w:hAnsi="Arial" w:cs="Arial"/>
                <w:sz w:val="16"/>
                <w:szCs w:val="16"/>
              </w:rPr>
            </w:pPr>
            <w:r w:rsidRPr="00156623">
              <w:rPr>
                <w:rFonts w:ascii="Arial" w:hAnsi="Arial" w:cs="Arial"/>
                <w:sz w:val="16"/>
                <w:szCs w:val="16"/>
              </w:rPr>
              <w:t xml:space="preserve">- </w:t>
            </w:r>
          </w:p>
        </w:tc>
      </w:tr>
      <w:tr w:rsidR="00156623" w:rsidRPr="00156623" w14:paraId="362A1549" w14:textId="77777777" w:rsidTr="00156623">
        <w:trPr>
          <w:trHeight w:hRule="exact" w:val="225"/>
        </w:trPr>
        <w:tc>
          <w:tcPr>
            <w:tcW w:w="1998" w:type="pct"/>
            <w:tcBorders>
              <w:top w:val="nil"/>
              <w:left w:val="nil"/>
              <w:bottom w:val="nil"/>
              <w:right w:val="nil"/>
            </w:tcBorders>
            <w:shd w:val="clear" w:color="auto" w:fill="auto"/>
            <w:noWrap/>
            <w:vAlign w:val="bottom"/>
            <w:hideMark/>
          </w:tcPr>
          <w:p w14:paraId="4EF12C57" w14:textId="77777777" w:rsidR="00156623" w:rsidRPr="00156623" w:rsidRDefault="00156623" w:rsidP="00156623">
            <w:pPr>
              <w:spacing w:after="0" w:line="240" w:lineRule="auto"/>
              <w:jc w:val="left"/>
              <w:rPr>
                <w:rFonts w:ascii="Arial" w:hAnsi="Arial" w:cs="Arial"/>
                <w:b/>
                <w:bCs/>
                <w:i/>
                <w:iCs/>
                <w:color w:val="000000"/>
                <w:sz w:val="16"/>
                <w:szCs w:val="16"/>
              </w:rPr>
            </w:pPr>
            <w:r w:rsidRPr="00156623">
              <w:rPr>
                <w:rFonts w:ascii="Arial" w:hAnsi="Arial" w:cs="Arial"/>
                <w:b/>
                <w:bCs/>
                <w:i/>
                <w:iCs/>
                <w:color w:val="000000"/>
                <w:sz w:val="16"/>
                <w:szCs w:val="16"/>
              </w:rPr>
              <w:t>Total provisions</w:t>
            </w:r>
          </w:p>
        </w:tc>
        <w:tc>
          <w:tcPr>
            <w:tcW w:w="600" w:type="pct"/>
            <w:tcBorders>
              <w:top w:val="single" w:sz="4" w:space="0" w:color="auto"/>
              <w:left w:val="nil"/>
              <w:bottom w:val="single" w:sz="4" w:space="0" w:color="auto"/>
              <w:right w:val="nil"/>
            </w:tcBorders>
            <w:shd w:val="clear" w:color="auto" w:fill="auto"/>
            <w:noWrap/>
            <w:vAlign w:val="bottom"/>
            <w:hideMark/>
          </w:tcPr>
          <w:p w14:paraId="153EDC73" w14:textId="77777777" w:rsidR="00156623" w:rsidRPr="00156623" w:rsidRDefault="00156623" w:rsidP="00812CA9">
            <w:pPr>
              <w:spacing w:after="0" w:line="240" w:lineRule="auto"/>
              <w:jc w:val="right"/>
              <w:rPr>
                <w:rFonts w:ascii="Arial" w:hAnsi="Arial" w:cs="Arial"/>
                <w:b/>
                <w:bCs/>
                <w:sz w:val="16"/>
                <w:szCs w:val="16"/>
              </w:rPr>
            </w:pPr>
            <w:r w:rsidRPr="00156623">
              <w:rPr>
                <w:rFonts w:ascii="Arial" w:hAnsi="Arial" w:cs="Arial"/>
                <w:b/>
                <w:bCs/>
                <w:sz w:val="16"/>
                <w:szCs w:val="16"/>
              </w:rPr>
              <w:t xml:space="preserve">10,900 </w:t>
            </w:r>
          </w:p>
        </w:tc>
        <w:tc>
          <w:tcPr>
            <w:tcW w:w="600" w:type="pct"/>
            <w:tcBorders>
              <w:top w:val="single" w:sz="4" w:space="0" w:color="000000"/>
              <w:left w:val="nil"/>
              <w:bottom w:val="single" w:sz="4" w:space="0" w:color="000000"/>
              <w:right w:val="nil"/>
            </w:tcBorders>
            <w:shd w:val="clear" w:color="000000" w:fill="E6E6E6"/>
            <w:noWrap/>
            <w:vAlign w:val="bottom"/>
            <w:hideMark/>
          </w:tcPr>
          <w:p w14:paraId="279BEF43" w14:textId="77777777" w:rsidR="00156623" w:rsidRPr="00156623" w:rsidRDefault="00156623" w:rsidP="00812CA9">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11,020 </w:t>
            </w:r>
          </w:p>
        </w:tc>
        <w:tc>
          <w:tcPr>
            <w:tcW w:w="600" w:type="pct"/>
            <w:tcBorders>
              <w:top w:val="single" w:sz="4" w:space="0" w:color="auto"/>
              <w:left w:val="nil"/>
              <w:bottom w:val="single" w:sz="4" w:space="0" w:color="auto"/>
              <w:right w:val="nil"/>
            </w:tcBorders>
            <w:shd w:val="clear" w:color="auto" w:fill="auto"/>
            <w:noWrap/>
            <w:vAlign w:val="bottom"/>
            <w:hideMark/>
          </w:tcPr>
          <w:p w14:paraId="24369BC2" w14:textId="77777777" w:rsidR="00156623" w:rsidRPr="00156623" w:rsidRDefault="00156623" w:rsidP="00812CA9">
            <w:pPr>
              <w:spacing w:after="0" w:line="240" w:lineRule="auto"/>
              <w:jc w:val="right"/>
              <w:rPr>
                <w:rFonts w:ascii="Arial" w:hAnsi="Arial" w:cs="Arial"/>
                <w:b/>
                <w:bCs/>
                <w:sz w:val="16"/>
                <w:szCs w:val="16"/>
              </w:rPr>
            </w:pPr>
            <w:r w:rsidRPr="00156623">
              <w:rPr>
                <w:rFonts w:ascii="Arial" w:hAnsi="Arial" w:cs="Arial"/>
                <w:b/>
                <w:bCs/>
                <w:sz w:val="16"/>
                <w:szCs w:val="16"/>
              </w:rPr>
              <w:t xml:space="preserve">11,140 </w:t>
            </w:r>
          </w:p>
        </w:tc>
        <w:tc>
          <w:tcPr>
            <w:tcW w:w="600" w:type="pct"/>
            <w:tcBorders>
              <w:top w:val="single" w:sz="4" w:space="0" w:color="auto"/>
              <w:left w:val="nil"/>
              <w:bottom w:val="single" w:sz="4" w:space="0" w:color="auto"/>
              <w:right w:val="nil"/>
            </w:tcBorders>
            <w:shd w:val="clear" w:color="auto" w:fill="auto"/>
            <w:noWrap/>
            <w:vAlign w:val="bottom"/>
            <w:hideMark/>
          </w:tcPr>
          <w:p w14:paraId="5E0220B7" w14:textId="77777777" w:rsidR="00156623" w:rsidRPr="00156623" w:rsidRDefault="00156623" w:rsidP="00812CA9">
            <w:pPr>
              <w:spacing w:after="0" w:line="240" w:lineRule="auto"/>
              <w:jc w:val="right"/>
              <w:rPr>
                <w:rFonts w:ascii="Arial" w:hAnsi="Arial" w:cs="Arial"/>
                <w:b/>
                <w:bCs/>
                <w:sz w:val="16"/>
                <w:szCs w:val="16"/>
              </w:rPr>
            </w:pPr>
            <w:r w:rsidRPr="00156623">
              <w:rPr>
                <w:rFonts w:ascii="Arial" w:hAnsi="Arial" w:cs="Arial"/>
                <w:b/>
                <w:bCs/>
                <w:sz w:val="16"/>
                <w:szCs w:val="16"/>
              </w:rPr>
              <w:t xml:space="preserve">11,260 </w:t>
            </w:r>
          </w:p>
        </w:tc>
        <w:tc>
          <w:tcPr>
            <w:tcW w:w="600" w:type="pct"/>
            <w:tcBorders>
              <w:top w:val="single" w:sz="4" w:space="0" w:color="auto"/>
              <w:left w:val="nil"/>
              <w:bottom w:val="single" w:sz="4" w:space="0" w:color="auto"/>
              <w:right w:val="nil"/>
            </w:tcBorders>
            <w:shd w:val="clear" w:color="auto" w:fill="auto"/>
            <w:noWrap/>
            <w:vAlign w:val="bottom"/>
            <w:hideMark/>
          </w:tcPr>
          <w:p w14:paraId="12ADF203" w14:textId="77777777" w:rsidR="00156623" w:rsidRPr="00156623" w:rsidRDefault="00156623" w:rsidP="00812CA9">
            <w:pPr>
              <w:spacing w:after="0" w:line="240" w:lineRule="auto"/>
              <w:jc w:val="right"/>
              <w:rPr>
                <w:rFonts w:ascii="Arial" w:hAnsi="Arial" w:cs="Arial"/>
                <w:b/>
                <w:bCs/>
                <w:sz w:val="16"/>
                <w:szCs w:val="16"/>
              </w:rPr>
            </w:pPr>
            <w:r w:rsidRPr="00156623">
              <w:rPr>
                <w:rFonts w:ascii="Arial" w:hAnsi="Arial" w:cs="Arial"/>
                <w:b/>
                <w:bCs/>
                <w:sz w:val="16"/>
                <w:szCs w:val="16"/>
              </w:rPr>
              <w:t xml:space="preserve">11,380 </w:t>
            </w:r>
          </w:p>
        </w:tc>
      </w:tr>
      <w:tr w:rsidR="00156623" w:rsidRPr="00156623" w14:paraId="40DBD675" w14:textId="77777777" w:rsidTr="00156623">
        <w:trPr>
          <w:trHeight w:hRule="exact" w:val="225"/>
        </w:trPr>
        <w:tc>
          <w:tcPr>
            <w:tcW w:w="1998" w:type="pct"/>
            <w:tcBorders>
              <w:top w:val="nil"/>
              <w:left w:val="nil"/>
              <w:bottom w:val="nil"/>
              <w:right w:val="nil"/>
            </w:tcBorders>
            <w:shd w:val="clear" w:color="auto" w:fill="auto"/>
            <w:noWrap/>
            <w:vAlign w:val="bottom"/>
            <w:hideMark/>
          </w:tcPr>
          <w:p w14:paraId="077F7434" w14:textId="77777777" w:rsidR="00156623" w:rsidRPr="00156623" w:rsidRDefault="00156623" w:rsidP="00156623">
            <w:pPr>
              <w:spacing w:after="0" w:line="240" w:lineRule="auto"/>
              <w:jc w:val="left"/>
              <w:rPr>
                <w:rFonts w:ascii="Arial" w:hAnsi="Arial" w:cs="Arial"/>
                <w:b/>
                <w:bCs/>
                <w:color w:val="000000"/>
                <w:sz w:val="16"/>
                <w:szCs w:val="16"/>
              </w:rPr>
            </w:pPr>
            <w:r w:rsidRPr="00156623">
              <w:rPr>
                <w:rFonts w:ascii="Arial" w:hAnsi="Arial" w:cs="Arial"/>
                <w:b/>
                <w:bCs/>
                <w:color w:val="000000"/>
                <w:sz w:val="16"/>
                <w:szCs w:val="16"/>
              </w:rPr>
              <w:t>Total liabilities</w:t>
            </w:r>
          </w:p>
        </w:tc>
        <w:tc>
          <w:tcPr>
            <w:tcW w:w="600" w:type="pct"/>
            <w:tcBorders>
              <w:top w:val="nil"/>
              <w:left w:val="nil"/>
              <w:bottom w:val="single" w:sz="4" w:space="0" w:color="auto"/>
              <w:right w:val="nil"/>
            </w:tcBorders>
            <w:shd w:val="clear" w:color="auto" w:fill="auto"/>
            <w:noWrap/>
            <w:vAlign w:val="bottom"/>
            <w:hideMark/>
          </w:tcPr>
          <w:p w14:paraId="3F99AAD5" w14:textId="77777777" w:rsidR="00156623" w:rsidRPr="00156623" w:rsidRDefault="00156623" w:rsidP="00812CA9">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     27,128 </w:t>
            </w:r>
          </w:p>
        </w:tc>
        <w:tc>
          <w:tcPr>
            <w:tcW w:w="600" w:type="pct"/>
            <w:tcBorders>
              <w:top w:val="nil"/>
              <w:left w:val="nil"/>
              <w:bottom w:val="single" w:sz="4" w:space="0" w:color="000000"/>
              <w:right w:val="nil"/>
            </w:tcBorders>
            <w:shd w:val="clear" w:color="000000" w:fill="E6E6E6"/>
            <w:noWrap/>
            <w:vAlign w:val="bottom"/>
            <w:hideMark/>
          </w:tcPr>
          <w:p w14:paraId="053B9336" w14:textId="77777777" w:rsidR="00156623" w:rsidRPr="00156623" w:rsidRDefault="00156623" w:rsidP="00812CA9">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25,359 </w:t>
            </w:r>
          </w:p>
        </w:tc>
        <w:tc>
          <w:tcPr>
            <w:tcW w:w="600" w:type="pct"/>
            <w:tcBorders>
              <w:top w:val="nil"/>
              <w:left w:val="nil"/>
              <w:bottom w:val="single" w:sz="4" w:space="0" w:color="auto"/>
              <w:right w:val="nil"/>
            </w:tcBorders>
            <w:shd w:val="clear" w:color="auto" w:fill="auto"/>
            <w:noWrap/>
            <w:vAlign w:val="bottom"/>
            <w:hideMark/>
          </w:tcPr>
          <w:p w14:paraId="598B2C52" w14:textId="77777777" w:rsidR="00156623" w:rsidRPr="00156623" w:rsidRDefault="00156623" w:rsidP="00812CA9">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     23,478 </w:t>
            </w:r>
          </w:p>
        </w:tc>
        <w:tc>
          <w:tcPr>
            <w:tcW w:w="600" w:type="pct"/>
            <w:tcBorders>
              <w:top w:val="nil"/>
              <w:left w:val="nil"/>
              <w:bottom w:val="single" w:sz="4" w:space="0" w:color="auto"/>
              <w:right w:val="nil"/>
            </w:tcBorders>
            <w:shd w:val="clear" w:color="auto" w:fill="auto"/>
            <w:noWrap/>
            <w:vAlign w:val="bottom"/>
            <w:hideMark/>
          </w:tcPr>
          <w:p w14:paraId="4B303E59" w14:textId="77777777" w:rsidR="00156623" w:rsidRPr="00156623" w:rsidRDefault="00156623" w:rsidP="00812CA9">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     21,439 </w:t>
            </w:r>
          </w:p>
        </w:tc>
        <w:tc>
          <w:tcPr>
            <w:tcW w:w="600" w:type="pct"/>
            <w:tcBorders>
              <w:top w:val="nil"/>
              <w:left w:val="nil"/>
              <w:bottom w:val="single" w:sz="4" w:space="0" w:color="auto"/>
              <w:right w:val="nil"/>
            </w:tcBorders>
            <w:shd w:val="clear" w:color="auto" w:fill="auto"/>
            <w:noWrap/>
            <w:vAlign w:val="bottom"/>
            <w:hideMark/>
          </w:tcPr>
          <w:p w14:paraId="14D4C024" w14:textId="77777777" w:rsidR="00156623" w:rsidRPr="00156623" w:rsidRDefault="00156623" w:rsidP="00812CA9">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     19,335 </w:t>
            </w:r>
          </w:p>
        </w:tc>
      </w:tr>
      <w:tr w:rsidR="00156623" w:rsidRPr="00156623" w14:paraId="531B98F3" w14:textId="77777777" w:rsidTr="00156623">
        <w:trPr>
          <w:trHeight w:hRule="exact" w:val="225"/>
        </w:trPr>
        <w:tc>
          <w:tcPr>
            <w:tcW w:w="1998" w:type="pct"/>
            <w:tcBorders>
              <w:top w:val="nil"/>
              <w:left w:val="nil"/>
              <w:bottom w:val="nil"/>
              <w:right w:val="nil"/>
            </w:tcBorders>
            <w:shd w:val="clear" w:color="auto" w:fill="auto"/>
            <w:noWrap/>
            <w:vAlign w:val="bottom"/>
            <w:hideMark/>
          </w:tcPr>
          <w:p w14:paraId="4CBF14E1" w14:textId="77777777" w:rsidR="00156623" w:rsidRPr="00156623" w:rsidRDefault="00156623" w:rsidP="00156623">
            <w:pPr>
              <w:spacing w:after="0" w:line="240" w:lineRule="auto"/>
              <w:jc w:val="left"/>
              <w:rPr>
                <w:rFonts w:ascii="Arial" w:hAnsi="Arial" w:cs="Arial"/>
                <w:b/>
                <w:bCs/>
                <w:sz w:val="16"/>
                <w:szCs w:val="16"/>
              </w:rPr>
            </w:pPr>
            <w:r w:rsidRPr="00156623">
              <w:rPr>
                <w:rFonts w:ascii="Arial" w:hAnsi="Arial" w:cs="Arial"/>
                <w:b/>
                <w:bCs/>
                <w:sz w:val="16"/>
                <w:szCs w:val="16"/>
              </w:rPr>
              <w:t>Net assets</w:t>
            </w:r>
          </w:p>
        </w:tc>
        <w:tc>
          <w:tcPr>
            <w:tcW w:w="600" w:type="pct"/>
            <w:tcBorders>
              <w:top w:val="nil"/>
              <w:left w:val="nil"/>
              <w:bottom w:val="single" w:sz="4" w:space="0" w:color="auto"/>
              <w:right w:val="nil"/>
            </w:tcBorders>
            <w:shd w:val="clear" w:color="auto" w:fill="auto"/>
            <w:noWrap/>
            <w:vAlign w:val="bottom"/>
            <w:hideMark/>
          </w:tcPr>
          <w:p w14:paraId="5990D56D" w14:textId="77777777" w:rsidR="00156623" w:rsidRPr="00156623" w:rsidRDefault="00156623" w:rsidP="00812CA9">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     27,262 </w:t>
            </w:r>
          </w:p>
        </w:tc>
        <w:tc>
          <w:tcPr>
            <w:tcW w:w="600" w:type="pct"/>
            <w:tcBorders>
              <w:top w:val="nil"/>
              <w:left w:val="nil"/>
              <w:bottom w:val="single" w:sz="4" w:space="0" w:color="000000"/>
              <w:right w:val="nil"/>
            </w:tcBorders>
            <w:shd w:val="clear" w:color="000000" w:fill="E6E6E6"/>
            <w:noWrap/>
            <w:vAlign w:val="bottom"/>
            <w:hideMark/>
          </w:tcPr>
          <w:p w14:paraId="2458A0B3" w14:textId="77777777" w:rsidR="00156623" w:rsidRPr="00156623" w:rsidRDefault="00156623" w:rsidP="00812CA9">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26,806 </w:t>
            </w:r>
          </w:p>
        </w:tc>
        <w:tc>
          <w:tcPr>
            <w:tcW w:w="600" w:type="pct"/>
            <w:tcBorders>
              <w:top w:val="nil"/>
              <w:left w:val="nil"/>
              <w:bottom w:val="single" w:sz="4" w:space="0" w:color="auto"/>
              <w:right w:val="nil"/>
            </w:tcBorders>
            <w:shd w:val="clear" w:color="auto" w:fill="auto"/>
            <w:noWrap/>
            <w:vAlign w:val="bottom"/>
            <w:hideMark/>
          </w:tcPr>
          <w:p w14:paraId="7719AE4B" w14:textId="77777777" w:rsidR="00156623" w:rsidRPr="00156623" w:rsidRDefault="00156623" w:rsidP="00812CA9">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     26,466 </w:t>
            </w:r>
          </w:p>
        </w:tc>
        <w:tc>
          <w:tcPr>
            <w:tcW w:w="600" w:type="pct"/>
            <w:tcBorders>
              <w:top w:val="nil"/>
              <w:left w:val="nil"/>
              <w:bottom w:val="single" w:sz="4" w:space="0" w:color="auto"/>
              <w:right w:val="nil"/>
            </w:tcBorders>
            <w:shd w:val="clear" w:color="auto" w:fill="auto"/>
            <w:noWrap/>
            <w:vAlign w:val="bottom"/>
            <w:hideMark/>
          </w:tcPr>
          <w:p w14:paraId="2F406716" w14:textId="77777777" w:rsidR="00156623" w:rsidRPr="00156623" w:rsidRDefault="00156623" w:rsidP="00812CA9">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     26,290 </w:t>
            </w:r>
          </w:p>
        </w:tc>
        <w:tc>
          <w:tcPr>
            <w:tcW w:w="600" w:type="pct"/>
            <w:tcBorders>
              <w:top w:val="nil"/>
              <w:left w:val="nil"/>
              <w:bottom w:val="single" w:sz="4" w:space="0" w:color="auto"/>
              <w:right w:val="nil"/>
            </w:tcBorders>
            <w:shd w:val="clear" w:color="auto" w:fill="auto"/>
            <w:noWrap/>
            <w:vAlign w:val="bottom"/>
            <w:hideMark/>
          </w:tcPr>
          <w:p w14:paraId="54BF89F0" w14:textId="77777777" w:rsidR="00156623" w:rsidRPr="00156623" w:rsidRDefault="00156623" w:rsidP="00812CA9">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     26,120 </w:t>
            </w:r>
          </w:p>
        </w:tc>
      </w:tr>
      <w:tr w:rsidR="00156623" w:rsidRPr="00156623" w14:paraId="1CEFE7C5" w14:textId="77777777" w:rsidTr="00156623">
        <w:trPr>
          <w:trHeight w:hRule="exact" w:val="225"/>
        </w:trPr>
        <w:tc>
          <w:tcPr>
            <w:tcW w:w="1998" w:type="pct"/>
            <w:tcBorders>
              <w:top w:val="nil"/>
              <w:left w:val="nil"/>
              <w:bottom w:val="nil"/>
              <w:right w:val="nil"/>
            </w:tcBorders>
            <w:shd w:val="clear" w:color="auto" w:fill="auto"/>
            <w:noWrap/>
            <w:vAlign w:val="bottom"/>
            <w:hideMark/>
          </w:tcPr>
          <w:p w14:paraId="64C7772B" w14:textId="77777777" w:rsidR="00156623" w:rsidRPr="00156623" w:rsidRDefault="00156623" w:rsidP="00156623">
            <w:pPr>
              <w:spacing w:after="0" w:line="240" w:lineRule="auto"/>
              <w:jc w:val="left"/>
              <w:rPr>
                <w:rFonts w:ascii="Arial" w:hAnsi="Arial" w:cs="Arial"/>
                <w:b/>
                <w:bCs/>
                <w:color w:val="000000"/>
                <w:sz w:val="16"/>
                <w:szCs w:val="16"/>
              </w:rPr>
            </w:pPr>
            <w:r w:rsidRPr="00156623">
              <w:rPr>
                <w:rFonts w:ascii="Arial" w:hAnsi="Arial" w:cs="Arial"/>
                <w:b/>
                <w:bCs/>
                <w:color w:val="000000"/>
                <w:sz w:val="16"/>
                <w:szCs w:val="16"/>
              </w:rPr>
              <w:t>EQUITY*</w:t>
            </w:r>
          </w:p>
        </w:tc>
        <w:tc>
          <w:tcPr>
            <w:tcW w:w="600" w:type="pct"/>
            <w:tcBorders>
              <w:top w:val="nil"/>
              <w:left w:val="nil"/>
              <w:bottom w:val="nil"/>
              <w:right w:val="nil"/>
            </w:tcBorders>
            <w:shd w:val="clear" w:color="auto" w:fill="auto"/>
            <w:noWrap/>
            <w:vAlign w:val="bottom"/>
            <w:hideMark/>
          </w:tcPr>
          <w:p w14:paraId="5333A51B" w14:textId="77777777" w:rsidR="00156623" w:rsidRPr="00156623" w:rsidRDefault="00156623" w:rsidP="00812CA9">
            <w:pPr>
              <w:spacing w:after="0" w:line="240" w:lineRule="auto"/>
              <w:jc w:val="righ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bottom"/>
            <w:hideMark/>
          </w:tcPr>
          <w:p w14:paraId="7F51D9A4"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 </w:t>
            </w:r>
          </w:p>
        </w:tc>
        <w:tc>
          <w:tcPr>
            <w:tcW w:w="600" w:type="pct"/>
            <w:tcBorders>
              <w:top w:val="nil"/>
              <w:left w:val="nil"/>
              <w:bottom w:val="nil"/>
              <w:right w:val="nil"/>
            </w:tcBorders>
            <w:shd w:val="clear" w:color="auto" w:fill="auto"/>
            <w:noWrap/>
            <w:vAlign w:val="bottom"/>
            <w:hideMark/>
          </w:tcPr>
          <w:p w14:paraId="02176ACF" w14:textId="77777777" w:rsidR="00156623" w:rsidRPr="00156623" w:rsidRDefault="00156623" w:rsidP="00812CA9">
            <w:pPr>
              <w:spacing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57692EFC" w14:textId="77777777" w:rsidR="00156623" w:rsidRPr="00156623" w:rsidRDefault="00156623" w:rsidP="00812CA9">
            <w:pPr>
              <w:spacing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hideMark/>
          </w:tcPr>
          <w:p w14:paraId="793C64B2" w14:textId="77777777" w:rsidR="00156623" w:rsidRPr="00156623" w:rsidRDefault="00156623" w:rsidP="00812CA9">
            <w:pPr>
              <w:spacing w:after="0" w:line="240" w:lineRule="auto"/>
              <w:jc w:val="right"/>
              <w:rPr>
                <w:rFonts w:ascii="Times New Roman" w:hAnsi="Times New Roman"/>
              </w:rPr>
            </w:pPr>
          </w:p>
        </w:tc>
      </w:tr>
      <w:tr w:rsidR="00156623" w:rsidRPr="00156623" w14:paraId="10ADC895" w14:textId="77777777" w:rsidTr="00156623">
        <w:trPr>
          <w:trHeight w:hRule="exact" w:val="225"/>
        </w:trPr>
        <w:tc>
          <w:tcPr>
            <w:tcW w:w="1998" w:type="pct"/>
            <w:tcBorders>
              <w:top w:val="nil"/>
              <w:left w:val="nil"/>
              <w:bottom w:val="nil"/>
              <w:right w:val="nil"/>
            </w:tcBorders>
            <w:shd w:val="clear" w:color="auto" w:fill="auto"/>
            <w:noWrap/>
            <w:vAlign w:val="bottom"/>
            <w:hideMark/>
          </w:tcPr>
          <w:p w14:paraId="3A9B21A5" w14:textId="77777777" w:rsidR="00156623" w:rsidRPr="00156623" w:rsidRDefault="00156623" w:rsidP="00156623">
            <w:pPr>
              <w:spacing w:after="0" w:line="240" w:lineRule="auto"/>
              <w:jc w:val="left"/>
              <w:rPr>
                <w:rFonts w:ascii="Arial" w:hAnsi="Arial" w:cs="Arial"/>
                <w:b/>
                <w:bCs/>
                <w:color w:val="000000"/>
                <w:sz w:val="16"/>
                <w:szCs w:val="16"/>
              </w:rPr>
            </w:pPr>
            <w:r w:rsidRPr="00156623">
              <w:rPr>
                <w:rFonts w:ascii="Arial" w:hAnsi="Arial" w:cs="Arial"/>
                <w:b/>
                <w:bCs/>
                <w:color w:val="000000"/>
                <w:sz w:val="16"/>
                <w:szCs w:val="16"/>
              </w:rPr>
              <w:t>Parent entity interest</w:t>
            </w:r>
          </w:p>
        </w:tc>
        <w:tc>
          <w:tcPr>
            <w:tcW w:w="600" w:type="pct"/>
            <w:tcBorders>
              <w:top w:val="nil"/>
              <w:left w:val="nil"/>
              <w:bottom w:val="nil"/>
              <w:right w:val="nil"/>
            </w:tcBorders>
            <w:shd w:val="clear" w:color="auto" w:fill="auto"/>
            <w:noWrap/>
            <w:vAlign w:val="bottom"/>
            <w:hideMark/>
          </w:tcPr>
          <w:p w14:paraId="6C668FCE" w14:textId="77777777" w:rsidR="00156623" w:rsidRPr="00156623" w:rsidRDefault="00156623" w:rsidP="00812CA9">
            <w:pPr>
              <w:spacing w:after="0" w:line="240" w:lineRule="auto"/>
              <w:jc w:val="righ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bottom"/>
            <w:hideMark/>
          </w:tcPr>
          <w:p w14:paraId="35A7BC03"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 </w:t>
            </w:r>
          </w:p>
        </w:tc>
        <w:tc>
          <w:tcPr>
            <w:tcW w:w="600" w:type="pct"/>
            <w:tcBorders>
              <w:top w:val="nil"/>
              <w:left w:val="nil"/>
              <w:bottom w:val="nil"/>
              <w:right w:val="nil"/>
            </w:tcBorders>
            <w:shd w:val="clear" w:color="auto" w:fill="auto"/>
            <w:noWrap/>
            <w:vAlign w:val="bottom"/>
            <w:hideMark/>
          </w:tcPr>
          <w:p w14:paraId="7EE48166" w14:textId="77777777" w:rsidR="00156623" w:rsidRPr="00156623" w:rsidRDefault="00156623" w:rsidP="00812CA9">
            <w:pPr>
              <w:spacing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1F451CBE" w14:textId="77777777" w:rsidR="00156623" w:rsidRPr="00156623" w:rsidRDefault="00156623" w:rsidP="00812CA9">
            <w:pPr>
              <w:spacing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hideMark/>
          </w:tcPr>
          <w:p w14:paraId="396C7413" w14:textId="77777777" w:rsidR="00156623" w:rsidRPr="00156623" w:rsidRDefault="00156623" w:rsidP="00812CA9">
            <w:pPr>
              <w:spacing w:after="0" w:line="240" w:lineRule="auto"/>
              <w:jc w:val="right"/>
              <w:rPr>
                <w:rFonts w:ascii="Times New Roman" w:hAnsi="Times New Roman"/>
              </w:rPr>
            </w:pPr>
          </w:p>
        </w:tc>
      </w:tr>
      <w:tr w:rsidR="00156623" w:rsidRPr="00156623" w14:paraId="1C71964F" w14:textId="77777777" w:rsidTr="00156623">
        <w:trPr>
          <w:trHeight w:hRule="exact" w:val="225"/>
        </w:trPr>
        <w:tc>
          <w:tcPr>
            <w:tcW w:w="1998" w:type="pct"/>
            <w:tcBorders>
              <w:top w:val="nil"/>
              <w:left w:val="nil"/>
              <w:bottom w:val="nil"/>
              <w:right w:val="nil"/>
            </w:tcBorders>
            <w:shd w:val="clear" w:color="auto" w:fill="auto"/>
            <w:noWrap/>
            <w:vAlign w:val="bottom"/>
            <w:hideMark/>
          </w:tcPr>
          <w:p w14:paraId="75F4C123" w14:textId="77777777" w:rsidR="00156623" w:rsidRPr="00156623" w:rsidRDefault="00156623" w:rsidP="00156623">
            <w:pPr>
              <w:spacing w:after="0" w:line="240" w:lineRule="auto"/>
              <w:ind w:left="170"/>
              <w:jc w:val="left"/>
              <w:rPr>
                <w:rFonts w:ascii="Arial" w:hAnsi="Arial" w:cs="Arial"/>
                <w:color w:val="000000"/>
                <w:sz w:val="16"/>
                <w:szCs w:val="16"/>
              </w:rPr>
            </w:pPr>
            <w:r w:rsidRPr="00156623">
              <w:rPr>
                <w:rFonts w:ascii="Arial" w:hAnsi="Arial" w:cs="Arial"/>
                <w:color w:val="000000"/>
                <w:sz w:val="16"/>
                <w:szCs w:val="16"/>
              </w:rPr>
              <w:t>Contributed equity</w:t>
            </w:r>
          </w:p>
        </w:tc>
        <w:tc>
          <w:tcPr>
            <w:tcW w:w="600" w:type="pct"/>
            <w:tcBorders>
              <w:top w:val="nil"/>
              <w:left w:val="nil"/>
              <w:bottom w:val="nil"/>
              <w:right w:val="nil"/>
            </w:tcBorders>
            <w:shd w:val="clear" w:color="auto" w:fill="auto"/>
            <w:noWrap/>
            <w:vAlign w:val="bottom"/>
            <w:hideMark/>
          </w:tcPr>
          <w:p w14:paraId="49A240B8"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12,140 </w:t>
            </w:r>
          </w:p>
        </w:tc>
        <w:tc>
          <w:tcPr>
            <w:tcW w:w="600" w:type="pct"/>
            <w:tcBorders>
              <w:top w:val="nil"/>
              <w:left w:val="nil"/>
              <w:bottom w:val="nil"/>
              <w:right w:val="nil"/>
            </w:tcBorders>
            <w:shd w:val="clear" w:color="000000" w:fill="E6E6E6"/>
            <w:noWrap/>
            <w:vAlign w:val="bottom"/>
            <w:hideMark/>
          </w:tcPr>
          <w:p w14:paraId="7099A6FC"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12,974 </w:t>
            </w:r>
          </w:p>
        </w:tc>
        <w:tc>
          <w:tcPr>
            <w:tcW w:w="600" w:type="pct"/>
            <w:tcBorders>
              <w:top w:val="nil"/>
              <w:left w:val="nil"/>
              <w:bottom w:val="nil"/>
              <w:right w:val="nil"/>
            </w:tcBorders>
            <w:shd w:val="clear" w:color="auto" w:fill="auto"/>
            <w:noWrap/>
            <w:vAlign w:val="bottom"/>
            <w:hideMark/>
          </w:tcPr>
          <w:p w14:paraId="51A81113"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13,812 </w:t>
            </w:r>
          </w:p>
        </w:tc>
        <w:tc>
          <w:tcPr>
            <w:tcW w:w="600" w:type="pct"/>
            <w:tcBorders>
              <w:top w:val="nil"/>
              <w:left w:val="nil"/>
              <w:bottom w:val="nil"/>
              <w:right w:val="nil"/>
            </w:tcBorders>
            <w:shd w:val="clear" w:color="auto" w:fill="auto"/>
            <w:noWrap/>
            <w:vAlign w:val="bottom"/>
            <w:hideMark/>
          </w:tcPr>
          <w:p w14:paraId="37A3E5BD"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14,656 </w:t>
            </w:r>
          </w:p>
        </w:tc>
        <w:tc>
          <w:tcPr>
            <w:tcW w:w="600" w:type="pct"/>
            <w:tcBorders>
              <w:top w:val="nil"/>
              <w:left w:val="nil"/>
              <w:bottom w:val="nil"/>
              <w:right w:val="nil"/>
            </w:tcBorders>
            <w:shd w:val="clear" w:color="auto" w:fill="auto"/>
            <w:noWrap/>
            <w:vAlign w:val="bottom"/>
            <w:hideMark/>
          </w:tcPr>
          <w:p w14:paraId="25B1435A"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15,506 </w:t>
            </w:r>
          </w:p>
        </w:tc>
      </w:tr>
      <w:tr w:rsidR="00156623" w:rsidRPr="00156623" w14:paraId="14554A7C" w14:textId="77777777" w:rsidTr="00156623">
        <w:trPr>
          <w:trHeight w:hRule="exact" w:val="225"/>
        </w:trPr>
        <w:tc>
          <w:tcPr>
            <w:tcW w:w="1998" w:type="pct"/>
            <w:tcBorders>
              <w:top w:val="nil"/>
              <w:left w:val="nil"/>
              <w:bottom w:val="nil"/>
              <w:right w:val="nil"/>
            </w:tcBorders>
            <w:shd w:val="clear" w:color="auto" w:fill="auto"/>
            <w:noWrap/>
            <w:vAlign w:val="bottom"/>
            <w:hideMark/>
          </w:tcPr>
          <w:p w14:paraId="4CA01A88" w14:textId="77777777" w:rsidR="00156623" w:rsidRPr="00156623" w:rsidRDefault="00156623" w:rsidP="00156623">
            <w:pPr>
              <w:spacing w:after="0" w:line="240" w:lineRule="auto"/>
              <w:ind w:left="170"/>
              <w:jc w:val="left"/>
              <w:rPr>
                <w:rFonts w:ascii="Arial" w:hAnsi="Arial" w:cs="Arial"/>
                <w:color w:val="000000"/>
                <w:sz w:val="16"/>
                <w:szCs w:val="16"/>
              </w:rPr>
            </w:pPr>
            <w:r w:rsidRPr="00156623">
              <w:rPr>
                <w:rFonts w:ascii="Arial" w:hAnsi="Arial" w:cs="Arial"/>
                <w:color w:val="000000"/>
                <w:sz w:val="16"/>
                <w:szCs w:val="16"/>
              </w:rPr>
              <w:t>Reserves</w:t>
            </w:r>
          </w:p>
        </w:tc>
        <w:tc>
          <w:tcPr>
            <w:tcW w:w="600" w:type="pct"/>
            <w:tcBorders>
              <w:top w:val="nil"/>
              <w:left w:val="nil"/>
              <w:bottom w:val="nil"/>
              <w:right w:val="nil"/>
            </w:tcBorders>
            <w:shd w:val="clear" w:color="auto" w:fill="auto"/>
            <w:noWrap/>
            <w:vAlign w:val="bottom"/>
            <w:hideMark/>
          </w:tcPr>
          <w:p w14:paraId="3526B856"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1,827 </w:t>
            </w:r>
          </w:p>
        </w:tc>
        <w:tc>
          <w:tcPr>
            <w:tcW w:w="600" w:type="pct"/>
            <w:tcBorders>
              <w:top w:val="nil"/>
              <w:left w:val="nil"/>
              <w:bottom w:val="nil"/>
              <w:right w:val="nil"/>
            </w:tcBorders>
            <w:shd w:val="clear" w:color="000000" w:fill="E6E6E6"/>
            <w:noWrap/>
            <w:vAlign w:val="bottom"/>
            <w:hideMark/>
          </w:tcPr>
          <w:p w14:paraId="297A886C"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1,827 </w:t>
            </w:r>
          </w:p>
        </w:tc>
        <w:tc>
          <w:tcPr>
            <w:tcW w:w="600" w:type="pct"/>
            <w:tcBorders>
              <w:top w:val="nil"/>
              <w:left w:val="nil"/>
              <w:bottom w:val="nil"/>
              <w:right w:val="nil"/>
            </w:tcBorders>
            <w:shd w:val="clear" w:color="auto" w:fill="auto"/>
            <w:noWrap/>
            <w:vAlign w:val="bottom"/>
            <w:hideMark/>
          </w:tcPr>
          <w:p w14:paraId="5CD04E28"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1,827 </w:t>
            </w:r>
          </w:p>
        </w:tc>
        <w:tc>
          <w:tcPr>
            <w:tcW w:w="600" w:type="pct"/>
            <w:tcBorders>
              <w:top w:val="nil"/>
              <w:left w:val="nil"/>
              <w:bottom w:val="nil"/>
              <w:right w:val="nil"/>
            </w:tcBorders>
            <w:shd w:val="clear" w:color="auto" w:fill="auto"/>
            <w:noWrap/>
            <w:vAlign w:val="bottom"/>
            <w:hideMark/>
          </w:tcPr>
          <w:p w14:paraId="3E5333D7"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1,827 </w:t>
            </w:r>
          </w:p>
        </w:tc>
        <w:tc>
          <w:tcPr>
            <w:tcW w:w="600" w:type="pct"/>
            <w:tcBorders>
              <w:top w:val="nil"/>
              <w:left w:val="nil"/>
              <w:bottom w:val="nil"/>
              <w:right w:val="nil"/>
            </w:tcBorders>
            <w:shd w:val="clear" w:color="auto" w:fill="auto"/>
            <w:noWrap/>
            <w:vAlign w:val="bottom"/>
            <w:hideMark/>
          </w:tcPr>
          <w:p w14:paraId="18F89ABF"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1,827 </w:t>
            </w:r>
          </w:p>
        </w:tc>
      </w:tr>
      <w:tr w:rsidR="00156623" w:rsidRPr="00156623" w14:paraId="02D383B4" w14:textId="77777777" w:rsidTr="008703DD">
        <w:trPr>
          <w:trHeight w:hRule="exact" w:val="425"/>
        </w:trPr>
        <w:tc>
          <w:tcPr>
            <w:tcW w:w="1998" w:type="pct"/>
            <w:tcBorders>
              <w:top w:val="nil"/>
              <w:left w:val="nil"/>
              <w:bottom w:val="nil"/>
              <w:right w:val="nil"/>
            </w:tcBorders>
            <w:shd w:val="clear" w:color="auto" w:fill="auto"/>
            <w:vAlign w:val="bottom"/>
            <w:hideMark/>
          </w:tcPr>
          <w:p w14:paraId="27173A42" w14:textId="77777777" w:rsidR="00156623" w:rsidRPr="00156623" w:rsidRDefault="00156623" w:rsidP="00156623">
            <w:pPr>
              <w:spacing w:after="0" w:line="240" w:lineRule="auto"/>
              <w:ind w:left="170"/>
              <w:jc w:val="left"/>
              <w:rPr>
                <w:rFonts w:ascii="Arial" w:hAnsi="Arial" w:cs="Arial"/>
                <w:color w:val="000000"/>
                <w:sz w:val="16"/>
                <w:szCs w:val="16"/>
              </w:rPr>
            </w:pPr>
            <w:r w:rsidRPr="00156623">
              <w:rPr>
                <w:rFonts w:ascii="Arial" w:hAnsi="Arial" w:cs="Arial"/>
                <w:color w:val="000000"/>
                <w:sz w:val="16"/>
                <w:szCs w:val="16"/>
              </w:rPr>
              <w:t>Retained surplus (accumulated</w:t>
            </w:r>
            <w:r w:rsidRPr="00156623">
              <w:rPr>
                <w:rFonts w:ascii="Arial" w:hAnsi="Arial" w:cs="Arial"/>
                <w:color w:val="000000"/>
                <w:sz w:val="16"/>
                <w:szCs w:val="16"/>
              </w:rPr>
              <w:br/>
              <w:t xml:space="preserve">  deficit)</w:t>
            </w:r>
          </w:p>
        </w:tc>
        <w:tc>
          <w:tcPr>
            <w:tcW w:w="600" w:type="pct"/>
            <w:tcBorders>
              <w:top w:val="nil"/>
              <w:left w:val="nil"/>
              <w:bottom w:val="nil"/>
              <w:right w:val="nil"/>
            </w:tcBorders>
            <w:shd w:val="clear" w:color="auto" w:fill="auto"/>
            <w:noWrap/>
            <w:vAlign w:val="bottom"/>
            <w:hideMark/>
          </w:tcPr>
          <w:p w14:paraId="4122CD31"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13,295 </w:t>
            </w:r>
          </w:p>
        </w:tc>
        <w:tc>
          <w:tcPr>
            <w:tcW w:w="600" w:type="pct"/>
            <w:tcBorders>
              <w:top w:val="nil"/>
              <w:left w:val="nil"/>
              <w:bottom w:val="nil"/>
              <w:right w:val="nil"/>
            </w:tcBorders>
            <w:shd w:val="clear" w:color="000000" w:fill="E6E6E6"/>
            <w:noWrap/>
            <w:vAlign w:val="bottom"/>
            <w:hideMark/>
          </w:tcPr>
          <w:p w14:paraId="6F26BB1F"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12,005 </w:t>
            </w:r>
          </w:p>
        </w:tc>
        <w:tc>
          <w:tcPr>
            <w:tcW w:w="600" w:type="pct"/>
            <w:tcBorders>
              <w:top w:val="nil"/>
              <w:left w:val="nil"/>
              <w:bottom w:val="nil"/>
              <w:right w:val="nil"/>
            </w:tcBorders>
            <w:shd w:val="clear" w:color="auto" w:fill="auto"/>
            <w:noWrap/>
            <w:vAlign w:val="bottom"/>
            <w:hideMark/>
          </w:tcPr>
          <w:p w14:paraId="3BE58ACD"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10,827 </w:t>
            </w:r>
          </w:p>
        </w:tc>
        <w:tc>
          <w:tcPr>
            <w:tcW w:w="600" w:type="pct"/>
            <w:tcBorders>
              <w:top w:val="nil"/>
              <w:left w:val="nil"/>
              <w:bottom w:val="nil"/>
              <w:right w:val="nil"/>
            </w:tcBorders>
            <w:shd w:val="clear" w:color="auto" w:fill="auto"/>
            <w:noWrap/>
            <w:vAlign w:val="bottom"/>
            <w:hideMark/>
          </w:tcPr>
          <w:p w14:paraId="700A9BBC"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9,807 </w:t>
            </w:r>
          </w:p>
        </w:tc>
        <w:tc>
          <w:tcPr>
            <w:tcW w:w="600" w:type="pct"/>
            <w:tcBorders>
              <w:top w:val="nil"/>
              <w:left w:val="nil"/>
              <w:bottom w:val="nil"/>
              <w:right w:val="nil"/>
            </w:tcBorders>
            <w:shd w:val="clear" w:color="auto" w:fill="auto"/>
            <w:noWrap/>
            <w:vAlign w:val="bottom"/>
            <w:hideMark/>
          </w:tcPr>
          <w:p w14:paraId="62055D27" w14:textId="77777777" w:rsidR="00156623" w:rsidRPr="00156623" w:rsidRDefault="00156623" w:rsidP="00812CA9">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8,787 </w:t>
            </w:r>
          </w:p>
        </w:tc>
      </w:tr>
      <w:tr w:rsidR="00156623" w:rsidRPr="00156623" w14:paraId="52771B23" w14:textId="77777777" w:rsidTr="00156623">
        <w:trPr>
          <w:trHeight w:hRule="exact" w:val="225"/>
        </w:trPr>
        <w:tc>
          <w:tcPr>
            <w:tcW w:w="1998" w:type="pct"/>
            <w:tcBorders>
              <w:top w:val="nil"/>
              <w:left w:val="nil"/>
              <w:bottom w:val="single" w:sz="4" w:space="0" w:color="000000"/>
              <w:right w:val="nil"/>
            </w:tcBorders>
            <w:shd w:val="clear" w:color="auto" w:fill="auto"/>
            <w:noWrap/>
            <w:vAlign w:val="bottom"/>
            <w:hideMark/>
          </w:tcPr>
          <w:p w14:paraId="07703E66" w14:textId="77777777" w:rsidR="00156623" w:rsidRPr="00156623" w:rsidRDefault="00156623" w:rsidP="00156623">
            <w:pPr>
              <w:spacing w:after="0" w:line="240" w:lineRule="auto"/>
              <w:jc w:val="left"/>
              <w:rPr>
                <w:rFonts w:ascii="Arial" w:hAnsi="Arial" w:cs="Arial"/>
                <w:b/>
                <w:bCs/>
                <w:color w:val="000000"/>
                <w:sz w:val="16"/>
                <w:szCs w:val="16"/>
              </w:rPr>
            </w:pPr>
            <w:r w:rsidRPr="00156623">
              <w:rPr>
                <w:rFonts w:ascii="Arial" w:hAnsi="Arial" w:cs="Arial"/>
                <w:b/>
                <w:bCs/>
                <w:color w:val="000000"/>
                <w:sz w:val="16"/>
                <w:szCs w:val="16"/>
              </w:rPr>
              <w:t>Total equity</w:t>
            </w:r>
          </w:p>
        </w:tc>
        <w:tc>
          <w:tcPr>
            <w:tcW w:w="600" w:type="pct"/>
            <w:tcBorders>
              <w:top w:val="single" w:sz="4" w:space="0" w:color="000000"/>
              <w:left w:val="nil"/>
              <w:bottom w:val="single" w:sz="4" w:space="0" w:color="000000"/>
              <w:right w:val="nil"/>
            </w:tcBorders>
            <w:shd w:val="clear" w:color="auto" w:fill="auto"/>
            <w:noWrap/>
            <w:vAlign w:val="bottom"/>
            <w:hideMark/>
          </w:tcPr>
          <w:p w14:paraId="781696C3" w14:textId="77777777" w:rsidR="00156623" w:rsidRPr="00156623" w:rsidRDefault="00156623" w:rsidP="00156623">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27,262 </w:t>
            </w:r>
          </w:p>
        </w:tc>
        <w:tc>
          <w:tcPr>
            <w:tcW w:w="600" w:type="pct"/>
            <w:tcBorders>
              <w:top w:val="single" w:sz="4" w:space="0" w:color="000000"/>
              <w:left w:val="nil"/>
              <w:bottom w:val="single" w:sz="4" w:space="0" w:color="000000"/>
              <w:right w:val="nil"/>
            </w:tcBorders>
            <w:shd w:val="clear" w:color="000000" w:fill="E6E6E6"/>
            <w:noWrap/>
            <w:vAlign w:val="bottom"/>
            <w:hideMark/>
          </w:tcPr>
          <w:p w14:paraId="15A2A128" w14:textId="77777777" w:rsidR="00156623" w:rsidRPr="00156623" w:rsidRDefault="00156623" w:rsidP="00156623">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26,806 </w:t>
            </w:r>
          </w:p>
        </w:tc>
        <w:tc>
          <w:tcPr>
            <w:tcW w:w="600" w:type="pct"/>
            <w:tcBorders>
              <w:top w:val="single" w:sz="4" w:space="0" w:color="000000"/>
              <w:left w:val="nil"/>
              <w:bottom w:val="single" w:sz="4" w:space="0" w:color="000000"/>
              <w:right w:val="nil"/>
            </w:tcBorders>
            <w:shd w:val="clear" w:color="auto" w:fill="auto"/>
            <w:noWrap/>
            <w:vAlign w:val="bottom"/>
            <w:hideMark/>
          </w:tcPr>
          <w:p w14:paraId="1B0D3C7F" w14:textId="77777777" w:rsidR="00156623" w:rsidRPr="00156623" w:rsidRDefault="00156623" w:rsidP="00156623">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26,466 </w:t>
            </w:r>
          </w:p>
        </w:tc>
        <w:tc>
          <w:tcPr>
            <w:tcW w:w="600" w:type="pct"/>
            <w:tcBorders>
              <w:top w:val="single" w:sz="4" w:space="0" w:color="000000"/>
              <w:left w:val="nil"/>
              <w:bottom w:val="single" w:sz="4" w:space="0" w:color="000000"/>
              <w:right w:val="nil"/>
            </w:tcBorders>
            <w:shd w:val="clear" w:color="auto" w:fill="auto"/>
            <w:noWrap/>
            <w:vAlign w:val="bottom"/>
            <w:hideMark/>
          </w:tcPr>
          <w:p w14:paraId="65D69A1E" w14:textId="77777777" w:rsidR="00156623" w:rsidRPr="00156623" w:rsidRDefault="00156623" w:rsidP="00156623">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26,290 </w:t>
            </w:r>
          </w:p>
        </w:tc>
        <w:tc>
          <w:tcPr>
            <w:tcW w:w="600" w:type="pct"/>
            <w:tcBorders>
              <w:top w:val="single" w:sz="4" w:space="0" w:color="000000"/>
              <w:left w:val="nil"/>
              <w:bottom w:val="single" w:sz="4" w:space="0" w:color="000000"/>
              <w:right w:val="nil"/>
            </w:tcBorders>
            <w:shd w:val="clear" w:color="auto" w:fill="auto"/>
            <w:noWrap/>
            <w:vAlign w:val="bottom"/>
            <w:hideMark/>
          </w:tcPr>
          <w:p w14:paraId="74E363C3" w14:textId="77777777" w:rsidR="00156623" w:rsidRPr="00156623" w:rsidRDefault="00156623" w:rsidP="00156623">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26,120 </w:t>
            </w:r>
          </w:p>
        </w:tc>
      </w:tr>
    </w:tbl>
    <w:p w14:paraId="08EA5A7A" w14:textId="770BAD0E" w:rsidR="00383480" w:rsidRPr="00AD7443" w:rsidRDefault="00383480" w:rsidP="00AD7443">
      <w:pPr>
        <w:pStyle w:val="ChartandTableFootnote"/>
        <w:rPr>
          <w:rFonts w:cs="Arial"/>
        </w:rPr>
      </w:pPr>
      <w:r w:rsidRPr="00132F9E">
        <w:rPr>
          <w:rFonts w:cs="Arial"/>
        </w:rPr>
        <w:t>Prepared on Australian Accounting Standards basis.</w:t>
      </w:r>
    </w:p>
    <w:p w14:paraId="219DAFF9" w14:textId="64C2E531" w:rsidR="00383480" w:rsidRPr="00132F9E" w:rsidRDefault="00383480" w:rsidP="00383480">
      <w:pPr>
        <w:pStyle w:val="ChartandTableFootnote"/>
        <w:rPr>
          <w:rFonts w:cs="Arial"/>
        </w:rPr>
      </w:pPr>
      <w:r w:rsidRPr="00132F9E">
        <w:rPr>
          <w:rFonts w:cs="Arial"/>
        </w:rPr>
        <w:t>*</w:t>
      </w:r>
      <w:r w:rsidR="00E6396A">
        <w:rPr>
          <w:rFonts w:cs="Arial"/>
          <w:lang w:val="en-AU"/>
        </w:rPr>
        <w:t>’</w:t>
      </w:r>
      <w:r w:rsidRPr="00132F9E">
        <w:rPr>
          <w:rFonts w:cs="Arial"/>
        </w:rPr>
        <w:t>Equity</w:t>
      </w:r>
      <w:r w:rsidR="00E6396A">
        <w:rPr>
          <w:rFonts w:cs="Arial"/>
        </w:rPr>
        <w:t>’</w:t>
      </w:r>
      <w:r w:rsidRPr="00132F9E">
        <w:rPr>
          <w:rFonts w:cs="Arial"/>
        </w:rPr>
        <w:t xml:space="preserve"> is the residual interest in assets after deduction of liabilities.</w:t>
      </w:r>
    </w:p>
    <w:p w14:paraId="319D86FE" w14:textId="33F896BA" w:rsidR="000A088A" w:rsidRDefault="000A088A">
      <w:pPr>
        <w:spacing w:after="0" w:line="240" w:lineRule="auto"/>
        <w:jc w:val="left"/>
        <w:rPr>
          <w:lang w:val="x-none" w:eastAsia="x-none"/>
        </w:rPr>
      </w:pPr>
      <w:r>
        <w:rPr>
          <w:lang w:val="x-none" w:eastAsia="x-none"/>
        </w:rPr>
        <w:br w:type="page"/>
      </w:r>
    </w:p>
    <w:p w14:paraId="292FE308" w14:textId="20B9129C" w:rsidR="00156623" w:rsidRPr="00156623" w:rsidRDefault="00A80C87" w:rsidP="00156623">
      <w:pPr>
        <w:pStyle w:val="TableHeading"/>
        <w:rPr>
          <w:rFonts w:ascii="Times New Roman" w:hAnsi="Times New Roman"/>
        </w:rPr>
      </w:pPr>
      <w:r w:rsidRPr="00AD42E2">
        <w:lastRenderedPageBreak/>
        <w:t>Table</w:t>
      </w:r>
      <w:r w:rsidR="00971CBF" w:rsidRPr="00AD42E2">
        <w:t xml:space="preserve"> 3.</w:t>
      </w:r>
      <w:r w:rsidRPr="00AD42E2">
        <w:t>3</w:t>
      </w:r>
      <w:r w:rsidR="00345CCD" w:rsidRPr="00AD42E2">
        <w:t xml:space="preserve">: Departmental </w:t>
      </w:r>
      <w:r w:rsidR="00F626C2" w:rsidRPr="00AD42E2">
        <w:t>statement of changes in equity</w:t>
      </w:r>
      <w:r w:rsidR="000A088A">
        <w:t xml:space="preserve"> – </w:t>
      </w:r>
      <w:r w:rsidR="00F626C2" w:rsidRPr="00AD42E2">
        <w:t>summary of</w:t>
      </w:r>
      <w:r w:rsidR="00F626C2">
        <w:t xml:space="preserve"> movement (</w:t>
      </w:r>
      <w:r w:rsidR="008A1DDE">
        <w:t xml:space="preserve">Budget </w:t>
      </w:r>
      <w:r w:rsidR="00F626C2">
        <w:t>y</w:t>
      </w:r>
      <w:r w:rsidR="008A1DDE">
        <w:t xml:space="preserve">ear </w:t>
      </w:r>
      <w:r w:rsidR="009936E6">
        <w:t>202</w:t>
      </w:r>
      <w:r w:rsidR="0032372D">
        <w:rPr>
          <w:lang w:val="en-AU"/>
        </w:rPr>
        <w:t>2</w:t>
      </w:r>
      <w:r w:rsidR="00E6396A">
        <w:rPr>
          <w:lang w:val="en-AU"/>
        </w:rPr>
        <w:noBreakHyphen/>
      </w:r>
      <w:r w:rsidR="0032372D">
        <w:rPr>
          <w:lang w:val="en-AU"/>
        </w:rPr>
        <w:t>23</w:t>
      </w:r>
      <w:r w:rsidR="009A1F48">
        <w:rPr>
          <w:lang w:val="en-AU"/>
        </w:rPr>
        <w:t>)</w:t>
      </w:r>
    </w:p>
    <w:tbl>
      <w:tblPr>
        <w:tblW w:w="7220" w:type="dxa"/>
        <w:tblLook w:val="04A0" w:firstRow="1" w:lastRow="0" w:firstColumn="1" w:lastColumn="0" w:noHBand="0" w:noVBand="1"/>
      </w:tblPr>
      <w:tblGrid>
        <w:gridCol w:w="3700"/>
        <w:gridCol w:w="857"/>
        <w:gridCol w:w="999"/>
        <w:gridCol w:w="1044"/>
        <w:gridCol w:w="820"/>
      </w:tblGrid>
      <w:tr w:rsidR="00156623" w:rsidRPr="00156623" w14:paraId="29F6A728" w14:textId="77777777" w:rsidTr="00156623">
        <w:trPr>
          <w:trHeight w:val="900"/>
        </w:trPr>
        <w:tc>
          <w:tcPr>
            <w:tcW w:w="3700" w:type="dxa"/>
            <w:tcBorders>
              <w:top w:val="single" w:sz="4" w:space="0" w:color="auto"/>
              <w:left w:val="nil"/>
              <w:bottom w:val="nil"/>
              <w:right w:val="nil"/>
            </w:tcBorders>
            <w:shd w:val="clear" w:color="auto" w:fill="auto"/>
            <w:noWrap/>
            <w:vAlign w:val="bottom"/>
            <w:hideMark/>
          </w:tcPr>
          <w:p w14:paraId="6CD01BBC" w14:textId="257C35FD" w:rsidR="00156623" w:rsidRPr="00156623" w:rsidRDefault="00156623" w:rsidP="00156623">
            <w:pPr>
              <w:spacing w:after="0" w:line="240" w:lineRule="auto"/>
              <w:jc w:val="right"/>
              <w:rPr>
                <w:rFonts w:ascii="Arial" w:hAnsi="Arial" w:cs="Arial"/>
                <w:color w:val="000000"/>
                <w:sz w:val="16"/>
                <w:szCs w:val="16"/>
              </w:rPr>
            </w:pPr>
            <w:r w:rsidRPr="00156623">
              <w:rPr>
                <w:rFonts w:ascii="Arial" w:hAnsi="Arial" w:cs="Arial"/>
                <w:color w:val="000000"/>
                <w:sz w:val="16"/>
                <w:szCs w:val="16"/>
              </w:rPr>
              <w:t> </w:t>
            </w:r>
          </w:p>
        </w:tc>
        <w:tc>
          <w:tcPr>
            <w:tcW w:w="820" w:type="dxa"/>
            <w:tcBorders>
              <w:top w:val="single" w:sz="4" w:space="0" w:color="auto"/>
              <w:left w:val="nil"/>
              <w:bottom w:val="single" w:sz="4" w:space="0" w:color="000000"/>
              <w:right w:val="nil"/>
            </w:tcBorders>
            <w:shd w:val="clear" w:color="auto" w:fill="auto"/>
            <w:vAlign w:val="bottom"/>
            <w:hideMark/>
          </w:tcPr>
          <w:p w14:paraId="06C4E9BC" w14:textId="77777777" w:rsidR="00156623" w:rsidRPr="00156623" w:rsidRDefault="00156623" w:rsidP="00156623">
            <w:pPr>
              <w:spacing w:after="0" w:line="240" w:lineRule="auto"/>
              <w:jc w:val="right"/>
              <w:rPr>
                <w:rFonts w:ascii="Arial" w:hAnsi="Arial" w:cs="Arial"/>
                <w:color w:val="000000"/>
                <w:sz w:val="16"/>
                <w:szCs w:val="16"/>
              </w:rPr>
            </w:pPr>
            <w:r w:rsidRPr="00156623">
              <w:rPr>
                <w:rFonts w:ascii="Arial" w:hAnsi="Arial" w:cs="Arial"/>
                <w:color w:val="000000"/>
                <w:sz w:val="16"/>
                <w:szCs w:val="16"/>
              </w:rPr>
              <w:t>Retained</w:t>
            </w:r>
            <w:r w:rsidRPr="00156623">
              <w:rPr>
                <w:rFonts w:ascii="Arial" w:hAnsi="Arial" w:cs="Arial"/>
                <w:color w:val="000000"/>
                <w:sz w:val="16"/>
                <w:szCs w:val="16"/>
              </w:rPr>
              <w:br/>
              <w:t>earnings</w:t>
            </w:r>
            <w:r w:rsidRPr="00156623">
              <w:rPr>
                <w:rFonts w:ascii="Arial" w:hAnsi="Arial" w:cs="Arial"/>
                <w:color w:val="000000"/>
                <w:sz w:val="16"/>
                <w:szCs w:val="16"/>
              </w:rPr>
              <w:br/>
            </w:r>
            <w:r w:rsidRPr="00156623">
              <w:rPr>
                <w:rFonts w:ascii="Arial" w:hAnsi="Arial" w:cs="Arial"/>
                <w:color w:val="000000"/>
                <w:sz w:val="16"/>
                <w:szCs w:val="16"/>
              </w:rPr>
              <w:br/>
              <w:t>$'000</w:t>
            </w:r>
          </w:p>
        </w:tc>
        <w:tc>
          <w:tcPr>
            <w:tcW w:w="920" w:type="dxa"/>
            <w:tcBorders>
              <w:top w:val="single" w:sz="4" w:space="0" w:color="auto"/>
              <w:left w:val="nil"/>
              <w:bottom w:val="single" w:sz="4" w:space="0" w:color="000000"/>
              <w:right w:val="nil"/>
            </w:tcBorders>
            <w:shd w:val="clear" w:color="auto" w:fill="auto"/>
            <w:vAlign w:val="bottom"/>
            <w:hideMark/>
          </w:tcPr>
          <w:p w14:paraId="4B4791F6" w14:textId="77777777" w:rsidR="00156623" w:rsidRPr="00156623" w:rsidRDefault="00156623" w:rsidP="00156623">
            <w:pPr>
              <w:spacing w:after="0" w:line="240" w:lineRule="auto"/>
              <w:jc w:val="right"/>
              <w:rPr>
                <w:rFonts w:ascii="Arial" w:hAnsi="Arial" w:cs="Arial"/>
                <w:color w:val="000000"/>
                <w:sz w:val="16"/>
                <w:szCs w:val="16"/>
              </w:rPr>
            </w:pPr>
            <w:r w:rsidRPr="00156623">
              <w:rPr>
                <w:rFonts w:ascii="Arial" w:hAnsi="Arial" w:cs="Arial"/>
                <w:color w:val="000000"/>
                <w:sz w:val="16"/>
                <w:szCs w:val="16"/>
              </w:rPr>
              <w:t>Asset</w:t>
            </w:r>
            <w:r w:rsidRPr="00156623">
              <w:rPr>
                <w:rFonts w:ascii="Arial" w:hAnsi="Arial" w:cs="Arial"/>
                <w:color w:val="000000"/>
                <w:sz w:val="16"/>
                <w:szCs w:val="16"/>
              </w:rPr>
              <w:br/>
              <w:t>revaluation</w:t>
            </w:r>
            <w:r w:rsidRPr="00156623">
              <w:rPr>
                <w:rFonts w:ascii="Arial" w:hAnsi="Arial" w:cs="Arial"/>
                <w:color w:val="000000"/>
                <w:sz w:val="16"/>
                <w:szCs w:val="16"/>
              </w:rPr>
              <w:br/>
              <w:t>reserve</w:t>
            </w:r>
            <w:r w:rsidRPr="00156623">
              <w:rPr>
                <w:rFonts w:ascii="Arial" w:hAnsi="Arial" w:cs="Arial"/>
                <w:color w:val="000000"/>
                <w:sz w:val="16"/>
                <w:szCs w:val="16"/>
              </w:rPr>
              <w:br/>
              <w:t>$'000</w:t>
            </w:r>
          </w:p>
        </w:tc>
        <w:tc>
          <w:tcPr>
            <w:tcW w:w="960" w:type="dxa"/>
            <w:tcBorders>
              <w:top w:val="single" w:sz="4" w:space="0" w:color="auto"/>
              <w:left w:val="nil"/>
              <w:bottom w:val="single" w:sz="4" w:space="0" w:color="000000"/>
              <w:right w:val="nil"/>
            </w:tcBorders>
            <w:shd w:val="clear" w:color="auto" w:fill="auto"/>
            <w:vAlign w:val="bottom"/>
            <w:hideMark/>
          </w:tcPr>
          <w:p w14:paraId="13B75AD8" w14:textId="77777777" w:rsidR="00156623" w:rsidRPr="00156623" w:rsidRDefault="00156623" w:rsidP="00156623">
            <w:pPr>
              <w:spacing w:after="0" w:line="240" w:lineRule="auto"/>
              <w:jc w:val="right"/>
              <w:rPr>
                <w:rFonts w:ascii="Arial" w:hAnsi="Arial" w:cs="Arial"/>
                <w:color w:val="000000"/>
                <w:sz w:val="16"/>
                <w:szCs w:val="16"/>
              </w:rPr>
            </w:pPr>
            <w:r w:rsidRPr="00156623">
              <w:rPr>
                <w:rFonts w:ascii="Arial" w:hAnsi="Arial" w:cs="Arial"/>
                <w:color w:val="000000"/>
                <w:sz w:val="16"/>
                <w:szCs w:val="16"/>
              </w:rPr>
              <w:t>Contributed</w:t>
            </w:r>
            <w:r w:rsidRPr="00156623">
              <w:rPr>
                <w:rFonts w:ascii="Arial" w:hAnsi="Arial" w:cs="Arial"/>
                <w:color w:val="000000"/>
                <w:sz w:val="16"/>
                <w:szCs w:val="16"/>
              </w:rPr>
              <w:br/>
              <w:t>equity/</w:t>
            </w:r>
            <w:r w:rsidRPr="00156623">
              <w:rPr>
                <w:rFonts w:ascii="Arial" w:hAnsi="Arial" w:cs="Arial"/>
                <w:color w:val="000000"/>
                <w:sz w:val="16"/>
                <w:szCs w:val="16"/>
              </w:rPr>
              <w:br/>
              <w:t>capital</w:t>
            </w:r>
            <w:r w:rsidRPr="00156623">
              <w:rPr>
                <w:rFonts w:ascii="Arial" w:hAnsi="Arial" w:cs="Arial"/>
                <w:color w:val="000000"/>
                <w:sz w:val="16"/>
                <w:szCs w:val="16"/>
              </w:rPr>
              <w:br/>
              <w:t>$'000</w:t>
            </w:r>
          </w:p>
        </w:tc>
        <w:tc>
          <w:tcPr>
            <w:tcW w:w="820" w:type="dxa"/>
            <w:tcBorders>
              <w:top w:val="single" w:sz="4" w:space="0" w:color="auto"/>
              <w:left w:val="nil"/>
              <w:bottom w:val="single" w:sz="4" w:space="0" w:color="000000"/>
              <w:right w:val="nil"/>
            </w:tcBorders>
            <w:shd w:val="clear" w:color="auto" w:fill="auto"/>
            <w:vAlign w:val="bottom"/>
            <w:hideMark/>
          </w:tcPr>
          <w:p w14:paraId="7C24C717" w14:textId="77777777" w:rsidR="00156623" w:rsidRPr="00156623" w:rsidRDefault="00156623" w:rsidP="00156623">
            <w:pPr>
              <w:spacing w:after="0" w:line="240" w:lineRule="auto"/>
              <w:jc w:val="right"/>
              <w:rPr>
                <w:rFonts w:ascii="Arial" w:hAnsi="Arial" w:cs="Arial"/>
                <w:color w:val="000000"/>
                <w:sz w:val="16"/>
                <w:szCs w:val="16"/>
              </w:rPr>
            </w:pPr>
            <w:r w:rsidRPr="00156623">
              <w:rPr>
                <w:rFonts w:ascii="Arial" w:hAnsi="Arial" w:cs="Arial"/>
                <w:color w:val="000000"/>
                <w:sz w:val="16"/>
                <w:szCs w:val="16"/>
              </w:rPr>
              <w:t>Total</w:t>
            </w:r>
            <w:r w:rsidRPr="00156623">
              <w:rPr>
                <w:rFonts w:ascii="Arial" w:hAnsi="Arial" w:cs="Arial"/>
                <w:color w:val="000000"/>
                <w:sz w:val="16"/>
                <w:szCs w:val="16"/>
              </w:rPr>
              <w:br/>
              <w:t xml:space="preserve">equity </w:t>
            </w:r>
            <w:r w:rsidRPr="00156623">
              <w:rPr>
                <w:rFonts w:ascii="Arial" w:hAnsi="Arial" w:cs="Arial"/>
                <w:color w:val="000000"/>
                <w:sz w:val="16"/>
                <w:szCs w:val="16"/>
              </w:rPr>
              <w:br/>
            </w:r>
            <w:r w:rsidRPr="00156623">
              <w:rPr>
                <w:rFonts w:ascii="Arial" w:hAnsi="Arial" w:cs="Arial"/>
                <w:color w:val="000000"/>
                <w:sz w:val="16"/>
                <w:szCs w:val="16"/>
              </w:rPr>
              <w:br/>
              <w:t>$'000</w:t>
            </w:r>
          </w:p>
        </w:tc>
      </w:tr>
      <w:tr w:rsidR="00156623" w:rsidRPr="00156623" w14:paraId="7397046F" w14:textId="77777777" w:rsidTr="00156623">
        <w:trPr>
          <w:trHeight w:val="225"/>
        </w:trPr>
        <w:tc>
          <w:tcPr>
            <w:tcW w:w="3700" w:type="dxa"/>
            <w:tcBorders>
              <w:top w:val="nil"/>
              <w:left w:val="nil"/>
              <w:bottom w:val="nil"/>
              <w:right w:val="nil"/>
            </w:tcBorders>
            <w:shd w:val="clear" w:color="auto" w:fill="auto"/>
            <w:vAlign w:val="bottom"/>
            <w:hideMark/>
          </w:tcPr>
          <w:p w14:paraId="76776F49" w14:textId="77777777" w:rsidR="00156623" w:rsidRPr="00156623" w:rsidRDefault="00156623" w:rsidP="00156623">
            <w:pPr>
              <w:spacing w:after="0" w:line="240" w:lineRule="auto"/>
              <w:jc w:val="left"/>
              <w:rPr>
                <w:rFonts w:ascii="Arial" w:hAnsi="Arial" w:cs="Arial"/>
                <w:b/>
                <w:bCs/>
                <w:color w:val="000000"/>
                <w:sz w:val="16"/>
                <w:szCs w:val="16"/>
              </w:rPr>
            </w:pPr>
            <w:r w:rsidRPr="00156623">
              <w:rPr>
                <w:rFonts w:ascii="Arial" w:hAnsi="Arial" w:cs="Arial"/>
                <w:b/>
                <w:bCs/>
                <w:color w:val="000000"/>
                <w:sz w:val="16"/>
                <w:szCs w:val="16"/>
              </w:rPr>
              <w:t>Opening balance as at 1 July 2022</w:t>
            </w:r>
          </w:p>
        </w:tc>
        <w:tc>
          <w:tcPr>
            <w:tcW w:w="820" w:type="dxa"/>
            <w:tcBorders>
              <w:top w:val="nil"/>
              <w:left w:val="nil"/>
              <w:bottom w:val="nil"/>
              <w:right w:val="nil"/>
            </w:tcBorders>
            <w:shd w:val="clear" w:color="auto" w:fill="auto"/>
            <w:noWrap/>
            <w:vAlign w:val="bottom"/>
            <w:hideMark/>
          </w:tcPr>
          <w:p w14:paraId="5EF547D7" w14:textId="77777777" w:rsidR="00156623" w:rsidRPr="00156623" w:rsidRDefault="00156623" w:rsidP="00156623">
            <w:pPr>
              <w:spacing w:after="0" w:line="240" w:lineRule="auto"/>
              <w:jc w:val="left"/>
              <w:rPr>
                <w:rFonts w:ascii="Arial" w:hAnsi="Arial" w:cs="Arial"/>
                <w:b/>
                <w:bCs/>
                <w:color w:val="000000"/>
                <w:sz w:val="16"/>
                <w:szCs w:val="16"/>
              </w:rPr>
            </w:pPr>
          </w:p>
        </w:tc>
        <w:tc>
          <w:tcPr>
            <w:tcW w:w="920" w:type="dxa"/>
            <w:tcBorders>
              <w:top w:val="nil"/>
              <w:left w:val="nil"/>
              <w:bottom w:val="nil"/>
              <w:right w:val="nil"/>
            </w:tcBorders>
            <w:shd w:val="clear" w:color="auto" w:fill="auto"/>
            <w:noWrap/>
            <w:vAlign w:val="bottom"/>
            <w:hideMark/>
          </w:tcPr>
          <w:p w14:paraId="02D1FAEB" w14:textId="77777777" w:rsidR="00156623" w:rsidRPr="00156623" w:rsidRDefault="00156623" w:rsidP="00156623">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14:paraId="4C93CDDB" w14:textId="77777777" w:rsidR="00156623" w:rsidRPr="00156623" w:rsidRDefault="00156623" w:rsidP="00156623">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14:paraId="5D4D2526" w14:textId="77777777" w:rsidR="00156623" w:rsidRPr="00156623" w:rsidRDefault="00156623" w:rsidP="00156623">
            <w:pPr>
              <w:spacing w:after="0" w:line="240" w:lineRule="auto"/>
              <w:jc w:val="left"/>
              <w:rPr>
                <w:rFonts w:ascii="Times New Roman" w:hAnsi="Times New Roman"/>
              </w:rPr>
            </w:pPr>
          </w:p>
        </w:tc>
      </w:tr>
      <w:tr w:rsidR="00156623" w:rsidRPr="00156623" w14:paraId="6E408328" w14:textId="77777777" w:rsidTr="009A1F48">
        <w:trPr>
          <w:trHeight w:val="450"/>
        </w:trPr>
        <w:tc>
          <w:tcPr>
            <w:tcW w:w="3700" w:type="dxa"/>
            <w:tcBorders>
              <w:top w:val="nil"/>
              <w:left w:val="nil"/>
              <w:bottom w:val="nil"/>
              <w:right w:val="nil"/>
            </w:tcBorders>
            <w:shd w:val="clear" w:color="auto" w:fill="auto"/>
            <w:vAlign w:val="bottom"/>
            <w:hideMark/>
          </w:tcPr>
          <w:p w14:paraId="03920A2B" w14:textId="77777777" w:rsidR="00156623" w:rsidRPr="00156623" w:rsidRDefault="00156623" w:rsidP="00156623">
            <w:pPr>
              <w:spacing w:after="0" w:line="240" w:lineRule="auto"/>
              <w:ind w:firstLineChars="100" w:firstLine="160"/>
              <w:jc w:val="left"/>
              <w:rPr>
                <w:rFonts w:ascii="Arial" w:hAnsi="Arial" w:cs="Arial"/>
                <w:color w:val="000000"/>
                <w:sz w:val="16"/>
                <w:szCs w:val="16"/>
              </w:rPr>
            </w:pPr>
            <w:r w:rsidRPr="00156623">
              <w:rPr>
                <w:rFonts w:ascii="Arial" w:hAnsi="Arial" w:cs="Arial"/>
                <w:color w:val="000000"/>
                <w:sz w:val="16"/>
                <w:szCs w:val="16"/>
              </w:rPr>
              <w:t>Balance carried forward from</w:t>
            </w:r>
            <w:r w:rsidRPr="00156623">
              <w:rPr>
                <w:rFonts w:ascii="Arial" w:hAnsi="Arial" w:cs="Arial"/>
                <w:color w:val="000000"/>
                <w:sz w:val="16"/>
                <w:szCs w:val="16"/>
              </w:rPr>
              <w:br/>
              <w:t xml:space="preserve">  previous period</w:t>
            </w:r>
          </w:p>
        </w:tc>
        <w:tc>
          <w:tcPr>
            <w:tcW w:w="820" w:type="dxa"/>
            <w:tcBorders>
              <w:top w:val="nil"/>
              <w:left w:val="nil"/>
              <w:bottom w:val="nil"/>
              <w:right w:val="nil"/>
            </w:tcBorders>
            <w:shd w:val="clear" w:color="auto" w:fill="auto"/>
            <w:noWrap/>
            <w:vAlign w:val="bottom"/>
            <w:hideMark/>
          </w:tcPr>
          <w:p w14:paraId="149CC035" w14:textId="77777777" w:rsidR="00156623" w:rsidRPr="00156623" w:rsidRDefault="00156623" w:rsidP="009A1F48">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13,295 </w:t>
            </w:r>
          </w:p>
        </w:tc>
        <w:tc>
          <w:tcPr>
            <w:tcW w:w="920" w:type="dxa"/>
            <w:tcBorders>
              <w:top w:val="nil"/>
              <w:left w:val="nil"/>
              <w:bottom w:val="nil"/>
              <w:right w:val="nil"/>
            </w:tcBorders>
            <w:shd w:val="clear" w:color="auto" w:fill="auto"/>
            <w:noWrap/>
            <w:vAlign w:val="bottom"/>
            <w:hideMark/>
          </w:tcPr>
          <w:p w14:paraId="5C8667A7" w14:textId="77777777" w:rsidR="00156623" w:rsidRPr="00156623" w:rsidRDefault="00156623" w:rsidP="009A1F48">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1,827 </w:t>
            </w:r>
          </w:p>
        </w:tc>
        <w:tc>
          <w:tcPr>
            <w:tcW w:w="960" w:type="dxa"/>
            <w:tcBorders>
              <w:top w:val="nil"/>
              <w:left w:val="nil"/>
              <w:bottom w:val="nil"/>
              <w:right w:val="nil"/>
            </w:tcBorders>
            <w:shd w:val="clear" w:color="auto" w:fill="auto"/>
            <w:noWrap/>
            <w:vAlign w:val="bottom"/>
            <w:hideMark/>
          </w:tcPr>
          <w:p w14:paraId="2B434690" w14:textId="77777777" w:rsidR="00156623" w:rsidRPr="00156623" w:rsidRDefault="00156623" w:rsidP="009A1F48">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12,140 </w:t>
            </w:r>
          </w:p>
        </w:tc>
        <w:tc>
          <w:tcPr>
            <w:tcW w:w="820" w:type="dxa"/>
            <w:tcBorders>
              <w:top w:val="nil"/>
              <w:left w:val="nil"/>
              <w:bottom w:val="nil"/>
              <w:right w:val="nil"/>
            </w:tcBorders>
            <w:shd w:val="clear" w:color="auto" w:fill="auto"/>
            <w:noWrap/>
            <w:vAlign w:val="bottom"/>
            <w:hideMark/>
          </w:tcPr>
          <w:p w14:paraId="4EF6D46F" w14:textId="77777777" w:rsidR="00156623" w:rsidRPr="00156623" w:rsidRDefault="00156623" w:rsidP="009A1F48">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27,262 </w:t>
            </w:r>
          </w:p>
        </w:tc>
      </w:tr>
      <w:tr w:rsidR="00156623" w:rsidRPr="00156623" w14:paraId="2E936FA3" w14:textId="77777777" w:rsidTr="009A1F48">
        <w:trPr>
          <w:trHeight w:val="225"/>
        </w:trPr>
        <w:tc>
          <w:tcPr>
            <w:tcW w:w="3700" w:type="dxa"/>
            <w:tcBorders>
              <w:top w:val="nil"/>
              <w:left w:val="nil"/>
              <w:bottom w:val="nil"/>
              <w:right w:val="nil"/>
            </w:tcBorders>
            <w:shd w:val="clear" w:color="auto" w:fill="auto"/>
            <w:vAlign w:val="bottom"/>
            <w:hideMark/>
          </w:tcPr>
          <w:p w14:paraId="3BF497C2" w14:textId="77777777" w:rsidR="00156623" w:rsidRPr="00156623" w:rsidRDefault="00156623" w:rsidP="00156623">
            <w:pPr>
              <w:spacing w:after="0" w:line="240" w:lineRule="auto"/>
              <w:jc w:val="left"/>
              <w:rPr>
                <w:rFonts w:ascii="Arial" w:hAnsi="Arial" w:cs="Arial"/>
                <w:b/>
                <w:bCs/>
                <w:i/>
                <w:iCs/>
                <w:color w:val="000000"/>
                <w:sz w:val="16"/>
                <w:szCs w:val="16"/>
              </w:rPr>
            </w:pPr>
            <w:r w:rsidRPr="00156623">
              <w:rPr>
                <w:rFonts w:ascii="Arial" w:hAnsi="Arial" w:cs="Arial"/>
                <w:b/>
                <w:bCs/>
                <w:i/>
                <w:iCs/>
                <w:color w:val="000000"/>
                <w:sz w:val="16"/>
                <w:szCs w:val="16"/>
              </w:rPr>
              <w:t>Adjusted opening balance</w:t>
            </w:r>
          </w:p>
        </w:tc>
        <w:tc>
          <w:tcPr>
            <w:tcW w:w="820" w:type="dxa"/>
            <w:tcBorders>
              <w:top w:val="single" w:sz="4" w:space="0" w:color="000000"/>
              <w:left w:val="nil"/>
              <w:bottom w:val="single" w:sz="4" w:space="0" w:color="000000"/>
              <w:right w:val="nil"/>
            </w:tcBorders>
            <w:shd w:val="clear" w:color="auto" w:fill="auto"/>
            <w:noWrap/>
            <w:vAlign w:val="bottom"/>
            <w:hideMark/>
          </w:tcPr>
          <w:p w14:paraId="316EBBA1" w14:textId="77777777" w:rsidR="00156623" w:rsidRPr="00156623" w:rsidRDefault="00156623" w:rsidP="009A1F48">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13,295 </w:t>
            </w:r>
          </w:p>
        </w:tc>
        <w:tc>
          <w:tcPr>
            <w:tcW w:w="920" w:type="dxa"/>
            <w:tcBorders>
              <w:top w:val="single" w:sz="4" w:space="0" w:color="000000"/>
              <w:left w:val="nil"/>
              <w:bottom w:val="single" w:sz="4" w:space="0" w:color="000000"/>
              <w:right w:val="nil"/>
            </w:tcBorders>
            <w:shd w:val="clear" w:color="auto" w:fill="auto"/>
            <w:noWrap/>
            <w:vAlign w:val="bottom"/>
            <w:hideMark/>
          </w:tcPr>
          <w:p w14:paraId="0020D447" w14:textId="77777777" w:rsidR="00156623" w:rsidRPr="00156623" w:rsidRDefault="00156623" w:rsidP="009A1F48">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1,827 </w:t>
            </w:r>
          </w:p>
        </w:tc>
        <w:tc>
          <w:tcPr>
            <w:tcW w:w="960" w:type="dxa"/>
            <w:tcBorders>
              <w:top w:val="single" w:sz="4" w:space="0" w:color="000000"/>
              <w:left w:val="nil"/>
              <w:bottom w:val="single" w:sz="4" w:space="0" w:color="000000"/>
              <w:right w:val="nil"/>
            </w:tcBorders>
            <w:shd w:val="clear" w:color="auto" w:fill="auto"/>
            <w:noWrap/>
            <w:vAlign w:val="bottom"/>
            <w:hideMark/>
          </w:tcPr>
          <w:p w14:paraId="067C5188" w14:textId="77777777" w:rsidR="00156623" w:rsidRPr="00156623" w:rsidRDefault="00156623" w:rsidP="009A1F48">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12,140 </w:t>
            </w:r>
          </w:p>
        </w:tc>
        <w:tc>
          <w:tcPr>
            <w:tcW w:w="820" w:type="dxa"/>
            <w:tcBorders>
              <w:top w:val="single" w:sz="4" w:space="0" w:color="000000"/>
              <w:left w:val="nil"/>
              <w:bottom w:val="single" w:sz="4" w:space="0" w:color="000000"/>
              <w:right w:val="nil"/>
            </w:tcBorders>
            <w:shd w:val="clear" w:color="auto" w:fill="auto"/>
            <w:noWrap/>
            <w:vAlign w:val="bottom"/>
            <w:hideMark/>
          </w:tcPr>
          <w:p w14:paraId="6A50888D" w14:textId="77777777" w:rsidR="00156623" w:rsidRPr="00156623" w:rsidRDefault="00156623" w:rsidP="009A1F48">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27,262 </w:t>
            </w:r>
          </w:p>
        </w:tc>
      </w:tr>
      <w:tr w:rsidR="00156623" w:rsidRPr="00156623" w14:paraId="4E4167D1" w14:textId="77777777" w:rsidTr="009A1F48">
        <w:trPr>
          <w:trHeight w:val="225"/>
        </w:trPr>
        <w:tc>
          <w:tcPr>
            <w:tcW w:w="3700" w:type="dxa"/>
            <w:tcBorders>
              <w:top w:val="nil"/>
              <w:left w:val="nil"/>
              <w:bottom w:val="nil"/>
              <w:right w:val="nil"/>
            </w:tcBorders>
            <w:shd w:val="clear" w:color="auto" w:fill="auto"/>
            <w:noWrap/>
            <w:vAlign w:val="bottom"/>
            <w:hideMark/>
          </w:tcPr>
          <w:p w14:paraId="692E8ED0" w14:textId="77777777" w:rsidR="00156623" w:rsidRPr="00156623" w:rsidRDefault="00156623" w:rsidP="00156623">
            <w:pPr>
              <w:spacing w:after="0" w:line="240" w:lineRule="auto"/>
              <w:jc w:val="left"/>
              <w:rPr>
                <w:rFonts w:ascii="Arial" w:hAnsi="Arial" w:cs="Arial"/>
                <w:b/>
                <w:bCs/>
                <w:color w:val="000000"/>
                <w:sz w:val="16"/>
                <w:szCs w:val="16"/>
              </w:rPr>
            </w:pPr>
            <w:r w:rsidRPr="00156623">
              <w:rPr>
                <w:rFonts w:ascii="Arial" w:hAnsi="Arial" w:cs="Arial"/>
                <w:b/>
                <w:bCs/>
                <w:color w:val="000000"/>
                <w:sz w:val="16"/>
                <w:szCs w:val="16"/>
              </w:rPr>
              <w:t>Comprehensive income</w:t>
            </w:r>
          </w:p>
        </w:tc>
        <w:tc>
          <w:tcPr>
            <w:tcW w:w="820" w:type="dxa"/>
            <w:tcBorders>
              <w:top w:val="nil"/>
              <w:left w:val="nil"/>
              <w:bottom w:val="nil"/>
              <w:right w:val="nil"/>
            </w:tcBorders>
            <w:shd w:val="clear" w:color="auto" w:fill="auto"/>
            <w:noWrap/>
            <w:vAlign w:val="bottom"/>
            <w:hideMark/>
          </w:tcPr>
          <w:p w14:paraId="3A29B028" w14:textId="77777777" w:rsidR="00156623" w:rsidRPr="00156623" w:rsidRDefault="00156623" w:rsidP="009A1F48">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auto" w:fill="auto"/>
            <w:noWrap/>
            <w:vAlign w:val="bottom"/>
            <w:hideMark/>
          </w:tcPr>
          <w:p w14:paraId="6C57CC44" w14:textId="77777777" w:rsidR="00156623" w:rsidRPr="00156623" w:rsidRDefault="00156623" w:rsidP="009A1F48">
            <w:pPr>
              <w:spacing w:after="0" w:line="240" w:lineRule="auto"/>
              <w:jc w:val="right"/>
              <w:rPr>
                <w:rFonts w:ascii="Times New Roman" w:hAnsi="Times New Roman"/>
              </w:rPr>
            </w:pPr>
          </w:p>
        </w:tc>
        <w:tc>
          <w:tcPr>
            <w:tcW w:w="960" w:type="dxa"/>
            <w:tcBorders>
              <w:top w:val="nil"/>
              <w:left w:val="nil"/>
              <w:bottom w:val="nil"/>
              <w:right w:val="nil"/>
            </w:tcBorders>
            <w:shd w:val="clear" w:color="auto" w:fill="auto"/>
            <w:noWrap/>
            <w:vAlign w:val="bottom"/>
            <w:hideMark/>
          </w:tcPr>
          <w:p w14:paraId="7F442F75" w14:textId="77777777" w:rsidR="00156623" w:rsidRPr="00156623" w:rsidRDefault="00156623" w:rsidP="009A1F48">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14:paraId="75DD84ED" w14:textId="77777777" w:rsidR="00156623" w:rsidRPr="00156623" w:rsidRDefault="00156623" w:rsidP="009A1F48">
            <w:pPr>
              <w:spacing w:after="0" w:line="240" w:lineRule="auto"/>
              <w:jc w:val="right"/>
              <w:rPr>
                <w:rFonts w:ascii="Times New Roman" w:hAnsi="Times New Roman"/>
              </w:rPr>
            </w:pPr>
          </w:p>
        </w:tc>
      </w:tr>
      <w:tr w:rsidR="00156623" w:rsidRPr="00156623" w14:paraId="608878B0" w14:textId="77777777" w:rsidTr="009A1F48">
        <w:trPr>
          <w:trHeight w:val="225"/>
        </w:trPr>
        <w:tc>
          <w:tcPr>
            <w:tcW w:w="3700" w:type="dxa"/>
            <w:tcBorders>
              <w:top w:val="nil"/>
              <w:left w:val="nil"/>
              <w:bottom w:val="nil"/>
              <w:right w:val="nil"/>
            </w:tcBorders>
            <w:shd w:val="clear" w:color="auto" w:fill="auto"/>
            <w:noWrap/>
            <w:vAlign w:val="bottom"/>
            <w:hideMark/>
          </w:tcPr>
          <w:p w14:paraId="3E38902C" w14:textId="77777777" w:rsidR="00156623" w:rsidRPr="00156623" w:rsidRDefault="00156623" w:rsidP="00156623">
            <w:pPr>
              <w:spacing w:after="0" w:line="240" w:lineRule="auto"/>
              <w:ind w:firstLineChars="100" w:firstLine="160"/>
              <w:jc w:val="left"/>
              <w:rPr>
                <w:rFonts w:ascii="Arial" w:hAnsi="Arial" w:cs="Arial"/>
                <w:sz w:val="16"/>
                <w:szCs w:val="16"/>
              </w:rPr>
            </w:pPr>
            <w:r w:rsidRPr="00156623">
              <w:rPr>
                <w:rFonts w:ascii="Arial" w:hAnsi="Arial" w:cs="Arial"/>
                <w:sz w:val="16"/>
                <w:szCs w:val="16"/>
              </w:rPr>
              <w:t>Surplus/(deficit) for the period</w:t>
            </w:r>
          </w:p>
        </w:tc>
        <w:tc>
          <w:tcPr>
            <w:tcW w:w="820" w:type="dxa"/>
            <w:tcBorders>
              <w:top w:val="nil"/>
              <w:left w:val="nil"/>
              <w:bottom w:val="nil"/>
              <w:right w:val="nil"/>
            </w:tcBorders>
            <w:shd w:val="clear" w:color="auto" w:fill="auto"/>
            <w:noWrap/>
            <w:vAlign w:val="bottom"/>
            <w:hideMark/>
          </w:tcPr>
          <w:p w14:paraId="1AFFBA42" w14:textId="77777777" w:rsidR="00156623" w:rsidRPr="00156623" w:rsidRDefault="00156623" w:rsidP="009A1F48">
            <w:pPr>
              <w:spacing w:after="0" w:line="240" w:lineRule="auto"/>
              <w:jc w:val="right"/>
              <w:rPr>
                <w:rFonts w:ascii="Arial" w:hAnsi="Arial" w:cs="Arial"/>
                <w:color w:val="000000"/>
                <w:sz w:val="16"/>
                <w:szCs w:val="16"/>
              </w:rPr>
            </w:pPr>
            <w:r w:rsidRPr="00156623">
              <w:rPr>
                <w:rFonts w:ascii="Arial" w:hAnsi="Arial" w:cs="Arial"/>
                <w:color w:val="000000"/>
                <w:sz w:val="16"/>
                <w:szCs w:val="16"/>
              </w:rPr>
              <w:t>(1,290)</w:t>
            </w:r>
          </w:p>
        </w:tc>
        <w:tc>
          <w:tcPr>
            <w:tcW w:w="920" w:type="dxa"/>
            <w:tcBorders>
              <w:top w:val="nil"/>
              <w:left w:val="nil"/>
              <w:bottom w:val="nil"/>
              <w:right w:val="nil"/>
            </w:tcBorders>
            <w:shd w:val="clear" w:color="auto" w:fill="auto"/>
            <w:noWrap/>
            <w:vAlign w:val="bottom"/>
            <w:hideMark/>
          </w:tcPr>
          <w:p w14:paraId="5F993A62" w14:textId="77777777" w:rsidR="00156623" w:rsidRPr="00156623" w:rsidRDefault="00156623" w:rsidP="009A1F48">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14:paraId="1461BB96" w14:textId="77777777" w:rsidR="00156623" w:rsidRPr="00156623" w:rsidRDefault="00156623" w:rsidP="009A1F48">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bottom"/>
            <w:hideMark/>
          </w:tcPr>
          <w:p w14:paraId="0466383F" w14:textId="77777777" w:rsidR="00156623" w:rsidRPr="00156623" w:rsidRDefault="00156623" w:rsidP="009A1F48">
            <w:pPr>
              <w:spacing w:after="0" w:line="240" w:lineRule="auto"/>
              <w:jc w:val="right"/>
              <w:rPr>
                <w:rFonts w:ascii="Arial" w:hAnsi="Arial" w:cs="Arial"/>
                <w:color w:val="000000"/>
                <w:sz w:val="16"/>
                <w:szCs w:val="16"/>
              </w:rPr>
            </w:pPr>
            <w:r w:rsidRPr="00156623">
              <w:rPr>
                <w:rFonts w:ascii="Arial" w:hAnsi="Arial" w:cs="Arial"/>
                <w:color w:val="000000"/>
                <w:sz w:val="16"/>
                <w:szCs w:val="16"/>
              </w:rPr>
              <w:t>(1,290)</w:t>
            </w:r>
          </w:p>
        </w:tc>
      </w:tr>
      <w:tr w:rsidR="00156623" w:rsidRPr="00156623" w14:paraId="278AF5C3" w14:textId="77777777" w:rsidTr="009A1F48">
        <w:trPr>
          <w:trHeight w:val="225"/>
        </w:trPr>
        <w:tc>
          <w:tcPr>
            <w:tcW w:w="3700" w:type="dxa"/>
            <w:tcBorders>
              <w:top w:val="nil"/>
              <w:left w:val="nil"/>
              <w:bottom w:val="nil"/>
              <w:right w:val="nil"/>
            </w:tcBorders>
            <w:shd w:val="clear" w:color="auto" w:fill="auto"/>
            <w:vAlign w:val="bottom"/>
            <w:hideMark/>
          </w:tcPr>
          <w:p w14:paraId="6E8AF3CB" w14:textId="77777777" w:rsidR="00156623" w:rsidRPr="00156623" w:rsidRDefault="00156623" w:rsidP="00156623">
            <w:pPr>
              <w:spacing w:after="0" w:line="240" w:lineRule="auto"/>
              <w:jc w:val="left"/>
              <w:rPr>
                <w:rFonts w:ascii="Arial" w:hAnsi="Arial" w:cs="Arial"/>
                <w:b/>
                <w:bCs/>
                <w:i/>
                <w:iCs/>
                <w:color w:val="000000"/>
                <w:sz w:val="16"/>
                <w:szCs w:val="16"/>
              </w:rPr>
            </w:pPr>
            <w:r w:rsidRPr="00156623">
              <w:rPr>
                <w:rFonts w:ascii="Arial" w:hAnsi="Arial" w:cs="Arial"/>
                <w:b/>
                <w:bCs/>
                <w:i/>
                <w:iCs/>
                <w:color w:val="000000"/>
                <w:sz w:val="16"/>
                <w:szCs w:val="16"/>
              </w:rPr>
              <w:t>Total comprehensive income</w:t>
            </w:r>
          </w:p>
        </w:tc>
        <w:tc>
          <w:tcPr>
            <w:tcW w:w="820" w:type="dxa"/>
            <w:tcBorders>
              <w:top w:val="single" w:sz="4" w:space="0" w:color="000000"/>
              <w:left w:val="nil"/>
              <w:bottom w:val="single" w:sz="4" w:space="0" w:color="000000"/>
              <w:right w:val="nil"/>
            </w:tcBorders>
            <w:shd w:val="clear" w:color="auto" w:fill="auto"/>
            <w:noWrap/>
            <w:vAlign w:val="bottom"/>
            <w:hideMark/>
          </w:tcPr>
          <w:p w14:paraId="63B79640" w14:textId="77777777" w:rsidR="00156623" w:rsidRPr="00156623" w:rsidRDefault="00156623" w:rsidP="009A1F48">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(1,290)</w:t>
            </w:r>
          </w:p>
        </w:tc>
        <w:tc>
          <w:tcPr>
            <w:tcW w:w="920" w:type="dxa"/>
            <w:tcBorders>
              <w:top w:val="single" w:sz="4" w:space="0" w:color="000000"/>
              <w:left w:val="nil"/>
              <w:bottom w:val="single" w:sz="4" w:space="0" w:color="000000"/>
              <w:right w:val="nil"/>
            </w:tcBorders>
            <w:shd w:val="clear" w:color="auto" w:fill="auto"/>
            <w:noWrap/>
            <w:vAlign w:val="bottom"/>
            <w:hideMark/>
          </w:tcPr>
          <w:p w14:paraId="150BF77C" w14:textId="77777777" w:rsidR="00156623" w:rsidRPr="00156623" w:rsidRDefault="00156623" w:rsidP="009A1F48">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 </w:t>
            </w:r>
          </w:p>
        </w:tc>
        <w:tc>
          <w:tcPr>
            <w:tcW w:w="960" w:type="dxa"/>
            <w:tcBorders>
              <w:top w:val="single" w:sz="4" w:space="0" w:color="000000"/>
              <w:left w:val="nil"/>
              <w:bottom w:val="single" w:sz="4" w:space="0" w:color="000000"/>
              <w:right w:val="nil"/>
            </w:tcBorders>
            <w:shd w:val="clear" w:color="auto" w:fill="auto"/>
            <w:noWrap/>
            <w:vAlign w:val="bottom"/>
            <w:hideMark/>
          </w:tcPr>
          <w:p w14:paraId="0722088C" w14:textId="77777777" w:rsidR="00156623" w:rsidRPr="00156623" w:rsidRDefault="00156623" w:rsidP="009A1F48">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 </w:t>
            </w:r>
          </w:p>
        </w:tc>
        <w:tc>
          <w:tcPr>
            <w:tcW w:w="820" w:type="dxa"/>
            <w:tcBorders>
              <w:top w:val="single" w:sz="4" w:space="0" w:color="000000"/>
              <w:left w:val="nil"/>
              <w:bottom w:val="single" w:sz="4" w:space="0" w:color="000000"/>
              <w:right w:val="nil"/>
            </w:tcBorders>
            <w:shd w:val="clear" w:color="auto" w:fill="auto"/>
            <w:noWrap/>
            <w:vAlign w:val="bottom"/>
            <w:hideMark/>
          </w:tcPr>
          <w:p w14:paraId="3FAE94B0" w14:textId="77777777" w:rsidR="00156623" w:rsidRPr="00156623" w:rsidRDefault="00156623" w:rsidP="009A1F48">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(1,290)</w:t>
            </w:r>
          </w:p>
        </w:tc>
      </w:tr>
      <w:tr w:rsidR="00156623" w:rsidRPr="00156623" w14:paraId="714E3026" w14:textId="77777777" w:rsidTr="009A1F48">
        <w:trPr>
          <w:trHeight w:val="225"/>
        </w:trPr>
        <w:tc>
          <w:tcPr>
            <w:tcW w:w="3700" w:type="dxa"/>
            <w:tcBorders>
              <w:top w:val="nil"/>
              <w:left w:val="nil"/>
              <w:bottom w:val="nil"/>
              <w:right w:val="nil"/>
            </w:tcBorders>
            <w:shd w:val="clear" w:color="auto" w:fill="auto"/>
            <w:noWrap/>
            <w:vAlign w:val="bottom"/>
            <w:hideMark/>
          </w:tcPr>
          <w:p w14:paraId="1902FACE" w14:textId="77777777" w:rsidR="00156623" w:rsidRPr="00156623" w:rsidRDefault="00156623" w:rsidP="00156623">
            <w:pPr>
              <w:spacing w:after="0" w:line="240" w:lineRule="auto"/>
              <w:jc w:val="left"/>
              <w:rPr>
                <w:rFonts w:ascii="Arial" w:hAnsi="Arial" w:cs="Arial"/>
                <w:b/>
                <w:bCs/>
                <w:color w:val="000000"/>
                <w:sz w:val="16"/>
                <w:szCs w:val="16"/>
              </w:rPr>
            </w:pPr>
            <w:r w:rsidRPr="00156623">
              <w:rPr>
                <w:rFonts w:ascii="Arial" w:hAnsi="Arial" w:cs="Arial"/>
                <w:b/>
                <w:bCs/>
                <w:color w:val="000000"/>
                <w:sz w:val="16"/>
                <w:szCs w:val="16"/>
              </w:rPr>
              <w:t>Transactions with owners</w:t>
            </w:r>
          </w:p>
        </w:tc>
        <w:tc>
          <w:tcPr>
            <w:tcW w:w="820" w:type="dxa"/>
            <w:tcBorders>
              <w:top w:val="nil"/>
              <w:left w:val="nil"/>
              <w:bottom w:val="nil"/>
              <w:right w:val="nil"/>
            </w:tcBorders>
            <w:shd w:val="clear" w:color="auto" w:fill="auto"/>
            <w:noWrap/>
            <w:vAlign w:val="bottom"/>
            <w:hideMark/>
          </w:tcPr>
          <w:p w14:paraId="225C76D2" w14:textId="77777777" w:rsidR="00156623" w:rsidRPr="00156623" w:rsidRDefault="00156623" w:rsidP="009A1F48">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auto" w:fill="auto"/>
            <w:noWrap/>
            <w:vAlign w:val="bottom"/>
            <w:hideMark/>
          </w:tcPr>
          <w:p w14:paraId="504722CA" w14:textId="77777777" w:rsidR="00156623" w:rsidRPr="00156623" w:rsidRDefault="00156623" w:rsidP="009A1F48">
            <w:pPr>
              <w:spacing w:after="0" w:line="240" w:lineRule="auto"/>
              <w:jc w:val="right"/>
              <w:rPr>
                <w:rFonts w:ascii="Times New Roman" w:hAnsi="Times New Roman"/>
              </w:rPr>
            </w:pPr>
          </w:p>
        </w:tc>
        <w:tc>
          <w:tcPr>
            <w:tcW w:w="960" w:type="dxa"/>
            <w:tcBorders>
              <w:top w:val="nil"/>
              <w:left w:val="nil"/>
              <w:bottom w:val="nil"/>
              <w:right w:val="nil"/>
            </w:tcBorders>
            <w:shd w:val="clear" w:color="auto" w:fill="auto"/>
            <w:noWrap/>
            <w:vAlign w:val="bottom"/>
            <w:hideMark/>
          </w:tcPr>
          <w:p w14:paraId="540E8AAE" w14:textId="77777777" w:rsidR="00156623" w:rsidRPr="00156623" w:rsidRDefault="00156623" w:rsidP="009A1F48">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14:paraId="4CEB133F" w14:textId="77777777" w:rsidR="00156623" w:rsidRPr="00156623" w:rsidRDefault="00156623" w:rsidP="009A1F48">
            <w:pPr>
              <w:spacing w:after="0" w:line="240" w:lineRule="auto"/>
              <w:jc w:val="right"/>
              <w:rPr>
                <w:rFonts w:ascii="Times New Roman" w:hAnsi="Times New Roman"/>
              </w:rPr>
            </w:pPr>
          </w:p>
        </w:tc>
      </w:tr>
      <w:tr w:rsidR="00156623" w:rsidRPr="00156623" w14:paraId="406C17AF" w14:textId="77777777" w:rsidTr="009A1F48">
        <w:trPr>
          <w:trHeight w:val="225"/>
        </w:trPr>
        <w:tc>
          <w:tcPr>
            <w:tcW w:w="3700" w:type="dxa"/>
            <w:tcBorders>
              <w:top w:val="nil"/>
              <w:left w:val="nil"/>
              <w:bottom w:val="nil"/>
              <w:right w:val="nil"/>
            </w:tcBorders>
            <w:shd w:val="clear" w:color="auto" w:fill="auto"/>
            <w:noWrap/>
            <w:vAlign w:val="center"/>
            <w:hideMark/>
          </w:tcPr>
          <w:p w14:paraId="5F9A20F5" w14:textId="77777777" w:rsidR="00156623" w:rsidRPr="00156623" w:rsidRDefault="00156623" w:rsidP="00156623">
            <w:pPr>
              <w:spacing w:after="0" w:line="240" w:lineRule="auto"/>
              <w:jc w:val="left"/>
              <w:rPr>
                <w:rFonts w:ascii="Arial" w:hAnsi="Arial" w:cs="Arial"/>
                <w:b/>
                <w:bCs/>
                <w:i/>
                <w:iCs/>
                <w:color w:val="000000"/>
                <w:sz w:val="16"/>
                <w:szCs w:val="16"/>
              </w:rPr>
            </w:pPr>
            <w:r w:rsidRPr="00156623">
              <w:rPr>
                <w:rFonts w:ascii="Arial" w:hAnsi="Arial" w:cs="Arial"/>
                <w:b/>
                <w:bCs/>
                <w:i/>
                <w:iCs/>
                <w:color w:val="000000"/>
                <w:sz w:val="16"/>
                <w:szCs w:val="16"/>
              </w:rPr>
              <w:t>Contributions by owners</w:t>
            </w:r>
          </w:p>
        </w:tc>
        <w:tc>
          <w:tcPr>
            <w:tcW w:w="820" w:type="dxa"/>
            <w:tcBorders>
              <w:top w:val="nil"/>
              <w:left w:val="nil"/>
              <w:bottom w:val="nil"/>
              <w:right w:val="nil"/>
            </w:tcBorders>
            <w:shd w:val="clear" w:color="auto" w:fill="auto"/>
            <w:noWrap/>
            <w:vAlign w:val="bottom"/>
            <w:hideMark/>
          </w:tcPr>
          <w:p w14:paraId="36EF3A49" w14:textId="77777777" w:rsidR="00156623" w:rsidRPr="00156623" w:rsidRDefault="00156623" w:rsidP="009A1F48">
            <w:pPr>
              <w:spacing w:after="0" w:line="240" w:lineRule="auto"/>
              <w:jc w:val="right"/>
              <w:rPr>
                <w:rFonts w:ascii="Arial" w:hAnsi="Arial" w:cs="Arial"/>
                <w:b/>
                <w:bCs/>
                <w:i/>
                <w:iCs/>
                <w:color w:val="000000"/>
                <w:sz w:val="16"/>
                <w:szCs w:val="16"/>
              </w:rPr>
            </w:pPr>
          </w:p>
        </w:tc>
        <w:tc>
          <w:tcPr>
            <w:tcW w:w="920" w:type="dxa"/>
            <w:tcBorders>
              <w:top w:val="nil"/>
              <w:left w:val="nil"/>
              <w:bottom w:val="nil"/>
              <w:right w:val="nil"/>
            </w:tcBorders>
            <w:shd w:val="clear" w:color="auto" w:fill="auto"/>
            <w:noWrap/>
            <w:vAlign w:val="bottom"/>
            <w:hideMark/>
          </w:tcPr>
          <w:p w14:paraId="129BCFD9" w14:textId="77777777" w:rsidR="00156623" w:rsidRPr="00156623" w:rsidRDefault="00156623" w:rsidP="009A1F48">
            <w:pPr>
              <w:spacing w:after="0" w:line="240" w:lineRule="auto"/>
              <w:jc w:val="right"/>
              <w:rPr>
                <w:rFonts w:ascii="Times New Roman" w:hAnsi="Times New Roman"/>
              </w:rPr>
            </w:pPr>
          </w:p>
        </w:tc>
        <w:tc>
          <w:tcPr>
            <w:tcW w:w="960" w:type="dxa"/>
            <w:tcBorders>
              <w:top w:val="nil"/>
              <w:left w:val="nil"/>
              <w:bottom w:val="nil"/>
              <w:right w:val="nil"/>
            </w:tcBorders>
            <w:shd w:val="clear" w:color="auto" w:fill="auto"/>
            <w:noWrap/>
            <w:vAlign w:val="bottom"/>
            <w:hideMark/>
          </w:tcPr>
          <w:p w14:paraId="7E817CB0" w14:textId="77777777" w:rsidR="00156623" w:rsidRPr="00156623" w:rsidRDefault="00156623" w:rsidP="009A1F48">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14:paraId="4899695E" w14:textId="77777777" w:rsidR="00156623" w:rsidRPr="00156623" w:rsidRDefault="00156623" w:rsidP="009A1F48">
            <w:pPr>
              <w:spacing w:after="0" w:line="240" w:lineRule="auto"/>
              <w:jc w:val="right"/>
              <w:rPr>
                <w:rFonts w:ascii="Times New Roman" w:hAnsi="Times New Roman"/>
              </w:rPr>
            </w:pPr>
          </w:p>
        </w:tc>
      </w:tr>
      <w:tr w:rsidR="00156623" w:rsidRPr="00156623" w14:paraId="19CAAAAA" w14:textId="77777777" w:rsidTr="009A1F48">
        <w:trPr>
          <w:trHeight w:val="225"/>
        </w:trPr>
        <w:tc>
          <w:tcPr>
            <w:tcW w:w="3700" w:type="dxa"/>
            <w:tcBorders>
              <w:top w:val="nil"/>
              <w:left w:val="nil"/>
              <w:bottom w:val="nil"/>
              <w:right w:val="nil"/>
            </w:tcBorders>
            <w:shd w:val="clear" w:color="auto" w:fill="auto"/>
            <w:noWrap/>
            <w:vAlign w:val="bottom"/>
            <w:hideMark/>
          </w:tcPr>
          <w:p w14:paraId="0DD57AEE" w14:textId="77777777" w:rsidR="00156623" w:rsidRPr="00156623" w:rsidRDefault="00156623" w:rsidP="00156623">
            <w:pPr>
              <w:spacing w:after="0" w:line="240" w:lineRule="auto"/>
              <w:ind w:firstLineChars="200" w:firstLine="320"/>
              <w:jc w:val="left"/>
              <w:rPr>
                <w:rFonts w:ascii="Arial" w:hAnsi="Arial" w:cs="Arial"/>
                <w:color w:val="000000"/>
                <w:sz w:val="16"/>
                <w:szCs w:val="16"/>
              </w:rPr>
            </w:pPr>
            <w:r w:rsidRPr="00156623">
              <w:rPr>
                <w:rFonts w:ascii="Arial" w:hAnsi="Arial" w:cs="Arial"/>
                <w:color w:val="000000"/>
                <w:sz w:val="16"/>
                <w:szCs w:val="16"/>
              </w:rPr>
              <w:t>Departmental Capital Budget (DCB)</w:t>
            </w:r>
          </w:p>
        </w:tc>
        <w:tc>
          <w:tcPr>
            <w:tcW w:w="820" w:type="dxa"/>
            <w:tcBorders>
              <w:top w:val="nil"/>
              <w:left w:val="nil"/>
              <w:bottom w:val="nil"/>
              <w:right w:val="nil"/>
            </w:tcBorders>
            <w:shd w:val="clear" w:color="auto" w:fill="auto"/>
            <w:noWrap/>
            <w:vAlign w:val="bottom"/>
            <w:hideMark/>
          </w:tcPr>
          <w:p w14:paraId="51D9B495" w14:textId="77777777" w:rsidR="00156623" w:rsidRPr="00156623" w:rsidRDefault="00156623" w:rsidP="009A1F48">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 </w:t>
            </w:r>
          </w:p>
        </w:tc>
        <w:tc>
          <w:tcPr>
            <w:tcW w:w="920" w:type="dxa"/>
            <w:tcBorders>
              <w:top w:val="nil"/>
              <w:left w:val="nil"/>
              <w:bottom w:val="nil"/>
              <w:right w:val="nil"/>
            </w:tcBorders>
            <w:shd w:val="clear" w:color="auto" w:fill="auto"/>
            <w:noWrap/>
            <w:vAlign w:val="bottom"/>
            <w:hideMark/>
          </w:tcPr>
          <w:p w14:paraId="27F193D8" w14:textId="77777777" w:rsidR="00156623" w:rsidRPr="00156623" w:rsidRDefault="00156623" w:rsidP="009A1F48">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14:paraId="79C18587" w14:textId="77777777" w:rsidR="00156623" w:rsidRPr="00156623" w:rsidRDefault="00156623" w:rsidP="009A1F48">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834 </w:t>
            </w:r>
          </w:p>
        </w:tc>
        <w:tc>
          <w:tcPr>
            <w:tcW w:w="820" w:type="dxa"/>
            <w:tcBorders>
              <w:top w:val="nil"/>
              <w:left w:val="nil"/>
              <w:bottom w:val="nil"/>
              <w:right w:val="nil"/>
            </w:tcBorders>
            <w:shd w:val="clear" w:color="auto" w:fill="auto"/>
            <w:noWrap/>
            <w:vAlign w:val="bottom"/>
            <w:hideMark/>
          </w:tcPr>
          <w:p w14:paraId="102C97DD" w14:textId="77777777" w:rsidR="00156623" w:rsidRPr="00156623" w:rsidRDefault="00156623" w:rsidP="009A1F48">
            <w:pPr>
              <w:spacing w:after="0" w:line="240" w:lineRule="auto"/>
              <w:jc w:val="right"/>
              <w:rPr>
                <w:rFonts w:ascii="Arial" w:hAnsi="Arial" w:cs="Arial"/>
                <w:color w:val="000000"/>
                <w:sz w:val="16"/>
                <w:szCs w:val="16"/>
              </w:rPr>
            </w:pPr>
            <w:r w:rsidRPr="00156623">
              <w:rPr>
                <w:rFonts w:ascii="Arial" w:hAnsi="Arial" w:cs="Arial"/>
                <w:color w:val="000000"/>
                <w:sz w:val="16"/>
                <w:szCs w:val="16"/>
              </w:rPr>
              <w:t xml:space="preserve">834 </w:t>
            </w:r>
          </w:p>
        </w:tc>
      </w:tr>
      <w:tr w:rsidR="00156623" w:rsidRPr="00156623" w14:paraId="0C0652F8" w14:textId="77777777" w:rsidTr="009A1F48">
        <w:trPr>
          <w:trHeight w:val="435"/>
        </w:trPr>
        <w:tc>
          <w:tcPr>
            <w:tcW w:w="3700" w:type="dxa"/>
            <w:tcBorders>
              <w:top w:val="nil"/>
              <w:left w:val="nil"/>
              <w:bottom w:val="nil"/>
              <w:right w:val="nil"/>
            </w:tcBorders>
            <w:shd w:val="clear" w:color="auto" w:fill="auto"/>
            <w:vAlign w:val="bottom"/>
            <w:hideMark/>
          </w:tcPr>
          <w:p w14:paraId="0F020A23" w14:textId="77777777" w:rsidR="00156623" w:rsidRPr="00156623" w:rsidRDefault="00156623" w:rsidP="00156623">
            <w:pPr>
              <w:spacing w:after="0" w:line="240" w:lineRule="auto"/>
              <w:jc w:val="left"/>
              <w:rPr>
                <w:rFonts w:ascii="Arial" w:hAnsi="Arial" w:cs="Arial"/>
                <w:b/>
                <w:bCs/>
                <w:i/>
                <w:iCs/>
                <w:color w:val="000000"/>
                <w:sz w:val="16"/>
                <w:szCs w:val="16"/>
              </w:rPr>
            </w:pPr>
            <w:r w:rsidRPr="00156623">
              <w:rPr>
                <w:rFonts w:ascii="Arial" w:hAnsi="Arial" w:cs="Arial"/>
                <w:b/>
                <w:bCs/>
                <w:i/>
                <w:iCs/>
                <w:color w:val="000000"/>
                <w:sz w:val="16"/>
                <w:szCs w:val="16"/>
              </w:rPr>
              <w:t>Sub-total transactions with</w:t>
            </w:r>
            <w:r w:rsidRPr="00156623">
              <w:rPr>
                <w:rFonts w:ascii="Arial" w:hAnsi="Arial" w:cs="Arial"/>
                <w:b/>
                <w:bCs/>
                <w:i/>
                <w:iCs/>
                <w:color w:val="000000"/>
                <w:sz w:val="16"/>
                <w:szCs w:val="16"/>
              </w:rPr>
              <w:br/>
              <w:t xml:space="preserve">  owners</w:t>
            </w:r>
          </w:p>
        </w:tc>
        <w:tc>
          <w:tcPr>
            <w:tcW w:w="820" w:type="dxa"/>
            <w:tcBorders>
              <w:top w:val="single" w:sz="4" w:space="0" w:color="000000"/>
              <w:left w:val="nil"/>
              <w:bottom w:val="single" w:sz="4" w:space="0" w:color="000000"/>
              <w:right w:val="nil"/>
            </w:tcBorders>
            <w:shd w:val="clear" w:color="auto" w:fill="auto"/>
            <w:noWrap/>
            <w:vAlign w:val="bottom"/>
            <w:hideMark/>
          </w:tcPr>
          <w:p w14:paraId="5C4B940A" w14:textId="77777777" w:rsidR="00156623" w:rsidRPr="00156623" w:rsidRDefault="00156623" w:rsidP="009A1F48">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5A7B2DBB" w14:textId="77777777" w:rsidR="00156623" w:rsidRPr="00156623" w:rsidRDefault="00156623" w:rsidP="009A1F48">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 </w:t>
            </w:r>
          </w:p>
        </w:tc>
        <w:tc>
          <w:tcPr>
            <w:tcW w:w="960" w:type="dxa"/>
            <w:tcBorders>
              <w:top w:val="single" w:sz="4" w:space="0" w:color="000000"/>
              <w:left w:val="nil"/>
              <w:bottom w:val="single" w:sz="4" w:space="0" w:color="000000"/>
              <w:right w:val="nil"/>
            </w:tcBorders>
            <w:shd w:val="clear" w:color="auto" w:fill="auto"/>
            <w:noWrap/>
            <w:vAlign w:val="bottom"/>
            <w:hideMark/>
          </w:tcPr>
          <w:p w14:paraId="42964091" w14:textId="77777777" w:rsidR="00156623" w:rsidRPr="00156623" w:rsidRDefault="00156623" w:rsidP="009A1F48">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834 </w:t>
            </w:r>
          </w:p>
        </w:tc>
        <w:tc>
          <w:tcPr>
            <w:tcW w:w="820" w:type="dxa"/>
            <w:tcBorders>
              <w:top w:val="single" w:sz="4" w:space="0" w:color="000000"/>
              <w:left w:val="nil"/>
              <w:bottom w:val="single" w:sz="4" w:space="0" w:color="000000"/>
              <w:right w:val="nil"/>
            </w:tcBorders>
            <w:shd w:val="clear" w:color="auto" w:fill="auto"/>
            <w:noWrap/>
            <w:vAlign w:val="bottom"/>
            <w:hideMark/>
          </w:tcPr>
          <w:p w14:paraId="1937C828" w14:textId="77777777" w:rsidR="00156623" w:rsidRPr="00156623" w:rsidRDefault="00156623" w:rsidP="009A1F48">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834 </w:t>
            </w:r>
          </w:p>
        </w:tc>
      </w:tr>
      <w:tr w:rsidR="00156623" w:rsidRPr="00156623" w14:paraId="2AFEE3ED" w14:textId="77777777" w:rsidTr="008703DD">
        <w:trPr>
          <w:trHeight w:val="392"/>
        </w:trPr>
        <w:tc>
          <w:tcPr>
            <w:tcW w:w="3700" w:type="dxa"/>
            <w:tcBorders>
              <w:top w:val="nil"/>
              <w:left w:val="nil"/>
              <w:bottom w:val="nil"/>
              <w:right w:val="nil"/>
            </w:tcBorders>
            <w:shd w:val="clear" w:color="auto" w:fill="auto"/>
            <w:vAlign w:val="bottom"/>
            <w:hideMark/>
          </w:tcPr>
          <w:p w14:paraId="69A99C8E" w14:textId="77777777" w:rsidR="00156623" w:rsidRPr="00156623" w:rsidRDefault="00156623" w:rsidP="00156623">
            <w:pPr>
              <w:spacing w:after="0" w:line="240" w:lineRule="auto"/>
              <w:jc w:val="left"/>
              <w:rPr>
                <w:rFonts w:ascii="Arial" w:hAnsi="Arial" w:cs="Arial"/>
                <w:b/>
                <w:bCs/>
                <w:color w:val="000000"/>
                <w:sz w:val="16"/>
                <w:szCs w:val="16"/>
              </w:rPr>
            </w:pPr>
            <w:r w:rsidRPr="00156623">
              <w:rPr>
                <w:rFonts w:ascii="Arial" w:hAnsi="Arial" w:cs="Arial"/>
                <w:b/>
                <w:bCs/>
                <w:color w:val="000000"/>
                <w:sz w:val="16"/>
                <w:szCs w:val="16"/>
              </w:rPr>
              <w:t>Estimated closing balance as at</w:t>
            </w:r>
            <w:r w:rsidRPr="00156623">
              <w:rPr>
                <w:rFonts w:ascii="Arial" w:hAnsi="Arial" w:cs="Arial"/>
                <w:b/>
                <w:bCs/>
                <w:color w:val="000000"/>
                <w:sz w:val="16"/>
                <w:szCs w:val="16"/>
              </w:rPr>
              <w:br/>
              <w:t xml:space="preserve">  30 June 2023</w:t>
            </w:r>
          </w:p>
        </w:tc>
        <w:tc>
          <w:tcPr>
            <w:tcW w:w="820" w:type="dxa"/>
            <w:tcBorders>
              <w:top w:val="nil"/>
              <w:left w:val="nil"/>
              <w:bottom w:val="single" w:sz="4" w:space="0" w:color="auto"/>
              <w:right w:val="nil"/>
            </w:tcBorders>
            <w:shd w:val="clear" w:color="auto" w:fill="auto"/>
            <w:noWrap/>
            <w:vAlign w:val="bottom"/>
            <w:hideMark/>
          </w:tcPr>
          <w:p w14:paraId="2AE7D0B9" w14:textId="77777777" w:rsidR="00156623" w:rsidRPr="00156623" w:rsidRDefault="00156623" w:rsidP="009A1F48">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12,005 </w:t>
            </w:r>
          </w:p>
        </w:tc>
        <w:tc>
          <w:tcPr>
            <w:tcW w:w="920" w:type="dxa"/>
            <w:tcBorders>
              <w:top w:val="nil"/>
              <w:left w:val="nil"/>
              <w:bottom w:val="single" w:sz="4" w:space="0" w:color="auto"/>
              <w:right w:val="nil"/>
            </w:tcBorders>
            <w:shd w:val="clear" w:color="auto" w:fill="auto"/>
            <w:noWrap/>
            <w:vAlign w:val="bottom"/>
            <w:hideMark/>
          </w:tcPr>
          <w:p w14:paraId="1A3F1A95" w14:textId="77777777" w:rsidR="00156623" w:rsidRPr="00156623" w:rsidRDefault="00156623" w:rsidP="009A1F48">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1,827 </w:t>
            </w:r>
          </w:p>
        </w:tc>
        <w:tc>
          <w:tcPr>
            <w:tcW w:w="960" w:type="dxa"/>
            <w:tcBorders>
              <w:top w:val="nil"/>
              <w:left w:val="nil"/>
              <w:bottom w:val="single" w:sz="4" w:space="0" w:color="auto"/>
              <w:right w:val="nil"/>
            </w:tcBorders>
            <w:shd w:val="clear" w:color="auto" w:fill="auto"/>
            <w:noWrap/>
            <w:vAlign w:val="bottom"/>
            <w:hideMark/>
          </w:tcPr>
          <w:p w14:paraId="01EB83A6" w14:textId="77777777" w:rsidR="00156623" w:rsidRPr="00156623" w:rsidRDefault="00156623" w:rsidP="009A1F48">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12,974 </w:t>
            </w:r>
          </w:p>
        </w:tc>
        <w:tc>
          <w:tcPr>
            <w:tcW w:w="820" w:type="dxa"/>
            <w:tcBorders>
              <w:top w:val="nil"/>
              <w:left w:val="nil"/>
              <w:bottom w:val="single" w:sz="4" w:space="0" w:color="auto"/>
              <w:right w:val="nil"/>
            </w:tcBorders>
            <w:shd w:val="clear" w:color="auto" w:fill="auto"/>
            <w:noWrap/>
            <w:vAlign w:val="bottom"/>
            <w:hideMark/>
          </w:tcPr>
          <w:p w14:paraId="43262FA7" w14:textId="77777777" w:rsidR="00156623" w:rsidRPr="00156623" w:rsidRDefault="00156623" w:rsidP="009A1F48">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26,806 </w:t>
            </w:r>
          </w:p>
        </w:tc>
      </w:tr>
      <w:tr w:rsidR="00156623" w:rsidRPr="00156623" w14:paraId="5F28F5FB" w14:textId="77777777" w:rsidTr="009A1F48">
        <w:trPr>
          <w:trHeight w:val="465"/>
        </w:trPr>
        <w:tc>
          <w:tcPr>
            <w:tcW w:w="3700" w:type="dxa"/>
            <w:tcBorders>
              <w:top w:val="nil"/>
              <w:left w:val="nil"/>
              <w:bottom w:val="single" w:sz="4" w:space="0" w:color="000000"/>
              <w:right w:val="nil"/>
            </w:tcBorders>
            <w:shd w:val="clear" w:color="auto" w:fill="auto"/>
            <w:vAlign w:val="bottom"/>
            <w:hideMark/>
          </w:tcPr>
          <w:p w14:paraId="0F7AC5CE" w14:textId="77777777" w:rsidR="00156623" w:rsidRPr="00156623" w:rsidRDefault="00156623" w:rsidP="00156623">
            <w:pPr>
              <w:spacing w:after="0" w:line="240" w:lineRule="auto"/>
              <w:jc w:val="left"/>
              <w:rPr>
                <w:rFonts w:ascii="Arial" w:hAnsi="Arial" w:cs="Arial"/>
                <w:b/>
                <w:bCs/>
                <w:color w:val="000000"/>
                <w:sz w:val="16"/>
                <w:szCs w:val="16"/>
              </w:rPr>
            </w:pPr>
            <w:r w:rsidRPr="00156623">
              <w:rPr>
                <w:rFonts w:ascii="Arial" w:hAnsi="Arial" w:cs="Arial"/>
                <w:b/>
                <w:bCs/>
                <w:color w:val="000000"/>
                <w:sz w:val="16"/>
                <w:szCs w:val="16"/>
              </w:rPr>
              <w:t>Closing balance attributable to</w:t>
            </w:r>
            <w:r w:rsidRPr="00156623">
              <w:rPr>
                <w:rFonts w:ascii="Arial" w:hAnsi="Arial" w:cs="Arial"/>
                <w:b/>
                <w:bCs/>
                <w:color w:val="000000"/>
                <w:sz w:val="16"/>
                <w:szCs w:val="16"/>
              </w:rPr>
              <w:br/>
              <w:t xml:space="preserve">  the Australian Government</w:t>
            </w:r>
          </w:p>
        </w:tc>
        <w:tc>
          <w:tcPr>
            <w:tcW w:w="820" w:type="dxa"/>
            <w:tcBorders>
              <w:top w:val="nil"/>
              <w:left w:val="nil"/>
              <w:bottom w:val="single" w:sz="4" w:space="0" w:color="auto"/>
              <w:right w:val="nil"/>
            </w:tcBorders>
            <w:shd w:val="clear" w:color="auto" w:fill="auto"/>
            <w:noWrap/>
            <w:vAlign w:val="bottom"/>
            <w:hideMark/>
          </w:tcPr>
          <w:p w14:paraId="740326FB" w14:textId="77777777" w:rsidR="00156623" w:rsidRPr="00156623" w:rsidRDefault="00156623" w:rsidP="009A1F48">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12,005 </w:t>
            </w:r>
          </w:p>
        </w:tc>
        <w:tc>
          <w:tcPr>
            <w:tcW w:w="920" w:type="dxa"/>
            <w:tcBorders>
              <w:top w:val="nil"/>
              <w:left w:val="nil"/>
              <w:bottom w:val="single" w:sz="4" w:space="0" w:color="auto"/>
              <w:right w:val="nil"/>
            </w:tcBorders>
            <w:shd w:val="clear" w:color="auto" w:fill="auto"/>
            <w:noWrap/>
            <w:vAlign w:val="bottom"/>
            <w:hideMark/>
          </w:tcPr>
          <w:p w14:paraId="37FB5F66" w14:textId="77777777" w:rsidR="00156623" w:rsidRPr="00156623" w:rsidRDefault="00156623" w:rsidP="009A1F48">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1,827 </w:t>
            </w:r>
          </w:p>
        </w:tc>
        <w:tc>
          <w:tcPr>
            <w:tcW w:w="960" w:type="dxa"/>
            <w:tcBorders>
              <w:top w:val="nil"/>
              <w:left w:val="nil"/>
              <w:bottom w:val="single" w:sz="4" w:space="0" w:color="auto"/>
              <w:right w:val="nil"/>
            </w:tcBorders>
            <w:shd w:val="clear" w:color="auto" w:fill="auto"/>
            <w:noWrap/>
            <w:vAlign w:val="bottom"/>
            <w:hideMark/>
          </w:tcPr>
          <w:p w14:paraId="41879B67" w14:textId="77777777" w:rsidR="00156623" w:rsidRPr="00156623" w:rsidRDefault="00156623" w:rsidP="009A1F48">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12,974 </w:t>
            </w:r>
          </w:p>
        </w:tc>
        <w:tc>
          <w:tcPr>
            <w:tcW w:w="820" w:type="dxa"/>
            <w:tcBorders>
              <w:top w:val="nil"/>
              <w:left w:val="nil"/>
              <w:bottom w:val="single" w:sz="4" w:space="0" w:color="auto"/>
              <w:right w:val="nil"/>
            </w:tcBorders>
            <w:shd w:val="clear" w:color="auto" w:fill="auto"/>
            <w:noWrap/>
            <w:vAlign w:val="bottom"/>
            <w:hideMark/>
          </w:tcPr>
          <w:p w14:paraId="0A61A5F9" w14:textId="77777777" w:rsidR="00156623" w:rsidRPr="00156623" w:rsidRDefault="00156623" w:rsidP="009A1F48">
            <w:pPr>
              <w:spacing w:after="0" w:line="240" w:lineRule="auto"/>
              <w:jc w:val="right"/>
              <w:rPr>
                <w:rFonts w:ascii="Arial" w:hAnsi="Arial" w:cs="Arial"/>
                <w:b/>
                <w:bCs/>
                <w:color w:val="000000"/>
                <w:sz w:val="16"/>
                <w:szCs w:val="16"/>
              </w:rPr>
            </w:pPr>
            <w:r w:rsidRPr="00156623">
              <w:rPr>
                <w:rFonts w:ascii="Arial" w:hAnsi="Arial" w:cs="Arial"/>
                <w:b/>
                <w:bCs/>
                <w:color w:val="000000"/>
                <w:sz w:val="16"/>
                <w:szCs w:val="16"/>
              </w:rPr>
              <w:t xml:space="preserve">26,806 </w:t>
            </w:r>
          </w:p>
        </w:tc>
      </w:tr>
    </w:tbl>
    <w:p w14:paraId="02B4ABF3" w14:textId="598D6719" w:rsidR="00345CCD" w:rsidRPr="00AD7443" w:rsidRDefault="00345CCD" w:rsidP="00AD7443">
      <w:pPr>
        <w:pStyle w:val="ChartandTableFootnote"/>
        <w:rPr>
          <w:rFonts w:cs="Arial"/>
        </w:rPr>
      </w:pPr>
      <w:r w:rsidRPr="00AD7443">
        <w:rPr>
          <w:rFonts w:cs="Arial"/>
        </w:rPr>
        <w:t>Prepared on Australian Accounting Standards basis.</w:t>
      </w:r>
    </w:p>
    <w:p w14:paraId="2ABAB3CB" w14:textId="3CF336E3" w:rsidR="00D31C51" w:rsidRDefault="000A24C4" w:rsidP="00D31C51">
      <w:pPr>
        <w:pStyle w:val="TableHeading"/>
        <w:rPr>
          <w:rFonts w:ascii="Times New Roman" w:hAnsi="Times New Roman"/>
        </w:rPr>
      </w:pPr>
      <w:r>
        <w:br w:type="page"/>
      </w:r>
      <w:r w:rsidR="00345CCD">
        <w:lastRenderedPageBreak/>
        <w:t>Table</w:t>
      </w:r>
      <w:r w:rsidR="00971CBF">
        <w:t xml:space="preserve"> 3.</w:t>
      </w:r>
      <w:r w:rsidR="00345CCD">
        <w:t xml:space="preserve">4: </w:t>
      </w:r>
      <w:r w:rsidR="00345CCD" w:rsidRPr="00D30CBA">
        <w:t xml:space="preserve">Budgeted </w:t>
      </w:r>
      <w:r w:rsidR="00F10305">
        <w:t>d</w:t>
      </w:r>
      <w:r w:rsidR="00F10305" w:rsidRPr="00D30CBA">
        <w:t>epar</w:t>
      </w:r>
      <w:r w:rsidR="00F10305">
        <w:t xml:space="preserve">tmental statement of cash flows </w:t>
      </w:r>
      <w:r w:rsidR="00345CCD" w:rsidRPr="00D30CBA">
        <w:t>(</w:t>
      </w:r>
      <w:r w:rsidR="00F10305">
        <w:t>for </w:t>
      </w:r>
      <w:r w:rsidR="00345CCD">
        <w:t>the period ended</w:t>
      </w:r>
      <w:r w:rsidR="00345CCD" w:rsidRPr="00D30CBA">
        <w:t xml:space="preserve"> 30 J</w:t>
      </w:r>
      <w:r w:rsidR="00D31C51">
        <w:rPr>
          <w:lang w:val="en-AU"/>
        </w:rPr>
        <w:t>u</w:t>
      </w:r>
      <w:r w:rsidR="00345CCD" w:rsidRPr="00D30CBA">
        <w:t>ne</w:t>
      </w:r>
      <w:r w:rsidR="009A1F48">
        <w:rPr>
          <w:lang w:val="en-AU"/>
        </w:rPr>
        <w:t>)</w:t>
      </w:r>
    </w:p>
    <w:tbl>
      <w:tblPr>
        <w:tblW w:w="5000" w:type="pct"/>
        <w:tblCellMar>
          <w:left w:w="0" w:type="dxa"/>
          <w:right w:w="28" w:type="dxa"/>
        </w:tblCellMar>
        <w:tblLook w:val="04A0" w:firstRow="1" w:lastRow="0" w:firstColumn="1" w:lastColumn="0" w:noHBand="0" w:noVBand="1"/>
      </w:tblPr>
      <w:tblGrid>
        <w:gridCol w:w="3014"/>
        <w:gridCol w:w="941"/>
        <w:gridCol w:w="939"/>
        <w:gridCol w:w="939"/>
        <w:gridCol w:w="939"/>
        <w:gridCol w:w="938"/>
      </w:tblGrid>
      <w:tr w:rsidR="00D31C51" w:rsidRPr="00D31C51" w14:paraId="2AB464EE" w14:textId="77777777" w:rsidTr="00870A0F">
        <w:trPr>
          <w:trHeight w:hRule="exact" w:val="885"/>
        </w:trPr>
        <w:tc>
          <w:tcPr>
            <w:tcW w:w="1955" w:type="pct"/>
            <w:tcBorders>
              <w:top w:val="single" w:sz="4" w:space="0" w:color="auto"/>
              <w:left w:val="nil"/>
              <w:bottom w:val="nil"/>
              <w:right w:val="nil"/>
            </w:tcBorders>
            <w:shd w:val="clear" w:color="auto" w:fill="auto"/>
            <w:noWrap/>
            <w:vAlign w:val="bottom"/>
            <w:hideMark/>
          </w:tcPr>
          <w:p w14:paraId="046838AB" w14:textId="490A49B6" w:rsidR="00D31C51" w:rsidRPr="00D31C51" w:rsidRDefault="00D31C51" w:rsidP="00D31C51">
            <w:pPr>
              <w:spacing w:after="0" w:line="240" w:lineRule="auto"/>
              <w:jc w:val="left"/>
              <w:rPr>
                <w:rFonts w:ascii="Arial" w:hAnsi="Arial" w:cs="Arial"/>
                <w:b/>
                <w:bCs/>
                <w:sz w:val="16"/>
                <w:szCs w:val="16"/>
              </w:rPr>
            </w:pPr>
            <w:r w:rsidRPr="00D31C51">
              <w:rPr>
                <w:rFonts w:ascii="Arial" w:hAnsi="Arial" w:cs="Arial"/>
                <w:b/>
                <w:bCs/>
                <w:sz w:val="16"/>
                <w:szCs w:val="16"/>
              </w:rPr>
              <w:t> </w:t>
            </w:r>
          </w:p>
        </w:tc>
        <w:tc>
          <w:tcPr>
            <w:tcW w:w="610" w:type="pct"/>
            <w:tcBorders>
              <w:top w:val="single" w:sz="4" w:space="0" w:color="auto"/>
              <w:left w:val="nil"/>
              <w:bottom w:val="single" w:sz="4" w:space="0" w:color="auto"/>
              <w:right w:val="nil"/>
            </w:tcBorders>
            <w:shd w:val="clear" w:color="auto" w:fill="auto"/>
            <w:vAlign w:val="bottom"/>
            <w:hideMark/>
          </w:tcPr>
          <w:p w14:paraId="2D52AB60" w14:textId="77777777" w:rsidR="00D31C51" w:rsidRPr="00D31C51" w:rsidRDefault="00D31C51" w:rsidP="00D31C51">
            <w:pPr>
              <w:spacing w:after="0" w:line="240" w:lineRule="auto"/>
              <w:jc w:val="right"/>
              <w:rPr>
                <w:rFonts w:ascii="Arial" w:hAnsi="Arial" w:cs="Arial"/>
                <w:sz w:val="16"/>
                <w:szCs w:val="16"/>
              </w:rPr>
            </w:pPr>
            <w:r w:rsidRPr="00D31C51">
              <w:rPr>
                <w:rFonts w:ascii="Arial" w:hAnsi="Arial" w:cs="Arial"/>
                <w:sz w:val="16"/>
                <w:szCs w:val="16"/>
              </w:rPr>
              <w:t>2021-22 Estimated actual</w:t>
            </w:r>
            <w:r w:rsidRPr="00D31C51">
              <w:rPr>
                <w:rFonts w:ascii="Arial" w:hAnsi="Arial" w:cs="Arial"/>
                <w:sz w:val="16"/>
                <w:szCs w:val="16"/>
              </w:rPr>
              <w:br/>
              <w:t>$'000</w:t>
            </w:r>
          </w:p>
        </w:tc>
        <w:tc>
          <w:tcPr>
            <w:tcW w:w="609" w:type="pct"/>
            <w:tcBorders>
              <w:top w:val="single" w:sz="4" w:space="0" w:color="auto"/>
              <w:left w:val="nil"/>
              <w:bottom w:val="single" w:sz="4" w:space="0" w:color="auto"/>
              <w:right w:val="nil"/>
            </w:tcBorders>
            <w:shd w:val="clear" w:color="000000" w:fill="E6E6E6"/>
            <w:vAlign w:val="bottom"/>
            <w:hideMark/>
          </w:tcPr>
          <w:p w14:paraId="57853EA4" w14:textId="77777777" w:rsidR="00D31C51" w:rsidRPr="00D31C51" w:rsidRDefault="00D31C51" w:rsidP="00D31C51">
            <w:pPr>
              <w:spacing w:after="0" w:line="240" w:lineRule="auto"/>
              <w:jc w:val="right"/>
              <w:rPr>
                <w:rFonts w:ascii="Arial" w:hAnsi="Arial" w:cs="Arial"/>
                <w:sz w:val="16"/>
                <w:szCs w:val="16"/>
              </w:rPr>
            </w:pPr>
            <w:r w:rsidRPr="00D31C51">
              <w:rPr>
                <w:rFonts w:ascii="Arial" w:hAnsi="Arial" w:cs="Arial"/>
                <w:sz w:val="16"/>
                <w:szCs w:val="16"/>
              </w:rPr>
              <w:t>2022-23</w:t>
            </w:r>
            <w:r w:rsidRPr="00D31C51">
              <w:rPr>
                <w:rFonts w:ascii="Arial" w:hAnsi="Arial" w:cs="Arial"/>
                <w:sz w:val="16"/>
                <w:szCs w:val="16"/>
              </w:rPr>
              <w:br/>
              <w:t>Budget</w:t>
            </w:r>
            <w:r w:rsidRPr="00D31C51">
              <w:rPr>
                <w:rFonts w:ascii="Arial" w:hAnsi="Arial" w:cs="Arial"/>
                <w:sz w:val="16"/>
                <w:szCs w:val="16"/>
              </w:rPr>
              <w:br/>
            </w:r>
            <w:r w:rsidRPr="00D31C51">
              <w:rPr>
                <w:rFonts w:ascii="Arial" w:hAnsi="Arial" w:cs="Arial"/>
                <w:sz w:val="16"/>
                <w:szCs w:val="16"/>
              </w:rPr>
              <w:br/>
              <w:t>$'000</w:t>
            </w:r>
          </w:p>
        </w:tc>
        <w:tc>
          <w:tcPr>
            <w:tcW w:w="609" w:type="pct"/>
            <w:tcBorders>
              <w:top w:val="single" w:sz="4" w:space="0" w:color="auto"/>
              <w:left w:val="nil"/>
              <w:bottom w:val="single" w:sz="4" w:space="0" w:color="auto"/>
              <w:right w:val="nil"/>
            </w:tcBorders>
            <w:shd w:val="clear" w:color="auto" w:fill="auto"/>
            <w:vAlign w:val="bottom"/>
            <w:hideMark/>
          </w:tcPr>
          <w:p w14:paraId="2DC0FF55" w14:textId="77777777" w:rsidR="00D31C51" w:rsidRPr="00D31C51" w:rsidRDefault="00D31C51" w:rsidP="00D31C51">
            <w:pPr>
              <w:spacing w:after="0" w:line="240" w:lineRule="auto"/>
              <w:jc w:val="right"/>
              <w:rPr>
                <w:rFonts w:ascii="Arial" w:hAnsi="Arial" w:cs="Arial"/>
                <w:sz w:val="16"/>
                <w:szCs w:val="16"/>
              </w:rPr>
            </w:pPr>
            <w:r w:rsidRPr="00D31C51">
              <w:rPr>
                <w:rFonts w:ascii="Arial" w:hAnsi="Arial" w:cs="Arial"/>
                <w:sz w:val="16"/>
                <w:szCs w:val="16"/>
              </w:rPr>
              <w:t>2023-24 Forward estimate</w:t>
            </w:r>
            <w:r w:rsidRPr="00D31C51">
              <w:rPr>
                <w:rFonts w:ascii="Arial" w:hAnsi="Arial" w:cs="Arial"/>
                <w:sz w:val="16"/>
                <w:szCs w:val="16"/>
              </w:rPr>
              <w:br/>
              <w:t>$'000</w:t>
            </w:r>
          </w:p>
        </w:tc>
        <w:tc>
          <w:tcPr>
            <w:tcW w:w="609" w:type="pct"/>
            <w:tcBorders>
              <w:top w:val="single" w:sz="4" w:space="0" w:color="auto"/>
              <w:left w:val="nil"/>
              <w:bottom w:val="single" w:sz="4" w:space="0" w:color="auto"/>
              <w:right w:val="nil"/>
            </w:tcBorders>
            <w:shd w:val="clear" w:color="auto" w:fill="auto"/>
            <w:vAlign w:val="bottom"/>
            <w:hideMark/>
          </w:tcPr>
          <w:p w14:paraId="60102CFA" w14:textId="77777777" w:rsidR="00D31C51" w:rsidRPr="00D31C51" w:rsidRDefault="00D31C51" w:rsidP="00D31C51">
            <w:pPr>
              <w:spacing w:after="0" w:line="240" w:lineRule="auto"/>
              <w:jc w:val="right"/>
              <w:rPr>
                <w:rFonts w:ascii="Arial" w:hAnsi="Arial" w:cs="Arial"/>
                <w:sz w:val="16"/>
                <w:szCs w:val="16"/>
              </w:rPr>
            </w:pPr>
            <w:r w:rsidRPr="00D31C51">
              <w:rPr>
                <w:rFonts w:ascii="Arial" w:hAnsi="Arial" w:cs="Arial"/>
                <w:sz w:val="16"/>
                <w:szCs w:val="16"/>
              </w:rPr>
              <w:t>2024-25 Forward estimate</w:t>
            </w:r>
            <w:r w:rsidRPr="00D31C51">
              <w:rPr>
                <w:rFonts w:ascii="Arial" w:hAnsi="Arial" w:cs="Arial"/>
                <w:sz w:val="16"/>
                <w:szCs w:val="16"/>
              </w:rPr>
              <w:br/>
              <w:t>$'000</w:t>
            </w:r>
          </w:p>
        </w:tc>
        <w:tc>
          <w:tcPr>
            <w:tcW w:w="608" w:type="pct"/>
            <w:tcBorders>
              <w:top w:val="single" w:sz="4" w:space="0" w:color="auto"/>
              <w:left w:val="nil"/>
              <w:bottom w:val="single" w:sz="4" w:space="0" w:color="auto"/>
              <w:right w:val="nil"/>
            </w:tcBorders>
            <w:shd w:val="clear" w:color="auto" w:fill="auto"/>
            <w:vAlign w:val="bottom"/>
            <w:hideMark/>
          </w:tcPr>
          <w:p w14:paraId="679A6F80" w14:textId="77777777" w:rsidR="00D31C51" w:rsidRPr="00D31C51" w:rsidRDefault="00D31C51" w:rsidP="00D31C51">
            <w:pPr>
              <w:spacing w:after="0" w:line="240" w:lineRule="auto"/>
              <w:jc w:val="right"/>
              <w:rPr>
                <w:rFonts w:ascii="Arial" w:hAnsi="Arial" w:cs="Arial"/>
                <w:sz w:val="16"/>
                <w:szCs w:val="16"/>
              </w:rPr>
            </w:pPr>
            <w:r w:rsidRPr="00D31C51">
              <w:rPr>
                <w:rFonts w:ascii="Arial" w:hAnsi="Arial" w:cs="Arial"/>
                <w:sz w:val="16"/>
                <w:szCs w:val="16"/>
              </w:rPr>
              <w:t>2025-26</w:t>
            </w:r>
            <w:r w:rsidRPr="00D31C51">
              <w:rPr>
                <w:rFonts w:ascii="Arial" w:hAnsi="Arial" w:cs="Arial"/>
                <w:sz w:val="16"/>
                <w:szCs w:val="16"/>
              </w:rPr>
              <w:br/>
              <w:t>Forward estimate</w:t>
            </w:r>
            <w:r w:rsidRPr="00D31C51">
              <w:rPr>
                <w:rFonts w:ascii="Arial" w:hAnsi="Arial" w:cs="Arial"/>
                <w:sz w:val="16"/>
                <w:szCs w:val="16"/>
              </w:rPr>
              <w:br/>
              <w:t>$'000</w:t>
            </w:r>
          </w:p>
        </w:tc>
      </w:tr>
      <w:tr w:rsidR="00D31C51" w:rsidRPr="00D31C51" w14:paraId="447A78F4" w14:textId="77777777" w:rsidTr="00870A0F">
        <w:trPr>
          <w:trHeight w:hRule="exact" w:val="225"/>
        </w:trPr>
        <w:tc>
          <w:tcPr>
            <w:tcW w:w="1955" w:type="pct"/>
            <w:tcBorders>
              <w:top w:val="nil"/>
              <w:left w:val="nil"/>
              <w:bottom w:val="nil"/>
              <w:right w:val="nil"/>
            </w:tcBorders>
            <w:shd w:val="clear" w:color="auto" w:fill="auto"/>
            <w:noWrap/>
            <w:vAlign w:val="bottom"/>
            <w:hideMark/>
          </w:tcPr>
          <w:p w14:paraId="6590D9B9" w14:textId="77777777" w:rsidR="00D31C51" w:rsidRPr="00D31C51" w:rsidRDefault="00D31C51" w:rsidP="00D31C51">
            <w:pPr>
              <w:spacing w:after="0" w:line="240" w:lineRule="auto"/>
              <w:jc w:val="left"/>
              <w:rPr>
                <w:rFonts w:ascii="Arial" w:hAnsi="Arial" w:cs="Arial"/>
                <w:b/>
                <w:bCs/>
                <w:color w:val="000000"/>
                <w:sz w:val="16"/>
                <w:szCs w:val="16"/>
              </w:rPr>
            </w:pPr>
            <w:r w:rsidRPr="00D31C51">
              <w:rPr>
                <w:rFonts w:ascii="Arial" w:hAnsi="Arial" w:cs="Arial"/>
                <w:b/>
                <w:bCs/>
                <w:color w:val="000000"/>
                <w:sz w:val="16"/>
                <w:szCs w:val="16"/>
              </w:rPr>
              <w:t>OPERATING ACTIVITIES</w:t>
            </w:r>
          </w:p>
        </w:tc>
        <w:tc>
          <w:tcPr>
            <w:tcW w:w="610" w:type="pct"/>
            <w:tcBorders>
              <w:top w:val="nil"/>
              <w:left w:val="nil"/>
              <w:bottom w:val="nil"/>
              <w:right w:val="nil"/>
            </w:tcBorders>
            <w:shd w:val="clear" w:color="auto" w:fill="auto"/>
            <w:noWrap/>
            <w:vAlign w:val="bottom"/>
            <w:hideMark/>
          </w:tcPr>
          <w:p w14:paraId="00FD7131" w14:textId="77777777" w:rsidR="00D31C51" w:rsidRPr="00D31C51" w:rsidRDefault="00D31C51" w:rsidP="00D31C51">
            <w:pPr>
              <w:spacing w:after="0" w:line="240" w:lineRule="auto"/>
              <w:jc w:val="left"/>
              <w:rPr>
                <w:rFonts w:ascii="Arial" w:hAnsi="Arial" w:cs="Arial"/>
                <w:b/>
                <w:bCs/>
                <w:color w:val="000000"/>
                <w:sz w:val="16"/>
                <w:szCs w:val="16"/>
              </w:rPr>
            </w:pPr>
          </w:p>
        </w:tc>
        <w:tc>
          <w:tcPr>
            <w:tcW w:w="609" w:type="pct"/>
            <w:tcBorders>
              <w:top w:val="nil"/>
              <w:left w:val="nil"/>
              <w:bottom w:val="nil"/>
              <w:right w:val="nil"/>
            </w:tcBorders>
            <w:shd w:val="clear" w:color="000000" w:fill="E6E6E6"/>
            <w:noWrap/>
            <w:vAlign w:val="bottom"/>
            <w:hideMark/>
          </w:tcPr>
          <w:p w14:paraId="15EC1642" w14:textId="77777777" w:rsidR="00D31C51" w:rsidRPr="00D31C51" w:rsidRDefault="00D31C51" w:rsidP="00D31C51">
            <w:pPr>
              <w:spacing w:after="0" w:line="240" w:lineRule="auto"/>
              <w:jc w:val="left"/>
              <w:rPr>
                <w:rFonts w:ascii="Arial" w:hAnsi="Arial" w:cs="Arial"/>
                <w:color w:val="000000"/>
                <w:sz w:val="16"/>
                <w:szCs w:val="16"/>
              </w:rPr>
            </w:pPr>
            <w:r w:rsidRPr="00D31C51">
              <w:rPr>
                <w:rFonts w:ascii="Arial" w:hAnsi="Arial" w:cs="Arial"/>
                <w:color w:val="000000"/>
                <w:sz w:val="16"/>
                <w:szCs w:val="16"/>
              </w:rPr>
              <w:t> </w:t>
            </w:r>
          </w:p>
        </w:tc>
        <w:tc>
          <w:tcPr>
            <w:tcW w:w="609" w:type="pct"/>
            <w:tcBorders>
              <w:top w:val="nil"/>
              <w:left w:val="nil"/>
              <w:bottom w:val="nil"/>
              <w:right w:val="nil"/>
            </w:tcBorders>
            <w:shd w:val="clear" w:color="auto" w:fill="auto"/>
            <w:noWrap/>
            <w:vAlign w:val="bottom"/>
            <w:hideMark/>
          </w:tcPr>
          <w:p w14:paraId="1D1E90F6" w14:textId="77777777" w:rsidR="00D31C51" w:rsidRPr="00D31C51" w:rsidRDefault="00D31C51" w:rsidP="00D31C51">
            <w:pPr>
              <w:spacing w:after="0" w:line="240" w:lineRule="auto"/>
              <w:jc w:val="left"/>
              <w:rPr>
                <w:rFonts w:ascii="Arial" w:hAnsi="Arial" w:cs="Arial"/>
                <w:color w:val="000000"/>
                <w:sz w:val="16"/>
                <w:szCs w:val="16"/>
              </w:rPr>
            </w:pPr>
          </w:p>
        </w:tc>
        <w:tc>
          <w:tcPr>
            <w:tcW w:w="609" w:type="pct"/>
            <w:tcBorders>
              <w:top w:val="nil"/>
              <w:left w:val="nil"/>
              <w:bottom w:val="nil"/>
              <w:right w:val="nil"/>
            </w:tcBorders>
            <w:shd w:val="clear" w:color="auto" w:fill="auto"/>
            <w:noWrap/>
            <w:vAlign w:val="bottom"/>
            <w:hideMark/>
          </w:tcPr>
          <w:p w14:paraId="38ABE813" w14:textId="77777777" w:rsidR="00D31C51" w:rsidRPr="00D31C51" w:rsidRDefault="00D31C51" w:rsidP="00D31C51">
            <w:pPr>
              <w:spacing w:after="0" w:line="240" w:lineRule="auto"/>
              <w:jc w:val="left"/>
              <w:rPr>
                <w:rFonts w:ascii="Times New Roman" w:hAnsi="Times New Roman"/>
              </w:rPr>
            </w:pPr>
          </w:p>
        </w:tc>
        <w:tc>
          <w:tcPr>
            <w:tcW w:w="608" w:type="pct"/>
            <w:tcBorders>
              <w:top w:val="nil"/>
              <w:left w:val="nil"/>
              <w:bottom w:val="nil"/>
              <w:right w:val="nil"/>
            </w:tcBorders>
            <w:shd w:val="clear" w:color="auto" w:fill="auto"/>
            <w:noWrap/>
            <w:vAlign w:val="bottom"/>
            <w:hideMark/>
          </w:tcPr>
          <w:p w14:paraId="35F2F3A9" w14:textId="77777777" w:rsidR="00D31C51" w:rsidRPr="00D31C51" w:rsidRDefault="00D31C51" w:rsidP="00D31C51">
            <w:pPr>
              <w:spacing w:after="0" w:line="240" w:lineRule="auto"/>
              <w:jc w:val="left"/>
              <w:rPr>
                <w:rFonts w:ascii="Times New Roman" w:hAnsi="Times New Roman"/>
              </w:rPr>
            </w:pPr>
          </w:p>
        </w:tc>
      </w:tr>
      <w:tr w:rsidR="00D31C51" w:rsidRPr="00D31C51" w14:paraId="74B5C87B" w14:textId="77777777" w:rsidTr="00870A0F">
        <w:trPr>
          <w:trHeight w:hRule="exact" w:val="225"/>
        </w:trPr>
        <w:tc>
          <w:tcPr>
            <w:tcW w:w="1955" w:type="pct"/>
            <w:tcBorders>
              <w:top w:val="nil"/>
              <w:left w:val="nil"/>
              <w:bottom w:val="nil"/>
              <w:right w:val="nil"/>
            </w:tcBorders>
            <w:shd w:val="clear" w:color="auto" w:fill="auto"/>
            <w:noWrap/>
            <w:vAlign w:val="bottom"/>
            <w:hideMark/>
          </w:tcPr>
          <w:p w14:paraId="297F0B53" w14:textId="77777777" w:rsidR="00D31C51" w:rsidRPr="00D31C51" w:rsidRDefault="00D31C51" w:rsidP="00D31C51">
            <w:pPr>
              <w:spacing w:after="0" w:line="240" w:lineRule="auto"/>
              <w:jc w:val="left"/>
              <w:rPr>
                <w:rFonts w:ascii="Arial" w:hAnsi="Arial" w:cs="Arial"/>
                <w:b/>
                <w:bCs/>
                <w:color w:val="000000"/>
                <w:sz w:val="16"/>
                <w:szCs w:val="16"/>
              </w:rPr>
            </w:pPr>
            <w:r w:rsidRPr="00D31C51">
              <w:rPr>
                <w:rFonts w:ascii="Arial" w:hAnsi="Arial" w:cs="Arial"/>
                <w:b/>
                <w:bCs/>
                <w:color w:val="000000"/>
                <w:sz w:val="16"/>
                <w:szCs w:val="16"/>
              </w:rPr>
              <w:t>Cash received</w:t>
            </w:r>
          </w:p>
        </w:tc>
        <w:tc>
          <w:tcPr>
            <w:tcW w:w="610" w:type="pct"/>
            <w:tcBorders>
              <w:top w:val="nil"/>
              <w:left w:val="nil"/>
              <w:bottom w:val="nil"/>
              <w:right w:val="nil"/>
            </w:tcBorders>
            <w:shd w:val="clear" w:color="auto" w:fill="auto"/>
            <w:noWrap/>
            <w:vAlign w:val="bottom"/>
            <w:hideMark/>
          </w:tcPr>
          <w:p w14:paraId="09E22B19" w14:textId="77777777" w:rsidR="00D31C51" w:rsidRPr="00D31C51" w:rsidRDefault="00D31C51" w:rsidP="00D31C51">
            <w:pPr>
              <w:spacing w:after="0" w:line="240" w:lineRule="auto"/>
              <w:jc w:val="left"/>
              <w:rPr>
                <w:rFonts w:ascii="Arial" w:hAnsi="Arial" w:cs="Arial"/>
                <w:b/>
                <w:bCs/>
                <w:color w:val="000000"/>
                <w:sz w:val="16"/>
                <w:szCs w:val="16"/>
              </w:rPr>
            </w:pPr>
          </w:p>
        </w:tc>
        <w:tc>
          <w:tcPr>
            <w:tcW w:w="609" w:type="pct"/>
            <w:tcBorders>
              <w:top w:val="nil"/>
              <w:left w:val="nil"/>
              <w:bottom w:val="nil"/>
              <w:right w:val="nil"/>
            </w:tcBorders>
            <w:shd w:val="clear" w:color="000000" w:fill="E6E6E6"/>
            <w:noWrap/>
            <w:vAlign w:val="bottom"/>
            <w:hideMark/>
          </w:tcPr>
          <w:p w14:paraId="449C1D8C" w14:textId="77777777" w:rsidR="00D31C51" w:rsidRPr="00D31C51" w:rsidRDefault="00D31C51" w:rsidP="00D31C51">
            <w:pPr>
              <w:spacing w:after="0" w:line="240" w:lineRule="auto"/>
              <w:jc w:val="left"/>
              <w:rPr>
                <w:rFonts w:ascii="Arial" w:hAnsi="Arial" w:cs="Arial"/>
                <w:color w:val="000000"/>
                <w:sz w:val="16"/>
                <w:szCs w:val="16"/>
              </w:rPr>
            </w:pPr>
            <w:r w:rsidRPr="00D31C51">
              <w:rPr>
                <w:rFonts w:ascii="Arial" w:hAnsi="Arial" w:cs="Arial"/>
                <w:color w:val="000000"/>
                <w:sz w:val="16"/>
                <w:szCs w:val="16"/>
              </w:rPr>
              <w:t> </w:t>
            </w:r>
          </w:p>
        </w:tc>
        <w:tc>
          <w:tcPr>
            <w:tcW w:w="609" w:type="pct"/>
            <w:tcBorders>
              <w:top w:val="nil"/>
              <w:left w:val="nil"/>
              <w:bottom w:val="nil"/>
              <w:right w:val="nil"/>
            </w:tcBorders>
            <w:shd w:val="clear" w:color="auto" w:fill="auto"/>
            <w:noWrap/>
            <w:vAlign w:val="bottom"/>
            <w:hideMark/>
          </w:tcPr>
          <w:p w14:paraId="342657EE" w14:textId="77777777" w:rsidR="00D31C51" w:rsidRPr="00D31C51" w:rsidRDefault="00D31C51" w:rsidP="00D31C51">
            <w:pPr>
              <w:spacing w:after="0" w:line="240" w:lineRule="auto"/>
              <w:jc w:val="left"/>
              <w:rPr>
                <w:rFonts w:ascii="Arial" w:hAnsi="Arial" w:cs="Arial"/>
                <w:color w:val="000000"/>
                <w:sz w:val="16"/>
                <w:szCs w:val="16"/>
              </w:rPr>
            </w:pPr>
          </w:p>
        </w:tc>
        <w:tc>
          <w:tcPr>
            <w:tcW w:w="609" w:type="pct"/>
            <w:tcBorders>
              <w:top w:val="nil"/>
              <w:left w:val="nil"/>
              <w:bottom w:val="nil"/>
              <w:right w:val="nil"/>
            </w:tcBorders>
            <w:shd w:val="clear" w:color="auto" w:fill="auto"/>
            <w:noWrap/>
            <w:vAlign w:val="bottom"/>
            <w:hideMark/>
          </w:tcPr>
          <w:p w14:paraId="3E0817A8" w14:textId="77777777" w:rsidR="00D31C51" w:rsidRPr="00D31C51" w:rsidRDefault="00D31C51" w:rsidP="00D31C51">
            <w:pPr>
              <w:spacing w:after="0" w:line="240" w:lineRule="auto"/>
              <w:jc w:val="left"/>
              <w:rPr>
                <w:rFonts w:ascii="Times New Roman" w:hAnsi="Times New Roman"/>
              </w:rPr>
            </w:pPr>
          </w:p>
        </w:tc>
        <w:tc>
          <w:tcPr>
            <w:tcW w:w="608" w:type="pct"/>
            <w:tcBorders>
              <w:top w:val="nil"/>
              <w:left w:val="nil"/>
              <w:bottom w:val="nil"/>
              <w:right w:val="nil"/>
            </w:tcBorders>
            <w:shd w:val="clear" w:color="auto" w:fill="auto"/>
            <w:noWrap/>
            <w:vAlign w:val="bottom"/>
            <w:hideMark/>
          </w:tcPr>
          <w:p w14:paraId="57806BD6" w14:textId="77777777" w:rsidR="00D31C51" w:rsidRPr="00D31C51" w:rsidRDefault="00D31C51" w:rsidP="00D31C51">
            <w:pPr>
              <w:spacing w:after="0" w:line="240" w:lineRule="auto"/>
              <w:jc w:val="left"/>
              <w:rPr>
                <w:rFonts w:ascii="Times New Roman" w:hAnsi="Times New Roman"/>
              </w:rPr>
            </w:pPr>
          </w:p>
        </w:tc>
      </w:tr>
      <w:tr w:rsidR="00D31C51" w:rsidRPr="00D31C51" w14:paraId="0F9439F7" w14:textId="77777777" w:rsidTr="00870A0F">
        <w:trPr>
          <w:trHeight w:hRule="exact" w:val="225"/>
        </w:trPr>
        <w:tc>
          <w:tcPr>
            <w:tcW w:w="1955" w:type="pct"/>
            <w:tcBorders>
              <w:top w:val="nil"/>
              <w:left w:val="nil"/>
              <w:bottom w:val="nil"/>
              <w:right w:val="nil"/>
            </w:tcBorders>
            <w:shd w:val="clear" w:color="auto" w:fill="auto"/>
            <w:noWrap/>
            <w:vAlign w:val="bottom"/>
            <w:hideMark/>
          </w:tcPr>
          <w:p w14:paraId="7CD90B6B" w14:textId="77777777" w:rsidR="00D31C51" w:rsidRPr="00D31C51" w:rsidRDefault="00D31C51" w:rsidP="00D31C51">
            <w:pPr>
              <w:spacing w:after="0" w:line="240" w:lineRule="auto"/>
              <w:ind w:left="170"/>
              <w:jc w:val="left"/>
              <w:rPr>
                <w:rFonts w:ascii="Arial" w:hAnsi="Arial" w:cs="Arial"/>
                <w:color w:val="000000"/>
                <w:sz w:val="16"/>
                <w:szCs w:val="16"/>
              </w:rPr>
            </w:pPr>
            <w:r w:rsidRPr="00D31C51">
              <w:rPr>
                <w:rFonts w:ascii="Arial" w:hAnsi="Arial" w:cs="Arial"/>
                <w:color w:val="000000"/>
                <w:sz w:val="16"/>
                <w:szCs w:val="16"/>
              </w:rPr>
              <w:t>Appropriations</w:t>
            </w:r>
          </w:p>
        </w:tc>
        <w:tc>
          <w:tcPr>
            <w:tcW w:w="610" w:type="pct"/>
            <w:tcBorders>
              <w:top w:val="nil"/>
              <w:left w:val="nil"/>
              <w:bottom w:val="nil"/>
              <w:right w:val="nil"/>
            </w:tcBorders>
            <w:shd w:val="clear" w:color="auto" w:fill="auto"/>
            <w:noWrap/>
            <w:vAlign w:val="bottom"/>
            <w:hideMark/>
          </w:tcPr>
          <w:p w14:paraId="2D980813"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36,496 </w:t>
            </w:r>
          </w:p>
        </w:tc>
        <w:tc>
          <w:tcPr>
            <w:tcW w:w="609" w:type="pct"/>
            <w:tcBorders>
              <w:top w:val="nil"/>
              <w:left w:val="nil"/>
              <w:bottom w:val="nil"/>
              <w:right w:val="nil"/>
            </w:tcBorders>
            <w:shd w:val="clear" w:color="000000" w:fill="E6E6E6"/>
            <w:noWrap/>
            <w:vAlign w:val="bottom"/>
            <w:hideMark/>
          </w:tcPr>
          <w:p w14:paraId="3C7A92A6"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37,298 </w:t>
            </w:r>
          </w:p>
        </w:tc>
        <w:tc>
          <w:tcPr>
            <w:tcW w:w="609" w:type="pct"/>
            <w:tcBorders>
              <w:top w:val="nil"/>
              <w:left w:val="nil"/>
              <w:bottom w:val="nil"/>
              <w:right w:val="nil"/>
            </w:tcBorders>
            <w:shd w:val="clear" w:color="auto" w:fill="auto"/>
            <w:noWrap/>
            <w:vAlign w:val="bottom"/>
            <w:hideMark/>
          </w:tcPr>
          <w:p w14:paraId="4558CAAA"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36,579 </w:t>
            </w:r>
          </w:p>
        </w:tc>
        <w:tc>
          <w:tcPr>
            <w:tcW w:w="609" w:type="pct"/>
            <w:tcBorders>
              <w:top w:val="nil"/>
              <w:left w:val="nil"/>
              <w:bottom w:val="nil"/>
              <w:right w:val="nil"/>
            </w:tcBorders>
            <w:shd w:val="clear" w:color="auto" w:fill="auto"/>
            <w:noWrap/>
            <w:vAlign w:val="bottom"/>
            <w:hideMark/>
          </w:tcPr>
          <w:p w14:paraId="7A63A5DC"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36,799 </w:t>
            </w:r>
          </w:p>
        </w:tc>
        <w:tc>
          <w:tcPr>
            <w:tcW w:w="608" w:type="pct"/>
            <w:tcBorders>
              <w:top w:val="nil"/>
              <w:left w:val="nil"/>
              <w:bottom w:val="nil"/>
              <w:right w:val="nil"/>
            </w:tcBorders>
            <w:shd w:val="clear" w:color="auto" w:fill="auto"/>
            <w:noWrap/>
            <w:vAlign w:val="bottom"/>
            <w:hideMark/>
          </w:tcPr>
          <w:p w14:paraId="5BDEDB69"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36,985 </w:t>
            </w:r>
          </w:p>
        </w:tc>
      </w:tr>
      <w:tr w:rsidR="00D31C51" w:rsidRPr="00D31C51" w14:paraId="4BABDC4A" w14:textId="77777777" w:rsidTr="00870A0F">
        <w:trPr>
          <w:trHeight w:hRule="exact" w:val="450"/>
        </w:trPr>
        <w:tc>
          <w:tcPr>
            <w:tcW w:w="1955" w:type="pct"/>
            <w:tcBorders>
              <w:top w:val="nil"/>
              <w:left w:val="nil"/>
              <w:bottom w:val="nil"/>
              <w:right w:val="nil"/>
            </w:tcBorders>
            <w:shd w:val="clear" w:color="auto" w:fill="auto"/>
            <w:vAlign w:val="bottom"/>
            <w:hideMark/>
          </w:tcPr>
          <w:p w14:paraId="44808502" w14:textId="77777777" w:rsidR="00D31C51" w:rsidRPr="00D31C51" w:rsidRDefault="00D31C51" w:rsidP="00D31C51">
            <w:pPr>
              <w:spacing w:after="0" w:line="240" w:lineRule="auto"/>
              <w:ind w:left="170"/>
              <w:jc w:val="left"/>
              <w:rPr>
                <w:rFonts w:ascii="Arial" w:hAnsi="Arial" w:cs="Arial"/>
                <w:color w:val="000000"/>
                <w:sz w:val="16"/>
                <w:szCs w:val="16"/>
              </w:rPr>
            </w:pPr>
            <w:r w:rsidRPr="00D31C51">
              <w:rPr>
                <w:rFonts w:ascii="Arial" w:hAnsi="Arial" w:cs="Arial"/>
                <w:color w:val="000000"/>
                <w:sz w:val="16"/>
                <w:szCs w:val="16"/>
              </w:rPr>
              <w:t>Sale of goods and rendering of</w:t>
            </w:r>
            <w:r w:rsidRPr="00D31C51">
              <w:rPr>
                <w:rFonts w:ascii="Arial" w:hAnsi="Arial" w:cs="Arial"/>
                <w:color w:val="000000"/>
                <w:sz w:val="16"/>
                <w:szCs w:val="16"/>
              </w:rPr>
              <w:br/>
              <w:t xml:space="preserve">  services</w:t>
            </w:r>
          </w:p>
        </w:tc>
        <w:tc>
          <w:tcPr>
            <w:tcW w:w="610" w:type="pct"/>
            <w:tcBorders>
              <w:top w:val="nil"/>
              <w:left w:val="nil"/>
              <w:bottom w:val="nil"/>
              <w:right w:val="nil"/>
            </w:tcBorders>
            <w:shd w:val="clear" w:color="auto" w:fill="auto"/>
            <w:noWrap/>
            <w:vAlign w:val="bottom"/>
            <w:hideMark/>
          </w:tcPr>
          <w:p w14:paraId="117B741F"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10 </w:t>
            </w:r>
          </w:p>
        </w:tc>
        <w:tc>
          <w:tcPr>
            <w:tcW w:w="609" w:type="pct"/>
            <w:tcBorders>
              <w:top w:val="nil"/>
              <w:left w:val="nil"/>
              <w:bottom w:val="nil"/>
              <w:right w:val="nil"/>
            </w:tcBorders>
            <w:shd w:val="clear" w:color="000000" w:fill="E6E6E6"/>
            <w:noWrap/>
            <w:vAlign w:val="bottom"/>
            <w:hideMark/>
          </w:tcPr>
          <w:p w14:paraId="48228D4C"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10 </w:t>
            </w:r>
          </w:p>
        </w:tc>
        <w:tc>
          <w:tcPr>
            <w:tcW w:w="609" w:type="pct"/>
            <w:tcBorders>
              <w:top w:val="nil"/>
              <w:left w:val="nil"/>
              <w:bottom w:val="nil"/>
              <w:right w:val="nil"/>
            </w:tcBorders>
            <w:shd w:val="clear" w:color="auto" w:fill="auto"/>
            <w:noWrap/>
            <w:vAlign w:val="bottom"/>
            <w:hideMark/>
          </w:tcPr>
          <w:p w14:paraId="709373C0"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10 </w:t>
            </w:r>
          </w:p>
        </w:tc>
        <w:tc>
          <w:tcPr>
            <w:tcW w:w="609" w:type="pct"/>
            <w:tcBorders>
              <w:top w:val="nil"/>
              <w:left w:val="nil"/>
              <w:bottom w:val="nil"/>
              <w:right w:val="nil"/>
            </w:tcBorders>
            <w:shd w:val="clear" w:color="auto" w:fill="auto"/>
            <w:noWrap/>
            <w:vAlign w:val="bottom"/>
            <w:hideMark/>
          </w:tcPr>
          <w:p w14:paraId="63CC701A"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10 </w:t>
            </w:r>
          </w:p>
        </w:tc>
        <w:tc>
          <w:tcPr>
            <w:tcW w:w="608" w:type="pct"/>
            <w:tcBorders>
              <w:top w:val="nil"/>
              <w:left w:val="nil"/>
              <w:bottom w:val="nil"/>
              <w:right w:val="nil"/>
            </w:tcBorders>
            <w:shd w:val="clear" w:color="auto" w:fill="auto"/>
            <w:noWrap/>
            <w:vAlign w:val="bottom"/>
            <w:hideMark/>
          </w:tcPr>
          <w:p w14:paraId="34F59041"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10 </w:t>
            </w:r>
          </w:p>
        </w:tc>
      </w:tr>
      <w:tr w:rsidR="00D31C51" w:rsidRPr="00D31C51" w14:paraId="5A043A09" w14:textId="77777777" w:rsidTr="00870A0F">
        <w:trPr>
          <w:trHeight w:hRule="exact" w:val="225"/>
        </w:trPr>
        <w:tc>
          <w:tcPr>
            <w:tcW w:w="1955" w:type="pct"/>
            <w:tcBorders>
              <w:top w:val="nil"/>
              <w:left w:val="nil"/>
              <w:bottom w:val="nil"/>
              <w:right w:val="nil"/>
            </w:tcBorders>
            <w:shd w:val="clear" w:color="auto" w:fill="auto"/>
            <w:noWrap/>
            <w:vAlign w:val="bottom"/>
            <w:hideMark/>
          </w:tcPr>
          <w:p w14:paraId="56A08E15" w14:textId="77777777" w:rsidR="00D31C51" w:rsidRPr="00D31C51" w:rsidRDefault="00D31C51" w:rsidP="00D31C51">
            <w:pPr>
              <w:spacing w:after="0" w:line="240" w:lineRule="auto"/>
              <w:jc w:val="left"/>
              <w:rPr>
                <w:rFonts w:ascii="Arial" w:hAnsi="Arial" w:cs="Arial"/>
                <w:b/>
                <w:bCs/>
                <w:i/>
                <w:iCs/>
                <w:color w:val="000000"/>
                <w:sz w:val="16"/>
                <w:szCs w:val="16"/>
              </w:rPr>
            </w:pPr>
            <w:r w:rsidRPr="00D31C51">
              <w:rPr>
                <w:rFonts w:ascii="Arial" w:hAnsi="Arial" w:cs="Arial"/>
                <w:b/>
                <w:bCs/>
                <w:i/>
                <w:iCs/>
                <w:color w:val="000000"/>
                <w:sz w:val="16"/>
                <w:szCs w:val="16"/>
              </w:rPr>
              <w:t>Total cash received</w:t>
            </w:r>
          </w:p>
        </w:tc>
        <w:tc>
          <w:tcPr>
            <w:tcW w:w="610" w:type="pct"/>
            <w:tcBorders>
              <w:top w:val="single" w:sz="4" w:space="0" w:color="000000"/>
              <w:left w:val="nil"/>
              <w:bottom w:val="single" w:sz="4" w:space="0" w:color="000000"/>
              <w:right w:val="nil"/>
            </w:tcBorders>
            <w:shd w:val="clear" w:color="auto" w:fill="auto"/>
            <w:noWrap/>
            <w:vAlign w:val="bottom"/>
            <w:hideMark/>
          </w:tcPr>
          <w:p w14:paraId="6877AE58"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36,506 </w:t>
            </w:r>
          </w:p>
        </w:tc>
        <w:tc>
          <w:tcPr>
            <w:tcW w:w="609" w:type="pct"/>
            <w:tcBorders>
              <w:top w:val="single" w:sz="4" w:space="0" w:color="000000"/>
              <w:left w:val="nil"/>
              <w:bottom w:val="single" w:sz="4" w:space="0" w:color="000000"/>
              <w:right w:val="nil"/>
            </w:tcBorders>
            <w:shd w:val="clear" w:color="000000" w:fill="E6E6E6"/>
            <w:noWrap/>
            <w:vAlign w:val="bottom"/>
            <w:hideMark/>
          </w:tcPr>
          <w:p w14:paraId="52684354"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37,308 </w:t>
            </w:r>
          </w:p>
        </w:tc>
        <w:tc>
          <w:tcPr>
            <w:tcW w:w="609" w:type="pct"/>
            <w:tcBorders>
              <w:top w:val="single" w:sz="4" w:space="0" w:color="000000"/>
              <w:left w:val="nil"/>
              <w:bottom w:val="single" w:sz="4" w:space="0" w:color="000000"/>
              <w:right w:val="nil"/>
            </w:tcBorders>
            <w:shd w:val="clear" w:color="auto" w:fill="auto"/>
            <w:noWrap/>
            <w:vAlign w:val="bottom"/>
            <w:hideMark/>
          </w:tcPr>
          <w:p w14:paraId="04EBD3CC"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36,589 </w:t>
            </w:r>
          </w:p>
        </w:tc>
        <w:tc>
          <w:tcPr>
            <w:tcW w:w="609" w:type="pct"/>
            <w:tcBorders>
              <w:top w:val="single" w:sz="4" w:space="0" w:color="000000"/>
              <w:left w:val="nil"/>
              <w:bottom w:val="single" w:sz="4" w:space="0" w:color="000000"/>
              <w:right w:val="nil"/>
            </w:tcBorders>
            <w:shd w:val="clear" w:color="auto" w:fill="auto"/>
            <w:noWrap/>
            <w:vAlign w:val="bottom"/>
            <w:hideMark/>
          </w:tcPr>
          <w:p w14:paraId="6628EA43"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36,809 </w:t>
            </w:r>
          </w:p>
        </w:tc>
        <w:tc>
          <w:tcPr>
            <w:tcW w:w="608" w:type="pct"/>
            <w:tcBorders>
              <w:top w:val="single" w:sz="4" w:space="0" w:color="000000"/>
              <w:left w:val="nil"/>
              <w:bottom w:val="single" w:sz="4" w:space="0" w:color="000000"/>
              <w:right w:val="nil"/>
            </w:tcBorders>
            <w:shd w:val="clear" w:color="auto" w:fill="auto"/>
            <w:noWrap/>
            <w:vAlign w:val="bottom"/>
            <w:hideMark/>
          </w:tcPr>
          <w:p w14:paraId="4AAFEC2C"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36,995 </w:t>
            </w:r>
          </w:p>
        </w:tc>
      </w:tr>
      <w:tr w:rsidR="00D31C51" w:rsidRPr="00D31C51" w14:paraId="05EA070E" w14:textId="77777777" w:rsidTr="00870A0F">
        <w:trPr>
          <w:trHeight w:hRule="exact" w:val="225"/>
        </w:trPr>
        <w:tc>
          <w:tcPr>
            <w:tcW w:w="1955" w:type="pct"/>
            <w:tcBorders>
              <w:top w:val="nil"/>
              <w:left w:val="nil"/>
              <w:bottom w:val="nil"/>
              <w:right w:val="nil"/>
            </w:tcBorders>
            <w:shd w:val="clear" w:color="auto" w:fill="auto"/>
            <w:noWrap/>
            <w:vAlign w:val="bottom"/>
            <w:hideMark/>
          </w:tcPr>
          <w:p w14:paraId="6F33543E" w14:textId="77777777" w:rsidR="00D31C51" w:rsidRPr="00D31C51" w:rsidRDefault="00D31C51" w:rsidP="00D31C51">
            <w:pPr>
              <w:spacing w:after="0" w:line="240" w:lineRule="auto"/>
              <w:jc w:val="left"/>
              <w:rPr>
                <w:rFonts w:ascii="Arial" w:hAnsi="Arial" w:cs="Arial"/>
                <w:b/>
                <w:bCs/>
                <w:color w:val="000000"/>
                <w:sz w:val="16"/>
                <w:szCs w:val="16"/>
              </w:rPr>
            </w:pPr>
            <w:r w:rsidRPr="00D31C51">
              <w:rPr>
                <w:rFonts w:ascii="Arial" w:hAnsi="Arial" w:cs="Arial"/>
                <w:b/>
                <w:bCs/>
                <w:color w:val="000000"/>
                <w:sz w:val="16"/>
                <w:szCs w:val="16"/>
              </w:rPr>
              <w:t>Cash used</w:t>
            </w:r>
          </w:p>
        </w:tc>
        <w:tc>
          <w:tcPr>
            <w:tcW w:w="610" w:type="pct"/>
            <w:tcBorders>
              <w:top w:val="nil"/>
              <w:left w:val="nil"/>
              <w:bottom w:val="nil"/>
              <w:right w:val="nil"/>
            </w:tcBorders>
            <w:shd w:val="clear" w:color="auto" w:fill="auto"/>
            <w:noWrap/>
            <w:vAlign w:val="bottom"/>
            <w:hideMark/>
          </w:tcPr>
          <w:p w14:paraId="1F33BAB9" w14:textId="77777777" w:rsidR="00D31C51" w:rsidRPr="00D31C51" w:rsidRDefault="00D31C51" w:rsidP="009A1F48">
            <w:pPr>
              <w:spacing w:after="0" w:line="240" w:lineRule="auto"/>
              <w:jc w:val="right"/>
              <w:rPr>
                <w:rFonts w:ascii="Arial" w:hAnsi="Arial" w:cs="Arial"/>
                <w:b/>
                <w:bCs/>
                <w:color w:val="000000"/>
                <w:sz w:val="16"/>
                <w:szCs w:val="16"/>
              </w:rPr>
            </w:pPr>
          </w:p>
        </w:tc>
        <w:tc>
          <w:tcPr>
            <w:tcW w:w="609" w:type="pct"/>
            <w:tcBorders>
              <w:top w:val="nil"/>
              <w:left w:val="nil"/>
              <w:bottom w:val="nil"/>
              <w:right w:val="nil"/>
            </w:tcBorders>
            <w:shd w:val="clear" w:color="000000" w:fill="E6E6E6"/>
            <w:noWrap/>
            <w:vAlign w:val="bottom"/>
            <w:hideMark/>
          </w:tcPr>
          <w:p w14:paraId="1E8F09C6"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w:t>
            </w:r>
          </w:p>
        </w:tc>
        <w:tc>
          <w:tcPr>
            <w:tcW w:w="609" w:type="pct"/>
            <w:tcBorders>
              <w:top w:val="nil"/>
              <w:left w:val="nil"/>
              <w:bottom w:val="nil"/>
              <w:right w:val="nil"/>
            </w:tcBorders>
            <w:shd w:val="clear" w:color="auto" w:fill="auto"/>
            <w:noWrap/>
            <w:vAlign w:val="bottom"/>
            <w:hideMark/>
          </w:tcPr>
          <w:p w14:paraId="7076BE1A" w14:textId="77777777" w:rsidR="00D31C51" w:rsidRPr="00D31C51" w:rsidRDefault="00D31C51" w:rsidP="009A1F48">
            <w:pPr>
              <w:spacing w:after="0" w:line="240" w:lineRule="auto"/>
              <w:jc w:val="right"/>
              <w:rPr>
                <w:rFonts w:ascii="Arial" w:hAnsi="Arial" w:cs="Arial"/>
                <w:color w:val="000000"/>
                <w:sz w:val="16"/>
                <w:szCs w:val="16"/>
              </w:rPr>
            </w:pPr>
          </w:p>
        </w:tc>
        <w:tc>
          <w:tcPr>
            <w:tcW w:w="609" w:type="pct"/>
            <w:tcBorders>
              <w:top w:val="nil"/>
              <w:left w:val="nil"/>
              <w:bottom w:val="nil"/>
              <w:right w:val="nil"/>
            </w:tcBorders>
            <w:shd w:val="clear" w:color="auto" w:fill="auto"/>
            <w:noWrap/>
            <w:vAlign w:val="bottom"/>
            <w:hideMark/>
          </w:tcPr>
          <w:p w14:paraId="1667EF19" w14:textId="77777777" w:rsidR="00D31C51" w:rsidRPr="00D31C51" w:rsidRDefault="00D31C51" w:rsidP="009A1F48">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2C4C4B1B" w14:textId="77777777" w:rsidR="00D31C51" w:rsidRPr="00D31C51" w:rsidRDefault="00D31C51" w:rsidP="009A1F48">
            <w:pPr>
              <w:spacing w:after="0" w:line="240" w:lineRule="auto"/>
              <w:jc w:val="right"/>
              <w:rPr>
                <w:rFonts w:ascii="Times New Roman" w:hAnsi="Times New Roman"/>
              </w:rPr>
            </w:pPr>
          </w:p>
        </w:tc>
      </w:tr>
      <w:tr w:rsidR="00D31C51" w:rsidRPr="00D31C51" w14:paraId="3C864723" w14:textId="77777777" w:rsidTr="00870A0F">
        <w:trPr>
          <w:trHeight w:hRule="exact" w:val="225"/>
        </w:trPr>
        <w:tc>
          <w:tcPr>
            <w:tcW w:w="1955" w:type="pct"/>
            <w:tcBorders>
              <w:top w:val="nil"/>
              <w:left w:val="nil"/>
              <w:bottom w:val="nil"/>
              <w:right w:val="nil"/>
            </w:tcBorders>
            <w:shd w:val="clear" w:color="auto" w:fill="auto"/>
            <w:noWrap/>
            <w:vAlign w:val="bottom"/>
            <w:hideMark/>
          </w:tcPr>
          <w:p w14:paraId="7E1D590F" w14:textId="77777777" w:rsidR="00D31C51" w:rsidRPr="00D31C51" w:rsidRDefault="00D31C51" w:rsidP="00D31C51">
            <w:pPr>
              <w:spacing w:after="0" w:line="240" w:lineRule="auto"/>
              <w:ind w:left="170"/>
              <w:jc w:val="left"/>
              <w:rPr>
                <w:rFonts w:ascii="Arial" w:hAnsi="Arial" w:cs="Arial"/>
                <w:color w:val="000000"/>
                <w:sz w:val="16"/>
                <w:szCs w:val="16"/>
              </w:rPr>
            </w:pPr>
            <w:r w:rsidRPr="00D31C51">
              <w:rPr>
                <w:rFonts w:ascii="Arial" w:hAnsi="Arial" w:cs="Arial"/>
                <w:color w:val="000000"/>
                <w:sz w:val="16"/>
                <w:szCs w:val="16"/>
              </w:rPr>
              <w:t>Employees</w:t>
            </w:r>
          </w:p>
        </w:tc>
        <w:tc>
          <w:tcPr>
            <w:tcW w:w="610" w:type="pct"/>
            <w:tcBorders>
              <w:top w:val="nil"/>
              <w:left w:val="nil"/>
              <w:bottom w:val="nil"/>
              <w:right w:val="nil"/>
            </w:tcBorders>
            <w:shd w:val="clear" w:color="auto" w:fill="auto"/>
            <w:noWrap/>
            <w:vAlign w:val="bottom"/>
            <w:hideMark/>
          </w:tcPr>
          <w:p w14:paraId="46EE7E66"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29,792 </w:t>
            </w:r>
          </w:p>
        </w:tc>
        <w:tc>
          <w:tcPr>
            <w:tcW w:w="609" w:type="pct"/>
            <w:tcBorders>
              <w:top w:val="nil"/>
              <w:left w:val="nil"/>
              <w:bottom w:val="nil"/>
              <w:right w:val="nil"/>
            </w:tcBorders>
            <w:shd w:val="clear" w:color="000000" w:fill="E6E6E6"/>
            <w:noWrap/>
            <w:vAlign w:val="bottom"/>
            <w:hideMark/>
          </w:tcPr>
          <w:p w14:paraId="4673E2E6"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30,238 </w:t>
            </w:r>
          </w:p>
        </w:tc>
        <w:tc>
          <w:tcPr>
            <w:tcW w:w="609" w:type="pct"/>
            <w:tcBorders>
              <w:top w:val="nil"/>
              <w:left w:val="nil"/>
              <w:bottom w:val="nil"/>
              <w:right w:val="nil"/>
            </w:tcBorders>
            <w:shd w:val="clear" w:color="auto" w:fill="auto"/>
            <w:noWrap/>
            <w:vAlign w:val="bottom"/>
            <w:hideMark/>
          </w:tcPr>
          <w:p w14:paraId="66D47535"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29,354 </w:t>
            </w:r>
          </w:p>
        </w:tc>
        <w:tc>
          <w:tcPr>
            <w:tcW w:w="609" w:type="pct"/>
            <w:tcBorders>
              <w:top w:val="nil"/>
              <w:left w:val="nil"/>
              <w:bottom w:val="nil"/>
              <w:right w:val="nil"/>
            </w:tcBorders>
            <w:shd w:val="clear" w:color="auto" w:fill="auto"/>
            <w:noWrap/>
            <w:vAlign w:val="bottom"/>
            <w:hideMark/>
          </w:tcPr>
          <w:p w14:paraId="7FA1626B"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29,497 </w:t>
            </w:r>
          </w:p>
        </w:tc>
        <w:tc>
          <w:tcPr>
            <w:tcW w:w="608" w:type="pct"/>
            <w:tcBorders>
              <w:top w:val="nil"/>
              <w:left w:val="nil"/>
              <w:bottom w:val="nil"/>
              <w:right w:val="nil"/>
            </w:tcBorders>
            <w:shd w:val="clear" w:color="auto" w:fill="auto"/>
            <w:noWrap/>
            <w:vAlign w:val="bottom"/>
            <w:hideMark/>
          </w:tcPr>
          <w:p w14:paraId="6D499FD9"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29,352 </w:t>
            </w:r>
          </w:p>
        </w:tc>
      </w:tr>
      <w:tr w:rsidR="00D31C51" w:rsidRPr="00D31C51" w14:paraId="2D078239" w14:textId="77777777" w:rsidTr="00870A0F">
        <w:trPr>
          <w:trHeight w:hRule="exact" w:val="225"/>
        </w:trPr>
        <w:tc>
          <w:tcPr>
            <w:tcW w:w="1955" w:type="pct"/>
            <w:tcBorders>
              <w:top w:val="nil"/>
              <w:left w:val="nil"/>
              <w:bottom w:val="nil"/>
              <w:right w:val="nil"/>
            </w:tcBorders>
            <w:shd w:val="clear" w:color="auto" w:fill="auto"/>
            <w:noWrap/>
            <w:vAlign w:val="bottom"/>
            <w:hideMark/>
          </w:tcPr>
          <w:p w14:paraId="0663D492" w14:textId="77777777" w:rsidR="00D31C51" w:rsidRPr="00D31C51" w:rsidRDefault="00D31C51" w:rsidP="00D31C51">
            <w:pPr>
              <w:spacing w:after="0" w:line="240" w:lineRule="auto"/>
              <w:ind w:left="170"/>
              <w:jc w:val="left"/>
              <w:rPr>
                <w:rFonts w:ascii="Arial" w:hAnsi="Arial" w:cs="Arial"/>
                <w:color w:val="000000"/>
                <w:sz w:val="16"/>
                <w:szCs w:val="16"/>
              </w:rPr>
            </w:pPr>
            <w:r w:rsidRPr="00D31C51">
              <w:rPr>
                <w:rFonts w:ascii="Arial" w:hAnsi="Arial" w:cs="Arial"/>
                <w:color w:val="000000"/>
                <w:sz w:val="16"/>
                <w:szCs w:val="16"/>
              </w:rPr>
              <w:t>Suppliers</w:t>
            </w:r>
          </w:p>
        </w:tc>
        <w:tc>
          <w:tcPr>
            <w:tcW w:w="610" w:type="pct"/>
            <w:tcBorders>
              <w:top w:val="nil"/>
              <w:left w:val="nil"/>
              <w:bottom w:val="nil"/>
              <w:right w:val="nil"/>
            </w:tcBorders>
            <w:shd w:val="clear" w:color="auto" w:fill="auto"/>
            <w:noWrap/>
            <w:vAlign w:val="bottom"/>
            <w:hideMark/>
          </w:tcPr>
          <w:p w14:paraId="3EDEAA20"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4,645 </w:t>
            </w:r>
          </w:p>
        </w:tc>
        <w:tc>
          <w:tcPr>
            <w:tcW w:w="609" w:type="pct"/>
            <w:tcBorders>
              <w:top w:val="nil"/>
              <w:left w:val="nil"/>
              <w:bottom w:val="nil"/>
              <w:right w:val="nil"/>
            </w:tcBorders>
            <w:shd w:val="clear" w:color="000000" w:fill="E6E6E6"/>
            <w:noWrap/>
            <w:vAlign w:val="bottom"/>
            <w:hideMark/>
          </w:tcPr>
          <w:p w14:paraId="7F31533B"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4,913 </w:t>
            </w:r>
          </w:p>
        </w:tc>
        <w:tc>
          <w:tcPr>
            <w:tcW w:w="609" w:type="pct"/>
            <w:tcBorders>
              <w:top w:val="nil"/>
              <w:left w:val="nil"/>
              <w:bottom w:val="nil"/>
              <w:right w:val="nil"/>
            </w:tcBorders>
            <w:shd w:val="clear" w:color="auto" w:fill="auto"/>
            <w:noWrap/>
            <w:vAlign w:val="bottom"/>
            <w:hideMark/>
          </w:tcPr>
          <w:p w14:paraId="2252F4D3"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5,006 </w:t>
            </w:r>
          </w:p>
        </w:tc>
        <w:tc>
          <w:tcPr>
            <w:tcW w:w="609" w:type="pct"/>
            <w:tcBorders>
              <w:top w:val="nil"/>
              <w:left w:val="nil"/>
              <w:bottom w:val="nil"/>
              <w:right w:val="nil"/>
            </w:tcBorders>
            <w:shd w:val="clear" w:color="auto" w:fill="auto"/>
            <w:noWrap/>
            <w:vAlign w:val="bottom"/>
            <w:hideMark/>
          </w:tcPr>
          <w:p w14:paraId="6386F5D4"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4,969 </w:t>
            </w:r>
          </w:p>
        </w:tc>
        <w:tc>
          <w:tcPr>
            <w:tcW w:w="608" w:type="pct"/>
            <w:tcBorders>
              <w:top w:val="nil"/>
              <w:left w:val="nil"/>
              <w:bottom w:val="nil"/>
              <w:right w:val="nil"/>
            </w:tcBorders>
            <w:shd w:val="clear" w:color="auto" w:fill="auto"/>
            <w:noWrap/>
            <w:vAlign w:val="bottom"/>
            <w:hideMark/>
          </w:tcPr>
          <w:p w14:paraId="4B91A22D"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5,360 </w:t>
            </w:r>
          </w:p>
        </w:tc>
      </w:tr>
      <w:tr w:rsidR="00D31C51" w:rsidRPr="00D31C51" w14:paraId="7E1AF72A" w14:textId="77777777" w:rsidTr="00870A0F">
        <w:trPr>
          <w:trHeight w:hRule="exact" w:val="225"/>
        </w:trPr>
        <w:tc>
          <w:tcPr>
            <w:tcW w:w="1955" w:type="pct"/>
            <w:tcBorders>
              <w:top w:val="nil"/>
              <w:left w:val="nil"/>
              <w:bottom w:val="nil"/>
              <w:right w:val="nil"/>
            </w:tcBorders>
            <w:shd w:val="clear" w:color="auto" w:fill="auto"/>
            <w:vAlign w:val="bottom"/>
            <w:hideMark/>
          </w:tcPr>
          <w:p w14:paraId="141B9170" w14:textId="77777777" w:rsidR="00D31C51" w:rsidRPr="00D31C51" w:rsidRDefault="00D31C51" w:rsidP="00D31C51">
            <w:pPr>
              <w:spacing w:after="0" w:line="240" w:lineRule="auto"/>
              <w:ind w:left="170"/>
              <w:jc w:val="left"/>
              <w:rPr>
                <w:rFonts w:ascii="Arial" w:hAnsi="Arial" w:cs="Arial"/>
                <w:sz w:val="16"/>
                <w:szCs w:val="16"/>
              </w:rPr>
            </w:pPr>
            <w:r w:rsidRPr="00D31C51">
              <w:rPr>
                <w:rFonts w:ascii="Arial" w:hAnsi="Arial" w:cs="Arial"/>
                <w:sz w:val="16"/>
                <w:szCs w:val="16"/>
              </w:rPr>
              <w:t>Interest payments on lease liability</w:t>
            </w:r>
          </w:p>
        </w:tc>
        <w:tc>
          <w:tcPr>
            <w:tcW w:w="610" w:type="pct"/>
            <w:tcBorders>
              <w:top w:val="nil"/>
              <w:left w:val="nil"/>
              <w:bottom w:val="nil"/>
              <w:right w:val="nil"/>
            </w:tcBorders>
            <w:shd w:val="clear" w:color="auto" w:fill="auto"/>
            <w:noWrap/>
            <w:vAlign w:val="bottom"/>
            <w:hideMark/>
          </w:tcPr>
          <w:p w14:paraId="00A7292B"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306 </w:t>
            </w:r>
          </w:p>
        </w:tc>
        <w:tc>
          <w:tcPr>
            <w:tcW w:w="609" w:type="pct"/>
            <w:tcBorders>
              <w:top w:val="nil"/>
              <w:left w:val="nil"/>
              <w:bottom w:val="nil"/>
              <w:right w:val="nil"/>
            </w:tcBorders>
            <w:shd w:val="clear" w:color="000000" w:fill="E6E6E6"/>
            <w:noWrap/>
            <w:vAlign w:val="bottom"/>
            <w:hideMark/>
          </w:tcPr>
          <w:p w14:paraId="27E301EE"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268 </w:t>
            </w:r>
          </w:p>
        </w:tc>
        <w:tc>
          <w:tcPr>
            <w:tcW w:w="609" w:type="pct"/>
            <w:tcBorders>
              <w:top w:val="nil"/>
              <w:left w:val="nil"/>
              <w:bottom w:val="nil"/>
              <w:right w:val="nil"/>
            </w:tcBorders>
            <w:shd w:val="clear" w:color="auto" w:fill="auto"/>
            <w:noWrap/>
            <w:vAlign w:val="bottom"/>
            <w:hideMark/>
          </w:tcPr>
          <w:p w14:paraId="4ACDE0DA"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228 </w:t>
            </w:r>
          </w:p>
        </w:tc>
        <w:tc>
          <w:tcPr>
            <w:tcW w:w="609" w:type="pct"/>
            <w:tcBorders>
              <w:top w:val="nil"/>
              <w:left w:val="nil"/>
              <w:bottom w:val="nil"/>
              <w:right w:val="nil"/>
            </w:tcBorders>
            <w:shd w:val="clear" w:color="auto" w:fill="auto"/>
            <w:noWrap/>
            <w:vAlign w:val="bottom"/>
            <w:hideMark/>
          </w:tcPr>
          <w:p w14:paraId="5737E4EC"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184 </w:t>
            </w:r>
          </w:p>
        </w:tc>
        <w:tc>
          <w:tcPr>
            <w:tcW w:w="608" w:type="pct"/>
            <w:tcBorders>
              <w:top w:val="nil"/>
              <w:left w:val="nil"/>
              <w:bottom w:val="nil"/>
              <w:right w:val="nil"/>
            </w:tcBorders>
            <w:shd w:val="clear" w:color="auto" w:fill="auto"/>
            <w:noWrap/>
            <w:vAlign w:val="bottom"/>
            <w:hideMark/>
          </w:tcPr>
          <w:p w14:paraId="16560C1A"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59 </w:t>
            </w:r>
          </w:p>
        </w:tc>
      </w:tr>
      <w:tr w:rsidR="00D31C51" w:rsidRPr="00D31C51" w14:paraId="183233D4" w14:textId="77777777" w:rsidTr="00870A0F">
        <w:trPr>
          <w:trHeight w:hRule="exact" w:val="225"/>
        </w:trPr>
        <w:tc>
          <w:tcPr>
            <w:tcW w:w="1955" w:type="pct"/>
            <w:tcBorders>
              <w:top w:val="nil"/>
              <w:left w:val="nil"/>
              <w:bottom w:val="nil"/>
              <w:right w:val="nil"/>
            </w:tcBorders>
            <w:shd w:val="clear" w:color="auto" w:fill="auto"/>
            <w:noWrap/>
            <w:vAlign w:val="bottom"/>
            <w:hideMark/>
          </w:tcPr>
          <w:p w14:paraId="6B890F86" w14:textId="77777777" w:rsidR="00D31C51" w:rsidRPr="00D31C51" w:rsidRDefault="00D31C51" w:rsidP="00D31C51">
            <w:pPr>
              <w:spacing w:after="0" w:line="240" w:lineRule="auto"/>
              <w:jc w:val="left"/>
              <w:rPr>
                <w:rFonts w:ascii="Arial" w:hAnsi="Arial" w:cs="Arial"/>
                <w:b/>
                <w:bCs/>
                <w:i/>
                <w:iCs/>
                <w:color w:val="000000"/>
                <w:sz w:val="16"/>
                <w:szCs w:val="16"/>
              </w:rPr>
            </w:pPr>
            <w:r w:rsidRPr="00D31C51">
              <w:rPr>
                <w:rFonts w:ascii="Arial" w:hAnsi="Arial" w:cs="Arial"/>
                <w:b/>
                <w:bCs/>
                <w:i/>
                <w:iCs/>
                <w:color w:val="000000"/>
                <w:sz w:val="16"/>
                <w:szCs w:val="16"/>
              </w:rPr>
              <w:t>Total cash used</w:t>
            </w:r>
          </w:p>
        </w:tc>
        <w:tc>
          <w:tcPr>
            <w:tcW w:w="610" w:type="pct"/>
            <w:tcBorders>
              <w:top w:val="single" w:sz="4" w:space="0" w:color="000000"/>
              <w:left w:val="nil"/>
              <w:bottom w:val="nil"/>
              <w:right w:val="nil"/>
            </w:tcBorders>
            <w:shd w:val="clear" w:color="auto" w:fill="auto"/>
            <w:noWrap/>
            <w:vAlign w:val="bottom"/>
            <w:hideMark/>
          </w:tcPr>
          <w:p w14:paraId="04257EE5"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34,743 </w:t>
            </w:r>
          </w:p>
        </w:tc>
        <w:tc>
          <w:tcPr>
            <w:tcW w:w="609" w:type="pct"/>
            <w:tcBorders>
              <w:top w:val="single" w:sz="4" w:space="0" w:color="000000"/>
              <w:left w:val="nil"/>
              <w:bottom w:val="single" w:sz="4" w:space="0" w:color="000000"/>
              <w:right w:val="nil"/>
            </w:tcBorders>
            <w:shd w:val="clear" w:color="000000" w:fill="E6E6E6"/>
            <w:noWrap/>
            <w:vAlign w:val="bottom"/>
            <w:hideMark/>
          </w:tcPr>
          <w:p w14:paraId="2D81CA5E"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35,419 </w:t>
            </w:r>
          </w:p>
        </w:tc>
        <w:tc>
          <w:tcPr>
            <w:tcW w:w="609" w:type="pct"/>
            <w:tcBorders>
              <w:top w:val="single" w:sz="4" w:space="0" w:color="000000"/>
              <w:left w:val="nil"/>
              <w:bottom w:val="nil"/>
              <w:right w:val="nil"/>
            </w:tcBorders>
            <w:shd w:val="clear" w:color="auto" w:fill="auto"/>
            <w:noWrap/>
            <w:vAlign w:val="bottom"/>
            <w:hideMark/>
          </w:tcPr>
          <w:p w14:paraId="673D544F"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34,588 </w:t>
            </w:r>
          </w:p>
        </w:tc>
        <w:tc>
          <w:tcPr>
            <w:tcW w:w="609" w:type="pct"/>
            <w:tcBorders>
              <w:top w:val="single" w:sz="4" w:space="0" w:color="000000"/>
              <w:left w:val="nil"/>
              <w:bottom w:val="nil"/>
              <w:right w:val="nil"/>
            </w:tcBorders>
            <w:shd w:val="clear" w:color="auto" w:fill="auto"/>
            <w:noWrap/>
            <w:vAlign w:val="bottom"/>
            <w:hideMark/>
          </w:tcPr>
          <w:p w14:paraId="36D84493"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34,650 </w:t>
            </w:r>
          </w:p>
        </w:tc>
        <w:tc>
          <w:tcPr>
            <w:tcW w:w="608" w:type="pct"/>
            <w:tcBorders>
              <w:top w:val="single" w:sz="4" w:space="0" w:color="000000"/>
              <w:left w:val="nil"/>
              <w:bottom w:val="nil"/>
              <w:right w:val="nil"/>
            </w:tcBorders>
            <w:shd w:val="clear" w:color="auto" w:fill="auto"/>
            <w:noWrap/>
            <w:vAlign w:val="bottom"/>
            <w:hideMark/>
          </w:tcPr>
          <w:p w14:paraId="21CB8822"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34,771 </w:t>
            </w:r>
          </w:p>
        </w:tc>
      </w:tr>
      <w:tr w:rsidR="00D31C51" w:rsidRPr="00D31C51" w14:paraId="320CD9CC" w14:textId="77777777" w:rsidTr="00870A0F">
        <w:trPr>
          <w:trHeight w:hRule="exact" w:val="450"/>
        </w:trPr>
        <w:tc>
          <w:tcPr>
            <w:tcW w:w="1955" w:type="pct"/>
            <w:tcBorders>
              <w:top w:val="nil"/>
              <w:left w:val="nil"/>
              <w:bottom w:val="nil"/>
              <w:right w:val="nil"/>
            </w:tcBorders>
            <w:shd w:val="clear" w:color="auto" w:fill="auto"/>
            <w:vAlign w:val="bottom"/>
            <w:hideMark/>
          </w:tcPr>
          <w:p w14:paraId="58FB1DB0" w14:textId="77777777" w:rsidR="00D31C51" w:rsidRPr="00D31C51" w:rsidRDefault="00D31C51" w:rsidP="00D31C51">
            <w:pPr>
              <w:spacing w:after="0" w:line="240" w:lineRule="auto"/>
              <w:jc w:val="left"/>
              <w:rPr>
                <w:rFonts w:ascii="Arial" w:hAnsi="Arial" w:cs="Arial"/>
                <w:b/>
                <w:bCs/>
                <w:color w:val="000000"/>
                <w:sz w:val="16"/>
                <w:szCs w:val="16"/>
              </w:rPr>
            </w:pPr>
            <w:r w:rsidRPr="00D31C51">
              <w:rPr>
                <w:rFonts w:ascii="Arial" w:hAnsi="Arial" w:cs="Arial"/>
                <w:b/>
                <w:bCs/>
                <w:color w:val="000000"/>
                <w:sz w:val="16"/>
                <w:szCs w:val="16"/>
              </w:rPr>
              <w:t>Net cash from/(used by)</w:t>
            </w:r>
            <w:r w:rsidRPr="00D31C51">
              <w:rPr>
                <w:rFonts w:ascii="Arial" w:hAnsi="Arial" w:cs="Arial"/>
                <w:b/>
                <w:bCs/>
                <w:color w:val="000000"/>
                <w:sz w:val="16"/>
                <w:szCs w:val="16"/>
              </w:rPr>
              <w:br/>
              <w:t xml:space="preserve">  operating activities</w:t>
            </w:r>
          </w:p>
        </w:tc>
        <w:tc>
          <w:tcPr>
            <w:tcW w:w="610" w:type="pct"/>
            <w:tcBorders>
              <w:top w:val="single" w:sz="4" w:space="0" w:color="auto"/>
              <w:left w:val="nil"/>
              <w:bottom w:val="single" w:sz="4" w:space="0" w:color="auto"/>
              <w:right w:val="nil"/>
            </w:tcBorders>
            <w:shd w:val="clear" w:color="auto" w:fill="auto"/>
            <w:noWrap/>
            <w:vAlign w:val="bottom"/>
            <w:hideMark/>
          </w:tcPr>
          <w:p w14:paraId="34AEC254"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1,763 </w:t>
            </w:r>
          </w:p>
        </w:tc>
        <w:tc>
          <w:tcPr>
            <w:tcW w:w="609" w:type="pct"/>
            <w:tcBorders>
              <w:top w:val="nil"/>
              <w:left w:val="nil"/>
              <w:bottom w:val="single" w:sz="4" w:space="0" w:color="000000"/>
              <w:right w:val="nil"/>
            </w:tcBorders>
            <w:shd w:val="clear" w:color="000000" w:fill="E6E6E6"/>
            <w:noWrap/>
            <w:vAlign w:val="bottom"/>
            <w:hideMark/>
          </w:tcPr>
          <w:p w14:paraId="2F61DEBE"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1,889 </w:t>
            </w:r>
          </w:p>
        </w:tc>
        <w:tc>
          <w:tcPr>
            <w:tcW w:w="609" w:type="pct"/>
            <w:tcBorders>
              <w:top w:val="single" w:sz="4" w:space="0" w:color="auto"/>
              <w:left w:val="nil"/>
              <w:bottom w:val="single" w:sz="4" w:space="0" w:color="auto"/>
              <w:right w:val="nil"/>
            </w:tcBorders>
            <w:shd w:val="clear" w:color="auto" w:fill="auto"/>
            <w:noWrap/>
            <w:vAlign w:val="bottom"/>
            <w:hideMark/>
          </w:tcPr>
          <w:p w14:paraId="58AAEAC6"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2,001 </w:t>
            </w:r>
          </w:p>
        </w:tc>
        <w:tc>
          <w:tcPr>
            <w:tcW w:w="609" w:type="pct"/>
            <w:tcBorders>
              <w:top w:val="single" w:sz="4" w:space="0" w:color="auto"/>
              <w:left w:val="nil"/>
              <w:bottom w:val="single" w:sz="4" w:space="0" w:color="auto"/>
              <w:right w:val="nil"/>
            </w:tcBorders>
            <w:shd w:val="clear" w:color="auto" w:fill="auto"/>
            <w:noWrap/>
            <w:vAlign w:val="bottom"/>
            <w:hideMark/>
          </w:tcPr>
          <w:p w14:paraId="2FFDA046"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2,159 </w:t>
            </w:r>
          </w:p>
        </w:tc>
        <w:tc>
          <w:tcPr>
            <w:tcW w:w="608" w:type="pct"/>
            <w:tcBorders>
              <w:top w:val="single" w:sz="4" w:space="0" w:color="auto"/>
              <w:left w:val="nil"/>
              <w:bottom w:val="single" w:sz="4" w:space="0" w:color="auto"/>
              <w:right w:val="nil"/>
            </w:tcBorders>
            <w:shd w:val="clear" w:color="auto" w:fill="auto"/>
            <w:noWrap/>
            <w:vAlign w:val="bottom"/>
            <w:hideMark/>
          </w:tcPr>
          <w:p w14:paraId="2FFA57F3"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2,224 </w:t>
            </w:r>
          </w:p>
        </w:tc>
      </w:tr>
      <w:tr w:rsidR="00D31C51" w:rsidRPr="00D31C51" w14:paraId="797FC753" w14:textId="77777777" w:rsidTr="00870A0F">
        <w:trPr>
          <w:trHeight w:hRule="exact" w:val="225"/>
        </w:trPr>
        <w:tc>
          <w:tcPr>
            <w:tcW w:w="1955" w:type="pct"/>
            <w:tcBorders>
              <w:top w:val="nil"/>
              <w:left w:val="nil"/>
              <w:bottom w:val="nil"/>
              <w:right w:val="nil"/>
            </w:tcBorders>
            <w:shd w:val="clear" w:color="auto" w:fill="auto"/>
            <w:noWrap/>
            <w:vAlign w:val="bottom"/>
            <w:hideMark/>
          </w:tcPr>
          <w:p w14:paraId="320C3CC1" w14:textId="77777777" w:rsidR="00D31C51" w:rsidRPr="00D31C51" w:rsidRDefault="00D31C51" w:rsidP="00D31C51">
            <w:pPr>
              <w:spacing w:after="0" w:line="240" w:lineRule="auto"/>
              <w:jc w:val="left"/>
              <w:rPr>
                <w:rFonts w:ascii="Arial" w:hAnsi="Arial" w:cs="Arial"/>
                <w:b/>
                <w:bCs/>
                <w:color w:val="000000"/>
                <w:sz w:val="16"/>
                <w:szCs w:val="16"/>
              </w:rPr>
            </w:pPr>
            <w:r w:rsidRPr="00D31C51">
              <w:rPr>
                <w:rFonts w:ascii="Arial" w:hAnsi="Arial" w:cs="Arial"/>
                <w:b/>
                <w:bCs/>
                <w:color w:val="000000"/>
                <w:sz w:val="16"/>
                <w:szCs w:val="16"/>
              </w:rPr>
              <w:t>INVESTING ACTIVITIES</w:t>
            </w:r>
          </w:p>
        </w:tc>
        <w:tc>
          <w:tcPr>
            <w:tcW w:w="610" w:type="pct"/>
            <w:tcBorders>
              <w:top w:val="nil"/>
              <w:left w:val="nil"/>
              <w:bottom w:val="nil"/>
              <w:right w:val="nil"/>
            </w:tcBorders>
            <w:shd w:val="clear" w:color="auto" w:fill="auto"/>
            <w:noWrap/>
            <w:vAlign w:val="bottom"/>
            <w:hideMark/>
          </w:tcPr>
          <w:p w14:paraId="1A838332" w14:textId="77777777" w:rsidR="00D31C51" w:rsidRPr="00D31C51" w:rsidRDefault="00D31C51" w:rsidP="009A1F48">
            <w:pPr>
              <w:spacing w:after="0" w:line="240" w:lineRule="auto"/>
              <w:jc w:val="right"/>
              <w:rPr>
                <w:rFonts w:ascii="Arial" w:hAnsi="Arial" w:cs="Arial"/>
                <w:b/>
                <w:bCs/>
                <w:color w:val="000000"/>
                <w:sz w:val="16"/>
                <w:szCs w:val="16"/>
              </w:rPr>
            </w:pPr>
          </w:p>
        </w:tc>
        <w:tc>
          <w:tcPr>
            <w:tcW w:w="609" w:type="pct"/>
            <w:tcBorders>
              <w:top w:val="nil"/>
              <w:left w:val="nil"/>
              <w:bottom w:val="nil"/>
              <w:right w:val="nil"/>
            </w:tcBorders>
            <w:shd w:val="clear" w:color="000000" w:fill="E6E6E6"/>
            <w:noWrap/>
            <w:vAlign w:val="bottom"/>
            <w:hideMark/>
          </w:tcPr>
          <w:p w14:paraId="424CC8CA"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w:t>
            </w:r>
          </w:p>
        </w:tc>
        <w:tc>
          <w:tcPr>
            <w:tcW w:w="609" w:type="pct"/>
            <w:tcBorders>
              <w:top w:val="nil"/>
              <w:left w:val="nil"/>
              <w:bottom w:val="nil"/>
              <w:right w:val="nil"/>
            </w:tcBorders>
            <w:shd w:val="clear" w:color="auto" w:fill="auto"/>
            <w:noWrap/>
            <w:vAlign w:val="bottom"/>
            <w:hideMark/>
          </w:tcPr>
          <w:p w14:paraId="16BFCCFF" w14:textId="77777777" w:rsidR="00D31C51" w:rsidRPr="00D31C51" w:rsidRDefault="00D31C51" w:rsidP="009A1F48">
            <w:pPr>
              <w:spacing w:after="0" w:line="240" w:lineRule="auto"/>
              <w:jc w:val="right"/>
              <w:rPr>
                <w:rFonts w:ascii="Arial" w:hAnsi="Arial" w:cs="Arial"/>
                <w:color w:val="000000"/>
                <w:sz w:val="16"/>
                <w:szCs w:val="16"/>
              </w:rPr>
            </w:pPr>
          </w:p>
        </w:tc>
        <w:tc>
          <w:tcPr>
            <w:tcW w:w="609" w:type="pct"/>
            <w:tcBorders>
              <w:top w:val="nil"/>
              <w:left w:val="nil"/>
              <w:bottom w:val="nil"/>
              <w:right w:val="nil"/>
            </w:tcBorders>
            <w:shd w:val="clear" w:color="auto" w:fill="auto"/>
            <w:noWrap/>
            <w:vAlign w:val="bottom"/>
            <w:hideMark/>
          </w:tcPr>
          <w:p w14:paraId="5727FD6B" w14:textId="77777777" w:rsidR="00D31C51" w:rsidRPr="00D31C51" w:rsidRDefault="00D31C51" w:rsidP="009A1F48">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3431E736" w14:textId="77777777" w:rsidR="00D31C51" w:rsidRPr="00D31C51" w:rsidRDefault="00D31C51" w:rsidP="009A1F48">
            <w:pPr>
              <w:spacing w:after="0" w:line="240" w:lineRule="auto"/>
              <w:jc w:val="right"/>
              <w:rPr>
                <w:rFonts w:ascii="Times New Roman" w:hAnsi="Times New Roman"/>
              </w:rPr>
            </w:pPr>
          </w:p>
        </w:tc>
      </w:tr>
      <w:tr w:rsidR="00D31C51" w:rsidRPr="00D31C51" w14:paraId="15498219" w14:textId="77777777" w:rsidTr="00870A0F">
        <w:trPr>
          <w:trHeight w:hRule="exact" w:val="225"/>
        </w:trPr>
        <w:tc>
          <w:tcPr>
            <w:tcW w:w="1955" w:type="pct"/>
            <w:tcBorders>
              <w:top w:val="nil"/>
              <w:left w:val="nil"/>
              <w:bottom w:val="nil"/>
              <w:right w:val="nil"/>
            </w:tcBorders>
            <w:shd w:val="clear" w:color="auto" w:fill="auto"/>
            <w:noWrap/>
            <w:vAlign w:val="bottom"/>
            <w:hideMark/>
          </w:tcPr>
          <w:p w14:paraId="360EAAA6" w14:textId="77777777" w:rsidR="00D31C51" w:rsidRPr="00D31C51" w:rsidRDefault="00D31C51" w:rsidP="00D31C51">
            <w:pPr>
              <w:spacing w:after="0" w:line="240" w:lineRule="auto"/>
              <w:jc w:val="left"/>
              <w:rPr>
                <w:rFonts w:ascii="Arial" w:hAnsi="Arial" w:cs="Arial"/>
                <w:b/>
                <w:bCs/>
                <w:color w:val="000000"/>
                <w:sz w:val="16"/>
                <w:szCs w:val="16"/>
              </w:rPr>
            </w:pPr>
            <w:r w:rsidRPr="00D31C51">
              <w:rPr>
                <w:rFonts w:ascii="Arial" w:hAnsi="Arial" w:cs="Arial"/>
                <w:b/>
                <w:bCs/>
                <w:color w:val="000000"/>
                <w:sz w:val="16"/>
                <w:szCs w:val="16"/>
              </w:rPr>
              <w:t>Cash used</w:t>
            </w:r>
          </w:p>
        </w:tc>
        <w:tc>
          <w:tcPr>
            <w:tcW w:w="610" w:type="pct"/>
            <w:tcBorders>
              <w:top w:val="nil"/>
              <w:left w:val="nil"/>
              <w:bottom w:val="nil"/>
              <w:right w:val="nil"/>
            </w:tcBorders>
            <w:shd w:val="clear" w:color="auto" w:fill="auto"/>
            <w:noWrap/>
            <w:vAlign w:val="bottom"/>
            <w:hideMark/>
          </w:tcPr>
          <w:p w14:paraId="6BB56091" w14:textId="77777777" w:rsidR="00D31C51" w:rsidRPr="00D31C51" w:rsidRDefault="00D31C51" w:rsidP="009A1F48">
            <w:pPr>
              <w:spacing w:after="0" w:line="240" w:lineRule="auto"/>
              <w:jc w:val="right"/>
              <w:rPr>
                <w:rFonts w:ascii="Arial" w:hAnsi="Arial" w:cs="Arial"/>
                <w:b/>
                <w:bCs/>
                <w:color w:val="000000"/>
                <w:sz w:val="16"/>
                <w:szCs w:val="16"/>
              </w:rPr>
            </w:pPr>
          </w:p>
        </w:tc>
        <w:tc>
          <w:tcPr>
            <w:tcW w:w="609" w:type="pct"/>
            <w:tcBorders>
              <w:top w:val="nil"/>
              <w:left w:val="nil"/>
              <w:bottom w:val="nil"/>
              <w:right w:val="nil"/>
            </w:tcBorders>
            <w:shd w:val="clear" w:color="000000" w:fill="E6E6E6"/>
            <w:noWrap/>
            <w:vAlign w:val="bottom"/>
            <w:hideMark/>
          </w:tcPr>
          <w:p w14:paraId="284698B5"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w:t>
            </w:r>
          </w:p>
        </w:tc>
        <w:tc>
          <w:tcPr>
            <w:tcW w:w="609" w:type="pct"/>
            <w:tcBorders>
              <w:top w:val="nil"/>
              <w:left w:val="nil"/>
              <w:bottom w:val="nil"/>
              <w:right w:val="nil"/>
            </w:tcBorders>
            <w:shd w:val="clear" w:color="auto" w:fill="auto"/>
            <w:noWrap/>
            <w:vAlign w:val="bottom"/>
            <w:hideMark/>
          </w:tcPr>
          <w:p w14:paraId="375D1F50" w14:textId="77777777" w:rsidR="00D31C51" w:rsidRPr="00D31C51" w:rsidRDefault="00D31C51" w:rsidP="009A1F48">
            <w:pPr>
              <w:spacing w:after="0" w:line="240" w:lineRule="auto"/>
              <w:jc w:val="right"/>
              <w:rPr>
                <w:rFonts w:ascii="Arial" w:hAnsi="Arial" w:cs="Arial"/>
                <w:color w:val="000000"/>
                <w:sz w:val="16"/>
                <w:szCs w:val="16"/>
              </w:rPr>
            </w:pPr>
          </w:p>
        </w:tc>
        <w:tc>
          <w:tcPr>
            <w:tcW w:w="609" w:type="pct"/>
            <w:tcBorders>
              <w:top w:val="nil"/>
              <w:left w:val="nil"/>
              <w:bottom w:val="nil"/>
              <w:right w:val="nil"/>
            </w:tcBorders>
            <w:shd w:val="clear" w:color="auto" w:fill="auto"/>
            <w:noWrap/>
            <w:vAlign w:val="bottom"/>
            <w:hideMark/>
          </w:tcPr>
          <w:p w14:paraId="0A870573" w14:textId="77777777" w:rsidR="00D31C51" w:rsidRPr="00D31C51" w:rsidRDefault="00D31C51" w:rsidP="009A1F48">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78E8C7E5" w14:textId="77777777" w:rsidR="00D31C51" w:rsidRPr="00D31C51" w:rsidRDefault="00D31C51" w:rsidP="009A1F48">
            <w:pPr>
              <w:spacing w:after="0" w:line="240" w:lineRule="auto"/>
              <w:jc w:val="right"/>
              <w:rPr>
                <w:rFonts w:ascii="Times New Roman" w:hAnsi="Times New Roman"/>
              </w:rPr>
            </w:pPr>
          </w:p>
        </w:tc>
      </w:tr>
      <w:tr w:rsidR="00D31C51" w:rsidRPr="00D31C51" w14:paraId="453F14AF" w14:textId="77777777" w:rsidTr="00870A0F">
        <w:trPr>
          <w:trHeight w:hRule="exact" w:val="450"/>
        </w:trPr>
        <w:tc>
          <w:tcPr>
            <w:tcW w:w="1955" w:type="pct"/>
            <w:tcBorders>
              <w:top w:val="nil"/>
              <w:left w:val="nil"/>
              <w:bottom w:val="nil"/>
              <w:right w:val="nil"/>
            </w:tcBorders>
            <w:shd w:val="clear" w:color="auto" w:fill="auto"/>
            <w:vAlign w:val="bottom"/>
            <w:hideMark/>
          </w:tcPr>
          <w:p w14:paraId="4010ADC2" w14:textId="77777777" w:rsidR="00D31C51" w:rsidRPr="00D31C51" w:rsidRDefault="00D31C51" w:rsidP="00D31C51">
            <w:pPr>
              <w:spacing w:after="0" w:line="240" w:lineRule="auto"/>
              <w:ind w:left="170"/>
              <w:jc w:val="left"/>
              <w:rPr>
                <w:rFonts w:ascii="Arial" w:hAnsi="Arial" w:cs="Arial"/>
                <w:color w:val="000000"/>
                <w:sz w:val="16"/>
                <w:szCs w:val="16"/>
              </w:rPr>
            </w:pPr>
            <w:r w:rsidRPr="00D31C51">
              <w:rPr>
                <w:rFonts w:ascii="Arial" w:hAnsi="Arial" w:cs="Arial"/>
                <w:color w:val="000000"/>
                <w:sz w:val="16"/>
                <w:szCs w:val="16"/>
              </w:rPr>
              <w:t>Purchase of property, plant and</w:t>
            </w:r>
            <w:r w:rsidRPr="00D31C51">
              <w:rPr>
                <w:rFonts w:ascii="Arial" w:hAnsi="Arial" w:cs="Arial"/>
                <w:color w:val="000000"/>
                <w:sz w:val="16"/>
                <w:szCs w:val="16"/>
              </w:rPr>
              <w:br/>
              <w:t xml:space="preserve">  equipment and intangibles</w:t>
            </w:r>
          </w:p>
        </w:tc>
        <w:tc>
          <w:tcPr>
            <w:tcW w:w="610" w:type="pct"/>
            <w:tcBorders>
              <w:top w:val="nil"/>
              <w:left w:val="nil"/>
              <w:bottom w:val="nil"/>
              <w:right w:val="nil"/>
            </w:tcBorders>
            <w:shd w:val="clear" w:color="auto" w:fill="auto"/>
            <w:noWrap/>
            <w:vAlign w:val="bottom"/>
            <w:hideMark/>
          </w:tcPr>
          <w:p w14:paraId="5AE6B98D"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190 </w:t>
            </w:r>
          </w:p>
        </w:tc>
        <w:tc>
          <w:tcPr>
            <w:tcW w:w="609" w:type="pct"/>
            <w:tcBorders>
              <w:top w:val="nil"/>
              <w:left w:val="nil"/>
              <w:bottom w:val="nil"/>
              <w:right w:val="nil"/>
            </w:tcBorders>
            <w:shd w:val="clear" w:color="000000" w:fill="E6E6E6"/>
            <w:noWrap/>
            <w:vAlign w:val="bottom"/>
            <w:hideMark/>
          </w:tcPr>
          <w:p w14:paraId="60693A66"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192 </w:t>
            </w:r>
          </w:p>
        </w:tc>
        <w:tc>
          <w:tcPr>
            <w:tcW w:w="609" w:type="pct"/>
            <w:tcBorders>
              <w:top w:val="nil"/>
              <w:left w:val="nil"/>
              <w:bottom w:val="nil"/>
              <w:right w:val="nil"/>
            </w:tcBorders>
            <w:shd w:val="clear" w:color="auto" w:fill="auto"/>
            <w:noWrap/>
            <w:vAlign w:val="bottom"/>
            <w:hideMark/>
          </w:tcPr>
          <w:p w14:paraId="3FF255A3"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492 </w:t>
            </w:r>
          </w:p>
        </w:tc>
        <w:tc>
          <w:tcPr>
            <w:tcW w:w="609" w:type="pct"/>
            <w:tcBorders>
              <w:top w:val="nil"/>
              <w:left w:val="nil"/>
              <w:bottom w:val="nil"/>
              <w:right w:val="nil"/>
            </w:tcBorders>
            <w:shd w:val="clear" w:color="auto" w:fill="auto"/>
            <w:noWrap/>
            <w:vAlign w:val="bottom"/>
            <w:hideMark/>
          </w:tcPr>
          <w:p w14:paraId="4ECC2E59"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797 </w:t>
            </w:r>
          </w:p>
        </w:tc>
        <w:tc>
          <w:tcPr>
            <w:tcW w:w="608" w:type="pct"/>
            <w:tcBorders>
              <w:top w:val="nil"/>
              <w:left w:val="nil"/>
              <w:bottom w:val="nil"/>
              <w:right w:val="nil"/>
            </w:tcBorders>
            <w:shd w:val="clear" w:color="auto" w:fill="auto"/>
            <w:noWrap/>
            <w:vAlign w:val="bottom"/>
            <w:hideMark/>
          </w:tcPr>
          <w:p w14:paraId="0A1AE7E6"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805 </w:t>
            </w:r>
          </w:p>
        </w:tc>
      </w:tr>
      <w:tr w:rsidR="00D31C51" w:rsidRPr="00D31C51" w14:paraId="04CF4B73" w14:textId="77777777" w:rsidTr="00870A0F">
        <w:trPr>
          <w:trHeight w:hRule="exact" w:val="225"/>
        </w:trPr>
        <w:tc>
          <w:tcPr>
            <w:tcW w:w="1955" w:type="pct"/>
            <w:tcBorders>
              <w:top w:val="nil"/>
              <w:left w:val="nil"/>
              <w:bottom w:val="nil"/>
              <w:right w:val="nil"/>
            </w:tcBorders>
            <w:shd w:val="clear" w:color="auto" w:fill="auto"/>
            <w:noWrap/>
            <w:vAlign w:val="bottom"/>
            <w:hideMark/>
          </w:tcPr>
          <w:p w14:paraId="200944E9" w14:textId="77777777" w:rsidR="00D31C51" w:rsidRPr="00D31C51" w:rsidRDefault="00D31C51" w:rsidP="00D31C51">
            <w:pPr>
              <w:spacing w:after="0" w:line="240" w:lineRule="auto"/>
              <w:jc w:val="left"/>
              <w:rPr>
                <w:rFonts w:ascii="Arial" w:hAnsi="Arial" w:cs="Arial"/>
                <w:b/>
                <w:bCs/>
                <w:i/>
                <w:iCs/>
                <w:color w:val="000000"/>
                <w:sz w:val="16"/>
                <w:szCs w:val="16"/>
              </w:rPr>
            </w:pPr>
            <w:r w:rsidRPr="00D31C51">
              <w:rPr>
                <w:rFonts w:ascii="Arial" w:hAnsi="Arial" w:cs="Arial"/>
                <w:b/>
                <w:bCs/>
                <w:i/>
                <w:iCs/>
                <w:color w:val="000000"/>
                <w:sz w:val="16"/>
                <w:szCs w:val="16"/>
              </w:rPr>
              <w:t>Total cash used</w:t>
            </w:r>
          </w:p>
        </w:tc>
        <w:tc>
          <w:tcPr>
            <w:tcW w:w="610" w:type="pct"/>
            <w:tcBorders>
              <w:top w:val="single" w:sz="4" w:space="0" w:color="000000"/>
              <w:left w:val="nil"/>
              <w:bottom w:val="single" w:sz="4" w:space="0" w:color="000000"/>
              <w:right w:val="nil"/>
            </w:tcBorders>
            <w:shd w:val="clear" w:color="auto" w:fill="auto"/>
            <w:noWrap/>
            <w:vAlign w:val="bottom"/>
            <w:hideMark/>
          </w:tcPr>
          <w:p w14:paraId="1EA54F20"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190 </w:t>
            </w:r>
          </w:p>
        </w:tc>
        <w:tc>
          <w:tcPr>
            <w:tcW w:w="609" w:type="pct"/>
            <w:tcBorders>
              <w:top w:val="single" w:sz="4" w:space="0" w:color="000000"/>
              <w:left w:val="nil"/>
              <w:bottom w:val="single" w:sz="4" w:space="0" w:color="000000"/>
              <w:right w:val="nil"/>
            </w:tcBorders>
            <w:shd w:val="clear" w:color="000000" w:fill="E6E6E6"/>
            <w:noWrap/>
            <w:vAlign w:val="bottom"/>
            <w:hideMark/>
          </w:tcPr>
          <w:p w14:paraId="46D9461B"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192 </w:t>
            </w:r>
          </w:p>
        </w:tc>
        <w:tc>
          <w:tcPr>
            <w:tcW w:w="609" w:type="pct"/>
            <w:tcBorders>
              <w:top w:val="single" w:sz="4" w:space="0" w:color="000000"/>
              <w:left w:val="nil"/>
              <w:bottom w:val="single" w:sz="4" w:space="0" w:color="000000"/>
              <w:right w:val="nil"/>
            </w:tcBorders>
            <w:shd w:val="clear" w:color="auto" w:fill="auto"/>
            <w:noWrap/>
            <w:vAlign w:val="bottom"/>
            <w:hideMark/>
          </w:tcPr>
          <w:p w14:paraId="18635E97"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492 </w:t>
            </w:r>
          </w:p>
        </w:tc>
        <w:tc>
          <w:tcPr>
            <w:tcW w:w="609" w:type="pct"/>
            <w:tcBorders>
              <w:top w:val="single" w:sz="4" w:space="0" w:color="000000"/>
              <w:left w:val="nil"/>
              <w:bottom w:val="single" w:sz="4" w:space="0" w:color="000000"/>
              <w:right w:val="nil"/>
            </w:tcBorders>
            <w:shd w:val="clear" w:color="auto" w:fill="auto"/>
            <w:noWrap/>
            <w:vAlign w:val="bottom"/>
            <w:hideMark/>
          </w:tcPr>
          <w:p w14:paraId="37308619"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797 </w:t>
            </w:r>
          </w:p>
        </w:tc>
        <w:tc>
          <w:tcPr>
            <w:tcW w:w="608" w:type="pct"/>
            <w:tcBorders>
              <w:top w:val="single" w:sz="4" w:space="0" w:color="000000"/>
              <w:left w:val="nil"/>
              <w:bottom w:val="single" w:sz="4" w:space="0" w:color="000000"/>
              <w:right w:val="nil"/>
            </w:tcBorders>
            <w:shd w:val="clear" w:color="auto" w:fill="auto"/>
            <w:noWrap/>
            <w:vAlign w:val="bottom"/>
            <w:hideMark/>
          </w:tcPr>
          <w:p w14:paraId="5B952C3F"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805 </w:t>
            </w:r>
          </w:p>
        </w:tc>
      </w:tr>
      <w:tr w:rsidR="00D31C51" w:rsidRPr="00D31C51" w14:paraId="559FEED1" w14:textId="77777777" w:rsidTr="00870A0F">
        <w:trPr>
          <w:trHeight w:hRule="exact" w:val="510"/>
        </w:trPr>
        <w:tc>
          <w:tcPr>
            <w:tcW w:w="1955" w:type="pct"/>
            <w:tcBorders>
              <w:top w:val="nil"/>
              <w:left w:val="nil"/>
              <w:bottom w:val="nil"/>
              <w:right w:val="nil"/>
            </w:tcBorders>
            <w:shd w:val="clear" w:color="auto" w:fill="auto"/>
            <w:vAlign w:val="bottom"/>
            <w:hideMark/>
          </w:tcPr>
          <w:p w14:paraId="1F8E3719" w14:textId="77777777" w:rsidR="00D31C51" w:rsidRPr="00D31C51" w:rsidRDefault="00D31C51" w:rsidP="00D31C51">
            <w:pPr>
              <w:spacing w:after="0" w:line="240" w:lineRule="auto"/>
              <w:jc w:val="left"/>
              <w:rPr>
                <w:rFonts w:ascii="Arial" w:hAnsi="Arial" w:cs="Arial"/>
                <w:b/>
                <w:bCs/>
                <w:color w:val="000000"/>
                <w:sz w:val="16"/>
                <w:szCs w:val="16"/>
              </w:rPr>
            </w:pPr>
            <w:r w:rsidRPr="00D31C51">
              <w:rPr>
                <w:rFonts w:ascii="Arial" w:hAnsi="Arial" w:cs="Arial"/>
                <w:b/>
                <w:bCs/>
                <w:color w:val="000000"/>
                <w:sz w:val="16"/>
                <w:szCs w:val="16"/>
              </w:rPr>
              <w:t>Net cash from/(used by)</w:t>
            </w:r>
            <w:r w:rsidRPr="00D31C51">
              <w:rPr>
                <w:rFonts w:ascii="Arial" w:hAnsi="Arial" w:cs="Arial"/>
                <w:b/>
                <w:bCs/>
                <w:color w:val="000000"/>
                <w:sz w:val="16"/>
                <w:szCs w:val="16"/>
              </w:rPr>
              <w:br/>
              <w:t xml:space="preserve">  investing activities</w:t>
            </w:r>
          </w:p>
        </w:tc>
        <w:tc>
          <w:tcPr>
            <w:tcW w:w="610" w:type="pct"/>
            <w:tcBorders>
              <w:top w:val="nil"/>
              <w:left w:val="nil"/>
              <w:bottom w:val="single" w:sz="4" w:space="0" w:color="auto"/>
              <w:right w:val="nil"/>
            </w:tcBorders>
            <w:shd w:val="clear" w:color="auto" w:fill="auto"/>
            <w:noWrap/>
            <w:vAlign w:val="bottom"/>
            <w:hideMark/>
          </w:tcPr>
          <w:p w14:paraId="2DE47607"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(190)</w:t>
            </w:r>
          </w:p>
        </w:tc>
        <w:tc>
          <w:tcPr>
            <w:tcW w:w="609" w:type="pct"/>
            <w:tcBorders>
              <w:top w:val="nil"/>
              <w:left w:val="nil"/>
              <w:bottom w:val="single" w:sz="4" w:space="0" w:color="000000"/>
              <w:right w:val="nil"/>
            </w:tcBorders>
            <w:shd w:val="clear" w:color="000000" w:fill="E6E6E6"/>
            <w:noWrap/>
            <w:vAlign w:val="bottom"/>
            <w:hideMark/>
          </w:tcPr>
          <w:p w14:paraId="3090AA02"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(192)</w:t>
            </w:r>
          </w:p>
        </w:tc>
        <w:tc>
          <w:tcPr>
            <w:tcW w:w="609" w:type="pct"/>
            <w:tcBorders>
              <w:top w:val="nil"/>
              <w:left w:val="nil"/>
              <w:bottom w:val="single" w:sz="4" w:space="0" w:color="auto"/>
              <w:right w:val="nil"/>
            </w:tcBorders>
            <w:shd w:val="clear" w:color="auto" w:fill="auto"/>
            <w:noWrap/>
            <w:vAlign w:val="bottom"/>
            <w:hideMark/>
          </w:tcPr>
          <w:p w14:paraId="38D6E2CC"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(492)</w:t>
            </w:r>
          </w:p>
        </w:tc>
        <w:tc>
          <w:tcPr>
            <w:tcW w:w="609" w:type="pct"/>
            <w:tcBorders>
              <w:top w:val="nil"/>
              <w:left w:val="nil"/>
              <w:bottom w:val="single" w:sz="4" w:space="0" w:color="auto"/>
              <w:right w:val="nil"/>
            </w:tcBorders>
            <w:shd w:val="clear" w:color="auto" w:fill="auto"/>
            <w:noWrap/>
            <w:vAlign w:val="bottom"/>
            <w:hideMark/>
          </w:tcPr>
          <w:p w14:paraId="26C77E4F"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(797)</w:t>
            </w:r>
          </w:p>
        </w:tc>
        <w:tc>
          <w:tcPr>
            <w:tcW w:w="608" w:type="pct"/>
            <w:tcBorders>
              <w:top w:val="nil"/>
              <w:left w:val="nil"/>
              <w:bottom w:val="single" w:sz="4" w:space="0" w:color="auto"/>
              <w:right w:val="nil"/>
            </w:tcBorders>
            <w:shd w:val="clear" w:color="auto" w:fill="auto"/>
            <w:noWrap/>
            <w:vAlign w:val="bottom"/>
            <w:hideMark/>
          </w:tcPr>
          <w:p w14:paraId="4E455A24"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(805)</w:t>
            </w:r>
          </w:p>
        </w:tc>
      </w:tr>
      <w:tr w:rsidR="00D31C51" w:rsidRPr="00D31C51" w14:paraId="281DB369" w14:textId="77777777" w:rsidTr="00870A0F">
        <w:trPr>
          <w:trHeight w:hRule="exact" w:val="225"/>
        </w:trPr>
        <w:tc>
          <w:tcPr>
            <w:tcW w:w="1955" w:type="pct"/>
            <w:tcBorders>
              <w:top w:val="nil"/>
              <w:left w:val="nil"/>
              <w:bottom w:val="nil"/>
              <w:right w:val="nil"/>
            </w:tcBorders>
            <w:shd w:val="clear" w:color="auto" w:fill="auto"/>
            <w:noWrap/>
            <w:vAlign w:val="bottom"/>
            <w:hideMark/>
          </w:tcPr>
          <w:p w14:paraId="7399BCA9" w14:textId="77777777" w:rsidR="00D31C51" w:rsidRPr="00D31C51" w:rsidRDefault="00D31C51" w:rsidP="00D31C51">
            <w:pPr>
              <w:spacing w:after="0" w:line="240" w:lineRule="auto"/>
              <w:jc w:val="left"/>
              <w:rPr>
                <w:rFonts w:ascii="Arial" w:hAnsi="Arial" w:cs="Arial"/>
                <w:b/>
                <w:bCs/>
                <w:color w:val="000000"/>
                <w:sz w:val="16"/>
                <w:szCs w:val="16"/>
              </w:rPr>
            </w:pPr>
            <w:r w:rsidRPr="00D31C51">
              <w:rPr>
                <w:rFonts w:ascii="Arial" w:hAnsi="Arial" w:cs="Arial"/>
                <w:b/>
                <w:bCs/>
                <w:color w:val="000000"/>
                <w:sz w:val="16"/>
                <w:szCs w:val="16"/>
              </w:rPr>
              <w:t>FINANCING ACTIVITIES</w:t>
            </w:r>
          </w:p>
        </w:tc>
        <w:tc>
          <w:tcPr>
            <w:tcW w:w="610" w:type="pct"/>
            <w:tcBorders>
              <w:top w:val="nil"/>
              <w:left w:val="nil"/>
              <w:bottom w:val="nil"/>
              <w:right w:val="nil"/>
            </w:tcBorders>
            <w:shd w:val="clear" w:color="auto" w:fill="auto"/>
            <w:noWrap/>
            <w:vAlign w:val="bottom"/>
            <w:hideMark/>
          </w:tcPr>
          <w:p w14:paraId="6BE79F72" w14:textId="77777777" w:rsidR="00D31C51" w:rsidRPr="00D31C51" w:rsidRDefault="00D31C51" w:rsidP="009A1F48">
            <w:pPr>
              <w:spacing w:after="0" w:line="240" w:lineRule="auto"/>
              <w:jc w:val="right"/>
              <w:rPr>
                <w:rFonts w:ascii="Arial" w:hAnsi="Arial" w:cs="Arial"/>
                <w:b/>
                <w:bCs/>
                <w:color w:val="000000"/>
                <w:sz w:val="16"/>
                <w:szCs w:val="16"/>
              </w:rPr>
            </w:pPr>
          </w:p>
        </w:tc>
        <w:tc>
          <w:tcPr>
            <w:tcW w:w="609" w:type="pct"/>
            <w:tcBorders>
              <w:top w:val="nil"/>
              <w:left w:val="nil"/>
              <w:bottom w:val="nil"/>
              <w:right w:val="nil"/>
            </w:tcBorders>
            <w:shd w:val="clear" w:color="000000" w:fill="E6E6E6"/>
            <w:noWrap/>
            <w:vAlign w:val="bottom"/>
            <w:hideMark/>
          </w:tcPr>
          <w:p w14:paraId="2FDCC297"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w:t>
            </w:r>
          </w:p>
        </w:tc>
        <w:tc>
          <w:tcPr>
            <w:tcW w:w="609" w:type="pct"/>
            <w:tcBorders>
              <w:top w:val="nil"/>
              <w:left w:val="nil"/>
              <w:bottom w:val="nil"/>
              <w:right w:val="nil"/>
            </w:tcBorders>
            <w:shd w:val="clear" w:color="auto" w:fill="auto"/>
            <w:noWrap/>
            <w:vAlign w:val="bottom"/>
            <w:hideMark/>
          </w:tcPr>
          <w:p w14:paraId="4321DD2B" w14:textId="77777777" w:rsidR="00D31C51" w:rsidRPr="00D31C51" w:rsidRDefault="00D31C51" w:rsidP="009A1F48">
            <w:pPr>
              <w:spacing w:after="0" w:line="240" w:lineRule="auto"/>
              <w:jc w:val="right"/>
              <w:rPr>
                <w:rFonts w:ascii="Arial" w:hAnsi="Arial" w:cs="Arial"/>
                <w:color w:val="000000"/>
                <w:sz w:val="16"/>
                <w:szCs w:val="16"/>
              </w:rPr>
            </w:pPr>
          </w:p>
        </w:tc>
        <w:tc>
          <w:tcPr>
            <w:tcW w:w="609" w:type="pct"/>
            <w:tcBorders>
              <w:top w:val="nil"/>
              <w:left w:val="nil"/>
              <w:bottom w:val="nil"/>
              <w:right w:val="nil"/>
            </w:tcBorders>
            <w:shd w:val="clear" w:color="auto" w:fill="auto"/>
            <w:noWrap/>
            <w:vAlign w:val="bottom"/>
            <w:hideMark/>
          </w:tcPr>
          <w:p w14:paraId="052E8AF3" w14:textId="77777777" w:rsidR="00D31C51" w:rsidRPr="00D31C51" w:rsidRDefault="00D31C51" w:rsidP="009A1F48">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659534F6" w14:textId="77777777" w:rsidR="00D31C51" w:rsidRPr="00D31C51" w:rsidRDefault="00D31C51" w:rsidP="009A1F48">
            <w:pPr>
              <w:spacing w:after="0" w:line="240" w:lineRule="auto"/>
              <w:jc w:val="right"/>
              <w:rPr>
                <w:rFonts w:ascii="Times New Roman" w:hAnsi="Times New Roman"/>
              </w:rPr>
            </w:pPr>
          </w:p>
        </w:tc>
      </w:tr>
      <w:tr w:rsidR="00D31C51" w:rsidRPr="00D31C51" w14:paraId="138A71EB" w14:textId="77777777" w:rsidTr="00870A0F">
        <w:trPr>
          <w:trHeight w:hRule="exact" w:val="225"/>
        </w:trPr>
        <w:tc>
          <w:tcPr>
            <w:tcW w:w="1955" w:type="pct"/>
            <w:tcBorders>
              <w:top w:val="nil"/>
              <w:left w:val="nil"/>
              <w:bottom w:val="nil"/>
              <w:right w:val="nil"/>
            </w:tcBorders>
            <w:shd w:val="clear" w:color="auto" w:fill="auto"/>
            <w:noWrap/>
            <w:vAlign w:val="bottom"/>
            <w:hideMark/>
          </w:tcPr>
          <w:p w14:paraId="16788828" w14:textId="77777777" w:rsidR="00D31C51" w:rsidRPr="00D31C51" w:rsidRDefault="00D31C51" w:rsidP="00D31C51">
            <w:pPr>
              <w:spacing w:after="0" w:line="240" w:lineRule="auto"/>
              <w:jc w:val="left"/>
              <w:rPr>
                <w:rFonts w:ascii="Arial" w:hAnsi="Arial" w:cs="Arial"/>
                <w:b/>
                <w:bCs/>
                <w:color w:val="000000"/>
                <w:sz w:val="16"/>
                <w:szCs w:val="16"/>
              </w:rPr>
            </w:pPr>
            <w:r w:rsidRPr="00D31C51">
              <w:rPr>
                <w:rFonts w:ascii="Arial" w:hAnsi="Arial" w:cs="Arial"/>
                <w:b/>
                <w:bCs/>
                <w:color w:val="000000"/>
                <w:sz w:val="16"/>
                <w:szCs w:val="16"/>
              </w:rPr>
              <w:t>Cash received</w:t>
            </w:r>
          </w:p>
        </w:tc>
        <w:tc>
          <w:tcPr>
            <w:tcW w:w="610" w:type="pct"/>
            <w:tcBorders>
              <w:top w:val="nil"/>
              <w:left w:val="nil"/>
              <w:bottom w:val="nil"/>
              <w:right w:val="nil"/>
            </w:tcBorders>
            <w:shd w:val="clear" w:color="auto" w:fill="auto"/>
            <w:noWrap/>
            <w:vAlign w:val="bottom"/>
            <w:hideMark/>
          </w:tcPr>
          <w:p w14:paraId="290C252C" w14:textId="77777777" w:rsidR="00D31C51" w:rsidRPr="00D31C51" w:rsidRDefault="00D31C51" w:rsidP="009A1F48">
            <w:pPr>
              <w:spacing w:after="0" w:line="240" w:lineRule="auto"/>
              <w:jc w:val="right"/>
              <w:rPr>
                <w:rFonts w:ascii="Arial" w:hAnsi="Arial" w:cs="Arial"/>
                <w:b/>
                <w:bCs/>
                <w:color w:val="000000"/>
                <w:sz w:val="16"/>
                <w:szCs w:val="16"/>
              </w:rPr>
            </w:pPr>
          </w:p>
        </w:tc>
        <w:tc>
          <w:tcPr>
            <w:tcW w:w="609" w:type="pct"/>
            <w:tcBorders>
              <w:top w:val="nil"/>
              <w:left w:val="nil"/>
              <w:bottom w:val="nil"/>
              <w:right w:val="nil"/>
            </w:tcBorders>
            <w:shd w:val="clear" w:color="000000" w:fill="E6E6E6"/>
            <w:noWrap/>
            <w:vAlign w:val="bottom"/>
            <w:hideMark/>
          </w:tcPr>
          <w:p w14:paraId="51FADD21"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w:t>
            </w:r>
          </w:p>
        </w:tc>
        <w:tc>
          <w:tcPr>
            <w:tcW w:w="609" w:type="pct"/>
            <w:tcBorders>
              <w:top w:val="nil"/>
              <w:left w:val="nil"/>
              <w:bottom w:val="nil"/>
              <w:right w:val="nil"/>
            </w:tcBorders>
            <w:shd w:val="clear" w:color="auto" w:fill="auto"/>
            <w:noWrap/>
            <w:vAlign w:val="bottom"/>
            <w:hideMark/>
          </w:tcPr>
          <w:p w14:paraId="20021428" w14:textId="77777777" w:rsidR="00D31C51" w:rsidRPr="00D31C51" w:rsidRDefault="00D31C51" w:rsidP="009A1F48">
            <w:pPr>
              <w:spacing w:after="0" w:line="240" w:lineRule="auto"/>
              <w:jc w:val="right"/>
              <w:rPr>
                <w:rFonts w:ascii="Arial" w:hAnsi="Arial" w:cs="Arial"/>
                <w:color w:val="000000"/>
                <w:sz w:val="16"/>
                <w:szCs w:val="16"/>
              </w:rPr>
            </w:pPr>
          </w:p>
        </w:tc>
        <w:tc>
          <w:tcPr>
            <w:tcW w:w="609" w:type="pct"/>
            <w:tcBorders>
              <w:top w:val="nil"/>
              <w:left w:val="nil"/>
              <w:bottom w:val="nil"/>
              <w:right w:val="nil"/>
            </w:tcBorders>
            <w:shd w:val="clear" w:color="auto" w:fill="auto"/>
            <w:noWrap/>
            <w:vAlign w:val="bottom"/>
            <w:hideMark/>
          </w:tcPr>
          <w:p w14:paraId="0ACBFBDB" w14:textId="77777777" w:rsidR="00D31C51" w:rsidRPr="00D31C51" w:rsidRDefault="00D31C51" w:rsidP="009A1F48">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4E89B24F" w14:textId="77777777" w:rsidR="00D31C51" w:rsidRPr="00D31C51" w:rsidRDefault="00D31C51" w:rsidP="009A1F48">
            <w:pPr>
              <w:spacing w:after="0" w:line="240" w:lineRule="auto"/>
              <w:jc w:val="right"/>
              <w:rPr>
                <w:rFonts w:ascii="Times New Roman" w:hAnsi="Times New Roman"/>
              </w:rPr>
            </w:pPr>
          </w:p>
        </w:tc>
      </w:tr>
      <w:tr w:rsidR="00D31C51" w:rsidRPr="00D31C51" w14:paraId="6E9B5A9F" w14:textId="77777777" w:rsidTr="00870A0F">
        <w:trPr>
          <w:trHeight w:hRule="exact" w:val="225"/>
        </w:trPr>
        <w:tc>
          <w:tcPr>
            <w:tcW w:w="1955" w:type="pct"/>
            <w:tcBorders>
              <w:top w:val="nil"/>
              <w:left w:val="nil"/>
              <w:bottom w:val="nil"/>
              <w:right w:val="nil"/>
            </w:tcBorders>
            <w:shd w:val="clear" w:color="auto" w:fill="auto"/>
            <w:noWrap/>
            <w:vAlign w:val="bottom"/>
            <w:hideMark/>
          </w:tcPr>
          <w:p w14:paraId="41410975" w14:textId="77777777" w:rsidR="00D31C51" w:rsidRPr="00D31C51" w:rsidRDefault="00D31C51" w:rsidP="00D31C51">
            <w:pPr>
              <w:spacing w:after="0" w:line="240" w:lineRule="auto"/>
              <w:ind w:left="170"/>
              <w:jc w:val="left"/>
              <w:rPr>
                <w:rFonts w:ascii="Arial" w:hAnsi="Arial" w:cs="Arial"/>
                <w:color w:val="000000"/>
                <w:sz w:val="16"/>
                <w:szCs w:val="16"/>
              </w:rPr>
            </w:pPr>
            <w:r w:rsidRPr="00D31C51">
              <w:rPr>
                <w:rFonts w:ascii="Arial" w:hAnsi="Arial" w:cs="Arial"/>
                <w:color w:val="000000"/>
                <w:sz w:val="16"/>
                <w:szCs w:val="16"/>
              </w:rPr>
              <w:t>Contributed equity</w:t>
            </w:r>
          </w:p>
        </w:tc>
        <w:tc>
          <w:tcPr>
            <w:tcW w:w="610" w:type="pct"/>
            <w:tcBorders>
              <w:top w:val="nil"/>
              <w:left w:val="nil"/>
              <w:bottom w:val="nil"/>
              <w:right w:val="nil"/>
            </w:tcBorders>
            <w:shd w:val="clear" w:color="auto" w:fill="auto"/>
            <w:noWrap/>
            <w:vAlign w:val="bottom"/>
            <w:hideMark/>
          </w:tcPr>
          <w:p w14:paraId="7714931C"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190 </w:t>
            </w:r>
          </w:p>
        </w:tc>
        <w:tc>
          <w:tcPr>
            <w:tcW w:w="609" w:type="pct"/>
            <w:tcBorders>
              <w:top w:val="nil"/>
              <w:left w:val="nil"/>
              <w:bottom w:val="nil"/>
              <w:right w:val="nil"/>
            </w:tcBorders>
            <w:shd w:val="clear" w:color="000000" w:fill="E6E6E6"/>
            <w:noWrap/>
            <w:vAlign w:val="bottom"/>
            <w:hideMark/>
          </w:tcPr>
          <w:p w14:paraId="6B5C8F8E" w14:textId="77777777" w:rsidR="00D31C51" w:rsidRPr="00D31C51" w:rsidRDefault="00D31C51" w:rsidP="009A1F48">
            <w:pPr>
              <w:spacing w:after="0" w:line="240" w:lineRule="auto"/>
              <w:jc w:val="right"/>
              <w:rPr>
                <w:rFonts w:ascii="Arial" w:hAnsi="Arial" w:cs="Arial"/>
                <w:sz w:val="16"/>
                <w:szCs w:val="16"/>
              </w:rPr>
            </w:pPr>
            <w:r w:rsidRPr="00D31C51">
              <w:rPr>
                <w:rFonts w:ascii="Arial" w:hAnsi="Arial" w:cs="Arial"/>
                <w:sz w:val="16"/>
                <w:szCs w:val="16"/>
              </w:rPr>
              <w:t xml:space="preserve">192 </w:t>
            </w:r>
          </w:p>
        </w:tc>
        <w:tc>
          <w:tcPr>
            <w:tcW w:w="609" w:type="pct"/>
            <w:tcBorders>
              <w:top w:val="nil"/>
              <w:left w:val="nil"/>
              <w:bottom w:val="nil"/>
              <w:right w:val="nil"/>
            </w:tcBorders>
            <w:shd w:val="clear" w:color="auto" w:fill="auto"/>
            <w:noWrap/>
            <w:vAlign w:val="bottom"/>
            <w:hideMark/>
          </w:tcPr>
          <w:p w14:paraId="58FC3A7D"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492 </w:t>
            </w:r>
          </w:p>
        </w:tc>
        <w:tc>
          <w:tcPr>
            <w:tcW w:w="609" w:type="pct"/>
            <w:tcBorders>
              <w:top w:val="nil"/>
              <w:left w:val="nil"/>
              <w:bottom w:val="nil"/>
              <w:right w:val="nil"/>
            </w:tcBorders>
            <w:shd w:val="clear" w:color="auto" w:fill="auto"/>
            <w:noWrap/>
            <w:vAlign w:val="bottom"/>
            <w:hideMark/>
          </w:tcPr>
          <w:p w14:paraId="5F5CA9A5"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797 </w:t>
            </w:r>
          </w:p>
        </w:tc>
        <w:tc>
          <w:tcPr>
            <w:tcW w:w="608" w:type="pct"/>
            <w:tcBorders>
              <w:top w:val="nil"/>
              <w:left w:val="nil"/>
              <w:bottom w:val="nil"/>
              <w:right w:val="nil"/>
            </w:tcBorders>
            <w:shd w:val="clear" w:color="auto" w:fill="auto"/>
            <w:noWrap/>
            <w:vAlign w:val="bottom"/>
            <w:hideMark/>
          </w:tcPr>
          <w:p w14:paraId="00E50FCA"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805 </w:t>
            </w:r>
          </w:p>
        </w:tc>
      </w:tr>
      <w:tr w:rsidR="00D31C51" w:rsidRPr="00D31C51" w14:paraId="2A67CDBC" w14:textId="77777777" w:rsidTr="00870A0F">
        <w:trPr>
          <w:trHeight w:hRule="exact" w:val="225"/>
        </w:trPr>
        <w:tc>
          <w:tcPr>
            <w:tcW w:w="1955" w:type="pct"/>
            <w:tcBorders>
              <w:top w:val="nil"/>
              <w:left w:val="nil"/>
              <w:bottom w:val="nil"/>
              <w:right w:val="nil"/>
            </w:tcBorders>
            <w:shd w:val="clear" w:color="auto" w:fill="auto"/>
            <w:noWrap/>
            <w:vAlign w:val="bottom"/>
            <w:hideMark/>
          </w:tcPr>
          <w:p w14:paraId="58F08657" w14:textId="77777777" w:rsidR="00D31C51" w:rsidRPr="00D31C51" w:rsidRDefault="00D31C51" w:rsidP="00D31C51">
            <w:pPr>
              <w:spacing w:after="0" w:line="240" w:lineRule="auto"/>
              <w:jc w:val="left"/>
              <w:rPr>
                <w:rFonts w:ascii="Arial" w:hAnsi="Arial" w:cs="Arial"/>
                <w:b/>
                <w:bCs/>
                <w:i/>
                <w:iCs/>
                <w:color w:val="000000"/>
                <w:sz w:val="16"/>
                <w:szCs w:val="16"/>
              </w:rPr>
            </w:pPr>
            <w:r w:rsidRPr="00D31C51">
              <w:rPr>
                <w:rFonts w:ascii="Arial" w:hAnsi="Arial" w:cs="Arial"/>
                <w:b/>
                <w:bCs/>
                <w:i/>
                <w:iCs/>
                <w:color w:val="000000"/>
                <w:sz w:val="16"/>
                <w:szCs w:val="16"/>
              </w:rPr>
              <w:t>Total cash received</w:t>
            </w:r>
          </w:p>
        </w:tc>
        <w:tc>
          <w:tcPr>
            <w:tcW w:w="610" w:type="pct"/>
            <w:tcBorders>
              <w:top w:val="single" w:sz="4" w:space="0" w:color="000000"/>
              <w:left w:val="nil"/>
              <w:bottom w:val="single" w:sz="4" w:space="0" w:color="000000"/>
              <w:right w:val="nil"/>
            </w:tcBorders>
            <w:shd w:val="clear" w:color="auto" w:fill="auto"/>
            <w:noWrap/>
            <w:vAlign w:val="bottom"/>
            <w:hideMark/>
          </w:tcPr>
          <w:p w14:paraId="1E5E914C"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190 </w:t>
            </w:r>
          </w:p>
        </w:tc>
        <w:tc>
          <w:tcPr>
            <w:tcW w:w="609" w:type="pct"/>
            <w:tcBorders>
              <w:top w:val="single" w:sz="4" w:space="0" w:color="000000"/>
              <w:left w:val="nil"/>
              <w:bottom w:val="single" w:sz="4" w:space="0" w:color="000000"/>
              <w:right w:val="nil"/>
            </w:tcBorders>
            <w:shd w:val="clear" w:color="000000" w:fill="E6E6E6"/>
            <w:noWrap/>
            <w:vAlign w:val="bottom"/>
            <w:hideMark/>
          </w:tcPr>
          <w:p w14:paraId="2CF8D459"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192 </w:t>
            </w:r>
          </w:p>
        </w:tc>
        <w:tc>
          <w:tcPr>
            <w:tcW w:w="609" w:type="pct"/>
            <w:tcBorders>
              <w:top w:val="single" w:sz="4" w:space="0" w:color="000000"/>
              <w:left w:val="nil"/>
              <w:bottom w:val="single" w:sz="4" w:space="0" w:color="000000"/>
              <w:right w:val="nil"/>
            </w:tcBorders>
            <w:shd w:val="clear" w:color="auto" w:fill="auto"/>
            <w:noWrap/>
            <w:vAlign w:val="bottom"/>
            <w:hideMark/>
          </w:tcPr>
          <w:p w14:paraId="60F71599"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492 </w:t>
            </w:r>
          </w:p>
        </w:tc>
        <w:tc>
          <w:tcPr>
            <w:tcW w:w="609" w:type="pct"/>
            <w:tcBorders>
              <w:top w:val="single" w:sz="4" w:space="0" w:color="000000"/>
              <w:left w:val="nil"/>
              <w:bottom w:val="single" w:sz="4" w:space="0" w:color="000000"/>
              <w:right w:val="nil"/>
            </w:tcBorders>
            <w:shd w:val="clear" w:color="auto" w:fill="auto"/>
            <w:noWrap/>
            <w:vAlign w:val="bottom"/>
            <w:hideMark/>
          </w:tcPr>
          <w:p w14:paraId="0204826D"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797 </w:t>
            </w:r>
          </w:p>
        </w:tc>
        <w:tc>
          <w:tcPr>
            <w:tcW w:w="608" w:type="pct"/>
            <w:tcBorders>
              <w:top w:val="single" w:sz="4" w:space="0" w:color="000000"/>
              <w:left w:val="nil"/>
              <w:bottom w:val="single" w:sz="4" w:space="0" w:color="000000"/>
              <w:right w:val="nil"/>
            </w:tcBorders>
            <w:shd w:val="clear" w:color="auto" w:fill="auto"/>
            <w:noWrap/>
            <w:vAlign w:val="bottom"/>
            <w:hideMark/>
          </w:tcPr>
          <w:p w14:paraId="020C3C09"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805 </w:t>
            </w:r>
          </w:p>
        </w:tc>
      </w:tr>
      <w:tr w:rsidR="00D31C51" w:rsidRPr="00D31C51" w14:paraId="3B62B8D0" w14:textId="77777777" w:rsidTr="00870A0F">
        <w:trPr>
          <w:trHeight w:hRule="exact" w:val="225"/>
        </w:trPr>
        <w:tc>
          <w:tcPr>
            <w:tcW w:w="1955" w:type="pct"/>
            <w:tcBorders>
              <w:top w:val="nil"/>
              <w:left w:val="nil"/>
              <w:bottom w:val="nil"/>
              <w:right w:val="nil"/>
            </w:tcBorders>
            <w:shd w:val="clear" w:color="auto" w:fill="auto"/>
            <w:noWrap/>
            <w:vAlign w:val="bottom"/>
            <w:hideMark/>
          </w:tcPr>
          <w:p w14:paraId="6B4C7311" w14:textId="77777777" w:rsidR="00D31C51" w:rsidRPr="00D31C51" w:rsidRDefault="00D31C51" w:rsidP="00D31C51">
            <w:pPr>
              <w:spacing w:after="0" w:line="240" w:lineRule="auto"/>
              <w:jc w:val="left"/>
              <w:rPr>
                <w:rFonts w:ascii="Arial" w:hAnsi="Arial" w:cs="Arial"/>
                <w:b/>
                <w:bCs/>
                <w:color w:val="000000"/>
                <w:sz w:val="16"/>
                <w:szCs w:val="16"/>
              </w:rPr>
            </w:pPr>
            <w:r w:rsidRPr="00D31C51">
              <w:rPr>
                <w:rFonts w:ascii="Arial" w:hAnsi="Arial" w:cs="Arial"/>
                <w:b/>
                <w:bCs/>
                <w:color w:val="000000"/>
                <w:sz w:val="16"/>
                <w:szCs w:val="16"/>
              </w:rPr>
              <w:t>Cash used</w:t>
            </w:r>
          </w:p>
        </w:tc>
        <w:tc>
          <w:tcPr>
            <w:tcW w:w="610" w:type="pct"/>
            <w:tcBorders>
              <w:top w:val="nil"/>
              <w:left w:val="nil"/>
              <w:bottom w:val="nil"/>
              <w:right w:val="nil"/>
            </w:tcBorders>
            <w:shd w:val="clear" w:color="auto" w:fill="auto"/>
            <w:noWrap/>
            <w:vAlign w:val="bottom"/>
            <w:hideMark/>
          </w:tcPr>
          <w:p w14:paraId="6EE73A33" w14:textId="77777777" w:rsidR="00D31C51" w:rsidRPr="00D31C51" w:rsidRDefault="00D31C51" w:rsidP="009A1F48">
            <w:pPr>
              <w:spacing w:after="0" w:line="240" w:lineRule="auto"/>
              <w:jc w:val="right"/>
              <w:rPr>
                <w:rFonts w:ascii="Arial" w:hAnsi="Arial" w:cs="Arial"/>
                <w:b/>
                <w:bCs/>
                <w:color w:val="000000"/>
                <w:sz w:val="16"/>
                <w:szCs w:val="16"/>
              </w:rPr>
            </w:pPr>
          </w:p>
        </w:tc>
        <w:tc>
          <w:tcPr>
            <w:tcW w:w="609" w:type="pct"/>
            <w:tcBorders>
              <w:top w:val="nil"/>
              <w:left w:val="nil"/>
              <w:bottom w:val="nil"/>
              <w:right w:val="nil"/>
            </w:tcBorders>
            <w:shd w:val="clear" w:color="000000" w:fill="E6E6E6"/>
            <w:noWrap/>
            <w:vAlign w:val="bottom"/>
            <w:hideMark/>
          </w:tcPr>
          <w:p w14:paraId="37B0AD70"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w:t>
            </w:r>
          </w:p>
        </w:tc>
        <w:tc>
          <w:tcPr>
            <w:tcW w:w="609" w:type="pct"/>
            <w:tcBorders>
              <w:top w:val="nil"/>
              <w:left w:val="nil"/>
              <w:bottom w:val="nil"/>
              <w:right w:val="nil"/>
            </w:tcBorders>
            <w:shd w:val="clear" w:color="auto" w:fill="auto"/>
            <w:noWrap/>
            <w:vAlign w:val="bottom"/>
            <w:hideMark/>
          </w:tcPr>
          <w:p w14:paraId="0FFA85B8" w14:textId="77777777" w:rsidR="00D31C51" w:rsidRPr="00D31C51" w:rsidRDefault="00D31C51" w:rsidP="009A1F48">
            <w:pPr>
              <w:spacing w:after="0" w:line="240" w:lineRule="auto"/>
              <w:jc w:val="right"/>
              <w:rPr>
                <w:rFonts w:ascii="Arial" w:hAnsi="Arial" w:cs="Arial"/>
                <w:color w:val="000000"/>
                <w:sz w:val="16"/>
                <w:szCs w:val="16"/>
              </w:rPr>
            </w:pPr>
          </w:p>
        </w:tc>
        <w:tc>
          <w:tcPr>
            <w:tcW w:w="609" w:type="pct"/>
            <w:tcBorders>
              <w:top w:val="nil"/>
              <w:left w:val="nil"/>
              <w:bottom w:val="nil"/>
              <w:right w:val="nil"/>
            </w:tcBorders>
            <w:shd w:val="clear" w:color="auto" w:fill="auto"/>
            <w:noWrap/>
            <w:vAlign w:val="bottom"/>
            <w:hideMark/>
          </w:tcPr>
          <w:p w14:paraId="18E8AA21" w14:textId="77777777" w:rsidR="00D31C51" w:rsidRPr="00D31C51" w:rsidRDefault="00D31C51" w:rsidP="009A1F48">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30D37600" w14:textId="77777777" w:rsidR="00D31C51" w:rsidRPr="00D31C51" w:rsidRDefault="00D31C51" w:rsidP="009A1F48">
            <w:pPr>
              <w:spacing w:after="0" w:line="240" w:lineRule="auto"/>
              <w:jc w:val="right"/>
              <w:rPr>
                <w:rFonts w:ascii="Times New Roman" w:hAnsi="Times New Roman"/>
              </w:rPr>
            </w:pPr>
          </w:p>
        </w:tc>
      </w:tr>
      <w:tr w:rsidR="00D31C51" w:rsidRPr="00D31C51" w14:paraId="324A4185" w14:textId="77777777" w:rsidTr="00870A0F">
        <w:trPr>
          <w:trHeight w:hRule="exact" w:val="225"/>
        </w:trPr>
        <w:tc>
          <w:tcPr>
            <w:tcW w:w="1955" w:type="pct"/>
            <w:tcBorders>
              <w:top w:val="nil"/>
              <w:left w:val="nil"/>
              <w:bottom w:val="nil"/>
              <w:right w:val="nil"/>
            </w:tcBorders>
            <w:shd w:val="clear" w:color="auto" w:fill="auto"/>
            <w:noWrap/>
            <w:vAlign w:val="bottom"/>
            <w:hideMark/>
          </w:tcPr>
          <w:p w14:paraId="41B47603" w14:textId="77777777" w:rsidR="00D31C51" w:rsidRPr="00D31C51" w:rsidRDefault="00D31C51" w:rsidP="00D31C51">
            <w:pPr>
              <w:spacing w:after="0" w:line="240" w:lineRule="auto"/>
              <w:ind w:left="170"/>
              <w:jc w:val="left"/>
              <w:rPr>
                <w:rFonts w:ascii="Arial" w:hAnsi="Arial" w:cs="Arial"/>
                <w:sz w:val="16"/>
                <w:szCs w:val="16"/>
              </w:rPr>
            </w:pPr>
            <w:r w:rsidRPr="00D31C51">
              <w:rPr>
                <w:rFonts w:ascii="Arial" w:hAnsi="Arial" w:cs="Arial"/>
                <w:sz w:val="16"/>
                <w:szCs w:val="16"/>
              </w:rPr>
              <w:t>Principal payments on lease liability</w:t>
            </w:r>
          </w:p>
        </w:tc>
        <w:tc>
          <w:tcPr>
            <w:tcW w:w="610" w:type="pct"/>
            <w:tcBorders>
              <w:top w:val="nil"/>
              <w:left w:val="nil"/>
              <w:bottom w:val="nil"/>
              <w:right w:val="nil"/>
            </w:tcBorders>
            <w:shd w:val="clear" w:color="auto" w:fill="auto"/>
            <w:noWrap/>
            <w:vAlign w:val="bottom"/>
            <w:hideMark/>
          </w:tcPr>
          <w:p w14:paraId="432022D6"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1,763 </w:t>
            </w:r>
          </w:p>
        </w:tc>
        <w:tc>
          <w:tcPr>
            <w:tcW w:w="609" w:type="pct"/>
            <w:tcBorders>
              <w:top w:val="nil"/>
              <w:left w:val="nil"/>
              <w:bottom w:val="nil"/>
              <w:right w:val="nil"/>
            </w:tcBorders>
            <w:shd w:val="clear" w:color="000000" w:fill="E6E6E6"/>
            <w:noWrap/>
            <w:vAlign w:val="bottom"/>
            <w:hideMark/>
          </w:tcPr>
          <w:p w14:paraId="42E54C1A"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1,889 </w:t>
            </w:r>
          </w:p>
        </w:tc>
        <w:tc>
          <w:tcPr>
            <w:tcW w:w="609" w:type="pct"/>
            <w:tcBorders>
              <w:top w:val="nil"/>
              <w:left w:val="nil"/>
              <w:bottom w:val="nil"/>
              <w:right w:val="nil"/>
            </w:tcBorders>
            <w:shd w:val="clear" w:color="auto" w:fill="auto"/>
            <w:noWrap/>
            <w:vAlign w:val="bottom"/>
            <w:hideMark/>
          </w:tcPr>
          <w:p w14:paraId="71A54B8C"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2,001 </w:t>
            </w:r>
          </w:p>
        </w:tc>
        <w:tc>
          <w:tcPr>
            <w:tcW w:w="609" w:type="pct"/>
            <w:tcBorders>
              <w:top w:val="nil"/>
              <w:left w:val="nil"/>
              <w:bottom w:val="nil"/>
              <w:right w:val="nil"/>
            </w:tcBorders>
            <w:shd w:val="clear" w:color="auto" w:fill="auto"/>
            <w:noWrap/>
            <w:vAlign w:val="bottom"/>
            <w:hideMark/>
          </w:tcPr>
          <w:p w14:paraId="6D502C59"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2,159 </w:t>
            </w:r>
          </w:p>
        </w:tc>
        <w:tc>
          <w:tcPr>
            <w:tcW w:w="608" w:type="pct"/>
            <w:tcBorders>
              <w:top w:val="nil"/>
              <w:left w:val="nil"/>
              <w:bottom w:val="nil"/>
              <w:right w:val="nil"/>
            </w:tcBorders>
            <w:shd w:val="clear" w:color="auto" w:fill="auto"/>
            <w:noWrap/>
            <w:vAlign w:val="bottom"/>
            <w:hideMark/>
          </w:tcPr>
          <w:p w14:paraId="37C24127"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2,224 </w:t>
            </w:r>
          </w:p>
        </w:tc>
      </w:tr>
      <w:tr w:rsidR="00D31C51" w:rsidRPr="00D31C51" w14:paraId="746A7026" w14:textId="77777777" w:rsidTr="00870A0F">
        <w:trPr>
          <w:trHeight w:hRule="exact" w:val="225"/>
        </w:trPr>
        <w:tc>
          <w:tcPr>
            <w:tcW w:w="1955" w:type="pct"/>
            <w:tcBorders>
              <w:top w:val="nil"/>
              <w:left w:val="nil"/>
              <w:bottom w:val="nil"/>
              <w:right w:val="nil"/>
            </w:tcBorders>
            <w:shd w:val="clear" w:color="auto" w:fill="auto"/>
            <w:noWrap/>
            <w:vAlign w:val="bottom"/>
            <w:hideMark/>
          </w:tcPr>
          <w:p w14:paraId="65C068AD" w14:textId="77777777" w:rsidR="00D31C51" w:rsidRPr="00D31C51" w:rsidRDefault="00D31C51" w:rsidP="00D31C51">
            <w:pPr>
              <w:spacing w:after="0" w:line="240" w:lineRule="auto"/>
              <w:jc w:val="left"/>
              <w:rPr>
                <w:rFonts w:ascii="Arial" w:hAnsi="Arial" w:cs="Arial"/>
                <w:b/>
                <w:bCs/>
                <w:i/>
                <w:iCs/>
                <w:color w:val="000000"/>
                <w:sz w:val="16"/>
                <w:szCs w:val="16"/>
              </w:rPr>
            </w:pPr>
            <w:r w:rsidRPr="00D31C51">
              <w:rPr>
                <w:rFonts w:ascii="Arial" w:hAnsi="Arial" w:cs="Arial"/>
                <w:b/>
                <w:bCs/>
                <w:i/>
                <w:iCs/>
                <w:color w:val="000000"/>
                <w:sz w:val="16"/>
                <w:szCs w:val="16"/>
              </w:rPr>
              <w:t>Total cash used</w:t>
            </w:r>
          </w:p>
        </w:tc>
        <w:tc>
          <w:tcPr>
            <w:tcW w:w="610" w:type="pct"/>
            <w:tcBorders>
              <w:top w:val="single" w:sz="4" w:space="0" w:color="000000"/>
              <w:left w:val="nil"/>
              <w:bottom w:val="single" w:sz="4" w:space="0" w:color="000000"/>
              <w:right w:val="nil"/>
            </w:tcBorders>
            <w:shd w:val="clear" w:color="auto" w:fill="auto"/>
            <w:noWrap/>
            <w:vAlign w:val="bottom"/>
            <w:hideMark/>
          </w:tcPr>
          <w:p w14:paraId="217C9B21"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1,763 </w:t>
            </w:r>
          </w:p>
        </w:tc>
        <w:tc>
          <w:tcPr>
            <w:tcW w:w="609" w:type="pct"/>
            <w:tcBorders>
              <w:top w:val="single" w:sz="4" w:space="0" w:color="000000"/>
              <w:left w:val="nil"/>
              <w:bottom w:val="single" w:sz="4" w:space="0" w:color="000000"/>
              <w:right w:val="nil"/>
            </w:tcBorders>
            <w:shd w:val="clear" w:color="000000" w:fill="E6E6E6"/>
            <w:noWrap/>
            <w:vAlign w:val="bottom"/>
            <w:hideMark/>
          </w:tcPr>
          <w:p w14:paraId="4457F224"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1,889 </w:t>
            </w:r>
          </w:p>
        </w:tc>
        <w:tc>
          <w:tcPr>
            <w:tcW w:w="609" w:type="pct"/>
            <w:tcBorders>
              <w:top w:val="single" w:sz="4" w:space="0" w:color="000000"/>
              <w:left w:val="nil"/>
              <w:bottom w:val="single" w:sz="4" w:space="0" w:color="000000"/>
              <w:right w:val="nil"/>
            </w:tcBorders>
            <w:shd w:val="clear" w:color="auto" w:fill="auto"/>
            <w:noWrap/>
            <w:vAlign w:val="bottom"/>
            <w:hideMark/>
          </w:tcPr>
          <w:p w14:paraId="7CF12EE8"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2,001 </w:t>
            </w:r>
          </w:p>
        </w:tc>
        <w:tc>
          <w:tcPr>
            <w:tcW w:w="609" w:type="pct"/>
            <w:tcBorders>
              <w:top w:val="single" w:sz="4" w:space="0" w:color="000000"/>
              <w:left w:val="nil"/>
              <w:bottom w:val="single" w:sz="4" w:space="0" w:color="000000"/>
              <w:right w:val="nil"/>
            </w:tcBorders>
            <w:shd w:val="clear" w:color="auto" w:fill="auto"/>
            <w:noWrap/>
            <w:vAlign w:val="bottom"/>
            <w:hideMark/>
          </w:tcPr>
          <w:p w14:paraId="4BA186B2"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2,159 </w:t>
            </w:r>
          </w:p>
        </w:tc>
        <w:tc>
          <w:tcPr>
            <w:tcW w:w="608" w:type="pct"/>
            <w:tcBorders>
              <w:top w:val="single" w:sz="4" w:space="0" w:color="000000"/>
              <w:left w:val="nil"/>
              <w:bottom w:val="single" w:sz="4" w:space="0" w:color="000000"/>
              <w:right w:val="nil"/>
            </w:tcBorders>
            <w:shd w:val="clear" w:color="auto" w:fill="auto"/>
            <w:noWrap/>
            <w:vAlign w:val="bottom"/>
            <w:hideMark/>
          </w:tcPr>
          <w:p w14:paraId="0EB943CB"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2,224 </w:t>
            </w:r>
          </w:p>
        </w:tc>
      </w:tr>
      <w:tr w:rsidR="00D31C51" w:rsidRPr="00D31C51" w14:paraId="07180338" w14:textId="77777777" w:rsidTr="00870A0F">
        <w:trPr>
          <w:trHeight w:hRule="exact" w:val="420"/>
        </w:trPr>
        <w:tc>
          <w:tcPr>
            <w:tcW w:w="1955" w:type="pct"/>
            <w:tcBorders>
              <w:top w:val="nil"/>
              <w:left w:val="nil"/>
              <w:bottom w:val="nil"/>
              <w:right w:val="nil"/>
            </w:tcBorders>
            <w:shd w:val="clear" w:color="auto" w:fill="auto"/>
            <w:vAlign w:val="bottom"/>
            <w:hideMark/>
          </w:tcPr>
          <w:p w14:paraId="325D64DB" w14:textId="77777777" w:rsidR="00D31C51" w:rsidRPr="00D31C51" w:rsidRDefault="00D31C51" w:rsidP="00D31C51">
            <w:pPr>
              <w:spacing w:after="0" w:line="240" w:lineRule="auto"/>
              <w:jc w:val="left"/>
              <w:rPr>
                <w:rFonts w:ascii="Arial" w:hAnsi="Arial" w:cs="Arial"/>
                <w:b/>
                <w:bCs/>
                <w:color w:val="000000"/>
                <w:sz w:val="16"/>
                <w:szCs w:val="16"/>
              </w:rPr>
            </w:pPr>
            <w:r w:rsidRPr="00D31C51">
              <w:rPr>
                <w:rFonts w:ascii="Arial" w:hAnsi="Arial" w:cs="Arial"/>
                <w:b/>
                <w:bCs/>
                <w:color w:val="000000"/>
                <w:sz w:val="16"/>
                <w:szCs w:val="16"/>
              </w:rPr>
              <w:t>Net cash from/(used by)</w:t>
            </w:r>
            <w:r w:rsidRPr="00D31C51">
              <w:rPr>
                <w:rFonts w:ascii="Arial" w:hAnsi="Arial" w:cs="Arial"/>
                <w:b/>
                <w:bCs/>
                <w:color w:val="000000"/>
                <w:sz w:val="16"/>
                <w:szCs w:val="16"/>
              </w:rPr>
              <w:br/>
              <w:t xml:space="preserve">  financing activities</w:t>
            </w:r>
          </w:p>
        </w:tc>
        <w:tc>
          <w:tcPr>
            <w:tcW w:w="610" w:type="pct"/>
            <w:tcBorders>
              <w:top w:val="nil"/>
              <w:left w:val="nil"/>
              <w:bottom w:val="single" w:sz="4" w:space="0" w:color="000000"/>
              <w:right w:val="nil"/>
            </w:tcBorders>
            <w:shd w:val="clear" w:color="auto" w:fill="auto"/>
            <w:noWrap/>
            <w:vAlign w:val="bottom"/>
            <w:hideMark/>
          </w:tcPr>
          <w:p w14:paraId="43F2F38F"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(1,573)</w:t>
            </w:r>
          </w:p>
        </w:tc>
        <w:tc>
          <w:tcPr>
            <w:tcW w:w="609" w:type="pct"/>
            <w:tcBorders>
              <w:top w:val="nil"/>
              <w:left w:val="nil"/>
              <w:bottom w:val="single" w:sz="4" w:space="0" w:color="000000"/>
              <w:right w:val="nil"/>
            </w:tcBorders>
            <w:shd w:val="clear" w:color="000000" w:fill="E6E6E6"/>
            <w:noWrap/>
            <w:vAlign w:val="bottom"/>
            <w:hideMark/>
          </w:tcPr>
          <w:p w14:paraId="5A769229"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(1,697)</w:t>
            </w:r>
          </w:p>
        </w:tc>
        <w:tc>
          <w:tcPr>
            <w:tcW w:w="609" w:type="pct"/>
            <w:tcBorders>
              <w:top w:val="nil"/>
              <w:left w:val="nil"/>
              <w:bottom w:val="single" w:sz="4" w:space="0" w:color="000000"/>
              <w:right w:val="nil"/>
            </w:tcBorders>
            <w:shd w:val="clear" w:color="auto" w:fill="auto"/>
            <w:noWrap/>
            <w:vAlign w:val="bottom"/>
            <w:hideMark/>
          </w:tcPr>
          <w:p w14:paraId="11D2073D"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(1,509)</w:t>
            </w:r>
          </w:p>
        </w:tc>
        <w:tc>
          <w:tcPr>
            <w:tcW w:w="609" w:type="pct"/>
            <w:tcBorders>
              <w:top w:val="nil"/>
              <w:left w:val="nil"/>
              <w:bottom w:val="single" w:sz="4" w:space="0" w:color="000000"/>
              <w:right w:val="nil"/>
            </w:tcBorders>
            <w:shd w:val="clear" w:color="auto" w:fill="auto"/>
            <w:noWrap/>
            <w:vAlign w:val="bottom"/>
            <w:hideMark/>
          </w:tcPr>
          <w:p w14:paraId="416C688E"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(1,362)</w:t>
            </w:r>
          </w:p>
        </w:tc>
        <w:tc>
          <w:tcPr>
            <w:tcW w:w="608" w:type="pct"/>
            <w:tcBorders>
              <w:top w:val="nil"/>
              <w:left w:val="nil"/>
              <w:bottom w:val="single" w:sz="4" w:space="0" w:color="000000"/>
              <w:right w:val="nil"/>
            </w:tcBorders>
            <w:shd w:val="clear" w:color="auto" w:fill="auto"/>
            <w:noWrap/>
            <w:vAlign w:val="bottom"/>
            <w:hideMark/>
          </w:tcPr>
          <w:p w14:paraId="76F3EEAB"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(1,419)</w:t>
            </w:r>
          </w:p>
        </w:tc>
      </w:tr>
      <w:tr w:rsidR="00D31C51" w:rsidRPr="00D31C51" w14:paraId="0DB05FD4" w14:textId="77777777" w:rsidTr="00870A0F">
        <w:trPr>
          <w:trHeight w:hRule="exact" w:val="480"/>
        </w:trPr>
        <w:tc>
          <w:tcPr>
            <w:tcW w:w="1955" w:type="pct"/>
            <w:tcBorders>
              <w:top w:val="nil"/>
              <w:left w:val="nil"/>
              <w:bottom w:val="nil"/>
              <w:right w:val="nil"/>
            </w:tcBorders>
            <w:shd w:val="clear" w:color="auto" w:fill="auto"/>
            <w:vAlign w:val="bottom"/>
            <w:hideMark/>
          </w:tcPr>
          <w:p w14:paraId="3F4040CD" w14:textId="77777777" w:rsidR="00D31C51" w:rsidRPr="00D31C51" w:rsidRDefault="00D31C51" w:rsidP="00D31C51">
            <w:pPr>
              <w:spacing w:after="0" w:line="240" w:lineRule="auto"/>
              <w:jc w:val="left"/>
              <w:rPr>
                <w:rFonts w:ascii="Arial" w:hAnsi="Arial" w:cs="Arial"/>
                <w:b/>
                <w:bCs/>
                <w:color w:val="000000"/>
                <w:sz w:val="16"/>
                <w:szCs w:val="16"/>
              </w:rPr>
            </w:pPr>
            <w:r w:rsidRPr="00D31C51">
              <w:rPr>
                <w:rFonts w:ascii="Arial" w:hAnsi="Arial" w:cs="Arial"/>
                <w:b/>
                <w:bCs/>
                <w:color w:val="000000"/>
                <w:sz w:val="16"/>
                <w:szCs w:val="16"/>
              </w:rPr>
              <w:t>Net increase/(decrease) in cash</w:t>
            </w:r>
            <w:r w:rsidRPr="00D31C51">
              <w:rPr>
                <w:rFonts w:ascii="Arial" w:hAnsi="Arial" w:cs="Arial"/>
                <w:b/>
                <w:bCs/>
                <w:color w:val="000000"/>
                <w:sz w:val="16"/>
                <w:szCs w:val="16"/>
              </w:rPr>
              <w:br/>
              <w:t xml:space="preserve">  held</w:t>
            </w:r>
          </w:p>
        </w:tc>
        <w:tc>
          <w:tcPr>
            <w:tcW w:w="610" w:type="pct"/>
            <w:tcBorders>
              <w:top w:val="nil"/>
              <w:left w:val="nil"/>
              <w:bottom w:val="single" w:sz="4" w:space="0" w:color="000000"/>
              <w:right w:val="nil"/>
            </w:tcBorders>
            <w:shd w:val="clear" w:color="auto" w:fill="auto"/>
            <w:noWrap/>
            <w:vAlign w:val="bottom"/>
            <w:hideMark/>
          </w:tcPr>
          <w:p w14:paraId="1F02E0ED"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 </w:t>
            </w:r>
          </w:p>
        </w:tc>
        <w:tc>
          <w:tcPr>
            <w:tcW w:w="609" w:type="pct"/>
            <w:tcBorders>
              <w:top w:val="nil"/>
              <w:left w:val="nil"/>
              <w:bottom w:val="single" w:sz="4" w:space="0" w:color="000000"/>
              <w:right w:val="nil"/>
            </w:tcBorders>
            <w:shd w:val="clear" w:color="000000" w:fill="E6E6E6"/>
            <w:noWrap/>
            <w:vAlign w:val="bottom"/>
            <w:hideMark/>
          </w:tcPr>
          <w:p w14:paraId="4C7B9F84"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 </w:t>
            </w:r>
          </w:p>
        </w:tc>
        <w:tc>
          <w:tcPr>
            <w:tcW w:w="609" w:type="pct"/>
            <w:tcBorders>
              <w:top w:val="nil"/>
              <w:left w:val="nil"/>
              <w:bottom w:val="single" w:sz="4" w:space="0" w:color="000000"/>
              <w:right w:val="nil"/>
            </w:tcBorders>
            <w:shd w:val="clear" w:color="auto" w:fill="auto"/>
            <w:noWrap/>
            <w:vAlign w:val="bottom"/>
            <w:hideMark/>
          </w:tcPr>
          <w:p w14:paraId="3DA3665E"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 </w:t>
            </w:r>
          </w:p>
        </w:tc>
        <w:tc>
          <w:tcPr>
            <w:tcW w:w="609" w:type="pct"/>
            <w:tcBorders>
              <w:top w:val="nil"/>
              <w:left w:val="nil"/>
              <w:bottom w:val="single" w:sz="4" w:space="0" w:color="000000"/>
              <w:right w:val="nil"/>
            </w:tcBorders>
            <w:shd w:val="clear" w:color="auto" w:fill="auto"/>
            <w:noWrap/>
            <w:vAlign w:val="bottom"/>
            <w:hideMark/>
          </w:tcPr>
          <w:p w14:paraId="409AEEB4"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 </w:t>
            </w:r>
          </w:p>
        </w:tc>
        <w:tc>
          <w:tcPr>
            <w:tcW w:w="608" w:type="pct"/>
            <w:tcBorders>
              <w:top w:val="nil"/>
              <w:left w:val="nil"/>
              <w:bottom w:val="single" w:sz="4" w:space="0" w:color="000000"/>
              <w:right w:val="nil"/>
            </w:tcBorders>
            <w:shd w:val="clear" w:color="auto" w:fill="auto"/>
            <w:noWrap/>
            <w:vAlign w:val="bottom"/>
            <w:hideMark/>
          </w:tcPr>
          <w:p w14:paraId="12C43EF8"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 </w:t>
            </w:r>
          </w:p>
        </w:tc>
      </w:tr>
      <w:tr w:rsidR="00D31C51" w:rsidRPr="00D31C51" w14:paraId="6A12A03A" w14:textId="77777777" w:rsidTr="00870A0F">
        <w:trPr>
          <w:trHeight w:hRule="exact" w:val="495"/>
        </w:trPr>
        <w:tc>
          <w:tcPr>
            <w:tcW w:w="1955" w:type="pct"/>
            <w:tcBorders>
              <w:top w:val="nil"/>
              <w:left w:val="nil"/>
              <w:bottom w:val="nil"/>
              <w:right w:val="nil"/>
            </w:tcBorders>
            <w:shd w:val="clear" w:color="auto" w:fill="auto"/>
            <w:vAlign w:val="bottom"/>
            <w:hideMark/>
          </w:tcPr>
          <w:p w14:paraId="4258F02D" w14:textId="77777777" w:rsidR="00D31C51" w:rsidRPr="00D31C51" w:rsidRDefault="00D31C51" w:rsidP="00D31C51">
            <w:pPr>
              <w:spacing w:after="0" w:line="240" w:lineRule="auto"/>
              <w:ind w:left="170"/>
              <w:jc w:val="left"/>
              <w:rPr>
                <w:rFonts w:ascii="Arial" w:hAnsi="Arial" w:cs="Arial"/>
                <w:color w:val="000000"/>
                <w:sz w:val="16"/>
                <w:szCs w:val="16"/>
              </w:rPr>
            </w:pPr>
            <w:r w:rsidRPr="00D31C51">
              <w:rPr>
                <w:rFonts w:ascii="Arial" w:hAnsi="Arial" w:cs="Arial"/>
                <w:color w:val="000000"/>
                <w:sz w:val="16"/>
                <w:szCs w:val="16"/>
              </w:rPr>
              <w:t>Cash and cash equivalents at the</w:t>
            </w:r>
            <w:r w:rsidRPr="00D31C51">
              <w:rPr>
                <w:rFonts w:ascii="Arial" w:hAnsi="Arial" w:cs="Arial"/>
                <w:color w:val="000000"/>
                <w:sz w:val="16"/>
                <w:szCs w:val="16"/>
              </w:rPr>
              <w:br/>
              <w:t xml:space="preserve">  beginning of the reporting period</w:t>
            </w:r>
          </w:p>
        </w:tc>
        <w:tc>
          <w:tcPr>
            <w:tcW w:w="610" w:type="pct"/>
            <w:tcBorders>
              <w:top w:val="nil"/>
              <w:left w:val="nil"/>
              <w:bottom w:val="single" w:sz="4" w:space="0" w:color="000000"/>
              <w:right w:val="nil"/>
            </w:tcBorders>
            <w:shd w:val="clear" w:color="auto" w:fill="auto"/>
            <w:noWrap/>
            <w:vAlign w:val="bottom"/>
            <w:hideMark/>
          </w:tcPr>
          <w:p w14:paraId="6902D5F9"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453 </w:t>
            </w:r>
          </w:p>
        </w:tc>
        <w:tc>
          <w:tcPr>
            <w:tcW w:w="609" w:type="pct"/>
            <w:tcBorders>
              <w:top w:val="nil"/>
              <w:left w:val="nil"/>
              <w:bottom w:val="single" w:sz="4" w:space="0" w:color="000000"/>
              <w:right w:val="nil"/>
            </w:tcBorders>
            <w:shd w:val="clear" w:color="000000" w:fill="E6E6E6"/>
            <w:noWrap/>
            <w:vAlign w:val="bottom"/>
            <w:hideMark/>
          </w:tcPr>
          <w:p w14:paraId="2CD79351"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453 </w:t>
            </w:r>
          </w:p>
        </w:tc>
        <w:tc>
          <w:tcPr>
            <w:tcW w:w="609" w:type="pct"/>
            <w:tcBorders>
              <w:top w:val="nil"/>
              <w:left w:val="nil"/>
              <w:bottom w:val="single" w:sz="4" w:space="0" w:color="000000"/>
              <w:right w:val="nil"/>
            </w:tcBorders>
            <w:shd w:val="clear" w:color="auto" w:fill="auto"/>
            <w:noWrap/>
            <w:vAlign w:val="bottom"/>
            <w:hideMark/>
          </w:tcPr>
          <w:p w14:paraId="653B4671"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453 </w:t>
            </w:r>
          </w:p>
        </w:tc>
        <w:tc>
          <w:tcPr>
            <w:tcW w:w="609" w:type="pct"/>
            <w:tcBorders>
              <w:top w:val="nil"/>
              <w:left w:val="nil"/>
              <w:bottom w:val="single" w:sz="4" w:space="0" w:color="000000"/>
              <w:right w:val="nil"/>
            </w:tcBorders>
            <w:shd w:val="clear" w:color="auto" w:fill="auto"/>
            <w:noWrap/>
            <w:vAlign w:val="bottom"/>
            <w:hideMark/>
          </w:tcPr>
          <w:p w14:paraId="2E0A49D9"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453 </w:t>
            </w:r>
          </w:p>
        </w:tc>
        <w:tc>
          <w:tcPr>
            <w:tcW w:w="608" w:type="pct"/>
            <w:tcBorders>
              <w:top w:val="nil"/>
              <w:left w:val="nil"/>
              <w:bottom w:val="nil"/>
              <w:right w:val="nil"/>
            </w:tcBorders>
            <w:shd w:val="clear" w:color="auto" w:fill="auto"/>
            <w:noWrap/>
            <w:vAlign w:val="bottom"/>
            <w:hideMark/>
          </w:tcPr>
          <w:p w14:paraId="5BBFD9C7" w14:textId="77777777" w:rsidR="00D31C51" w:rsidRPr="00D31C51" w:rsidRDefault="00D31C51" w:rsidP="009A1F48">
            <w:pPr>
              <w:spacing w:after="0" w:line="240" w:lineRule="auto"/>
              <w:jc w:val="right"/>
              <w:rPr>
                <w:rFonts w:ascii="Arial" w:hAnsi="Arial" w:cs="Arial"/>
                <w:color w:val="000000"/>
                <w:sz w:val="16"/>
                <w:szCs w:val="16"/>
              </w:rPr>
            </w:pPr>
            <w:r w:rsidRPr="00D31C51">
              <w:rPr>
                <w:rFonts w:ascii="Arial" w:hAnsi="Arial" w:cs="Arial"/>
                <w:color w:val="000000"/>
                <w:sz w:val="16"/>
                <w:szCs w:val="16"/>
              </w:rPr>
              <w:t xml:space="preserve">453 </w:t>
            </w:r>
          </w:p>
        </w:tc>
      </w:tr>
      <w:tr w:rsidR="00D31C51" w:rsidRPr="00D31C51" w14:paraId="74B79648" w14:textId="77777777" w:rsidTr="00870A0F">
        <w:trPr>
          <w:trHeight w:hRule="exact" w:val="465"/>
        </w:trPr>
        <w:tc>
          <w:tcPr>
            <w:tcW w:w="1955" w:type="pct"/>
            <w:tcBorders>
              <w:top w:val="nil"/>
              <w:left w:val="nil"/>
              <w:bottom w:val="single" w:sz="4" w:space="0" w:color="auto"/>
              <w:right w:val="nil"/>
            </w:tcBorders>
            <w:shd w:val="clear" w:color="auto" w:fill="auto"/>
            <w:vAlign w:val="bottom"/>
            <w:hideMark/>
          </w:tcPr>
          <w:p w14:paraId="6799B15A" w14:textId="77777777" w:rsidR="00D31C51" w:rsidRPr="00D31C51" w:rsidRDefault="00D31C51" w:rsidP="00D31C51">
            <w:pPr>
              <w:spacing w:after="0" w:line="240" w:lineRule="auto"/>
              <w:jc w:val="left"/>
              <w:rPr>
                <w:rFonts w:ascii="Arial" w:hAnsi="Arial" w:cs="Arial"/>
                <w:b/>
                <w:bCs/>
                <w:color w:val="000000"/>
                <w:sz w:val="16"/>
                <w:szCs w:val="16"/>
              </w:rPr>
            </w:pPr>
            <w:r w:rsidRPr="00D31C51">
              <w:rPr>
                <w:rFonts w:ascii="Arial" w:hAnsi="Arial" w:cs="Arial"/>
                <w:b/>
                <w:bCs/>
                <w:color w:val="000000"/>
                <w:sz w:val="16"/>
                <w:szCs w:val="16"/>
              </w:rPr>
              <w:t>Cash and cash equivalents at</w:t>
            </w:r>
            <w:r w:rsidRPr="00D31C51">
              <w:rPr>
                <w:rFonts w:ascii="Arial" w:hAnsi="Arial" w:cs="Arial"/>
                <w:b/>
                <w:bCs/>
                <w:color w:val="000000"/>
                <w:sz w:val="16"/>
                <w:szCs w:val="16"/>
              </w:rPr>
              <w:br/>
              <w:t xml:space="preserve">  the end of the reporting period</w:t>
            </w:r>
          </w:p>
        </w:tc>
        <w:tc>
          <w:tcPr>
            <w:tcW w:w="610" w:type="pct"/>
            <w:tcBorders>
              <w:top w:val="single" w:sz="4" w:space="0" w:color="000000"/>
              <w:left w:val="nil"/>
              <w:bottom w:val="single" w:sz="4" w:space="0" w:color="auto"/>
              <w:right w:val="nil"/>
            </w:tcBorders>
            <w:shd w:val="clear" w:color="auto" w:fill="auto"/>
            <w:noWrap/>
            <w:vAlign w:val="bottom"/>
            <w:hideMark/>
          </w:tcPr>
          <w:p w14:paraId="0E35B333"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453 </w:t>
            </w:r>
          </w:p>
        </w:tc>
        <w:tc>
          <w:tcPr>
            <w:tcW w:w="609" w:type="pct"/>
            <w:tcBorders>
              <w:top w:val="single" w:sz="4" w:space="0" w:color="000000"/>
              <w:left w:val="nil"/>
              <w:bottom w:val="single" w:sz="4" w:space="0" w:color="auto"/>
              <w:right w:val="nil"/>
            </w:tcBorders>
            <w:shd w:val="clear" w:color="000000" w:fill="E6E6E6"/>
            <w:noWrap/>
            <w:vAlign w:val="bottom"/>
            <w:hideMark/>
          </w:tcPr>
          <w:p w14:paraId="3D28556A"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453 </w:t>
            </w:r>
          </w:p>
        </w:tc>
        <w:tc>
          <w:tcPr>
            <w:tcW w:w="609" w:type="pct"/>
            <w:tcBorders>
              <w:top w:val="single" w:sz="4" w:space="0" w:color="000000"/>
              <w:left w:val="nil"/>
              <w:bottom w:val="single" w:sz="4" w:space="0" w:color="auto"/>
              <w:right w:val="nil"/>
            </w:tcBorders>
            <w:shd w:val="clear" w:color="auto" w:fill="auto"/>
            <w:noWrap/>
            <w:vAlign w:val="bottom"/>
            <w:hideMark/>
          </w:tcPr>
          <w:p w14:paraId="4F618B97"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453 </w:t>
            </w:r>
          </w:p>
        </w:tc>
        <w:tc>
          <w:tcPr>
            <w:tcW w:w="609" w:type="pct"/>
            <w:tcBorders>
              <w:top w:val="single" w:sz="4" w:space="0" w:color="000000"/>
              <w:left w:val="nil"/>
              <w:bottom w:val="single" w:sz="4" w:space="0" w:color="auto"/>
              <w:right w:val="nil"/>
            </w:tcBorders>
            <w:shd w:val="clear" w:color="auto" w:fill="auto"/>
            <w:noWrap/>
            <w:vAlign w:val="bottom"/>
            <w:hideMark/>
          </w:tcPr>
          <w:p w14:paraId="6C34EFA7"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453 </w:t>
            </w:r>
          </w:p>
        </w:tc>
        <w:tc>
          <w:tcPr>
            <w:tcW w:w="608" w:type="pct"/>
            <w:tcBorders>
              <w:top w:val="single" w:sz="4" w:space="0" w:color="000000"/>
              <w:left w:val="nil"/>
              <w:bottom w:val="single" w:sz="4" w:space="0" w:color="auto"/>
              <w:right w:val="nil"/>
            </w:tcBorders>
            <w:shd w:val="clear" w:color="auto" w:fill="auto"/>
            <w:noWrap/>
            <w:vAlign w:val="bottom"/>
            <w:hideMark/>
          </w:tcPr>
          <w:p w14:paraId="45DAC4AA" w14:textId="77777777" w:rsidR="00D31C51" w:rsidRPr="00D31C51" w:rsidRDefault="00D31C51" w:rsidP="009A1F48">
            <w:pPr>
              <w:spacing w:after="0" w:line="240" w:lineRule="auto"/>
              <w:jc w:val="right"/>
              <w:rPr>
                <w:rFonts w:ascii="Arial" w:hAnsi="Arial" w:cs="Arial"/>
                <w:b/>
                <w:bCs/>
                <w:color w:val="000000"/>
                <w:sz w:val="16"/>
                <w:szCs w:val="16"/>
              </w:rPr>
            </w:pPr>
            <w:r w:rsidRPr="00D31C51">
              <w:rPr>
                <w:rFonts w:ascii="Arial" w:hAnsi="Arial" w:cs="Arial"/>
                <w:b/>
                <w:bCs/>
                <w:color w:val="000000"/>
                <w:sz w:val="16"/>
                <w:szCs w:val="16"/>
              </w:rPr>
              <w:t xml:space="preserve">453 </w:t>
            </w:r>
          </w:p>
        </w:tc>
      </w:tr>
    </w:tbl>
    <w:p w14:paraId="5DC485A6" w14:textId="14D4A60E" w:rsidR="00345CCD" w:rsidRPr="00AD7443" w:rsidRDefault="00345CCD" w:rsidP="00AD7443">
      <w:pPr>
        <w:pStyle w:val="TableGraphic"/>
      </w:pPr>
      <w:r w:rsidRPr="00132F9E">
        <w:rPr>
          <w:rFonts w:ascii="Arial" w:hAnsi="Arial" w:cs="Arial"/>
          <w:sz w:val="16"/>
          <w:szCs w:val="16"/>
        </w:rPr>
        <w:t>Prepared on Australian Accounting Standards basis.</w:t>
      </w:r>
    </w:p>
    <w:p w14:paraId="7D108C42" w14:textId="426FAB06" w:rsidR="00783679" w:rsidRDefault="000A24C4" w:rsidP="000A088A">
      <w:pPr>
        <w:pStyle w:val="TableHeading"/>
        <w:rPr>
          <w:rFonts w:ascii="Times New Roman" w:hAnsi="Times New Roman"/>
          <w:b w:val="0"/>
          <w:color w:val="auto"/>
          <w:lang w:val="en-AU" w:eastAsia="en-AU"/>
        </w:rPr>
      </w:pPr>
      <w:r>
        <w:br w:type="page"/>
      </w:r>
      <w:r w:rsidR="008B4464" w:rsidRPr="00D30CBA">
        <w:lastRenderedPageBreak/>
        <w:t>Table</w:t>
      </w:r>
      <w:r w:rsidR="00971CBF">
        <w:t xml:space="preserve"> 3.</w:t>
      </w:r>
      <w:r w:rsidR="008B4464">
        <w:t>5</w:t>
      </w:r>
      <w:r w:rsidR="008B4464" w:rsidRPr="00D30CBA">
        <w:t xml:space="preserve">: </w:t>
      </w:r>
      <w:r w:rsidR="00F54947">
        <w:t xml:space="preserve">Departmental </w:t>
      </w:r>
      <w:r w:rsidR="00F10305">
        <w:t>capital budget statement</w:t>
      </w:r>
      <w:r w:rsidR="005067C7">
        <w:t xml:space="preserve"> (for the period ended 30 Jun</w:t>
      </w:r>
      <w:r w:rsidR="00DE388C">
        <w:rPr>
          <w:lang w:val="en-AU"/>
        </w:rPr>
        <w:t>e</w:t>
      </w:r>
      <w:r w:rsidR="009A1F48">
        <w:rPr>
          <w:lang w:val="en-AU"/>
        </w:rPr>
        <w:t>)</w:t>
      </w:r>
    </w:p>
    <w:tbl>
      <w:tblPr>
        <w:tblW w:w="5000" w:type="pct"/>
        <w:tblCellMar>
          <w:left w:w="0" w:type="dxa"/>
          <w:right w:w="28" w:type="dxa"/>
        </w:tblCellMar>
        <w:tblLook w:val="04A0" w:firstRow="1" w:lastRow="0" w:firstColumn="1" w:lastColumn="0" w:noHBand="0" w:noVBand="1"/>
      </w:tblPr>
      <w:tblGrid>
        <w:gridCol w:w="3188"/>
        <w:gridCol w:w="905"/>
        <w:gridCol w:w="905"/>
        <w:gridCol w:w="905"/>
        <w:gridCol w:w="905"/>
        <w:gridCol w:w="902"/>
      </w:tblGrid>
      <w:tr w:rsidR="00783679" w:rsidRPr="00783679" w14:paraId="5A993FA1" w14:textId="77777777" w:rsidTr="00783679">
        <w:trPr>
          <w:trHeight w:hRule="exact" w:val="885"/>
        </w:trPr>
        <w:tc>
          <w:tcPr>
            <w:tcW w:w="2067" w:type="pct"/>
            <w:tcBorders>
              <w:top w:val="single" w:sz="4" w:space="0" w:color="auto"/>
              <w:left w:val="nil"/>
              <w:bottom w:val="nil"/>
              <w:right w:val="nil"/>
            </w:tcBorders>
            <w:shd w:val="clear" w:color="auto" w:fill="auto"/>
            <w:noWrap/>
            <w:vAlign w:val="bottom"/>
            <w:hideMark/>
          </w:tcPr>
          <w:p w14:paraId="272BFE8F" w14:textId="0FC7BFAA" w:rsidR="00783679" w:rsidRPr="00783679" w:rsidRDefault="00783679" w:rsidP="00783679">
            <w:pPr>
              <w:spacing w:after="0" w:line="240" w:lineRule="auto"/>
              <w:jc w:val="left"/>
              <w:rPr>
                <w:rFonts w:ascii="Arial" w:hAnsi="Arial" w:cs="Arial"/>
                <w:b/>
                <w:bCs/>
                <w:sz w:val="16"/>
                <w:szCs w:val="16"/>
              </w:rPr>
            </w:pPr>
            <w:r w:rsidRPr="00783679">
              <w:rPr>
                <w:rFonts w:ascii="Arial" w:hAnsi="Arial" w:cs="Arial"/>
                <w:b/>
                <w:bCs/>
                <w:sz w:val="16"/>
                <w:szCs w:val="16"/>
              </w:rPr>
              <w:t> </w:t>
            </w:r>
          </w:p>
        </w:tc>
        <w:tc>
          <w:tcPr>
            <w:tcW w:w="587" w:type="pct"/>
            <w:tcBorders>
              <w:top w:val="single" w:sz="4" w:space="0" w:color="auto"/>
              <w:left w:val="nil"/>
              <w:bottom w:val="single" w:sz="4" w:space="0" w:color="auto"/>
              <w:right w:val="nil"/>
            </w:tcBorders>
            <w:shd w:val="clear" w:color="auto" w:fill="auto"/>
            <w:vAlign w:val="bottom"/>
            <w:hideMark/>
          </w:tcPr>
          <w:p w14:paraId="5DD18BB0" w14:textId="77777777" w:rsidR="00783679" w:rsidRPr="00783679" w:rsidRDefault="00783679" w:rsidP="00783679">
            <w:pPr>
              <w:spacing w:after="0" w:line="240" w:lineRule="auto"/>
              <w:jc w:val="right"/>
              <w:rPr>
                <w:rFonts w:ascii="Arial" w:hAnsi="Arial" w:cs="Arial"/>
                <w:sz w:val="16"/>
                <w:szCs w:val="16"/>
              </w:rPr>
            </w:pPr>
            <w:r w:rsidRPr="00783679">
              <w:rPr>
                <w:rFonts w:ascii="Arial" w:hAnsi="Arial" w:cs="Arial"/>
                <w:sz w:val="16"/>
                <w:szCs w:val="16"/>
              </w:rPr>
              <w:t>2021-22 Estimated actual</w:t>
            </w:r>
            <w:r w:rsidRPr="00783679">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000000" w:fill="E6E6E6"/>
            <w:vAlign w:val="bottom"/>
            <w:hideMark/>
          </w:tcPr>
          <w:p w14:paraId="4AE8D3AD" w14:textId="77777777" w:rsidR="00783679" w:rsidRPr="00783679" w:rsidRDefault="00783679" w:rsidP="00783679">
            <w:pPr>
              <w:spacing w:after="0" w:line="240" w:lineRule="auto"/>
              <w:jc w:val="right"/>
              <w:rPr>
                <w:rFonts w:ascii="Arial" w:hAnsi="Arial" w:cs="Arial"/>
                <w:sz w:val="16"/>
                <w:szCs w:val="16"/>
              </w:rPr>
            </w:pPr>
            <w:r w:rsidRPr="00783679">
              <w:rPr>
                <w:rFonts w:ascii="Arial" w:hAnsi="Arial" w:cs="Arial"/>
                <w:sz w:val="16"/>
                <w:szCs w:val="16"/>
              </w:rPr>
              <w:t>2022-23</w:t>
            </w:r>
            <w:r w:rsidRPr="00783679">
              <w:rPr>
                <w:rFonts w:ascii="Arial" w:hAnsi="Arial" w:cs="Arial"/>
                <w:sz w:val="16"/>
                <w:szCs w:val="16"/>
              </w:rPr>
              <w:br/>
              <w:t>Budget</w:t>
            </w:r>
            <w:r w:rsidRPr="00783679">
              <w:rPr>
                <w:rFonts w:ascii="Arial" w:hAnsi="Arial" w:cs="Arial"/>
                <w:sz w:val="16"/>
                <w:szCs w:val="16"/>
              </w:rPr>
              <w:br/>
            </w:r>
            <w:r w:rsidRPr="00783679">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vAlign w:val="bottom"/>
            <w:hideMark/>
          </w:tcPr>
          <w:p w14:paraId="610D6D89" w14:textId="77777777" w:rsidR="00783679" w:rsidRPr="00783679" w:rsidRDefault="00783679" w:rsidP="00783679">
            <w:pPr>
              <w:spacing w:after="0" w:line="240" w:lineRule="auto"/>
              <w:jc w:val="right"/>
              <w:rPr>
                <w:rFonts w:ascii="Arial" w:hAnsi="Arial" w:cs="Arial"/>
                <w:sz w:val="16"/>
                <w:szCs w:val="16"/>
              </w:rPr>
            </w:pPr>
            <w:r w:rsidRPr="00783679">
              <w:rPr>
                <w:rFonts w:ascii="Arial" w:hAnsi="Arial" w:cs="Arial"/>
                <w:sz w:val="16"/>
                <w:szCs w:val="16"/>
              </w:rPr>
              <w:t>2023-24 Forward estimate</w:t>
            </w:r>
            <w:r w:rsidRPr="00783679">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vAlign w:val="bottom"/>
            <w:hideMark/>
          </w:tcPr>
          <w:p w14:paraId="5B300ADE" w14:textId="77777777" w:rsidR="00783679" w:rsidRPr="00783679" w:rsidRDefault="00783679" w:rsidP="00783679">
            <w:pPr>
              <w:spacing w:after="0" w:line="240" w:lineRule="auto"/>
              <w:jc w:val="right"/>
              <w:rPr>
                <w:rFonts w:ascii="Arial" w:hAnsi="Arial" w:cs="Arial"/>
                <w:sz w:val="16"/>
                <w:szCs w:val="16"/>
              </w:rPr>
            </w:pPr>
            <w:r w:rsidRPr="00783679">
              <w:rPr>
                <w:rFonts w:ascii="Arial" w:hAnsi="Arial" w:cs="Arial"/>
                <w:sz w:val="16"/>
                <w:szCs w:val="16"/>
              </w:rPr>
              <w:t>2024-25 Forward estimate</w:t>
            </w:r>
            <w:r w:rsidRPr="00783679">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vAlign w:val="bottom"/>
            <w:hideMark/>
          </w:tcPr>
          <w:p w14:paraId="5D1DC847" w14:textId="77777777" w:rsidR="00783679" w:rsidRPr="00783679" w:rsidRDefault="00783679" w:rsidP="00783679">
            <w:pPr>
              <w:spacing w:after="0" w:line="240" w:lineRule="auto"/>
              <w:jc w:val="right"/>
              <w:rPr>
                <w:rFonts w:ascii="Arial" w:hAnsi="Arial" w:cs="Arial"/>
                <w:sz w:val="16"/>
                <w:szCs w:val="16"/>
              </w:rPr>
            </w:pPr>
            <w:r w:rsidRPr="00783679">
              <w:rPr>
                <w:rFonts w:ascii="Arial" w:hAnsi="Arial" w:cs="Arial"/>
                <w:sz w:val="16"/>
                <w:szCs w:val="16"/>
              </w:rPr>
              <w:t>2025-26</w:t>
            </w:r>
            <w:r w:rsidRPr="00783679">
              <w:rPr>
                <w:rFonts w:ascii="Arial" w:hAnsi="Arial" w:cs="Arial"/>
                <w:sz w:val="16"/>
                <w:szCs w:val="16"/>
              </w:rPr>
              <w:br/>
              <w:t>Forward estimate</w:t>
            </w:r>
            <w:r w:rsidRPr="00783679">
              <w:rPr>
                <w:rFonts w:ascii="Arial" w:hAnsi="Arial" w:cs="Arial"/>
                <w:sz w:val="16"/>
                <w:szCs w:val="16"/>
              </w:rPr>
              <w:br/>
              <w:t>$'000</w:t>
            </w:r>
          </w:p>
        </w:tc>
      </w:tr>
      <w:tr w:rsidR="00783679" w:rsidRPr="00783679" w14:paraId="0C5CA604" w14:textId="77777777" w:rsidTr="00783679">
        <w:trPr>
          <w:trHeight w:hRule="exact" w:val="225"/>
        </w:trPr>
        <w:tc>
          <w:tcPr>
            <w:tcW w:w="2067" w:type="pct"/>
            <w:tcBorders>
              <w:top w:val="nil"/>
              <w:left w:val="nil"/>
              <w:bottom w:val="nil"/>
              <w:right w:val="nil"/>
            </w:tcBorders>
            <w:shd w:val="clear" w:color="auto" w:fill="auto"/>
            <w:noWrap/>
            <w:vAlign w:val="bottom"/>
            <w:hideMark/>
          </w:tcPr>
          <w:p w14:paraId="442AFCA6" w14:textId="77777777" w:rsidR="00783679" w:rsidRPr="00783679" w:rsidRDefault="00783679" w:rsidP="00783679">
            <w:pPr>
              <w:spacing w:after="0" w:line="240" w:lineRule="auto"/>
              <w:jc w:val="left"/>
              <w:rPr>
                <w:rFonts w:ascii="Arial" w:hAnsi="Arial" w:cs="Arial"/>
                <w:b/>
                <w:bCs/>
                <w:sz w:val="16"/>
                <w:szCs w:val="16"/>
              </w:rPr>
            </w:pPr>
            <w:r w:rsidRPr="00783679">
              <w:rPr>
                <w:rFonts w:ascii="Arial" w:hAnsi="Arial" w:cs="Arial"/>
                <w:b/>
                <w:bCs/>
                <w:sz w:val="16"/>
                <w:szCs w:val="16"/>
              </w:rPr>
              <w:t>NEW CAPITAL APPROPRIATIONS</w:t>
            </w:r>
          </w:p>
        </w:tc>
        <w:tc>
          <w:tcPr>
            <w:tcW w:w="587" w:type="pct"/>
            <w:tcBorders>
              <w:top w:val="nil"/>
              <w:left w:val="nil"/>
              <w:bottom w:val="nil"/>
              <w:right w:val="nil"/>
            </w:tcBorders>
            <w:shd w:val="clear" w:color="auto" w:fill="auto"/>
            <w:noWrap/>
            <w:vAlign w:val="bottom"/>
            <w:hideMark/>
          </w:tcPr>
          <w:p w14:paraId="402B3B21" w14:textId="77777777" w:rsidR="00783679" w:rsidRPr="00783679" w:rsidRDefault="00783679" w:rsidP="00783679">
            <w:pPr>
              <w:spacing w:after="0" w:line="240" w:lineRule="auto"/>
              <w:jc w:val="left"/>
              <w:rPr>
                <w:rFonts w:ascii="Arial" w:hAnsi="Arial" w:cs="Arial"/>
                <w:b/>
                <w:bCs/>
                <w:sz w:val="16"/>
                <w:szCs w:val="16"/>
              </w:rPr>
            </w:pPr>
          </w:p>
        </w:tc>
        <w:tc>
          <w:tcPr>
            <w:tcW w:w="587" w:type="pct"/>
            <w:tcBorders>
              <w:top w:val="nil"/>
              <w:left w:val="nil"/>
              <w:bottom w:val="nil"/>
              <w:right w:val="nil"/>
            </w:tcBorders>
            <w:shd w:val="clear" w:color="000000" w:fill="E6E6E6"/>
            <w:noWrap/>
            <w:vAlign w:val="bottom"/>
            <w:hideMark/>
          </w:tcPr>
          <w:p w14:paraId="55883E20" w14:textId="77777777" w:rsidR="00783679" w:rsidRPr="00783679" w:rsidRDefault="00783679" w:rsidP="00783679">
            <w:pPr>
              <w:spacing w:after="0" w:line="240" w:lineRule="auto"/>
              <w:jc w:val="left"/>
              <w:rPr>
                <w:rFonts w:ascii="Arial" w:hAnsi="Arial" w:cs="Arial"/>
                <w:sz w:val="16"/>
                <w:szCs w:val="16"/>
              </w:rPr>
            </w:pPr>
            <w:r w:rsidRPr="00783679">
              <w:rPr>
                <w:rFonts w:ascii="Arial" w:hAnsi="Arial" w:cs="Arial"/>
                <w:sz w:val="16"/>
                <w:szCs w:val="16"/>
              </w:rPr>
              <w:t> </w:t>
            </w:r>
          </w:p>
        </w:tc>
        <w:tc>
          <w:tcPr>
            <w:tcW w:w="587" w:type="pct"/>
            <w:tcBorders>
              <w:top w:val="nil"/>
              <w:left w:val="nil"/>
              <w:bottom w:val="nil"/>
              <w:right w:val="nil"/>
            </w:tcBorders>
            <w:shd w:val="clear" w:color="auto" w:fill="auto"/>
            <w:noWrap/>
            <w:vAlign w:val="bottom"/>
            <w:hideMark/>
          </w:tcPr>
          <w:p w14:paraId="66C422FF" w14:textId="77777777" w:rsidR="00783679" w:rsidRPr="00783679" w:rsidRDefault="00783679" w:rsidP="00783679">
            <w:pPr>
              <w:spacing w:after="0" w:line="240" w:lineRule="auto"/>
              <w:jc w:val="left"/>
              <w:rPr>
                <w:rFonts w:ascii="Arial" w:hAnsi="Arial" w:cs="Arial"/>
                <w:sz w:val="16"/>
                <w:szCs w:val="16"/>
              </w:rPr>
            </w:pPr>
          </w:p>
        </w:tc>
        <w:tc>
          <w:tcPr>
            <w:tcW w:w="587" w:type="pct"/>
            <w:tcBorders>
              <w:top w:val="nil"/>
              <w:left w:val="nil"/>
              <w:bottom w:val="nil"/>
              <w:right w:val="nil"/>
            </w:tcBorders>
            <w:shd w:val="clear" w:color="auto" w:fill="auto"/>
            <w:noWrap/>
            <w:vAlign w:val="bottom"/>
            <w:hideMark/>
          </w:tcPr>
          <w:p w14:paraId="0D7F7485" w14:textId="77777777" w:rsidR="00783679" w:rsidRPr="00783679" w:rsidRDefault="00783679" w:rsidP="00783679">
            <w:pPr>
              <w:spacing w:after="0" w:line="240" w:lineRule="auto"/>
              <w:jc w:val="left"/>
              <w:rPr>
                <w:rFonts w:ascii="Times New Roman" w:hAnsi="Times New Roman"/>
              </w:rPr>
            </w:pPr>
          </w:p>
        </w:tc>
        <w:tc>
          <w:tcPr>
            <w:tcW w:w="587" w:type="pct"/>
            <w:tcBorders>
              <w:top w:val="nil"/>
              <w:left w:val="nil"/>
              <w:bottom w:val="nil"/>
              <w:right w:val="nil"/>
            </w:tcBorders>
            <w:shd w:val="clear" w:color="auto" w:fill="auto"/>
            <w:noWrap/>
            <w:vAlign w:val="bottom"/>
            <w:hideMark/>
          </w:tcPr>
          <w:p w14:paraId="6DA5CAA9" w14:textId="77777777" w:rsidR="00783679" w:rsidRPr="00783679" w:rsidRDefault="00783679" w:rsidP="00783679">
            <w:pPr>
              <w:spacing w:after="0" w:line="240" w:lineRule="auto"/>
              <w:jc w:val="left"/>
              <w:rPr>
                <w:rFonts w:ascii="Times New Roman" w:hAnsi="Times New Roman"/>
              </w:rPr>
            </w:pPr>
          </w:p>
        </w:tc>
      </w:tr>
      <w:tr w:rsidR="00783679" w:rsidRPr="00783679" w14:paraId="457069FA" w14:textId="77777777" w:rsidTr="009A1F48">
        <w:trPr>
          <w:trHeight w:hRule="exact" w:val="225"/>
        </w:trPr>
        <w:tc>
          <w:tcPr>
            <w:tcW w:w="2067" w:type="pct"/>
            <w:tcBorders>
              <w:top w:val="nil"/>
              <w:left w:val="nil"/>
              <w:bottom w:val="nil"/>
              <w:right w:val="nil"/>
            </w:tcBorders>
            <w:shd w:val="clear" w:color="auto" w:fill="auto"/>
            <w:noWrap/>
            <w:vAlign w:val="bottom"/>
            <w:hideMark/>
          </w:tcPr>
          <w:p w14:paraId="59599B3A" w14:textId="77777777" w:rsidR="00783679" w:rsidRPr="00783679" w:rsidRDefault="00783679" w:rsidP="00783679">
            <w:pPr>
              <w:spacing w:after="0" w:line="240" w:lineRule="auto"/>
              <w:ind w:left="170"/>
              <w:jc w:val="left"/>
              <w:rPr>
                <w:rFonts w:ascii="Arial" w:hAnsi="Arial" w:cs="Arial"/>
                <w:sz w:val="16"/>
                <w:szCs w:val="16"/>
              </w:rPr>
            </w:pPr>
            <w:r w:rsidRPr="00783679">
              <w:rPr>
                <w:rFonts w:ascii="Arial" w:hAnsi="Arial" w:cs="Arial"/>
                <w:sz w:val="16"/>
                <w:szCs w:val="16"/>
              </w:rPr>
              <w:t>Capital budget - Bill 1 (DCB)</w:t>
            </w:r>
          </w:p>
        </w:tc>
        <w:tc>
          <w:tcPr>
            <w:tcW w:w="587" w:type="pct"/>
            <w:tcBorders>
              <w:top w:val="nil"/>
              <w:left w:val="nil"/>
              <w:bottom w:val="nil"/>
              <w:right w:val="nil"/>
            </w:tcBorders>
            <w:shd w:val="clear" w:color="auto" w:fill="auto"/>
            <w:noWrap/>
            <w:vAlign w:val="bottom"/>
            <w:hideMark/>
          </w:tcPr>
          <w:p w14:paraId="5DA4ED9D" w14:textId="77777777" w:rsidR="00783679" w:rsidRPr="00783679" w:rsidRDefault="00783679" w:rsidP="009A1F48">
            <w:pPr>
              <w:spacing w:after="0" w:line="240" w:lineRule="auto"/>
              <w:jc w:val="right"/>
              <w:rPr>
                <w:rFonts w:ascii="Arial" w:hAnsi="Arial" w:cs="Arial"/>
                <w:sz w:val="16"/>
                <w:szCs w:val="16"/>
              </w:rPr>
            </w:pPr>
            <w:r w:rsidRPr="00783679">
              <w:rPr>
                <w:rFonts w:ascii="Arial" w:hAnsi="Arial" w:cs="Arial"/>
                <w:sz w:val="16"/>
                <w:szCs w:val="16"/>
              </w:rPr>
              <w:t xml:space="preserve">829 </w:t>
            </w:r>
          </w:p>
        </w:tc>
        <w:tc>
          <w:tcPr>
            <w:tcW w:w="587" w:type="pct"/>
            <w:tcBorders>
              <w:top w:val="nil"/>
              <w:left w:val="nil"/>
              <w:bottom w:val="nil"/>
              <w:right w:val="nil"/>
            </w:tcBorders>
            <w:shd w:val="clear" w:color="000000" w:fill="E6E6E6"/>
            <w:noWrap/>
            <w:vAlign w:val="bottom"/>
            <w:hideMark/>
          </w:tcPr>
          <w:p w14:paraId="1B3C8F4E" w14:textId="77777777" w:rsidR="00783679" w:rsidRPr="00783679" w:rsidRDefault="00783679" w:rsidP="009A1F48">
            <w:pPr>
              <w:spacing w:after="0" w:line="240" w:lineRule="auto"/>
              <w:jc w:val="right"/>
              <w:rPr>
                <w:rFonts w:ascii="Arial" w:hAnsi="Arial" w:cs="Arial"/>
                <w:sz w:val="16"/>
                <w:szCs w:val="16"/>
              </w:rPr>
            </w:pPr>
            <w:r w:rsidRPr="00783679">
              <w:rPr>
                <w:rFonts w:ascii="Arial" w:hAnsi="Arial" w:cs="Arial"/>
                <w:sz w:val="16"/>
                <w:szCs w:val="16"/>
              </w:rPr>
              <w:t xml:space="preserve">834 </w:t>
            </w:r>
          </w:p>
        </w:tc>
        <w:tc>
          <w:tcPr>
            <w:tcW w:w="587" w:type="pct"/>
            <w:tcBorders>
              <w:top w:val="nil"/>
              <w:left w:val="nil"/>
              <w:bottom w:val="nil"/>
              <w:right w:val="nil"/>
            </w:tcBorders>
            <w:shd w:val="clear" w:color="auto" w:fill="auto"/>
            <w:noWrap/>
            <w:vAlign w:val="bottom"/>
            <w:hideMark/>
          </w:tcPr>
          <w:p w14:paraId="7D52730E" w14:textId="77777777" w:rsidR="00783679" w:rsidRPr="00783679" w:rsidRDefault="00783679" w:rsidP="009A1F48">
            <w:pPr>
              <w:spacing w:after="0" w:line="240" w:lineRule="auto"/>
              <w:jc w:val="right"/>
              <w:rPr>
                <w:rFonts w:ascii="Arial" w:hAnsi="Arial" w:cs="Arial"/>
                <w:sz w:val="16"/>
                <w:szCs w:val="16"/>
              </w:rPr>
            </w:pPr>
            <w:r w:rsidRPr="00783679">
              <w:rPr>
                <w:rFonts w:ascii="Arial" w:hAnsi="Arial" w:cs="Arial"/>
                <w:sz w:val="16"/>
                <w:szCs w:val="16"/>
              </w:rPr>
              <w:t xml:space="preserve">838 </w:t>
            </w:r>
          </w:p>
        </w:tc>
        <w:tc>
          <w:tcPr>
            <w:tcW w:w="587" w:type="pct"/>
            <w:tcBorders>
              <w:top w:val="nil"/>
              <w:left w:val="nil"/>
              <w:bottom w:val="nil"/>
              <w:right w:val="nil"/>
            </w:tcBorders>
            <w:shd w:val="clear" w:color="auto" w:fill="auto"/>
            <w:noWrap/>
            <w:vAlign w:val="bottom"/>
            <w:hideMark/>
          </w:tcPr>
          <w:p w14:paraId="5F14EA7A" w14:textId="77777777" w:rsidR="00783679" w:rsidRPr="00783679" w:rsidRDefault="00783679" w:rsidP="009A1F48">
            <w:pPr>
              <w:spacing w:after="0" w:line="240" w:lineRule="auto"/>
              <w:jc w:val="right"/>
              <w:rPr>
                <w:rFonts w:ascii="Arial" w:hAnsi="Arial" w:cs="Arial"/>
                <w:sz w:val="16"/>
                <w:szCs w:val="16"/>
              </w:rPr>
            </w:pPr>
            <w:r w:rsidRPr="00783679">
              <w:rPr>
                <w:rFonts w:ascii="Arial" w:hAnsi="Arial" w:cs="Arial"/>
                <w:sz w:val="16"/>
                <w:szCs w:val="16"/>
              </w:rPr>
              <w:t xml:space="preserve">844 </w:t>
            </w:r>
          </w:p>
        </w:tc>
        <w:tc>
          <w:tcPr>
            <w:tcW w:w="587" w:type="pct"/>
            <w:tcBorders>
              <w:top w:val="nil"/>
              <w:left w:val="nil"/>
              <w:bottom w:val="nil"/>
              <w:right w:val="nil"/>
            </w:tcBorders>
            <w:shd w:val="clear" w:color="auto" w:fill="auto"/>
            <w:noWrap/>
            <w:vAlign w:val="bottom"/>
            <w:hideMark/>
          </w:tcPr>
          <w:p w14:paraId="4074370B" w14:textId="77777777" w:rsidR="00783679" w:rsidRPr="00783679" w:rsidRDefault="00783679" w:rsidP="009A1F48">
            <w:pPr>
              <w:spacing w:after="0" w:line="240" w:lineRule="auto"/>
              <w:jc w:val="right"/>
              <w:rPr>
                <w:rFonts w:ascii="Arial" w:hAnsi="Arial" w:cs="Arial"/>
                <w:sz w:val="16"/>
                <w:szCs w:val="16"/>
              </w:rPr>
            </w:pPr>
            <w:r w:rsidRPr="00783679">
              <w:rPr>
                <w:rFonts w:ascii="Arial" w:hAnsi="Arial" w:cs="Arial"/>
                <w:sz w:val="16"/>
                <w:szCs w:val="16"/>
              </w:rPr>
              <w:t xml:space="preserve">850 </w:t>
            </w:r>
          </w:p>
        </w:tc>
      </w:tr>
      <w:tr w:rsidR="00783679" w:rsidRPr="00783679" w14:paraId="56D82331" w14:textId="77777777" w:rsidTr="009A1F48">
        <w:trPr>
          <w:trHeight w:hRule="exact" w:val="225"/>
        </w:trPr>
        <w:tc>
          <w:tcPr>
            <w:tcW w:w="2067" w:type="pct"/>
            <w:tcBorders>
              <w:top w:val="nil"/>
              <w:left w:val="nil"/>
              <w:bottom w:val="nil"/>
              <w:right w:val="nil"/>
            </w:tcBorders>
            <w:shd w:val="clear" w:color="auto" w:fill="auto"/>
            <w:noWrap/>
            <w:vAlign w:val="bottom"/>
            <w:hideMark/>
          </w:tcPr>
          <w:p w14:paraId="049E7284" w14:textId="77777777" w:rsidR="00783679" w:rsidRPr="00783679" w:rsidRDefault="00783679" w:rsidP="00783679">
            <w:pPr>
              <w:spacing w:after="0" w:line="240" w:lineRule="auto"/>
              <w:jc w:val="left"/>
              <w:rPr>
                <w:rFonts w:ascii="Arial" w:hAnsi="Arial" w:cs="Arial"/>
                <w:b/>
                <w:bCs/>
                <w:sz w:val="16"/>
                <w:szCs w:val="16"/>
              </w:rPr>
            </w:pPr>
            <w:r w:rsidRPr="00783679">
              <w:rPr>
                <w:rFonts w:ascii="Arial" w:hAnsi="Arial" w:cs="Arial"/>
                <w:b/>
                <w:bCs/>
                <w:sz w:val="16"/>
                <w:szCs w:val="16"/>
              </w:rPr>
              <w:t>Total new capital appropriations</w:t>
            </w:r>
          </w:p>
        </w:tc>
        <w:tc>
          <w:tcPr>
            <w:tcW w:w="587" w:type="pct"/>
            <w:tcBorders>
              <w:top w:val="single" w:sz="4" w:space="0" w:color="000000"/>
              <w:left w:val="nil"/>
              <w:bottom w:val="single" w:sz="4" w:space="0" w:color="000000"/>
              <w:right w:val="nil"/>
            </w:tcBorders>
            <w:shd w:val="clear" w:color="auto" w:fill="auto"/>
            <w:noWrap/>
            <w:vAlign w:val="bottom"/>
            <w:hideMark/>
          </w:tcPr>
          <w:p w14:paraId="4D9BEB7F" w14:textId="77777777" w:rsidR="00783679" w:rsidRPr="00783679" w:rsidRDefault="00783679" w:rsidP="009A1F48">
            <w:pPr>
              <w:spacing w:after="0" w:line="240" w:lineRule="auto"/>
              <w:jc w:val="right"/>
              <w:rPr>
                <w:rFonts w:ascii="Arial" w:hAnsi="Arial" w:cs="Arial"/>
                <w:b/>
                <w:bCs/>
                <w:color w:val="000000"/>
                <w:sz w:val="16"/>
                <w:szCs w:val="16"/>
              </w:rPr>
            </w:pPr>
            <w:r w:rsidRPr="00783679">
              <w:rPr>
                <w:rFonts w:ascii="Arial" w:hAnsi="Arial" w:cs="Arial"/>
                <w:b/>
                <w:bCs/>
                <w:color w:val="000000"/>
                <w:sz w:val="16"/>
                <w:szCs w:val="16"/>
              </w:rPr>
              <w:t xml:space="preserve">829 </w:t>
            </w:r>
          </w:p>
        </w:tc>
        <w:tc>
          <w:tcPr>
            <w:tcW w:w="587" w:type="pct"/>
            <w:tcBorders>
              <w:top w:val="single" w:sz="4" w:space="0" w:color="000000"/>
              <w:left w:val="nil"/>
              <w:bottom w:val="single" w:sz="4" w:space="0" w:color="000000"/>
              <w:right w:val="nil"/>
            </w:tcBorders>
            <w:shd w:val="clear" w:color="000000" w:fill="E6E6E6"/>
            <w:noWrap/>
            <w:vAlign w:val="bottom"/>
            <w:hideMark/>
          </w:tcPr>
          <w:p w14:paraId="71A65428" w14:textId="77777777" w:rsidR="00783679" w:rsidRPr="00783679" w:rsidRDefault="00783679" w:rsidP="009A1F48">
            <w:pPr>
              <w:spacing w:after="0" w:line="240" w:lineRule="auto"/>
              <w:jc w:val="right"/>
              <w:rPr>
                <w:rFonts w:ascii="Arial" w:hAnsi="Arial" w:cs="Arial"/>
                <w:b/>
                <w:bCs/>
                <w:color w:val="000000"/>
                <w:sz w:val="16"/>
                <w:szCs w:val="16"/>
              </w:rPr>
            </w:pPr>
            <w:r w:rsidRPr="00783679">
              <w:rPr>
                <w:rFonts w:ascii="Arial" w:hAnsi="Arial" w:cs="Arial"/>
                <w:b/>
                <w:bCs/>
                <w:color w:val="000000"/>
                <w:sz w:val="16"/>
                <w:szCs w:val="16"/>
              </w:rPr>
              <w:t xml:space="preserve">834 </w:t>
            </w:r>
          </w:p>
        </w:tc>
        <w:tc>
          <w:tcPr>
            <w:tcW w:w="587" w:type="pct"/>
            <w:tcBorders>
              <w:top w:val="single" w:sz="4" w:space="0" w:color="000000"/>
              <w:left w:val="nil"/>
              <w:bottom w:val="single" w:sz="4" w:space="0" w:color="000000"/>
              <w:right w:val="nil"/>
            </w:tcBorders>
            <w:shd w:val="clear" w:color="auto" w:fill="auto"/>
            <w:noWrap/>
            <w:vAlign w:val="bottom"/>
            <w:hideMark/>
          </w:tcPr>
          <w:p w14:paraId="14F76763" w14:textId="77777777" w:rsidR="00783679" w:rsidRPr="00783679" w:rsidRDefault="00783679" w:rsidP="009A1F48">
            <w:pPr>
              <w:spacing w:after="0" w:line="240" w:lineRule="auto"/>
              <w:jc w:val="right"/>
              <w:rPr>
                <w:rFonts w:ascii="Arial" w:hAnsi="Arial" w:cs="Arial"/>
                <w:b/>
                <w:bCs/>
                <w:color w:val="000000"/>
                <w:sz w:val="16"/>
                <w:szCs w:val="16"/>
              </w:rPr>
            </w:pPr>
            <w:r w:rsidRPr="00783679">
              <w:rPr>
                <w:rFonts w:ascii="Arial" w:hAnsi="Arial" w:cs="Arial"/>
                <w:b/>
                <w:bCs/>
                <w:color w:val="000000"/>
                <w:sz w:val="16"/>
                <w:szCs w:val="16"/>
              </w:rPr>
              <w:t xml:space="preserve">838 </w:t>
            </w:r>
          </w:p>
        </w:tc>
        <w:tc>
          <w:tcPr>
            <w:tcW w:w="587" w:type="pct"/>
            <w:tcBorders>
              <w:top w:val="single" w:sz="4" w:space="0" w:color="000000"/>
              <w:left w:val="nil"/>
              <w:bottom w:val="single" w:sz="4" w:space="0" w:color="000000"/>
              <w:right w:val="nil"/>
            </w:tcBorders>
            <w:shd w:val="clear" w:color="auto" w:fill="auto"/>
            <w:noWrap/>
            <w:vAlign w:val="bottom"/>
            <w:hideMark/>
          </w:tcPr>
          <w:p w14:paraId="72460752" w14:textId="77777777" w:rsidR="00783679" w:rsidRPr="00783679" w:rsidRDefault="00783679" w:rsidP="009A1F48">
            <w:pPr>
              <w:spacing w:after="0" w:line="240" w:lineRule="auto"/>
              <w:jc w:val="right"/>
              <w:rPr>
                <w:rFonts w:ascii="Arial" w:hAnsi="Arial" w:cs="Arial"/>
                <w:b/>
                <w:bCs/>
                <w:color w:val="000000"/>
                <w:sz w:val="16"/>
                <w:szCs w:val="16"/>
              </w:rPr>
            </w:pPr>
            <w:r w:rsidRPr="00783679">
              <w:rPr>
                <w:rFonts w:ascii="Arial" w:hAnsi="Arial" w:cs="Arial"/>
                <w:b/>
                <w:bCs/>
                <w:color w:val="000000"/>
                <w:sz w:val="16"/>
                <w:szCs w:val="16"/>
              </w:rPr>
              <w:t xml:space="preserve">844 </w:t>
            </w:r>
          </w:p>
        </w:tc>
        <w:tc>
          <w:tcPr>
            <w:tcW w:w="587" w:type="pct"/>
            <w:tcBorders>
              <w:top w:val="single" w:sz="4" w:space="0" w:color="000000"/>
              <w:left w:val="nil"/>
              <w:bottom w:val="single" w:sz="4" w:space="0" w:color="000000"/>
              <w:right w:val="nil"/>
            </w:tcBorders>
            <w:shd w:val="clear" w:color="auto" w:fill="auto"/>
            <w:noWrap/>
            <w:vAlign w:val="bottom"/>
            <w:hideMark/>
          </w:tcPr>
          <w:p w14:paraId="0393C423" w14:textId="77777777" w:rsidR="00783679" w:rsidRPr="00783679" w:rsidRDefault="00783679" w:rsidP="009A1F48">
            <w:pPr>
              <w:spacing w:after="0" w:line="240" w:lineRule="auto"/>
              <w:jc w:val="right"/>
              <w:rPr>
                <w:rFonts w:ascii="Arial" w:hAnsi="Arial" w:cs="Arial"/>
                <w:b/>
                <w:bCs/>
                <w:color w:val="000000"/>
                <w:sz w:val="16"/>
                <w:szCs w:val="16"/>
              </w:rPr>
            </w:pPr>
            <w:r w:rsidRPr="00783679">
              <w:rPr>
                <w:rFonts w:ascii="Arial" w:hAnsi="Arial" w:cs="Arial"/>
                <w:b/>
                <w:bCs/>
                <w:color w:val="000000"/>
                <w:sz w:val="16"/>
                <w:szCs w:val="16"/>
              </w:rPr>
              <w:t xml:space="preserve">850 </w:t>
            </w:r>
          </w:p>
        </w:tc>
      </w:tr>
      <w:tr w:rsidR="00783679" w:rsidRPr="00783679" w14:paraId="6487293E" w14:textId="77777777" w:rsidTr="009A1F48">
        <w:trPr>
          <w:trHeight w:hRule="exact" w:val="225"/>
        </w:trPr>
        <w:tc>
          <w:tcPr>
            <w:tcW w:w="2067" w:type="pct"/>
            <w:tcBorders>
              <w:top w:val="nil"/>
              <w:left w:val="nil"/>
              <w:bottom w:val="nil"/>
              <w:right w:val="nil"/>
            </w:tcBorders>
            <w:shd w:val="clear" w:color="auto" w:fill="auto"/>
            <w:noWrap/>
            <w:vAlign w:val="bottom"/>
            <w:hideMark/>
          </w:tcPr>
          <w:p w14:paraId="3CCAFCA5" w14:textId="77777777" w:rsidR="00783679" w:rsidRPr="00783679" w:rsidRDefault="00783679" w:rsidP="00783679">
            <w:pPr>
              <w:spacing w:after="0" w:line="240" w:lineRule="auto"/>
              <w:jc w:val="left"/>
              <w:rPr>
                <w:rFonts w:ascii="Arial" w:hAnsi="Arial" w:cs="Arial"/>
                <w:b/>
                <w:bCs/>
                <w:i/>
                <w:iCs/>
                <w:sz w:val="16"/>
                <w:szCs w:val="16"/>
              </w:rPr>
            </w:pPr>
            <w:r w:rsidRPr="00783679">
              <w:rPr>
                <w:rFonts w:ascii="Arial" w:hAnsi="Arial" w:cs="Arial"/>
                <w:b/>
                <w:bCs/>
                <w:i/>
                <w:iCs/>
                <w:sz w:val="16"/>
                <w:szCs w:val="16"/>
              </w:rPr>
              <w:t>Provided for:</w:t>
            </w:r>
          </w:p>
        </w:tc>
        <w:tc>
          <w:tcPr>
            <w:tcW w:w="587" w:type="pct"/>
            <w:tcBorders>
              <w:top w:val="nil"/>
              <w:left w:val="nil"/>
              <w:bottom w:val="nil"/>
              <w:right w:val="nil"/>
            </w:tcBorders>
            <w:shd w:val="clear" w:color="auto" w:fill="auto"/>
            <w:noWrap/>
            <w:vAlign w:val="bottom"/>
            <w:hideMark/>
          </w:tcPr>
          <w:p w14:paraId="524B2AB8" w14:textId="77777777" w:rsidR="00783679" w:rsidRPr="00783679" w:rsidRDefault="00783679" w:rsidP="009A1F48">
            <w:pPr>
              <w:spacing w:after="0" w:line="240" w:lineRule="auto"/>
              <w:jc w:val="right"/>
              <w:rPr>
                <w:rFonts w:ascii="Arial" w:hAnsi="Arial" w:cs="Arial"/>
                <w:b/>
                <w:bCs/>
                <w:i/>
                <w:iCs/>
                <w:sz w:val="16"/>
                <w:szCs w:val="16"/>
              </w:rPr>
            </w:pPr>
          </w:p>
        </w:tc>
        <w:tc>
          <w:tcPr>
            <w:tcW w:w="587" w:type="pct"/>
            <w:tcBorders>
              <w:top w:val="nil"/>
              <w:left w:val="nil"/>
              <w:bottom w:val="nil"/>
              <w:right w:val="nil"/>
            </w:tcBorders>
            <w:shd w:val="clear" w:color="000000" w:fill="E6E6E6"/>
            <w:noWrap/>
            <w:vAlign w:val="bottom"/>
            <w:hideMark/>
          </w:tcPr>
          <w:p w14:paraId="28B2BA73" w14:textId="77777777" w:rsidR="00783679" w:rsidRPr="00783679" w:rsidRDefault="00783679" w:rsidP="009A1F48">
            <w:pPr>
              <w:spacing w:after="0" w:line="240" w:lineRule="auto"/>
              <w:jc w:val="right"/>
              <w:rPr>
                <w:rFonts w:ascii="Arial" w:hAnsi="Arial" w:cs="Arial"/>
                <w:i/>
                <w:iCs/>
                <w:sz w:val="16"/>
                <w:szCs w:val="16"/>
              </w:rPr>
            </w:pPr>
            <w:r w:rsidRPr="00783679">
              <w:rPr>
                <w:rFonts w:ascii="Arial" w:hAnsi="Arial" w:cs="Arial"/>
                <w:i/>
                <w:iCs/>
                <w:sz w:val="16"/>
                <w:szCs w:val="16"/>
              </w:rPr>
              <w:t> </w:t>
            </w:r>
          </w:p>
        </w:tc>
        <w:tc>
          <w:tcPr>
            <w:tcW w:w="587" w:type="pct"/>
            <w:tcBorders>
              <w:top w:val="nil"/>
              <w:left w:val="nil"/>
              <w:bottom w:val="nil"/>
              <w:right w:val="nil"/>
            </w:tcBorders>
            <w:shd w:val="clear" w:color="auto" w:fill="auto"/>
            <w:noWrap/>
            <w:vAlign w:val="bottom"/>
            <w:hideMark/>
          </w:tcPr>
          <w:p w14:paraId="6BA78CF1" w14:textId="77777777" w:rsidR="00783679" w:rsidRPr="00783679" w:rsidRDefault="00783679" w:rsidP="009A1F48">
            <w:pPr>
              <w:spacing w:after="0" w:line="240" w:lineRule="auto"/>
              <w:jc w:val="right"/>
              <w:rPr>
                <w:rFonts w:ascii="Arial" w:hAnsi="Arial" w:cs="Arial"/>
                <w:i/>
                <w:iCs/>
                <w:sz w:val="16"/>
                <w:szCs w:val="16"/>
              </w:rPr>
            </w:pPr>
          </w:p>
        </w:tc>
        <w:tc>
          <w:tcPr>
            <w:tcW w:w="587" w:type="pct"/>
            <w:tcBorders>
              <w:top w:val="nil"/>
              <w:left w:val="nil"/>
              <w:bottom w:val="nil"/>
              <w:right w:val="nil"/>
            </w:tcBorders>
            <w:shd w:val="clear" w:color="auto" w:fill="auto"/>
            <w:noWrap/>
            <w:vAlign w:val="bottom"/>
            <w:hideMark/>
          </w:tcPr>
          <w:p w14:paraId="15D6D81D" w14:textId="77777777" w:rsidR="00783679" w:rsidRPr="00783679" w:rsidRDefault="00783679" w:rsidP="009A1F48">
            <w:pPr>
              <w:spacing w:after="0" w:line="240" w:lineRule="auto"/>
              <w:jc w:val="right"/>
              <w:rPr>
                <w:rFonts w:ascii="Times New Roman" w:hAnsi="Times New Roman"/>
              </w:rPr>
            </w:pPr>
          </w:p>
        </w:tc>
        <w:tc>
          <w:tcPr>
            <w:tcW w:w="587" w:type="pct"/>
            <w:tcBorders>
              <w:top w:val="nil"/>
              <w:left w:val="nil"/>
              <w:bottom w:val="nil"/>
              <w:right w:val="nil"/>
            </w:tcBorders>
            <w:shd w:val="clear" w:color="auto" w:fill="auto"/>
            <w:noWrap/>
            <w:vAlign w:val="bottom"/>
            <w:hideMark/>
          </w:tcPr>
          <w:p w14:paraId="6E2D8D00" w14:textId="77777777" w:rsidR="00783679" w:rsidRPr="00783679" w:rsidRDefault="00783679" w:rsidP="009A1F48">
            <w:pPr>
              <w:spacing w:after="0" w:line="240" w:lineRule="auto"/>
              <w:jc w:val="right"/>
              <w:rPr>
                <w:rFonts w:ascii="Times New Roman" w:hAnsi="Times New Roman"/>
              </w:rPr>
            </w:pPr>
          </w:p>
        </w:tc>
      </w:tr>
      <w:tr w:rsidR="00783679" w:rsidRPr="00783679" w14:paraId="43CD8A5C" w14:textId="77777777" w:rsidTr="009A1F48">
        <w:trPr>
          <w:trHeight w:hRule="exact" w:val="225"/>
        </w:trPr>
        <w:tc>
          <w:tcPr>
            <w:tcW w:w="2067" w:type="pct"/>
            <w:tcBorders>
              <w:top w:val="nil"/>
              <w:left w:val="nil"/>
              <w:bottom w:val="nil"/>
              <w:right w:val="nil"/>
            </w:tcBorders>
            <w:shd w:val="clear" w:color="auto" w:fill="auto"/>
            <w:noWrap/>
            <w:vAlign w:val="bottom"/>
            <w:hideMark/>
          </w:tcPr>
          <w:p w14:paraId="30460D43" w14:textId="77777777" w:rsidR="00783679" w:rsidRPr="00783679" w:rsidRDefault="00783679" w:rsidP="00783679">
            <w:pPr>
              <w:spacing w:after="0" w:line="240" w:lineRule="auto"/>
              <w:ind w:left="170"/>
              <w:jc w:val="left"/>
              <w:rPr>
                <w:rFonts w:ascii="Arial" w:hAnsi="Arial" w:cs="Arial"/>
                <w:i/>
                <w:iCs/>
                <w:sz w:val="16"/>
                <w:szCs w:val="16"/>
              </w:rPr>
            </w:pPr>
            <w:r w:rsidRPr="00783679">
              <w:rPr>
                <w:rFonts w:ascii="Arial" w:hAnsi="Arial" w:cs="Arial"/>
                <w:i/>
                <w:iCs/>
                <w:sz w:val="16"/>
                <w:szCs w:val="16"/>
              </w:rPr>
              <w:t>Purchase of non-financial assets</w:t>
            </w:r>
          </w:p>
        </w:tc>
        <w:tc>
          <w:tcPr>
            <w:tcW w:w="587" w:type="pct"/>
            <w:tcBorders>
              <w:top w:val="nil"/>
              <w:left w:val="nil"/>
              <w:bottom w:val="nil"/>
              <w:right w:val="nil"/>
            </w:tcBorders>
            <w:shd w:val="clear" w:color="auto" w:fill="auto"/>
            <w:noWrap/>
            <w:vAlign w:val="bottom"/>
            <w:hideMark/>
          </w:tcPr>
          <w:p w14:paraId="0A777FBC" w14:textId="77777777" w:rsidR="00783679" w:rsidRPr="00783679" w:rsidRDefault="00783679" w:rsidP="009A1F48">
            <w:pPr>
              <w:spacing w:after="0" w:line="240" w:lineRule="auto"/>
              <w:jc w:val="right"/>
              <w:rPr>
                <w:rFonts w:ascii="Arial" w:hAnsi="Arial" w:cs="Arial"/>
                <w:i/>
                <w:iCs/>
                <w:sz w:val="16"/>
                <w:szCs w:val="16"/>
              </w:rPr>
            </w:pPr>
            <w:r w:rsidRPr="00783679">
              <w:rPr>
                <w:rFonts w:ascii="Arial" w:hAnsi="Arial" w:cs="Arial"/>
                <w:i/>
                <w:iCs/>
                <w:sz w:val="16"/>
                <w:szCs w:val="16"/>
              </w:rPr>
              <w:t xml:space="preserve">190 </w:t>
            </w:r>
          </w:p>
        </w:tc>
        <w:tc>
          <w:tcPr>
            <w:tcW w:w="587" w:type="pct"/>
            <w:tcBorders>
              <w:top w:val="nil"/>
              <w:left w:val="nil"/>
              <w:bottom w:val="nil"/>
              <w:right w:val="nil"/>
            </w:tcBorders>
            <w:shd w:val="clear" w:color="000000" w:fill="E6E6E6"/>
            <w:noWrap/>
            <w:vAlign w:val="bottom"/>
            <w:hideMark/>
          </w:tcPr>
          <w:p w14:paraId="256C1236" w14:textId="77777777" w:rsidR="00783679" w:rsidRPr="00783679" w:rsidRDefault="00783679" w:rsidP="009A1F48">
            <w:pPr>
              <w:spacing w:after="0" w:line="240" w:lineRule="auto"/>
              <w:jc w:val="right"/>
              <w:rPr>
                <w:rFonts w:ascii="Arial" w:hAnsi="Arial" w:cs="Arial"/>
                <w:i/>
                <w:iCs/>
                <w:sz w:val="16"/>
                <w:szCs w:val="16"/>
              </w:rPr>
            </w:pPr>
            <w:r w:rsidRPr="00783679">
              <w:rPr>
                <w:rFonts w:ascii="Arial" w:hAnsi="Arial" w:cs="Arial"/>
                <w:i/>
                <w:iCs/>
                <w:sz w:val="16"/>
                <w:szCs w:val="16"/>
              </w:rPr>
              <w:t xml:space="preserve">192 </w:t>
            </w:r>
          </w:p>
        </w:tc>
        <w:tc>
          <w:tcPr>
            <w:tcW w:w="587" w:type="pct"/>
            <w:tcBorders>
              <w:top w:val="nil"/>
              <w:left w:val="nil"/>
              <w:bottom w:val="nil"/>
              <w:right w:val="nil"/>
            </w:tcBorders>
            <w:shd w:val="clear" w:color="auto" w:fill="auto"/>
            <w:noWrap/>
            <w:vAlign w:val="bottom"/>
            <w:hideMark/>
          </w:tcPr>
          <w:p w14:paraId="3E035CF6" w14:textId="77777777" w:rsidR="00783679" w:rsidRPr="00783679" w:rsidRDefault="00783679" w:rsidP="009A1F48">
            <w:pPr>
              <w:spacing w:after="0" w:line="240" w:lineRule="auto"/>
              <w:jc w:val="right"/>
              <w:rPr>
                <w:rFonts w:ascii="Arial" w:hAnsi="Arial" w:cs="Arial"/>
                <w:i/>
                <w:iCs/>
                <w:sz w:val="16"/>
                <w:szCs w:val="16"/>
              </w:rPr>
            </w:pPr>
            <w:r w:rsidRPr="00783679">
              <w:rPr>
                <w:rFonts w:ascii="Arial" w:hAnsi="Arial" w:cs="Arial"/>
                <w:i/>
                <w:iCs/>
                <w:sz w:val="16"/>
                <w:szCs w:val="16"/>
              </w:rPr>
              <w:t xml:space="preserve">492 </w:t>
            </w:r>
          </w:p>
        </w:tc>
        <w:tc>
          <w:tcPr>
            <w:tcW w:w="587" w:type="pct"/>
            <w:tcBorders>
              <w:top w:val="nil"/>
              <w:left w:val="nil"/>
              <w:bottom w:val="nil"/>
              <w:right w:val="nil"/>
            </w:tcBorders>
            <w:shd w:val="clear" w:color="auto" w:fill="auto"/>
            <w:noWrap/>
            <w:vAlign w:val="bottom"/>
            <w:hideMark/>
          </w:tcPr>
          <w:p w14:paraId="22121DD0" w14:textId="77777777" w:rsidR="00783679" w:rsidRPr="00783679" w:rsidRDefault="00783679" w:rsidP="009A1F48">
            <w:pPr>
              <w:spacing w:after="0" w:line="240" w:lineRule="auto"/>
              <w:jc w:val="right"/>
              <w:rPr>
                <w:rFonts w:ascii="Arial" w:hAnsi="Arial" w:cs="Arial"/>
                <w:i/>
                <w:iCs/>
                <w:sz w:val="16"/>
                <w:szCs w:val="16"/>
              </w:rPr>
            </w:pPr>
            <w:r w:rsidRPr="00783679">
              <w:rPr>
                <w:rFonts w:ascii="Arial" w:hAnsi="Arial" w:cs="Arial"/>
                <w:i/>
                <w:iCs/>
                <w:sz w:val="16"/>
                <w:szCs w:val="16"/>
              </w:rPr>
              <w:t xml:space="preserve">797 </w:t>
            </w:r>
          </w:p>
        </w:tc>
        <w:tc>
          <w:tcPr>
            <w:tcW w:w="587" w:type="pct"/>
            <w:tcBorders>
              <w:top w:val="nil"/>
              <w:left w:val="nil"/>
              <w:bottom w:val="nil"/>
              <w:right w:val="nil"/>
            </w:tcBorders>
            <w:shd w:val="clear" w:color="auto" w:fill="auto"/>
            <w:noWrap/>
            <w:vAlign w:val="bottom"/>
            <w:hideMark/>
          </w:tcPr>
          <w:p w14:paraId="2C0E833D" w14:textId="77777777" w:rsidR="00783679" w:rsidRPr="00783679" w:rsidRDefault="00783679" w:rsidP="009A1F48">
            <w:pPr>
              <w:spacing w:after="0" w:line="240" w:lineRule="auto"/>
              <w:jc w:val="right"/>
              <w:rPr>
                <w:rFonts w:ascii="Arial" w:hAnsi="Arial" w:cs="Arial"/>
                <w:i/>
                <w:iCs/>
                <w:sz w:val="16"/>
                <w:szCs w:val="16"/>
              </w:rPr>
            </w:pPr>
            <w:r w:rsidRPr="00783679">
              <w:rPr>
                <w:rFonts w:ascii="Arial" w:hAnsi="Arial" w:cs="Arial"/>
                <w:i/>
                <w:iCs/>
                <w:sz w:val="16"/>
                <w:szCs w:val="16"/>
              </w:rPr>
              <w:t xml:space="preserve">805 </w:t>
            </w:r>
          </w:p>
        </w:tc>
      </w:tr>
      <w:tr w:rsidR="00783679" w:rsidRPr="00783679" w14:paraId="38167B53" w14:textId="77777777" w:rsidTr="009A1F48">
        <w:trPr>
          <w:trHeight w:hRule="exact" w:val="225"/>
        </w:trPr>
        <w:tc>
          <w:tcPr>
            <w:tcW w:w="2067" w:type="pct"/>
            <w:tcBorders>
              <w:top w:val="nil"/>
              <w:left w:val="nil"/>
              <w:bottom w:val="nil"/>
              <w:right w:val="nil"/>
            </w:tcBorders>
            <w:shd w:val="clear" w:color="auto" w:fill="auto"/>
            <w:noWrap/>
            <w:vAlign w:val="bottom"/>
            <w:hideMark/>
          </w:tcPr>
          <w:p w14:paraId="3F41C509" w14:textId="77777777" w:rsidR="00783679" w:rsidRPr="00783679" w:rsidRDefault="00783679" w:rsidP="00783679">
            <w:pPr>
              <w:spacing w:after="0" w:line="240" w:lineRule="auto"/>
              <w:ind w:left="170"/>
              <w:jc w:val="left"/>
              <w:rPr>
                <w:rFonts w:ascii="Arial" w:hAnsi="Arial" w:cs="Arial"/>
                <w:i/>
                <w:iCs/>
                <w:sz w:val="16"/>
                <w:szCs w:val="16"/>
              </w:rPr>
            </w:pPr>
            <w:r w:rsidRPr="00783679">
              <w:rPr>
                <w:rFonts w:ascii="Arial" w:hAnsi="Arial" w:cs="Arial"/>
                <w:i/>
                <w:iCs/>
                <w:sz w:val="16"/>
                <w:szCs w:val="16"/>
              </w:rPr>
              <w:t>Other items</w:t>
            </w:r>
          </w:p>
        </w:tc>
        <w:tc>
          <w:tcPr>
            <w:tcW w:w="587" w:type="pct"/>
            <w:tcBorders>
              <w:top w:val="nil"/>
              <w:left w:val="nil"/>
              <w:bottom w:val="nil"/>
              <w:right w:val="nil"/>
            </w:tcBorders>
            <w:shd w:val="clear" w:color="auto" w:fill="auto"/>
            <w:noWrap/>
            <w:vAlign w:val="bottom"/>
            <w:hideMark/>
          </w:tcPr>
          <w:p w14:paraId="5930CD66" w14:textId="77777777" w:rsidR="00783679" w:rsidRPr="00783679" w:rsidRDefault="00783679" w:rsidP="009A1F48">
            <w:pPr>
              <w:spacing w:after="0" w:line="240" w:lineRule="auto"/>
              <w:jc w:val="right"/>
              <w:rPr>
                <w:rFonts w:ascii="Arial" w:hAnsi="Arial" w:cs="Arial"/>
                <w:i/>
                <w:iCs/>
                <w:sz w:val="16"/>
                <w:szCs w:val="16"/>
              </w:rPr>
            </w:pPr>
            <w:r w:rsidRPr="00783679">
              <w:rPr>
                <w:rFonts w:ascii="Arial" w:hAnsi="Arial" w:cs="Arial"/>
                <w:i/>
                <w:iCs/>
                <w:sz w:val="16"/>
                <w:szCs w:val="16"/>
              </w:rPr>
              <w:t xml:space="preserve">639 </w:t>
            </w:r>
          </w:p>
        </w:tc>
        <w:tc>
          <w:tcPr>
            <w:tcW w:w="587" w:type="pct"/>
            <w:tcBorders>
              <w:top w:val="nil"/>
              <w:left w:val="nil"/>
              <w:bottom w:val="nil"/>
              <w:right w:val="nil"/>
            </w:tcBorders>
            <w:shd w:val="clear" w:color="000000" w:fill="E6E6E6"/>
            <w:noWrap/>
            <w:vAlign w:val="bottom"/>
            <w:hideMark/>
          </w:tcPr>
          <w:p w14:paraId="4044A7CF" w14:textId="77777777" w:rsidR="00783679" w:rsidRPr="00783679" w:rsidRDefault="00783679" w:rsidP="009A1F48">
            <w:pPr>
              <w:spacing w:after="0" w:line="240" w:lineRule="auto"/>
              <w:jc w:val="right"/>
              <w:rPr>
                <w:rFonts w:ascii="Arial" w:hAnsi="Arial" w:cs="Arial"/>
                <w:i/>
                <w:iCs/>
                <w:sz w:val="16"/>
                <w:szCs w:val="16"/>
              </w:rPr>
            </w:pPr>
            <w:r w:rsidRPr="00783679">
              <w:rPr>
                <w:rFonts w:ascii="Arial" w:hAnsi="Arial" w:cs="Arial"/>
                <w:i/>
                <w:iCs/>
                <w:sz w:val="16"/>
                <w:szCs w:val="16"/>
              </w:rPr>
              <w:t xml:space="preserve">642 </w:t>
            </w:r>
          </w:p>
        </w:tc>
        <w:tc>
          <w:tcPr>
            <w:tcW w:w="587" w:type="pct"/>
            <w:tcBorders>
              <w:top w:val="nil"/>
              <w:left w:val="nil"/>
              <w:bottom w:val="nil"/>
              <w:right w:val="nil"/>
            </w:tcBorders>
            <w:shd w:val="clear" w:color="auto" w:fill="auto"/>
            <w:noWrap/>
            <w:vAlign w:val="bottom"/>
            <w:hideMark/>
          </w:tcPr>
          <w:p w14:paraId="24E67D4D" w14:textId="77777777" w:rsidR="00783679" w:rsidRPr="00783679" w:rsidRDefault="00783679" w:rsidP="009A1F48">
            <w:pPr>
              <w:spacing w:after="0" w:line="240" w:lineRule="auto"/>
              <w:jc w:val="right"/>
              <w:rPr>
                <w:rFonts w:ascii="Arial" w:hAnsi="Arial" w:cs="Arial"/>
                <w:i/>
                <w:iCs/>
                <w:sz w:val="16"/>
                <w:szCs w:val="16"/>
              </w:rPr>
            </w:pPr>
            <w:r w:rsidRPr="00783679">
              <w:rPr>
                <w:rFonts w:ascii="Arial" w:hAnsi="Arial" w:cs="Arial"/>
                <w:i/>
                <w:iCs/>
                <w:sz w:val="16"/>
                <w:szCs w:val="16"/>
              </w:rPr>
              <w:t xml:space="preserve">346 </w:t>
            </w:r>
          </w:p>
        </w:tc>
        <w:tc>
          <w:tcPr>
            <w:tcW w:w="587" w:type="pct"/>
            <w:tcBorders>
              <w:top w:val="nil"/>
              <w:left w:val="nil"/>
              <w:bottom w:val="nil"/>
              <w:right w:val="nil"/>
            </w:tcBorders>
            <w:shd w:val="clear" w:color="auto" w:fill="auto"/>
            <w:noWrap/>
            <w:vAlign w:val="bottom"/>
            <w:hideMark/>
          </w:tcPr>
          <w:p w14:paraId="3961C94A" w14:textId="77777777" w:rsidR="00783679" w:rsidRPr="00783679" w:rsidRDefault="00783679" w:rsidP="009A1F48">
            <w:pPr>
              <w:spacing w:after="0" w:line="240" w:lineRule="auto"/>
              <w:jc w:val="right"/>
              <w:rPr>
                <w:rFonts w:ascii="Arial" w:hAnsi="Arial" w:cs="Arial"/>
                <w:i/>
                <w:iCs/>
                <w:sz w:val="16"/>
                <w:szCs w:val="16"/>
              </w:rPr>
            </w:pPr>
            <w:r w:rsidRPr="00783679">
              <w:rPr>
                <w:rFonts w:ascii="Arial" w:hAnsi="Arial" w:cs="Arial"/>
                <w:i/>
                <w:iCs/>
                <w:sz w:val="16"/>
                <w:szCs w:val="16"/>
              </w:rPr>
              <w:t xml:space="preserve">47 </w:t>
            </w:r>
          </w:p>
        </w:tc>
        <w:tc>
          <w:tcPr>
            <w:tcW w:w="587" w:type="pct"/>
            <w:tcBorders>
              <w:top w:val="nil"/>
              <w:left w:val="nil"/>
              <w:bottom w:val="nil"/>
              <w:right w:val="nil"/>
            </w:tcBorders>
            <w:shd w:val="clear" w:color="auto" w:fill="auto"/>
            <w:noWrap/>
            <w:vAlign w:val="bottom"/>
            <w:hideMark/>
          </w:tcPr>
          <w:p w14:paraId="7773FF4F" w14:textId="77777777" w:rsidR="00783679" w:rsidRPr="00783679" w:rsidRDefault="00783679" w:rsidP="009A1F48">
            <w:pPr>
              <w:spacing w:after="0" w:line="240" w:lineRule="auto"/>
              <w:jc w:val="right"/>
              <w:rPr>
                <w:rFonts w:ascii="Arial" w:hAnsi="Arial" w:cs="Arial"/>
                <w:i/>
                <w:iCs/>
                <w:sz w:val="16"/>
                <w:szCs w:val="16"/>
              </w:rPr>
            </w:pPr>
            <w:r w:rsidRPr="00783679">
              <w:rPr>
                <w:rFonts w:ascii="Arial" w:hAnsi="Arial" w:cs="Arial"/>
                <w:i/>
                <w:iCs/>
                <w:sz w:val="16"/>
                <w:szCs w:val="16"/>
              </w:rPr>
              <w:t xml:space="preserve">45 </w:t>
            </w:r>
          </w:p>
        </w:tc>
      </w:tr>
      <w:tr w:rsidR="00783679" w:rsidRPr="00783679" w14:paraId="5E39CC34" w14:textId="77777777" w:rsidTr="009A1F48">
        <w:trPr>
          <w:trHeight w:hRule="exact" w:val="225"/>
        </w:trPr>
        <w:tc>
          <w:tcPr>
            <w:tcW w:w="2067" w:type="pct"/>
            <w:tcBorders>
              <w:top w:val="nil"/>
              <w:left w:val="nil"/>
              <w:bottom w:val="nil"/>
              <w:right w:val="nil"/>
            </w:tcBorders>
            <w:shd w:val="clear" w:color="auto" w:fill="auto"/>
            <w:noWrap/>
            <w:vAlign w:val="bottom"/>
            <w:hideMark/>
          </w:tcPr>
          <w:p w14:paraId="51860248" w14:textId="77777777" w:rsidR="00783679" w:rsidRPr="00783679" w:rsidRDefault="00783679" w:rsidP="00783679">
            <w:pPr>
              <w:spacing w:after="0" w:line="240" w:lineRule="auto"/>
              <w:jc w:val="left"/>
              <w:rPr>
                <w:rFonts w:ascii="Arial" w:hAnsi="Arial" w:cs="Arial"/>
                <w:b/>
                <w:bCs/>
                <w:i/>
                <w:iCs/>
                <w:sz w:val="16"/>
                <w:szCs w:val="16"/>
              </w:rPr>
            </w:pPr>
            <w:r w:rsidRPr="00783679">
              <w:rPr>
                <w:rFonts w:ascii="Arial" w:hAnsi="Arial" w:cs="Arial"/>
                <w:b/>
                <w:bCs/>
                <w:i/>
                <w:iCs/>
                <w:sz w:val="16"/>
                <w:szCs w:val="16"/>
              </w:rPr>
              <w:t>Total items</w:t>
            </w:r>
          </w:p>
        </w:tc>
        <w:tc>
          <w:tcPr>
            <w:tcW w:w="587" w:type="pct"/>
            <w:tcBorders>
              <w:top w:val="single" w:sz="4" w:space="0" w:color="000000"/>
              <w:left w:val="nil"/>
              <w:bottom w:val="single" w:sz="4" w:space="0" w:color="000000"/>
              <w:right w:val="nil"/>
            </w:tcBorders>
            <w:shd w:val="clear" w:color="auto" w:fill="auto"/>
            <w:noWrap/>
            <w:vAlign w:val="bottom"/>
            <w:hideMark/>
          </w:tcPr>
          <w:p w14:paraId="1D1269E9" w14:textId="77777777" w:rsidR="00783679" w:rsidRPr="00783679" w:rsidRDefault="00783679" w:rsidP="009A1F48">
            <w:pPr>
              <w:spacing w:after="0" w:line="240" w:lineRule="auto"/>
              <w:jc w:val="right"/>
              <w:rPr>
                <w:rFonts w:ascii="Arial" w:hAnsi="Arial" w:cs="Arial"/>
                <w:b/>
                <w:bCs/>
                <w:color w:val="000000"/>
                <w:sz w:val="16"/>
                <w:szCs w:val="16"/>
              </w:rPr>
            </w:pPr>
            <w:r w:rsidRPr="00783679">
              <w:rPr>
                <w:rFonts w:ascii="Arial" w:hAnsi="Arial" w:cs="Arial"/>
                <w:b/>
                <w:bCs/>
                <w:color w:val="000000"/>
                <w:sz w:val="16"/>
                <w:szCs w:val="16"/>
              </w:rPr>
              <w:t xml:space="preserve">829 </w:t>
            </w:r>
          </w:p>
        </w:tc>
        <w:tc>
          <w:tcPr>
            <w:tcW w:w="587" w:type="pct"/>
            <w:tcBorders>
              <w:top w:val="single" w:sz="4" w:space="0" w:color="000000"/>
              <w:left w:val="nil"/>
              <w:bottom w:val="single" w:sz="4" w:space="0" w:color="000000"/>
              <w:right w:val="nil"/>
            </w:tcBorders>
            <w:shd w:val="clear" w:color="000000" w:fill="E6E6E6"/>
            <w:noWrap/>
            <w:vAlign w:val="bottom"/>
            <w:hideMark/>
          </w:tcPr>
          <w:p w14:paraId="6675DCBE" w14:textId="77777777" w:rsidR="00783679" w:rsidRPr="00783679" w:rsidRDefault="00783679" w:rsidP="009A1F48">
            <w:pPr>
              <w:spacing w:after="0" w:line="240" w:lineRule="auto"/>
              <w:jc w:val="right"/>
              <w:rPr>
                <w:rFonts w:ascii="Arial" w:hAnsi="Arial" w:cs="Arial"/>
                <w:b/>
                <w:bCs/>
                <w:color w:val="000000"/>
                <w:sz w:val="16"/>
                <w:szCs w:val="16"/>
              </w:rPr>
            </w:pPr>
            <w:r w:rsidRPr="00783679">
              <w:rPr>
                <w:rFonts w:ascii="Arial" w:hAnsi="Arial" w:cs="Arial"/>
                <w:b/>
                <w:bCs/>
                <w:color w:val="000000"/>
                <w:sz w:val="16"/>
                <w:szCs w:val="16"/>
              </w:rPr>
              <w:t xml:space="preserve">834 </w:t>
            </w:r>
          </w:p>
        </w:tc>
        <w:tc>
          <w:tcPr>
            <w:tcW w:w="587" w:type="pct"/>
            <w:tcBorders>
              <w:top w:val="single" w:sz="4" w:space="0" w:color="000000"/>
              <w:left w:val="nil"/>
              <w:bottom w:val="single" w:sz="4" w:space="0" w:color="000000"/>
              <w:right w:val="nil"/>
            </w:tcBorders>
            <w:shd w:val="clear" w:color="auto" w:fill="auto"/>
            <w:noWrap/>
            <w:vAlign w:val="bottom"/>
            <w:hideMark/>
          </w:tcPr>
          <w:p w14:paraId="52A261B4" w14:textId="77777777" w:rsidR="00783679" w:rsidRPr="00783679" w:rsidRDefault="00783679" w:rsidP="009A1F48">
            <w:pPr>
              <w:spacing w:after="0" w:line="240" w:lineRule="auto"/>
              <w:jc w:val="right"/>
              <w:rPr>
                <w:rFonts w:ascii="Arial" w:hAnsi="Arial" w:cs="Arial"/>
                <w:b/>
                <w:bCs/>
                <w:color w:val="000000"/>
                <w:sz w:val="16"/>
                <w:szCs w:val="16"/>
              </w:rPr>
            </w:pPr>
            <w:r w:rsidRPr="00783679">
              <w:rPr>
                <w:rFonts w:ascii="Arial" w:hAnsi="Arial" w:cs="Arial"/>
                <w:b/>
                <w:bCs/>
                <w:color w:val="000000"/>
                <w:sz w:val="16"/>
                <w:szCs w:val="16"/>
              </w:rPr>
              <w:t xml:space="preserve">838 </w:t>
            </w:r>
          </w:p>
        </w:tc>
        <w:tc>
          <w:tcPr>
            <w:tcW w:w="587" w:type="pct"/>
            <w:tcBorders>
              <w:top w:val="single" w:sz="4" w:space="0" w:color="000000"/>
              <w:left w:val="nil"/>
              <w:bottom w:val="single" w:sz="4" w:space="0" w:color="000000"/>
              <w:right w:val="nil"/>
            </w:tcBorders>
            <w:shd w:val="clear" w:color="auto" w:fill="auto"/>
            <w:noWrap/>
            <w:vAlign w:val="bottom"/>
            <w:hideMark/>
          </w:tcPr>
          <w:p w14:paraId="3A8B19D2" w14:textId="77777777" w:rsidR="00783679" w:rsidRPr="00783679" w:rsidRDefault="00783679" w:rsidP="009A1F48">
            <w:pPr>
              <w:spacing w:after="0" w:line="240" w:lineRule="auto"/>
              <w:jc w:val="right"/>
              <w:rPr>
                <w:rFonts w:ascii="Arial" w:hAnsi="Arial" w:cs="Arial"/>
                <w:b/>
                <w:bCs/>
                <w:color w:val="000000"/>
                <w:sz w:val="16"/>
                <w:szCs w:val="16"/>
              </w:rPr>
            </w:pPr>
            <w:r w:rsidRPr="00783679">
              <w:rPr>
                <w:rFonts w:ascii="Arial" w:hAnsi="Arial" w:cs="Arial"/>
                <w:b/>
                <w:bCs/>
                <w:color w:val="000000"/>
                <w:sz w:val="16"/>
                <w:szCs w:val="16"/>
              </w:rPr>
              <w:t xml:space="preserve">844 </w:t>
            </w:r>
          </w:p>
        </w:tc>
        <w:tc>
          <w:tcPr>
            <w:tcW w:w="587" w:type="pct"/>
            <w:tcBorders>
              <w:top w:val="single" w:sz="4" w:space="0" w:color="000000"/>
              <w:left w:val="nil"/>
              <w:bottom w:val="single" w:sz="4" w:space="0" w:color="000000"/>
              <w:right w:val="nil"/>
            </w:tcBorders>
            <w:shd w:val="clear" w:color="auto" w:fill="auto"/>
            <w:noWrap/>
            <w:vAlign w:val="bottom"/>
            <w:hideMark/>
          </w:tcPr>
          <w:p w14:paraId="056A688E" w14:textId="77777777" w:rsidR="00783679" w:rsidRPr="00783679" w:rsidRDefault="00783679" w:rsidP="009A1F48">
            <w:pPr>
              <w:spacing w:after="0" w:line="240" w:lineRule="auto"/>
              <w:jc w:val="right"/>
              <w:rPr>
                <w:rFonts w:ascii="Arial" w:hAnsi="Arial" w:cs="Arial"/>
                <w:b/>
                <w:bCs/>
                <w:color w:val="000000"/>
                <w:sz w:val="16"/>
                <w:szCs w:val="16"/>
              </w:rPr>
            </w:pPr>
            <w:r w:rsidRPr="00783679">
              <w:rPr>
                <w:rFonts w:ascii="Arial" w:hAnsi="Arial" w:cs="Arial"/>
                <w:b/>
                <w:bCs/>
                <w:color w:val="000000"/>
                <w:sz w:val="16"/>
                <w:szCs w:val="16"/>
              </w:rPr>
              <w:t xml:space="preserve">850 </w:t>
            </w:r>
          </w:p>
        </w:tc>
      </w:tr>
      <w:tr w:rsidR="00783679" w:rsidRPr="00783679" w14:paraId="45578656" w14:textId="77777777" w:rsidTr="009A1F48">
        <w:trPr>
          <w:trHeight w:hRule="exact" w:val="435"/>
        </w:trPr>
        <w:tc>
          <w:tcPr>
            <w:tcW w:w="2067" w:type="pct"/>
            <w:tcBorders>
              <w:top w:val="nil"/>
              <w:left w:val="nil"/>
              <w:bottom w:val="nil"/>
              <w:right w:val="nil"/>
            </w:tcBorders>
            <w:shd w:val="clear" w:color="auto" w:fill="auto"/>
            <w:vAlign w:val="bottom"/>
            <w:hideMark/>
          </w:tcPr>
          <w:p w14:paraId="6A5BBEB4" w14:textId="77777777" w:rsidR="00783679" w:rsidRPr="00783679" w:rsidRDefault="00783679" w:rsidP="00783679">
            <w:pPr>
              <w:spacing w:after="0" w:line="240" w:lineRule="auto"/>
              <w:jc w:val="left"/>
              <w:rPr>
                <w:rFonts w:ascii="Arial" w:hAnsi="Arial" w:cs="Arial"/>
                <w:b/>
                <w:bCs/>
                <w:sz w:val="16"/>
                <w:szCs w:val="16"/>
              </w:rPr>
            </w:pPr>
            <w:r w:rsidRPr="00783679">
              <w:rPr>
                <w:rFonts w:ascii="Arial" w:hAnsi="Arial" w:cs="Arial"/>
                <w:b/>
                <w:bCs/>
                <w:sz w:val="16"/>
                <w:szCs w:val="16"/>
              </w:rPr>
              <w:t>PURCHASE OF NON-FINANCIAL</w:t>
            </w:r>
            <w:r w:rsidRPr="00783679">
              <w:rPr>
                <w:rFonts w:ascii="Arial" w:hAnsi="Arial" w:cs="Arial"/>
                <w:b/>
                <w:bCs/>
                <w:sz w:val="16"/>
                <w:szCs w:val="16"/>
              </w:rPr>
              <w:br/>
              <w:t xml:space="preserve">  ASSETS</w:t>
            </w:r>
          </w:p>
        </w:tc>
        <w:tc>
          <w:tcPr>
            <w:tcW w:w="587" w:type="pct"/>
            <w:tcBorders>
              <w:top w:val="nil"/>
              <w:left w:val="nil"/>
              <w:bottom w:val="nil"/>
              <w:right w:val="nil"/>
            </w:tcBorders>
            <w:shd w:val="clear" w:color="auto" w:fill="auto"/>
            <w:vAlign w:val="bottom"/>
            <w:hideMark/>
          </w:tcPr>
          <w:p w14:paraId="5CAFFB19" w14:textId="77777777" w:rsidR="00783679" w:rsidRPr="00783679" w:rsidRDefault="00783679" w:rsidP="009A1F48">
            <w:pPr>
              <w:spacing w:after="0" w:line="240" w:lineRule="auto"/>
              <w:jc w:val="right"/>
              <w:rPr>
                <w:rFonts w:ascii="Arial" w:hAnsi="Arial" w:cs="Arial"/>
                <w:b/>
                <w:bCs/>
                <w:sz w:val="16"/>
                <w:szCs w:val="16"/>
              </w:rPr>
            </w:pPr>
          </w:p>
        </w:tc>
        <w:tc>
          <w:tcPr>
            <w:tcW w:w="587" w:type="pct"/>
            <w:tcBorders>
              <w:top w:val="nil"/>
              <w:left w:val="nil"/>
              <w:bottom w:val="nil"/>
              <w:right w:val="nil"/>
            </w:tcBorders>
            <w:shd w:val="clear" w:color="000000" w:fill="E6E6E6"/>
            <w:vAlign w:val="bottom"/>
            <w:hideMark/>
          </w:tcPr>
          <w:p w14:paraId="6640C3A6" w14:textId="77777777" w:rsidR="00783679" w:rsidRPr="00783679" w:rsidRDefault="00783679" w:rsidP="009A1F48">
            <w:pPr>
              <w:spacing w:after="0" w:line="240" w:lineRule="auto"/>
              <w:jc w:val="right"/>
              <w:rPr>
                <w:rFonts w:ascii="Arial" w:hAnsi="Arial" w:cs="Arial"/>
                <w:sz w:val="16"/>
                <w:szCs w:val="16"/>
              </w:rPr>
            </w:pPr>
            <w:r w:rsidRPr="00783679">
              <w:rPr>
                <w:rFonts w:ascii="Arial" w:hAnsi="Arial" w:cs="Arial"/>
                <w:sz w:val="16"/>
                <w:szCs w:val="16"/>
              </w:rPr>
              <w:t> </w:t>
            </w:r>
          </w:p>
        </w:tc>
        <w:tc>
          <w:tcPr>
            <w:tcW w:w="587" w:type="pct"/>
            <w:tcBorders>
              <w:top w:val="nil"/>
              <w:left w:val="nil"/>
              <w:bottom w:val="nil"/>
              <w:right w:val="nil"/>
            </w:tcBorders>
            <w:shd w:val="clear" w:color="auto" w:fill="auto"/>
            <w:vAlign w:val="bottom"/>
            <w:hideMark/>
          </w:tcPr>
          <w:p w14:paraId="5D9EA1C7" w14:textId="77777777" w:rsidR="00783679" w:rsidRPr="00783679" w:rsidRDefault="00783679" w:rsidP="009A1F48">
            <w:pPr>
              <w:spacing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vAlign w:val="bottom"/>
            <w:hideMark/>
          </w:tcPr>
          <w:p w14:paraId="29B12D68" w14:textId="77777777" w:rsidR="00783679" w:rsidRPr="00783679" w:rsidRDefault="00783679" w:rsidP="009A1F48">
            <w:pPr>
              <w:spacing w:after="0" w:line="240" w:lineRule="auto"/>
              <w:jc w:val="right"/>
              <w:rPr>
                <w:rFonts w:ascii="Times New Roman" w:hAnsi="Times New Roman"/>
              </w:rPr>
            </w:pPr>
          </w:p>
        </w:tc>
        <w:tc>
          <w:tcPr>
            <w:tcW w:w="587" w:type="pct"/>
            <w:tcBorders>
              <w:top w:val="nil"/>
              <w:left w:val="nil"/>
              <w:bottom w:val="nil"/>
              <w:right w:val="nil"/>
            </w:tcBorders>
            <w:shd w:val="clear" w:color="auto" w:fill="auto"/>
            <w:vAlign w:val="bottom"/>
            <w:hideMark/>
          </w:tcPr>
          <w:p w14:paraId="0D27A7A8" w14:textId="77777777" w:rsidR="00783679" w:rsidRPr="00783679" w:rsidRDefault="00783679" w:rsidP="009A1F48">
            <w:pPr>
              <w:spacing w:after="0" w:line="240" w:lineRule="auto"/>
              <w:jc w:val="right"/>
              <w:rPr>
                <w:rFonts w:ascii="Times New Roman" w:hAnsi="Times New Roman"/>
              </w:rPr>
            </w:pPr>
          </w:p>
        </w:tc>
      </w:tr>
      <w:tr w:rsidR="00783679" w:rsidRPr="00783679" w14:paraId="65F22160" w14:textId="77777777" w:rsidTr="009A1F48">
        <w:trPr>
          <w:trHeight w:hRule="exact" w:val="450"/>
        </w:trPr>
        <w:tc>
          <w:tcPr>
            <w:tcW w:w="2067" w:type="pct"/>
            <w:tcBorders>
              <w:top w:val="nil"/>
              <w:left w:val="nil"/>
              <w:bottom w:val="nil"/>
              <w:right w:val="nil"/>
            </w:tcBorders>
            <w:shd w:val="clear" w:color="auto" w:fill="auto"/>
            <w:vAlign w:val="bottom"/>
            <w:hideMark/>
          </w:tcPr>
          <w:p w14:paraId="49C974D2" w14:textId="77777777" w:rsidR="00783679" w:rsidRPr="00783679" w:rsidRDefault="00783679" w:rsidP="00783679">
            <w:pPr>
              <w:spacing w:after="0" w:line="240" w:lineRule="auto"/>
              <w:ind w:left="170"/>
              <w:jc w:val="left"/>
              <w:rPr>
                <w:rFonts w:ascii="Arial" w:hAnsi="Arial" w:cs="Arial"/>
                <w:sz w:val="16"/>
                <w:szCs w:val="16"/>
              </w:rPr>
            </w:pPr>
            <w:r w:rsidRPr="00783679">
              <w:rPr>
                <w:rFonts w:ascii="Arial" w:hAnsi="Arial" w:cs="Arial"/>
                <w:sz w:val="16"/>
                <w:szCs w:val="16"/>
              </w:rPr>
              <w:t>Funded by capital appropriation -</w:t>
            </w:r>
            <w:r w:rsidRPr="00783679">
              <w:rPr>
                <w:rFonts w:ascii="Arial" w:hAnsi="Arial" w:cs="Arial"/>
                <w:sz w:val="16"/>
                <w:szCs w:val="16"/>
              </w:rPr>
              <w:br/>
              <w:t xml:space="preserve">  DCB (a)</w:t>
            </w:r>
          </w:p>
        </w:tc>
        <w:tc>
          <w:tcPr>
            <w:tcW w:w="587" w:type="pct"/>
            <w:tcBorders>
              <w:top w:val="nil"/>
              <w:left w:val="nil"/>
              <w:bottom w:val="nil"/>
              <w:right w:val="nil"/>
            </w:tcBorders>
            <w:shd w:val="clear" w:color="auto" w:fill="auto"/>
            <w:noWrap/>
            <w:vAlign w:val="bottom"/>
            <w:hideMark/>
          </w:tcPr>
          <w:p w14:paraId="5093857D" w14:textId="77777777" w:rsidR="00783679" w:rsidRPr="00783679" w:rsidRDefault="00783679" w:rsidP="009A1F48">
            <w:pPr>
              <w:spacing w:after="0" w:line="240" w:lineRule="auto"/>
              <w:jc w:val="right"/>
              <w:rPr>
                <w:rFonts w:ascii="Arial" w:hAnsi="Arial" w:cs="Arial"/>
                <w:sz w:val="16"/>
                <w:szCs w:val="16"/>
              </w:rPr>
            </w:pPr>
            <w:r w:rsidRPr="00783679">
              <w:rPr>
                <w:rFonts w:ascii="Arial" w:hAnsi="Arial" w:cs="Arial"/>
                <w:sz w:val="16"/>
                <w:szCs w:val="16"/>
              </w:rPr>
              <w:t xml:space="preserve">190 </w:t>
            </w:r>
          </w:p>
        </w:tc>
        <w:tc>
          <w:tcPr>
            <w:tcW w:w="587" w:type="pct"/>
            <w:tcBorders>
              <w:top w:val="nil"/>
              <w:left w:val="nil"/>
              <w:bottom w:val="nil"/>
              <w:right w:val="nil"/>
            </w:tcBorders>
            <w:shd w:val="clear" w:color="000000" w:fill="E6E6E6"/>
            <w:noWrap/>
            <w:vAlign w:val="bottom"/>
            <w:hideMark/>
          </w:tcPr>
          <w:p w14:paraId="4674E726" w14:textId="77777777" w:rsidR="00783679" w:rsidRPr="00783679" w:rsidRDefault="00783679" w:rsidP="009A1F48">
            <w:pPr>
              <w:spacing w:after="0" w:line="240" w:lineRule="auto"/>
              <w:jc w:val="right"/>
              <w:rPr>
                <w:rFonts w:ascii="Arial" w:hAnsi="Arial" w:cs="Arial"/>
                <w:sz w:val="16"/>
                <w:szCs w:val="16"/>
              </w:rPr>
            </w:pPr>
            <w:r w:rsidRPr="00783679">
              <w:rPr>
                <w:rFonts w:ascii="Arial" w:hAnsi="Arial" w:cs="Arial"/>
                <w:sz w:val="16"/>
                <w:szCs w:val="16"/>
              </w:rPr>
              <w:t xml:space="preserve">192 </w:t>
            </w:r>
          </w:p>
        </w:tc>
        <w:tc>
          <w:tcPr>
            <w:tcW w:w="587" w:type="pct"/>
            <w:tcBorders>
              <w:top w:val="nil"/>
              <w:left w:val="nil"/>
              <w:bottom w:val="nil"/>
              <w:right w:val="nil"/>
            </w:tcBorders>
            <w:shd w:val="clear" w:color="auto" w:fill="auto"/>
            <w:noWrap/>
            <w:vAlign w:val="bottom"/>
            <w:hideMark/>
          </w:tcPr>
          <w:p w14:paraId="0DD47560" w14:textId="77777777" w:rsidR="00783679" w:rsidRPr="00783679" w:rsidRDefault="00783679" w:rsidP="009A1F48">
            <w:pPr>
              <w:spacing w:after="0" w:line="240" w:lineRule="auto"/>
              <w:jc w:val="right"/>
              <w:rPr>
                <w:rFonts w:ascii="Arial" w:hAnsi="Arial" w:cs="Arial"/>
                <w:sz w:val="16"/>
                <w:szCs w:val="16"/>
              </w:rPr>
            </w:pPr>
            <w:r w:rsidRPr="00783679">
              <w:rPr>
                <w:rFonts w:ascii="Arial" w:hAnsi="Arial" w:cs="Arial"/>
                <w:sz w:val="16"/>
                <w:szCs w:val="16"/>
              </w:rPr>
              <w:t xml:space="preserve">492 </w:t>
            </w:r>
          </w:p>
        </w:tc>
        <w:tc>
          <w:tcPr>
            <w:tcW w:w="587" w:type="pct"/>
            <w:tcBorders>
              <w:top w:val="nil"/>
              <w:left w:val="nil"/>
              <w:bottom w:val="nil"/>
              <w:right w:val="nil"/>
            </w:tcBorders>
            <w:shd w:val="clear" w:color="auto" w:fill="auto"/>
            <w:noWrap/>
            <w:vAlign w:val="bottom"/>
            <w:hideMark/>
          </w:tcPr>
          <w:p w14:paraId="2AA78BD0" w14:textId="77777777" w:rsidR="00783679" w:rsidRPr="00783679" w:rsidRDefault="00783679" w:rsidP="009A1F48">
            <w:pPr>
              <w:spacing w:after="0" w:line="240" w:lineRule="auto"/>
              <w:jc w:val="right"/>
              <w:rPr>
                <w:rFonts w:ascii="Arial" w:hAnsi="Arial" w:cs="Arial"/>
                <w:sz w:val="16"/>
                <w:szCs w:val="16"/>
              </w:rPr>
            </w:pPr>
            <w:r w:rsidRPr="00783679">
              <w:rPr>
                <w:rFonts w:ascii="Arial" w:hAnsi="Arial" w:cs="Arial"/>
                <w:sz w:val="16"/>
                <w:szCs w:val="16"/>
              </w:rPr>
              <w:t xml:space="preserve">797 </w:t>
            </w:r>
          </w:p>
        </w:tc>
        <w:tc>
          <w:tcPr>
            <w:tcW w:w="587" w:type="pct"/>
            <w:tcBorders>
              <w:top w:val="nil"/>
              <w:left w:val="nil"/>
              <w:bottom w:val="nil"/>
              <w:right w:val="nil"/>
            </w:tcBorders>
            <w:shd w:val="clear" w:color="auto" w:fill="auto"/>
            <w:noWrap/>
            <w:vAlign w:val="bottom"/>
            <w:hideMark/>
          </w:tcPr>
          <w:p w14:paraId="78AB7D48" w14:textId="77777777" w:rsidR="00783679" w:rsidRPr="00783679" w:rsidRDefault="00783679" w:rsidP="009A1F48">
            <w:pPr>
              <w:spacing w:after="0" w:line="240" w:lineRule="auto"/>
              <w:jc w:val="right"/>
              <w:rPr>
                <w:rFonts w:ascii="Arial" w:hAnsi="Arial" w:cs="Arial"/>
                <w:sz w:val="16"/>
                <w:szCs w:val="16"/>
              </w:rPr>
            </w:pPr>
            <w:r w:rsidRPr="00783679">
              <w:rPr>
                <w:rFonts w:ascii="Arial" w:hAnsi="Arial" w:cs="Arial"/>
                <w:sz w:val="16"/>
                <w:szCs w:val="16"/>
              </w:rPr>
              <w:t xml:space="preserve">805 </w:t>
            </w:r>
          </w:p>
        </w:tc>
      </w:tr>
      <w:tr w:rsidR="00783679" w:rsidRPr="00783679" w14:paraId="7E56BAC3" w14:textId="77777777" w:rsidTr="009A1F48">
        <w:trPr>
          <w:trHeight w:hRule="exact" w:val="225"/>
        </w:trPr>
        <w:tc>
          <w:tcPr>
            <w:tcW w:w="2067" w:type="pct"/>
            <w:tcBorders>
              <w:top w:val="nil"/>
              <w:left w:val="nil"/>
              <w:bottom w:val="nil"/>
              <w:right w:val="nil"/>
            </w:tcBorders>
            <w:shd w:val="clear" w:color="auto" w:fill="auto"/>
            <w:noWrap/>
            <w:vAlign w:val="bottom"/>
            <w:hideMark/>
          </w:tcPr>
          <w:p w14:paraId="14F74136" w14:textId="77777777" w:rsidR="00783679" w:rsidRPr="00783679" w:rsidRDefault="00783679" w:rsidP="00783679">
            <w:pPr>
              <w:spacing w:after="0" w:line="240" w:lineRule="auto"/>
              <w:jc w:val="left"/>
              <w:rPr>
                <w:rFonts w:ascii="Arial" w:hAnsi="Arial" w:cs="Arial"/>
                <w:b/>
                <w:bCs/>
                <w:sz w:val="16"/>
                <w:szCs w:val="16"/>
              </w:rPr>
            </w:pPr>
            <w:r w:rsidRPr="00783679">
              <w:rPr>
                <w:rFonts w:ascii="Arial" w:hAnsi="Arial" w:cs="Arial"/>
                <w:b/>
                <w:bCs/>
                <w:sz w:val="16"/>
                <w:szCs w:val="16"/>
              </w:rPr>
              <w:t>TOTAL</w:t>
            </w:r>
          </w:p>
        </w:tc>
        <w:tc>
          <w:tcPr>
            <w:tcW w:w="587" w:type="pct"/>
            <w:tcBorders>
              <w:top w:val="single" w:sz="4" w:space="0" w:color="000000"/>
              <w:left w:val="nil"/>
              <w:bottom w:val="single" w:sz="4" w:space="0" w:color="000000"/>
              <w:right w:val="nil"/>
            </w:tcBorders>
            <w:shd w:val="clear" w:color="auto" w:fill="auto"/>
            <w:noWrap/>
            <w:vAlign w:val="bottom"/>
            <w:hideMark/>
          </w:tcPr>
          <w:p w14:paraId="6C8D6638" w14:textId="77777777" w:rsidR="00783679" w:rsidRPr="00783679" w:rsidRDefault="00783679" w:rsidP="009A1F48">
            <w:pPr>
              <w:spacing w:after="0" w:line="240" w:lineRule="auto"/>
              <w:jc w:val="right"/>
              <w:rPr>
                <w:rFonts w:ascii="Arial" w:hAnsi="Arial" w:cs="Arial"/>
                <w:b/>
                <w:bCs/>
                <w:color w:val="000000"/>
                <w:sz w:val="16"/>
                <w:szCs w:val="16"/>
              </w:rPr>
            </w:pPr>
            <w:r w:rsidRPr="00783679">
              <w:rPr>
                <w:rFonts w:ascii="Arial" w:hAnsi="Arial" w:cs="Arial"/>
                <w:b/>
                <w:bCs/>
                <w:color w:val="000000"/>
                <w:sz w:val="16"/>
                <w:szCs w:val="16"/>
              </w:rPr>
              <w:t xml:space="preserve">190 </w:t>
            </w:r>
          </w:p>
        </w:tc>
        <w:tc>
          <w:tcPr>
            <w:tcW w:w="587" w:type="pct"/>
            <w:tcBorders>
              <w:top w:val="single" w:sz="4" w:space="0" w:color="000000"/>
              <w:left w:val="nil"/>
              <w:bottom w:val="single" w:sz="4" w:space="0" w:color="000000"/>
              <w:right w:val="nil"/>
            </w:tcBorders>
            <w:shd w:val="clear" w:color="000000" w:fill="E6E6E6"/>
            <w:noWrap/>
            <w:vAlign w:val="bottom"/>
            <w:hideMark/>
          </w:tcPr>
          <w:p w14:paraId="079755A1" w14:textId="77777777" w:rsidR="00783679" w:rsidRPr="00783679" w:rsidRDefault="00783679" w:rsidP="009A1F48">
            <w:pPr>
              <w:spacing w:after="0" w:line="240" w:lineRule="auto"/>
              <w:jc w:val="right"/>
              <w:rPr>
                <w:rFonts w:ascii="Arial" w:hAnsi="Arial" w:cs="Arial"/>
                <w:b/>
                <w:bCs/>
                <w:color w:val="000000"/>
                <w:sz w:val="16"/>
                <w:szCs w:val="16"/>
              </w:rPr>
            </w:pPr>
            <w:r w:rsidRPr="00783679">
              <w:rPr>
                <w:rFonts w:ascii="Arial" w:hAnsi="Arial" w:cs="Arial"/>
                <w:b/>
                <w:bCs/>
                <w:color w:val="000000"/>
                <w:sz w:val="16"/>
                <w:szCs w:val="16"/>
              </w:rPr>
              <w:t xml:space="preserve">192 </w:t>
            </w:r>
          </w:p>
        </w:tc>
        <w:tc>
          <w:tcPr>
            <w:tcW w:w="587" w:type="pct"/>
            <w:tcBorders>
              <w:top w:val="single" w:sz="4" w:space="0" w:color="000000"/>
              <w:left w:val="nil"/>
              <w:bottom w:val="single" w:sz="4" w:space="0" w:color="000000"/>
              <w:right w:val="nil"/>
            </w:tcBorders>
            <w:shd w:val="clear" w:color="auto" w:fill="auto"/>
            <w:noWrap/>
            <w:vAlign w:val="bottom"/>
            <w:hideMark/>
          </w:tcPr>
          <w:p w14:paraId="53BCA886" w14:textId="77777777" w:rsidR="00783679" w:rsidRPr="00783679" w:rsidRDefault="00783679" w:rsidP="009A1F48">
            <w:pPr>
              <w:spacing w:after="0" w:line="240" w:lineRule="auto"/>
              <w:jc w:val="right"/>
              <w:rPr>
                <w:rFonts w:ascii="Arial" w:hAnsi="Arial" w:cs="Arial"/>
                <w:b/>
                <w:bCs/>
                <w:color w:val="000000"/>
                <w:sz w:val="16"/>
                <w:szCs w:val="16"/>
              </w:rPr>
            </w:pPr>
            <w:r w:rsidRPr="00783679">
              <w:rPr>
                <w:rFonts w:ascii="Arial" w:hAnsi="Arial" w:cs="Arial"/>
                <w:b/>
                <w:bCs/>
                <w:color w:val="000000"/>
                <w:sz w:val="16"/>
                <w:szCs w:val="16"/>
              </w:rPr>
              <w:t xml:space="preserve">492 </w:t>
            </w:r>
          </w:p>
        </w:tc>
        <w:tc>
          <w:tcPr>
            <w:tcW w:w="587" w:type="pct"/>
            <w:tcBorders>
              <w:top w:val="single" w:sz="4" w:space="0" w:color="000000"/>
              <w:left w:val="nil"/>
              <w:bottom w:val="single" w:sz="4" w:space="0" w:color="000000"/>
              <w:right w:val="nil"/>
            </w:tcBorders>
            <w:shd w:val="clear" w:color="auto" w:fill="auto"/>
            <w:noWrap/>
            <w:vAlign w:val="bottom"/>
            <w:hideMark/>
          </w:tcPr>
          <w:p w14:paraId="079A0EE0" w14:textId="77777777" w:rsidR="00783679" w:rsidRPr="00783679" w:rsidRDefault="00783679" w:rsidP="009A1F48">
            <w:pPr>
              <w:spacing w:after="0" w:line="240" w:lineRule="auto"/>
              <w:jc w:val="right"/>
              <w:rPr>
                <w:rFonts w:ascii="Arial" w:hAnsi="Arial" w:cs="Arial"/>
                <w:b/>
                <w:bCs/>
                <w:color w:val="000000"/>
                <w:sz w:val="16"/>
                <w:szCs w:val="16"/>
              </w:rPr>
            </w:pPr>
            <w:r w:rsidRPr="00783679">
              <w:rPr>
                <w:rFonts w:ascii="Arial" w:hAnsi="Arial" w:cs="Arial"/>
                <w:b/>
                <w:bCs/>
                <w:color w:val="000000"/>
                <w:sz w:val="16"/>
                <w:szCs w:val="16"/>
              </w:rPr>
              <w:t xml:space="preserve">797 </w:t>
            </w:r>
          </w:p>
        </w:tc>
        <w:tc>
          <w:tcPr>
            <w:tcW w:w="587" w:type="pct"/>
            <w:tcBorders>
              <w:top w:val="single" w:sz="4" w:space="0" w:color="000000"/>
              <w:left w:val="nil"/>
              <w:bottom w:val="single" w:sz="4" w:space="0" w:color="000000"/>
              <w:right w:val="nil"/>
            </w:tcBorders>
            <w:shd w:val="clear" w:color="auto" w:fill="auto"/>
            <w:noWrap/>
            <w:vAlign w:val="bottom"/>
            <w:hideMark/>
          </w:tcPr>
          <w:p w14:paraId="3C3953F5" w14:textId="77777777" w:rsidR="00783679" w:rsidRPr="00783679" w:rsidRDefault="00783679" w:rsidP="009A1F48">
            <w:pPr>
              <w:spacing w:after="0" w:line="240" w:lineRule="auto"/>
              <w:jc w:val="right"/>
              <w:rPr>
                <w:rFonts w:ascii="Arial" w:hAnsi="Arial" w:cs="Arial"/>
                <w:b/>
                <w:bCs/>
                <w:color w:val="000000"/>
                <w:sz w:val="16"/>
                <w:szCs w:val="16"/>
              </w:rPr>
            </w:pPr>
            <w:r w:rsidRPr="00783679">
              <w:rPr>
                <w:rFonts w:ascii="Arial" w:hAnsi="Arial" w:cs="Arial"/>
                <w:b/>
                <w:bCs/>
                <w:color w:val="000000"/>
                <w:sz w:val="16"/>
                <w:szCs w:val="16"/>
              </w:rPr>
              <w:t xml:space="preserve">805 </w:t>
            </w:r>
          </w:p>
        </w:tc>
      </w:tr>
      <w:tr w:rsidR="00783679" w:rsidRPr="00783679" w14:paraId="35928508" w14:textId="77777777" w:rsidTr="009A1F48">
        <w:trPr>
          <w:trHeight w:hRule="exact" w:val="750"/>
        </w:trPr>
        <w:tc>
          <w:tcPr>
            <w:tcW w:w="2067" w:type="pct"/>
            <w:tcBorders>
              <w:top w:val="nil"/>
              <w:left w:val="nil"/>
              <w:bottom w:val="nil"/>
              <w:right w:val="nil"/>
            </w:tcBorders>
            <w:shd w:val="clear" w:color="auto" w:fill="auto"/>
            <w:vAlign w:val="bottom"/>
            <w:hideMark/>
          </w:tcPr>
          <w:p w14:paraId="6047C618" w14:textId="77777777" w:rsidR="00783679" w:rsidRPr="00783679" w:rsidRDefault="00783679" w:rsidP="00783679">
            <w:pPr>
              <w:spacing w:after="0" w:line="240" w:lineRule="auto"/>
              <w:jc w:val="left"/>
              <w:rPr>
                <w:rFonts w:ascii="Arial" w:hAnsi="Arial" w:cs="Arial"/>
                <w:b/>
                <w:bCs/>
                <w:sz w:val="16"/>
                <w:szCs w:val="16"/>
              </w:rPr>
            </w:pPr>
            <w:r w:rsidRPr="00783679">
              <w:rPr>
                <w:rFonts w:ascii="Arial" w:hAnsi="Arial" w:cs="Arial"/>
                <w:b/>
                <w:bCs/>
                <w:sz w:val="16"/>
                <w:szCs w:val="16"/>
              </w:rPr>
              <w:t>RECONCILIATION OF CASH USED</w:t>
            </w:r>
            <w:r w:rsidRPr="00783679">
              <w:rPr>
                <w:rFonts w:ascii="Arial" w:hAnsi="Arial" w:cs="Arial"/>
                <w:b/>
                <w:bCs/>
                <w:sz w:val="16"/>
                <w:szCs w:val="16"/>
              </w:rPr>
              <w:br/>
              <w:t xml:space="preserve">  TO ACQUIRE ASSETS TO ASSET</w:t>
            </w:r>
            <w:r w:rsidRPr="00783679">
              <w:rPr>
                <w:rFonts w:ascii="Arial" w:hAnsi="Arial" w:cs="Arial"/>
                <w:b/>
                <w:bCs/>
                <w:sz w:val="16"/>
                <w:szCs w:val="16"/>
              </w:rPr>
              <w:br/>
              <w:t xml:space="preserve">  MOVEMENT TABLE</w:t>
            </w:r>
          </w:p>
        </w:tc>
        <w:tc>
          <w:tcPr>
            <w:tcW w:w="587" w:type="pct"/>
            <w:tcBorders>
              <w:top w:val="nil"/>
              <w:left w:val="nil"/>
              <w:bottom w:val="nil"/>
              <w:right w:val="nil"/>
            </w:tcBorders>
            <w:shd w:val="clear" w:color="auto" w:fill="auto"/>
            <w:noWrap/>
            <w:vAlign w:val="bottom"/>
            <w:hideMark/>
          </w:tcPr>
          <w:p w14:paraId="3C877F47" w14:textId="77777777" w:rsidR="00783679" w:rsidRPr="00783679" w:rsidRDefault="00783679" w:rsidP="009A1F48">
            <w:pPr>
              <w:spacing w:after="0" w:line="240" w:lineRule="auto"/>
              <w:jc w:val="right"/>
              <w:rPr>
                <w:rFonts w:ascii="Arial" w:hAnsi="Arial" w:cs="Arial"/>
                <w:b/>
                <w:bCs/>
                <w:sz w:val="16"/>
                <w:szCs w:val="16"/>
              </w:rPr>
            </w:pPr>
          </w:p>
        </w:tc>
        <w:tc>
          <w:tcPr>
            <w:tcW w:w="587" w:type="pct"/>
            <w:tcBorders>
              <w:top w:val="nil"/>
              <w:left w:val="nil"/>
              <w:bottom w:val="nil"/>
              <w:right w:val="nil"/>
            </w:tcBorders>
            <w:shd w:val="clear" w:color="000000" w:fill="E6E6E6"/>
            <w:noWrap/>
            <w:vAlign w:val="bottom"/>
            <w:hideMark/>
          </w:tcPr>
          <w:p w14:paraId="352AAA99" w14:textId="77777777" w:rsidR="00783679" w:rsidRPr="00783679" w:rsidRDefault="00783679" w:rsidP="009A1F48">
            <w:pPr>
              <w:spacing w:after="0" w:line="240" w:lineRule="auto"/>
              <w:jc w:val="right"/>
              <w:rPr>
                <w:rFonts w:ascii="Arial" w:hAnsi="Arial" w:cs="Arial"/>
                <w:sz w:val="16"/>
                <w:szCs w:val="16"/>
              </w:rPr>
            </w:pPr>
            <w:r w:rsidRPr="00783679">
              <w:rPr>
                <w:rFonts w:ascii="Arial" w:hAnsi="Arial" w:cs="Arial"/>
                <w:sz w:val="16"/>
                <w:szCs w:val="16"/>
              </w:rPr>
              <w:t> </w:t>
            </w:r>
          </w:p>
        </w:tc>
        <w:tc>
          <w:tcPr>
            <w:tcW w:w="587" w:type="pct"/>
            <w:tcBorders>
              <w:top w:val="nil"/>
              <w:left w:val="nil"/>
              <w:bottom w:val="nil"/>
              <w:right w:val="nil"/>
            </w:tcBorders>
            <w:shd w:val="clear" w:color="auto" w:fill="auto"/>
            <w:noWrap/>
            <w:vAlign w:val="bottom"/>
            <w:hideMark/>
          </w:tcPr>
          <w:p w14:paraId="40DF8753" w14:textId="77777777" w:rsidR="00783679" w:rsidRPr="00783679" w:rsidRDefault="00783679" w:rsidP="009A1F48">
            <w:pPr>
              <w:spacing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bottom"/>
            <w:hideMark/>
          </w:tcPr>
          <w:p w14:paraId="5A574987" w14:textId="77777777" w:rsidR="00783679" w:rsidRPr="00783679" w:rsidRDefault="00783679" w:rsidP="009A1F48">
            <w:pPr>
              <w:spacing w:after="0" w:line="240" w:lineRule="auto"/>
              <w:jc w:val="right"/>
              <w:rPr>
                <w:rFonts w:ascii="Times New Roman" w:hAnsi="Times New Roman"/>
              </w:rPr>
            </w:pPr>
          </w:p>
        </w:tc>
        <w:tc>
          <w:tcPr>
            <w:tcW w:w="587" w:type="pct"/>
            <w:tcBorders>
              <w:top w:val="nil"/>
              <w:left w:val="nil"/>
              <w:bottom w:val="nil"/>
              <w:right w:val="nil"/>
            </w:tcBorders>
            <w:shd w:val="clear" w:color="auto" w:fill="auto"/>
            <w:noWrap/>
            <w:vAlign w:val="bottom"/>
            <w:hideMark/>
          </w:tcPr>
          <w:p w14:paraId="61AC99BB" w14:textId="77777777" w:rsidR="00783679" w:rsidRPr="00783679" w:rsidRDefault="00783679" w:rsidP="009A1F48">
            <w:pPr>
              <w:spacing w:after="0" w:line="240" w:lineRule="auto"/>
              <w:jc w:val="right"/>
              <w:rPr>
                <w:rFonts w:ascii="Times New Roman" w:hAnsi="Times New Roman"/>
              </w:rPr>
            </w:pPr>
          </w:p>
        </w:tc>
      </w:tr>
      <w:tr w:rsidR="00783679" w:rsidRPr="00783679" w14:paraId="2D92C02A" w14:textId="77777777" w:rsidTr="009A1F48">
        <w:trPr>
          <w:trHeight w:hRule="exact" w:val="225"/>
        </w:trPr>
        <w:tc>
          <w:tcPr>
            <w:tcW w:w="2067" w:type="pct"/>
            <w:tcBorders>
              <w:top w:val="nil"/>
              <w:left w:val="nil"/>
              <w:bottom w:val="nil"/>
              <w:right w:val="nil"/>
            </w:tcBorders>
            <w:shd w:val="clear" w:color="auto" w:fill="auto"/>
            <w:noWrap/>
            <w:vAlign w:val="bottom"/>
            <w:hideMark/>
          </w:tcPr>
          <w:p w14:paraId="51066589" w14:textId="77777777" w:rsidR="00783679" w:rsidRPr="00783679" w:rsidRDefault="00783679" w:rsidP="00783679">
            <w:pPr>
              <w:spacing w:after="0" w:line="240" w:lineRule="auto"/>
              <w:ind w:left="170"/>
              <w:jc w:val="left"/>
              <w:rPr>
                <w:rFonts w:ascii="Arial" w:hAnsi="Arial" w:cs="Arial"/>
                <w:sz w:val="16"/>
                <w:szCs w:val="16"/>
              </w:rPr>
            </w:pPr>
            <w:r w:rsidRPr="00783679">
              <w:rPr>
                <w:rFonts w:ascii="Arial" w:hAnsi="Arial" w:cs="Arial"/>
                <w:sz w:val="16"/>
                <w:szCs w:val="16"/>
              </w:rPr>
              <w:t>Total purchases</w:t>
            </w:r>
          </w:p>
        </w:tc>
        <w:tc>
          <w:tcPr>
            <w:tcW w:w="587" w:type="pct"/>
            <w:tcBorders>
              <w:top w:val="nil"/>
              <w:left w:val="nil"/>
              <w:bottom w:val="nil"/>
              <w:right w:val="nil"/>
            </w:tcBorders>
            <w:shd w:val="clear" w:color="auto" w:fill="auto"/>
            <w:noWrap/>
            <w:vAlign w:val="bottom"/>
            <w:hideMark/>
          </w:tcPr>
          <w:p w14:paraId="7D722C9B" w14:textId="77777777" w:rsidR="00783679" w:rsidRPr="00783679" w:rsidRDefault="00783679" w:rsidP="009A1F48">
            <w:pPr>
              <w:spacing w:after="0" w:line="240" w:lineRule="auto"/>
              <w:jc w:val="right"/>
              <w:rPr>
                <w:rFonts w:ascii="Arial" w:hAnsi="Arial" w:cs="Arial"/>
                <w:sz w:val="16"/>
                <w:szCs w:val="16"/>
              </w:rPr>
            </w:pPr>
            <w:r w:rsidRPr="00783679">
              <w:rPr>
                <w:rFonts w:ascii="Arial" w:hAnsi="Arial" w:cs="Arial"/>
                <w:sz w:val="16"/>
                <w:szCs w:val="16"/>
              </w:rPr>
              <w:t xml:space="preserve">190 </w:t>
            </w:r>
          </w:p>
        </w:tc>
        <w:tc>
          <w:tcPr>
            <w:tcW w:w="587" w:type="pct"/>
            <w:tcBorders>
              <w:top w:val="nil"/>
              <w:left w:val="nil"/>
              <w:bottom w:val="single" w:sz="4" w:space="0" w:color="auto"/>
              <w:right w:val="nil"/>
            </w:tcBorders>
            <w:shd w:val="clear" w:color="000000" w:fill="E6E6E6"/>
            <w:noWrap/>
            <w:vAlign w:val="bottom"/>
            <w:hideMark/>
          </w:tcPr>
          <w:p w14:paraId="20262F78" w14:textId="77777777" w:rsidR="00783679" w:rsidRPr="00783679" w:rsidRDefault="00783679" w:rsidP="009A1F48">
            <w:pPr>
              <w:spacing w:after="0" w:line="240" w:lineRule="auto"/>
              <w:jc w:val="right"/>
              <w:rPr>
                <w:rFonts w:ascii="Arial" w:hAnsi="Arial" w:cs="Arial"/>
                <w:b/>
                <w:bCs/>
                <w:color w:val="000000"/>
                <w:sz w:val="16"/>
                <w:szCs w:val="16"/>
              </w:rPr>
            </w:pPr>
            <w:r w:rsidRPr="00783679">
              <w:rPr>
                <w:rFonts w:ascii="Arial" w:hAnsi="Arial" w:cs="Arial"/>
                <w:b/>
                <w:bCs/>
                <w:color w:val="000000"/>
                <w:sz w:val="16"/>
                <w:szCs w:val="16"/>
              </w:rPr>
              <w:t xml:space="preserve">192 </w:t>
            </w:r>
          </w:p>
        </w:tc>
        <w:tc>
          <w:tcPr>
            <w:tcW w:w="587" w:type="pct"/>
            <w:tcBorders>
              <w:top w:val="nil"/>
              <w:left w:val="nil"/>
              <w:bottom w:val="nil"/>
              <w:right w:val="nil"/>
            </w:tcBorders>
            <w:shd w:val="clear" w:color="auto" w:fill="auto"/>
            <w:noWrap/>
            <w:vAlign w:val="bottom"/>
            <w:hideMark/>
          </w:tcPr>
          <w:p w14:paraId="73F7DD7E" w14:textId="77777777" w:rsidR="00783679" w:rsidRPr="00783679" w:rsidRDefault="00783679" w:rsidP="009A1F48">
            <w:pPr>
              <w:spacing w:after="0" w:line="240" w:lineRule="auto"/>
              <w:jc w:val="right"/>
              <w:rPr>
                <w:rFonts w:ascii="Arial" w:hAnsi="Arial" w:cs="Arial"/>
                <w:sz w:val="16"/>
                <w:szCs w:val="16"/>
              </w:rPr>
            </w:pPr>
            <w:r w:rsidRPr="00783679">
              <w:rPr>
                <w:rFonts w:ascii="Arial" w:hAnsi="Arial" w:cs="Arial"/>
                <w:sz w:val="16"/>
                <w:szCs w:val="16"/>
              </w:rPr>
              <w:t xml:space="preserve">492 </w:t>
            </w:r>
          </w:p>
        </w:tc>
        <w:tc>
          <w:tcPr>
            <w:tcW w:w="587" w:type="pct"/>
            <w:tcBorders>
              <w:top w:val="nil"/>
              <w:left w:val="nil"/>
              <w:bottom w:val="nil"/>
              <w:right w:val="nil"/>
            </w:tcBorders>
            <w:shd w:val="clear" w:color="auto" w:fill="auto"/>
            <w:noWrap/>
            <w:vAlign w:val="bottom"/>
            <w:hideMark/>
          </w:tcPr>
          <w:p w14:paraId="06F90EE2" w14:textId="77777777" w:rsidR="00783679" w:rsidRPr="00783679" w:rsidRDefault="00783679" w:rsidP="009A1F48">
            <w:pPr>
              <w:spacing w:after="0" w:line="240" w:lineRule="auto"/>
              <w:jc w:val="right"/>
              <w:rPr>
                <w:rFonts w:ascii="Arial" w:hAnsi="Arial" w:cs="Arial"/>
                <w:sz w:val="16"/>
                <w:szCs w:val="16"/>
              </w:rPr>
            </w:pPr>
            <w:r w:rsidRPr="00783679">
              <w:rPr>
                <w:rFonts w:ascii="Arial" w:hAnsi="Arial" w:cs="Arial"/>
                <w:sz w:val="16"/>
                <w:szCs w:val="16"/>
              </w:rPr>
              <w:t xml:space="preserve">797 </w:t>
            </w:r>
          </w:p>
        </w:tc>
        <w:tc>
          <w:tcPr>
            <w:tcW w:w="587" w:type="pct"/>
            <w:tcBorders>
              <w:top w:val="nil"/>
              <w:left w:val="nil"/>
              <w:bottom w:val="nil"/>
              <w:right w:val="nil"/>
            </w:tcBorders>
            <w:shd w:val="clear" w:color="auto" w:fill="auto"/>
            <w:noWrap/>
            <w:vAlign w:val="bottom"/>
            <w:hideMark/>
          </w:tcPr>
          <w:p w14:paraId="1BBC9AFE" w14:textId="77777777" w:rsidR="00783679" w:rsidRPr="00783679" w:rsidRDefault="00783679" w:rsidP="009A1F48">
            <w:pPr>
              <w:spacing w:after="0" w:line="240" w:lineRule="auto"/>
              <w:jc w:val="right"/>
              <w:rPr>
                <w:rFonts w:ascii="Arial" w:hAnsi="Arial" w:cs="Arial"/>
                <w:sz w:val="16"/>
                <w:szCs w:val="16"/>
              </w:rPr>
            </w:pPr>
            <w:r w:rsidRPr="00783679">
              <w:rPr>
                <w:rFonts w:ascii="Arial" w:hAnsi="Arial" w:cs="Arial"/>
                <w:sz w:val="16"/>
                <w:szCs w:val="16"/>
              </w:rPr>
              <w:t xml:space="preserve">805 </w:t>
            </w:r>
          </w:p>
        </w:tc>
      </w:tr>
      <w:tr w:rsidR="00783679" w:rsidRPr="00783679" w14:paraId="1B1F0E40" w14:textId="77777777" w:rsidTr="009A1F48">
        <w:trPr>
          <w:trHeight w:hRule="exact" w:val="225"/>
        </w:trPr>
        <w:tc>
          <w:tcPr>
            <w:tcW w:w="2067" w:type="pct"/>
            <w:tcBorders>
              <w:top w:val="nil"/>
              <w:left w:val="nil"/>
              <w:bottom w:val="single" w:sz="4" w:space="0" w:color="auto"/>
              <w:right w:val="nil"/>
            </w:tcBorders>
            <w:shd w:val="clear" w:color="auto" w:fill="auto"/>
            <w:vAlign w:val="bottom"/>
            <w:hideMark/>
          </w:tcPr>
          <w:p w14:paraId="71E2E671" w14:textId="77777777" w:rsidR="00783679" w:rsidRPr="00783679" w:rsidRDefault="00783679" w:rsidP="00783679">
            <w:pPr>
              <w:spacing w:after="0" w:line="240" w:lineRule="auto"/>
              <w:jc w:val="left"/>
              <w:rPr>
                <w:rFonts w:ascii="Arial" w:hAnsi="Arial" w:cs="Arial"/>
                <w:b/>
                <w:bCs/>
                <w:sz w:val="16"/>
                <w:szCs w:val="16"/>
              </w:rPr>
            </w:pPr>
            <w:r w:rsidRPr="00783679">
              <w:rPr>
                <w:rFonts w:ascii="Arial" w:hAnsi="Arial" w:cs="Arial"/>
                <w:b/>
                <w:bCs/>
                <w:sz w:val="16"/>
                <w:szCs w:val="16"/>
              </w:rPr>
              <w:t>Total cash used to acquire assets</w:t>
            </w:r>
          </w:p>
        </w:tc>
        <w:tc>
          <w:tcPr>
            <w:tcW w:w="587" w:type="pct"/>
            <w:tcBorders>
              <w:top w:val="single" w:sz="4" w:space="0" w:color="000000"/>
              <w:left w:val="nil"/>
              <w:bottom w:val="single" w:sz="4" w:space="0" w:color="000000"/>
              <w:right w:val="nil"/>
            </w:tcBorders>
            <w:shd w:val="clear" w:color="auto" w:fill="auto"/>
            <w:noWrap/>
            <w:vAlign w:val="bottom"/>
            <w:hideMark/>
          </w:tcPr>
          <w:p w14:paraId="28AF7F6E" w14:textId="77777777" w:rsidR="00783679" w:rsidRPr="00783679" w:rsidRDefault="00783679" w:rsidP="009A1F48">
            <w:pPr>
              <w:spacing w:after="0" w:line="240" w:lineRule="auto"/>
              <w:jc w:val="right"/>
              <w:rPr>
                <w:rFonts w:ascii="Arial" w:hAnsi="Arial" w:cs="Arial"/>
                <w:b/>
                <w:bCs/>
                <w:color w:val="000000"/>
                <w:sz w:val="16"/>
                <w:szCs w:val="16"/>
              </w:rPr>
            </w:pPr>
            <w:r w:rsidRPr="00783679">
              <w:rPr>
                <w:rFonts w:ascii="Arial" w:hAnsi="Arial" w:cs="Arial"/>
                <w:b/>
                <w:bCs/>
                <w:color w:val="000000"/>
                <w:sz w:val="16"/>
                <w:szCs w:val="16"/>
              </w:rPr>
              <w:t xml:space="preserve">190 </w:t>
            </w:r>
          </w:p>
        </w:tc>
        <w:tc>
          <w:tcPr>
            <w:tcW w:w="587" w:type="pct"/>
            <w:tcBorders>
              <w:top w:val="nil"/>
              <w:left w:val="nil"/>
              <w:bottom w:val="single" w:sz="4" w:space="0" w:color="000000"/>
              <w:right w:val="nil"/>
            </w:tcBorders>
            <w:shd w:val="clear" w:color="000000" w:fill="E6E6E6"/>
            <w:noWrap/>
            <w:vAlign w:val="bottom"/>
            <w:hideMark/>
          </w:tcPr>
          <w:p w14:paraId="6FB85488" w14:textId="77777777" w:rsidR="00783679" w:rsidRPr="00783679" w:rsidRDefault="00783679" w:rsidP="009A1F48">
            <w:pPr>
              <w:spacing w:after="0" w:line="240" w:lineRule="auto"/>
              <w:jc w:val="right"/>
              <w:rPr>
                <w:rFonts w:ascii="Arial" w:hAnsi="Arial" w:cs="Arial"/>
                <w:b/>
                <w:bCs/>
                <w:color w:val="000000"/>
                <w:sz w:val="16"/>
                <w:szCs w:val="16"/>
              </w:rPr>
            </w:pPr>
            <w:r w:rsidRPr="00783679">
              <w:rPr>
                <w:rFonts w:ascii="Arial" w:hAnsi="Arial" w:cs="Arial"/>
                <w:b/>
                <w:bCs/>
                <w:color w:val="000000"/>
                <w:sz w:val="16"/>
                <w:szCs w:val="16"/>
              </w:rPr>
              <w:t xml:space="preserve">192 </w:t>
            </w:r>
          </w:p>
        </w:tc>
        <w:tc>
          <w:tcPr>
            <w:tcW w:w="587" w:type="pct"/>
            <w:tcBorders>
              <w:top w:val="single" w:sz="4" w:space="0" w:color="000000"/>
              <w:left w:val="nil"/>
              <w:bottom w:val="single" w:sz="4" w:space="0" w:color="000000"/>
              <w:right w:val="nil"/>
            </w:tcBorders>
            <w:shd w:val="clear" w:color="auto" w:fill="auto"/>
            <w:noWrap/>
            <w:vAlign w:val="bottom"/>
            <w:hideMark/>
          </w:tcPr>
          <w:p w14:paraId="0D8FE0BE" w14:textId="77777777" w:rsidR="00783679" w:rsidRPr="00783679" w:rsidRDefault="00783679" w:rsidP="009A1F48">
            <w:pPr>
              <w:spacing w:after="0" w:line="240" w:lineRule="auto"/>
              <w:jc w:val="right"/>
              <w:rPr>
                <w:rFonts w:ascii="Arial" w:hAnsi="Arial" w:cs="Arial"/>
                <w:b/>
                <w:bCs/>
                <w:color w:val="000000"/>
                <w:sz w:val="16"/>
                <w:szCs w:val="16"/>
              </w:rPr>
            </w:pPr>
            <w:r w:rsidRPr="00783679">
              <w:rPr>
                <w:rFonts w:ascii="Arial" w:hAnsi="Arial" w:cs="Arial"/>
                <w:b/>
                <w:bCs/>
                <w:color w:val="000000"/>
                <w:sz w:val="16"/>
                <w:szCs w:val="16"/>
              </w:rPr>
              <w:t xml:space="preserve">492 </w:t>
            </w:r>
          </w:p>
        </w:tc>
        <w:tc>
          <w:tcPr>
            <w:tcW w:w="587" w:type="pct"/>
            <w:tcBorders>
              <w:top w:val="single" w:sz="4" w:space="0" w:color="000000"/>
              <w:left w:val="nil"/>
              <w:bottom w:val="single" w:sz="4" w:space="0" w:color="000000"/>
              <w:right w:val="nil"/>
            </w:tcBorders>
            <w:shd w:val="clear" w:color="auto" w:fill="auto"/>
            <w:noWrap/>
            <w:vAlign w:val="bottom"/>
            <w:hideMark/>
          </w:tcPr>
          <w:p w14:paraId="63AD8BE6" w14:textId="77777777" w:rsidR="00783679" w:rsidRPr="00783679" w:rsidRDefault="00783679" w:rsidP="009A1F48">
            <w:pPr>
              <w:spacing w:after="0" w:line="240" w:lineRule="auto"/>
              <w:jc w:val="right"/>
              <w:rPr>
                <w:rFonts w:ascii="Arial" w:hAnsi="Arial" w:cs="Arial"/>
                <w:b/>
                <w:bCs/>
                <w:color w:val="000000"/>
                <w:sz w:val="16"/>
                <w:szCs w:val="16"/>
              </w:rPr>
            </w:pPr>
            <w:r w:rsidRPr="00783679">
              <w:rPr>
                <w:rFonts w:ascii="Arial" w:hAnsi="Arial" w:cs="Arial"/>
                <w:b/>
                <w:bCs/>
                <w:color w:val="000000"/>
                <w:sz w:val="16"/>
                <w:szCs w:val="16"/>
              </w:rPr>
              <w:t xml:space="preserve">797 </w:t>
            </w:r>
          </w:p>
        </w:tc>
        <w:tc>
          <w:tcPr>
            <w:tcW w:w="587" w:type="pct"/>
            <w:tcBorders>
              <w:top w:val="single" w:sz="4" w:space="0" w:color="000000"/>
              <w:left w:val="nil"/>
              <w:bottom w:val="single" w:sz="4" w:space="0" w:color="000000"/>
              <w:right w:val="nil"/>
            </w:tcBorders>
            <w:shd w:val="clear" w:color="auto" w:fill="auto"/>
            <w:noWrap/>
            <w:vAlign w:val="bottom"/>
            <w:hideMark/>
          </w:tcPr>
          <w:p w14:paraId="13DCDD36" w14:textId="77777777" w:rsidR="00783679" w:rsidRPr="00783679" w:rsidRDefault="00783679" w:rsidP="009A1F48">
            <w:pPr>
              <w:spacing w:after="0" w:line="240" w:lineRule="auto"/>
              <w:jc w:val="right"/>
              <w:rPr>
                <w:rFonts w:ascii="Arial" w:hAnsi="Arial" w:cs="Arial"/>
                <w:b/>
                <w:bCs/>
                <w:color w:val="000000"/>
                <w:sz w:val="16"/>
                <w:szCs w:val="16"/>
              </w:rPr>
            </w:pPr>
            <w:r w:rsidRPr="00783679">
              <w:rPr>
                <w:rFonts w:ascii="Arial" w:hAnsi="Arial" w:cs="Arial"/>
                <w:b/>
                <w:bCs/>
                <w:color w:val="000000"/>
                <w:sz w:val="16"/>
                <w:szCs w:val="16"/>
              </w:rPr>
              <w:t xml:space="preserve">805 </w:t>
            </w:r>
          </w:p>
        </w:tc>
      </w:tr>
    </w:tbl>
    <w:p w14:paraId="3CBD7AF0" w14:textId="76EB7836" w:rsidR="00430595" w:rsidRPr="00AD7443" w:rsidRDefault="00430595" w:rsidP="00783679">
      <w:pPr>
        <w:pStyle w:val="ChartandTableFootnote"/>
      </w:pPr>
      <w:r w:rsidRPr="00132F9E">
        <w:t>Prepared on Australian Accounting Standards basis.</w:t>
      </w:r>
    </w:p>
    <w:p w14:paraId="5401CC6E" w14:textId="4E870057" w:rsidR="00AD7443" w:rsidRPr="00AD7443" w:rsidRDefault="00AD7443" w:rsidP="003E4D9D">
      <w:pPr>
        <w:pStyle w:val="ChartandTableFootnoteAlpha"/>
        <w:numPr>
          <w:ilvl w:val="0"/>
          <w:numId w:val="11"/>
        </w:numPr>
      </w:pPr>
      <w:r w:rsidRPr="00AD7443">
        <w:t>Include purchases from current and previous year</w:t>
      </w:r>
      <w:r w:rsidR="00E6396A">
        <w:t>’</w:t>
      </w:r>
      <w:r w:rsidRPr="00AD7443">
        <w:t>s Departmental Capital Budget (DCB).</w:t>
      </w:r>
    </w:p>
    <w:p w14:paraId="3941BA7E" w14:textId="4C9C6902" w:rsidR="000A088A" w:rsidRDefault="000A088A">
      <w:pPr>
        <w:spacing w:after="0" w:line="240" w:lineRule="auto"/>
        <w:jc w:val="left"/>
      </w:pPr>
      <w:r>
        <w:br w:type="page"/>
      </w:r>
    </w:p>
    <w:p w14:paraId="49C82477" w14:textId="69C0644C" w:rsidR="00D844FD" w:rsidRPr="00D844FD" w:rsidRDefault="00CC4867" w:rsidP="00870A0F">
      <w:pPr>
        <w:pStyle w:val="TableHeading"/>
        <w:rPr>
          <w:lang w:val="en-AU"/>
        </w:rPr>
      </w:pPr>
      <w:r w:rsidRPr="00D30CBA">
        <w:lastRenderedPageBreak/>
        <w:t>Table</w:t>
      </w:r>
      <w:r w:rsidR="00971CBF">
        <w:t xml:space="preserve"> 3.</w:t>
      </w:r>
      <w:r>
        <w:t>6</w:t>
      </w:r>
      <w:r w:rsidRPr="00D30CBA">
        <w:t xml:space="preserve">: </w:t>
      </w:r>
      <w:r>
        <w:t xml:space="preserve">Statement of </w:t>
      </w:r>
      <w:r w:rsidR="00F10305">
        <w:t xml:space="preserve">asset movements </w:t>
      </w:r>
      <w:r w:rsidR="008A1DDE">
        <w:t>(</w:t>
      </w:r>
      <w:r w:rsidR="00B70C9E">
        <w:t xml:space="preserve">Budget year </w:t>
      </w:r>
      <w:r w:rsidR="009936E6">
        <w:t>202</w:t>
      </w:r>
      <w:r w:rsidR="00726829">
        <w:rPr>
          <w:lang w:val="en-AU"/>
        </w:rPr>
        <w:t>2</w:t>
      </w:r>
      <w:r w:rsidR="00E6396A">
        <w:rPr>
          <w:lang w:val="en-AU"/>
        </w:rPr>
        <w:noBreakHyphen/>
      </w:r>
      <w:r w:rsidR="00726829">
        <w:rPr>
          <w:lang w:val="en-AU"/>
        </w:rPr>
        <w:t>2</w:t>
      </w:r>
      <w:r w:rsidR="00D844FD">
        <w:rPr>
          <w:lang w:val="en-AU"/>
        </w:rPr>
        <w:t>3</w:t>
      </w:r>
      <w:r w:rsidR="00870A0F">
        <w:rPr>
          <w:lang w:val="en-AU"/>
        </w:rPr>
        <w:t>)</w:t>
      </w:r>
      <w:r w:rsidR="00D844FD">
        <w:rPr>
          <w:lang w:val="en-AU"/>
        </w:rPr>
        <w:t xml:space="preserve"> </w:t>
      </w:r>
    </w:p>
    <w:tbl>
      <w:tblPr>
        <w:tblW w:w="5000" w:type="pct"/>
        <w:tblCellMar>
          <w:left w:w="0" w:type="dxa"/>
          <w:right w:w="28" w:type="dxa"/>
        </w:tblCellMar>
        <w:tblLook w:val="04A0" w:firstRow="1" w:lastRow="0" w:firstColumn="1" w:lastColumn="0" w:noHBand="0" w:noVBand="1"/>
      </w:tblPr>
      <w:tblGrid>
        <w:gridCol w:w="3832"/>
        <w:gridCol w:w="970"/>
        <w:gridCol w:w="970"/>
        <w:gridCol w:w="970"/>
        <w:gridCol w:w="968"/>
      </w:tblGrid>
      <w:tr w:rsidR="00D844FD" w:rsidRPr="00D844FD" w14:paraId="0291A379" w14:textId="77777777" w:rsidTr="00D844FD">
        <w:trPr>
          <w:trHeight w:hRule="exact" w:val="1080"/>
        </w:trPr>
        <w:tc>
          <w:tcPr>
            <w:tcW w:w="2485" w:type="pct"/>
            <w:tcBorders>
              <w:top w:val="single" w:sz="4" w:space="0" w:color="auto"/>
              <w:left w:val="nil"/>
              <w:bottom w:val="nil"/>
              <w:right w:val="nil"/>
            </w:tcBorders>
            <w:shd w:val="clear" w:color="auto" w:fill="auto"/>
            <w:noWrap/>
            <w:vAlign w:val="bottom"/>
            <w:hideMark/>
          </w:tcPr>
          <w:p w14:paraId="71831CA3" w14:textId="401A3DF8" w:rsidR="00D844FD" w:rsidRPr="00D844FD" w:rsidRDefault="00D844FD" w:rsidP="00D844FD">
            <w:pPr>
              <w:spacing w:after="0" w:line="240" w:lineRule="auto"/>
              <w:jc w:val="left"/>
              <w:rPr>
                <w:rFonts w:ascii="Arial" w:hAnsi="Arial" w:cs="Arial"/>
                <w:sz w:val="16"/>
                <w:szCs w:val="16"/>
              </w:rPr>
            </w:pPr>
            <w:r w:rsidRPr="00D844FD">
              <w:rPr>
                <w:rFonts w:ascii="Arial" w:hAnsi="Arial" w:cs="Arial"/>
                <w:sz w:val="16"/>
                <w:szCs w:val="16"/>
              </w:rPr>
              <w:t> </w:t>
            </w:r>
          </w:p>
        </w:tc>
        <w:tc>
          <w:tcPr>
            <w:tcW w:w="629" w:type="pct"/>
            <w:tcBorders>
              <w:top w:val="single" w:sz="4" w:space="0" w:color="auto"/>
              <w:left w:val="nil"/>
              <w:bottom w:val="single" w:sz="4" w:space="0" w:color="auto"/>
              <w:right w:val="nil"/>
            </w:tcBorders>
            <w:shd w:val="clear" w:color="auto" w:fill="auto"/>
            <w:vAlign w:val="bottom"/>
            <w:hideMark/>
          </w:tcPr>
          <w:p w14:paraId="4DEEA029"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Buildings</w:t>
            </w:r>
            <w:r w:rsidRPr="00D844FD">
              <w:rPr>
                <w:rFonts w:ascii="Arial" w:hAnsi="Arial" w:cs="Arial"/>
                <w:sz w:val="16"/>
                <w:szCs w:val="16"/>
              </w:rPr>
              <w:br/>
            </w:r>
            <w:r w:rsidRPr="00D844FD">
              <w:rPr>
                <w:rFonts w:ascii="Arial" w:hAnsi="Arial" w:cs="Arial"/>
                <w:sz w:val="16"/>
                <w:szCs w:val="16"/>
              </w:rPr>
              <w:br/>
            </w:r>
            <w:r w:rsidRPr="00D844FD">
              <w:rPr>
                <w:rFonts w:ascii="Arial" w:hAnsi="Arial" w:cs="Arial"/>
                <w:sz w:val="16"/>
                <w:szCs w:val="16"/>
              </w:rPr>
              <w:br/>
            </w:r>
            <w:r w:rsidRPr="00D844FD">
              <w:rPr>
                <w:rFonts w:ascii="Arial" w:hAnsi="Arial" w:cs="Arial"/>
                <w:sz w:val="16"/>
                <w:szCs w:val="16"/>
              </w:rPr>
              <w:br/>
              <w:t>$'000</w:t>
            </w:r>
          </w:p>
        </w:tc>
        <w:tc>
          <w:tcPr>
            <w:tcW w:w="629" w:type="pct"/>
            <w:tcBorders>
              <w:top w:val="single" w:sz="4" w:space="0" w:color="auto"/>
              <w:left w:val="nil"/>
              <w:bottom w:val="single" w:sz="4" w:space="0" w:color="auto"/>
              <w:right w:val="nil"/>
            </w:tcBorders>
            <w:shd w:val="clear" w:color="auto" w:fill="auto"/>
            <w:vAlign w:val="bottom"/>
            <w:hideMark/>
          </w:tcPr>
          <w:p w14:paraId="568323FA"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Other</w:t>
            </w:r>
            <w:r w:rsidRPr="00D844FD">
              <w:rPr>
                <w:rFonts w:ascii="Arial" w:hAnsi="Arial" w:cs="Arial"/>
                <w:sz w:val="16"/>
                <w:szCs w:val="16"/>
              </w:rPr>
              <w:br/>
              <w:t>property,</w:t>
            </w:r>
            <w:r w:rsidRPr="00D844FD">
              <w:rPr>
                <w:rFonts w:ascii="Arial" w:hAnsi="Arial" w:cs="Arial"/>
                <w:sz w:val="16"/>
                <w:szCs w:val="16"/>
              </w:rPr>
              <w:br/>
              <w:t>plant and</w:t>
            </w:r>
            <w:r w:rsidRPr="00D844FD">
              <w:rPr>
                <w:rFonts w:ascii="Arial" w:hAnsi="Arial" w:cs="Arial"/>
                <w:sz w:val="16"/>
                <w:szCs w:val="16"/>
              </w:rPr>
              <w:br/>
              <w:t>equipment</w:t>
            </w:r>
            <w:r w:rsidRPr="00D844FD">
              <w:rPr>
                <w:rFonts w:ascii="Arial" w:hAnsi="Arial" w:cs="Arial"/>
                <w:sz w:val="16"/>
                <w:szCs w:val="16"/>
              </w:rPr>
              <w:br/>
              <w:t>$'000</w:t>
            </w:r>
          </w:p>
        </w:tc>
        <w:tc>
          <w:tcPr>
            <w:tcW w:w="629" w:type="pct"/>
            <w:tcBorders>
              <w:top w:val="single" w:sz="4" w:space="0" w:color="auto"/>
              <w:left w:val="nil"/>
              <w:bottom w:val="single" w:sz="4" w:space="0" w:color="auto"/>
              <w:right w:val="nil"/>
            </w:tcBorders>
            <w:shd w:val="clear" w:color="auto" w:fill="auto"/>
            <w:vAlign w:val="bottom"/>
            <w:hideMark/>
          </w:tcPr>
          <w:p w14:paraId="00081AEC"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Computer</w:t>
            </w:r>
            <w:r w:rsidRPr="00D844FD">
              <w:rPr>
                <w:rFonts w:ascii="Arial" w:hAnsi="Arial" w:cs="Arial"/>
                <w:sz w:val="16"/>
                <w:szCs w:val="16"/>
              </w:rPr>
              <w:br/>
              <w:t>software and</w:t>
            </w:r>
            <w:r w:rsidRPr="00D844FD">
              <w:rPr>
                <w:rFonts w:ascii="Arial" w:hAnsi="Arial" w:cs="Arial"/>
                <w:sz w:val="16"/>
                <w:szCs w:val="16"/>
              </w:rPr>
              <w:br/>
              <w:t>intangibles</w:t>
            </w:r>
            <w:r w:rsidRPr="00D844FD">
              <w:rPr>
                <w:rFonts w:ascii="Arial" w:hAnsi="Arial" w:cs="Arial"/>
                <w:sz w:val="16"/>
                <w:szCs w:val="16"/>
              </w:rPr>
              <w:br/>
            </w:r>
            <w:r w:rsidRPr="00D844FD">
              <w:rPr>
                <w:rFonts w:ascii="Arial" w:hAnsi="Arial" w:cs="Arial"/>
                <w:sz w:val="16"/>
                <w:szCs w:val="16"/>
              </w:rPr>
              <w:br/>
              <w:t>$'000</w:t>
            </w:r>
          </w:p>
        </w:tc>
        <w:tc>
          <w:tcPr>
            <w:tcW w:w="629" w:type="pct"/>
            <w:tcBorders>
              <w:top w:val="single" w:sz="4" w:space="0" w:color="auto"/>
              <w:left w:val="nil"/>
              <w:bottom w:val="single" w:sz="4" w:space="0" w:color="auto"/>
              <w:right w:val="nil"/>
            </w:tcBorders>
            <w:shd w:val="clear" w:color="auto" w:fill="auto"/>
            <w:vAlign w:val="bottom"/>
            <w:hideMark/>
          </w:tcPr>
          <w:p w14:paraId="51FD6ED4"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Total</w:t>
            </w:r>
            <w:r w:rsidRPr="00D844FD">
              <w:rPr>
                <w:rFonts w:ascii="Arial" w:hAnsi="Arial" w:cs="Arial"/>
                <w:sz w:val="16"/>
                <w:szCs w:val="16"/>
              </w:rPr>
              <w:br/>
            </w:r>
            <w:r w:rsidRPr="00D844FD">
              <w:rPr>
                <w:rFonts w:ascii="Arial" w:hAnsi="Arial" w:cs="Arial"/>
                <w:sz w:val="16"/>
                <w:szCs w:val="16"/>
              </w:rPr>
              <w:br/>
            </w:r>
            <w:r w:rsidRPr="00D844FD">
              <w:rPr>
                <w:rFonts w:ascii="Arial" w:hAnsi="Arial" w:cs="Arial"/>
                <w:sz w:val="16"/>
                <w:szCs w:val="16"/>
              </w:rPr>
              <w:br/>
            </w:r>
            <w:r w:rsidRPr="00D844FD">
              <w:rPr>
                <w:rFonts w:ascii="Arial" w:hAnsi="Arial" w:cs="Arial"/>
                <w:sz w:val="16"/>
                <w:szCs w:val="16"/>
              </w:rPr>
              <w:br/>
              <w:t>$'000</w:t>
            </w:r>
          </w:p>
        </w:tc>
      </w:tr>
      <w:tr w:rsidR="00D844FD" w:rsidRPr="00D844FD" w14:paraId="3CCC7ED8" w14:textId="77777777" w:rsidTr="00D844FD">
        <w:trPr>
          <w:trHeight w:hRule="exact" w:val="225"/>
        </w:trPr>
        <w:tc>
          <w:tcPr>
            <w:tcW w:w="2485" w:type="pct"/>
            <w:tcBorders>
              <w:top w:val="nil"/>
              <w:left w:val="nil"/>
              <w:bottom w:val="nil"/>
              <w:right w:val="nil"/>
            </w:tcBorders>
            <w:shd w:val="clear" w:color="auto" w:fill="auto"/>
            <w:vAlign w:val="bottom"/>
            <w:hideMark/>
          </w:tcPr>
          <w:p w14:paraId="2838FBA7" w14:textId="77777777" w:rsidR="00D844FD" w:rsidRPr="00D844FD" w:rsidRDefault="00D844FD" w:rsidP="00D844FD">
            <w:pPr>
              <w:spacing w:after="0" w:line="240" w:lineRule="auto"/>
              <w:jc w:val="left"/>
              <w:rPr>
                <w:rFonts w:ascii="Arial" w:hAnsi="Arial" w:cs="Arial"/>
                <w:b/>
                <w:bCs/>
                <w:sz w:val="16"/>
                <w:szCs w:val="16"/>
              </w:rPr>
            </w:pPr>
            <w:r w:rsidRPr="00D844FD">
              <w:rPr>
                <w:rFonts w:ascii="Arial" w:hAnsi="Arial" w:cs="Arial"/>
                <w:b/>
                <w:bCs/>
                <w:sz w:val="16"/>
                <w:szCs w:val="16"/>
              </w:rPr>
              <w:t>As at 1 July 2022</w:t>
            </w:r>
          </w:p>
        </w:tc>
        <w:tc>
          <w:tcPr>
            <w:tcW w:w="629" w:type="pct"/>
            <w:tcBorders>
              <w:top w:val="nil"/>
              <w:left w:val="nil"/>
              <w:bottom w:val="nil"/>
              <w:right w:val="nil"/>
            </w:tcBorders>
            <w:shd w:val="clear" w:color="auto" w:fill="auto"/>
            <w:noWrap/>
            <w:vAlign w:val="bottom"/>
            <w:hideMark/>
          </w:tcPr>
          <w:p w14:paraId="2D1AECF8" w14:textId="77777777" w:rsidR="00D844FD" w:rsidRPr="00D844FD" w:rsidRDefault="00D844FD" w:rsidP="00D844FD">
            <w:pPr>
              <w:spacing w:after="0" w:line="240" w:lineRule="auto"/>
              <w:jc w:val="left"/>
              <w:rPr>
                <w:rFonts w:ascii="Arial" w:hAnsi="Arial" w:cs="Arial"/>
                <w:b/>
                <w:bCs/>
                <w:sz w:val="16"/>
                <w:szCs w:val="16"/>
              </w:rPr>
            </w:pPr>
          </w:p>
        </w:tc>
        <w:tc>
          <w:tcPr>
            <w:tcW w:w="629" w:type="pct"/>
            <w:tcBorders>
              <w:top w:val="nil"/>
              <w:left w:val="nil"/>
              <w:bottom w:val="nil"/>
              <w:right w:val="nil"/>
            </w:tcBorders>
            <w:shd w:val="clear" w:color="auto" w:fill="auto"/>
            <w:noWrap/>
            <w:vAlign w:val="bottom"/>
            <w:hideMark/>
          </w:tcPr>
          <w:p w14:paraId="7D01B284" w14:textId="77777777" w:rsidR="00D844FD" w:rsidRPr="00D844FD" w:rsidRDefault="00D844FD" w:rsidP="00D844FD">
            <w:pPr>
              <w:spacing w:after="0" w:line="240" w:lineRule="auto"/>
              <w:jc w:val="left"/>
              <w:rPr>
                <w:rFonts w:ascii="Times New Roman" w:hAnsi="Times New Roman"/>
              </w:rPr>
            </w:pPr>
          </w:p>
        </w:tc>
        <w:tc>
          <w:tcPr>
            <w:tcW w:w="629" w:type="pct"/>
            <w:tcBorders>
              <w:top w:val="nil"/>
              <w:left w:val="nil"/>
              <w:bottom w:val="nil"/>
              <w:right w:val="nil"/>
            </w:tcBorders>
            <w:shd w:val="clear" w:color="auto" w:fill="auto"/>
            <w:noWrap/>
            <w:vAlign w:val="bottom"/>
            <w:hideMark/>
          </w:tcPr>
          <w:p w14:paraId="452A7CA5" w14:textId="77777777" w:rsidR="00D844FD" w:rsidRPr="00D844FD" w:rsidRDefault="00D844FD" w:rsidP="00D844FD">
            <w:pPr>
              <w:spacing w:after="0" w:line="240" w:lineRule="auto"/>
              <w:jc w:val="left"/>
              <w:rPr>
                <w:rFonts w:ascii="Times New Roman" w:hAnsi="Times New Roman"/>
              </w:rPr>
            </w:pPr>
          </w:p>
        </w:tc>
        <w:tc>
          <w:tcPr>
            <w:tcW w:w="629" w:type="pct"/>
            <w:tcBorders>
              <w:top w:val="nil"/>
              <w:left w:val="nil"/>
              <w:bottom w:val="nil"/>
              <w:right w:val="nil"/>
            </w:tcBorders>
            <w:shd w:val="clear" w:color="auto" w:fill="auto"/>
            <w:noWrap/>
            <w:vAlign w:val="bottom"/>
            <w:hideMark/>
          </w:tcPr>
          <w:p w14:paraId="09FCA82D" w14:textId="77777777" w:rsidR="00D844FD" w:rsidRPr="00D844FD" w:rsidRDefault="00D844FD" w:rsidP="00D844FD">
            <w:pPr>
              <w:spacing w:after="0" w:line="240" w:lineRule="auto"/>
              <w:jc w:val="left"/>
              <w:rPr>
                <w:rFonts w:ascii="Times New Roman" w:hAnsi="Times New Roman"/>
              </w:rPr>
            </w:pPr>
          </w:p>
        </w:tc>
      </w:tr>
      <w:tr w:rsidR="00D844FD" w:rsidRPr="00D844FD" w14:paraId="63D967F0" w14:textId="77777777" w:rsidTr="00D844FD">
        <w:trPr>
          <w:trHeight w:hRule="exact" w:val="225"/>
        </w:trPr>
        <w:tc>
          <w:tcPr>
            <w:tcW w:w="2485" w:type="pct"/>
            <w:tcBorders>
              <w:top w:val="nil"/>
              <w:left w:val="nil"/>
              <w:bottom w:val="nil"/>
              <w:right w:val="nil"/>
            </w:tcBorders>
            <w:shd w:val="clear" w:color="auto" w:fill="auto"/>
            <w:vAlign w:val="bottom"/>
            <w:hideMark/>
          </w:tcPr>
          <w:p w14:paraId="0C2AFCAA" w14:textId="77777777" w:rsidR="00D844FD" w:rsidRPr="00D844FD" w:rsidRDefault="00D844FD" w:rsidP="00D844FD">
            <w:pPr>
              <w:spacing w:after="0" w:line="240" w:lineRule="auto"/>
              <w:ind w:left="170"/>
              <w:jc w:val="left"/>
              <w:rPr>
                <w:rFonts w:ascii="Arial" w:hAnsi="Arial" w:cs="Arial"/>
                <w:sz w:val="16"/>
                <w:szCs w:val="16"/>
              </w:rPr>
            </w:pPr>
            <w:r w:rsidRPr="00D844FD">
              <w:rPr>
                <w:rFonts w:ascii="Arial" w:hAnsi="Arial" w:cs="Arial"/>
                <w:sz w:val="16"/>
                <w:szCs w:val="16"/>
              </w:rPr>
              <w:t xml:space="preserve">Gross book value </w:t>
            </w:r>
          </w:p>
        </w:tc>
        <w:tc>
          <w:tcPr>
            <w:tcW w:w="629" w:type="pct"/>
            <w:tcBorders>
              <w:top w:val="nil"/>
              <w:left w:val="nil"/>
              <w:bottom w:val="nil"/>
              <w:right w:val="nil"/>
            </w:tcBorders>
            <w:shd w:val="clear" w:color="auto" w:fill="auto"/>
            <w:noWrap/>
            <w:vAlign w:val="bottom"/>
            <w:hideMark/>
          </w:tcPr>
          <w:p w14:paraId="682BB137"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4,456 </w:t>
            </w:r>
          </w:p>
        </w:tc>
        <w:tc>
          <w:tcPr>
            <w:tcW w:w="629" w:type="pct"/>
            <w:tcBorders>
              <w:top w:val="nil"/>
              <w:left w:val="nil"/>
              <w:bottom w:val="nil"/>
              <w:right w:val="nil"/>
            </w:tcBorders>
            <w:shd w:val="clear" w:color="auto" w:fill="auto"/>
            <w:noWrap/>
            <w:vAlign w:val="bottom"/>
            <w:hideMark/>
          </w:tcPr>
          <w:p w14:paraId="6F3A724E"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1,347 </w:t>
            </w:r>
          </w:p>
        </w:tc>
        <w:tc>
          <w:tcPr>
            <w:tcW w:w="629" w:type="pct"/>
            <w:tcBorders>
              <w:top w:val="nil"/>
              <w:left w:val="nil"/>
              <w:bottom w:val="nil"/>
              <w:right w:val="nil"/>
            </w:tcBorders>
            <w:shd w:val="clear" w:color="auto" w:fill="auto"/>
            <w:noWrap/>
            <w:vAlign w:val="bottom"/>
            <w:hideMark/>
          </w:tcPr>
          <w:p w14:paraId="304006AF"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822 </w:t>
            </w:r>
          </w:p>
        </w:tc>
        <w:tc>
          <w:tcPr>
            <w:tcW w:w="629" w:type="pct"/>
            <w:tcBorders>
              <w:top w:val="nil"/>
              <w:left w:val="nil"/>
              <w:bottom w:val="nil"/>
              <w:right w:val="nil"/>
            </w:tcBorders>
            <w:shd w:val="clear" w:color="auto" w:fill="auto"/>
            <w:noWrap/>
            <w:vAlign w:val="bottom"/>
            <w:hideMark/>
          </w:tcPr>
          <w:p w14:paraId="234D343A"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6,625 </w:t>
            </w:r>
          </w:p>
        </w:tc>
      </w:tr>
      <w:tr w:rsidR="00D844FD" w:rsidRPr="00D844FD" w14:paraId="18F5C887" w14:textId="77777777" w:rsidTr="00D844FD">
        <w:trPr>
          <w:trHeight w:hRule="exact" w:val="225"/>
        </w:trPr>
        <w:tc>
          <w:tcPr>
            <w:tcW w:w="2485" w:type="pct"/>
            <w:tcBorders>
              <w:top w:val="nil"/>
              <w:left w:val="nil"/>
              <w:bottom w:val="nil"/>
              <w:right w:val="nil"/>
            </w:tcBorders>
            <w:shd w:val="clear" w:color="auto" w:fill="auto"/>
            <w:noWrap/>
            <w:vAlign w:val="bottom"/>
            <w:hideMark/>
          </w:tcPr>
          <w:p w14:paraId="26755E58" w14:textId="77777777" w:rsidR="00D844FD" w:rsidRPr="00D844FD" w:rsidRDefault="00D844FD" w:rsidP="00D844FD">
            <w:pPr>
              <w:spacing w:after="0" w:line="240" w:lineRule="auto"/>
              <w:ind w:left="170"/>
              <w:jc w:val="left"/>
              <w:rPr>
                <w:rFonts w:ascii="Arial" w:hAnsi="Arial" w:cs="Arial"/>
                <w:sz w:val="16"/>
                <w:szCs w:val="16"/>
              </w:rPr>
            </w:pPr>
            <w:r w:rsidRPr="00D844FD">
              <w:rPr>
                <w:rFonts w:ascii="Arial" w:hAnsi="Arial" w:cs="Arial"/>
                <w:sz w:val="16"/>
                <w:szCs w:val="16"/>
              </w:rPr>
              <w:t>Gross book value - ROU assets</w:t>
            </w:r>
          </w:p>
        </w:tc>
        <w:tc>
          <w:tcPr>
            <w:tcW w:w="629" w:type="pct"/>
            <w:tcBorders>
              <w:top w:val="nil"/>
              <w:left w:val="nil"/>
              <w:bottom w:val="nil"/>
              <w:right w:val="nil"/>
            </w:tcBorders>
            <w:shd w:val="clear" w:color="auto" w:fill="auto"/>
            <w:noWrap/>
            <w:vAlign w:val="bottom"/>
            <w:hideMark/>
          </w:tcPr>
          <w:p w14:paraId="7FB12EFB"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19,839 </w:t>
            </w:r>
          </w:p>
        </w:tc>
        <w:tc>
          <w:tcPr>
            <w:tcW w:w="629" w:type="pct"/>
            <w:tcBorders>
              <w:top w:val="nil"/>
              <w:left w:val="nil"/>
              <w:bottom w:val="nil"/>
              <w:right w:val="nil"/>
            </w:tcBorders>
            <w:shd w:val="clear" w:color="auto" w:fill="auto"/>
            <w:noWrap/>
            <w:vAlign w:val="bottom"/>
            <w:hideMark/>
          </w:tcPr>
          <w:p w14:paraId="4B644B4B"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 </w:t>
            </w:r>
          </w:p>
        </w:tc>
        <w:tc>
          <w:tcPr>
            <w:tcW w:w="629" w:type="pct"/>
            <w:tcBorders>
              <w:top w:val="nil"/>
              <w:left w:val="nil"/>
              <w:bottom w:val="nil"/>
              <w:right w:val="nil"/>
            </w:tcBorders>
            <w:shd w:val="clear" w:color="auto" w:fill="auto"/>
            <w:noWrap/>
            <w:vAlign w:val="bottom"/>
            <w:hideMark/>
          </w:tcPr>
          <w:p w14:paraId="61A95CAD"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 </w:t>
            </w:r>
          </w:p>
        </w:tc>
        <w:tc>
          <w:tcPr>
            <w:tcW w:w="629" w:type="pct"/>
            <w:tcBorders>
              <w:top w:val="nil"/>
              <w:left w:val="nil"/>
              <w:bottom w:val="nil"/>
              <w:right w:val="nil"/>
            </w:tcBorders>
            <w:shd w:val="clear" w:color="auto" w:fill="auto"/>
            <w:noWrap/>
            <w:vAlign w:val="bottom"/>
            <w:hideMark/>
          </w:tcPr>
          <w:p w14:paraId="39555049"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19,839 </w:t>
            </w:r>
          </w:p>
        </w:tc>
      </w:tr>
      <w:tr w:rsidR="00D844FD" w:rsidRPr="00D844FD" w14:paraId="31C17678" w14:textId="77777777" w:rsidTr="00D844FD">
        <w:trPr>
          <w:trHeight w:hRule="exact" w:val="450"/>
        </w:trPr>
        <w:tc>
          <w:tcPr>
            <w:tcW w:w="2485" w:type="pct"/>
            <w:tcBorders>
              <w:top w:val="nil"/>
              <w:left w:val="nil"/>
              <w:bottom w:val="nil"/>
              <w:right w:val="nil"/>
            </w:tcBorders>
            <w:shd w:val="clear" w:color="auto" w:fill="auto"/>
            <w:vAlign w:val="bottom"/>
            <w:hideMark/>
          </w:tcPr>
          <w:p w14:paraId="281AABE0" w14:textId="77777777" w:rsidR="00D844FD" w:rsidRPr="00D844FD" w:rsidRDefault="00D844FD" w:rsidP="00D844FD">
            <w:pPr>
              <w:spacing w:after="0" w:line="240" w:lineRule="auto"/>
              <w:ind w:left="170"/>
              <w:jc w:val="left"/>
              <w:rPr>
                <w:rFonts w:ascii="Arial" w:hAnsi="Arial" w:cs="Arial"/>
                <w:sz w:val="16"/>
                <w:szCs w:val="16"/>
              </w:rPr>
            </w:pPr>
            <w:r w:rsidRPr="00D844FD">
              <w:rPr>
                <w:rFonts w:ascii="Arial" w:hAnsi="Arial" w:cs="Arial"/>
                <w:sz w:val="16"/>
                <w:szCs w:val="16"/>
              </w:rPr>
              <w:t>Accumulated depreciation/</w:t>
            </w:r>
            <w:r w:rsidRPr="00D844FD">
              <w:rPr>
                <w:rFonts w:ascii="Arial" w:hAnsi="Arial" w:cs="Arial"/>
                <w:sz w:val="16"/>
                <w:szCs w:val="16"/>
              </w:rPr>
              <w:br/>
              <w:t>amortisation and impairment</w:t>
            </w:r>
          </w:p>
        </w:tc>
        <w:tc>
          <w:tcPr>
            <w:tcW w:w="629" w:type="pct"/>
            <w:tcBorders>
              <w:top w:val="nil"/>
              <w:left w:val="nil"/>
              <w:bottom w:val="nil"/>
              <w:right w:val="nil"/>
            </w:tcBorders>
            <w:shd w:val="clear" w:color="auto" w:fill="auto"/>
            <w:noWrap/>
            <w:vAlign w:val="bottom"/>
            <w:hideMark/>
          </w:tcPr>
          <w:p w14:paraId="22407922"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(650)</w:t>
            </w:r>
          </w:p>
        </w:tc>
        <w:tc>
          <w:tcPr>
            <w:tcW w:w="629" w:type="pct"/>
            <w:tcBorders>
              <w:top w:val="nil"/>
              <w:left w:val="nil"/>
              <w:bottom w:val="nil"/>
              <w:right w:val="nil"/>
            </w:tcBorders>
            <w:shd w:val="clear" w:color="auto" w:fill="auto"/>
            <w:noWrap/>
            <w:vAlign w:val="bottom"/>
            <w:hideMark/>
          </w:tcPr>
          <w:p w14:paraId="1E73CF24"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(380)</w:t>
            </w:r>
          </w:p>
        </w:tc>
        <w:tc>
          <w:tcPr>
            <w:tcW w:w="629" w:type="pct"/>
            <w:tcBorders>
              <w:top w:val="nil"/>
              <w:left w:val="nil"/>
              <w:bottom w:val="nil"/>
              <w:right w:val="nil"/>
            </w:tcBorders>
            <w:shd w:val="clear" w:color="auto" w:fill="auto"/>
            <w:noWrap/>
            <w:vAlign w:val="bottom"/>
            <w:hideMark/>
          </w:tcPr>
          <w:p w14:paraId="5BDE5DFC"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(752)</w:t>
            </w:r>
          </w:p>
        </w:tc>
        <w:tc>
          <w:tcPr>
            <w:tcW w:w="629" w:type="pct"/>
            <w:tcBorders>
              <w:top w:val="nil"/>
              <w:left w:val="nil"/>
              <w:bottom w:val="nil"/>
              <w:right w:val="nil"/>
            </w:tcBorders>
            <w:shd w:val="clear" w:color="auto" w:fill="auto"/>
            <w:noWrap/>
            <w:vAlign w:val="bottom"/>
            <w:hideMark/>
          </w:tcPr>
          <w:p w14:paraId="7CC87871"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(1,782)</w:t>
            </w:r>
          </w:p>
        </w:tc>
      </w:tr>
      <w:tr w:rsidR="00D844FD" w:rsidRPr="00D844FD" w14:paraId="5AE797CA" w14:textId="77777777" w:rsidTr="00D844FD">
        <w:trPr>
          <w:trHeight w:hRule="exact" w:val="450"/>
        </w:trPr>
        <w:tc>
          <w:tcPr>
            <w:tcW w:w="2485" w:type="pct"/>
            <w:tcBorders>
              <w:top w:val="nil"/>
              <w:left w:val="nil"/>
              <w:bottom w:val="nil"/>
              <w:right w:val="nil"/>
            </w:tcBorders>
            <w:shd w:val="clear" w:color="auto" w:fill="auto"/>
            <w:vAlign w:val="bottom"/>
            <w:hideMark/>
          </w:tcPr>
          <w:p w14:paraId="65EAB754" w14:textId="77777777" w:rsidR="00D844FD" w:rsidRPr="00D844FD" w:rsidRDefault="00D844FD" w:rsidP="00D844FD">
            <w:pPr>
              <w:spacing w:after="0" w:line="240" w:lineRule="auto"/>
              <w:ind w:left="170"/>
              <w:jc w:val="left"/>
              <w:rPr>
                <w:rFonts w:ascii="Arial" w:hAnsi="Arial" w:cs="Arial"/>
                <w:sz w:val="16"/>
                <w:szCs w:val="16"/>
              </w:rPr>
            </w:pPr>
            <w:r w:rsidRPr="00D844FD">
              <w:rPr>
                <w:rFonts w:ascii="Arial" w:hAnsi="Arial" w:cs="Arial"/>
                <w:sz w:val="16"/>
                <w:szCs w:val="16"/>
              </w:rPr>
              <w:t>Accumulated depreciation/amortisation and impairment - ROU assets</w:t>
            </w:r>
          </w:p>
        </w:tc>
        <w:tc>
          <w:tcPr>
            <w:tcW w:w="629" w:type="pct"/>
            <w:tcBorders>
              <w:top w:val="nil"/>
              <w:left w:val="nil"/>
              <w:bottom w:val="nil"/>
              <w:right w:val="nil"/>
            </w:tcBorders>
            <w:shd w:val="clear" w:color="auto" w:fill="auto"/>
            <w:noWrap/>
            <w:vAlign w:val="bottom"/>
            <w:hideMark/>
          </w:tcPr>
          <w:p w14:paraId="7887F445"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(5,058)</w:t>
            </w:r>
          </w:p>
        </w:tc>
        <w:tc>
          <w:tcPr>
            <w:tcW w:w="629" w:type="pct"/>
            <w:tcBorders>
              <w:top w:val="nil"/>
              <w:left w:val="nil"/>
              <w:bottom w:val="nil"/>
              <w:right w:val="nil"/>
            </w:tcBorders>
            <w:shd w:val="clear" w:color="auto" w:fill="auto"/>
            <w:noWrap/>
            <w:vAlign w:val="bottom"/>
            <w:hideMark/>
          </w:tcPr>
          <w:p w14:paraId="12B2E458"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 </w:t>
            </w:r>
          </w:p>
        </w:tc>
        <w:tc>
          <w:tcPr>
            <w:tcW w:w="629" w:type="pct"/>
            <w:tcBorders>
              <w:top w:val="nil"/>
              <w:left w:val="nil"/>
              <w:bottom w:val="nil"/>
              <w:right w:val="nil"/>
            </w:tcBorders>
            <w:shd w:val="clear" w:color="auto" w:fill="auto"/>
            <w:noWrap/>
            <w:vAlign w:val="bottom"/>
            <w:hideMark/>
          </w:tcPr>
          <w:p w14:paraId="73EEBF62"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 </w:t>
            </w:r>
          </w:p>
        </w:tc>
        <w:tc>
          <w:tcPr>
            <w:tcW w:w="629" w:type="pct"/>
            <w:tcBorders>
              <w:top w:val="nil"/>
              <w:left w:val="nil"/>
              <w:bottom w:val="nil"/>
              <w:right w:val="nil"/>
            </w:tcBorders>
            <w:shd w:val="clear" w:color="auto" w:fill="auto"/>
            <w:noWrap/>
            <w:vAlign w:val="bottom"/>
            <w:hideMark/>
          </w:tcPr>
          <w:p w14:paraId="29311461"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(5,058)</w:t>
            </w:r>
          </w:p>
        </w:tc>
      </w:tr>
      <w:tr w:rsidR="00D844FD" w:rsidRPr="00D844FD" w14:paraId="2B7E7620" w14:textId="77777777" w:rsidTr="00D844FD">
        <w:trPr>
          <w:trHeight w:hRule="exact" w:val="225"/>
        </w:trPr>
        <w:tc>
          <w:tcPr>
            <w:tcW w:w="2485" w:type="pct"/>
            <w:tcBorders>
              <w:top w:val="nil"/>
              <w:left w:val="nil"/>
              <w:bottom w:val="nil"/>
              <w:right w:val="nil"/>
            </w:tcBorders>
            <w:shd w:val="clear" w:color="auto" w:fill="auto"/>
            <w:vAlign w:val="bottom"/>
            <w:hideMark/>
          </w:tcPr>
          <w:p w14:paraId="01B71653" w14:textId="77777777" w:rsidR="00D844FD" w:rsidRPr="00D844FD" w:rsidRDefault="00D844FD" w:rsidP="00D844FD">
            <w:pPr>
              <w:spacing w:after="0" w:line="240" w:lineRule="auto"/>
              <w:jc w:val="left"/>
              <w:rPr>
                <w:rFonts w:ascii="Arial" w:hAnsi="Arial" w:cs="Arial"/>
                <w:b/>
                <w:bCs/>
                <w:sz w:val="16"/>
                <w:szCs w:val="16"/>
              </w:rPr>
            </w:pPr>
            <w:r w:rsidRPr="00D844FD">
              <w:rPr>
                <w:rFonts w:ascii="Arial" w:hAnsi="Arial" w:cs="Arial"/>
                <w:b/>
                <w:bCs/>
                <w:sz w:val="16"/>
                <w:szCs w:val="16"/>
              </w:rPr>
              <w:t>Opening net book balance</w:t>
            </w:r>
          </w:p>
        </w:tc>
        <w:tc>
          <w:tcPr>
            <w:tcW w:w="629" w:type="pct"/>
            <w:tcBorders>
              <w:top w:val="single" w:sz="4" w:space="0" w:color="auto"/>
              <w:left w:val="nil"/>
              <w:bottom w:val="single" w:sz="4" w:space="0" w:color="auto"/>
              <w:right w:val="nil"/>
            </w:tcBorders>
            <w:shd w:val="clear" w:color="auto" w:fill="auto"/>
            <w:noWrap/>
            <w:vAlign w:val="bottom"/>
            <w:hideMark/>
          </w:tcPr>
          <w:p w14:paraId="67E01DE1" w14:textId="77777777" w:rsidR="00D844FD" w:rsidRPr="00D844FD" w:rsidRDefault="00D844FD" w:rsidP="00D844FD">
            <w:pPr>
              <w:spacing w:after="0" w:line="240" w:lineRule="auto"/>
              <w:jc w:val="right"/>
              <w:rPr>
                <w:rFonts w:ascii="Arial" w:hAnsi="Arial" w:cs="Arial"/>
                <w:b/>
                <w:bCs/>
                <w:sz w:val="16"/>
                <w:szCs w:val="16"/>
              </w:rPr>
            </w:pPr>
            <w:r w:rsidRPr="00D844FD">
              <w:rPr>
                <w:rFonts w:ascii="Arial" w:hAnsi="Arial" w:cs="Arial"/>
                <w:b/>
                <w:bCs/>
                <w:sz w:val="16"/>
                <w:szCs w:val="16"/>
              </w:rPr>
              <w:t xml:space="preserve">18,587 </w:t>
            </w:r>
          </w:p>
        </w:tc>
        <w:tc>
          <w:tcPr>
            <w:tcW w:w="629" w:type="pct"/>
            <w:tcBorders>
              <w:top w:val="single" w:sz="4" w:space="0" w:color="auto"/>
              <w:left w:val="nil"/>
              <w:bottom w:val="single" w:sz="4" w:space="0" w:color="auto"/>
              <w:right w:val="nil"/>
            </w:tcBorders>
            <w:shd w:val="clear" w:color="auto" w:fill="auto"/>
            <w:noWrap/>
            <w:vAlign w:val="bottom"/>
            <w:hideMark/>
          </w:tcPr>
          <w:p w14:paraId="1BE735A2" w14:textId="77777777" w:rsidR="00D844FD" w:rsidRPr="00D844FD" w:rsidRDefault="00D844FD" w:rsidP="00D844FD">
            <w:pPr>
              <w:spacing w:after="0" w:line="240" w:lineRule="auto"/>
              <w:jc w:val="right"/>
              <w:rPr>
                <w:rFonts w:ascii="Arial" w:hAnsi="Arial" w:cs="Arial"/>
                <w:b/>
                <w:bCs/>
                <w:sz w:val="16"/>
                <w:szCs w:val="16"/>
              </w:rPr>
            </w:pPr>
            <w:r w:rsidRPr="00D844FD">
              <w:rPr>
                <w:rFonts w:ascii="Arial" w:hAnsi="Arial" w:cs="Arial"/>
                <w:b/>
                <w:bCs/>
                <w:sz w:val="16"/>
                <w:szCs w:val="16"/>
              </w:rPr>
              <w:t xml:space="preserve">967 </w:t>
            </w:r>
          </w:p>
        </w:tc>
        <w:tc>
          <w:tcPr>
            <w:tcW w:w="629" w:type="pct"/>
            <w:tcBorders>
              <w:top w:val="single" w:sz="4" w:space="0" w:color="auto"/>
              <w:left w:val="nil"/>
              <w:bottom w:val="single" w:sz="4" w:space="0" w:color="auto"/>
              <w:right w:val="nil"/>
            </w:tcBorders>
            <w:shd w:val="clear" w:color="auto" w:fill="auto"/>
            <w:noWrap/>
            <w:vAlign w:val="bottom"/>
            <w:hideMark/>
          </w:tcPr>
          <w:p w14:paraId="100139C2" w14:textId="77777777" w:rsidR="00D844FD" w:rsidRPr="00D844FD" w:rsidRDefault="00D844FD" w:rsidP="00D844FD">
            <w:pPr>
              <w:spacing w:after="0" w:line="240" w:lineRule="auto"/>
              <w:jc w:val="right"/>
              <w:rPr>
                <w:rFonts w:ascii="Arial" w:hAnsi="Arial" w:cs="Arial"/>
                <w:b/>
                <w:bCs/>
                <w:sz w:val="16"/>
                <w:szCs w:val="16"/>
              </w:rPr>
            </w:pPr>
            <w:r w:rsidRPr="00D844FD">
              <w:rPr>
                <w:rFonts w:ascii="Arial" w:hAnsi="Arial" w:cs="Arial"/>
                <w:b/>
                <w:bCs/>
                <w:sz w:val="16"/>
                <w:szCs w:val="16"/>
              </w:rPr>
              <w:t xml:space="preserve">70 </w:t>
            </w:r>
          </w:p>
        </w:tc>
        <w:tc>
          <w:tcPr>
            <w:tcW w:w="629" w:type="pct"/>
            <w:tcBorders>
              <w:top w:val="single" w:sz="4" w:space="0" w:color="auto"/>
              <w:left w:val="nil"/>
              <w:bottom w:val="single" w:sz="4" w:space="0" w:color="auto"/>
              <w:right w:val="nil"/>
            </w:tcBorders>
            <w:shd w:val="clear" w:color="auto" w:fill="auto"/>
            <w:noWrap/>
            <w:vAlign w:val="bottom"/>
            <w:hideMark/>
          </w:tcPr>
          <w:p w14:paraId="1A1179E8" w14:textId="77777777" w:rsidR="00D844FD" w:rsidRPr="00D844FD" w:rsidRDefault="00D844FD" w:rsidP="00D844FD">
            <w:pPr>
              <w:spacing w:after="0" w:line="240" w:lineRule="auto"/>
              <w:jc w:val="right"/>
              <w:rPr>
                <w:rFonts w:ascii="Arial" w:hAnsi="Arial" w:cs="Arial"/>
                <w:b/>
                <w:bCs/>
                <w:sz w:val="16"/>
                <w:szCs w:val="16"/>
              </w:rPr>
            </w:pPr>
            <w:r w:rsidRPr="00D844FD">
              <w:rPr>
                <w:rFonts w:ascii="Arial" w:hAnsi="Arial" w:cs="Arial"/>
                <w:b/>
                <w:bCs/>
                <w:sz w:val="16"/>
                <w:szCs w:val="16"/>
              </w:rPr>
              <w:t xml:space="preserve">19,624 </w:t>
            </w:r>
          </w:p>
        </w:tc>
      </w:tr>
      <w:tr w:rsidR="00D844FD" w:rsidRPr="00D844FD" w14:paraId="55751A7F" w14:textId="77777777" w:rsidTr="00D844FD">
        <w:trPr>
          <w:trHeight w:hRule="exact" w:val="225"/>
        </w:trPr>
        <w:tc>
          <w:tcPr>
            <w:tcW w:w="2485" w:type="pct"/>
            <w:tcBorders>
              <w:top w:val="nil"/>
              <w:left w:val="nil"/>
              <w:bottom w:val="nil"/>
              <w:right w:val="nil"/>
            </w:tcBorders>
            <w:shd w:val="clear" w:color="auto" w:fill="auto"/>
            <w:vAlign w:val="bottom"/>
            <w:hideMark/>
          </w:tcPr>
          <w:p w14:paraId="2D866FFC" w14:textId="77777777" w:rsidR="00D844FD" w:rsidRPr="00D844FD" w:rsidRDefault="00D844FD" w:rsidP="00D844FD">
            <w:pPr>
              <w:spacing w:after="0" w:line="240" w:lineRule="auto"/>
              <w:jc w:val="left"/>
              <w:rPr>
                <w:rFonts w:ascii="Arial" w:hAnsi="Arial" w:cs="Arial"/>
                <w:b/>
                <w:bCs/>
                <w:sz w:val="16"/>
                <w:szCs w:val="16"/>
              </w:rPr>
            </w:pPr>
            <w:r w:rsidRPr="00D844FD">
              <w:rPr>
                <w:rFonts w:ascii="Arial" w:hAnsi="Arial" w:cs="Arial"/>
                <w:b/>
                <w:bCs/>
                <w:sz w:val="16"/>
                <w:szCs w:val="16"/>
              </w:rPr>
              <w:t>Capital asset additions</w:t>
            </w:r>
          </w:p>
        </w:tc>
        <w:tc>
          <w:tcPr>
            <w:tcW w:w="629" w:type="pct"/>
            <w:tcBorders>
              <w:top w:val="nil"/>
              <w:left w:val="nil"/>
              <w:bottom w:val="nil"/>
              <w:right w:val="nil"/>
            </w:tcBorders>
            <w:shd w:val="clear" w:color="auto" w:fill="auto"/>
            <w:noWrap/>
            <w:vAlign w:val="bottom"/>
            <w:hideMark/>
          </w:tcPr>
          <w:p w14:paraId="1982DF88" w14:textId="77777777" w:rsidR="00D844FD" w:rsidRPr="00D844FD" w:rsidRDefault="00D844FD" w:rsidP="00D844FD">
            <w:pPr>
              <w:spacing w:after="0" w:line="240" w:lineRule="auto"/>
              <w:jc w:val="left"/>
              <w:rPr>
                <w:rFonts w:ascii="Arial" w:hAnsi="Arial" w:cs="Arial"/>
                <w:b/>
                <w:bCs/>
                <w:sz w:val="16"/>
                <w:szCs w:val="16"/>
              </w:rPr>
            </w:pPr>
          </w:p>
        </w:tc>
        <w:tc>
          <w:tcPr>
            <w:tcW w:w="629" w:type="pct"/>
            <w:tcBorders>
              <w:top w:val="nil"/>
              <w:left w:val="nil"/>
              <w:bottom w:val="nil"/>
              <w:right w:val="nil"/>
            </w:tcBorders>
            <w:shd w:val="clear" w:color="auto" w:fill="auto"/>
            <w:noWrap/>
            <w:vAlign w:val="bottom"/>
            <w:hideMark/>
          </w:tcPr>
          <w:p w14:paraId="4CC614BC" w14:textId="77777777" w:rsidR="00D844FD" w:rsidRPr="00D844FD" w:rsidRDefault="00D844FD" w:rsidP="00D844FD">
            <w:pPr>
              <w:spacing w:after="0" w:line="240" w:lineRule="auto"/>
              <w:jc w:val="left"/>
              <w:rPr>
                <w:rFonts w:ascii="Times New Roman" w:hAnsi="Times New Roman"/>
              </w:rPr>
            </w:pPr>
          </w:p>
        </w:tc>
        <w:tc>
          <w:tcPr>
            <w:tcW w:w="629" w:type="pct"/>
            <w:tcBorders>
              <w:top w:val="nil"/>
              <w:left w:val="nil"/>
              <w:bottom w:val="nil"/>
              <w:right w:val="nil"/>
            </w:tcBorders>
            <w:shd w:val="clear" w:color="auto" w:fill="auto"/>
            <w:noWrap/>
            <w:vAlign w:val="bottom"/>
            <w:hideMark/>
          </w:tcPr>
          <w:p w14:paraId="66165034" w14:textId="77777777" w:rsidR="00D844FD" w:rsidRPr="00D844FD" w:rsidRDefault="00D844FD" w:rsidP="00D844FD">
            <w:pPr>
              <w:spacing w:after="0" w:line="240" w:lineRule="auto"/>
              <w:jc w:val="left"/>
              <w:rPr>
                <w:rFonts w:ascii="Times New Roman" w:hAnsi="Times New Roman"/>
              </w:rPr>
            </w:pPr>
          </w:p>
        </w:tc>
        <w:tc>
          <w:tcPr>
            <w:tcW w:w="629" w:type="pct"/>
            <w:tcBorders>
              <w:top w:val="nil"/>
              <w:left w:val="nil"/>
              <w:bottom w:val="nil"/>
              <w:right w:val="nil"/>
            </w:tcBorders>
            <w:shd w:val="clear" w:color="auto" w:fill="auto"/>
            <w:noWrap/>
            <w:vAlign w:val="bottom"/>
            <w:hideMark/>
          </w:tcPr>
          <w:p w14:paraId="010FC7EA" w14:textId="77777777" w:rsidR="00D844FD" w:rsidRPr="00D844FD" w:rsidRDefault="00D844FD" w:rsidP="00D844FD">
            <w:pPr>
              <w:spacing w:after="0" w:line="240" w:lineRule="auto"/>
              <w:jc w:val="left"/>
              <w:rPr>
                <w:rFonts w:ascii="Times New Roman" w:hAnsi="Times New Roman"/>
              </w:rPr>
            </w:pPr>
          </w:p>
        </w:tc>
      </w:tr>
      <w:tr w:rsidR="00D844FD" w:rsidRPr="00D844FD" w14:paraId="1F503964" w14:textId="77777777" w:rsidTr="00D844FD">
        <w:trPr>
          <w:trHeight w:hRule="exact" w:val="435"/>
        </w:trPr>
        <w:tc>
          <w:tcPr>
            <w:tcW w:w="2485" w:type="pct"/>
            <w:tcBorders>
              <w:top w:val="nil"/>
              <w:left w:val="nil"/>
              <w:bottom w:val="nil"/>
              <w:right w:val="nil"/>
            </w:tcBorders>
            <w:shd w:val="clear" w:color="auto" w:fill="auto"/>
            <w:vAlign w:val="bottom"/>
            <w:hideMark/>
          </w:tcPr>
          <w:p w14:paraId="088666B6" w14:textId="77777777" w:rsidR="00D844FD" w:rsidRPr="00D844FD" w:rsidRDefault="00D844FD" w:rsidP="00D844FD">
            <w:pPr>
              <w:spacing w:after="0" w:line="240" w:lineRule="auto"/>
              <w:ind w:left="170"/>
              <w:jc w:val="left"/>
              <w:rPr>
                <w:rFonts w:ascii="Arial" w:hAnsi="Arial" w:cs="Arial"/>
                <w:b/>
                <w:bCs/>
                <w:sz w:val="16"/>
                <w:szCs w:val="16"/>
              </w:rPr>
            </w:pPr>
            <w:r w:rsidRPr="00D844FD">
              <w:rPr>
                <w:rFonts w:ascii="Arial" w:hAnsi="Arial" w:cs="Arial"/>
                <w:b/>
                <w:bCs/>
                <w:sz w:val="16"/>
                <w:szCs w:val="16"/>
              </w:rPr>
              <w:t>Estimated expenditure on new</w:t>
            </w:r>
            <w:r w:rsidRPr="00D844FD">
              <w:rPr>
                <w:rFonts w:ascii="Arial" w:hAnsi="Arial" w:cs="Arial"/>
                <w:b/>
                <w:bCs/>
                <w:sz w:val="16"/>
                <w:szCs w:val="16"/>
              </w:rPr>
              <w:br/>
              <w:t xml:space="preserve">  or replacement assets</w:t>
            </w:r>
          </w:p>
        </w:tc>
        <w:tc>
          <w:tcPr>
            <w:tcW w:w="629" w:type="pct"/>
            <w:tcBorders>
              <w:top w:val="nil"/>
              <w:left w:val="nil"/>
              <w:bottom w:val="nil"/>
              <w:right w:val="nil"/>
            </w:tcBorders>
            <w:shd w:val="clear" w:color="auto" w:fill="auto"/>
            <w:noWrap/>
            <w:vAlign w:val="bottom"/>
            <w:hideMark/>
          </w:tcPr>
          <w:p w14:paraId="271F1AA0" w14:textId="77777777" w:rsidR="00D844FD" w:rsidRPr="00D844FD" w:rsidRDefault="00D844FD" w:rsidP="00D844FD">
            <w:pPr>
              <w:spacing w:after="0" w:line="240" w:lineRule="auto"/>
              <w:ind w:firstLineChars="100" w:firstLine="161"/>
              <w:jc w:val="left"/>
              <w:rPr>
                <w:rFonts w:ascii="Arial" w:hAnsi="Arial" w:cs="Arial"/>
                <w:b/>
                <w:bCs/>
                <w:sz w:val="16"/>
                <w:szCs w:val="16"/>
              </w:rPr>
            </w:pPr>
          </w:p>
        </w:tc>
        <w:tc>
          <w:tcPr>
            <w:tcW w:w="629" w:type="pct"/>
            <w:tcBorders>
              <w:top w:val="nil"/>
              <w:left w:val="nil"/>
              <w:bottom w:val="nil"/>
              <w:right w:val="nil"/>
            </w:tcBorders>
            <w:shd w:val="clear" w:color="auto" w:fill="auto"/>
            <w:noWrap/>
            <w:vAlign w:val="bottom"/>
            <w:hideMark/>
          </w:tcPr>
          <w:p w14:paraId="6F4D430A" w14:textId="77777777" w:rsidR="00D844FD" w:rsidRPr="00D844FD" w:rsidRDefault="00D844FD" w:rsidP="00D844FD">
            <w:pPr>
              <w:spacing w:after="0" w:line="240" w:lineRule="auto"/>
              <w:jc w:val="left"/>
              <w:rPr>
                <w:rFonts w:ascii="Times New Roman" w:hAnsi="Times New Roman"/>
              </w:rPr>
            </w:pPr>
          </w:p>
        </w:tc>
        <w:tc>
          <w:tcPr>
            <w:tcW w:w="629" w:type="pct"/>
            <w:tcBorders>
              <w:top w:val="nil"/>
              <w:left w:val="nil"/>
              <w:bottom w:val="nil"/>
              <w:right w:val="nil"/>
            </w:tcBorders>
            <w:shd w:val="clear" w:color="auto" w:fill="auto"/>
            <w:noWrap/>
            <w:vAlign w:val="bottom"/>
            <w:hideMark/>
          </w:tcPr>
          <w:p w14:paraId="0211CB73" w14:textId="77777777" w:rsidR="00D844FD" w:rsidRPr="00D844FD" w:rsidRDefault="00D844FD" w:rsidP="00D844FD">
            <w:pPr>
              <w:spacing w:after="0" w:line="240" w:lineRule="auto"/>
              <w:jc w:val="left"/>
              <w:rPr>
                <w:rFonts w:ascii="Times New Roman" w:hAnsi="Times New Roman"/>
              </w:rPr>
            </w:pPr>
          </w:p>
        </w:tc>
        <w:tc>
          <w:tcPr>
            <w:tcW w:w="629" w:type="pct"/>
            <w:tcBorders>
              <w:top w:val="nil"/>
              <w:left w:val="nil"/>
              <w:bottom w:val="nil"/>
              <w:right w:val="nil"/>
            </w:tcBorders>
            <w:shd w:val="clear" w:color="auto" w:fill="auto"/>
            <w:noWrap/>
            <w:vAlign w:val="bottom"/>
            <w:hideMark/>
          </w:tcPr>
          <w:p w14:paraId="7FB6B525" w14:textId="77777777" w:rsidR="00D844FD" w:rsidRPr="00D844FD" w:rsidRDefault="00D844FD" w:rsidP="00D844FD">
            <w:pPr>
              <w:spacing w:after="0" w:line="240" w:lineRule="auto"/>
              <w:jc w:val="left"/>
              <w:rPr>
                <w:rFonts w:ascii="Times New Roman" w:hAnsi="Times New Roman"/>
              </w:rPr>
            </w:pPr>
          </w:p>
        </w:tc>
      </w:tr>
      <w:tr w:rsidR="00D844FD" w:rsidRPr="00D844FD" w14:paraId="4026759C" w14:textId="77777777" w:rsidTr="00D844FD">
        <w:trPr>
          <w:trHeight w:hRule="exact" w:val="420"/>
        </w:trPr>
        <w:tc>
          <w:tcPr>
            <w:tcW w:w="2485" w:type="pct"/>
            <w:tcBorders>
              <w:top w:val="nil"/>
              <w:left w:val="nil"/>
              <w:bottom w:val="nil"/>
              <w:right w:val="nil"/>
            </w:tcBorders>
            <w:shd w:val="clear" w:color="auto" w:fill="auto"/>
            <w:vAlign w:val="bottom"/>
            <w:hideMark/>
          </w:tcPr>
          <w:p w14:paraId="63B67FED" w14:textId="77777777" w:rsidR="00D844FD" w:rsidRPr="00D844FD" w:rsidRDefault="00D844FD" w:rsidP="00D844FD">
            <w:pPr>
              <w:spacing w:after="0" w:line="240" w:lineRule="auto"/>
              <w:ind w:left="170"/>
              <w:jc w:val="left"/>
              <w:rPr>
                <w:rFonts w:ascii="Arial" w:hAnsi="Arial" w:cs="Arial"/>
                <w:sz w:val="16"/>
                <w:szCs w:val="16"/>
              </w:rPr>
            </w:pPr>
            <w:r w:rsidRPr="00D844FD">
              <w:rPr>
                <w:rFonts w:ascii="Arial" w:hAnsi="Arial" w:cs="Arial"/>
                <w:sz w:val="16"/>
                <w:szCs w:val="16"/>
              </w:rPr>
              <w:t>By purchase - appropriation ordinary annual services (a)</w:t>
            </w:r>
          </w:p>
        </w:tc>
        <w:tc>
          <w:tcPr>
            <w:tcW w:w="629" w:type="pct"/>
            <w:tcBorders>
              <w:top w:val="nil"/>
              <w:left w:val="nil"/>
              <w:bottom w:val="nil"/>
              <w:right w:val="nil"/>
            </w:tcBorders>
            <w:shd w:val="clear" w:color="auto" w:fill="auto"/>
            <w:noWrap/>
            <w:vAlign w:val="bottom"/>
            <w:hideMark/>
          </w:tcPr>
          <w:p w14:paraId="6B5695B1"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 </w:t>
            </w:r>
          </w:p>
        </w:tc>
        <w:tc>
          <w:tcPr>
            <w:tcW w:w="629" w:type="pct"/>
            <w:tcBorders>
              <w:top w:val="nil"/>
              <w:left w:val="nil"/>
              <w:bottom w:val="nil"/>
              <w:right w:val="nil"/>
            </w:tcBorders>
            <w:shd w:val="clear" w:color="auto" w:fill="auto"/>
            <w:noWrap/>
            <w:vAlign w:val="bottom"/>
            <w:hideMark/>
          </w:tcPr>
          <w:p w14:paraId="73B98509"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172 </w:t>
            </w:r>
          </w:p>
        </w:tc>
        <w:tc>
          <w:tcPr>
            <w:tcW w:w="629" w:type="pct"/>
            <w:tcBorders>
              <w:top w:val="nil"/>
              <w:left w:val="nil"/>
              <w:bottom w:val="nil"/>
              <w:right w:val="nil"/>
            </w:tcBorders>
            <w:shd w:val="clear" w:color="auto" w:fill="auto"/>
            <w:noWrap/>
            <w:vAlign w:val="bottom"/>
            <w:hideMark/>
          </w:tcPr>
          <w:p w14:paraId="2F318D1A"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20 </w:t>
            </w:r>
          </w:p>
        </w:tc>
        <w:tc>
          <w:tcPr>
            <w:tcW w:w="629" w:type="pct"/>
            <w:tcBorders>
              <w:top w:val="nil"/>
              <w:left w:val="nil"/>
              <w:bottom w:val="nil"/>
              <w:right w:val="nil"/>
            </w:tcBorders>
            <w:shd w:val="clear" w:color="auto" w:fill="auto"/>
            <w:noWrap/>
            <w:vAlign w:val="bottom"/>
            <w:hideMark/>
          </w:tcPr>
          <w:p w14:paraId="1AFEE867"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192 </w:t>
            </w:r>
          </w:p>
        </w:tc>
      </w:tr>
      <w:tr w:rsidR="00D844FD" w:rsidRPr="00D844FD" w14:paraId="6BFDDEC5" w14:textId="77777777" w:rsidTr="00D844FD">
        <w:trPr>
          <w:trHeight w:hRule="exact" w:val="225"/>
        </w:trPr>
        <w:tc>
          <w:tcPr>
            <w:tcW w:w="2485" w:type="pct"/>
            <w:tcBorders>
              <w:top w:val="nil"/>
              <w:left w:val="nil"/>
              <w:bottom w:val="nil"/>
              <w:right w:val="nil"/>
            </w:tcBorders>
            <w:shd w:val="clear" w:color="auto" w:fill="auto"/>
            <w:vAlign w:val="bottom"/>
            <w:hideMark/>
          </w:tcPr>
          <w:p w14:paraId="1E7AB25F" w14:textId="77777777" w:rsidR="00D844FD" w:rsidRPr="00D844FD" w:rsidRDefault="00D844FD" w:rsidP="00D844FD">
            <w:pPr>
              <w:spacing w:after="0" w:line="240" w:lineRule="auto"/>
              <w:ind w:left="170"/>
              <w:jc w:val="left"/>
              <w:rPr>
                <w:rFonts w:ascii="Arial" w:hAnsi="Arial" w:cs="Arial"/>
                <w:sz w:val="16"/>
                <w:szCs w:val="16"/>
              </w:rPr>
            </w:pPr>
            <w:r w:rsidRPr="00D844FD">
              <w:rPr>
                <w:rFonts w:ascii="Arial" w:hAnsi="Arial" w:cs="Arial"/>
                <w:sz w:val="16"/>
                <w:szCs w:val="16"/>
              </w:rPr>
              <w:t>By purchase - other - ROU assets</w:t>
            </w:r>
          </w:p>
        </w:tc>
        <w:tc>
          <w:tcPr>
            <w:tcW w:w="629" w:type="pct"/>
            <w:tcBorders>
              <w:top w:val="nil"/>
              <w:left w:val="nil"/>
              <w:bottom w:val="nil"/>
              <w:right w:val="nil"/>
            </w:tcBorders>
            <w:shd w:val="clear" w:color="auto" w:fill="auto"/>
            <w:noWrap/>
            <w:vAlign w:val="bottom"/>
            <w:hideMark/>
          </w:tcPr>
          <w:p w14:paraId="6419B20A"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 </w:t>
            </w:r>
          </w:p>
        </w:tc>
        <w:tc>
          <w:tcPr>
            <w:tcW w:w="629" w:type="pct"/>
            <w:tcBorders>
              <w:top w:val="nil"/>
              <w:left w:val="nil"/>
              <w:bottom w:val="nil"/>
              <w:right w:val="nil"/>
            </w:tcBorders>
            <w:shd w:val="clear" w:color="auto" w:fill="auto"/>
            <w:noWrap/>
            <w:vAlign w:val="bottom"/>
            <w:hideMark/>
          </w:tcPr>
          <w:p w14:paraId="48D00711" w14:textId="1973094E" w:rsidR="00D844FD" w:rsidRPr="00D844FD" w:rsidRDefault="00077E25" w:rsidP="00D844FD">
            <w:pPr>
              <w:spacing w:after="0" w:line="240" w:lineRule="auto"/>
              <w:jc w:val="right"/>
              <w:rPr>
                <w:rFonts w:ascii="Arial" w:hAnsi="Arial" w:cs="Arial"/>
                <w:sz w:val="16"/>
                <w:szCs w:val="16"/>
              </w:rPr>
            </w:pPr>
            <w:r w:rsidRPr="00D844FD">
              <w:rPr>
                <w:rFonts w:ascii="Arial" w:hAnsi="Arial" w:cs="Arial"/>
                <w:sz w:val="16"/>
                <w:szCs w:val="16"/>
              </w:rPr>
              <w:t>-</w:t>
            </w:r>
          </w:p>
        </w:tc>
        <w:tc>
          <w:tcPr>
            <w:tcW w:w="629" w:type="pct"/>
            <w:tcBorders>
              <w:top w:val="nil"/>
              <w:left w:val="nil"/>
              <w:bottom w:val="nil"/>
              <w:right w:val="nil"/>
            </w:tcBorders>
            <w:shd w:val="clear" w:color="auto" w:fill="auto"/>
            <w:noWrap/>
            <w:vAlign w:val="bottom"/>
            <w:hideMark/>
          </w:tcPr>
          <w:p w14:paraId="6FAC046B" w14:textId="5DAA2809" w:rsidR="00D844FD" w:rsidRPr="00D844FD" w:rsidRDefault="00077E25" w:rsidP="00077E25">
            <w:pPr>
              <w:spacing w:after="0" w:line="240" w:lineRule="auto"/>
              <w:jc w:val="right"/>
              <w:rPr>
                <w:rFonts w:ascii="Times New Roman" w:hAnsi="Times New Roman"/>
              </w:rPr>
            </w:pPr>
            <w:r w:rsidRPr="00D844FD">
              <w:rPr>
                <w:rFonts w:ascii="Arial" w:hAnsi="Arial" w:cs="Arial"/>
                <w:sz w:val="16"/>
                <w:szCs w:val="16"/>
              </w:rPr>
              <w:t>-</w:t>
            </w:r>
          </w:p>
        </w:tc>
        <w:tc>
          <w:tcPr>
            <w:tcW w:w="629" w:type="pct"/>
            <w:tcBorders>
              <w:top w:val="nil"/>
              <w:left w:val="nil"/>
              <w:bottom w:val="nil"/>
              <w:right w:val="nil"/>
            </w:tcBorders>
            <w:shd w:val="clear" w:color="auto" w:fill="auto"/>
            <w:noWrap/>
            <w:vAlign w:val="bottom"/>
            <w:hideMark/>
          </w:tcPr>
          <w:p w14:paraId="353276A1"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 </w:t>
            </w:r>
          </w:p>
        </w:tc>
      </w:tr>
      <w:tr w:rsidR="00D844FD" w:rsidRPr="00D844FD" w14:paraId="23FDF5BC" w14:textId="77777777" w:rsidTr="00D844FD">
        <w:trPr>
          <w:trHeight w:hRule="exact" w:val="225"/>
        </w:trPr>
        <w:tc>
          <w:tcPr>
            <w:tcW w:w="2485" w:type="pct"/>
            <w:tcBorders>
              <w:top w:val="nil"/>
              <w:left w:val="nil"/>
              <w:bottom w:val="nil"/>
              <w:right w:val="nil"/>
            </w:tcBorders>
            <w:shd w:val="clear" w:color="auto" w:fill="auto"/>
            <w:vAlign w:val="bottom"/>
            <w:hideMark/>
          </w:tcPr>
          <w:p w14:paraId="05581512" w14:textId="77777777" w:rsidR="00D844FD" w:rsidRPr="00D844FD" w:rsidRDefault="00D844FD" w:rsidP="00D844FD">
            <w:pPr>
              <w:spacing w:after="0" w:line="240" w:lineRule="auto"/>
              <w:ind w:left="170"/>
              <w:jc w:val="left"/>
              <w:rPr>
                <w:rFonts w:ascii="Arial" w:hAnsi="Arial" w:cs="Arial"/>
                <w:b/>
                <w:bCs/>
                <w:sz w:val="16"/>
                <w:szCs w:val="16"/>
              </w:rPr>
            </w:pPr>
            <w:r w:rsidRPr="00D844FD">
              <w:rPr>
                <w:rFonts w:ascii="Arial" w:hAnsi="Arial" w:cs="Arial"/>
                <w:b/>
                <w:bCs/>
                <w:sz w:val="16"/>
                <w:szCs w:val="16"/>
              </w:rPr>
              <w:t>Total additions</w:t>
            </w:r>
          </w:p>
        </w:tc>
        <w:tc>
          <w:tcPr>
            <w:tcW w:w="629" w:type="pct"/>
            <w:tcBorders>
              <w:top w:val="single" w:sz="4" w:space="0" w:color="auto"/>
              <w:left w:val="nil"/>
              <w:bottom w:val="nil"/>
              <w:right w:val="nil"/>
            </w:tcBorders>
            <w:shd w:val="clear" w:color="auto" w:fill="auto"/>
            <w:noWrap/>
            <w:vAlign w:val="bottom"/>
            <w:hideMark/>
          </w:tcPr>
          <w:p w14:paraId="1F2CFD6D" w14:textId="77777777" w:rsidR="00D844FD" w:rsidRPr="00D844FD" w:rsidRDefault="00D844FD" w:rsidP="00D844FD">
            <w:pPr>
              <w:spacing w:after="0" w:line="240" w:lineRule="auto"/>
              <w:jc w:val="right"/>
              <w:rPr>
                <w:rFonts w:ascii="Arial" w:hAnsi="Arial" w:cs="Arial"/>
                <w:b/>
                <w:bCs/>
                <w:sz w:val="16"/>
                <w:szCs w:val="16"/>
              </w:rPr>
            </w:pPr>
            <w:r w:rsidRPr="00D844FD">
              <w:rPr>
                <w:rFonts w:ascii="Arial" w:hAnsi="Arial" w:cs="Arial"/>
                <w:b/>
                <w:bCs/>
                <w:sz w:val="16"/>
                <w:szCs w:val="16"/>
              </w:rPr>
              <w:t xml:space="preserve">- </w:t>
            </w:r>
          </w:p>
        </w:tc>
        <w:tc>
          <w:tcPr>
            <w:tcW w:w="629" w:type="pct"/>
            <w:tcBorders>
              <w:top w:val="single" w:sz="4" w:space="0" w:color="auto"/>
              <w:left w:val="nil"/>
              <w:bottom w:val="nil"/>
              <w:right w:val="nil"/>
            </w:tcBorders>
            <w:shd w:val="clear" w:color="auto" w:fill="auto"/>
            <w:noWrap/>
            <w:vAlign w:val="bottom"/>
            <w:hideMark/>
          </w:tcPr>
          <w:p w14:paraId="1C0306AE" w14:textId="77777777" w:rsidR="00D844FD" w:rsidRPr="00D844FD" w:rsidRDefault="00D844FD" w:rsidP="00D844FD">
            <w:pPr>
              <w:spacing w:after="0" w:line="240" w:lineRule="auto"/>
              <w:jc w:val="right"/>
              <w:rPr>
                <w:rFonts w:ascii="Arial" w:hAnsi="Arial" w:cs="Arial"/>
                <w:b/>
                <w:bCs/>
                <w:sz w:val="16"/>
                <w:szCs w:val="16"/>
              </w:rPr>
            </w:pPr>
            <w:r w:rsidRPr="00D844FD">
              <w:rPr>
                <w:rFonts w:ascii="Arial" w:hAnsi="Arial" w:cs="Arial"/>
                <w:b/>
                <w:bCs/>
                <w:sz w:val="16"/>
                <w:szCs w:val="16"/>
              </w:rPr>
              <w:t xml:space="preserve">172 </w:t>
            </w:r>
          </w:p>
        </w:tc>
        <w:tc>
          <w:tcPr>
            <w:tcW w:w="629" w:type="pct"/>
            <w:tcBorders>
              <w:top w:val="single" w:sz="4" w:space="0" w:color="auto"/>
              <w:left w:val="nil"/>
              <w:bottom w:val="nil"/>
              <w:right w:val="nil"/>
            </w:tcBorders>
            <w:shd w:val="clear" w:color="auto" w:fill="auto"/>
            <w:noWrap/>
            <w:vAlign w:val="bottom"/>
            <w:hideMark/>
          </w:tcPr>
          <w:p w14:paraId="3B241103" w14:textId="77777777" w:rsidR="00D844FD" w:rsidRPr="00D844FD" w:rsidRDefault="00D844FD" w:rsidP="00D844FD">
            <w:pPr>
              <w:spacing w:after="0" w:line="240" w:lineRule="auto"/>
              <w:jc w:val="right"/>
              <w:rPr>
                <w:rFonts w:ascii="Arial" w:hAnsi="Arial" w:cs="Arial"/>
                <w:b/>
                <w:bCs/>
                <w:sz w:val="16"/>
                <w:szCs w:val="16"/>
              </w:rPr>
            </w:pPr>
            <w:r w:rsidRPr="00D844FD">
              <w:rPr>
                <w:rFonts w:ascii="Arial" w:hAnsi="Arial" w:cs="Arial"/>
                <w:b/>
                <w:bCs/>
                <w:sz w:val="16"/>
                <w:szCs w:val="16"/>
              </w:rPr>
              <w:t xml:space="preserve">20 </w:t>
            </w:r>
          </w:p>
        </w:tc>
        <w:tc>
          <w:tcPr>
            <w:tcW w:w="629" w:type="pct"/>
            <w:tcBorders>
              <w:top w:val="single" w:sz="4" w:space="0" w:color="auto"/>
              <w:left w:val="nil"/>
              <w:bottom w:val="nil"/>
              <w:right w:val="nil"/>
            </w:tcBorders>
            <w:shd w:val="clear" w:color="auto" w:fill="auto"/>
            <w:noWrap/>
            <w:vAlign w:val="bottom"/>
            <w:hideMark/>
          </w:tcPr>
          <w:p w14:paraId="71AD64B9" w14:textId="77777777" w:rsidR="00D844FD" w:rsidRPr="00D844FD" w:rsidRDefault="00D844FD" w:rsidP="00D844FD">
            <w:pPr>
              <w:spacing w:after="0" w:line="240" w:lineRule="auto"/>
              <w:jc w:val="right"/>
              <w:rPr>
                <w:rFonts w:ascii="Arial" w:hAnsi="Arial" w:cs="Arial"/>
                <w:b/>
                <w:bCs/>
                <w:sz w:val="16"/>
                <w:szCs w:val="16"/>
              </w:rPr>
            </w:pPr>
            <w:r w:rsidRPr="00D844FD">
              <w:rPr>
                <w:rFonts w:ascii="Arial" w:hAnsi="Arial" w:cs="Arial"/>
                <w:b/>
                <w:bCs/>
                <w:sz w:val="16"/>
                <w:szCs w:val="16"/>
              </w:rPr>
              <w:t xml:space="preserve">192 </w:t>
            </w:r>
          </w:p>
        </w:tc>
      </w:tr>
      <w:tr w:rsidR="00D844FD" w:rsidRPr="00D844FD" w14:paraId="18DDB99A" w14:textId="77777777" w:rsidTr="00D844FD">
        <w:trPr>
          <w:trHeight w:hRule="exact" w:val="225"/>
        </w:trPr>
        <w:tc>
          <w:tcPr>
            <w:tcW w:w="2485" w:type="pct"/>
            <w:tcBorders>
              <w:top w:val="nil"/>
              <w:left w:val="nil"/>
              <w:bottom w:val="nil"/>
              <w:right w:val="nil"/>
            </w:tcBorders>
            <w:shd w:val="clear" w:color="auto" w:fill="auto"/>
            <w:vAlign w:val="bottom"/>
            <w:hideMark/>
          </w:tcPr>
          <w:p w14:paraId="60C8EFC2" w14:textId="77777777" w:rsidR="00D844FD" w:rsidRPr="00D844FD" w:rsidRDefault="00D844FD" w:rsidP="00D844FD">
            <w:pPr>
              <w:spacing w:after="0" w:line="240" w:lineRule="auto"/>
              <w:ind w:left="170"/>
              <w:jc w:val="left"/>
              <w:rPr>
                <w:rFonts w:ascii="Arial" w:hAnsi="Arial" w:cs="Arial"/>
                <w:b/>
                <w:bCs/>
                <w:sz w:val="16"/>
                <w:szCs w:val="16"/>
              </w:rPr>
            </w:pPr>
            <w:r w:rsidRPr="00D844FD">
              <w:rPr>
                <w:rFonts w:ascii="Arial" w:hAnsi="Arial" w:cs="Arial"/>
                <w:b/>
                <w:bCs/>
                <w:sz w:val="16"/>
                <w:szCs w:val="16"/>
              </w:rPr>
              <w:t>Other movements</w:t>
            </w:r>
          </w:p>
        </w:tc>
        <w:tc>
          <w:tcPr>
            <w:tcW w:w="629" w:type="pct"/>
            <w:tcBorders>
              <w:top w:val="single" w:sz="4" w:space="0" w:color="auto"/>
              <w:left w:val="nil"/>
              <w:bottom w:val="nil"/>
              <w:right w:val="nil"/>
            </w:tcBorders>
            <w:shd w:val="clear" w:color="auto" w:fill="auto"/>
            <w:noWrap/>
            <w:vAlign w:val="bottom"/>
            <w:hideMark/>
          </w:tcPr>
          <w:p w14:paraId="17A2C3BD" w14:textId="77777777" w:rsidR="00D844FD" w:rsidRPr="00D844FD" w:rsidRDefault="00D844FD" w:rsidP="00D844FD">
            <w:pPr>
              <w:spacing w:after="0" w:line="240" w:lineRule="auto"/>
              <w:jc w:val="left"/>
              <w:rPr>
                <w:rFonts w:ascii="Arial" w:hAnsi="Arial" w:cs="Arial"/>
                <w:b/>
                <w:bCs/>
                <w:sz w:val="16"/>
                <w:szCs w:val="16"/>
              </w:rPr>
            </w:pPr>
            <w:r w:rsidRPr="00D844FD">
              <w:rPr>
                <w:rFonts w:ascii="Arial" w:hAnsi="Arial" w:cs="Arial"/>
                <w:b/>
                <w:bCs/>
                <w:sz w:val="16"/>
                <w:szCs w:val="16"/>
              </w:rPr>
              <w:t> </w:t>
            </w:r>
          </w:p>
        </w:tc>
        <w:tc>
          <w:tcPr>
            <w:tcW w:w="629" w:type="pct"/>
            <w:tcBorders>
              <w:top w:val="single" w:sz="4" w:space="0" w:color="auto"/>
              <w:left w:val="nil"/>
              <w:bottom w:val="nil"/>
              <w:right w:val="nil"/>
            </w:tcBorders>
            <w:shd w:val="clear" w:color="auto" w:fill="auto"/>
            <w:noWrap/>
            <w:vAlign w:val="bottom"/>
            <w:hideMark/>
          </w:tcPr>
          <w:p w14:paraId="5A3BF077" w14:textId="77777777" w:rsidR="00D844FD" w:rsidRPr="00D844FD" w:rsidRDefault="00D844FD" w:rsidP="00D844FD">
            <w:pPr>
              <w:spacing w:after="0" w:line="240" w:lineRule="auto"/>
              <w:jc w:val="left"/>
              <w:rPr>
                <w:rFonts w:ascii="Arial" w:hAnsi="Arial" w:cs="Arial"/>
                <w:b/>
                <w:bCs/>
                <w:sz w:val="16"/>
                <w:szCs w:val="16"/>
              </w:rPr>
            </w:pPr>
            <w:r w:rsidRPr="00D844FD">
              <w:rPr>
                <w:rFonts w:ascii="Arial" w:hAnsi="Arial" w:cs="Arial"/>
                <w:b/>
                <w:bCs/>
                <w:sz w:val="16"/>
                <w:szCs w:val="16"/>
              </w:rPr>
              <w:t> </w:t>
            </w:r>
          </w:p>
        </w:tc>
        <w:tc>
          <w:tcPr>
            <w:tcW w:w="629" w:type="pct"/>
            <w:tcBorders>
              <w:top w:val="single" w:sz="4" w:space="0" w:color="auto"/>
              <w:left w:val="nil"/>
              <w:bottom w:val="nil"/>
              <w:right w:val="nil"/>
            </w:tcBorders>
            <w:shd w:val="clear" w:color="auto" w:fill="auto"/>
            <w:noWrap/>
            <w:vAlign w:val="bottom"/>
            <w:hideMark/>
          </w:tcPr>
          <w:p w14:paraId="4884F805" w14:textId="77777777" w:rsidR="00D844FD" w:rsidRPr="00D844FD" w:rsidRDefault="00D844FD" w:rsidP="00D844FD">
            <w:pPr>
              <w:spacing w:after="0" w:line="240" w:lineRule="auto"/>
              <w:jc w:val="left"/>
              <w:rPr>
                <w:rFonts w:ascii="Arial" w:hAnsi="Arial" w:cs="Arial"/>
                <w:b/>
                <w:bCs/>
                <w:sz w:val="16"/>
                <w:szCs w:val="16"/>
              </w:rPr>
            </w:pPr>
            <w:r w:rsidRPr="00D844FD">
              <w:rPr>
                <w:rFonts w:ascii="Arial" w:hAnsi="Arial" w:cs="Arial"/>
                <w:b/>
                <w:bCs/>
                <w:sz w:val="16"/>
                <w:szCs w:val="16"/>
              </w:rPr>
              <w:t> </w:t>
            </w:r>
          </w:p>
        </w:tc>
        <w:tc>
          <w:tcPr>
            <w:tcW w:w="629" w:type="pct"/>
            <w:tcBorders>
              <w:top w:val="single" w:sz="4" w:space="0" w:color="auto"/>
              <w:left w:val="nil"/>
              <w:bottom w:val="nil"/>
              <w:right w:val="nil"/>
            </w:tcBorders>
            <w:shd w:val="clear" w:color="auto" w:fill="auto"/>
            <w:noWrap/>
            <w:vAlign w:val="bottom"/>
            <w:hideMark/>
          </w:tcPr>
          <w:p w14:paraId="302BBC26" w14:textId="77777777" w:rsidR="00D844FD" w:rsidRPr="00D844FD" w:rsidRDefault="00D844FD" w:rsidP="00D844FD">
            <w:pPr>
              <w:spacing w:after="0" w:line="240" w:lineRule="auto"/>
              <w:jc w:val="left"/>
              <w:rPr>
                <w:rFonts w:ascii="Arial" w:hAnsi="Arial" w:cs="Arial"/>
                <w:b/>
                <w:bCs/>
                <w:sz w:val="16"/>
                <w:szCs w:val="16"/>
              </w:rPr>
            </w:pPr>
            <w:r w:rsidRPr="00D844FD">
              <w:rPr>
                <w:rFonts w:ascii="Arial" w:hAnsi="Arial" w:cs="Arial"/>
                <w:b/>
                <w:bCs/>
                <w:sz w:val="16"/>
                <w:szCs w:val="16"/>
              </w:rPr>
              <w:t> </w:t>
            </w:r>
          </w:p>
        </w:tc>
      </w:tr>
      <w:tr w:rsidR="00D844FD" w:rsidRPr="00D844FD" w14:paraId="11F0E92B" w14:textId="77777777" w:rsidTr="00D844FD">
        <w:trPr>
          <w:trHeight w:hRule="exact" w:val="225"/>
        </w:trPr>
        <w:tc>
          <w:tcPr>
            <w:tcW w:w="2485" w:type="pct"/>
            <w:tcBorders>
              <w:top w:val="nil"/>
              <w:left w:val="nil"/>
              <w:bottom w:val="nil"/>
              <w:right w:val="nil"/>
            </w:tcBorders>
            <w:shd w:val="clear" w:color="auto" w:fill="auto"/>
            <w:vAlign w:val="bottom"/>
            <w:hideMark/>
          </w:tcPr>
          <w:p w14:paraId="0D25FA7A" w14:textId="77777777" w:rsidR="00D844FD" w:rsidRPr="00D844FD" w:rsidRDefault="00D844FD" w:rsidP="00D844FD">
            <w:pPr>
              <w:spacing w:after="0" w:line="240" w:lineRule="auto"/>
              <w:ind w:left="170"/>
              <w:jc w:val="left"/>
              <w:rPr>
                <w:rFonts w:ascii="Arial" w:hAnsi="Arial" w:cs="Arial"/>
                <w:sz w:val="16"/>
                <w:szCs w:val="16"/>
              </w:rPr>
            </w:pPr>
            <w:r w:rsidRPr="00D844FD">
              <w:rPr>
                <w:rFonts w:ascii="Arial" w:hAnsi="Arial" w:cs="Arial"/>
                <w:sz w:val="16"/>
                <w:szCs w:val="16"/>
              </w:rPr>
              <w:t>Depreciation/amortisation expense</w:t>
            </w:r>
          </w:p>
        </w:tc>
        <w:tc>
          <w:tcPr>
            <w:tcW w:w="629" w:type="pct"/>
            <w:tcBorders>
              <w:top w:val="nil"/>
              <w:left w:val="nil"/>
              <w:bottom w:val="nil"/>
              <w:right w:val="nil"/>
            </w:tcBorders>
            <w:shd w:val="clear" w:color="auto" w:fill="auto"/>
            <w:noWrap/>
            <w:vAlign w:val="bottom"/>
            <w:hideMark/>
          </w:tcPr>
          <w:p w14:paraId="0506D046"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(650)</w:t>
            </w:r>
          </w:p>
        </w:tc>
        <w:tc>
          <w:tcPr>
            <w:tcW w:w="629" w:type="pct"/>
            <w:tcBorders>
              <w:top w:val="nil"/>
              <w:left w:val="nil"/>
              <w:bottom w:val="nil"/>
              <w:right w:val="nil"/>
            </w:tcBorders>
            <w:shd w:val="clear" w:color="auto" w:fill="auto"/>
            <w:noWrap/>
            <w:vAlign w:val="bottom"/>
            <w:hideMark/>
          </w:tcPr>
          <w:p w14:paraId="7170B883"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(380)</w:t>
            </w:r>
          </w:p>
        </w:tc>
        <w:tc>
          <w:tcPr>
            <w:tcW w:w="629" w:type="pct"/>
            <w:tcBorders>
              <w:top w:val="nil"/>
              <w:left w:val="nil"/>
              <w:bottom w:val="nil"/>
              <w:right w:val="nil"/>
            </w:tcBorders>
            <w:shd w:val="clear" w:color="auto" w:fill="auto"/>
            <w:noWrap/>
            <w:vAlign w:val="bottom"/>
            <w:hideMark/>
          </w:tcPr>
          <w:p w14:paraId="0C636471"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(20)</w:t>
            </w:r>
          </w:p>
        </w:tc>
        <w:tc>
          <w:tcPr>
            <w:tcW w:w="629" w:type="pct"/>
            <w:tcBorders>
              <w:top w:val="nil"/>
              <w:left w:val="nil"/>
              <w:bottom w:val="nil"/>
              <w:right w:val="nil"/>
            </w:tcBorders>
            <w:shd w:val="clear" w:color="auto" w:fill="auto"/>
            <w:noWrap/>
            <w:vAlign w:val="bottom"/>
            <w:hideMark/>
          </w:tcPr>
          <w:p w14:paraId="5C10F76D"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(1,050)</w:t>
            </w:r>
          </w:p>
        </w:tc>
      </w:tr>
      <w:tr w:rsidR="00D844FD" w:rsidRPr="00D844FD" w14:paraId="0AA42A90" w14:textId="77777777" w:rsidTr="00D844FD">
        <w:trPr>
          <w:trHeight w:hRule="exact" w:val="450"/>
        </w:trPr>
        <w:tc>
          <w:tcPr>
            <w:tcW w:w="2485" w:type="pct"/>
            <w:tcBorders>
              <w:top w:val="nil"/>
              <w:left w:val="nil"/>
              <w:bottom w:val="nil"/>
              <w:right w:val="nil"/>
            </w:tcBorders>
            <w:shd w:val="clear" w:color="auto" w:fill="auto"/>
            <w:vAlign w:val="bottom"/>
            <w:hideMark/>
          </w:tcPr>
          <w:p w14:paraId="622DBE8E" w14:textId="77777777" w:rsidR="00D844FD" w:rsidRPr="00D844FD" w:rsidRDefault="00D844FD" w:rsidP="00D844FD">
            <w:pPr>
              <w:spacing w:after="0" w:line="240" w:lineRule="auto"/>
              <w:ind w:left="170"/>
              <w:jc w:val="left"/>
              <w:rPr>
                <w:rFonts w:ascii="Arial" w:hAnsi="Arial" w:cs="Arial"/>
                <w:sz w:val="16"/>
                <w:szCs w:val="16"/>
              </w:rPr>
            </w:pPr>
            <w:r w:rsidRPr="00D844FD">
              <w:rPr>
                <w:rFonts w:ascii="Arial" w:hAnsi="Arial" w:cs="Arial"/>
                <w:sz w:val="16"/>
                <w:szCs w:val="16"/>
              </w:rPr>
              <w:t xml:space="preserve">Depreciation/amortisation on </w:t>
            </w:r>
            <w:r w:rsidRPr="00D844FD">
              <w:rPr>
                <w:rFonts w:ascii="Arial" w:hAnsi="Arial" w:cs="Arial"/>
                <w:sz w:val="16"/>
                <w:szCs w:val="16"/>
              </w:rPr>
              <w:br/>
              <w:t xml:space="preserve"> ROU assets</w:t>
            </w:r>
          </w:p>
        </w:tc>
        <w:tc>
          <w:tcPr>
            <w:tcW w:w="629" w:type="pct"/>
            <w:tcBorders>
              <w:top w:val="nil"/>
              <w:left w:val="nil"/>
              <w:bottom w:val="nil"/>
              <w:right w:val="nil"/>
            </w:tcBorders>
            <w:shd w:val="clear" w:color="auto" w:fill="auto"/>
            <w:noWrap/>
            <w:vAlign w:val="bottom"/>
            <w:hideMark/>
          </w:tcPr>
          <w:p w14:paraId="0FF446AC"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(2,129)</w:t>
            </w:r>
          </w:p>
        </w:tc>
        <w:tc>
          <w:tcPr>
            <w:tcW w:w="629" w:type="pct"/>
            <w:tcBorders>
              <w:top w:val="nil"/>
              <w:left w:val="nil"/>
              <w:bottom w:val="nil"/>
              <w:right w:val="nil"/>
            </w:tcBorders>
            <w:shd w:val="clear" w:color="auto" w:fill="auto"/>
            <w:noWrap/>
            <w:vAlign w:val="bottom"/>
            <w:hideMark/>
          </w:tcPr>
          <w:p w14:paraId="2947FC58"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 </w:t>
            </w:r>
          </w:p>
        </w:tc>
        <w:tc>
          <w:tcPr>
            <w:tcW w:w="629" w:type="pct"/>
            <w:tcBorders>
              <w:top w:val="nil"/>
              <w:left w:val="nil"/>
              <w:bottom w:val="nil"/>
              <w:right w:val="nil"/>
            </w:tcBorders>
            <w:shd w:val="clear" w:color="auto" w:fill="auto"/>
            <w:noWrap/>
            <w:vAlign w:val="bottom"/>
            <w:hideMark/>
          </w:tcPr>
          <w:p w14:paraId="49A876DD"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 </w:t>
            </w:r>
          </w:p>
        </w:tc>
        <w:tc>
          <w:tcPr>
            <w:tcW w:w="629" w:type="pct"/>
            <w:tcBorders>
              <w:top w:val="nil"/>
              <w:left w:val="nil"/>
              <w:bottom w:val="nil"/>
              <w:right w:val="nil"/>
            </w:tcBorders>
            <w:shd w:val="clear" w:color="auto" w:fill="auto"/>
            <w:noWrap/>
            <w:vAlign w:val="bottom"/>
            <w:hideMark/>
          </w:tcPr>
          <w:p w14:paraId="5EE4CD48"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(2,129)</w:t>
            </w:r>
          </w:p>
        </w:tc>
      </w:tr>
      <w:tr w:rsidR="00D844FD" w:rsidRPr="00D844FD" w14:paraId="45D932DE" w14:textId="77777777" w:rsidTr="00D844FD">
        <w:trPr>
          <w:trHeight w:hRule="exact" w:val="225"/>
        </w:trPr>
        <w:tc>
          <w:tcPr>
            <w:tcW w:w="2485" w:type="pct"/>
            <w:tcBorders>
              <w:top w:val="nil"/>
              <w:left w:val="nil"/>
              <w:bottom w:val="nil"/>
              <w:right w:val="nil"/>
            </w:tcBorders>
            <w:shd w:val="clear" w:color="auto" w:fill="auto"/>
            <w:vAlign w:val="bottom"/>
            <w:hideMark/>
          </w:tcPr>
          <w:p w14:paraId="57017CE6" w14:textId="77777777" w:rsidR="00D844FD" w:rsidRPr="00D844FD" w:rsidRDefault="00D844FD" w:rsidP="00D844FD">
            <w:pPr>
              <w:spacing w:after="0" w:line="240" w:lineRule="auto"/>
              <w:ind w:left="170"/>
              <w:jc w:val="left"/>
              <w:rPr>
                <w:rFonts w:ascii="Arial" w:hAnsi="Arial" w:cs="Arial"/>
                <w:b/>
                <w:bCs/>
                <w:sz w:val="16"/>
                <w:szCs w:val="16"/>
              </w:rPr>
            </w:pPr>
            <w:r w:rsidRPr="00D844FD">
              <w:rPr>
                <w:rFonts w:ascii="Arial" w:hAnsi="Arial" w:cs="Arial"/>
                <w:b/>
                <w:bCs/>
                <w:sz w:val="16"/>
                <w:szCs w:val="16"/>
              </w:rPr>
              <w:t>Total other movements</w:t>
            </w:r>
          </w:p>
        </w:tc>
        <w:tc>
          <w:tcPr>
            <w:tcW w:w="629" w:type="pct"/>
            <w:tcBorders>
              <w:top w:val="single" w:sz="4" w:space="0" w:color="auto"/>
              <w:left w:val="nil"/>
              <w:bottom w:val="single" w:sz="4" w:space="0" w:color="auto"/>
              <w:right w:val="nil"/>
            </w:tcBorders>
            <w:shd w:val="clear" w:color="auto" w:fill="auto"/>
            <w:noWrap/>
            <w:vAlign w:val="bottom"/>
            <w:hideMark/>
          </w:tcPr>
          <w:p w14:paraId="6F21724C" w14:textId="77777777" w:rsidR="00D844FD" w:rsidRPr="00D844FD" w:rsidRDefault="00D844FD" w:rsidP="00D844FD">
            <w:pPr>
              <w:spacing w:after="0" w:line="240" w:lineRule="auto"/>
              <w:jc w:val="right"/>
              <w:rPr>
                <w:rFonts w:ascii="Arial" w:hAnsi="Arial" w:cs="Arial"/>
                <w:b/>
                <w:bCs/>
                <w:sz w:val="16"/>
                <w:szCs w:val="16"/>
              </w:rPr>
            </w:pPr>
            <w:r w:rsidRPr="00D844FD">
              <w:rPr>
                <w:rFonts w:ascii="Arial" w:hAnsi="Arial" w:cs="Arial"/>
                <w:b/>
                <w:bCs/>
                <w:sz w:val="16"/>
                <w:szCs w:val="16"/>
              </w:rPr>
              <w:t>(2,779)</w:t>
            </w:r>
          </w:p>
        </w:tc>
        <w:tc>
          <w:tcPr>
            <w:tcW w:w="629" w:type="pct"/>
            <w:tcBorders>
              <w:top w:val="single" w:sz="4" w:space="0" w:color="auto"/>
              <w:left w:val="nil"/>
              <w:bottom w:val="single" w:sz="4" w:space="0" w:color="auto"/>
              <w:right w:val="nil"/>
            </w:tcBorders>
            <w:shd w:val="clear" w:color="auto" w:fill="auto"/>
            <w:noWrap/>
            <w:vAlign w:val="bottom"/>
            <w:hideMark/>
          </w:tcPr>
          <w:p w14:paraId="712AB947" w14:textId="77777777" w:rsidR="00D844FD" w:rsidRPr="00D844FD" w:rsidRDefault="00D844FD" w:rsidP="00D844FD">
            <w:pPr>
              <w:spacing w:after="0" w:line="240" w:lineRule="auto"/>
              <w:jc w:val="right"/>
              <w:rPr>
                <w:rFonts w:ascii="Arial" w:hAnsi="Arial" w:cs="Arial"/>
                <w:b/>
                <w:bCs/>
                <w:sz w:val="16"/>
                <w:szCs w:val="16"/>
              </w:rPr>
            </w:pPr>
            <w:r w:rsidRPr="00D844FD">
              <w:rPr>
                <w:rFonts w:ascii="Arial" w:hAnsi="Arial" w:cs="Arial"/>
                <w:b/>
                <w:bCs/>
                <w:sz w:val="16"/>
                <w:szCs w:val="16"/>
              </w:rPr>
              <w:t>(380)</w:t>
            </w:r>
          </w:p>
        </w:tc>
        <w:tc>
          <w:tcPr>
            <w:tcW w:w="629" w:type="pct"/>
            <w:tcBorders>
              <w:top w:val="single" w:sz="4" w:space="0" w:color="auto"/>
              <w:left w:val="nil"/>
              <w:bottom w:val="single" w:sz="4" w:space="0" w:color="auto"/>
              <w:right w:val="nil"/>
            </w:tcBorders>
            <w:shd w:val="clear" w:color="auto" w:fill="auto"/>
            <w:noWrap/>
            <w:vAlign w:val="bottom"/>
            <w:hideMark/>
          </w:tcPr>
          <w:p w14:paraId="0F12D9BF" w14:textId="77777777" w:rsidR="00D844FD" w:rsidRPr="00D844FD" w:rsidRDefault="00D844FD" w:rsidP="00D844FD">
            <w:pPr>
              <w:spacing w:after="0" w:line="240" w:lineRule="auto"/>
              <w:jc w:val="right"/>
              <w:rPr>
                <w:rFonts w:ascii="Arial" w:hAnsi="Arial" w:cs="Arial"/>
                <w:b/>
                <w:bCs/>
                <w:sz w:val="16"/>
                <w:szCs w:val="16"/>
              </w:rPr>
            </w:pPr>
            <w:r w:rsidRPr="00D844FD">
              <w:rPr>
                <w:rFonts w:ascii="Arial" w:hAnsi="Arial" w:cs="Arial"/>
                <w:b/>
                <w:bCs/>
                <w:sz w:val="16"/>
                <w:szCs w:val="16"/>
              </w:rPr>
              <w:t>(20)</w:t>
            </w:r>
          </w:p>
        </w:tc>
        <w:tc>
          <w:tcPr>
            <w:tcW w:w="629" w:type="pct"/>
            <w:tcBorders>
              <w:top w:val="single" w:sz="4" w:space="0" w:color="auto"/>
              <w:left w:val="nil"/>
              <w:bottom w:val="single" w:sz="4" w:space="0" w:color="auto"/>
              <w:right w:val="nil"/>
            </w:tcBorders>
            <w:shd w:val="clear" w:color="auto" w:fill="auto"/>
            <w:noWrap/>
            <w:vAlign w:val="bottom"/>
            <w:hideMark/>
          </w:tcPr>
          <w:p w14:paraId="61383F17" w14:textId="77777777" w:rsidR="00D844FD" w:rsidRPr="00D844FD" w:rsidRDefault="00D844FD" w:rsidP="00D844FD">
            <w:pPr>
              <w:spacing w:after="0" w:line="240" w:lineRule="auto"/>
              <w:jc w:val="right"/>
              <w:rPr>
                <w:rFonts w:ascii="Arial" w:hAnsi="Arial" w:cs="Arial"/>
                <w:b/>
                <w:bCs/>
                <w:sz w:val="16"/>
                <w:szCs w:val="16"/>
              </w:rPr>
            </w:pPr>
            <w:r w:rsidRPr="00D844FD">
              <w:rPr>
                <w:rFonts w:ascii="Arial" w:hAnsi="Arial" w:cs="Arial"/>
                <w:b/>
                <w:bCs/>
                <w:sz w:val="16"/>
                <w:szCs w:val="16"/>
              </w:rPr>
              <w:t>(3,179)</w:t>
            </w:r>
          </w:p>
        </w:tc>
      </w:tr>
      <w:tr w:rsidR="00D844FD" w:rsidRPr="00D844FD" w14:paraId="60540BC5" w14:textId="77777777" w:rsidTr="00D844FD">
        <w:trPr>
          <w:trHeight w:hRule="exact" w:val="225"/>
        </w:trPr>
        <w:tc>
          <w:tcPr>
            <w:tcW w:w="2485" w:type="pct"/>
            <w:tcBorders>
              <w:top w:val="nil"/>
              <w:left w:val="nil"/>
              <w:bottom w:val="nil"/>
              <w:right w:val="nil"/>
            </w:tcBorders>
            <w:shd w:val="clear" w:color="auto" w:fill="auto"/>
            <w:vAlign w:val="bottom"/>
            <w:hideMark/>
          </w:tcPr>
          <w:p w14:paraId="38813C80" w14:textId="77777777" w:rsidR="00D844FD" w:rsidRPr="00D844FD" w:rsidRDefault="00D844FD" w:rsidP="00D844FD">
            <w:pPr>
              <w:spacing w:after="0" w:line="240" w:lineRule="auto"/>
              <w:jc w:val="left"/>
              <w:rPr>
                <w:rFonts w:ascii="Arial" w:hAnsi="Arial" w:cs="Arial"/>
                <w:b/>
                <w:bCs/>
                <w:sz w:val="16"/>
                <w:szCs w:val="16"/>
              </w:rPr>
            </w:pPr>
            <w:r w:rsidRPr="00D844FD">
              <w:rPr>
                <w:rFonts w:ascii="Arial" w:hAnsi="Arial" w:cs="Arial"/>
                <w:b/>
                <w:bCs/>
                <w:sz w:val="16"/>
                <w:szCs w:val="16"/>
              </w:rPr>
              <w:t>As at 30 June 2023</w:t>
            </w:r>
          </w:p>
        </w:tc>
        <w:tc>
          <w:tcPr>
            <w:tcW w:w="629" w:type="pct"/>
            <w:tcBorders>
              <w:top w:val="nil"/>
              <w:left w:val="nil"/>
              <w:bottom w:val="nil"/>
              <w:right w:val="nil"/>
            </w:tcBorders>
            <w:shd w:val="clear" w:color="auto" w:fill="auto"/>
            <w:noWrap/>
            <w:vAlign w:val="bottom"/>
            <w:hideMark/>
          </w:tcPr>
          <w:p w14:paraId="50FAC9C6" w14:textId="77777777" w:rsidR="00D844FD" w:rsidRPr="00D844FD" w:rsidRDefault="00D844FD" w:rsidP="00D844FD">
            <w:pPr>
              <w:spacing w:after="0" w:line="240" w:lineRule="auto"/>
              <w:jc w:val="left"/>
              <w:rPr>
                <w:rFonts w:ascii="Arial" w:hAnsi="Arial" w:cs="Arial"/>
                <w:b/>
                <w:bCs/>
                <w:sz w:val="16"/>
                <w:szCs w:val="16"/>
              </w:rPr>
            </w:pPr>
          </w:p>
        </w:tc>
        <w:tc>
          <w:tcPr>
            <w:tcW w:w="629" w:type="pct"/>
            <w:tcBorders>
              <w:top w:val="nil"/>
              <w:left w:val="nil"/>
              <w:bottom w:val="nil"/>
              <w:right w:val="nil"/>
            </w:tcBorders>
            <w:shd w:val="clear" w:color="auto" w:fill="auto"/>
            <w:noWrap/>
            <w:vAlign w:val="bottom"/>
            <w:hideMark/>
          </w:tcPr>
          <w:p w14:paraId="401B9183" w14:textId="77777777" w:rsidR="00D844FD" w:rsidRPr="00D844FD" w:rsidRDefault="00D844FD" w:rsidP="00D844FD">
            <w:pPr>
              <w:spacing w:after="0" w:line="240" w:lineRule="auto"/>
              <w:jc w:val="left"/>
              <w:rPr>
                <w:rFonts w:ascii="Times New Roman" w:hAnsi="Times New Roman"/>
              </w:rPr>
            </w:pPr>
          </w:p>
        </w:tc>
        <w:tc>
          <w:tcPr>
            <w:tcW w:w="629" w:type="pct"/>
            <w:tcBorders>
              <w:top w:val="nil"/>
              <w:left w:val="nil"/>
              <w:bottom w:val="nil"/>
              <w:right w:val="nil"/>
            </w:tcBorders>
            <w:shd w:val="clear" w:color="auto" w:fill="auto"/>
            <w:noWrap/>
            <w:vAlign w:val="bottom"/>
            <w:hideMark/>
          </w:tcPr>
          <w:p w14:paraId="7CAA2D98" w14:textId="77777777" w:rsidR="00D844FD" w:rsidRPr="00D844FD" w:rsidRDefault="00D844FD" w:rsidP="00D844FD">
            <w:pPr>
              <w:spacing w:after="0" w:line="240" w:lineRule="auto"/>
              <w:jc w:val="left"/>
              <w:rPr>
                <w:rFonts w:ascii="Times New Roman" w:hAnsi="Times New Roman"/>
              </w:rPr>
            </w:pPr>
          </w:p>
        </w:tc>
        <w:tc>
          <w:tcPr>
            <w:tcW w:w="629" w:type="pct"/>
            <w:tcBorders>
              <w:top w:val="nil"/>
              <w:left w:val="nil"/>
              <w:bottom w:val="nil"/>
              <w:right w:val="nil"/>
            </w:tcBorders>
            <w:shd w:val="clear" w:color="auto" w:fill="auto"/>
            <w:noWrap/>
            <w:vAlign w:val="bottom"/>
            <w:hideMark/>
          </w:tcPr>
          <w:p w14:paraId="27A42CB6" w14:textId="77777777" w:rsidR="00D844FD" w:rsidRPr="00D844FD" w:rsidRDefault="00D844FD" w:rsidP="00D844FD">
            <w:pPr>
              <w:spacing w:after="0" w:line="240" w:lineRule="auto"/>
              <w:jc w:val="left"/>
              <w:rPr>
                <w:rFonts w:ascii="Times New Roman" w:hAnsi="Times New Roman"/>
              </w:rPr>
            </w:pPr>
          </w:p>
        </w:tc>
      </w:tr>
      <w:tr w:rsidR="00D844FD" w:rsidRPr="00D844FD" w14:paraId="5387B1F5" w14:textId="77777777" w:rsidTr="00D844FD">
        <w:trPr>
          <w:trHeight w:hRule="exact" w:val="225"/>
        </w:trPr>
        <w:tc>
          <w:tcPr>
            <w:tcW w:w="2485" w:type="pct"/>
            <w:tcBorders>
              <w:top w:val="nil"/>
              <w:left w:val="nil"/>
              <w:bottom w:val="nil"/>
              <w:right w:val="nil"/>
            </w:tcBorders>
            <w:shd w:val="clear" w:color="auto" w:fill="auto"/>
            <w:vAlign w:val="bottom"/>
            <w:hideMark/>
          </w:tcPr>
          <w:p w14:paraId="1354739D" w14:textId="77777777" w:rsidR="00D844FD" w:rsidRPr="00D844FD" w:rsidRDefault="00D844FD" w:rsidP="00D844FD">
            <w:pPr>
              <w:spacing w:after="0" w:line="240" w:lineRule="auto"/>
              <w:ind w:left="170"/>
              <w:jc w:val="left"/>
              <w:rPr>
                <w:rFonts w:ascii="Arial" w:hAnsi="Arial" w:cs="Arial"/>
                <w:sz w:val="16"/>
                <w:szCs w:val="16"/>
              </w:rPr>
            </w:pPr>
            <w:r w:rsidRPr="00D844FD">
              <w:rPr>
                <w:rFonts w:ascii="Arial" w:hAnsi="Arial" w:cs="Arial"/>
                <w:sz w:val="16"/>
                <w:szCs w:val="16"/>
              </w:rPr>
              <w:t>Gross book value</w:t>
            </w:r>
          </w:p>
        </w:tc>
        <w:tc>
          <w:tcPr>
            <w:tcW w:w="629" w:type="pct"/>
            <w:tcBorders>
              <w:top w:val="nil"/>
              <w:left w:val="nil"/>
              <w:bottom w:val="nil"/>
              <w:right w:val="nil"/>
            </w:tcBorders>
            <w:shd w:val="clear" w:color="auto" w:fill="auto"/>
            <w:noWrap/>
            <w:vAlign w:val="bottom"/>
            <w:hideMark/>
          </w:tcPr>
          <w:p w14:paraId="29E408DB"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4,456 </w:t>
            </w:r>
          </w:p>
        </w:tc>
        <w:tc>
          <w:tcPr>
            <w:tcW w:w="629" w:type="pct"/>
            <w:tcBorders>
              <w:top w:val="nil"/>
              <w:left w:val="nil"/>
              <w:bottom w:val="nil"/>
              <w:right w:val="nil"/>
            </w:tcBorders>
            <w:shd w:val="clear" w:color="auto" w:fill="auto"/>
            <w:noWrap/>
            <w:vAlign w:val="bottom"/>
            <w:hideMark/>
          </w:tcPr>
          <w:p w14:paraId="2C348397"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1,519 </w:t>
            </w:r>
          </w:p>
        </w:tc>
        <w:tc>
          <w:tcPr>
            <w:tcW w:w="629" w:type="pct"/>
            <w:tcBorders>
              <w:top w:val="nil"/>
              <w:left w:val="nil"/>
              <w:bottom w:val="nil"/>
              <w:right w:val="nil"/>
            </w:tcBorders>
            <w:shd w:val="clear" w:color="auto" w:fill="auto"/>
            <w:noWrap/>
            <w:vAlign w:val="bottom"/>
            <w:hideMark/>
          </w:tcPr>
          <w:p w14:paraId="75A8FD03"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842 </w:t>
            </w:r>
          </w:p>
        </w:tc>
        <w:tc>
          <w:tcPr>
            <w:tcW w:w="629" w:type="pct"/>
            <w:tcBorders>
              <w:top w:val="nil"/>
              <w:left w:val="nil"/>
              <w:bottom w:val="nil"/>
              <w:right w:val="nil"/>
            </w:tcBorders>
            <w:shd w:val="clear" w:color="auto" w:fill="auto"/>
            <w:noWrap/>
            <w:vAlign w:val="bottom"/>
            <w:hideMark/>
          </w:tcPr>
          <w:p w14:paraId="6EFF4F07"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6,817 </w:t>
            </w:r>
          </w:p>
        </w:tc>
      </w:tr>
      <w:tr w:rsidR="00D844FD" w:rsidRPr="00D844FD" w14:paraId="43971876" w14:textId="77777777" w:rsidTr="00D844FD">
        <w:trPr>
          <w:trHeight w:hRule="exact" w:val="225"/>
        </w:trPr>
        <w:tc>
          <w:tcPr>
            <w:tcW w:w="2485" w:type="pct"/>
            <w:tcBorders>
              <w:top w:val="nil"/>
              <w:left w:val="nil"/>
              <w:bottom w:val="nil"/>
              <w:right w:val="nil"/>
            </w:tcBorders>
            <w:shd w:val="clear" w:color="auto" w:fill="auto"/>
            <w:vAlign w:val="bottom"/>
            <w:hideMark/>
          </w:tcPr>
          <w:p w14:paraId="17C2EBEF" w14:textId="77777777" w:rsidR="00D844FD" w:rsidRPr="00D844FD" w:rsidRDefault="00D844FD" w:rsidP="00D844FD">
            <w:pPr>
              <w:spacing w:after="0" w:line="240" w:lineRule="auto"/>
              <w:ind w:left="170"/>
              <w:jc w:val="left"/>
              <w:rPr>
                <w:rFonts w:ascii="Arial" w:hAnsi="Arial" w:cs="Arial"/>
                <w:sz w:val="16"/>
                <w:szCs w:val="16"/>
              </w:rPr>
            </w:pPr>
            <w:r w:rsidRPr="00D844FD">
              <w:rPr>
                <w:rFonts w:ascii="Arial" w:hAnsi="Arial" w:cs="Arial"/>
                <w:sz w:val="16"/>
                <w:szCs w:val="16"/>
              </w:rPr>
              <w:t>Gross book value - ROU assets</w:t>
            </w:r>
          </w:p>
        </w:tc>
        <w:tc>
          <w:tcPr>
            <w:tcW w:w="629" w:type="pct"/>
            <w:tcBorders>
              <w:top w:val="nil"/>
              <w:left w:val="nil"/>
              <w:bottom w:val="nil"/>
              <w:right w:val="nil"/>
            </w:tcBorders>
            <w:shd w:val="clear" w:color="auto" w:fill="auto"/>
            <w:noWrap/>
            <w:vAlign w:val="bottom"/>
            <w:hideMark/>
          </w:tcPr>
          <w:p w14:paraId="2BE1E0D4"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19,839 </w:t>
            </w:r>
          </w:p>
        </w:tc>
        <w:tc>
          <w:tcPr>
            <w:tcW w:w="629" w:type="pct"/>
            <w:tcBorders>
              <w:top w:val="nil"/>
              <w:left w:val="nil"/>
              <w:bottom w:val="nil"/>
              <w:right w:val="nil"/>
            </w:tcBorders>
            <w:shd w:val="clear" w:color="auto" w:fill="auto"/>
            <w:noWrap/>
            <w:vAlign w:val="bottom"/>
            <w:hideMark/>
          </w:tcPr>
          <w:p w14:paraId="137AF6EA"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 </w:t>
            </w:r>
          </w:p>
        </w:tc>
        <w:tc>
          <w:tcPr>
            <w:tcW w:w="629" w:type="pct"/>
            <w:tcBorders>
              <w:top w:val="nil"/>
              <w:left w:val="nil"/>
              <w:bottom w:val="nil"/>
              <w:right w:val="nil"/>
            </w:tcBorders>
            <w:shd w:val="clear" w:color="auto" w:fill="auto"/>
            <w:noWrap/>
            <w:vAlign w:val="bottom"/>
            <w:hideMark/>
          </w:tcPr>
          <w:p w14:paraId="6F5F36F0"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 </w:t>
            </w:r>
          </w:p>
        </w:tc>
        <w:tc>
          <w:tcPr>
            <w:tcW w:w="629" w:type="pct"/>
            <w:tcBorders>
              <w:top w:val="nil"/>
              <w:left w:val="nil"/>
              <w:bottom w:val="nil"/>
              <w:right w:val="nil"/>
            </w:tcBorders>
            <w:shd w:val="clear" w:color="auto" w:fill="auto"/>
            <w:noWrap/>
            <w:vAlign w:val="bottom"/>
            <w:hideMark/>
          </w:tcPr>
          <w:p w14:paraId="32CB7D6A"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19,839 </w:t>
            </w:r>
          </w:p>
        </w:tc>
      </w:tr>
      <w:tr w:rsidR="00D844FD" w:rsidRPr="00D844FD" w14:paraId="36F76F53" w14:textId="77777777" w:rsidTr="00D844FD">
        <w:trPr>
          <w:trHeight w:hRule="exact" w:val="450"/>
        </w:trPr>
        <w:tc>
          <w:tcPr>
            <w:tcW w:w="2485" w:type="pct"/>
            <w:tcBorders>
              <w:top w:val="nil"/>
              <w:left w:val="nil"/>
              <w:bottom w:val="nil"/>
              <w:right w:val="nil"/>
            </w:tcBorders>
            <w:shd w:val="clear" w:color="auto" w:fill="auto"/>
            <w:vAlign w:val="bottom"/>
            <w:hideMark/>
          </w:tcPr>
          <w:p w14:paraId="16922F40" w14:textId="77777777" w:rsidR="00D844FD" w:rsidRPr="00D844FD" w:rsidRDefault="00D844FD" w:rsidP="00D844FD">
            <w:pPr>
              <w:spacing w:after="0" w:line="240" w:lineRule="auto"/>
              <w:ind w:left="170"/>
              <w:jc w:val="left"/>
              <w:rPr>
                <w:rFonts w:ascii="Arial" w:hAnsi="Arial" w:cs="Arial"/>
                <w:sz w:val="16"/>
                <w:szCs w:val="16"/>
              </w:rPr>
            </w:pPr>
            <w:r w:rsidRPr="00D844FD">
              <w:rPr>
                <w:rFonts w:ascii="Arial" w:hAnsi="Arial" w:cs="Arial"/>
                <w:sz w:val="16"/>
                <w:szCs w:val="16"/>
              </w:rPr>
              <w:t>Accumulated depreciation/</w:t>
            </w:r>
            <w:r w:rsidRPr="00D844FD">
              <w:rPr>
                <w:rFonts w:ascii="Arial" w:hAnsi="Arial" w:cs="Arial"/>
                <w:sz w:val="16"/>
                <w:szCs w:val="16"/>
              </w:rPr>
              <w:br/>
              <w:t xml:space="preserve">  amortisation and impairment</w:t>
            </w:r>
          </w:p>
        </w:tc>
        <w:tc>
          <w:tcPr>
            <w:tcW w:w="629" w:type="pct"/>
            <w:tcBorders>
              <w:top w:val="nil"/>
              <w:left w:val="nil"/>
              <w:bottom w:val="nil"/>
              <w:right w:val="nil"/>
            </w:tcBorders>
            <w:shd w:val="clear" w:color="auto" w:fill="auto"/>
            <w:noWrap/>
            <w:vAlign w:val="bottom"/>
            <w:hideMark/>
          </w:tcPr>
          <w:p w14:paraId="012B6F90"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(1,300)</w:t>
            </w:r>
          </w:p>
        </w:tc>
        <w:tc>
          <w:tcPr>
            <w:tcW w:w="629" w:type="pct"/>
            <w:tcBorders>
              <w:top w:val="nil"/>
              <w:left w:val="nil"/>
              <w:bottom w:val="nil"/>
              <w:right w:val="nil"/>
            </w:tcBorders>
            <w:shd w:val="clear" w:color="auto" w:fill="auto"/>
            <w:noWrap/>
            <w:vAlign w:val="bottom"/>
            <w:hideMark/>
          </w:tcPr>
          <w:p w14:paraId="7A639B76"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(760)</w:t>
            </w:r>
          </w:p>
        </w:tc>
        <w:tc>
          <w:tcPr>
            <w:tcW w:w="629" w:type="pct"/>
            <w:tcBorders>
              <w:top w:val="nil"/>
              <w:left w:val="nil"/>
              <w:bottom w:val="nil"/>
              <w:right w:val="nil"/>
            </w:tcBorders>
            <w:shd w:val="clear" w:color="auto" w:fill="auto"/>
            <w:noWrap/>
            <w:vAlign w:val="bottom"/>
            <w:hideMark/>
          </w:tcPr>
          <w:p w14:paraId="5A4FE7E4"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(772)</w:t>
            </w:r>
          </w:p>
        </w:tc>
        <w:tc>
          <w:tcPr>
            <w:tcW w:w="629" w:type="pct"/>
            <w:tcBorders>
              <w:top w:val="nil"/>
              <w:left w:val="nil"/>
              <w:bottom w:val="nil"/>
              <w:right w:val="nil"/>
            </w:tcBorders>
            <w:shd w:val="clear" w:color="auto" w:fill="auto"/>
            <w:noWrap/>
            <w:vAlign w:val="bottom"/>
            <w:hideMark/>
          </w:tcPr>
          <w:p w14:paraId="467FFC1B"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(2,832)</w:t>
            </w:r>
          </w:p>
        </w:tc>
      </w:tr>
      <w:tr w:rsidR="00D844FD" w:rsidRPr="00D844FD" w14:paraId="020EBCAC" w14:textId="77777777" w:rsidTr="00D844FD">
        <w:trPr>
          <w:trHeight w:hRule="exact" w:val="450"/>
        </w:trPr>
        <w:tc>
          <w:tcPr>
            <w:tcW w:w="2485" w:type="pct"/>
            <w:tcBorders>
              <w:top w:val="nil"/>
              <w:left w:val="nil"/>
              <w:bottom w:val="nil"/>
              <w:right w:val="nil"/>
            </w:tcBorders>
            <w:shd w:val="clear" w:color="auto" w:fill="auto"/>
            <w:vAlign w:val="bottom"/>
            <w:hideMark/>
          </w:tcPr>
          <w:p w14:paraId="4D76A2FC" w14:textId="77777777" w:rsidR="00D844FD" w:rsidRPr="00D844FD" w:rsidRDefault="00D844FD" w:rsidP="00D844FD">
            <w:pPr>
              <w:spacing w:after="0" w:line="240" w:lineRule="auto"/>
              <w:ind w:left="170"/>
              <w:jc w:val="left"/>
              <w:rPr>
                <w:rFonts w:ascii="Arial" w:hAnsi="Arial" w:cs="Arial"/>
                <w:sz w:val="16"/>
                <w:szCs w:val="16"/>
              </w:rPr>
            </w:pPr>
            <w:r w:rsidRPr="00D844FD">
              <w:rPr>
                <w:rFonts w:ascii="Arial" w:hAnsi="Arial" w:cs="Arial"/>
                <w:sz w:val="16"/>
                <w:szCs w:val="16"/>
              </w:rPr>
              <w:t>Accumulated depreciation/amortisation and impairment - ROU assets</w:t>
            </w:r>
          </w:p>
        </w:tc>
        <w:tc>
          <w:tcPr>
            <w:tcW w:w="629" w:type="pct"/>
            <w:tcBorders>
              <w:top w:val="nil"/>
              <w:left w:val="nil"/>
              <w:bottom w:val="nil"/>
              <w:right w:val="nil"/>
            </w:tcBorders>
            <w:shd w:val="clear" w:color="auto" w:fill="auto"/>
            <w:noWrap/>
            <w:vAlign w:val="bottom"/>
            <w:hideMark/>
          </w:tcPr>
          <w:p w14:paraId="5B578399"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(7,187)</w:t>
            </w:r>
          </w:p>
        </w:tc>
        <w:tc>
          <w:tcPr>
            <w:tcW w:w="629" w:type="pct"/>
            <w:tcBorders>
              <w:top w:val="nil"/>
              <w:left w:val="nil"/>
              <w:bottom w:val="nil"/>
              <w:right w:val="nil"/>
            </w:tcBorders>
            <w:shd w:val="clear" w:color="auto" w:fill="auto"/>
            <w:noWrap/>
            <w:vAlign w:val="bottom"/>
            <w:hideMark/>
          </w:tcPr>
          <w:p w14:paraId="47606D8E"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 </w:t>
            </w:r>
          </w:p>
        </w:tc>
        <w:tc>
          <w:tcPr>
            <w:tcW w:w="629" w:type="pct"/>
            <w:tcBorders>
              <w:top w:val="nil"/>
              <w:left w:val="nil"/>
              <w:bottom w:val="nil"/>
              <w:right w:val="nil"/>
            </w:tcBorders>
            <w:shd w:val="clear" w:color="auto" w:fill="auto"/>
            <w:noWrap/>
            <w:vAlign w:val="bottom"/>
            <w:hideMark/>
          </w:tcPr>
          <w:p w14:paraId="5957CCC8"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 xml:space="preserve">- </w:t>
            </w:r>
          </w:p>
        </w:tc>
        <w:tc>
          <w:tcPr>
            <w:tcW w:w="629" w:type="pct"/>
            <w:tcBorders>
              <w:top w:val="nil"/>
              <w:left w:val="nil"/>
              <w:bottom w:val="nil"/>
              <w:right w:val="nil"/>
            </w:tcBorders>
            <w:shd w:val="clear" w:color="auto" w:fill="auto"/>
            <w:noWrap/>
            <w:vAlign w:val="bottom"/>
            <w:hideMark/>
          </w:tcPr>
          <w:p w14:paraId="1857F996" w14:textId="77777777" w:rsidR="00D844FD" w:rsidRPr="00D844FD" w:rsidRDefault="00D844FD" w:rsidP="00D844FD">
            <w:pPr>
              <w:spacing w:after="0" w:line="240" w:lineRule="auto"/>
              <w:jc w:val="right"/>
              <w:rPr>
                <w:rFonts w:ascii="Arial" w:hAnsi="Arial" w:cs="Arial"/>
                <w:sz w:val="16"/>
                <w:szCs w:val="16"/>
              </w:rPr>
            </w:pPr>
            <w:r w:rsidRPr="00D844FD">
              <w:rPr>
                <w:rFonts w:ascii="Arial" w:hAnsi="Arial" w:cs="Arial"/>
                <w:sz w:val="16"/>
                <w:szCs w:val="16"/>
              </w:rPr>
              <w:t>(7,187)</w:t>
            </w:r>
          </w:p>
        </w:tc>
      </w:tr>
      <w:tr w:rsidR="00D844FD" w:rsidRPr="00D844FD" w14:paraId="4E9CF7BD" w14:textId="77777777" w:rsidTr="00D844FD">
        <w:trPr>
          <w:trHeight w:hRule="exact" w:val="225"/>
        </w:trPr>
        <w:tc>
          <w:tcPr>
            <w:tcW w:w="2485" w:type="pct"/>
            <w:tcBorders>
              <w:top w:val="nil"/>
              <w:left w:val="nil"/>
              <w:bottom w:val="single" w:sz="4" w:space="0" w:color="auto"/>
              <w:right w:val="nil"/>
            </w:tcBorders>
            <w:shd w:val="clear" w:color="auto" w:fill="auto"/>
            <w:noWrap/>
            <w:vAlign w:val="bottom"/>
            <w:hideMark/>
          </w:tcPr>
          <w:p w14:paraId="0A68C969" w14:textId="77777777" w:rsidR="00D844FD" w:rsidRPr="00D844FD" w:rsidRDefault="00D844FD" w:rsidP="00D844FD">
            <w:pPr>
              <w:spacing w:after="0" w:line="240" w:lineRule="auto"/>
              <w:jc w:val="left"/>
              <w:rPr>
                <w:rFonts w:ascii="Arial" w:hAnsi="Arial" w:cs="Arial"/>
                <w:b/>
                <w:bCs/>
                <w:sz w:val="16"/>
                <w:szCs w:val="16"/>
              </w:rPr>
            </w:pPr>
            <w:r w:rsidRPr="00D844FD">
              <w:rPr>
                <w:rFonts w:ascii="Arial" w:hAnsi="Arial" w:cs="Arial"/>
                <w:b/>
                <w:bCs/>
                <w:sz w:val="16"/>
                <w:szCs w:val="16"/>
              </w:rPr>
              <w:t>Closing net book balance</w:t>
            </w:r>
          </w:p>
        </w:tc>
        <w:tc>
          <w:tcPr>
            <w:tcW w:w="629" w:type="pct"/>
            <w:tcBorders>
              <w:top w:val="single" w:sz="4" w:space="0" w:color="auto"/>
              <w:left w:val="nil"/>
              <w:bottom w:val="single" w:sz="4" w:space="0" w:color="auto"/>
              <w:right w:val="nil"/>
            </w:tcBorders>
            <w:shd w:val="clear" w:color="auto" w:fill="auto"/>
            <w:noWrap/>
            <w:vAlign w:val="bottom"/>
            <w:hideMark/>
          </w:tcPr>
          <w:p w14:paraId="71037A17" w14:textId="77777777" w:rsidR="00D844FD" w:rsidRPr="00D844FD" w:rsidRDefault="00D844FD" w:rsidP="00D844FD">
            <w:pPr>
              <w:spacing w:after="0" w:line="240" w:lineRule="auto"/>
              <w:jc w:val="right"/>
              <w:rPr>
                <w:rFonts w:ascii="Arial" w:hAnsi="Arial" w:cs="Arial"/>
                <w:b/>
                <w:bCs/>
                <w:sz w:val="16"/>
                <w:szCs w:val="16"/>
              </w:rPr>
            </w:pPr>
            <w:r w:rsidRPr="00D844FD">
              <w:rPr>
                <w:rFonts w:ascii="Arial" w:hAnsi="Arial" w:cs="Arial"/>
                <w:b/>
                <w:bCs/>
                <w:sz w:val="16"/>
                <w:szCs w:val="16"/>
              </w:rPr>
              <w:t xml:space="preserve">15,808 </w:t>
            </w:r>
          </w:p>
        </w:tc>
        <w:tc>
          <w:tcPr>
            <w:tcW w:w="629" w:type="pct"/>
            <w:tcBorders>
              <w:top w:val="single" w:sz="4" w:space="0" w:color="auto"/>
              <w:left w:val="nil"/>
              <w:bottom w:val="single" w:sz="4" w:space="0" w:color="auto"/>
              <w:right w:val="nil"/>
            </w:tcBorders>
            <w:shd w:val="clear" w:color="auto" w:fill="auto"/>
            <w:noWrap/>
            <w:vAlign w:val="bottom"/>
            <w:hideMark/>
          </w:tcPr>
          <w:p w14:paraId="2D6FB6FD" w14:textId="77777777" w:rsidR="00D844FD" w:rsidRPr="00D844FD" w:rsidRDefault="00D844FD" w:rsidP="00D844FD">
            <w:pPr>
              <w:spacing w:after="0" w:line="240" w:lineRule="auto"/>
              <w:jc w:val="right"/>
              <w:rPr>
                <w:rFonts w:ascii="Arial" w:hAnsi="Arial" w:cs="Arial"/>
                <w:b/>
                <w:bCs/>
                <w:sz w:val="16"/>
                <w:szCs w:val="16"/>
              </w:rPr>
            </w:pPr>
            <w:r w:rsidRPr="00D844FD">
              <w:rPr>
                <w:rFonts w:ascii="Arial" w:hAnsi="Arial" w:cs="Arial"/>
                <w:b/>
                <w:bCs/>
                <w:sz w:val="16"/>
                <w:szCs w:val="16"/>
              </w:rPr>
              <w:t xml:space="preserve">759 </w:t>
            </w:r>
          </w:p>
        </w:tc>
        <w:tc>
          <w:tcPr>
            <w:tcW w:w="629" w:type="pct"/>
            <w:tcBorders>
              <w:top w:val="single" w:sz="4" w:space="0" w:color="auto"/>
              <w:left w:val="nil"/>
              <w:bottom w:val="single" w:sz="4" w:space="0" w:color="auto"/>
              <w:right w:val="nil"/>
            </w:tcBorders>
            <w:shd w:val="clear" w:color="auto" w:fill="auto"/>
            <w:noWrap/>
            <w:vAlign w:val="bottom"/>
            <w:hideMark/>
          </w:tcPr>
          <w:p w14:paraId="31CBCF2B" w14:textId="77777777" w:rsidR="00D844FD" w:rsidRPr="00D844FD" w:rsidRDefault="00D844FD" w:rsidP="00D844FD">
            <w:pPr>
              <w:spacing w:after="0" w:line="240" w:lineRule="auto"/>
              <w:jc w:val="right"/>
              <w:rPr>
                <w:rFonts w:ascii="Arial" w:hAnsi="Arial" w:cs="Arial"/>
                <w:b/>
                <w:bCs/>
                <w:sz w:val="16"/>
                <w:szCs w:val="16"/>
              </w:rPr>
            </w:pPr>
            <w:r w:rsidRPr="00D844FD">
              <w:rPr>
                <w:rFonts w:ascii="Arial" w:hAnsi="Arial" w:cs="Arial"/>
                <w:b/>
                <w:bCs/>
                <w:sz w:val="16"/>
                <w:szCs w:val="16"/>
              </w:rPr>
              <w:t xml:space="preserve">70 </w:t>
            </w:r>
          </w:p>
        </w:tc>
        <w:tc>
          <w:tcPr>
            <w:tcW w:w="629" w:type="pct"/>
            <w:tcBorders>
              <w:top w:val="single" w:sz="4" w:space="0" w:color="auto"/>
              <w:left w:val="nil"/>
              <w:bottom w:val="single" w:sz="4" w:space="0" w:color="auto"/>
              <w:right w:val="nil"/>
            </w:tcBorders>
            <w:shd w:val="clear" w:color="auto" w:fill="auto"/>
            <w:noWrap/>
            <w:vAlign w:val="bottom"/>
            <w:hideMark/>
          </w:tcPr>
          <w:p w14:paraId="72D7747E" w14:textId="77777777" w:rsidR="00D844FD" w:rsidRPr="00D844FD" w:rsidRDefault="00D844FD" w:rsidP="00D844FD">
            <w:pPr>
              <w:spacing w:after="0" w:line="240" w:lineRule="auto"/>
              <w:jc w:val="right"/>
              <w:rPr>
                <w:rFonts w:ascii="Arial" w:hAnsi="Arial" w:cs="Arial"/>
                <w:b/>
                <w:bCs/>
                <w:sz w:val="16"/>
                <w:szCs w:val="16"/>
              </w:rPr>
            </w:pPr>
            <w:r w:rsidRPr="00D844FD">
              <w:rPr>
                <w:rFonts w:ascii="Arial" w:hAnsi="Arial" w:cs="Arial"/>
                <w:b/>
                <w:bCs/>
                <w:sz w:val="16"/>
                <w:szCs w:val="16"/>
              </w:rPr>
              <w:t xml:space="preserve">16,637 </w:t>
            </w:r>
          </w:p>
        </w:tc>
      </w:tr>
    </w:tbl>
    <w:p w14:paraId="20CB4C54" w14:textId="2F18E971" w:rsidR="000A088A" w:rsidRPr="00D844FD" w:rsidRDefault="00DE388C" w:rsidP="00D844FD">
      <w:pPr>
        <w:pStyle w:val="TableGraphic"/>
        <w:rPr>
          <w:rFonts w:ascii="Arial" w:hAnsi="Arial" w:cs="Arial"/>
          <w:sz w:val="16"/>
          <w:szCs w:val="16"/>
        </w:rPr>
      </w:pPr>
      <w:r w:rsidRPr="00D844FD">
        <w:rPr>
          <w:rFonts w:ascii="Arial" w:hAnsi="Arial" w:cs="Arial"/>
          <w:sz w:val="16"/>
          <w:szCs w:val="16"/>
        </w:rPr>
        <w:t>Prepared on Australian Accounting Standards basis.</w:t>
      </w:r>
    </w:p>
    <w:p w14:paraId="5178D1D1" w14:textId="668B2D78" w:rsidR="000C3B86" w:rsidRPr="00B37035" w:rsidRDefault="00E6396A" w:rsidP="003E4D9D">
      <w:pPr>
        <w:pStyle w:val="ChartandTableFootnoteAlpha"/>
        <w:numPr>
          <w:ilvl w:val="0"/>
          <w:numId w:val="12"/>
        </w:numPr>
      </w:pPr>
      <w:r>
        <w:t>‘</w:t>
      </w:r>
      <w:r w:rsidR="00DE388C" w:rsidRPr="00DE388C">
        <w:t>Appropriation ordinary annual services</w:t>
      </w:r>
      <w:r>
        <w:t>’</w:t>
      </w:r>
      <w:r w:rsidR="00DE388C" w:rsidRPr="00DE388C">
        <w:t xml:space="preserve"> refers to funding provided through Appropriation Bill (No. 1) 2022</w:t>
      </w:r>
      <w:r>
        <w:noBreakHyphen/>
      </w:r>
      <w:r w:rsidR="00DE388C" w:rsidRPr="00DE388C">
        <w:t>23 for depreciation/amortisation expenses, DCBs or other operational expenses.</w:t>
      </w:r>
    </w:p>
    <w:sectPr w:rsidR="000C3B86" w:rsidRPr="00B37035" w:rsidSect="00170128">
      <w:headerReference w:type="even" r:id="rId16"/>
      <w:headerReference w:type="default" r:id="rId17"/>
      <w:headerReference w:type="first" r:id="rId18"/>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C2A31" w14:textId="77777777" w:rsidR="00B17DBB" w:rsidRDefault="00B17DBB" w:rsidP="00C07DEC">
      <w:r>
        <w:separator/>
      </w:r>
    </w:p>
  </w:endnote>
  <w:endnote w:type="continuationSeparator" w:id="0">
    <w:p w14:paraId="080FDFA3" w14:textId="77777777" w:rsidR="00B17DBB" w:rsidRDefault="00B17DBB"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E865" w14:textId="1382150F" w:rsidR="00BC3C69" w:rsidRPr="0019014B" w:rsidRDefault="00BC3C69" w:rsidP="0019014B">
    <w:pPr>
      <w:pStyle w:val="FooterEven"/>
      <w:rPr>
        <w:rStyle w:val="PageNumber"/>
        <w:rFonts w:cs="Times New Roman"/>
        <w:sz w:val="18"/>
      </w:rPr>
    </w:pPr>
    <w:r w:rsidRPr="0019014B">
      <w:rPr>
        <w:rStyle w:val="PageNumber"/>
        <w:rFonts w:cs="Times New Roman"/>
        <w:b/>
        <w:bCs w:val="0"/>
        <w:sz w:val="18"/>
      </w:rPr>
      <w:t xml:space="preserve">Page </w:t>
    </w:r>
    <w:r w:rsidRPr="0019014B">
      <w:rPr>
        <w:rStyle w:val="PageNumber"/>
        <w:rFonts w:cs="Times New Roman"/>
        <w:b/>
        <w:bCs w:val="0"/>
        <w:sz w:val="18"/>
      </w:rPr>
      <w:fldChar w:fldCharType="begin"/>
    </w:r>
    <w:r w:rsidRPr="0019014B">
      <w:rPr>
        <w:rStyle w:val="PageNumber"/>
        <w:rFonts w:cs="Times New Roman"/>
        <w:b/>
        <w:bCs w:val="0"/>
        <w:sz w:val="18"/>
      </w:rPr>
      <w:instrText xml:space="preserve"> PAGE </w:instrText>
    </w:r>
    <w:r w:rsidRPr="0019014B">
      <w:rPr>
        <w:rStyle w:val="PageNumber"/>
        <w:rFonts w:cs="Times New Roman"/>
        <w:b/>
        <w:bCs w:val="0"/>
        <w:sz w:val="18"/>
      </w:rPr>
      <w:fldChar w:fldCharType="separate"/>
    </w:r>
    <w:r w:rsidRPr="0019014B">
      <w:rPr>
        <w:rStyle w:val="PageNumber"/>
        <w:rFonts w:cs="Times New Roman"/>
        <w:b/>
        <w:bCs w:val="0"/>
        <w:sz w:val="18"/>
      </w:rPr>
      <w:t>4</w:t>
    </w:r>
    <w:r w:rsidRPr="0019014B">
      <w:rPr>
        <w:rStyle w:val="PageNumber"/>
        <w:rFonts w:cs="Times New Roman"/>
        <w:b/>
        <w:bCs w:val="0"/>
        <w:sz w:val="18"/>
      </w:rPr>
      <w:fldChar w:fldCharType="end"/>
    </w:r>
    <w:r w:rsidRPr="0019014B">
      <w:rPr>
        <w:rStyle w:val="PageNumber"/>
        <w:rFonts w:cs="Times New Roman"/>
        <w:sz w:val="18"/>
      </w:rPr>
      <w:t xml:space="preserve">  |  </w:t>
    </w:r>
    <w:r w:rsidRPr="0019014B">
      <w:rPr>
        <w:rStyle w:val="PageNumber"/>
        <w:rFonts w:cs="Times New Roman"/>
        <w:sz w:val="18"/>
      </w:rPr>
      <w:fldChar w:fldCharType="begin"/>
    </w:r>
    <w:r w:rsidRPr="0019014B">
      <w:rPr>
        <w:rStyle w:val="PageNumber"/>
        <w:rFonts w:cs="Times New Roman"/>
        <w:sz w:val="18"/>
      </w:rPr>
      <w:instrText xml:space="preserve"> STYLEREF  </w:instrText>
    </w:r>
    <w:r w:rsidR="00E6396A">
      <w:rPr>
        <w:rStyle w:val="PageNumber"/>
        <w:rFonts w:cs="Times New Roman"/>
        <w:sz w:val="18"/>
      </w:rPr>
      <w:instrText>“</w:instrText>
    </w:r>
    <w:r w:rsidRPr="0019014B">
      <w:rPr>
        <w:rStyle w:val="PageNumber"/>
        <w:rFonts w:cs="Times New Roman"/>
        <w:sz w:val="18"/>
      </w:rPr>
      <w:instrText>Heading 1</w:instrText>
    </w:r>
    <w:r w:rsidR="00E6396A">
      <w:rPr>
        <w:rStyle w:val="PageNumber"/>
        <w:rFonts w:cs="Times New Roman"/>
        <w:sz w:val="18"/>
      </w:rPr>
      <w:instrText>”</w:instrText>
    </w:r>
    <w:r w:rsidRPr="0019014B">
      <w:rPr>
        <w:rStyle w:val="PageNumber"/>
        <w:rFonts w:cs="Times New Roman"/>
        <w:sz w:val="18"/>
      </w:rPr>
      <w:instrText xml:space="preserve">  \* MERGEFORMAT </w:instrText>
    </w:r>
    <w:r w:rsidRPr="0019014B">
      <w:rPr>
        <w:rStyle w:val="PageNumber"/>
        <w:rFonts w:cs="Times New Roman"/>
        <w:sz w:val="18"/>
      </w:rPr>
      <w:fldChar w:fldCharType="separate"/>
    </w:r>
    <w:r w:rsidR="000D4D95">
      <w:rPr>
        <w:rStyle w:val="PageNumber"/>
        <w:rFonts w:cs="Times New Roman"/>
        <w:noProof/>
        <w:sz w:val="18"/>
      </w:rPr>
      <w:t>Productivity Commission</w:t>
    </w:r>
    <w:r w:rsidRPr="0019014B">
      <w:rPr>
        <w:rStyle w:val="PageNumber"/>
        <w:rFonts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07B3" w14:textId="2CC081AF" w:rsidR="00BC3C69" w:rsidRPr="0019014B" w:rsidRDefault="00BC3C69" w:rsidP="0019014B">
    <w:pPr>
      <w:pStyle w:val="FooterOdd"/>
      <w:rPr>
        <w:rStyle w:val="PageNumber"/>
        <w:rFonts w:cs="Times New Roman"/>
        <w:sz w:val="18"/>
      </w:rPr>
    </w:pPr>
    <w:r w:rsidRPr="0019014B">
      <w:rPr>
        <w:rStyle w:val="PageNumber"/>
        <w:rFonts w:cs="Times New Roman"/>
        <w:sz w:val="18"/>
      </w:rPr>
      <w:fldChar w:fldCharType="begin"/>
    </w:r>
    <w:r w:rsidRPr="0019014B">
      <w:rPr>
        <w:rStyle w:val="PageNumber"/>
        <w:rFonts w:cs="Times New Roman"/>
        <w:sz w:val="18"/>
      </w:rPr>
      <w:instrText xml:space="preserve"> STYLEREF  </w:instrText>
    </w:r>
    <w:r w:rsidR="00E6396A">
      <w:rPr>
        <w:rStyle w:val="PageNumber"/>
        <w:rFonts w:cs="Times New Roman"/>
        <w:sz w:val="18"/>
      </w:rPr>
      <w:instrText>“</w:instrText>
    </w:r>
    <w:r w:rsidRPr="0019014B">
      <w:rPr>
        <w:rStyle w:val="PageNumber"/>
        <w:rFonts w:cs="Times New Roman"/>
        <w:sz w:val="18"/>
      </w:rPr>
      <w:instrText>Heading 1</w:instrText>
    </w:r>
    <w:r w:rsidR="00E6396A">
      <w:rPr>
        <w:rStyle w:val="PageNumber"/>
        <w:rFonts w:cs="Times New Roman"/>
        <w:sz w:val="18"/>
      </w:rPr>
      <w:instrText>”</w:instrText>
    </w:r>
    <w:r w:rsidRPr="0019014B">
      <w:rPr>
        <w:rStyle w:val="PageNumber"/>
        <w:rFonts w:cs="Times New Roman"/>
        <w:sz w:val="18"/>
      </w:rPr>
      <w:instrText xml:space="preserve">  \* MERGEFORMAT </w:instrText>
    </w:r>
    <w:r w:rsidRPr="0019014B">
      <w:rPr>
        <w:rStyle w:val="PageNumber"/>
        <w:rFonts w:cs="Times New Roman"/>
        <w:sz w:val="18"/>
      </w:rPr>
      <w:fldChar w:fldCharType="separate"/>
    </w:r>
    <w:r w:rsidR="000D4D95">
      <w:rPr>
        <w:rStyle w:val="PageNumber"/>
        <w:rFonts w:cs="Times New Roman"/>
        <w:noProof/>
        <w:sz w:val="18"/>
      </w:rPr>
      <w:t>Productivity Commission</w:t>
    </w:r>
    <w:r w:rsidRPr="0019014B">
      <w:rPr>
        <w:rStyle w:val="PageNumber"/>
        <w:rFonts w:cs="Times New Roman"/>
        <w:sz w:val="18"/>
      </w:rPr>
      <w:fldChar w:fldCharType="end"/>
    </w:r>
    <w:r w:rsidRPr="0019014B">
      <w:rPr>
        <w:rStyle w:val="PageNumber"/>
        <w:rFonts w:cs="Times New Roman"/>
        <w:sz w:val="18"/>
      </w:rPr>
      <w:t xml:space="preserve">  |  </w:t>
    </w:r>
    <w:r w:rsidRPr="0019014B">
      <w:rPr>
        <w:rStyle w:val="PageNumber"/>
        <w:rFonts w:cs="Times New Roman"/>
        <w:b/>
        <w:bCs/>
        <w:sz w:val="18"/>
      </w:rPr>
      <w:t xml:space="preserve">Page </w:t>
    </w:r>
    <w:r w:rsidRPr="0019014B">
      <w:rPr>
        <w:rStyle w:val="PageNumber"/>
        <w:rFonts w:cs="Times New Roman"/>
        <w:b/>
        <w:bCs/>
        <w:sz w:val="18"/>
      </w:rPr>
      <w:fldChar w:fldCharType="begin"/>
    </w:r>
    <w:r w:rsidRPr="0019014B">
      <w:rPr>
        <w:rStyle w:val="PageNumber"/>
        <w:rFonts w:cs="Times New Roman"/>
        <w:b/>
        <w:bCs/>
        <w:sz w:val="18"/>
      </w:rPr>
      <w:instrText xml:space="preserve"> PAGE  \* Arabic </w:instrText>
    </w:r>
    <w:r w:rsidRPr="0019014B">
      <w:rPr>
        <w:rStyle w:val="PageNumber"/>
        <w:rFonts w:cs="Times New Roman"/>
        <w:b/>
        <w:bCs/>
        <w:sz w:val="18"/>
      </w:rPr>
      <w:fldChar w:fldCharType="separate"/>
    </w:r>
    <w:r w:rsidRPr="0019014B">
      <w:rPr>
        <w:rStyle w:val="PageNumber"/>
        <w:rFonts w:cs="Times New Roman"/>
        <w:b/>
        <w:bCs/>
        <w:sz w:val="18"/>
      </w:rPr>
      <w:t>5</w:t>
    </w:r>
    <w:r w:rsidRPr="0019014B">
      <w:rPr>
        <w:rStyle w:val="PageNumber"/>
        <w:rFonts w:cs="Times New Roman"/>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97C0" w14:textId="67FB304F" w:rsidR="00BC3C69" w:rsidRPr="0019014B" w:rsidRDefault="00BC3C69" w:rsidP="0019014B">
    <w:pPr>
      <w:pStyle w:val="FooterOdd"/>
      <w:rPr>
        <w:rStyle w:val="PageNumber"/>
        <w:rFonts w:cs="Times New Roman"/>
        <w:sz w:val="18"/>
      </w:rPr>
    </w:pPr>
    <w:r w:rsidRPr="0019014B">
      <w:rPr>
        <w:rStyle w:val="PageNumber"/>
        <w:rFonts w:cs="Times New Roman"/>
        <w:sz w:val="18"/>
      </w:rPr>
      <w:fldChar w:fldCharType="begin"/>
    </w:r>
    <w:r w:rsidRPr="0019014B">
      <w:rPr>
        <w:rStyle w:val="PageNumber"/>
        <w:rFonts w:cs="Times New Roman"/>
        <w:sz w:val="18"/>
      </w:rPr>
      <w:instrText xml:space="preserve"> STYLEREF  </w:instrText>
    </w:r>
    <w:r w:rsidR="00E6396A">
      <w:rPr>
        <w:rStyle w:val="PageNumber"/>
        <w:rFonts w:cs="Times New Roman"/>
        <w:sz w:val="18"/>
      </w:rPr>
      <w:instrText>“</w:instrText>
    </w:r>
    <w:r w:rsidRPr="0019014B">
      <w:rPr>
        <w:rStyle w:val="PageNumber"/>
        <w:rFonts w:cs="Times New Roman"/>
        <w:sz w:val="18"/>
      </w:rPr>
      <w:instrText>Heading 1</w:instrText>
    </w:r>
    <w:r w:rsidR="00E6396A">
      <w:rPr>
        <w:rStyle w:val="PageNumber"/>
        <w:rFonts w:cs="Times New Roman"/>
        <w:sz w:val="18"/>
      </w:rPr>
      <w:instrText>”</w:instrText>
    </w:r>
    <w:r w:rsidRPr="0019014B">
      <w:rPr>
        <w:rStyle w:val="PageNumber"/>
        <w:rFonts w:cs="Times New Roman"/>
        <w:sz w:val="18"/>
      </w:rPr>
      <w:instrText xml:space="preserve">  \* MERGEFORMAT </w:instrText>
    </w:r>
    <w:r w:rsidRPr="0019014B">
      <w:rPr>
        <w:rStyle w:val="PageNumber"/>
        <w:rFonts w:cs="Times New Roman"/>
        <w:sz w:val="18"/>
      </w:rPr>
      <w:fldChar w:fldCharType="separate"/>
    </w:r>
    <w:r w:rsidR="000D4D95">
      <w:rPr>
        <w:rStyle w:val="PageNumber"/>
        <w:rFonts w:cs="Times New Roman"/>
        <w:noProof/>
        <w:sz w:val="18"/>
      </w:rPr>
      <w:t>Productivity Commission</w:t>
    </w:r>
    <w:r w:rsidRPr="0019014B">
      <w:rPr>
        <w:rStyle w:val="PageNumber"/>
        <w:rFonts w:cs="Times New Roman"/>
        <w:sz w:val="18"/>
      </w:rPr>
      <w:fldChar w:fldCharType="end"/>
    </w:r>
    <w:r w:rsidRPr="0019014B">
      <w:rPr>
        <w:rStyle w:val="PageNumber"/>
        <w:rFonts w:cs="Times New Roman"/>
        <w:sz w:val="18"/>
      </w:rPr>
      <w:t xml:space="preserve">  |  </w:t>
    </w:r>
    <w:r w:rsidRPr="0019014B">
      <w:rPr>
        <w:rStyle w:val="PageNumber"/>
        <w:rFonts w:cs="Times New Roman"/>
        <w:b/>
        <w:bCs/>
        <w:sz w:val="18"/>
      </w:rPr>
      <w:t xml:space="preserve">Page </w:t>
    </w:r>
    <w:r w:rsidR="00B57EB4" w:rsidRPr="00B57EB4">
      <w:rPr>
        <w:rStyle w:val="PageNumber"/>
        <w:rFonts w:cs="Times New Roman"/>
        <w:b/>
        <w:bCs/>
        <w:sz w:val="18"/>
      </w:rPr>
      <w:fldChar w:fldCharType="begin"/>
    </w:r>
    <w:r w:rsidR="00B57EB4" w:rsidRPr="00B57EB4">
      <w:rPr>
        <w:rStyle w:val="PageNumber"/>
        <w:rFonts w:cs="Times New Roman"/>
        <w:b/>
        <w:bCs/>
        <w:sz w:val="18"/>
      </w:rPr>
      <w:instrText xml:space="preserve"> PAGE   \* MERGEFORMAT </w:instrText>
    </w:r>
    <w:r w:rsidR="00B57EB4" w:rsidRPr="00B57EB4">
      <w:rPr>
        <w:rStyle w:val="PageNumber"/>
        <w:rFonts w:cs="Times New Roman"/>
        <w:b/>
        <w:bCs/>
        <w:sz w:val="18"/>
      </w:rPr>
      <w:fldChar w:fldCharType="separate"/>
    </w:r>
    <w:r w:rsidR="00B57EB4" w:rsidRPr="00B57EB4">
      <w:rPr>
        <w:rStyle w:val="PageNumber"/>
        <w:rFonts w:cs="Times New Roman"/>
        <w:b/>
        <w:bCs/>
        <w:noProof/>
        <w:sz w:val="18"/>
      </w:rPr>
      <w:t>1</w:t>
    </w:r>
    <w:r w:rsidR="00B57EB4" w:rsidRPr="00B57EB4">
      <w:rPr>
        <w:rStyle w:val="PageNumber"/>
        <w:rFonts w:cs="Times New Roman"/>
        <w:b/>
        <w:bCs/>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2F47" w14:textId="77777777" w:rsidR="00B17DBB" w:rsidRDefault="00B17DBB" w:rsidP="00C07DEC">
      <w:r>
        <w:separator/>
      </w:r>
    </w:p>
  </w:footnote>
  <w:footnote w:type="continuationSeparator" w:id="0">
    <w:p w14:paraId="6CB06147" w14:textId="77777777" w:rsidR="00B17DBB" w:rsidRDefault="00B17DBB"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3E4D9D" w14:paraId="30DEF087" w14:textId="77777777" w:rsidTr="00AD3D8C">
      <w:trPr>
        <w:trHeight w:hRule="exact" w:val="340"/>
      </w:trPr>
      <w:tc>
        <w:tcPr>
          <w:tcW w:w="7797" w:type="dxa"/>
        </w:tcPr>
        <w:p w14:paraId="36C14E20" w14:textId="77777777" w:rsidR="003E4D9D" w:rsidRDefault="003E4D9D" w:rsidP="00050A97">
          <w:pPr>
            <w:pStyle w:val="HeaderEven"/>
            <w:ind w:left="-113"/>
          </w:pPr>
          <w:r w:rsidRPr="000635BE">
            <w:rPr>
              <w:rFonts w:ascii="Arial Bold" w:hAnsi="Arial Bold"/>
              <w:b/>
              <w:bCs/>
              <w:noProof/>
              <w:position w:val="-10"/>
            </w:rPr>
            <w:drawing>
              <wp:inline distT="0" distB="0" distL="0" distR="0" wp14:anchorId="73BE28C8" wp14:editId="612F7445">
                <wp:extent cx="989308" cy="170121"/>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bl>
  <w:p w14:paraId="6BE67DA4" w14:textId="6305C5F2" w:rsidR="00224154" w:rsidRPr="00BC3C69" w:rsidRDefault="00224154" w:rsidP="00BC3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3E4D9D" w14:paraId="7790DE7D" w14:textId="77777777" w:rsidTr="00AD3D8C">
      <w:trPr>
        <w:trHeight w:hRule="exact" w:val="340"/>
      </w:trPr>
      <w:tc>
        <w:tcPr>
          <w:tcW w:w="7797" w:type="dxa"/>
        </w:tcPr>
        <w:p w14:paraId="124B8DF0" w14:textId="77777777" w:rsidR="003E4D9D" w:rsidRDefault="003E4D9D" w:rsidP="00050A97">
          <w:pPr>
            <w:pStyle w:val="HeaderOdd"/>
          </w:pPr>
          <w:r w:rsidRPr="00213592">
            <w:rPr>
              <w:position w:val="-2"/>
            </w:rPr>
            <w:t>Portfolio Budget Statements  |</w:t>
          </w:r>
          <w:r>
            <w:t xml:space="preserve">  </w:t>
          </w:r>
          <w:r w:rsidRPr="000635BE">
            <w:rPr>
              <w:rFonts w:ascii="Arial Bold" w:hAnsi="Arial Bold"/>
              <w:b/>
              <w:bCs/>
              <w:noProof/>
              <w:position w:val="-10"/>
            </w:rPr>
            <w:drawing>
              <wp:inline distT="0" distB="0" distL="0" distR="0" wp14:anchorId="0BB46B5B" wp14:editId="238744F9">
                <wp:extent cx="989308" cy="170121"/>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2BD3F0A8" w14:textId="584FE399" w:rsidR="00224154" w:rsidRPr="00BC3C69" w:rsidRDefault="00224154" w:rsidP="00BC3C6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2010" w14:textId="77777777" w:rsidR="00224154" w:rsidRPr="00B4084B" w:rsidRDefault="007C3C3B" w:rsidP="00B4084B">
    <w:pPr>
      <w:pStyle w:val="Header"/>
    </w:pPr>
    <w:r>
      <w:rPr>
        <w:noProof/>
        <w:lang w:val="en-AU"/>
      </w:rPr>
      <mc:AlternateContent>
        <mc:Choice Requires="wps">
          <w:drawing>
            <wp:anchor distT="0" distB="0" distL="0" distR="0" simplePos="0" relativeHeight="251654656" behindDoc="0" locked="1" layoutInCell="0" allowOverlap="1" wp14:anchorId="5242D605" wp14:editId="69195E3F">
              <wp:simplePos x="0" y="0"/>
              <wp:positionH relativeFrom="margin">
                <wp:align>center</wp:align>
              </wp:positionH>
              <wp:positionV relativeFrom="page">
                <wp:posOffset>512445</wp:posOffset>
              </wp:positionV>
              <wp:extent cx="4910455" cy="615315"/>
              <wp:effectExtent l="0" t="0" r="0" b="0"/>
              <wp:wrapSquare wrapText="bothSides"/>
              <wp:docPr id="8"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6604" w14:textId="77777777" w:rsidR="007C1DB0" w:rsidRDefault="007C1DB0"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2D605" id="_x0000_t202" coordsize="21600,21600" o:spt="202" path="m,l,21600r21600,l21600,xe">
              <v:stroke joinstyle="miter"/>
              <v:path gradientshapeok="t" o:connecttype="rect"/>
            </v:shapetype>
            <v:shape id="Text Box 45" o:spid="_x0000_s1026" type="#_x0000_t202" alt="Portrait Classification Header" style="position:absolute;margin-left:0;margin-top:40.35pt;width:386.65pt;height:48.45pt;z-index:25165465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" o:allowincell="f" filled="f" stroked="f">
              <v:textbox inset="0,0,0,0">
                <w:txbxContent>
                  <w:p w14:paraId="1BDD6604" w14:textId="77777777" w:rsidR="007C1DB0" w:rsidRDefault="007C1DB0" w:rsidP="007C1DB0">
                    <w:pPr>
                      <w:pStyle w:val="Classification"/>
                    </w:pPr>
                  </w:p>
                </w:txbxContent>
              </v:textbox>
              <w10:wrap type="square" anchorx="margin"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3E4D9D" w14:paraId="30B22B89" w14:textId="77777777" w:rsidTr="00AD3D8C">
      <w:trPr>
        <w:trHeight w:hRule="exact" w:val="340"/>
      </w:trPr>
      <w:tc>
        <w:tcPr>
          <w:tcW w:w="7797" w:type="dxa"/>
        </w:tcPr>
        <w:p w14:paraId="7AAF4334" w14:textId="77777777" w:rsidR="003E4D9D" w:rsidRDefault="003E4D9D" w:rsidP="00050A97">
          <w:pPr>
            <w:pStyle w:val="HeaderEven"/>
            <w:ind w:left="-113"/>
          </w:pPr>
          <w:r w:rsidRPr="000635BE">
            <w:rPr>
              <w:rFonts w:ascii="Arial Bold" w:hAnsi="Arial Bold"/>
              <w:b/>
              <w:bCs/>
              <w:noProof/>
              <w:position w:val="-10"/>
            </w:rPr>
            <w:drawing>
              <wp:inline distT="0" distB="0" distL="0" distR="0" wp14:anchorId="3E3CF42C" wp14:editId="437007D0">
                <wp:extent cx="989308" cy="170121"/>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bl>
  <w:p w14:paraId="11A07EC2" w14:textId="77777777" w:rsidR="00224154" w:rsidRPr="003E4D9D" w:rsidRDefault="00224154" w:rsidP="003E4D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3E4D9D" w14:paraId="26FC376A" w14:textId="77777777" w:rsidTr="00AD3D8C">
      <w:trPr>
        <w:trHeight w:hRule="exact" w:val="340"/>
      </w:trPr>
      <w:tc>
        <w:tcPr>
          <w:tcW w:w="7797" w:type="dxa"/>
        </w:tcPr>
        <w:p w14:paraId="11B9FBC4" w14:textId="77777777" w:rsidR="003E4D9D" w:rsidRDefault="003E4D9D" w:rsidP="00050A97">
          <w:pPr>
            <w:pStyle w:val="HeaderOdd"/>
          </w:pPr>
          <w:r w:rsidRPr="00213592">
            <w:rPr>
              <w:position w:val="-2"/>
            </w:rPr>
            <w:t>Portfolio Budget Statements  |</w:t>
          </w:r>
          <w:r>
            <w:t xml:space="preserve">  </w:t>
          </w:r>
          <w:r w:rsidRPr="000635BE">
            <w:rPr>
              <w:rFonts w:ascii="Arial Bold" w:hAnsi="Arial Bold"/>
              <w:b/>
              <w:bCs/>
              <w:noProof/>
              <w:position w:val="-10"/>
            </w:rPr>
            <w:drawing>
              <wp:inline distT="0" distB="0" distL="0" distR="0" wp14:anchorId="34E6B39A" wp14:editId="1184E979">
                <wp:extent cx="989308" cy="170121"/>
                <wp:effectExtent l="0" t="0" r="1905" b="190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14445F18" w14:textId="77777777" w:rsidR="00224154" w:rsidRPr="00544927" w:rsidRDefault="00224154" w:rsidP="005449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C4F6F" w14:paraId="71F062E4" w14:textId="77777777" w:rsidTr="00AD3D8C">
      <w:trPr>
        <w:trHeight w:hRule="exact" w:val="340"/>
      </w:trPr>
      <w:tc>
        <w:tcPr>
          <w:tcW w:w="7797" w:type="dxa"/>
        </w:tcPr>
        <w:p w14:paraId="68CF40A8" w14:textId="77777777" w:rsidR="00FC4F6F" w:rsidRDefault="00FC4F6F" w:rsidP="00050A97">
          <w:pPr>
            <w:pStyle w:val="HeaderOdd"/>
          </w:pPr>
          <w:r w:rsidRPr="00213592">
            <w:rPr>
              <w:position w:val="-2"/>
            </w:rPr>
            <w:t>Portfolio Budget Statements  |</w:t>
          </w:r>
          <w:r>
            <w:t xml:space="preserve">  </w:t>
          </w:r>
          <w:r w:rsidRPr="000635BE">
            <w:rPr>
              <w:rFonts w:ascii="Arial Bold" w:hAnsi="Arial Bold"/>
              <w:b/>
              <w:bCs/>
              <w:noProof/>
              <w:position w:val="-10"/>
            </w:rPr>
            <w:drawing>
              <wp:inline distT="0" distB="0" distL="0" distR="0" wp14:anchorId="2E0EBA51" wp14:editId="060E8813">
                <wp:extent cx="989308" cy="170121"/>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0AC04299" w14:textId="667575BD" w:rsidR="00224154" w:rsidRPr="00970E65" w:rsidRDefault="00224154" w:rsidP="00970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6"/>
  </w:num>
  <w:num w:numId="2">
    <w:abstractNumId w:val="0"/>
  </w:num>
  <w:num w:numId="3">
    <w:abstractNumId w:val="8"/>
  </w:num>
  <w:num w:numId="4">
    <w:abstractNumId w:val="9"/>
  </w:num>
  <w:num w:numId="5">
    <w:abstractNumId w:val="3"/>
  </w:num>
  <w:num w:numId="6">
    <w:abstractNumId w:val="7"/>
  </w:num>
  <w:num w:numId="7">
    <w:abstractNumId w:val="2"/>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readOnly" w:enforcement="0"/>
  <w:defaultTabStop w:val="567"/>
  <w:evenAndOddHeaders/>
  <w:drawingGridHorizontalSpacing w:val="10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7F"/>
    <w:rsid w:val="000000C3"/>
    <w:rsid w:val="00003404"/>
    <w:rsid w:val="0000358C"/>
    <w:rsid w:val="00003AC4"/>
    <w:rsid w:val="00006AE4"/>
    <w:rsid w:val="0000711B"/>
    <w:rsid w:val="0001294C"/>
    <w:rsid w:val="00012BB0"/>
    <w:rsid w:val="00013D25"/>
    <w:rsid w:val="0001438C"/>
    <w:rsid w:val="00016D95"/>
    <w:rsid w:val="00017619"/>
    <w:rsid w:val="00020573"/>
    <w:rsid w:val="000216BF"/>
    <w:rsid w:val="00021DA6"/>
    <w:rsid w:val="000220B0"/>
    <w:rsid w:val="00024B6D"/>
    <w:rsid w:val="000300D7"/>
    <w:rsid w:val="000304FC"/>
    <w:rsid w:val="00030FDA"/>
    <w:rsid w:val="00031996"/>
    <w:rsid w:val="0003384E"/>
    <w:rsid w:val="0003503B"/>
    <w:rsid w:val="00036095"/>
    <w:rsid w:val="000364F3"/>
    <w:rsid w:val="000366AE"/>
    <w:rsid w:val="000369AC"/>
    <w:rsid w:val="0003724F"/>
    <w:rsid w:val="00037BA1"/>
    <w:rsid w:val="000413D4"/>
    <w:rsid w:val="00042FDD"/>
    <w:rsid w:val="0004320E"/>
    <w:rsid w:val="00044CF1"/>
    <w:rsid w:val="0004509D"/>
    <w:rsid w:val="00045667"/>
    <w:rsid w:val="00045773"/>
    <w:rsid w:val="0005275A"/>
    <w:rsid w:val="00054A04"/>
    <w:rsid w:val="00054CC3"/>
    <w:rsid w:val="0005600E"/>
    <w:rsid w:val="00056260"/>
    <w:rsid w:val="0005722F"/>
    <w:rsid w:val="000606CB"/>
    <w:rsid w:val="00060890"/>
    <w:rsid w:val="0006169C"/>
    <w:rsid w:val="00061FD8"/>
    <w:rsid w:val="00063C44"/>
    <w:rsid w:val="00063CE1"/>
    <w:rsid w:val="000641DA"/>
    <w:rsid w:val="00065053"/>
    <w:rsid w:val="000655E4"/>
    <w:rsid w:val="000656AD"/>
    <w:rsid w:val="00065C71"/>
    <w:rsid w:val="00066BBA"/>
    <w:rsid w:val="000671B7"/>
    <w:rsid w:val="00067431"/>
    <w:rsid w:val="00067703"/>
    <w:rsid w:val="0006786C"/>
    <w:rsid w:val="00067B15"/>
    <w:rsid w:val="00067B6F"/>
    <w:rsid w:val="00067E1D"/>
    <w:rsid w:val="0007064C"/>
    <w:rsid w:val="000712EE"/>
    <w:rsid w:val="000725C0"/>
    <w:rsid w:val="00074CE6"/>
    <w:rsid w:val="000768A5"/>
    <w:rsid w:val="00077277"/>
    <w:rsid w:val="0007743A"/>
    <w:rsid w:val="00077E25"/>
    <w:rsid w:val="00080069"/>
    <w:rsid w:val="00080F4F"/>
    <w:rsid w:val="00082159"/>
    <w:rsid w:val="0008449F"/>
    <w:rsid w:val="000873D7"/>
    <w:rsid w:val="00092171"/>
    <w:rsid w:val="000924A7"/>
    <w:rsid w:val="00094B28"/>
    <w:rsid w:val="00094B9A"/>
    <w:rsid w:val="00096568"/>
    <w:rsid w:val="00096DEE"/>
    <w:rsid w:val="00097063"/>
    <w:rsid w:val="00097336"/>
    <w:rsid w:val="000975DA"/>
    <w:rsid w:val="000A088A"/>
    <w:rsid w:val="000A1920"/>
    <w:rsid w:val="000A1A89"/>
    <w:rsid w:val="000A1C91"/>
    <w:rsid w:val="000A24C4"/>
    <w:rsid w:val="000A345B"/>
    <w:rsid w:val="000A372A"/>
    <w:rsid w:val="000A395D"/>
    <w:rsid w:val="000A532C"/>
    <w:rsid w:val="000A56A5"/>
    <w:rsid w:val="000A5C86"/>
    <w:rsid w:val="000A6897"/>
    <w:rsid w:val="000A6DBE"/>
    <w:rsid w:val="000A7E1F"/>
    <w:rsid w:val="000B1FC4"/>
    <w:rsid w:val="000B21D6"/>
    <w:rsid w:val="000B2404"/>
    <w:rsid w:val="000B36D8"/>
    <w:rsid w:val="000B3B7D"/>
    <w:rsid w:val="000B6E38"/>
    <w:rsid w:val="000C056F"/>
    <w:rsid w:val="000C1442"/>
    <w:rsid w:val="000C1928"/>
    <w:rsid w:val="000C19B3"/>
    <w:rsid w:val="000C19EF"/>
    <w:rsid w:val="000C2D7D"/>
    <w:rsid w:val="000C3B86"/>
    <w:rsid w:val="000C4A46"/>
    <w:rsid w:val="000C55A6"/>
    <w:rsid w:val="000C6A39"/>
    <w:rsid w:val="000C6FB8"/>
    <w:rsid w:val="000D13E5"/>
    <w:rsid w:val="000D4262"/>
    <w:rsid w:val="000D43DE"/>
    <w:rsid w:val="000D4D95"/>
    <w:rsid w:val="000D58A1"/>
    <w:rsid w:val="000D7E54"/>
    <w:rsid w:val="000E04C6"/>
    <w:rsid w:val="000E0A85"/>
    <w:rsid w:val="000E2F5F"/>
    <w:rsid w:val="000E68E3"/>
    <w:rsid w:val="000E6DDB"/>
    <w:rsid w:val="000E74A6"/>
    <w:rsid w:val="000F03B1"/>
    <w:rsid w:val="000F08AE"/>
    <w:rsid w:val="000F1D59"/>
    <w:rsid w:val="000F2D33"/>
    <w:rsid w:val="000F43F4"/>
    <w:rsid w:val="000F440E"/>
    <w:rsid w:val="000F6647"/>
    <w:rsid w:val="000F73B7"/>
    <w:rsid w:val="000F794F"/>
    <w:rsid w:val="000F7E7B"/>
    <w:rsid w:val="0010019C"/>
    <w:rsid w:val="001002F8"/>
    <w:rsid w:val="00102654"/>
    <w:rsid w:val="001028CC"/>
    <w:rsid w:val="001045F9"/>
    <w:rsid w:val="0010472B"/>
    <w:rsid w:val="0010657F"/>
    <w:rsid w:val="00111159"/>
    <w:rsid w:val="00112D0F"/>
    <w:rsid w:val="001133E0"/>
    <w:rsid w:val="00114E84"/>
    <w:rsid w:val="00115DE5"/>
    <w:rsid w:val="001163D6"/>
    <w:rsid w:val="0011726A"/>
    <w:rsid w:val="0012022D"/>
    <w:rsid w:val="00120B5E"/>
    <w:rsid w:val="0012108F"/>
    <w:rsid w:val="00121EB0"/>
    <w:rsid w:val="0012228D"/>
    <w:rsid w:val="00123218"/>
    <w:rsid w:val="001237BA"/>
    <w:rsid w:val="00123925"/>
    <w:rsid w:val="00126641"/>
    <w:rsid w:val="00131AFC"/>
    <w:rsid w:val="00132F9E"/>
    <w:rsid w:val="00133D3A"/>
    <w:rsid w:val="001352EE"/>
    <w:rsid w:val="00135505"/>
    <w:rsid w:val="001364A7"/>
    <w:rsid w:val="00136827"/>
    <w:rsid w:val="001375D4"/>
    <w:rsid w:val="00143D8E"/>
    <w:rsid w:val="00143E88"/>
    <w:rsid w:val="001455D8"/>
    <w:rsid w:val="00146B5E"/>
    <w:rsid w:val="0014790A"/>
    <w:rsid w:val="00151ABB"/>
    <w:rsid w:val="00152502"/>
    <w:rsid w:val="00154447"/>
    <w:rsid w:val="001549BE"/>
    <w:rsid w:val="00154CDE"/>
    <w:rsid w:val="00154F5B"/>
    <w:rsid w:val="00156623"/>
    <w:rsid w:val="00160558"/>
    <w:rsid w:val="00161DAC"/>
    <w:rsid w:val="00162B55"/>
    <w:rsid w:val="00162D8B"/>
    <w:rsid w:val="00163101"/>
    <w:rsid w:val="001638E9"/>
    <w:rsid w:val="00165824"/>
    <w:rsid w:val="001666EA"/>
    <w:rsid w:val="00170128"/>
    <w:rsid w:val="0017111A"/>
    <w:rsid w:val="00171A85"/>
    <w:rsid w:val="00173F5C"/>
    <w:rsid w:val="00174186"/>
    <w:rsid w:val="00174565"/>
    <w:rsid w:val="00175BB3"/>
    <w:rsid w:val="00177A9A"/>
    <w:rsid w:val="001808A4"/>
    <w:rsid w:val="00180FF3"/>
    <w:rsid w:val="001815A5"/>
    <w:rsid w:val="00181F30"/>
    <w:rsid w:val="00182740"/>
    <w:rsid w:val="00184071"/>
    <w:rsid w:val="00185A3B"/>
    <w:rsid w:val="00186850"/>
    <w:rsid w:val="00186DD0"/>
    <w:rsid w:val="0019014B"/>
    <w:rsid w:val="001904A5"/>
    <w:rsid w:val="001923C8"/>
    <w:rsid w:val="001939FF"/>
    <w:rsid w:val="00194DE8"/>
    <w:rsid w:val="00195228"/>
    <w:rsid w:val="00197990"/>
    <w:rsid w:val="001A0106"/>
    <w:rsid w:val="001A02CB"/>
    <w:rsid w:val="001A11DB"/>
    <w:rsid w:val="001A33F4"/>
    <w:rsid w:val="001A6256"/>
    <w:rsid w:val="001A6F29"/>
    <w:rsid w:val="001A789B"/>
    <w:rsid w:val="001B03CC"/>
    <w:rsid w:val="001B0C75"/>
    <w:rsid w:val="001B2A29"/>
    <w:rsid w:val="001B368E"/>
    <w:rsid w:val="001B44C2"/>
    <w:rsid w:val="001B4EC1"/>
    <w:rsid w:val="001B659F"/>
    <w:rsid w:val="001B7399"/>
    <w:rsid w:val="001B7655"/>
    <w:rsid w:val="001B7BAD"/>
    <w:rsid w:val="001B7F09"/>
    <w:rsid w:val="001C1166"/>
    <w:rsid w:val="001C261E"/>
    <w:rsid w:val="001C3AC7"/>
    <w:rsid w:val="001C7B78"/>
    <w:rsid w:val="001C7FB4"/>
    <w:rsid w:val="001D0BA6"/>
    <w:rsid w:val="001D1903"/>
    <w:rsid w:val="001D1942"/>
    <w:rsid w:val="001D1DDB"/>
    <w:rsid w:val="001D53EA"/>
    <w:rsid w:val="001D6F7C"/>
    <w:rsid w:val="001E0156"/>
    <w:rsid w:val="001E12A5"/>
    <w:rsid w:val="001E1BF9"/>
    <w:rsid w:val="001E1EDB"/>
    <w:rsid w:val="001E3A18"/>
    <w:rsid w:val="001E7093"/>
    <w:rsid w:val="001E717D"/>
    <w:rsid w:val="001E71F5"/>
    <w:rsid w:val="001E7D86"/>
    <w:rsid w:val="001F377B"/>
    <w:rsid w:val="001F3CF9"/>
    <w:rsid w:val="001F4D55"/>
    <w:rsid w:val="001F55E5"/>
    <w:rsid w:val="001F5CB9"/>
    <w:rsid w:val="00200DC3"/>
    <w:rsid w:val="002011E2"/>
    <w:rsid w:val="00201BB9"/>
    <w:rsid w:val="00202925"/>
    <w:rsid w:val="00202C70"/>
    <w:rsid w:val="002050B0"/>
    <w:rsid w:val="00205D80"/>
    <w:rsid w:val="00210874"/>
    <w:rsid w:val="0021093F"/>
    <w:rsid w:val="00212B83"/>
    <w:rsid w:val="002133CA"/>
    <w:rsid w:val="002146B5"/>
    <w:rsid w:val="00215783"/>
    <w:rsid w:val="0021644B"/>
    <w:rsid w:val="00216DC9"/>
    <w:rsid w:val="00217CA0"/>
    <w:rsid w:val="002202EB"/>
    <w:rsid w:val="00220C58"/>
    <w:rsid w:val="00220FCF"/>
    <w:rsid w:val="00221705"/>
    <w:rsid w:val="00221972"/>
    <w:rsid w:val="00222B35"/>
    <w:rsid w:val="002231C8"/>
    <w:rsid w:val="00224154"/>
    <w:rsid w:val="00224229"/>
    <w:rsid w:val="0022679A"/>
    <w:rsid w:val="00230194"/>
    <w:rsid w:val="00231923"/>
    <w:rsid w:val="002329C3"/>
    <w:rsid w:val="002332AE"/>
    <w:rsid w:val="002333C2"/>
    <w:rsid w:val="00234040"/>
    <w:rsid w:val="00235D67"/>
    <w:rsid w:val="0023626B"/>
    <w:rsid w:val="00242F07"/>
    <w:rsid w:val="00243020"/>
    <w:rsid w:val="00244D22"/>
    <w:rsid w:val="00245209"/>
    <w:rsid w:val="00246C09"/>
    <w:rsid w:val="00246E73"/>
    <w:rsid w:val="002470E4"/>
    <w:rsid w:val="00247262"/>
    <w:rsid w:val="0025616B"/>
    <w:rsid w:val="00257285"/>
    <w:rsid w:val="00257FF4"/>
    <w:rsid w:val="002608CE"/>
    <w:rsid w:val="00261660"/>
    <w:rsid w:val="0026279C"/>
    <w:rsid w:val="00262CD3"/>
    <w:rsid w:val="00265289"/>
    <w:rsid w:val="00266613"/>
    <w:rsid w:val="00266FE9"/>
    <w:rsid w:val="00272396"/>
    <w:rsid w:val="00273D98"/>
    <w:rsid w:val="0027614D"/>
    <w:rsid w:val="002762D0"/>
    <w:rsid w:val="0027651A"/>
    <w:rsid w:val="0028001E"/>
    <w:rsid w:val="00281CF6"/>
    <w:rsid w:val="0028359B"/>
    <w:rsid w:val="00284441"/>
    <w:rsid w:val="002857FE"/>
    <w:rsid w:val="00290933"/>
    <w:rsid w:val="00290D5C"/>
    <w:rsid w:val="00291E57"/>
    <w:rsid w:val="00292D6A"/>
    <w:rsid w:val="0029312A"/>
    <w:rsid w:val="0029325C"/>
    <w:rsid w:val="00293B2D"/>
    <w:rsid w:val="00293B46"/>
    <w:rsid w:val="002960B7"/>
    <w:rsid w:val="00297643"/>
    <w:rsid w:val="00297824"/>
    <w:rsid w:val="002A153F"/>
    <w:rsid w:val="002A32FD"/>
    <w:rsid w:val="002A40DC"/>
    <w:rsid w:val="002A5329"/>
    <w:rsid w:val="002A5C2D"/>
    <w:rsid w:val="002A61E5"/>
    <w:rsid w:val="002A6249"/>
    <w:rsid w:val="002A74DD"/>
    <w:rsid w:val="002A7FC8"/>
    <w:rsid w:val="002B0A81"/>
    <w:rsid w:val="002B1CE7"/>
    <w:rsid w:val="002B2F0F"/>
    <w:rsid w:val="002B3618"/>
    <w:rsid w:val="002B595D"/>
    <w:rsid w:val="002B5F6A"/>
    <w:rsid w:val="002B779E"/>
    <w:rsid w:val="002B7D6F"/>
    <w:rsid w:val="002B7D78"/>
    <w:rsid w:val="002C0552"/>
    <w:rsid w:val="002C0961"/>
    <w:rsid w:val="002C0CA9"/>
    <w:rsid w:val="002C1CF7"/>
    <w:rsid w:val="002C1D11"/>
    <w:rsid w:val="002C25D0"/>
    <w:rsid w:val="002C280B"/>
    <w:rsid w:val="002C2DB0"/>
    <w:rsid w:val="002C4D41"/>
    <w:rsid w:val="002C75B0"/>
    <w:rsid w:val="002C7703"/>
    <w:rsid w:val="002C7A63"/>
    <w:rsid w:val="002C7BBC"/>
    <w:rsid w:val="002D0153"/>
    <w:rsid w:val="002D16A4"/>
    <w:rsid w:val="002D345F"/>
    <w:rsid w:val="002D403A"/>
    <w:rsid w:val="002D4262"/>
    <w:rsid w:val="002D46B7"/>
    <w:rsid w:val="002D7E78"/>
    <w:rsid w:val="002E1064"/>
    <w:rsid w:val="002E2551"/>
    <w:rsid w:val="002E323F"/>
    <w:rsid w:val="002E5554"/>
    <w:rsid w:val="002F1B12"/>
    <w:rsid w:val="002F2880"/>
    <w:rsid w:val="002F2C69"/>
    <w:rsid w:val="002F530C"/>
    <w:rsid w:val="002F591B"/>
    <w:rsid w:val="002F7B47"/>
    <w:rsid w:val="00300013"/>
    <w:rsid w:val="0030032D"/>
    <w:rsid w:val="003006F8"/>
    <w:rsid w:val="00300BF2"/>
    <w:rsid w:val="003027C1"/>
    <w:rsid w:val="00302A25"/>
    <w:rsid w:val="00304C13"/>
    <w:rsid w:val="00305718"/>
    <w:rsid w:val="00305EC5"/>
    <w:rsid w:val="00306107"/>
    <w:rsid w:val="003077B8"/>
    <w:rsid w:val="00307ADC"/>
    <w:rsid w:val="003111F8"/>
    <w:rsid w:val="00311A0F"/>
    <w:rsid w:val="0031204A"/>
    <w:rsid w:val="0031272B"/>
    <w:rsid w:val="00315435"/>
    <w:rsid w:val="0032038C"/>
    <w:rsid w:val="00321889"/>
    <w:rsid w:val="003229DD"/>
    <w:rsid w:val="0032372D"/>
    <w:rsid w:val="00325C5E"/>
    <w:rsid w:val="0032738E"/>
    <w:rsid w:val="00330AC6"/>
    <w:rsid w:val="00331B40"/>
    <w:rsid w:val="00331C5F"/>
    <w:rsid w:val="00333074"/>
    <w:rsid w:val="00333223"/>
    <w:rsid w:val="00333A43"/>
    <w:rsid w:val="00334F7E"/>
    <w:rsid w:val="003364C1"/>
    <w:rsid w:val="00337F82"/>
    <w:rsid w:val="00340640"/>
    <w:rsid w:val="003435D6"/>
    <w:rsid w:val="003458E0"/>
    <w:rsid w:val="00345CCD"/>
    <w:rsid w:val="003511CE"/>
    <w:rsid w:val="00351909"/>
    <w:rsid w:val="00352BE0"/>
    <w:rsid w:val="0035333E"/>
    <w:rsid w:val="003538F0"/>
    <w:rsid w:val="00357DAE"/>
    <w:rsid w:val="003602A5"/>
    <w:rsid w:val="00361259"/>
    <w:rsid w:val="00361429"/>
    <w:rsid w:val="00362AA7"/>
    <w:rsid w:val="00362FCC"/>
    <w:rsid w:val="00363B11"/>
    <w:rsid w:val="0036723F"/>
    <w:rsid w:val="003672D6"/>
    <w:rsid w:val="00367B98"/>
    <w:rsid w:val="003705BF"/>
    <w:rsid w:val="00370935"/>
    <w:rsid w:val="00371C1A"/>
    <w:rsid w:val="003738B9"/>
    <w:rsid w:val="00375E52"/>
    <w:rsid w:val="00380888"/>
    <w:rsid w:val="00380D9F"/>
    <w:rsid w:val="003819E1"/>
    <w:rsid w:val="00382234"/>
    <w:rsid w:val="00383480"/>
    <w:rsid w:val="00385C6F"/>
    <w:rsid w:val="0038672F"/>
    <w:rsid w:val="00386BC9"/>
    <w:rsid w:val="00386F24"/>
    <w:rsid w:val="003876AB"/>
    <w:rsid w:val="00387957"/>
    <w:rsid w:val="0039053D"/>
    <w:rsid w:val="0039449C"/>
    <w:rsid w:val="00395033"/>
    <w:rsid w:val="0039684C"/>
    <w:rsid w:val="003A0290"/>
    <w:rsid w:val="003A25BB"/>
    <w:rsid w:val="003A300D"/>
    <w:rsid w:val="003A3E7B"/>
    <w:rsid w:val="003A7067"/>
    <w:rsid w:val="003B09F6"/>
    <w:rsid w:val="003B0D03"/>
    <w:rsid w:val="003B1F0A"/>
    <w:rsid w:val="003B2C1F"/>
    <w:rsid w:val="003B329D"/>
    <w:rsid w:val="003B5533"/>
    <w:rsid w:val="003B5A85"/>
    <w:rsid w:val="003B71EE"/>
    <w:rsid w:val="003B7621"/>
    <w:rsid w:val="003B7C64"/>
    <w:rsid w:val="003C0593"/>
    <w:rsid w:val="003C13A6"/>
    <w:rsid w:val="003C1EB4"/>
    <w:rsid w:val="003C4E3A"/>
    <w:rsid w:val="003D0E1C"/>
    <w:rsid w:val="003D1E47"/>
    <w:rsid w:val="003D3662"/>
    <w:rsid w:val="003D3C14"/>
    <w:rsid w:val="003D4188"/>
    <w:rsid w:val="003D4557"/>
    <w:rsid w:val="003D543D"/>
    <w:rsid w:val="003D59FD"/>
    <w:rsid w:val="003D6C56"/>
    <w:rsid w:val="003D6EC6"/>
    <w:rsid w:val="003E10B8"/>
    <w:rsid w:val="003E122D"/>
    <w:rsid w:val="003E13F5"/>
    <w:rsid w:val="003E1978"/>
    <w:rsid w:val="003E2B5E"/>
    <w:rsid w:val="003E3FF4"/>
    <w:rsid w:val="003E4D9D"/>
    <w:rsid w:val="003E4E15"/>
    <w:rsid w:val="003E5AE8"/>
    <w:rsid w:val="003F07EE"/>
    <w:rsid w:val="003F29F2"/>
    <w:rsid w:val="003F33A7"/>
    <w:rsid w:val="003F3C77"/>
    <w:rsid w:val="003F47DF"/>
    <w:rsid w:val="003F6209"/>
    <w:rsid w:val="0040043F"/>
    <w:rsid w:val="004017F4"/>
    <w:rsid w:val="0040314A"/>
    <w:rsid w:val="00403C7E"/>
    <w:rsid w:val="00405DAB"/>
    <w:rsid w:val="00405E90"/>
    <w:rsid w:val="004065CE"/>
    <w:rsid w:val="00406802"/>
    <w:rsid w:val="00407F6A"/>
    <w:rsid w:val="004105DD"/>
    <w:rsid w:val="00410DCE"/>
    <w:rsid w:val="00412C0B"/>
    <w:rsid w:val="0041404E"/>
    <w:rsid w:val="0041429D"/>
    <w:rsid w:val="004147D0"/>
    <w:rsid w:val="00414E1F"/>
    <w:rsid w:val="0041581E"/>
    <w:rsid w:val="0041765C"/>
    <w:rsid w:val="00420837"/>
    <w:rsid w:val="00421EEC"/>
    <w:rsid w:val="00422933"/>
    <w:rsid w:val="00422F4B"/>
    <w:rsid w:val="00423003"/>
    <w:rsid w:val="004248B4"/>
    <w:rsid w:val="00424C66"/>
    <w:rsid w:val="0042526D"/>
    <w:rsid w:val="004254A2"/>
    <w:rsid w:val="00426D71"/>
    <w:rsid w:val="00430256"/>
    <w:rsid w:val="00430595"/>
    <w:rsid w:val="00430E3D"/>
    <w:rsid w:val="0043194D"/>
    <w:rsid w:val="00431BF1"/>
    <w:rsid w:val="00433D22"/>
    <w:rsid w:val="004342F8"/>
    <w:rsid w:val="00434A2F"/>
    <w:rsid w:val="0044083A"/>
    <w:rsid w:val="004408FA"/>
    <w:rsid w:val="00443197"/>
    <w:rsid w:val="0044552A"/>
    <w:rsid w:val="00445663"/>
    <w:rsid w:val="00446612"/>
    <w:rsid w:val="00450E44"/>
    <w:rsid w:val="00451501"/>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7F6"/>
    <w:rsid w:val="00472DBE"/>
    <w:rsid w:val="0047364D"/>
    <w:rsid w:val="0047481E"/>
    <w:rsid w:val="00474918"/>
    <w:rsid w:val="00475EAF"/>
    <w:rsid w:val="0047681C"/>
    <w:rsid w:val="004815F8"/>
    <w:rsid w:val="00481E32"/>
    <w:rsid w:val="004831ED"/>
    <w:rsid w:val="004831FC"/>
    <w:rsid w:val="004836A7"/>
    <w:rsid w:val="004847B4"/>
    <w:rsid w:val="00484921"/>
    <w:rsid w:val="004856E9"/>
    <w:rsid w:val="00486614"/>
    <w:rsid w:val="00487E11"/>
    <w:rsid w:val="00487FB8"/>
    <w:rsid w:val="004900FE"/>
    <w:rsid w:val="004919D4"/>
    <w:rsid w:val="00491FB2"/>
    <w:rsid w:val="0049212C"/>
    <w:rsid w:val="00495C39"/>
    <w:rsid w:val="004A1224"/>
    <w:rsid w:val="004A247B"/>
    <w:rsid w:val="004A28C5"/>
    <w:rsid w:val="004A2F59"/>
    <w:rsid w:val="004A64B4"/>
    <w:rsid w:val="004A660C"/>
    <w:rsid w:val="004A6B44"/>
    <w:rsid w:val="004A6E0E"/>
    <w:rsid w:val="004A7F6C"/>
    <w:rsid w:val="004B0B19"/>
    <w:rsid w:val="004B1E81"/>
    <w:rsid w:val="004B35F0"/>
    <w:rsid w:val="004B37A7"/>
    <w:rsid w:val="004B4426"/>
    <w:rsid w:val="004B44E1"/>
    <w:rsid w:val="004B5F2A"/>
    <w:rsid w:val="004B74B2"/>
    <w:rsid w:val="004C103D"/>
    <w:rsid w:val="004C1303"/>
    <w:rsid w:val="004C1399"/>
    <w:rsid w:val="004C1C09"/>
    <w:rsid w:val="004C2A17"/>
    <w:rsid w:val="004C2B0E"/>
    <w:rsid w:val="004C5507"/>
    <w:rsid w:val="004C56F1"/>
    <w:rsid w:val="004D04AF"/>
    <w:rsid w:val="004D1D15"/>
    <w:rsid w:val="004D1E1A"/>
    <w:rsid w:val="004D1EFF"/>
    <w:rsid w:val="004D23A9"/>
    <w:rsid w:val="004D2683"/>
    <w:rsid w:val="004D29F5"/>
    <w:rsid w:val="004D2F90"/>
    <w:rsid w:val="004D7804"/>
    <w:rsid w:val="004E0308"/>
    <w:rsid w:val="004E2825"/>
    <w:rsid w:val="004E3079"/>
    <w:rsid w:val="004E3276"/>
    <w:rsid w:val="004E3836"/>
    <w:rsid w:val="004E62E4"/>
    <w:rsid w:val="004E6467"/>
    <w:rsid w:val="004E7C41"/>
    <w:rsid w:val="004F0E90"/>
    <w:rsid w:val="004F0F5B"/>
    <w:rsid w:val="004F22B8"/>
    <w:rsid w:val="004F2437"/>
    <w:rsid w:val="004F24E4"/>
    <w:rsid w:val="004F4624"/>
    <w:rsid w:val="004F5573"/>
    <w:rsid w:val="004F5D8B"/>
    <w:rsid w:val="004F634F"/>
    <w:rsid w:val="004F7556"/>
    <w:rsid w:val="00500700"/>
    <w:rsid w:val="0050141B"/>
    <w:rsid w:val="00502638"/>
    <w:rsid w:val="005029BC"/>
    <w:rsid w:val="00502B87"/>
    <w:rsid w:val="00502EAC"/>
    <w:rsid w:val="0050346A"/>
    <w:rsid w:val="00504472"/>
    <w:rsid w:val="005048E3"/>
    <w:rsid w:val="00505389"/>
    <w:rsid w:val="00505A77"/>
    <w:rsid w:val="00505CB3"/>
    <w:rsid w:val="005067C7"/>
    <w:rsid w:val="00506EB0"/>
    <w:rsid w:val="0050798C"/>
    <w:rsid w:val="00510363"/>
    <w:rsid w:val="0051207B"/>
    <w:rsid w:val="005136CD"/>
    <w:rsid w:val="00514B1A"/>
    <w:rsid w:val="005150C5"/>
    <w:rsid w:val="005150CF"/>
    <w:rsid w:val="00517351"/>
    <w:rsid w:val="005213D3"/>
    <w:rsid w:val="00521860"/>
    <w:rsid w:val="00521D74"/>
    <w:rsid w:val="005222CC"/>
    <w:rsid w:val="00522622"/>
    <w:rsid w:val="00523B5E"/>
    <w:rsid w:val="005250EE"/>
    <w:rsid w:val="00525AB1"/>
    <w:rsid w:val="00526B01"/>
    <w:rsid w:val="00526C61"/>
    <w:rsid w:val="00527492"/>
    <w:rsid w:val="005277F5"/>
    <w:rsid w:val="00530E54"/>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4841"/>
    <w:rsid w:val="00544927"/>
    <w:rsid w:val="00547CD4"/>
    <w:rsid w:val="00547EB8"/>
    <w:rsid w:val="00552FC2"/>
    <w:rsid w:val="00553397"/>
    <w:rsid w:val="00553DA2"/>
    <w:rsid w:val="005543FB"/>
    <w:rsid w:val="00555623"/>
    <w:rsid w:val="005562DC"/>
    <w:rsid w:val="00556725"/>
    <w:rsid w:val="00557A85"/>
    <w:rsid w:val="005606B5"/>
    <w:rsid w:val="00560E2D"/>
    <w:rsid w:val="00562BAD"/>
    <w:rsid w:val="0056365E"/>
    <w:rsid w:val="00565426"/>
    <w:rsid w:val="00565C77"/>
    <w:rsid w:val="00566181"/>
    <w:rsid w:val="00566643"/>
    <w:rsid w:val="00567B59"/>
    <w:rsid w:val="005708BD"/>
    <w:rsid w:val="005722C0"/>
    <w:rsid w:val="0057317E"/>
    <w:rsid w:val="005731D3"/>
    <w:rsid w:val="00573C7D"/>
    <w:rsid w:val="00574906"/>
    <w:rsid w:val="00574E9E"/>
    <w:rsid w:val="005752BC"/>
    <w:rsid w:val="0057622F"/>
    <w:rsid w:val="00577977"/>
    <w:rsid w:val="00581719"/>
    <w:rsid w:val="00581D30"/>
    <w:rsid w:val="00583362"/>
    <w:rsid w:val="00584245"/>
    <w:rsid w:val="00584C2D"/>
    <w:rsid w:val="00584D80"/>
    <w:rsid w:val="00586535"/>
    <w:rsid w:val="00586BB5"/>
    <w:rsid w:val="00586DFB"/>
    <w:rsid w:val="00587C83"/>
    <w:rsid w:val="005905BC"/>
    <w:rsid w:val="00590B75"/>
    <w:rsid w:val="00590DAA"/>
    <w:rsid w:val="0059205C"/>
    <w:rsid w:val="00592349"/>
    <w:rsid w:val="00596F3F"/>
    <w:rsid w:val="00597EEF"/>
    <w:rsid w:val="005A1C4E"/>
    <w:rsid w:val="005A3678"/>
    <w:rsid w:val="005A4A1A"/>
    <w:rsid w:val="005A61D3"/>
    <w:rsid w:val="005A7C0B"/>
    <w:rsid w:val="005A7E70"/>
    <w:rsid w:val="005B1A53"/>
    <w:rsid w:val="005B2AF7"/>
    <w:rsid w:val="005B40E8"/>
    <w:rsid w:val="005B6DAA"/>
    <w:rsid w:val="005B7314"/>
    <w:rsid w:val="005B7C27"/>
    <w:rsid w:val="005B7D8B"/>
    <w:rsid w:val="005C03F6"/>
    <w:rsid w:val="005C0475"/>
    <w:rsid w:val="005C0DDC"/>
    <w:rsid w:val="005C1569"/>
    <w:rsid w:val="005C3C1A"/>
    <w:rsid w:val="005C4604"/>
    <w:rsid w:val="005C46D8"/>
    <w:rsid w:val="005C4BEE"/>
    <w:rsid w:val="005C6E74"/>
    <w:rsid w:val="005C732E"/>
    <w:rsid w:val="005C781C"/>
    <w:rsid w:val="005D13ED"/>
    <w:rsid w:val="005D181E"/>
    <w:rsid w:val="005D330E"/>
    <w:rsid w:val="005D7A35"/>
    <w:rsid w:val="005E034F"/>
    <w:rsid w:val="005E09A7"/>
    <w:rsid w:val="005E198B"/>
    <w:rsid w:val="005E19D9"/>
    <w:rsid w:val="005E1D35"/>
    <w:rsid w:val="005E2A31"/>
    <w:rsid w:val="005E3D2F"/>
    <w:rsid w:val="005E442F"/>
    <w:rsid w:val="005E54A3"/>
    <w:rsid w:val="005E5625"/>
    <w:rsid w:val="005E61D8"/>
    <w:rsid w:val="005E6F2B"/>
    <w:rsid w:val="005E7E2C"/>
    <w:rsid w:val="005F1ADE"/>
    <w:rsid w:val="005F29CD"/>
    <w:rsid w:val="005F3175"/>
    <w:rsid w:val="005F3436"/>
    <w:rsid w:val="005F3506"/>
    <w:rsid w:val="005F41D8"/>
    <w:rsid w:val="005F4739"/>
    <w:rsid w:val="005F6228"/>
    <w:rsid w:val="005F642B"/>
    <w:rsid w:val="005F67FC"/>
    <w:rsid w:val="005F70D5"/>
    <w:rsid w:val="006003E0"/>
    <w:rsid w:val="00601630"/>
    <w:rsid w:val="00601F42"/>
    <w:rsid w:val="006026E1"/>
    <w:rsid w:val="00603A90"/>
    <w:rsid w:val="00605163"/>
    <w:rsid w:val="006065BF"/>
    <w:rsid w:val="006070EA"/>
    <w:rsid w:val="00607ABE"/>
    <w:rsid w:val="00607F53"/>
    <w:rsid w:val="006103D0"/>
    <w:rsid w:val="0061103A"/>
    <w:rsid w:val="00611260"/>
    <w:rsid w:val="00611EAE"/>
    <w:rsid w:val="0061364A"/>
    <w:rsid w:val="00613BEA"/>
    <w:rsid w:val="0061402C"/>
    <w:rsid w:val="00614E3D"/>
    <w:rsid w:val="0061595F"/>
    <w:rsid w:val="00615A79"/>
    <w:rsid w:val="00615DE9"/>
    <w:rsid w:val="00616179"/>
    <w:rsid w:val="0061675B"/>
    <w:rsid w:val="0062052B"/>
    <w:rsid w:val="00621A86"/>
    <w:rsid w:val="00623401"/>
    <w:rsid w:val="00625C40"/>
    <w:rsid w:val="00627E7C"/>
    <w:rsid w:val="00630CFF"/>
    <w:rsid w:val="00631369"/>
    <w:rsid w:val="00632481"/>
    <w:rsid w:val="0063262D"/>
    <w:rsid w:val="0063268B"/>
    <w:rsid w:val="0063319C"/>
    <w:rsid w:val="00634673"/>
    <w:rsid w:val="00637BBD"/>
    <w:rsid w:val="00640D17"/>
    <w:rsid w:val="00641A99"/>
    <w:rsid w:val="00642768"/>
    <w:rsid w:val="00642A84"/>
    <w:rsid w:val="00645E69"/>
    <w:rsid w:val="00646130"/>
    <w:rsid w:val="00646ACE"/>
    <w:rsid w:val="006474C0"/>
    <w:rsid w:val="00647927"/>
    <w:rsid w:val="00650749"/>
    <w:rsid w:val="00652B9B"/>
    <w:rsid w:val="00652F78"/>
    <w:rsid w:val="00653743"/>
    <w:rsid w:val="00653DD9"/>
    <w:rsid w:val="00654E6A"/>
    <w:rsid w:val="006551FC"/>
    <w:rsid w:val="006575F3"/>
    <w:rsid w:val="00660871"/>
    <w:rsid w:val="00662809"/>
    <w:rsid w:val="00663823"/>
    <w:rsid w:val="00664E08"/>
    <w:rsid w:val="006650D0"/>
    <w:rsid w:val="0066560C"/>
    <w:rsid w:val="0066753F"/>
    <w:rsid w:val="0066774D"/>
    <w:rsid w:val="00667F42"/>
    <w:rsid w:val="00671284"/>
    <w:rsid w:val="006727FC"/>
    <w:rsid w:val="00673906"/>
    <w:rsid w:val="006756CD"/>
    <w:rsid w:val="00676E5B"/>
    <w:rsid w:val="00677D6B"/>
    <w:rsid w:val="00680151"/>
    <w:rsid w:val="00680795"/>
    <w:rsid w:val="00682713"/>
    <w:rsid w:val="00683451"/>
    <w:rsid w:val="00683579"/>
    <w:rsid w:val="006854CE"/>
    <w:rsid w:val="00686B47"/>
    <w:rsid w:val="0068790B"/>
    <w:rsid w:val="006906E4"/>
    <w:rsid w:val="00691C54"/>
    <w:rsid w:val="00691E49"/>
    <w:rsid w:val="006922DC"/>
    <w:rsid w:val="006925AD"/>
    <w:rsid w:val="006941DD"/>
    <w:rsid w:val="0069466B"/>
    <w:rsid w:val="00694795"/>
    <w:rsid w:val="00696041"/>
    <w:rsid w:val="006A257C"/>
    <w:rsid w:val="006A2615"/>
    <w:rsid w:val="006A4158"/>
    <w:rsid w:val="006A4AA7"/>
    <w:rsid w:val="006A4E15"/>
    <w:rsid w:val="006A52AD"/>
    <w:rsid w:val="006A5866"/>
    <w:rsid w:val="006A5E4F"/>
    <w:rsid w:val="006A643C"/>
    <w:rsid w:val="006B0F54"/>
    <w:rsid w:val="006B415B"/>
    <w:rsid w:val="006B4C95"/>
    <w:rsid w:val="006B4CBA"/>
    <w:rsid w:val="006B7542"/>
    <w:rsid w:val="006C0A59"/>
    <w:rsid w:val="006C19EE"/>
    <w:rsid w:val="006C1D80"/>
    <w:rsid w:val="006C2E46"/>
    <w:rsid w:val="006C3B05"/>
    <w:rsid w:val="006C4E45"/>
    <w:rsid w:val="006C588E"/>
    <w:rsid w:val="006C5EE1"/>
    <w:rsid w:val="006C61B1"/>
    <w:rsid w:val="006C6DB8"/>
    <w:rsid w:val="006D0669"/>
    <w:rsid w:val="006D1D4E"/>
    <w:rsid w:val="006D3771"/>
    <w:rsid w:val="006D440A"/>
    <w:rsid w:val="006D4457"/>
    <w:rsid w:val="006D5599"/>
    <w:rsid w:val="006D592F"/>
    <w:rsid w:val="006D62BE"/>
    <w:rsid w:val="006D7B71"/>
    <w:rsid w:val="006E0006"/>
    <w:rsid w:val="006E01BB"/>
    <w:rsid w:val="006E0DF6"/>
    <w:rsid w:val="006E0EC9"/>
    <w:rsid w:val="006E1BDE"/>
    <w:rsid w:val="006E336C"/>
    <w:rsid w:val="006E35A9"/>
    <w:rsid w:val="006E3B9E"/>
    <w:rsid w:val="006E4A27"/>
    <w:rsid w:val="006E5828"/>
    <w:rsid w:val="006E6BB9"/>
    <w:rsid w:val="006E784F"/>
    <w:rsid w:val="006F0B4F"/>
    <w:rsid w:val="006F0E97"/>
    <w:rsid w:val="006F2DF3"/>
    <w:rsid w:val="006F2DF9"/>
    <w:rsid w:val="006F3C6F"/>
    <w:rsid w:val="006F41C6"/>
    <w:rsid w:val="006F5DD9"/>
    <w:rsid w:val="006F6FA2"/>
    <w:rsid w:val="007001D0"/>
    <w:rsid w:val="00700CE3"/>
    <w:rsid w:val="00701411"/>
    <w:rsid w:val="00701498"/>
    <w:rsid w:val="00701E70"/>
    <w:rsid w:val="00704F47"/>
    <w:rsid w:val="00705BC0"/>
    <w:rsid w:val="00705DFA"/>
    <w:rsid w:val="007072C2"/>
    <w:rsid w:val="0070746B"/>
    <w:rsid w:val="007075CA"/>
    <w:rsid w:val="00710C02"/>
    <w:rsid w:val="0071151E"/>
    <w:rsid w:val="007118AC"/>
    <w:rsid w:val="00711FC7"/>
    <w:rsid w:val="0071482B"/>
    <w:rsid w:val="00714C8F"/>
    <w:rsid w:val="00715A32"/>
    <w:rsid w:val="00716EFB"/>
    <w:rsid w:val="00716F57"/>
    <w:rsid w:val="00717A74"/>
    <w:rsid w:val="00720EA2"/>
    <w:rsid w:val="00721409"/>
    <w:rsid w:val="00721CE0"/>
    <w:rsid w:val="007221A2"/>
    <w:rsid w:val="00722935"/>
    <w:rsid w:val="00726829"/>
    <w:rsid w:val="00727815"/>
    <w:rsid w:val="007301A7"/>
    <w:rsid w:val="00730E31"/>
    <w:rsid w:val="007346F8"/>
    <w:rsid w:val="00734D66"/>
    <w:rsid w:val="00734E06"/>
    <w:rsid w:val="00736474"/>
    <w:rsid w:val="00736CA6"/>
    <w:rsid w:val="00736E9D"/>
    <w:rsid w:val="007373FA"/>
    <w:rsid w:val="00737E7D"/>
    <w:rsid w:val="0074063F"/>
    <w:rsid w:val="00740965"/>
    <w:rsid w:val="00740EF1"/>
    <w:rsid w:val="0074250E"/>
    <w:rsid w:val="007437BA"/>
    <w:rsid w:val="007444E7"/>
    <w:rsid w:val="00744DBD"/>
    <w:rsid w:val="00745398"/>
    <w:rsid w:val="00747848"/>
    <w:rsid w:val="00747B90"/>
    <w:rsid w:val="00754870"/>
    <w:rsid w:val="007561F0"/>
    <w:rsid w:val="00756632"/>
    <w:rsid w:val="0075754A"/>
    <w:rsid w:val="00760554"/>
    <w:rsid w:val="0076083D"/>
    <w:rsid w:val="007618CD"/>
    <w:rsid w:val="00761DC2"/>
    <w:rsid w:val="00762B1E"/>
    <w:rsid w:val="007649AD"/>
    <w:rsid w:val="00764B94"/>
    <w:rsid w:val="007652E2"/>
    <w:rsid w:val="00765A82"/>
    <w:rsid w:val="00766434"/>
    <w:rsid w:val="00770E10"/>
    <w:rsid w:val="00771E5C"/>
    <w:rsid w:val="00772107"/>
    <w:rsid w:val="00773069"/>
    <w:rsid w:val="007735E7"/>
    <w:rsid w:val="00773E30"/>
    <w:rsid w:val="007742FF"/>
    <w:rsid w:val="00774A83"/>
    <w:rsid w:val="00775146"/>
    <w:rsid w:val="0077566D"/>
    <w:rsid w:val="00776097"/>
    <w:rsid w:val="007763DA"/>
    <w:rsid w:val="007766A5"/>
    <w:rsid w:val="00776E39"/>
    <w:rsid w:val="00777BB7"/>
    <w:rsid w:val="0078016D"/>
    <w:rsid w:val="00781778"/>
    <w:rsid w:val="00782098"/>
    <w:rsid w:val="00783679"/>
    <w:rsid w:val="00786231"/>
    <w:rsid w:val="007900CB"/>
    <w:rsid w:val="007905B2"/>
    <w:rsid w:val="00790E9B"/>
    <w:rsid w:val="007917E7"/>
    <w:rsid w:val="007927C6"/>
    <w:rsid w:val="00792FE2"/>
    <w:rsid w:val="0079348E"/>
    <w:rsid w:val="00793EEB"/>
    <w:rsid w:val="0079405B"/>
    <w:rsid w:val="00795679"/>
    <w:rsid w:val="00795AE1"/>
    <w:rsid w:val="007960FE"/>
    <w:rsid w:val="0079797F"/>
    <w:rsid w:val="007A05F4"/>
    <w:rsid w:val="007A0BB9"/>
    <w:rsid w:val="007A14E8"/>
    <w:rsid w:val="007A1D73"/>
    <w:rsid w:val="007A4023"/>
    <w:rsid w:val="007A5445"/>
    <w:rsid w:val="007A5A94"/>
    <w:rsid w:val="007A5E11"/>
    <w:rsid w:val="007A659E"/>
    <w:rsid w:val="007A6C47"/>
    <w:rsid w:val="007B1AB6"/>
    <w:rsid w:val="007B31F7"/>
    <w:rsid w:val="007B347F"/>
    <w:rsid w:val="007B39F6"/>
    <w:rsid w:val="007B5A98"/>
    <w:rsid w:val="007B5E30"/>
    <w:rsid w:val="007C1DB0"/>
    <w:rsid w:val="007C2270"/>
    <w:rsid w:val="007C27D4"/>
    <w:rsid w:val="007C3C3B"/>
    <w:rsid w:val="007C4CCE"/>
    <w:rsid w:val="007C56DA"/>
    <w:rsid w:val="007C570A"/>
    <w:rsid w:val="007C7D49"/>
    <w:rsid w:val="007C7DE5"/>
    <w:rsid w:val="007D0EEB"/>
    <w:rsid w:val="007D1D99"/>
    <w:rsid w:val="007D4D2A"/>
    <w:rsid w:val="007D763D"/>
    <w:rsid w:val="007E00B1"/>
    <w:rsid w:val="007E0749"/>
    <w:rsid w:val="007E2F87"/>
    <w:rsid w:val="007E334F"/>
    <w:rsid w:val="007E408F"/>
    <w:rsid w:val="007E4155"/>
    <w:rsid w:val="007E57B5"/>
    <w:rsid w:val="007E5D39"/>
    <w:rsid w:val="007E66C8"/>
    <w:rsid w:val="007E67BD"/>
    <w:rsid w:val="007E6BBD"/>
    <w:rsid w:val="007F06E1"/>
    <w:rsid w:val="007F0C09"/>
    <w:rsid w:val="007F1713"/>
    <w:rsid w:val="007F3596"/>
    <w:rsid w:val="007F3E75"/>
    <w:rsid w:val="007F517F"/>
    <w:rsid w:val="007F6391"/>
    <w:rsid w:val="007F6FB8"/>
    <w:rsid w:val="007F7481"/>
    <w:rsid w:val="007F76FF"/>
    <w:rsid w:val="007F7C4E"/>
    <w:rsid w:val="00801491"/>
    <w:rsid w:val="008015A7"/>
    <w:rsid w:val="00801EF6"/>
    <w:rsid w:val="00802AEC"/>
    <w:rsid w:val="00803099"/>
    <w:rsid w:val="008034D8"/>
    <w:rsid w:val="0080406C"/>
    <w:rsid w:val="0080562C"/>
    <w:rsid w:val="008071D0"/>
    <w:rsid w:val="0081066B"/>
    <w:rsid w:val="00810809"/>
    <w:rsid w:val="00810C6A"/>
    <w:rsid w:val="00810C86"/>
    <w:rsid w:val="00812350"/>
    <w:rsid w:val="00812369"/>
    <w:rsid w:val="00812741"/>
    <w:rsid w:val="008128E3"/>
    <w:rsid w:val="00812CA9"/>
    <w:rsid w:val="00815871"/>
    <w:rsid w:val="00821789"/>
    <w:rsid w:val="0082180B"/>
    <w:rsid w:val="00821BC9"/>
    <w:rsid w:val="00825147"/>
    <w:rsid w:val="00825D4F"/>
    <w:rsid w:val="00830017"/>
    <w:rsid w:val="00830787"/>
    <w:rsid w:val="00830DC9"/>
    <w:rsid w:val="00831489"/>
    <w:rsid w:val="00833A6A"/>
    <w:rsid w:val="00833E2F"/>
    <w:rsid w:val="00834F9A"/>
    <w:rsid w:val="008368F3"/>
    <w:rsid w:val="008400A8"/>
    <w:rsid w:val="0084156A"/>
    <w:rsid w:val="00841D43"/>
    <w:rsid w:val="008427B1"/>
    <w:rsid w:val="008449FF"/>
    <w:rsid w:val="0084601D"/>
    <w:rsid w:val="008462FB"/>
    <w:rsid w:val="00846C73"/>
    <w:rsid w:val="00850462"/>
    <w:rsid w:val="0085161D"/>
    <w:rsid w:val="008548E3"/>
    <w:rsid w:val="00855597"/>
    <w:rsid w:val="00855780"/>
    <w:rsid w:val="00856178"/>
    <w:rsid w:val="00856C69"/>
    <w:rsid w:val="008570AB"/>
    <w:rsid w:val="00862545"/>
    <w:rsid w:val="008653B5"/>
    <w:rsid w:val="00865A76"/>
    <w:rsid w:val="008663D7"/>
    <w:rsid w:val="008669DB"/>
    <w:rsid w:val="0086730B"/>
    <w:rsid w:val="008679E6"/>
    <w:rsid w:val="00867A0F"/>
    <w:rsid w:val="008703DD"/>
    <w:rsid w:val="00870A0F"/>
    <w:rsid w:val="00871811"/>
    <w:rsid w:val="0087218A"/>
    <w:rsid w:val="00872E1F"/>
    <w:rsid w:val="00873942"/>
    <w:rsid w:val="0087400E"/>
    <w:rsid w:val="00880558"/>
    <w:rsid w:val="00883894"/>
    <w:rsid w:val="00884CC6"/>
    <w:rsid w:val="00885DA2"/>
    <w:rsid w:val="00885E17"/>
    <w:rsid w:val="00886342"/>
    <w:rsid w:val="008875DE"/>
    <w:rsid w:val="0089092F"/>
    <w:rsid w:val="00893594"/>
    <w:rsid w:val="008947EA"/>
    <w:rsid w:val="00894ABF"/>
    <w:rsid w:val="00896FF4"/>
    <w:rsid w:val="008A0E85"/>
    <w:rsid w:val="008A15CB"/>
    <w:rsid w:val="008A1DDE"/>
    <w:rsid w:val="008A371D"/>
    <w:rsid w:val="008A5443"/>
    <w:rsid w:val="008A55A8"/>
    <w:rsid w:val="008A5F01"/>
    <w:rsid w:val="008A6B66"/>
    <w:rsid w:val="008A7078"/>
    <w:rsid w:val="008B0969"/>
    <w:rsid w:val="008B11D0"/>
    <w:rsid w:val="008B32B6"/>
    <w:rsid w:val="008B4464"/>
    <w:rsid w:val="008B4BF2"/>
    <w:rsid w:val="008B56E5"/>
    <w:rsid w:val="008B5AFD"/>
    <w:rsid w:val="008B6650"/>
    <w:rsid w:val="008B729C"/>
    <w:rsid w:val="008B7A4E"/>
    <w:rsid w:val="008C1506"/>
    <w:rsid w:val="008C2D30"/>
    <w:rsid w:val="008C33F2"/>
    <w:rsid w:val="008C6C92"/>
    <w:rsid w:val="008C77F7"/>
    <w:rsid w:val="008D0AE4"/>
    <w:rsid w:val="008D1B0D"/>
    <w:rsid w:val="008D20E6"/>
    <w:rsid w:val="008D2F52"/>
    <w:rsid w:val="008D3E19"/>
    <w:rsid w:val="008D57A4"/>
    <w:rsid w:val="008D5F06"/>
    <w:rsid w:val="008D6B57"/>
    <w:rsid w:val="008D74C3"/>
    <w:rsid w:val="008D7DFC"/>
    <w:rsid w:val="008E00FD"/>
    <w:rsid w:val="008E07C6"/>
    <w:rsid w:val="008E33EA"/>
    <w:rsid w:val="008E4180"/>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B17"/>
    <w:rsid w:val="008F7F78"/>
    <w:rsid w:val="00900316"/>
    <w:rsid w:val="00901083"/>
    <w:rsid w:val="0090122A"/>
    <w:rsid w:val="00901F73"/>
    <w:rsid w:val="0090394F"/>
    <w:rsid w:val="009054D3"/>
    <w:rsid w:val="00905587"/>
    <w:rsid w:val="00907B9D"/>
    <w:rsid w:val="00910CFA"/>
    <w:rsid w:val="009125D2"/>
    <w:rsid w:val="00915E3F"/>
    <w:rsid w:val="00915F49"/>
    <w:rsid w:val="00915F97"/>
    <w:rsid w:val="0092273F"/>
    <w:rsid w:val="009238F1"/>
    <w:rsid w:val="00923AEB"/>
    <w:rsid w:val="009249B4"/>
    <w:rsid w:val="00926716"/>
    <w:rsid w:val="00926D27"/>
    <w:rsid w:val="009270DB"/>
    <w:rsid w:val="00930BEB"/>
    <w:rsid w:val="00930C8D"/>
    <w:rsid w:val="009323DF"/>
    <w:rsid w:val="00932AFC"/>
    <w:rsid w:val="0093389C"/>
    <w:rsid w:val="00933A7D"/>
    <w:rsid w:val="00933DA9"/>
    <w:rsid w:val="0093491F"/>
    <w:rsid w:val="00935E14"/>
    <w:rsid w:val="00941E4F"/>
    <w:rsid w:val="00942454"/>
    <w:rsid w:val="0094480E"/>
    <w:rsid w:val="00945FE7"/>
    <w:rsid w:val="00947B5B"/>
    <w:rsid w:val="00950281"/>
    <w:rsid w:val="00951BD3"/>
    <w:rsid w:val="009529FD"/>
    <w:rsid w:val="00952B8F"/>
    <w:rsid w:val="0095569B"/>
    <w:rsid w:val="009559F2"/>
    <w:rsid w:val="009562CC"/>
    <w:rsid w:val="00957310"/>
    <w:rsid w:val="0095750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87B"/>
    <w:rsid w:val="009766FE"/>
    <w:rsid w:val="00977715"/>
    <w:rsid w:val="00980439"/>
    <w:rsid w:val="00982444"/>
    <w:rsid w:val="00982BA7"/>
    <w:rsid w:val="00982D92"/>
    <w:rsid w:val="00982F10"/>
    <w:rsid w:val="009834A0"/>
    <w:rsid w:val="009843A8"/>
    <w:rsid w:val="00984993"/>
    <w:rsid w:val="00984CA2"/>
    <w:rsid w:val="00984E3B"/>
    <w:rsid w:val="009854F1"/>
    <w:rsid w:val="0098714A"/>
    <w:rsid w:val="00992175"/>
    <w:rsid w:val="009936E6"/>
    <w:rsid w:val="00993EA1"/>
    <w:rsid w:val="0099496C"/>
    <w:rsid w:val="00996569"/>
    <w:rsid w:val="0099664B"/>
    <w:rsid w:val="009969DE"/>
    <w:rsid w:val="009A057B"/>
    <w:rsid w:val="009A06F0"/>
    <w:rsid w:val="009A14DE"/>
    <w:rsid w:val="009A16C1"/>
    <w:rsid w:val="009A1F48"/>
    <w:rsid w:val="009A40DD"/>
    <w:rsid w:val="009A6EDB"/>
    <w:rsid w:val="009A72B5"/>
    <w:rsid w:val="009A7BC2"/>
    <w:rsid w:val="009B011E"/>
    <w:rsid w:val="009B1897"/>
    <w:rsid w:val="009B1BB7"/>
    <w:rsid w:val="009B1C51"/>
    <w:rsid w:val="009B48D4"/>
    <w:rsid w:val="009B751B"/>
    <w:rsid w:val="009C0992"/>
    <w:rsid w:val="009C0C48"/>
    <w:rsid w:val="009C1830"/>
    <w:rsid w:val="009C23DA"/>
    <w:rsid w:val="009C24B3"/>
    <w:rsid w:val="009C25E6"/>
    <w:rsid w:val="009C2C09"/>
    <w:rsid w:val="009C2E5A"/>
    <w:rsid w:val="009C6214"/>
    <w:rsid w:val="009C672A"/>
    <w:rsid w:val="009C7B18"/>
    <w:rsid w:val="009C7D55"/>
    <w:rsid w:val="009C7F52"/>
    <w:rsid w:val="009D07F2"/>
    <w:rsid w:val="009D1884"/>
    <w:rsid w:val="009D24A3"/>
    <w:rsid w:val="009D2FD6"/>
    <w:rsid w:val="009D3295"/>
    <w:rsid w:val="009D3665"/>
    <w:rsid w:val="009D3C84"/>
    <w:rsid w:val="009D40C6"/>
    <w:rsid w:val="009D54F3"/>
    <w:rsid w:val="009D6969"/>
    <w:rsid w:val="009D7470"/>
    <w:rsid w:val="009D7A58"/>
    <w:rsid w:val="009E00DA"/>
    <w:rsid w:val="009E0828"/>
    <w:rsid w:val="009E0CED"/>
    <w:rsid w:val="009E17A2"/>
    <w:rsid w:val="009E2D23"/>
    <w:rsid w:val="009E4043"/>
    <w:rsid w:val="009E43C1"/>
    <w:rsid w:val="009E6DF1"/>
    <w:rsid w:val="009E74F6"/>
    <w:rsid w:val="009F057E"/>
    <w:rsid w:val="009F3BA0"/>
    <w:rsid w:val="009F3F5D"/>
    <w:rsid w:val="009F43CB"/>
    <w:rsid w:val="009F4CB9"/>
    <w:rsid w:val="00A01C02"/>
    <w:rsid w:val="00A025F3"/>
    <w:rsid w:val="00A02D24"/>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7672"/>
    <w:rsid w:val="00A179F7"/>
    <w:rsid w:val="00A20A6B"/>
    <w:rsid w:val="00A20C5D"/>
    <w:rsid w:val="00A2205D"/>
    <w:rsid w:val="00A222CA"/>
    <w:rsid w:val="00A225E3"/>
    <w:rsid w:val="00A228DF"/>
    <w:rsid w:val="00A239CC"/>
    <w:rsid w:val="00A23BC2"/>
    <w:rsid w:val="00A248C9"/>
    <w:rsid w:val="00A279AC"/>
    <w:rsid w:val="00A30C5D"/>
    <w:rsid w:val="00A310F1"/>
    <w:rsid w:val="00A31C68"/>
    <w:rsid w:val="00A325AE"/>
    <w:rsid w:val="00A326A6"/>
    <w:rsid w:val="00A35FAA"/>
    <w:rsid w:val="00A40163"/>
    <w:rsid w:val="00A409BC"/>
    <w:rsid w:val="00A42F6D"/>
    <w:rsid w:val="00A44612"/>
    <w:rsid w:val="00A44720"/>
    <w:rsid w:val="00A46164"/>
    <w:rsid w:val="00A46A8E"/>
    <w:rsid w:val="00A51337"/>
    <w:rsid w:val="00A537E5"/>
    <w:rsid w:val="00A540A5"/>
    <w:rsid w:val="00A54248"/>
    <w:rsid w:val="00A55B6F"/>
    <w:rsid w:val="00A61BD0"/>
    <w:rsid w:val="00A61CCE"/>
    <w:rsid w:val="00A6388E"/>
    <w:rsid w:val="00A64FD7"/>
    <w:rsid w:val="00A70398"/>
    <w:rsid w:val="00A709AD"/>
    <w:rsid w:val="00A71043"/>
    <w:rsid w:val="00A72DA9"/>
    <w:rsid w:val="00A733CB"/>
    <w:rsid w:val="00A739DF"/>
    <w:rsid w:val="00A740A0"/>
    <w:rsid w:val="00A751AD"/>
    <w:rsid w:val="00A773CD"/>
    <w:rsid w:val="00A775CF"/>
    <w:rsid w:val="00A77853"/>
    <w:rsid w:val="00A77FAF"/>
    <w:rsid w:val="00A805EB"/>
    <w:rsid w:val="00A80C87"/>
    <w:rsid w:val="00A81EED"/>
    <w:rsid w:val="00A84503"/>
    <w:rsid w:val="00A867DA"/>
    <w:rsid w:val="00A8782F"/>
    <w:rsid w:val="00A912A7"/>
    <w:rsid w:val="00A9167D"/>
    <w:rsid w:val="00A91E17"/>
    <w:rsid w:val="00A92D25"/>
    <w:rsid w:val="00A9401F"/>
    <w:rsid w:val="00A94689"/>
    <w:rsid w:val="00A94DDB"/>
    <w:rsid w:val="00A94F82"/>
    <w:rsid w:val="00A965CD"/>
    <w:rsid w:val="00AA1BEC"/>
    <w:rsid w:val="00AA27AA"/>
    <w:rsid w:val="00AA2DF3"/>
    <w:rsid w:val="00AA4761"/>
    <w:rsid w:val="00AA50BC"/>
    <w:rsid w:val="00AA6AE4"/>
    <w:rsid w:val="00AB24E7"/>
    <w:rsid w:val="00AB3237"/>
    <w:rsid w:val="00AB3917"/>
    <w:rsid w:val="00AB3A2D"/>
    <w:rsid w:val="00AB4AC8"/>
    <w:rsid w:val="00AB5E21"/>
    <w:rsid w:val="00AB75AE"/>
    <w:rsid w:val="00AB76EC"/>
    <w:rsid w:val="00AB7933"/>
    <w:rsid w:val="00AC13C9"/>
    <w:rsid w:val="00AC3071"/>
    <w:rsid w:val="00AC3A08"/>
    <w:rsid w:val="00AC3D18"/>
    <w:rsid w:val="00AC6332"/>
    <w:rsid w:val="00AD10CF"/>
    <w:rsid w:val="00AD2FC0"/>
    <w:rsid w:val="00AD35EA"/>
    <w:rsid w:val="00AD3BC7"/>
    <w:rsid w:val="00AD42E2"/>
    <w:rsid w:val="00AD4967"/>
    <w:rsid w:val="00AD562E"/>
    <w:rsid w:val="00AD5B1B"/>
    <w:rsid w:val="00AD605C"/>
    <w:rsid w:val="00AD66BE"/>
    <w:rsid w:val="00AD6DB9"/>
    <w:rsid w:val="00AD7443"/>
    <w:rsid w:val="00AE2459"/>
    <w:rsid w:val="00AE29C2"/>
    <w:rsid w:val="00AE3D23"/>
    <w:rsid w:val="00AE4EC8"/>
    <w:rsid w:val="00AE517C"/>
    <w:rsid w:val="00AE54AC"/>
    <w:rsid w:val="00AE599E"/>
    <w:rsid w:val="00AE5D9F"/>
    <w:rsid w:val="00AE5F15"/>
    <w:rsid w:val="00AE61C0"/>
    <w:rsid w:val="00AE6C13"/>
    <w:rsid w:val="00AE76C9"/>
    <w:rsid w:val="00AF06B4"/>
    <w:rsid w:val="00AF0C7E"/>
    <w:rsid w:val="00AF0EB2"/>
    <w:rsid w:val="00AF2791"/>
    <w:rsid w:val="00AF2EF5"/>
    <w:rsid w:val="00AF3117"/>
    <w:rsid w:val="00AF326B"/>
    <w:rsid w:val="00AF32F0"/>
    <w:rsid w:val="00AF3811"/>
    <w:rsid w:val="00AF418D"/>
    <w:rsid w:val="00AF560E"/>
    <w:rsid w:val="00AF6220"/>
    <w:rsid w:val="00AF70EE"/>
    <w:rsid w:val="00AF7618"/>
    <w:rsid w:val="00B00B01"/>
    <w:rsid w:val="00B03A95"/>
    <w:rsid w:val="00B04227"/>
    <w:rsid w:val="00B04550"/>
    <w:rsid w:val="00B04964"/>
    <w:rsid w:val="00B04CBD"/>
    <w:rsid w:val="00B10605"/>
    <w:rsid w:val="00B10F95"/>
    <w:rsid w:val="00B11B0A"/>
    <w:rsid w:val="00B12331"/>
    <w:rsid w:val="00B15B71"/>
    <w:rsid w:val="00B166C6"/>
    <w:rsid w:val="00B17DBB"/>
    <w:rsid w:val="00B21941"/>
    <w:rsid w:val="00B21ADF"/>
    <w:rsid w:val="00B21EB4"/>
    <w:rsid w:val="00B22A5B"/>
    <w:rsid w:val="00B2691D"/>
    <w:rsid w:val="00B26C44"/>
    <w:rsid w:val="00B27820"/>
    <w:rsid w:val="00B30944"/>
    <w:rsid w:val="00B3104B"/>
    <w:rsid w:val="00B32AAC"/>
    <w:rsid w:val="00B33F4D"/>
    <w:rsid w:val="00B36CFC"/>
    <w:rsid w:val="00B37035"/>
    <w:rsid w:val="00B37148"/>
    <w:rsid w:val="00B37AFC"/>
    <w:rsid w:val="00B4084B"/>
    <w:rsid w:val="00B427A0"/>
    <w:rsid w:val="00B42B56"/>
    <w:rsid w:val="00B4307E"/>
    <w:rsid w:val="00B45864"/>
    <w:rsid w:val="00B460B5"/>
    <w:rsid w:val="00B47F4C"/>
    <w:rsid w:val="00B50958"/>
    <w:rsid w:val="00B51526"/>
    <w:rsid w:val="00B53D82"/>
    <w:rsid w:val="00B567D8"/>
    <w:rsid w:val="00B56DA5"/>
    <w:rsid w:val="00B57EB4"/>
    <w:rsid w:val="00B60F6F"/>
    <w:rsid w:val="00B61A52"/>
    <w:rsid w:val="00B6230B"/>
    <w:rsid w:val="00B63C3C"/>
    <w:rsid w:val="00B64DE4"/>
    <w:rsid w:val="00B65561"/>
    <w:rsid w:val="00B676B8"/>
    <w:rsid w:val="00B70250"/>
    <w:rsid w:val="00B70C9E"/>
    <w:rsid w:val="00B71222"/>
    <w:rsid w:val="00B7358B"/>
    <w:rsid w:val="00B7388C"/>
    <w:rsid w:val="00B73E0D"/>
    <w:rsid w:val="00B7521F"/>
    <w:rsid w:val="00B830A1"/>
    <w:rsid w:val="00B83160"/>
    <w:rsid w:val="00B8365B"/>
    <w:rsid w:val="00B83705"/>
    <w:rsid w:val="00B83CA0"/>
    <w:rsid w:val="00B84243"/>
    <w:rsid w:val="00B85C34"/>
    <w:rsid w:val="00B86CCD"/>
    <w:rsid w:val="00B876C0"/>
    <w:rsid w:val="00B87806"/>
    <w:rsid w:val="00B93884"/>
    <w:rsid w:val="00B94405"/>
    <w:rsid w:val="00B94A65"/>
    <w:rsid w:val="00B94ADF"/>
    <w:rsid w:val="00B94FB4"/>
    <w:rsid w:val="00B95D2D"/>
    <w:rsid w:val="00B9607C"/>
    <w:rsid w:val="00B9676C"/>
    <w:rsid w:val="00BA0966"/>
    <w:rsid w:val="00BA0F2F"/>
    <w:rsid w:val="00BA379F"/>
    <w:rsid w:val="00BA6777"/>
    <w:rsid w:val="00BB2A98"/>
    <w:rsid w:val="00BB3AB5"/>
    <w:rsid w:val="00BB3DA8"/>
    <w:rsid w:val="00BB498B"/>
    <w:rsid w:val="00BB4C85"/>
    <w:rsid w:val="00BB6D23"/>
    <w:rsid w:val="00BB721D"/>
    <w:rsid w:val="00BB7455"/>
    <w:rsid w:val="00BC0B5F"/>
    <w:rsid w:val="00BC1DC9"/>
    <w:rsid w:val="00BC2C65"/>
    <w:rsid w:val="00BC3C69"/>
    <w:rsid w:val="00BC3CAB"/>
    <w:rsid w:val="00BC42CE"/>
    <w:rsid w:val="00BC6702"/>
    <w:rsid w:val="00BD210E"/>
    <w:rsid w:val="00BD40CB"/>
    <w:rsid w:val="00BD4954"/>
    <w:rsid w:val="00BD77F3"/>
    <w:rsid w:val="00BD78D5"/>
    <w:rsid w:val="00BE0A68"/>
    <w:rsid w:val="00BE1819"/>
    <w:rsid w:val="00BE537C"/>
    <w:rsid w:val="00BE6D85"/>
    <w:rsid w:val="00BE70B3"/>
    <w:rsid w:val="00BE7BD9"/>
    <w:rsid w:val="00BE7D58"/>
    <w:rsid w:val="00BF0270"/>
    <w:rsid w:val="00BF0985"/>
    <w:rsid w:val="00BF0E14"/>
    <w:rsid w:val="00BF164E"/>
    <w:rsid w:val="00BF1A33"/>
    <w:rsid w:val="00BF23C3"/>
    <w:rsid w:val="00BF3D35"/>
    <w:rsid w:val="00BF6D42"/>
    <w:rsid w:val="00BF7ED9"/>
    <w:rsid w:val="00C00AA5"/>
    <w:rsid w:val="00C02450"/>
    <w:rsid w:val="00C0259F"/>
    <w:rsid w:val="00C02BCF"/>
    <w:rsid w:val="00C066AF"/>
    <w:rsid w:val="00C07DEC"/>
    <w:rsid w:val="00C1005F"/>
    <w:rsid w:val="00C107D2"/>
    <w:rsid w:val="00C10BC3"/>
    <w:rsid w:val="00C11F05"/>
    <w:rsid w:val="00C11F2F"/>
    <w:rsid w:val="00C12D0A"/>
    <w:rsid w:val="00C13681"/>
    <w:rsid w:val="00C13DA0"/>
    <w:rsid w:val="00C15DEF"/>
    <w:rsid w:val="00C20E76"/>
    <w:rsid w:val="00C21050"/>
    <w:rsid w:val="00C23647"/>
    <w:rsid w:val="00C2476F"/>
    <w:rsid w:val="00C24D53"/>
    <w:rsid w:val="00C26090"/>
    <w:rsid w:val="00C2641F"/>
    <w:rsid w:val="00C276B1"/>
    <w:rsid w:val="00C3009E"/>
    <w:rsid w:val="00C31E81"/>
    <w:rsid w:val="00C3239B"/>
    <w:rsid w:val="00C3249E"/>
    <w:rsid w:val="00C3303C"/>
    <w:rsid w:val="00C3324A"/>
    <w:rsid w:val="00C342CD"/>
    <w:rsid w:val="00C34390"/>
    <w:rsid w:val="00C34C31"/>
    <w:rsid w:val="00C34C59"/>
    <w:rsid w:val="00C34D94"/>
    <w:rsid w:val="00C359BA"/>
    <w:rsid w:val="00C36775"/>
    <w:rsid w:val="00C40689"/>
    <w:rsid w:val="00C41D55"/>
    <w:rsid w:val="00C428E6"/>
    <w:rsid w:val="00C42D37"/>
    <w:rsid w:val="00C431A3"/>
    <w:rsid w:val="00C44BE3"/>
    <w:rsid w:val="00C44C1D"/>
    <w:rsid w:val="00C450A9"/>
    <w:rsid w:val="00C45903"/>
    <w:rsid w:val="00C46D0E"/>
    <w:rsid w:val="00C5036F"/>
    <w:rsid w:val="00C53EF2"/>
    <w:rsid w:val="00C55341"/>
    <w:rsid w:val="00C55846"/>
    <w:rsid w:val="00C6305B"/>
    <w:rsid w:val="00C63109"/>
    <w:rsid w:val="00C63C1F"/>
    <w:rsid w:val="00C63ED7"/>
    <w:rsid w:val="00C64E29"/>
    <w:rsid w:val="00C65BA9"/>
    <w:rsid w:val="00C6624D"/>
    <w:rsid w:val="00C6644F"/>
    <w:rsid w:val="00C705DA"/>
    <w:rsid w:val="00C7356F"/>
    <w:rsid w:val="00C74126"/>
    <w:rsid w:val="00C74C39"/>
    <w:rsid w:val="00C74DA9"/>
    <w:rsid w:val="00C753BA"/>
    <w:rsid w:val="00C7638D"/>
    <w:rsid w:val="00C763EA"/>
    <w:rsid w:val="00C77417"/>
    <w:rsid w:val="00C8049D"/>
    <w:rsid w:val="00C854F5"/>
    <w:rsid w:val="00C85E77"/>
    <w:rsid w:val="00C86D90"/>
    <w:rsid w:val="00C872C5"/>
    <w:rsid w:val="00C8748F"/>
    <w:rsid w:val="00C87FB8"/>
    <w:rsid w:val="00C911A8"/>
    <w:rsid w:val="00C91347"/>
    <w:rsid w:val="00C91CF4"/>
    <w:rsid w:val="00C92123"/>
    <w:rsid w:val="00C95596"/>
    <w:rsid w:val="00C95850"/>
    <w:rsid w:val="00C95B85"/>
    <w:rsid w:val="00C978F2"/>
    <w:rsid w:val="00C97F24"/>
    <w:rsid w:val="00C97F3F"/>
    <w:rsid w:val="00CA05AE"/>
    <w:rsid w:val="00CA0B5E"/>
    <w:rsid w:val="00CA0F4F"/>
    <w:rsid w:val="00CA15D7"/>
    <w:rsid w:val="00CA2F21"/>
    <w:rsid w:val="00CA3214"/>
    <w:rsid w:val="00CA450E"/>
    <w:rsid w:val="00CA475B"/>
    <w:rsid w:val="00CA4819"/>
    <w:rsid w:val="00CA49A3"/>
    <w:rsid w:val="00CA600B"/>
    <w:rsid w:val="00CA629E"/>
    <w:rsid w:val="00CA709C"/>
    <w:rsid w:val="00CA77F1"/>
    <w:rsid w:val="00CB1F59"/>
    <w:rsid w:val="00CB4589"/>
    <w:rsid w:val="00CB54F0"/>
    <w:rsid w:val="00CB60C9"/>
    <w:rsid w:val="00CB62C0"/>
    <w:rsid w:val="00CB6D24"/>
    <w:rsid w:val="00CB795F"/>
    <w:rsid w:val="00CC0486"/>
    <w:rsid w:val="00CC0B67"/>
    <w:rsid w:val="00CC4867"/>
    <w:rsid w:val="00CC5105"/>
    <w:rsid w:val="00CC5AA2"/>
    <w:rsid w:val="00CC5AB0"/>
    <w:rsid w:val="00CC6AFF"/>
    <w:rsid w:val="00CC7ED8"/>
    <w:rsid w:val="00CC7F08"/>
    <w:rsid w:val="00CD0C4F"/>
    <w:rsid w:val="00CD1BF3"/>
    <w:rsid w:val="00CD3382"/>
    <w:rsid w:val="00CE0085"/>
    <w:rsid w:val="00CE0472"/>
    <w:rsid w:val="00CE179F"/>
    <w:rsid w:val="00CE22E5"/>
    <w:rsid w:val="00CE2B6C"/>
    <w:rsid w:val="00CE2C1A"/>
    <w:rsid w:val="00CE3F53"/>
    <w:rsid w:val="00CE4134"/>
    <w:rsid w:val="00CE558E"/>
    <w:rsid w:val="00CE5774"/>
    <w:rsid w:val="00CE7933"/>
    <w:rsid w:val="00CF0E62"/>
    <w:rsid w:val="00CF164C"/>
    <w:rsid w:val="00CF2C6F"/>
    <w:rsid w:val="00CF4131"/>
    <w:rsid w:val="00CF5085"/>
    <w:rsid w:val="00CF5FDC"/>
    <w:rsid w:val="00D00382"/>
    <w:rsid w:val="00D0086A"/>
    <w:rsid w:val="00D0276A"/>
    <w:rsid w:val="00D02EF1"/>
    <w:rsid w:val="00D05719"/>
    <w:rsid w:val="00D07A8D"/>
    <w:rsid w:val="00D07C61"/>
    <w:rsid w:val="00D1024D"/>
    <w:rsid w:val="00D11F5B"/>
    <w:rsid w:val="00D120BF"/>
    <w:rsid w:val="00D143EC"/>
    <w:rsid w:val="00D1469B"/>
    <w:rsid w:val="00D15252"/>
    <w:rsid w:val="00D15792"/>
    <w:rsid w:val="00D1741D"/>
    <w:rsid w:val="00D174C3"/>
    <w:rsid w:val="00D17D15"/>
    <w:rsid w:val="00D17E55"/>
    <w:rsid w:val="00D2179B"/>
    <w:rsid w:val="00D22699"/>
    <w:rsid w:val="00D2316C"/>
    <w:rsid w:val="00D23531"/>
    <w:rsid w:val="00D24D0C"/>
    <w:rsid w:val="00D24FF4"/>
    <w:rsid w:val="00D30A84"/>
    <w:rsid w:val="00D30CBA"/>
    <w:rsid w:val="00D31C51"/>
    <w:rsid w:val="00D323B5"/>
    <w:rsid w:val="00D327B7"/>
    <w:rsid w:val="00D3564F"/>
    <w:rsid w:val="00D36333"/>
    <w:rsid w:val="00D37C36"/>
    <w:rsid w:val="00D40E9C"/>
    <w:rsid w:val="00D4187B"/>
    <w:rsid w:val="00D42146"/>
    <w:rsid w:val="00D428B3"/>
    <w:rsid w:val="00D43E58"/>
    <w:rsid w:val="00D44D21"/>
    <w:rsid w:val="00D456C4"/>
    <w:rsid w:val="00D459CF"/>
    <w:rsid w:val="00D46A7B"/>
    <w:rsid w:val="00D50C9B"/>
    <w:rsid w:val="00D549BF"/>
    <w:rsid w:val="00D551E1"/>
    <w:rsid w:val="00D55763"/>
    <w:rsid w:val="00D56B10"/>
    <w:rsid w:val="00D5708A"/>
    <w:rsid w:val="00D576B5"/>
    <w:rsid w:val="00D57849"/>
    <w:rsid w:val="00D579C5"/>
    <w:rsid w:val="00D60439"/>
    <w:rsid w:val="00D6199A"/>
    <w:rsid w:val="00D62AB4"/>
    <w:rsid w:val="00D634BA"/>
    <w:rsid w:val="00D6661E"/>
    <w:rsid w:val="00D6714F"/>
    <w:rsid w:val="00D70B2D"/>
    <w:rsid w:val="00D70BF5"/>
    <w:rsid w:val="00D70EB2"/>
    <w:rsid w:val="00D71330"/>
    <w:rsid w:val="00D715EF"/>
    <w:rsid w:val="00D720BB"/>
    <w:rsid w:val="00D729FE"/>
    <w:rsid w:val="00D75924"/>
    <w:rsid w:val="00D75DD0"/>
    <w:rsid w:val="00D7602E"/>
    <w:rsid w:val="00D76996"/>
    <w:rsid w:val="00D77C45"/>
    <w:rsid w:val="00D81071"/>
    <w:rsid w:val="00D82879"/>
    <w:rsid w:val="00D83B82"/>
    <w:rsid w:val="00D844FD"/>
    <w:rsid w:val="00D85D3F"/>
    <w:rsid w:val="00D87479"/>
    <w:rsid w:val="00D9150D"/>
    <w:rsid w:val="00D92B42"/>
    <w:rsid w:val="00D961F2"/>
    <w:rsid w:val="00D97687"/>
    <w:rsid w:val="00D9775E"/>
    <w:rsid w:val="00DA1610"/>
    <w:rsid w:val="00DA1A11"/>
    <w:rsid w:val="00DA1BEF"/>
    <w:rsid w:val="00DA28A8"/>
    <w:rsid w:val="00DA3143"/>
    <w:rsid w:val="00DA4EAE"/>
    <w:rsid w:val="00DA52D5"/>
    <w:rsid w:val="00DA6854"/>
    <w:rsid w:val="00DA6D4F"/>
    <w:rsid w:val="00DA6FB4"/>
    <w:rsid w:val="00DA7AC3"/>
    <w:rsid w:val="00DA7B65"/>
    <w:rsid w:val="00DB10A8"/>
    <w:rsid w:val="00DB22B0"/>
    <w:rsid w:val="00DB4C98"/>
    <w:rsid w:val="00DB584E"/>
    <w:rsid w:val="00DB69D9"/>
    <w:rsid w:val="00DB73C2"/>
    <w:rsid w:val="00DB7BDC"/>
    <w:rsid w:val="00DC16AF"/>
    <w:rsid w:val="00DC32EC"/>
    <w:rsid w:val="00DC4099"/>
    <w:rsid w:val="00DC4790"/>
    <w:rsid w:val="00DC5926"/>
    <w:rsid w:val="00DC6737"/>
    <w:rsid w:val="00DD051E"/>
    <w:rsid w:val="00DD05B3"/>
    <w:rsid w:val="00DD0BA0"/>
    <w:rsid w:val="00DD1046"/>
    <w:rsid w:val="00DD7B40"/>
    <w:rsid w:val="00DE117E"/>
    <w:rsid w:val="00DE1987"/>
    <w:rsid w:val="00DE1EF9"/>
    <w:rsid w:val="00DE2A71"/>
    <w:rsid w:val="00DE36CF"/>
    <w:rsid w:val="00DE388C"/>
    <w:rsid w:val="00DE42BA"/>
    <w:rsid w:val="00DE4B93"/>
    <w:rsid w:val="00DE50C2"/>
    <w:rsid w:val="00DE566F"/>
    <w:rsid w:val="00DE5DF9"/>
    <w:rsid w:val="00DE5E0C"/>
    <w:rsid w:val="00DF0055"/>
    <w:rsid w:val="00DF0728"/>
    <w:rsid w:val="00DF1ADC"/>
    <w:rsid w:val="00DF2249"/>
    <w:rsid w:val="00DF2347"/>
    <w:rsid w:val="00DF2C5D"/>
    <w:rsid w:val="00DF30D5"/>
    <w:rsid w:val="00DF363A"/>
    <w:rsid w:val="00DF4173"/>
    <w:rsid w:val="00DF53E8"/>
    <w:rsid w:val="00DF61C8"/>
    <w:rsid w:val="00DF6323"/>
    <w:rsid w:val="00DF6B26"/>
    <w:rsid w:val="00DF744E"/>
    <w:rsid w:val="00E00258"/>
    <w:rsid w:val="00E0068F"/>
    <w:rsid w:val="00E01B7C"/>
    <w:rsid w:val="00E04CCA"/>
    <w:rsid w:val="00E054BA"/>
    <w:rsid w:val="00E05967"/>
    <w:rsid w:val="00E05CC2"/>
    <w:rsid w:val="00E06F9F"/>
    <w:rsid w:val="00E1099E"/>
    <w:rsid w:val="00E10D3F"/>
    <w:rsid w:val="00E1129E"/>
    <w:rsid w:val="00E120DB"/>
    <w:rsid w:val="00E121DD"/>
    <w:rsid w:val="00E12C9B"/>
    <w:rsid w:val="00E132A7"/>
    <w:rsid w:val="00E15A7E"/>
    <w:rsid w:val="00E160CA"/>
    <w:rsid w:val="00E1675C"/>
    <w:rsid w:val="00E16977"/>
    <w:rsid w:val="00E16BE1"/>
    <w:rsid w:val="00E17DAB"/>
    <w:rsid w:val="00E20209"/>
    <w:rsid w:val="00E20628"/>
    <w:rsid w:val="00E2103B"/>
    <w:rsid w:val="00E22A07"/>
    <w:rsid w:val="00E235C3"/>
    <w:rsid w:val="00E253F7"/>
    <w:rsid w:val="00E26003"/>
    <w:rsid w:val="00E273FF"/>
    <w:rsid w:val="00E27B91"/>
    <w:rsid w:val="00E306E7"/>
    <w:rsid w:val="00E30E1D"/>
    <w:rsid w:val="00E30FE2"/>
    <w:rsid w:val="00E31F22"/>
    <w:rsid w:val="00E335C8"/>
    <w:rsid w:val="00E33EE7"/>
    <w:rsid w:val="00E37BA9"/>
    <w:rsid w:val="00E37F9B"/>
    <w:rsid w:val="00E42411"/>
    <w:rsid w:val="00E42603"/>
    <w:rsid w:val="00E42C8A"/>
    <w:rsid w:val="00E436F2"/>
    <w:rsid w:val="00E43965"/>
    <w:rsid w:val="00E43E3B"/>
    <w:rsid w:val="00E440E8"/>
    <w:rsid w:val="00E4452C"/>
    <w:rsid w:val="00E4582E"/>
    <w:rsid w:val="00E46611"/>
    <w:rsid w:val="00E46AB8"/>
    <w:rsid w:val="00E473B3"/>
    <w:rsid w:val="00E50E8D"/>
    <w:rsid w:val="00E51F1C"/>
    <w:rsid w:val="00E53F1A"/>
    <w:rsid w:val="00E54185"/>
    <w:rsid w:val="00E5444F"/>
    <w:rsid w:val="00E55ABA"/>
    <w:rsid w:val="00E56F7F"/>
    <w:rsid w:val="00E57CA7"/>
    <w:rsid w:val="00E61C5E"/>
    <w:rsid w:val="00E61EC0"/>
    <w:rsid w:val="00E62415"/>
    <w:rsid w:val="00E62B36"/>
    <w:rsid w:val="00E62DF5"/>
    <w:rsid w:val="00E6396A"/>
    <w:rsid w:val="00E63BDC"/>
    <w:rsid w:val="00E647C8"/>
    <w:rsid w:val="00E67C82"/>
    <w:rsid w:val="00E702CE"/>
    <w:rsid w:val="00E70F0A"/>
    <w:rsid w:val="00E71844"/>
    <w:rsid w:val="00E72736"/>
    <w:rsid w:val="00E731D7"/>
    <w:rsid w:val="00E7371B"/>
    <w:rsid w:val="00E73765"/>
    <w:rsid w:val="00E74ACE"/>
    <w:rsid w:val="00E77704"/>
    <w:rsid w:val="00E77AA9"/>
    <w:rsid w:val="00E77C06"/>
    <w:rsid w:val="00E831F7"/>
    <w:rsid w:val="00E835D7"/>
    <w:rsid w:val="00E855E0"/>
    <w:rsid w:val="00E860B7"/>
    <w:rsid w:val="00E8780D"/>
    <w:rsid w:val="00E9221F"/>
    <w:rsid w:val="00E94499"/>
    <w:rsid w:val="00E95DB8"/>
    <w:rsid w:val="00E95E3B"/>
    <w:rsid w:val="00E97527"/>
    <w:rsid w:val="00EA186C"/>
    <w:rsid w:val="00EA46A8"/>
    <w:rsid w:val="00EA5872"/>
    <w:rsid w:val="00EA5A9E"/>
    <w:rsid w:val="00EA6556"/>
    <w:rsid w:val="00EA6842"/>
    <w:rsid w:val="00EA6D25"/>
    <w:rsid w:val="00EB0ADB"/>
    <w:rsid w:val="00EB1B80"/>
    <w:rsid w:val="00EB4497"/>
    <w:rsid w:val="00EB44DD"/>
    <w:rsid w:val="00EB4C26"/>
    <w:rsid w:val="00EB5127"/>
    <w:rsid w:val="00EB53F2"/>
    <w:rsid w:val="00EB7803"/>
    <w:rsid w:val="00EC0295"/>
    <w:rsid w:val="00EC0454"/>
    <w:rsid w:val="00EC19FA"/>
    <w:rsid w:val="00EC2948"/>
    <w:rsid w:val="00EC5F86"/>
    <w:rsid w:val="00ED0940"/>
    <w:rsid w:val="00ED25CE"/>
    <w:rsid w:val="00ED3A55"/>
    <w:rsid w:val="00ED402C"/>
    <w:rsid w:val="00ED511B"/>
    <w:rsid w:val="00ED57B4"/>
    <w:rsid w:val="00EE0ACF"/>
    <w:rsid w:val="00EE22E3"/>
    <w:rsid w:val="00EE2ED0"/>
    <w:rsid w:val="00EE37DE"/>
    <w:rsid w:val="00EE67C5"/>
    <w:rsid w:val="00EF18EF"/>
    <w:rsid w:val="00EF4031"/>
    <w:rsid w:val="00EF45CE"/>
    <w:rsid w:val="00EF695C"/>
    <w:rsid w:val="00F00984"/>
    <w:rsid w:val="00F01FF7"/>
    <w:rsid w:val="00F04FA4"/>
    <w:rsid w:val="00F05908"/>
    <w:rsid w:val="00F10305"/>
    <w:rsid w:val="00F1076B"/>
    <w:rsid w:val="00F10D71"/>
    <w:rsid w:val="00F117AD"/>
    <w:rsid w:val="00F11B9B"/>
    <w:rsid w:val="00F11D20"/>
    <w:rsid w:val="00F120D0"/>
    <w:rsid w:val="00F13E0D"/>
    <w:rsid w:val="00F15DFF"/>
    <w:rsid w:val="00F20B6E"/>
    <w:rsid w:val="00F20DC7"/>
    <w:rsid w:val="00F20FF5"/>
    <w:rsid w:val="00F248EC"/>
    <w:rsid w:val="00F24BCF"/>
    <w:rsid w:val="00F24C64"/>
    <w:rsid w:val="00F2639B"/>
    <w:rsid w:val="00F271F4"/>
    <w:rsid w:val="00F276EE"/>
    <w:rsid w:val="00F3255F"/>
    <w:rsid w:val="00F33271"/>
    <w:rsid w:val="00F3510E"/>
    <w:rsid w:val="00F35B8D"/>
    <w:rsid w:val="00F373DC"/>
    <w:rsid w:val="00F37EF3"/>
    <w:rsid w:val="00F403D6"/>
    <w:rsid w:val="00F40782"/>
    <w:rsid w:val="00F422EF"/>
    <w:rsid w:val="00F42894"/>
    <w:rsid w:val="00F42D9D"/>
    <w:rsid w:val="00F43E26"/>
    <w:rsid w:val="00F45CF2"/>
    <w:rsid w:val="00F470EA"/>
    <w:rsid w:val="00F47B25"/>
    <w:rsid w:val="00F506AE"/>
    <w:rsid w:val="00F51346"/>
    <w:rsid w:val="00F5235B"/>
    <w:rsid w:val="00F54947"/>
    <w:rsid w:val="00F54F7B"/>
    <w:rsid w:val="00F55CD7"/>
    <w:rsid w:val="00F560DC"/>
    <w:rsid w:val="00F56916"/>
    <w:rsid w:val="00F56AD0"/>
    <w:rsid w:val="00F56CB1"/>
    <w:rsid w:val="00F626C2"/>
    <w:rsid w:val="00F630EF"/>
    <w:rsid w:val="00F63F85"/>
    <w:rsid w:val="00F65819"/>
    <w:rsid w:val="00F67A6B"/>
    <w:rsid w:val="00F71634"/>
    <w:rsid w:val="00F7244F"/>
    <w:rsid w:val="00F72962"/>
    <w:rsid w:val="00F72D23"/>
    <w:rsid w:val="00F743D8"/>
    <w:rsid w:val="00F74CB0"/>
    <w:rsid w:val="00F75495"/>
    <w:rsid w:val="00F7639C"/>
    <w:rsid w:val="00F765EB"/>
    <w:rsid w:val="00F773A0"/>
    <w:rsid w:val="00F81CE4"/>
    <w:rsid w:val="00F8673B"/>
    <w:rsid w:val="00F908F8"/>
    <w:rsid w:val="00F92442"/>
    <w:rsid w:val="00F926C8"/>
    <w:rsid w:val="00F939DB"/>
    <w:rsid w:val="00F964B0"/>
    <w:rsid w:val="00F97D2D"/>
    <w:rsid w:val="00FA05A4"/>
    <w:rsid w:val="00FA2F87"/>
    <w:rsid w:val="00FA30C2"/>
    <w:rsid w:val="00FA63B6"/>
    <w:rsid w:val="00FA694E"/>
    <w:rsid w:val="00FA6958"/>
    <w:rsid w:val="00FA7135"/>
    <w:rsid w:val="00FA784C"/>
    <w:rsid w:val="00FB06E1"/>
    <w:rsid w:val="00FB0CA2"/>
    <w:rsid w:val="00FB1A25"/>
    <w:rsid w:val="00FB4064"/>
    <w:rsid w:val="00FB6912"/>
    <w:rsid w:val="00FC00DD"/>
    <w:rsid w:val="00FC0A72"/>
    <w:rsid w:val="00FC1247"/>
    <w:rsid w:val="00FC13E2"/>
    <w:rsid w:val="00FC14D9"/>
    <w:rsid w:val="00FC1C66"/>
    <w:rsid w:val="00FC27D4"/>
    <w:rsid w:val="00FC3CD4"/>
    <w:rsid w:val="00FC4E2A"/>
    <w:rsid w:val="00FC4E9E"/>
    <w:rsid w:val="00FC4F6F"/>
    <w:rsid w:val="00FC6F4F"/>
    <w:rsid w:val="00FD1B30"/>
    <w:rsid w:val="00FD3D3E"/>
    <w:rsid w:val="00FD48EC"/>
    <w:rsid w:val="00FD4975"/>
    <w:rsid w:val="00FD5051"/>
    <w:rsid w:val="00FD5958"/>
    <w:rsid w:val="00FD5A0F"/>
    <w:rsid w:val="00FD5D5A"/>
    <w:rsid w:val="00FD756D"/>
    <w:rsid w:val="00FD7972"/>
    <w:rsid w:val="00FD79EA"/>
    <w:rsid w:val="00FE059A"/>
    <w:rsid w:val="00FE0781"/>
    <w:rsid w:val="00FE103F"/>
    <w:rsid w:val="00FE29AF"/>
    <w:rsid w:val="00FE395C"/>
    <w:rsid w:val="00FE3DE9"/>
    <w:rsid w:val="00FE54AE"/>
    <w:rsid w:val="00FE7111"/>
    <w:rsid w:val="00FF1E56"/>
    <w:rsid w:val="00FF2122"/>
    <w:rsid w:val="00FF2339"/>
    <w:rsid w:val="00FF2430"/>
    <w:rsid w:val="00FF26B9"/>
    <w:rsid w:val="00FF2BD6"/>
    <w:rsid w:val="00FF33AA"/>
    <w:rsid w:val="00FF371D"/>
    <w:rsid w:val="00FF4B33"/>
    <w:rsid w:val="00FF637D"/>
    <w:rsid w:val="00FF64CF"/>
    <w:rsid w:val="00FF6B5D"/>
    <w:rsid w:val="00FF75BA"/>
    <w:rsid w:val="00FF770C"/>
    <w:rsid w:val="20F2F3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71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14B"/>
    <w:pPr>
      <w:spacing w:after="240" w:line="260" w:lineRule="exact"/>
      <w:jc w:val="both"/>
    </w:pPr>
    <w:rPr>
      <w:rFonts w:ascii="Book Antiqua" w:hAnsi="Book Antiqua"/>
    </w:rPr>
  </w:style>
  <w:style w:type="paragraph" w:styleId="Heading1">
    <w:name w:val="heading 1"/>
    <w:basedOn w:val="HeadingBase"/>
    <w:next w:val="Normal"/>
    <w:qFormat/>
    <w:rsid w:val="0019014B"/>
    <w:pPr>
      <w:spacing w:after="240"/>
      <w:jc w:val="center"/>
      <w:outlineLvl w:val="0"/>
    </w:pPr>
    <w:rPr>
      <w:rFonts w:ascii="Arial Bold" w:hAnsi="Arial Bold"/>
      <w:b/>
      <w:kern w:val="34"/>
      <w:sz w:val="36"/>
    </w:rPr>
  </w:style>
  <w:style w:type="paragraph" w:styleId="Heading2">
    <w:name w:val="heading 2"/>
    <w:basedOn w:val="HeadingBase"/>
    <w:next w:val="Normal"/>
    <w:qFormat/>
    <w:rsid w:val="0019014B"/>
    <w:pPr>
      <w:spacing w:before="240" w:after="240"/>
      <w:outlineLvl w:val="1"/>
    </w:pPr>
    <w:rPr>
      <w:rFonts w:ascii="Arial Bold" w:hAnsi="Arial Bold"/>
      <w:b/>
      <w:sz w:val="26"/>
    </w:rPr>
  </w:style>
  <w:style w:type="paragraph" w:styleId="Heading3">
    <w:name w:val="heading 3"/>
    <w:basedOn w:val="HeadingBase"/>
    <w:next w:val="Normal"/>
    <w:link w:val="Heading3Char"/>
    <w:qFormat/>
    <w:rsid w:val="0019014B"/>
    <w:pPr>
      <w:tabs>
        <w:tab w:val="left" w:pos="709"/>
      </w:tabs>
      <w:spacing w:before="120" w:after="120"/>
      <w:outlineLvl w:val="2"/>
    </w:pPr>
    <w:rPr>
      <w:rFonts w:ascii="Arial Bold" w:hAnsi="Arial Bold"/>
      <w:b/>
      <w:sz w:val="22"/>
    </w:rPr>
  </w:style>
  <w:style w:type="paragraph" w:styleId="Heading4">
    <w:name w:val="heading 4"/>
    <w:basedOn w:val="HeadingBase"/>
    <w:next w:val="Normal"/>
    <w:qFormat/>
    <w:rsid w:val="0019014B"/>
    <w:pPr>
      <w:tabs>
        <w:tab w:val="left" w:pos="709"/>
      </w:tabs>
      <w:spacing w:after="120"/>
      <w:outlineLvl w:val="3"/>
    </w:pPr>
    <w:rPr>
      <w:rFonts w:ascii="Arial Bold" w:hAnsi="Arial Bold"/>
      <w:b/>
      <w:sz w:val="20"/>
    </w:rPr>
  </w:style>
  <w:style w:type="paragraph" w:styleId="Heading5">
    <w:name w:val="heading 5"/>
    <w:basedOn w:val="HeadingBase"/>
    <w:next w:val="Normal"/>
    <w:qFormat/>
    <w:rsid w:val="0019014B"/>
    <w:pPr>
      <w:spacing w:after="120"/>
      <w:outlineLvl w:val="4"/>
    </w:pPr>
    <w:rPr>
      <w:bCs/>
      <w:iCs/>
      <w:sz w:val="20"/>
      <w:szCs w:val="26"/>
    </w:rPr>
  </w:style>
  <w:style w:type="paragraph" w:styleId="Heading6">
    <w:name w:val="heading 6"/>
    <w:basedOn w:val="HeadingBase"/>
    <w:next w:val="Normal"/>
    <w:qFormat/>
    <w:rsid w:val="0019014B"/>
    <w:pPr>
      <w:spacing w:after="120"/>
      <w:outlineLvl w:val="5"/>
    </w:pPr>
    <w:rPr>
      <w:bCs/>
      <w:sz w:val="20"/>
      <w:szCs w:val="22"/>
    </w:rPr>
  </w:style>
  <w:style w:type="paragraph" w:styleId="Heading7">
    <w:name w:val="heading 7"/>
    <w:basedOn w:val="HeadingBase"/>
    <w:next w:val="Normal"/>
    <w:unhideWhenUsed/>
    <w:qFormat/>
    <w:rsid w:val="0019014B"/>
    <w:pPr>
      <w:spacing w:after="100"/>
      <w:outlineLvl w:val="6"/>
    </w:pPr>
    <w:rPr>
      <w:sz w:val="18"/>
      <w:szCs w:val="24"/>
    </w:rPr>
  </w:style>
  <w:style w:type="paragraph" w:styleId="Heading8">
    <w:name w:val="heading 8"/>
    <w:basedOn w:val="HeadingBase"/>
    <w:next w:val="Normal"/>
    <w:unhideWhenUsed/>
    <w:qFormat/>
    <w:rsid w:val="0019014B"/>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19014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19014B"/>
    <w:pPr>
      <w:spacing w:after="0"/>
    </w:pPr>
  </w:style>
  <w:style w:type="paragraph" w:customStyle="1" w:styleId="Exampletext">
    <w:name w:val="Example text"/>
    <w:basedOn w:val="Normal"/>
    <w:link w:val="ExampletextCharChar"/>
    <w:semiHidden/>
    <w:rsid w:val="0019014B"/>
    <w:rPr>
      <w:i/>
      <w:color w:val="FF0000"/>
      <w:lang w:val="x-none" w:eastAsia="x-none"/>
    </w:rPr>
  </w:style>
  <w:style w:type="paragraph" w:customStyle="1" w:styleId="ChartSecondHeading">
    <w:name w:val="Chart Second Heading"/>
    <w:basedOn w:val="HeadingBase"/>
    <w:next w:val="ChartGraphic"/>
    <w:rsid w:val="0019014B"/>
    <w:pPr>
      <w:spacing w:before="60"/>
      <w:jc w:val="center"/>
    </w:pPr>
    <w:rPr>
      <w:sz w:val="20"/>
    </w:rPr>
  </w:style>
  <w:style w:type="paragraph" w:customStyle="1" w:styleId="TableHeading">
    <w:name w:val="Table Heading"/>
    <w:basedOn w:val="HeadingBase"/>
    <w:next w:val="TableGraphic"/>
    <w:link w:val="TableHeadingChar"/>
    <w:rsid w:val="0019014B"/>
    <w:pPr>
      <w:spacing w:after="20"/>
    </w:pPr>
    <w:rPr>
      <w:b/>
      <w:color w:val="000000"/>
      <w:sz w:val="20"/>
      <w:lang w:val="x-none" w:eastAsia="x-none"/>
    </w:rPr>
  </w:style>
  <w:style w:type="paragraph" w:customStyle="1" w:styleId="HeadingBase">
    <w:name w:val="Heading Base"/>
    <w:link w:val="HeadingBaseChar"/>
    <w:rsid w:val="0019014B"/>
    <w:pPr>
      <w:keepNext/>
    </w:pPr>
    <w:rPr>
      <w:rFonts w:ascii="Arial" w:hAnsi="Arial"/>
      <w:sz w:val="24"/>
    </w:rPr>
  </w:style>
  <w:style w:type="paragraph" w:customStyle="1" w:styleId="AlphaParagraph">
    <w:name w:val="Alpha Paragraph"/>
    <w:basedOn w:val="Normal"/>
    <w:rsid w:val="0019014B"/>
    <w:pPr>
      <w:numPr>
        <w:numId w:val="1"/>
      </w:numPr>
    </w:pPr>
  </w:style>
  <w:style w:type="paragraph" w:customStyle="1" w:styleId="Bullet">
    <w:name w:val="Bullet"/>
    <w:basedOn w:val="Normal"/>
    <w:link w:val="BulletChar"/>
    <w:rsid w:val="0019014B"/>
    <w:pPr>
      <w:numPr>
        <w:numId w:val="2"/>
      </w:numPr>
    </w:pPr>
    <w:rPr>
      <w:lang w:val="x-none" w:eastAsia="x-none"/>
    </w:rPr>
  </w:style>
  <w:style w:type="paragraph" w:customStyle="1" w:styleId="Dash">
    <w:name w:val="Dash"/>
    <w:basedOn w:val="Normal"/>
    <w:rsid w:val="0019014B"/>
    <w:pPr>
      <w:numPr>
        <w:ilvl w:val="1"/>
        <w:numId w:val="2"/>
      </w:numPr>
    </w:pPr>
  </w:style>
  <w:style w:type="paragraph" w:customStyle="1" w:styleId="DoubleDot">
    <w:name w:val="Double Dot"/>
    <w:basedOn w:val="Normal"/>
    <w:rsid w:val="0019014B"/>
    <w:pPr>
      <w:numPr>
        <w:ilvl w:val="2"/>
        <w:numId w:val="2"/>
      </w:numPr>
    </w:pPr>
  </w:style>
  <w:style w:type="paragraph" w:customStyle="1" w:styleId="AppendixHeading">
    <w:name w:val="Appendix Heading"/>
    <w:basedOn w:val="HeadingBase"/>
    <w:semiHidden/>
    <w:rsid w:val="0019014B"/>
    <w:pPr>
      <w:spacing w:after="240"/>
      <w:jc w:val="center"/>
      <w:outlineLvl w:val="3"/>
    </w:pPr>
    <w:rPr>
      <w:b/>
      <w:smallCaps/>
      <w:sz w:val="30"/>
    </w:rPr>
  </w:style>
  <w:style w:type="paragraph" w:customStyle="1" w:styleId="BoxText">
    <w:name w:val="Box Text"/>
    <w:basedOn w:val="BoxTextBase"/>
    <w:rsid w:val="0019014B"/>
    <w:pPr>
      <w:spacing w:line="240" w:lineRule="auto"/>
    </w:pPr>
  </w:style>
  <w:style w:type="paragraph" w:customStyle="1" w:styleId="BoxHeading">
    <w:name w:val="Box Heading"/>
    <w:basedOn w:val="HeadingBase"/>
    <w:next w:val="BoxText"/>
    <w:rsid w:val="0019014B"/>
    <w:pPr>
      <w:spacing w:before="120" w:after="120"/>
    </w:pPr>
    <w:rPr>
      <w:b/>
      <w:sz w:val="20"/>
    </w:rPr>
  </w:style>
  <w:style w:type="paragraph" w:customStyle="1" w:styleId="ChartandTableFootnoteAlpha">
    <w:name w:val="Chart and Table Footnote Alpha"/>
    <w:basedOn w:val="HeadingBase"/>
    <w:next w:val="Normal"/>
    <w:rsid w:val="0019014B"/>
    <w:pPr>
      <w:keepNext w:val="0"/>
      <w:numPr>
        <w:numId w:val="8"/>
      </w:numPr>
      <w:jc w:val="both"/>
    </w:pPr>
    <w:rPr>
      <w:sz w:val="16"/>
    </w:rPr>
  </w:style>
  <w:style w:type="paragraph" w:customStyle="1" w:styleId="ChartandTableFootnoteAlphaSmall">
    <w:name w:val="Chart and Table Footnote Alpha Small"/>
    <w:basedOn w:val="HeadingBase"/>
    <w:next w:val="Normal"/>
    <w:rsid w:val="0019014B"/>
    <w:pPr>
      <w:numPr>
        <w:numId w:val="3"/>
      </w:numPr>
      <w:jc w:val="both"/>
    </w:pPr>
    <w:rPr>
      <w:sz w:val="15"/>
    </w:rPr>
  </w:style>
  <w:style w:type="paragraph" w:customStyle="1" w:styleId="ChartandTableFootnote">
    <w:name w:val="Chart and Table Footnote"/>
    <w:basedOn w:val="HeadingBase"/>
    <w:next w:val="Normal"/>
    <w:link w:val="ChartandTableFootnoteChar"/>
    <w:rsid w:val="0019014B"/>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19014B"/>
    <w:pPr>
      <w:tabs>
        <w:tab w:val="left" w:pos="284"/>
      </w:tabs>
      <w:jc w:val="both"/>
    </w:pPr>
    <w:rPr>
      <w:sz w:val="15"/>
    </w:rPr>
  </w:style>
  <w:style w:type="paragraph" w:customStyle="1" w:styleId="BoxBullet">
    <w:name w:val="Box Bullet"/>
    <w:basedOn w:val="BoxText"/>
    <w:rsid w:val="0019014B"/>
    <w:pPr>
      <w:numPr>
        <w:numId w:val="6"/>
      </w:numPr>
    </w:pPr>
  </w:style>
  <w:style w:type="paragraph" w:customStyle="1" w:styleId="ChartGraphic">
    <w:name w:val="Chart Graphic"/>
    <w:basedOn w:val="HeadingBase"/>
    <w:rsid w:val="0019014B"/>
    <w:pPr>
      <w:jc w:val="center"/>
    </w:pPr>
    <w:rPr>
      <w:sz w:val="20"/>
    </w:rPr>
  </w:style>
  <w:style w:type="paragraph" w:customStyle="1" w:styleId="ContentsHeading">
    <w:name w:val="Contents Heading"/>
    <w:basedOn w:val="HeadingBase"/>
    <w:next w:val="Normal"/>
    <w:rsid w:val="0019014B"/>
    <w:pPr>
      <w:spacing w:after="600"/>
      <w:jc w:val="center"/>
    </w:pPr>
    <w:rPr>
      <w:rFonts w:ascii="Arial Bold" w:hAnsi="Arial Bold"/>
      <w:b/>
      <w:sz w:val="36"/>
    </w:rPr>
  </w:style>
  <w:style w:type="paragraph" w:customStyle="1" w:styleId="FigureHeading">
    <w:name w:val="Figure Heading"/>
    <w:basedOn w:val="HeadingBase"/>
    <w:next w:val="ChartGraphic"/>
    <w:rsid w:val="0019014B"/>
    <w:pPr>
      <w:spacing w:after="120"/>
      <w:jc w:val="center"/>
    </w:pPr>
    <w:rPr>
      <w:b/>
      <w:sz w:val="20"/>
    </w:rPr>
  </w:style>
  <w:style w:type="paragraph" w:customStyle="1" w:styleId="Classification">
    <w:name w:val="Classification"/>
    <w:basedOn w:val="HeadingBase"/>
    <w:rsid w:val="0019014B"/>
    <w:pPr>
      <w:jc w:val="center"/>
    </w:pPr>
    <w:rPr>
      <w:b/>
      <w:smallCaps/>
    </w:rPr>
  </w:style>
  <w:style w:type="character" w:customStyle="1" w:styleId="HiddenSequenceCode">
    <w:name w:val="Hidden Sequence Code"/>
    <w:semiHidden/>
    <w:rsid w:val="0019014B"/>
    <w:rPr>
      <w:rFonts w:ascii="Times New Roman" w:hAnsi="Times New Roman"/>
      <w:vanish/>
      <w:sz w:val="16"/>
    </w:rPr>
  </w:style>
  <w:style w:type="paragraph" w:customStyle="1" w:styleId="OverviewParagraph">
    <w:name w:val="Overview Paragraph"/>
    <w:basedOn w:val="Normal"/>
    <w:semiHidden/>
    <w:rsid w:val="0019014B"/>
    <w:pPr>
      <w:spacing w:before="120" w:after="120" w:line="240" w:lineRule="auto"/>
    </w:pPr>
  </w:style>
  <w:style w:type="paragraph" w:customStyle="1" w:styleId="TableGraphic">
    <w:name w:val="Table Graphic"/>
    <w:basedOn w:val="Normal"/>
    <w:next w:val="Normal"/>
    <w:rsid w:val="0019014B"/>
    <w:pPr>
      <w:spacing w:after="0" w:line="240" w:lineRule="auto"/>
      <w:ind w:right="-113"/>
    </w:pPr>
  </w:style>
  <w:style w:type="paragraph" w:customStyle="1" w:styleId="NoteTableHeading">
    <w:name w:val="Note Table Heading"/>
    <w:basedOn w:val="HeadingBase"/>
    <w:next w:val="TableGraphic"/>
    <w:semiHidden/>
    <w:rsid w:val="0019014B"/>
    <w:pPr>
      <w:spacing w:before="240"/>
    </w:pPr>
    <w:rPr>
      <w:b/>
      <w:sz w:val="20"/>
    </w:rPr>
  </w:style>
  <w:style w:type="paragraph" w:customStyle="1" w:styleId="Source">
    <w:name w:val="Source"/>
    <w:basedOn w:val="Normal"/>
    <w:rsid w:val="0019014B"/>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19014B"/>
    <w:pPr>
      <w:spacing w:before="60" w:after="60" w:line="240" w:lineRule="auto"/>
      <w:jc w:val="left"/>
    </w:pPr>
    <w:rPr>
      <w:rFonts w:ascii="Arial" w:hAnsi="Arial"/>
      <w:sz w:val="18"/>
    </w:rPr>
  </w:style>
  <w:style w:type="paragraph" w:customStyle="1" w:styleId="TableColumnHeadingBase">
    <w:name w:val="Table Column Heading Base"/>
    <w:basedOn w:val="Normal"/>
    <w:rsid w:val="0019014B"/>
    <w:pPr>
      <w:spacing w:before="60" w:after="60" w:line="240" w:lineRule="auto"/>
      <w:jc w:val="left"/>
    </w:pPr>
    <w:rPr>
      <w:rFonts w:ascii="Arial" w:hAnsi="Arial"/>
      <w:b/>
    </w:rPr>
  </w:style>
  <w:style w:type="paragraph" w:customStyle="1" w:styleId="TableTextLeft">
    <w:name w:val="Table Text Left"/>
    <w:basedOn w:val="TableTextBase"/>
    <w:link w:val="TableTextLeftChar"/>
    <w:rsid w:val="0019014B"/>
  </w:style>
  <w:style w:type="paragraph" w:customStyle="1" w:styleId="TableTextRight">
    <w:name w:val="Table Text Right"/>
    <w:basedOn w:val="TableTextBase"/>
    <w:rsid w:val="0019014B"/>
    <w:pPr>
      <w:jc w:val="right"/>
    </w:pPr>
  </w:style>
  <w:style w:type="paragraph" w:customStyle="1" w:styleId="TableTextCentred">
    <w:name w:val="Table Text Centred"/>
    <w:basedOn w:val="TableTextBase"/>
    <w:rsid w:val="0019014B"/>
    <w:pPr>
      <w:jc w:val="center"/>
    </w:pPr>
  </w:style>
  <w:style w:type="paragraph" w:customStyle="1" w:styleId="TableTextIndented">
    <w:name w:val="Table Text Indented"/>
    <w:basedOn w:val="TableTextBase"/>
    <w:rsid w:val="0019014B"/>
    <w:pPr>
      <w:ind w:left="284"/>
    </w:pPr>
  </w:style>
  <w:style w:type="paragraph" w:customStyle="1" w:styleId="TableColumnHeadingLeft">
    <w:name w:val="Table Column Heading Left"/>
    <w:basedOn w:val="TableColumnHeadingBase"/>
    <w:next w:val="TableTextLeft"/>
    <w:rsid w:val="0019014B"/>
  </w:style>
  <w:style w:type="paragraph" w:customStyle="1" w:styleId="TableColumnHeadingRight">
    <w:name w:val="Table Column Heading Right"/>
    <w:basedOn w:val="TableColumnHeadingBase"/>
    <w:next w:val="TableTextRight"/>
    <w:rsid w:val="0019014B"/>
    <w:pPr>
      <w:jc w:val="right"/>
    </w:pPr>
  </w:style>
  <w:style w:type="paragraph" w:customStyle="1" w:styleId="TableColumnHeadingCentred">
    <w:name w:val="Table Column Heading Centred"/>
    <w:basedOn w:val="TableColumnHeadingBase"/>
    <w:next w:val="TableTextLeft"/>
    <w:rsid w:val="0019014B"/>
    <w:pPr>
      <w:jc w:val="center"/>
    </w:pPr>
  </w:style>
  <w:style w:type="paragraph" w:customStyle="1" w:styleId="Exampletextbullet">
    <w:name w:val="Example text bullet"/>
    <w:basedOn w:val="Exampletext"/>
    <w:semiHidden/>
    <w:rsid w:val="0019014B"/>
    <w:pPr>
      <w:numPr>
        <w:numId w:val="4"/>
      </w:numPr>
    </w:pPr>
  </w:style>
  <w:style w:type="paragraph" w:styleId="Title">
    <w:name w:val="Title"/>
    <w:basedOn w:val="Normal"/>
    <w:qFormat/>
    <w:rsid w:val="0019014B"/>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19014B"/>
    <w:pPr>
      <w:spacing w:after="20"/>
    </w:pPr>
    <w:rPr>
      <w:rFonts w:ascii="Arial Bold" w:hAnsi="Arial Bold"/>
      <w:b/>
      <w:sz w:val="20"/>
    </w:rPr>
  </w:style>
  <w:style w:type="paragraph" w:customStyle="1" w:styleId="TPHeading1">
    <w:name w:val="TP Heading 1"/>
    <w:basedOn w:val="HeadingBase"/>
    <w:rsid w:val="0019014B"/>
    <w:pPr>
      <w:jc w:val="center"/>
    </w:pPr>
    <w:rPr>
      <w:rFonts w:cs="Arial"/>
      <w:b/>
      <w:sz w:val="32"/>
      <w:szCs w:val="18"/>
    </w:rPr>
  </w:style>
  <w:style w:type="paragraph" w:customStyle="1" w:styleId="TPHeading2">
    <w:name w:val="TP Heading 2"/>
    <w:basedOn w:val="HeadingBase"/>
    <w:rsid w:val="0019014B"/>
    <w:pPr>
      <w:spacing w:before="480"/>
      <w:jc w:val="center"/>
    </w:pPr>
    <w:rPr>
      <w:rFonts w:cs="Arial"/>
      <w:sz w:val="28"/>
      <w:szCs w:val="18"/>
    </w:rPr>
  </w:style>
  <w:style w:type="paragraph" w:customStyle="1" w:styleId="TPHeading3">
    <w:name w:val="TP Heading 3"/>
    <w:basedOn w:val="HeadingBase"/>
    <w:rsid w:val="0019014B"/>
    <w:pPr>
      <w:jc w:val="center"/>
    </w:pPr>
    <w:rPr>
      <w:sz w:val="22"/>
    </w:rPr>
  </w:style>
  <w:style w:type="paragraph" w:customStyle="1" w:styleId="HeaderBase">
    <w:name w:val="Header Base"/>
    <w:rsid w:val="0019014B"/>
    <w:rPr>
      <w:rFonts w:ascii="Book Antiqua" w:hAnsi="Book Antiqua"/>
      <w:i/>
    </w:rPr>
  </w:style>
  <w:style w:type="paragraph" w:customStyle="1" w:styleId="HeaderEven">
    <w:name w:val="Header Even"/>
    <w:basedOn w:val="Normal"/>
    <w:rsid w:val="0019014B"/>
    <w:pPr>
      <w:spacing w:after="0" w:line="240" w:lineRule="auto"/>
      <w:jc w:val="left"/>
    </w:pPr>
    <w:rPr>
      <w:rFonts w:ascii="Arial" w:hAnsi="Arial"/>
      <w:sz w:val="18"/>
    </w:rPr>
  </w:style>
  <w:style w:type="paragraph" w:customStyle="1" w:styleId="HeaderOdd">
    <w:name w:val="Header Odd"/>
    <w:basedOn w:val="Normal"/>
    <w:rsid w:val="0019014B"/>
    <w:pPr>
      <w:spacing w:after="0" w:line="240" w:lineRule="auto"/>
      <w:jc w:val="right"/>
    </w:pPr>
    <w:rPr>
      <w:rFonts w:ascii="Arial" w:hAnsi="Arial"/>
      <w:sz w:val="18"/>
    </w:rPr>
  </w:style>
  <w:style w:type="paragraph" w:styleId="Header">
    <w:name w:val="header"/>
    <w:basedOn w:val="Normal"/>
    <w:link w:val="HeaderChar"/>
    <w:uiPriority w:val="99"/>
    <w:rsid w:val="0019014B"/>
    <w:pPr>
      <w:tabs>
        <w:tab w:val="center" w:pos="4153"/>
        <w:tab w:val="right" w:pos="8306"/>
      </w:tabs>
      <w:spacing w:after="0" w:line="240" w:lineRule="auto"/>
      <w:jc w:val="left"/>
    </w:pPr>
    <w:rPr>
      <w:i/>
      <w:lang w:val="x-none"/>
    </w:rPr>
  </w:style>
  <w:style w:type="paragraph" w:customStyle="1" w:styleId="FooterBase">
    <w:name w:val="Footer Base"/>
    <w:rsid w:val="0019014B"/>
    <w:pPr>
      <w:jc w:val="center"/>
    </w:pPr>
    <w:rPr>
      <w:rFonts w:ascii="Arial" w:hAnsi="Arial"/>
    </w:rPr>
  </w:style>
  <w:style w:type="paragraph" w:styleId="Footer">
    <w:name w:val="footer"/>
    <w:basedOn w:val="FooterBase"/>
    <w:link w:val="FooterChar"/>
    <w:uiPriority w:val="99"/>
    <w:rsid w:val="0019014B"/>
    <w:pPr>
      <w:tabs>
        <w:tab w:val="center" w:pos="4153"/>
        <w:tab w:val="right" w:pos="8306"/>
      </w:tabs>
    </w:pPr>
    <w:rPr>
      <w:lang w:val="x-none" w:eastAsia="x-none"/>
    </w:rPr>
  </w:style>
  <w:style w:type="paragraph" w:styleId="BalloonText">
    <w:name w:val="Balloon Text"/>
    <w:basedOn w:val="Normal"/>
    <w:semiHidden/>
    <w:rsid w:val="0019014B"/>
    <w:rPr>
      <w:rFonts w:ascii="Tahoma" w:hAnsi="Tahoma" w:cs="Tahoma"/>
      <w:sz w:val="16"/>
      <w:szCs w:val="16"/>
    </w:rPr>
  </w:style>
  <w:style w:type="paragraph" w:styleId="Caption">
    <w:name w:val="caption"/>
    <w:basedOn w:val="Normal"/>
    <w:next w:val="Normal"/>
    <w:qFormat/>
    <w:rsid w:val="0019014B"/>
    <w:rPr>
      <w:b/>
      <w:bCs/>
    </w:rPr>
  </w:style>
  <w:style w:type="character" w:styleId="CommentReference">
    <w:name w:val="annotation reference"/>
    <w:semiHidden/>
    <w:rsid w:val="0019014B"/>
    <w:rPr>
      <w:sz w:val="16"/>
      <w:szCs w:val="16"/>
    </w:rPr>
  </w:style>
  <w:style w:type="paragraph" w:styleId="CommentText">
    <w:name w:val="annotation text"/>
    <w:basedOn w:val="Normal"/>
    <w:link w:val="CommentTextChar"/>
    <w:uiPriority w:val="99"/>
    <w:qFormat/>
    <w:rsid w:val="0019014B"/>
    <w:rPr>
      <w:lang w:val="x-none" w:eastAsia="x-none"/>
    </w:rPr>
  </w:style>
  <w:style w:type="paragraph" w:styleId="CommentSubject">
    <w:name w:val="annotation subject"/>
    <w:basedOn w:val="CommentText"/>
    <w:next w:val="CommentText"/>
    <w:semiHidden/>
    <w:rsid w:val="0019014B"/>
    <w:rPr>
      <w:b/>
      <w:bCs/>
    </w:rPr>
  </w:style>
  <w:style w:type="paragraph" w:styleId="DocumentMap">
    <w:name w:val="Document Map"/>
    <w:basedOn w:val="Normal"/>
    <w:semiHidden/>
    <w:rsid w:val="0019014B"/>
    <w:pPr>
      <w:shd w:val="clear" w:color="auto" w:fill="000080"/>
    </w:pPr>
    <w:rPr>
      <w:rFonts w:ascii="Tahoma" w:hAnsi="Tahoma" w:cs="Tahoma"/>
    </w:rPr>
  </w:style>
  <w:style w:type="character" w:styleId="EndnoteReference">
    <w:name w:val="endnote reference"/>
    <w:semiHidden/>
    <w:rsid w:val="0019014B"/>
    <w:rPr>
      <w:vertAlign w:val="superscript"/>
    </w:rPr>
  </w:style>
  <w:style w:type="paragraph" w:styleId="EndnoteText">
    <w:name w:val="endnote text"/>
    <w:basedOn w:val="Normal"/>
    <w:semiHidden/>
    <w:rsid w:val="0019014B"/>
  </w:style>
  <w:style w:type="character" w:styleId="FootnoteReference">
    <w:name w:val="footnote reference"/>
    <w:rsid w:val="0019014B"/>
    <w:rPr>
      <w:vertAlign w:val="superscript"/>
    </w:rPr>
  </w:style>
  <w:style w:type="paragraph" w:styleId="FootnoteText">
    <w:name w:val="footnote text"/>
    <w:basedOn w:val="Normal"/>
    <w:rsid w:val="0019014B"/>
    <w:pPr>
      <w:tabs>
        <w:tab w:val="left" w:pos="284"/>
      </w:tabs>
      <w:spacing w:after="0" w:line="240" w:lineRule="auto"/>
      <w:ind w:left="284" w:hanging="284"/>
    </w:pPr>
    <w:rPr>
      <w:sz w:val="18"/>
    </w:rPr>
  </w:style>
  <w:style w:type="paragraph" w:styleId="Index1">
    <w:name w:val="index 1"/>
    <w:basedOn w:val="Normal"/>
    <w:next w:val="Normal"/>
    <w:autoRedefine/>
    <w:semiHidden/>
    <w:rsid w:val="0019014B"/>
    <w:pPr>
      <w:ind w:left="200" w:hanging="200"/>
    </w:pPr>
  </w:style>
  <w:style w:type="paragraph" w:styleId="Index2">
    <w:name w:val="index 2"/>
    <w:basedOn w:val="Normal"/>
    <w:next w:val="Normal"/>
    <w:autoRedefine/>
    <w:semiHidden/>
    <w:rsid w:val="0019014B"/>
    <w:pPr>
      <w:ind w:left="400" w:hanging="200"/>
    </w:pPr>
  </w:style>
  <w:style w:type="paragraph" w:styleId="Index3">
    <w:name w:val="index 3"/>
    <w:basedOn w:val="Normal"/>
    <w:next w:val="Normal"/>
    <w:autoRedefine/>
    <w:semiHidden/>
    <w:rsid w:val="0019014B"/>
    <w:pPr>
      <w:ind w:left="600" w:hanging="200"/>
    </w:pPr>
  </w:style>
  <w:style w:type="paragraph" w:styleId="Index4">
    <w:name w:val="index 4"/>
    <w:basedOn w:val="Normal"/>
    <w:next w:val="Normal"/>
    <w:autoRedefine/>
    <w:semiHidden/>
    <w:rsid w:val="0019014B"/>
    <w:pPr>
      <w:ind w:left="800" w:hanging="200"/>
    </w:pPr>
  </w:style>
  <w:style w:type="paragraph" w:styleId="Index5">
    <w:name w:val="index 5"/>
    <w:basedOn w:val="Normal"/>
    <w:next w:val="Normal"/>
    <w:autoRedefine/>
    <w:semiHidden/>
    <w:rsid w:val="0019014B"/>
    <w:pPr>
      <w:ind w:left="1000" w:hanging="200"/>
    </w:pPr>
  </w:style>
  <w:style w:type="paragraph" w:styleId="Index6">
    <w:name w:val="index 6"/>
    <w:basedOn w:val="Normal"/>
    <w:next w:val="Normal"/>
    <w:autoRedefine/>
    <w:semiHidden/>
    <w:rsid w:val="0019014B"/>
    <w:pPr>
      <w:ind w:left="1200" w:hanging="200"/>
    </w:pPr>
  </w:style>
  <w:style w:type="paragraph" w:styleId="Index7">
    <w:name w:val="index 7"/>
    <w:basedOn w:val="Normal"/>
    <w:next w:val="Normal"/>
    <w:autoRedefine/>
    <w:semiHidden/>
    <w:rsid w:val="0019014B"/>
    <w:pPr>
      <w:ind w:left="1400" w:hanging="200"/>
    </w:pPr>
  </w:style>
  <w:style w:type="paragraph" w:styleId="Index8">
    <w:name w:val="index 8"/>
    <w:basedOn w:val="Normal"/>
    <w:next w:val="Normal"/>
    <w:autoRedefine/>
    <w:semiHidden/>
    <w:rsid w:val="0019014B"/>
    <w:pPr>
      <w:ind w:left="1600" w:hanging="200"/>
    </w:pPr>
  </w:style>
  <w:style w:type="paragraph" w:styleId="Index9">
    <w:name w:val="index 9"/>
    <w:basedOn w:val="Normal"/>
    <w:next w:val="Normal"/>
    <w:autoRedefine/>
    <w:semiHidden/>
    <w:rsid w:val="0019014B"/>
    <w:pPr>
      <w:ind w:left="1800" w:hanging="200"/>
    </w:pPr>
  </w:style>
  <w:style w:type="paragraph" w:styleId="IndexHeading">
    <w:name w:val="index heading"/>
    <w:basedOn w:val="Normal"/>
    <w:next w:val="Index1"/>
    <w:semiHidden/>
    <w:rsid w:val="0019014B"/>
    <w:rPr>
      <w:rFonts w:ascii="Arial" w:hAnsi="Arial" w:cs="Arial"/>
      <w:b/>
      <w:bCs/>
    </w:rPr>
  </w:style>
  <w:style w:type="paragraph" w:styleId="MacroText">
    <w:name w:val="macro"/>
    <w:semiHidden/>
    <w:rsid w:val="0019014B"/>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19014B"/>
    <w:pPr>
      <w:ind w:left="200" w:hanging="200"/>
    </w:pPr>
  </w:style>
  <w:style w:type="paragraph" w:styleId="TableofFigures">
    <w:name w:val="table of figures"/>
    <w:basedOn w:val="Normal"/>
    <w:next w:val="Normal"/>
    <w:semiHidden/>
    <w:rsid w:val="0019014B"/>
  </w:style>
  <w:style w:type="paragraph" w:styleId="TOAHeading">
    <w:name w:val="toa heading"/>
    <w:basedOn w:val="Normal"/>
    <w:next w:val="Normal"/>
    <w:semiHidden/>
    <w:rsid w:val="0019014B"/>
    <w:pPr>
      <w:spacing w:before="120"/>
    </w:pPr>
    <w:rPr>
      <w:rFonts w:ascii="Arial" w:hAnsi="Arial" w:cs="Arial"/>
      <w:b/>
      <w:bCs/>
      <w:sz w:val="24"/>
      <w:szCs w:val="24"/>
    </w:rPr>
  </w:style>
  <w:style w:type="paragraph" w:styleId="TOC1">
    <w:name w:val="toc 1"/>
    <w:basedOn w:val="HeaderBase"/>
    <w:next w:val="Normal"/>
    <w:uiPriority w:val="39"/>
    <w:rsid w:val="0019014B"/>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19014B"/>
    <w:pPr>
      <w:tabs>
        <w:tab w:val="right" w:leader="dot" w:pos="7700"/>
      </w:tabs>
      <w:spacing w:before="80"/>
      <w:ind w:right="851"/>
    </w:pPr>
    <w:rPr>
      <w:sz w:val="20"/>
    </w:rPr>
  </w:style>
  <w:style w:type="paragraph" w:styleId="TOC3">
    <w:name w:val="toc 3"/>
    <w:basedOn w:val="HeadingBase"/>
    <w:next w:val="Normal"/>
    <w:uiPriority w:val="39"/>
    <w:rsid w:val="0019014B"/>
    <w:pPr>
      <w:tabs>
        <w:tab w:val="right" w:leader="dot" w:pos="7700"/>
      </w:tabs>
      <w:spacing w:before="120"/>
      <w:ind w:right="851"/>
    </w:pPr>
    <w:rPr>
      <w:b/>
      <w:sz w:val="20"/>
    </w:rPr>
  </w:style>
  <w:style w:type="paragraph" w:styleId="TOC4">
    <w:name w:val="toc 4"/>
    <w:basedOn w:val="HeadingBase"/>
    <w:next w:val="Normal"/>
    <w:uiPriority w:val="39"/>
    <w:rsid w:val="0019014B"/>
    <w:pPr>
      <w:tabs>
        <w:tab w:val="right" w:leader="dot" w:pos="7700"/>
      </w:tabs>
      <w:spacing w:before="40"/>
      <w:ind w:right="851"/>
    </w:pPr>
    <w:rPr>
      <w:sz w:val="20"/>
    </w:rPr>
  </w:style>
  <w:style w:type="paragraph" w:styleId="TOC5">
    <w:name w:val="toc 5"/>
    <w:basedOn w:val="Normal"/>
    <w:next w:val="Normal"/>
    <w:autoRedefine/>
    <w:uiPriority w:val="39"/>
    <w:rsid w:val="0019014B"/>
    <w:pPr>
      <w:ind w:left="800"/>
    </w:pPr>
  </w:style>
  <w:style w:type="paragraph" w:styleId="TOC6">
    <w:name w:val="toc 6"/>
    <w:basedOn w:val="Normal"/>
    <w:next w:val="Normal"/>
    <w:autoRedefine/>
    <w:semiHidden/>
    <w:rsid w:val="0019014B"/>
    <w:pPr>
      <w:ind w:left="1000"/>
    </w:pPr>
  </w:style>
  <w:style w:type="paragraph" w:styleId="TOC7">
    <w:name w:val="toc 7"/>
    <w:basedOn w:val="Normal"/>
    <w:next w:val="Normal"/>
    <w:autoRedefine/>
    <w:semiHidden/>
    <w:rsid w:val="0019014B"/>
    <w:pPr>
      <w:ind w:left="1200"/>
    </w:pPr>
  </w:style>
  <w:style w:type="paragraph" w:styleId="TOC8">
    <w:name w:val="toc 8"/>
    <w:basedOn w:val="Normal"/>
    <w:next w:val="Normal"/>
    <w:autoRedefine/>
    <w:semiHidden/>
    <w:rsid w:val="0019014B"/>
    <w:pPr>
      <w:ind w:left="1400"/>
    </w:pPr>
  </w:style>
  <w:style w:type="paragraph" w:styleId="TOC9">
    <w:name w:val="toc 9"/>
    <w:basedOn w:val="Normal"/>
    <w:next w:val="Normal"/>
    <w:autoRedefine/>
    <w:semiHidden/>
    <w:rsid w:val="0019014B"/>
    <w:pPr>
      <w:ind w:left="1600"/>
    </w:pPr>
  </w:style>
  <w:style w:type="paragraph" w:customStyle="1" w:styleId="FileProperties">
    <w:name w:val="File Properties"/>
    <w:basedOn w:val="Normal"/>
    <w:rsid w:val="0019014B"/>
    <w:rPr>
      <w:i/>
    </w:rPr>
  </w:style>
  <w:style w:type="character" w:styleId="PageNumber">
    <w:name w:val="page number"/>
    <w:rsid w:val="0019014B"/>
    <w:rPr>
      <w:rFonts w:ascii="Arial" w:hAnsi="Arial" w:cs="Arial"/>
      <w:sz w:val="20"/>
    </w:rPr>
  </w:style>
  <w:style w:type="character" w:customStyle="1" w:styleId="FramedHeader">
    <w:name w:val="Framed Header"/>
    <w:rsid w:val="0019014B"/>
    <w:rPr>
      <w:rFonts w:ascii="Book Antiqua" w:hAnsi="Book Antiqua"/>
      <w:i/>
      <w:dstrike w:val="0"/>
      <w:color w:val="auto"/>
      <w:sz w:val="18"/>
      <w:vertAlign w:val="baseline"/>
    </w:rPr>
  </w:style>
  <w:style w:type="paragraph" w:styleId="NormalIndent">
    <w:name w:val="Normal Indent"/>
    <w:basedOn w:val="Normal"/>
    <w:rsid w:val="0019014B"/>
    <w:pPr>
      <w:ind w:left="567"/>
    </w:pPr>
  </w:style>
  <w:style w:type="paragraph" w:customStyle="1" w:styleId="BlockedQuotation">
    <w:name w:val="Blocked Quotation"/>
    <w:basedOn w:val="Normal"/>
    <w:semiHidden/>
    <w:rsid w:val="0019014B"/>
    <w:pPr>
      <w:ind w:left="567"/>
    </w:pPr>
  </w:style>
  <w:style w:type="paragraph" w:customStyle="1" w:styleId="ChartMainHeading">
    <w:name w:val="Chart Main Heading"/>
    <w:basedOn w:val="Normal"/>
    <w:next w:val="ChartGraphic"/>
    <w:rsid w:val="0019014B"/>
    <w:pPr>
      <w:keepNext/>
      <w:spacing w:before="120" w:after="20" w:line="240" w:lineRule="auto"/>
      <w:jc w:val="center"/>
    </w:pPr>
    <w:rPr>
      <w:rFonts w:ascii="Arial" w:hAnsi="Arial"/>
      <w:b/>
    </w:rPr>
  </w:style>
  <w:style w:type="table" w:styleId="TableGrid">
    <w:name w:val="Table Grid"/>
    <w:basedOn w:val="TableNormal"/>
    <w:rsid w:val="0019014B"/>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19014B"/>
    <w:rPr>
      <w:sz w:val="24"/>
    </w:rPr>
  </w:style>
  <w:style w:type="paragraph" w:customStyle="1" w:styleId="Title3rdLevel">
    <w:name w:val="Title 3rd Level"/>
    <w:basedOn w:val="Normal"/>
    <w:next w:val="Title"/>
    <w:rsid w:val="0019014B"/>
    <w:pPr>
      <w:jc w:val="center"/>
    </w:pPr>
    <w:rPr>
      <w:rFonts w:ascii="Arial" w:hAnsi="Arial"/>
      <w:caps/>
    </w:rPr>
  </w:style>
  <w:style w:type="paragraph" w:customStyle="1" w:styleId="Part">
    <w:name w:val="Part"/>
    <w:basedOn w:val="Title"/>
    <w:next w:val="Normal"/>
    <w:rsid w:val="0019014B"/>
    <w:rPr>
      <w:caps/>
      <w:smallCaps w:val="0"/>
    </w:rPr>
  </w:style>
  <w:style w:type="paragraph" w:customStyle="1" w:styleId="TableHeadingNoTable">
    <w:name w:val="Table Heading No Table"/>
    <w:basedOn w:val="TableHeading"/>
    <w:next w:val="Normal"/>
    <w:rsid w:val="0019014B"/>
    <w:pPr>
      <w:spacing w:after="240"/>
    </w:pPr>
  </w:style>
  <w:style w:type="paragraph" w:customStyle="1" w:styleId="TransmittalAddressee">
    <w:name w:val="Transmittal Addressee"/>
    <w:basedOn w:val="Normal"/>
    <w:rsid w:val="0019014B"/>
    <w:pPr>
      <w:spacing w:after="0"/>
    </w:pPr>
  </w:style>
  <w:style w:type="paragraph" w:customStyle="1" w:styleId="TransmittalStyle1">
    <w:name w:val="Transmittal Style 1"/>
    <w:basedOn w:val="HeadingBase"/>
    <w:rsid w:val="0019014B"/>
    <w:pPr>
      <w:spacing w:after="60"/>
      <w:jc w:val="right"/>
    </w:pPr>
    <w:rPr>
      <w:b/>
      <w:smallCaps/>
    </w:rPr>
  </w:style>
  <w:style w:type="paragraph" w:customStyle="1" w:styleId="TransmittalStyle2">
    <w:name w:val="Transmittal Style 2"/>
    <w:basedOn w:val="HeadingBase"/>
    <w:rsid w:val="0019014B"/>
    <w:pPr>
      <w:spacing w:before="60" w:after="60"/>
      <w:jc w:val="right"/>
    </w:pPr>
    <w:rPr>
      <w:rFonts w:ascii="Helvetica" w:hAnsi="Helvetica"/>
      <w:b/>
      <w:caps/>
      <w:sz w:val="16"/>
    </w:rPr>
  </w:style>
  <w:style w:type="paragraph" w:customStyle="1" w:styleId="UserGuidelevelTOC">
    <w:name w:val="UserGuide level TOC"/>
    <w:basedOn w:val="HeadingBase"/>
    <w:next w:val="Normal"/>
    <w:rsid w:val="0019014B"/>
    <w:pPr>
      <w:spacing w:before="360" w:after="360"/>
    </w:pPr>
    <w:rPr>
      <w:sz w:val="30"/>
    </w:rPr>
  </w:style>
  <w:style w:type="paragraph" w:customStyle="1" w:styleId="TableTextJustified">
    <w:name w:val="Table Text Justified"/>
    <w:basedOn w:val="TableTextBase"/>
    <w:rsid w:val="0019014B"/>
    <w:pPr>
      <w:jc w:val="both"/>
    </w:pPr>
  </w:style>
  <w:style w:type="paragraph" w:customStyle="1" w:styleId="Department">
    <w:name w:val="Department"/>
    <w:basedOn w:val="Normal"/>
    <w:rsid w:val="0019014B"/>
    <w:pPr>
      <w:spacing w:after="0" w:line="240" w:lineRule="auto"/>
      <w:jc w:val="center"/>
    </w:pPr>
    <w:rPr>
      <w:rFonts w:ascii="Arial" w:hAnsi="Arial"/>
      <w:b/>
      <w:sz w:val="52"/>
    </w:rPr>
  </w:style>
  <w:style w:type="paragraph" w:customStyle="1" w:styleId="DepartmentSubtitle">
    <w:name w:val="Department Subtitle"/>
    <w:basedOn w:val="Department"/>
    <w:rsid w:val="0019014B"/>
    <w:rPr>
      <w:sz w:val="44"/>
    </w:rPr>
  </w:style>
  <w:style w:type="character" w:customStyle="1" w:styleId="ExampletextCharChar">
    <w:name w:val="Example text Char Char"/>
    <w:link w:val="Exampletext"/>
    <w:semiHidden/>
    <w:rsid w:val="0019014B"/>
    <w:rPr>
      <w:rFonts w:ascii="Book Antiqua" w:hAnsi="Book Antiqua"/>
      <w:i/>
      <w:color w:val="FF0000"/>
      <w:lang w:val="x-none" w:eastAsia="x-none"/>
    </w:rPr>
  </w:style>
  <w:style w:type="paragraph" w:customStyle="1" w:styleId="Crest">
    <w:name w:val="Crest"/>
    <w:basedOn w:val="Normal"/>
    <w:next w:val="TransmittalStyle1"/>
    <w:semiHidden/>
    <w:rsid w:val="0019014B"/>
    <w:pPr>
      <w:spacing w:after="0" w:line="240" w:lineRule="auto"/>
      <w:jc w:val="center"/>
    </w:pPr>
  </w:style>
  <w:style w:type="character" w:styleId="Hyperlink">
    <w:name w:val="Hyperlink"/>
    <w:uiPriority w:val="99"/>
    <w:rsid w:val="0019014B"/>
    <w:rPr>
      <w:color w:val="000000"/>
      <w:u w:val="none"/>
    </w:rPr>
  </w:style>
  <w:style w:type="paragraph" w:customStyle="1" w:styleId="Heading1noTOC">
    <w:name w:val="Heading 1 no TOC"/>
    <w:basedOn w:val="Heading1"/>
    <w:rsid w:val="0019014B"/>
  </w:style>
  <w:style w:type="paragraph" w:customStyle="1" w:styleId="TableColumnOutgroupHeading">
    <w:name w:val="Table Column Outgroup Heading"/>
    <w:basedOn w:val="Normal"/>
    <w:rsid w:val="0019014B"/>
    <w:pPr>
      <w:spacing w:before="60" w:after="120" w:line="240" w:lineRule="auto"/>
      <w:jc w:val="left"/>
    </w:pPr>
    <w:rPr>
      <w:b/>
      <w:sz w:val="22"/>
    </w:rPr>
  </w:style>
  <w:style w:type="paragraph" w:customStyle="1" w:styleId="TableColumnOutgroupSubheading">
    <w:name w:val="Table Column Outgroup Subheading"/>
    <w:basedOn w:val="Normal"/>
    <w:rsid w:val="0019014B"/>
    <w:pPr>
      <w:spacing w:before="60" w:after="120" w:line="240" w:lineRule="auto"/>
      <w:jc w:val="center"/>
    </w:pPr>
  </w:style>
  <w:style w:type="paragraph" w:customStyle="1" w:styleId="TableTextBullet">
    <w:name w:val="Table Text Bullet"/>
    <w:basedOn w:val="TableTextBase"/>
    <w:rsid w:val="0019014B"/>
    <w:pPr>
      <w:numPr>
        <w:numId w:val="5"/>
      </w:numPr>
    </w:pPr>
  </w:style>
  <w:style w:type="paragraph" w:customStyle="1" w:styleId="Exampletextdash">
    <w:name w:val="Example text dash"/>
    <w:basedOn w:val="Exampletextbullet"/>
    <w:semiHidden/>
    <w:rsid w:val="0019014B"/>
    <w:pPr>
      <w:numPr>
        <w:ilvl w:val="1"/>
      </w:numPr>
    </w:pPr>
  </w:style>
  <w:style w:type="character" w:customStyle="1" w:styleId="HeadingBaseChar">
    <w:name w:val="Heading Base Char"/>
    <w:link w:val="HeadingBase"/>
    <w:rsid w:val="0019014B"/>
    <w:rPr>
      <w:rFonts w:ascii="Arial" w:hAnsi="Arial"/>
      <w:sz w:val="24"/>
    </w:rPr>
  </w:style>
  <w:style w:type="character" w:customStyle="1" w:styleId="TableHeadingChar">
    <w:name w:val="Table Heading Char"/>
    <w:link w:val="TableHeading"/>
    <w:rsid w:val="0019014B"/>
    <w:rPr>
      <w:rFonts w:ascii="Arial" w:hAnsi="Arial"/>
      <w:b/>
      <w:color w:val="000000"/>
      <w:lang w:val="x-none" w:eastAsia="x-none"/>
    </w:rPr>
  </w:style>
  <w:style w:type="character" w:customStyle="1" w:styleId="TableTextBaseChar">
    <w:name w:val="Table Text Base Char"/>
    <w:link w:val="TableTextBase"/>
    <w:rsid w:val="0019014B"/>
    <w:rPr>
      <w:rFonts w:ascii="Arial" w:hAnsi="Arial"/>
      <w:sz w:val="18"/>
    </w:rPr>
  </w:style>
  <w:style w:type="character" w:customStyle="1" w:styleId="TableTextLeftChar">
    <w:name w:val="Table Text Left Char"/>
    <w:link w:val="TableTextLeft"/>
    <w:rsid w:val="0019014B"/>
    <w:rPr>
      <w:rFonts w:ascii="Arial" w:hAnsi="Arial"/>
      <w:sz w:val="18"/>
    </w:rPr>
  </w:style>
  <w:style w:type="paragraph" w:styleId="ListParagraph">
    <w:name w:val="List Paragraph"/>
    <w:basedOn w:val="Normal"/>
    <w:qFormat/>
    <w:rsid w:val="0019014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19014B"/>
    <w:pPr>
      <w:numPr>
        <w:ilvl w:val="1"/>
        <w:numId w:val="5"/>
      </w:numPr>
    </w:pPr>
  </w:style>
  <w:style w:type="character" w:customStyle="1" w:styleId="ChartandTableFootnoteChar">
    <w:name w:val="Chart and Table Footnote Char"/>
    <w:link w:val="ChartandTableFootnote"/>
    <w:rsid w:val="0019014B"/>
    <w:rPr>
      <w:rFonts w:ascii="Arial" w:hAnsi="Arial"/>
      <w:color w:val="000000"/>
      <w:sz w:val="16"/>
      <w:lang w:val="x-none" w:eastAsia="x-none"/>
    </w:rPr>
  </w:style>
  <w:style w:type="paragraph" w:customStyle="1" w:styleId="PartHeading">
    <w:name w:val="Part Heading"/>
    <w:basedOn w:val="Title"/>
    <w:next w:val="Normal"/>
    <w:rsid w:val="0019014B"/>
    <w:pPr>
      <w:spacing w:after="480"/>
      <w:outlineLvl w:val="9"/>
    </w:pPr>
    <w:rPr>
      <w:rFonts w:ascii="Arial Bold" w:hAnsi="Arial Bold"/>
      <w:smallCaps w:val="0"/>
    </w:rPr>
  </w:style>
  <w:style w:type="character" w:customStyle="1" w:styleId="BulletChar">
    <w:name w:val="Bullet Char"/>
    <w:link w:val="Bullet"/>
    <w:rsid w:val="0019014B"/>
    <w:rPr>
      <w:rFonts w:ascii="Book Antiqua" w:hAnsi="Book Antiqua"/>
      <w:lang w:val="x-none" w:eastAsia="x-none"/>
    </w:rPr>
  </w:style>
  <w:style w:type="paragraph" w:customStyle="1" w:styleId="BoxTextBase">
    <w:name w:val="Box Text Base"/>
    <w:basedOn w:val="Normal"/>
    <w:rsid w:val="0019014B"/>
    <w:pPr>
      <w:spacing w:after="120"/>
    </w:pPr>
    <w:rPr>
      <w:color w:val="000000"/>
    </w:rPr>
  </w:style>
  <w:style w:type="paragraph" w:customStyle="1" w:styleId="BoxDash">
    <w:name w:val="Box Dash"/>
    <w:basedOn w:val="Normal"/>
    <w:rsid w:val="0019014B"/>
    <w:pPr>
      <w:numPr>
        <w:ilvl w:val="1"/>
        <w:numId w:val="6"/>
      </w:numPr>
    </w:pPr>
    <w:rPr>
      <w:color w:val="000000"/>
    </w:rPr>
  </w:style>
  <w:style w:type="paragraph" w:customStyle="1" w:styleId="BoxDoubleDot">
    <w:name w:val="Box Double Dot"/>
    <w:basedOn w:val="BoxTextBase"/>
    <w:rsid w:val="0019014B"/>
    <w:pPr>
      <w:numPr>
        <w:ilvl w:val="2"/>
        <w:numId w:val="6"/>
      </w:numPr>
    </w:pPr>
  </w:style>
  <w:style w:type="paragraph" w:customStyle="1" w:styleId="BoxHeadinglevel2">
    <w:name w:val="Box Heading level 2"/>
    <w:basedOn w:val="BoxHeading"/>
    <w:rsid w:val="0019014B"/>
    <w:pPr>
      <w:spacing w:before="0"/>
    </w:pPr>
    <w:rPr>
      <w:sz w:val="18"/>
    </w:rPr>
  </w:style>
  <w:style w:type="paragraph" w:customStyle="1" w:styleId="Outcome">
    <w:name w:val="Outcome"/>
    <w:basedOn w:val="Normal"/>
    <w:rsid w:val="0019014B"/>
    <w:pPr>
      <w:spacing w:before="120" w:after="120" w:line="280" w:lineRule="exact"/>
    </w:pPr>
    <w:rPr>
      <w:rFonts w:ascii="Arial" w:hAnsi="Arial" w:cs="Arial"/>
      <w:b/>
    </w:rPr>
  </w:style>
  <w:style w:type="paragraph" w:customStyle="1" w:styleId="ProgramHeading">
    <w:name w:val="Program Heading"/>
    <w:basedOn w:val="HeadingBase"/>
    <w:rsid w:val="0019014B"/>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19014B"/>
  </w:style>
  <w:style w:type="character" w:customStyle="1" w:styleId="Heading3Char">
    <w:name w:val="Heading 3 Char"/>
    <w:link w:val="Heading3"/>
    <w:rsid w:val="0019014B"/>
    <w:rPr>
      <w:rFonts w:ascii="Arial Bold" w:hAnsi="Arial Bold"/>
      <w:b/>
      <w:sz w:val="22"/>
    </w:rPr>
  </w:style>
  <w:style w:type="character" w:customStyle="1" w:styleId="CommentTextChar">
    <w:name w:val="Comment Text Char"/>
    <w:link w:val="CommentText"/>
    <w:uiPriority w:val="99"/>
    <w:rsid w:val="0019014B"/>
    <w:rPr>
      <w:rFonts w:ascii="Book Antiqua" w:hAnsi="Book Antiqua"/>
      <w:lang w:val="x-none" w:eastAsia="x-none"/>
    </w:rPr>
  </w:style>
  <w:style w:type="paragraph" w:customStyle="1" w:styleId="ExampleText0">
    <w:name w:val="Example Text"/>
    <w:basedOn w:val="Normal"/>
    <w:semiHidden/>
    <w:rsid w:val="0019014B"/>
    <w:pPr>
      <w:jc w:val="left"/>
    </w:pPr>
    <w:rPr>
      <w:i/>
      <w:color w:val="FF0000"/>
    </w:rPr>
  </w:style>
  <w:style w:type="paragraph" w:styleId="NoSpacing">
    <w:name w:val="No Spacing"/>
    <w:uiPriority w:val="1"/>
    <w:qFormat/>
    <w:rsid w:val="0019014B"/>
    <w:pPr>
      <w:jc w:val="both"/>
    </w:pPr>
    <w:rPr>
      <w:rFonts w:ascii="Book Antiqua" w:hAnsi="Book Antiqua"/>
    </w:rPr>
  </w:style>
  <w:style w:type="character" w:customStyle="1" w:styleId="A5">
    <w:name w:val="A5"/>
    <w:uiPriority w:val="99"/>
    <w:rsid w:val="0019014B"/>
    <w:rPr>
      <w:rFonts w:ascii="Swiss 721 BT" w:hAnsi="Swiss 721 BT" w:cs="Swiss 721 BT" w:hint="default"/>
      <w:color w:val="000000"/>
      <w:sz w:val="20"/>
      <w:szCs w:val="20"/>
    </w:rPr>
  </w:style>
  <w:style w:type="character" w:customStyle="1" w:styleId="HeaderChar">
    <w:name w:val="Header Char"/>
    <w:link w:val="Header"/>
    <w:uiPriority w:val="99"/>
    <w:rsid w:val="0019014B"/>
    <w:rPr>
      <w:rFonts w:ascii="Book Antiqua" w:hAnsi="Book Antiqua"/>
      <w:i/>
      <w:lang w:val="x-none"/>
    </w:rPr>
  </w:style>
  <w:style w:type="character" w:styleId="FollowedHyperlink">
    <w:name w:val="FollowedHyperlink"/>
    <w:rsid w:val="0019014B"/>
    <w:rPr>
      <w:color w:val="800080"/>
      <w:u w:val="single"/>
    </w:rPr>
  </w:style>
  <w:style w:type="character" w:customStyle="1" w:styleId="FooterChar">
    <w:name w:val="Footer Char"/>
    <w:link w:val="Footer"/>
    <w:uiPriority w:val="99"/>
    <w:rsid w:val="0019014B"/>
    <w:rPr>
      <w:rFonts w:ascii="Arial" w:hAnsi="Arial"/>
      <w:lang w:val="x-none" w:eastAsia="x-none"/>
    </w:rPr>
  </w:style>
  <w:style w:type="character" w:styleId="Strong">
    <w:name w:val="Strong"/>
    <w:semiHidden/>
    <w:qFormat/>
    <w:rsid w:val="0019014B"/>
    <w:rPr>
      <w:b/>
      <w:bCs/>
    </w:rPr>
  </w:style>
  <w:style w:type="paragraph" w:styleId="BodyText">
    <w:name w:val="Body Text"/>
    <w:basedOn w:val="Normal"/>
    <w:link w:val="BodyTextChar"/>
    <w:qFormat/>
    <w:rsid w:val="0019014B"/>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19014B"/>
    <w:rPr>
      <w:rFonts w:ascii="Cambria" w:eastAsia="Cambria" w:hAnsi="Cambria"/>
      <w:sz w:val="22"/>
      <w:szCs w:val="22"/>
      <w:lang w:val="x-none" w:eastAsia="en-US"/>
    </w:rPr>
  </w:style>
  <w:style w:type="paragraph" w:customStyle="1" w:styleId="Heading2NoTOC">
    <w:name w:val="Heading 2 No TOC"/>
    <w:basedOn w:val="Heading2"/>
    <w:qFormat/>
    <w:rsid w:val="0019014B"/>
    <w:pPr>
      <w:outlineLvl w:val="9"/>
    </w:pPr>
  </w:style>
  <w:style w:type="paragraph" w:customStyle="1" w:styleId="Heading1-TOC">
    <w:name w:val="Heading 1 - TOC"/>
    <w:basedOn w:val="Heading1"/>
    <w:rsid w:val="0019014B"/>
  </w:style>
  <w:style w:type="paragraph" w:customStyle="1" w:styleId="PartHeading-TOC">
    <w:name w:val="Part Heading - TOC"/>
    <w:basedOn w:val="PartHeading"/>
    <w:rsid w:val="0019014B"/>
  </w:style>
  <w:style w:type="paragraph" w:customStyle="1" w:styleId="Heading4-NoTOC">
    <w:name w:val="Heading 4 - No TOC"/>
    <w:basedOn w:val="Heading4"/>
    <w:rsid w:val="0019014B"/>
    <w:pPr>
      <w:outlineLvl w:val="9"/>
    </w:pPr>
  </w:style>
  <w:style w:type="paragraph" w:customStyle="1" w:styleId="ChartandTableFootnoteAlpha-Bullet">
    <w:name w:val="Chart and Table Footnote Alpha - Bullet"/>
    <w:basedOn w:val="ChartandTableFootnoteAlpha"/>
    <w:rsid w:val="0019014B"/>
    <w:pPr>
      <w:numPr>
        <w:numId w:val="7"/>
      </w:numPr>
      <w:tabs>
        <w:tab w:val="left" w:pos="454"/>
      </w:tabs>
      <w:ind w:left="454" w:hanging="170"/>
    </w:pPr>
    <w:rPr>
      <w:rFonts w:cs="Arial"/>
      <w:szCs w:val="16"/>
    </w:rPr>
  </w:style>
  <w:style w:type="paragraph" w:styleId="Revision">
    <w:name w:val="Revision"/>
    <w:hidden/>
    <w:uiPriority w:val="99"/>
    <w:semiHidden/>
    <w:rsid w:val="0019014B"/>
    <w:rPr>
      <w:rFonts w:ascii="Book Antiqua" w:hAnsi="Book Antiqua"/>
    </w:rPr>
  </w:style>
  <w:style w:type="character" w:styleId="Mention">
    <w:name w:val="Mention"/>
    <w:basedOn w:val="DefaultParagraphFont"/>
    <w:uiPriority w:val="99"/>
    <w:unhideWhenUsed/>
    <w:rsid w:val="00024B6D"/>
    <w:rPr>
      <w:color w:val="2B579A"/>
      <w:shd w:val="clear" w:color="auto" w:fill="E1DFDD"/>
    </w:rPr>
  </w:style>
  <w:style w:type="paragraph" w:customStyle="1" w:styleId="FooterEven">
    <w:name w:val="Footer Even"/>
    <w:basedOn w:val="Footer"/>
    <w:qFormat/>
    <w:rsid w:val="0019014B"/>
    <w:pPr>
      <w:pBdr>
        <w:top w:val="single" w:sz="4" w:space="10" w:color="auto"/>
      </w:pBdr>
      <w:jc w:val="left"/>
    </w:pPr>
    <w:rPr>
      <w:bCs/>
      <w:sz w:val="18"/>
      <w:lang w:val="en-AU" w:eastAsia="en-AU"/>
    </w:rPr>
  </w:style>
  <w:style w:type="paragraph" w:customStyle="1" w:styleId="FooterOdd">
    <w:name w:val="Footer Odd"/>
    <w:basedOn w:val="Footer"/>
    <w:qFormat/>
    <w:rsid w:val="0019014B"/>
    <w:pPr>
      <w:pBdr>
        <w:top w:val="single" w:sz="4" w:space="10" w:color="auto"/>
      </w:pBdr>
      <w:jc w:val="right"/>
    </w:pPr>
    <w:rPr>
      <w:sz w:val="18"/>
      <w:lang w:eastAsia="en-AU"/>
    </w:rPr>
  </w:style>
  <w:style w:type="character" w:customStyle="1" w:styleId="Heading9Char">
    <w:name w:val="Heading 9 Char"/>
    <w:basedOn w:val="DefaultParagraphFont"/>
    <w:link w:val="Heading9"/>
    <w:semiHidden/>
    <w:rsid w:val="0019014B"/>
    <w:rPr>
      <w:rFonts w:asciiTheme="majorHAnsi" w:eastAsiaTheme="majorEastAsia" w:hAnsiTheme="majorHAnsi" w:cstheme="majorBidi"/>
      <w:i/>
      <w:iCs/>
      <w:color w:val="272727" w:themeColor="text1" w:themeTint="D8"/>
      <w:sz w:val="21"/>
      <w:szCs w:val="21"/>
    </w:rPr>
  </w:style>
  <w:style w:type="paragraph" w:styleId="NoteHeading">
    <w:name w:val="Note Heading"/>
    <w:basedOn w:val="Normal"/>
    <w:next w:val="Normal"/>
    <w:link w:val="NoteHeadingChar"/>
    <w:rsid w:val="0019014B"/>
  </w:style>
  <w:style w:type="character" w:customStyle="1" w:styleId="NoteHeadingChar">
    <w:name w:val="Note Heading Char"/>
    <w:basedOn w:val="DefaultParagraphFont"/>
    <w:link w:val="NoteHeading"/>
    <w:rsid w:val="0019014B"/>
    <w:rPr>
      <w:rFonts w:ascii="Book Antiqua" w:hAnsi="Book Antiqua"/>
    </w:rPr>
  </w:style>
  <w:style w:type="paragraph" w:customStyle="1" w:styleId="SecurityClassificationHeader">
    <w:name w:val="Security Classification Header"/>
    <w:link w:val="SecurityClassificationHeaderChar"/>
    <w:rsid w:val="0019014B"/>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19014B"/>
    <w:rPr>
      <w:rFonts w:ascii="Calibri" w:hAnsi="Calibri"/>
      <w:b/>
      <w:i/>
      <w:caps/>
      <w:sz w:val="24"/>
      <w:lang w:val="x-none" w:eastAsia="x-none"/>
    </w:rPr>
  </w:style>
  <w:style w:type="paragraph" w:customStyle="1" w:styleId="SecurityClassificationFooter">
    <w:name w:val="Security Classification Footer"/>
    <w:link w:val="SecurityClassificationFooterChar"/>
    <w:rsid w:val="0019014B"/>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19014B"/>
    <w:rPr>
      <w:rFonts w:ascii="Calibri" w:hAnsi="Calibri"/>
      <w:b/>
      <w:i/>
      <w:caps/>
      <w:sz w:val="24"/>
      <w:lang w:val="x-none" w:eastAsia="x-none"/>
    </w:rPr>
  </w:style>
  <w:style w:type="paragraph" w:customStyle="1" w:styleId="DLMSecurityHeader">
    <w:name w:val="DLM Security Header"/>
    <w:link w:val="DLMSecurityHeaderChar"/>
    <w:rsid w:val="0019014B"/>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19014B"/>
    <w:rPr>
      <w:rFonts w:ascii="Calibri" w:hAnsi="Calibri"/>
      <w:b/>
      <w:i/>
      <w:caps/>
      <w:sz w:val="24"/>
      <w:lang w:val="x-none" w:eastAsia="x-none"/>
    </w:rPr>
  </w:style>
  <w:style w:type="paragraph" w:customStyle="1" w:styleId="DLMSecurityFooter">
    <w:name w:val="DLM Security Footer"/>
    <w:link w:val="DLMSecurityFooterChar"/>
    <w:rsid w:val="0019014B"/>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19014B"/>
    <w:rPr>
      <w:rFonts w:ascii="Calibri" w:hAnsi="Calibri"/>
      <w:b/>
      <w:i/>
      <w:caps/>
      <w:sz w:val="24"/>
      <w:lang w:val="x-none" w:eastAsia="x-none"/>
    </w:rPr>
  </w:style>
  <w:style w:type="paragraph" w:customStyle="1" w:styleId="ChartandTableFootnote-Dash">
    <w:name w:val="Chart and Table Footnote - Dash"/>
    <w:basedOn w:val="Normal"/>
    <w:rsid w:val="0019014B"/>
    <w:pPr>
      <w:tabs>
        <w:tab w:val="left" w:pos="680"/>
      </w:tabs>
      <w:spacing w:after="0" w:line="240" w:lineRule="auto"/>
      <w:ind w:left="681" w:hanging="284"/>
    </w:pPr>
    <w:rPr>
      <w:rFonts w:ascii="Arial" w:hAnsi="Arial"/>
      <w:sz w:val="16"/>
    </w:rPr>
  </w:style>
  <w:style w:type="paragraph" w:styleId="NormalWeb">
    <w:name w:val="Normal (Web)"/>
    <w:basedOn w:val="Normal"/>
    <w:semiHidden/>
    <w:unhideWhenUsed/>
    <w:rsid w:val="000A088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8551">
      <w:bodyDiv w:val="1"/>
      <w:marLeft w:val="0"/>
      <w:marRight w:val="0"/>
      <w:marTop w:val="0"/>
      <w:marBottom w:val="0"/>
      <w:divBdr>
        <w:top w:val="none" w:sz="0" w:space="0" w:color="auto"/>
        <w:left w:val="none" w:sz="0" w:space="0" w:color="auto"/>
        <w:bottom w:val="none" w:sz="0" w:space="0" w:color="auto"/>
        <w:right w:val="none" w:sz="0" w:space="0" w:color="auto"/>
      </w:divBdr>
    </w:div>
    <w:div w:id="37047554">
      <w:bodyDiv w:val="1"/>
      <w:marLeft w:val="0"/>
      <w:marRight w:val="0"/>
      <w:marTop w:val="0"/>
      <w:marBottom w:val="0"/>
      <w:divBdr>
        <w:top w:val="none" w:sz="0" w:space="0" w:color="auto"/>
        <w:left w:val="none" w:sz="0" w:space="0" w:color="auto"/>
        <w:bottom w:val="none" w:sz="0" w:space="0" w:color="auto"/>
        <w:right w:val="none" w:sz="0" w:space="0" w:color="auto"/>
      </w:divBdr>
    </w:div>
    <w:div w:id="46533796">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25240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0278875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3587669">
      <w:bodyDiv w:val="1"/>
      <w:marLeft w:val="0"/>
      <w:marRight w:val="0"/>
      <w:marTop w:val="0"/>
      <w:marBottom w:val="0"/>
      <w:divBdr>
        <w:top w:val="none" w:sz="0" w:space="0" w:color="auto"/>
        <w:left w:val="none" w:sz="0" w:space="0" w:color="auto"/>
        <w:bottom w:val="none" w:sz="0" w:space="0" w:color="auto"/>
        <w:right w:val="none" w:sz="0" w:space="0" w:color="auto"/>
      </w:divBdr>
    </w:div>
    <w:div w:id="314724784">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311809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49589694">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7521110">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51446950">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579784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2645824">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8501474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907350">
      <w:bodyDiv w:val="1"/>
      <w:marLeft w:val="0"/>
      <w:marRight w:val="0"/>
      <w:marTop w:val="0"/>
      <w:marBottom w:val="0"/>
      <w:divBdr>
        <w:top w:val="none" w:sz="0" w:space="0" w:color="auto"/>
        <w:left w:val="none" w:sz="0" w:space="0" w:color="auto"/>
        <w:bottom w:val="none" w:sz="0" w:space="0" w:color="auto"/>
        <w:right w:val="none" w:sz="0" w:space="0" w:color="auto"/>
      </w:divBdr>
    </w:div>
    <w:div w:id="102826252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0656529">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9814725">
      <w:bodyDiv w:val="1"/>
      <w:marLeft w:val="0"/>
      <w:marRight w:val="0"/>
      <w:marTop w:val="0"/>
      <w:marBottom w:val="0"/>
      <w:divBdr>
        <w:top w:val="none" w:sz="0" w:space="0" w:color="auto"/>
        <w:left w:val="none" w:sz="0" w:space="0" w:color="auto"/>
        <w:bottom w:val="none" w:sz="0" w:space="0" w:color="auto"/>
        <w:right w:val="none" w:sz="0" w:space="0" w:color="auto"/>
      </w:divBdr>
      <w:divsChild>
        <w:div w:id="377706600">
          <w:marLeft w:val="0"/>
          <w:marRight w:val="0"/>
          <w:marTop w:val="0"/>
          <w:marBottom w:val="0"/>
          <w:divBdr>
            <w:top w:val="none" w:sz="0" w:space="0" w:color="auto"/>
            <w:left w:val="none" w:sz="0" w:space="0" w:color="auto"/>
            <w:bottom w:val="none" w:sz="0" w:space="0" w:color="auto"/>
            <w:right w:val="none" w:sz="0" w:space="0" w:color="auto"/>
          </w:divBdr>
        </w:div>
      </w:divsChild>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2262068">
      <w:bodyDiv w:val="1"/>
      <w:marLeft w:val="0"/>
      <w:marRight w:val="0"/>
      <w:marTop w:val="0"/>
      <w:marBottom w:val="0"/>
      <w:divBdr>
        <w:top w:val="none" w:sz="0" w:space="0" w:color="auto"/>
        <w:left w:val="none" w:sz="0" w:space="0" w:color="auto"/>
        <w:bottom w:val="none" w:sz="0" w:space="0" w:color="auto"/>
        <w:right w:val="none" w:sz="0" w:space="0" w:color="auto"/>
      </w:divBdr>
    </w:div>
    <w:div w:id="124225093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8216541">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29093024">
      <w:bodyDiv w:val="1"/>
      <w:marLeft w:val="0"/>
      <w:marRight w:val="0"/>
      <w:marTop w:val="0"/>
      <w:marBottom w:val="0"/>
      <w:divBdr>
        <w:top w:val="none" w:sz="0" w:space="0" w:color="auto"/>
        <w:left w:val="none" w:sz="0" w:space="0" w:color="auto"/>
        <w:bottom w:val="none" w:sz="0" w:space="0" w:color="auto"/>
        <w:right w:val="none" w:sz="0" w:space="0" w:color="auto"/>
      </w:divBdr>
    </w:div>
    <w:div w:id="1330869372">
      <w:bodyDiv w:val="1"/>
      <w:marLeft w:val="0"/>
      <w:marRight w:val="0"/>
      <w:marTop w:val="0"/>
      <w:marBottom w:val="0"/>
      <w:divBdr>
        <w:top w:val="none" w:sz="0" w:space="0" w:color="auto"/>
        <w:left w:val="none" w:sz="0" w:space="0" w:color="auto"/>
        <w:bottom w:val="none" w:sz="0" w:space="0" w:color="auto"/>
        <w:right w:val="none" w:sz="0" w:space="0" w:color="auto"/>
      </w:divBdr>
    </w:div>
    <w:div w:id="1332636744">
      <w:bodyDiv w:val="1"/>
      <w:marLeft w:val="0"/>
      <w:marRight w:val="0"/>
      <w:marTop w:val="0"/>
      <w:marBottom w:val="0"/>
      <w:divBdr>
        <w:top w:val="none" w:sz="0" w:space="0" w:color="auto"/>
        <w:left w:val="none" w:sz="0" w:space="0" w:color="auto"/>
        <w:bottom w:val="none" w:sz="0" w:space="0" w:color="auto"/>
        <w:right w:val="none" w:sz="0" w:space="0" w:color="auto"/>
      </w:divBdr>
    </w:div>
    <w:div w:id="1354308155">
      <w:bodyDiv w:val="1"/>
      <w:marLeft w:val="0"/>
      <w:marRight w:val="0"/>
      <w:marTop w:val="0"/>
      <w:marBottom w:val="0"/>
      <w:divBdr>
        <w:top w:val="none" w:sz="0" w:space="0" w:color="auto"/>
        <w:left w:val="none" w:sz="0" w:space="0" w:color="auto"/>
        <w:bottom w:val="none" w:sz="0" w:space="0" w:color="auto"/>
        <w:right w:val="none" w:sz="0" w:space="0" w:color="auto"/>
      </w:divBdr>
    </w:div>
    <w:div w:id="1456489544">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680450">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81546367">
      <w:bodyDiv w:val="1"/>
      <w:marLeft w:val="0"/>
      <w:marRight w:val="0"/>
      <w:marTop w:val="0"/>
      <w:marBottom w:val="0"/>
      <w:divBdr>
        <w:top w:val="none" w:sz="0" w:space="0" w:color="auto"/>
        <w:left w:val="none" w:sz="0" w:space="0" w:color="auto"/>
        <w:bottom w:val="none" w:sz="0" w:space="0" w:color="auto"/>
        <w:right w:val="none" w:sz="0" w:space="0" w:color="auto"/>
      </w:divBdr>
    </w:div>
    <w:div w:id="169195653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134310">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90662140">
      <w:bodyDiv w:val="1"/>
      <w:marLeft w:val="0"/>
      <w:marRight w:val="0"/>
      <w:marTop w:val="0"/>
      <w:marBottom w:val="0"/>
      <w:divBdr>
        <w:top w:val="none" w:sz="0" w:space="0" w:color="auto"/>
        <w:left w:val="none" w:sz="0" w:space="0" w:color="auto"/>
        <w:bottom w:val="none" w:sz="0" w:space="0" w:color="auto"/>
        <w:right w:val="none" w:sz="0" w:space="0" w:color="auto"/>
      </w:divBdr>
    </w:div>
    <w:div w:id="1804106764">
      <w:bodyDiv w:val="1"/>
      <w:marLeft w:val="0"/>
      <w:marRight w:val="0"/>
      <w:marTop w:val="0"/>
      <w:marBottom w:val="0"/>
      <w:divBdr>
        <w:top w:val="none" w:sz="0" w:space="0" w:color="auto"/>
        <w:left w:val="none" w:sz="0" w:space="0" w:color="auto"/>
        <w:bottom w:val="none" w:sz="0" w:space="0" w:color="auto"/>
        <w:right w:val="none" w:sz="0" w:space="0" w:color="auto"/>
      </w:divBdr>
    </w:div>
    <w:div w:id="180866521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5522221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90133023">
      <w:bodyDiv w:val="1"/>
      <w:marLeft w:val="0"/>
      <w:marRight w:val="0"/>
      <w:marTop w:val="0"/>
      <w:marBottom w:val="0"/>
      <w:divBdr>
        <w:top w:val="none" w:sz="0" w:space="0" w:color="auto"/>
        <w:left w:val="none" w:sz="0" w:space="0" w:color="auto"/>
        <w:bottom w:val="none" w:sz="0" w:space="0" w:color="auto"/>
        <w:right w:val="none" w:sz="0" w:space="0" w:color="auto"/>
      </w:divBdr>
    </w:div>
    <w:div w:id="202042730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932898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c.gov.au/about/governance/corporatepla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397E395D-06CE-4259-9484-75B8A5D16875}">
  <ds:schemaRefs>
    <ds:schemaRef ds:uri="http://schemas.openxmlformats.org/officeDocument/2006/bibliography"/>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2823</Words>
  <Characters>18676</Characters>
  <Application>Microsoft Office Word</Application>
  <DocSecurity>0</DocSecurity>
  <Lines>155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 Productivity Commission</dc:title>
  <dc:subject/>
  <dc:creator/>
  <cp:keywords/>
  <cp:lastModifiedBy/>
  <cp:revision>1</cp:revision>
  <dcterms:created xsi:type="dcterms:W3CDTF">2022-03-27T07:03:00Z</dcterms:created>
  <dcterms:modified xsi:type="dcterms:W3CDTF">2022-03-27T07:03:00Z</dcterms:modified>
</cp:coreProperties>
</file>