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BF1BE8" w14:paraId="5D076980" w14:textId="77777777" w:rsidTr="00BF1BE8">
        <w:tc>
          <w:tcPr>
            <w:tcW w:w="5000" w:type="pct"/>
            <w:shd w:val="clear" w:color="auto" w:fill="auto"/>
          </w:tcPr>
          <w:p w14:paraId="4B57C4EE" w14:textId="77777777" w:rsidR="00BF1BE8" w:rsidRDefault="00BF1BE8" w:rsidP="00BF1BE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012AABA4" w14:textId="77777777" w:rsidR="00BF1BE8" w:rsidRPr="00BF1BE8" w:rsidRDefault="00BF1BE8" w:rsidP="00BF1BE8">
            <w:pPr>
              <w:rPr>
                <w:b/>
                <w:sz w:val="20"/>
              </w:rPr>
            </w:pPr>
          </w:p>
        </w:tc>
      </w:tr>
    </w:tbl>
    <w:p w14:paraId="006732D0" w14:textId="77777777" w:rsidR="00BF1BE8" w:rsidRDefault="00BF1BE8" w:rsidP="00932FA3">
      <w:pPr>
        <w:rPr>
          <w:sz w:val="32"/>
          <w:szCs w:val="32"/>
        </w:rPr>
      </w:pPr>
    </w:p>
    <w:p w14:paraId="1215164E" w14:textId="77777777" w:rsidR="00664C63" w:rsidRPr="00932FA3" w:rsidRDefault="00664C63" w:rsidP="00932FA3">
      <w:pPr>
        <w:rPr>
          <w:sz w:val="32"/>
          <w:szCs w:val="32"/>
        </w:rPr>
      </w:pPr>
      <w:r w:rsidRPr="00932FA3">
        <w:rPr>
          <w:sz w:val="32"/>
          <w:szCs w:val="32"/>
        </w:rPr>
        <w:t>Inserts for</w:t>
      </w:r>
    </w:p>
    <w:p w14:paraId="4E055F6A" w14:textId="77777777" w:rsidR="00664C63" w:rsidRDefault="00CA1C2A" w:rsidP="00664C63">
      <w:pPr>
        <w:pStyle w:val="ShortT"/>
      </w:pPr>
      <w:r w:rsidRPr="00357B61">
        <w:t>Treasury Laws Amendment (</w:t>
      </w:r>
      <w:r w:rsidR="00357B61" w:rsidRPr="00357B61">
        <w:rPr>
          <w:rStyle w:val="Emphasis"/>
          <w:i w:val="0"/>
          <w:color w:val="000000"/>
          <w:shd w:val="clear" w:color="auto" w:fill="FFFFFF"/>
        </w:rPr>
        <w:t>Measures for a later sitting</w:t>
      </w:r>
      <w:r w:rsidRPr="00CA1C2A">
        <w:t>) Bill 2022</w:t>
      </w:r>
      <w:r w:rsidR="00664C63">
        <w:t xml:space="preserve">: </w:t>
      </w:r>
      <w:r>
        <w:t>Faith</w:t>
      </w:r>
      <w:r w:rsidR="00C35E3A">
        <w:t>-</w:t>
      </w:r>
      <w:r>
        <w:t>based products</w:t>
      </w:r>
    </w:p>
    <w:p w14:paraId="3F2A4CBE" w14:textId="77777777" w:rsidR="00664C63" w:rsidRDefault="00664C63" w:rsidP="00664C63">
      <w:pPr>
        <w:jc w:val="center"/>
      </w:pPr>
    </w:p>
    <w:p w14:paraId="54CEDBE8" w14:textId="77777777" w:rsidR="00664C63" w:rsidRDefault="00664C63" w:rsidP="00664C6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402376" w14:paraId="3EF39B0E" w14:textId="77777777" w:rsidTr="002F08B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ED726AE" w14:textId="77777777" w:rsidR="00664C63" w:rsidRPr="00402376" w:rsidRDefault="00664C63" w:rsidP="00402376">
            <w:pPr>
              <w:pStyle w:val="TableHeading"/>
            </w:pPr>
            <w:r w:rsidRPr="00402376">
              <w:t>Commencement information</w:t>
            </w:r>
          </w:p>
        </w:tc>
      </w:tr>
      <w:tr w:rsidR="00664C63" w:rsidRPr="00402376" w14:paraId="276B04C0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904A9E" w14:textId="77777777" w:rsidR="00664C63" w:rsidRPr="00402376" w:rsidRDefault="00664C63" w:rsidP="00402376">
            <w:pPr>
              <w:pStyle w:val="TableHeading"/>
            </w:pPr>
            <w:r w:rsidRPr="0040237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8B63C5" w14:textId="77777777" w:rsidR="00664C63" w:rsidRPr="00402376" w:rsidRDefault="00664C63" w:rsidP="00402376">
            <w:pPr>
              <w:pStyle w:val="TableHeading"/>
            </w:pPr>
            <w:r w:rsidRPr="0040237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7F4446" w14:textId="77777777" w:rsidR="00664C63" w:rsidRPr="00402376" w:rsidRDefault="00664C63" w:rsidP="00402376">
            <w:pPr>
              <w:pStyle w:val="TableHeading"/>
            </w:pPr>
            <w:r w:rsidRPr="00402376">
              <w:t>Column 3</w:t>
            </w:r>
          </w:p>
        </w:tc>
      </w:tr>
      <w:tr w:rsidR="00664C63" w14:paraId="22B813EE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FA212FD" w14:textId="77777777" w:rsidR="00664C63" w:rsidRPr="00402376" w:rsidRDefault="00664C63" w:rsidP="00B61C25">
            <w:pPr>
              <w:pStyle w:val="TableHeading"/>
            </w:pPr>
            <w:r w:rsidRPr="0040237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7BF5A91" w14:textId="77777777" w:rsidR="00664C63" w:rsidRPr="00402376" w:rsidRDefault="00664C63" w:rsidP="00402376">
            <w:pPr>
              <w:pStyle w:val="TableHeading"/>
            </w:pPr>
            <w:r w:rsidRPr="0040237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3021A4F" w14:textId="77777777" w:rsidR="00664C63" w:rsidRPr="00402376" w:rsidRDefault="00664C63" w:rsidP="00402376">
            <w:pPr>
              <w:pStyle w:val="TableHeading"/>
            </w:pPr>
            <w:r w:rsidRPr="00402376">
              <w:t>Date/Details</w:t>
            </w:r>
          </w:p>
        </w:tc>
      </w:tr>
      <w:tr w:rsidR="00664C63" w14:paraId="0849FA6A" w14:textId="77777777" w:rsidTr="002F08B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0AE15307" w14:textId="77777777" w:rsidR="00664C63" w:rsidRDefault="00664C63" w:rsidP="007D3BA2">
            <w:pPr>
              <w:pStyle w:val="Tabletext"/>
            </w:pPr>
            <w:r>
              <w:t xml:space="preserve">1.  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013AE48D" w14:textId="77777777" w:rsidR="00664C63" w:rsidRDefault="00CA1C2A" w:rsidP="007D3BA2">
            <w:pPr>
              <w:pStyle w:val="Tabletext"/>
            </w:pPr>
            <w:r>
              <w:t>The day this Act receives the Royal Assent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4B5EA0C1" w14:textId="77777777" w:rsidR="00664C63" w:rsidRDefault="00664C63" w:rsidP="007D3BA2">
            <w:pPr>
              <w:pStyle w:val="Tabletext"/>
            </w:pPr>
          </w:p>
        </w:tc>
      </w:tr>
      <w:tr w:rsidR="00664C63" w14:paraId="42CFD1A9" w14:textId="77777777" w:rsidTr="002F08B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9185B79" w14:textId="77777777" w:rsidR="00664C63" w:rsidRDefault="00664C63" w:rsidP="007D3BA2">
            <w:pPr>
              <w:pStyle w:val="Tabletext"/>
            </w:pPr>
            <w:r>
              <w:t xml:space="preserve">2. 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5679F5D1" w14:textId="77777777" w:rsidR="00664C63" w:rsidRDefault="00664C63" w:rsidP="007D3BA2">
            <w:pPr>
              <w:pStyle w:val="Tabletext"/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1FD829FF" w14:textId="77777777" w:rsidR="00664C63" w:rsidRDefault="00664C63" w:rsidP="007D3BA2">
            <w:pPr>
              <w:pStyle w:val="Tabletext"/>
            </w:pPr>
          </w:p>
        </w:tc>
      </w:tr>
      <w:tr w:rsidR="00664C63" w14:paraId="53CDAB12" w14:textId="77777777" w:rsidTr="002F08B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39AB18D0" w14:textId="77777777" w:rsidR="00664C63" w:rsidRDefault="00664C63" w:rsidP="007D3BA2">
            <w:pPr>
              <w:pStyle w:val="Tabletext"/>
            </w:pPr>
            <w:r>
              <w:t xml:space="preserve">3.  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73E3A3EC" w14:textId="77777777" w:rsidR="00664C63" w:rsidRDefault="00664C63" w:rsidP="007D3BA2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7F14960F" w14:textId="77777777" w:rsidR="00664C63" w:rsidRDefault="00664C63" w:rsidP="007D3BA2">
            <w:pPr>
              <w:pStyle w:val="Tabletext"/>
            </w:pPr>
          </w:p>
        </w:tc>
      </w:tr>
    </w:tbl>
    <w:p w14:paraId="1428A17E" w14:textId="77777777" w:rsidR="00C35E3A" w:rsidRPr="00C35E3A" w:rsidRDefault="00C35E3A" w:rsidP="00C35E3A">
      <w:pPr>
        <w:pStyle w:val="ActHead6"/>
        <w:pageBreakBefore/>
      </w:pPr>
      <w:r w:rsidRPr="00BF1BE8">
        <w:rPr>
          <w:rStyle w:val="CharAmSchNo"/>
        </w:rPr>
        <w:lastRenderedPageBreak/>
        <w:t>Schedule 2</w:t>
      </w:r>
      <w:r>
        <w:t>—</w:t>
      </w:r>
      <w:r w:rsidRPr="00BF1BE8">
        <w:rPr>
          <w:rStyle w:val="CharAmSchText"/>
        </w:rPr>
        <w:t>Faith-based products</w:t>
      </w:r>
    </w:p>
    <w:p w14:paraId="75C80AFA" w14:textId="77777777" w:rsidR="0033411C" w:rsidRDefault="00C35E3A" w:rsidP="00C35E3A">
      <w:pPr>
        <w:pStyle w:val="ActHead9"/>
      </w:pPr>
      <w:r w:rsidRPr="00C35E3A">
        <w:t>Superannuation Industry (Supervision) Act 1993</w:t>
      </w:r>
    </w:p>
    <w:p w14:paraId="165A1F78" w14:textId="77777777" w:rsidR="00C35E3A" w:rsidRDefault="00C35E3A" w:rsidP="00C35E3A">
      <w:pPr>
        <w:pStyle w:val="ItemHead"/>
      </w:pPr>
      <w:r>
        <w:t>1  Subsection 10(1)</w:t>
      </w:r>
    </w:p>
    <w:p w14:paraId="1A7601CF" w14:textId="77777777" w:rsidR="00C35E3A" w:rsidRDefault="00C35E3A" w:rsidP="00C35E3A">
      <w:pPr>
        <w:pStyle w:val="Item"/>
      </w:pPr>
      <w:r w:rsidRPr="00C35E3A">
        <w:t>Insert:</w:t>
      </w:r>
    </w:p>
    <w:p w14:paraId="3C30130E" w14:textId="77777777" w:rsidR="00C35E3A" w:rsidRPr="00C35E3A" w:rsidRDefault="00C35E3A" w:rsidP="00C35E3A">
      <w:pPr>
        <w:pStyle w:val="Definition"/>
      </w:pPr>
      <w:r>
        <w:rPr>
          <w:b/>
          <w:i/>
        </w:rPr>
        <w:t>f</w:t>
      </w:r>
      <w:r w:rsidRPr="00C35E3A">
        <w:rPr>
          <w:b/>
          <w:i/>
        </w:rPr>
        <w:t>aith</w:t>
      </w:r>
      <w:r>
        <w:rPr>
          <w:b/>
          <w:i/>
        </w:rPr>
        <w:t>-</w:t>
      </w:r>
      <w:r w:rsidRPr="00C35E3A">
        <w:rPr>
          <w:b/>
          <w:i/>
        </w:rPr>
        <w:t>based product</w:t>
      </w:r>
      <w:r>
        <w:t xml:space="preserve"> has the meaning given by section 60</w:t>
      </w:r>
      <w:r w:rsidR="003048F0">
        <w:t>K</w:t>
      </w:r>
      <w:r>
        <w:t>.</w:t>
      </w:r>
    </w:p>
    <w:p w14:paraId="1B57C40C" w14:textId="77777777" w:rsidR="00C35E3A" w:rsidRDefault="00C35E3A" w:rsidP="00C35E3A">
      <w:pPr>
        <w:pStyle w:val="ItemHead"/>
      </w:pPr>
      <w:r>
        <w:t>2  At the end of Part 6A</w:t>
      </w:r>
    </w:p>
    <w:p w14:paraId="1108D089" w14:textId="77777777" w:rsidR="00C35E3A" w:rsidRDefault="00C35E3A" w:rsidP="00C35E3A">
      <w:pPr>
        <w:pStyle w:val="Item"/>
      </w:pPr>
      <w:r>
        <w:t>Add:</w:t>
      </w:r>
    </w:p>
    <w:p w14:paraId="1A34D8E3" w14:textId="77777777" w:rsidR="00C35E3A" w:rsidRDefault="00C35E3A" w:rsidP="00C35E3A">
      <w:pPr>
        <w:pStyle w:val="ActHead5"/>
      </w:pPr>
      <w:r w:rsidRPr="00BF1BE8">
        <w:rPr>
          <w:rStyle w:val="CharSectno"/>
        </w:rPr>
        <w:t>60K</w:t>
      </w:r>
      <w:r>
        <w:t xml:space="preserve">  Faith-based products</w:t>
      </w:r>
      <w:r w:rsidR="003048F0">
        <w:t xml:space="preserve">—meaning of </w:t>
      </w:r>
      <w:r w:rsidR="003048F0" w:rsidRPr="003048F0">
        <w:rPr>
          <w:i/>
        </w:rPr>
        <w:t>faith-based product</w:t>
      </w:r>
    </w:p>
    <w:p w14:paraId="78712A05" w14:textId="77777777" w:rsidR="00C35E3A" w:rsidRDefault="00C35E3A" w:rsidP="00C35E3A">
      <w:pPr>
        <w:pStyle w:val="subsection"/>
      </w:pPr>
      <w:r>
        <w:tab/>
      </w:r>
      <w:r>
        <w:tab/>
        <w:t xml:space="preserve">A </w:t>
      </w:r>
      <w:r w:rsidRPr="00C35E3A">
        <w:rPr>
          <w:b/>
          <w:i/>
        </w:rPr>
        <w:t>faith-based product</w:t>
      </w:r>
      <w:r w:rsidR="00A608F0">
        <w:t xml:space="preserve">, </w:t>
      </w:r>
      <w:r>
        <w:t>in relation to a financial year</w:t>
      </w:r>
      <w:r w:rsidR="00A608F0">
        <w:t>,</w:t>
      </w:r>
      <w:r>
        <w:t xml:space="preserve"> is a </w:t>
      </w:r>
      <w:r w:rsidR="003048F0">
        <w:t>Part 6A product</w:t>
      </w:r>
      <w:r>
        <w:t xml:space="preserve"> that is specified in the determination made by APRA under subsection </w:t>
      </w:r>
      <w:r w:rsidR="00212B0C">
        <w:t>60</w:t>
      </w:r>
      <w:r w:rsidR="00D54C28">
        <w:t>L</w:t>
      </w:r>
      <w:r>
        <w:t>(</w:t>
      </w:r>
      <w:r w:rsidR="00592EF9">
        <w:t>4</w:t>
      </w:r>
      <w:r>
        <w:t>) in relation to th</w:t>
      </w:r>
      <w:r w:rsidR="001300E6">
        <w:t>e</w:t>
      </w:r>
      <w:r>
        <w:t xml:space="preserve"> financial year.</w:t>
      </w:r>
    </w:p>
    <w:p w14:paraId="2865EC71" w14:textId="77777777" w:rsidR="00212B0C" w:rsidRPr="00212B0C" w:rsidRDefault="00212B0C" w:rsidP="00212B0C">
      <w:pPr>
        <w:pStyle w:val="ActHead5"/>
      </w:pPr>
      <w:r w:rsidRPr="00BF1BE8">
        <w:rPr>
          <w:rStyle w:val="CharSectno"/>
        </w:rPr>
        <w:t>60</w:t>
      </w:r>
      <w:r w:rsidR="00A608F0" w:rsidRPr="00BF1BE8">
        <w:rPr>
          <w:rStyle w:val="CharSectno"/>
        </w:rPr>
        <w:t>L</w:t>
      </w:r>
      <w:r>
        <w:t xml:space="preserve">  Faith-based products—faith-based product determination</w:t>
      </w:r>
      <w:r w:rsidR="00414E6C">
        <w:t xml:space="preserve"> by APRA</w:t>
      </w:r>
    </w:p>
    <w:p w14:paraId="692C70CF" w14:textId="77777777" w:rsidR="00855B0B" w:rsidRDefault="00855B0B" w:rsidP="00855B0B">
      <w:pPr>
        <w:pStyle w:val="subsection"/>
      </w:pPr>
      <w:r>
        <w:tab/>
        <w:t>(</w:t>
      </w:r>
      <w:r w:rsidR="00E45505">
        <w:t>1</w:t>
      </w:r>
      <w:r>
        <w:t>)</w:t>
      </w:r>
      <w:r>
        <w:tab/>
      </w:r>
      <w:r w:rsidR="004849F1">
        <w:t>The trustee or trustees</w:t>
      </w:r>
      <w:r w:rsidR="00AC3EA2">
        <w:t xml:space="preserve"> of a</w:t>
      </w:r>
      <w:r>
        <w:t xml:space="preserve">n entity that offers a </w:t>
      </w:r>
      <w:r w:rsidR="003048F0">
        <w:t xml:space="preserve">Part 6A product </w:t>
      </w:r>
      <w:r>
        <w:t>may apply to APRA</w:t>
      </w:r>
      <w:r w:rsidR="00BE2AEA">
        <w:t xml:space="preserve"> </w:t>
      </w:r>
      <w:r>
        <w:t>for the product to be specified in a determination under subsection</w:t>
      </w:r>
      <w:r w:rsidR="00AC3EA2">
        <w:t> </w:t>
      </w:r>
      <w:r>
        <w:t>(</w:t>
      </w:r>
      <w:r w:rsidR="00E45505">
        <w:t>4</w:t>
      </w:r>
      <w:r>
        <w:t>) in relation to a financial year.</w:t>
      </w:r>
    </w:p>
    <w:p w14:paraId="68F09328" w14:textId="77777777" w:rsidR="00BE2AEA" w:rsidRDefault="00BE2AEA" w:rsidP="00BE2AEA">
      <w:pPr>
        <w:pStyle w:val="subsection"/>
      </w:pPr>
      <w:r>
        <w:tab/>
      </w:r>
      <w:r w:rsidRPr="00BE2AEA">
        <w:t>(</w:t>
      </w:r>
      <w:r w:rsidR="00E45505">
        <w:t>2</w:t>
      </w:r>
      <w:r w:rsidRPr="00BE2AEA">
        <w:t>)</w:t>
      </w:r>
      <w:r w:rsidRPr="00BE2AEA">
        <w:tab/>
      </w:r>
      <w:r>
        <w:t>The application must:</w:t>
      </w:r>
    </w:p>
    <w:p w14:paraId="704A5D30" w14:textId="77777777" w:rsidR="00BE2AEA" w:rsidRDefault="00BE2AEA" w:rsidP="00BE2AEA">
      <w:pPr>
        <w:pStyle w:val="paragraph"/>
      </w:pPr>
      <w:r>
        <w:tab/>
        <w:t>(a)</w:t>
      </w:r>
      <w:r>
        <w:tab/>
        <w:t>be in writing</w:t>
      </w:r>
      <w:r w:rsidR="00CF49AC">
        <w:t xml:space="preserve"> and in the approved form</w:t>
      </w:r>
      <w:r>
        <w:t>; and</w:t>
      </w:r>
    </w:p>
    <w:p w14:paraId="6FE5FDB6" w14:textId="77777777" w:rsidR="00E45505" w:rsidRDefault="00BE2AEA" w:rsidP="00BE2AEA">
      <w:pPr>
        <w:pStyle w:val="paragraph"/>
      </w:pPr>
      <w:r>
        <w:tab/>
        <w:t>(b)</w:t>
      </w:r>
      <w:r>
        <w:tab/>
      </w:r>
      <w:r w:rsidR="00E45505">
        <w:t>contain a declaration by the trustee or trustees that:</w:t>
      </w:r>
    </w:p>
    <w:p w14:paraId="654311F2" w14:textId="77777777" w:rsidR="00E45505" w:rsidRPr="00C50C59" w:rsidRDefault="00E45505" w:rsidP="00C50C59">
      <w:pPr>
        <w:pStyle w:val="paragraphsub"/>
      </w:pPr>
      <w:r>
        <w:tab/>
        <w:t>(i)</w:t>
      </w:r>
      <w:r>
        <w:tab/>
      </w:r>
      <w:r w:rsidRPr="00C50C59">
        <w:t>the investment strategy in respect of that financial year for the product accords with faith-based principles; and</w:t>
      </w:r>
    </w:p>
    <w:p w14:paraId="5914613B" w14:textId="77777777" w:rsidR="00E45505" w:rsidRPr="00C50C59" w:rsidRDefault="00E45505" w:rsidP="00C50C59">
      <w:pPr>
        <w:pStyle w:val="paragraphsub"/>
      </w:pPr>
      <w:r w:rsidRPr="00C50C59">
        <w:tab/>
        <w:t>(</w:t>
      </w:r>
      <w:r w:rsidR="00C50C59">
        <w:t>ii</w:t>
      </w:r>
      <w:r w:rsidRPr="00C50C59">
        <w:t>)</w:t>
      </w:r>
      <w:r w:rsidRPr="00C50C59">
        <w:tab/>
        <w:t>th</w:t>
      </w:r>
      <w:r w:rsidR="00C50C59">
        <w:t>at</w:t>
      </w:r>
      <w:r w:rsidRPr="00C50C59">
        <w:t xml:space="preserve"> investment strategy </w:t>
      </w:r>
      <w:r w:rsidR="00C50C59">
        <w:t xml:space="preserve">has been disclosed </w:t>
      </w:r>
      <w:r w:rsidRPr="00C50C59">
        <w:t>in</w:t>
      </w:r>
      <w:r w:rsidR="00FF3857">
        <w:t xml:space="preserve"> a document required under this Act or the </w:t>
      </w:r>
      <w:r w:rsidR="00FF3857" w:rsidRPr="00FF3857">
        <w:rPr>
          <w:i/>
        </w:rPr>
        <w:t>Corporations Act 2001</w:t>
      </w:r>
      <w:r w:rsidR="00C50C59">
        <w:t xml:space="preserve"> </w:t>
      </w:r>
      <w:r w:rsidRPr="00C50C59">
        <w:t>to</w:t>
      </w:r>
      <w:r w:rsidR="00FF3857">
        <w:t xml:space="preserve"> be given</w:t>
      </w:r>
      <w:r w:rsidR="00AE4312">
        <w:t xml:space="preserve"> </w:t>
      </w:r>
      <w:r w:rsidR="00FF3857">
        <w:t>to</w:t>
      </w:r>
      <w:r w:rsidR="00C50C59">
        <w:t xml:space="preserve"> </w:t>
      </w:r>
      <w:r w:rsidRPr="00C50C59">
        <w:t>each beneficiary of the entity who holds the product in that financial year; and</w:t>
      </w:r>
    </w:p>
    <w:p w14:paraId="7DE2F8FC" w14:textId="77777777" w:rsidR="00E45505" w:rsidRDefault="00E45505" w:rsidP="00C50C59">
      <w:pPr>
        <w:pStyle w:val="paragraphsub"/>
      </w:pPr>
      <w:r w:rsidRPr="00357B61">
        <w:tab/>
        <w:t>(ii</w:t>
      </w:r>
      <w:r w:rsidR="00C50C59" w:rsidRPr="00357B61">
        <w:t>i</w:t>
      </w:r>
      <w:r w:rsidRPr="00357B61">
        <w:t>)</w:t>
      </w:r>
      <w:r w:rsidRPr="00357B61">
        <w:tab/>
      </w:r>
      <w:r w:rsidR="00C50C59" w:rsidRPr="00357B61">
        <w:t>that investment strategy has been disclosed</w:t>
      </w:r>
      <w:r w:rsidR="00FF3857" w:rsidRPr="00357B61">
        <w:t>, and in the future will be disclosed,</w:t>
      </w:r>
      <w:r w:rsidR="00C50C59" w:rsidRPr="00357B61">
        <w:t xml:space="preserve"> in the entity’s marketing</w:t>
      </w:r>
      <w:r w:rsidR="00C50C59">
        <w:t xml:space="preserve"> materials; and</w:t>
      </w:r>
    </w:p>
    <w:p w14:paraId="0776D29D" w14:textId="77777777" w:rsidR="00C50C59" w:rsidRPr="003048F0" w:rsidRDefault="00E45505" w:rsidP="00C50C59">
      <w:pPr>
        <w:pStyle w:val="paragraph"/>
      </w:pPr>
      <w:r>
        <w:tab/>
        <w:t>(c)</w:t>
      </w:r>
      <w:r>
        <w:tab/>
      </w:r>
      <w:r w:rsidR="00C50C59">
        <w:t xml:space="preserve">set out one or more </w:t>
      </w:r>
      <w:r w:rsidR="00320929" w:rsidRPr="005B1590">
        <w:t xml:space="preserve">indices </w:t>
      </w:r>
      <w:r w:rsidR="00C50C59">
        <w:t xml:space="preserve">that APRA could use in making </w:t>
      </w:r>
      <w:r w:rsidR="00C50C59" w:rsidRPr="003048F0">
        <w:t>a determination under subsection 60C(2)</w:t>
      </w:r>
      <w:r w:rsidR="00C50C59">
        <w:t xml:space="preserve"> </w:t>
      </w:r>
      <w:r w:rsidR="00FF3857">
        <w:t>for</w:t>
      </w:r>
      <w:r w:rsidR="00C50C59">
        <w:t xml:space="preserve"> the produ</w:t>
      </w:r>
      <w:r w:rsidR="00C50C59" w:rsidRPr="00357B61">
        <w:t xml:space="preserve">ct </w:t>
      </w:r>
      <w:r w:rsidR="00FF3857" w:rsidRPr="00357B61">
        <w:t xml:space="preserve">in relation to </w:t>
      </w:r>
      <w:r w:rsidR="00C50C59" w:rsidRPr="00357B61">
        <w:t>the financial year and later financial years</w:t>
      </w:r>
      <w:r w:rsidR="00C50C59" w:rsidRPr="003048F0">
        <w:t>; and</w:t>
      </w:r>
    </w:p>
    <w:p w14:paraId="747A7646" w14:textId="77777777" w:rsidR="00BE2AEA" w:rsidRDefault="00C50C59" w:rsidP="00BE2AEA">
      <w:pPr>
        <w:pStyle w:val="paragraph"/>
      </w:pPr>
      <w:r>
        <w:tab/>
        <w:t>(d)</w:t>
      </w:r>
      <w:r>
        <w:tab/>
      </w:r>
      <w:r w:rsidR="00BE2AEA">
        <w:t>if regulations made for the purposes of this paragraph specify information—</w:t>
      </w:r>
      <w:r w:rsidR="002D32F3">
        <w:t>contain</w:t>
      </w:r>
      <w:r w:rsidR="00BF2BE5">
        <w:t xml:space="preserve"> that</w:t>
      </w:r>
      <w:r w:rsidR="00BE2AEA">
        <w:t xml:space="preserve"> information.</w:t>
      </w:r>
    </w:p>
    <w:p w14:paraId="19183FD6" w14:textId="77777777" w:rsidR="00D54C28" w:rsidRDefault="00BE2AEA" w:rsidP="00BE2AEA">
      <w:pPr>
        <w:pStyle w:val="subsection"/>
      </w:pPr>
      <w:r>
        <w:lastRenderedPageBreak/>
        <w:tab/>
        <w:t>(</w:t>
      </w:r>
      <w:r w:rsidR="00E45505">
        <w:t>3</w:t>
      </w:r>
      <w:r>
        <w:t>)</w:t>
      </w:r>
      <w:r>
        <w:tab/>
        <w:t>Regulations made for the purposes of paragraph (</w:t>
      </w:r>
      <w:r w:rsidR="00E45505">
        <w:t>2</w:t>
      </w:r>
      <w:r>
        <w:t>)(</w:t>
      </w:r>
      <w:r w:rsidR="00C50C59">
        <w:t>d</w:t>
      </w:r>
      <w:r>
        <w:t>) may</w:t>
      </w:r>
      <w:r w:rsidR="00D54C28">
        <w:t>:</w:t>
      </w:r>
    </w:p>
    <w:p w14:paraId="5255B781" w14:textId="77777777" w:rsidR="00D54C28" w:rsidRDefault="00D54C28" w:rsidP="00D54C28">
      <w:pPr>
        <w:pStyle w:val="paragraph"/>
      </w:pPr>
      <w:r>
        <w:tab/>
        <w:t>(a)</w:t>
      </w:r>
      <w:r>
        <w:tab/>
      </w:r>
      <w:r w:rsidR="00BF2BE5">
        <w:t xml:space="preserve">specify information by reference </w:t>
      </w:r>
      <w:r w:rsidR="00616D11">
        <w:t xml:space="preserve">to </w:t>
      </w:r>
      <w:r>
        <w:t>information specified in a legislative instrument; and</w:t>
      </w:r>
    </w:p>
    <w:p w14:paraId="3D6DA3A2" w14:textId="77777777" w:rsidR="00D54C28" w:rsidRDefault="00D54C28" w:rsidP="00D54C28">
      <w:pPr>
        <w:pStyle w:val="paragraph"/>
      </w:pPr>
      <w:r>
        <w:tab/>
        <w:t>(b)</w:t>
      </w:r>
      <w:r>
        <w:tab/>
        <w:t>empower APRA to make a legislative instrument for the purposes of paragraph (a).</w:t>
      </w:r>
    </w:p>
    <w:p w14:paraId="322B5A8A" w14:textId="77777777" w:rsidR="00855B0B" w:rsidRDefault="00855B0B" w:rsidP="00E45505">
      <w:pPr>
        <w:pStyle w:val="subsection"/>
      </w:pPr>
      <w:r>
        <w:tab/>
        <w:t>(</w:t>
      </w:r>
      <w:r w:rsidR="00E45505">
        <w:t>4</w:t>
      </w:r>
      <w:r>
        <w:t>)</w:t>
      </w:r>
      <w:r>
        <w:tab/>
        <w:t xml:space="preserve">If the </w:t>
      </w:r>
      <w:r w:rsidR="00AC3EA2">
        <w:t xml:space="preserve">trustee </w:t>
      </w:r>
      <w:r w:rsidR="00616D11">
        <w:t xml:space="preserve">or trustees </w:t>
      </w:r>
      <w:r>
        <w:t xml:space="preserve">give APRA the application </w:t>
      </w:r>
      <w:r w:rsidR="00E45505">
        <w:t>within the period specified in subsection (5)</w:t>
      </w:r>
      <w:r>
        <w:t>, APRA m</w:t>
      </w:r>
      <w:r w:rsidR="00B77FB2">
        <w:t>ay</w:t>
      </w:r>
      <w:r w:rsidR="00E45505">
        <w:t xml:space="preserve"> make a determination in writing </w:t>
      </w:r>
      <w:r>
        <w:t>specifying the product in relation to the financial year.</w:t>
      </w:r>
    </w:p>
    <w:p w14:paraId="443D2E0F" w14:textId="77777777" w:rsidR="00E45505" w:rsidRDefault="00E45505" w:rsidP="00855B0B">
      <w:pPr>
        <w:pStyle w:val="subsection"/>
      </w:pPr>
      <w:r>
        <w:tab/>
        <w:t>(5)</w:t>
      </w:r>
      <w:r>
        <w:tab/>
        <w:t>For the purposes of subsection (4), the period:</w:t>
      </w:r>
    </w:p>
    <w:p w14:paraId="7A1CCBB0" w14:textId="77777777" w:rsidR="00E45505" w:rsidRDefault="00E45505" w:rsidP="00E45505">
      <w:pPr>
        <w:pStyle w:val="paragraph"/>
      </w:pPr>
      <w:r>
        <w:tab/>
        <w:t>(a)</w:t>
      </w:r>
      <w:r>
        <w:tab/>
        <w:t>starts on 1 February in the previous financial year; and</w:t>
      </w:r>
    </w:p>
    <w:p w14:paraId="3DBF21C3" w14:textId="77777777" w:rsidR="00E45505" w:rsidRDefault="00E45505" w:rsidP="00E45505">
      <w:pPr>
        <w:pStyle w:val="paragraph"/>
      </w:pPr>
      <w:r>
        <w:tab/>
        <w:t>(b)</w:t>
      </w:r>
      <w:r>
        <w:tab/>
        <w:t>ends on 31 January in the financial year.</w:t>
      </w:r>
    </w:p>
    <w:p w14:paraId="687F155F" w14:textId="77777777" w:rsidR="00E45505" w:rsidRPr="00E45505" w:rsidRDefault="00E45505" w:rsidP="00E45505">
      <w:pPr>
        <w:pStyle w:val="subsection"/>
      </w:pPr>
      <w:r>
        <w:tab/>
        <w:t>(6)</w:t>
      </w:r>
      <w:r>
        <w:tab/>
        <w:t xml:space="preserve">APRA </w:t>
      </w:r>
      <w:r w:rsidR="00B77FB2">
        <w:t>can only</w:t>
      </w:r>
      <w:r>
        <w:t xml:space="preserve"> make the determination under subsection (4) </w:t>
      </w:r>
      <w:r w:rsidR="00B77FB2">
        <w:t xml:space="preserve">on or before </w:t>
      </w:r>
      <w:r>
        <w:t>31 March in the financial year.</w:t>
      </w:r>
    </w:p>
    <w:p w14:paraId="6E63CE0D" w14:textId="77777777" w:rsidR="00A608F0" w:rsidRDefault="00A608F0" w:rsidP="00A608F0">
      <w:pPr>
        <w:pStyle w:val="ActHead5"/>
      </w:pPr>
      <w:r w:rsidRPr="00BF1BE8">
        <w:rPr>
          <w:rStyle w:val="CharSectno"/>
        </w:rPr>
        <w:t>60M</w:t>
      </w:r>
      <w:r>
        <w:t xml:space="preserve">  Faith-based products—</w:t>
      </w:r>
      <w:r w:rsidR="00AC3EA2">
        <w:t>deemed</w:t>
      </w:r>
      <w:r>
        <w:t xml:space="preserve"> faith-based product determination in following years</w:t>
      </w:r>
    </w:p>
    <w:p w14:paraId="05E4C22F" w14:textId="77777777" w:rsidR="00EF5391" w:rsidRDefault="00A608F0" w:rsidP="00A608F0">
      <w:pPr>
        <w:pStyle w:val="subsection"/>
      </w:pPr>
      <w:r>
        <w:tab/>
        <w:t>(1)</w:t>
      </w:r>
      <w:r>
        <w:tab/>
      </w:r>
      <w:r w:rsidR="00EF5391">
        <w:t>This section applies if APRA has made a determination</w:t>
      </w:r>
      <w:r w:rsidR="00C50C59">
        <w:t xml:space="preserve"> (the </w:t>
      </w:r>
      <w:r w:rsidR="00C50C59" w:rsidRPr="00EF5391">
        <w:rPr>
          <w:b/>
          <w:i/>
        </w:rPr>
        <w:t xml:space="preserve">previous </w:t>
      </w:r>
      <w:r w:rsidR="00C50C59">
        <w:rPr>
          <w:b/>
          <w:i/>
        </w:rPr>
        <w:t>determination</w:t>
      </w:r>
      <w:r w:rsidR="00C50C59">
        <w:t>)</w:t>
      </w:r>
      <w:r w:rsidR="00EF5391">
        <w:t xml:space="preserve"> under subsection 60L(</w:t>
      </w:r>
      <w:r w:rsidR="00AE4312">
        <w:t>4</w:t>
      </w:r>
      <w:r w:rsidR="00EF5391">
        <w:t>) (including a determination taken to be made because of subsection (</w:t>
      </w:r>
      <w:r w:rsidR="00C50C59">
        <w:t>2</w:t>
      </w:r>
      <w:r w:rsidR="00EF5391">
        <w:t>)) specifying a Part 6A product in relation to a financial year.</w:t>
      </w:r>
    </w:p>
    <w:p w14:paraId="33FA497C" w14:textId="77777777" w:rsidR="00DA41B1" w:rsidRDefault="00EF5391" w:rsidP="00C50C59">
      <w:pPr>
        <w:pStyle w:val="subsection"/>
      </w:pPr>
      <w:r>
        <w:tab/>
        <w:t>(2)</w:t>
      </w:r>
      <w:r>
        <w:tab/>
      </w:r>
      <w:r w:rsidR="00DA41B1">
        <w:t>APRA is taken to have made a determination under subsection</w:t>
      </w:r>
      <w:r>
        <w:t> </w:t>
      </w:r>
      <w:r w:rsidR="00DA41B1">
        <w:t>60L(</w:t>
      </w:r>
      <w:r w:rsidR="00AE4312">
        <w:t>4</w:t>
      </w:r>
      <w:r w:rsidR="00DA41B1">
        <w:t>) specifying</w:t>
      </w:r>
      <w:r>
        <w:t xml:space="preserve"> the</w:t>
      </w:r>
      <w:r w:rsidR="00DA41B1">
        <w:t xml:space="preserve"> Part 6A product in relation to </w:t>
      </w:r>
      <w:r w:rsidR="00AC3EA2" w:rsidRPr="00EF5391">
        <w:t xml:space="preserve">the </w:t>
      </w:r>
      <w:r w:rsidR="00AE4312">
        <w:t xml:space="preserve">following financial </w:t>
      </w:r>
      <w:r w:rsidR="00AC3EA2" w:rsidRPr="00EF5391">
        <w:t>year</w:t>
      </w:r>
      <w:r w:rsidR="00610F02">
        <w:t xml:space="preserve"> </w:t>
      </w:r>
      <w:r w:rsidR="00AE4312">
        <w:t xml:space="preserve">(the </w:t>
      </w:r>
      <w:r w:rsidR="00AE4312">
        <w:rPr>
          <w:b/>
          <w:i/>
        </w:rPr>
        <w:t>current</w:t>
      </w:r>
      <w:r w:rsidR="00AE4312" w:rsidRPr="00EF5391">
        <w:rPr>
          <w:b/>
          <w:i/>
        </w:rPr>
        <w:t xml:space="preserve"> year</w:t>
      </w:r>
      <w:r w:rsidR="00AE4312">
        <w:t xml:space="preserve">) </w:t>
      </w:r>
      <w:r w:rsidR="00C50C59">
        <w:t xml:space="preserve">unless </w:t>
      </w:r>
      <w:r w:rsidR="00DA41B1">
        <w:t xml:space="preserve">APRA </w:t>
      </w:r>
      <w:r w:rsidR="00C50C59">
        <w:t xml:space="preserve">has revoked </w:t>
      </w:r>
      <w:r>
        <w:t xml:space="preserve">the </w:t>
      </w:r>
      <w:r w:rsidR="00C50C59">
        <w:t>previous determination</w:t>
      </w:r>
      <w:r w:rsidR="00DA41B1">
        <w:t>.</w:t>
      </w:r>
    </w:p>
    <w:p w14:paraId="23E1EDAB" w14:textId="77777777" w:rsidR="00450A44" w:rsidRDefault="00450A44" w:rsidP="00EF5391">
      <w:pPr>
        <w:pStyle w:val="subsection"/>
      </w:pPr>
      <w:r>
        <w:tab/>
        <w:t>(</w:t>
      </w:r>
      <w:r w:rsidR="00C50C59">
        <w:t>3</w:t>
      </w:r>
      <w:r>
        <w:t>)</w:t>
      </w:r>
      <w:r>
        <w:tab/>
        <w:t>A determination that is taken to have been made in accordance with subsection (</w:t>
      </w:r>
      <w:r w:rsidR="00C50C59">
        <w:t>2</w:t>
      </w:r>
      <w:r>
        <w:t xml:space="preserve">) is taken to have been made on </w:t>
      </w:r>
      <w:r w:rsidRPr="00235C2C">
        <w:t>31 March</w:t>
      </w:r>
      <w:r>
        <w:t xml:space="preserve"> in the current year.</w:t>
      </w:r>
    </w:p>
    <w:p w14:paraId="2D6787DF" w14:textId="77777777" w:rsidR="00A608F0" w:rsidRPr="00212B0C" w:rsidRDefault="00FF3857" w:rsidP="00A608F0">
      <w:pPr>
        <w:pStyle w:val="ActHead5"/>
      </w:pPr>
      <w:r w:rsidRPr="00BF1BE8">
        <w:rPr>
          <w:rStyle w:val="CharSectno"/>
        </w:rPr>
        <w:t>6</w:t>
      </w:r>
      <w:r w:rsidR="00A608F0" w:rsidRPr="00BF1BE8">
        <w:rPr>
          <w:rStyle w:val="CharSectno"/>
        </w:rPr>
        <w:t>0N</w:t>
      </w:r>
      <w:r w:rsidR="00A608F0">
        <w:t xml:space="preserve">  Faith-based products—revocation of APRA’s faith-based product determination</w:t>
      </w:r>
    </w:p>
    <w:p w14:paraId="77D44C2D" w14:textId="77777777" w:rsidR="00C50C59" w:rsidRDefault="00450A44" w:rsidP="00450A44">
      <w:pPr>
        <w:pStyle w:val="subsection"/>
      </w:pPr>
      <w:r>
        <w:tab/>
        <w:t>(1)</w:t>
      </w:r>
      <w:r>
        <w:tab/>
        <w:t>APRA may revoke a determination under subsection 60L(1) (including a determination taken to be made because of subsection 60M(</w:t>
      </w:r>
      <w:r w:rsidR="00C50C59">
        <w:t>2</w:t>
      </w:r>
      <w:r>
        <w:t>)) specifying a Part 6A product in relation to a financial year</w:t>
      </w:r>
      <w:r w:rsidR="00C50C59">
        <w:t xml:space="preserve"> if </w:t>
      </w:r>
      <w:r w:rsidR="00C50C59" w:rsidRPr="00C50C59">
        <w:t>APRA reasonably considers that</w:t>
      </w:r>
      <w:r w:rsidR="00C50C59">
        <w:t>:</w:t>
      </w:r>
    </w:p>
    <w:p w14:paraId="267B5635" w14:textId="77777777" w:rsidR="00C50C59" w:rsidRPr="00C50C59" w:rsidRDefault="00C50C59" w:rsidP="00C50C59">
      <w:pPr>
        <w:pStyle w:val="paragraph"/>
      </w:pPr>
      <w:r>
        <w:tab/>
        <w:t>(a)</w:t>
      </w:r>
      <w:r>
        <w:tab/>
      </w:r>
      <w:r w:rsidRPr="00C50C59">
        <w:t xml:space="preserve">the investment strategy in respect of that financial year for the product </w:t>
      </w:r>
      <w:r>
        <w:t>does not accord</w:t>
      </w:r>
      <w:r w:rsidRPr="00C50C59">
        <w:t xml:space="preserve"> with faith-based principles; </w:t>
      </w:r>
      <w:r w:rsidR="009C6E36">
        <w:t>or</w:t>
      </w:r>
    </w:p>
    <w:p w14:paraId="64A6EC78" w14:textId="77777777" w:rsidR="00C50C59" w:rsidRPr="00C50C59" w:rsidRDefault="00C50C59" w:rsidP="00C50C59">
      <w:pPr>
        <w:pStyle w:val="paragraph"/>
      </w:pPr>
      <w:r w:rsidRPr="00C50C59">
        <w:lastRenderedPageBreak/>
        <w:tab/>
        <w:t>(</w:t>
      </w:r>
      <w:r>
        <w:t>b</w:t>
      </w:r>
      <w:r w:rsidRPr="00C50C59">
        <w:t>)</w:t>
      </w:r>
      <w:r w:rsidRPr="00C50C59">
        <w:tab/>
        <w:t>th</w:t>
      </w:r>
      <w:r>
        <w:t>at</w:t>
      </w:r>
      <w:r w:rsidRPr="00C50C59">
        <w:t xml:space="preserve"> investment strategy </w:t>
      </w:r>
      <w:r>
        <w:t xml:space="preserve">has not been disclosed </w:t>
      </w:r>
      <w:r w:rsidR="00FF3857" w:rsidRPr="00C50C59">
        <w:t>in</w:t>
      </w:r>
      <w:r w:rsidR="00FF3857">
        <w:t xml:space="preserve"> a document required under this Act or the </w:t>
      </w:r>
      <w:r w:rsidR="00FF3857" w:rsidRPr="00FF3857">
        <w:rPr>
          <w:i/>
        </w:rPr>
        <w:t>Corporations Act 2001</w:t>
      </w:r>
      <w:r w:rsidR="00FF3857">
        <w:t xml:space="preserve"> </w:t>
      </w:r>
      <w:r w:rsidR="00FF3857" w:rsidRPr="00C50C59">
        <w:t>to</w:t>
      </w:r>
      <w:r w:rsidR="00FF3857">
        <w:t xml:space="preserve"> be given to</w:t>
      </w:r>
      <w:r>
        <w:t xml:space="preserve"> </w:t>
      </w:r>
      <w:r w:rsidRPr="00C50C59">
        <w:t xml:space="preserve">each beneficiary of the entity who holds the product in that financial year; </w:t>
      </w:r>
      <w:r w:rsidR="009C6E36">
        <w:t>or</w:t>
      </w:r>
    </w:p>
    <w:p w14:paraId="72CAA0CA" w14:textId="77777777" w:rsidR="00C50C59" w:rsidRDefault="00C50C59" w:rsidP="00C50C59">
      <w:pPr>
        <w:pStyle w:val="paragraph"/>
      </w:pPr>
      <w:r w:rsidRPr="00C50C59">
        <w:tab/>
        <w:t>(</w:t>
      </w:r>
      <w:r>
        <w:t>c</w:t>
      </w:r>
      <w:r w:rsidRPr="00C50C59">
        <w:t>)</w:t>
      </w:r>
      <w:r w:rsidRPr="00C50C59">
        <w:tab/>
        <w:t>th</w:t>
      </w:r>
      <w:r>
        <w:t>at</w:t>
      </w:r>
      <w:r w:rsidRPr="00C50C59">
        <w:t xml:space="preserve"> investment strategy </w:t>
      </w:r>
      <w:r>
        <w:t xml:space="preserve">has </w:t>
      </w:r>
      <w:r w:rsidR="009C6E36">
        <w:t xml:space="preserve">not </w:t>
      </w:r>
      <w:r>
        <w:t>been disclose</w:t>
      </w:r>
      <w:r w:rsidR="00FF3857">
        <w:t xml:space="preserve">d </w:t>
      </w:r>
      <w:r>
        <w:t xml:space="preserve">in the entity’s marketing materials; </w:t>
      </w:r>
      <w:r w:rsidR="009C6E36">
        <w:t>or</w:t>
      </w:r>
    </w:p>
    <w:p w14:paraId="6287667C" w14:textId="77777777" w:rsidR="009C6E36" w:rsidRDefault="009C6E36" w:rsidP="00C50C59">
      <w:pPr>
        <w:pStyle w:val="paragraph"/>
      </w:pPr>
      <w:r>
        <w:tab/>
        <w:t>(d)</w:t>
      </w:r>
      <w:r>
        <w:tab/>
        <w:t>the trustee or trustees of the entity have not complied with section 60Q (provision of information).</w:t>
      </w:r>
    </w:p>
    <w:p w14:paraId="7F737BAF" w14:textId="77777777" w:rsidR="005F417D" w:rsidRDefault="005F417D" w:rsidP="00450A44">
      <w:pPr>
        <w:pStyle w:val="subsection"/>
      </w:pPr>
      <w:r>
        <w:tab/>
        <w:t>(2)</w:t>
      </w:r>
      <w:r>
        <w:tab/>
        <w:t>The revocation must:</w:t>
      </w:r>
    </w:p>
    <w:p w14:paraId="0C5CE436" w14:textId="77777777" w:rsidR="005F417D" w:rsidRDefault="005F417D" w:rsidP="005F417D">
      <w:pPr>
        <w:pStyle w:val="paragraph"/>
      </w:pPr>
      <w:r>
        <w:tab/>
        <w:t>(a)</w:t>
      </w:r>
      <w:r>
        <w:tab/>
        <w:t>be in writing; and</w:t>
      </w:r>
    </w:p>
    <w:p w14:paraId="62AB9400" w14:textId="77777777" w:rsidR="005F417D" w:rsidRDefault="005F417D" w:rsidP="005F417D">
      <w:pPr>
        <w:pStyle w:val="paragraph"/>
      </w:pPr>
      <w:r>
        <w:tab/>
        <w:t>(b)</w:t>
      </w:r>
      <w:r>
        <w:tab/>
        <w:t>specify the Part 6A product in relation to the financial year.</w:t>
      </w:r>
    </w:p>
    <w:p w14:paraId="6B59C087" w14:textId="77777777" w:rsidR="005F417D" w:rsidRPr="005F417D" w:rsidRDefault="005F417D" w:rsidP="005F417D">
      <w:pPr>
        <w:pStyle w:val="subsection"/>
      </w:pPr>
      <w:r>
        <w:tab/>
        <w:t>(3)</w:t>
      </w:r>
      <w:r>
        <w:tab/>
        <w:t>The revocation can</w:t>
      </w:r>
      <w:r w:rsidR="000B1B3B">
        <w:t>not</w:t>
      </w:r>
      <w:r>
        <w:t xml:space="preserve"> be made </w:t>
      </w:r>
      <w:r w:rsidR="000B1B3B">
        <w:t xml:space="preserve">after </w:t>
      </w:r>
      <w:r w:rsidR="000B1B3B" w:rsidRPr="009C6E36">
        <w:t>31 August</w:t>
      </w:r>
      <w:r w:rsidR="000B1B3B">
        <w:t xml:space="preserve"> in the following financial year.</w:t>
      </w:r>
      <w:r>
        <w:t xml:space="preserve"> </w:t>
      </w:r>
    </w:p>
    <w:p w14:paraId="6D3BF6E6" w14:textId="77777777" w:rsidR="005E4BF3" w:rsidRDefault="005E4BF3" w:rsidP="005E4BF3">
      <w:pPr>
        <w:pStyle w:val="subsection"/>
      </w:pPr>
      <w:r w:rsidRPr="005E4BF3">
        <w:tab/>
        <w:t>(</w:t>
      </w:r>
      <w:r>
        <w:t>4</w:t>
      </w:r>
      <w:r w:rsidRPr="005E4BF3">
        <w:t>)</w:t>
      </w:r>
      <w:r w:rsidRPr="005E4BF3">
        <w:tab/>
      </w:r>
      <w:r>
        <w:t>This section</w:t>
      </w:r>
      <w:r w:rsidRPr="005E4BF3">
        <w:t xml:space="preserve"> does not, by implication, limit the application of subsection 33(3) of the </w:t>
      </w:r>
      <w:r w:rsidRPr="005E4BF3">
        <w:rPr>
          <w:i/>
        </w:rPr>
        <w:t>Acts Interpretation Act 1901</w:t>
      </w:r>
      <w:r>
        <w:t xml:space="preserve"> to a determination under subsection 60L(</w:t>
      </w:r>
      <w:r w:rsidR="00AE4312">
        <w:t>4</w:t>
      </w:r>
      <w:r>
        <w:t>) (including a determination taken to be made because of subsection 60M(</w:t>
      </w:r>
      <w:r w:rsidR="00AE4312">
        <w:t>2</w:t>
      </w:r>
      <w:r>
        <w:t>))</w:t>
      </w:r>
      <w:r w:rsidRPr="005E4BF3">
        <w:t>.</w:t>
      </w:r>
    </w:p>
    <w:p w14:paraId="307BB923" w14:textId="77777777" w:rsidR="003048F0" w:rsidRDefault="003048F0" w:rsidP="003048F0">
      <w:pPr>
        <w:pStyle w:val="ActHead5"/>
      </w:pPr>
      <w:r w:rsidRPr="00BF1BE8">
        <w:rPr>
          <w:rStyle w:val="CharSectno"/>
        </w:rPr>
        <w:t>60</w:t>
      </w:r>
      <w:r w:rsidR="00A608F0" w:rsidRPr="00BF1BE8">
        <w:rPr>
          <w:rStyle w:val="CharSectno"/>
        </w:rPr>
        <w:t>O</w:t>
      </w:r>
      <w:r>
        <w:t xml:space="preserve">  Faith-based products—modification of process for annual performance assessments</w:t>
      </w:r>
    </w:p>
    <w:p w14:paraId="157A36A1" w14:textId="77777777" w:rsidR="003048F0" w:rsidRDefault="003048F0" w:rsidP="003048F0">
      <w:pPr>
        <w:pStyle w:val="subsection"/>
      </w:pPr>
      <w:r>
        <w:tab/>
        <w:t>(1)</w:t>
      </w:r>
      <w:r>
        <w:tab/>
        <w:t>This section applies if:</w:t>
      </w:r>
    </w:p>
    <w:p w14:paraId="0C8E79D6" w14:textId="77777777" w:rsidR="003048F0" w:rsidRPr="003048F0" w:rsidRDefault="003048F0" w:rsidP="003048F0">
      <w:pPr>
        <w:pStyle w:val="paragraph"/>
      </w:pPr>
      <w:r w:rsidRPr="003048F0">
        <w:tab/>
        <w:t>(a)</w:t>
      </w:r>
      <w:r w:rsidRPr="003048F0">
        <w:tab/>
        <w:t xml:space="preserve">APRA </w:t>
      </w:r>
      <w:r w:rsidR="000239C0">
        <w:t xml:space="preserve">is required under </w:t>
      </w:r>
      <w:r w:rsidR="000239C0" w:rsidRPr="003048F0">
        <w:t>subsection 60C(</w:t>
      </w:r>
      <w:r w:rsidR="000239C0">
        <w:t>3</w:t>
      </w:r>
      <w:r w:rsidR="000239C0" w:rsidRPr="003048F0">
        <w:t>)</w:t>
      </w:r>
      <w:r w:rsidR="000239C0">
        <w:t xml:space="preserve"> to </w:t>
      </w:r>
      <w:r w:rsidRPr="003048F0">
        <w:t>give the trustee or trustees of an entity a notification of a determination under subsection 60C(2)</w:t>
      </w:r>
      <w:r w:rsidR="0084053E">
        <w:t xml:space="preserve"> (the </w:t>
      </w:r>
      <w:r w:rsidR="0084053E" w:rsidRPr="0084053E">
        <w:rPr>
          <w:b/>
          <w:i/>
        </w:rPr>
        <w:t>original determination</w:t>
      </w:r>
      <w:r w:rsidR="0084053E">
        <w:t>)</w:t>
      </w:r>
      <w:r w:rsidRPr="003048F0">
        <w:t>; and</w:t>
      </w:r>
    </w:p>
    <w:p w14:paraId="50E4B4D3" w14:textId="77777777" w:rsidR="003048F0" w:rsidRDefault="003048F0" w:rsidP="003048F0">
      <w:pPr>
        <w:pStyle w:val="paragraph"/>
      </w:pPr>
      <w:r w:rsidRPr="003048F0">
        <w:tab/>
        <w:t>(b)</w:t>
      </w:r>
      <w:r w:rsidRPr="003048F0">
        <w:tab/>
        <w:t xml:space="preserve">the </w:t>
      </w:r>
      <w:r w:rsidR="0084053E">
        <w:t xml:space="preserve">original </w:t>
      </w:r>
      <w:r w:rsidRPr="003048F0">
        <w:t xml:space="preserve">determination is that the requirement in subsection 60D(1) has not been met for a </w:t>
      </w:r>
      <w:r>
        <w:t xml:space="preserve">faith-based </w:t>
      </w:r>
      <w:r w:rsidRPr="003048F0">
        <w:t>product offered by the entity, in relation to a financial year</w:t>
      </w:r>
      <w:r w:rsidR="00212B0C">
        <w:t>; and</w:t>
      </w:r>
    </w:p>
    <w:p w14:paraId="70F9D153" w14:textId="77777777" w:rsidR="00212B0C" w:rsidRDefault="00212B0C" w:rsidP="003048F0">
      <w:pPr>
        <w:pStyle w:val="paragraph"/>
      </w:pPr>
      <w:r>
        <w:tab/>
        <w:t>(c)</w:t>
      </w:r>
      <w:r>
        <w:tab/>
        <w:t>the original determination is not a determination that APRA is required to make under subsection (3).</w:t>
      </w:r>
    </w:p>
    <w:p w14:paraId="3AE052B7" w14:textId="77777777" w:rsidR="00A40F7C" w:rsidRDefault="003048F0" w:rsidP="003048F0">
      <w:pPr>
        <w:pStyle w:val="subsection"/>
      </w:pPr>
      <w:r>
        <w:tab/>
        <w:t>(2)</w:t>
      </w:r>
      <w:r>
        <w:tab/>
      </w:r>
      <w:r w:rsidR="00A40F7C">
        <w:t xml:space="preserve">The following provisions do not apply in relation to the </w:t>
      </w:r>
      <w:r w:rsidR="00212B0C">
        <w:t>original determination</w:t>
      </w:r>
      <w:r w:rsidR="00A40F7C">
        <w:t>:</w:t>
      </w:r>
    </w:p>
    <w:p w14:paraId="4AD2102B" w14:textId="77777777" w:rsidR="003048F0" w:rsidRDefault="00A40F7C" w:rsidP="00A40F7C">
      <w:pPr>
        <w:pStyle w:val="paragraph"/>
      </w:pPr>
      <w:r>
        <w:tab/>
        <w:t>(a)</w:t>
      </w:r>
      <w:r>
        <w:tab/>
        <w:t xml:space="preserve">subsection </w:t>
      </w:r>
      <w:r w:rsidR="003048F0" w:rsidRPr="003048F0">
        <w:t>60C(</w:t>
      </w:r>
      <w:r w:rsidR="003048F0">
        <w:t>5) (publication on APRA website of assessment)</w:t>
      </w:r>
      <w:r>
        <w:t>;</w:t>
      </w:r>
    </w:p>
    <w:p w14:paraId="77C32BB7" w14:textId="77777777" w:rsidR="00A40F7C" w:rsidRDefault="00A40F7C" w:rsidP="00A40F7C">
      <w:pPr>
        <w:pStyle w:val="paragraph"/>
      </w:pPr>
      <w:r>
        <w:tab/>
        <w:t>(b)</w:t>
      </w:r>
      <w:r>
        <w:tab/>
        <w:t>section 60E (Trustee to notify beneficiaries of fail assessment);</w:t>
      </w:r>
    </w:p>
    <w:p w14:paraId="1571137A" w14:textId="77777777" w:rsidR="00A40F7C" w:rsidRDefault="00A40F7C" w:rsidP="00A40F7C">
      <w:pPr>
        <w:pStyle w:val="paragraph"/>
      </w:pPr>
      <w:r>
        <w:tab/>
        <w:t>(b)</w:t>
      </w:r>
      <w:r>
        <w:tab/>
        <w:t>section 60</w:t>
      </w:r>
      <w:r w:rsidR="000237C9">
        <w:t>F</w:t>
      </w:r>
      <w:r>
        <w:t xml:space="preserve"> (</w:t>
      </w:r>
      <w:r w:rsidR="000237C9">
        <w:t>Consequences of 2 consecutive fail assessments</w:t>
      </w:r>
      <w:r>
        <w:t>)</w:t>
      </w:r>
      <w:r w:rsidR="000237C9">
        <w:t>.</w:t>
      </w:r>
    </w:p>
    <w:p w14:paraId="2E04FCDF" w14:textId="77777777" w:rsidR="009A3768" w:rsidRDefault="003048F0" w:rsidP="003048F0">
      <w:pPr>
        <w:pStyle w:val="subsection"/>
      </w:pPr>
      <w:r>
        <w:lastRenderedPageBreak/>
        <w:tab/>
        <w:t>(3)</w:t>
      </w:r>
      <w:r>
        <w:tab/>
      </w:r>
      <w:r w:rsidR="00464708">
        <w:t xml:space="preserve">In addition to the determination mentioned in subsection (1), </w:t>
      </w:r>
      <w:r w:rsidR="009A3768">
        <w:t xml:space="preserve">APRA must make another determination </w:t>
      </w:r>
      <w:r w:rsidR="002759D4">
        <w:t xml:space="preserve">(the </w:t>
      </w:r>
      <w:r w:rsidR="007518C3">
        <w:rPr>
          <w:b/>
          <w:i/>
        </w:rPr>
        <w:t>supplementary determination</w:t>
      </w:r>
      <w:r w:rsidR="002759D4">
        <w:t xml:space="preserve">) </w:t>
      </w:r>
      <w:r w:rsidR="00FB5E14">
        <w:t xml:space="preserve">for the product </w:t>
      </w:r>
      <w:r w:rsidR="009A3768">
        <w:t>under</w:t>
      </w:r>
      <w:r w:rsidR="009A3768" w:rsidRPr="003048F0">
        <w:t xml:space="preserve"> subsection 60C(2)</w:t>
      </w:r>
      <w:r w:rsidR="009A3768">
        <w:t xml:space="preserve"> in relation to the financial year.</w:t>
      </w:r>
    </w:p>
    <w:p w14:paraId="1065D0C7" w14:textId="77777777" w:rsidR="0084053E" w:rsidRDefault="0084053E" w:rsidP="0084053E">
      <w:pPr>
        <w:pStyle w:val="subsection"/>
      </w:pPr>
      <w:r>
        <w:tab/>
        <w:t>(</w:t>
      </w:r>
      <w:r w:rsidR="00212B0C">
        <w:t>4</w:t>
      </w:r>
      <w:r>
        <w:t>)</w:t>
      </w:r>
      <w:r>
        <w:tab/>
        <w:t>Subsection (2) does not apply in relation to the notification given by APRA under subsection 60C(3) that results from the supplementary determination.</w:t>
      </w:r>
    </w:p>
    <w:p w14:paraId="2D072CFF" w14:textId="77777777" w:rsidR="0084053E" w:rsidRDefault="0084053E" w:rsidP="0084053E">
      <w:pPr>
        <w:pStyle w:val="notetext"/>
      </w:pPr>
      <w:r>
        <w:t>Note:</w:t>
      </w:r>
      <w:r>
        <w:tab/>
        <w:t>This means that:</w:t>
      </w:r>
    </w:p>
    <w:p w14:paraId="07561027" w14:textId="77777777" w:rsidR="0084053E" w:rsidRDefault="0084053E" w:rsidP="0084053E">
      <w:pPr>
        <w:pStyle w:val="notepara"/>
      </w:pPr>
      <w:r>
        <w:t>(a)</w:t>
      </w:r>
      <w:r>
        <w:tab/>
        <w:t xml:space="preserve">APRA must ensure the publication of the contents of the notice in accordance with subsection </w:t>
      </w:r>
      <w:r w:rsidRPr="003048F0">
        <w:t>60C(</w:t>
      </w:r>
      <w:r>
        <w:t>5); and</w:t>
      </w:r>
    </w:p>
    <w:p w14:paraId="0BB64FA9" w14:textId="77777777" w:rsidR="0084053E" w:rsidRDefault="0084053E" w:rsidP="0084053E">
      <w:pPr>
        <w:pStyle w:val="notepara"/>
      </w:pPr>
      <w:r>
        <w:t>(b)</w:t>
      </w:r>
      <w:r>
        <w:tab/>
        <w:t>if the notice is a fail notice, the consequences set out in sections 60E and 60F will apply.</w:t>
      </w:r>
    </w:p>
    <w:p w14:paraId="6C1AAF4E" w14:textId="77777777" w:rsidR="00212B0C" w:rsidRDefault="00212B0C" w:rsidP="00212B0C">
      <w:pPr>
        <w:pStyle w:val="subsection"/>
      </w:pPr>
      <w:r>
        <w:tab/>
        <w:t>(5)</w:t>
      </w:r>
      <w:r>
        <w:tab/>
        <w:t>Without limiting subsection</w:t>
      </w:r>
      <w:r w:rsidRPr="003048F0">
        <w:t xml:space="preserve"> 60</w:t>
      </w:r>
      <w:r>
        <w:t>C</w:t>
      </w:r>
      <w:r w:rsidRPr="003048F0">
        <w:t>(</w:t>
      </w:r>
      <w:r>
        <w:t>4</w:t>
      </w:r>
      <w:r w:rsidRPr="003048F0">
        <w:t>)</w:t>
      </w:r>
      <w:r>
        <w:t xml:space="preserve">, regulations made for the purposes of that subsection may set out special rules for working out the period within which </w:t>
      </w:r>
      <w:r w:rsidRPr="007B7E32">
        <w:t>APRA must</w:t>
      </w:r>
      <w:r>
        <w:t>:</w:t>
      </w:r>
    </w:p>
    <w:p w14:paraId="56C423EB" w14:textId="77777777" w:rsidR="00212B0C" w:rsidRDefault="00212B0C" w:rsidP="00212B0C">
      <w:pPr>
        <w:pStyle w:val="paragraph"/>
      </w:pPr>
      <w:r>
        <w:tab/>
        <w:t>(a)</w:t>
      </w:r>
      <w:r>
        <w:tab/>
      </w:r>
      <w:r w:rsidRPr="007B7E32">
        <w:t>give the notification</w:t>
      </w:r>
      <w:r>
        <w:t xml:space="preserve"> under subsection 60C(3) that results from </w:t>
      </w:r>
      <w:r w:rsidRPr="007B7E32">
        <w:t xml:space="preserve">the </w:t>
      </w:r>
      <w:r>
        <w:t>original determination; and</w:t>
      </w:r>
    </w:p>
    <w:p w14:paraId="3DA2CD75" w14:textId="77777777" w:rsidR="00212B0C" w:rsidRDefault="00212B0C" w:rsidP="00212B0C">
      <w:pPr>
        <w:pStyle w:val="paragraph"/>
      </w:pPr>
      <w:r>
        <w:tab/>
        <w:t>(a)</w:t>
      </w:r>
      <w:r>
        <w:tab/>
      </w:r>
      <w:r w:rsidRPr="007B7E32">
        <w:t xml:space="preserve">make </w:t>
      </w:r>
      <w:r>
        <w:t>the supplementary determination;</w:t>
      </w:r>
      <w:r w:rsidRPr="007B7E32">
        <w:t xml:space="preserve"> and</w:t>
      </w:r>
    </w:p>
    <w:p w14:paraId="29B0C83D" w14:textId="77777777" w:rsidR="00212B0C" w:rsidRDefault="00212B0C" w:rsidP="00212B0C">
      <w:pPr>
        <w:pStyle w:val="paragraph"/>
      </w:pPr>
      <w:r>
        <w:tab/>
        <w:t>(b)</w:t>
      </w:r>
      <w:r>
        <w:tab/>
        <w:t>g</w:t>
      </w:r>
      <w:r w:rsidRPr="007B7E32">
        <w:t>ive the notification</w:t>
      </w:r>
      <w:r>
        <w:t xml:space="preserve"> under subsection 60C(3) that results from the supplementary determination.</w:t>
      </w:r>
    </w:p>
    <w:p w14:paraId="7DFE919D" w14:textId="77777777" w:rsidR="0084053E" w:rsidRDefault="0084053E" w:rsidP="0084053E">
      <w:pPr>
        <w:pStyle w:val="ActHead5"/>
      </w:pPr>
      <w:r w:rsidRPr="00BF1BE8">
        <w:rPr>
          <w:rStyle w:val="CharSectno"/>
        </w:rPr>
        <w:t>60</w:t>
      </w:r>
      <w:r w:rsidR="00A608F0" w:rsidRPr="00BF1BE8">
        <w:rPr>
          <w:rStyle w:val="CharSectno"/>
        </w:rPr>
        <w:t>P</w:t>
      </w:r>
      <w:r>
        <w:t xml:space="preserve">  Faith-based products—regulations relating to annual performance assessments for faith-based products</w:t>
      </w:r>
    </w:p>
    <w:p w14:paraId="2A2542DA" w14:textId="77777777" w:rsidR="00C45355" w:rsidRDefault="0076122F" w:rsidP="0076122F">
      <w:pPr>
        <w:pStyle w:val="subsection"/>
      </w:pPr>
      <w:r>
        <w:tab/>
        <w:t>(</w:t>
      </w:r>
      <w:r w:rsidR="0084053E">
        <w:t>1</w:t>
      </w:r>
      <w:r>
        <w:t>)</w:t>
      </w:r>
      <w:r>
        <w:tab/>
      </w:r>
      <w:r w:rsidR="005F48A6">
        <w:t>R</w:t>
      </w:r>
      <w:r w:rsidR="002327E8">
        <w:t>egulations made for the purposes of subsection</w:t>
      </w:r>
      <w:r w:rsidR="002327E8" w:rsidRPr="003048F0">
        <w:t xml:space="preserve"> 60D(1)</w:t>
      </w:r>
      <w:r w:rsidR="002327E8">
        <w:t xml:space="preserve"> may</w:t>
      </w:r>
      <w:r w:rsidR="00C45355">
        <w:t>:</w:t>
      </w:r>
    </w:p>
    <w:p w14:paraId="728260C3" w14:textId="77777777" w:rsidR="00462DF1" w:rsidRDefault="00C45355" w:rsidP="00C45355">
      <w:pPr>
        <w:pStyle w:val="paragraph"/>
      </w:pPr>
      <w:r>
        <w:tab/>
        <w:t>(a)</w:t>
      </w:r>
      <w:r>
        <w:tab/>
      </w:r>
      <w:r w:rsidR="002327E8">
        <w:t xml:space="preserve">specify requirements that relate only to </w:t>
      </w:r>
      <w:r w:rsidR="005F48A6">
        <w:t xml:space="preserve">a </w:t>
      </w:r>
      <w:r w:rsidR="007518C3">
        <w:t>supplementary determination</w:t>
      </w:r>
      <w:r w:rsidR="005F48A6">
        <w:t xml:space="preserve"> mentioned in subsection </w:t>
      </w:r>
      <w:r w:rsidR="0084053E">
        <w:t>60L</w:t>
      </w:r>
      <w:r w:rsidR="005F48A6">
        <w:t>(3)</w:t>
      </w:r>
      <w:r>
        <w:t>; and</w:t>
      </w:r>
    </w:p>
    <w:p w14:paraId="0EC70231" w14:textId="77777777" w:rsidR="00C45355" w:rsidRDefault="00C45355" w:rsidP="00C45355">
      <w:pPr>
        <w:pStyle w:val="paragraph"/>
      </w:pPr>
      <w:r>
        <w:tab/>
        <w:t>(b)</w:t>
      </w:r>
      <w:r>
        <w:tab/>
        <w:t xml:space="preserve">provide that other requirements do not apply to such a </w:t>
      </w:r>
      <w:r w:rsidR="00B5765E">
        <w:t xml:space="preserve">supplementary </w:t>
      </w:r>
      <w:r>
        <w:t>determination.</w:t>
      </w:r>
    </w:p>
    <w:p w14:paraId="03ABD444" w14:textId="77777777" w:rsidR="005F48A6" w:rsidRDefault="005F48A6" w:rsidP="005F48A6">
      <w:pPr>
        <w:pStyle w:val="subsection"/>
      </w:pPr>
      <w:r>
        <w:tab/>
        <w:t>(</w:t>
      </w:r>
      <w:r w:rsidR="0084053E">
        <w:t>2</w:t>
      </w:r>
      <w:r>
        <w:t>)</w:t>
      </w:r>
      <w:r>
        <w:tab/>
        <w:t>Subsection (</w:t>
      </w:r>
      <w:r w:rsidR="0084053E">
        <w:t>1</w:t>
      </w:r>
      <w:r>
        <w:t>) does not limit the scope of regulations that may be made for the purposes of subsection</w:t>
      </w:r>
      <w:r w:rsidRPr="003048F0">
        <w:t xml:space="preserve"> 60D(</w:t>
      </w:r>
      <w:r>
        <w:t>1</w:t>
      </w:r>
      <w:r w:rsidRPr="003048F0">
        <w:t>)</w:t>
      </w:r>
      <w:r>
        <w:t>.</w:t>
      </w:r>
    </w:p>
    <w:p w14:paraId="71FAEC99" w14:textId="77777777" w:rsidR="005F48A6" w:rsidRDefault="00452917" w:rsidP="00452917">
      <w:pPr>
        <w:pStyle w:val="subsection"/>
      </w:pPr>
      <w:r>
        <w:tab/>
        <w:t>(</w:t>
      </w:r>
      <w:r w:rsidR="0084053E">
        <w:t>3</w:t>
      </w:r>
      <w:r>
        <w:t>)</w:t>
      </w:r>
      <w:r>
        <w:tab/>
        <w:t>Without limiting subsection</w:t>
      </w:r>
      <w:r w:rsidRPr="003048F0">
        <w:t xml:space="preserve"> 60D(</w:t>
      </w:r>
      <w:r>
        <w:t>4</w:t>
      </w:r>
      <w:r w:rsidRPr="003048F0">
        <w:t>)</w:t>
      </w:r>
      <w:r>
        <w:t xml:space="preserve">, regulations </w:t>
      </w:r>
      <w:r w:rsidR="00DB02F8">
        <w:t>made for the purposes of subsection</w:t>
      </w:r>
      <w:r w:rsidR="00DB02F8" w:rsidRPr="003048F0">
        <w:t xml:space="preserve"> 60D(</w:t>
      </w:r>
      <w:r w:rsidR="00DB02F8">
        <w:t>1</w:t>
      </w:r>
      <w:r w:rsidR="00DB02F8" w:rsidRPr="003048F0">
        <w:t>)</w:t>
      </w:r>
      <w:r w:rsidR="00DB02F8">
        <w:t xml:space="preserve"> </w:t>
      </w:r>
      <w:r>
        <w:t xml:space="preserve">may specify requirements that depend on the exercise of discretion by APRA </w:t>
      </w:r>
      <w:r w:rsidR="001300E6">
        <w:t>in determining</w:t>
      </w:r>
      <w:r w:rsidR="00320929">
        <w:t xml:space="preserve"> an index </w:t>
      </w:r>
      <w:r w:rsidR="0025440B">
        <w:t xml:space="preserve">or indices </w:t>
      </w:r>
      <w:r w:rsidR="00320929">
        <w:t xml:space="preserve">in respect of </w:t>
      </w:r>
      <w:r>
        <w:t>a faith-based product, or a class of faith-based products, for a period.</w:t>
      </w:r>
    </w:p>
    <w:p w14:paraId="425396C1" w14:textId="77777777" w:rsidR="002E773A" w:rsidRDefault="002E773A" w:rsidP="002E773A">
      <w:pPr>
        <w:pStyle w:val="subsection"/>
      </w:pPr>
      <w:r>
        <w:tab/>
        <w:t>(4)</w:t>
      </w:r>
      <w:r>
        <w:tab/>
        <w:t>Without limiting subsections</w:t>
      </w:r>
      <w:r w:rsidRPr="003048F0">
        <w:t xml:space="preserve"> 60D</w:t>
      </w:r>
      <w:r>
        <w:t xml:space="preserve">(4) and </w:t>
      </w:r>
      <w:r w:rsidRPr="003048F0">
        <w:t>(</w:t>
      </w:r>
      <w:r>
        <w:t>5</w:t>
      </w:r>
      <w:r w:rsidRPr="003048F0">
        <w:t>)</w:t>
      </w:r>
      <w:r>
        <w:t>, regulations made for the purposes of subsection</w:t>
      </w:r>
      <w:r w:rsidRPr="003048F0">
        <w:t xml:space="preserve"> 60D(</w:t>
      </w:r>
      <w:r>
        <w:t>1</w:t>
      </w:r>
      <w:r w:rsidRPr="003048F0">
        <w:t>)</w:t>
      </w:r>
      <w:r>
        <w:t xml:space="preserve"> may provide that a discretion mentioned in subsection </w:t>
      </w:r>
      <w:r w:rsidRPr="003048F0">
        <w:t>60D</w:t>
      </w:r>
      <w:r>
        <w:t xml:space="preserve">(4) may be exercised in a way that </w:t>
      </w:r>
      <w:r>
        <w:lastRenderedPageBreak/>
        <w:t>allows for the determination of a benchmark return for a period where a relevant Part 6A product:</w:t>
      </w:r>
    </w:p>
    <w:p w14:paraId="1BCB369E" w14:textId="77777777" w:rsidR="002E773A" w:rsidRDefault="002E773A" w:rsidP="002E773A">
      <w:pPr>
        <w:pStyle w:val="paragraph"/>
      </w:pPr>
      <w:r>
        <w:tab/>
        <w:t>(a)</w:t>
      </w:r>
      <w:r>
        <w:tab/>
        <w:t>is a faith-based product for part or parts of the period; and</w:t>
      </w:r>
    </w:p>
    <w:p w14:paraId="5DFB1055" w14:textId="77777777" w:rsidR="002E773A" w:rsidRDefault="002E773A" w:rsidP="002E773A">
      <w:pPr>
        <w:pStyle w:val="paragraph"/>
      </w:pPr>
      <w:r>
        <w:tab/>
        <w:t>(b)</w:t>
      </w:r>
      <w:r>
        <w:tab/>
        <w:t>is not a faith-based product for the other part or parts of the period.</w:t>
      </w:r>
    </w:p>
    <w:p w14:paraId="03AE6AEB" w14:textId="77777777" w:rsidR="00DA41B1" w:rsidRPr="00212B0C" w:rsidRDefault="00DA41B1" w:rsidP="00DA41B1">
      <w:pPr>
        <w:pStyle w:val="ActHead5"/>
      </w:pPr>
      <w:r w:rsidRPr="00BF1BE8">
        <w:rPr>
          <w:rStyle w:val="CharSectno"/>
        </w:rPr>
        <w:t>60Q</w:t>
      </w:r>
      <w:r>
        <w:t xml:space="preserve">  Faith-based products—provision of information by trustee</w:t>
      </w:r>
    </w:p>
    <w:p w14:paraId="55486B46" w14:textId="77777777" w:rsidR="005647B3" w:rsidRDefault="00C43F75" w:rsidP="007518C3">
      <w:pPr>
        <w:pStyle w:val="subsection"/>
      </w:pPr>
      <w:r>
        <w:tab/>
        <w:t>(1)</w:t>
      </w:r>
      <w:r>
        <w:tab/>
      </w:r>
      <w:r w:rsidR="005647B3">
        <w:t>Subsection (2) applies if:</w:t>
      </w:r>
    </w:p>
    <w:p w14:paraId="56483538" w14:textId="77777777" w:rsidR="0084053E" w:rsidRDefault="005647B3" w:rsidP="005647B3">
      <w:pPr>
        <w:pStyle w:val="paragraph"/>
      </w:pPr>
      <w:r>
        <w:tab/>
        <w:t>(a)</w:t>
      </w:r>
      <w:r>
        <w:tab/>
        <w:t>an entity offers a faith-based product in relation to a financial year; and</w:t>
      </w:r>
    </w:p>
    <w:p w14:paraId="2B2E888D" w14:textId="77777777" w:rsidR="005647B3" w:rsidRDefault="005647B3" w:rsidP="005647B3">
      <w:pPr>
        <w:pStyle w:val="paragraph"/>
      </w:pPr>
      <w:r>
        <w:tab/>
        <w:t>(b)</w:t>
      </w:r>
      <w:r>
        <w:tab/>
        <w:t>information becomes available to a trustee of the entity at a time; and</w:t>
      </w:r>
    </w:p>
    <w:p w14:paraId="33394F95" w14:textId="77777777" w:rsidR="00252F4D" w:rsidRDefault="005647B3" w:rsidP="005647B3">
      <w:pPr>
        <w:pStyle w:val="paragraph"/>
      </w:pPr>
      <w:r>
        <w:tab/>
        <w:t>(c)</w:t>
      </w:r>
      <w:r>
        <w:tab/>
        <w:t>that information relates to the extent to which</w:t>
      </w:r>
      <w:r w:rsidR="00252F4D">
        <w:t>:</w:t>
      </w:r>
    </w:p>
    <w:p w14:paraId="38AED01C" w14:textId="77777777" w:rsidR="00252F4D" w:rsidRPr="00C50C59" w:rsidRDefault="00252F4D" w:rsidP="00252F4D">
      <w:pPr>
        <w:pStyle w:val="paragraphsub"/>
      </w:pPr>
      <w:r>
        <w:tab/>
        <w:t>(i)</w:t>
      </w:r>
      <w:r>
        <w:tab/>
      </w:r>
      <w:r w:rsidRPr="00C50C59">
        <w:t xml:space="preserve">the investment strategy in respect of that financial year for the product accords with faith-based principles; </w:t>
      </w:r>
      <w:r>
        <w:t>or</w:t>
      </w:r>
    </w:p>
    <w:p w14:paraId="257298DE" w14:textId="77777777" w:rsidR="00252F4D" w:rsidRPr="00C50C59" w:rsidRDefault="00252F4D" w:rsidP="00252F4D">
      <w:pPr>
        <w:pStyle w:val="paragraphsub"/>
      </w:pPr>
      <w:r w:rsidRPr="00C50C59">
        <w:tab/>
        <w:t>(</w:t>
      </w:r>
      <w:r>
        <w:t>ii</w:t>
      </w:r>
      <w:r w:rsidRPr="00C50C59">
        <w:t>)</w:t>
      </w:r>
      <w:r w:rsidRPr="00C50C59">
        <w:tab/>
        <w:t>th</w:t>
      </w:r>
      <w:r>
        <w:t>at</w:t>
      </w:r>
      <w:r w:rsidRPr="00C50C59">
        <w:t xml:space="preserve"> investment strategy </w:t>
      </w:r>
      <w:r>
        <w:t xml:space="preserve">has been disclosed </w:t>
      </w:r>
      <w:r w:rsidR="00AE4312" w:rsidRPr="00C50C59">
        <w:t>in</w:t>
      </w:r>
      <w:r w:rsidR="00AE4312">
        <w:t xml:space="preserve"> a document required under this Act or the </w:t>
      </w:r>
      <w:r w:rsidR="00AE4312" w:rsidRPr="00FF3857">
        <w:rPr>
          <w:i/>
        </w:rPr>
        <w:t>Corporations Act 2001</w:t>
      </w:r>
      <w:r w:rsidR="00AE4312">
        <w:t xml:space="preserve"> </w:t>
      </w:r>
      <w:r w:rsidR="00AE4312" w:rsidRPr="00C50C59">
        <w:t>to</w:t>
      </w:r>
      <w:r w:rsidR="00AE4312">
        <w:t xml:space="preserve"> be given to </w:t>
      </w:r>
      <w:r w:rsidRPr="00C50C59">
        <w:t xml:space="preserve">each beneficiary of the entity who holds the product in that financial year; </w:t>
      </w:r>
      <w:r>
        <w:t>or</w:t>
      </w:r>
    </w:p>
    <w:p w14:paraId="385F3632" w14:textId="77777777" w:rsidR="00252F4D" w:rsidRDefault="00252F4D" w:rsidP="00252F4D">
      <w:pPr>
        <w:pStyle w:val="paragraphsub"/>
      </w:pPr>
      <w:r w:rsidRPr="00C50C59">
        <w:tab/>
        <w:t>(ii</w:t>
      </w:r>
      <w:r>
        <w:t>i</w:t>
      </w:r>
      <w:r w:rsidRPr="00C50C59">
        <w:t>)</w:t>
      </w:r>
      <w:r w:rsidRPr="00C50C59">
        <w:tab/>
        <w:t>th</w:t>
      </w:r>
      <w:r>
        <w:t>at</w:t>
      </w:r>
      <w:r w:rsidRPr="00C50C59">
        <w:t xml:space="preserve"> investment strategy </w:t>
      </w:r>
      <w:r>
        <w:t>has been disclosed in the entity’s marketing materials; or</w:t>
      </w:r>
    </w:p>
    <w:p w14:paraId="37AEE2D3" w14:textId="77777777" w:rsidR="00320929" w:rsidRDefault="00252F4D" w:rsidP="005B1590">
      <w:pPr>
        <w:pStyle w:val="paragraphsub"/>
      </w:pPr>
      <w:r>
        <w:tab/>
        <w:t>(iv)</w:t>
      </w:r>
      <w:r>
        <w:tab/>
      </w:r>
      <w:r w:rsidR="005B1590" w:rsidRPr="005B1590">
        <w:t>the index or indices mentioned in paragraph 60L(2)(c) that were contained in the application under subsection 60L(1) in respect of the product are consistent with</w:t>
      </w:r>
      <w:r w:rsidR="00320929">
        <w:t xml:space="preserve"> </w:t>
      </w:r>
      <w:r w:rsidR="00320929" w:rsidRPr="00C50C59">
        <w:t>th</w:t>
      </w:r>
      <w:r w:rsidR="00320929">
        <w:t>at</w:t>
      </w:r>
      <w:r w:rsidR="00320929" w:rsidRPr="00C50C59">
        <w:t xml:space="preserve"> investment strategy</w:t>
      </w:r>
      <w:r w:rsidR="00320929">
        <w:t>.</w:t>
      </w:r>
    </w:p>
    <w:p w14:paraId="4B407724" w14:textId="77777777" w:rsidR="005647B3" w:rsidRDefault="005647B3" w:rsidP="005647B3">
      <w:pPr>
        <w:pStyle w:val="subsection"/>
      </w:pPr>
      <w:r>
        <w:tab/>
        <w:t>(2)</w:t>
      </w:r>
      <w:r>
        <w:tab/>
        <w:t>The trustee must give APRA the information as soon as practicable after the time mentioned in paragraph (1)(b).</w:t>
      </w:r>
    </w:p>
    <w:p w14:paraId="03278CA7" w14:textId="77777777" w:rsidR="005647B3" w:rsidRDefault="0006225C" w:rsidP="005647B3">
      <w:pPr>
        <w:pStyle w:val="subsection"/>
      </w:pPr>
      <w:r w:rsidRPr="0006225C">
        <w:tab/>
        <w:t>(3)</w:t>
      </w:r>
      <w:r w:rsidRPr="0006225C">
        <w:tab/>
        <w:t>Subsection</w:t>
      </w:r>
      <w:r>
        <w:t xml:space="preserve"> </w:t>
      </w:r>
      <w:r w:rsidRPr="0006225C">
        <w:t xml:space="preserve">(2) </w:t>
      </w:r>
      <w:r>
        <w:t>is a</w:t>
      </w:r>
      <w:r w:rsidRPr="0006225C">
        <w:t xml:space="preserve"> civil penalty provision as defined by section 193, and Part 21 therefore provides for civil and criminal consequences of contravening, or being involved in a contravention of, th</w:t>
      </w:r>
      <w:r>
        <w:t>at</w:t>
      </w:r>
      <w:r w:rsidRPr="0006225C">
        <w:t xml:space="preserve"> subsection.</w:t>
      </w:r>
    </w:p>
    <w:p w14:paraId="1F4B9DB7" w14:textId="77777777" w:rsidR="0006225C" w:rsidRDefault="0006225C" w:rsidP="0006225C">
      <w:pPr>
        <w:pStyle w:val="ItemHead"/>
      </w:pPr>
      <w:r>
        <w:t>3  After paragraph 193(ab)</w:t>
      </w:r>
    </w:p>
    <w:p w14:paraId="32EE2E0E" w14:textId="77777777" w:rsidR="0006225C" w:rsidRDefault="0006225C" w:rsidP="0006225C">
      <w:pPr>
        <w:pStyle w:val="Item"/>
      </w:pPr>
      <w:r>
        <w:t>Insert:</w:t>
      </w:r>
    </w:p>
    <w:p w14:paraId="76699EE2" w14:textId="77777777" w:rsidR="0006225C" w:rsidRPr="0006225C" w:rsidRDefault="0006225C" w:rsidP="0006225C">
      <w:pPr>
        <w:pStyle w:val="paragraph"/>
      </w:pPr>
      <w:r>
        <w:tab/>
        <w:t>(a</w:t>
      </w:r>
      <w:r w:rsidR="00FE0741">
        <w:t>c</w:t>
      </w:r>
      <w:r>
        <w:t>)</w:t>
      </w:r>
      <w:r>
        <w:tab/>
        <w:t>subsection 60Q(2);</w:t>
      </w:r>
    </w:p>
    <w:p w14:paraId="4D012F19" w14:textId="77777777" w:rsidR="001300E6" w:rsidRDefault="0006225C" w:rsidP="00E73C43">
      <w:pPr>
        <w:pStyle w:val="ItemHead"/>
      </w:pPr>
      <w:r>
        <w:t>4</w:t>
      </w:r>
      <w:r w:rsidR="00E73C43">
        <w:t xml:space="preserve">  Application</w:t>
      </w:r>
    </w:p>
    <w:p w14:paraId="4178BA9B" w14:textId="77777777" w:rsidR="00653212" w:rsidRDefault="00E73C43" w:rsidP="00252F4D">
      <w:pPr>
        <w:pStyle w:val="Item"/>
      </w:pPr>
      <w:r>
        <w:t xml:space="preserve">The amendments made by this Schedule apply on and after </w:t>
      </w:r>
      <w:r w:rsidR="00252F4D">
        <w:t>the commencement of this item.</w:t>
      </w:r>
    </w:p>
    <w:sectPr w:rsidR="00653212" w:rsidSect="00BD16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3E746" w14:textId="77777777" w:rsidR="00285739" w:rsidRDefault="00285739" w:rsidP="00664C63">
      <w:pPr>
        <w:spacing w:line="240" w:lineRule="auto"/>
      </w:pPr>
      <w:r>
        <w:separator/>
      </w:r>
    </w:p>
  </w:endnote>
  <w:endnote w:type="continuationSeparator" w:id="0">
    <w:p w14:paraId="43C76F5B" w14:textId="77777777" w:rsidR="00285739" w:rsidRDefault="00285739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3991" w14:textId="77777777" w:rsidR="00664C63" w:rsidRPr="00BB4623" w:rsidRDefault="00664C63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14:paraId="096D2D32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3C6B8F83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5E88" w14:textId="77777777" w:rsidR="0095602D" w:rsidRDefault="0095602D" w:rsidP="0095602D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14:paraId="6E3F2992" w14:textId="77777777" w:rsidTr="00A91C76">
      <w:trPr>
        <w:trHeight w:val="280"/>
      </w:trPr>
      <w:tc>
        <w:tcPr>
          <w:tcW w:w="7087" w:type="dxa"/>
        </w:tcPr>
        <w:p w14:paraId="54236DFB" w14:textId="77777777"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6E4AB2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14:paraId="6A719C60" w14:textId="77777777" w:rsidTr="00A91C76">
      <w:tc>
        <w:tcPr>
          <w:tcW w:w="7087" w:type="dxa"/>
        </w:tcPr>
        <w:p w14:paraId="082ABBC1" w14:textId="77777777"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2388F0BC" w14:textId="77777777" w:rsidR="00B3608C" w:rsidRPr="00BB4623" w:rsidRDefault="00931D06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72014E7" wp14:editId="44CEA68D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6FCD01" w14:textId="77777777" w:rsidR="00931D06" w:rsidRPr="00324EB0" w:rsidRDefault="00931D0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644C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264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264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644C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644C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644C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644C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014E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646FCD01" w14:textId="77777777" w:rsidR="00931D06" w:rsidRPr="00324EB0" w:rsidRDefault="00931D0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644CC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264A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264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644CC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644CC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644C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644C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F196" w14:textId="77777777" w:rsidR="00664C63" w:rsidRPr="00BB4623" w:rsidRDefault="00664C63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ADC3" w14:textId="77777777" w:rsidR="00285739" w:rsidRDefault="00285739" w:rsidP="00664C63">
      <w:pPr>
        <w:spacing w:line="240" w:lineRule="auto"/>
      </w:pPr>
      <w:r>
        <w:separator/>
      </w:r>
    </w:p>
  </w:footnote>
  <w:footnote w:type="continuationSeparator" w:id="0">
    <w:p w14:paraId="41C0C475" w14:textId="77777777" w:rsidR="00285739" w:rsidRDefault="00285739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F418" w14:textId="77777777" w:rsidR="00664C63" w:rsidRPr="00BB4623" w:rsidRDefault="00664C63" w:rsidP="00664C63">
    <w:pPr>
      <w:rPr>
        <w:sz w:val="24"/>
      </w:rPr>
    </w:pPr>
  </w:p>
  <w:p w14:paraId="0DC2F7FE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12C4" w14:textId="77777777" w:rsidR="00664C63" w:rsidRPr="00BB4623" w:rsidRDefault="00931D06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E090431" wp14:editId="0AF293E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857BF" w14:textId="7C7EA2E2" w:rsidR="00931D06" w:rsidRPr="00324EB0" w:rsidRDefault="00931D0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644C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264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264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644C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644C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644C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A7EB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90431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46D857BF" w14:textId="7C7EA2E2" w:rsidR="00931D06" w:rsidRPr="00324EB0" w:rsidRDefault="00931D0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644CC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264A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264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644CC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644CC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644C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A7EB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0ED991AB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A1DC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dgnword-docGUID" w:val="{8D626AF8-7DEF-40BC-AE40-6F555B6A8E5F}"/>
    <w:docVar w:name="dgnword-eventsink" w:val="901526008"/>
  </w:docVars>
  <w:rsids>
    <w:rsidRoot w:val="00CA1C2A"/>
    <w:rsid w:val="000136AF"/>
    <w:rsid w:val="00014B9A"/>
    <w:rsid w:val="000237C9"/>
    <w:rsid w:val="000239C0"/>
    <w:rsid w:val="000438A1"/>
    <w:rsid w:val="00055D20"/>
    <w:rsid w:val="000614BF"/>
    <w:rsid w:val="00061597"/>
    <w:rsid w:val="0006225C"/>
    <w:rsid w:val="00073C5A"/>
    <w:rsid w:val="00087033"/>
    <w:rsid w:val="0009641C"/>
    <w:rsid w:val="000B035D"/>
    <w:rsid w:val="000B1B3B"/>
    <w:rsid w:val="000C74F9"/>
    <w:rsid w:val="000D05EF"/>
    <w:rsid w:val="000D3899"/>
    <w:rsid w:val="000D3B6A"/>
    <w:rsid w:val="000F21C1"/>
    <w:rsid w:val="000F4126"/>
    <w:rsid w:val="000F5BAB"/>
    <w:rsid w:val="001016D1"/>
    <w:rsid w:val="0010240E"/>
    <w:rsid w:val="0010745C"/>
    <w:rsid w:val="0011206D"/>
    <w:rsid w:val="001300E6"/>
    <w:rsid w:val="00166C2F"/>
    <w:rsid w:val="00182C9A"/>
    <w:rsid w:val="0018435F"/>
    <w:rsid w:val="001939E1"/>
    <w:rsid w:val="00195382"/>
    <w:rsid w:val="001976DA"/>
    <w:rsid w:val="001B0F61"/>
    <w:rsid w:val="001C69C4"/>
    <w:rsid w:val="001E3590"/>
    <w:rsid w:val="001E7407"/>
    <w:rsid w:val="0021250A"/>
    <w:rsid w:val="00212B0C"/>
    <w:rsid w:val="002163BF"/>
    <w:rsid w:val="002277A0"/>
    <w:rsid w:val="002327E8"/>
    <w:rsid w:val="00235C2C"/>
    <w:rsid w:val="00240749"/>
    <w:rsid w:val="00252F4D"/>
    <w:rsid w:val="0025440B"/>
    <w:rsid w:val="002759D4"/>
    <w:rsid w:val="00285739"/>
    <w:rsid w:val="00296415"/>
    <w:rsid w:val="00297ECB"/>
    <w:rsid w:val="002B1D6F"/>
    <w:rsid w:val="002C085A"/>
    <w:rsid w:val="002D043A"/>
    <w:rsid w:val="002D32F3"/>
    <w:rsid w:val="002E773A"/>
    <w:rsid w:val="002F08B3"/>
    <w:rsid w:val="003048F0"/>
    <w:rsid w:val="00305C67"/>
    <w:rsid w:val="00313C6F"/>
    <w:rsid w:val="003153FF"/>
    <w:rsid w:val="00320929"/>
    <w:rsid w:val="0033411C"/>
    <w:rsid w:val="00334771"/>
    <w:rsid w:val="003415D3"/>
    <w:rsid w:val="00352B0F"/>
    <w:rsid w:val="00357B61"/>
    <w:rsid w:val="00361521"/>
    <w:rsid w:val="003B0F1E"/>
    <w:rsid w:val="003D0317"/>
    <w:rsid w:val="003D0BFE"/>
    <w:rsid w:val="003D2D96"/>
    <w:rsid w:val="003D5700"/>
    <w:rsid w:val="003F60D2"/>
    <w:rsid w:val="00402376"/>
    <w:rsid w:val="004043EE"/>
    <w:rsid w:val="0040616D"/>
    <w:rsid w:val="004116CD"/>
    <w:rsid w:val="00414E6C"/>
    <w:rsid w:val="004168B4"/>
    <w:rsid w:val="00417B9C"/>
    <w:rsid w:val="00424CA9"/>
    <w:rsid w:val="00427D10"/>
    <w:rsid w:val="0044291A"/>
    <w:rsid w:val="00444F88"/>
    <w:rsid w:val="00450A44"/>
    <w:rsid w:val="00452917"/>
    <w:rsid w:val="00456143"/>
    <w:rsid w:val="00462DF1"/>
    <w:rsid w:val="00464708"/>
    <w:rsid w:val="004849F1"/>
    <w:rsid w:val="00496007"/>
    <w:rsid w:val="00496F97"/>
    <w:rsid w:val="004C2460"/>
    <w:rsid w:val="004E3680"/>
    <w:rsid w:val="004F1D21"/>
    <w:rsid w:val="00506DE9"/>
    <w:rsid w:val="005104CE"/>
    <w:rsid w:val="00516B8D"/>
    <w:rsid w:val="00537FBC"/>
    <w:rsid w:val="00541E7D"/>
    <w:rsid w:val="00543850"/>
    <w:rsid w:val="005471F4"/>
    <w:rsid w:val="005647B3"/>
    <w:rsid w:val="00584052"/>
    <w:rsid w:val="00584811"/>
    <w:rsid w:val="00592EF9"/>
    <w:rsid w:val="00593AA6"/>
    <w:rsid w:val="00594161"/>
    <w:rsid w:val="00594749"/>
    <w:rsid w:val="005A6F34"/>
    <w:rsid w:val="005B1590"/>
    <w:rsid w:val="005B4067"/>
    <w:rsid w:val="005C3F41"/>
    <w:rsid w:val="005C5800"/>
    <w:rsid w:val="005D4DEA"/>
    <w:rsid w:val="005E4BF3"/>
    <w:rsid w:val="005F417D"/>
    <w:rsid w:val="005F48A6"/>
    <w:rsid w:val="00600219"/>
    <w:rsid w:val="00610F02"/>
    <w:rsid w:val="00611C2E"/>
    <w:rsid w:val="00616D11"/>
    <w:rsid w:val="006444FB"/>
    <w:rsid w:val="0065106B"/>
    <w:rsid w:val="006527A6"/>
    <w:rsid w:val="00653212"/>
    <w:rsid w:val="00664C63"/>
    <w:rsid w:val="00667890"/>
    <w:rsid w:val="00677CC2"/>
    <w:rsid w:val="00681A4A"/>
    <w:rsid w:val="0069207B"/>
    <w:rsid w:val="006B51F1"/>
    <w:rsid w:val="006C7F8C"/>
    <w:rsid w:val="006D3764"/>
    <w:rsid w:val="006D5C77"/>
    <w:rsid w:val="006E4AB2"/>
    <w:rsid w:val="00700B2C"/>
    <w:rsid w:val="00704C57"/>
    <w:rsid w:val="00713084"/>
    <w:rsid w:val="007173B8"/>
    <w:rsid w:val="00731E00"/>
    <w:rsid w:val="0073264A"/>
    <w:rsid w:val="00732A85"/>
    <w:rsid w:val="007440B7"/>
    <w:rsid w:val="007518C3"/>
    <w:rsid w:val="0075226A"/>
    <w:rsid w:val="00760BE2"/>
    <w:rsid w:val="0076122F"/>
    <w:rsid w:val="007627F4"/>
    <w:rsid w:val="007715C9"/>
    <w:rsid w:val="00771E21"/>
    <w:rsid w:val="00774EDD"/>
    <w:rsid w:val="007757EC"/>
    <w:rsid w:val="007763EE"/>
    <w:rsid w:val="00781FCD"/>
    <w:rsid w:val="007845BF"/>
    <w:rsid w:val="00795FCE"/>
    <w:rsid w:val="007A659A"/>
    <w:rsid w:val="007B081F"/>
    <w:rsid w:val="007B7E32"/>
    <w:rsid w:val="007E4CC8"/>
    <w:rsid w:val="00830815"/>
    <w:rsid w:val="00832333"/>
    <w:rsid w:val="0083611E"/>
    <w:rsid w:val="0084053E"/>
    <w:rsid w:val="008544D3"/>
    <w:rsid w:val="00855B0B"/>
    <w:rsid w:val="00856A31"/>
    <w:rsid w:val="008754D0"/>
    <w:rsid w:val="00883892"/>
    <w:rsid w:val="008A6470"/>
    <w:rsid w:val="008A7EB3"/>
    <w:rsid w:val="008C50BC"/>
    <w:rsid w:val="008D0EE0"/>
    <w:rsid w:val="008E05CA"/>
    <w:rsid w:val="00923670"/>
    <w:rsid w:val="00931D06"/>
    <w:rsid w:val="00932377"/>
    <w:rsid w:val="00932FA3"/>
    <w:rsid w:val="0095602D"/>
    <w:rsid w:val="009566CB"/>
    <w:rsid w:val="009620C2"/>
    <w:rsid w:val="009A3768"/>
    <w:rsid w:val="009C6E36"/>
    <w:rsid w:val="009D2613"/>
    <w:rsid w:val="00A120DD"/>
    <w:rsid w:val="00A231E2"/>
    <w:rsid w:val="00A25627"/>
    <w:rsid w:val="00A40F7C"/>
    <w:rsid w:val="00A415B9"/>
    <w:rsid w:val="00A54E13"/>
    <w:rsid w:val="00A55222"/>
    <w:rsid w:val="00A608F0"/>
    <w:rsid w:val="00A64912"/>
    <w:rsid w:val="00A671A5"/>
    <w:rsid w:val="00A70A74"/>
    <w:rsid w:val="00AA5445"/>
    <w:rsid w:val="00AB5A90"/>
    <w:rsid w:val="00AC3EA2"/>
    <w:rsid w:val="00AD27B3"/>
    <w:rsid w:val="00AD5641"/>
    <w:rsid w:val="00AD7B08"/>
    <w:rsid w:val="00AE4312"/>
    <w:rsid w:val="00AE59F7"/>
    <w:rsid w:val="00AE7BD7"/>
    <w:rsid w:val="00B05DED"/>
    <w:rsid w:val="00B26413"/>
    <w:rsid w:val="00B30BBF"/>
    <w:rsid w:val="00B33B3C"/>
    <w:rsid w:val="00B340B6"/>
    <w:rsid w:val="00B3608C"/>
    <w:rsid w:val="00B372A6"/>
    <w:rsid w:val="00B429C2"/>
    <w:rsid w:val="00B5765E"/>
    <w:rsid w:val="00B61C25"/>
    <w:rsid w:val="00B70E56"/>
    <w:rsid w:val="00B77FB2"/>
    <w:rsid w:val="00BC30F2"/>
    <w:rsid w:val="00BD1655"/>
    <w:rsid w:val="00BE2AEA"/>
    <w:rsid w:val="00BE719A"/>
    <w:rsid w:val="00BE720A"/>
    <w:rsid w:val="00BF1BE8"/>
    <w:rsid w:val="00BF2BE5"/>
    <w:rsid w:val="00C35E3A"/>
    <w:rsid w:val="00C42BF8"/>
    <w:rsid w:val="00C43F75"/>
    <w:rsid w:val="00C45355"/>
    <w:rsid w:val="00C50043"/>
    <w:rsid w:val="00C50C59"/>
    <w:rsid w:val="00C53114"/>
    <w:rsid w:val="00C723B9"/>
    <w:rsid w:val="00C7573B"/>
    <w:rsid w:val="00C77D10"/>
    <w:rsid w:val="00CA1C2A"/>
    <w:rsid w:val="00CB0EA8"/>
    <w:rsid w:val="00CC5980"/>
    <w:rsid w:val="00CC7A09"/>
    <w:rsid w:val="00CF0BB2"/>
    <w:rsid w:val="00CF4975"/>
    <w:rsid w:val="00CF49AC"/>
    <w:rsid w:val="00D13441"/>
    <w:rsid w:val="00D3213F"/>
    <w:rsid w:val="00D374CE"/>
    <w:rsid w:val="00D40252"/>
    <w:rsid w:val="00D42155"/>
    <w:rsid w:val="00D467B9"/>
    <w:rsid w:val="00D54C28"/>
    <w:rsid w:val="00D644CC"/>
    <w:rsid w:val="00D67311"/>
    <w:rsid w:val="00D70DFB"/>
    <w:rsid w:val="00D7186F"/>
    <w:rsid w:val="00D766DF"/>
    <w:rsid w:val="00D86365"/>
    <w:rsid w:val="00D9284D"/>
    <w:rsid w:val="00DA41B1"/>
    <w:rsid w:val="00DB02F8"/>
    <w:rsid w:val="00DD314D"/>
    <w:rsid w:val="00E03C89"/>
    <w:rsid w:val="00E05704"/>
    <w:rsid w:val="00E100E0"/>
    <w:rsid w:val="00E1363F"/>
    <w:rsid w:val="00E45505"/>
    <w:rsid w:val="00E54CAB"/>
    <w:rsid w:val="00E73C43"/>
    <w:rsid w:val="00E74DC7"/>
    <w:rsid w:val="00E85CB9"/>
    <w:rsid w:val="00E904E1"/>
    <w:rsid w:val="00E94998"/>
    <w:rsid w:val="00EA3ABA"/>
    <w:rsid w:val="00EB373F"/>
    <w:rsid w:val="00EB6B33"/>
    <w:rsid w:val="00EC1549"/>
    <w:rsid w:val="00ED1A6C"/>
    <w:rsid w:val="00ED28EF"/>
    <w:rsid w:val="00EE25A8"/>
    <w:rsid w:val="00EE6DCC"/>
    <w:rsid w:val="00EF2E3A"/>
    <w:rsid w:val="00EF5391"/>
    <w:rsid w:val="00F0132A"/>
    <w:rsid w:val="00F078DC"/>
    <w:rsid w:val="00F47220"/>
    <w:rsid w:val="00F5076A"/>
    <w:rsid w:val="00F565C9"/>
    <w:rsid w:val="00F71234"/>
    <w:rsid w:val="00F8103A"/>
    <w:rsid w:val="00FA3991"/>
    <w:rsid w:val="00FB5E14"/>
    <w:rsid w:val="00FC104F"/>
    <w:rsid w:val="00FE0741"/>
    <w:rsid w:val="00FF0CED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E9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5CB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5CB9"/>
  </w:style>
  <w:style w:type="paragraph" w:customStyle="1" w:styleId="OPCParaBase">
    <w:name w:val="OPCParaBase"/>
    <w:qFormat/>
    <w:rsid w:val="00E85CB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5CB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5CB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5CB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5CB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5CB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85CB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5CB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5CB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5CB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5CB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85CB9"/>
  </w:style>
  <w:style w:type="paragraph" w:customStyle="1" w:styleId="Blocks">
    <w:name w:val="Blocks"/>
    <w:aliases w:val="bb"/>
    <w:basedOn w:val="OPCParaBase"/>
    <w:qFormat/>
    <w:rsid w:val="00E85CB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5CB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5CB9"/>
    <w:rPr>
      <w:i/>
    </w:rPr>
  </w:style>
  <w:style w:type="paragraph" w:customStyle="1" w:styleId="BoxList">
    <w:name w:val="BoxList"/>
    <w:aliases w:val="bl"/>
    <w:basedOn w:val="BoxText"/>
    <w:qFormat/>
    <w:rsid w:val="00E85CB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5CB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5CB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5CB9"/>
    <w:pPr>
      <w:ind w:left="1985" w:hanging="851"/>
    </w:pPr>
  </w:style>
  <w:style w:type="character" w:customStyle="1" w:styleId="CharAmPartNo">
    <w:name w:val="CharAmPartNo"/>
    <w:basedOn w:val="OPCCharBase"/>
    <w:qFormat/>
    <w:rsid w:val="00E85CB9"/>
  </w:style>
  <w:style w:type="character" w:customStyle="1" w:styleId="CharAmPartText">
    <w:name w:val="CharAmPartText"/>
    <w:basedOn w:val="OPCCharBase"/>
    <w:qFormat/>
    <w:rsid w:val="00E85CB9"/>
  </w:style>
  <w:style w:type="character" w:customStyle="1" w:styleId="CharAmSchNo">
    <w:name w:val="CharAmSchNo"/>
    <w:basedOn w:val="OPCCharBase"/>
    <w:qFormat/>
    <w:rsid w:val="00E85CB9"/>
  </w:style>
  <w:style w:type="character" w:customStyle="1" w:styleId="CharAmSchText">
    <w:name w:val="CharAmSchText"/>
    <w:basedOn w:val="OPCCharBase"/>
    <w:qFormat/>
    <w:rsid w:val="00E85CB9"/>
  </w:style>
  <w:style w:type="character" w:customStyle="1" w:styleId="CharBoldItalic">
    <w:name w:val="CharBoldItalic"/>
    <w:basedOn w:val="OPCCharBase"/>
    <w:uiPriority w:val="1"/>
    <w:qFormat/>
    <w:rsid w:val="00E85CB9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5CB9"/>
  </w:style>
  <w:style w:type="character" w:customStyle="1" w:styleId="CharChapText">
    <w:name w:val="CharChapText"/>
    <w:basedOn w:val="OPCCharBase"/>
    <w:uiPriority w:val="1"/>
    <w:qFormat/>
    <w:rsid w:val="00E85CB9"/>
  </w:style>
  <w:style w:type="character" w:customStyle="1" w:styleId="CharDivNo">
    <w:name w:val="CharDivNo"/>
    <w:basedOn w:val="OPCCharBase"/>
    <w:uiPriority w:val="1"/>
    <w:qFormat/>
    <w:rsid w:val="00E85CB9"/>
  </w:style>
  <w:style w:type="character" w:customStyle="1" w:styleId="CharDivText">
    <w:name w:val="CharDivText"/>
    <w:basedOn w:val="OPCCharBase"/>
    <w:uiPriority w:val="1"/>
    <w:qFormat/>
    <w:rsid w:val="00E85CB9"/>
  </w:style>
  <w:style w:type="character" w:customStyle="1" w:styleId="CharItalic">
    <w:name w:val="CharItalic"/>
    <w:basedOn w:val="OPCCharBase"/>
    <w:uiPriority w:val="1"/>
    <w:qFormat/>
    <w:rsid w:val="00E85CB9"/>
    <w:rPr>
      <w:i/>
    </w:rPr>
  </w:style>
  <w:style w:type="character" w:customStyle="1" w:styleId="CharPartNo">
    <w:name w:val="CharPartNo"/>
    <w:basedOn w:val="OPCCharBase"/>
    <w:uiPriority w:val="1"/>
    <w:qFormat/>
    <w:rsid w:val="00E85CB9"/>
  </w:style>
  <w:style w:type="character" w:customStyle="1" w:styleId="CharPartText">
    <w:name w:val="CharPartText"/>
    <w:basedOn w:val="OPCCharBase"/>
    <w:uiPriority w:val="1"/>
    <w:qFormat/>
    <w:rsid w:val="00E85CB9"/>
  </w:style>
  <w:style w:type="character" w:customStyle="1" w:styleId="CharSectno">
    <w:name w:val="CharSectno"/>
    <w:basedOn w:val="OPCCharBase"/>
    <w:qFormat/>
    <w:rsid w:val="00E85CB9"/>
  </w:style>
  <w:style w:type="character" w:customStyle="1" w:styleId="CharSubdNo">
    <w:name w:val="CharSubdNo"/>
    <w:basedOn w:val="OPCCharBase"/>
    <w:uiPriority w:val="1"/>
    <w:qFormat/>
    <w:rsid w:val="00E85CB9"/>
  </w:style>
  <w:style w:type="character" w:customStyle="1" w:styleId="CharSubdText">
    <w:name w:val="CharSubdText"/>
    <w:basedOn w:val="OPCCharBase"/>
    <w:uiPriority w:val="1"/>
    <w:qFormat/>
    <w:rsid w:val="00E85CB9"/>
  </w:style>
  <w:style w:type="paragraph" w:customStyle="1" w:styleId="CTA--">
    <w:name w:val="CTA --"/>
    <w:basedOn w:val="OPCParaBase"/>
    <w:next w:val="Normal"/>
    <w:rsid w:val="00E85CB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5CB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5CB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5CB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5CB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5CB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5CB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5CB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5CB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5CB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5CB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5CB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5CB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5CB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85CB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5CB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85C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5CB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5C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5C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5CB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5CB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5CB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5CB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5CB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5CB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5CB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5CB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5CB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5CB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5CB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5CB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5CB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5CB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5CB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85CB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5CB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5CB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5CB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5CB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5CB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5CB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5CB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5CB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5CB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5CB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5CB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5CB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5CB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5CB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5CB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5CB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5CB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5CB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E85CB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85CB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5CB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5CB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5CB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5CB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5CB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5CB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5CB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85CB9"/>
    <w:rPr>
      <w:sz w:val="16"/>
    </w:rPr>
  </w:style>
  <w:style w:type="table" w:customStyle="1" w:styleId="CFlag">
    <w:name w:val="CFlag"/>
    <w:basedOn w:val="TableNormal"/>
    <w:uiPriority w:val="99"/>
    <w:rsid w:val="00E85CB9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29641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96415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85CB9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E85CB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85CB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5CB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5CB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5CB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5CB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5CB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5CB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5CB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5CB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85CB9"/>
  </w:style>
  <w:style w:type="character" w:customStyle="1" w:styleId="CharSubPartNoCASA">
    <w:name w:val="CharSubPartNo(CASA)"/>
    <w:basedOn w:val="OPCCharBase"/>
    <w:uiPriority w:val="1"/>
    <w:rsid w:val="00E85CB9"/>
  </w:style>
  <w:style w:type="paragraph" w:customStyle="1" w:styleId="ENoteTTIndentHeadingSub">
    <w:name w:val="ENoteTTIndentHeadingSub"/>
    <w:aliases w:val="enTTHis"/>
    <w:basedOn w:val="OPCParaBase"/>
    <w:rsid w:val="00E85CB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5CB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5CB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5CB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85CB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C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5CB9"/>
    <w:rPr>
      <w:sz w:val="22"/>
    </w:rPr>
  </w:style>
  <w:style w:type="paragraph" w:customStyle="1" w:styleId="SOTextNote">
    <w:name w:val="SO TextNote"/>
    <w:aliases w:val="sont"/>
    <w:basedOn w:val="SOText"/>
    <w:qFormat/>
    <w:rsid w:val="00E85CB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5CB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5CB9"/>
    <w:rPr>
      <w:sz w:val="22"/>
    </w:rPr>
  </w:style>
  <w:style w:type="paragraph" w:customStyle="1" w:styleId="FileName">
    <w:name w:val="FileName"/>
    <w:basedOn w:val="Normal"/>
    <w:rsid w:val="00E85CB9"/>
  </w:style>
  <w:style w:type="paragraph" w:customStyle="1" w:styleId="TableHeading">
    <w:name w:val="TableHeading"/>
    <w:aliases w:val="th"/>
    <w:basedOn w:val="OPCParaBase"/>
    <w:next w:val="Tabletext"/>
    <w:rsid w:val="00E85CB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5CB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5CB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5CB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5CB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5CB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5CB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5CB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5CB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5CB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85CB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E85CB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5CB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85CB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5CB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E85CB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5C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5C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5C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85CB9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E85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E85CB9"/>
  </w:style>
  <w:style w:type="paragraph" w:styleId="BalloonText">
    <w:name w:val="Balloon Text"/>
    <w:basedOn w:val="Normal"/>
    <w:link w:val="BalloonTextChar"/>
    <w:uiPriority w:val="99"/>
    <w:semiHidden/>
    <w:unhideWhenUsed/>
    <w:rsid w:val="00C35E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E3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57B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f563589-9cf9-4143-b1eb-fb0534803d38">
      <Value>27</Value>
    </TaxCatchAll>
    <_dlc_DocId xmlns="0f563589-9cf9-4143-b1eb-fb0534803d38">2022FG-219-2745</_dlc_DocId>
    <_dlc_DocIdUrl xmlns="0f563589-9cf9-4143-b1eb-fb0534803d38">
      <Url>http://tweb/sites/fg/ripd/member/_layouts/15/DocIdRedir.aspx?ID=2022FG-219-2745</Url>
      <Description>2022FG-219-2745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48D01E61E107C4DA4B97E380EA20D47|1757814118" UniqueId="2079b4ee-6208-4500-a6e7-1bf5637d01b9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48D01E61E107C4DA4B97E380EA20D4700586C412BF0B9014C8D889A6B3F3E3353" ma:contentTypeVersion="47861" ma:contentTypeDescription="" ma:contentTypeScope="" ma:versionID="5a9f060c7135ac72aa9ac57fc9b11061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http://schemas.microsoft.com/sharepoint/v4" targetNamespace="http://schemas.microsoft.com/office/2006/metadata/properties" ma:root="true" ma:fieldsID="c7d9ff16de52afc0073d7dbc742ded05" ns1:_="" ns2:_="" ns3:_="">
    <xsd:import namespace="http://schemas.microsoft.com/sharepoint/v3"/>
    <xsd:import namespace="0f563589-9cf9-4143-b1eb-fb0534803d3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1:_dlc_Exempt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ae0e000-2bfe-436e-bf3a-a243a28c1c18}" ma:internalName="TaxCatchAll" ma:showField="CatchAllData" ma:web="e544e5cc-ab70-42e1-849e-1a0f8bb1f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ae0e000-2bfe-436e-bf3a-a243a28c1c18}" ma:internalName="TaxCatchAllLabel" ma:readOnly="true" ma:showField="CatchAllDataLabel" ma:web="e544e5cc-ab70-42e1-849e-1a0f8bb1f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05CB2-572A-471B-A435-CB82880CF63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0f563589-9cf9-4143-b1eb-fb0534803d38"/>
  </ds:schemaRefs>
</ds:datastoreItem>
</file>

<file path=customXml/itemProps2.xml><?xml version="1.0" encoding="utf-8"?>
<ds:datastoreItem xmlns:ds="http://schemas.openxmlformats.org/officeDocument/2006/customXml" ds:itemID="{E347F3F2-9BC9-47F8-9BCC-2E0C9F022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232C1-67FE-4692-9ECE-DC9F9F369643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96CE56D-A60C-4541-AA9C-49DD2AF128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DB1A38-748B-4E7D-AA3D-0D80C4341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6</Pages>
  <Words>1447</Words>
  <Characters>7672</Characters>
  <Application>Microsoft Office Word</Application>
  <DocSecurity>2</DocSecurity>
  <PresentationFormat/>
  <Lines>207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(Measures for a later sitting) Bill 2022: Faith-based products</vt:lpstr>
    </vt:vector>
  </TitlesOfParts>
  <Manager/>
  <Company/>
  <LinksUpToDate>false</LinksUpToDate>
  <CharactersWithSpaces>9001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(Measures for a later sitting) Bill 2022: Faith-based products</dc:title>
  <dc:subject/>
  <dc:creator/>
  <cp:keywords/>
  <dc:description/>
  <cp:lastModifiedBy/>
  <cp:revision>1</cp:revision>
  <cp:lastPrinted>2022-07-14T04:25:00Z</cp:lastPrinted>
  <dcterms:created xsi:type="dcterms:W3CDTF">2022-07-15T03:02:00Z</dcterms:created>
  <dcterms:modified xsi:type="dcterms:W3CDTF">2022-07-18T01:08:00Z</dcterms:modified>
  <cp:category/>
  <cp:contentStatus/>
  <dc:language/>
  <cp:version/>
</cp:coreProperties>
</file>