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102553897" w:displacedByCustomXml="next"/>
    <w:bookmarkStart w:id="2" w:name="_Toc102551976" w:displacedByCustomXml="next"/>
    <w:bookmarkStart w:id="3" w:name="_Toc104034121" w:displacedByCustomXml="next"/>
    <w:sdt>
      <w:sdtPr>
        <w:rPr>
          <w:rFonts w:eastAsia="Times New Roman" w:cs="Times New Roman"/>
          <w:b w:val="0"/>
          <w:color w:val="auto"/>
          <w:spacing w:val="0"/>
          <w:kern w:val="0"/>
          <w:sz w:val="22"/>
          <w:szCs w:val="20"/>
        </w:rPr>
        <w:id w:val="-385645642"/>
        <w:docPartObj>
          <w:docPartGallery w:val="Cover Pages"/>
          <w:docPartUnique/>
        </w:docPartObj>
      </w:sdtPr>
      <w:sdtEndPr>
        <w:rPr>
          <w:rFonts w:asciiTheme="minorHAnsi" w:hAnsiTheme="minorHAnsi" w:cstheme="minorHAnsi"/>
          <w:noProof/>
          <w:color w:val="262626" w:themeColor="text1" w:themeTint="D9"/>
        </w:rPr>
      </w:sdtEndPr>
      <w:sdtContent>
        <w:bookmarkEnd w:id="3" w:displacedByCustomXml="prev"/>
        <w:bookmarkEnd w:id="2" w:displacedByCustomXml="prev"/>
        <w:bookmarkEnd w:id="1" w:displacedByCustomXml="prev"/>
        <w:p w14:paraId="01228277" w14:textId="225B182D" w:rsidR="00A537DF" w:rsidRPr="00D5286B" w:rsidRDefault="00CE4D94" w:rsidP="00FF4C02">
          <w:pPr>
            <w:pStyle w:val="Title"/>
            <w:contextualSpacing w:val="0"/>
          </w:pPr>
          <w:r w:rsidRPr="00D5286B">
            <w:t xml:space="preserve">Preparing a </w:t>
          </w:r>
          <w:r w:rsidRPr="00FF4C02">
            <w:t>payment</w:t>
          </w:r>
          <w:r w:rsidRPr="00D5286B">
            <w:t xml:space="preserve"> times report</w:t>
          </w:r>
          <w:r w:rsidR="00CC1F26">
            <w:t xml:space="preserve"> </w:t>
          </w:r>
          <w:r w:rsidR="00CC1F26" w:rsidRPr="00CC1F26">
            <w:rPr>
              <w:color w:val="FF0000"/>
            </w:rPr>
            <w:t>(DRAFT)</w:t>
          </w:r>
        </w:p>
        <w:p w14:paraId="0004A1C3" w14:textId="77777777" w:rsidR="00A55678" w:rsidRDefault="0046319C" w:rsidP="00CC1F26">
          <w:pPr>
            <w:pStyle w:val="Subtitle"/>
            <w:spacing w:before="80" w:after="80"/>
          </w:pPr>
          <w:bookmarkStart w:id="4" w:name="_Toc104034122"/>
          <w:r>
            <w:t xml:space="preserve">GUIDANCE NOTE 2 </w:t>
          </w:r>
          <w:bookmarkEnd w:id="4"/>
        </w:p>
        <w:p w14:paraId="16DA84BE" w14:textId="462F1D97" w:rsidR="00604EEF" w:rsidRPr="006079BC" w:rsidRDefault="0056160E" w:rsidP="00CC1F26">
          <w:pPr>
            <w:pStyle w:val="ReportDate"/>
            <w:tabs>
              <w:tab w:val="right" w:pos="9070"/>
            </w:tabs>
            <w:spacing w:before="120" w:after="0"/>
            <w:rPr>
              <w:rFonts w:asciiTheme="minorHAnsi" w:hAnsiTheme="minorHAnsi" w:cstheme="minorHAnsi"/>
            </w:rPr>
          </w:pPr>
          <w:r>
            <w:rPr>
              <w:rStyle w:val="ReportDateChar"/>
              <w:rFonts w:asciiTheme="minorHAnsi" w:hAnsiTheme="minorHAnsi" w:cstheme="minorHAnsi"/>
            </w:rPr>
            <w:t>Draft guidance issue</w:t>
          </w:r>
          <w:r w:rsidR="00176F85">
            <w:rPr>
              <w:rStyle w:val="ReportDateChar"/>
              <w:rFonts w:asciiTheme="minorHAnsi" w:hAnsiTheme="minorHAnsi" w:cstheme="minorHAnsi"/>
            </w:rPr>
            <w:t>d</w:t>
          </w:r>
          <w:r>
            <w:rPr>
              <w:rStyle w:val="ReportDateChar"/>
              <w:rFonts w:asciiTheme="minorHAnsi" w:hAnsiTheme="minorHAnsi" w:cstheme="minorHAnsi"/>
            </w:rPr>
            <w:t xml:space="preserve"> for public consultation on 22 July 2022</w:t>
          </w:r>
          <w:r w:rsidR="00C90DE2" w:rsidRPr="006079BC">
            <w:rPr>
              <w:rStyle w:val="ReportDateChar"/>
              <w:rFonts w:asciiTheme="minorHAnsi" w:hAnsiTheme="minorHAnsi" w:cstheme="minorHAnsi"/>
            </w:rPr>
            <w:tab/>
          </w:r>
        </w:p>
        <w:tbl>
          <w:tblPr>
            <w:tblStyle w:val="TableGrid"/>
            <w:tblpPr w:leftFromText="180" w:rightFromText="180" w:vertAnchor="page" w:horzAnchor="margin" w:tblpY="4563"/>
            <w:tblW w:w="0" w:type="auto"/>
            <w:tblCellMar>
              <w:top w:w="57" w:type="dxa"/>
              <w:bottom w:w="57" w:type="dxa"/>
            </w:tblCellMar>
            <w:tblLook w:val="04A0" w:firstRow="1" w:lastRow="0" w:firstColumn="1" w:lastColumn="0" w:noHBand="0" w:noVBand="1"/>
          </w:tblPr>
          <w:tblGrid>
            <w:gridCol w:w="9050"/>
          </w:tblGrid>
          <w:tr w:rsidR="00CC1F26" w14:paraId="01B31433" w14:textId="77777777" w:rsidTr="00CC1F26">
            <w:tc>
              <w:tcPr>
                <w:tcW w:w="0" w:type="auto"/>
                <w:tcBorders>
                  <w:top w:val="single" w:sz="6" w:space="0" w:color="auto"/>
                  <w:left w:val="single" w:sz="8" w:space="0" w:color="auto"/>
                  <w:bottom w:val="single" w:sz="6" w:space="0" w:color="auto"/>
                  <w:right w:val="single" w:sz="8" w:space="0" w:color="auto"/>
                </w:tcBorders>
                <w:shd w:val="clear" w:color="auto" w:fill="2C384A"/>
              </w:tcPr>
              <w:p w14:paraId="62340BBC" w14:textId="77777777" w:rsidR="00CC1F26" w:rsidRPr="00232088" w:rsidRDefault="00CC1F26" w:rsidP="00CC1F26">
                <w:pPr>
                  <w:pStyle w:val="Heading2"/>
                  <w:spacing w:before="0" w:after="0"/>
                  <w:outlineLvl w:val="1"/>
                </w:pPr>
                <w:bookmarkStart w:id="5" w:name="_Toc106733459"/>
                <w:bookmarkStart w:id="6" w:name="_Toc107838215"/>
                <w:bookmarkStart w:id="7" w:name="_Toc106733460"/>
                <w:r w:rsidRPr="00D11760">
                  <w:rPr>
                    <w:color w:val="FFFFFF" w:themeColor="background1"/>
                  </w:rPr>
                  <w:t>About this guidance note</w:t>
                </w:r>
                <w:bookmarkEnd w:id="5"/>
                <w:bookmarkEnd w:id="6"/>
                <w:r w:rsidRPr="007F5EA0">
                  <w:tab/>
                </w:r>
              </w:p>
            </w:tc>
          </w:tr>
          <w:tr w:rsidR="00CC1F26" w14:paraId="3173BD0B" w14:textId="77777777" w:rsidTr="00CC1F26">
            <w:tc>
              <w:tcPr>
                <w:tcW w:w="0" w:type="auto"/>
                <w:tcBorders>
                  <w:top w:val="single" w:sz="6" w:space="0" w:color="auto"/>
                  <w:left w:val="single" w:sz="8" w:space="0" w:color="auto"/>
                  <w:bottom w:val="single" w:sz="8" w:space="0" w:color="auto"/>
                  <w:right w:val="single" w:sz="8" w:space="0" w:color="auto"/>
                </w:tcBorders>
                <w:shd w:val="clear" w:color="auto" w:fill="FFFFFF" w:themeFill="background1"/>
              </w:tcPr>
              <w:p w14:paraId="4E1AA764" w14:textId="77777777" w:rsidR="00CC1F26" w:rsidRPr="007F5EA0" w:rsidRDefault="00CC1F26" w:rsidP="00CC1F26">
                <w:pPr>
                  <w:rPr>
                    <w:sz w:val="22"/>
                    <w:szCs w:val="22"/>
                  </w:rPr>
                </w:pPr>
                <w:r w:rsidRPr="007F5EA0">
                  <w:rPr>
                    <w:sz w:val="22"/>
                    <w:szCs w:val="22"/>
                  </w:rPr>
                  <w:t xml:space="preserve">This guide is for reporting entities under the </w:t>
                </w:r>
                <w:hyperlink r:id="rId8" w:history="1">
                  <w:r w:rsidRPr="007F5EA0">
                    <w:rPr>
                      <w:rStyle w:val="Hyperlink"/>
                      <w:i/>
                      <w:iCs/>
                      <w:sz w:val="22"/>
                      <w:szCs w:val="22"/>
                    </w:rPr>
                    <w:t>Payment Times Reporting Act 2020</w:t>
                  </w:r>
                </w:hyperlink>
                <w:r w:rsidRPr="007F5EA0">
                  <w:rPr>
                    <w:i/>
                    <w:iCs/>
                    <w:sz w:val="22"/>
                    <w:szCs w:val="22"/>
                  </w:rPr>
                  <w:t xml:space="preserve"> </w:t>
                </w:r>
                <w:r w:rsidRPr="007F5EA0">
                  <w:rPr>
                    <w:sz w:val="22"/>
                    <w:szCs w:val="22"/>
                  </w:rPr>
                  <w:t>(</w:t>
                </w:r>
                <w:r w:rsidRPr="00D11760">
                  <w:rPr>
                    <w:rStyle w:val="Strong"/>
                  </w:rPr>
                  <w:t>the Act</w:t>
                </w:r>
                <w:r w:rsidRPr="007F5EA0">
                  <w:rPr>
                    <w:sz w:val="22"/>
                    <w:szCs w:val="22"/>
                  </w:rPr>
                  <w:t>)</w:t>
                </w:r>
                <w:r w:rsidRPr="007F5EA0">
                  <w:rPr>
                    <w:i/>
                    <w:iCs/>
                    <w:sz w:val="22"/>
                    <w:szCs w:val="22"/>
                  </w:rPr>
                  <w:t xml:space="preserve">. </w:t>
                </w:r>
                <w:r w:rsidRPr="007F5EA0">
                  <w:rPr>
                    <w:sz w:val="22"/>
                    <w:szCs w:val="22"/>
                  </w:rPr>
                  <w:t>It provides guidance on how to prepare a payment times report.</w:t>
                </w:r>
              </w:p>
              <w:p w14:paraId="6F949061" w14:textId="77777777" w:rsidR="00CC1F26" w:rsidRPr="007F5EA0" w:rsidRDefault="00CC1F26" w:rsidP="00CC1F26">
                <w:pPr>
                  <w:rPr>
                    <w:sz w:val="22"/>
                    <w:szCs w:val="22"/>
                  </w:rPr>
                </w:pPr>
                <w:r w:rsidRPr="007F5EA0">
                  <w:rPr>
                    <w:sz w:val="22"/>
                    <w:szCs w:val="22"/>
                  </w:rPr>
                  <w:t xml:space="preserve">It may also help users of the Payment Times Reports Register to understand the calculations and basis for preparation of payment times reports. </w:t>
                </w:r>
              </w:p>
            </w:tc>
          </w:tr>
        </w:tbl>
        <w:p w14:paraId="59D53574" w14:textId="4FE163BA" w:rsidR="00DA0A99" w:rsidRPr="004E343F" w:rsidRDefault="009E16AB" w:rsidP="00CC1F26">
          <w:pPr>
            <w:pStyle w:val="Heading1"/>
            <w:spacing w:before="240"/>
          </w:pPr>
          <w:bookmarkStart w:id="8" w:name="_Toc107838216"/>
          <w:r w:rsidRPr="004E343F">
            <w:t>Our</w:t>
          </w:r>
          <w:r w:rsidR="00DA0A99" w:rsidRPr="004E343F">
            <w:t xml:space="preserve"> documents</w:t>
          </w:r>
          <w:bookmarkEnd w:id="7"/>
          <w:bookmarkEnd w:id="8"/>
        </w:p>
        <w:p w14:paraId="6B56CD1C" w14:textId="77777777" w:rsidR="00604B13" w:rsidRDefault="004A695F" w:rsidP="005E4B5D">
          <w:pPr>
            <w:spacing w:before="360"/>
          </w:pPr>
          <w:r>
            <w:t>We provide information to reporting entities and other stakeholders to</w:t>
          </w:r>
          <w:r w:rsidR="00604B13">
            <w:t>:</w:t>
          </w:r>
        </w:p>
        <w:p w14:paraId="4D9A0E70" w14:textId="6295CBFB" w:rsidR="00604B13" w:rsidRDefault="00323ECB" w:rsidP="00D11760">
          <w:pPr>
            <w:pStyle w:val="ListParagraph"/>
          </w:pPr>
          <w:r>
            <w:t>allow contribution to policy development</w:t>
          </w:r>
        </w:p>
        <w:p w14:paraId="3D73C3B6" w14:textId="27BF3546" w:rsidR="00604B13" w:rsidRDefault="00323ECB" w:rsidP="00D11760">
          <w:pPr>
            <w:pStyle w:val="ListParagraph"/>
          </w:pPr>
          <w:r>
            <w:t>inform stakeholders of how we administer the Act</w:t>
          </w:r>
        </w:p>
        <w:p w14:paraId="201E0141" w14:textId="6D6B9724" w:rsidR="00323ECB" w:rsidRDefault="00323ECB" w:rsidP="00D11760">
          <w:pPr>
            <w:pStyle w:val="ListParagraph"/>
          </w:pPr>
          <w:r>
            <w:t>provide guidance to assist reporting entities to comply with their obligations</w:t>
          </w:r>
          <w:r w:rsidR="004A695F">
            <w:t>.</w:t>
          </w:r>
        </w:p>
        <w:p w14:paraId="06ABD7BF" w14:textId="76FEFD7D" w:rsidR="00DA0A99" w:rsidRDefault="00323ECB" w:rsidP="001F7B1B">
          <w:pPr>
            <w:spacing w:before="240"/>
          </w:pPr>
          <w:r w:rsidRPr="00D11760">
            <w:rPr>
              <w:rStyle w:val="Strong"/>
            </w:rPr>
            <w:t>Consultation papers</w:t>
          </w:r>
          <w:r>
            <w:t xml:space="preserve"> </w:t>
          </w:r>
          <w:r w:rsidR="00340009">
            <w:t xml:space="preserve">seek </w:t>
          </w:r>
          <w:r>
            <w:t xml:space="preserve">feedback from regulated entities and other stakeholders on how we </w:t>
          </w:r>
          <w:r w:rsidR="00CD188A">
            <w:t xml:space="preserve">administer the </w:t>
          </w:r>
          <w:r w:rsidR="00D11760">
            <w:t>Act or</w:t>
          </w:r>
          <w:r w:rsidR="00CD188A">
            <w:t xml:space="preserve"> intend to </w:t>
          </w:r>
          <w:r>
            <w:t>administer the Act.</w:t>
          </w:r>
        </w:p>
        <w:p w14:paraId="357385EE" w14:textId="08A8A777" w:rsidR="00323ECB" w:rsidRDefault="00323ECB" w:rsidP="00073D99">
          <w:r w:rsidRPr="00D11760">
            <w:rPr>
              <w:rStyle w:val="Strong"/>
            </w:rPr>
            <w:t>Guidance notes</w:t>
          </w:r>
          <w:r>
            <w:t xml:space="preserve"> </w:t>
          </w:r>
          <w:r w:rsidR="004713D5">
            <w:t xml:space="preserve">explain how the law operates generally and outline our administrative approach. These documents also provide practical examples that may assist in navigating regulated processes. Examples in this </w:t>
          </w:r>
          <w:r w:rsidR="00AF531E">
            <w:t>g</w:t>
          </w:r>
          <w:r w:rsidR="004713D5">
            <w:t xml:space="preserve">uidance </w:t>
          </w:r>
          <w:r w:rsidR="00AF531E">
            <w:t>n</w:t>
          </w:r>
          <w:r w:rsidR="004713D5">
            <w:t xml:space="preserve">ote are purely for illustration; they are not exhaustive and are not intended to impose or imply </w:t>
          </w:r>
          <w:proofErr w:type="gramStart"/>
          <w:r w:rsidR="004713D5">
            <w:t>particular rules</w:t>
          </w:r>
          <w:proofErr w:type="gramEnd"/>
          <w:r w:rsidR="004713D5">
            <w:t xml:space="preserve"> or requirements.</w:t>
          </w:r>
        </w:p>
        <w:p w14:paraId="79083004" w14:textId="4FF2F0FE" w:rsidR="00CA399F" w:rsidRDefault="00CA399F" w:rsidP="00073D99">
          <w:r w:rsidRPr="00D11760">
            <w:rPr>
              <w:rStyle w:val="Strong"/>
            </w:rPr>
            <w:t>Information sheets</w:t>
          </w:r>
          <w:r>
            <w:t xml:space="preserve"> are short guidance documents on a specific process or function. </w:t>
          </w:r>
        </w:p>
        <w:p w14:paraId="0E51CB0F" w14:textId="034C7771" w:rsidR="00DA0A99" w:rsidRPr="0022168E" w:rsidRDefault="00DA0A99" w:rsidP="00CC1F26">
          <w:pPr>
            <w:pStyle w:val="Heading1"/>
            <w:spacing w:before="240"/>
          </w:pPr>
          <w:bookmarkStart w:id="9" w:name="_Toc106733461"/>
          <w:bookmarkStart w:id="10" w:name="_Toc107838217"/>
          <w:r w:rsidRPr="00B61F31">
            <w:t xml:space="preserve">Document </w:t>
          </w:r>
          <w:r w:rsidR="00E55675" w:rsidRPr="00B61F31">
            <w:t>h</w:t>
          </w:r>
          <w:r w:rsidRPr="0022168E">
            <w:t>istory</w:t>
          </w:r>
          <w:bookmarkEnd w:id="9"/>
          <w:bookmarkEnd w:id="10"/>
        </w:p>
        <w:p w14:paraId="72E7B1D9" w14:textId="7C2612FA" w:rsidR="00DA0A99" w:rsidRDefault="004A695F" w:rsidP="00DA0A99">
          <w:r>
            <w:t xml:space="preserve">This </w:t>
          </w:r>
          <w:r w:rsidR="00853A2B">
            <w:t xml:space="preserve">draft </w:t>
          </w:r>
          <w:r>
            <w:t xml:space="preserve">guidance note was first published </w:t>
          </w:r>
          <w:r w:rsidR="00E55675">
            <w:t>o</w:t>
          </w:r>
          <w:r>
            <w:t>n</w:t>
          </w:r>
          <w:r w:rsidR="00853A2B">
            <w:t xml:space="preserve"> 22 July 2022 for publication consultation </w:t>
          </w:r>
          <w:r w:rsidR="00B437F0">
            <w:t xml:space="preserve">and based on the </w:t>
          </w:r>
          <w:hyperlink r:id="rId9" w:history="1">
            <w:r w:rsidR="00B437F0" w:rsidRPr="007F5EA0">
              <w:rPr>
                <w:rStyle w:val="Hyperlink"/>
                <w:i/>
                <w:iCs/>
              </w:rPr>
              <w:t>Payment Times Reporting Act 2020</w:t>
            </w:r>
          </w:hyperlink>
          <w:r w:rsidR="00B437F0">
            <w:t xml:space="preserve"> and </w:t>
          </w:r>
          <w:hyperlink r:id="rId10" w:history="1">
            <w:r w:rsidR="00B437F0" w:rsidRPr="002744F4">
              <w:rPr>
                <w:rStyle w:val="Hyperlink"/>
              </w:rPr>
              <w:t>Payment Times Reporting Rules 2020</w:t>
            </w:r>
          </w:hyperlink>
          <w:r w:rsidR="004D04B7" w:rsidRPr="002744F4">
            <w:t xml:space="preserve"> </w:t>
          </w:r>
          <w:r w:rsidR="004D04B7">
            <w:t>(</w:t>
          </w:r>
          <w:r w:rsidR="004D04B7" w:rsidRPr="00D11760">
            <w:rPr>
              <w:rStyle w:val="Strong"/>
            </w:rPr>
            <w:t>the Rules</w:t>
          </w:r>
          <w:r w:rsidR="004D04B7">
            <w:t>)</w:t>
          </w:r>
          <w:r w:rsidR="00B437F0">
            <w:t xml:space="preserve"> as of that date.</w:t>
          </w:r>
        </w:p>
        <w:p w14:paraId="656DDDA5" w14:textId="2C7E8B29" w:rsidR="007B5D3D" w:rsidRPr="004E343F" w:rsidRDefault="007B5D3D" w:rsidP="00CC1F26">
          <w:pPr>
            <w:pStyle w:val="Heading1"/>
            <w:spacing w:before="240"/>
          </w:pPr>
          <w:bookmarkStart w:id="11" w:name="_Toc106733462"/>
          <w:bookmarkStart w:id="12" w:name="_Toc107838218"/>
          <w:r w:rsidRPr="004E343F">
            <w:t>Disclaimer</w:t>
          </w:r>
          <w:bookmarkEnd w:id="11"/>
          <w:bookmarkEnd w:id="12"/>
        </w:p>
        <w:p w14:paraId="58A7EB7F" w14:textId="3C352F97" w:rsidR="004713D5" w:rsidRDefault="004713D5" w:rsidP="004713D5">
          <w:r>
            <w:t xml:space="preserve">This </w:t>
          </w:r>
          <w:r w:rsidR="00AF531E">
            <w:t>g</w:t>
          </w:r>
          <w:r>
            <w:t xml:space="preserve">uidance </w:t>
          </w:r>
          <w:r w:rsidR="00AF531E">
            <w:t>n</w:t>
          </w:r>
          <w:r>
            <w:t xml:space="preserve">ote does not constitute legal or professional advice and it should not be relied on as such. You should seek your own legal or professional advice to find out how the </w:t>
          </w:r>
          <w:hyperlink r:id="rId11" w:history="1">
            <w:r w:rsidRPr="007F5EA0">
              <w:rPr>
                <w:rStyle w:val="Hyperlink"/>
                <w:i/>
                <w:iCs/>
              </w:rPr>
              <w:t xml:space="preserve">Payment Times </w:t>
            </w:r>
            <w:r w:rsidRPr="007F5EA0">
              <w:rPr>
                <w:rStyle w:val="Hyperlink"/>
                <w:i/>
                <w:iCs/>
              </w:rPr>
              <w:lastRenderedPageBreak/>
              <w:t>Reporting Act 2020</w:t>
            </w:r>
          </w:hyperlink>
          <w:r>
            <w:t xml:space="preserve"> and other applicable laws apply to your organisation, because you are responsible for determining your obligations.</w:t>
          </w:r>
        </w:p>
        <w:sdt>
          <w:sdtPr>
            <w:rPr>
              <w:rFonts w:ascii="Calibri" w:eastAsia="Times New Roman" w:hAnsi="Calibri" w:cs="Times New Roman"/>
              <w:b w:val="0"/>
              <w:color w:val="auto"/>
              <w:sz w:val="22"/>
              <w:szCs w:val="20"/>
              <w:lang w:val="en-AU" w:eastAsia="en-AU"/>
            </w:rPr>
            <w:id w:val="1403715325"/>
            <w:docPartObj>
              <w:docPartGallery w:val="Table of Contents"/>
              <w:docPartUnique/>
            </w:docPartObj>
          </w:sdtPr>
          <w:sdtEndPr>
            <w:rPr>
              <w:bCs/>
              <w:noProof/>
              <w:color w:val="262626" w:themeColor="text1" w:themeTint="D9"/>
            </w:rPr>
          </w:sdtEndPr>
          <w:sdtContent>
            <w:p w14:paraId="42ED8572" w14:textId="665F7602" w:rsidR="00553C26" w:rsidRDefault="00056666" w:rsidP="004E343F">
              <w:pPr>
                <w:pStyle w:val="TOCHeading"/>
              </w:pPr>
              <w:r>
                <w:t>C</w:t>
              </w:r>
              <w:r w:rsidR="00553C26">
                <w:t>ontents</w:t>
              </w:r>
            </w:p>
            <w:p w14:paraId="523FAFED" w14:textId="1A8EF84B" w:rsidR="00F554D6" w:rsidRDefault="00553C26" w:rsidP="00AF531E">
              <w:pPr>
                <w:pStyle w:val="TOC2"/>
                <w:rPr>
                  <w:rFonts w:asciiTheme="minorHAnsi" w:eastAsiaTheme="minorEastAsia" w:hAnsiTheme="minorHAnsi" w:cstheme="minorBidi"/>
                  <w:b/>
                  <w:color w:val="auto"/>
                </w:rPr>
              </w:pPr>
              <w:r>
                <w:rPr>
                  <w:szCs w:val="22"/>
                </w:rPr>
                <w:fldChar w:fldCharType="begin"/>
              </w:r>
              <w:r>
                <w:instrText xml:space="preserve"> TOC \o "1-3" \h \z \u </w:instrText>
              </w:r>
              <w:r>
                <w:rPr>
                  <w:szCs w:val="22"/>
                </w:rPr>
                <w:fldChar w:fldCharType="separate"/>
              </w:r>
              <w:hyperlink w:anchor="_Toc107838219" w:history="1">
                <w:r w:rsidR="00F554D6" w:rsidRPr="0051030A">
                  <w:rPr>
                    <w:rStyle w:val="Hyperlink"/>
                  </w:rPr>
                  <w:t>When to prepare a report</w:t>
                </w:r>
                <w:r w:rsidR="00F554D6">
                  <w:rPr>
                    <w:webHidden/>
                  </w:rPr>
                  <w:tab/>
                </w:r>
                <w:r w:rsidR="00F554D6">
                  <w:rPr>
                    <w:webHidden/>
                  </w:rPr>
                  <w:fldChar w:fldCharType="begin"/>
                </w:r>
                <w:r w:rsidR="00F554D6">
                  <w:rPr>
                    <w:webHidden/>
                  </w:rPr>
                  <w:instrText xml:space="preserve"> PAGEREF _Toc107838219 \h </w:instrText>
                </w:r>
                <w:r w:rsidR="00F554D6">
                  <w:rPr>
                    <w:webHidden/>
                  </w:rPr>
                </w:r>
                <w:r w:rsidR="00F554D6">
                  <w:rPr>
                    <w:webHidden/>
                  </w:rPr>
                  <w:fldChar w:fldCharType="separate"/>
                </w:r>
                <w:r w:rsidR="004F6917">
                  <w:rPr>
                    <w:webHidden/>
                  </w:rPr>
                  <w:t>3</w:t>
                </w:r>
                <w:r w:rsidR="00F554D6">
                  <w:rPr>
                    <w:webHidden/>
                  </w:rPr>
                  <w:fldChar w:fldCharType="end"/>
                </w:r>
              </w:hyperlink>
            </w:p>
            <w:p w14:paraId="704D03D1" w14:textId="56A74B72" w:rsidR="00F554D6" w:rsidRDefault="006A564E">
              <w:pPr>
                <w:pStyle w:val="TOC3"/>
                <w:rPr>
                  <w:rFonts w:asciiTheme="minorHAnsi" w:eastAsiaTheme="minorEastAsia" w:hAnsiTheme="minorHAnsi" w:cstheme="minorBidi"/>
                  <w:color w:val="auto"/>
                  <w:szCs w:val="22"/>
                </w:rPr>
              </w:pPr>
              <w:hyperlink w:anchor="_Toc107838220" w:history="1">
                <w:r w:rsidR="00F554D6" w:rsidRPr="0051030A">
                  <w:rPr>
                    <w:rStyle w:val="Hyperlink"/>
                  </w:rPr>
                  <w:t>Key points</w:t>
                </w:r>
                <w:r w:rsidR="00F554D6">
                  <w:rPr>
                    <w:webHidden/>
                  </w:rPr>
                  <w:tab/>
                </w:r>
                <w:r w:rsidR="00F554D6">
                  <w:rPr>
                    <w:webHidden/>
                  </w:rPr>
                  <w:fldChar w:fldCharType="begin"/>
                </w:r>
                <w:r w:rsidR="00F554D6">
                  <w:rPr>
                    <w:webHidden/>
                  </w:rPr>
                  <w:instrText xml:space="preserve"> PAGEREF _Toc107838220 \h </w:instrText>
                </w:r>
                <w:r w:rsidR="00F554D6">
                  <w:rPr>
                    <w:webHidden/>
                  </w:rPr>
                </w:r>
                <w:r w:rsidR="00F554D6">
                  <w:rPr>
                    <w:webHidden/>
                  </w:rPr>
                  <w:fldChar w:fldCharType="separate"/>
                </w:r>
                <w:r w:rsidR="004F6917">
                  <w:rPr>
                    <w:webHidden/>
                  </w:rPr>
                  <w:t>3</w:t>
                </w:r>
                <w:r w:rsidR="00F554D6">
                  <w:rPr>
                    <w:webHidden/>
                  </w:rPr>
                  <w:fldChar w:fldCharType="end"/>
                </w:r>
              </w:hyperlink>
            </w:p>
            <w:p w14:paraId="55985845" w14:textId="7092A0BF" w:rsidR="00F554D6" w:rsidRDefault="006A564E">
              <w:pPr>
                <w:pStyle w:val="TOC2"/>
                <w:rPr>
                  <w:rFonts w:asciiTheme="minorHAnsi" w:eastAsiaTheme="minorEastAsia" w:hAnsiTheme="minorHAnsi" w:cstheme="minorBidi"/>
                  <w:color w:val="auto"/>
                  <w:szCs w:val="22"/>
                </w:rPr>
              </w:pPr>
              <w:hyperlink w:anchor="_Toc107838221" w:history="1">
                <w:r w:rsidR="00F554D6" w:rsidRPr="0051030A">
                  <w:rPr>
                    <w:rStyle w:val="Hyperlink"/>
                    <w:lang w:eastAsia="en-US"/>
                  </w:rPr>
                  <w:t>Reporting deadline</w:t>
                </w:r>
                <w:r w:rsidR="00F554D6">
                  <w:rPr>
                    <w:webHidden/>
                  </w:rPr>
                  <w:tab/>
                </w:r>
                <w:r w:rsidR="00F554D6">
                  <w:rPr>
                    <w:webHidden/>
                  </w:rPr>
                  <w:fldChar w:fldCharType="begin"/>
                </w:r>
                <w:r w:rsidR="00F554D6">
                  <w:rPr>
                    <w:webHidden/>
                  </w:rPr>
                  <w:instrText xml:space="preserve"> PAGEREF _Toc107838221 \h </w:instrText>
                </w:r>
                <w:r w:rsidR="00F554D6">
                  <w:rPr>
                    <w:webHidden/>
                  </w:rPr>
                </w:r>
                <w:r w:rsidR="00F554D6">
                  <w:rPr>
                    <w:webHidden/>
                  </w:rPr>
                  <w:fldChar w:fldCharType="separate"/>
                </w:r>
                <w:r w:rsidR="004F6917">
                  <w:rPr>
                    <w:webHidden/>
                  </w:rPr>
                  <w:t>3</w:t>
                </w:r>
                <w:r w:rsidR="00F554D6">
                  <w:rPr>
                    <w:webHidden/>
                  </w:rPr>
                  <w:fldChar w:fldCharType="end"/>
                </w:r>
              </w:hyperlink>
            </w:p>
            <w:p w14:paraId="507F25E8" w14:textId="794CBD57" w:rsidR="00F554D6" w:rsidRDefault="006A564E">
              <w:pPr>
                <w:pStyle w:val="TOC2"/>
                <w:rPr>
                  <w:rFonts w:asciiTheme="minorHAnsi" w:eastAsiaTheme="minorEastAsia" w:hAnsiTheme="minorHAnsi" w:cstheme="minorBidi"/>
                  <w:color w:val="auto"/>
                  <w:szCs w:val="22"/>
                </w:rPr>
              </w:pPr>
              <w:hyperlink w:anchor="_Toc107838222" w:history="1">
                <w:r w:rsidR="00F554D6" w:rsidRPr="0051030A">
                  <w:rPr>
                    <w:rStyle w:val="Hyperlink"/>
                    <w:lang w:eastAsia="en-US"/>
                  </w:rPr>
                  <w:t>Mergers and acquisitions</w:t>
                </w:r>
                <w:r w:rsidR="00F554D6">
                  <w:rPr>
                    <w:webHidden/>
                  </w:rPr>
                  <w:tab/>
                </w:r>
                <w:r w:rsidR="00F554D6">
                  <w:rPr>
                    <w:webHidden/>
                  </w:rPr>
                  <w:fldChar w:fldCharType="begin"/>
                </w:r>
                <w:r w:rsidR="00F554D6">
                  <w:rPr>
                    <w:webHidden/>
                  </w:rPr>
                  <w:instrText xml:space="preserve"> PAGEREF _Toc107838222 \h </w:instrText>
                </w:r>
                <w:r w:rsidR="00F554D6">
                  <w:rPr>
                    <w:webHidden/>
                  </w:rPr>
                </w:r>
                <w:r w:rsidR="00F554D6">
                  <w:rPr>
                    <w:webHidden/>
                  </w:rPr>
                  <w:fldChar w:fldCharType="separate"/>
                </w:r>
                <w:r w:rsidR="004F6917">
                  <w:rPr>
                    <w:webHidden/>
                  </w:rPr>
                  <w:t>3</w:t>
                </w:r>
                <w:r w:rsidR="00F554D6">
                  <w:rPr>
                    <w:webHidden/>
                  </w:rPr>
                  <w:fldChar w:fldCharType="end"/>
                </w:r>
              </w:hyperlink>
            </w:p>
            <w:p w14:paraId="38DE2320" w14:textId="6429781B" w:rsidR="00F554D6" w:rsidRDefault="006A564E">
              <w:pPr>
                <w:pStyle w:val="TOC3"/>
                <w:rPr>
                  <w:rFonts w:asciiTheme="minorHAnsi" w:eastAsiaTheme="minorEastAsia" w:hAnsiTheme="minorHAnsi" w:cstheme="minorBidi"/>
                  <w:color w:val="auto"/>
                  <w:szCs w:val="22"/>
                </w:rPr>
              </w:pPr>
              <w:hyperlink w:anchor="_Toc107838223" w:history="1">
                <w:r w:rsidR="00F554D6" w:rsidRPr="0051030A">
                  <w:rPr>
                    <w:rStyle w:val="Hyperlink"/>
                    <w:lang w:eastAsia="en-US"/>
                  </w:rPr>
                  <w:t xml:space="preserve">Table 1: </w:t>
                </w:r>
                <w:r w:rsidR="00CF3DF8">
                  <w:rPr>
                    <w:rStyle w:val="Hyperlink"/>
                    <w:lang w:eastAsia="en-US"/>
                  </w:rPr>
                  <w:t>Guidance e</w:t>
                </w:r>
                <w:r w:rsidR="00F554D6" w:rsidRPr="0051030A">
                  <w:rPr>
                    <w:rStyle w:val="Hyperlink"/>
                    <w:lang w:eastAsia="en-US"/>
                  </w:rPr>
                  <w:t>xamples for submitting reports after a merger or acquisition</w:t>
                </w:r>
                <w:r w:rsidR="00F554D6">
                  <w:rPr>
                    <w:webHidden/>
                  </w:rPr>
                  <w:tab/>
                </w:r>
                <w:r w:rsidR="00F554D6">
                  <w:rPr>
                    <w:webHidden/>
                  </w:rPr>
                  <w:fldChar w:fldCharType="begin"/>
                </w:r>
                <w:r w:rsidR="00F554D6">
                  <w:rPr>
                    <w:webHidden/>
                  </w:rPr>
                  <w:instrText xml:space="preserve"> PAGEREF _Toc107838223 \h </w:instrText>
                </w:r>
                <w:r w:rsidR="00F554D6">
                  <w:rPr>
                    <w:webHidden/>
                  </w:rPr>
                </w:r>
                <w:r w:rsidR="00F554D6">
                  <w:rPr>
                    <w:webHidden/>
                  </w:rPr>
                  <w:fldChar w:fldCharType="separate"/>
                </w:r>
                <w:r w:rsidR="004F6917">
                  <w:rPr>
                    <w:webHidden/>
                  </w:rPr>
                  <w:t>4</w:t>
                </w:r>
                <w:r w:rsidR="00F554D6">
                  <w:rPr>
                    <w:webHidden/>
                  </w:rPr>
                  <w:fldChar w:fldCharType="end"/>
                </w:r>
              </w:hyperlink>
            </w:p>
            <w:p w14:paraId="3CF66767" w14:textId="0FF76069" w:rsidR="00F554D6" w:rsidRDefault="006A564E">
              <w:pPr>
                <w:pStyle w:val="TOC1"/>
                <w:rPr>
                  <w:rFonts w:asciiTheme="minorHAnsi" w:eastAsiaTheme="minorEastAsia" w:hAnsiTheme="minorHAnsi" w:cstheme="minorBidi"/>
                  <w:b w:val="0"/>
                  <w:color w:val="auto"/>
                </w:rPr>
              </w:pPr>
              <w:hyperlink w:anchor="_Toc107838224" w:history="1">
                <w:r w:rsidR="00F554D6" w:rsidRPr="0051030A">
                  <w:rPr>
                    <w:rStyle w:val="Hyperlink"/>
                  </w:rPr>
                  <w:t>Report data</w:t>
                </w:r>
                <w:r w:rsidR="00F554D6">
                  <w:rPr>
                    <w:webHidden/>
                  </w:rPr>
                  <w:tab/>
                </w:r>
                <w:r w:rsidR="00F554D6">
                  <w:rPr>
                    <w:webHidden/>
                  </w:rPr>
                  <w:fldChar w:fldCharType="begin"/>
                </w:r>
                <w:r w:rsidR="00F554D6">
                  <w:rPr>
                    <w:webHidden/>
                  </w:rPr>
                  <w:instrText xml:space="preserve"> PAGEREF _Toc107838224 \h </w:instrText>
                </w:r>
                <w:r w:rsidR="00F554D6">
                  <w:rPr>
                    <w:webHidden/>
                  </w:rPr>
                </w:r>
                <w:r w:rsidR="00F554D6">
                  <w:rPr>
                    <w:webHidden/>
                  </w:rPr>
                  <w:fldChar w:fldCharType="separate"/>
                </w:r>
                <w:r w:rsidR="004F6917">
                  <w:rPr>
                    <w:webHidden/>
                  </w:rPr>
                  <w:t>5</w:t>
                </w:r>
                <w:r w:rsidR="00F554D6">
                  <w:rPr>
                    <w:webHidden/>
                  </w:rPr>
                  <w:fldChar w:fldCharType="end"/>
                </w:r>
              </w:hyperlink>
            </w:p>
            <w:p w14:paraId="53E9C005" w14:textId="214CDD9B" w:rsidR="00F554D6" w:rsidRDefault="006A564E">
              <w:pPr>
                <w:pStyle w:val="TOC3"/>
                <w:rPr>
                  <w:rFonts w:asciiTheme="minorHAnsi" w:eastAsiaTheme="minorEastAsia" w:hAnsiTheme="minorHAnsi" w:cstheme="minorBidi"/>
                  <w:color w:val="auto"/>
                  <w:szCs w:val="22"/>
                </w:rPr>
              </w:pPr>
              <w:hyperlink w:anchor="_Toc107838225" w:history="1">
                <w:r w:rsidR="00F554D6" w:rsidRPr="0051030A">
                  <w:rPr>
                    <w:rStyle w:val="Hyperlink"/>
                  </w:rPr>
                  <w:t>Key points</w:t>
                </w:r>
                <w:r w:rsidR="00F554D6">
                  <w:rPr>
                    <w:webHidden/>
                  </w:rPr>
                  <w:tab/>
                </w:r>
                <w:r w:rsidR="00F554D6">
                  <w:rPr>
                    <w:webHidden/>
                  </w:rPr>
                  <w:fldChar w:fldCharType="begin"/>
                </w:r>
                <w:r w:rsidR="00F554D6">
                  <w:rPr>
                    <w:webHidden/>
                  </w:rPr>
                  <w:instrText xml:space="preserve"> PAGEREF _Toc107838225 \h </w:instrText>
                </w:r>
                <w:r w:rsidR="00F554D6">
                  <w:rPr>
                    <w:webHidden/>
                  </w:rPr>
                </w:r>
                <w:r w:rsidR="00F554D6">
                  <w:rPr>
                    <w:webHidden/>
                  </w:rPr>
                  <w:fldChar w:fldCharType="separate"/>
                </w:r>
                <w:r w:rsidR="004F6917">
                  <w:rPr>
                    <w:webHidden/>
                  </w:rPr>
                  <w:t>5</w:t>
                </w:r>
                <w:r w:rsidR="00F554D6">
                  <w:rPr>
                    <w:webHidden/>
                  </w:rPr>
                  <w:fldChar w:fldCharType="end"/>
                </w:r>
              </w:hyperlink>
            </w:p>
            <w:p w14:paraId="49786558" w14:textId="27D585E5" w:rsidR="00F554D6" w:rsidRDefault="006A564E">
              <w:pPr>
                <w:pStyle w:val="TOC2"/>
                <w:rPr>
                  <w:rFonts w:asciiTheme="minorHAnsi" w:eastAsiaTheme="minorEastAsia" w:hAnsiTheme="minorHAnsi" w:cstheme="minorBidi"/>
                  <w:color w:val="auto"/>
                  <w:szCs w:val="22"/>
                </w:rPr>
              </w:pPr>
              <w:hyperlink w:anchor="_Toc107838226" w:history="1">
                <w:r w:rsidR="00F554D6" w:rsidRPr="0051030A">
                  <w:rPr>
                    <w:rStyle w:val="Hyperlink"/>
                    <w:lang w:eastAsia="en-US"/>
                  </w:rPr>
                  <w:t>Information to prepare a report</w:t>
                </w:r>
                <w:r w:rsidR="00F554D6">
                  <w:rPr>
                    <w:webHidden/>
                  </w:rPr>
                  <w:tab/>
                </w:r>
                <w:r w:rsidR="00F554D6">
                  <w:rPr>
                    <w:webHidden/>
                  </w:rPr>
                  <w:fldChar w:fldCharType="begin"/>
                </w:r>
                <w:r w:rsidR="00F554D6">
                  <w:rPr>
                    <w:webHidden/>
                  </w:rPr>
                  <w:instrText xml:space="preserve"> PAGEREF _Toc107838226 \h </w:instrText>
                </w:r>
                <w:r w:rsidR="00F554D6">
                  <w:rPr>
                    <w:webHidden/>
                  </w:rPr>
                </w:r>
                <w:r w:rsidR="00F554D6">
                  <w:rPr>
                    <w:webHidden/>
                  </w:rPr>
                  <w:fldChar w:fldCharType="separate"/>
                </w:r>
                <w:r w:rsidR="004F6917">
                  <w:rPr>
                    <w:webHidden/>
                  </w:rPr>
                  <w:t>5</w:t>
                </w:r>
                <w:r w:rsidR="00F554D6">
                  <w:rPr>
                    <w:webHidden/>
                  </w:rPr>
                  <w:fldChar w:fldCharType="end"/>
                </w:r>
              </w:hyperlink>
            </w:p>
            <w:p w14:paraId="2AD4BF88" w14:textId="7E556B07" w:rsidR="00F554D6" w:rsidRDefault="006A564E">
              <w:pPr>
                <w:pStyle w:val="TOC2"/>
                <w:rPr>
                  <w:rFonts w:asciiTheme="minorHAnsi" w:eastAsiaTheme="minorEastAsia" w:hAnsiTheme="minorHAnsi" w:cstheme="minorBidi"/>
                  <w:color w:val="auto"/>
                  <w:szCs w:val="22"/>
                </w:rPr>
              </w:pPr>
              <w:hyperlink w:anchor="_Toc107838227" w:history="1">
                <w:r w:rsidR="00F554D6" w:rsidRPr="0051030A">
                  <w:rPr>
                    <w:rStyle w:val="Hyperlink"/>
                    <w:lang w:eastAsia="en-US"/>
                  </w:rPr>
                  <w:t>Small Business Identification Tool information</w:t>
                </w:r>
                <w:r w:rsidR="00F554D6">
                  <w:rPr>
                    <w:webHidden/>
                  </w:rPr>
                  <w:tab/>
                </w:r>
                <w:r w:rsidR="00F554D6">
                  <w:rPr>
                    <w:webHidden/>
                  </w:rPr>
                  <w:fldChar w:fldCharType="begin"/>
                </w:r>
                <w:r w:rsidR="00F554D6">
                  <w:rPr>
                    <w:webHidden/>
                  </w:rPr>
                  <w:instrText xml:space="preserve"> PAGEREF _Toc107838227 \h </w:instrText>
                </w:r>
                <w:r w:rsidR="00F554D6">
                  <w:rPr>
                    <w:webHidden/>
                  </w:rPr>
                </w:r>
                <w:r w:rsidR="00F554D6">
                  <w:rPr>
                    <w:webHidden/>
                  </w:rPr>
                  <w:fldChar w:fldCharType="separate"/>
                </w:r>
                <w:r w:rsidR="004F6917">
                  <w:rPr>
                    <w:webHidden/>
                  </w:rPr>
                  <w:t>5</w:t>
                </w:r>
                <w:r w:rsidR="00F554D6">
                  <w:rPr>
                    <w:webHidden/>
                  </w:rPr>
                  <w:fldChar w:fldCharType="end"/>
                </w:r>
              </w:hyperlink>
            </w:p>
            <w:p w14:paraId="3EC480B9" w14:textId="1AFF6F1E" w:rsidR="00F554D6" w:rsidRDefault="006A564E">
              <w:pPr>
                <w:pStyle w:val="TOC2"/>
                <w:rPr>
                  <w:rFonts w:asciiTheme="minorHAnsi" w:eastAsiaTheme="minorEastAsia" w:hAnsiTheme="minorHAnsi" w:cstheme="minorBidi"/>
                  <w:color w:val="auto"/>
                  <w:szCs w:val="22"/>
                </w:rPr>
              </w:pPr>
              <w:hyperlink w:anchor="_Toc107838228" w:history="1">
                <w:r w:rsidR="00F554D6" w:rsidRPr="0051030A">
                  <w:rPr>
                    <w:rStyle w:val="Hyperlink"/>
                    <w:lang w:eastAsia="en-US"/>
                  </w:rPr>
                  <w:t>Record keeping</w:t>
                </w:r>
                <w:r w:rsidR="00F554D6">
                  <w:rPr>
                    <w:webHidden/>
                  </w:rPr>
                  <w:tab/>
                </w:r>
                <w:r w:rsidR="00F554D6">
                  <w:rPr>
                    <w:webHidden/>
                  </w:rPr>
                  <w:fldChar w:fldCharType="begin"/>
                </w:r>
                <w:r w:rsidR="00F554D6">
                  <w:rPr>
                    <w:webHidden/>
                  </w:rPr>
                  <w:instrText xml:space="preserve"> PAGEREF _Toc107838228 \h </w:instrText>
                </w:r>
                <w:r w:rsidR="00F554D6">
                  <w:rPr>
                    <w:webHidden/>
                  </w:rPr>
                </w:r>
                <w:r w:rsidR="00F554D6">
                  <w:rPr>
                    <w:webHidden/>
                  </w:rPr>
                  <w:fldChar w:fldCharType="separate"/>
                </w:r>
                <w:r w:rsidR="004F6917">
                  <w:rPr>
                    <w:webHidden/>
                  </w:rPr>
                  <w:t>7</w:t>
                </w:r>
                <w:r w:rsidR="00F554D6">
                  <w:rPr>
                    <w:webHidden/>
                  </w:rPr>
                  <w:fldChar w:fldCharType="end"/>
                </w:r>
              </w:hyperlink>
            </w:p>
            <w:p w14:paraId="138B1B84" w14:textId="05AA9043" w:rsidR="00F554D6" w:rsidRDefault="006A564E">
              <w:pPr>
                <w:pStyle w:val="TOC3"/>
                <w:rPr>
                  <w:rFonts w:asciiTheme="minorHAnsi" w:eastAsiaTheme="minorEastAsia" w:hAnsiTheme="minorHAnsi" w:cstheme="minorBidi"/>
                  <w:color w:val="auto"/>
                  <w:szCs w:val="22"/>
                </w:rPr>
              </w:pPr>
              <w:hyperlink w:anchor="_Toc107838229" w:history="1">
                <w:r w:rsidR="00F554D6" w:rsidRPr="0051030A">
                  <w:rPr>
                    <w:rStyle w:val="Hyperlink"/>
                    <w:lang w:eastAsia="en-US"/>
                  </w:rPr>
                  <w:t>Table 2: Guidance on types of information a reporting entity may be required to retain</w:t>
                </w:r>
                <w:r w:rsidR="00F554D6">
                  <w:rPr>
                    <w:webHidden/>
                  </w:rPr>
                  <w:tab/>
                </w:r>
                <w:r w:rsidR="00F554D6">
                  <w:rPr>
                    <w:webHidden/>
                  </w:rPr>
                  <w:fldChar w:fldCharType="begin"/>
                </w:r>
                <w:r w:rsidR="00F554D6">
                  <w:rPr>
                    <w:webHidden/>
                  </w:rPr>
                  <w:instrText xml:space="preserve"> PAGEREF _Toc107838229 \h </w:instrText>
                </w:r>
                <w:r w:rsidR="00F554D6">
                  <w:rPr>
                    <w:webHidden/>
                  </w:rPr>
                </w:r>
                <w:r w:rsidR="00F554D6">
                  <w:rPr>
                    <w:webHidden/>
                  </w:rPr>
                  <w:fldChar w:fldCharType="separate"/>
                </w:r>
                <w:r w:rsidR="004F6917">
                  <w:rPr>
                    <w:webHidden/>
                  </w:rPr>
                  <w:t>7</w:t>
                </w:r>
                <w:r w:rsidR="00F554D6">
                  <w:rPr>
                    <w:webHidden/>
                  </w:rPr>
                  <w:fldChar w:fldCharType="end"/>
                </w:r>
              </w:hyperlink>
            </w:p>
            <w:p w14:paraId="5AAB566B" w14:textId="4F5A1CFE" w:rsidR="00F554D6" w:rsidRDefault="006A564E">
              <w:pPr>
                <w:pStyle w:val="TOC1"/>
                <w:rPr>
                  <w:rFonts w:asciiTheme="minorHAnsi" w:eastAsiaTheme="minorEastAsia" w:hAnsiTheme="minorHAnsi" w:cstheme="minorBidi"/>
                  <w:b w:val="0"/>
                  <w:color w:val="auto"/>
                </w:rPr>
              </w:pPr>
              <w:hyperlink w:anchor="_Toc107838230" w:history="1">
                <w:r w:rsidR="00F554D6" w:rsidRPr="0051030A">
                  <w:rPr>
                    <w:rStyle w:val="Hyperlink"/>
                  </w:rPr>
                  <w:t>Payment times report content</w:t>
                </w:r>
                <w:r w:rsidR="00F554D6">
                  <w:rPr>
                    <w:webHidden/>
                  </w:rPr>
                  <w:tab/>
                </w:r>
                <w:r w:rsidR="00F554D6">
                  <w:rPr>
                    <w:webHidden/>
                  </w:rPr>
                  <w:fldChar w:fldCharType="begin"/>
                </w:r>
                <w:r w:rsidR="00F554D6">
                  <w:rPr>
                    <w:webHidden/>
                  </w:rPr>
                  <w:instrText xml:space="preserve"> PAGEREF _Toc107838230 \h </w:instrText>
                </w:r>
                <w:r w:rsidR="00F554D6">
                  <w:rPr>
                    <w:webHidden/>
                  </w:rPr>
                </w:r>
                <w:r w:rsidR="00F554D6">
                  <w:rPr>
                    <w:webHidden/>
                  </w:rPr>
                  <w:fldChar w:fldCharType="separate"/>
                </w:r>
                <w:r w:rsidR="004F6917">
                  <w:rPr>
                    <w:webHidden/>
                  </w:rPr>
                  <w:t>8</w:t>
                </w:r>
                <w:r w:rsidR="00F554D6">
                  <w:rPr>
                    <w:webHidden/>
                  </w:rPr>
                  <w:fldChar w:fldCharType="end"/>
                </w:r>
              </w:hyperlink>
            </w:p>
            <w:p w14:paraId="7A1F1AF0" w14:textId="40564F2F" w:rsidR="00F554D6" w:rsidRDefault="006A564E">
              <w:pPr>
                <w:pStyle w:val="TOC3"/>
                <w:rPr>
                  <w:rFonts w:asciiTheme="minorHAnsi" w:eastAsiaTheme="minorEastAsia" w:hAnsiTheme="minorHAnsi" w:cstheme="minorBidi"/>
                  <w:color w:val="auto"/>
                  <w:szCs w:val="22"/>
                </w:rPr>
              </w:pPr>
              <w:hyperlink w:anchor="_Toc107838231" w:history="1">
                <w:r w:rsidR="00F554D6" w:rsidRPr="0051030A">
                  <w:rPr>
                    <w:rStyle w:val="Hyperlink"/>
                  </w:rPr>
                  <w:t>Key points</w:t>
                </w:r>
                <w:r w:rsidR="00F554D6">
                  <w:rPr>
                    <w:webHidden/>
                  </w:rPr>
                  <w:tab/>
                </w:r>
                <w:r w:rsidR="00F554D6">
                  <w:rPr>
                    <w:webHidden/>
                  </w:rPr>
                  <w:fldChar w:fldCharType="begin"/>
                </w:r>
                <w:r w:rsidR="00F554D6">
                  <w:rPr>
                    <w:webHidden/>
                  </w:rPr>
                  <w:instrText xml:space="preserve"> PAGEREF _Toc107838231 \h </w:instrText>
                </w:r>
                <w:r w:rsidR="00F554D6">
                  <w:rPr>
                    <w:webHidden/>
                  </w:rPr>
                </w:r>
                <w:r w:rsidR="00F554D6">
                  <w:rPr>
                    <w:webHidden/>
                  </w:rPr>
                  <w:fldChar w:fldCharType="separate"/>
                </w:r>
                <w:r w:rsidR="004F6917">
                  <w:rPr>
                    <w:webHidden/>
                  </w:rPr>
                  <w:t>8</w:t>
                </w:r>
                <w:r w:rsidR="00F554D6">
                  <w:rPr>
                    <w:webHidden/>
                  </w:rPr>
                  <w:fldChar w:fldCharType="end"/>
                </w:r>
              </w:hyperlink>
            </w:p>
            <w:p w14:paraId="165961C0" w14:textId="518DF74C" w:rsidR="00F554D6" w:rsidRDefault="006A564E">
              <w:pPr>
                <w:pStyle w:val="TOC2"/>
                <w:rPr>
                  <w:rFonts w:asciiTheme="minorHAnsi" w:eastAsiaTheme="minorEastAsia" w:hAnsiTheme="minorHAnsi" w:cstheme="minorBidi"/>
                  <w:color w:val="auto"/>
                  <w:szCs w:val="22"/>
                </w:rPr>
              </w:pPr>
              <w:hyperlink w:anchor="_Toc107838232" w:history="1">
                <w:r w:rsidR="00F554D6" w:rsidRPr="0051030A">
                  <w:rPr>
                    <w:rStyle w:val="Hyperlink"/>
                    <w:lang w:eastAsia="en-US"/>
                  </w:rPr>
                  <w:t>Required content</w:t>
                </w:r>
                <w:r w:rsidR="00F554D6">
                  <w:rPr>
                    <w:webHidden/>
                  </w:rPr>
                  <w:tab/>
                </w:r>
                <w:r w:rsidR="00F554D6">
                  <w:rPr>
                    <w:webHidden/>
                  </w:rPr>
                  <w:fldChar w:fldCharType="begin"/>
                </w:r>
                <w:r w:rsidR="00F554D6">
                  <w:rPr>
                    <w:webHidden/>
                  </w:rPr>
                  <w:instrText xml:space="preserve"> PAGEREF _Toc107838232 \h </w:instrText>
                </w:r>
                <w:r w:rsidR="00F554D6">
                  <w:rPr>
                    <w:webHidden/>
                  </w:rPr>
                </w:r>
                <w:r w:rsidR="00F554D6">
                  <w:rPr>
                    <w:webHidden/>
                  </w:rPr>
                  <w:fldChar w:fldCharType="separate"/>
                </w:r>
                <w:r w:rsidR="004F6917">
                  <w:rPr>
                    <w:webHidden/>
                  </w:rPr>
                  <w:t>8</w:t>
                </w:r>
                <w:r w:rsidR="00F554D6">
                  <w:rPr>
                    <w:webHidden/>
                  </w:rPr>
                  <w:fldChar w:fldCharType="end"/>
                </w:r>
              </w:hyperlink>
            </w:p>
            <w:p w14:paraId="7E07C043" w14:textId="3109C18D" w:rsidR="00F554D6" w:rsidRDefault="006A564E">
              <w:pPr>
                <w:pStyle w:val="TOC2"/>
                <w:rPr>
                  <w:rFonts w:asciiTheme="minorHAnsi" w:eastAsiaTheme="minorEastAsia" w:hAnsiTheme="minorHAnsi" w:cstheme="minorBidi"/>
                  <w:color w:val="auto"/>
                  <w:szCs w:val="22"/>
                </w:rPr>
              </w:pPr>
              <w:hyperlink w:anchor="_Toc107838233" w:history="1">
                <w:r w:rsidR="00F554D6" w:rsidRPr="0051030A">
                  <w:rPr>
                    <w:rStyle w:val="Hyperlink"/>
                    <w:lang w:eastAsia="en-US"/>
                  </w:rPr>
                  <w:t>Other content</w:t>
                </w:r>
                <w:r w:rsidR="00F554D6">
                  <w:rPr>
                    <w:webHidden/>
                  </w:rPr>
                  <w:tab/>
                </w:r>
                <w:r w:rsidR="00F554D6">
                  <w:rPr>
                    <w:webHidden/>
                  </w:rPr>
                  <w:fldChar w:fldCharType="begin"/>
                </w:r>
                <w:r w:rsidR="00F554D6">
                  <w:rPr>
                    <w:webHidden/>
                  </w:rPr>
                  <w:instrText xml:space="preserve"> PAGEREF _Toc107838233 \h </w:instrText>
                </w:r>
                <w:r w:rsidR="00F554D6">
                  <w:rPr>
                    <w:webHidden/>
                  </w:rPr>
                </w:r>
                <w:r w:rsidR="00F554D6">
                  <w:rPr>
                    <w:webHidden/>
                  </w:rPr>
                  <w:fldChar w:fldCharType="separate"/>
                </w:r>
                <w:r w:rsidR="004F6917">
                  <w:rPr>
                    <w:webHidden/>
                  </w:rPr>
                  <w:t>8</w:t>
                </w:r>
                <w:r w:rsidR="00F554D6">
                  <w:rPr>
                    <w:webHidden/>
                  </w:rPr>
                  <w:fldChar w:fldCharType="end"/>
                </w:r>
              </w:hyperlink>
            </w:p>
            <w:p w14:paraId="0A67CF6B" w14:textId="6220DD58" w:rsidR="00F554D6" w:rsidRDefault="006A564E">
              <w:pPr>
                <w:pStyle w:val="TOC2"/>
                <w:rPr>
                  <w:rFonts w:asciiTheme="minorHAnsi" w:eastAsiaTheme="minorEastAsia" w:hAnsiTheme="minorHAnsi" w:cstheme="minorBidi"/>
                  <w:color w:val="auto"/>
                  <w:szCs w:val="22"/>
                </w:rPr>
              </w:pPr>
              <w:hyperlink w:anchor="_Toc107838234" w:history="1">
                <w:r w:rsidR="00F554D6" w:rsidRPr="0051030A">
                  <w:rPr>
                    <w:rStyle w:val="Hyperlink"/>
                    <w:lang w:eastAsia="en-US"/>
                  </w:rPr>
                  <w:t>Reporting for groups</w:t>
                </w:r>
                <w:r w:rsidR="00F554D6">
                  <w:rPr>
                    <w:webHidden/>
                  </w:rPr>
                  <w:tab/>
                </w:r>
                <w:r w:rsidR="00F554D6">
                  <w:rPr>
                    <w:webHidden/>
                  </w:rPr>
                  <w:fldChar w:fldCharType="begin"/>
                </w:r>
                <w:r w:rsidR="00F554D6">
                  <w:rPr>
                    <w:webHidden/>
                  </w:rPr>
                  <w:instrText xml:space="preserve"> PAGEREF _Toc107838234 \h </w:instrText>
                </w:r>
                <w:r w:rsidR="00F554D6">
                  <w:rPr>
                    <w:webHidden/>
                  </w:rPr>
                </w:r>
                <w:r w:rsidR="00F554D6">
                  <w:rPr>
                    <w:webHidden/>
                  </w:rPr>
                  <w:fldChar w:fldCharType="separate"/>
                </w:r>
                <w:r w:rsidR="004F6917">
                  <w:rPr>
                    <w:webHidden/>
                  </w:rPr>
                  <w:t>9</w:t>
                </w:r>
                <w:r w:rsidR="00F554D6">
                  <w:rPr>
                    <w:webHidden/>
                  </w:rPr>
                  <w:fldChar w:fldCharType="end"/>
                </w:r>
              </w:hyperlink>
            </w:p>
            <w:p w14:paraId="4B8CDFC3" w14:textId="0E6452E6" w:rsidR="00F554D6" w:rsidRDefault="006A564E">
              <w:pPr>
                <w:pStyle w:val="TOC2"/>
                <w:rPr>
                  <w:rFonts w:asciiTheme="minorHAnsi" w:eastAsiaTheme="minorEastAsia" w:hAnsiTheme="minorHAnsi" w:cstheme="minorBidi"/>
                  <w:color w:val="auto"/>
                  <w:szCs w:val="22"/>
                </w:rPr>
              </w:pPr>
              <w:hyperlink w:anchor="_Toc107838235" w:history="1">
                <w:r w:rsidR="00F554D6" w:rsidRPr="0051030A">
                  <w:rPr>
                    <w:rStyle w:val="Hyperlink"/>
                    <w:lang w:eastAsia="en-US"/>
                  </w:rPr>
                  <w:t>Reporting nil values</w:t>
                </w:r>
                <w:r w:rsidR="00F554D6">
                  <w:rPr>
                    <w:webHidden/>
                  </w:rPr>
                  <w:tab/>
                </w:r>
                <w:r w:rsidR="00F554D6">
                  <w:rPr>
                    <w:webHidden/>
                  </w:rPr>
                  <w:fldChar w:fldCharType="begin"/>
                </w:r>
                <w:r w:rsidR="00F554D6">
                  <w:rPr>
                    <w:webHidden/>
                  </w:rPr>
                  <w:instrText xml:space="preserve"> PAGEREF _Toc107838235 \h </w:instrText>
                </w:r>
                <w:r w:rsidR="00F554D6">
                  <w:rPr>
                    <w:webHidden/>
                  </w:rPr>
                </w:r>
                <w:r w:rsidR="00F554D6">
                  <w:rPr>
                    <w:webHidden/>
                  </w:rPr>
                  <w:fldChar w:fldCharType="separate"/>
                </w:r>
                <w:r w:rsidR="004F6917">
                  <w:rPr>
                    <w:webHidden/>
                  </w:rPr>
                  <w:t>9</w:t>
                </w:r>
                <w:r w:rsidR="00F554D6">
                  <w:rPr>
                    <w:webHidden/>
                  </w:rPr>
                  <w:fldChar w:fldCharType="end"/>
                </w:r>
              </w:hyperlink>
            </w:p>
            <w:p w14:paraId="767115E7" w14:textId="3504D387" w:rsidR="00F554D6" w:rsidRDefault="006A564E">
              <w:pPr>
                <w:pStyle w:val="TOC2"/>
                <w:rPr>
                  <w:rFonts w:asciiTheme="minorHAnsi" w:eastAsiaTheme="minorEastAsia" w:hAnsiTheme="minorHAnsi" w:cstheme="minorBidi"/>
                  <w:color w:val="auto"/>
                  <w:szCs w:val="22"/>
                </w:rPr>
              </w:pPr>
              <w:hyperlink w:anchor="_Toc107838236" w:history="1">
                <w:r w:rsidR="00F554D6" w:rsidRPr="0051030A">
                  <w:rPr>
                    <w:rStyle w:val="Hyperlink"/>
                    <w:lang w:eastAsia="en-US"/>
                  </w:rPr>
                  <w:t>Misleading information</w:t>
                </w:r>
                <w:r w:rsidR="00F554D6">
                  <w:rPr>
                    <w:webHidden/>
                  </w:rPr>
                  <w:tab/>
                </w:r>
                <w:r w:rsidR="00F554D6">
                  <w:rPr>
                    <w:webHidden/>
                  </w:rPr>
                  <w:fldChar w:fldCharType="begin"/>
                </w:r>
                <w:r w:rsidR="00F554D6">
                  <w:rPr>
                    <w:webHidden/>
                  </w:rPr>
                  <w:instrText xml:space="preserve"> PAGEREF _Toc107838236 \h </w:instrText>
                </w:r>
                <w:r w:rsidR="00F554D6">
                  <w:rPr>
                    <w:webHidden/>
                  </w:rPr>
                </w:r>
                <w:r w:rsidR="00F554D6">
                  <w:rPr>
                    <w:webHidden/>
                  </w:rPr>
                  <w:fldChar w:fldCharType="separate"/>
                </w:r>
                <w:r w:rsidR="004F6917">
                  <w:rPr>
                    <w:webHidden/>
                  </w:rPr>
                  <w:t>9</w:t>
                </w:r>
                <w:r w:rsidR="00F554D6">
                  <w:rPr>
                    <w:webHidden/>
                  </w:rPr>
                  <w:fldChar w:fldCharType="end"/>
                </w:r>
              </w:hyperlink>
            </w:p>
            <w:p w14:paraId="6B62257E" w14:textId="0DF17F25" w:rsidR="00F554D6" w:rsidRDefault="006A564E">
              <w:pPr>
                <w:pStyle w:val="TOC1"/>
                <w:rPr>
                  <w:rFonts w:asciiTheme="minorHAnsi" w:eastAsiaTheme="minorEastAsia" w:hAnsiTheme="minorHAnsi" w:cstheme="minorBidi"/>
                  <w:b w:val="0"/>
                  <w:color w:val="auto"/>
                </w:rPr>
              </w:pPr>
              <w:hyperlink w:anchor="_Toc107838237" w:history="1">
                <w:r w:rsidR="00F554D6" w:rsidRPr="0051030A">
                  <w:rPr>
                    <w:rStyle w:val="Hyperlink"/>
                  </w:rPr>
                  <w:t>Submitting a payment times report</w:t>
                </w:r>
                <w:r w:rsidR="00F554D6">
                  <w:rPr>
                    <w:webHidden/>
                  </w:rPr>
                  <w:tab/>
                </w:r>
                <w:r w:rsidR="00F554D6">
                  <w:rPr>
                    <w:webHidden/>
                  </w:rPr>
                  <w:fldChar w:fldCharType="begin"/>
                </w:r>
                <w:r w:rsidR="00F554D6">
                  <w:rPr>
                    <w:webHidden/>
                  </w:rPr>
                  <w:instrText xml:space="preserve"> PAGEREF _Toc107838237 \h </w:instrText>
                </w:r>
                <w:r w:rsidR="00F554D6">
                  <w:rPr>
                    <w:webHidden/>
                  </w:rPr>
                </w:r>
                <w:r w:rsidR="00F554D6">
                  <w:rPr>
                    <w:webHidden/>
                  </w:rPr>
                  <w:fldChar w:fldCharType="separate"/>
                </w:r>
                <w:r w:rsidR="004F6917">
                  <w:rPr>
                    <w:webHidden/>
                  </w:rPr>
                  <w:t>10</w:t>
                </w:r>
                <w:r w:rsidR="00F554D6">
                  <w:rPr>
                    <w:webHidden/>
                  </w:rPr>
                  <w:fldChar w:fldCharType="end"/>
                </w:r>
              </w:hyperlink>
            </w:p>
            <w:p w14:paraId="2F45463D" w14:textId="55471743" w:rsidR="00F554D6" w:rsidRDefault="006A564E">
              <w:pPr>
                <w:pStyle w:val="TOC3"/>
                <w:rPr>
                  <w:rFonts w:asciiTheme="minorHAnsi" w:eastAsiaTheme="minorEastAsia" w:hAnsiTheme="minorHAnsi" w:cstheme="minorBidi"/>
                  <w:color w:val="auto"/>
                  <w:szCs w:val="22"/>
                </w:rPr>
              </w:pPr>
              <w:hyperlink w:anchor="_Toc107838238" w:history="1">
                <w:r w:rsidR="00F554D6" w:rsidRPr="0051030A">
                  <w:rPr>
                    <w:rStyle w:val="Hyperlink"/>
                  </w:rPr>
                  <w:t>Key points</w:t>
                </w:r>
                <w:r w:rsidR="00F554D6">
                  <w:rPr>
                    <w:webHidden/>
                  </w:rPr>
                  <w:tab/>
                </w:r>
                <w:r w:rsidR="00F554D6">
                  <w:rPr>
                    <w:webHidden/>
                  </w:rPr>
                  <w:fldChar w:fldCharType="begin"/>
                </w:r>
                <w:r w:rsidR="00F554D6">
                  <w:rPr>
                    <w:webHidden/>
                  </w:rPr>
                  <w:instrText xml:space="preserve"> PAGEREF _Toc107838238 \h </w:instrText>
                </w:r>
                <w:r w:rsidR="00F554D6">
                  <w:rPr>
                    <w:webHidden/>
                  </w:rPr>
                </w:r>
                <w:r w:rsidR="00F554D6">
                  <w:rPr>
                    <w:webHidden/>
                  </w:rPr>
                  <w:fldChar w:fldCharType="separate"/>
                </w:r>
                <w:r w:rsidR="004F6917">
                  <w:rPr>
                    <w:webHidden/>
                  </w:rPr>
                  <w:t>10</w:t>
                </w:r>
                <w:r w:rsidR="00F554D6">
                  <w:rPr>
                    <w:webHidden/>
                  </w:rPr>
                  <w:fldChar w:fldCharType="end"/>
                </w:r>
              </w:hyperlink>
            </w:p>
            <w:p w14:paraId="0FA4688E" w14:textId="2752D253" w:rsidR="00F554D6" w:rsidRDefault="006A564E">
              <w:pPr>
                <w:pStyle w:val="TOC2"/>
                <w:rPr>
                  <w:rFonts w:asciiTheme="minorHAnsi" w:eastAsiaTheme="minorEastAsia" w:hAnsiTheme="minorHAnsi" w:cstheme="minorBidi"/>
                  <w:color w:val="auto"/>
                  <w:szCs w:val="22"/>
                </w:rPr>
              </w:pPr>
              <w:hyperlink w:anchor="_Toc107838239" w:history="1">
                <w:r w:rsidR="00F554D6" w:rsidRPr="0051030A">
                  <w:rPr>
                    <w:rStyle w:val="Hyperlink"/>
                    <w:lang w:eastAsia="en-US"/>
                  </w:rPr>
                  <w:t>The Payment Times Reporting Portal</w:t>
                </w:r>
                <w:r w:rsidR="00F554D6">
                  <w:rPr>
                    <w:webHidden/>
                  </w:rPr>
                  <w:tab/>
                </w:r>
                <w:r w:rsidR="00F554D6">
                  <w:rPr>
                    <w:webHidden/>
                  </w:rPr>
                  <w:fldChar w:fldCharType="begin"/>
                </w:r>
                <w:r w:rsidR="00F554D6">
                  <w:rPr>
                    <w:webHidden/>
                  </w:rPr>
                  <w:instrText xml:space="preserve"> PAGEREF _Toc107838239 \h </w:instrText>
                </w:r>
                <w:r w:rsidR="00F554D6">
                  <w:rPr>
                    <w:webHidden/>
                  </w:rPr>
                </w:r>
                <w:r w:rsidR="00F554D6">
                  <w:rPr>
                    <w:webHidden/>
                  </w:rPr>
                  <w:fldChar w:fldCharType="separate"/>
                </w:r>
                <w:r w:rsidR="004F6917">
                  <w:rPr>
                    <w:webHidden/>
                  </w:rPr>
                  <w:t>10</w:t>
                </w:r>
                <w:r w:rsidR="00F554D6">
                  <w:rPr>
                    <w:webHidden/>
                  </w:rPr>
                  <w:fldChar w:fldCharType="end"/>
                </w:r>
              </w:hyperlink>
            </w:p>
            <w:p w14:paraId="314BD39F" w14:textId="467FB9AD" w:rsidR="00F554D6" w:rsidRDefault="006A564E">
              <w:pPr>
                <w:pStyle w:val="TOC2"/>
                <w:rPr>
                  <w:rFonts w:asciiTheme="minorHAnsi" w:eastAsiaTheme="minorEastAsia" w:hAnsiTheme="minorHAnsi" w:cstheme="minorBidi"/>
                  <w:color w:val="auto"/>
                  <w:szCs w:val="22"/>
                </w:rPr>
              </w:pPr>
              <w:hyperlink w:anchor="_Toc107838240" w:history="1">
                <w:r w:rsidR="00F554D6" w:rsidRPr="0051030A">
                  <w:rPr>
                    <w:rStyle w:val="Hyperlink"/>
                    <w:lang w:eastAsia="en-US"/>
                  </w:rPr>
                  <w:t>Signing reports and declarations</w:t>
                </w:r>
                <w:r w:rsidR="00F554D6">
                  <w:rPr>
                    <w:webHidden/>
                  </w:rPr>
                  <w:tab/>
                </w:r>
                <w:r w:rsidR="00F554D6">
                  <w:rPr>
                    <w:webHidden/>
                  </w:rPr>
                  <w:fldChar w:fldCharType="begin"/>
                </w:r>
                <w:r w:rsidR="00F554D6">
                  <w:rPr>
                    <w:webHidden/>
                  </w:rPr>
                  <w:instrText xml:space="preserve"> PAGEREF _Toc107838240 \h </w:instrText>
                </w:r>
                <w:r w:rsidR="00F554D6">
                  <w:rPr>
                    <w:webHidden/>
                  </w:rPr>
                </w:r>
                <w:r w:rsidR="00F554D6">
                  <w:rPr>
                    <w:webHidden/>
                  </w:rPr>
                  <w:fldChar w:fldCharType="separate"/>
                </w:r>
                <w:r w:rsidR="004F6917">
                  <w:rPr>
                    <w:webHidden/>
                  </w:rPr>
                  <w:t>11</w:t>
                </w:r>
                <w:r w:rsidR="00F554D6">
                  <w:rPr>
                    <w:webHidden/>
                  </w:rPr>
                  <w:fldChar w:fldCharType="end"/>
                </w:r>
              </w:hyperlink>
            </w:p>
            <w:p w14:paraId="450251E7" w14:textId="3A7C0AE5" w:rsidR="00F554D6" w:rsidRDefault="006A564E">
              <w:pPr>
                <w:pStyle w:val="TOC2"/>
                <w:rPr>
                  <w:rFonts w:asciiTheme="minorHAnsi" w:eastAsiaTheme="minorEastAsia" w:hAnsiTheme="minorHAnsi" w:cstheme="minorBidi"/>
                  <w:color w:val="auto"/>
                  <w:szCs w:val="22"/>
                </w:rPr>
              </w:pPr>
              <w:hyperlink w:anchor="_Toc107838241" w:history="1">
                <w:r w:rsidR="00F554D6" w:rsidRPr="0051030A">
                  <w:rPr>
                    <w:rStyle w:val="Hyperlink"/>
                    <w:lang w:eastAsia="en-US"/>
                  </w:rPr>
                  <w:t>Publication of reports</w:t>
                </w:r>
                <w:r w:rsidR="00F554D6">
                  <w:rPr>
                    <w:webHidden/>
                  </w:rPr>
                  <w:tab/>
                </w:r>
                <w:r w:rsidR="00F554D6">
                  <w:rPr>
                    <w:webHidden/>
                  </w:rPr>
                  <w:fldChar w:fldCharType="begin"/>
                </w:r>
                <w:r w:rsidR="00F554D6">
                  <w:rPr>
                    <w:webHidden/>
                  </w:rPr>
                  <w:instrText xml:space="preserve"> PAGEREF _Toc107838241 \h </w:instrText>
                </w:r>
                <w:r w:rsidR="00F554D6">
                  <w:rPr>
                    <w:webHidden/>
                  </w:rPr>
                </w:r>
                <w:r w:rsidR="00F554D6">
                  <w:rPr>
                    <w:webHidden/>
                  </w:rPr>
                  <w:fldChar w:fldCharType="separate"/>
                </w:r>
                <w:r w:rsidR="004F6917">
                  <w:rPr>
                    <w:webHidden/>
                  </w:rPr>
                  <w:t>11</w:t>
                </w:r>
                <w:r w:rsidR="00F554D6">
                  <w:rPr>
                    <w:webHidden/>
                  </w:rPr>
                  <w:fldChar w:fldCharType="end"/>
                </w:r>
              </w:hyperlink>
            </w:p>
            <w:p w14:paraId="2D253E62" w14:textId="396AA8FC" w:rsidR="00553C26" w:rsidRDefault="00553C26">
              <w:r>
                <w:rPr>
                  <w:b/>
                  <w:bCs/>
                  <w:noProof/>
                </w:rPr>
                <w:fldChar w:fldCharType="end"/>
              </w:r>
            </w:p>
          </w:sdtContent>
        </w:sdt>
        <w:p w14:paraId="4A2E8FD7" w14:textId="6103856A" w:rsidR="00755B0D" w:rsidRDefault="00755B0D" w:rsidP="003829B0">
          <w:r>
            <w:br w:type="page"/>
          </w:r>
        </w:p>
        <w:p w14:paraId="6589B086" w14:textId="55AFB854" w:rsidR="007564B8" w:rsidRDefault="007564B8" w:rsidP="00C56ABD">
          <w:pPr>
            <w:pStyle w:val="Heading1"/>
            <w:spacing w:before="0"/>
          </w:pPr>
          <w:bookmarkStart w:id="13" w:name="_Toc107838219"/>
          <w:r w:rsidRPr="00B61F31">
            <w:lastRenderedPageBreak/>
            <w:t>When to prepare a report</w:t>
          </w:r>
          <w:bookmarkEnd w:id="13"/>
        </w:p>
        <w:tbl>
          <w:tblPr>
            <w:tblStyle w:val="TableGrid"/>
            <w:tblW w:w="0" w:type="auto"/>
            <w:tblLook w:val="04A0" w:firstRow="1" w:lastRow="0" w:firstColumn="1" w:lastColumn="0" w:noHBand="0" w:noVBand="1"/>
          </w:tblPr>
          <w:tblGrid>
            <w:gridCol w:w="9050"/>
          </w:tblGrid>
          <w:tr w:rsidR="00815039" w14:paraId="1552196C" w14:textId="77777777" w:rsidTr="00C56ABD">
            <w:tc>
              <w:tcPr>
                <w:tcW w:w="9070" w:type="dxa"/>
                <w:tcBorders>
                  <w:top w:val="single" w:sz="6" w:space="0" w:color="auto"/>
                  <w:left w:val="single" w:sz="8" w:space="0" w:color="auto"/>
                  <w:bottom w:val="single" w:sz="6" w:space="0" w:color="auto"/>
                  <w:right w:val="single" w:sz="8" w:space="0" w:color="auto"/>
                </w:tcBorders>
                <w:shd w:val="clear" w:color="auto" w:fill="2C384A"/>
              </w:tcPr>
              <w:p w14:paraId="55E38AD6" w14:textId="77777777" w:rsidR="00815039" w:rsidRPr="00762DA2" w:rsidRDefault="00815039" w:rsidP="007F38C7">
                <w:pPr>
                  <w:pStyle w:val="Heading3"/>
                  <w:outlineLvl w:val="2"/>
                </w:pPr>
                <w:bookmarkStart w:id="14" w:name="_Toc107838220"/>
                <w:r w:rsidRPr="007F38C7">
                  <w:rPr>
                    <w:color w:val="FFFFFF" w:themeColor="background1"/>
                  </w:rPr>
                  <w:t>Key points</w:t>
                </w:r>
                <w:bookmarkEnd w:id="14"/>
                <w:r w:rsidRPr="00BA34D7">
                  <w:tab/>
                </w:r>
              </w:p>
            </w:tc>
          </w:tr>
          <w:tr w:rsidR="00815039" w14:paraId="41E89296" w14:textId="77777777" w:rsidTr="00471445">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13B78762" w14:textId="7191219F" w:rsidR="00815039" w:rsidRPr="00145A26" w:rsidRDefault="00CA73B5" w:rsidP="00CC1F26">
                <w:pPr>
                  <w:pStyle w:val="ListParagraph"/>
                  <w:ind w:left="310" w:hanging="284"/>
                  <w:jc w:val="left"/>
                  <w:rPr>
                    <w:sz w:val="22"/>
                    <w:szCs w:val="24"/>
                  </w:rPr>
                </w:pPr>
                <w:r w:rsidRPr="00145A26">
                  <w:rPr>
                    <w:sz w:val="22"/>
                    <w:szCs w:val="24"/>
                  </w:rPr>
                  <w:t>Reporting entities report twice per year</w:t>
                </w:r>
                <w:r w:rsidR="00C56ABD" w:rsidRPr="00145A26">
                  <w:rPr>
                    <w:sz w:val="22"/>
                    <w:szCs w:val="24"/>
                  </w:rPr>
                  <w:t>.</w:t>
                </w:r>
              </w:p>
              <w:p w14:paraId="4DD397E3" w14:textId="253E28D4" w:rsidR="00CA73B5" w:rsidRPr="00145A26" w:rsidRDefault="00CA73B5" w:rsidP="00CC1F26">
                <w:pPr>
                  <w:pStyle w:val="ListParagraph"/>
                  <w:ind w:left="310" w:hanging="284"/>
                  <w:jc w:val="left"/>
                  <w:rPr>
                    <w:sz w:val="22"/>
                    <w:szCs w:val="24"/>
                  </w:rPr>
                </w:pPr>
                <w:r w:rsidRPr="00145A26">
                  <w:rPr>
                    <w:sz w:val="22"/>
                    <w:szCs w:val="24"/>
                  </w:rPr>
                  <w:t>Reports are usually for a period of 6 months unless the reporting entity uses a 52-53-wee</w:t>
                </w:r>
                <w:r w:rsidR="00C56ABD" w:rsidRPr="00145A26">
                  <w:rPr>
                    <w:sz w:val="22"/>
                    <w:szCs w:val="24"/>
                  </w:rPr>
                  <w:t>k</w:t>
                </w:r>
                <w:r w:rsidRPr="00145A26">
                  <w:rPr>
                    <w:sz w:val="22"/>
                    <w:szCs w:val="24"/>
                  </w:rPr>
                  <w:t xml:space="preserve"> income year or is experiencing a transitional income year</w:t>
                </w:r>
                <w:r w:rsidR="00A71A24">
                  <w:rPr>
                    <w:sz w:val="22"/>
                    <w:szCs w:val="24"/>
                  </w:rPr>
                  <w:t xml:space="preserve"> and may report for a ‘stub period’.</w:t>
                </w:r>
              </w:p>
              <w:p w14:paraId="7597191A" w14:textId="77777777" w:rsidR="002E1C35" w:rsidRPr="002E1C35" w:rsidRDefault="00CA73B5" w:rsidP="002E1C35">
                <w:pPr>
                  <w:pStyle w:val="ListParagraph"/>
                  <w:ind w:left="310" w:hanging="284"/>
                  <w:jc w:val="left"/>
                </w:pPr>
                <w:r w:rsidRPr="00145A26">
                  <w:rPr>
                    <w:sz w:val="22"/>
                    <w:szCs w:val="24"/>
                  </w:rPr>
                  <w:t xml:space="preserve">Reports must be lodged with the </w:t>
                </w:r>
                <w:r w:rsidR="00A71A24">
                  <w:rPr>
                    <w:sz w:val="22"/>
                    <w:szCs w:val="24"/>
                  </w:rPr>
                  <w:t>R</w:t>
                </w:r>
                <w:r w:rsidRPr="00145A26">
                  <w:rPr>
                    <w:sz w:val="22"/>
                    <w:szCs w:val="24"/>
                  </w:rPr>
                  <w:t>egulator within 3 months of the end of a reporting period</w:t>
                </w:r>
                <w:r w:rsidR="00C56ABD" w:rsidRPr="00145A26">
                  <w:rPr>
                    <w:sz w:val="22"/>
                    <w:szCs w:val="24"/>
                  </w:rPr>
                  <w:t>.</w:t>
                </w:r>
              </w:p>
              <w:p w14:paraId="09A60A5F" w14:textId="7CE37FE4" w:rsidR="003B4ED8" w:rsidRPr="002E1C35" w:rsidRDefault="003B4ED8" w:rsidP="00057C63">
                <w:pPr>
                  <w:pStyle w:val="ListParagraph"/>
                  <w:ind w:left="311" w:hanging="284"/>
                </w:pPr>
                <w:r w:rsidRPr="00057C63">
                  <w:rPr>
                    <w:sz w:val="22"/>
                    <w:szCs w:val="24"/>
                  </w:rPr>
                  <w:t xml:space="preserve">Entities subject to a merger or acquisition during a reporting period or reporting window </w:t>
                </w:r>
                <w:r w:rsidR="00996921" w:rsidRPr="00057C63">
                  <w:rPr>
                    <w:sz w:val="22"/>
                    <w:szCs w:val="24"/>
                  </w:rPr>
                  <w:t xml:space="preserve">can lodge their </w:t>
                </w:r>
                <w:r w:rsidRPr="00057C63">
                  <w:rPr>
                    <w:sz w:val="22"/>
                    <w:szCs w:val="24"/>
                  </w:rPr>
                  <w:t xml:space="preserve">own report </w:t>
                </w:r>
                <w:r w:rsidR="00996921" w:rsidRPr="00057C63">
                  <w:rPr>
                    <w:sz w:val="22"/>
                    <w:szCs w:val="24"/>
                  </w:rPr>
                  <w:t>or may have a report lodged as part of its new owner</w:t>
                </w:r>
                <w:r w:rsidR="002E1C35" w:rsidRPr="00057C63">
                  <w:rPr>
                    <w:sz w:val="22"/>
                    <w:szCs w:val="24"/>
                  </w:rPr>
                  <w:t>’</w:t>
                </w:r>
                <w:r w:rsidR="00996921" w:rsidRPr="00057C63">
                  <w:rPr>
                    <w:sz w:val="22"/>
                    <w:szCs w:val="24"/>
                  </w:rPr>
                  <w:t>s group.</w:t>
                </w:r>
              </w:p>
            </w:tc>
          </w:tr>
        </w:tbl>
        <w:p w14:paraId="7B7AE54B" w14:textId="77777777" w:rsidR="00C10365" w:rsidRDefault="00C10365" w:rsidP="00C10365">
          <w:pPr>
            <w:pStyle w:val="Heading2"/>
            <w:rPr>
              <w:lang w:eastAsia="en-US"/>
            </w:rPr>
          </w:pPr>
          <w:bookmarkStart w:id="15" w:name="_Toc107838221"/>
          <w:r>
            <w:rPr>
              <w:lang w:eastAsia="en-US"/>
            </w:rPr>
            <w:t>Reporting deadline</w:t>
          </w:r>
          <w:bookmarkEnd w:id="15"/>
        </w:p>
        <w:p w14:paraId="1B60198C" w14:textId="5CB11B77" w:rsidR="005B24AA" w:rsidRDefault="00BF04B2" w:rsidP="006E5C03">
          <w:pPr>
            <w:pStyle w:val="Bullet"/>
            <w:numPr>
              <w:ilvl w:val="0"/>
              <w:numId w:val="31"/>
            </w:numPr>
            <w:ind w:left="993" w:hanging="993"/>
            <w:rPr>
              <w:lang w:eastAsia="en-US"/>
            </w:rPr>
          </w:pPr>
          <w:r>
            <w:rPr>
              <w:lang w:eastAsia="en-US"/>
            </w:rPr>
            <w:t xml:space="preserve">There are </w:t>
          </w:r>
          <w:r w:rsidR="00C84504">
            <w:rPr>
              <w:lang w:eastAsia="en-US"/>
            </w:rPr>
            <w:t>2</w:t>
          </w:r>
          <w:r>
            <w:rPr>
              <w:lang w:eastAsia="en-US"/>
            </w:rPr>
            <w:t xml:space="preserve"> </w:t>
          </w:r>
          <w:r w:rsidR="008A47F4">
            <w:rPr>
              <w:lang w:eastAsia="en-US"/>
            </w:rPr>
            <w:t>reporting</w:t>
          </w:r>
          <w:r>
            <w:rPr>
              <w:lang w:eastAsia="en-US"/>
            </w:rPr>
            <w:t xml:space="preserve"> periods in an income year, </w:t>
          </w:r>
          <w:r w:rsidR="00116058">
            <w:rPr>
              <w:lang w:eastAsia="en-US"/>
            </w:rPr>
            <w:t xml:space="preserve">the first </w:t>
          </w:r>
          <w:r w:rsidR="00C84504">
            <w:rPr>
              <w:lang w:eastAsia="en-US"/>
            </w:rPr>
            <w:t>6</w:t>
          </w:r>
          <w:r w:rsidR="00116058">
            <w:rPr>
              <w:lang w:eastAsia="en-US"/>
            </w:rPr>
            <w:t xml:space="preserve"> months of an income year and second </w:t>
          </w:r>
          <w:r w:rsidR="008A47F4">
            <w:rPr>
              <w:lang w:eastAsia="en-US"/>
            </w:rPr>
            <w:t xml:space="preserve">being </w:t>
          </w:r>
          <w:r w:rsidR="00116058">
            <w:rPr>
              <w:lang w:eastAsia="en-US"/>
            </w:rPr>
            <w:t>the remainder of the income year.</w:t>
          </w:r>
          <w:r w:rsidR="008C53BF">
            <w:rPr>
              <w:lang w:eastAsia="en-US"/>
            </w:rPr>
            <w:t xml:space="preserve"> The only exception to this is for volunteering entities that give notice </w:t>
          </w:r>
          <w:r w:rsidR="00A71A24">
            <w:rPr>
              <w:lang w:eastAsia="en-US"/>
            </w:rPr>
            <w:t>to</w:t>
          </w:r>
          <w:r w:rsidR="008C53BF">
            <w:rPr>
              <w:lang w:eastAsia="en-US"/>
            </w:rPr>
            <w:t xml:space="preserve"> volunteer in the first </w:t>
          </w:r>
          <w:r w:rsidR="007E6187">
            <w:rPr>
              <w:lang w:eastAsia="en-US"/>
            </w:rPr>
            <w:t>6</w:t>
          </w:r>
          <w:r w:rsidR="008C53BF">
            <w:rPr>
              <w:lang w:eastAsia="en-US"/>
            </w:rPr>
            <w:t xml:space="preserve"> months of </w:t>
          </w:r>
          <w:r w:rsidR="007E6187">
            <w:rPr>
              <w:lang w:eastAsia="en-US"/>
            </w:rPr>
            <w:t>their</w:t>
          </w:r>
          <w:r w:rsidR="008C53BF">
            <w:rPr>
              <w:lang w:eastAsia="en-US"/>
            </w:rPr>
            <w:t xml:space="preserve"> </w:t>
          </w:r>
          <w:r w:rsidR="00C56ABD">
            <w:rPr>
              <w:lang w:eastAsia="en-US"/>
            </w:rPr>
            <w:t>in</w:t>
          </w:r>
          <w:r w:rsidR="008C53BF">
            <w:rPr>
              <w:lang w:eastAsia="en-US"/>
            </w:rPr>
            <w:t>come year.</w:t>
          </w:r>
        </w:p>
        <w:p w14:paraId="1E01A2D1" w14:textId="74F74467" w:rsidR="0045673C" w:rsidRDefault="00116058" w:rsidP="006E5C03">
          <w:pPr>
            <w:pStyle w:val="Bullet"/>
            <w:numPr>
              <w:ilvl w:val="0"/>
              <w:numId w:val="31"/>
            </w:numPr>
            <w:ind w:left="993" w:hanging="993"/>
            <w:rPr>
              <w:lang w:eastAsia="en-US"/>
            </w:rPr>
          </w:pPr>
          <w:r>
            <w:rPr>
              <w:lang w:eastAsia="en-US"/>
            </w:rPr>
            <w:t xml:space="preserve">Reporting periods </w:t>
          </w:r>
          <w:r w:rsidR="008A47F4">
            <w:rPr>
              <w:lang w:eastAsia="en-US"/>
            </w:rPr>
            <w:t xml:space="preserve">are generally </w:t>
          </w:r>
          <w:r w:rsidR="00817C4A">
            <w:rPr>
              <w:lang w:eastAsia="en-US"/>
            </w:rPr>
            <w:t>6</w:t>
          </w:r>
          <w:r w:rsidR="008A47F4">
            <w:rPr>
              <w:lang w:eastAsia="en-US"/>
            </w:rPr>
            <w:t xml:space="preserve"> months</w:t>
          </w:r>
          <w:r w:rsidR="007E6187">
            <w:rPr>
              <w:lang w:eastAsia="en-US"/>
            </w:rPr>
            <w:t>. H</w:t>
          </w:r>
          <w:r w:rsidR="008A47F4">
            <w:rPr>
              <w:lang w:eastAsia="en-US"/>
            </w:rPr>
            <w:t>owever</w:t>
          </w:r>
          <w:r w:rsidR="002B7919">
            <w:rPr>
              <w:lang w:eastAsia="en-US"/>
            </w:rPr>
            <w:t>,</w:t>
          </w:r>
          <w:r w:rsidR="008A47F4">
            <w:rPr>
              <w:lang w:eastAsia="en-US"/>
            </w:rPr>
            <w:t xml:space="preserve"> </w:t>
          </w:r>
          <w:r w:rsidR="00BF6785">
            <w:rPr>
              <w:lang w:eastAsia="en-US"/>
            </w:rPr>
            <w:t xml:space="preserve">they </w:t>
          </w:r>
          <w:r w:rsidR="005B24AA">
            <w:rPr>
              <w:lang w:eastAsia="en-US"/>
            </w:rPr>
            <w:t xml:space="preserve">may be shorter in transitional years or slightly longer if an entity </w:t>
          </w:r>
          <w:r w:rsidR="00416A86">
            <w:rPr>
              <w:lang w:eastAsia="en-US"/>
            </w:rPr>
            <w:t>uses a 52</w:t>
          </w:r>
          <w:r w:rsidR="00011F3B">
            <w:rPr>
              <w:lang w:eastAsia="en-US"/>
            </w:rPr>
            <w:t>-</w:t>
          </w:r>
          <w:r w:rsidR="00416A86">
            <w:rPr>
              <w:lang w:eastAsia="en-US"/>
            </w:rPr>
            <w:t>53</w:t>
          </w:r>
          <w:r w:rsidR="00011F3B">
            <w:rPr>
              <w:lang w:eastAsia="en-US"/>
            </w:rPr>
            <w:t>-week income year</w:t>
          </w:r>
          <w:r w:rsidR="00C56ABD">
            <w:rPr>
              <w:lang w:eastAsia="en-US"/>
            </w:rPr>
            <w:t xml:space="preserve">. </w:t>
          </w:r>
          <w:r w:rsidR="00A71A24">
            <w:rPr>
              <w:lang w:eastAsia="en-US"/>
            </w:rPr>
            <w:t xml:space="preserve">For example, </w:t>
          </w:r>
          <w:r w:rsidR="00921DEA">
            <w:rPr>
              <w:lang w:eastAsia="en-US"/>
            </w:rPr>
            <w:t xml:space="preserve">an </w:t>
          </w:r>
          <w:r w:rsidR="00A71A24">
            <w:rPr>
              <w:lang w:eastAsia="en-US"/>
            </w:rPr>
            <w:t>entit</w:t>
          </w:r>
          <w:r w:rsidR="00921DEA">
            <w:rPr>
              <w:lang w:eastAsia="en-US"/>
            </w:rPr>
            <w:t>y</w:t>
          </w:r>
          <w:r w:rsidR="00A71A24">
            <w:rPr>
              <w:lang w:eastAsia="en-US"/>
            </w:rPr>
            <w:t xml:space="preserve"> synchronising its income year with a parent entity may submit a report for a period less than 6 months (a ‘stub’ period) to align its income year. </w:t>
          </w:r>
          <w:r w:rsidR="00416A86">
            <w:rPr>
              <w:lang w:eastAsia="en-US"/>
            </w:rPr>
            <w:t xml:space="preserve">More information on </w:t>
          </w:r>
          <w:r w:rsidR="00392733">
            <w:rPr>
              <w:lang w:eastAsia="en-US"/>
            </w:rPr>
            <w:t xml:space="preserve">determining </w:t>
          </w:r>
          <w:r w:rsidR="00416A86">
            <w:rPr>
              <w:lang w:eastAsia="en-US"/>
            </w:rPr>
            <w:t xml:space="preserve">reporting periods is available in </w:t>
          </w:r>
          <w:r w:rsidR="00416A86" w:rsidRPr="006E5C03">
            <w:t xml:space="preserve">Guidance </w:t>
          </w:r>
          <w:r w:rsidR="00E03AA3" w:rsidRPr="006E5C03">
            <w:t>n</w:t>
          </w:r>
          <w:r w:rsidR="00416A86" w:rsidRPr="006E5C03">
            <w:t>ote 1: Key concepts</w:t>
          </w:r>
          <w:r w:rsidR="00416A86" w:rsidRPr="006E5C03">
            <w:rPr>
              <w:lang w:eastAsia="en-US"/>
            </w:rPr>
            <w:t>.</w:t>
          </w:r>
        </w:p>
        <w:p w14:paraId="42C66D30" w14:textId="3533DECA" w:rsidR="00392733" w:rsidRDefault="00A84467" w:rsidP="006E5C03">
          <w:pPr>
            <w:pStyle w:val="Bullet"/>
            <w:numPr>
              <w:ilvl w:val="0"/>
              <w:numId w:val="31"/>
            </w:numPr>
            <w:ind w:left="993" w:hanging="993"/>
            <w:rPr>
              <w:lang w:eastAsia="en-US"/>
            </w:rPr>
          </w:pPr>
          <w:r>
            <w:rPr>
              <w:lang w:eastAsia="en-US"/>
            </w:rPr>
            <w:t>Payment times reports must be lodged no later than 3 months after the end of the reporting period</w:t>
          </w:r>
          <w:r w:rsidR="00C56ABD">
            <w:rPr>
              <w:lang w:eastAsia="en-US"/>
            </w:rPr>
            <w:t xml:space="preserve">. </w:t>
          </w:r>
          <w:r w:rsidR="008B1A33">
            <w:rPr>
              <w:lang w:eastAsia="en-US"/>
            </w:rPr>
            <w:t>This 3</w:t>
          </w:r>
          <w:r w:rsidR="0004043E">
            <w:rPr>
              <w:lang w:eastAsia="en-US"/>
            </w:rPr>
            <w:t>-</w:t>
          </w:r>
          <w:r w:rsidR="008B1A33">
            <w:rPr>
              <w:lang w:eastAsia="en-US"/>
            </w:rPr>
            <w:t xml:space="preserve">month period is called the </w:t>
          </w:r>
          <w:r w:rsidR="008B1A33" w:rsidRPr="006E5C03">
            <w:rPr>
              <w:rStyle w:val="Strong"/>
            </w:rPr>
            <w:t>reporting window</w:t>
          </w:r>
          <w:r w:rsidR="00A62E39">
            <w:rPr>
              <w:b/>
              <w:bCs/>
              <w:lang w:eastAsia="en-US"/>
            </w:rPr>
            <w:t>.</w:t>
          </w:r>
          <w:r w:rsidR="008B1A33">
            <w:rPr>
              <w:lang w:eastAsia="en-US"/>
            </w:rPr>
            <w:t xml:space="preserve"> </w:t>
          </w:r>
          <w:r w:rsidR="00A62E39">
            <w:rPr>
              <w:lang w:eastAsia="en-US"/>
            </w:rPr>
            <w:t>A</w:t>
          </w:r>
          <w:r w:rsidR="008B1A33">
            <w:rPr>
              <w:lang w:eastAsia="en-US"/>
            </w:rPr>
            <w:t xml:space="preserve"> report may be lodged at any time</w:t>
          </w:r>
          <w:r w:rsidR="00920F7A">
            <w:rPr>
              <w:lang w:eastAsia="en-US"/>
            </w:rPr>
            <w:t xml:space="preserve"> within the reporting window</w:t>
          </w:r>
          <w:r w:rsidR="00C56ABD">
            <w:rPr>
              <w:lang w:eastAsia="en-US"/>
            </w:rPr>
            <w:t xml:space="preserve">. </w:t>
          </w:r>
          <w:r w:rsidR="00D61A2B">
            <w:rPr>
              <w:lang w:eastAsia="en-US"/>
            </w:rPr>
            <w:t xml:space="preserve"> Reports lodged after </w:t>
          </w:r>
          <w:r w:rsidR="00920F7A">
            <w:rPr>
              <w:lang w:eastAsia="en-US"/>
            </w:rPr>
            <w:t>the reporting window</w:t>
          </w:r>
          <w:r w:rsidR="00D61A2B">
            <w:rPr>
              <w:lang w:eastAsia="en-US"/>
            </w:rPr>
            <w:t xml:space="preserve"> may </w:t>
          </w:r>
          <w:r w:rsidR="005D4277">
            <w:rPr>
              <w:lang w:eastAsia="en-US"/>
            </w:rPr>
            <w:t xml:space="preserve">result in </w:t>
          </w:r>
          <w:r w:rsidR="00D61A2B">
            <w:rPr>
              <w:lang w:eastAsia="en-US"/>
            </w:rPr>
            <w:t xml:space="preserve">compliance action unless </w:t>
          </w:r>
          <w:r w:rsidR="007E255A">
            <w:rPr>
              <w:lang w:eastAsia="en-US"/>
            </w:rPr>
            <w:t xml:space="preserve">we </w:t>
          </w:r>
          <w:r w:rsidR="00425FCD">
            <w:rPr>
              <w:lang w:eastAsia="en-US"/>
            </w:rPr>
            <w:t xml:space="preserve">have </w:t>
          </w:r>
          <w:r w:rsidR="007E255A">
            <w:rPr>
              <w:lang w:eastAsia="en-US"/>
            </w:rPr>
            <w:t>approved an extension of time to lodge the report</w:t>
          </w:r>
          <w:r w:rsidR="00C56ABD">
            <w:rPr>
              <w:lang w:eastAsia="en-US"/>
            </w:rPr>
            <w:t xml:space="preserve">. </w:t>
          </w:r>
        </w:p>
        <w:p w14:paraId="6AD9DEEF" w14:textId="6BAFF1B6" w:rsidR="00BF6785" w:rsidRDefault="00392733" w:rsidP="006E5C03">
          <w:pPr>
            <w:pStyle w:val="Bullet"/>
            <w:numPr>
              <w:ilvl w:val="0"/>
              <w:numId w:val="31"/>
            </w:numPr>
            <w:ind w:left="993" w:hanging="993"/>
            <w:rPr>
              <w:lang w:eastAsia="en-US"/>
            </w:rPr>
          </w:pPr>
          <w:r>
            <w:rPr>
              <w:lang w:eastAsia="en-US"/>
            </w:rPr>
            <w:t xml:space="preserve">For more information on how to apply for an extension of time to lodge a report see </w:t>
          </w:r>
          <w:r w:rsidRPr="006E5C03">
            <w:rPr>
              <w:lang w:eastAsia="en-US"/>
            </w:rPr>
            <w:t xml:space="preserve">Guidance </w:t>
          </w:r>
          <w:r w:rsidR="00AE4131" w:rsidRPr="006E5C03">
            <w:rPr>
              <w:lang w:eastAsia="en-US"/>
            </w:rPr>
            <w:t>n</w:t>
          </w:r>
          <w:r w:rsidRPr="006E5C03">
            <w:rPr>
              <w:lang w:eastAsia="en-US"/>
            </w:rPr>
            <w:t xml:space="preserve">ote 3: Applications </w:t>
          </w:r>
          <w:r w:rsidR="00AE4131" w:rsidRPr="006E5C03">
            <w:rPr>
              <w:lang w:eastAsia="en-US"/>
            </w:rPr>
            <w:t>and</w:t>
          </w:r>
          <w:r w:rsidRPr="006E5C03">
            <w:rPr>
              <w:lang w:eastAsia="en-US"/>
            </w:rPr>
            <w:t xml:space="preserve"> notifications.</w:t>
          </w:r>
          <w:r w:rsidR="00BF6785" w:rsidRPr="00BF6785">
            <w:rPr>
              <w:lang w:eastAsia="en-US"/>
            </w:rPr>
            <w:t xml:space="preserve"> </w:t>
          </w:r>
        </w:p>
        <w:p w14:paraId="52FCD73B" w14:textId="06830D2C" w:rsidR="00392733" w:rsidRDefault="00BF6785" w:rsidP="006E5C03">
          <w:pPr>
            <w:pStyle w:val="Bullet"/>
            <w:numPr>
              <w:ilvl w:val="0"/>
              <w:numId w:val="31"/>
            </w:numPr>
            <w:ind w:left="993" w:hanging="993"/>
            <w:rPr>
              <w:lang w:eastAsia="en-US"/>
            </w:rPr>
          </w:pPr>
          <w:r>
            <w:rPr>
              <w:lang w:eastAsia="en-US"/>
            </w:rPr>
            <w:t xml:space="preserve">For more information on our approach to compliance see </w:t>
          </w:r>
          <w:r w:rsidRPr="005E4B5D">
            <w:rPr>
              <w:lang w:eastAsia="en-US"/>
            </w:rPr>
            <w:t xml:space="preserve">Information </w:t>
          </w:r>
          <w:r w:rsidR="00AE4131" w:rsidRPr="005E4B5D">
            <w:rPr>
              <w:lang w:eastAsia="en-US"/>
            </w:rPr>
            <w:t>s</w:t>
          </w:r>
          <w:r w:rsidRPr="005E4B5D">
            <w:rPr>
              <w:lang w:eastAsia="en-US"/>
            </w:rPr>
            <w:t>heet 1: Our approach to regulation.</w:t>
          </w:r>
        </w:p>
        <w:p w14:paraId="6C9CFD6A" w14:textId="06005DD3" w:rsidR="004B6A63" w:rsidRDefault="004B6A63" w:rsidP="00E733A3">
          <w:pPr>
            <w:pStyle w:val="Heading2"/>
            <w:rPr>
              <w:lang w:eastAsia="en-US"/>
            </w:rPr>
          </w:pPr>
          <w:bookmarkStart w:id="16" w:name="_Toc107838222"/>
          <w:r>
            <w:rPr>
              <w:lang w:eastAsia="en-US"/>
            </w:rPr>
            <w:t xml:space="preserve">Mergers </w:t>
          </w:r>
          <w:r w:rsidR="00DD306C">
            <w:rPr>
              <w:lang w:eastAsia="en-US"/>
            </w:rPr>
            <w:t>and</w:t>
          </w:r>
          <w:r>
            <w:rPr>
              <w:lang w:eastAsia="en-US"/>
            </w:rPr>
            <w:t xml:space="preserve"> acquisitions</w:t>
          </w:r>
          <w:bookmarkEnd w:id="16"/>
        </w:p>
        <w:p w14:paraId="4AB7C165" w14:textId="7BFF71AE" w:rsidR="004B6A63" w:rsidRDefault="00921DEA" w:rsidP="006E5C03">
          <w:pPr>
            <w:pStyle w:val="Bullet"/>
            <w:numPr>
              <w:ilvl w:val="0"/>
              <w:numId w:val="31"/>
            </w:numPr>
            <w:ind w:left="993" w:hanging="993"/>
            <w:rPr>
              <w:lang w:eastAsia="en-US"/>
            </w:rPr>
          </w:pPr>
          <w:r>
            <w:rPr>
              <w:lang w:eastAsia="en-US"/>
            </w:rPr>
            <w:t>E</w:t>
          </w:r>
          <w:r w:rsidR="004B6A63">
            <w:rPr>
              <w:lang w:eastAsia="en-US"/>
            </w:rPr>
            <w:t>ach reporting entity</w:t>
          </w:r>
          <w:r>
            <w:rPr>
              <w:lang w:eastAsia="en-US"/>
            </w:rPr>
            <w:t xml:space="preserve"> has an obligation</w:t>
          </w:r>
          <w:r w:rsidR="004B6A63">
            <w:rPr>
              <w:lang w:eastAsia="en-US"/>
            </w:rPr>
            <w:t xml:space="preserve"> to give a payment times report.  Although controlling corporations and head entities may lodge </w:t>
          </w:r>
          <w:r>
            <w:rPr>
              <w:lang w:eastAsia="en-US"/>
            </w:rPr>
            <w:t xml:space="preserve">reports </w:t>
          </w:r>
          <w:r w:rsidR="004B6A63">
            <w:rPr>
              <w:lang w:eastAsia="en-US"/>
            </w:rPr>
            <w:t>on behalf of member and subsidiary entities, the obligation</w:t>
          </w:r>
          <w:r w:rsidR="00996921">
            <w:rPr>
              <w:lang w:eastAsia="en-US"/>
            </w:rPr>
            <w:t xml:space="preserve"> to report</w:t>
          </w:r>
          <w:r w:rsidR="004B6A63">
            <w:rPr>
              <w:lang w:eastAsia="en-US"/>
            </w:rPr>
            <w:t xml:space="preserve"> </w:t>
          </w:r>
          <w:r w:rsidR="003C09B3">
            <w:rPr>
              <w:lang w:eastAsia="en-US"/>
            </w:rPr>
            <w:t>remain</w:t>
          </w:r>
          <w:r w:rsidR="00996921">
            <w:rPr>
              <w:lang w:eastAsia="en-US"/>
            </w:rPr>
            <w:t>s</w:t>
          </w:r>
          <w:r w:rsidR="004B6A63">
            <w:rPr>
              <w:lang w:eastAsia="en-US"/>
            </w:rPr>
            <w:t xml:space="preserve"> with the individual </w:t>
          </w:r>
          <w:r w:rsidR="002673A9">
            <w:rPr>
              <w:lang w:eastAsia="en-US"/>
            </w:rPr>
            <w:t>reporting entity.  For more information see Reporting for groups.</w:t>
          </w:r>
        </w:p>
        <w:p w14:paraId="5202C2F5" w14:textId="13176212" w:rsidR="002673A9" w:rsidRDefault="00950331" w:rsidP="006E5C03">
          <w:pPr>
            <w:pStyle w:val="Bullet"/>
            <w:numPr>
              <w:ilvl w:val="0"/>
              <w:numId w:val="31"/>
            </w:numPr>
            <w:ind w:left="993" w:hanging="993"/>
            <w:rPr>
              <w:lang w:eastAsia="en-US"/>
            </w:rPr>
          </w:pPr>
          <w:r>
            <w:rPr>
              <w:lang w:eastAsia="en-US"/>
            </w:rPr>
            <w:t xml:space="preserve">Following </w:t>
          </w:r>
          <w:r w:rsidR="002673A9">
            <w:rPr>
              <w:lang w:eastAsia="en-US"/>
            </w:rPr>
            <w:t xml:space="preserve">a merger or acquisition </w:t>
          </w:r>
          <w:r w:rsidR="00DD306C">
            <w:rPr>
              <w:lang w:eastAsia="en-US"/>
            </w:rPr>
            <w:t xml:space="preserve">a </w:t>
          </w:r>
          <w:r w:rsidR="00305040">
            <w:rPr>
              <w:lang w:eastAsia="en-US"/>
            </w:rPr>
            <w:t>reporting entity may:</w:t>
          </w:r>
        </w:p>
        <w:p w14:paraId="24972586" w14:textId="70655DAE" w:rsidR="00305040" w:rsidRDefault="003C09B3" w:rsidP="00305040">
          <w:pPr>
            <w:pStyle w:val="Bullet"/>
            <w:numPr>
              <w:ilvl w:val="0"/>
              <w:numId w:val="70"/>
            </w:numPr>
            <w:ind w:left="2268"/>
            <w:rPr>
              <w:lang w:eastAsia="en-US"/>
            </w:rPr>
          </w:pPr>
          <w:r>
            <w:rPr>
              <w:lang w:eastAsia="en-US"/>
            </w:rPr>
            <w:t>s</w:t>
          </w:r>
          <w:r w:rsidR="00305040">
            <w:rPr>
              <w:lang w:eastAsia="en-US"/>
            </w:rPr>
            <w:t>ubmit a r</w:t>
          </w:r>
          <w:r>
            <w:rPr>
              <w:lang w:eastAsia="en-US"/>
            </w:rPr>
            <w:t>eport individually, or</w:t>
          </w:r>
        </w:p>
        <w:p w14:paraId="3E98E3C8" w14:textId="4D74EABC" w:rsidR="003C09B3" w:rsidRDefault="003C09B3" w:rsidP="00E733A3">
          <w:pPr>
            <w:pStyle w:val="Bullet"/>
            <w:numPr>
              <w:ilvl w:val="0"/>
              <w:numId w:val="70"/>
            </w:numPr>
            <w:ind w:left="2268"/>
            <w:rPr>
              <w:lang w:eastAsia="en-US"/>
            </w:rPr>
          </w:pPr>
          <w:r>
            <w:rPr>
              <w:lang w:eastAsia="en-US"/>
            </w:rPr>
            <w:t xml:space="preserve">submit as a member or subsidiary entity in the </w:t>
          </w:r>
          <w:r w:rsidRPr="00314933">
            <w:rPr>
              <w:rStyle w:val="Strong"/>
            </w:rPr>
            <w:t>Payment times reporting template</w:t>
          </w:r>
          <w:r>
            <w:rPr>
              <w:lang w:eastAsia="en-US"/>
            </w:rPr>
            <w:t xml:space="preserve"> prepared by the controlling corporation or head entity at the time of submitting the report.</w:t>
          </w:r>
        </w:p>
        <w:p w14:paraId="51B9D9A3" w14:textId="4B4B086B" w:rsidR="00305040" w:rsidRDefault="0052285B" w:rsidP="006E5C03">
          <w:pPr>
            <w:pStyle w:val="Bullet"/>
            <w:numPr>
              <w:ilvl w:val="0"/>
              <w:numId w:val="31"/>
            </w:numPr>
            <w:ind w:left="993" w:hanging="993"/>
            <w:rPr>
              <w:lang w:eastAsia="en-US"/>
            </w:rPr>
          </w:pPr>
          <w:r>
            <w:rPr>
              <w:lang w:eastAsia="en-US"/>
            </w:rPr>
            <w:lastRenderedPageBreak/>
            <w:t>Where an entity has been subject to a merger or acquisition it still prepares a payment times report for a 6</w:t>
          </w:r>
          <w:r w:rsidR="00DD306C">
            <w:rPr>
              <w:lang w:eastAsia="en-US"/>
            </w:rPr>
            <w:t>-</w:t>
          </w:r>
          <w:r>
            <w:rPr>
              <w:lang w:eastAsia="en-US"/>
            </w:rPr>
            <w:t xml:space="preserve">month reporting period. Reports should not be submitted for a partial period up to or following a merger or acquisition transaction date. </w:t>
          </w:r>
          <w:r w:rsidR="003C09B3">
            <w:rPr>
              <w:lang w:eastAsia="en-US"/>
            </w:rPr>
            <w:t xml:space="preserve">Table </w:t>
          </w:r>
          <w:r w:rsidR="00314933">
            <w:rPr>
              <w:lang w:eastAsia="en-US"/>
            </w:rPr>
            <w:t>1</w:t>
          </w:r>
          <w:r w:rsidR="003C09B3">
            <w:rPr>
              <w:lang w:eastAsia="en-US"/>
            </w:rPr>
            <w:t xml:space="preserve"> provides examples of how an entity subject to a merger or acquisition may report.</w:t>
          </w:r>
          <w:r w:rsidR="00950331">
            <w:rPr>
              <w:lang w:eastAsia="en-US"/>
            </w:rPr>
            <w:t xml:space="preserve">  </w:t>
          </w:r>
        </w:p>
        <w:p w14:paraId="21C9F7A7" w14:textId="7934974F" w:rsidR="003C09B3" w:rsidRPr="007F38C7" w:rsidRDefault="003C09B3" w:rsidP="003C09B3">
          <w:pPr>
            <w:pStyle w:val="Heading3"/>
            <w:ind w:left="993" w:hanging="993"/>
            <w:rPr>
              <w:sz w:val="22"/>
              <w:szCs w:val="22"/>
              <w:lang w:eastAsia="en-US"/>
            </w:rPr>
          </w:pPr>
          <w:bookmarkStart w:id="17" w:name="_Toc107838223"/>
          <w:r w:rsidRPr="007F38C7">
            <w:rPr>
              <w:sz w:val="22"/>
              <w:szCs w:val="22"/>
              <w:lang w:eastAsia="en-US"/>
            </w:rPr>
            <w:t xml:space="preserve">Table </w:t>
          </w:r>
          <w:r w:rsidR="002A4C32">
            <w:rPr>
              <w:sz w:val="22"/>
              <w:szCs w:val="22"/>
              <w:lang w:eastAsia="en-US"/>
            </w:rPr>
            <w:t>1</w:t>
          </w:r>
          <w:r w:rsidRPr="007F38C7">
            <w:rPr>
              <w:sz w:val="22"/>
              <w:szCs w:val="22"/>
              <w:lang w:eastAsia="en-US"/>
            </w:rPr>
            <w:t xml:space="preserve">: </w:t>
          </w:r>
          <w:r w:rsidR="004713D5">
            <w:rPr>
              <w:sz w:val="22"/>
              <w:szCs w:val="22"/>
              <w:lang w:eastAsia="en-US"/>
            </w:rPr>
            <w:t>Guidance e</w:t>
          </w:r>
          <w:r w:rsidR="00950331">
            <w:rPr>
              <w:sz w:val="22"/>
              <w:szCs w:val="22"/>
              <w:lang w:eastAsia="en-US"/>
            </w:rPr>
            <w:t>xample</w:t>
          </w:r>
          <w:r w:rsidR="00314933">
            <w:rPr>
              <w:sz w:val="22"/>
              <w:szCs w:val="22"/>
              <w:lang w:eastAsia="en-US"/>
            </w:rPr>
            <w:t>s</w:t>
          </w:r>
          <w:r w:rsidR="00950331">
            <w:rPr>
              <w:sz w:val="22"/>
              <w:szCs w:val="22"/>
              <w:lang w:eastAsia="en-US"/>
            </w:rPr>
            <w:t xml:space="preserve"> for </w:t>
          </w:r>
          <w:r>
            <w:rPr>
              <w:sz w:val="22"/>
              <w:szCs w:val="22"/>
              <w:lang w:eastAsia="en-US"/>
            </w:rPr>
            <w:t>submitting reports after a merger or acquisition</w:t>
          </w:r>
          <w:bookmarkEnd w:id="17"/>
        </w:p>
        <w:tbl>
          <w:tblPr>
            <w:tblStyle w:val="TableGrid"/>
            <w:tblW w:w="0" w:type="auto"/>
            <w:tblLook w:val="04A0" w:firstRow="1" w:lastRow="0" w:firstColumn="1" w:lastColumn="0" w:noHBand="0" w:noVBand="1"/>
          </w:tblPr>
          <w:tblGrid>
            <w:gridCol w:w="3109"/>
            <w:gridCol w:w="5941"/>
          </w:tblGrid>
          <w:tr w:rsidR="003C09B3" w14:paraId="0113E9CC" w14:textId="4E0C35EC" w:rsidTr="00E733A3">
            <w:trPr>
              <w:tblHeader/>
            </w:trPr>
            <w:tc>
              <w:tcPr>
                <w:tcW w:w="3109" w:type="dxa"/>
                <w:tcBorders>
                  <w:top w:val="single" w:sz="6" w:space="0" w:color="auto"/>
                  <w:left w:val="single" w:sz="8" w:space="0" w:color="auto"/>
                  <w:bottom w:val="single" w:sz="6" w:space="0" w:color="auto"/>
                  <w:right w:val="single" w:sz="8" w:space="0" w:color="auto"/>
                </w:tcBorders>
                <w:shd w:val="clear" w:color="auto" w:fill="2C384A"/>
              </w:tcPr>
              <w:p w14:paraId="5C2E8E3F" w14:textId="5326E06B" w:rsidR="003C09B3" w:rsidRPr="00E51D43" w:rsidRDefault="00950331" w:rsidP="00D40D3E">
                <w:pPr>
                  <w:pStyle w:val="Heading4"/>
                  <w:outlineLvl w:val="3"/>
                </w:pPr>
                <w:r>
                  <w:rPr>
                    <w:color w:val="FFFFFF" w:themeColor="background1"/>
                  </w:rPr>
                  <w:t>Example scenario</w:t>
                </w:r>
              </w:p>
            </w:tc>
            <w:tc>
              <w:tcPr>
                <w:tcW w:w="5941" w:type="dxa"/>
                <w:tcBorders>
                  <w:top w:val="single" w:sz="6" w:space="0" w:color="auto"/>
                  <w:left w:val="single" w:sz="8" w:space="0" w:color="auto"/>
                  <w:bottom w:val="single" w:sz="6" w:space="0" w:color="auto"/>
                  <w:right w:val="single" w:sz="8" w:space="0" w:color="auto"/>
                </w:tcBorders>
                <w:shd w:val="clear" w:color="auto" w:fill="2C384A"/>
              </w:tcPr>
              <w:p w14:paraId="457D8BFB" w14:textId="22BABEC7" w:rsidR="003C09B3" w:rsidRPr="00BA34D7" w:rsidRDefault="00A215D7" w:rsidP="00D40D3E">
                <w:pPr>
                  <w:pStyle w:val="Heading4"/>
                  <w:outlineLvl w:val="3"/>
                  <w:rPr>
                    <w:color w:val="FFFFFF" w:themeColor="background1"/>
                  </w:rPr>
                </w:pPr>
                <w:r>
                  <w:rPr>
                    <w:color w:val="FFFFFF" w:themeColor="background1"/>
                  </w:rPr>
                  <w:t>Reporting options</w:t>
                </w:r>
                <w:r w:rsidR="00950331">
                  <w:rPr>
                    <w:color w:val="FFFFFF" w:themeColor="background1"/>
                  </w:rPr>
                  <w:t xml:space="preserve"> </w:t>
                </w:r>
              </w:p>
            </w:tc>
          </w:tr>
          <w:tr w:rsidR="003C09B3" w14:paraId="2471602C" w14:textId="533192FD" w:rsidTr="00E733A3">
            <w:trPr>
              <w:tblHeader/>
            </w:trPr>
            <w:tc>
              <w:tcPr>
                <w:tcW w:w="3109" w:type="dxa"/>
                <w:tcBorders>
                  <w:top w:val="single" w:sz="6" w:space="0" w:color="auto"/>
                  <w:left w:val="single" w:sz="8" w:space="0" w:color="auto"/>
                  <w:bottom w:val="single" w:sz="6" w:space="0" w:color="auto"/>
                  <w:right w:val="single" w:sz="8" w:space="0" w:color="auto"/>
                </w:tcBorders>
                <w:shd w:val="clear" w:color="auto" w:fill="FFFFFF" w:themeFill="background1"/>
              </w:tcPr>
              <w:p w14:paraId="4CEC687D" w14:textId="32B66664" w:rsidR="003C09B3" w:rsidRPr="00E733A3" w:rsidRDefault="00EE3A5C" w:rsidP="00E62ED5">
                <w:pPr>
                  <w:pStyle w:val="Bullet"/>
                  <w:numPr>
                    <w:ilvl w:val="0"/>
                    <w:numId w:val="0"/>
                  </w:numPr>
                  <w:jc w:val="left"/>
                  <w:rPr>
                    <w:lang w:eastAsia="en-US"/>
                  </w:rPr>
                </w:pPr>
                <w:r w:rsidRPr="00E733A3">
                  <w:rPr>
                    <w:lang w:eastAsia="en-US"/>
                  </w:rPr>
                  <w:t>Entity A is acquired during a reporting period and becomes a member entity of Entity B.</w:t>
                </w:r>
              </w:p>
            </w:tc>
            <w:tc>
              <w:tcPr>
                <w:tcW w:w="5941" w:type="dxa"/>
                <w:tcBorders>
                  <w:top w:val="single" w:sz="6" w:space="0" w:color="auto"/>
                  <w:left w:val="single" w:sz="8" w:space="0" w:color="auto"/>
                  <w:bottom w:val="single" w:sz="6" w:space="0" w:color="auto"/>
                  <w:right w:val="single" w:sz="8" w:space="0" w:color="auto"/>
                </w:tcBorders>
                <w:shd w:val="clear" w:color="auto" w:fill="FFFFFF" w:themeFill="background1"/>
              </w:tcPr>
              <w:p w14:paraId="4BF0E618" w14:textId="2D0C8A13" w:rsidR="00EE3A5C" w:rsidRDefault="00EE3A5C" w:rsidP="00E62ED5">
                <w:pPr>
                  <w:pStyle w:val="Bullet"/>
                  <w:jc w:val="left"/>
                </w:pPr>
                <w:r>
                  <w:t>Entity A can submit a report itself, or</w:t>
                </w:r>
              </w:p>
              <w:p w14:paraId="2FE0C85B" w14:textId="4AC9F100" w:rsidR="00EE3A5C" w:rsidRPr="00921DEA" w:rsidRDefault="00153B5F" w:rsidP="00E62ED5">
                <w:pPr>
                  <w:pStyle w:val="Bullet"/>
                  <w:jc w:val="left"/>
                </w:pPr>
                <w:r>
                  <w:t>A report for Entity A can be submitted in the reporting template of Entity B.</w:t>
                </w:r>
              </w:p>
            </w:tc>
          </w:tr>
          <w:tr w:rsidR="00A215D7" w14:paraId="4491CF8D" w14:textId="77777777" w:rsidTr="00E733A3">
            <w:trPr>
              <w:tblHeader/>
            </w:trPr>
            <w:tc>
              <w:tcPr>
                <w:tcW w:w="3109" w:type="dxa"/>
                <w:tcBorders>
                  <w:top w:val="single" w:sz="6" w:space="0" w:color="auto"/>
                  <w:left w:val="single" w:sz="8" w:space="0" w:color="auto"/>
                  <w:bottom w:val="single" w:sz="6" w:space="0" w:color="auto"/>
                  <w:right w:val="single" w:sz="8" w:space="0" w:color="auto"/>
                </w:tcBorders>
                <w:shd w:val="clear" w:color="auto" w:fill="FFFFFF" w:themeFill="background1"/>
              </w:tcPr>
              <w:p w14:paraId="247DBB57" w14:textId="11C3F96F" w:rsidR="00A215D7" w:rsidRDefault="00A215D7" w:rsidP="00E62ED5">
                <w:pPr>
                  <w:pStyle w:val="Bullet"/>
                  <w:numPr>
                    <w:ilvl w:val="0"/>
                    <w:numId w:val="0"/>
                  </w:numPr>
                  <w:jc w:val="left"/>
                  <w:rPr>
                    <w:szCs w:val="22"/>
                    <w:lang w:eastAsia="en-US"/>
                  </w:rPr>
                </w:pPr>
                <w:r>
                  <w:rPr>
                    <w:szCs w:val="22"/>
                    <w:lang w:eastAsia="en-US"/>
                  </w:rPr>
                  <w:t>Entity A is acquired during a reporting window and becomes a member entity of Entity B.</w:t>
                </w:r>
              </w:p>
            </w:tc>
            <w:tc>
              <w:tcPr>
                <w:tcW w:w="5941" w:type="dxa"/>
                <w:tcBorders>
                  <w:top w:val="single" w:sz="6" w:space="0" w:color="auto"/>
                  <w:left w:val="single" w:sz="8" w:space="0" w:color="auto"/>
                  <w:bottom w:val="single" w:sz="6" w:space="0" w:color="auto"/>
                  <w:right w:val="single" w:sz="8" w:space="0" w:color="auto"/>
                </w:tcBorders>
                <w:shd w:val="clear" w:color="auto" w:fill="FFFFFF" w:themeFill="background1"/>
              </w:tcPr>
              <w:p w14:paraId="1AA54A1A" w14:textId="7935B5E2" w:rsidR="00A215D7" w:rsidRDefault="00A215D7" w:rsidP="00E62ED5">
                <w:pPr>
                  <w:pStyle w:val="Bullet"/>
                  <w:jc w:val="left"/>
                </w:pPr>
                <w:r>
                  <w:t>Entity A can submit a report itself before or after the acquisition, or</w:t>
                </w:r>
              </w:p>
              <w:p w14:paraId="0688AE42" w14:textId="131BC1B6" w:rsidR="00A215D7" w:rsidRPr="00A215D7" w:rsidRDefault="00A215D7" w:rsidP="00E62ED5">
                <w:pPr>
                  <w:pStyle w:val="Bullet"/>
                  <w:jc w:val="left"/>
                </w:pPr>
                <w:r w:rsidRPr="00A215D7">
                  <w:t>A report for Entity A can be submitted in the reporting template of Entity B</w:t>
                </w:r>
                <w:r>
                  <w:t xml:space="preserve"> after the acquisition</w:t>
                </w:r>
                <w:r w:rsidRPr="00A215D7">
                  <w:t>.</w:t>
                </w:r>
              </w:p>
            </w:tc>
          </w:tr>
          <w:tr w:rsidR="00B4187B" w14:paraId="646CCFB7" w14:textId="77777777" w:rsidTr="00A215D7">
            <w:trPr>
              <w:tblHeader/>
            </w:trPr>
            <w:tc>
              <w:tcPr>
                <w:tcW w:w="3109" w:type="dxa"/>
                <w:tcBorders>
                  <w:top w:val="single" w:sz="6" w:space="0" w:color="auto"/>
                  <w:left w:val="single" w:sz="8" w:space="0" w:color="auto"/>
                  <w:bottom w:val="single" w:sz="6" w:space="0" w:color="auto"/>
                  <w:right w:val="single" w:sz="8" w:space="0" w:color="auto"/>
                </w:tcBorders>
                <w:shd w:val="clear" w:color="auto" w:fill="FFFFFF" w:themeFill="background1"/>
              </w:tcPr>
              <w:p w14:paraId="1223DC8F" w14:textId="2D374210" w:rsidR="00B4187B" w:rsidRDefault="00B4187B" w:rsidP="00E62ED5">
                <w:pPr>
                  <w:pStyle w:val="Bullet"/>
                  <w:numPr>
                    <w:ilvl w:val="0"/>
                    <w:numId w:val="0"/>
                  </w:numPr>
                  <w:jc w:val="left"/>
                  <w:rPr>
                    <w:szCs w:val="22"/>
                    <w:lang w:eastAsia="en-US"/>
                  </w:rPr>
                </w:pPr>
                <w:r>
                  <w:rPr>
                    <w:szCs w:val="22"/>
                    <w:lang w:eastAsia="en-US"/>
                  </w:rPr>
                  <w:t>Entity A is a member entity of Entity B and is acquired by Entity C during a reporting window.</w:t>
                </w:r>
              </w:p>
            </w:tc>
            <w:tc>
              <w:tcPr>
                <w:tcW w:w="5941" w:type="dxa"/>
                <w:tcBorders>
                  <w:top w:val="single" w:sz="6" w:space="0" w:color="auto"/>
                  <w:left w:val="single" w:sz="8" w:space="0" w:color="auto"/>
                  <w:bottom w:val="single" w:sz="6" w:space="0" w:color="auto"/>
                  <w:right w:val="single" w:sz="8" w:space="0" w:color="auto"/>
                </w:tcBorders>
                <w:shd w:val="clear" w:color="auto" w:fill="FFFFFF" w:themeFill="background1"/>
              </w:tcPr>
              <w:p w14:paraId="3D576B24" w14:textId="77777777" w:rsidR="00B4187B" w:rsidRDefault="00B4187B" w:rsidP="00E62ED5">
                <w:pPr>
                  <w:pStyle w:val="Bullet"/>
                  <w:jc w:val="left"/>
                </w:pPr>
                <w:r>
                  <w:t xml:space="preserve">Entity A can submit a report itself before or after the acquisition, </w:t>
                </w:r>
              </w:p>
              <w:p w14:paraId="6D19367D" w14:textId="2AE32581" w:rsidR="00B4187B" w:rsidRDefault="00B4187B" w:rsidP="00E62ED5">
                <w:pPr>
                  <w:pStyle w:val="Bullet"/>
                  <w:jc w:val="left"/>
                </w:pPr>
                <w:r>
                  <w:t xml:space="preserve">A </w:t>
                </w:r>
                <w:r w:rsidRPr="00D40D3E">
                  <w:t xml:space="preserve">report for Entity A can be submitted in the reporting template of Entity </w:t>
                </w:r>
                <w:r>
                  <w:t>B before the acquisition, or</w:t>
                </w:r>
              </w:p>
              <w:p w14:paraId="0D24B61C" w14:textId="5A1E80B2" w:rsidR="00B4187B" w:rsidRDefault="00B4187B" w:rsidP="00E62ED5">
                <w:pPr>
                  <w:pStyle w:val="Bullet"/>
                  <w:jc w:val="left"/>
                </w:pPr>
                <w:r w:rsidRPr="00D40D3E">
                  <w:t xml:space="preserve">A report for Entity A can be submitted in the reporting template of Entity </w:t>
                </w:r>
                <w:r>
                  <w:t>C after the acquisition</w:t>
                </w:r>
                <w:r w:rsidRPr="00D40D3E">
                  <w:t>.</w:t>
                </w:r>
              </w:p>
              <w:p w14:paraId="04D11705" w14:textId="54251983" w:rsidR="00B4187B" w:rsidRDefault="00B4187B" w:rsidP="00E62ED5">
                <w:pPr>
                  <w:pStyle w:val="Bullet"/>
                  <w:numPr>
                    <w:ilvl w:val="0"/>
                    <w:numId w:val="0"/>
                  </w:numPr>
                  <w:jc w:val="left"/>
                </w:pPr>
                <w:r>
                  <w:t xml:space="preserve">Note: we will only accept one report for Entity A. We will only accept a revised report after an acquisition if it corrects substantial errors or omissions. See Guidance </w:t>
                </w:r>
                <w:r w:rsidR="00391BE4">
                  <w:t>n</w:t>
                </w:r>
                <w:r>
                  <w:t xml:space="preserve">ote 3: Applications </w:t>
                </w:r>
                <w:r w:rsidR="00E62ED5">
                  <w:t>and</w:t>
                </w:r>
                <w:r>
                  <w:t xml:space="preserve"> notifications.</w:t>
                </w:r>
              </w:p>
            </w:tc>
          </w:tr>
          <w:tr w:rsidR="00EE3A5C" w14:paraId="1EB2177A" w14:textId="77777777" w:rsidTr="00E733A3">
            <w:trPr>
              <w:tblHeader/>
            </w:trPr>
            <w:tc>
              <w:tcPr>
                <w:tcW w:w="3109" w:type="dxa"/>
                <w:tcBorders>
                  <w:top w:val="single" w:sz="6" w:space="0" w:color="auto"/>
                  <w:left w:val="single" w:sz="8" w:space="0" w:color="auto"/>
                  <w:bottom w:val="single" w:sz="6" w:space="0" w:color="auto"/>
                  <w:right w:val="single" w:sz="8" w:space="0" w:color="auto"/>
                </w:tcBorders>
                <w:shd w:val="clear" w:color="auto" w:fill="FFFFFF" w:themeFill="background1"/>
              </w:tcPr>
              <w:p w14:paraId="1AF5B708" w14:textId="54C55924" w:rsidR="00EE3A5C" w:rsidRDefault="00EE3A5C" w:rsidP="00E62ED5">
                <w:pPr>
                  <w:pStyle w:val="Bullet"/>
                  <w:numPr>
                    <w:ilvl w:val="0"/>
                    <w:numId w:val="0"/>
                  </w:numPr>
                  <w:jc w:val="left"/>
                  <w:rPr>
                    <w:szCs w:val="22"/>
                    <w:lang w:eastAsia="en-US"/>
                  </w:rPr>
                </w:pPr>
                <w:r>
                  <w:rPr>
                    <w:szCs w:val="22"/>
                    <w:lang w:eastAsia="en-US"/>
                  </w:rPr>
                  <w:t xml:space="preserve">Entity A and Entity B merge during a reporting period. </w:t>
                </w:r>
                <w:r w:rsidR="00A215D7">
                  <w:rPr>
                    <w:szCs w:val="22"/>
                    <w:lang w:eastAsia="en-US"/>
                  </w:rPr>
                  <w:t>After the merger Entity A will be deregistered.</w:t>
                </w:r>
              </w:p>
            </w:tc>
            <w:tc>
              <w:tcPr>
                <w:tcW w:w="5941" w:type="dxa"/>
                <w:tcBorders>
                  <w:top w:val="single" w:sz="6" w:space="0" w:color="auto"/>
                  <w:left w:val="single" w:sz="8" w:space="0" w:color="auto"/>
                  <w:bottom w:val="single" w:sz="6" w:space="0" w:color="auto"/>
                  <w:right w:val="single" w:sz="8" w:space="0" w:color="auto"/>
                </w:tcBorders>
                <w:shd w:val="clear" w:color="auto" w:fill="FFFFFF" w:themeFill="background1"/>
              </w:tcPr>
              <w:p w14:paraId="37FCFF75" w14:textId="59B029F8" w:rsidR="00A215D7" w:rsidRDefault="00153B5F" w:rsidP="00E62ED5">
                <w:pPr>
                  <w:pStyle w:val="Bullet"/>
                  <w:jc w:val="left"/>
                </w:pPr>
                <w:r>
                  <w:t xml:space="preserve">Entity </w:t>
                </w:r>
                <w:r w:rsidR="00A215D7">
                  <w:t>B can submit a report</w:t>
                </w:r>
                <w:r w:rsidR="00B4187B">
                  <w:t xml:space="preserve"> itself</w:t>
                </w:r>
              </w:p>
              <w:p w14:paraId="5F7B77DC" w14:textId="65A1A809" w:rsidR="00EE3A5C" w:rsidRPr="00921DEA" w:rsidRDefault="00A215D7" w:rsidP="00E62ED5">
                <w:pPr>
                  <w:jc w:val="left"/>
                </w:pPr>
                <w:r>
                  <w:t xml:space="preserve">Note: provided Entity A is deregistered before the end of the reporting period it will not be required to report. </w:t>
                </w:r>
                <w:r w:rsidR="005077B6">
                  <w:br/>
                </w:r>
                <w:r>
                  <w:t xml:space="preserve">See Guidance </w:t>
                </w:r>
                <w:r w:rsidR="00391BE4">
                  <w:t>n</w:t>
                </w:r>
                <w:r>
                  <w:t>ote 1: Key concepts.</w:t>
                </w:r>
              </w:p>
            </w:tc>
          </w:tr>
          <w:tr w:rsidR="00EE3A5C" w14:paraId="23A5F9DD" w14:textId="77777777" w:rsidTr="00E733A3">
            <w:trPr>
              <w:tblHeader/>
            </w:trPr>
            <w:tc>
              <w:tcPr>
                <w:tcW w:w="3109" w:type="dxa"/>
                <w:tcBorders>
                  <w:top w:val="single" w:sz="6" w:space="0" w:color="auto"/>
                  <w:left w:val="single" w:sz="8" w:space="0" w:color="auto"/>
                  <w:bottom w:val="single" w:sz="6" w:space="0" w:color="auto"/>
                  <w:right w:val="single" w:sz="8" w:space="0" w:color="auto"/>
                </w:tcBorders>
                <w:shd w:val="clear" w:color="auto" w:fill="FFFFFF" w:themeFill="background1"/>
              </w:tcPr>
              <w:p w14:paraId="3DB6C2BA" w14:textId="7D3E57F1" w:rsidR="00EE3A5C" w:rsidRDefault="00EE3A5C" w:rsidP="00E62ED5">
                <w:pPr>
                  <w:pStyle w:val="Bullet"/>
                  <w:numPr>
                    <w:ilvl w:val="0"/>
                    <w:numId w:val="0"/>
                  </w:numPr>
                  <w:jc w:val="left"/>
                  <w:rPr>
                    <w:szCs w:val="22"/>
                    <w:lang w:eastAsia="en-US"/>
                  </w:rPr>
                </w:pPr>
                <w:r>
                  <w:rPr>
                    <w:szCs w:val="22"/>
                    <w:lang w:eastAsia="en-US"/>
                  </w:rPr>
                  <w:t>Entity A is member entity of Entity B.  Entity C acquires Entity A during a reporting period.</w:t>
                </w:r>
              </w:p>
            </w:tc>
            <w:tc>
              <w:tcPr>
                <w:tcW w:w="5941" w:type="dxa"/>
                <w:tcBorders>
                  <w:top w:val="single" w:sz="6" w:space="0" w:color="auto"/>
                  <w:left w:val="single" w:sz="8" w:space="0" w:color="auto"/>
                  <w:bottom w:val="single" w:sz="6" w:space="0" w:color="auto"/>
                  <w:right w:val="single" w:sz="8" w:space="0" w:color="auto"/>
                </w:tcBorders>
                <w:shd w:val="clear" w:color="auto" w:fill="FFFFFF" w:themeFill="background1"/>
              </w:tcPr>
              <w:p w14:paraId="73E00DA4" w14:textId="180DC0A7" w:rsidR="00153B5F" w:rsidRDefault="00153B5F" w:rsidP="00E62ED5">
                <w:pPr>
                  <w:pStyle w:val="Bullet"/>
                  <w:jc w:val="left"/>
                </w:pPr>
                <w:r>
                  <w:t xml:space="preserve">Entity </w:t>
                </w:r>
                <w:r w:rsidR="00F107FE">
                  <w:t>A can submit a report itself</w:t>
                </w:r>
                <w:r>
                  <w:t>, or</w:t>
                </w:r>
              </w:p>
              <w:p w14:paraId="1FF04B64" w14:textId="716846A3" w:rsidR="00EE3A5C" w:rsidRDefault="00153B5F" w:rsidP="00E62ED5">
                <w:pPr>
                  <w:pStyle w:val="Bullet"/>
                  <w:jc w:val="left"/>
                </w:pPr>
                <w:r w:rsidRPr="00921DEA">
                  <w:t xml:space="preserve">A report for Entity </w:t>
                </w:r>
                <w:r w:rsidR="00F107FE">
                  <w:t>A</w:t>
                </w:r>
                <w:r>
                  <w:t xml:space="preserve"> </w:t>
                </w:r>
                <w:r w:rsidRPr="00921DEA">
                  <w:t>can be submitted in the reporting template of Entity C.</w:t>
                </w:r>
              </w:p>
              <w:p w14:paraId="2759307D" w14:textId="11D1B65E" w:rsidR="00153B5F" w:rsidRPr="00921DEA" w:rsidRDefault="00153B5F" w:rsidP="00E62ED5">
                <w:pPr>
                  <w:jc w:val="left"/>
                </w:pPr>
                <w:r>
                  <w:t xml:space="preserve">Note: Entity B is no longer the controlling corporation of Entity A and should </w:t>
                </w:r>
                <w:r w:rsidR="009B6123">
                  <w:t xml:space="preserve">not </w:t>
                </w:r>
                <w:r>
                  <w:t>include its report in its reporting template.</w:t>
                </w:r>
              </w:p>
            </w:tc>
          </w:tr>
          <w:tr w:rsidR="00153B5F" w14:paraId="580C5471" w14:textId="77777777" w:rsidTr="00E733A3">
            <w:trPr>
              <w:tblHeader/>
            </w:trPr>
            <w:tc>
              <w:tcPr>
                <w:tcW w:w="3109" w:type="dxa"/>
                <w:tcBorders>
                  <w:top w:val="single" w:sz="6" w:space="0" w:color="auto"/>
                  <w:left w:val="single" w:sz="8" w:space="0" w:color="auto"/>
                  <w:bottom w:val="single" w:sz="6" w:space="0" w:color="auto"/>
                  <w:right w:val="single" w:sz="8" w:space="0" w:color="auto"/>
                </w:tcBorders>
                <w:shd w:val="clear" w:color="auto" w:fill="FFFFFF" w:themeFill="background1"/>
              </w:tcPr>
              <w:p w14:paraId="4DABD77A" w14:textId="50197F9E" w:rsidR="00153B5F" w:rsidRDefault="00153B5F" w:rsidP="00E62ED5">
                <w:pPr>
                  <w:pStyle w:val="Bullet"/>
                  <w:numPr>
                    <w:ilvl w:val="0"/>
                    <w:numId w:val="0"/>
                  </w:numPr>
                  <w:jc w:val="left"/>
                  <w:rPr>
                    <w:szCs w:val="22"/>
                    <w:lang w:eastAsia="en-US"/>
                  </w:rPr>
                </w:pPr>
                <w:r>
                  <w:rPr>
                    <w:szCs w:val="22"/>
                    <w:lang w:eastAsia="en-US"/>
                  </w:rPr>
                  <w:t xml:space="preserve">Entity A is a member entity of Entity B. Entity A is spun-off </w:t>
                </w:r>
                <w:r w:rsidR="00F107FE">
                  <w:rPr>
                    <w:szCs w:val="22"/>
                    <w:lang w:eastAsia="en-US"/>
                  </w:rPr>
                  <w:t xml:space="preserve">in a reporting period </w:t>
                </w:r>
                <w:r>
                  <w:rPr>
                    <w:szCs w:val="22"/>
                    <w:lang w:eastAsia="en-US"/>
                  </w:rPr>
                  <w:t xml:space="preserve">and no longer part of the corporate group of Entity </w:t>
                </w:r>
                <w:r w:rsidR="00CB60A5">
                  <w:rPr>
                    <w:szCs w:val="22"/>
                    <w:lang w:eastAsia="en-US"/>
                  </w:rPr>
                  <w:t>B</w:t>
                </w:r>
                <w:r>
                  <w:rPr>
                    <w:szCs w:val="22"/>
                    <w:lang w:eastAsia="en-US"/>
                  </w:rPr>
                  <w:t>.</w:t>
                </w:r>
              </w:p>
            </w:tc>
            <w:tc>
              <w:tcPr>
                <w:tcW w:w="5941" w:type="dxa"/>
                <w:tcBorders>
                  <w:top w:val="single" w:sz="6" w:space="0" w:color="auto"/>
                  <w:left w:val="single" w:sz="8" w:space="0" w:color="auto"/>
                  <w:bottom w:val="single" w:sz="6" w:space="0" w:color="auto"/>
                  <w:right w:val="single" w:sz="8" w:space="0" w:color="auto"/>
                </w:tcBorders>
                <w:shd w:val="clear" w:color="auto" w:fill="FFFFFF" w:themeFill="background1"/>
              </w:tcPr>
              <w:p w14:paraId="4986087A" w14:textId="4B47A509" w:rsidR="00153B5F" w:rsidRDefault="00153B5F" w:rsidP="00E62ED5">
                <w:pPr>
                  <w:pStyle w:val="Bullet"/>
                  <w:jc w:val="left"/>
                </w:pPr>
                <w:r>
                  <w:t xml:space="preserve">Entity A should submit </w:t>
                </w:r>
                <w:r w:rsidR="00E733A3">
                  <w:t>its</w:t>
                </w:r>
                <w:r>
                  <w:t xml:space="preserve"> own report</w:t>
                </w:r>
              </w:p>
              <w:p w14:paraId="5476439A" w14:textId="7439385D" w:rsidR="00153B5F" w:rsidRPr="00153B5F" w:rsidRDefault="00153B5F" w:rsidP="00E62ED5">
                <w:pPr>
                  <w:jc w:val="left"/>
                </w:pPr>
                <w:r w:rsidRPr="00153B5F">
                  <w:t xml:space="preserve">Note: </w:t>
                </w:r>
                <w:r w:rsidR="00847453">
                  <w:t xml:space="preserve">If Entity A has income below </w:t>
                </w:r>
                <w:r w:rsidR="009577D8">
                  <w:t>A</w:t>
                </w:r>
                <w:r w:rsidR="00847453">
                  <w:t xml:space="preserve">$100 million in its </w:t>
                </w:r>
                <w:r w:rsidR="00D423DB">
                  <w:t>2</w:t>
                </w:r>
                <w:r w:rsidR="00847453">
                  <w:t xml:space="preserve"> most recent income years it may consider </w:t>
                </w:r>
                <w:r w:rsidR="00E51077">
                  <w:t xml:space="preserve">making </w:t>
                </w:r>
                <w:r w:rsidR="00847453">
                  <w:t>an application for a determination to cease to be a reporting entity.</w:t>
                </w:r>
              </w:p>
            </w:tc>
          </w:tr>
        </w:tbl>
        <w:p w14:paraId="3680C4A3" w14:textId="77777777" w:rsidR="003C09B3" w:rsidRPr="005E4B5D" w:rsidRDefault="003C09B3" w:rsidP="00E733A3">
          <w:pPr>
            <w:pStyle w:val="Bullet"/>
            <w:numPr>
              <w:ilvl w:val="0"/>
              <w:numId w:val="0"/>
            </w:numPr>
            <w:ind w:left="993"/>
            <w:rPr>
              <w:lang w:eastAsia="en-US"/>
            </w:rPr>
          </w:pPr>
        </w:p>
        <w:p w14:paraId="3F30D0DA" w14:textId="77777777" w:rsidR="00CB3E71" w:rsidRDefault="00CB3E71">
          <w:pPr>
            <w:spacing w:before="0" w:after="160" w:line="259" w:lineRule="auto"/>
            <w:rPr>
              <w:rFonts w:cs="Arial"/>
              <w:b/>
              <w:color w:val="2C384A"/>
              <w:kern w:val="32"/>
              <w:sz w:val="40"/>
              <w:szCs w:val="48"/>
              <w:lang w:eastAsia="en-US"/>
            </w:rPr>
          </w:pPr>
          <w:r>
            <w:br w:type="page"/>
          </w:r>
        </w:p>
        <w:p w14:paraId="514AC2AB" w14:textId="41C50A81" w:rsidR="00DA0A99" w:rsidRDefault="003124B0" w:rsidP="004E343F">
          <w:pPr>
            <w:pStyle w:val="Heading1"/>
          </w:pPr>
          <w:bookmarkStart w:id="18" w:name="_Toc107838224"/>
          <w:r>
            <w:lastRenderedPageBreak/>
            <w:t>Report data</w:t>
          </w:r>
          <w:bookmarkEnd w:id="18"/>
        </w:p>
        <w:tbl>
          <w:tblPr>
            <w:tblStyle w:val="TableGrid"/>
            <w:tblW w:w="0" w:type="auto"/>
            <w:tblLook w:val="04A0" w:firstRow="1" w:lastRow="0" w:firstColumn="1" w:lastColumn="0" w:noHBand="0" w:noVBand="1"/>
          </w:tblPr>
          <w:tblGrid>
            <w:gridCol w:w="9050"/>
          </w:tblGrid>
          <w:tr w:rsidR="00115D39" w14:paraId="5CB1AE80" w14:textId="77777777" w:rsidTr="006E5C03">
            <w:tc>
              <w:tcPr>
                <w:tcW w:w="9070" w:type="dxa"/>
                <w:tcBorders>
                  <w:top w:val="single" w:sz="6" w:space="0" w:color="auto"/>
                  <w:left w:val="single" w:sz="8" w:space="0" w:color="auto"/>
                  <w:bottom w:val="single" w:sz="6" w:space="0" w:color="auto"/>
                  <w:right w:val="single" w:sz="8" w:space="0" w:color="auto"/>
                </w:tcBorders>
                <w:shd w:val="clear" w:color="auto" w:fill="2C384A"/>
              </w:tcPr>
              <w:p w14:paraId="7A8BB528" w14:textId="7EECB18E" w:rsidR="00115D39" w:rsidRPr="00762DA2" w:rsidRDefault="00115D39" w:rsidP="007F38C7">
                <w:pPr>
                  <w:pStyle w:val="Heading3"/>
                  <w:outlineLvl w:val="2"/>
                </w:pPr>
                <w:bookmarkStart w:id="19" w:name="_Toc107838225"/>
                <w:r w:rsidRPr="007F38C7">
                  <w:rPr>
                    <w:color w:val="FFFFFF" w:themeColor="background1"/>
                  </w:rPr>
                  <w:t xml:space="preserve">Key </w:t>
                </w:r>
                <w:r w:rsidR="007D48A6" w:rsidRPr="007F38C7">
                  <w:rPr>
                    <w:color w:val="FFFFFF" w:themeColor="background1"/>
                  </w:rPr>
                  <w:t>p</w:t>
                </w:r>
                <w:r w:rsidRPr="007F38C7">
                  <w:rPr>
                    <w:color w:val="FFFFFF" w:themeColor="background1"/>
                  </w:rPr>
                  <w:t>oints</w:t>
                </w:r>
                <w:bookmarkEnd w:id="19"/>
                <w:r w:rsidRPr="006E5C03">
                  <w:tab/>
                </w:r>
              </w:p>
            </w:tc>
          </w:tr>
          <w:tr w:rsidR="00115D39" w14:paraId="7DF5A07F" w14:textId="77777777" w:rsidTr="00471445">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2F9634E4" w14:textId="058B748C" w:rsidR="0081101E" w:rsidRPr="00145A26" w:rsidRDefault="00CA73B5" w:rsidP="006E5C03">
                <w:pPr>
                  <w:pStyle w:val="ListParagraph"/>
                  <w:ind w:left="451" w:hanging="425"/>
                  <w:jc w:val="left"/>
                  <w:rPr>
                    <w:sz w:val="22"/>
                  </w:rPr>
                </w:pPr>
                <w:r w:rsidRPr="00145A26">
                  <w:rPr>
                    <w:sz w:val="22"/>
                  </w:rPr>
                  <w:t xml:space="preserve">Reporting entities should keep written records of the methodology and data gathering processes used to prepare </w:t>
                </w:r>
                <w:r w:rsidR="007E6187">
                  <w:rPr>
                    <w:sz w:val="22"/>
                  </w:rPr>
                  <w:t>their</w:t>
                </w:r>
                <w:r w:rsidRPr="00145A26">
                  <w:rPr>
                    <w:sz w:val="22"/>
                  </w:rPr>
                  <w:t xml:space="preserve"> report.</w:t>
                </w:r>
              </w:p>
              <w:p w14:paraId="01C49559" w14:textId="34CB1A4C" w:rsidR="00CA73B5" w:rsidRPr="00145A26" w:rsidRDefault="000B17AB" w:rsidP="006E5C03">
                <w:pPr>
                  <w:pStyle w:val="ListParagraph"/>
                  <w:ind w:left="451" w:hanging="425"/>
                  <w:jc w:val="left"/>
                  <w:rPr>
                    <w:sz w:val="22"/>
                  </w:rPr>
                </w:pPr>
                <w:r>
                  <w:rPr>
                    <w:sz w:val="22"/>
                  </w:rPr>
                  <w:t xml:space="preserve">We recommend </w:t>
                </w:r>
                <w:r w:rsidR="007E6187">
                  <w:rPr>
                    <w:sz w:val="22"/>
                  </w:rPr>
                  <w:t>2</w:t>
                </w:r>
                <w:r w:rsidR="00CA73B5" w:rsidRPr="00145A26">
                  <w:rPr>
                    <w:sz w:val="22"/>
                  </w:rPr>
                  <w:t xml:space="preserve"> methods for using the SBI Tool</w:t>
                </w:r>
                <w:r w:rsidR="00C56ABD" w:rsidRPr="00145A26">
                  <w:rPr>
                    <w:sz w:val="22"/>
                  </w:rPr>
                  <w:t xml:space="preserve">. </w:t>
                </w:r>
                <w:r w:rsidR="00CA73B5" w:rsidRPr="00145A26">
                  <w:rPr>
                    <w:sz w:val="22"/>
                  </w:rPr>
                  <w:t xml:space="preserve">Reporting entities should </w:t>
                </w:r>
                <w:r w:rsidR="00EC20BB" w:rsidRPr="00145A26">
                  <w:rPr>
                    <w:sz w:val="22"/>
                  </w:rPr>
                  <w:t xml:space="preserve">use either the </w:t>
                </w:r>
                <w:r w:rsidR="00EC20BB" w:rsidRPr="00145A26">
                  <w:rPr>
                    <w:rStyle w:val="Strong"/>
                  </w:rPr>
                  <w:t>continuous approach</w:t>
                </w:r>
                <w:r w:rsidR="00EC20BB" w:rsidRPr="00145A26">
                  <w:rPr>
                    <w:sz w:val="22"/>
                  </w:rPr>
                  <w:t xml:space="preserve"> or </w:t>
                </w:r>
                <w:r w:rsidR="00EC20BB" w:rsidRPr="00145A26">
                  <w:rPr>
                    <w:rStyle w:val="Strong"/>
                  </w:rPr>
                  <w:t>end date approach</w:t>
                </w:r>
                <w:r w:rsidR="00EC20BB" w:rsidRPr="00145A26">
                  <w:rPr>
                    <w:sz w:val="22"/>
                  </w:rPr>
                  <w:t xml:space="preserve"> </w:t>
                </w:r>
                <w:r w:rsidR="00CA73B5" w:rsidRPr="00145A26">
                  <w:rPr>
                    <w:sz w:val="22"/>
                  </w:rPr>
                  <w:t xml:space="preserve">and provide details of the </w:t>
                </w:r>
                <w:r w:rsidR="00EC20BB" w:rsidRPr="00145A26">
                  <w:rPr>
                    <w:sz w:val="22"/>
                  </w:rPr>
                  <w:t xml:space="preserve">approach </w:t>
                </w:r>
                <w:r w:rsidR="00CA73B5" w:rsidRPr="00145A26">
                  <w:rPr>
                    <w:sz w:val="22"/>
                  </w:rPr>
                  <w:t>use</w:t>
                </w:r>
                <w:r w:rsidR="00EC20BB" w:rsidRPr="00145A26">
                  <w:rPr>
                    <w:sz w:val="22"/>
                  </w:rPr>
                  <w:t>d</w:t>
                </w:r>
                <w:r w:rsidR="00CA73B5" w:rsidRPr="00145A26">
                  <w:rPr>
                    <w:sz w:val="22"/>
                  </w:rPr>
                  <w:t xml:space="preserve"> in the comments of </w:t>
                </w:r>
                <w:r w:rsidR="007E6187">
                  <w:rPr>
                    <w:sz w:val="22"/>
                  </w:rPr>
                  <w:t>their</w:t>
                </w:r>
                <w:r w:rsidR="00CA73B5" w:rsidRPr="00145A26">
                  <w:rPr>
                    <w:sz w:val="22"/>
                  </w:rPr>
                  <w:t xml:space="preserve"> report.</w:t>
                </w:r>
              </w:p>
              <w:p w14:paraId="6A00C8EC" w14:textId="5234339B" w:rsidR="00EC20BB" w:rsidRPr="00145A26" w:rsidRDefault="00EC20BB" w:rsidP="006E5C03">
                <w:pPr>
                  <w:pStyle w:val="ListParagraph"/>
                  <w:ind w:left="451" w:hanging="425"/>
                  <w:jc w:val="left"/>
                  <w:rPr>
                    <w:sz w:val="22"/>
                  </w:rPr>
                </w:pPr>
                <w:r w:rsidRPr="00145A26">
                  <w:rPr>
                    <w:sz w:val="22"/>
                  </w:rPr>
                  <w:t xml:space="preserve">If an entity believes </w:t>
                </w:r>
                <w:r w:rsidR="000308CD">
                  <w:rPr>
                    <w:sz w:val="22"/>
                  </w:rPr>
                  <w:t xml:space="preserve">a supplier is </w:t>
                </w:r>
                <w:r w:rsidRPr="00145A26">
                  <w:rPr>
                    <w:sz w:val="22"/>
                  </w:rPr>
                  <w:t>incorrectly identified in the SBI Tool</w:t>
                </w:r>
                <w:r w:rsidR="006E5C03" w:rsidRPr="00145A26">
                  <w:rPr>
                    <w:sz w:val="22"/>
                  </w:rPr>
                  <w:t>,</w:t>
                </w:r>
                <w:r w:rsidRPr="00145A26">
                  <w:rPr>
                    <w:sz w:val="22"/>
                  </w:rPr>
                  <w:t xml:space="preserve"> it may </w:t>
                </w:r>
                <w:r w:rsidR="000308CD">
                  <w:rPr>
                    <w:sz w:val="22"/>
                  </w:rPr>
                  <w:t xml:space="preserve">request the supplier contact us to </w:t>
                </w:r>
                <w:r w:rsidRPr="00145A26">
                  <w:rPr>
                    <w:sz w:val="22"/>
                  </w:rPr>
                  <w:t>change to the tool</w:t>
                </w:r>
                <w:r w:rsidR="000308CD">
                  <w:rPr>
                    <w:sz w:val="22"/>
                  </w:rPr>
                  <w:t xml:space="preserve">.  Alternatively, </w:t>
                </w:r>
                <w:r w:rsidR="00E733A3">
                  <w:rPr>
                    <w:sz w:val="22"/>
                  </w:rPr>
                  <w:t xml:space="preserve">the </w:t>
                </w:r>
                <w:r w:rsidR="000308CD">
                  <w:rPr>
                    <w:sz w:val="22"/>
                  </w:rPr>
                  <w:t xml:space="preserve">entity can provide us with </w:t>
                </w:r>
                <w:r w:rsidRPr="00145A26">
                  <w:rPr>
                    <w:sz w:val="22"/>
                  </w:rPr>
                  <w:t xml:space="preserve">evidence of </w:t>
                </w:r>
                <w:r w:rsidR="003968A4" w:rsidRPr="00145A26">
                  <w:rPr>
                    <w:sz w:val="22"/>
                  </w:rPr>
                  <w:t xml:space="preserve">more than </w:t>
                </w:r>
                <w:r w:rsidR="009577D8">
                  <w:rPr>
                    <w:sz w:val="22"/>
                  </w:rPr>
                  <w:t>A</w:t>
                </w:r>
                <w:r w:rsidR="003968A4" w:rsidRPr="00145A26">
                  <w:rPr>
                    <w:sz w:val="22"/>
                  </w:rPr>
                  <w:t xml:space="preserve">$10 million in </w:t>
                </w:r>
                <w:r w:rsidRPr="00145A26">
                  <w:rPr>
                    <w:sz w:val="22"/>
                  </w:rPr>
                  <w:t xml:space="preserve">payments to the </w:t>
                </w:r>
                <w:r w:rsidR="000308CD">
                  <w:rPr>
                    <w:sz w:val="22"/>
                  </w:rPr>
                  <w:t>supplier</w:t>
                </w:r>
                <w:r w:rsidRPr="00145A26">
                  <w:rPr>
                    <w:sz w:val="22"/>
                  </w:rPr>
                  <w:t>.</w:t>
                </w:r>
              </w:p>
              <w:p w14:paraId="27803ECA" w14:textId="2ABBD03C" w:rsidR="00EC20BB" w:rsidRPr="003968A4" w:rsidRDefault="00EC20BB" w:rsidP="006E5C03">
                <w:pPr>
                  <w:pStyle w:val="ListParagraph"/>
                  <w:ind w:left="451" w:hanging="425"/>
                  <w:jc w:val="left"/>
                </w:pPr>
                <w:r w:rsidRPr="00145A26">
                  <w:rPr>
                    <w:sz w:val="22"/>
                  </w:rPr>
                  <w:t>Reporting entities must keep any information use</w:t>
                </w:r>
                <w:r w:rsidR="006E5C03" w:rsidRPr="00145A26">
                  <w:rPr>
                    <w:sz w:val="22"/>
                  </w:rPr>
                  <w:t>d</w:t>
                </w:r>
                <w:r w:rsidRPr="00145A26">
                  <w:rPr>
                    <w:sz w:val="22"/>
                  </w:rPr>
                  <w:t xml:space="preserve"> to prepare </w:t>
                </w:r>
                <w:r w:rsidR="007E6187">
                  <w:rPr>
                    <w:sz w:val="22"/>
                  </w:rPr>
                  <w:t>their</w:t>
                </w:r>
                <w:r w:rsidRPr="00145A26">
                  <w:rPr>
                    <w:sz w:val="22"/>
                  </w:rPr>
                  <w:t xml:space="preserve"> report for 7 years.</w:t>
                </w:r>
              </w:p>
            </w:tc>
          </w:tr>
        </w:tbl>
        <w:p w14:paraId="1664933C" w14:textId="647DC2D3" w:rsidR="00340009" w:rsidRDefault="00061273" w:rsidP="00340009">
          <w:pPr>
            <w:pStyle w:val="Heading2"/>
            <w:rPr>
              <w:lang w:eastAsia="en-US"/>
            </w:rPr>
          </w:pPr>
          <w:bookmarkStart w:id="20" w:name="_Toc107838226"/>
          <w:r>
            <w:rPr>
              <w:lang w:eastAsia="en-US"/>
            </w:rPr>
            <w:t>Information to prepare a report</w:t>
          </w:r>
          <w:bookmarkEnd w:id="20"/>
        </w:p>
        <w:p w14:paraId="285FDF3A" w14:textId="44C52F92" w:rsidR="000C3FB4" w:rsidRDefault="006B217E" w:rsidP="007F5EA0">
          <w:pPr>
            <w:pStyle w:val="Bullet"/>
            <w:numPr>
              <w:ilvl w:val="0"/>
              <w:numId w:val="31"/>
            </w:numPr>
            <w:ind w:left="993" w:hanging="993"/>
            <w:rPr>
              <w:lang w:eastAsia="en-US"/>
            </w:rPr>
          </w:pPr>
          <w:r>
            <w:rPr>
              <w:lang w:eastAsia="en-US"/>
            </w:rPr>
            <w:t>Preparation of p</w:t>
          </w:r>
          <w:r w:rsidR="00971633">
            <w:rPr>
              <w:lang w:eastAsia="en-US"/>
            </w:rPr>
            <w:t xml:space="preserve">ayment times </w:t>
          </w:r>
          <w:r w:rsidR="00C2189F">
            <w:rPr>
              <w:lang w:eastAsia="en-US"/>
            </w:rPr>
            <w:t>reports require</w:t>
          </w:r>
          <w:r>
            <w:rPr>
              <w:lang w:eastAsia="en-US"/>
            </w:rPr>
            <w:t>s</w:t>
          </w:r>
          <w:r w:rsidR="00C2189F">
            <w:rPr>
              <w:lang w:eastAsia="en-US"/>
            </w:rPr>
            <w:t xml:space="preserve"> </w:t>
          </w:r>
          <w:r w:rsidR="001C547E">
            <w:rPr>
              <w:lang w:eastAsia="en-US"/>
            </w:rPr>
            <w:t>collation of a range of information and data</w:t>
          </w:r>
          <w:r w:rsidR="00C56ABD">
            <w:rPr>
              <w:lang w:eastAsia="en-US"/>
            </w:rPr>
            <w:t xml:space="preserve">. </w:t>
          </w:r>
          <w:r w:rsidR="001C547E">
            <w:rPr>
              <w:lang w:eastAsia="en-US"/>
            </w:rPr>
            <w:t>In addition to invoices</w:t>
          </w:r>
          <w:r w:rsidR="008B06CB">
            <w:rPr>
              <w:lang w:eastAsia="en-US"/>
            </w:rPr>
            <w:t>, reporting entities may require</w:t>
          </w:r>
          <w:r w:rsidR="006E1C84">
            <w:rPr>
              <w:lang w:eastAsia="en-US"/>
            </w:rPr>
            <w:t xml:space="preserve"> data from </w:t>
          </w:r>
          <w:r w:rsidR="008B06CB">
            <w:rPr>
              <w:lang w:eastAsia="en-US"/>
            </w:rPr>
            <w:t xml:space="preserve">contracts, </w:t>
          </w:r>
          <w:r w:rsidR="006E1C84">
            <w:rPr>
              <w:lang w:eastAsia="en-US"/>
            </w:rPr>
            <w:t xml:space="preserve">bank statements </w:t>
          </w:r>
          <w:r w:rsidR="000C3FB4">
            <w:rPr>
              <w:lang w:eastAsia="en-US"/>
            </w:rPr>
            <w:t>and other commercial agreements, such as supply chain finance agreements.</w:t>
          </w:r>
        </w:p>
        <w:p w14:paraId="61284E19" w14:textId="31A66901" w:rsidR="00DD4089" w:rsidRDefault="00B84184" w:rsidP="007F5EA0">
          <w:pPr>
            <w:pStyle w:val="Bullet"/>
            <w:numPr>
              <w:ilvl w:val="0"/>
              <w:numId w:val="31"/>
            </w:numPr>
            <w:ind w:left="993" w:hanging="993"/>
            <w:rPr>
              <w:lang w:eastAsia="en-US"/>
            </w:rPr>
          </w:pPr>
          <w:r>
            <w:rPr>
              <w:lang w:eastAsia="en-US"/>
            </w:rPr>
            <w:t xml:space="preserve">The </w:t>
          </w:r>
          <w:r w:rsidR="002E6C01">
            <w:rPr>
              <w:lang w:eastAsia="en-US"/>
            </w:rPr>
            <w:t>information required to prepare a report may vary depending on the circumstances and systems used by a reporting entity</w:t>
          </w:r>
          <w:r w:rsidR="00C56ABD">
            <w:rPr>
              <w:lang w:eastAsia="en-US"/>
            </w:rPr>
            <w:t xml:space="preserve">. </w:t>
          </w:r>
          <w:r w:rsidR="009F56A8">
            <w:rPr>
              <w:lang w:eastAsia="en-US"/>
            </w:rPr>
            <w:t>E</w:t>
          </w:r>
          <w:r w:rsidR="001B3335">
            <w:rPr>
              <w:lang w:eastAsia="en-US"/>
            </w:rPr>
            <w:t xml:space="preserve">ntities </w:t>
          </w:r>
          <w:r w:rsidR="0096760E">
            <w:rPr>
              <w:lang w:eastAsia="en-US"/>
            </w:rPr>
            <w:t>must</w:t>
          </w:r>
          <w:r w:rsidR="001B3335">
            <w:rPr>
              <w:lang w:eastAsia="en-US"/>
            </w:rPr>
            <w:t xml:space="preserve"> </w:t>
          </w:r>
          <w:r w:rsidR="00C97A75">
            <w:rPr>
              <w:lang w:eastAsia="en-US"/>
            </w:rPr>
            <w:t>document</w:t>
          </w:r>
          <w:r w:rsidR="000609BD">
            <w:rPr>
              <w:lang w:eastAsia="en-US"/>
            </w:rPr>
            <w:t xml:space="preserve"> their</w:t>
          </w:r>
          <w:r w:rsidR="00C97A75">
            <w:rPr>
              <w:lang w:eastAsia="en-US"/>
            </w:rPr>
            <w:t xml:space="preserve"> </w:t>
          </w:r>
          <w:r w:rsidR="00D25D7C">
            <w:rPr>
              <w:lang w:eastAsia="en-US"/>
            </w:rPr>
            <w:t>method</w:t>
          </w:r>
          <w:r w:rsidR="000C1A31">
            <w:rPr>
              <w:lang w:eastAsia="en-US"/>
            </w:rPr>
            <w:t xml:space="preserve">s and </w:t>
          </w:r>
          <w:r w:rsidR="00B52131">
            <w:rPr>
              <w:lang w:eastAsia="en-US"/>
            </w:rPr>
            <w:t xml:space="preserve">information used </w:t>
          </w:r>
          <w:r w:rsidR="0096760E">
            <w:rPr>
              <w:lang w:eastAsia="en-US"/>
            </w:rPr>
            <w:t>to</w:t>
          </w:r>
          <w:r w:rsidR="00D25D7C">
            <w:rPr>
              <w:lang w:eastAsia="en-US"/>
            </w:rPr>
            <w:t xml:space="preserve"> </w:t>
          </w:r>
          <w:r w:rsidR="00C97A75">
            <w:rPr>
              <w:lang w:eastAsia="en-US"/>
            </w:rPr>
            <w:t>prepar</w:t>
          </w:r>
          <w:r w:rsidR="0096760E">
            <w:rPr>
              <w:lang w:eastAsia="en-US"/>
            </w:rPr>
            <w:t>e</w:t>
          </w:r>
          <w:r w:rsidR="00C97A75">
            <w:rPr>
              <w:lang w:eastAsia="en-US"/>
            </w:rPr>
            <w:t xml:space="preserve"> report</w:t>
          </w:r>
          <w:r w:rsidR="000609BD">
            <w:rPr>
              <w:lang w:eastAsia="en-US"/>
            </w:rPr>
            <w:t>s</w:t>
          </w:r>
          <w:r w:rsidR="00E24E09">
            <w:rPr>
              <w:lang w:eastAsia="en-US"/>
            </w:rPr>
            <w:t>.</w:t>
          </w:r>
        </w:p>
        <w:p w14:paraId="2165CE26" w14:textId="34050D2C" w:rsidR="002802EC" w:rsidRDefault="00E24E09">
          <w:pPr>
            <w:pStyle w:val="Bullet"/>
            <w:numPr>
              <w:ilvl w:val="0"/>
              <w:numId w:val="31"/>
            </w:numPr>
            <w:ind w:left="993" w:hanging="993"/>
            <w:rPr>
              <w:lang w:eastAsia="en-US"/>
            </w:rPr>
          </w:pPr>
          <w:r>
            <w:rPr>
              <w:lang w:eastAsia="en-US"/>
            </w:rPr>
            <w:t xml:space="preserve">We may have concerns </w:t>
          </w:r>
          <w:r w:rsidR="00D02BB2">
            <w:rPr>
              <w:lang w:eastAsia="en-US"/>
            </w:rPr>
            <w:t xml:space="preserve">on the completeness or accuracy of a report </w:t>
          </w:r>
          <w:r>
            <w:rPr>
              <w:lang w:eastAsia="en-US"/>
            </w:rPr>
            <w:t xml:space="preserve">if a reporting entity is unable to </w:t>
          </w:r>
          <w:r w:rsidR="00FC41E8">
            <w:rPr>
              <w:lang w:eastAsia="en-US"/>
            </w:rPr>
            <w:t>demonstrate a systematic approach to</w:t>
          </w:r>
          <w:r w:rsidR="002802EC">
            <w:rPr>
              <w:lang w:eastAsia="en-US"/>
            </w:rPr>
            <w:t>:</w:t>
          </w:r>
        </w:p>
        <w:p w14:paraId="675A09A7" w14:textId="2A115AC9" w:rsidR="00992689" w:rsidRDefault="00FC41E8" w:rsidP="00145A26">
          <w:pPr>
            <w:pStyle w:val="ListParagraph"/>
            <w:numPr>
              <w:ilvl w:val="1"/>
              <w:numId w:val="58"/>
            </w:numPr>
          </w:pPr>
          <w:r>
            <w:t xml:space="preserve">scoping the </w:t>
          </w:r>
          <w:r w:rsidR="0023218D">
            <w:t>documents and data required to prepare the</w:t>
          </w:r>
          <w:r w:rsidR="009F56A8">
            <w:t>ir</w:t>
          </w:r>
          <w:r w:rsidR="0023218D">
            <w:t xml:space="preserve"> report</w:t>
          </w:r>
        </w:p>
        <w:p w14:paraId="6DD06B09" w14:textId="57E075C4" w:rsidR="00EA5285" w:rsidRDefault="00FC41E8" w:rsidP="00145A26">
          <w:pPr>
            <w:pStyle w:val="ListParagraph"/>
            <w:numPr>
              <w:ilvl w:val="1"/>
              <w:numId w:val="58"/>
            </w:numPr>
          </w:pPr>
          <w:r>
            <w:t>data gathering processes.</w:t>
          </w:r>
        </w:p>
        <w:p w14:paraId="76BA3C52" w14:textId="78380FC9" w:rsidR="00340009" w:rsidRDefault="003C412D" w:rsidP="00340009">
          <w:pPr>
            <w:pStyle w:val="Heading2"/>
            <w:rPr>
              <w:lang w:eastAsia="en-US"/>
            </w:rPr>
          </w:pPr>
          <w:bookmarkStart w:id="21" w:name="_Toc107838227"/>
          <w:bookmarkStart w:id="22" w:name="_Hlk104161447"/>
          <w:r>
            <w:rPr>
              <w:lang w:eastAsia="en-US"/>
            </w:rPr>
            <w:t xml:space="preserve">Small </w:t>
          </w:r>
          <w:r w:rsidR="00710063">
            <w:rPr>
              <w:lang w:eastAsia="en-US"/>
            </w:rPr>
            <w:t>B</w:t>
          </w:r>
          <w:r>
            <w:rPr>
              <w:lang w:eastAsia="en-US"/>
            </w:rPr>
            <w:t xml:space="preserve">usiness </w:t>
          </w:r>
          <w:r w:rsidR="00710063">
            <w:rPr>
              <w:lang w:eastAsia="en-US"/>
            </w:rPr>
            <w:t>I</w:t>
          </w:r>
          <w:r>
            <w:rPr>
              <w:lang w:eastAsia="en-US"/>
            </w:rPr>
            <w:t xml:space="preserve">dentification </w:t>
          </w:r>
          <w:r w:rsidR="00710063">
            <w:rPr>
              <w:lang w:eastAsia="en-US"/>
            </w:rPr>
            <w:t>T</w:t>
          </w:r>
          <w:r>
            <w:rPr>
              <w:lang w:eastAsia="en-US"/>
            </w:rPr>
            <w:t>ool information</w:t>
          </w:r>
          <w:bookmarkEnd w:id="21"/>
        </w:p>
        <w:bookmarkEnd w:id="22"/>
        <w:p w14:paraId="301225C4" w14:textId="1435F99C" w:rsidR="004C57B0" w:rsidRDefault="00137A7F" w:rsidP="007F5EA0">
          <w:pPr>
            <w:pStyle w:val="Bullet"/>
            <w:numPr>
              <w:ilvl w:val="0"/>
              <w:numId w:val="31"/>
            </w:numPr>
            <w:ind w:left="993" w:hanging="993"/>
            <w:rPr>
              <w:lang w:eastAsia="en-US"/>
            </w:rPr>
          </w:pPr>
          <w:r>
            <w:rPr>
              <w:lang w:eastAsia="en-US"/>
            </w:rPr>
            <w:t xml:space="preserve">The Small Business Identification Tool (SBI Tool) </w:t>
          </w:r>
          <w:r w:rsidR="00D00690">
            <w:rPr>
              <w:lang w:eastAsia="en-US"/>
            </w:rPr>
            <w:t>is</w:t>
          </w:r>
          <w:r>
            <w:rPr>
              <w:lang w:eastAsia="en-US"/>
            </w:rPr>
            <w:t xml:space="preserve"> accessed via the </w:t>
          </w:r>
          <w:hyperlink r:id="rId12" w:history="1">
            <w:r w:rsidRPr="00762DA2">
              <w:rPr>
                <w:rStyle w:val="Hyperlink"/>
                <w:lang w:eastAsia="en-US"/>
              </w:rPr>
              <w:t>Payment Times Reporting Portal</w:t>
            </w:r>
          </w:hyperlink>
          <w:r w:rsidR="00C56ABD">
            <w:rPr>
              <w:lang w:eastAsia="en-US"/>
            </w:rPr>
            <w:t xml:space="preserve">. </w:t>
          </w:r>
          <w:r w:rsidR="00456FBA" w:rsidRPr="007F5EA0">
            <w:rPr>
              <w:rFonts w:asciiTheme="minorHAnsi" w:hAnsiTheme="minorHAnsi" w:cstheme="minorHAnsi"/>
              <w:color w:val="212529"/>
              <w:shd w:val="clear" w:color="auto" w:fill="FFFFFF"/>
            </w:rPr>
            <w:t xml:space="preserve">The tool identifies which suppliers </w:t>
          </w:r>
          <w:r w:rsidR="00A24808" w:rsidRPr="007F5EA0">
            <w:rPr>
              <w:rFonts w:asciiTheme="minorHAnsi" w:hAnsiTheme="minorHAnsi" w:cstheme="minorHAnsi"/>
              <w:color w:val="212529"/>
              <w:shd w:val="clear" w:color="auto" w:fill="FFFFFF"/>
            </w:rPr>
            <w:t>are small businesses for reporting purposes</w:t>
          </w:r>
          <w:r w:rsidR="00456FBA" w:rsidRPr="007F5EA0">
            <w:rPr>
              <w:rFonts w:asciiTheme="minorHAnsi" w:hAnsiTheme="minorHAnsi" w:cstheme="minorHAnsi"/>
              <w:color w:val="212529"/>
              <w:shd w:val="clear" w:color="auto" w:fill="FFFFFF"/>
            </w:rPr>
            <w:t>.</w:t>
          </w:r>
          <w:r w:rsidR="00456FBA">
            <w:rPr>
              <w:rFonts w:ascii="Arial" w:hAnsi="Arial" w:cs="Arial"/>
              <w:color w:val="212529"/>
              <w:shd w:val="clear" w:color="auto" w:fill="FFFFFF"/>
            </w:rPr>
            <w:t> </w:t>
          </w:r>
          <w:r w:rsidR="00A24808">
            <w:rPr>
              <w:lang w:eastAsia="en-US"/>
            </w:rPr>
            <w:t>It</w:t>
          </w:r>
          <w:r w:rsidR="006163DC">
            <w:rPr>
              <w:lang w:eastAsia="en-US"/>
            </w:rPr>
            <w:t xml:space="preserve"> </w:t>
          </w:r>
          <w:r w:rsidR="00244867">
            <w:rPr>
              <w:lang w:eastAsia="en-US"/>
            </w:rPr>
            <w:t xml:space="preserve">operates </w:t>
          </w:r>
          <w:r w:rsidR="008B4971">
            <w:rPr>
              <w:lang w:eastAsia="en-US"/>
            </w:rPr>
            <w:t xml:space="preserve">by comparing a list of </w:t>
          </w:r>
          <w:r w:rsidR="00EC202F">
            <w:rPr>
              <w:lang w:eastAsia="en-US"/>
            </w:rPr>
            <w:t>a reporting entity’s</w:t>
          </w:r>
          <w:r w:rsidR="008B4971">
            <w:rPr>
              <w:lang w:eastAsia="en-US"/>
            </w:rPr>
            <w:t xml:space="preserve"> supplier ABNs to </w:t>
          </w:r>
          <w:r w:rsidR="00762DA2">
            <w:rPr>
              <w:lang w:eastAsia="en-US"/>
            </w:rPr>
            <w:t>a</w:t>
          </w:r>
          <w:r w:rsidR="008B4971">
            <w:rPr>
              <w:lang w:eastAsia="en-US"/>
            </w:rPr>
            <w:t xml:space="preserve"> database of ABNs and returns a text file separated into small businesses </w:t>
          </w:r>
          <w:r w:rsidR="008802D8">
            <w:rPr>
              <w:lang w:eastAsia="en-US"/>
            </w:rPr>
            <w:t xml:space="preserve">that </w:t>
          </w:r>
          <w:r w:rsidR="008B4971">
            <w:rPr>
              <w:lang w:eastAsia="en-US"/>
            </w:rPr>
            <w:t xml:space="preserve">must </w:t>
          </w:r>
          <w:r w:rsidR="009D5BC9">
            <w:rPr>
              <w:lang w:eastAsia="en-US"/>
            </w:rPr>
            <w:t xml:space="preserve">be </w:t>
          </w:r>
          <w:r w:rsidR="008B4971">
            <w:rPr>
              <w:lang w:eastAsia="en-US"/>
            </w:rPr>
            <w:t>report</w:t>
          </w:r>
          <w:r w:rsidR="009D5BC9">
            <w:rPr>
              <w:lang w:eastAsia="en-US"/>
            </w:rPr>
            <w:t>ed</w:t>
          </w:r>
          <w:r w:rsidR="008B4971">
            <w:rPr>
              <w:lang w:eastAsia="en-US"/>
            </w:rPr>
            <w:t xml:space="preserve"> on and businesses not to report on.</w:t>
          </w:r>
        </w:p>
        <w:p w14:paraId="27CF143C" w14:textId="5288EEE0" w:rsidR="00EC5DD1" w:rsidRDefault="007C32C2" w:rsidP="007F5EA0">
          <w:pPr>
            <w:pStyle w:val="Bullet"/>
            <w:numPr>
              <w:ilvl w:val="0"/>
              <w:numId w:val="31"/>
            </w:numPr>
            <w:ind w:left="993" w:hanging="993"/>
            <w:rPr>
              <w:lang w:eastAsia="en-US"/>
            </w:rPr>
          </w:pPr>
          <w:r>
            <w:rPr>
              <w:lang w:eastAsia="en-US"/>
            </w:rPr>
            <w:t xml:space="preserve">The SBI Tool </w:t>
          </w:r>
          <w:r w:rsidR="00521443">
            <w:rPr>
              <w:lang w:eastAsia="en-US"/>
            </w:rPr>
            <w:t xml:space="preserve">is based on </w:t>
          </w:r>
          <w:proofErr w:type="gramStart"/>
          <w:r w:rsidR="00521443">
            <w:rPr>
              <w:lang w:eastAsia="en-US"/>
            </w:rPr>
            <w:t>a number of</w:t>
          </w:r>
          <w:proofErr w:type="gramEnd"/>
          <w:r w:rsidR="00521443">
            <w:rPr>
              <w:lang w:eastAsia="en-US"/>
            </w:rPr>
            <w:t xml:space="preserve"> data sources </w:t>
          </w:r>
          <w:r w:rsidR="0032287A">
            <w:rPr>
              <w:lang w:eastAsia="en-US"/>
            </w:rPr>
            <w:t xml:space="preserve">and </w:t>
          </w:r>
          <w:r w:rsidR="00CD188A">
            <w:rPr>
              <w:lang w:eastAsia="en-US"/>
            </w:rPr>
            <w:t xml:space="preserve">is </w:t>
          </w:r>
          <w:r w:rsidR="00492E4C">
            <w:rPr>
              <w:lang w:eastAsia="en-US"/>
            </w:rPr>
            <w:t xml:space="preserve">regularly </w:t>
          </w:r>
          <w:r w:rsidR="0032287A">
            <w:rPr>
              <w:lang w:eastAsia="en-US"/>
            </w:rPr>
            <w:t>updated.</w:t>
          </w:r>
        </w:p>
        <w:p w14:paraId="67E6191C" w14:textId="59EE8ACD" w:rsidR="00E2205B" w:rsidRDefault="00EC5DD1" w:rsidP="007F5EA0">
          <w:pPr>
            <w:pStyle w:val="Bullet"/>
            <w:numPr>
              <w:ilvl w:val="0"/>
              <w:numId w:val="31"/>
            </w:numPr>
            <w:ind w:left="993" w:hanging="993"/>
            <w:rPr>
              <w:lang w:eastAsia="en-US"/>
            </w:rPr>
          </w:pPr>
          <w:r>
            <w:rPr>
              <w:lang w:eastAsia="en-US"/>
            </w:rPr>
            <w:t xml:space="preserve">When using the SBI Tool to </w:t>
          </w:r>
          <w:r w:rsidR="00E2205B">
            <w:rPr>
              <w:lang w:eastAsia="en-US"/>
            </w:rPr>
            <w:t xml:space="preserve">identify small </w:t>
          </w:r>
          <w:r w:rsidR="00DE7178">
            <w:rPr>
              <w:lang w:eastAsia="en-US"/>
            </w:rPr>
            <w:t>businesses</w:t>
          </w:r>
          <w:r w:rsidR="003E6150">
            <w:rPr>
              <w:lang w:eastAsia="en-US"/>
            </w:rPr>
            <w:t>,</w:t>
          </w:r>
          <w:r w:rsidR="00E2205B">
            <w:rPr>
              <w:lang w:eastAsia="en-US"/>
            </w:rPr>
            <w:t xml:space="preserve"> </w:t>
          </w:r>
          <w:r w:rsidR="009F6FF4">
            <w:rPr>
              <w:lang w:eastAsia="en-US"/>
            </w:rPr>
            <w:t xml:space="preserve">we recommend </w:t>
          </w:r>
          <w:r w:rsidR="00E2205B">
            <w:rPr>
              <w:lang w:eastAsia="en-US"/>
            </w:rPr>
            <w:t xml:space="preserve">reporting entities </w:t>
          </w:r>
          <w:r w:rsidR="00956BD3">
            <w:rPr>
              <w:lang w:eastAsia="en-US"/>
            </w:rPr>
            <w:t>run the tool</w:t>
          </w:r>
          <w:r w:rsidR="000D2B80" w:rsidRPr="000D2B80">
            <w:rPr>
              <w:lang w:eastAsia="en-US"/>
            </w:rPr>
            <w:t xml:space="preserve"> </w:t>
          </w:r>
          <w:r w:rsidR="000D2B80">
            <w:rPr>
              <w:lang w:eastAsia="en-US"/>
            </w:rPr>
            <w:t>either</w:t>
          </w:r>
          <w:r w:rsidR="00E2205B">
            <w:rPr>
              <w:lang w:eastAsia="en-US"/>
            </w:rPr>
            <w:t>:</w:t>
          </w:r>
        </w:p>
        <w:p w14:paraId="4D25F3FA" w14:textId="28721A4C" w:rsidR="00F75150" w:rsidRDefault="00E2205B" w:rsidP="00145A26">
          <w:pPr>
            <w:pStyle w:val="ListParagraph"/>
            <w:numPr>
              <w:ilvl w:val="1"/>
              <w:numId w:val="60"/>
            </w:numPr>
          </w:pPr>
          <w:r>
            <w:t>once</w:t>
          </w:r>
          <w:r w:rsidR="00524F3D">
            <w:t>,</w:t>
          </w:r>
          <w:r>
            <w:t xml:space="preserve"> </w:t>
          </w:r>
          <w:r w:rsidR="0055517E">
            <w:t>after the reporting period end date</w:t>
          </w:r>
          <w:r w:rsidR="00556C72">
            <w:t xml:space="preserve"> (</w:t>
          </w:r>
          <w:r w:rsidR="000D2B80">
            <w:t xml:space="preserve">the </w:t>
          </w:r>
          <w:r w:rsidR="00556C72" w:rsidRPr="00145A26">
            <w:rPr>
              <w:rStyle w:val="Strong"/>
            </w:rPr>
            <w:t xml:space="preserve">end date </w:t>
          </w:r>
          <w:r w:rsidR="00C857CE" w:rsidRPr="00145A26">
            <w:rPr>
              <w:rStyle w:val="Strong"/>
            </w:rPr>
            <w:t>approach</w:t>
          </w:r>
          <w:r w:rsidR="00556C72">
            <w:t>)</w:t>
          </w:r>
          <w:r w:rsidR="00B74469">
            <w:t>,</w:t>
          </w:r>
          <w:r w:rsidR="0055517E">
            <w:t xml:space="preserve"> or</w:t>
          </w:r>
        </w:p>
        <w:p w14:paraId="55ABE2B1" w14:textId="1B4A5598" w:rsidR="00176461" w:rsidRDefault="00A05493" w:rsidP="00145A26">
          <w:pPr>
            <w:pStyle w:val="ListParagraph"/>
            <w:numPr>
              <w:ilvl w:val="1"/>
              <w:numId w:val="60"/>
            </w:numPr>
          </w:pPr>
          <w:r>
            <w:t xml:space="preserve">at regular intervals </w:t>
          </w:r>
          <w:r w:rsidR="00176461">
            <w:t xml:space="preserve">throughout the year </w:t>
          </w:r>
          <w:r w:rsidR="004E178B">
            <w:t>to</w:t>
          </w:r>
          <w:r w:rsidR="00176461">
            <w:t xml:space="preserve"> classify small business payments </w:t>
          </w:r>
          <w:r>
            <w:t xml:space="preserve">closer to the </w:t>
          </w:r>
          <w:r w:rsidR="00176461">
            <w:t xml:space="preserve">time </w:t>
          </w:r>
          <w:r w:rsidR="00476814">
            <w:t>of the</w:t>
          </w:r>
          <w:r w:rsidR="00176461">
            <w:t xml:space="preserve"> transaction</w:t>
          </w:r>
          <w:r w:rsidR="00556C72">
            <w:t xml:space="preserve"> (</w:t>
          </w:r>
          <w:r w:rsidR="00524F3D">
            <w:t xml:space="preserve">the </w:t>
          </w:r>
          <w:r w:rsidR="00556C72" w:rsidRPr="00145A26">
            <w:rPr>
              <w:rStyle w:val="Strong"/>
            </w:rPr>
            <w:t>contin</w:t>
          </w:r>
          <w:r w:rsidR="00EA6931" w:rsidRPr="00145A26">
            <w:rPr>
              <w:rStyle w:val="Strong"/>
            </w:rPr>
            <w:t xml:space="preserve">uous </w:t>
          </w:r>
          <w:r w:rsidR="00C857CE" w:rsidRPr="00145A26">
            <w:rPr>
              <w:rStyle w:val="Strong"/>
            </w:rPr>
            <w:t>approach</w:t>
          </w:r>
          <w:r w:rsidR="00EA6931">
            <w:t>)</w:t>
          </w:r>
          <w:r w:rsidR="00176461">
            <w:t>.</w:t>
          </w:r>
        </w:p>
        <w:p w14:paraId="4DFE3DEA" w14:textId="5F1DEFC6" w:rsidR="00EA6931" w:rsidRDefault="00EA6931" w:rsidP="007F5EA0">
          <w:pPr>
            <w:pStyle w:val="Bullet"/>
            <w:numPr>
              <w:ilvl w:val="0"/>
              <w:numId w:val="31"/>
            </w:numPr>
            <w:ind w:left="993" w:hanging="993"/>
            <w:rPr>
              <w:lang w:eastAsia="en-US"/>
            </w:rPr>
          </w:pPr>
          <w:r>
            <w:rPr>
              <w:lang w:eastAsia="en-US"/>
            </w:rPr>
            <w:t xml:space="preserve">If a reporting entity uses the continuous </w:t>
          </w:r>
          <w:r w:rsidR="00C857CE">
            <w:rPr>
              <w:lang w:eastAsia="en-US"/>
            </w:rPr>
            <w:t>approach</w:t>
          </w:r>
          <w:r w:rsidR="00A31348">
            <w:rPr>
              <w:lang w:eastAsia="en-US"/>
            </w:rPr>
            <w:t>,</w:t>
          </w:r>
          <w:r w:rsidR="002C54DA">
            <w:rPr>
              <w:lang w:eastAsia="en-US"/>
            </w:rPr>
            <w:t xml:space="preserve"> the tool should be run at regular intervals for all supplier ABNs</w:t>
          </w:r>
          <w:r w:rsidR="00C56ABD">
            <w:rPr>
              <w:lang w:eastAsia="en-US"/>
            </w:rPr>
            <w:t xml:space="preserve">. </w:t>
          </w:r>
          <w:r w:rsidR="002C54DA">
            <w:rPr>
              <w:lang w:eastAsia="en-US"/>
            </w:rPr>
            <w:t xml:space="preserve">We may have concerns if the SBI Tool is run at </w:t>
          </w:r>
          <w:r w:rsidR="00E51077">
            <w:rPr>
              <w:lang w:eastAsia="en-US"/>
            </w:rPr>
            <w:t xml:space="preserve">irregular </w:t>
          </w:r>
          <w:r w:rsidR="002C54DA">
            <w:rPr>
              <w:lang w:eastAsia="en-US"/>
            </w:rPr>
            <w:lastRenderedPageBreak/>
            <w:t xml:space="preserve">intervals or for a limited group of suppliers </w:t>
          </w:r>
          <w:r w:rsidR="00EA0239">
            <w:rPr>
              <w:lang w:eastAsia="en-US"/>
            </w:rPr>
            <w:t>for the purpose of artificially reducing reportable payment times</w:t>
          </w:r>
          <w:r w:rsidR="002C54DA">
            <w:rPr>
              <w:lang w:eastAsia="en-US"/>
            </w:rPr>
            <w:t>.</w:t>
          </w:r>
        </w:p>
        <w:p w14:paraId="0831AD64" w14:textId="6608A44D" w:rsidR="00521BAD" w:rsidRDefault="00521BAD" w:rsidP="007F5EA0">
          <w:pPr>
            <w:pStyle w:val="Bullet"/>
            <w:numPr>
              <w:ilvl w:val="0"/>
              <w:numId w:val="31"/>
            </w:numPr>
            <w:ind w:left="993" w:hanging="993"/>
            <w:rPr>
              <w:lang w:eastAsia="en-US"/>
            </w:rPr>
          </w:pPr>
          <w:r>
            <w:rPr>
              <w:lang w:eastAsia="en-US"/>
            </w:rPr>
            <w:t xml:space="preserve">If a reporting entity uses the SBI Tool when onboarding new suppliers, it will still need to update its records </w:t>
          </w:r>
          <w:r w:rsidR="00A05493">
            <w:rPr>
              <w:lang w:eastAsia="en-US"/>
            </w:rPr>
            <w:t xml:space="preserve">each reporting period and should use </w:t>
          </w:r>
          <w:r>
            <w:rPr>
              <w:lang w:eastAsia="en-US"/>
            </w:rPr>
            <w:t xml:space="preserve">one of </w:t>
          </w:r>
          <w:r w:rsidR="00EA0239">
            <w:rPr>
              <w:lang w:eastAsia="en-US"/>
            </w:rPr>
            <w:t xml:space="preserve">the recommended </w:t>
          </w:r>
          <w:r>
            <w:rPr>
              <w:lang w:eastAsia="en-US"/>
            </w:rPr>
            <w:t>approaches</w:t>
          </w:r>
          <w:r w:rsidR="00C56ABD">
            <w:rPr>
              <w:lang w:eastAsia="en-US"/>
            </w:rPr>
            <w:t xml:space="preserve">. </w:t>
          </w:r>
        </w:p>
        <w:p w14:paraId="3C281CB6" w14:textId="3B357436" w:rsidR="00AC4A02" w:rsidRDefault="001B0AC9" w:rsidP="007F5EA0">
          <w:pPr>
            <w:pStyle w:val="Bullet"/>
            <w:numPr>
              <w:ilvl w:val="0"/>
              <w:numId w:val="31"/>
            </w:numPr>
            <w:ind w:left="993" w:hanging="993"/>
            <w:rPr>
              <w:lang w:eastAsia="en-US"/>
            </w:rPr>
          </w:pPr>
          <w:r>
            <w:rPr>
              <w:lang w:eastAsia="en-US"/>
            </w:rPr>
            <w:t xml:space="preserve">The </w:t>
          </w:r>
          <w:r w:rsidR="004A6286">
            <w:rPr>
              <w:lang w:eastAsia="en-US"/>
            </w:rPr>
            <w:t>SBI T</w:t>
          </w:r>
          <w:r>
            <w:rPr>
              <w:lang w:eastAsia="en-US"/>
            </w:rPr>
            <w:t xml:space="preserve">ool </w:t>
          </w:r>
          <w:r w:rsidR="00242A20">
            <w:rPr>
              <w:lang w:eastAsia="en-US"/>
            </w:rPr>
            <w:t xml:space="preserve">may </w:t>
          </w:r>
          <w:r>
            <w:rPr>
              <w:lang w:eastAsia="en-US"/>
            </w:rPr>
            <w:t>only</w:t>
          </w:r>
          <w:r w:rsidR="00242A20">
            <w:rPr>
              <w:lang w:eastAsia="en-US"/>
            </w:rPr>
            <w:t xml:space="preserve"> be used </w:t>
          </w:r>
          <w:r w:rsidR="004A6286">
            <w:rPr>
              <w:lang w:eastAsia="en-US"/>
            </w:rPr>
            <w:t xml:space="preserve">for </w:t>
          </w:r>
          <w:r w:rsidR="00242A20">
            <w:rPr>
              <w:lang w:eastAsia="en-US"/>
            </w:rPr>
            <w:t>repo</w:t>
          </w:r>
          <w:r w:rsidR="004A6286">
            <w:rPr>
              <w:lang w:eastAsia="en-US"/>
            </w:rPr>
            <w:t>r</w:t>
          </w:r>
          <w:r w:rsidR="00242A20">
            <w:rPr>
              <w:lang w:eastAsia="en-US"/>
            </w:rPr>
            <w:t>ti</w:t>
          </w:r>
          <w:r w:rsidR="004A6286">
            <w:rPr>
              <w:lang w:eastAsia="en-US"/>
            </w:rPr>
            <w:t>n</w:t>
          </w:r>
          <w:r w:rsidR="00242A20">
            <w:rPr>
              <w:lang w:eastAsia="en-US"/>
            </w:rPr>
            <w:t>g purposes</w:t>
          </w:r>
          <w:r w:rsidR="004A6286">
            <w:rPr>
              <w:lang w:eastAsia="en-US"/>
            </w:rPr>
            <w:t xml:space="preserve">. </w:t>
          </w:r>
          <w:r w:rsidR="00AC4A02">
            <w:rPr>
              <w:lang w:eastAsia="en-US"/>
            </w:rPr>
            <w:t>We monitor use of the</w:t>
          </w:r>
          <w:r w:rsidR="00CD188A">
            <w:rPr>
              <w:lang w:eastAsia="en-US"/>
            </w:rPr>
            <w:t xml:space="preserve"> SBI T</w:t>
          </w:r>
          <w:r w:rsidR="00AC4A02">
            <w:rPr>
              <w:lang w:eastAsia="en-US"/>
            </w:rPr>
            <w:t xml:space="preserve">ool and may use information about how you access </w:t>
          </w:r>
          <w:r w:rsidR="004A6286">
            <w:rPr>
              <w:lang w:eastAsia="en-US"/>
            </w:rPr>
            <w:t>i</w:t>
          </w:r>
          <w:r w:rsidR="00AC4A02">
            <w:rPr>
              <w:lang w:eastAsia="en-US"/>
            </w:rPr>
            <w:t>t for compliance purposes.</w:t>
          </w:r>
        </w:p>
        <w:p w14:paraId="6718C889" w14:textId="144AECEE" w:rsidR="00021CF1" w:rsidRDefault="005641A2" w:rsidP="007F5EA0">
          <w:pPr>
            <w:pStyle w:val="Bullet"/>
            <w:numPr>
              <w:ilvl w:val="0"/>
              <w:numId w:val="31"/>
            </w:numPr>
            <w:ind w:left="993" w:hanging="993"/>
            <w:rPr>
              <w:lang w:eastAsia="en-US"/>
            </w:rPr>
          </w:pPr>
          <w:r>
            <w:rPr>
              <w:lang w:eastAsia="en-US"/>
            </w:rPr>
            <w:t>T</w:t>
          </w:r>
          <w:r w:rsidR="002A06F8">
            <w:rPr>
              <w:lang w:eastAsia="en-US"/>
            </w:rPr>
            <w:t xml:space="preserve">he </w:t>
          </w:r>
          <w:r>
            <w:rPr>
              <w:lang w:eastAsia="en-US"/>
            </w:rPr>
            <w:t xml:space="preserve">reporting </w:t>
          </w:r>
          <w:r w:rsidR="002A06F8">
            <w:rPr>
              <w:lang w:eastAsia="en-US"/>
            </w:rPr>
            <w:t xml:space="preserve">entity should </w:t>
          </w:r>
          <w:r w:rsidR="00444F54">
            <w:rPr>
              <w:lang w:eastAsia="en-US"/>
            </w:rPr>
            <w:t>re</w:t>
          </w:r>
          <w:r w:rsidR="003629DC">
            <w:rPr>
              <w:lang w:eastAsia="en-US"/>
            </w:rPr>
            <w:t>cord</w:t>
          </w:r>
          <w:r w:rsidR="00444F54">
            <w:rPr>
              <w:lang w:eastAsia="en-US"/>
            </w:rPr>
            <w:t xml:space="preserve"> </w:t>
          </w:r>
          <w:r w:rsidR="00EA0239">
            <w:rPr>
              <w:lang w:eastAsia="en-US"/>
            </w:rPr>
            <w:t xml:space="preserve">the SBI Tool </w:t>
          </w:r>
          <w:r w:rsidR="004274A6">
            <w:rPr>
              <w:lang w:eastAsia="en-US"/>
            </w:rPr>
            <w:t>approach</w:t>
          </w:r>
          <w:r w:rsidR="00803C56">
            <w:rPr>
              <w:lang w:eastAsia="en-US"/>
            </w:rPr>
            <w:t xml:space="preserve"> </w:t>
          </w:r>
          <w:r w:rsidR="004A2792">
            <w:rPr>
              <w:lang w:eastAsia="en-US"/>
            </w:rPr>
            <w:t>they</w:t>
          </w:r>
          <w:r w:rsidR="00803C56">
            <w:rPr>
              <w:lang w:eastAsia="en-US"/>
            </w:rPr>
            <w:t xml:space="preserve"> used </w:t>
          </w:r>
          <w:r w:rsidR="00AD0625">
            <w:rPr>
              <w:lang w:eastAsia="en-US"/>
            </w:rPr>
            <w:t xml:space="preserve">in the </w:t>
          </w:r>
          <w:r w:rsidR="00270EC3">
            <w:rPr>
              <w:lang w:eastAsia="en-US"/>
            </w:rPr>
            <w:t xml:space="preserve">comments section of </w:t>
          </w:r>
          <w:r w:rsidR="004A2792">
            <w:rPr>
              <w:lang w:eastAsia="en-US"/>
            </w:rPr>
            <w:t>their</w:t>
          </w:r>
          <w:r w:rsidR="00270EC3">
            <w:rPr>
              <w:lang w:eastAsia="en-US"/>
            </w:rPr>
            <w:t xml:space="preserve"> report</w:t>
          </w:r>
          <w:r w:rsidR="00EA0239">
            <w:rPr>
              <w:lang w:eastAsia="en-US"/>
            </w:rPr>
            <w:t>.  If the recommended approaches are not used, details of the methodology used should be provided</w:t>
          </w:r>
          <w:r w:rsidR="00C56ABD">
            <w:rPr>
              <w:lang w:eastAsia="en-US"/>
            </w:rPr>
            <w:t xml:space="preserve">. </w:t>
          </w:r>
          <w:r w:rsidR="004951D1">
            <w:rPr>
              <w:lang w:eastAsia="en-US"/>
            </w:rPr>
            <w:t xml:space="preserve">This information can provide </w:t>
          </w:r>
          <w:r w:rsidR="00333602">
            <w:rPr>
              <w:lang w:eastAsia="en-US"/>
            </w:rPr>
            <w:t xml:space="preserve">important </w:t>
          </w:r>
          <w:r w:rsidR="004951D1">
            <w:rPr>
              <w:lang w:eastAsia="en-US"/>
            </w:rPr>
            <w:t xml:space="preserve">context for the </w:t>
          </w:r>
          <w:r w:rsidR="00333602">
            <w:rPr>
              <w:lang w:eastAsia="en-US"/>
            </w:rPr>
            <w:t xml:space="preserve">report and </w:t>
          </w:r>
          <w:r w:rsidR="004951D1">
            <w:rPr>
              <w:lang w:eastAsia="en-US"/>
            </w:rPr>
            <w:t xml:space="preserve">inform users </w:t>
          </w:r>
          <w:r w:rsidR="00437E54">
            <w:rPr>
              <w:lang w:eastAsia="en-US"/>
            </w:rPr>
            <w:t xml:space="preserve">of the </w:t>
          </w:r>
          <w:r w:rsidR="00333602">
            <w:rPr>
              <w:lang w:eastAsia="en-US"/>
            </w:rPr>
            <w:t xml:space="preserve">potential </w:t>
          </w:r>
          <w:r w:rsidR="00437E54">
            <w:rPr>
              <w:lang w:eastAsia="en-US"/>
            </w:rPr>
            <w:t xml:space="preserve">for </w:t>
          </w:r>
          <w:r w:rsidR="00483EA4">
            <w:rPr>
              <w:lang w:eastAsia="en-US"/>
            </w:rPr>
            <w:t xml:space="preserve">variance </w:t>
          </w:r>
          <w:r w:rsidR="004951D1">
            <w:rPr>
              <w:lang w:eastAsia="en-US"/>
            </w:rPr>
            <w:t>caused by the timing of use of the SBI Tool.</w:t>
          </w:r>
        </w:p>
        <w:p w14:paraId="33088551" w14:textId="276FD43A" w:rsidR="00E3467B" w:rsidRDefault="00D33BA1" w:rsidP="007F5EA0">
          <w:pPr>
            <w:pStyle w:val="Bullet"/>
            <w:numPr>
              <w:ilvl w:val="0"/>
              <w:numId w:val="31"/>
            </w:numPr>
            <w:ind w:left="993" w:hanging="993"/>
            <w:rPr>
              <w:lang w:eastAsia="en-US"/>
            </w:rPr>
          </w:pPr>
          <w:r>
            <w:rPr>
              <w:lang w:eastAsia="en-US"/>
            </w:rPr>
            <w:t>R</w:t>
          </w:r>
          <w:r w:rsidR="00426F28">
            <w:rPr>
              <w:lang w:eastAsia="en-US"/>
            </w:rPr>
            <w:t xml:space="preserve">eporting entities </w:t>
          </w:r>
          <w:r>
            <w:rPr>
              <w:lang w:eastAsia="en-US"/>
            </w:rPr>
            <w:t xml:space="preserve">must </w:t>
          </w:r>
          <w:r w:rsidR="00426F28">
            <w:rPr>
              <w:lang w:eastAsia="en-US"/>
            </w:rPr>
            <w:t xml:space="preserve">report on </w:t>
          </w:r>
          <w:r w:rsidR="00A01D2C">
            <w:rPr>
              <w:lang w:eastAsia="en-US"/>
            </w:rPr>
            <w:t>payment times to business</w:t>
          </w:r>
          <w:r w:rsidR="00296A41">
            <w:rPr>
              <w:lang w:eastAsia="en-US"/>
            </w:rPr>
            <w:t>es</w:t>
          </w:r>
          <w:r w:rsidR="00A01D2C">
            <w:rPr>
              <w:lang w:eastAsia="en-US"/>
            </w:rPr>
            <w:t xml:space="preserve"> </w:t>
          </w:r>
          <w:r w:rsidR="00296A41">
            <w:rPr>
              <w:lang w:eastAsia="en-US"/>
            </w:rPr>
            <w:t xml:space="preserve">that </w:t>
          </w:r>
          <w:r w:rsidR="009E0DFD">
            <w:rPr>
              <w:lang w:eastAsia="en-US"/>
            </w:rPr>
            <w:t xml:space="preserve">the SBI Tool </w:t>
          </w:r>
          <w:r w:rsidR="00296A41">
            <w:rPr>
              <w:lang w:eastAsia="en-US"/>
            </w:rPr>
            <w:t>identifie</w:t>
          </w:r>
          <w:r w:rsidR="009E0DFD">
            <w:rPr>
              <w:lang w:eastAsia="en-US"/>
            </w:rPr>
            <w:t>s</w:t>
          </w:r>
          <w:r w:rsidR="00296A41">
            <w:rPr>
              <w:lang w:eastAsia="en-US"/>
            </w:rPr>
            <w:t xml:space="preserve"> as small businesses</w:t>
          </w:r>
          <w:r w:rsidR="00A01D2C">
            <w:rPr>
              <w:lang w:eastAsia="en-US"/>
            </w:rPr>
            <w:t>.</w:t>
          </w:r>
          <w:r w:rsidR="00F75150">
            <w:rPr>
              <w:rStyle w:val="FootnoteReference"/>
              <w:lang w:eastAsia="en-US"/>
            </w:rPr>
            <w:footnoteReference w:id="2"/>
          </w:r>
          <w:r w:rsidR="00A01D2C">
            <w:rPr>
              <w:lang w:eastAsia="en-US"/>
            </w:rPr>
            <w:t xml:space="preserve"> Reporting entities cannot change, modify or </w:t>
          </w:r>
          <w:r w:rsidR="00625384">
            <w:rPr>
              <w:lang w:eastAsia="en-US"/>
            </w:rPr>
            <w:t xml:space="preserve">override </w:t>
          </w:r>
          <w:r w:rsidR="00382117">
            <w:rPr>
              <w:lang w:eastAsia="en-US"/>
            </w:rPr>
            <w:t>their</w:t>
          </w:r>
          <w:r w:rsidR="00625384">
            <w:rPr>
              <w:lang w:eastAsia="en-US"/>
            </w:rPr>
            <w:t xml:space="preserve"> SBI Tool output file to classify suppliers </w:t>
          </w:r>
          <w:r w:rsidR="00890102">
            <w:rPr>
              <w:lang w:eastAsia="en-US"/>
            </w:rPr>
            <w:t>differently</w:t>
          </w:r>
          <w:r w:rsidR="00A05493">
            <w:rPr>
              <w:lang w:eastAsia="en-US"/>
            </w:rPr>
            <w:t xml:space="preserve"> or exclude suppliers identified by the SBI Tool from reporting</w:t>
          </w:r>
          <w:r w:rsidR="00C56ABD">
            <w:rPr>
              <w:lang w:eastAsia="en-US"/>
            </w:rPr>
            <w:t xml:space="preserve">. </w:t>
          </w:r>
          <w:r w:rsidR="004951D1">
            <w:rPr>
              <w:lang w:eastAsia="en-US"/>
            </w:rPr>
            <w:t xml:space="preserve">Reporting entities should maintain records of how the SBI Tool output file was used to prepare </w:t>
          </w:r>
          <w:r w:rsidR="005559A6">
            <w:rPr>
              <w:lang w:eastAsia="en-US"/>
            </w:rPr>
            <w:t>their</w:t>
          </w:r>
          <w:r w:rsidR="004951D1">
            <w:rPr>
              <w:lang w:eastAsia="en-US"/>
            </w:rPr>
            <w:t xml:space="preserve"> report.</w:t>
          </w:r>
        </w:p>
        <w:p w14:paraId="04814AA9" w14:textId="6807E950" w:rsidR="00296A41" w:rsidRDefault="00890102" w:rsidP="007F5EA0">
          <w:pPr>
            <w:pStyle w:val="Bullet"/>
            <w:numPr>
              <w:ilvl w:val="0"/>
              <w:numId w:val="31"/>
            </w:numPr>
            <w:ind w:left="993" w:hanging="993"/>
            <w:rPr>
              <w:lang w:eastAsia="en-US"/>
            </w:rPr>
          </w:pPr>
          <w:r>
            <w:rPr>
              <w:lang w:eastAsia="en-US"/>
            </w:rPr>
            <w:t>If a reporting entity</w:t>
          </w:r>
          <w:r w:rsidR="00FC1C80">
            <w:rPr>
              <w:lang w:eastAsia="en-US"/>
            </w:rPr>
            <w:t xml:space="preserve"> believes the</w:t>
          </w:r>
          <w:r w:rsidR="005B5FE7">
            <w:rPr>
              <w:lang w:eastAsia="en-US"/>
            </w:rPr>
            <w:t xml:space="preserve"> SBI Tool output file </w:t>
          </w:r>
          <w:r w:rsidR="00FC1C80">
            <w:rPr>
              <w:lang w:eastAsia="en-US"/>
            </w:rPr>
            <w:t xml:space="preserve">incorrectly </w:t>
          </w:r>
          <w:r w:rsidR="005B5FE7">
            <w:rPr>
              <w:lang w:eastAsia="en-US"/>
            </w:rPr>
            <w:t>identifies a</w:t>
          </w:r>
          <w:r w:rsidR="00D33BA1">
            <w:rPr>
              <w:lang w:eastAsia="en-US"/>
            </w:rPr>
            <w:t xml:space="preserve"> business as a small business</w:t>
          </w:r>
          <w:r w:rsidR="00DA323A">
            <w:rPr>
              <w:lang w:eastAsia="en-US"/>
            </w:rPr>
            <w:t>, it can</w:t>
          </w:r>
          <w:r w:rsidR="00FC1C80">
            <w:rPr>
              <w:lang w:eastAsia="en-US"/>
            </w:rPr>
            <w:t xml:space="preserve"> either</w:t>
          </w:r>
          <w:r w:rsidR="00DA323A">
            <w:rPr>
              <w:lang w:eastAsia="en-US"/>
            </w:rPr>
            <w:t>:</w:t>
          </w:r>
        </w:p>
        <w:p w14:paraId="3BC87CC2" w14:textId="78A693DF" w:rsidR="00DA323A" w:rsidRDefault="00A05493" w:rsidP="00E51D43">
          <w:pPr>
            <w:pStyle w:val="ListParagraph"/>
            <w:numPr>
              <w:ilvl w:val="1"/>
              <w:numId w:val="61"/>
            </w:numPr>
          </w:pPr>
          <w:r>
            <w:t xml:space="preserve">request </w:t>
          </w:r>
          <w:r w:rsidR="00DA323A">
            <w:t xml:space="preserve">the supplier </w:t>
          </w:r>
          <w:r>
            <w:t xml:space="preserve">consider if it is a small business and </w:t>
          </w:r>
          <w:r w:rsidR="00A04B3D">
            <w:t xml:space="preserve">contact us to </w:t>
          </w:r>
          <w:r>
            <w:t xml:space="preserve">request its classification be </w:t>
          </w:r>
          <w:r w:rsidR="00A04B3D">
            <w:t>update</w:t>
          </w:r>
          <w:r>
            <w:t xml:space="preserve">d in </w:t>
          </w:r>
          <w:r w:rsidR="00A04B3D">
            <w:t>the SBI Tool</w:t>
          </w:r>
          <w:r w:rsidR="000D6711">
            <w:t>, or</w:t>
          </w:r>
        </w:p>
        <w:p w14:paraId="092B9057" w14:textId="37ACA9D6" w:rsidR="000D6711" w:rsidRDefault="005B4BD7" w:rsidP="00E51D43">
          <w:pPr>
            <w:pStyle w:val="ListParagraph"/>
            <w:numPr>
              <w:ilvl w:val="1"/>
              <w:numId w:val="61"/>
            </w:numPr>
          </w:pPr>
          <w:r>
            <w:t xml:space="preserve">provide a </w:t>
          </w:r>
          <w:r w:rsidR="004D57F3">
            <w:t>copy of invoices and payment records</w:t>
          </w:r>
          <w:r w:rsidR="000B30A4">
            <w:t xml:space="preserve"> to the Regulator</w:t>
          </w:r>
          <w:r w:rsidR="00F07C2B" w:rsidRPr="00F07C2B">
            <w:t xml:space="preserve"> </w:t>
          </w:r>
          <w:r w:rsidR="00F07C2B">
            <w:t xml:space="preserve">that show the entity paid over </w:t>
          </w:r>
          <w:r w:rsidR="009577D8">
            <w:t>A</w:t>
          </w:r>
          <w:r w:rsidR="00F07C2B">
            <w:t>$10 million to the supplier in a single income year.</w:t>
          </w:r>
        </w:p>
        <w:p w14:paraId="185CA2C2" w14:textId="423A14B9" w:rsidR="00DB19E1" w:rsidRDefault="00E267CA" w:rsidP="007F5EA0">
          <w:pPr>
            <w:pStyle w:val="Bullet"/>
            <w:numPr>
              <w:ilvl w:val="0"/>
              <w:numId w:val="31"/>
            </w:numPr>
            <w:ind w:left="993" w:hanging="993"/>
            <w:rPr>
              <w:lang w:eastAsia="en-US"/>
            </w:rPr>
          </w:pPr>
          <w:r>
            <w:rPr>
              <w:lang w:eastAsia="en-US"/>
            </w:rPr>
            <w:t xml:space="preserve">If the SBI Tool </w:t>
          </w:r>
          <w:r w:rsidR="00F07C2B">
            <w:rPr>
              <w:lang w:eastAsia="en-US"/>
            </w:rPr>
            <w:t>cannot</w:t>
          </w:r>
          <w:r>
            <w:rPr>
              <w:lang w:eastAsia="en-US"/>
            </w:rPr>
            <w:t xml:space="preserve"> be updated, or be updated in time to </w:t>
          </w:r>
          <w:r w:rsidR="00624827">
            <w:rPr>
              <w:lang w:eastAsia="en-US"/>
            </w:rPr>
            <w:t>prepar</w:t>
          </w:r>
          <w:r w:rsidR="00FE455E">
            <w:rPr>
              <w:lang w:eastAsia="en-US"/>
            </w:rPr>
            <w:t>e</w:t>
          </w:r>
          <w:r w:rsidR="00624827">
            <w:rPr>
              <w:lang w:eastAsia="en-US"/>
            </w:rPr>
            <w:t xml:space="preserve"> a report, the reporting entity </w:t>
          </w:r>
          <w:r w:rsidR="00333602">
            <w:rPr>
              <w:lang w:eastAsia="en-US"/>
            </w:rPr>
            <w:t xml:space="preserve">must </w:t>
          </w:r>
          <w:r w:rsidR="00624827">
            <w:rPr>
              <w:lang w:eastAsia="en-US"/>
            </w:rPr>
            <w:t xml:space="preserve">report on the businesses identified as small businesses in the </w:t>
          </w:r>
          <w:r w:rsidR="00A05493">
            <w:rPr>
              <w:lang w:eastAsia="en-US"/>
            </w:rPr>
            <w:t xml:space="preserve">SBI Tool </w:t>
          </w:r>
          <w:r w:rsidR="00624827">
            <w:rPr>
              <w:lang w:eastAsia="en-US"/>
            </w:rPr>
            <w:t>output file</w:t>
          </w:r>
          <w:r w:rsidR="00DB19E1">
            <w:rPr>
              <w:lang w:eastAsia="en-US"/>
            </w:rPr>
            <w:t xml:space="preserve">. They </w:t>
          </w:r>
          <w:r w:rsidR="000F5E03">
            <w:rPr>
              <w:lang w:eastAsia="en-US"/>
            </w:rPr>
            <w:t xml:space="preserve">may also </w:t>
          </w:r>
          <w:r w:rsidR="00624827">
            <w:rPr>
              <w:lang w:eastAsia="en-US"/>
            </w:rPr>
            <w:t xml:space="preserve">provide </w:t>
          </w:r>
          <w:r w:rsidR="00DB19E1">
            <w:rPr>
              <w:lang w:eastAsia="en-US"/>
            </w:rPr>
            <w:t xml:space="preserve">details in the </w:t>
          </w:r>
          <w:r w:rsidR="00E2693C">
            <w:rPr>
              <w:lang w:eastAsia="en-US"/>
            </w:rPr>
            <w:t>report comments</w:t>
          </w:r>
          <w:r w:rsidR="0046319C">
            <w:rPr>
              <w:lang w:eastAsia="en-US"/>
            </w:rPr>
            <w:t xml:space="preserve"> field o</w:t>
          </w:r>
          <w:r w:rsidR="005559A6">
            <w:rPr>
              <w:lang w:eastAsia="en-US"/>
            </w:rPr>
            <w:t>n</w:t>
          </w:r>
          <w:r w:rsidR="00DB19E1">
            <w:rPr>
              <w:lang w:eastAsia="en-US"/>
            </w:rPr>
            <w:t xml:space="preserve"> the:</w:t>
          </w:r>
        </w:p>
        <w:p w14:paraId="2E8789B9" w14:textId="77777777" w:rsidR="00437E54" w:rsidRDefault="00437E54" w:rsidP="00E51D43">
          <w:pPr>
            <w:pStyle w:val="ListParagraph"/>
            <w:numPr>
              <w:ilvl w:val="1"/>
              <w:numId w:val="62"/>
            </w:numPr>
          </w:pPr>
          <w:r>
            <w:t>number of businesses reported on that the entity does not consider to be small businesses</w:t>
          </w:r>
        </w:p>
        <w:p w14:paraId="137E7A2F" w14:textId="4FA29460" w:rsidR="00437E54" w:rsidRDefault="00437E54" w:rsidP="00E51D43">
          <w:pPr>
            <w:pStyle w:val="ListParagraph"/>
            <w:numPr>
              <w:ilvl w:val="1"/>
              <w:numId w:val="62"/>
            </w:numPr>
          </w:pPr>
          <w:r>
            <w:t>potential impact on payment performance. Comments should not include names or other identifying details of the supplier.</w:t>
          </w:r>
        </w:p>
        <w:p w14:paraId="414EB6D8" w14:textId="19702567" w:rsidR="00C86D49" w:rsidRDefault="00483EA4" w:rsidP="00E51D43">
          <w:pPr>
            <w:pStyle w:val="Bullet"/>
            <w:numPr>
              <w:ilvl w:val="0"/>
              <w:numId w:val="31"/>
            </w:numPr>
            <w:ind w:left="993" w:hanging="993"/>
            <w:rPr>
              <w:lang w:eastAsia="en-US"/>
            </w:rPr>
          </w:pPr>
          <w:r>
            <w:rPr>
              <w:lang w:eastAsia="en-US"/>
            </w:rPr>
            <w:t>Any d</w:t>
          </w:r>
          <w:r w:rsidR="000F5E03">
            <w:rPr>
              <w:lang w:eastAsia="en-US"/>
            </w:rPr>
            <w:t xml:space="preserve">etails of the SBI Tool and its use should be included </w:t>
          </w:r>
          <w:r w:rsidR="00E51D43">
            <w:rPr>
              <w:lang w:eastAsia="en-US"/>
            </w:rPr>
            <w:t xml:space="preserve">in </w:t>
          </w:r>
          <w:r w:rsidR="000F5E03">
            <w:rPr>
              <w:lang w:eastAsia="en-US"/>
            </w:rPr>
            <w:t>the report</w:t>
          </w:r>
          <w:r w:rsidR="00C86D49">
            <w:rPr>
              <w:lang w:eastAsia="en-US"/>
            </w:rPr>
            <w:t xml:space="preserve"> if it will add explanation or context to a report</w:t>
          </w:r>
          <w:r w:rsidR="00C56ABD">
            <w:rPr>
              <w:lang w:eastAsia="en-US"/>
            </w:rPr>
            <w:t xml:space="preserve">. </w:t>
          </w:r>
        </w:p>
        <w:p w14:paraId="7764AAB6" w14:textId="3A0B4372" w:rsidR="00437E54" w:rsidRDefault="00213361" w:rsidP="00E51D43">
          <w:pPr>
            <w:pStyle w:val="Bullet"/>
            <w:numPr>
              <w:ilvl w:val="0"/>
              <w:numId w:val="31"/>
            </w:numPr>
            <w:ind w:left="993" w:hanging="993"/>
            <w:rPr>
              <w:lang w:eastAsia="en-US"/>
            </w:rPr>
          </w:pPr>
          <w:r>
            <w:rPr>
              <w:lang w:eastAsia="en-US"/>
            </w:rPr>
            <w:t xml:space="preserve">SBI Tool data is based on a point in time.  </w:t>
          </w:r>
          <w:r w:rsidR="00C86D49">
            <w:rPr>
              <w:lang w:eastAsia="en-US"/>
            </w:rPr>
            <w:t xml:space="preserve">Once a report is submitted reporting entities are not required to subsequently re-run the tool for that </w:t>
          </w:r>
          <w:r>
            <w:rPr>
              <w:lang w:eastAsia="en-US"/>
            </w:rPr>
            <w:t>reporting period or</w:t>
          </w:r>
          <w:r w:rsidR="00C86D49">
            <w:rPr>
              <w:lang w:eastAsia="en-US"/>
            </w:rPr>
            <w:t xml:space="preserve"> submit a revised report if the classification of a supplier changes.  </w:t>
          </w:r>
          <w:r w:rsidR="00437E54">
            <w:rPr>
              <w:lang w:eastAsia="en-US"/>
            </w:rPr>
            <w:t xml:space="preserve">We will not </w:t>
          </w:r>
          <w:r w:rsidR="000F5E03">
            <w:rPr>
              <w:lang w:eastAsia="en-US"/>
            </w:rPr>
            <w:t xml:space="preserve">register </w:t>
          </w:r>
          <w:r w:rsidR="00437E54">
            <w:rPr>
              <w:lang w:eastAsia="en-US"/>
            </w:rPr>
            <w:t>revised report</w:t>
          </w:r>
          <w:r w:rsidR="000F5E03">
            <w:rPr>
              <w:lang w:eastAsia="en-US"/>
            </w:rPr>
            <w:t>s</w:t>
          </w:r>
          <w:r w:rsidR="00437E54">
            <w:rPr>
              <w:lang w:eastAsia="en-US"/>
            </w:rPr>
            <w:t xml:space="preserve"> if, </w:t>
          </w:r>
          <w:r>
            <w:rPr>
              <w:lang w:eastAsia="en-US"/>
            </w:rPr>
            <w:t>after submission of a report</w:t>
          </w:r>
          <w:r w:rsidR="00437E54">
            <w:rPr>
              <w:lang w:eastAsia="en-US"/>
            </w:rPr>
            <w:t xml:space="preserve">, </w:t>
          </w:r>
          <w:r w:rsidR="000F5E03">
            <w:rPr>
              <w:lang w:eastAsia="en-US"/>
            </w:rPr>
            <w:t xml:space="preserve">a reporting entity prepares another report after the </w:t>
          </w:r>
          <w:r w:rsidR="00437E54">
            <w:rPr>
              <w:lang w:eastAsia="en-US"/>
            </w:rPr>
            <w:t>status of a supplier change</w:t>
          </w:r>
          <w:r>
            <w:rPr>
              <w:lang w:eastAsia="en-US"/>
            </w:rPr>
            <w:t>s</w:t>
          </w:r>
          <w:r w:rsidR="00437E54">
            <w:rPr>
              <w:lang w:eastAsia="en-US"/>
            </w:rPr>
            <w:t xml:space="preserve"> in the SBI Tool.</w:t>
          </w:r>
          <w:r w:rsidR="00C56ABD">
            <w:rPr>
              <w:lang w:eastAsia="en-US"/>
            </w:rPr>
            <w:t xml:space="preserve"> </w:t>
          </w:r>
        </w:p>
        <w:p w14:paraId="141621FC" w14:textId="77777777" w:rsidR="00CB3E71" w:rsidRDefault="00CB3E71">
          <w:pPr>
            <w:spacing w:before="0" w:after="160" w:line="259" w:lineRule="auto"/>
            <w:rPr>
              <w:rFonts w:cs="Arial"/>
              <w:b/>
              <w:iCs/>
              <w:color w:val="465976"/>
              <w:kern w:val="32"/>
              <w:sz w:val="32"/>
              <w:szCs w:val="28"/>
              <w:lang w:eastAsia="en-US"/>
            </w:rPr>
          </w:pPr>
          <w:r>
            <w:rPr>
              <w:lang w:eastAsia="en-US"/>
            </w:rPr>
            <w:br w:type="page"/>
          </w:r>
        </w:p>
        <w:p w14:paraId="731F18D7" w14:textId="4EC91ACE" w:rsidR="005410EE" w:rsidRDefault="005410EE" w:rsidP="005410EE">
          <w:pPr>
            <w:pStyle w:val="Heading2"/>
            <w:rPr>
              <w:lang w:eastAsia="en-US"/>
            </w:rPr>
          </w:pPr>
          <w:bookmarkStart w:id="23" w:name="_Toc107838228"/>
          <w:r>
            <w:rPr>
              <w:lang w:eastAsia="en-US"/>
            </w:rPr>
            <w:lastRenderedPageBreak/>
            <w:t>Record keeping</w:t>
          </w:r>
          <w:bookmarkEnd w:id="23"/>
        </w:p>
        <w:p w14:paraId="13725232" w14:textId="25B0622C" w:rsidR="00A87595" w:rsidRDefault="004208D1" w:rsidP="007F5EA0">
          <w:pPr>
            <w:pStyle w:val="ListParagraph"/>
            <w:numPr>
              <w:ilvl w:val="0"/>
              <w:numId w:val="31"/>
            </w:numPr>
            <w:ind w:left="993" w:hanging="993"/>
          </w:pPr>
          <w:r>
            <w:t xml:space="preserve">Reporting entities must keep </w:t>
          </w:r>
          <w:r w:rsidR="006F1F0F">
            <w:t xml:space="preserve">any information used </w:t>
          </w:r>
          <w:r w:rsidR="00487366">
            <w:t>to</w:t>
          </w:r>
          <w:r w:rsidR="006F1F0F">
            <w:t xml:space="preserve"> prepar</w:t>
          </w:r>
          <w:r w:rsidR="00487366">
            <w:t>e</w:t>
          </w:r>
          <w:r w:rsidR="006F1F0F">
            <w:t xml:space="preserve"> a </w:t>
          </w:r>
          <w:r w:rsidR="00A50BDE">
            <w:t>payment times report for a period of 7 years</w:t>
          </w:r>
          <w:r w:rsidR="005D4277">
            <w:t xml:space="preserve"> from the end of the reporting period</w:t>
          </w:r>
          <w:r w:rsidR="00A50BDE">
            <w:t>.</w:t>
          </w:r>
          <w:r w:rsidR="00A50BDE">
            <w:rPr>
              <w:rStyle w:val="FootnoteReference"/>
            </w:rPr>
            <w:footnoteReference w:id="3"/>
          </w:r>
          <w:r w:rsidR="00A87595">
            <w:t xml:space="preserve"> </w:t>
          </w:r>
          <w:hyperlink w:anchor="_Table_1:_Guidance" w:history="1">
            <w:r w:rsidR="00A87595" w:rsidRPr="00E51D43">
              <w:rPr>
                <w:rStyle w:val="Hyperlink"/>
              </w:rPr>
              <w:t xml:space="preserve">Table </w:t>
            </w:r>
            <w:r w:rsidR="00797B5D">
              <w:rPr>
                <w:rStyle w:val="Hyperlink"/>
              </w:rPr>
              <w:t>2</w:t>
            </w:r>
          </w:hyperlink>
          <w:r w:rsidR="00A87595">
            <w:t xml:space="preserve"> provides </w:t>
          </w:r>
          <w:r w:rsidR="00487366">
            <w:t>examples</w:t>
          </w:r>
          <w:r w:rsidR="00A87595">
            <w:t xml:space="preserve"> o</w:t>
          </w:r>
          <w:r w:rsidR="00487366">
            <w:t>f</w:t>
          </w:r>
          <w:r w:rsidR="00A87595">
            <w:t xml:space="preserve"> the types </w:t>
          </w:r>
          <w:r w:rsidR="00FE455E">
            <w:t xml:space="preserve">of </w:t>
          </w:r>
          <w:r w:rsidR="00A87595">
            <w:t xml:space="preserve">information that </w:t>
          </w:r>
          <w:r w:rsidR="007C6C6D">
            <w:t xml:space="preserve">entities </w:t>
          </w:r>
          <w:r w:rsidR="00A87595">
            <w:t xml:space="preserve">may </w:t>
          </w:r>
          <w:r w:rsidR="00DB3DD7">
            <w:t>need to retain after lodg</w:t>
          </w:r>
          <w:r w:rsidR="008842BC">
            <w:t>ing</w:t>
          </w:r>
          <w:r w:rsidR="00DB3DD7">
            <w:t xml:space="preserve"> a report</w:t>
          </w:r>
          <w:r w:rsidR="005D4277">
            <w:t>, depending on how the entity prepared its report</w:t>
          </w:r>
          <w:r w:rsidR="00DB3DD7">
            <w:t>.</w:t>
          </w:r>
        </w:p>
        <w:p w14:paraId="3619BF11" w14:textId="5D274474" w:rsidR="00DB3DD7" w:rsidRPr="007F38C7" w:rsidRDefault="00DB3DD7" w:rsidP="007F38C7">
          <w:pPr>
            <w:pStyle w:val="Heading3"/>
            <w:ind w:left="993" w:hanging="993"/>
            <w:rPr>
              <w:sz w:val="22"/>
              <w:szCs w:val="22"/>
              <w:lang w:eastAsia="en-US"/>
            </w:rPr>
          </w:pPr>
          <w:bookmarkStart w:id="24" w:name="_Table_1:_Guidance"/>
          <w:bookmarkStart w:id="25" w:name="_Toc107838229"/>
          <w:bookmarkEnd w:id="24"/>
          <w:r w:rsidRPr="007F38C7">
            <w:rPr>
              <w:sz w:val="22"/>
              <w:szCs w:val="22"/>
              <w:lang w:eastAsia="en-US"/>
            </w:rPr>
            <w:t xml:space="preserve">Table </w:t>
          </w:r>
          <w:r w:rsidR="003C09B3">
            <w:rPr>
              <w:sz w:val="22"/>
              <w:szCs w:val="22"/>
              <w:lang w:eastAsia="en-US"/>
            </w:rPr>
            <w:t>2</w:t>
          </w:r>
          <w:r w:rsidR="00B6359E" w:rsidRPr="007F38C7">
            <w:rPr>
              <w:sz w:val="22"/>
              <w:szCs w:val="22"/>
              <w:lang w:eastAsia="en-US"/>
            </w:rPr>
            <w:t>:</w:t>
          </w:r>
          <w:r w:rsidRPr="007F38C7">
            <w:rPr>
              <w:sz w:val="22"/>
              <w:szCs w:val="22"/>
              <w:lang w:eastAsia="en-US"/>
            </w:rPr>
            <w:t xml:space="preserve"> Guidance on </w:t>
          </w:r>
          <w:r w:rsidR="005D4277" w:rsidRPr="007F38C7">
            <w:rPr>
              <w:sz w:val="22"/>
              <w:szCs w:val="22"/>
              <w:lang w:eastAsia="en-US"/>
            </w:rPr>
            <w:t xml:space="preserve">types of </w:t>
          </w:r>
          <w:r w:rsidR="00566A56" w:rsidRPr="007F38C7">
            <w:rPr>
              <w:sz w:val="22"/>
              <w:szCs w:val="22"/>
              <w:lang w:eastAsia="en-US"/>
            </w:rPr>
            <w:t xml:space="preserve">information </w:t>
          </w:r>
          <w:r w:rsidR="005D4277" w:rsidRPr="007F38C7">
            <w:rPr>
              <w:sz w:val="22"/>
              <w:szCs w:val="22"/>
              <w:lang w:eastAsia="en-US"/>
            </w:rPr>
            <w:t xml:space="preserve">a reporting entity may be required </w:t>
          </w:r>
          <w:r w:rsidR="00566A56" w:rsidRPr="007F38C7">
            <w:rPr>
              <w:sz w:val="22"/>
              <w:szCs w:val="22"/>
              <w:lang w:eastAsia="en-US"/>
            </w:rPr>
            <w:t>to retain</w:t>
          </w:r>
          <w:bookmarkEnd w:id="25"/>
        </w:p>
        <w:tbl>
          <w:tblPr>
            <w:tblStyle w:val="TableGrid"/>
            <w:tblW w:w="0" w:type="auto"/>
            <w:tblLook w:val="04A0" w:firstRow="1" w:lastRow="0" w:firstColumn="1" w:lastColumn="0" w:noHBand="0" w:noVBand="1"/>
          </w:tblPr>
          <w:tblGrid>
            <w:gridCol w:w="9050"/>
          </w:tblGrid>
          <w:tr w:rsidR="00DB3DD7" w14:paraId="3FA7EFCD" w14:textId="77777777" w:rsidTr="00BE2273">
            <w:trPr>
              <w:tblHeader/>
            </w:trPr>
            <w:tc>
              <w:tcPr>
                <w:tcW w:w="9070" w:type="dxa"/>
                <w:tcBorders>
                  <w:top w:val="single" w:sz="6" w:space="0" w:color="auto"/>
                  <w:left w:val="single" w:sz="8" w:space="0" w:color="auto"/>
                  <w:bottom w:val="single" w:sz="6" w:space="0" w:color="auto"/>
                  <w:right w:val="single" w:sz="8" w:space="0" w:color="auto"/>
                </w:tcBorders>
                <w:shd w:val="clear" w:color="auto" w:fill="2C384A"/>
              </w:tcPr>
              <w:p w14:paraId="23B70783" w14:textId="19249519" w:rsidR="00DB3DD7" w:rsidRPr="00E51D43" w:rsidRDefault="008842BC" w:rsidP="00BA34D7">
                <w:pPr>
                  <w:pStyle w:val="Heading4"/>
                  <w:outlineLvl w:val="3"/>
                </w:pPr>
                <w:r w:rsidRPr="00BA34D7">
                  <w:rPr>
                    <w:color w:val="FFFFFF" w:themeColor="background1"/>
                  </w:rPr>
                  <w:t>Types of i</w:t>
                </w:r>
                <w:r w:rsidR="00566A56" w:rsidRPr="00BA34D7">
                  <w:rPr>
                    <w:color w:val="FFFFFF" w:themeColor="background1"/>
                  </w:rPr>
                  <w:t>nformation</w:t>
                </w:r>
              </w:p>
            </w:tc>
          </w:tr>
          <w:tr w:rsidR="00DB3DD7" w14:paraId="3881E443" w14:textId="77777777" w:rsidTr="00BE2273">
            <w:trPr>
              <w:tblHeader/>
            </w:trPr>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1F5D639F" w14:textId="2B78AC49" w:rsidR="00566A56" w:rsidRPr="00E51D43" w:rsidRDefault="007C6C6D" w:rsidP="005559A6">
                <w:pPr>
                  <w:pStyle w:val="ListParagraph"/>
                  <w:numPr>
                    <w:ilvl w:val="0"/>
                    <w:numId w:val="63"/>
                  </w:numPr>
                  <w:jc w:val="left"/>
                  <w:rPr>
                    <w:sz w:val="22"/>
                  </w:rPr>
                </w:pPr>
                <w:r w:rsidRPr="00E51D43">
                  <w:rPr>
                    <w:sz w:val="22"/>
                  </w:rPr>
                  <w:t>F</w:t>
                </w:r>
                <w:r w:rsidR="00566A56" w:rsidRPr="00E51D43">
                  <w:rPr>
                    <w:sz w:val="22"/>
                  </w:rPr>
                  <w:t>inal and draft versions of the report</w:t>
                </w:r>
                <w:r w:rsidRPr="00E51D43">
                  <w:rPr>
                    <w:sz w:val="22"/>
                  </w:rPr>
                  <w:t>.</w:t>
                </w:r>
              </w:p>
              <w:p w14:paraId="5CC390D1" w14:textId="760C384E" w:rsidR="00566A56" w:rsidRPr="00E51D43" w:rsidRDefault="007C6C6D" w:rsidP="005559A6">
                <w:pPr>
                  <w:pStyle w:val="ListParagraph"/>
                  <w:numPr>
                    <w:ilvl w:val="0"/>
                    <w:numId w:val="63"/>
                  </w:numPr>
                  <w:jc w:val="left"/>
                  <w:rPr>
                    <w:sz w:val="22"/>
                  </w:rPr>
                </w:pPr>
                <w:r w:rsidRPr="00E51D43">
                  <w:rPr>
                    <w:sz w:val="22"/>
                  </w:rPr>
                  <w:t>P</w:t>
                </w:r>
                <w:r w:rsidR="00566A56" w:rsidRPr="00E51D43">
                  <w:rPr>
                    <w:sz w:val="22"/>
                  </w:rPr>
                  <w:t>ayment records, such as invoices, contracts and bank statements</w:t>
                </w:r>
                <w:r w:rsidRPr="00E51D43">
                  <w:rPr>
                    <w:sz w:val="22"/>
                  </w:rPr>
                  <w:t>.</w:t>
                </w:r>
              </w:p>
              <w:p w14:paraId="55979BC2" w14:textId="4DD8EF36" w:rsidR="00566A56" w:rsidRPr="00E51D43" w:rsidRDefault="00566A56" w:rsidP="005559A6">
                <w:pPr>
                  <w:pStyle w:val="ListParagraph"/>
                  <w:numPr>
                    <w:ilvl w:val="0"/>
                    <w:numId w:val="63"/>
                  </w:numPr>
                  <w:jc w:val="left"/>
                  <w:rPr>
                    <w:sz w:val="22"/>
                  </w:rPr>
                </w:pPr>
                <w:r w:rsidRPr="00E51D43">
                  <w:rPr>
                    <w:sz w:val="22"/>
                  </w:rPr>
                  <w:t>IT system records</w:t>
                </w:r>
                <w:r w:rsidR="007C6C6D" w:rsidRPr="00E51D43">
                  <w:rPr>
                    <w:sz w:val="22"/>
                  </w:rPr>
                  <w:t>.</w:t>
                </w:r>
              </w:p>
              <w:p w14:paraId="343F48A7" w14:textId="3EBB884A" w:rsidR="00566A56" w:rsidRPr="00E51D43" w:rsidRDefault="00566A56" w:rsidP="005559A6">
                <w:pPr>
                  <w:pStyle w:val="ListParagraph"/>
                  <w:numPr>
                    <w:ilvl w:val="0"/>
                    <w:numId w:val="63"/>
                  </w:numPr>
                  <w:jc w:val="left"/>
                  <w:rPr>
                    <w:sz w:val="22"/>
                  </w:rPr>
                </w:pPr>
                <w:r w:rsidRPr="00E51D43">
                  <w:rPr>
                    <w:sz w:val="22"/>
                  </w:rPr>
                  <w:t>Report approvals from a responsible member</w:t>
                </w:r>
                <w:r w:rsidR="007C6C6D" w:rsidRPr="00E51D43">
                  <w:rPr>
                    <w:sz w:val="22"/>
                  </w:rPr>
                  <w:t>.</w:t>
                </w:r>
              </w:p>
              <w:p w14:paraId="7AD30D13" w14:textId="7B3FDE00" w:rsidR="00566A56" w:rsidRPr="00E51D43" w:rsidRDefault="00566A56" w:rsidP="005559A6">
                <w:pPr>
                  <w:pStyle w:val="ListParagraph"/>
                  <w:numPr>
                    <w:ilvl w:val="0"/>
                    <w:numId w:val="63"/>
                  </w:numPr>
                  <w:jc w:val="left"/>
                  <w:rPr>
                    <w:sz w:val="22"/>
                  </w:rPr>
                </w:pPr>
                <w:r w:rsidRPr="00E51D43">
                  <w:rPr>
                    <w:sz w:val="22"/>
                  </w:rPr>
                  <w:t xml:space="preserve">Board papers or meeting minutes demonstrating </w:t>
                </w:r>
                <w:r w:rsidR="00213361">
                  <w:rPr>
                    <w:sz w:val="22"/>
                  </w:rPr>
                  <w:t>the</w:t>
                </w:r>
                <w:r w:rsidRPr="00E51D43">
                  <w:rPr>
                    <w:sz w:val="22"/>
                  </w:rPr>
                  <w:t xml:space="preserve"> report </w:t>
                </w:r>
                <w:r w:rsidR="00213361">
                  <w:rPr>
                    <w:sz w:val="22"/>
                  </w:rPr>
                  <w:t xml:space="preserve">was </w:t>
                </w:r>
                <w:r w:rsidRPr="00E51D43">
                  <w:rPr>
                    <w:sz w:val="22"/>
                  </w:rPr>
                  <w:t xml:space="preserve">considered by </w:t>
                </w:r>
                <w:r w:rsidR="00213361">
                  <w:rPr>
                    <w:sz w:val="22"/>
                  </w:rPr>
                  <w:t xml:space="preserve">the </w:t>
                </w:r>
                <w:r w:rsidRPr="00E51D43">
                  <w:rPr>
                    <w:sz w:val="22"/>
                  </w:rPr>
                  <w:t>principal governing body</w:t>
                </w:r>
                <w:r w:rsidR="007C6C6D" w:rsidRPr="00E51D43">
                  <w:rPr>
                    <w:sz w:val="22"/>
                  </w:rPr>
                  <w:t>.</w:t>
                </w:r>
              </w:p>
              <w:p w14:paraId="0DA98D03" w14:textId="2B40787A" w:rsidR="00566A56" w:rsidRPr="00E51D43" w:rsidRDefault="00566A56" w:rsidP="005559A6">
                <w:pPr>
                  <w:pStyle w:val="ListParagraph"/>
                  <w:numPr>
                    <w:ilvl w:val="0"/>
                    <w:numId w:val="63"/>
                  </w:numPr>
                  <w:jc w:val="left"/>
                  <w:rPr>
                    <w:sz w:val="22"/>
                  </w:rPr>
                </w:pPr>
                <w:r w:rsidRPr="00E51D43">
                  <w:rPr>
                    <w:sz w:val="22"/>
                  </w:rPr>
                  <w:t>Calculation sheets and workbooks</w:t>
                </w:r>
                <w:r w:rsidR="007C6C6D" w:rsidRPr="00E51D43">
                  <w:rPr>
                    <w:sz w:val="22"/>
                  </w:rPr>
                  <w:t>.</w:t>
                </w:r>
              </w:p>
              <w:p w14:paraId="3C93705A" w14:textId="5C349FE8" w:rsidR="00566A56" w:rsidRPr="00E51D43" w:rsidRDefault="00566A56" w:rsidP="005559A6">
                <w:pPr>
                  <w:pStyle w:val="ListParagraph"/>
                  <w:numPr>
                    <w:ilvl w:val="0"/>
                    <w:numId w:val="63"/>
                  </w:numPr>
                  <w:jc w:val="left"/>
                  <w:rPr>
                    <w:sz w:val="22"/>
                  </w:rPr>
                </w:pPr>
                <w:r w:rsidRPr="00E51D43">
                  <w:rPr>
                    <w:sz w:val="22"/>
                  </w:rPr>
                  <w:t xml:space="preserve">The SBI Tool output files used to prepare </w:t>
                </w:r>
                <w:r w:rsidR="00213361">
                  <w:rPr>
                    <w:sz w:val="22"/>
                  </w:rPr>
                  <w:t xml:space="preserve">the </w:t>
                </w:r>
                <w:r w:rsidRPr="00E51D43">
                  <w:rPr>
                    <w:sz w:val="22"/>
                  </w:rPr>
                  <w:t>report</w:t>
                </w:r>
                <w:r w:rsidR="007C6C6D" w:rsidRPr="00E51D43">
                  <w:rPr>
                    <w:sz w:val="22"/>
                  </w:rPr>
                  <w:t>.</w:t>
                </w:r>
              </w:p>
              <w:p w14:paraId="7F49F260" w14:textId="7F58BBA6" w:rsidR="00566A56" w:rsidRPr="00E51D43" w:rsidRDefault="00566A56" w:rsidP="005559A6">
                <w:pPr>
                  <w:pStyle w:val="ListParagraph"/>
                  <w:numPr>
                    <w:ilvl w:val="0"/>
                    <w:numId w:val="63"/>
                  </w:numPr>
                  <w:jc w:val="left"/>
                  <w:rPr>
                    <w:sz w:val="22"/>
                  </w:rPr>
                </w:pPr>
                <w:r w:rsidRPr="00E51D43">
                  <w:rPr>
                    <w:sz w:val="22"/>
                  </w:rPr>
                  <w:t>Documents record</w:t>
                </w:r>
                <w:r w:rsidR="007C6C6D" w:rsidRPr="00E51D43">
                  <w:rPr>
                    <w:sz w:val="22"/>
                  </w:rPr>
                  <w:t>ing</w:t>
                </w:r>
                <w:r w:rsidRPr="00E51D43">
                  <w:rPr>
                    <w:sz w:val="22"/>
                  </w:rPr>
                  <w:t xml:space="preserve"> the method</w:t>
                </w:r>
                <w:r w:rsidR="007C6C6D" w:rsidRPr="00E51D43">
                  <w:rPr>
                    <w:sz w:val="22"/>
                  </w:rPr>
                  <w:t>s</w:t>
                </w:r>
                <w:r w:rsidRPr="00E51D43">
                  <w:rPr>
                    <w:sz w:val="22"/>
                  </w:rPr>
                  <w:t xml:space="preserve"> used to prepare the report</w:t>
                </w:r>
                <w:r w:rsidR="008842BC" w:rsidRPr="00E51D43">
                  <w:rPr>
                    <w:sz w:val="22"/>
                  </w:rPr>
                  <w:t>.</w:t>
                </w:r>
              </w:p>
              <w:p w14:paraId="2D1336DF" w14:textId="3887BD0C" w:rsidR="00DB3DD7" w:rsidRPr="00E51D43" w:rsidRDefault="00566A56" w:rsidP="005559A6">
                <w:pPr>
                  <w:pStyle w:val="ListParagraph"/>
                  <w:numPr>
                    <w:ilvl w:val="0"/>
                    <w:numId w:val="63"/>
                  </w:numPr>
                  <w:jc w:val="left"/>
                  <w:rPr>
                    <w:sz w:val="22"/>
                  </w:rPr>
                </w:pPr>
                <w:r w:rsidRPr="00E51D43">
                  <w:rPr>
                    <w:sz w:val="22"/>
                  </w:rPr>
                  <w:t>Internal or external advice relied on in the preparation of the report</w:t>
                </w:r>
                <w:r w:rsidR="007C6C6D" w:rsidRPr="00E51D43">
                  <w:rPr>
                    <w:sz w:val="22"/>
                  </w:rPr>
                  <w:t>.</w:t>
                </w:r>
              </w:p>
              <w:p w14:paraId="1277D753" w14:textId="69E77580" w:rsidR="00566A56" w:rsidRPr="00E51D43" w:rsidRDefault="008842BC" w:rsidP="00E51D43">
                <w:pPr>
                  <w:pStyle w:val="ListParagraph"/>
                  <w:numPr>
                    <w:ilvl w:val="0"/>
                    <w:numId w:val="63"/>
                  </w:numPr>
                  <w:rPr>
                    <w:sz w:val="22"/>
                  </w:rPr>
                </w:pPr>
                <w:r w:rsidRPr="00E51D43">
                  <w:rPr>
                    <w:sz w:val="22"/>
                  </w:rPr>
                  <w:t>D</w:t>
                </w:r>
                <w:r w:rsidR="00DF5C41" w:rsidRPr="00E51D43">
                  <w:rPr>
                    <w:sz w:val="22"/>
                  </w:rPr>
                  <w:t xml:space="preserve">ocuments, instructions and other correspondence with external parties engaged to prepare </w:t>
                </w:r>
                <w:r w:rsidR="00213361">
                  <w:rPr>
                    <w:sz w:val="22"/>
                  </w:rPr>
                  <w:t>the</w:t>
                </w:r>
                <w:r w:rsidR="00213361" w:rsidRPr="00E51D43">
                  <w:rPr>
                    <w:sz w:val="22"/>
                  </w:rPr>
                  <w:t xml:space="preserve"> </w:t>
                </w:r>
                <w:r w:rsidR="00DF5C41" w:rsidRPr="00E51D43">
                  <w:rPr>
                    <w:sz w:val="22"/>
                  </w:rPr>
                  <w:t>report on the reporting entit</w:t>
                </w:r>
                <w:r w:rsidRPr="00E51D43">
                  <w:rPr>
                    <w:sz w:val="22"/>
                  </w:rPr>
                  <w:t>y’s</w:t>
                </w:r>
                <w:r w:rsidR="00DF5C41" w:rsidRPr="00E51D43">
                  <w:rPr>
                    <w:sz w:val="22"/>
                  </w:rPr>
                  <w:t xml:space="preserve"> behalf</w:t>
                </w:r>
                <w:r w:rsidRPr="00E51D43">
                  <w:rPr>
                    <w:sz w:val="22"/>
                  </w:rPr>
                  <w:t>.</w:t>
                </w:r>
              </w:p>
              <w:p w14:paraId="28A762B1" w14:textId="5950EB0A" w:rsidR="005D4277" w:rsidRPr="00E51D43" w:rsidRDefault="005D4277" w:rsidP="00E51D43">
                <w:pPr>
                  <w:pStyle w:val="Bullet"/>
                  <w:numPr>
                    <w:ilvl w:val="0"/>
                    <w:numId w:val="0"/>
                  </w:numPr>
                  <w:jc w:val="left"/>
                  <w:rPr>
                    <w:sz w:val="22"/>
                    <w:szCs w:val="22"/>
                    <w:lang w:eastAsia="en-US"/>
                  </w:rPr>
                </w:pPr>
                <w:r w:rsidRPr="00E51D43">
                  <w:rPr>
                    <w:rStyle w:val="Strong"/>
                  </w:rPr>
                  <w:t xml:space="preserve">Note: </w:t>
                </w:r>
                <w:r w:rsidRPr="00E86B62">
                  <w:rPr>
                    <w:i/>
                    <w:iCs/>
                    <w:color w:val="465976"/>
                    <w:sz w:val="22"/>
                    <w:szCs w:val="22"/>
                    <w:lang w:eastAsia="en-US"/>
                  </w:rPr>
                  <w:t>This list is not exhaustive</w:t>
                </w:r>
                <w:r w:rsidR="00C56ABD" w:rsidRPr="00E86B62">
                  <w:rPr>
                    <w:i/>
                    <w:iCs/>
                    <w:color w:val="465976"/>
                    <w:sz w:val="22"/>
                    <w:szCs w:val="22"/>
                    <w:lang w:eastAsia="en-US"/>
                  </w:rPr>
                  <w:t xml:space="preserve">. </w:t>
                </w:r>
                <w:r w:rsidRPr="00E86B62">
                  <w:rPr>
                    <w:i/>
                    <w:iCs/>
                    <w:color w:val="465976"/>
                    <w:sz w:val="22"/>
                    <w:szCs w:val="22"/>
                    <w:lang w:eastAsia="en-US"/>
                  </w:rPr>
                  <w:t>If a reporting entity has other types of records of any information used in the preparation of a report, it must retain those records for a period of 7 years from the end of a reporting period.</w:t>
                </w:r>
              </w:p>
            </w:tc>
          </w:tr>
        </w:tbl>
        <w:p w14:paraId="2DB774CD" w14:textId="5527EF90" w:rsidR="000C63BF" w:rsidRDefault="00C24AE7" w:rsidP="00E86B62">
          <w:pPr>
            <w:pStyle w:val="Bullet"/>
            <w:numPr>
              <w:ilvl w:val="0"/>
              <w:numId w:val="31"/>
            </w:numPr>
            <w:spacing w:before="240"/>
            <w:ind w:left="993" w:hanging="993"/>
            <w:rPr>
              <w:lang w:eastAsia="en-US"/>
            </w:rPr>
          </w:pPr>
          <w:r>
            <w:rPr>
              <w:lang w:eastAsia="en-US"/>
            </w:rPr>
            <w:t xml:space="preserve">Reporting entities may </w:t>
          </w:r>
          <w:r w:rsidR="003212C8">
            <w:rPr>
              <w:lang w:eastAsia="en-US"/>
            </w:rPr>
            <w:t xml:space="preserve">use </w:t>
          </w:r>
          <w:r w:rsidR="000831DD">
            <w:rPr>
              <w:lang w:eastAsia="en-US"/>
            </w:rPr>
            <w:t xml:space="preserve">automated IT </w:t>
          </w:r>
          <w:r w:rsidR="00EE558A">
            <w:rPr>
              <w:lang w:eastAsia="en-US"/>
            </w:rPr>
            <w:t>functions</w:t>
          </w:r>
          <w:r w:rsidR="00A31415">
            <w:rPr>
              <w:lang w:eastAsia="en-US"/>
            </w:rPr>
            <w:t xml:space="preserve">, </w:t>
          </w:r>
          <w:r w:rsidR="007476F1">
            <w:rPr>
              <w:lang w:eastAsia="en-US"/>
            </w:rPr>
            <w:t xml:space="preserve">customised </w:t>
          </w:r>
          <w:r w:rsidR="002163D4">
            <w:rPr>
              <w:lang w:eastAsia="en-US"/>
            </w:rPr>
            <w:t xml:space="preserve">extracts </w:t>
          </w:r>
          <w:r w:rsidR="00A31415">
            <w:rPr>
              <w:lang w:eastAsia="en-US"/>
            </w:rPr>
            <w:t xml:space="preserve">or other </w:t>
          </w:r>
          <w:r w:rsidR="00EE558A">
            <w:rPr>
              <w:lang w:eastAsia="en-US"/>
            </w:rPr>
            <w:t xml:space="preserve">data interpretation </w:t>
          </w:r>
          <w:r w:rsidR="0029024E">
            <w:rPr>
              <w:lang w:eastAsia="en-US"/>
            </w:rPr>
            <w:t>proc</w:t>
          </w:r>
          <w:r w:rsidR="00EE558A">
            <w:rPr>
              <w:lang w:eastAsia="en-US"/>
            </w:rPr>
            <w:t>esses</w:t>
          </w:r>
          <w:r w:rsidR="00A31415">
            <w:rPr>
              <w:lang w:eastAsia="en-US"/>
            </w:rPr>
            <w:t xml:space="preserve"> </w:t>
          </w:r>
          <w:r w:rsidR="002163D4">
            <w:rPr>
              <w:lang w:eastAsia="en-US"/>
            </w:rPr>
            <w:t>to prepare a report</w:t>
          </w:r>
          <w:r w:rsidR="00C56ABD">
            <w:rPr>
              <w:lang w:eastAsia="en-US"/>
            </w:rPr>
            <w:t xml:space="preserve">. </w:t>
          </w:r>
          <w:r w:rsidR="00A31415">
            <w:rPr>
              <w:lang w:eastAsia="en-US"/>
            </w:rPr>
            <w:t xml:space="preserve">If </w:t>
          </w:r>
          <w:r w:rsidR="001956FF">
            <w:rPr>
              <w:lang w:eastAsia="en-US"/>
            </w:rPr>
            <w:t xml:space="preserve">entities </w:t>
          </w:r>
          <w:r w:rsidR="00A31415">
            <w:rPr>
              <w:lang w:eastAsia="en-US"/>
            </w:rPr>
            <w:t>prepar</w:t>
          </w:r>
          <w:r w:rsidR="001956FF">
            <w:rPr>
              <w:lang w:eastAsia="en-US"/>
            </w:rPr>
            <w:t>e</w:t>
          </w:r>
          <w:r w:rsidR="00A31415">
            <w:rPr>
              <w:lang w:eastAsia="en-US"/>
            </w:rPr>
            <w:t xml:space="preserve"> a report </w:t>
          </w:r>
          <w:r w:rsidR="00EE558A">
            <w:rPr>
              <w:lang w:eastAsia="en-US"/>
            </w:rPr>
            <w:t xml:space="preserve">using an automated function </w:t>
          </w:r>
          <w:r w:rsidR="005D1363">
            <w:rPr>
              <w:lang w:eastAsia="en-US"/>
            </w:rPr>
            <w:t xml:space="preserve">or </w:t>
          </w:r>
          <w:r w:rsidR="00A31415">
            <w:rPr>
              <w:lang w:eastAsia="en-US"/>
            </w:rPr>
            <w:t xml:space="preserve">secondary </w:t>
          </w:r>
          <w:r w:rsidR="005D1363">
            <w:rPr>
              <w:lang w:eastAsia="en-US"/>
            </w:rPr>
            <w:t>information source</w:t>
          </w:r>
          <w:r w:rsidR="00B6359E">
            <w:rPr>
              <w:lang w:eastAsia="en-US"/>
            </w:rPr>
            <w:t>,</w:t>
          </w:r>
          <w:r w:rsidR="005D1363">
            <w:rPr>
              <w:lang w:eastAsia="en-US"/>
            </w:rPr>
            <w:t xml:space="preserve"> </w:t>
          </w:r>
          <w:r w:rsidR="001956FF">
            <w:rPr>
              <w:lang w:eastAsia="en-US"/>
            </w:rPr>
            <w:t xml:space="preserve">they should maintain </w:t>
          </w:r>
          <w:r w:rsidR="005D1363">
            <w:rPr>
              <w:lang w:eastAsia="en-US"/>
            </w:rPr>
            <w:t xml:space="preserve">documentation </w:t>
          </w:r>
          <w:r w:rsidR="001956FF">
            <w:rPr>
              <w:lang w:eastAsia="en-US"/>
            </w:rPr>
            <w:t xml:space="preserve">that </w:t>
          </w:r>
          <w:r w:rsidR="005D1363">
            <w:rPr>
              <w:lang w:eastAsia="en-US"/>
            </w:rPr>
            <w:t>describ</w:t>
          </w:r>
          <w:r w:rsidR="001956FF">
            <w:rPr>
              <w:lang w:eastAsia="en-US"/>
            </w:rPr>
            <w:t>es</w:t>
          </w:r>
          <w:r w:rsidR="005D1363">
            <w:rPr>
              <w:lang w:eastAsia="en-US"/>
            </w:rPr>
            <w:t xml:space="preserve"> the process</w:t>
          </w:r>
          <w:r w:rsidR="001956FF">
            <w:rPr>
              <w:lang w:eastAsia="en-US"/>
            </w:rPr>
            <w:t>. For example</w:t>
          </w:r>
          <w:r w:rsidR="005D1363">
            <w:rPr>
              <w:lang w:eastAsia="en-US"/>
            </w:rPr>
            <w:t>, includ</w:t>
          </w:r>
          <w:r w:rsidR="001956FF">
            <w:rPr>
              <w:lang w:eastAsia="en-US"/>
            </w:rPr>
            <w:t>e</w:t>
          </w:r>
          <w:r w:rsidR="005D1363">
            <w:rPr>
              <w:lang w:eastAsia="en-US"/>
            </w:rPr>
            <w:t xml:space="preserve"> rules</w:t>
          </w:r>
          <w:r w:rsidR="001956FF">
            <w:rPr>
              <w:lang w:eastAsia="en-US"/>
            </w:rPr>
            <w:t>,</w:t>
          </w:r>
          <w:r w:rsidR="005D1363">
            <w:rPr>
              <w:lang w:eastAsia="en-US"/>
            </w:rPr>
            <w:t xml:space="preserve"> parameters and any </w:t>
          </w:r>
          <w:r w:rsidR="007749E7">
            <w:rPr>
              <w:lang w:eastAsia="en-US"/>
            </w:rPr>
            <w:t>reconciliation and validation steps taken to ensure completeness and accuracy of the information.</w:t>
          </w:r>
          <w:r w:rsidR="000C63BF">
            <w:rPr>
              <w:lang w:eastAsia="en-US"/>
            </w:rPr>
            <w:t xml:space="preserve"> </w:t>
          </w:r>
        </w:p>
        <w:p w14:paraId="39B073BD" w14:textId="3A493744" w:rsidR="00A50BDE" w:rsidRDefault="00A50BDE" w:rsidP="007F5EA0">
          <w:pPr>
            <w:pStyle w:val="ListParagraph"/>
            <w:numPr>
              <w:ilvl w:val="0"/>
              <w:numId w:val="31"/>
            </w:numPr>
            <w:ind w:left="993" w:hanging="993"/>
          </w:pPr>
          <w:r>
            <w:t xml:space="preserve">Civil penalties may apply if </w:t>
          </w:r>
          <w:r w:rsidR="001956FF">
            <w:t xml:space="preserve">reporting entities </w:t>
          </w:r>
          <w:r>
            <w:t>fail to keep records.</w:t>
          </w:r>
          <w:r>
            <w:rPr>
              <w:rStyle w:val="FootnoteReference"/>
            </w:rPr>
            <w:footnoteReference w:id="4"/>
          </w:r>
        </w:p>
        <w:p w14:paraId="04E1E221" w14:textId="790F6B70" w:rsidR="00340009" w:rsidRDefault="009920B9" w:rsidP="004E343F">
          <w:pPr>
            <w:pStyle w:val="Heading1"/>
          </w:pPr>
          <w:bookmarkStart w:id="26" w:name="_Toc107838230"/>
          <w:r>
            <w:lastRenderedPageBreak/>
            <w:t>Payment times report content</w:t>
          </w:r>
          <w:bookmarkEnd w:id="26"/>
        </w:p>
        <w:tbl>
          <w:tblPr>
            <w:tblStyle w:val="TableGrid"/>
            <w:tblW w:w="0" w:type="auto"/>
            <w:tblLook w:val="04A0" w:firstRow="1" w:lastRow="0" w:firstColumn="1" w:lastColumn="0" w:noHBand="0" w:noVBand="1"/>
          </w:tblPr>
          <w:tblGrid>
            <w:gridCol w:w="9050"/>
          </w:tblGrid>
          <w:tr w:rsidR="00F56760" w14:paraId="62DDEDA0" w14:textId="77777777" w:rsidTr="00BE2273">
            <w:trPr>
              <w:tblHeader/>
            </w:trPr>
            <w:tc>
              <w:tcPr>
                <w:tcW w:w="9070" w:type="dxa"/>
                <w:tcBorders>
                  <w:top w:val="single" w:sz="6" w:space="0" w:color="auto"/>
                  <w:left w:val="single" w:sz="8" w:space="0" w:color="auto"/>
                  <w:bottom w:val="single" w:sz="6" w:space="0" w:color="auto"/>
                  <w:right w:val="single" w:sz="8" w:space="0" w:color="auto"/>
                </w:tcBorders>
                <w:shd w:val="clear" w:color="auto" w:fill="2C384A"/>
              </w:tcPr>
              <w:p w14:paraId="48EA62D2" w14:textId="19F014FF" w:rsidR="00F56760" w:rsidRPr="00180B79" w:rsidRDefault="00F56760" w:rsidP="007F38C7">
                <w:pPr>
                  <w:pStyle w:val="Heading3"/>
                  <w:outlineLvl w:val="2"/>
                </w:pPr>
                <w:bookmarkStart w:id="27" w:name="_Toc107838231"/>
                <w:bookmarkStart w:id="28" w:name="_Hlk104214853"/>
                <w:r w:rsidRPr="007F38C7">
                  <w:rPr>
                    <w:color w:val="FFFFFF" w:themeColor="background1"/>
                  </w:rPr>
                  <w:t xml:space="preserve">Key </w:t>
                </w:r>
                <w:r w:rsidR="006C172F" w:rsidRPr="007F38C7">
                  <w:rPr>
                    <w:color w:val="FFFFFF" w:themeColor="background1"/>
                  </w:rPr>
                  <w:t>p</w:t>
                </w:r>
                <w:r w:rsidRPr="007F38C7">
                  <w:rPr>
                    <w:color w:val="FFFFFF" w:themeColor="background1"/>
                  </w:rPr>
                  <w:t>oints</w:t>
                </w:r>
                <w:bookmarkEnd w:id="27"/>
                <w:r w:rsidRPr="007F38C7">
                  <w:rPr>
                    <w:color w:val="FFFFFF" w:themeColor="background1"/>
                  </w:rPr>
                  <w:tab/>
                </w:r>
              </w:p>
            </w:tc>
          </w:tr>
          <w:tr w:rsidR="00F56760" w14:paraId="3C869599" w14:textId="77777777" w:rsidTr="00BE2273">
            <w:trPr>
              <w:tblHeader/>
            </w:trPr>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021C0FB3" w14:textId="6FFB08A9" w:rsidR="00F56760" w:rsidRPr="00E86B62" w:rsidRDefault="008342F7" w:rsidP="00E86B62">
                <w:pPr>
                  <w:pStyle w:val="ListParagraph"/>
                  <w:numPr>
                    <w:ilvl w:val="0"/>
                    <w:numId w:val="64"/>
                  </w:numPr>
                  <w:jc w:val="left"/>
                  <w:rPr>
                    <w:sz w:val="22"/>
                  </w:rPr>
                </w:pPr>
                <w:r w:rsidRPr="00E86B62">
                  <w:rPr>
                    <w:sz w:val="22"/>
                  </w:rPr>
                  <w:t xml:space="preserve">Reporting entities can get step-by-step instructions to completing </w:t>
                </w:r>
                <w:r w:rsidR="00483EA4">
                  <w:rPr>
                    <w:sz w:val="22"/>
                  </w:rPr>
                  <w:t>the</w:t>
                </w:r>
                <w:r w:rsidR="00483EA4" w:rsidRPr="00E86B62">
                  <w:rPr>
                    <w:sz w:val="22"/>
                  </w:rPr>
                  <w:t xml:space="preserve"> </w:t>
                </w:r>
                <w:r w:rsidRPr="00E86B62">
                  <w:rPr>
                    <w:sz w:val="22"/>
                  </w:rPr>
                  <w:t>report</w:t>
                </w:r>
                <w:r w:rsidR="00483EA4">
                  <w:rPr>
                    <w:sz w:val="22"/>
                  </w:rPr>
                  <w:t>ing template</w:t>
                </w:r>
                <w:r w:rsidR="005077B6">
                  <w:rPr>
                    <w:sz w:val="22"/>
                  </w:rPr>
                  <w:t xml:space="preserve"> </w:t>
                </w:r>
                <w:r w:rsidRPr="00E86B62">
                  <w:rPr>
                    <w:sz w:val="22"/>
                  </w:rPr>
                  <w:t xml:space="preserve">using Guidance </w:t>
                </w:r>
                <w:r w:rsidR="005077B6">
                  <w:rPr>
                    <w:sz w:val="22"/>
                  </w:rPr>
                  <w:t>n</w:t>
                </w:r>
                <w:r w:rsidRPr="00E86B62">
                  <w:rPr>
                    <w:sz w:val="22"/>
                  </w:rPr>
                  <w:t>ote 2: Preparing a payment times report – Appendix 1</w:t>
                </w:r>
              </w:p>
              <w:p w14:paraId="62CC914E" w14:textId="7D226511" w:rsidR="008342F7" w:rsidRPr="00E86B62" w:rsidRDefault="007D7BB4" w:rsidP="00E86B62">
                <w:pPr>
                  <w:pStyle w:val="ListParagraph"/>
                  <w:numPr>
                    <w:ilvl w:val="0"/>
                    <w:numId w:val="64"/>
                  </w:numPr>
                  <w:jc w:val="left"/>
                  <w:rPr>
                    <w:sz w:val="22"/>
                  </w:rPr>
                </w:pPr>
                <w:r w:rsidRPr="00E86B62">
                  <w:rPr>
                    <w:sz w:val="22"/>
                  </w:rPr>
                  <w:t xml:space="preserve">Reports </w:t>
                </w:r>
                <w:r w:rsidR="009F6FF4">
                  <w:rPr>
                    <w:sz w:val="22"/>
                  </w:rPr>
                  <w:t xml:space="preserve">should </w:t>
                </w:r>
                <w:r w:rsidRPr="00E86B62">
                  <w:rPr>
                    <w:sz w:val="22"/>
                  </w:rPr>
                  <w:t>include any information that would provide context or explanation in relation to other information in the report</w:t>
                </w:r>
                <w:r w:rsidR="00C56ABD" w:rsidRPr="00E86B62">
                  <w:rPr>
                    <w:sz w:val="22"/>
                  </w:rPr>
                  <w:t xml:space="preserve">. </w:t>
                </w:r>
                <w:r w:rsidRPr="00E86B62">
                  <w:rPr>
                    <w:sz w:val="22"/>
                  </w:rPr>
                  <w:t>These can be included in the ‘Comments’ section of the report and will be published.</w:t>
                </w:r>
              </w:p>
              <w:p w14:paraId="35864283" w14:textId="505AEF50" w:rsidR="007D7BB4" w:rsidRPr="00E86B62" w:rsidRDefault="00F824F9" w:rsidP="00E86B62">
                <w:pPr>
                  <w:pStyle w:val="ListParagraph"/>
                  <w:numPr>
                    <w:ilvl w:val="0"/>
                    <w:numId w:val="64"/>
                  </w:numPr>
                  <w:jc w:val="left"/>
                  <w:rPr>
                    <w:sz w:val="22"/>
                  </w:rPr>
                </w:pPr>
                <w:r>
                  <w:rPr>
                    <w:sz w:val="22"/>
                  </w:rPr>
                  <w:t>Controlling corporations and head entities</w:t>
                </w:r>
                <w:r w:rsidR="009B6123">
                  <w:rPr>
                    <w:sz w:val="22"/>
                  </w:rPr>
                  <w:t xml:space="preserve"> with reporting obligations</w:t>
                </w:r>
                <w:r w:rsidR="007D7BB4" w:rsidRPr="00E86B62">
                  <w:rPr>
                    <w:sz w:val="22"/>
                  </w:rPr>
                  <w:t xml:space="preserve"> only report on </w:t>
                </w:r>
                <w:r w:rsidR="00BE2273">
                  <w:rPr>
                    <w:sz w:val="22"/>
                  </w:rPr>
                  <w:t>their</w:t>
                </w:r>
                <w:r w:rsidR="007D7BB4" w:rsidRPr="00E86B62">
                  <w:rPr>
                    <w:sz w:val="22"/>
                  </w:rPr>
                  <w:t xml:space="preserve"> own payment times practices</w:t>
                </w:r>
                <w:r w:rsidR="00C56ABD" w:rsidRPr="00E86B62">
                  <w:rPr>
                    <w:sz w:val="22"/>
                  </w:rPr>
                  <w:t xml:space="preserve">. </w:t>
                </w:r>
                <w:r w:rsidR="007D7BB4" w:rsidRPr="00E86B62">
                  <w:rPr>
                    <w:sz w:val="22"/>
                  </w:rPr>
                  <w:t xml:space="preserve">Practices of subsidiaries </w:t>
                </w:r>
                <w:r>
                  <w:rPr>
                    <w:sz w:val="22"/>
                  </w:rPr>
                  <w:t xml:space="preserve">and member entities </w:t>
                </w:r>
                <w:r w:rsidR="007D7BB4" w:rsidRPr="00E86B62">
                  <w:rPr>
                    <w:sz w:val="22"/>
                  </w:rPr>
                  <w:t xml:space="preserve">are not included in </w:t>
                </w:r>
                <w:r w:rsidR="00483EA4">
                  <w:rPr>
                    <w:sz w:val="22"/>
                  </w:rPr>
                  <w:t xml:space="preserve">calculations for </w:t>
                </w:r>
                <w:r>
                  <w:rPr>
                    <w:sz w:val="22"/>
                  </w:rPr>
                  <w:t xml:space="preserve">their </w:t>
                </w:r>
                <w:r w:rsidR="007D7BB4" w:rsidRPr="00E86B62">
                  <w:rPr>
                    <w:sz w:val="22"/>
                  </w:rPr>
                  <w:t>reports.</w:t>
                </w:r>
              </w:p>
              <w:p w14:paraId="7B9D48B1" w14:textId="703163D5" w:rsidR="007D7BB4" w:rsidRPr="00E86B62" w:rsidRDefault="007D7BB4" w:rsidP="00E86B62">
                <w:pPr>
                  <w:pStyle w:val="ListParagraph"/>
                  <w:numPr>
                    <w:ilvl w:val="0"/>
                    <w:numId w:val="64"/>
                  </w:numPr>
                  <w:jc w:val="left"/>
                  <w:rPr>
                    <w:sz w:val="22"/>
                  </w:rPr>
                </w:pPr>
                <w:r w:rsidRPr="00E86B62">
                  <w:rPr>
                    <w:sz w:val="22"/>
                  </w:rPr>
                  <w:t>Entities that do not have any small business procurement are still required to lodge a report, but the report will have nil (</w:t>
                </w:r>
                <w:r w:rsidR="00BE2273">
                  <w:rPr>
                    <w:sz w:val="22"/>
                  </w:rPr>
                  <w:t>‘0’</w:t>
                </w:r>
                <w:r w:rsidRPr="00E86B62">
                  <w:rPr>
                    <w:sz w:val="22"/>
                  </w:rPr>
                  <w:t>) values.</w:t>
                </w:r>
              </w:p>
              <w:p w14:paraId="76F1FD12" w14:textId="1370BE38" w:rsidR="007D7BB4" w:rsidRDefault="007D7BB4" w:rsidP="00E86B62">
                <w:pPr>
                  <w:pStyle w:val="ListParagraph"/>
                  <w:numPr>
                    <w:ilvl w:val="0"/>
                    <w:numId w:val="64"/>
                  </w:numPr>
                  <w:jc w:val="left"/>
                </w:pPr>
                <w:r w:rsidRPr="00E86B62">
                  <w:rPr>
                    <w:sz w:val="22"/>
                  </w:rPr>
                  <w:t xml:space="preserve">Civil penalties may apply if a report is lodged with information that is false or misleading in a </w:t>
                </w:r>
                <w:proofErr w:type="gramStart"/>
                <w:r w:rsidRPr="00E86B62">
                  <w:rPr>
                    <w:sz w:val="22"/>
                  </w:rPr>
                  <w:t>material particular</w:t>
                </w:r>
                <w:proofErr w:type="gramEnd"/>
                <w:r w:rsidRPr="00E86B62">
                  <w:rPr>
                    <w:sz w:val="22"/>
                  </w:rPr>
                  <w:t>.</w:t>
                </w:r>
              </w:p>
            </w:tc>
          </w:tr>
        </w:tbl>
        <w:p w14:paraId="53423A37" w14:textId="050C2650" w:rsidR="00932FF9" w:rsidRDefault="006461C7" w:rsidP="00F653F7">
          <w:pPr>
            <w:pStyle w:val="Heading2"/>
            <w:rPr>
              <w:lang w:eastAsia="en-US"/>
            </w:rPr>
          </w:pPr>
          <w:bookmarkStart w:id="29" w:name="_Toc107838232"/>
          <w:bookmarkEnd w:id="28"/>
          <w:r>
            <w:rPr>
              <w:lang w:eastAsia="en-US"/>
            </w:rPr>
            <w:t>Required content</w:t>
          </w:r>
          <w:bookmarkEnd w:id="29"/>
        </w:p>
        <w:p w14:paraId="273C4FD5" w14:textId="6057C964" w:rsidR="00334E72" w:rsidRDefault="00DB5028" w:rsidP="007F5EA0">
          <w:pPr>
            <w:pStyle w:val="Bullet"/>
            <w:numPr>
              <w:ilvl w:val="0"/>
              <w:numId w:val="31"/>
            </w:numPr>
            <w:ind w:left="993" w:hanging="993"/>
            <w:rPr>
              <w:lang w:eastAsia="en-US"/>
            </w:rPr>
          </w:pPr>
          <w:r>
            <w:rPr>
              <w:lang w:eastAsia="en-US"/>
            </w:rPr>
            <w:t xml:space="preserve">The Act </w:t>
          </w:r>
          <w:r w:rsidR="002B2645">
            <w:rPr>
              <w:lang w:eastAsia="en-US"/>
            </w:rPr>
            <w:t xml:space="preserve">and Rules prescribe the content </w:t>
          </w:r>
          <w:r w:rsidR="00F360D4">
            <w:rPr>
              <w:lang w:eastAsia="en-US"/>
            </w:rPr>
            <w:t xml:space="preserve">that must be in </w:t>
          </w:r>
          <w:r w:rsidR="002B2645">
            <w:rPr>
              <w:lang w:eastAsia="en-US"/>
            </w:rPr>
            <w:t>a report</w:t>
          </w:r>
          <w:r w:rsidR="009C0A3A">
            <w:rPr>
              <w:lang w:eastAsia="en-US"/>
            </w:rPr>
            <w:t xml:space="preserve"> and </w:t>
          </w:r>
          <w:r w:rsidR="004663CA">
            <w:rPr>
              <w:lang w:eastAsia="en-US"/>
            </w:rPr>
            <w:t xml:space="preserve">that </w:t>
          </w:r>
          <w:r w:rsidR="00E86B62">
            <w:rPr>
              <w:lang w:eastAsia="en-US"/>
            </w:rPr>
            <w:t>reports</w:t>
          </w:r>
          <w:r w:rsidR="009C0A3A">
            <w:rPr>
              <w:lang w:eastAsia="en-US"/>
            </w:rPr>
            <w:t xml:space="preserve"> must be submitted using </w:t>
          </w:r>
          <w:r w:rsidR="00845A01">
            <w:rPr>
              <w:lang w:eastAsia="en-US"/>
            </w:rPr>
            <w:t xml:space="preserve">the </w:t>
          </w:r>
          <w:r w:rsidR="00F824F9">
            <w:rPr>
              <w:lang w:eastAsia="en-US"/>
            </w:rPr>
            <w:t xml:space="preserve">templates available on the </w:t>
          </w:r>
          <w:hyperlink r:id="rId13" w:history="1">
            <w:r w:rsidR="00F824F9" w:rsidRPr="009577D8">
              <w:rPr>
                <w:rStyle w:val="Hyperlink"/>
                <w:lang w:eastAsia="en-US"/>
              </w:rPr>
              <w:t>Payment Times Reporting Portal</w:t>
            </w:r>
          </w:hyperlink>
          <w:r w:rsidR="00C56ABD">
            <w:rPr>
              <w:lang w:eastAsia="en-US"/>
            </w:rPr>
            <w:t>.</w:t>
          </w:r>
          <w:r w:rsidR="00F824F9">
            <w:rPr>
              <w:rStyle w:val="FootnoteReference"/>
              <w:lang w:eastAsia="en-US"/>
            </w:rPr>
            <w:footnoteReference w:id="5"/>
          </w:r>
          <w:r w:rsidR="00C56ABD">
            <w:rPr>
              <w:lang w:eastAsia="en-US"/>
            </w:rPr>
            <w:t xml:space="preserve"> </w:t>
          </w:r>
          <w:r w:rsidR="004663CA">
            <w:rPr>
              <w:lang w:eastAsia="en-US"/>
            </w:rPr>
            <w:t>The Regulator</w:t>
          </w:r>
          <w:r w:rsidR="002B2645">
            <w:rPr>
              <w:lang w:eastAsia="en-US"/>
            </w:rPr>
            <w:t xml:space="preserve"> do</w:t>
          </w:r>
          <w:r w:rsidR="004663CA">
            <w:rPr>
              <w:lang w:eastAsia="en-US"/>
            </w:rPr>
            <w:t>es</w:t>
          </w:r>
          <w:r w:rsidR="002B2645">
            <w:rPr>
              <w:lang w:eastAsia="en-US"/>
            </w:rPr>
            <w:t xml:space="preserve"> not have the power to </w:t>
          </w:r>
          <w:r w:rsidR="006D658D">
            <w:rPr>
              <w:lang w:eastAsia="en-US"/>
            </w:rPr>
            <w:t>modify or amend reporting requirements.</w:t>
          </w:r>
        </w:p>
        <w:p w14:paraId="7192F664" w14:textId="5D35DE70" w:rsidR="006C6FD3" w:rsidRDefault="009C0A3A" w:rsidP="007F5EA0">
          <w:pPr>
            <w:pStyle w:val="Bullet"/>
            <w:numPr>
              <w:ilvl w:val="0"/>
              <w:numId w:val="31"/>
            </w:numPr>
            <w:ind w:left="993" w:hanging="993"/>
            <w:rPr>
              <w:lang w:eastAsia="en-US"/>
            </w:rPr>
          </w:pPr>
          <w:r>
            <w:rPr>
              <w:lang w:eastAsia="en-US"/>
            </w:rPr>
            <w:t>C</w:t>
          </w:r>
          <w:r w:rsidR="0031279F">
            <w:rPr>
              <w:lang w:eastAsia="en-US"/>
            </w:rPr>
            <w:t xml:space="preserve">omprehensive step-by-step guidance on how to complete a </w:t>
          </w:r>
          <w:r w:rsidR="001319DF" w:rsidRPr="00966AD2">
            <w:rPr>
              <w:rStyle w:val="Strong"/>
            </w:rPr>
            <w:t>Payment times reporting template</w:t>
          </w:r>
          <w:r>
            <w:rPr>
              <w:lang w:eastAsia="en-US"/>
            </w:rPr>
            <w:t>, including details o</w:t>
          </w:r>
          <w:r w:rsidR="00833F50">
            <w:rPr>
              <w:lang w:eastAsia="en-US"/>
            </w:rPr>
            <w:t>f</w:t>
          </w:r>
          <w:r>
            <w:rPr>
              <w:lang w:eastAsia="en-US"/>
            </w:rPr>
            <w:t xml:space="preserve"> the calculations </w:t>
          </w:r>
          <w:r w:rsidR="005C4CC1">
            <w:rPr>
              <w:lang w:eastAsia="en-US"/>
            </w:rPr>
            <w:t xml:space="preserve">required, are provided in </w:t>
          </w:r>
          <w:r w:rsidR="00F366FC" w:rsidRPr="00E86B62">
            <w:rPr>
              <w:szCs w:val="22"/>
            </w:rPr>
            <w:t xml:space="preserve">Guidance </w:t>
          </w:r>
          <w:r w:rsidR="005077B6">
            <w:rPr>
              <w:szCs w:val="22"/>
            </w:rPr>
            <w:t>n</w:t>
          </w:r>
          <w:r w:rsidR="00F366FC" w:rsidRPr="00E86B62">
            <w:rPr>
              <w:szCs w:val="22"/>
            </w:rPr>
            <w:t>ote 2: Preparing a payment times report – Appendix 1</w:t>
          </w:r>
          <w:r w:rsidR="00C56ABD">
            <w:rPr>
              <w:i/>
              <w:iCs/>
              <w:lang w:eastAsia="en-US"/>
            </w:rPr>
            <w:t xml:space="preserve">. </w:t>
          </w:r>
          <w:r w:rsidR="005C4CC1">
            <w:rPr>
              <w:lang w:eastAsia="en-US"/>
            </w:rPr>
            <w:t>Th</w:t>
          </w:r>
          <w:r w:rsidR="00833F50">
            <w:rPr>
              <w:lang w:eastAsia="en-US"/>
            </w:rPr>
            <w:t>is</w:t>
          </w:r>
          <w:r w:rsidR="005C4CC1">
            <w:rPr>
              <w:lang w:eastAsia="en-US"/>
            </w:rPr>
            <w:t xml:space="preserve"> also provide</w:t>
          </w:r>
          <w:r w:rsidR="00833F50">
            <w:rPr>
              <w:lang w:eastAsia="en-US"/>
            </w:rPr>
            <w:t>s</w:t>
          </w:r>
          <w:r w:rsidR="005C4CC1">
            <w:rPr>
              <w:lang w:eastAsia="en-US"/>
            </w:rPr>
            <w:t xml:space="preserve"> </w:t>
          </w:r>
          <w:r w:rsidR="00663317">
            <w:rPr>
              <w:lang w:eastAsia="en-US"/>
            </w:rPr>
            <w:t xml:space="preserve">details on the data validation </w:t>
          </w:r>
          <w:r w:rsidR="006C6FD3">
            <w:rPr>
              <w:lang w:eastAsia="en-US"/>
            </w:rPr>
            <w:t xml:space="preserve">the report </w:t>
          </w:r>
          <w:r w:rsidR="00833F50">
            <w:rPr>
              <w:lang w:eastAsia="en-US"/>
            </w:rPr>
            <w:t>must</w:t>
          </w:r>
          <w:r w:rsidR="006C6FD3">
            <w:rPr>
              <w:lang w:eastAsia="en-US"/>
            </w:rPr>
            <w:t xml:space="preserve"> pass </w:t>
          </w:r>
          <w:r w:rsidR="00833F50">
            <w:rPr>
              <w:lang w:eastAsia="en-US"/>
            </w:rPr>
            <w:t>when attempting to upload</w:t>
          </w:r>
          <w:r w:rsidR="00C35226">
            <w:rPr>
              <w:lang w:eastAsia="en-US"/>
            </w:rPr>
            <w:t xml:space="preserve"> it </w:t>
          </w:r>
          <w:r w:rsidR="00833F50">
            <w:rPr>
              <w:lang w:eastAsia="en-US"/>
            </w:rPr>
            <w:t xml:space="preserve">to the </w:t>
          </w:r>
          <w:hyperlink r:id="rId14" w:history="1">
            <w:r w:rsidR="00471445" w:rsidRPr="009615AD">
              <w:rPr>
                <w:rStyle w:val="Hyperlink"/>
                <w:lang w:eastAsia="en-US"/>
              </w:rPr>
              <w:t>Payment Times Reporting Portal</w:t>
            </w:r>
          </w:hyperlink>
          <w:r w:rsidR="006C6FD3">
            <w:rPr>
              <w:lang w:eastAsia="en-US"/>
            </w:rPr>
            <w:t>.</w:t>
          </w:r>
        </w:p>
        <w:p w14:paraId="20F9540B" w14:textId="57EA7297" w:rsidR="00F56760" w:rsidRDefault="006461C7" w:rsidP="00F56760">
          <w:pPr>
            <w:pStyle w:val="Heading2"/>
            <w:rPr>
              <w:lang w:eastAsia="en-US"/>
            </w:rPr>
          </w:pPr>
          <w:bookmarkStart w:id="30" w:name="_Toc107838233"/>
          <w:r>
            <w:rPr>
              <w:lang w:eastAsia="en-US"/>
            </w:rPr>
            <w:t>Other content</w:t>
          </w:r>
          <w:bookmarkEnd w:id="30"/>
        </w:p>
        <w:p w14:paraId="031A1CFB" w14:textId="524239AB" w:rsidR="00F117A2" w:rsidRPr="00DD40DC" w:rsidRDefault="006D617B" w:rsidP="007F5EA0">
          <w:pPr>
            <w:pStyle w:val="ListParagraph"/>
            <w:numPr>
              <w:ilvl w:val="0"/>
              <w:numId w:val="31"/>
            </w:numPr>
            <w:ind w:left="993" w:hanging="993"/>
          </w:pPr>
          <w:r>
            <w:t xml:space="preserve">In addition to specific information requirements identified in the </w:t>
          </w:r>
          <w:r w:rsidRPr="001F5DA0">
            <w:rPr>
              <w:rStyle w:val="Strong"/>
              <w:rFonts w:eastAsia="Times New Roman" w:cs="Times New Roman"/>
              <w:szCs w:val="20"/>
              <w:lang w:eastAsia="en-AU"/>
            </w:rPr>
            <w:t>Payment times reporting template</w:t>
          </w:r>
          <w:r>
            <w:t>, p</w:t>
          </w:r>
          <w:r w:rsidRPr="00DD40DC">
            <w:t>ayment</w:t>
          </w:r>
          <w:r w:rsidR="0053232B" w:rsidRPr="00DD40DC">
            <w:t xml:space="preserve"> times reports </w:t>
          </w:r>
          <w:r w:rsidR="00F117A2" w:rsidRPr="00DD40DC">
            <w:t xml:space="preserve">should </w:t>
          </w:r>
          <w:r w:rsidR="0053232B" w:rsidRPr="00DD40DC">
            <w:t xml:space="preserve">include any information that will assist to give </w:t>
          </w:r>
          <w:r w:rsidR="00F117A2" w:rsidRPr="00DD40DC">
            <w:t>context or explanation</w:t>
          </w:r>
          <w:r>
            <w:t xml:space="preserve"> of other information included in the report</w:t>
          </w:r>
          <w:r w:rsidR="00F117A2" w:rsidRPr="00DD40DC">
            <w:t>.</w:t>
          </w:r>
          <w:r w:rsidR="00F117A2" w:rsidRPr="00DD40DC">
            <w:rPr>
              <w:rStyle w:val="FootnoteReference"/>
            </w:rPr>
            <w:footnoteReference w:id="6"/>
          </w:r>
        </w:p>
        <w:p w14:paraId="15729C36" w14:textId="35B042F5" w:rsidR="00F56760" w:rsidRDefault="008E7AAE" w:rsidP="007F5EA0">
          <w:pPr>
            <w:pStyle w:val="ListParagraph"/>
            <w:numPr>
              <w:ilvl w:val="0"/>
              <w:numId w:val="31"/>
            </w:numPr>
            <w:ind w:left="993" w:hanging="993"/>
          </w:pPr>
          <w:r>
            <w:t xml:space="preserve">When finalising </w:t>
          </w:r>
          <w:r w:rsidR="00C35226">
            <w:t>a</w:t>
          </w:r>
          <w:r>
            <w:t xml:space="preserve"> report, reporting entities should consider whether any assumptions</w:t>
          </w:r>
          <w:r w:rsidR="00DD40DC">
            <w:t>,</w:t>
          </w:r>
          <w:r>
            <w:t xml:space="preserve"> procedures used </w:t>
          </w:r>
          <w:r w:rsidR="006D617B">
            <w:t xml:space="preserve">to generate information for the report </w:t>
          </w:r>
          <w:r w:rsidR="007B055A">
            <w:t xml:space="preserve">or events during the reporting period would assist a reader </w:t>
          </w:r>
          <w:r w:rsidR="00DD40DC">
            <w:t xml:space="preserve">to understand </w:t>
          </w:r>
          <w:r w:rsidR="007B055A">
            <w:t>the report</w:t>
          </w:r>
          <w:r w:rsidR="00C56ABD">
            <w:t xml:space="preserve">. </w:t>
          </w:r>
          <w:r w:rsidR="00C35226">
            <w:t xml:space="preserve">Examples </w:t>
          </w:r>
          <w:r w:rsidR="00694427">
            <w:t>include:</w:t>
          </w:r>
        </w:p>
        <w:p w14:paraId="2314BCA6" w14:textId="1A19DD04" w:rsidR="00694427" w:rsidRDefault="00BA7AB6" w:rsidP="00F366FC">
          <w:pPr>
            <w:pStyle w:val="ListParagraph"/>
            <w:numPr>
              <w:ilvl w:val="1"/>
              <w:numId w:val="65"/>
            </w:numPr>
          </w:pPr>
          <w:r>
            <w:t>i</w:t>
          </w:r>
          <w:r w:rsidR="00A243C0">
            <w:t>nformation about the use of the SBI Tool</w:t>
          </w:r>
        </w:p>
        <w:p w14:paraId="52288985" w14:textId="25FAF2A2" w:rsidR="00A243C0" w:rsidRDefault="00BA7AB6" w:rsidP="00F366FC">
          <w:pPr>
            <w:pStyle w:val="ListParagraph"/>
            <w:numPr>
              <w:ilvl w:val="1"/>
              <w:numId w:val="65"/>
            </w:numPr>
          </w:pPr>
          <w:r>
            <w:t>d</w:t>
          </w:r>
          <w:r w:rsidR="00D717CA">
            <w:t xml:space="preserve">etails </w:t>
          </w:r>
          <w:r w:rsidR="00786C0C">
            <w:t xml:space="preserve">of </w:t>
          </w:r>
          <w:r w:rsidR="00AC696B">
            <w:t>impact</w:t>
          </w:r>
          <w:r w:rsidR="00786C0C">
            <w:t>s on</w:t>
          </w:r>
          <w:r w:rsidR="00AC696B">
            <w:t xml:space="preserve"> reporting period lengths, such </w:t>
          </w:r>
          <w:r w:rsidR="006D617B">
            <w:t xml:space="preserve">reporting for a transitional (or ‘stub’) period </w:t>
          </w:r>
          <w:r w:rsidR="002913CD">
            <w:t xml:space="preserve">or use of a </w:t>
          </w:r>
          <w:r w:rsidR="00011F3B">
            <w:t>52-53</w:t>
          </w:r>
          <w:r w:rsidR="00AE1938">
            <w:t>-</w:t>
          </w:r>
          <w:r w:rsidR="00011F3B">
            <w:t>week income year</w:t>
          </w:r>
        </w:p>
        <w:p w14:paraId="2C03C607" w14:textId="7EA2EC57" w:rsidR="00AC696B" w:rsidRDefault="00BA7AB6" w:rsidP="00F366FC">
          <w:pPr>
            <w:pStyle w:val="ListParagraph"/>
            <w:numPr>
              <w:ilvl w:val="1"/>
              <w:numId w:val="65"/>
            </w:numPr>
          </w:pPr>
          <w:r>
            <w:lastRenderedPageBreak/>
            <w:t>d</w:t>
          </w:r>
          <w:r w:rsidR="004E0376">
            <w:t xml:space="preserve">etails of a dispute with a small business supplier </w:t>
          </w:r>
          <w:r w:rsidR="00786C0C">
            <w:t xml:space="preserve">that </w:t>
          </w:r>
          <w:r w:rsidR="004E0376">
            <w:t>impact</w:t>
          </w:r>
          <w:r w:rsidR="00786C0C">
            <w:t>ed on</w:t>
          </w:r>
          <w:r w:rsidR="004E0376">
            <w:t xml:space="preserve"> </w:t>
          </w:r>
          <w:r w:rsidR="00A32B27">
            <w:t>payment times (</w:t>
          </w:r>
          <w:r w:rsidR="00D9635B">
            <w:t>with the supplier</w:t>
          </w:r>
          <w:r w:rsidR="00786C0C">
            <w:t>’s</w:t>
          </w:r>
          <w:r w:rsidR="00D9635B">
            <w:t xml:space="preserve"> details</w:t>
          </w:r>
          <w:r w:rsidR="00874BFB">
            <w:t xml:space="preserve"> removed</w:t>
          </w:r>
          <w:r w:rsidR="00A32B27">
            <w:t>)</w:t>
          </w:r>
        </w:p>
        <w:p w14:paraId="1B54E335" w14:textId="369FA4AA" w:rsidR="00A32B27" w:rsidRDefault="00C17833" w:rsidP="00F366FC">
          <w:pPr>
            <w:pStyle w:val="ListParagraph"/>
            <w:numPr>
              <w:ilvl w:val="1"/>
              <w:numId w:val="65"/>
            </w:numPr>
          </w:pPr>
          <w:r>
            <w:t>methodology used if records are lost</w:t>
          </w:r>
          <w:r w:rsidR="00FD365C">
            <w:t xml:space="preserve"> due to cyberattacks or other significant event</w:t>
          </w:r>
          <w:r w:rsidR="00915110">
            <w:t>s</w:t>
          </w:r>
        </w:p>
        <w:p w14:paraId="60221E78" w14:textId="257CCC06" w:rsidR="00FD365C" w:rsidRDefault="00BA7AB6" w:rsidP="00F366FC">
          <w:pPr>
            <w:pStyle w:val="ListParagraph"/>
            <w:numPr>
              <w:ilvl w:val="1"/>
              <w:numId w:val="65"/>
            </w:numPr>
          </w:pPr>
          <w:r>
            <w:t>c</w:t>
          </w:r>
          <w:r w:rsidR="000C27EF">
            <w:t xml:space="preserve">hanges to the </w:t>
          </w:r>
          <w:r w:rsidR="001459B5">
            <w:t>entit</w:t>
          </w:r>
          <w:r w:rsidR="00A94C39">
            <w:t>y’s</w:t>
          </w:r>
          <w:r w:rsidR="001459B5">
            <w:t xml:space="preserve"> </w:t>
          </w:r>
          <w:r w:rsidR="00D9635B">
            <w:t xml:space="preserve">industry </w:t>
          </w:r>
          <w:r w:rsidR="001459B5">
            <w:t>sector classification</w:t>
          </w:r>
        </w:p>
        <w:p w14:paraId="14E28C67" w14:textId="77F4FEF8" w:rsidR="001459B5" w:rsidRDefault="00BA7AB6" w:rsidP="00F366FC">
          <w:pPr>
            <w:pStyle w:val="ListParagraph"/>
            <w:numPr>
              <w:ilvl w:val="1"/>
              <w:numId w:val="65"/>
            </w:numPr>
          </w:pPr>
          <w:r>
            <w:t>s</w:t>
          </w:r>
          <w:r w:rsidR="001459B5">
            <w:t xml:space="preserve">ignificant changes in payment times policies for </w:t>
          </w:r>
          <w:r w:rsidR="00C2044A">
            <w:t>small business suppliers</w:t>
          </w:r>
        </w:p>
        <w:p w14:paraId="276B2477" w14:textId="7C108C27" w:rsidR="00C2044A" w:rsidRDefault="00BA7AB6" w:rsidP="00F366FC">
          <w:pPr>
            <w:pStyle w:val="ListParagraph"/>
            <w:numPr>
              <w:ilvl w:val="1"/>
              <w:numId w:val="65"/>
            </w:numPr>
          </w:pPr>
          <w:r>
            <w:t>i</w:t>
          </w:r>
          <w:r w:rsidR="00C2044A">
            <w:t xml:space="preserve">mplementation of payment processing </w:t>
          </w:r>
          <w:r w:rsidR="00B31F5C">
            <w:t>changes, such as eInvoicing</w:t>
          </w:r>
          <w:r w:rsidR="00D9635B">
            <w:t>.</w:t>
          </w:r>
        </w:p>
        <w:p w14:paraId="08E87B42" w14:textId="69FA921E" w:rsidR="00694427" w:rsidRPr="00F56760" w:rsidRDefault="00DC0AAE" w:rsidP="003E5CE2">
          <w:pPr>
            <w:pStyle w:val="Bullet"/>
            <w:numPr>
              <w:ilvl w:val="0"/>
              <w:numId w:val="31"/>
            </w:numPr>
            <w:ind w:left="993" w:hanging="993"/>
            <w:rPr>
              <w:lang w:eastAsia="en-US"/>
            </w:rPr>
          </w:pPr>
          <w:r>
            <w:rPr>
              <w:lang w:eastAsia="en-US"/>
            </w:rPr>
            <w:t>A report may be considered false or misleading if</w:t>
          </w:r>
          <w:r w:rsidR="00F3328D">
            <w:rPr>
              <w:lang w:eastAsia="en-US"/>
            </w:rPr>
            <w:t xml:space="preserve"> an entity fails to include</w:t>
          </w:r>
          <w:r>
            <w:rPr>
              <w:lang w:eastAsia="en-US"/>
            </w:rPr>
            <w:t xml:space="preserve"> </w:t>
          </w:r>
          <w:r w:rsidR="00F3328D">
            <w:rPr>
              <w:lang w:eastAsia="en-US"/>
            </w:rPr>
            <w:t xml:space="preserve">necessary </w:t>
          </w:r>
          <w:r>
            <w:rPr>
              <w:lang w:eastAsia="en-US"/>
            </w:rPr>
            <w:t xml:space="preserve">information required to understand </w:t>
          </w:r>
          <w:r w:rsidR="006057DE">
            <w:rPr>
              <w:lang w:eastAsia="en-US"/>
            </w:rPr>
            <w:t>the</w:t>
          </w:r>
          <w:r>
            <w:rPr>
              <w:lang w:eastAsia="en-US"/>
            </w:rPr>
            <w:t xml:space="preserve"> report</w:t>
          </w:r>
          <w:r w:rsidR="00C56ABD">
            <w:rPr>
              <w:lang w:eastAsia="en-US"/>
            </w:rPr>
            <w:t xml:space="preserve">. </w:t>
          </w:r>
          <w:r w:rsidR="00AE0E5C">
            <w:rPr>
              <w:lang w:eastAsia="en-US"/>
            </w:rPr>
            <w:t xml:space="preserve">See </w:t>
          </w:r>
          <w:hyperlink w:anchor="_Misleading_information" w:history="1">
            <w:r w:rsidR="00AE0E5C" w:rsidRPr="00F366FC">
              <w:rPr>
                <w:rStyle w:val="Hyperlink"/>
              </w:rPr>
              <w:t>Misleading information</w:t>
            </w:r>
          </w:hyperlink>
          <w:r w:rsidR="00F366FC">
            <w:t>.</w:t>
          </w:r>
        </w:p>
        <w:p w14:paraId="0EC6CF90" w14:textId="6043C0E9" w:rsidR="002B2645" w:rsidRDefault="00471562" w:rsidP="002B2645">
          <w:pPr>
            <w:pStyle w:val="Heading2"/>
            <w:rPr>
              <w:lang w:eastAsia="en-US"/>
            </w:rPr>
          </w:pPr>
          <w:bookmarkStart w:id="31" w:name="_Toc107838234"/>
          <w:r>
            <w:rPr>
              <w:lang w:eastAsia="en-US"/>
            </w:rPr>
            <w:t>Reporting for groups</w:t>
          </w:r>
          <w:bookmarkEnd w:id="31"/>
        </w:p>
        <w:p w14:paraId="60D2D942" w14:textId="0403644F" w:rsidR="00471562" w:rsidRDefault="001363C9" w:rsidP="003E5CE2">
          <w:pPr>
            <w:pStyle w:val="Dash"/>
            <w:numPr>
              <w:ilvl w:val="0"/>
              <w:numId w:val="31"/>
            </w:numPr>
            <w:ind w:left="993" w:hanging="993"/>
            <w:rPr>
              <w:rFonts w:asciiTheme="minorHAnsi" w:hAnsiTheme="minorHAnsi" w:cstheme="minorHAnsi"/>
              <w:lang w:eastAsia="en-US"/>
            </w:rPr>
          </w:pPr>
          <w:r>
            <w:rPr>
              <w:rFonts w:asciiTheme="minorHAnsi" w:hAnsiTheme="minorHAnsi" w:cstheme="minorHAnsi"/>
              <w:lang w:eastAsia="en-US"/>
            </w:rPr>
            <w:t xml:space="preserve">A corporate group may contain </w:t>
          </w:r>
          <w:r w:rsidR="00471445">
            <w:rPr>
              <w:rFonts w:asciiTheme="minorHAnsi" w:hAnsiTheme="minorHAnsi" w:cstheme="minorHAnsi"/>
              <w:lang w:eastAsia="en-US"/>
            </w:rPr>
            <w:t>both reporting and non-reporting entities</w:t>
          </w:r>
          <w:r w:rsidR="00C56ABD">
            <w:rPr>
              <w:rFonts w:asciiTheme="minorHAnsi" w:hAnsiTheme="minorHAnsi" w:cstheme="minorHAnsi"/>
              <w:lang w:eastAsia="en-US"/>
            </w:rPr>
            <w:t xml:space="preserve">. </w:t>
          </w:r>
          <w:r>
            <w:rPr>
              <w:rFonts w:asciiTheme="minorHAnsi" w:hAnsiTheme="minorHAnsi" w:cstheme="minorHAnsi"/>
              <w:lang w:eastAsia="en-US"/>
            </w:rPr>
            <w:t xml:space="preserve">Only </w:t>
          </w:r>
          <w:r w:rsidR="008342F7">
            <w:rPr>
              <w:rFonts w:asciiTheme="minorHAnsi" w:hAnsiTheme="minorHAnsi" w:cstheme="minorHAnsi"/>
              <w:lang w:eastAsia="en-US"/>
            </w:rPr>
            <w:t xml:space="preserve">the </w:t>
          </w:r>
          <w:r>
            <w:rPr>
              <w:rFonts w:asciiTheme="minorHAnsi" w:hAnsiTheme="minorHAnsi" w:cstheme="minorHAnsi"/>
              <w:lang w:eastAsia="en-US"/>
            </w:rPr>
            <w:t xml:space="preserve">entities in </w:t>
          </w:r>
          <w:r w:rsidR="00471445">
            <w:rPr>
              <w:rFonts w:asciiTheme="minorHAnsi" w:hAnsiTheme="minorHAnsi" w:cstheme="minorHAnsi"/>
              <w:lang w:eastAsia="en-US"/>
            </w:rPr>
            <w:t xml:space="preserve">the </w:t>
          </w:r>
          <w:r>
            <w:rPr>
              <w:rFonts w:asciiTheme="minorHAnsi" w:hAnsiTheme="minorHAnsi" w:cstheme="minorHAnsi"/>
              <w:lang w:eastAsia="en-US"/>
            </w:rPr>
            <w:t>group that are reporting entities are required to lodge a payment times report</w:t>
          </w:r>
          <w:r w:rsidR="00C56ABD">
            <w:rPr>
              <w:rFonts w:asciiTheme="minorHAnsi" w:hAnsiTheme="minorHAnsi" w:cstheme="minorHAnsi"/>
              <w:lang w:eastAsia="en-US"/>
            </w:rPr>
            <w:t xml:space="preserve">. </w:t>
          </w:r>
          <w:r>
            <w:rPr>
              <w:rFonts w:asciiTheme="minorHAnsi" w:hAnsiTheme="minorHAnsi" w:cstheme="minorHAnsi"/>
              <w:lang w:eastAsia="en-US"/>
            </w:rPr>
            <w:t xml:space="preserve">For information on reporting entities see </w:t>
          </w:r>
          <w:r w:rsidRPr="005E4B5D">
            <w:rPr>
              <w:rFonts w:asciiTheme="minorHAnsi" w:hAnsiTheme="minorHAnsi" w:cstheme="minorHAnsi"/>
              <w:lang w:eastAsia="en-US"/>
            </w:rPr>
            <w:t xml:space="preserve">Guidance </w:t>
          </w:r>
          <w:r w:rsidR="00FC6593">
            <w:rPr>
              <w:rFonts w:asciiTheme="minorHAnsi" w:hAnsiTheme="minorHAnsi" w:cstheme="minorHAnsi"/>
              <w:lang w:eastAsia="en-US"/>
            </w:rPr>
            <w:t>n</w:t>
          </w:r>
          <w:r w:rsidRPr="005E4B5D">
            <w:rPr>
              <w:rFonts w:asciiTheme="minorHAnsi" w:hAnsiTheme="minorHAnsi" w:cstheme="minorHAnsi"/>
              <w:lang w:eastAsia="en-US"/>
            </w:rPr>
            <w:t>ote 1: Key concepts</w:t>
          </w:r>
          <w:r>
            <w:rPr>
              <w:rFonts w:asciiTheme="minorHAnsi" w:hAnsiTheme="minorHAnsi" w:cstheme="minorHAnsi"/>
              <w:lang w:eastAsia="en-US"/>
            </w:rPr>
            <w:t>.</w:t>
          </w:r>
        </w:p>
        <w:p w14:paraId="7AFDE0A3" w14:textId="469B3D94" w:rsidR="001363C9" w:rsidRDefault="008342F7" w:rsidP="003E5CE2">
          <w:pPr>
            <w:pStyle w:val="Dash"/>
            <w:numPr>
              <w:ilvl w:val="0"/>
              <w:numId w:val="31"/>
            </w:numPr>
            <w:ind w:left="993" w:hanging="993"/>
            <w:rPr>
              <w:rFonts w:asciiTheme="minorHAnsi" w:hAnsiTheme="minorHAnsi" w:cstheme="minorHAnsi"/>
              <w:lang w:eastAsia="en-US"/>
            </w:rPr>
          </w:pPr>
          <w:r>
            <w:rPr>
              <w:rFonts w:asciiTheme="minorHAnsi" w:hAnsiTheme="minorHAnsi" w:cstheme="minorHAnsi"/>
              <w:lang w:eastAsia="en-US"/>
            </w:rPr>
            <w:t xml:space="preserve">Payment times reports </w:t>
          </w:r>
          <w:r w:rsidR="00B245AB">
            <w:rPr>
              <w:rFonts w:asciiTheme="minorHAnsi" w:hAnsiTheme="minorHAnsi" w:cstheme="minorHAnsi"/>
              <w:lang w:eastAsia="en-US"/>
            </w:rPr>
            <w:t>are prepared at an entity level</w:t>
          </w:r>
          <w:r w:rsidR="00C56ABD">
            <w:rPr>
              <w:rFonts w:asciiTheme="minorHAnsi" w:hAnsiTheme="minorHAnsi" w:cstheme="minorHAnsi"/>
              <w:lang w:eastAsia="en-US"/>
            </w:rPr>
            <w:t xml:space="preserve">. </w:t>
          </w:r>
          <w:r w:rsidR="00471445">
            <w:rPr>
              <w:rFonts w:asciiTheme="minorHAnsi" w:hAnsiTheme="minorHAnsi" w:cstheme="minorHAnsi"/>
              <w:lang w:eastAsia="en-US"/>
            </w:rPr>
            <w:t>A</w:t>
          </w:r>
          <w:r>
            <w:rPr>
              <w:rFonts w:asciiTheme="minorHAnsi" w:hAnsiTheme="minorHAnsi" w:cstheme="minorHAnsi"/>
              <w:lang w:eastAsia="en-US"/>
            </w:rPr>
            <w:t xml:space="preserve"> reporting entity that is </w:t>
          </w:r>
          <w:r w:rsidR="001363C9">
            <w:rPr>
              <w:rFonts w:asciiTheme="minorHAnsi" w:hAnsiTheme="minorHAnsi" w:cstheme="minorHAnsi"/>
              <w:lang w:eastAsia="en-US"/>
            </w:rPr>
            <w:t>part of a corporate group only report</w:t>
          </w:r>
          <w:r>
            <w:rPr>
              <w:rFonts w:asciiTheme="minorHAnsi" w:hAnsiTheme="minorHAnsi" w:cstheme="minorHAnsi"/>
              <w:lang w:eastAsia="en-US"/>
            </w:rPr>
            <w:t>s</w:t>
          </w:r>
          <w:r w:rsidR="001363C9">
            <w:rPr>
              <w:rFonts w:asciiTheme="minorHAnsi" w:hAnsiTheme="minorHAnsi" w:cstheme="minorHAnsi"/>
              <w:lang w:eastAsia="en-US"/>
            </w:rPr>
            <w:t xml:space="preserve"> on its own small business procurement practices</w:t>
          </w:r>
          <w:r w:rsidR="00C56ABD">
            <w:rPr>
              <w:rFonts w:asciiTheme="minorHAnsi" w:hAnsiTheme="minorHAnsi" w:cstheme="minorHAnsi"/>
              <w:lang w:eastAsia="en-US"/>
            </w:rPr>
            <w:t xml:space="preserve">. </w:t>
          </w:r>
          <w:r w:rsidR="00915110">
            <w:rPr>
              <w:rFonts w:asciiTheme="minorHAnsi" w:hAnsiTheme="minorHAnsi" w:cstheme="minorHAnsi"/>
              <w:lang w:eastAsia="en-US"/>
            </w:rPr>
            <w:t>A p</w:t>
          </w:r>
          <w:r w:rsidR="001363C9">
            <w:rPr>
              <w:rFonts w:asciiTheme="minorHAnsi" w:hAnsiTheme="minorHAnsi" w:cstheme="minorHAnsi"/>
              <w:lang w:eastAsia="en-US"/>
            </w:rPr>
            <w:t>arent entit</w:t>
          </w:r>
          <w:r w:rsidR="00915110">
            <w:rPr>
              <w:rFonts w:asciiTheme="minorHAnsi" w:hAnsiTheme="minorHAnsi" w:cstheme="minorHAnsi"/>
              <w:lang w:eastAsia="en-US"/>
            </w:rPr>
            <w:t>y</w:t>
          </w:r>
          <w:r w:rsidR="001363C9">
            <w:rPr>
              <w:rFonts w:asciiTheme="minorHAnsi" w:hAnsiTheme="minorHAnsi" w:cstheme="minorHAnsi"/>
              <w:lang w:eastAsia="en-US"/>
            </w:rPr>
            <w:t xml:space="preserve"> do</w:t>
          </w:r>
          <w:r w:rsidR="00BA7AB6">
            <w:rPr>
              <w:rFonts w:asciiTheme="minorHAnsi" w:hAnsiTheme="minorHAnsi" w:cstheme="minorHAnsi"/>
              <w:lang w:eastAsia="en-US"/>
            </w:rPr>
            <w:t>es</w:t>
          </w:r>
          <w:r w:rsidR="001363C9">
            <w:rPr>
              <w:rFonts w:asciiTheme="minorHAnsi" w:hAnsiTheme="minorHAnsi" w:cstheme="minorHAnsi"/>
              <w:lang w:eastAsia="en-US"/>
            </w:rPr>
            <w:t xml:space="preserve"> not aggregate</w:t>
          </w:r>
          <w:r w:rsidR="00871920">
            <w:rPr>
              <w:rFonts w:asciiTheme="minorHAnsi" w:hAnsiTheme="minorHAnsi" w:cstheme="minorHAnsi"/>
              <w:lang w:eastAsia="en-US"/>
            </w:rPr>
            <w:t>, combine or incorporate payment practices of subsidiary entities</w:t>
          </w:r>
          <w:r w:rsidR="00B245AB">
            <w:rPr>
              <w:rFonts w:asciiTheme="minorHAnsi" w:hAnsiTheme="minorHAnsi" w:cstheme="minorHAnsi"/>
              <w:lang w:eastAsia="en-US"/>
            </w:rPr>
            <w:t xml:space="preserve"> in </w:t>
          </w:r>
          <w:r w:rsidR="00B30D06">
            <w:rPr>
              <w:rFonts w:asciiTheme="minorHAnsi" w:hAnsiTheme="minorHAnsi" w:cstheme="minorHAnsi"/>
              <w:lang w:eastAsia="en-US"/>
            </w:rPr>
            <w:t xml:space="preserve">calculations for </w:t>
          </w:r>
          <w:r w:rsidR="00B245AB">
            <w:rPr>
              <w:rFonts w:asciiTheme="minorHAnsi" w:hAnsiTheme="minorHAnsi" w:cstheme="minorHAnsi"/>
              <w:lang w:eastAsia="en-US"/>
            </w:rPr>
            <w:t>its payment times report</w:t>
          </w:r>
          <w:r w:rsidR="00871920">
            <w:rPr>
              <w:rFonts w:asciiTheme="minorHAnsi" w:hAnsiTheme="minorHAnsi" w:cstheme="minorHAnsi"/>
              <w:lang w:eastAsia="en-US"/>
            </w:rPr>
            <w:t>.</w:t>
          </w:r>
        </w:p>
        <w:p w14:paraId="269E3F42" w14:textId="5F6110D3" w:rsidR="00871920" w:rsidRPr="00471445" w:rsidRDefault="00871920" w:rsidP="003E5CE2">
          <w:pPr>
            <w:pStyle w:val="Dash"/>
            <w:numPr>
              <w:ilvl w:val="0"/>
              <w:numId w:val="31"/>
            </w:numPr>
            <w:ind w:left="993" w:hanging="993"/>
            <w:rPr>
              <w:rFonts w:asciiTheme="minorHAnsi" w:hAnsiTheme="minorHAnsi" w:cstheme="minorHAnsi"/>
              <w:lang w:eastAsia="en-US"/>
            </w:rPr>
          </w:pPr>
          <w:r>
            <w:rPr>
              <w:rFonts w:asciiTheme="minorHAnsi" w:hAnsiTheme="minorHAnsi" w:cstheme="minorHAnsi"/>
              <w:lang w:eastAsia="en-US"/>
            </w:rPr>
            <w:t>If a</w:t>
          </w:r>
          <w:r w:rsidR="00204BA8">
            <w:rPr>
              <w:rFonts w:asciiTheme="minorHAnsi" w:hAnsiTheme="minorHAnsi" w:cstheme="minorHAnsi"/>
              <w:lang w:eastAsia="en-US"/>
            </w:rPr>
            <w:t>n</w:t>
          </w:r>
          <w:r>
            <w:rPr>
              <w:rFonts w:asciiTheme="minorHAnsi" w:hAnsiTheme="minorHAnsi" w:cstheme="minorHAnsi"/>
              <w:lang w:eastAsia="en-US"/>
            </w:rPr>
            <w:t xml:space="preserve"> entity is a reporting entity, but does not engage in any procurement or operations, it may need to lodge a </w:t>
          </w:r>
          <w:r w:rsidRPr="00BA7AB6">
            <w:rPr>
              <w:rStyle w:val="Strong"/>
            </w:rPr>
            <w:t>nil report</w:t>
          </w:r>
          <w:r w:rsidR="00C56ABD">
            <w:rPr>
              <w:rFonts w:asciiTheme="minorHAnsi" w:hAnsiTheme="minorHAnsi" w:cstheme="minorHAnsi"/>
              <w:lang w:eastAsia="en-US"/>
            </w:rPr>
            <w:t xml:space="preserve">. </w:t>
          </w:r>
          <w:r>
            <w:rPr>
              <w:rFonts w:asciiTheme="minorHAnsi" w:hAnsiTheme="minorHAnsi" w:cstheme="minorHAnsi"/>
              <w:lang w:eastAsia="en-US"/>
            </w:rPr>
            <w:t xml:space="preserve">See </w:t>
          </w:r>
          <w:hyperlink w:anchor="_Reporting_nil_values" w:history="1">
            <w:r w:rsidRPr="00471445">
              <w:rPr>
                <w:rStyle w:val="Hyperlink"/>
                <w:rFonts w:asciiTheme="minorHAnsi" w:hAnsiTheme="minorHAnsi" w:cstheme="minorHAnsi"/>
                <w:lang w:eastAsia="en-US"/>
              </w:rPr>
              <w:t>Reporting nil values</w:t>
            </w:r>
          </w:hyperlink>
          <w:r>
            <w:rPr>
              <w:rFonts w:asciiTheme="minorHAnsi" w:hAnsiTheme="minorHAnsi" w:cstheme="minorHAnsi"/>
              <w:lang w:eastAsia="en-US"/>
            </w:rPr>
            <w:t>.</w:t>
          </w:r>
          <w:r w:rsidR="00B245AB">
            <w:rPr>
              <w:rFonts w:asciiTheme="minorHAnsi" w:hAnsiTheme="minorHAnsi" w:cstheme="minorHAnsi"/>
              <w:lang w:eastAsia="en-US"/>
            </w:rPr>
            <w:t xml:space="preserve"> </w:t>
          </w:r>
        </w:p>
        <w:p w14:paraId="591B5B63" w14:textId="5C49EB31" w:rsidR="00471562" w:rsidRPr="008342F7" w:rsidRDefault="00471562" w:rsidP="00471445">
          <w:pPr>
            <w:pStyle w:val="Heading2"/>
            <w:rPr>
              <w:lang w:eastAsia="en-US"/>
            </w:rPr>
          </w:pPr>
          <w:bookmarkStart w:id="32" w:name="_Reporting_nil_values"/>
          <w:bookmarkStart w:id="33" w:name="_Toc107838235"/>
          <w:bookmarkEnd w:id="32"/>
          <w:r>
            <w:rPr>
              <w:lang w:eastAsia="en-US"/>
            </w:rPr>
            <w:t>Reporting nil values</w:t>
          </w:r>
          <w:bookmarkEnd w:id="33"/>
        </w:p>
        <w:p w14:paraId="3D6A3AC3" w14:textId="7ED50928" w:rsidR="00F56760" w:rsidRPr="002A71E2" w:rsidRDefault="003F1E27" w:rsidP="003E5CE2">
          <w:pPr>
            <w:pStyle w:val="Dash"/>
            <w:numPr>
              <w:ilvl w:val="0"/>
              <w:numId w:val="31"/>
            </w:numPr>
            <w:ind w:left="993" w:hanging="993"/>
            <w:rPr>
              <w:rFonts w:asciiTheme="minorHAnsi" w:hAnsiTheme="minorHAnsi" w:cstheme="minorHAnsi"/>
              <w:lang w:eastAsia="en-US"/>
            </w:rPr>
          </w:pPr>
          <w:r>
            <w:rPr>
              <w:lang w:eastAsia="en-US"/>
            </w:rPr>
            <w:t xml:space="preserve">Some reporting entities may not make </w:t>
          </w:r>
          <w:r w:rsidR="007C2293">
            <w:rPr>
              <w:lang w:eastAsia="en-US"/>
            </w:rPr>
            <w:t>payments to small business</w:t>
          </w:r>
          <w:r w:rsidR="00CD188A">
            <w:rPr>
              <w:lang w:eastAsia="en-US"/>
            </w:rPr>
            <w:t>es</w:t>
          </w:r>
          <w:r w:rsidR="00C56ABD">
            <w:rPr>
              <w:lang w:eastAsia="en-US"/>
            </w:rPr>
            <w:t xml:space="preserve">. </w:t>
          </w:r>
          <w:r w:rsidR="00491102">
            <w:rPr>
              <w:lang w:eastAsia="en-US"/>
            </w:rPr>
            <w:t xml:space="preserve">If a reporting entity </w:t>
          </w:r>
          <w:r w:rsidR="002343B0">
            <w:rPr>
              <w:lang w:eastAsia="en-US"/>
            </w:rPr>
            <w:t xml:space="preserve">is required to lodge a report under the Act but does not </w:t>
          </w:r>
          <w:r w:rsidR="00837354">
            <w:rPr>
              <w:lang w:eastAsia="en-US"/>
            </w:rPr>
            <w:t xml:space="preserve">make payments to a small </w:t>
          </w:r>
          <w:r w:rsidR="002173B7">
            <w:rPr>
              <w:lang w:eastAsia="en-US"/>
            </w:rPr>
            <w:t>business,</w:t>
          </w:r>
          <w:r w:rsidR="00837354">
            <w:rPr>
              <w:lang w:eastAsia="en-US"/>
            </w:rPr>
            <w:t xml:space="preserve"> it </w:t>
          </w:r>
          <w:r w:rsidR="003D360E">
            <w:rPr>
              <w:lang w:eastAsia="en-US"/>
            </w:rPr>
            <w:t xml:space="preserve">must </w:t>
          </w:r>
          <w:r w:rsidR="00837354">
            <w:rPr>
              <w:lang w:eastAsia="en-US"/>
            </w:rPr>
            <w:t xml:space="preserve">submit a </w:t>
          </w:r>
          <w:r w:rsidR="003A6D92">
            <w:rPr>
              <w:lang w:eastAsia="en-US"/>
            </w:rPr>
            <w:t>report with nil values</w:t>
          </w:r>
          <w:r w:rsidR="00837354">
            <w:rPr>
              <w:lang w:eastAsia="en-US"/>
            </w:rPr>
            <w:t>.</w:t>
          </w:r>
          <w:r w:rsidR="003D360E" w:rsidRPr="003D360E">
            <w:rPr>
              <w:rFonts w:ascii="Arial" w:hAnsi="Arial" w:cs="Arial"/>
              <w:color w:val="212529"/>
              <w:shd w:val="clear" w:color="auto" w:fill="FFFFFF"/>
            </w:rPr>
            <w:t xml:space="preserve"> </w:t>
          </w:r>
          <w:r w:rsidR="007164F6">
            <w:rPr>
              <w:lang w:eastAsia="en-US"/>
            </w:rPr>
            <w:t>A report with nil values has</w:t>
          </w:r>
          <w:r w:rsidR="007164F6" w:rsidRPr="008B5288">
            <w:rPr>
              <w:rFonts w:asciiTheme="minorHAnsi" w:hAnsiTheme="minorHAnsi" w:cstheme="minorHAnsi"/>
              <w:color w:val="212529"/>
              <w:shd w:val="clear" w:color="auto" w:fill="FFFFFF"/>
            </w:rPr>
            <w:t xml:space="preserve"> ‘0’ in the </w:t>
          </w:r>
          <w:r w:rsidR="007164F6">
            <w:rPr>
              <w:rFonts w:asciiTheme="minorHAnsi" w:hAnsiTheme="minorHAnsi" w:cstheme="minorHAnsi"/>
              <w:color w:val="212529"/>
              <w:shd w:val="clear" w:color="auto" w:fill="FFFFFF"/>
            </w:rPr>
            <w:t xml:space="preserve">reporting template where </w:t>
          </w:r>
          <w:r w:rsidR="007164F6" w:rsidRPr="008B5288">
            <w:rPr>
              <w:rFonts w:asciiTheme="minorHAnsi" w:hAnsiTheme="minorHAnsi" w:cstheme="minorHAnsi"/>
              <w:color w:val="212529"/>
              <w:shd w:val="clear" w:color="auto" w:fill="FFFFFF"/>
            </w:rPr>
            <w:t>payment times data</w:t>
          </w:r>
          <w:r w:rsidR="00204BA8">
            <w:rPr>
              <w:rFonts w:asciiTheme="minorHAnsi" w:hAnsiTheme="minorHAnsi" w:cstheme="minorHAnsi"/>
              <w:color w:val="212529"/>
              <w:shd w:val="clear" w:color="auto" w:fill="FFFFFF"/>
            </w:rPr>
            <w:t xml:space="preserve"> is required</w:t>
          </w:r>
          <w:r w:rsidR="007164F6" w:rsidRPr="008B5288">
            <w:rPr>
              <w:rFonts w:asciiTheme="minorHAnsi" w:hAnsiTheme="minorHAnsi" w:cstheme="minorHAnsi"/>
              <w:color w:val="212529"/>
              <w:shd w:val="clear" w:color="auto" w:fill="FFFFFF"/>
            </w:rPr>
            <w:t>.</w:t>
          </w:r>
        </w:p>
        <w:p w14:paraId="7D4B5D01" w14:textId="739C23BA" w:rsidR="002173B7" w:rsidRDefault="002173B7" w:rsidP="003E5CE2">
          <w:pPr>
            <w:pStyle w:val="Dash"/>
            <w:numPr>
              <w:ilvl w:val="0"/>
              <w:numId w:val="31"/>
            </w:numPr>
            <w:ind w:left="993" w:hanging="993"/>
            <w:rPr>
              <w:lang w:eastAsia="en-US"/>
            </w:rPr>
          </w:pPr>
          <w:r>
            <w:rPr>
              <w:lang w:eastAsia="en-US"/>
            </w:rPr>
            <w:t xml:space="preserve">A report with nil values </w:t>
          </w:r>
          <w:r w:rsidR="007164F6">
            <w:rPr>
              <w:lang w:eastAsia="en-US"/>
            </w:rPr>
            <w:t>must</w:t>
          </w:r>
          <w:r>
            <w:rPr>
              <w:lang w:eastAsia="en-US"/>
            </w:rPr>
            <w:t xml:space="preserve"> be lodged via the </w:t>
          </w:r>
          <w:hyperlink r:id="rId15" w:history="1">
            <w:r w:rsidRPr="009615AD">
              <w:rPr>
                <w:rStyle w:val="Hyperlink"/>
                <w:lang w:eastAsia="en-US"/>
              </w:rPr>
              <w:t>Payment Times Reporting Portal</w:t>
            </w:r>
          </w:hyperlink>
          <w:r>
            <w:rPr>
              <w:lang w:eastAsia="en-US"/>
            </w:rPr>
            <w:t xml:space="preserve"> using the report</w:t>
          </w:r>
          <w:r w:rsidR="007164F6">
            <w:rPr>
              <w:lang w:eastAsia="en-US"/>
            </w:rPr>
            <w:t>ing</w:t>
          </w:r>
          <w:r>
            <w:rPr>
              <w:lang w:eastAsia="en-US"/>
            </w:rPr>
            <w:t xml:space="preserve"> template.</w:t>
          </w:r>
        </w:p>
        <w:p w14:paraId="2115D989" w14:textId="2DD4E00F" w:rsidR="00982118" w:rsidRDefault="00982118" w:rsidP="00982118">
          <w:pPr>
            <w:pStyle w:val="Heading2"/>
            <w:rPr>
              <w:lang w:eastAsia="en-US"/>
            </w:rPr>
          </w:pPr>
          <w:bookmarkStart w:id="34" w:name="_Misleading_information"/>
          <w:bookmarkStart w:id="35" w:name="_Toc107838236"/>
          <w:bookmarkEnd w:id="34"/>
          <w:r>
            <w:rPr>
              <w:lang w:eastAsia="en-US"/>
            </w:rPr>
            <w:t xml:space="preserve">Misleading </w:t>
          </w:r>
          <w:r w:rsidR="004A1FDF">
            <w:rPr>
              <w:lang w:eastAsia="en-US"/>
            </w:rPr>
            <w:t>information</w:t>
          </w:r>
          <w:bookmarkEnd w:id="35"/>
        </w:p>
        <w:p w14:paraId="5AA46056" w14:textId="2622542C" w:rsidR="004A1FDF" w:rsidRPr="004A1FDF" w:rsidRDefault="00F62C52" w:rsidP="003E5CE2">
          <w:pPr>
            <w:pStyle w:val="ListParagraph"/>
            <w:numPr>
              <w:ilvl w:val="0"/>
              <w:numId w:val="31"/>
            </w:numPr>
            <w:ind w:left="993" w:hanging="993"/>
          </w:pPr>
          <w:r>
            <w:t xml:space="preserve">A reporting entity must not </w:t>
          </w:r>
          <w:r w:rsidR="00C457A9">
            <w:t xml:space="preserve">lodge </w:t>
          </w:r>
          <w:r>
            <w:t xml:space="preserve">a </w:t>
          </w:r>
          <w:r w:rsidR="00307673">
            <w:t xml:space="preserve">false or misleading </w:t>
          </w:r>
          <w:r>
            <w:t>report</w:t>
          </w:r>
          <w:r w:rsidR="00C56ABD">
            <w:t xml:space="preserve">. </w:t>
          </w:r>
          <w:r>
            <w:t xml:space="preserve">Civil penalties may </w:t>
          </w:r>
          <w:r w:rsidR="00307673">
            <w:t>apply</w:t>
          </w:r>
          <w:r>
            <w:t xml:space="preserve"> if a reporting entity </w:t>
          </w:r>
          <w:r w:rsidR="00307673">
            <w:t xml:space="preserve">(that is not a volunteering entity) </w:t>
          </w:r>
          <w:r>
            <w:t>gives a report</w:t>
          </w:r>
          <w:r w:rsidR="00C457A9">
            <w:t xml:space="preserve"> that is false or misleading in a </w:t>
          </w:r>
          <w:proofErr w:type="gramStart"/>
          <w:r w:rsidR="00C457A9" w:rsidRPr="005E4B5D">
            <w:rPr>
              <w:rStyle w:val="Strong"/>
            </w:rPr>
            <w:t>material particular</w:t>
          </w:r>
          <w:proofErr w:type="gramEnd"/>
          <w:r>
            <w:t>.</w:t>
          </w:r>
          <w:r w:rsidR="0076122C">
            <w:rPr>
              <w:rStyle w:val="FootnoteReference"/>
            </w:rPr>
            <w:footnoteReference w:id="7"/>
          </w:r>
        </w:p>
        <w:p w14:paraId="11229E71" w14:textId="32B57E98" w:rsidR="00982118" w:rsidRPr="005E4B5D" w:rsidRDefault="005E4B5D" w:rsidP="003E5CE2">
          <w:pPr>
            <w:pStyle w:val="Dash"/>
            <w:numPr>
              <w:ilvl w:val="0"/>
              <w:numId w:val="31"/>
            </w:numPr>
            <w:ind w:left="993" w:hanging="993"/>
            <w:rPr>
              <w:rFonts w:asciiTheme="minorHAnsi" w:hAnsiTheme="minorHAnsi" w:cstheme="minorHAnsi"/>
              <w:szCs w:val="22"/>
              <w:lang w:eastAsia="en-US"/>
            </w:rPr>
          </w:pPr>
          <w:r w:rsidRPr="005E4B5D">
            <w:rPr>
              <w:rFonts w:asciiTheme="minorHAnsi" w:hAnsiTheme="minorHAnsi" w:cstheme="minorHAnsi"/>
              <w:szCs w:val="22"/>
              <w:lang w:eastAsia="en-US"/>
            </w:rPr>
            <w:t>Generally, information</w:t>
          </w:r>
          <w:r w:rsidR="00093345" w:rsidRPr="005E4B5D">
            <w:rPr>
              <w:rFonts w:asciiTheme="minorHAnsi" w:hAnsiTheme="minorHAnsi" w:cstheme="minorHAnsi"/>
              <w:szCs w:val="22"/>
              <w:lang w:eastAsia="en-US"/>
            </w:rPr>
            <w:t xml:space="preserve"> in a report may be found to be false if it is contrary to fact or </w:t>
          </w:r>
          <w:r w:rsidRPr="005E4B5D">
            <w:rPr>
              <w:rFonts w:asciiTheme="minorHAnsi" w:hAnsiTheme="minorHAnsi" w:cstheme="minorHAnsi"/>
              <w:szCs w:val="22"/>
              <w:lang w:eastAsia="en-US"/>
            </w:rPr>
            <w:t>wrong and</w:t>
          </w:r>
          <w:r w:rsidR="00093345" w:rsidRPr="005E4B5D">
            <w:rPr>
              <w:rFonts w:asciiTheme="minorHAnsi" w:hAnsiTheme="minorHAnsi" w:cstheme="minorHAnsi"/>
              <w:szCs w:val="22"/>
              <w:lang w:eastAsia="en-US"/>
            </w:rPr>
            <w:t xml:space="preserve"> may be found to be misleading if it creates a false impression</w:t>
          </w:r>
          <w:r w:rsidR="00C56ABD" w:rsidRPr="005E4B5D">
            <w:rPr>
              <w:rFonts w:asciiTheme="minorHAnsi" w:hAnsiTheme="minorHAnsi" w:cstheme="minorHAnsi"/>
              <w:szCs w:val="22"/>
              <w:lang w:eastAsia="en-US"/>
            </w:rPr>
            <w:t xml:space="preserve">. </w:t>
          </w:r>
          <w:r w:rsidR="00171BB9" w:rsidRPr="005E4B5D">
            <w:rPr>
              <w:rFonts w:asciiTheme="minorHAnsi" w:hAnsiTheme="minorHAnsi" w:cstheme="minorHAnsi"/>
              <w:color w:val="333333"/>
              <w:szCs w:val="22"/>
              <w:shd w:val="clear" w:color="auto" w:fill="FFFFFF"/>
            </w:rPr>
            <w:t xml:space="preserve">A material </w:t>
          </w:r>
          <w:proofErr w:type="gramStart"/>
          <w:r w:rsidR="00171BB9" w:rsidRPr="005E4B5D">
            <w:rPr>
              <w:rFonts w:asciiTheme="minorHAnsi" w:hAnsiTheme="minorHAnsi" w:cstheme="minorHAnsi"/>
              <w:color w:val="333333"/>
              <w:szCs w:val="22"/>
              <w:shd w:val="clear" w:color="auto" w:fill="FFFFFF"/>
            </w:rPr>
            <w:t>particular is</w:t>
          </w:r>
          <w:proofErr w:type="gramEnd"/>
          <w:r w:rsidR="00171BB9" w:rsidRPr="005E4B5D">
            <w:rPr>
              <w:rFonts w:asciiTheme="minorHAnsi" w:hAnsiTheme="minorHAnsi" w:cstheme="minorHAnsi"/>
              <w:color w:val="333333"/>
              <w:szCs w:val="22"/>
              <w:shd w:val="clear" w:color="auto" w:fill="FFFFFF"/>
            </w:rPr>
            <w:t xml:space="preserve"> a matter that</w:t>
          </w:r>
          <w:r w:rsidR="00F91901" w:rsidRPr="005E4B5D">
            <w:rPr>
              <w:rFonts w:asciiTheme="minorHAnsi" w:hAnsiTheme="minorHAnsi" w:cstheme="minorHAnsi"/>
              <w:szCs w:val="22"/>
              <w:lang w:eastAsia="en-US"/>
            </w:rPr>
            <w:t xml:space="preserve"> is not </w:t>
          </w:r>
          <w:r w:rsidR="002410E8" w:rsidRPr="005E4B5D">
            <w:rPr>
              <w:rFonts w:asciiTheme="minorHAnsi" w:hAnsiTheme="minorHAnsi" w:cstheme="minorHAnsi"/>
              <w:szCs w:val="22"/>
              <w:lang w:eastAsia="en-US"/>
            </w:rPr>
            <w:t xml:space="preserve">trivial or </w:t>
          </w:r>
          <w:r w:rsidR="00B81990" w:rsidRPr="005E4B5D">
            <w:rPr>
              <w:rFonts w:asciiTheme="minorHAnsi" w:hAnsiTheme="minorHAnsi" w:cstheme="minorHAnsi"/>
              <w:szCs w:val="22"/>
              <w:lang w:eastAsia="en-US"/>
            </w:rPr>
            <w:t>inconsequential.</w:t>
          </w:r>
          <w:r w:rsidR="00603FB1" w:rsidRPr="005E4B5D">
            <w:rPr>
              <w:rFonts w:asciiTheme="minorHAnsi" w:hAnsiTheme="minorHAnsi" w:cstheme="minorHAnsi"/>
              <w:szCs w:val="22"/>
              <w:lang w:eastAsia="en-US"/>
            </w:rPr>
            <w:t xml:space="preserve"> Omission of information may also result in a report being misleading in a </w:t>
          </w:r>
          <w:proofErr w:type="gramStart"/>
          <w:r w:rsidR="00603FB1" w:rsidRPr="005E4B5D">
            <w:rPr>
              <w:rFonts w:asciiTheme="minorHAnsi" w:hAnsiTheme="minorHAnsi" w:cstheme="minorHAnsi"/>
              <w:szCs w:val="22"/>
              <w:lang w:eastAsia="en-US"/>
            </w:rPr>
            <w:t>material particular</w:t>
          </w:r>
          <w:r w:rsidR="00BA7AB6">
            <w:rPr>
              <w:rFonts w:asciiTheme="minorHAnsi" w:hAnsiTheme="minorHAnsi" w:cstheme="minorHAnsi"/>
              <w:szCs w:val="22"/>
              <w:lang w:eastAsia="en-US"/>
            </w:rPr>
            <w:t>,</w:t>
          </w:r>
          <w:r w:rsidR="00955567" w:rsidRPr="005E4B5D">
            <w:rPr>
              <w:rFonts w:asciiTheme="minorHAnsi" w:hAnsiTheme="minorHAnsi" w:cstheme="minorHAnsi"/>
              <w:szCs w:val="22"/>
              <w:lang w:eastAsia="en-US"/>
            </w:rPr>
            <w:t xml:space="preserve"> even</w:t>
          </w:r>
          <w:proofErr w:type="gramEnd"/>
          <w:r w:rsidR="00955567" w:rsidRPr="005E4B5D">
            <w:rPr>
              <w:rFonts w:asciiTheme="minorHAnsi" w:hAnsiTheme="minorHAnsi" w:cstheme="minorHAnsi"/>
              <w:szCs w:val="22"/>
              <w:lang w:eastAsia="en-US"/>
            </w:rPr>
            <w:t xml:space="preserve"> if it is otherwise accurate</w:t>
          </w:r>
          <w:r w:rsidR="00603FB1" w:rsidRPr="005E4B5D">
            <w:rPr>
              <w:rFonts w:asciiTheme="minorHAnsi" w:hAnsiTheme="minorHAnsi" w:cstheme="minorHAnsi"/>
              <w:szCs w:val="22"/>
              <w:lang w:eastAsia="en-US"/>
            </w:rPr>
            <w:t>.</w:t>
          </w:r>
        </w:p>
        <w:p w14:paraId="5C00173B" w14:textId="30B2DD30" w:rsidR="00955567" w:rsidRDefault="00B63F11" w:rsidP="003E5CE2">
          <w:pPr>
            <w:pStyle w:val="Dash"/>
            <w:numPr>
              <w:ilvl w:val="0"/>
              <w:numId w:val="31"/>
            </w:numPr>
            <w:ind w:left="993" w:hanging="993"/>
            <w:rPr>
              <w:lang w:eastAsia="en-US"/>
            </w:rPr>
          </w:pPr>
          <w:r>
            <w:rPr>
              <w:lang w:eastAsia="en-US"/>
            </w:rPr>
            <w:t xml:space="preserve">Whether information is </w:t>
          </w:r>
          <w:r w:rsidR="00DF3C44">
            <w:rPr>
              <w:lang w:eastAsia="en-US"/>
            </w:rPr>
            <w:t xml:space="preserve">false or misleading </w:t>
          </w:r>
          <w:r w:rsidR="00093345">
            <w:rPr>
              <w:lang w:eastAsia="en-US"/>
            </w:rPr>
            <w:t xml:space="preserve">in a material </w:t>
          </w:r>
          <w:proofErr w:type="gramStart"/>
          <w:r w:rsidR="00093345">
            <w:rPr>
              <w:lang w:eastAsia="en-US"/>
            </w:rPr>
            <w:t xml:space="preserve">particular </w:t>
          </w:r>
          <w:r w:rsidR="007C4CAA">
            <w:rPr>
              <w:lang w:eastAsia="en-US"/>
            </w:rPr>
            <w:t>will</w:t>
          </w:r>
          <w:proofErr w:type="gramEnd"/>
          <w:r w:rsidR="007C4CAA">
            <w:rPr>
              <w:lang w:eastAsia="en-US"/>
            </w:rPr>
            <w:t xml:space="preserve"> depend on the </w:t>
          </w:r>
          <w:r w:rsidR="00093345">
            <w:rPr>
              <w:lang w:eastAsia="en-US"/>
            </w:rPr>
            <w:t xml:space="preserve">particular </w:t>
          </w:r>
          <w:r w:rsidR="007C4CAA">
            <w:rPr>
              <w:lang w:eastAsia="en-US"/>
            </w:rPr>
            <w:t>circumstances, but may include:</w:t>
          </w:r>
        </w:p>
        <w:p w14:paraId="65D7C423" w14:textId="6DFA3DFD" w:rsidR="00E55F7D" w:rsidRPr="00E55F7D" w:rsidRDefault="00BA7AB6" w:rsidP="005E4B5D">
          <w:pPr>
            <w:pStyle w:val="ListParagraph"/>
            <w:numPr>
              <w:ilvl w:val="1"/>
              <w:numId w:val="66"/>
            </w:numPr>
          </w:pPr>
          <w:r>
            <w:lastRenderedPageBreak/>
            <w:t>i</w:t>
          </w:r>
          <w:r w:rsidR="00E55F7D" w:rsidRPr="00E55F7D">
            <w:t xml:space="preserve">ncorrect </w:t>
          </w:r>
          <w:r w:rsidR="002D1318">
            <w:t>entity details</w:t>
          </w:r>
          <w:r w:rsidR="00E55F7D">
            <w:t xml:space="preserve">, such as </w:t>
          </w:r>
          <w:r w:rsidR="00E55F7D" w:rsidRPr="00E55F7D">
            <w:t>A</w:t>
          </w:r>
          <w:r w:rsidR="004B042D">
            <w:t>ustralian Business Number (A</w:t>
          </w:r>
          <w:r w:rsidR="00E55F7D" w:rsidRPr="00E55F7D">
            <w:t>BN</w:t>
          </w:r>
          <w:r w:rsidR="004B042D">
            <w:t>)</w:t>
          </w:r>
          <w:r w:rsidR="00E55F7D" w:rsidRPr="00E55F7D">
            <w:t xml:space="preserve">, business name, </w:t>
          </w:r>
          <w:r w:rsidR="004B042D">
            <w:t xml:space="preserve">industry </w:t>
          </w:r>
          <w:r w:rsidR="00E55F7D" w:rsidRPr="00E55F7D">
            <w:t>sector</w:t>
          </w:r>
          <w:r w:rsidR="004B042D">
            <w:t xml:space="preserve"> or</w:t>
          </w:r>
          <w:r w:rsidR="00E55F7D" w:rsidRPr="00E55F7D">
            <w:t xml:space="preserve"> income year</w:t>
          </w:r>
        </w:p>
        <w:p w14:paraId="218C6A27" w14:textId="69798178" w:rsidR="00E55F7D" w:rsidRPr="00E55F7D" w:rsidRDefault="00BA7AB6" w:rsidP="005E4B5D">
          <w:pPr>
            <w:pStyle w:val="ListParagraph"/>
            <w:numPr>
              <w:ilvl w:val="1"/>
              <w:numId w:val="66"/>
            </w:numPr>
          </w:pPr>
          <w:r>
            <w:t>i</w:t>
          </w:r>
          <w:r w:rsidR="002D1318">
            <w:t xml:space="preserve">naccurate </w:t>
          </w:r>
          <w:r w:rsidR="00E772A8">
            <w:t>measures, such as payment times proportions or small business procurement proportions</w:t>
          </w:r>
        </w:p>
        <w:p w14:paraId="22D1222D" w14:textId="354F2E02" w:rsidR="00E55F7D" w:rsidRPr="00E55F7D" w:rsidRDefault="00BA7AB6" w:rsidP="005E4B5D">
          <w:pPr>
            <w:pStyle w:val="ListParagraph"/>
            <w:numPr>
              <w:ilvl w:val="1"/>
              <w:numId w:val="66"/>
            </w:numPr>
          </w:pPr>
          <w:r>
            <w:t>f</w:t>
          </w:r>
          <w:r w:rsidR="003C6D60">
            <w:t xml:space="preserve">ailing to disclose or </w:t>
          </w:r>
          <w:r w:rsidR="006D70E5">
            <w:t>giving a m</w:t>
          </w:r>
          <w:r w:rsidR="00E55F7D" w:rsidRPr="00E55F7D">
            <w:t>isleading description of circumstances or arrangements</w:t>
          </w:r>
          <w:r w:rsidR="0011554B">
            <w:t>, such as supply chain finance arrangements</w:t>
          </w:r>
        </w:p>
        <w:p w14:paraId="4C18E12D" w14:textId="028F30CB" w:rsidR="00E55F7D" w:rsidRPr="00E55F7D" w:rsidRDefault="00BA7AB6" w:rsidP="005E4B5D">
          <w:pPr>
            <w:pStyle w:val="ListParagraph"/>
            <w:numPr>
              <w:ilvl w:val="1"/>
              <w:numId w:val="66"/>
            </w:numPr>
          </w:pPr>
          <w:r>
            <w:t>i</w:t>
          </w:r>
          <w:r w:rsidR="006D70E5">
            <w:t xml:space="preserve">ncorrect details on the preparation of a report </w:t>
          </w:r>
          <w:r w:rsidR="003C6D60">
            <w:t xml:space="preserve">or </w:t>
          </w:r>
          <w:r w:rsidR="004B042D">
            <w:t xml:space="preserve">its </w:t>
          </w:r>
          <w:r w:rsidR="00E55F7D" w:rsidRPr="00E55F7D">
            <w:t>approval.</w:t>
          </w:r>
        </w:p>
        <w:p w14:paraId="57E81FCF" w14:textId="58EE89B8" w:rsidR="00E8575C" w:rsidRDefault="00E8575C" w:rsidP="003E5CE2">
          <w:pPr>
            <w:pStyle w:val="Dash"/>
            <w:numPr>
              <w:ilvl w:val="0"/>
              <w:numId w:val="31"/>
            </w:numPr>
            <w:ind w:left="993" w:hanging="993"/>
            <w:rPr>
              <w:lang w:eastAsia="en-US"/>
            </w:rPr>
          </w:pPr>
          <w:r>
            <w:rPr>
              <w:lang w:eastAsia="en-US"/>
            </w:rPr>
            <w:t>If an entity identifie</w:t>
          </w:r>
          <w:r w:rsidR="00F063AB">
            <w:rPr>
              <w:lang w:eastAsia="en-US"/>
            </w:rPr>
            <w:t>s</w:t>
          </w:r>
          <w:r>
            <w:rPr>
              <w:lang w:eastAsia="en-US"/>
            </w:rPr>
            <w:t xml:space="preserve"> an error i</w:t>
          </w:r>
          <w:r w:rsidR="00F063AB">
            <w:rPr>
              <w:lang w:eastAsia="en-US"/>
            </w:rPr>
            <w:t>n</w:t>
          </w:r>
          <w:r>
            <w:rPr>
              <w:lang w:eastAsia="en-US"/>
            </w:rPr>
            <w:t xml:space="preserve"> </w:t>
          </w:r>
          <w:r w:rsidR="00916BBB">
            <w:rPr>
              <w:lang w:eastAsia="en-US"/>
            </w:rPr>
            <w:t xml:space="preserve">a </w:t>
          </w:r>
          <w:r w:rsidR="005D53A8">
            <w:rPr>
              <w:lang w:eastAsia="en-US"/>
            </w:rPr>
            <w:t xml:space="preserve">lodged </w:t>
          </w:r>
          <w:r>
            <w:rPr>
              <w:lang w:eastAsia="en-US"/>
            </w:rPr>
            <w:t>report</w:t>
          </w:r>
          <w:r w:rsidR="00386F5E">
            <w:rPr>
              <w:lang w:eastAsia="en-US"/>
            </w:rPr>
            <w:t>,</w:t>
          </w:r>
          <w:r>
            <w:rPr>
              <w:lang w:eastAsia="en-US"/>
            </w:rPr>
            <w:t xml:space="preserve"> that may </w:t>
          </w:r>
          <w:r w:rsidR="005D53A8">
            <w:rPr>
              <w:lang w:eastAsia="en-US"/>
            </w:rPr>
            <w:t>result in the report being false or misleading</w:t>
          </w:r>
          <w:r w:rsidR="00093345">
            <w:rPr>
              <w:lang w:eastAsia="en-US"/>
            </w:rPr>
            <w:t xml:space="preserve"> in a </w:t>
          </w:r>
          <w:proofErr w:type="gramStart"/>
          <w:r w:rsidR="00093345">
            <w:rPr>
              <w:lang w:eastAsia="en-US"/>
            </w:rPr>
            <w:t>material particular</w:t>
          </w:r>
          <w:r w:rsidR="005D53A8">
            <w:rPr>
              <w:lang w:eastAsia="en-US"/>
            </w:rPr>
            <w:t>, it</w:t>
          </w:r>
          <w:proofErr w:type="gramEnd"/>
          <w:r w:rsidR="005D53A8">
            <w:rPr>
              <w:lang w:eastAsia="en-US"/>
            </w:rPr>
            <w:t xml:space="preserve"> should apply to have a revised report registered. </w:t>
          </w:r>
        </w:p>
        <w:p w14:paraId="5768E5C0" w14:textId="4DCD308D" w:rsidR="0059263A" w:rsidRDefault="0059263A" w:rsidP="003E5CE2">
          <w:pPr>
            <w:pStyle w:val="ListParagraph"/>
            <w:numPr>
              <w:ilvl w:val="0"/>
              <w:numId w:val="31"/>
            </w:numPr>
            <w:ind w:left="993" w:hanging="993"/>
          </w:pPr>
          <w:r>
            <w:t xml:space="preserve">For more information on how to apply </w:t>
          </w:r>
          <w:r w:rsidR="00204BA8">
            <w:t xml:space="preserve">to register a revised report </w:t>
          </w:r>
          <w:r>
            <w:t xml:space="preserve">see </w:t>
          </w:r>
          <w:r w:rsidRPr="00B4417C">
            <w:t xml:space="preserve">Guidance </w:t>
          </w:r>
          <w:r w:rsidR="004B042D" w:rsidRPr="00B4417C">
            <w:t>n</w:t>
          </w:r>
          <w:r w:rsidRPr="00B4417C">
            <w:t xml:space="preserve">ote 3: Applications </w:t>
          </w:r>
          <w:r w:rsidR="004B042D" w:rsidRPr="00B4417C">
            <w:t>and</w:t>
          </w:r>
          <w:r w:rsidRPr="00B4417C">
            <w:t xml:space="preserve"> notifications</w:t>
          </w:r>
          <w:r>
            <w:t>.</w:t>
          </w:r>
        </w:p>
        <w:p w14:paraId="00D76422" w14:textId="0349AE69" w:rsidR="009920B9" w:rsidRDefault="0081101E" w:rsidP="004E343F">
          <w:pPr>
            <w:pStyle w:val="Heading1"/>
          </w:pPr>
          <w:bookmarkStart w:id="36" w:name="_Toc107838237"/>
          <w:r>
            <w:t>Submitting a payment times report</w:t>
          </w:r>
          <w:bookmarkEnd w:id="36"/>
        </w:p>
        <w:tbl>
          <w:tblPr>
            <w:tblStyle w:val="TableGrid"/>
            <w:tblW w:w="0" w:type="auto"/>
            <w:tblLook w:val="04A0" w:firstRow="1" w:lastRow="0" w:firstColumn="1" w:lastColumn="0" w:noHBand="0" w:noVBand="1"/>
          </w:tblPr>
          <w:tblGrid>
            <w:gridCol w:w="9050"/>
          </w:tblGrid>
          <w:tr w:rsidR="003968A4" w14:paraId="143AB97A" w14:textId="77777777" w:rsidTr="00B4417C">
            <w:tc>
              <w:tcPr>
                <w:tcW w:w="9070" w:type="dxa"/>
                <w:tcBorders>
                  <w:top w:val="single" w:sz="6" w:space="0" w:color="auto"/>
                  <w:left w:val="single" w:sz="8" w:space="0" w:color="auto"/>
                  <w:bottom w:val="single" w:sz="6" w:space="0" w:color="auto"/>
                  <w:right w:val="single" w:sz="8" w:space="0" w:color="auto"/>
                </w:tcBorders>
                <w:shd w:val="clear" w:color="auto" w:fill="2C384A"/>
              </w:tcPr>
              <w:p w14:paraId="43B86656" w14:textId="77777777" w:rsidR="003968A4" w:rsidRPr="00180B79" w:rsidRDefault="003968A4" w:rsidP="00B4417C">
                <w:pPr>
                  <w:pStyle w:val="Heading3"/>
                  <w:outlineLvl w:val="2"/>
                </w:pPr>
                <w:bookmarkStart w:id="37" w:name="_Toc107838238"/>
                <w:r w:rsidRPr="00B4417C">
                  <w:rPr>
                    <w:color w:val="FFFFFF" w:themeColor="background1"/>
                  </w:rPr>
                  <w:t>Key points</w:t>
                </w:r>
                <w:bookmarkEnd w:id="37"/>
                <w:r w:rsidRPr="00B4417C">
                  <w:rPr>
                    <w:color w:val="FFFFFF" w:themeColor="background1"/>
                  </w:rPr>
                  <w:tab/>
                </w:r>
              </w:p>
            </w:tc>
          </w:tr>
          <w:tr w:rsidR="003968A4" w14:paraId="52F44D0E" w14:textId="77777777" w:rsidTr="00471445">
            <w:tc>
              <w:tcPr>
                <w:tcW w:w="9070" w:type="dxa"/>
                <w:tcBorders>
                  <w:top w:val="single" w:sz="6" w:space="0" w:color="auto"/>
                  <w:left w:val="single" w:sz="8" w:space="0" w:color="auto"/>
                  <w:bottom w:val="single" w:sz="8" w:space="0" w:color="auto"/>
                  <w:right w:val="single" w:sz="8" w:space="0" w:color="auto"/>
                </w:tcBorders>
                <w:shd w:val="clear" w:color="auto" w:fill="FFFFFF" w:themeFill="background1"/>
              </w:tcPr>
              <w:p w14:paraId="040521E9" w14:textId="7828DA92" w:rsidR="003968A4" w:rsidRPr="00B4417C" w:rsidRDefault="00B92938" w:rsidP="006119A4">
                <w:pPr>
                  <w:pStyle w:val="ListParagraph"/>
                  <w:numPr>
                    <w:ilvl w:val="0"/>
                    <w:numId w:val="67"/>
                  </w:numPr>
                  <w:jc w:val="left"/>
                  <w:rPr>
                    <w:sz w:val="22"/>
                  </w:rPr>
                </w:pPr>
                <w:r w:rsidRPr="00B4417C">
                  <w:rPr>
                    <w:sz w:val="22"/>
                  </w:rPr>
                  <w:t xml:space="preserve">Payment times reports must be lodged via the </w:t>
                </w:r>
                <w:hyperlink r:id="rId16" w:history="1">
                  <w:r w:rsidRPr="00B4417C">
                    <w:rPr>
                      <w:rStyle w:val="Hyperlink"/>
                      <w:sz w:val="22"/>
                    </w:rPr>
                    <w:t>Payment Times Reporting Portal</w:t>
                  </w:r>
                </w:hyperlink>
                <w:r w:rsidR="00B4417C">
                  <w:rPr>
                    <w:sz w:val="22"/>
                  </w:rPr>
                  <w:t>.</w:t>
                </w:r>
              </w:p>
              <w:p w14:paraId="751911C3" w14:textId="52560B73" w:rsidR="00B92938" w:rsidRPr="00B4417C" w:rsidRDefault="00B92938" w:rsidP="006119A4">
                <w:pPr>
                  <w:pStyle w:val="ListParagraph"/>
                  <w:numPr>
                    <w:ilvl w:val="0"/>
                    <w:numId w:val="67"/>
                  </w:numPr>
                  <w:jc w:val="left"/>
                  <w:rPr>
                    <w:sz w:val="22"/>
                    <w:lang w:eastAsia="en-AU"/>
                  </w:rPr>
                </w:pPr>
                <w:r w:rsidRPr="00B4417C">
                  <w:rPr>
                    <w:sz w:val="22"/>
                  </w:rPr>
                  <w:t xml:space="preserve">Reports and declarations may be signed electronically provided the signature meets the requirements of </w:t>
                </w:r>
                <w:hyperlink r:id="rId17" w:history="1">
                  <w:r w:rsidRPr="00B4417C">
                    <w:rPr>
                      <w:rStyle w:val="Hyperlink"/>
                      <w:i/>
                      <w:iCs/>
                      <w:sz w:val="22"/>
                    </w:rPr>
                    <w:t>Electronic Transactions Act 1999</w:t>
                  </w:r>
                </w:hyperlink>
                <w:r w:rsidR="00B4417C">
                  <w:rPr>
                    <w:i/>
                    <w:iCs/>
                    <w:sz w:val="22"/>
                  </w:rPr>
                  <w:t>.</w:t>
                </w:r>
              </w:p>
              <w:p w14:paraId="0EDD1D7A" w14:textId="2767BDF3" w:rsidR="00B92938" w:rsidRPr="00B4417C" w:rsidRDefault="00B92938" w:rsidP="006119A4">
                <w:pPr>
                  <w:pStyle w:val="ListParagraph"/>
                  <w:numPr>
                    <w:ilvl w:val="0"/>
                    <w:numId w:val="67"/>
                  </w:numPr>
                  <w:jc w:val="left"/>
                  <w:rPr>
                    <w:sz w:val="22"/>
                  </w:rPr>
                </w:pPr>
                <w:r w:rsidRPr="00B4417C">
                  <w:rPr>
                    <w:sz w:val="22"/>
                  </w:rPr>
                  <w:t>We will generally publish reports in the form lodged and only apply redactions for information that would be contrary to the public interest to publish</w:t>
                </w:r>
                <w:r w:rsidR="00C56ABD" w:rsidRPr="00B4417C">
                  <w:rPr>
                    <w:sz w:val="22"/>
                  </w:rPr>
                  <w:t xml:space="preserve">. </w:t>
                </w:r>
              </w:p>
              <w:p w14:paraId="2BEA34B2" w14:textId="08810BF2" w:rsidR="00B92938" w:rsidRDefault="00B92938" w:rsidP="006119A4">
                <w:pPr>
                  <w:pStyle w:val="ListParagraph"/>
                  <w:numPr>
                    <w:ilvl w:val="0"/>
                    <w:numId w:val="67"/>
                  </w:numPr>
                  <w:jc w:val="left"/>
                </w:pPr>
                <w:r w:rsidRPr="00B4417C">
                  <w:rPr>
                    <w:sz w:val="22"/>
                  </w:rPr>
                  <w:t>Only in exceptional circumstances will a report be withheld from publication.</w:t>
                </w:r>
              </w:p>
            </w:tc>
          </w:tr>
        </w:tbl>
        <w:p w14:paraId="42EEABD2" w14:textId="5E9F21BE" w:rsidR="00751125" w:rsidRDefault="00327FE0" w:rsidP="00751125">
          <w:pPr>
            <w:pStyle w:val="Heading2"/>
            <w:rPr>
              <w:lang w:eastAsia="en-US"/>
            </w:rPr>
          </w:pPr>
          <w:bookmarkStart w:id="38" w:name="_Toc107838239"/>
          <w:r>
            <w:rPr>
              <w:lang w:eastAsia="en-US"/>
            </w:rPr>
            <w:t>The Payment Times Reporting Portal</w:t>
          </w:r>
          <w:bookmarkEnd w:id="38"/>
        </w:p>
        <w:p w14:paraId="19DE6C56" w14:textId="7670AE7A" w:rsidR="005410EE" w:rsidRDefault="00660CBF" w:rsidP="003E5CE2">
          <w:pPr>
            <w:pStyle w:val="Dash"/>
            <w:numPr>
              <w:ilvl w:val="0"/>
              <w:numId w:val="31"/>
            </w:numPr>
            <w:ind w:left="993" w:hanging="993"/>
            <w:rPr>
              <w:lang w:eastAsia="en-US"/>
            </w:rPr>
          </w:pPr>
          <w:r>
            <w:rPr>
              <w:lang w:eastAsia="en-US"/>
            </w:rPr>
            <w:t>Each reporting entity must submit a p</w:t>
          </w:r>
          <w:r w:rsidR="00AF2251">
            <w:rPr>
              <w:lang w:eastAsia="en-US"/>
            </w:rPr>
            <w:t>ayment times report via</w:t>
          </w:r>
          <w:r w:rsidR="00213FE1">
            <w:rPr>
              <w:lang w:eastAsia="en-US"/>
            </w:rPr>
            <w:t xml:space="preserve"> the</w:t>
          </w:r>
          <w:r w:rsidR="00AF2251">
            <w:rPr>
              <w:lang w:eastAsia="en-US"/>
            </w:rPr>
            <w:t xml:space="preserve"> </w:t>
          </w:r>
          <w:hyperlink r:id="rId18" w:history="1">
            <w:r w:rsidR="00213FE1">
              <w:rPr>
                <w:rStyle w:val="Hyperlink"/>
                <w:lang w:eastAsia="en-US"/>
              </w:rPr>
              <w:t>Payment Times Reporting Portal</w:t>
            </w:r>
          </w:hyperlink>
          <w:r w:rsidR="00AF2251">
            <w:rPr>
              <w:lang w:eastAsia="en-US"/>
            </w:rPr>
            <w:t xml:space="preserve"> using the </w:t>
          </w:r>
          <w:r w:rsidRPr="00DB26BF">
            <w:rPr>
              <w:rStyle w:val="Strong"/>
            </w:rPr>
            <w:t xml:space="preserve">Payment times </w:t>
          </w:r>
          <w:r w:rsidR="004B042D" w:rsidRPr="00DB26BF">
            <w:rPr>
              <w:rStyle w:val="Strong"/>
            </w:rPr>
            <w:t xml:space="preserve">reporting </w:t>
          </w:r>
          <w:r w:rsidR="00AF2251" w:rsidRPr="00DB26BF">
            <w:rPr>
              <w:rStyle w:val="Strong"/>
            </w:rPr>
            <w:t>template</w:t>
          </w:r>
          <w:r w:rsidR="00C56ABD">
            <w:rPr>
              <w:lang w:eastAsia="en-US"/>
            </w:rPr>
            <w:t xml:space="preserve">. </w:t>
          </w:r>
          <w:r w:rsidR="00B92938">
            <w:rPr>
              <w:lang w:eastAsia="en-US"/>
            </w:rPr>
            <w:t xml:space="preserve">A single template may be used by a </w:t>
          </w:r>
          <w:r>
            <w:rPr>
              <w:lang w:eastAsia="en-US"/>
            </w:rPr>
            <w:t xml:space="preserve">controlling corporation or head </w:t>
          </w:r>
          <w:r w:rsidR="00B92938">
            <w:rPr>
              <w:lang w:eastAsia="en-US"/>
            </w:rPr>
            <w:t xml:space="preserve">entity </w:t>
          </w:r>
          <w:r w:rsidR="009B6123">
            <w:rPr>
              <w:lang w:eastAsia="en-US"/>
            </w:rPr>
            <w:t xml:space="preserve">with reporting obligations </w:t>
          </w:r>
          <w:r w:rsidR="00B92938">
            <w:rPr>
              <w:lang w:eastAsia="en-US"/>
            </w:rPr>
            <w:t xml:space="preserve">to submit on behalf of itself and </w:t>
          </w:r>
          <w:r>
            <w:rPr>
              <w:lang w:eastAsia="en-US"/>
            </w:rPr>
            <w:t xml:space="preserve">member or subsidiary entities </w:t>
          </w:r>
          <w:r w:rsidR="00B92938">
            <w:rPr>
              <w:lang w:eastAsia="en-US"/>
            </w:rPr>
            <w:t>that are reporting entities.</w:t>
          </w:r>
        </w:p>
        <w:p w14:paraId="0BCD03E9" w14:textId="12C8E496" w:rsidR="00DC2516" w:rsidRDefault="00DC2516" w:rsidP="003E5CE2">
          <w:pPr>
            <w:pStyle w:val="Dash"/>
            <w:numPr>
              <w:ilvl w:val="0"/>
              <w:numId w:val="31"/>
            </w:numPr>
            <w:ind w:left="993" w:hanging="993"/>
            <w:rPr>
              <w:lang w:eastAsia="en-US"/>
            </w:rPr>
          </w:pPr>
          <w:r>
            <w:rPr>
              <w:lang w:eastAsia="en-US"/>
            </w:rPr>
            <w:t xml:space="preserve">We will only </w:t>
          </w:r>
          <w:r w:rsidR="009F6FF4">
            <w:rPr>
              <w:lang w:eastAsia="en-US"/>
            </w:rPr>
            <w:t xml:space="preserve">assist reporting entities to submit a </w:t>
          </w:r>
          <w:r>
            <w:rPr>
              <w:lang w:eastAsia="en-US"/>
            </w:rPr>
            <w:t xml:space="preserve">payment times report </w:t>
          </w:r>
          <w:r w:rsidR="009F6FF4">
            <w:rPr>
              <w:lang w:eastAsia="en-US"/>
            </w:rPr>
            <w:t xml:space="preserve">manually </w:t>
          </w:r>
          <w:r>
            <w:rPr>
              <w:lang w:eastAsia="en-US"/>
            </w:rPr>
            <w:t>if</w:t>
          </w:r>
          <w:r w:rsidR="00705883">
            <w:rPr>
              <w:lang w:eastAsia="en-US"/>
            </w:rPr>
            <w:t xml:space="preserve"> </w:t>
          </w:r>
          <w:r w:rsidR="00FC6593">
            <w:rPr>
              <w:lang w:eastAsia="en-US"/>
            </w:rPr>
            <w:t>they are</w:t>
          </w:r>
          <w:r w:rsidR="00EB28EE">
            <w:rPr>
              <w:lang w:eastAsia="en-US"/>
            </w:rPr>
            <w:t xml:space="preserve"> unable to use the </w:t>
          </w:r>
          <w:hyperlink r:id="rId19" w:history="1">
            <w:r w:rsidR="00EB28EE">
              <w:rPr>
                <w:rStyle w:val="Hyperlink"/>
                <w:lang w:eastAsia="en-US"/>
              </w:rPr>
              <w:t>Payment Times Reporting Portal</w:t>
            </w:r>
          </w:hyperlink>
          <w:r w:rsidR="00EB28EE">
            <w:rPr>
              <w:rStyle w:val="Hyperlink"/>
              <w:lang w:eastAsia="en-US"/>
            </w:rPr>
            <w:t xml:space="preserve"> </w:t>
          </w:r>
          <w:r w:rsidR="00EB28EE" w:rsidRPr="00FC6593">
            <w:t xml:space="preserve">because </w:t>
          </w:r>
          <w:r w:rsidR="00705883">
            <w:rPr>
              <w:lang w:eastAsia="en-US"/>
            </w:rPr>
            <w:t>the entity</w:t>
          </w:r>
          <w:r w:rsidR="004B042D">
            <w:rPr>
              <w:lang w:eastAsia="en-US"/>
            </w:rPr>
            <w:t xml:space="preserve"> does not have</w:t>
          </w:r>
          <w:r w:rsidR="00705883">
            <w:rPr>
              <w:lang w:eastAsia="en-US"/>
            </w:rPr>
            <w:t>:</w:t>
          </w:r>
        </w:p>
        <w:p w14:paraId="17278B7B" w14:textId="56DDFC5B" w:rsidR="00DC2516" w:rsidRDefault="00DC2516" w:rsidP="00B4417C">
          <w:pPr>
            <w:pStyle w:val="ListParagraph"/>
            <w:numPr>
              <w:ilvl w:val="1"/>
              <w:numId w:val="68"/>
            </w:numPr>
          </w:pPr>
          <w:r>
            <w:t>an ABN, or</w:t>
          </w:r>
        </w:p>
        <w:p w14:paraId="418FBE36" w14:textId="461B0F19" w:rsidR="00DC2516" w:rsidRDefault="00705883" w:rsidP="00B4417C">
          <w:pPr>
            <w:pStyle w:val="ListParagraph"/>
            <w:numPr>
              <w:ilvl w:val="1"/>
              <w:numId w:val="68"/>
            </w:numPr>
          </w:pPr>
          <w:r>
            <w:t>a</w:t>
          </w:r>
          <w:r w:rsidR="00660CBF">
            <w:t xml:space="preserve"> </w:t>
          </w:r>
          <w:r>
            <w:t xml:space="preserve">responsible member </w:t>
          </w:r>
          <w:r w:rsidR="00660CBF">
            <w:t xml:space="preserve">or other authorised manager </w:t>
          </w:r>
          <w:r w:rsidR="00AC1DC6">
            <w:t>who is eligible</w:t>
          </w:r>
          <w:r>
            <w:t xml:space="preserve"> for a </w:t>
          </w:r>
          <w:r w:rsidR="00213FE1">
            <w:t>s</w:t>
          </w:r>
          <w:r w:rsidR="001B6B71">
            <w:t xml:space="preserve">tandard identity strength </w:t>
          </w:r>
          <w:r w:rsidR="004B042D">
            <w:t>Digital Identity</w:t>
          </w:r>
          <w:r w:rsidR="00AC1DC6">
            <w:t>.</w:t>
          </w:r>
        </w:p>
        <w:p w14:paraId="213B50C5" w14:textId="5B5105A8" w:rsidR="00AC1DC6" w:rsidRDefault="00AC1DC6" w:rsidP="003E5CE2">
          <w:pPr>
            <w:pStyle w:val="Dash"/>
            <w:numPr>
              <w:ilvl w:val="0"/>
              <w:numId w:val="31"/>
            </w:numPr>
            <w:ind w:left="993" w:hanging="993"/>
            <w:rPr>
              <w:lang w:eastAsia="en-US"/>
            </w:rPr>
          </w:pPr>
          <w:r>
            <w:rPr>
              <w:lang w:eastAsia="en-US"/>
            </w:rPr>
            <w:t xml:space="preserve">It </w:t>
          </w:r>
          <w:r w:rsidR="008D519A">
            <w:rPr>
              <w:lang w:eastAsia="en-US"/>
            </w:rPr>
            <w:t>is</w:t>
          </w:r>
          <w:r>
            <w:rPr>
              <w:lang w:eastAsia="en-US"/>
            </w:rPr>
            <w:t xml:space="preserve"> not sufficient for </w:t>
          </w:r>
          <w:r w:rsidR="0015707B">
            <w:rPr>
              <w:lang w:eastAsia="en-US"/>
            </w:rPr>
            <w:t>a responsible member</w:t>
          </w:r>
          <w:r w:rsidR="00660CBF">
            <w:rPr>
              <w:lang w:eastAsia="en-US"/>
            </w:rPr>
            <w:t xml:space="preserve"> or other authorised manager</w:t>
          </w:r>
          <w:r w:rsidR="0015707B">
            <w:rPr>
              <w:lang w:eastAsia="en-US"/>
            </w:rPr>
            <w:t xml:space="preserve"> to be having difficulties obtaining a </w:t>
          </w:r>
          <w:r w:rsidR="003848FD">
            <w:rPr>
              <w:lang w:eastAsia="en-US"/>
            </w:rPr>
            <w:t>Digital Identity</w:t>
          </w:r>
          <w:r w:rsidR="00C56ABD">
            <w:rPr>
              <w:lang w:eastAsia="en-US"/>
            </w:rPr>
            <w:t xml:space="preserve">. </w:t>
          </w:r>
          <w:r w:rsidR="0015707B">
            <w:rPr>
              <w:lang w:eastAsia="en-US"/>
            </w:rPr>
            <w:t xml:space="preserve">We will only accept a report outside of the </w:t>
          </w:r>
          <w:r w:rsidR="003848FD">
            <w:rPr>
              <w:lang w:eastAsia="en-US"/>
            </w:rPr>
            <w:t>p</w:t>
          </w:r>
          <w:r w:rsidR="00012C1C">
            <w:rPr>
              <w:lang w:eastAsia="en-US"/>
            </w:rPr>
            <w:t xml:space="preserve">ortal if they are ineligible for a </w:t>
          </w:r>
          <w:r w:rsidR="00213FE1">
            <w:rPr>
              <w:lang w:eastAsia="en-US"/>
            </w:rPr>
            <w:t>s</w:t>
          </w:r>
          <w:r w:rsidR="003848FD">
            <w:rPr>
              <w:lang w:eastAsia="en-US"/>
            </w:rPr>
            <w:t>tandard identity strength Digital Identity.</w:t>
          </w:r>
        </w:p>
        <w:p w14:paraId="504DA8D1" w14:textId="7DD9F867" w:rsidR="00012C1C" w:rsidRDefault="006F2213" w:rsidP="003E5CE2">
          <w:pPr>
            <w:pStyle w:val="Dash"/>
            <w:numPr>
              <w:ilvl w:val="0"/>
              <w:numId w:val="31"/>
            </w:numPr>
            <w:ind w:left="993" w:hanging="993"/>
            <w:rPr>
              <w:lang w:eastAsia="en-US"/>
            </w:rPr>
          </w:pPr>
          <w:r>
            <w:rPr>
              <w:lang w:eastAsia="en-US"/>
            </w:rPr>
            <w:t>W</w:t>
          </w:r>
          <w:r w:rsidR="00012C1C">
            <w:rPr>
              <w:lang w:eastAsia="en-US"/>
            </w:rPr>
            <w:t xml:space="preserve">e will </w:t>
          </w:r>
          <w:r>
            <w:rPr>
              <w:lang w:eastAsia="en-US"/>
            </w:rPr>
            <w:t xml:space="preserve">not </w:t>
          </w:r>
          <w:r w:rsidR="00660CBF">
            <w:rPr>
              <w:lang w:eastAsia="en-US"/>
            </w:rPr>
            <w:t xml:space="preserve">accept </w:t>
          </w:r>
          <w:r w:rsidR="00012C1C">
            <w:rPr>
              <w:lang w:eastAsia="en-US"/>
            </w:rPr>
            <w:t xml:space="preserve">a report </w:t>
          </w:r>
          <w:r>
            <w:rPr>
              <w:lang w:eastAsia="en-US"/>
            </w:rPr>
            <w:t xml:space="preserve">that is not </w:t>
          </w:r>
          <w:r w:rsidR="00012C1C">
            <w:rPr>
              <w:lang w:eastAsia="en-US"/>
            </w:rPr>
            <w:t xml:space="preserve">in the </w:t>
          </w:r>
          <w:r>
            <w:rPr>
              <w:lang w:eastAsia="en-US"/>
            </w:rPr>
            <w:t xml:space="preserve">reporting </w:t>
          </w:r>
          <w:r w:rsidR="006D6FFE">
            <w:rPr>
              <w:lang w:eastAsia="en-US"/>
            </w:rPr>
            <w:t>template.</w:t>
          </w:r>
        </w:p>
        <w:p w14:paraId="78219903" w14:textId="4258541D" w:rsidR="009F388A" w:rsidRPr="005410EE" w:rsidRDefault="00A37B7F" w:rsidP="003E5CE2">
          <w:pPr>
            <w:pStyle w:val="Dash"/>
            <w:numPr>
              <w:ilvl w:val="0"/>
              <w:numId w:val="31"/>
            </w:numPr>
            <w:ind w:left="993" w:hanging="993"/>
            <w:rPr>
              <w:lang w:eastAsia="en-US"/>
            </w:rPr>
          </w:pPr>
          <w:r>
            <w:rPr>
              <w:lang w:eastAsia="en-US"/>
            </w:rPr>
            <w:t xml:space="preserve">Information on how to use the </w:t>
          </w:r>
          <w:r w:rsidR="006F2213">
            <w:rPr>
              <w:lang w:eastAsia="en-US"/>
            </w:rPr>
            <w:t>p</w:t>
          </w:r>
          <w:r>
            <w:rPr>
              <w:lang w:eastAsia="en-US"/>
            </w:rPr>
            <w:t xml:space="preserve">ortal and download </w:t>
          </w:r>
          <w:r w:rsidR="008C7B0D">
            <w:rPr>
              <w:lang w:eastAsia="en-US"/>
            </w:rPr>
            <w:t>the report</w:t>
          </w:r>
          <w:r w:rsidR="006F2213">
            <w:rPr>
              <w:lang w:eastAsia="en-US"/>
            </w:rPr>
            <w:t>ing</w:t>
          </w:r>
          <w:r w:rsidR="008C7B0D">
            <w:rPr>
              <w:lang w:eastAsia="en-US"/>
            </w:rPr>
            <w:t xml:space="preserve"> template </w:t>
          </w:r>
          <w:r w:rsidR="006F2213">
            <w:rPr>
              <w:lang w:eastAsia="en-US"/>
            </w:rPr>
            <w:t xml:space="preserve">is </w:t>
          </w:r>
          <w:r w:rsidR="00956581">
            <w:rPr>
              <w:lang w:eastAsia="en-US"/>
            </w:rPr>
            <w:t>available</w:t>
          </w:r>
          <w:r w:rsidR="008C7B0D">
            <w:rPr>
              <w:lang w:eastAsia="en-US"/>
            </w:rPr>
            <w:t xml:space="preserve"> </w:t>
          </w:r>
          <w:r w:rsidR="006B6A66">
            <w:rPr>
              <w:lang w:eastAsia="en-US"/>
            </w:rPr>
            <w:t xml:space="preserve">on the </w:t>
          </w:r>
          <w:hyperlink r:id="rId20" w:history="1">
            <w:r w:rsidR="006B6A66" w:rsidRPr="00213FE1">
              <w:rPr>
                <w:rStyle w:val="Hyperlink"/>
                <w:lang w:eastAsia="en-US"/>
              </w:rPr>
              <w:t>Payment Times Reporting Portal</w:t>
            </w:r>
          </w:hyperlink>
          <w:r w:rsidR="008C7B0D">
            <w:rPr>
              <w:lang w:eastAsia="en-US"/>
            </w:rPr>
            <w:t>.</w:t>
          </w:r>
        </w:p>
        <w:p w14:paraId="4FB4DDBD" w14:textId="3A5F62BE" w:rsidR="00537EEA" w:rsidRDefault="00BF6B2C" w:rsidP="00693209">
          <w:pPr>
            <w:pStyle w:val="Heading2"/>
            <w:rPr>
              <w:lang w:eastAsia="en-US"/>
            </w:rPr>
          </w:pPr>
          <w:bookmarkStart w:id="39" w:name="_Toc107838240"/>
          <w:r>
            <w:rPr>
              <w:lang w:eastAsia="en-US"/>
            </w:rPr>
            <w:lastRenderedPageBreak/>
            <w:t xml:space="preserve">Signing reports </w:t>
          </w:r>
          <w:r w:rsidR="00956581">
            <w:rPr>
              <w:lang w:eastAsia="en-US"/>
            </w:rPr>
            <w:t>and</w:t>
          </w:r>
          <w:r>
            <w:rPr>
              <w:lang w:eastAsia="en-US"/>
            </w:rPr>
            <w:t xml:space="preserve"> declarations</w:t>
          </w:r>
          <w:bookmarkEnd w:id="39"/>
        </w:p>
        <w:p w14:paraId="35D1B6AE" w14:textId="731D1A43" w:rsidR="00BF6B2C" w:rsidRDefault="006D6FFE" w:rsidP="003E5CE2">
          <w:pPr>
            <w:pStyle w:val="Dash"/>
            <w:numPr>
              <w:ilvl w:val="0"/>
              <w:numId w:val="31"/>
            </w:numPr>
            <w:ind w:left="993" w:hanging="993"/>
            <w:rPr>
              <w:lang w:eastAsia="en-US"/>
            </w:rPr>
          </w:pPr>
          <w:r>
            <w:rPr>
              <w:lang w:eastAsia="en-US"/>
            </w:rPr>
            <w:t>Payment times reports must be accompanie</w:t>
          </w:r>
          <w:r w:rsidR="00924284">
            <w:rPr>
              <w:lang w:eastAsia="en-US"/>
            </w:rPr>
            <w:t xml:space="preserve">d </w:t>
          </w:r>
          <w:r>
            <w:rPr>
              <w:lang w:eastAsia="en-US"/>
            </w:rPr>
            <w:t xml:space="preserve">by a </w:t>
          </w:r>
          <w:r w:rsidR="001319DF">
            <w:rPr>
              <w:lang w:eastAsia="en-US"/>
            </w:rPr>
            <w:t xml:space="preserve">completed </w:t>
          </w:r>
          <w:r w:rsidR="001319DF" w:rsidRPr="00966AD2">
            <w:rPr>
              <w:rStyle w:val="Strong"/>
            </w:rPr>
            <w:t xml:space="preserve">Responsible member </w:t>
          </w:r>
          <w:r w:rsidRPr="00966AD2">
            <w:rPr>
              <w:rStyle w:val="Strong"/>
            </w:rPr>
            <w:t xml:space="preserve">declaration </w:t>
          </w:r>
          <w:r w:rsidR="001319DF" w:rsidRPr="00966AD2">
            <w:rPr>
              <w:rStyle w:val="Strong"/>
            </w:rPr>
            <w:t>template</w:t>
          </w:r>
          <w:r w:rsidR="001319DF">
            <w:rPr>
              <w:lang w:eastAsia="en-US"/>
            </w:rPr>
            <w:t xml:space="preserve"> </w:t>
          </w:r>
          <w:r w:rsidR="00022F02">
            <w:rPr>
              <w:lang w:eastAsia="en-US"/>
            </w:rPr>
            <w:t xml:space="preserve">signed by a responsible member </w:t>
          </w:r>
          <w:r>
            <w:rPr>
              <w:lang w:eastAsia="en-US"/>
            </w:rPr>
            <w:t xml:space="preserve">approving the </w:t>
          </w:r>
          <w:r w:rsidR="0086094A">
            <w:rPr>
              <w:lang w:eastAsia="en-US"/>
            </w:rPr>
            <w:t>report</w:t>
          </w:r>
          <w:r w:rsidR="00CC3207">
            <w:rPr>
              <w:lang w:eastAsia="en-US"/>
            </w:rPr>
            <w:t>. Th</w:t>
          </w:r>
          <w:r w:rsidR="002556A0">
            <w:rPr>
              <w:lang w:eastAsia="en-US"/>
            </w:rPr>
            <w:t xml:space="preserve">e declaration must identify </w:t>
          </w:r>
          <w:r w:rsidR="005B4A15">
            <w:rPr>
              <w:lang w:eastAsia="en-US"/>
            </w:rPr>
            <w:t>when the report will be provided to the principal governing body</w:t>
          </w:r>
          <w:r w:rsidR="00C56ABD">
            <w:rPr>
              <w:lang w:eastAsia="en-US"/>
            </w:rPr>
            <w:t xml:space="preserve">. </w:t>
          </w:r>
          <w:r w:rsidR="00D971FC">
            <w:rPr>
              <w:lang w:eastAsia="en-US"/>
            </w:rPr>
            <w:t>The individual signing the declaration should be the same person identified as the approver of the report in the report</w:t>
          </w:r>
          <w:r w:rsidR="00CC3207">
            <w:rPr>
              <w:lang w:eastAsia="en-US"/>
            </w:rPr>
            <w:t>ing</w:t>
          </w:r>
          <w:r w:rsidR="00D971FC">
            <w:rPr>
              <w:lang w:eastAsia="en-US"/>
            </w:rPr>
            <w:t xml:space="preserve"> template.</w:t>
          </w:r>
        </w:p>
        <w:p w14:paraId="377F4A00" w14:textId="1240438D" w:rsidR="0007673E" w:rsidRDefault="00221E61" w:rsidP="003E5CE2">
          <w:pPr>
            <w:pStyle w:val="Dash"/>
            <w:numPr>
              <w:ilvl w:val="0"/>
              <w:numId w:val="31"/>
            </w:numPr>
            <w:ind w:left="993" w:hanging="993"/>
            <w:rPr>
              <w:lang w:eastAsia="en-US"/>
            </w:rPr>
          </w:pPr>
          <w:r>
            <w:rPr>
              <w:lang w:eastAsia="en-US"/>
            </w:rPr>
            <w:t xml:space="preserve">Where a report template is being lodged for </w:t>
          </w:r>
          <w:r w:rsidR="006A03A2">
            <w:rPr>
              <w:lang w:eastAsia="en-US"/>
            </w:rPr>
            <w:t xml:space="preserve">multiple </w:t>
          </w:r>
          <w:r w:rsidR="00B4417C">
            <w:rPr>
              <w:lang w:eastAsia="en-US"/>
            </w:rPr>
            <w:t>entities,</w:t>
          </w:r>
          <w:r w:rsidR="006A03A2">
            <w:rPr>
              <w:lang w:eastAsia="en-US"/>
            </w:rPr>
            <w:t xml:space="preserve"> it can be accompanied by a single declaration that identifies all relevant entities.</w:t>
          </w:r>
        </w:p>
        <w:p w14:paraId="2A5E5701" w14:textId="5BC54418" w:rsidR="006D36DC" w:rsidRDefault="00C35CFC" w:rsidP="003E5CE2">
          <w:pPr>
            <w:pStyle w:val="Dash"/>
            <w:numPr>
              <w:ilvl w:val="0"/>
              <w:numId w:val="31"/>
            </w:numPr>
            <w:ind w:left="993" w:hanging="993"/>
            <w:rPr>
              <w:lang w:eastAsia="en-US"/>
            </w:rPr>
          </w:pPr>
          <w:r>
            <w:rPr>
              <w:lang w:eastAsia="en-US"/>
            </w:rPr>
            <w:t>The declaration may be signed electronically</w:t>
          </w:r>
          <w:r w:rsidR="00C56ABD">
            <w:rPr>
              <w:lang w:eastAsia="en-US"/>
            </w:rPr>
            <w:t xml:space="preserve">. </w:t>
          </w:r>
          <w:r w:rsidR="006D36DC">
            <w:rPr>
              <w:lang w:eastAsia="en-US"/>
            </w:rPr>
            <w:t xml:space="preserve">If you use electronic signatures, make sure they identify the person signing in a reliable way (see the </w:t>
          </w:r>
          <w:hyperlink r:id="rId21" w:history="1">
            <w:r w:rsidR="006D36DC" w:rsidRPr="003E5CE2">
              <w:rPr>
                <w:rStyle w:val="Hyperlink"/>
                <w:i/>
                <w:iCs/>
              </w:rPr>
              <w:t>Electronic Transactions Act 1999</w:t>
            </w:r>
          </w:hyperlink>
          <w:r w:rsidR="006D36DC">
            <w:rPr>
              <w:lang w:eastAsia="en-US"/>
            </w:rPr>
            <w:t>).</w:t>
          </w:r>
        </w:p>
        <w:p w14:paraId="2B03B240" w14:textId="666FF8C2" w:rsidR="00C35CFC" w:rsidRPr="00BF6B2C" w:rsidRDefault="006D36DC" w:rsidP="003E5CE2">
          <w:pPr>
            <w:pStyle w:val="Dash"/>
            <w:numPr>
              <w:ilvl w:val="0"/>
              <w:numId w:val="31"/>
            </w:numPr>
            <w:ind w:left="993" w:hanging="993"/>
            <w:rPr>
              <w:lang w:eastAsia="en-US"/>
            </w:rPr>
          </w:pPr>
          <w:r>
            <w:rPr>
              <w:lang w:eastAsia="en-US"/>
            </w:rPr>
            <w:t>The signature may be an image of the person’s handwritten signature, a digital signature, or their typed name accompanied by the word ‘signed’.</w:t>
          </w:r>
        </w:p>
        <w:p w14:paraId="64EF3CEC" w14:textId="75AE137E" w:rsidR="00EE6AAC" w:rsidRDefault="008002E5" w:rsidP="00EE6AAC">
          <w:pPr>
            <w:pStyle w:val="Heading2"/>
            <w:rPr>
              <w:lang w:eastAsia="en-US"/>
            </w:rPr>
          </w:pPr>
          <w:bookmarkStart w:id="40" w:name="_Toc107838241"/>
          <w:r>
            <w:rPr>
              <w:lang w:eastAsia="en-US"/>
            </w:rPr>
            <w:t>Publication</w:t>
          </w:r>
          <w:r w:rsidR="00EE6AAC">
            <w:rPr>
              <w:lang w:eastAsia="en-US"/>
            </w:rPr>
            <w:t xml:space="preserve"> of reports</w:t>
          </w:r>
          <w:bookmarkEnd w:id="40"/>
        </w:p>
        <w:p w14:paraId="73CAD2B8" w14:textId="1CDF5A79" w:rsidR="00154EC5" w:rsidRDefault="00154EC5" w:rsidP="003E5CE2">
          <w:pPr>
            <w:pStyle w:val="Dash"/>
            <w:numPr>
              <w:ilvl w:val="0"/>
              <w:numId w:val="31"/>
            </w:numPr>
            <w:ind w:left="993" w:hanging="993"/>
            <w:rPr>
              <w:lang w:eastAsia="en-US"/>
            </w:rPr>
          </w:pPr>
          <w:r>
            <w:rPr>
              <w:lang w:eastAsia="en-US"/>
            </w:rPr>
            <w:t xml:space="preserve">We will </w:t>
          </w:r>
          <w:r w:rsidR="005F28E0">
            <w:rPr>
              <w:lang w:eastAsia="en-US"/>
            </w:rPr>
            <w:t xml:space="preserve">only refuse to publish a report in </w:t>
          </w:r>
          <w:r w:rsidR="007E32B9">
            <w:rPr>
              <w:lang w:eastAsia="en-US"/>
            </w:rPr>
            <w:t>exceptional cases</w:t>
          </w:r>
          <w:r w:rsidR="00C56ABD">
            <w:rPr>
              <w:lang w:eastAsia="en-US"/>
            </w:rPr>
            <w:t xml:space="preserve">. </w:t>
          </w:r>
          <w:r w:rsidR="007E32B9">
            <w:rPr>
              <w:lang w:eastAsia="en-US"/>
            </w:rPr>
            <w:t xml:space="preserve">Our approach is, as far as possible, </w:t>
          </w:r>
          <w:r w:rsidR="008B2B7C">
            <w:rPr>
              <w:lang w:eastAsia="en-US"/>
            </w:rPr>
            <w:t xml:space="preserve">to </w:t>
          </w:r>
          <w:r w:rsidR="007F257A">
            <w:rPr>
              <w:lang w:eastAsia="en-US"/>
            </w:rPr>
            <w:t>publish</w:t>
          </w:r>
          <w:r w:rsidR="007E32B9">
            <w:rPr>
              <w:lang w:eastAsia="en-US"/>
            </w:rPr>
            <w:t xml:space="preserve"> payment times reports in the for</w:t>
          </w:r>
          <w:r w:rsidR="00F921D5">
            <w:rPr>
              <w:lang w:eastAsia="en-US"/>
            </w:rPr>
            <w:t>m they are lodged, even where this include</w:t>
          </w:r>
          <w:r w:rsidR="00234BA3">
            <w:rPr>
              <w:lang w:eastAsia="en-US"/>
            </w:rPr>
            <w:t>s</w:t>
          </w:r>
          <w:r w:rsidR="00F921D5">
            <w:rPr>
              <w:lang w:eastAsia="en-US"/>
            </w:rPr>
            <w:t xml:space="preserve"> </w:t>
          </w:r>
          <w:r w:rsidR="00EB28EE">
            <w:rPr>
              <w:lang w:eastAsia="en-US"/>
            </w:rPr>
            <w:t xml:space="preserve">typographical </w:t>
          </w:r>
          <w:r w:rsidR="00F921D5">
            <w:rPr>
              <w:lang w:eastAsia="en-US"/>
            </w:rPr>
            <w:t>and other content errors.</w:t>
          </w:r>
        </w:p>
        <w:p w14:paraId="72E12D16" w14:textId="7B21C3EA" w:rsidR="00F921D5" w:rsidRDefault="002556A0" w:rsidP="003E5CE2">
          <w:pPr>
            <w:pStyle w:val="Dash"/>
            <w:numPr>
              <w:ilvl w:val="0"/>
              <w:numId w:val="31"/>
            </w:numPr>
            <w:ind w:left="993" w:hanging="993"/>
            <w:rPr>
              <w:lang w:eastAsia="en-US"/>
            </w:rPr>
          </w:pPr>
          <w:r>
            <w:rPr>
              <w:lang w:eastAsia="en-US"/>
            </w:rPr>
            <w:t xml:space="preserve">Where </w:t>
          </w:r>
          <w:r w:rsidR="00F921D5">
            <w:rPr>
              <w:lang w:eastAsia="en-US"/>
            </w:rPr>
            <w:t xml:space="preserve">we identify </w:t>
          </w:r>
          <w:r w:rsidR="00417678">
            <w:rPr>
              <w:lang w:eastAsia="en-US"/>
            </w:rPr>
            <w:t xml:space="preserve">potential </w:t>
          </w:r>
          <w:r w:rsidR="00F921D5">
            <w:rPr>
              <w:lang w:eastAsia="en-US"/>
            </w:rPr>
            <w:t xml:space="preserve">content </w:t>
          </w:r>
          <w:r w:rsidR="00DF654A">
            <w:rPr>
              <w:lang w:eastAsia="en-US"/>
            </w:rPr>
            <w:t>or other error</w:t>
          </w:r>
          <w:r>
            <w:rPr>
              <w:lang w:eastAsia="en-US"/>
            </w:rPr>
            <w:t>s</w:t>
          </w:r>
          <w:r w:rsidR="00DF654A">
            <w:rPr>
              <w:lang w:eastAsia="en-US"/>
            </w:rPr>
            <w:t xml:space="preserve"> in report</w:t>
          </w:r>
          <w:r>
            <w:rPr>
              <w:lang w:eastAsia="en-US"/>
            </w:rPr>
            <w:t>s</w:t>
          </w:r>
          <w:r w:rsidR="00CD188A">
            <w:rPr>
              <w:lang w:eastAsia="en-US"/>
            </w:rPr>
            <w:t>,</w:t>
          </w:r>
          <w:r w:rsidR="00DF654A">
            <w:rPr>
              <w:lang w:eastAsia="en-US"/>
            </w:rPr>
            <w:t xml:space="preserve"> we may </w:t>
          </w:r>
          <w:r w:rsidR="008B2B7C">
            <w:rPr>
              <w:lang w:eastAsia="en-US"/>
            </w:rPr>
            <w:t>advise</w:t>
          </w:r>
          <w:r w:rsidR="00DF654A">
            <w:rPr>
              <w:lang w:eastAsia="en-US"/>
            </w:rPr>
            <w:t xml:space="preserve"> </w:t>
          </w:r>
          <w:r w:rsidR="00743613">
            <w:rPr>
              <w:lang w:eastAsia="en-US"/>
            </w:rPr>
            <w:t>reporting entities</w:t>
          </w:r>
          <w:r w:rsidR="00DF654A">
            <w:rPr>
              <w:lang w:eastAsia="en-US"/>
            </w:rPr>
            <w:t xml:space="preserve"> in the </w:t>
          </w:r>
          <w:r w:rsidR="008B2B7C">
            <w:rPr>
              <w:lang w:eastAsia="en-US"/>
            </w:rPr>
            <w:t>publication notification email</w:t>
          </w:r>
          <w:r w:rsidR="0039346F">
            <w:rPr>
              <w:lang w:eastAsia="en-US"/>
            </w:rPr>
            <w:t xml:space="preserve"> and encourage</w:t>
          </w:r>
          <w:r w:rsidR="008B2B7C">
            <w:rPr>
              <w:lang w:eastAsia="en-US"/>
            </w:rPr>
            <w:t xml:space="preserve"> </w:t>
          </w:r>
          <w:r w:rsidR="00743613">
            <w:rPr>
              <w:lang w:eastAsia="en-US"/>
            </w:rPr>
            <w:t>them</w:t>
          </w:r>
          <w:r w:rsidR="008B2B7C">
            <w:rPr>
              <w:lang w:eastAsia="en-US"/>
            </w:rPr>
            <w:t xml:space="preserve"> to</w:t>
          </w:r>
          <w:r w:rsidR="0039346F">
            <w:rPr>
              <w:lang w:eastAsia="en-US"/>
            </w:rPr>
            <w:t xml:space="preserve"> </w:t>
          </w:r>
          <w:r w:rsidR="007318CA">
            <w:rPr>
              <w:lang w:eastAsia="en-US"/>
            </w:rPr>
            <w:t>submi</w:t>
          </w:r>
          <w:r w:rsidR="008B2B7C">
            <w:rPr>
              <w:lang w:eastAsia="en-US"/>
            </w:rPr>
            <w:t>t</w:t>
          </w:r>
          <w:r w:rsidR="007318CA">
            <w:rPr>
              <w:lang w:eastAsia="en-US"/>
            </w:rPr>
            <w:t xml:space="preserve"> a revised report</w:t>
          </w:r>
          <w:r w:rsidR="00C56ABD">
            <w:rPr>
              <w:lang w:eastAsia="en-US"/>
            </w:rPr>
            <w:t xml:space="preserve">. </w:t>
          </w:r>
          <w:r w:rsidR="007318CA">
            <w:rPr>
              <w:lang w:eastAsia="en-US"/>
            </w:rPr>
            <w:t xml:space="preserve">We generally </w:t>
          </w:r>
          <w:r w:rsidR="00BF3980">
            <w:rPr>
              <w:lang w:eastAsia="en-US"/>
            </w:rPr>
            <w:t xml:space="preserve">do </w:t>
          </w:r>
          <w:r w:rsidR="007318CA">
            <w:rPr>
              <w:lang w:eastAsia="en-US"/>
            </w:rPr>
            <w:t>not delay or defer publication</w:t>
          </w:r>
          <w:r w:rsidR="007F257A">
            <w:rPr>
              <w:lang w:eastAsia="en-US"/>
            </w:rPr>
            <w:t>.</w:t>
          </w:r>
        </w:p>
        <w:p w14:paraId="17FA88C1" w14:textId="4125CED5" w:rsidR="0047628B" w:rsidRDefault="0047628B" w:rsidP="003E5CE2">
          <w:pPr>
            <w:pStyle w:val="Dash"/>
            <w:numPr>
              <w:ilvl w:val="0"/>
              <w:numId w:val="31"/>
            </w:numPr>
            <w:ind w:left="993" w:hanging="993"/>
            <w:rPr>
              <w:lang w:eastAsia="en-US"/>
            </w:rPr>
          </w:pPr>
          <w:r>
            <w:rPr>
              <w:lang w:eastAsia="en-US"/>
            </w:rPr>
            <w:t xml:space="preserve">We </w:t>
          </w:r>
          <w:r w:rsidR="008B2B7C">
            <w:rPr>
              <w:lang w:eastAsia="en-US"/>
            </w:rPr>
            <w:t xml:space="preserve">aim </w:t>
          </w:r>
          <w:r>
            <w:rPr>
              <w:lang w:eastAsia="en-US"/>
            </w:rPr>
            <w:t xml:space="preserve">to publish payment times reports to the </w:t>
          </w:r>
          <w:hyperlink r:id="rId22" w:history="1">
            <w:r w:rsidR="00BF3980" w:rsidRPr="00F20BE1">
              <w:rPr>
                <w:rStyle w:val="Hyperlink"/>
                <w:lang w:eastAsia="en-US"/>
              </w:rPr>
              <w:t>P</w:t>
            </w:r>
            <w:r w:rsidRPr="00F20BE1">
              <w:rPr>
                <w:rStyle w:val="Hyperlink"/>
                <w:lang w:eastAsia="en-US"/>
              </w:rPr>
              <w:t xml:space="preserve">ayment </w:t>
            </w:r>
            <w:r w:rsidR="00BF3980" w:rsidRPr="00F20BE1">
              <w:rPr>
                <w:rStyle w:val="Hyperlink"/>
                <w:lang w:eastAsia="en-US"/>
              </w:rPr>
              <w:t>T</w:t>
            </w:r>
            <w:r w:rsidRPr="00F20BE1">
              <w:rPr>
                <w:rStyle w:val="Hyperlink"/>
                <w:lang w:eastAsia="en-US"/>
              </w:rPr>
              <w:t xml:space="preserve">imes </w:t>
            </w:r>
            <w:r w:rsidR="00BF3980" w:rsidRPr="00F20BE1">
              <w:rPr>
                <w:rStyle w:val="Hyperlink"/>
                <w:lang w:eastAsia="en-US"/>
              </w:rPr>
              <w:t>R</w:t>
            </w:r>
            <w:r w:rsidRPr="00F20BE1">
              <w:rPr>
                <w:rStyle w:val="Hyperlink"/>
                <w:lang w:eastAsia="en-US"/>
              </w:rPr>
              <w:t xml:space="preserve">eports </w:t>
            </w:r>
            <w:r w:rsidR="00BF3980" w:rsidRPr="00F20BE1">
              <w:rPr>
                <w:rStyle w:val="Hyperlink"/>
                <w:lang w:eastAsia="en-US"/>
              </w:rPr>
              <w:t>R</w:t>
            </w:r>
            <w:r w:rsidRPr="00F20BE1">
              <w:rPr>
                <w:rStyle w:val="Hyperlink"/>
                <w:lang w:eastAsia="en-US"/>
              </w:rPr>
              <w:t>egister</w:t>
            </w:r>
          </w:hyperlink>
          <w:r w:rsidR="00F20BE1">
            <w:rPr>
              <w:lang w:eastAsia="en-US"/>
            </w:rPr>
            <w:t xml:space="preserve"> (the register)</w:t>
          </w:r>
          <w:r>
            <w:rPr>
              <w:lang w:eastAsia="en-US"/>
            </w:rPr>
            <w:t xml:space="preserve"> as soon as practicable</w:t>
          </w:r>
          <w:r w:rsidR="00C56ABD">
            <w:rPr>
              <w:lang w:eastAsia="en-US"/>
            </w:rPr>
            <w:t xml:space="preserve">. </w:t>
          </w:r>
          <w:r w:rsidR="00B80E60">
            <w:rPr>
              <w:lang w:eastAsia="en-US"/>
            </w:rPr>
            <w:t>Publication of reports to the register occurs periodically</w:t>
          </w:r>
          <w:r w:rsidR="00743613">
            <w:rPr>
              <w:lang w:eastAsia="en-US"/>
            </w:rPr>
            <w:t>.</w:t>
          </w:r>
          <w:r w:rsidR="00C56ABD">
            <w:rPr>
              <w:lang w:eastAsia="en-US"/>
            </w:rPr>
            <w:t xml:space="preserve"> </w:t>
          </w:r>
          <w:r w:rsidR="00A0415A">
            <w:rPr>
              <w:lang w:eastAsia="en-US"/>
            </w:rPr>
            <w:t>However, d</w:t>
          </w:r>
          <w:r w:rsidR="00494773">
            <w:rPr>
              <w:lang w:eastAsia="en-US"/>
            </w:rPr>
            <w:t xml:space="preserve">uring peak reporting periods in March and September each year, </w:t>
          </w:r>
          <w:r w:rsidR="00C5237D">
            <w:rPr>
              <w:lang w:eastAsia="en-US"/>
            </w:rPr>
            <w:t xml:space="preserve">there may be minor </w:t>
          </w:r>
          <w:r w:rsidR="00494773">
            <w:rPr>
              <w:lang w:eastAsia="en-US"/>
            </w:rPr>
            <w:t>delay</w:t>
          </w:r>
          <w:r w:rsidR="00C5237D">
            <w:rPr>
              <w:lang w:eastAsia="en-US"/>
            </w:rPr>
            <w:t>s</w:t>
          </w:r>
          <w:r w:rsidR="00494773">
            <w:rPr>
              <w:lang w:eastAsia="en-US"/>
            </w:rPr>
            <w:t xml:space="preserve"> </w:t>
          </w:r>
          <w:r w:rsidR="00C5237D">
            <w:rPr>
              <w:lang w:eastAsia="en-US"/>
            </w:rPr>
            <w:t xml:space="preserve">to </w:t>
          </w:r>
          <w:r w:rsidR="00494773">
            <w:rPr>
              <w:lang w:eastAsia="en-US"/>
            </w:rPr>
            <w:t>publication.</w:t>
          </w:r>
        </w:p>
        <w:p w14:paraId="4AD7370A" w14:textId="720D571E" w:rsidR="001471BF" w:rsidRDefault="00441C60" w:rsidP="003E5CE2">
          <w:pPr>
            <w:pStyle w:val="Dash"/>
            <w:numPr>
              <w:ilvl w:val="0"/>
              <w:numId w:val="31"/>
            </w:numPr>
            <w:ind w:left="993" w:hanging="993"/>
            <w:rPr>
              <w:lang w:eastAsia="en-US"/>
            </w:rPr>
          </w:pPr>
          <w:r>
            <w:rPr>
              <w:lang w:eastAsia="en-US"/>
            </w:rPr>
            <w:t>After lodgement</w:t>
          </w:r>
          <w:r w:rsidR="00C5237D">
            <w:rPr>
              <w:lang w:eastAsia="en-US"/>
            </w:rPr>
            <w:t>,</w:t>
          </w:r>
          <w:r>
            <w:rPr>
              <w:lang w:eastAsia="en-US"/>
            </w:rPr>
            <w:t xml:space="preserve"> we screen payment times report</w:t>
          </w:r>
          <w:r w:rsidR="00A91CD3">
            <w:rPr>
              <w:lang w:eastAsia="en-US"/>
            </w:rPr>
            <w:t>s</w:t>
          </w:r>
          <w:r>
            <w:rPr>
              <w:lang w:eastAsia="en-US"/>
            </w:rPr>
            <w:t xml:space="preserve"> for information that may </w:t>
          </w:r>
          <w:r w:rsidR="00A91CD3">
            <w:rPr>
              <w:lang w:eastAsia="en-US"/>
            </w:rPr>
            <w:t xml:space="preserve">not </w:t>
          </w:r>
          <w:r>
            <w:rPr>
              <w:lang w:eastAsia="en-US"/>
            </w:rPr>
            <w:t xml:space="preserve">be </w:t>
          </w:r>
          <w:r w:rsidR="00A91CD3">
            <w:rPr>
              <w:lang w:eastAsia="en-US"/>
            </w:rPr>
            <w:t>in</w:t>
          </w:r>
          <w:r>
            <w:rPr>
              <w:lang w:eastAsia="en-US"/>
            </w:rPr>
            <w:t xml:space="preserve"> the public interest</w:t>
          </w:r>
          <w:r w:rsidR="00C5237D">
            <w:rPr>
              <w:lang w:eastAsia="en-US"/>
            </w:rPr>
            <w:t xml:space="preserve"> to publish</w:t>
          </w:r>
          <w:r w:rsidR="00C56ABD">
            <w:rPr>
              <w:lang w:eastAsia="en-US"/>
            </w:rPr>
            <w:t xml:space="preserve">. </w:t>
          </w:r>
          <w:r w:rsidR="00FC5F92">
            <w:rPr>
              <w:lang w:eastAsia="en-US"/>
            </w:rPr>
            <w:t>This typically includes information that</w:t>
          </w:r>
          <w:r w:rsidR="00EA78EB">
            <w:rPr>
              <w:lang w:eastAsia="en-US"/>
            </w:rPr>
            <w:t>:</w:t>
          </w:r>
        </w:p>
        <w:p w14:paraId="04DBC634" w14:textId="36DF5067" w:rsidR="00EA78EB" w:rsidRDefault="00851AE0" w:rsidP="00743613">
          <w:pPr>
            <w:pStyle w:val="ListParagraph"/>
            <w:numPr>
              <w:ilvl w:val="1"/>
              <w:numId w:val="69"/>
            </w:numPr>
          </w:pPr>
          <w:r>
            <w:t>i</w:t>
          </w:r>
          <w:r w:rsidR="00EA78EB">
            <w:t>s defamatory, slanderous, or blasphemous</w:t>
          </w:r>
        </w:p>
        <w:p w14:paraId="49BAAFC6" w14:textId="3F0680F1" w:rsidR="00EA78EB" w:rsidRDefault="00851AE0" w:rsidP="00743613">
          <w:pPr>
            <w:pStyle w:val="ListParagraph"/>
            <w:numPr>
              <w:ilvl w:val="1"/>
              <w:numId w:val="69"/>
            </w:numPr>
          </w:pPr>
          <w:r>
            <w:t>p</w:t>
          </w:r>
          <w:r w:rsidR="00EA78EB">
            <w:t>rovides comments or details of specific transactions or suppliers</w:t>
          </w:r>
        </w:p>
        <w:p w14:paraId="131538BD" w14:textId="12D683AD" w:rsidR="00EA78EB" w:rsidRDefault="00851AE0" w:rsidP="00743613">
          <w:pPr>
            <w:pStyle w:val="ListParagraph"/>
            <w:numPr>
              <w:ilvl w:val="1"/>
              <w:numId w:val="69"/>
            </w:numPr>
          </w:pPr>
          <w:r>
            <w:t>c</w:t>
          </w:r>
          <w:r w:rsidR="00EA78EB">
            <w:t>ontains personal information regarding individuals that are not associated with the reporting entity</w:t>
          </w:r>
        </w:p>
        <w:p w14:paraId="302E6987" w14:textId="1301D0D8" w:rsidR="00EA78EB" w:rsidRDefault="00851AE0" w:rsidP="00743613">
          <w:pPr>
            <w:pStyle w:val="ListParagraph"/>
            <w:numPr>
              <w:ilvl w:val="1"/>
              <w:numId w:val="69"/>
            </w:numPr>
          </w:pPr>
          <w:r>
            <w:t>i</w:t>
          </w:r>
          <w:r w:rsidR="00EA78EB">
            <w:t>s clearly erroneous or misleading</w:t>
          </w:r>
        </w:p>
        <w:p w14:paraId="30C9092E" w14:textId="360D00D1" w:rsidR="00EA78EB" w:rsidRDefault="00851AE0" w:rsidP="00743613">
          <w:pPr>
            <w:pStyle w:val="ListParagraph"/>
            <w:numPr>
              <w:ilvl w:val="1"/>
              <w:numId w:val="69"/>
            </w:numPr>
          </w:pPr>
          <w:r>
            <w:t>p</w:t>
          </w:r>
          <w:r w:rsidR="00EA78EB">
            <w:t>asses opinions or comments on the purpose, policies, or requirements for payment times reporting</w:t>
          </w:r>
        </w:p>
        <w:p w14:paraId="7603FD11" w14:textId="1031C25F" w:rsidR="00EA78EB" w:rsidRDefault="00851AE0" w:rsidP="00743613">
          <w:pPr>
            <w:pStyle w:val="ListParagraph"/>
            <w:numPr>
              <w:ilvl w:val="1"/>
              <w:numId w:val="69"/>
            </w:numPr>
          </w:pPr>
          <w:r>
            <w:t>i</w:t>
          </w:r>
          <w:r w:rsidR="00EA78EB">
            <w:t xml:space="preserve">s otherwise </w:t>
          </w:r>
          <w:r w:rsidR="00A56FD3">
            <w:t xml:space="preserve">contrary to the </w:t>
          </w:r>
          <w:r w:rsidR="00EA78EB">
            <w:t>public interest to publish.</w:t>
          </w:r>
        </w:p>
        <w:p w14:paraId="19863F9D" w14:textId="3A524971" w:rsidR="00B00203" w:rsidRDefault="00B00203" w:rsidP="003E5CE2">
          <w:pPr>
            <w:pStyle w:val="Dash"/>
            <w:numPr>
              <w:ilvl w:val="0"/>
              <w:numId w:val="31"/>
            </w:numPr>
            <w:ind w:left="993" w:hanging="993"/>
            <w:rPr>
              <w:lang w:eastAsia="en-US"/>
            </w:rPr>
          </w:pPr>
          <w:r>
            <w:rPr>
              <w:lang w:eastAsia="en-US"/>
            </w:rPr>
            <w:t xml:space="preserve">If we identify information that </w:t>
          </w:r>
          <w:r w:rsidR="002D055C">
            <w:rPr>
              <w:lang w:eastAsia="en-US"/>
            </w:rPr>
            <w:t>is not in the public interest</w:t>
          </w:r>
          <w:r w:rsidR="00C5237D">
            <w:rPr>
              <w:lang w:eastAsia="en-US"/>
            </w:rPr>
            <w:t xml:space="preserve"> to publish</w:t>
          </w:r>
          <w:r w:rsidR="00A31348">
            <w:rPr>
              <w:lang w:eastAsia="en-US"/>
            </w:rPr>
            <w:t>,</w:t>
          </w:r>
          <w:r w:rsidR="002D055C">
            <w:rPr>
              <w:lang w:eastAsia="en-US"/>
            </w:rPr>
            <w:t xml:space="preserve"> we may redact it from the report for publication.</w:t>
          </w:r>
        </w:p>
        <w:p w14:paraId="2E7F62A7" w14:textId="6375DBF5" w:rsidR="00295573" w:rsidRPr="00265271" w:rsidRDefault="003562C6" w:rsidP="00B759ED">
          <w:pPr>
            <w:pStyle w:val="Dash"/>
            <w:numPr>
              <w:ilvl w:val="0"/>
              <w:numId w:val="31"/>
            </w:numPr>
            <w:spacing w:before="160" w:after="160" w:line="259" w:lineRule="auto"/>
            <w:ind w:left="993" w:hanging="993"/>
            <w:rPr>
              <w:rFonts w:asciiTheme="minorHAnsi" w:hAnsiTheme="minorHAnsi" w:cstheme="minorHAnsi"/>
              <w:noProof/>
            </w:rPr>
          </w:pPr>
          <w:r>
            <w:rPr>
              <w:lang w:eastAsia="en-US"/>
            </w:rPr>
            <w:t>If we redact a report</w:t>
          </w:r>
          <w:r w:rsidR="00D37F14">
            <w:rPr>
              <w:lang w:eastAsia="en-US"/>
            </w:rPr>
            <w:t>,</w:t>
          </w:r>
          <w:r>
            <w:rPr>
              <w:lang w:eastAsia="en-US"/>
            </w:rPr>
            <w:t xml:space="preserve"> we will contact </w:t>
          </w:r>
          <w:r w:rsidR="00743613">
            <w:rPr>
              <w:lang w:eastAsia="en-US"/>
            </w:rPr>
            <w:t>the reporting entity</w:t>
          </w:r>
          <w:r>
            <w:rPr>
              <w:lang w:eastAsia="en-US"/>
            </w:rPr>
            <w:t xml:space="preserve"> and provide an opportunity to query our redaction or lodge a revised report</w:t>
          </w:r>
          <w:r w:rsidR="00C56ABD">
            <w:rPr>
              <w:lang w:eastAsia="en-US"/>
            </w:rPr>
            <w:t xml:space="preserve">. </w:t>
          </w:r>
          <w:r w:rsidR="00244ECF">
            <w:rPr>
              <w:lang w:eastAsia="en-US"/>
            </w:rPr>
            <w:t xml:space="preserve">This may occur after the report has been published to the </w:t>
          </w:r>
          <w:hyperlink r:id="rId23" w:history="1">
            <w:r w:rsidR="00F20BE1" w:rsidRPr="00F20BE1">
              <w:rPr>
                <w:rStyle w:val="Hyperlink"/>
                <w:lang w:eastAsia="en-US"/>
              </w:rPr>
              <w:t>P</w:t>
            </w:r>
            <w:r w:rsidR="00244ECF" w:rsidRPr="00F20BE1">
              <w:rPr>
                <w:rStyle w:val="Hyperlink"/>
                <w:lang w:eastAsia="en-US"/>
              </w:rPr>
              <w:t xml:space="preserve">ayment </w:t>
            </w:r>
            <w:r w:rsidR="00F20BE1" w:rsidRPr="00F20BE1">
              <w:rPr>
                <w:rStyle w:val="Hyperlink"/>
                <w:lang w:eastAsia="en-US"/>
              </w:rPr>
              <w:t>T</w:t>
            </w:r>
            <w:r w:rsidR="00244ECF" w:rsidRPr="00F20BE1">
              <w:rPr>
                <w:rStyle w:val="Hyperlink"/>
                <w:lang w:eastAsia="en-US"/>
              </w:rPr>
              <w:t xml:space="preserve">imes </w:t>
            </w:r>
            <w:r w:rsidR="00F20BE1" w:rsidRPr="00F20BE1">
              <w:rPr>
                <w:rStyle w:val="Hyperlink"/>
                <w:lang w:eastAsia="en-US"/>
              </w:rPr>
              <w:t>R</w:t>
            </w:r>
            <w:r w:rsidR="00244ECF" w:rsidRPr="00F20BE1">
              <w:rPr>
                <w:rStyle w:val="Hyperlink"/>
                <w:lang w:eastAsia="en-US"/>
              </w:rPr>
              <w:t>eport</w:t>
            </w:r>
            <w:r w:rsidR="008D7C62">
              <w:rPr>
                <w:rStyle w:val="Hyperlink"/>
                <w:lang w:eastAsia="en-US"/>
              </w:rPr>
              <w:t>s</w:t>
            </w:r>
            <w:r w:rsidR="00244ECF" w:rsidRPr="00F20BE1">
              <w:rPr>
                <w:rStyle w:val="Hyperlink"/>
                <w:lang w:eastAsia="en-US"/>
              </w:rPr>
              <w:t xml:space="preserve"> </w:t>
            </w:r>
            <w:r w:rsidR="00F20BE1" w:rsidRPr="00F20BE1">
              <w:rPr>
                <w:rStyle w:val="Hyperlink"/>
                <w:lang w:eastAsia="en-US"/>
              </w:rPr>
              <w:t>R</w:t>
            </w:r>
            <w:r w:rsidR="00244ECF" w:rsidRPr="00F20BE1">
              <w:rPr>
                <w:rStyle w:val="Hyperlink"/>
                <w:lang w:eastAsia="en-US"/>
              </w:rPr>
              <w:t>egister</w:t>
            </w:r>
          </w:hyperlink>
          <w:r w:rsidR="004111C6">
            <w:rPr>
              <w:lang w:eastAsia="en-US"/>
            </w:rPr>
            <w:t xml:space="preserve"> with redactions</w:t>
          </w:r>
          <w:r w:rsidR="00244ECF">
            <w:rPr>
              <w:lang w:eastAsia="en-US"/>
            </w:rPr>
            <w:t>.</w:t>
          </w:r>
        </w:p>
      </w:sdtContent>
    </w:sdt>
    <w:sectPr w:rsidR="00295573" w:rsidRPr="00265271" w:rsidSect="00CC1F26">
      <w:headerReference w:type="even" r:id="rId24"/>
      <w:headerReference w:type="default" r:id="rId25"/>
      <w:footerReference w:type="even" r:id="rId26"/>
      <w:footerReference w:type="default" r:id="rId27"/>
      <w:headerReference w:type="first" r:id="rId28"/>
      <w:pgSz w:w="11906" w:h="16838" w:code="9"/>
      <w:pgMar w:top="1560" w:right="1418" w:bottom="1418" w:left="1418" w:header="454"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866D" w14:textId="77777777" w:rsidR="00F57FB2" w:rsidRDefault="00F57FB2">
      <w:pPr>
        <w:spacing w:before="0" w:after="0"/>
      </w:pPr>
      <w:r>
        <w:separator/>
      </w:r>
    </w:p>
  </w:endnote>
  <w:endnote w:type="continuationSeparator" w:id="0">
    <w:p w14:paraId="3CBA1004" w14:textId="77777777" w:rsidR="00F57FB2" w:rsidRDefault="00F57FB2">
      <w:pPr>
        <w:spacing w:before="0" w:after="0"/>
      </w:pPr>
      <w:r>
        <w:continuationSeparator/>
      </w:r>
    </w:p>
  </w:endnote>
  <w:endnote w:type="continuationNotice" w:id="1">
    <w:p w14:paraId="6BED4F27" w14:textId="77777777" w:rsidR="00F57FB2" w:rsidRDefault="00F57F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2298" w14:textId="77777777" w:rsidR="00EF145E" w:rsidRPr="00E77C89" w:rsidRDefault="00EF145E" w:rsidP="00EE1447">
    <w:pPr>
      <w:pStyle w:val="FooterEven"/>
    </w:pPr>
    <w:r>
      <w:fldChar w:fldCharType="begin"/>
    </w:r>
    <w:r>
      <w:instrText xml:space="preserve"> PAGE  \* Arabic  \* MERGEFORMAT </w:instrText>
    </w:r>
    <w:r>
      <w:fldChar w:fldCharType="separate"/>
    </w:r>
    <w:r w:rsidR="00DC6379">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0" w:type="dxa"/>
      <w:tblLook w:val="04A0" w:firstRow="1" w:lastRow="0" w:firstColumn="1" w:lastColumn="0" w:noHBand="0" w:noVBand="1"/>
    </w:tblPr>
    <w:tblGrid>
      <w:gridCol w:w="2552"/>
      <w:gridCol w:w="3969"/>
      <w:gridCol w:w="2549"/>
    </w:tblGrid>
    <w:tr w:rsidR="00FF4C02" w:rsidRPr="00C35086" w14:paraId="562DA18C" w14:textId="77777777" w:rsidTr="00471445">
      <w:trPr>
        <w:trHeight w:val="574"/>
      </w:trPr>
      <w:tc>
        <w:tcPr>
          <w:tcW w:w="2552" w:type="dxa"/>
          <w:shd w:val="clear" w:color="auto" w:fill="auto"/>
          <w:vAlign w:val="center"/>
        </w:tcPr>
        <w:p w14:paraId="025E637E" w14:textId="77777777" w:rsidR="00FF4C02" w:rsidRPr="00C35086" w:rsidRDefault="00FF4C02" w:rsidP="00FF4C02">
          <w:pPr>
            <w:pStyle w:val="HeaderOdd"/>
            <w:tabs>
              <w:tab w:val="left" w:pos="0"/>
              <w:tab w:val="left" w:pos="2552"/>
            </w:tabs>
            <w:jc w:val="center"/>
            <w:rPr>
              <w:rFonts w:asciiTheme="minorHAnsi" w:hAnsiTheme="minorHAnsi" w:cstheme="minorHAnsi"/>
              <w:b w:val="0"/>
              <w:bCs/>
            </w:rPr>
          </w:pPr>
          <w:r>
            <w:rPr>
              <w:rFonts w:cstheme="minorHAnsi"/>
              <w:b w:val="0"/>
              <w:bCs/>
              <w:noProof/>
              <w:color w:val="FFFFFF" w:themeColor="background1"/>
            </w:rPr>
            <mc:AlternateContent>
              <mc:Choice Requires="wpg">
                <w:drawing>
                  <wp:anchor distT="0" distB="0" distL="114300" distR="114300" simplePos="0" relativeHeight="251667456" behindDoc="1" locked="0" layoutInCell="1" allowOverlap="1" wp14:anchorId="2F9B5E83" wp14:editId="76859B95">
                    <wp:simplePos x="0" y="0"/>
                    <wp:positionH relativeFrom="column">
                      <wp:posOffset>-231775</wp:posOffset>
                    </wp:positionH>
                    <wp:positionV relativeFrom="paragraph">
                      <wp:posOffset>-29210</wp:posOffset>
                    </wp:positionV>
                    <wp:extent cx="179705" cy="179705"/>
                    <wp:effectExtent l="0" t="0" r="10795" b="29845"/>
                    <wp:wrapTight wrapText="bothSides">
                      <wp:wrapPolygon edited="0">
                        <wp:start x="0" y="0"/>
                        <wp:lineTo x="0" y="20608"/>
                        <wp:lineTo x="6869" y="22898"/>
                        <wp:lineTo x="16028" y="22898"/>
                        <wp:lineTo x="20608" y="18318"/>
                        <wp:lineTo x="20608" y="0"/>
                        <wp:lineTo x="0" y="0"/>
                      </wp:wrapPolygon>
                    </wp:wrapTight>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9705" cy="179705"/>
                              <a:chOff x="141694" y="0"/>
                              <a:chExt cx="1368152" cy="1368152"/>
                            </a:xfrm>
                          </wpg:grpSpPr>
                          <wps:wsp>
                            <wps:cNvPr id="14" name="Oval 14"/>
                            <wps:cNvSpPr/>
                            <wps:spPr>
                              <a:xfrm>
                                <a:off x="141694" y="0"/>
                                <a:ext cx="1368152"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wps:cNvSpPr/>
                            <wps:spPr>
                              <a:xfrm>
                                <a:off x="429726" y="0"/>
                                <a:ext cx="792088" cy="1368152"/>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Straight Connector 16"/>
                            <wps:cNvCnPr/>
                            <wps:spPr>
                              <a:xfrm>
                                <a:off x="825770" y="0"/>
                                <a:ext cx="0" cy="1368152"/>
                              </a:xfrm>
                              <a:prstGeom prst="line">
                                <a:avLst/>
                              </a:prstGeom>
                              <a:ln w="12700">
                                <a:solidFill>
                                  <a:srgbClr val="B1F0CF"/>
                                </a:solidFil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rot="5400000">
                                <a:off x="490879" y="8923"/>
                                <a:ext cx="669790" cy="1368144"/>
                              </a:xfrm>
                              <a:prstGeom prst="ellipse">
                                <a:avLst/>
                              </a:prstGeom>
                              <a:noFill/>
                              <a:ln w="12700">
                                <a:solidFill>
                                  <a:srgbClr val="B1F0C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3133ADB" id="Group 13" o:spid="_x0000_s1026" style="position:absolute;margin-left:-18.25pt;margin-top:-2.3pt;width:14.15pt;height:14.15pt;z-index:-251649024;mso-width-relative:margin;mso-height-relative:margin" coordorigin="1416" coordsize="13681,1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">
                    <o:lock v:ext="edit" aspectratio="t"/>
                    <v:oval id="Oval 14" o:spid="_x0000_s1027" style="position:absolute;left:1416;width:13682;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w2GxAAAANsAAAAPAAAAZHJzL2Rvd25yZXYueG1sRE89b8Iw&#10;EN0r9T9YV6lbcaAV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DgbDYbEAAAA2wAAAA8A&#10;AAAAAAAAAAAAAAAABwIAAGRycy9kb3ducmV2LnhtbFBLBQYAAAAAAwADALcAAAD4AgAAAAA=&#10;" filled="f" strokecolor="#b1f0cf" strokeweight="1pt"/>
                    <v:oval id="Oval 15" o:spid="_x0000_s1028" style="position:absolute;left:4297;width:7921;height:13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" filled="f" strokecolor="#b1f0cf" strokeweight="1pt"/>
                    <v:line id="Straight Connector 16" o:spid="_x0000_s1029" style="position:absolute;visibility:visible;mso-wrap-style:square" from="8257,0" to="8257,1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" strokecolor="#b1f0cf" strokeweight="1pt"/>
                    <v:oval id="Oval 17" o:spid="_x0000_s1030" style="position:absolute;left:4909;top:89;width:6697;height:136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" filled="f" strokecolor="#b1f0cf" strokeweight="1pt"/>
                    <w10:wrap type="tight"/>
                  </v:group>
                </w:pict>
              </mc:Fallback>
            </mc:AlternateContent>
          </w:r>
          <w:r w:rsidRPr="00C35086">
            <w:rPr>
              <w:rFonts w:asciiTheme="minorHAnsi" w:hAnsiTheme="minorHAnsi" w:cstheme="minorHAnsi"/>
              <w:b w:val="0"/>
              <w:bCs/>
              <w:color w:val="FFFFFF" w:themeColor="background1"/>
            </w:rPr>
            <w:t>paymenttimes.gov.au</w:t>
          </w:r>
        </w:p>
      </w:tc>
      <w:tc>
        <w:tcPr>
          <w:tcW w:w="3969" w:type="dxa"/>
          <w:shd w:val="clear" w:color="auto" w:fill="auto"/>
          <w:vAlign w:val="center"/>
        </w:tcPr>
        <w:p w14:paraId="7A1B8B46" w14:textId="77777777" w:rsidR="00FF4C02" w:rsidRPr="00C35086" w:rsidRDefault="00FF4C02" w:rsidP="00FF4C02">
          <w:pPr>
            <w:pStyle w:val="HeaderOdd"/>
            <w:tabs>
              <w:tab w:val="left" w:pos="0"/>
              <w:tab w:val="left" w:pos="2552"/>
            </w:tabs>
            <w:jc w:val="center"/>
            <w:rPr>
              <w:rFonts w:asciiTheme="minorHAnsi" w:hAnsiTheme="minorHAnsi" w:cstheme="minorHAnsi"/>
            </w:rPr>
          </w:pPr>
          <w:r w:rsidRPr="00C35086">
            <w:rPr>
              <w:rFonts w:cstheme="minorHAnsi"/>
              <w:b w:val="0"/>
              <w:bCs/>
              <w:noProof/>
              <w:color w:val="FFFFFF" w:themeColor="background1"/>
            </w:rPr>
            <w:drawing>
              <wp:anchor distT="0" distB="0" distL="114300" distR="114300" simplePos="0" relativeHeight="251666432" behindDoc="1" locked="0" layoutInCell="1" allowOverlap="1" wp14:anchorId="7EAE94B7" wp14:editId="0A8C3EC6">
                <wp:simplePos x="0" y="0"/>
                <wp:positionH relativeFrom="column">
                  <wp:posOffset>360680</wp:posOffset>
                </wp:positionH>
                <wp:positionV relativeFrom="paragraph">
                  <wp:posOffset>-62865</wp:posOffset>
                </wp:positionV>
                <wp:extent cx="194310" cy="194310"/>
                <wp:effectExtent l="0" t="0" r="0" b="0"/>
                <wp:wrapThrough wrapText="bothSides">
                  <wp:wrapPolygon edited="0">
                    <wp:start x="0" y="0"/>
                    <wp:lineTo x="0" y="19059"/>
                    <wp:lineTo x="19059" y="19059"/>
                    <wp:lineTo x="19059" y="0"/>
                    <wp:lineTo x="0" y="0"/>
                  </wp:wrapPolygon>
                </wp:wrapThrough>
                <wp:docPr id="2" name="Graphic 2"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Envelope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Pr="00C35086">
            <w:rPr>
              <w:rFonts w:asciiTheme="minorHAnsi" w:hAnsiTheme="minorHAnsi" w:cstheme="minorHAnsi"/>
              <w:b w:val="0"/>
              <w:bCs/>
              <w:color w:val="FFFFFF" w:themeColor="background1"/>
            </w:rPr>
            <w:t>support@paymenttimes.gov.au</w:t>
          </w:r>
        </w:p>
      </w:tc>
      <w:tc>
        <w:tcPr>
          <w:tcW w:w="2549" w:type="dxa"/>
          <w:shd w:val="clear" w:color="auto" w:fill="auto"/>
          <w:vAlign w:val="center"/>
        </w:tcPr>
        <w:p w14:paraId="0DBAE69C" w14:textId="77777777" w:rsidR="00FF4C02" w:rsidRPr="00C35086" w:rsidRDefault="00FF4C02" w:rsidP="00FF4C02">
          <w:pPr>
            <w:pStyle w:val="HeaderOdd"/>
            <w:tabs>
              <w:tab w:val="left" w:pos="0"/>
            </w:tabs>
            <w:rPr>
              <w:rFonts w:asciiTheme="minorHAnsi" w:hAnsiTheme="minorHAnsi" w:cstheme="minorHAnsi"/>
            </w:rPr>
          </w:pPr>
          <w:r w:rsidRPr="00BB5F59">
            <w:rPr>
              <w:rFonts w:asciiTheme="minorHAnsi" w:hAnsiTheme="minorHAnsi" w:cstheme="minorHAnsi"/>
              <w:b w:val="0"/>
              <w:bCs/>
              <w:color w:val="FFFFFF" w:themeColor="background1"/>
            </w:rPr>
            <w:t>Page</w:t>
          </w:r>
          <w:r w:rsidRPr="00BB5F59">
            <w:rPr>
              <w:rFonts w:asciiTheme="minorHAnsi" w:hAnsiTheme="minorHAnsi" w:cstheme="minorHAnsi"/>
              <w:color w:val="FFFFFF" w:themeColor="background1"/>
            </w:rPr>
            <w:t xml:space="preserve"> </w:t>
          </w:r>
          <w:r w:rsidRPr="00BB5F59">
            <w:rPr>
              <w:rFonts w:cstheme="minorHAnsi"/>
              <w:color w:val="FFFFFF" w:themeColor="background1"/>
              <w:sz w:val="24"/>
              <w:szCs w:val="24"/>
            </w:rPr>
            <w:fldChar w:fldCharType="begin"/>
          </w:r>
          <w:r w:rsidRPr="00BB5F59">
            <w:rPr>
              <w:rFonts w:asciiTheme="minorHAnsi" w:hAnsiTheme="minorHAnsi" w:cstheme="minorHAnsi"/>
              <w:color w:val="FFFFFF" w:themeColor="background1"/>
            </w:rPr>
            <w:instrText xml:space="preserve"> PAGE </w:instrText>
          </w:r>
          <w:r w:rsidRPr="00BB5F59">
            <w:rPr>
              <w:rFonts w:cstheme="minorHAnsi"/>
              <w:color w:val="FFFFFF" w:themeColor="background1"/>
              <w:sz w:val="24"/>
              <w:szCs w:val="24"/>
            </w:rPr>
            <w:fldChar w:fldCharType="separate"/>
          </w:r>
          <w:r w:rsidRPr="00BB5F59">
            <w:rPr>
              <w:rFonts w:asciiTheme="minorHAnsi" w:hAnsiTheme="minorHAnsi" w:cstheme="minorHAnsi"/>
              <w:color w:val="FFFFFF" w:themeColor="background1"/>
              <w:sz w:val="24"/>
              <w:szCs w:val="24"/>
            </w:rPr>
            <w:t>2</w:t>
          </w:r>
          <w:r w:rsidRPr="00BB5F59">
            <w:rPr>
              <w:rFonts w:cstheme="minorHAnsi"/>
              <w:color w:val="FFFFFF" w:themeColor="background1"/>
              <w:sz w:val="24"/>
              <w:szCs w:val="24"/>
            </w:rPr>
            <w:fldChar w:fldCharType="end"/>
          </w:r>
          <w:r w:rsidRPr="00BB5F59">
            <w:rPr>
              <w:rFonts w:asciiTheme="minorHAnsi" w:hAnsiTheme="minorHAnsi" w:cstheme="minorHAnsi"/>
              <w:color w:val="FFFFFF" w:themeColor="background1"/>
            </w:rPr>
            <w:t xml:space="preserve"> </w:t>
          </w:r>
          <w:r w:rsidRPr="00BB5F59">
            <w:rPr>
              <w:rFonts w:asciiTheme="minorHAnsi" w:hAnsiTheme="minorHAnsi" w:cstheme="minorHAnsi"/>
              <w:b w:val="0"/>
              <w:bCs/>
              <w:color w:val="FFFFFF" w:themeColor="background1"/>
            </w:rPr>
            <w:t xml:space="preserve">of </w:t>
          </w:r>
          <w:r w:rsidRPr="00BB5F59">
            <w:rPr>
              <w:rFonts w:cstheme="minorHAnsi"/>
              <w:color w:val="FFFFFF" w:themeColor="background1"/>
            </w:rPr>
            <w:fldChar w:fldCharType="begin"/>
          </w:r>
          <w:r w:rsidRPr="00BB5F59">
            <w:rPr>
              <w:rFonts w:asciiTheme="minorHAnsi" w:hAnsiTheme="minorHAnsi" w:cstheme="minorHAnsi"/>
              <w:color w:val="FFFFFF" w:themeColor="background1"/>
            </w:rPr>
            <w:instrText xml:space="preserve"> NUMPAGES  </w:instrText>
          </w:r>
          <w:r w:rsidRPr="00BB5F59">
            <w:rPr>
              <w:rFonts w:cstheme="minorHAnsi"/>
              <w:color w:val="FFFFFF" w:themeColor="background1"/>
            </w:rPr>
            <w:fldChar w:fldCharType="separate"/>
          </w:r>
          <w:r w:rsidRPr="00BB5F59">
            <w:rPr>
              <w:rFonts w:asciiTheme="minorHAnsi" w:hAnsiTheme="minorHAnsi" w:cstheme="minorHAnsi"/>
              <w:color w:val="FFFFFF" w:themeColor="background1"/>
              <w:sz w:val="24"/>
              <w:szCs w:val="24"/>
            </w:rPr>
            <w:t>7</w:t>
          </w:r>
          <w:r w:rsidRPr="00BB5F59">
            <w:rPr>
              <w:rFonts w:cstheme="minorHAnsi"/>
              <w:color w:val="FFFFFF" w:themeColor="background1"/>
              <w:sz w:val="24"/>
              <w:szCs w:val="24"/>
            </w:rPr>
            <w:fldChar w:fldCharType="end"/>
          </w:r>
        </w:p>
      </w:tc>
    </w:tr>
  </w:tbl>
  <w:p w14:paraId="36F19716" w14:textId="3B408C7D" w:rsidR="003A6AFC" w:rsidRDefault="00FF4C02" w:rsidP="008F6A18">
    <w:pPr>
      <w:pStyle w:val="Footer"/>
      <w:tabs>
        <w:tab w:val="clear" w:pos="4513"/>
        <w:tab w:val="center" w:pos="8931"/>
        <w:tab w:val="left" w:pos="9026"/>
      </w:tabs>
      <w:jc w:val="left"/>
    </w:pPr>
    <w:r w:rsidRPr="000E4466">
      <w:rPr>
        <w:b/>
        <w:bCs/>
        <w:noProof/>
        <w:color w:val="FFFFFF" w:themeColor="background1"/>
      </w:rPr>
      <w:drawing>
        <wp:anchor distT="0" distB="0" distL="114300" distR="114300" simplePos="0" relativeHeight="251664384" behindDoc="1" locked="0" layoutInCell="1" allowOverlap="1" wp14:anchorId="365A7153" wp14:editId="1F679528">
          <wp:simplePos x="0" y="0"/>
          <wp:positionH relativeFrom="page">
            <wp:posOffset>-7315</wp:posOffset>
          </wp:positionH>
          <wp:positionV relativeFrom="paragraph">
            <wp:posOffset>-468630</wp:posOffset>
          </wp:positionV>
          <wp:extent cx="7562875" cy="973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62875" cy="973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6548B" w14:textId="77777777" w:rsidR="00F57FB2" w:rsidRDefault="00F57FB2">
      <w:pPr>
        <w:spacing w:before="0" w:after="0"/>
      </w:pPr>
      <w:r>
        <w:separator/>
      </w:r>
    </w:p>
  </w:footnote>
  <w:footnote w:type="continuationSeparator" w:id="0">
    <w:p w14:paraId="6D8949E4" w14:textId="77777777" w:rsidR="00F57FB2" w:rsidRDefault="00F57FB2">
      <w:pPr>
        <w:spacing w:before="0" w:after="0"/>
      </w:pPr>
      <w:r>
        <w:continuationSeparator/>
      </w:r>
    </w:p>
  </w:footnote>
  <w:footnote w:type="continuationNotice" w:id="1">
    <w:p w14:paraId="4B4DF697" w14:textId="77777777" w:rsidR="00F57FB2" w:rsidRDefault="00F57FB2">
      <w:pPr>
        <w:spacing w:before="0" w:after="0"/>
      </w:pPr>
    </w:p>
  </w:footnote>
  <w:footnote w:id="2">
    <w:p w14:paraId="1DA30D17" w14:textId="2E99CCCE" w:rsidR="00F75150" w:rsidRDefault="00F75150">
      <w:pPr>
        <w:pStyle w:val="FootnoteText"/>
      </w:pPr>
      <w:r>
        <w:rPr>
          <w:rStyle w:val="FootnoteReference"/>
        </w:rPr>
        <w:footnoteRef/>
      </w:r>
      <w:r>
        <w:t xml:space="preserve"> </w:t>
      </w:r>
      <w:r w:rsidR="000B30A4" w:rsidRPr="007F5EA0">
        <w:rPr>
          <w:i/>
          <w:iCs/>
        </w:rPr>
        <w:t>Payment Times Reporting Act 2020</w:t>
      </w:r>
      <w:r w:rsidR="000B30A4">
        <w:t xml:space="preserve"> </w:t>
      </w:r>
      <w:r w:rsidR="009C49F6">
        <w:t>(Cth) s 5</w:t>
      </w:r>
    </w:p>
  </w:footnote>
  <w:footnote w:id="3">
    <w:p w14:paraId="2E9AC1F6" w14:textId="7ACE5897" w:rsidR="00A50BDE" w:rsidRDefault="00A50BDE">
      <w:pPr>
        <w:pStyle w:val="FootnoteText"/>
      </w:pPr>
      <w:r>
        <w:rPr>
          <w:rStyle w:val="FootnoteReference"/>
        </w:rPr>
        <w:footnoteRef/>
      </w:r>
      <w:r>
        <w:t xml:space="preserve"> </w:t>
      </w:r>
      <w:r w:rsidR="0074009D" w:rsidRPr="007F5EA0">
        <w:rPr>
          <w:i/>
          <w:iCs/>
        </w:rPr>
        <w:t>Payment Times Reporting Act 2020</w:t>
      </w:r>
      <w:r w:rsidR="0074009D">
        <w:t xml:space="preserve"> (Cth) s </w:t>
      </w:r>
      <w:r>
        <w:t>29(1)</w:t>
      </w:r>
    </w:p>
  </w:footnote>
  <w:footnote w:id="4">
    <w:p w14:paraId="16DF869D" w14:textId="1DB58AC6" w:rsidR="00A50BDE" w:rsidRDefault="00A50BDE">
      <w:pPr>
        <w:pStyle w:val="FootnoteText"/>
      </w:pPr>
      <w:r>
        <w:rPr>
          <w:rStyle w:val="FootnoteReference"/>
        </w:rPr>
        <w:footnoteRef/>
      </w:r>
      <w:r>
        <w:t xml:space="preserve"> </w:t>
      </w:r>
      <w:r w:rsidR="00B6359E" w:rsidRPr="003E5CE2">
        <w:rPr>
          <w:i/>
          <w:iCs/>
        </w:rPr>
        <w:t>Payment Times Reporting Act 2020</w:t>
      </w:r>
      <w:r w:rsidR="00B6359E">
        <w:t xml:space="preserve"> (Cth) s </w:t>
      </w:r>
      <w:r>
        <w:t>29(2)</w:t>
      </w:r>
    </w:p>
  </w:footnote>
  <w:footnote w:id="5">
    <w:p w14:paraId="50A0B00B" w14:textId="765D9992" w:rsidR="00F824F9" w:rsidRDefault="00F824F9">
      <w:pPr>
        <w:pStyle w:val="FootnoteText"/>
      </w:pPr>
      <w:r>
        <w:rPr>
          <w:rStyle w:val="FootnoteReference"/>
        </w:rPr>
        <w:footnoteRef/>
      </w:r>
      <w:r>
        <w:t xml:space="preserve"> </w:t>
      </w:r>
      <w:r w:rsidRPr="006D617B">
        <w:t>Payment Times Reporting (Form and Manner for Giving Report) Instrument 2021</w:t>
      </w:r>
    </w:p>
  </w:footnote>
  <w:footnote w:id="6">
    <w:p w14:paraId="10257DCD" w14:textId="58B2F755" w:rsidR="00F117A2" w:rsidRDefault="00F117A2">
      <w:pPr>
        <w:pStyle w:val="FootnoteText"/>
      </w:pPr>
      <w:r>
        <w:rPr>
          <w:rStyle w:val="FootnoteReference"/>
        </w:rPr>
        <w:footnoteRef/>
      </w:r>
      <w:r w:rsidR="00D52AD3">
        <w:t xml:space="preserve"> </w:t>
      </w:r>
      <w:r w:rsidR="00D52AD3" w:rsidRPr="006F7D25">
        <w:t>Payment Times Reporting</w:t>
      </w:r>
      <w:r w:rsidRPr="006F7D25">
        <w:t xml:space="preserve"> Rule</w:t>
      </w:r>
      <w:r w:rsidR="00D52AD3" w:rsidRPr="006F7D25">
        <w:t>s</w:t>
      </w:r>
      <w:r w:rsidR="00915110" w:rsidRPr="006F7D25">
        <w:t xml:space="preserve"> </w:t>
      </w:r>
      <w:r w:rsidR="00D52AD3" w:rsidRPr="006F7D25">
        <w:t>2020</w:t>
      </w:r>
      <w:r w:rsidR="00D52AD3">
        <w:t xml:space="preserve"> (Cth) s</w:t>
      </w:r>
      <w:r>
        <w:t xml:space="preserve"> 9(g)</w:t>
      </w:r>
    </w:p>
  </w:footnote>
  <w:footnote w:id="7">
    <w:p w14:paraId="47C862F3" w14:textId="57D01BF0" w:rsidR="0076122C" w:rsidRDefault="0076122C">
      <w:pPr>
        <w:pStyle w:val="FootnoteText"/>
      </w:pPr>
      <w:r>
        <w:rPr>
          <w:rStyle w:val="FootnoteReference"/>
        </w:rPr>
        <w:footnoteRef/>
      </w:r>
      <w:r>
        <w:t xml:space="preserve"> </w:t>
      </w:r>
      <w:r w:rsidR="00D52AD3" w:rsidRPr="003E5CE2">
        <w:rPr>
          <w:i/>
          <w:iCs/>
        </w:rPr>
        <w:t>Payment Times Reporting Act 2020</w:t>
      </w:r>
      <w:r w:rsidR="00D52AD3">
        <w:t xml:space="preserve"> (Cth) s </w:t>
      </w:r>
      <w:r w:rsidR="00081CB6">
        <w:t>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75C6" w14:textId="595BD600" w:rsidR="00EF145E" w:rsidRPr="001F3912" w:rsidRDefault="006079BC" w:rsidP="00A12F62">
    <w:pPr>
      <w:pStyle w:val="HeaderEven"/>
    </w:pPr>
    <w:r>
      <w:rPr>
        <w:b/>
        <w:bCs/>
        <w:noProof/>
        <w:lang w:val="en-US"/>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3144" w14:textId="4F57C696" w:rsidR="00EF145E" w:rsidRPr="001F3912" w:rsidRDefault="00FF4C02" w:rsidP="00A12F62">
    <w:pPr>
      <w:pStyle w:val="HeaderOdd"/>
    </w:pPr>
    <w:r w:rsidRPr="000E4466">
      <w:rPr>
        <w:b w:val="0"/>
        <w:bCs/>
        <w:noProof/>
        <w:color w:val="FFFFFF" w:themeColor="background1"/>
      </w:rPr>
      <w:drawing>
        <wp:anchor distT="0" distB="0" distL="114300" distR="114300" simplePos="0" relativeHeight="251662336" behindDoc="1" locked="0" layoutInCell="1" allowOverlap="1" wp14:anchorId="40F45771" wp14:editId="2C61EB8B">
          <wp:simplePos x="0" y="0"/>
          <wp:positionH relativeFrom="page">
            <wp:align>left</wp:align>
          </wp:positionH>
          <wp:positionV relativeFrom="paragraph">
            <wp:posOffset>-285928</wp:posOffset>
          </wp:positionV>
          <wp:extent cx="7559604" cy="85661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59604" cy="856615"/>
                  </a:xfrm>
                  <a:prstGeom prst="rect">
                    <a:avLst/>
                  </a:prstGeom>
                </pic:spPr>
              </pic:pic>
            </a:graphicData>
          </a:graphic>
          <wp14:sizeRelH relativeFrom="page">
            <wp14:pctWidth>0</wp14:pctWidth>
          </wp14:sizeRelH>
          <wp14:sizeRelV relativeFrom="page">
            <wp14:pctHeight>0</wp14:pctHeight>
          </wp14:sizeRelV>
        </wp:anchor>
      </w:drawing>
    </w:r>
    <w:r w:rsidR="00636E60">
      <w:rPr>
        <w:b w:val="0"/>
        <w:bCs/>
        <w:color w:val="FFFFFF" w:themeColor="background1"/>
      </w:rPr>
      <w:t>Payment Times Reporting Regulator</w:t>
    </w:r>
    <w:r>
      <w:rPr>
        <w:b w:val="0"/>
        <w:bCs/>
        <w:color w:val="FFFFFF" w:themeColor="background1"/>
      </w:rPr>
      <w:t xml:space="preserve"> | </w:t>
    </w:r>
    <w:r w:rsidRPr="00D11760">
      <w:rPr>
        <w:color w:val="FFFFFF" w:themeColor="background1"/>
      </w:rPr>
      <w:t xml:space="preserve">Guidance </w:t>
    </w:r>
    <w:r w:rsidR="00391BE4">
      <w:rPr>
        <w:color w:val="FFFFFF" w:themeColor="background1"/>
      </w:rPr>
      <w:t>n</w:t>
    </w:r>
    <w:r w:rsidRPr="00D11760">
      <w:rPr>
        <w:color w:val="FFFFFF" w:themeColor="background1"/>
      </w:rPr>
      <w:t xml:space="preserve">ote </w:t>
    </w:r>
    <w:r w:rsidR="00D11760" w:rsidRPr="00D11760">
      <w:rPr>
        <w:color w:val="FFFFFF" w:themeColor="background1"/>
      </w:rPr>
      <w:t xml:space="preserve">2: Preparing a payment </w:t>
    </w:r>
    <w:proofErr w:type="gramStart"/>
    <w:r w:rsidR="00D11760" w:rsidRPr="00D11760">
      <w:rPr>
        <w:color w:val="FFFFFF" w:themeColor="background1"/>
      </w:rPr>
      <w:t>times</w:t>
    </w:r>
    <w:proofErr w:type="gramEnd"/>
    <w:r w:rsidR="00D11760" w:rsidRPr="00D11760">
      <w:rPr>
        <w:color w:val="FFFFFF" w:themeColor="background1"/>
      </w:rPr>
      <w:t xml:space="preserve"> report</w:t>
    </w:r>
    <w:r w:rsidR="00CC1F26">
      <w:rPr>
        <w:color w:val="FFFFFF" w:themeColor="background1"/>
      </w:rPr>
      <w:t xml:space="preserve"> </w:t>
    </w:r>
    <w:r w:rsidR="00CC1F26" w:rsidRPr="00CC1F26">
      <w:rPr>
        <w:color w:val="FF000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EB9F" w14:textId="3B92BB11" w:rsidR="006C6B90" w:rsidRDefault="00FF4C02">
    <w:pPr>
      <w:pStyle w:val="Header"/>
    </w:pPr>
    <w:r>
      <w:rPr>
        <w:noProof/>
      </w:rPr>
      <w:drawing>
        <wp:anchor distT="0" distB="0" distL="114300" distR="114300" simplePos="0" relativeHeight="251660288" behindDoc="1" locked="0" layoutInCell="1" allowOverlap="1" wp14:anchorId="071F43B6" wp14:editId="5C4A66D1">
          <wp:simplePos x="0" y="0"/>
          <wp:positionH relativeFrom="page">
            <wp:posOffset>4115</wp:posOffset>
          </wp:positionH>
          <wp:positionV relativeFrom="paragraph">
            <wp:posOffset>-285750</wp:posOffset>
          </wp:positionV>
          <wp:extent cx="7549200" cy="2736000"/>
          <wp:effectExtent l="0" t="0" r="0" b="762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9200" cy="273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134"/>
    <w:multiLevelType w:val="hybridMultilevel"/>
    <w:tmpl w:val="0278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86452"/>
    <w:multiLevelType w:val="hybridMultilevel"/>
    <w:tmpl w:val="EEFAAD9E"/>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B669F2"/>
    <w:multiLevelType w:val="multilevel"/>
    <w:tmpl w:val="06C64CB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60F2986"/>
    <w:multiLevelType w:val="hybridMultilevel"/>
    <w:tmpl w:val="7E30985C"/>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08BF350F"/>
    <w:multiLevelType w:val="hybridMultilevel"/>
    <w:tmpl w:val="9B023EA4"/>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75067F"/>
    <w:multiLevelType w:val="hybridMultilevel"/>
    <w:tmpl w:val="D19616F6"/>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0F5564"/>
    <w:multiLevelType w:val="hybridMultilevel"/>
    <w:tmpl w:val="47A2A99A"/>
    <w:lvl w:ilvl="0" w:tplc="D5D85496">
      <w:start w:val="1"/>
      <w:numFmt w:val="bullet"/>
      <w:lvlText w:val=""/>
      <w:lvlJc w:val="left"/>
      <w:pPr>
        <w:ind w:left="1440" w:hanging="360"/>
      </w:pPr>
      <w:rPr>
        <w:rFonts w:ascii="Symbol" w:hAnsi="Symbol" w:hint="default"/>
        <w:color w:val="465976"/>
        <w:u w:color="719CD1"/>
      </w:rPr>
    </w:lvl>
    <w:lvl w:ilvl="1" w:tplc="B1604092">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8E24A5"/>
    <w:multiLevelType w:val="hybridMultilevel"/>
    <w:tmpl w:val="26F8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D36D62"/>
    <w:multiLevelType w:val="hybridMultilevel"/>
    <w:tmpl w:val="E46A5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A64299"/>
    <w:multiLevelType w:val="hybridMultilevel"/>
    <w:tmpl w:val="4038F0E0"/>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AB7979"/>
    <w:multiLevelType w:val="multilevel"/>
    <w:tmpl w:val="F62A532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Symbol" w:hAnsi="Symbol"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16CC4E5D"/>
    <w:multiLevelType w:val="multilevel"/>
    <w:tmpl w:val="D10E9CF6"/>
    <w:numStyleLink w:val="OneLevelList"/>
  </w:abstractNum>
  <w:abstractNum w:abstractNumId="15"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23740"/>
    <w:multiLevelType w:val="hybridMultilevel"/>
    <w:tmpl w:val="7E1ED484"/>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FE0181"/>
    <w:multiLevelType w:val="hybridMultilevel"/>
    <w:tmpl w:val="B70CFECA"/>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48731F"/>
    <w:multiLevelType w:val="hybridMultilevel"/>
    <w:tmpl w:val="712ACF7C"/>
    <w:lvl w:ilvl="0" w:tplc="6B04FC8E">
      <w:start w:val="1"/>
      <w:numFmt w:val="bullet"/>
      <w:lvlText w:val="·"/>
      <w:lvlJc w:val="left"/>
      <w:pPr>
        <w:ind w:left="720" w:hanging="360"/>
      </w:pPr>
      <w:rPr>
        <w:rFonts w:ascii="Symbol" w:hAnsi="Symbol" w:hint="default"/>
      </w:rPr>
    </w:lvl>
    <w:lvl w:ilvl="1" w:tplc="7BDE8658">
      <w:start w:val="1"/>
      <w:numFmt w:val="bullet"/>
      <w:lvlText w:val="o"/>
      <w:lvlJc w:val="left"/>
      <w:pPr>
        <w:ind w:left="1440" w:hanging="360"/>
      </w:pPr>
      <w:rPr>
        <w:rFonts w:ascii="Courier New" w:hAnsi="Courier New" w:hint="default"/>
      </w:rPr>
    </w:lvl>
    <w:lvl w:ilvl="2" w:tplc="72BACB62">
      <w:start w:val="1"/>
      <w:numFmt w:val="bullet"/>
      <w:lvlText w:val=""/>
      <w:lvlJc w:val="left"/>
      <w:pPr>
        <w:ind w:left="2160" w:hanging="360"/>
      </w:pPr>
      <w:rPr>
        <w:rFonts w:ascii="Wingdings" w:hAnsi="Wingdings" w:hint="default"/>
      </w:rPr>
    </w:lvl>
    <w:lvl w:ilvl="3" w:tplc="0E38CCB8">
      <w:start w:val="1"/>
      <w:numFmt w:val="bullet"/>
      <w:lvlText w:val=""/>
      <w:lvlJc w:val="left"/>
      <w:pPr>
        <w:ind w:left="2880" w:hanging="360"/>
      </w:pPr>
      <w:rPr>
        <w:rFonts w:ascii="Symbol" w:hAnsi="Symbol" w:hint="default"/>
      </w:rPr>
    </w:lvl>
    <w:lvl w:ilvl="4" w:tplc="36304B36">
      <w:start w:val="1"/>
      <w:numFmt w:val="bullet"/>
      <w:lvlText w:val="o"/>
      <w:lvlJc w:val="left"/>
      <w:pPr>
        <w:ind w:left="3600" w:hanging="360"/>
      </w:pPr>
      <w:rPr>
        <w:rFonts w:ascii="Courier New" w:hAnsi="Courier New" w:hint="default"/>
      </w:rPr>
    </w:lvl>
    <w:lvl w:ilvl="5" w:tplc="B68A74FC">
      <w:start w:val="1"/>
      <w:numFmt w:val="bullet"/>
      <w:lvlText w:val=""/>
      <w:lvlJc w:val="left"/>
      <w:pPr>
        <w:ind w:left="4320" w:hanging="360"/>
      </w:pPr>
      <w:rPr>
        <w:rFonts w:ascii="Wingdings" w:hAnsi="Wingdings" w:hint="default"/>
      </w:rPr>
    </w:lvl>
    <w:lvl w:ilvl="6" w:tplc="4FC83386">
      <w:start w:val="1"/>
      <w:numFmt w:val="bullet"/>
      <w:lvlText w:val=""/>
      <w:lvlJc w:val="left"/>
      <w:pPr>
        <w:ind w:left="5040" w:hanging="360"/>
      </w:pPr>
      <w:rPr>
        <w:rFonts w:ascii="Symbol" w:hAnsi="Symbol" w:hint="default"/>
      </w:rPr>
    </w:lvl>
    <w:lvl w:ilvl="7" w:tplc="0672BF68">
      <w:start w:val="1"/>
      <w:numFmt w:val="bullet"/>
      <w:lvlText w:val="o"/>
      <w:lvlJc w:val="left"/>
      <w:pPr>
        <w:ind w:left="5760" w:hanging="360"/>
      </w:pPr>
      <w:rPr>
        <w:rFonts w:ascii="Courier New" w:hAnsi="Courier New" w:hint="default"/>
      </w:rPr>
    </w:lvl>
    <w:lvl w:ilvl="8" w:tplc="A0820EE8">
      <w:start w:val="1"/>
      <w:numFmt w:val="bullet"/>
      <w:lvlText w:val=""/>
      <w:lvlJc w:val="left"/>
      <w:pPr>
        <w:ind w:left="6480" w:hanging="360"/>
      </w:pPr>
      <w:rPr>
        <w:rFonts w:ascii="Wingdings" w:hAnsi="Wingdings" w:hint="default"/>
      </w:rPr>
    </w:lvl>
  </w:abstractNum>
  <w:abstractNum w:abstractNumId="21"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0B67008"/>
    <w:multiLevelType w:val="multilevel"/>
    <w:tmpl w:val="A9A8226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25798B"/>
    <w:multiLevelType w:val="hybridMultilevel"/>
    <w:tmpl w:val="13E23A28"/>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D479BC"/>
    <w:multiLevelType w:val="hybridMultilevel"/>
    <w:tmpl w:val="C494FDFA"/>
    <w:lvl w:ilvl="0" w:tplc="9CBA000E">
      <w:start w:val="1"/>
      <w:numFmt w:val="bullet"/>
      <w:lvlText w:val="•"/>
      <w:lvlJc w:val="left"/>
      <w:pPr>
        <w:ind w:left="927" w:hanging="360"/>
      </w:pPr>
      <w:rPr>
        <w:rFonts w:ascii="Courier New" w:hAnsi="Courier New" w:hint="default"/>
        <w:color w:val="5C759A"/>
        <w:sz w:val="22"/>
        <w:u w:color="719CD1"/>
      </w:rPr>
    </w:lvl>
    <w:lvl w:ilvl="1" w:tplc="B1604092">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5356D63"/>
    <w:multiLevelType w:val="hybridMultilevel"/>
    <w:tmpl w:val="E46A5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0B7DAF"/>
    <w:multiLevelType w:val="hybridMultilevel"/>
    <w:tmpl w:val="E89E7FC2"/>
    <w:lvl w:ilvl="0" w:tplc="2A78AF70">
      <w:start w:val="1"/>
      <w:numFmt w:val="decimal"/>
      <w:lvlText w:val="%1"/>
      <w:lvlJc w:val="left"/>
      <w:pPr>
        <w:ind w:left="1778"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6DE2FA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BA11C7"/>
    <w:multiLevelType w:val="hybridMultilevel"/>
    <w:tmpl w:val="9134E22A"/>
    <w:lvl w:ilvl="0" w:tplc="9CBA000E">
      <w:start w:val="1"/>
      <w:numFmt w:val="bullet"/>
      <w:pStyle w:val="ListParagraph"/>
      <w:lvlText w:val="•"/>
      <w:lvlJc w:val="left"/>
      <w:pPr>
        <w:ind w:left="927" w:hanging="360"/>
      </w:pPr>
      <w:rPr>
        <w:rFonts w:ascii="Courier New" w:hAnsi="Courier New" w:hint="default"/>
        <w:color w:val="5C759A"/>
        <w:sz w:val="22"/>
        <w:u w:color="719CD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B9E4CF8"/>
    <w:multiLevelType w:val="hybridMultilevel"/>
    <w:tmpl w:val="E46A5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D41BDC"/>
    <w:multiLevelType w:val="hybridMultilevel"/>
    <w:tmpl w:val="F28475B4"/>
    <w:lvl w:ilvl="0" w:tplc="B1604092">
      <w:start w:val="1"/>
      <w:numFmt w:val="bullet"/>
      <w:lvlText w:val=""/>
      <w:lvlJc w:val="left"/>
      <w:pPr>
        <w:ind w:left="360" w:hanging="360"/>
      </w:pPr>
      <w:rPr>
        <w:rFonts w:ascii="Symbol" w:hAnsi="Symbol" w:hint="default"/>
        <w:color w:val="465976"/>
        <w:sz w:val="22"/>
        <w:u w:color="719CD1"/>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3" w15:restartNumberingAfterBreak="0">
    <w:nsid w:val="3E172968"/>
    <w:multiLevelType w:val="hybridMultilevel"/>
    <w:tmpl w:val="502AB6A6"/>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5C0B35"/>
    <w:multiLevelType w:val="hybridMultilevel"/>
    <w:tmpl w:val="26341F42"/>
    <w:lvl w:ilvl="0" w:tplc="AD32D5EC">
      <w:start w:val="1"/>
      <w:numFmt w:val="decimal"/>
      <w:lvlText w:val="GN 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B74674"/>
    <w:multiLevelType w:val="hybridMultilevel"/>
    <w:tmpl w:val="887C906C"/>
    <w:lvl w:ilvl="0" w:tplc="6B04FC8E">
      <w:start w:val="1"/>
      <w:numFmt w:val="bullet"/>
      <w:lvlText w:val="·"/>
      <w:lvlJc w:val="left"/>
      <w:pPr>
        <w:ind w:left="-519" w:hanging="360"/>
      </w:pPr>
      <w:rPr>
        <w:rFonts w:ascii="Symbol" w:hAnsi="Symbol" w:hint="default"/>
      </w:rPr>
    </w:lvl>
    <w:lvl w:ilvl="1" w:tplc="0C090003" w:tentative="1">
      <w:start w:val="1"/>
      <w:numFmt w:val="bullet"/>
      <w:lvlText w:val="o"/>
      <w:lvlJc w:val="left"/>
      <w:pPr>
        <w:ind w:left="201" w:hanging="360"/>
      </w:pPr>
      <w:rPr>
        <w:rFonts w:ascii="Courier New" w:hAnsi="Courier New" w:cs="Courier New" w:hint="default"/>
      </w:rPr>
    </w:lvl>
    <w:lvl w:ilvl="2" w:tplc="0C090005" w:tentative="1">
      <w:start w:val="1"/>
      <w:numFmt w:val="bullet"/>
      <w:lvlText w:val=""/>
      <w:lvlJc w:val="left"/>
      <w:pPr>
        <w:ind w:left="921" w:hanging="360"/>
      </w:pPr>
      <w:rPr>
        <w:rFonts w:ascii="Wingdings" w:hAnsi="Wingdings" w:hint="default"/>
      </w:rPr>
    </w:lvl>
    <w:lvl w:ilvl="3" w:tplc="0C090001" w:tentative="1">
      <w:start w:val="1"/>
      <w:numFmt w:val="bullet"/>
      <w:lvlText w:val=""/>
      <w:lvlJc w:val="left"/>
      <w:pPr>
        <w:ind w:left="1641" w:hanging="360"/>
      </w:pPr>
      <w:rPr>
        <w:rFonts w:ascii="Symbol" w:hAnsi="Symbol" w:hint="default"/>
      </w:rPr>
    </w:lvl>
    <w:lvl w:ilvl="4" w:tplc="0C090003" w:tentative="1">
      <w:start w:val="1"/>
      <w:numFmt w:val="bullet"/>
      <w:lvlText w:val="o"/>
      <w:lvlJc w:val="left"/>
      <w:pPr>
        <w:ind w:left="2361" w:hanging="360"/>
      </w:pPr>
      <w:rPr>
        <w:rFonts w:ascii="Courier New" w:hAnsi="Courier New" w:cs="Courier New" w:hint="default"/>
      </w:rPr>
    </w:lvl>
    <w:lvl w:ilvl="5" w:tplc="0C090005" w:tentative="1">
      <w:start w:val="1"/>
      <w:numFmt w:val="bullet"/>
      <w:lvlText w:val=""/>
      <w:lvlJc w:val="left"/>
      <w:pPr>
        <w:ind w:left="3081" w:hanging="360"/>
      </w:pPr>
      <w:rPr>
        <w:rFonts w:ascii="Wingdings" w:hAnsi="Wingdings" w:hint="default"/>
      </w:rPr>
    </w:lvl>
    <w:lvl w:ilvl="6" w:tplc="0C090001" w:tentative="1">
      <w:start w:val="1"/>
      <w:numFmt w:val="bullet"/>
      <w:lvlText w:val=""/>
      <w:lvlJc w:val="left"/>
      <w:pPr>
        <w:ind w:left="3801" w:hanging="360"/>
      </w:pPr>
      <w:rPr>
        <w:rFonts w:ascii="Symbol" w:hAnsi="Symbol" w:hint="default"/>
      </w:rPr>
    </w:lvl>
    <w:lvl w:ilvl="7" w:tplc="0C090003" w:tentative="1">
      <w:start w:val="1"/>
      <w:numFmt w:val="bullet"/>
      <w:lvlText w:val="o"/>
      <w:lvlJc w:val="left"/>
      <w:pPr>
        <w:ind w:left="4521" w:hanging="360"/>
      </w:pPr>
      <w:rPr>
        <w:rFonts w:ascii="Courier New" w:hAnsi="Courier New" w:cs="Courier New" w:hint="default"/>
      </w:rPr>
    </w:lvl>
    <w:lvl w:ilvl="8" w:tplc="0C090005" w:tentative="1">
      <w:start w:val="1"/>
      <w:numFmt w:val="bullet"/>
      <w:lvlText w:val=""/>
      <w:lvlJc w:val="left"/>
      <w:pPr>
        <w:ind w:left="5241" w:hanging="360"/>
      </w:pPr>
      <w:rPr>
        <w:rFonts w:ascii="Wingdings" w:hAnsi="Wingdings" w:hint="default"/>
      </w:rPr>
    </w:lvl>
  </w:abstractNum>
  <w:abstractNum w:abstractNumId="36" w15:restartNumberingAfterBreak="0">
    <w:nsid w:val="489000F9"/>
    <w:multiLevelType w:val="multilevel"/>
    <w:tmpl w:val="1EDE9604"/>
    <w:lvl w:ilvl="0">
      <w:start w:val="1"/>
      <w:numFmt w:val="bullet"/>
      <w:lvlText w:val=""/>
      <w:lvlJc w:val="left"/>
      <w:pPr>
        <w:tabs>
          <w:tab w:val="num" w:pos="1276"/>
        </w:tabs>
        <w:ind w:left="1276" w:hanging="283"/>
      </w:pPr>
      <w:rPr>
        <w:rFonts w:ascii="Symbol" w:hAnsi="Symbol" w:hint="default"/>
        <w:b w:val="0"/>
        <w:i w:val="0"/>
      </w:rPr>
    </w:lvl>
    <w:lvl w:ilvl="1">
      <w:start w:val="1"/>
      <w:numFmt w:val="bullet"/>
      <w:lvlText w:val="–"/>
      <w:lvlJc w:val="left"/>
      <w:pPr>
        <w:tabs>
          <w:tab w:val="num" w:pos="1560"/>
        </w:tabs>
        <w:ind w:left="1560" w:hanging="284"/>
      </w:pPr>
      <w:rPr>
        <w:rFonts w:ascii="Times New Roman" w:hAnsi="Times New Roman" w:cs="Times New Roman" w:hint="default"/>
        <w:b w:val="0"/>
        <w:i w:val="0"/>
      </w:rPr>
    </w:lvl>
    <w:lvl w:ilvl="2">
      <w:start w:val="1"/>
      <w:numFmt w:val="bullet"/>
      <w:lvlText w:val=":"/>
      <w:lvlJc w:val="left"/>
      <w:pPr>
        <w:tabs>
          <w:tab w:val="num" w:pos="1843"/>
        </w:tabs>
        <w:ind w:left="1843" w:hanging="283"/>
      </w:pPr>
      <w:rPr>
        <w:rFonts w:ascii="Times New Roman" w:hAnsi="Times New Roman" w:cs="Times New Roman" w:hint="default"/>
        <w:b w:val="0"/>
        <w:i w:val="0"/>
      </w:rPr>
    </w:lvl>
    <w:lvl w:ilvl="3">
      <w:start w:val="1"/>
      <w:numFmt w:val="decimal"/>
      <w:lvlText w:val="(%4)"/>
      <w:lvlJc w:val="left"/>
      <w:pPr>
        <w:tabs>
          <w:tab w:val="num" w:pos="2433"/>
        </w:tabs>
        <w:ind w:left="2433" w:hanging="360"/>
      </w:pPr>
      <w:rPr>
        <w:rFonts w:hint="default"/>
        <w:b w:val="0"/>
        <w:i w:val="0"/>
      </w:rPr>
    </w:lvl>
    <w:lvl w:ilvl="4">
      <w:start w:val="1"/>
      <w:numFmt w:val="lowerLetter"/>
      <w:lvlText w:val="(%5)"/>
      <w:lvlJc w:val="left"/>
      <w:pPr>
        <w:tabs>
          <w:tab w:val="num" w:pos="2793"/>
        </w:tabs>
        <w:ind w:left="2793" w:hanging="360"/>
      </w:pPr>
      <w:rPr>
        <w:rFonts w:hint="default"/>
        <w:b w:val="0"/>
        <w:i w:val="0"/>
      </w:rPr>
    </w:lvl>
    <w:lvl w:ilvl="5">
      <w:start w:val="1"/>
      <w:numFmt w:val="lowerRoman"/>
      <w:lvlText w:val="(%6)"/>
      <w:lvlJc w:val="left"/>
      <w:pPr>
        <w:tabs>
          <w:tab w:val="num" w:pos="3153"/>
        </w:tabs>
        <w:ind w:left="3153" w:hanging="360"/>
      </w:pPr>
      <w:rPr>
        <w:rFonts w:hint="default"/>
        <w:b w:val="0"/>
        <w:i w:val="0"/>
      </w:rPr>
    </w:lvl>
    <w:lvl w:ilvl="6">
      <w:start w:val="1"/>
      <w:numFmt w:val="decimal"/>
      <w:lvlText w:val="%7."/>
      <w:lvlJc w:val="left"/>
      <w:pPr>
        <w:tabs>
          <w:tab w:val="num" w:pos="3513"/>
        </w:tabs>
        <w:ind w:left="3513" w:hanging="360"/>
      </w:pPr>
      <w:rPr>
        <w:rFonts w:hint="default"/>
        <w:b w:val="0"/>
        <w:i w:val="0"/>
      </w:rPr>
    </w:lvl>
    <w:lvl w:ilvl="7">
      <w:start w:val="1"/>
      <w:numFmt w:val="lowerLetter"/>
      <w:lvlText w:val="%8."/>
      <w:lvlJc w:val="left"/>
      <w:pPr>
        <w:tabs>
          <w:tab w:val="num" w:pos="3873"/>
        </w:tabs>
        <w:ind w:left="3873" w:hanging="360"/>
      </w:pPr>
      <w:rPr>
        <w:rFonts w:hint="default"/>
        <w:b w:val="0"/>
        <w:i w:val="0"/>
      </w:rPr>
    </w:lvl>
    <w:lvl w:ilvl="8">
      <w:start w:val="1"/>
      <w:numFmt w:val="lowerRoman"/>
      <w:lvlText w:val="%9."/>
      <w:lvlJc w:val="left"/>
      <w:pPr>
        <w:tabs>
          <w:tab w:val="num" w:pos="4233"/>
        </w:tabs>
        <w:ind w:left="4233" w:hanging="360"/>
      </w:pPr>
      <w:rPr>
        <w:rFonts w:hint="default"/>
        <w:b w:val="0"/>
        <w:i w:val="0"/>
      </w:rPr>
    </w:lvl>
  </w:abstractNum>
  <w:abstractNum w:abstractNumId="37" w15:restartNumberingAfterBreak="0">
    <w:nsid w:val="49545B1C"/>
    <w:multiLevelType w:val="hybridMultilevel"/>
    <w:tmpl w:val="2C60AD6C"/>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081E8D"/>
    <w:multiLevelType w:val="hybridMultilevel"/>
    <w:tmpl w:val="93A6A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40" w15:restartNumberingAfterBreak="0">
    <w:nsid w:val="4ED80A00"/>
    <w:multiLevelType w:val="hybridMultilevel"/>
    <w:tmpl w:val="B05E9D62"/>
    <w:lvl w:ilvl="0" w:tplc="9CBA000E">
      <w:start w:val="1"/>
      <w:numFmt w:val="bullet"/>
      <w:lvlText w:val="•"/>
      <w:lvlJc w:val="left"/>
      <w:pPr>
        <w:ind w:left="927" w:hanging="360"/>
      </w:pPr>
      <w:rPr>
        <w:rFonts w:ascii="Courier New" w:hAnsi="Courier New" w:hint="default"/>
        <w:color w:val="5C759A"/>
        <w:sz w:val="22"/>
        <w:u w:color="719CD1"/>
      </w:rPr>
    </w:lvl>
    <w:lvl w:ilvl="1" w:tplc="D5D85496">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4FC624AD"/>
    <w:multiLevelType w:val="hybridMultilevel"/>
    <w:tmpl w:val="98D24A3A"/>
    <w:lvl w:ilvl="0" w:tplc="9CBA000E">
      <w:start w:val="1"/>
      <w:numFmt w:val="bullet"/>
      <w:lvlText w:val="•"/>
      <w:lvlJc w:val="left"/>
      <w:pPr>
        <w:ind w:left="927" w:hanging="360"/>
      </w:pPr>
      <w:rPr>
        <w:rFonts w:ascii="Courier New" w:hAnsi="Courier New" w:hint="default"/>
        <w:color w:val="5C759A"/>
        <w:sz w:val="22"/>
        <w:u w:color="719CD1"/>
      </w:rPr>
    </w:lvl>
    <w:lvl w:ilvl="1" w:tplc="D5D85496">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510D2021"/>
    <w:multiLevelType w:val="multilevel"/>
    <w:tmpl w:val="72F8140E"/>
    <w:numStyleLink w:val="OutlineList"/>
  </w:abstractNum>
  <w:abstractNum w:abstractNumId="43" w15:restartNumberingAfterBreak="0">
    <w:nsid w:val="51C362E6"/>
    <w:multiLevelType w:val="hybridMultilevel"/>
    <w:tmpl w:val="BDA26648"/>
    <w:lvl w:ilvl="0" w:tplc="9CBA000E">
      <w:start w:val="1"/>
      <w:numFmt w:val="bullet"/>
      <w:lvlText w:val="•"/>
      <w:lvlJc w:val="left"/>
      <w:pPr>
        <w:ind w:left="927" w:hanging="360"/>
      </w:pPr>
      <w:rPr>
        <w:rFonts w:ascii="Courier New" w:hAnsi="Courier New" w:hint="default"/>
        <w:color w:val="5C759A"/>
        <w:sz w:val="22"/>
        <w:u w:color="719CD1"/>
      </w:rPr>
    </w:lvl>
    <w:lvl w:ilvl="1" w:tplc="EC28713C">
      <w:start w:val="1"/>
      <w:numFmt w:val="bullet"/>
      <w:lvlText w:val="•"/>
      <w:lvlJc w:val="left"/>
      <w:pPr>
        <w:ind w:left="2160" w:hanging="360"/>
      </w:pPr>
      <w:rPr>
        <w:rFonts w:ascii="Courier New" w:hAnsi="Courier New" w:hint="default"/>
        <w:color w:val="5C759A"/>
        <w:sz w:val="22"/>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468532F"/>
    <w:multiLevelType w:val="hybridMultilevel"/>
    <w:tmpl w:val="FE9EB9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7431C1"/>
    <w:multiLevelType w:val="hybridMultilevel"/>
    <w:tmpl w:val="03C4DA4A"/>
    <w:lvl w:ilvl="0" w:tplc="9CBA000E">
      <w:start w:val="1"/>
      <w:numFmt w:val="bullet"/>
      <w:lvlText w:val="•"/>
      <w:lvlJc w:val="left"/>
      <w:pPr>
        <w:ind w:left="927" w:hanging="360"/>
      </w:pPr>
      <w:rPr>
        <w:rFonts w:ascii="Courier New" w:hAnsi="Courier New" w:hint="default"/>
        <w:color w:val="5C759A"/>
        <w:sz w:val="22"/>
        <w:u w:color="719CD1"/>
      </w:rPr>
    </w:lvl>
    <w:lvl w:ilvl="1" w:tplc="B1604092">
      <w:start w:val="1"/>
      <w:numFmt w:val="bullet"/>
      <w:lvlText w:val=""/>
      <w:lvlJc w:val="left"/>
      <w:pPr>
        <w:ind w:left="2160" w:hanging="360"/>
      </w:pPr>
      <w:rPr>
        <w:rFonts w:ascii="Symbol" w:hAnsi="Symbol" w:hint="default"/>
        <w:color w:val="465976"/>
        <w:sz w:val="22"/>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58963760"/>
    <w:multiLevelType w:val="hybridMultilevel"/>
    <w:tmpl w:val="E46A5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A110E7A"/>
    <w:multiLevelType w:val="hybridMultilevel"/>
    <w:tmpl w:val="32DEE05C"/>
    <w:lvl w:ilvl="0" w:tplc="9CBA000E">
      <w:start w:val="1"/>
      <w:numFmt w:val="bullet"/>
      <w:lvlText w:val="•"/>
      <w:lvlJc w:val="left"/>
      <w:pPr>
        <w:ind w:left="927" w:hanging="360"/>
      </w:pPr>
      <w:rPr>
        <w:rFonts w:ascii="Courier New" w:hAnsi="Courier New" w:hint="default"/>
        <w:color w:val="5C759A"/>
        <w:sz w:val="22"/>
        <w:u w:color="719CD1"/>
      </w:rPr>
    </w:lvl>
    <w:lvl w:ilvl="1" w:tplc="D5D85496">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B95366C"/>
    <w:multiLevelType w:val="hybridMultilevel"/>
    <w:tmpl w:val="2E12EBA6"/>
    <w:lvl w:ilvl="0" w:tplc="D5D85496">
      <w:start w:val="1"/>
      <w:numFmt w:val="bullet"/>
      <w:lvlText w:val=""/>
      <w:lvlJc w:val="left"/>
      <w:pPr>
        <w:ind w:left="360" w:hanging="360"/>
      </w:pPr>
      <w:rPr>
        <w:rFonts w:ascii="Symbol" w:hAnsi="Symbol" w:hint="default"/>
        <w:color w:val="465976"/>
        <w:sz w:val="22"/>
        <w:u w:color="719CD1"/>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9" w15:restartNumberingAfterBreak="0">
    <w:nsid w:val="5CA203F1"/>
    <w:multiLevelType w:val="hybridMultilevel"/>
    <w:tmpl w:val="D91E07E0"/>
    <w:lvl w:ilvl="0" w:tplc="9CBA000E">
      <w:start w:val="1"/>
      <w:numFmt w:val="bullet"/>
      <w:lvlText w:val="•"/>
      <w:lvlJc w:val="left"/>
      <w:pPr>
        <w:ind w:left="927" w:hanging="360"/>
      </w:pPr>
      <w:rPr>
        <w:rFonts w:ascii="Courier New" w:hAnsi="Courier New" w:hint="default"/>
        <w:color w:val="5C759A"/>
        <w:sz w:val="22"/>
        <w:u w:color="719CD1"/>
      </w:rPr>
    </w:lvl>
    <w:lvl w:ilvl="1" w:tplc="B1604092">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5CD1768C"/>
    <w:multiLevelType w:val="multilevel"/>
    <w:tmpl w:val="3BB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E627B4"/>
    <w:multiLevelType w:val="hybridMultilevel"/>
    <w:tmpl w:val="AF802C86"/>
    <w:lvl w:ilvl="0" w:tplc="B1604092">
      <w:start w:val="1"/>
      <w:numFmt w:val="bullet"/>
      <w:lvlText w:val=""/>
      <w:lvlJc w:val="left"/>
      <w:pPr>
        <w:ind w:left="360" w:hanging="360"/>
      </w:pPr>
      <w:rPr>
        <w:rFonts w:ascii="Symbol" w:hAnsi="Symbol" w:hint="default"/>
        <w:color w:val="465976"/>
        <w:sz w:val="22"/>
        <w:u w:color="719CD1"/>
      </w:rPr>
    </w:lvl>
    <w:lvl w:ilvl="1" w:tplc="0C090003">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53" w15:restartNumberingAfterBreak="0">
    <w:nsid w:val="6A0B7BCC"/>
    <w:multiLevelType w:val="hybridMultilevel"/>
    <w:tmpl w:val="3B64C464"/>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A6913BD"/>
    <w:multiLevelType w:val="hybridMultilevel"/>
    <w:tmpl w:val="E94E100E"/>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0931A4B"/>
    <w:multiLevelType w:val="hybridMultilevel"/>
    <w:tmpl w:val="E46A5B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3710640"/>
    <w:multiLevelType w:val="hybridMultilevel"/>
    <w:tmpl w:val="FB64CCB2"/>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3EC65E7"/>
    <w:multiLevelType w:val="multilevel"/>
    <w:tmpl w:val="1C80D154"/>
    <w:lvl w:ilvl="0">
      <w:start w:val="1"/>
      <w:numFmt w:val="bullet"/>
      <w:lvlText w:val=""/>
      <w:lvlJc w:val="left"/>
      <w:pPr>
        <w:tabs>
          <w:tab w:val="num" w:pos="1276"/>
        </w:tabs>
        <w:ind w:left="1276" w:hanging="283"/>
      </w:pPr>
      <w:rPr>
        <w:rFonts w:ascii="Symbol" w:hAnsi="Symbol" w:hint="default"/>
        <w:b w:val="0"/>
        <w:i w:val="0"/>
        <w:color w:val="032F4C"/>
      </w:rPr>
    </w:lvl>
    <w:lvl w:ilvl="1">
      <w:start w:val="1"/>
      <w:numFmt w:val="bullet"/>
      <w:lvlText w:val="–"/>
      <w:lvlJc w:val="left"/>
      <w:pPr>
        <w:tabs>
          <w:tab w:val="num" w:pos="1560"/>
        </w:tabs>
        <w:ind w:left="1560" w:hanging="284"/>
      </w:pPr>
      <w:rPr>
        <w:rFonts w:ascii="Times New Roman" w:hAnsi="Times New Roman" w:cs="Times New Roman" w:hint="default"/>
        <w:b w:val="0"/>
        <w:i w:val="0"/>
      </w:rPr>
    </w:lvl>
    <w:lvl w:ilvl="2">
      <w:start w:val="1"/>
      <w:numFmt w:val="bullet"/>
      <w:lvlText w:val=":"/>
      <w:lvlJc w:val="left"/>
      <w:pPr>
        <w:tabs>
          <w:tab w:val="num" w:pos="1843"/>
        </w:tabs>
        <w:ind w:left="1843" w:hanging="283"/>
      </w:pPr>
      <w:rPr>
        <w:rFonts w:ascii="Times New Roman" w:hAnsi="Times New Roman" w:cs="Times New Roman" w:hint="default"/>
        <w:b w:val="0"/>
        <w:i w:val="0"/>
      </w:rPr>
    </w:lvl>
    <w:lvl w:ilvl="3">
      <w:start w:val="1"/>
      <w:numFmt w:val="decimal"/>
      <w:lvlText w:val="(%4)"/>
      <w:lvlJc w:val="left"/>
      <w:pPr>
        <w:tabs>
          <w:tab w:val="num" w:pos="2433"/>
        </w:tabs>
        <w:ind w:left="2433" w:hanging="360"/>
      </w:pPr>
      <w:rPr>
        <w:rFonts w:hint="default"/>
        <w:b w:val="0"/>
        <w:i w:val="0"/>
      </w:rPr>
    </w:lvl>
    <w:lvl w:ilvl="4">
      <w:start w:val="1"/>
      <w:numFmt w:val="lowerLetter"/>
      <w:lvlText w:val="(%5)"/>
      <w:lvlJc w:val="left"/>
      <w:pPr>
        <w:tabs>
          <w:tab w:val="num" w:pos="2793"/>
        </w:tabs>
        <w:ind w:left="2793" w:hanging="360"/>
      </w:pPr>
      <w:rPr>
        <w:rFonts w:hint="default"/>
        <w:b w:val="0"/>
        <w:i w:val="0"/>
      </w:rPr>
    </w:lvl>
    <w:lvl w:ilvl="5">
      <w:start w:val="1"/>
      <w:numFmt w:val="lowerRoman"/>
      <w:lvlText w:val="(%6)"/>
      <w:lvlJc w:val="left"/>
      <w:pPr>
        <w:tabs>
          <w:tab w:val="num" w:pos="3153"/>
        </w:tabs>
        <w:ind w:left="3153" w:hanging="360"/>
      </w:pPr>
      <w:rPr>
        <w:rFonts w:hint="default"/>
        <w:b w:val="0"/>
        <w:i w:val="0"/>
      </w:rPr>
    </w:lvl>
    <w:lvl w:ilvl="6">
      <w:start w:val="1"/>
      <w:numFmt w:val="decimal"/>
      <w:lvlText w:val="%7."/>
      <w:lvlJc w:val="left"/>
      <w:pPr>
        <w:tabs>
          <w:tab w:val="num" w:pos="3513"/>
        </w:tabs>
        <w:ind w:left="3513" w:hanging="360"/>
      </w:pPr>
      <w:rPr>
        <w:rFonts w:hint="default"/>
        <w:b w:val="0"/>
        <w:i w:val="0"/>
      </w:rPr>
    </w:lvl>
    <w:lvl w:ilvl="7">
      <w:start w:val="1"/>
      <w:numFmt w:val="lowerLetter"/>
      <w:lvlText w:val="%8."/>
      <w:lvlJc w:val="left"/>
      <w:pPr>
        <w:tabs>
          <w:tab w:val="num" w:pos="3873"/>
        </w:tabs>
        <w:ind w:left="3873" w:hanging="360"/>
      </w:pPr>
      <w:rPr>
        <w:rFonts w:hint="default"/>
        <w:b w:val="0"/>
        <w:i w:val="0"/>
      </w:rPr>
    </w:lvl>
    <w:lvl w:ilvl="8">
      <w:start w:val="1"/>
      <w:numFmt w:val="lowerRoman"/>
      <w:lvlText w:val="%9."/>
      <w:lvlJc w:val="left"/>
      <w:pPr>
        <w:tabs>
          <w:tab w:val="num" w:pos="4233"/>
        </w:tabs>
        <w:ind w:left="4233" w:hanging="360"/>
      </w:pPr>
      <w:rPr>
        <w:rFonts w:hint="default"/>
        <w:b w:val="0"/>
        <w:i w:val="0"/>
      </w:rPr>
    </w:lvl>
  </w:abstractNum>
  <w:abstractNum w:abstractNumId="58" w15:restartNumberingAfterBreak="0">
    <w:nsid w:val="74983A79"/>
    <w:multiLevelType w:val="hybridMultilevel"/>
    <w:tmpl w:val="F084AD80"/>
    <w:lvl w:ilvl="0" w:tplc="B100DB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9406155"/>
    <w:multiLevelType w:val="hybridMultilevel"/>
    <w:tmpl w:val="AEE8856A"/>
    <w:lvl w:ilvl="0" w:tplc="45A2CE70">
      <w:start w:val="1"/>
      <w:numFmt w:val="decimal"/>
      <w:lvlText w:val="G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B861EF6"/>
    <w:multiLevelType w:val="hybridMultilevel"/>
    <w:tmpl w:val="F446D05A"/>
    <w:lvl w:ilvl="0" w:tplc="9CBA000E">
      <w:start w:val="1"/>
      <w:numFmt w:val="bullet"/>
      <w:lvlText w:val="•"/>
      <w:lvlJc w:val="left"/>
      <w:pPr>
        <w:ind w:left="927" w:hanging="360"/>
      </w:pPr>
      <w:rPr>
        <w:rFonts w:ascii="Courier New" w:hAnsi="Courier New" w:hint="default"/>
        <w:color w:val="5C759A"/>
        <w:sz w:val="22"/>
        <w:u w:color="719CD1"/>
      </w:rPr>
    </w:lvl>
    <w:lvl w:ilvl="1" w:tplc="B1604092">
      <w:start w:val="1"/>
      <w:numFmt w:val="bullet"/>
      <w:lvlText w:val=""/>
      <w:lvlJc w:val="left"/>
      <w:pPr>
        <w:ind w:left="2160" w:hanging="360"/>
      </w:pPr>
      <w:rPr>
        <w:rFonts w:ascii="Symbol" w:hAnsi="Symbol" w:hint="default"/>
        <w:color w:val="465976"/>
        <w:u w:color="719CD1"/>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7D267F93"/>
    <w:multiLevelType w:val="hybridMultilevel"/>
    <w:tmpl w:val="2306FFF2"/>
    <w:lvl w:ilvl="0" w:tplc="29D64CE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4"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21"/>
  </w:num>
  <w:num w:numId="2">
    <w:abstractNumId w:val="4"/>
  </w:num>
  <w:num w:numId="3">
    <w:abstractNumId w:val="25"/>
  </w:num>
  <w:num w:numId="4">
    <w:abstractNumId w:val="9"/>
  </w:num>
  <w:num w:numId="5">
    <w:abstractNumId w:val="14"/>
  </w:num>
  <w:num w:numId="6">
    <w:abstractNumId w:val="42"/>
  </w:num>
  <w:num w:numId="7">
    <w:abstractNumId w:val="2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5"/>
  </w:num>
  <w:num w:numId="9">
    <w:abstractNumId w:val="6"/>
  </w:num>
  <w:num w:numId="10">
    <w:abstractNumId w:val="19"/>
  </w:num>
  <w:num w:numId="11">
    <w:abstractNumId w:val="63"/>
  </w:num>
  <w:num w:numId="12">
    <w:abstractNumId w:val="42"/>
  </w:num>
  <w:num w:numId="13">
    <w:abstractNumId w:val="64"/>
  </w:num>
  <w:num w:numId="14">
    <w:abstractNumId w:val="39"/>
  </w:num>
  <w:num w:numId="15">
    <w:abstractNumId w:val="18"/>
  </w:num>
  <w:num w:numId="16">
    <w:abstractNumId w:val="51"/>
  </w:num>
  <w:num w:numId="17">
    <w:abstractNumId w:val="24"/>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8"/>
  </w:num>
  <w:num w:numId="21">
    <w:abstractNumId w:val="0"/>
  </w:num>
  <w:num w:numId="22">
    <w:abstractNumId w:val="22"/>
  </w:num>
  <w:num w:numId="23">
    <w:abstractNumId w:val="50"/>
  </w:num>
  <w:num w:numId="24">
    <w:abstractNumId w:val="62"/>
  </w:num>
  <w:num w:numId="25">
    <w:abstractNumId w:val="10"/>
  </w:num>
  <w:num w:numId="26">
    <w:abstractNumId w:val="29"/>
  </w:num>
  <w:num w:numId="27">
    <w:abstractNumId w:val="58"/>
  </w:num>
  <w:num w:numId="28">
    <w:abstractNumId w:val="13"/>
  </w:num>
  <w:num w:numId="29">
    <w:abstractNumId w:val="44"/>
  </w:num>
  <w:num w:numId="30">
    <w:abstractNumId w:val="2"/>
  </w:num>
  <w:num w:numId="31">
    <w:abstractNumId w:val="28"/>
  </w:num>
  <w:num w:numId="32">
    <w:abstractNumId w:val="34"/>
  </w:num>
  <w:num w:numId="33">
    <w:abstractNumId w:val="56"/>
  </w:num>
  <w:num w:numId="34">
    <w:abstractNumId w:val="21"/>
  </w:num>
  <w:num w:numId="35">
    <w:abstractNumId w:val="21"/>
  </w:num>
  <w:num w:numId="36">
    <w:abstractNumId w:val="12"/>
  </w:num>
  <w:num w:numId="37">
    <w:abstractNumId w:val="53"/>
  </w:num>
  <w:num w:numId="38">
    <w:abstractNumId w:val="3"/>
  </w:num>
  <w:num w:numId="39">
    <w:abstractNumId w:val="5"/>
  </w:num>
  <w:num w:numId="40">
    <w:abstractNumId w:val="16"/>
  </w:num>
  <w:num w:numId="41">
    <w:abstractNumId w:val="33"/>
  </w:num>
  <w:num w:numId="42">
    <w:abstractNumId w:val="37"/>
  </w:num>
  <w:num w:numId="43">
    <w:abstractNumId w:val="1"/>
  </w:num>
  <w:num w:numId="44">
    <w:abstractNumId w:val="54"/>
  </w:num>
  <w:num w:numId="45">
    <w:abstractNumId w:val="17"/>
  </w:num>
  <w:num w:numId="46">
    <w:abstractNumId w:val="7"/>
  </w:num>
  <w:num w:numId="47">
    <w:abstractNumId w:val="60"/>
  </w:num>
  <w:num w:numId="48">
    <w:abstractNumId w:val="23"/>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57"/>
  </w:num>
  <w:num w:numId="56">
    <w:abstractNumId w:val="36"/>
  </w:num>
  <w:num w:numId="57">
    <w:abstractNumId w:val="30"/>
  </w:num>
  <w:num w:numId="58">
    <w:abstractNumId w:val="8"/>
  </w:num>
  <w:num w:numId="59">
    <w:abstractNumId w:val="43"/>
  </w:num>
  <w:num w:numId="60">
    <w:abstractNumId w:val="45"/>
  </w:num>
  <w:num w:numId="61">
    <w:abstractNumId w:val="49"/>
  </w:num>
  <w:num w:numId="62">
    <w:abstractNumId w:val="61"/>
  </w:num>
  <w:num w:numId="63">
    <w:abstractNumId w:val="52"/>
  </w:num>
  <w:num w:numId="64">
    <w:abstractNumId w:val="32"/>
  </w:num>
  <w:num w:numId="65">
    <w:abstractNumId w:val="26"/>
  </w:num>
  <w:num w:numId="66">
    <w:abstractNumId w:val="40"/>
  </w:num>
  <w:num w:numId="67">
    <w:abstractNumId w:val="48"/>
  </w:num>
  <w:num w:numId="68">
    <w:abstractNumId w:val="41"/>
  </w:num>
  <w:num w:numId="69">
    <w:abstractNumId w:val="47"/>
  </w:num>
  <w:num w:numId="70">
    <w:abstractNumId w:val="35"/>
  </w:num>
  <w:num w:numId="71">
    <w:abstractNumId w:val="11"/>
  </w:num>
  <w:num w:numId="72">
    <w:abstractNumId w:val="46"/>
  </w:num>
  <w:num w:numId="73">
    <w:abstractNumId w:val="31"/>
  </w:num>
  <w:num w:numId="74">
    <w:abstractNumId w:val="55"/>
  </w:num>
  <w:num w:numId="7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F6"/>
    <w:rsid w:val="00000A09"/>
    <w:rsid w:val="00002A34"/>
    <w:rsid w:val="00002FFF"/>
    <w:rsid w:val="00004EAB"/>
    <w:rsid w:val="00004FD5"/>
    <w:rsid w:val="00007F72"/>
    <w:rsid w:val="00011477"/>
    <w:rsid w:val="00011725"/>
    <w:rsid w:val="00011F3B"/>
    <w:rsid w:val="00011F80"/>
    <w:rsid w:val="00012330"/>
    <w:rsid w:val="00012645"/>
    <w:rsid w:val="00012C1C"/>
    <w:rsid w:val="00012C62"/>
    <w:rsid w:val="0001396A"/>
    <w:rsid w:val="00013ADA"/>
    <w:rsid w:val="00016528"/>
    <w:rsid w:val="000170EF"/>
    <w:rsid w:val="00017F5A"/>
    <w:rsid w:val="00021CF1"/>
    <w:rsid w:val="0002212B"/>
    <w:rsid w:val="00022F02"/>
    <w:rsid w:val="0002544D"/>
    <w:rsid w:val="00025495"/>
    <w:rsid w:val="00027FF2"/>
    <w:rsid w:val="000308CD"/>
    <w:rsid w:val="0003172A"/>
    <w:rsid w:val="000348B2"/>
    <w:rsid w:val="000349B6"/>
    <w:rsid w:val="0003541E"/>
    <w:rsid w:val="000362BB"/>
    <w:rsid w:val="0004043E"/>
    <w:rsid w:val="000412EE"/>
    <w:rsid w:val="00041952"/>
    <w:rsid w:val="0004274D"/>
    <w:rsid w:val="00043348"/>
    <w:rsid w:val="00044092"/>
    <w:rsid w:val="00044145"/>
    <w:rsid w:val="0004483F"/>
    <w:rsid w:val="00046C70"/>
    <w:rsid w:val="000474B6"/>
    <w:rsid w:val="00047FB6"/>
    <w:rsid w:val="0005138B"/>
    <w:rsid w:val="00051C4F"/>
    <w:rsid w:val="000522B7"/>
    <w:rsid w:val="000538C9"/>
    <w:rsid w:val="00056666"/>
    <w:rsid w:val="00056880"/>
    <w:rsid w:val="00057980"/>
    <w:rsid w:val="00057C63"/>
    <w:rsid w:val="0006095A"/>
    <w:rsid w:val="000609BD"/>
    <w:rsid w:val="00061273"/>
    <w:rsid w:val="000613A1"/>
    <w:rsid w:val="000614AF"/>
    <w:rsid w:val="000620A6"/>
    <w:rsid w:val="00062CD5"/>
    <w:rsid w:val="000633FC"/>
    <w:rsid w:val="000675D1"/>
    <w:rsid w:val="00067E2E"/>
    <w:rsid w:val="00073521"/>
    <w:rsid w:val="00073567"/>
    <w:rsid w:val="00073D99"/>
    <w:rsid w:val="00074A21"/>
    <w:rsid w:val="0007673E"/>
    <w:rsid w:val="000775DE"/>
    <w:rsid w:val="00081CB6"/>
    <w:rsid w:val="000831DD"/>
    <w:rsid w:val="00087FAF"/>
    <w:rsid w:val="00092EEC"/>
    <w:rsid w:val="00093345"/>
    <w:rsid w:val="000951B2"/>
    <w:rsid w:val="00097212"/>
    <w:rsid w:val="000975E3"/>
    <w:rsid w:val="000A05CB"/>
    <w:rsid w:val="000A0743"/>
    <w:rsid w:val="000A1204"/>
    <w:rsid w:val="000A4F84"/>
    <w:rsid w:val="000A5382"/>
    <w:rsid w:val="000A582C"/>
    <w:rsid w:val="000B17AB"/>
    <w:rsid w:val="000B1A1E"/>
    <w:rsid w:val="000B2373"/>
    <w:rsid w:val="000B30A4"/>
    <w:rsid w:val="000B48CB"/>
    <w:rsid w:val="000B5D6D"/>
    <w:rsid w:val="000B648A"/>
    <w:rsid w:val="000C0841"/>
    <w:rsid w:val="000C0A89"/>
    <w:rsid w:val="000C1A31"/>
    <w:rsid w:val="000C23E0"/>
    <w:rsid w:val="000C27EF"/>
    <w:rsid w:val="000C2CBA"/>
    <w:rsid w:val="000C318F"/>
    <w:rsid w:val="000C3FB4"/>
    <w:rsid w:val="000C571D"/>
    <w:rsid w:val="000C5F40"/>
    <w:rsid w:val="000C63BF"/>
    <w:rsid w:val="000D1641"/>
    <w:rsid w:val="000D2B80"/>
    <w:rsid w:val="000D3AF1"/>
    <w:rsid w:val="000D3B19"/>
    <w:rsid w:val="000D6711"/>
    <w:rsid w:val="000D6EB1"/>
    <w:rsid w:val="000D7621"/>
    <w:rsid w:val="000E0B74"/>
    <w:rsid w:val="000E0CCE"/>
    <w:rsid w:val="000E18ED"/>
    <w:rsid w:val="000E2D09"/>
    <w:rsid w:val="000E2F57"/>
    <w:rsid w:val="000E337E"/>
    <w:rsid w:val="000E4466"/>
    <w:rsid w:val="000E4770"/>
    <w:rsid w:val="000E47C3"/>
    <w:rsid w:val="000E495D"/>
    <w:rsid w:val="000E77AE"/>
    <w:rsid w:val="000E7901"/>
    <w:rsid w:val="000F19BF"/>
    <w:rsid w:val="000F36F3"/>
    <w:rsid w:val="000F4EEC"/>
    <w:rsid w:val="000F5B7C"/>
    <w:rsid w:val="000F5E03"/>
    <w:rsid w:val="000F611F"/>
    <w:rsid w:val="000F63FB"/>
    <w:rsid w:val="000F744C"/>
    <w:rsid w:val="00100A9A"/>
    <w:rsid w:val="001044F3"/>
    <w:rsid w:val="00104F37"/>
    <w:rsid w:val="00111116"/>
    <w:rsid w:val="00112101"/>
    <w:rsid w:val="001133C7"/>
    <w:rsid w:val="00114297"/>
    <w:rsid w:val="001151A7"/>
    <w:rsid w:val="0011554B"/>
    <w:rsid w:val="00115D39"/>
    <w:rsid w:val="00116058"/>
    <w:rsid w:val="00116DD8"/>
    <w:rsid w:val="001203F4"/>
    <w:rsid w:val="00123783"/>
    <w:rsid w:val="001237FF"/>
    <w:rsid w:val="00124C65"/>
    <w:rsid w:val="00125F08"/>
    <w:rsid w:val="001264DE"/>
    <w:rsid w:val="0012751E"/>
    <w:rsid w:val="001319DF"/>
    <w:rsid w:val="00131DC3"/>
    <w:rsid w:val="00133992"/>
    <w:rsid w:val="00135E4C"/>
    <w:rsid w:val="001363C9"/>
    <w:rsid w:val="001373F5"/>
    <w:rsid w:val="00137A7F"/>
    <w:rsid w:val="00140081"/>
    <w:rsid w:val="0014015C"/>
    <w:rsid w:val="00140B15"/>
    <w:rsid w:val="001459B5"/>
    <w:rsid w:val="00145A26"/>
    <w:rsid w:val="00145F2F"/>
    <w:rsid w:val="00146EDF"/>
    <w:rsid w:val="001471BF"/>
    <w:rsid w:val="0014733B"/>
    <w:rsid w:val="00151264"/>
    <w:rsid w:val="00153701"/>
    <w:rsid w:val="00153B5F"/>
    <w:rsid w:val="00153DE0"/>
    <w:rsid w:val="001543BE"/>
    <w:rsid w:val="00154EC5"/>
    <w:rsid w:val="00155302"/>
    <w:rsid w:val="0015707B"/>
    <w:rsid w:val="001574C0"/>
    <w:rsid w:val="001606CF"/>
    <w:rsid w:val="0016128D"/>
    <w:rsid w:val="001617B1"/>
    <w:rsid w:val="00162910"/>
    <w:rsid w:val="00162C84"/>
    <w:rsid w:val="001633CA"/>
    <w:rsid w:val="00164EFD"/>
    <w:rsid w:val="00165290"/>
    <w:rsid w:val="0016684B"/>
    <w:rsid w:val="0017089D"/>
    <w:rsid w:val="00171BB9"/>
    <w:rsid w:val="00173A99"/>
    <w:rsid w:val="00174F24"/>
    <w:rsid w:val="00175B20"/>
    <w:rsid w:val="00175BBF"/>
    <w:rsid w:val="00176461"/>
    <w:rsid w:val="00176F85"/>
    <w:rsid w:val="00180B79"/>
    <w:rsid w:val="00181380"/>
    <w:rsid w:val="0018343F"/>
    <w:rsid w:val="00183690"/>
    <w:rsid w:val="00185AEF"/>
    <w:rsid w:val="001861D9"/>
    <w:rsid w:val="0019086C"/>
    <w:rsid w:val="00190B03"/>
    <w:rsid w:val="0019101A"/>
    <w:rsid w:val="0019252E"/>
    <w:rsid w:val="00192D88"/>
    <w:rsid w:val="001945EB"/>
    <w:rsid w:val="0019512C"/>
    <w:rsid w:val="001956FF"/>
    <w:rsid w:val="001958A0"/>
    <w:rsid w:val="001972D2"/>
    <w:rsid w:val="00197A7A"/>
    <w:rsid w:val="001A0009"/>
    <w:rsid w:val="001A1BD1"/>
    <w:rsid w:val="001A1C30"/>
    <w:rsid w:val="001A3386"/>
    <w:rsid w:val="001A470D"/>
    <w:rsid w:val="001A5CBA"/>
    <w:rsid w:val="001A64B9"/>
    <w:rsid w:val="001A6861"/>
    <w:rsid w:val="001A710C"/>
    <w:rsid w:val="001A7459"/>
    <w:rsid w:val="001A7599"/>
    <w:rsid w:val="001A7673"/>
    <w:rsid w:val="001A7FBE"/>
    <w:rsid w:val="001B0AC9"/>
    <w:rsid w:val="001B2838"/>
    <w:rsid w:val="001B2A6F"/>
    <w:rsid w:val="001B3335"/>
    <w:rsid w:val="001B6036"/>
    <w:rsid w:val="001B634F"/>
    <w:rsid w:val="001B6B71"/>
    <w:rsid w:val="001B7336"/>
    <w:rsid w:val="001C1CD2"/>
    <w:rsid w:val="001C2253"/>
    <w:rsid w:val="001C2301"/>
    <w:rsid w:val="001C2B4E"/>
    <w:rsid w:val="001C2F2D"/>
    <w:rsid w:val="001C358D"/>
    <w:rsid w:val="001C4947"/>
    <w:rsid w:val="001C547E"/>
    <w:rsid w:val="001C5700"/>
    <w:rsid w:val="001C6541"/>
    <w:rsid w:val="001C6D75"/>
    <w:rsid w:val="001C7DA8"/>
    <w:rsid w:val="001D1C59"/>
    <w:rsid w:val="001D3560"/>
    <w:rsid w:val="001D5B89"/>
    <w:rsid w:val="001E0BC3"/>
    <w:rsid w:val="001E19E8"/>
    <w:rsid w:val="001E25B2"/>
    <w:rsid w:val="001E3C25"/>
    <w:rsid w:val="001E4229"/>
    <w:rsid w:val="001E629D"/>
    <w:rsid w:val="001E6565"/>
    <w:rsid w:val="001F1884"/>
    <w:rsid w:val="001F1B27"/>
    <w:rsid w:val="001F2DC5"/>
    <w:rsid w:val="001F3327"/>
    <w:rsid w:val="001F478C"/>
    <w:rsid w:val="001F4F5E"/>
    <w:rsid w:val="001F5DA0"/>
    <w:rsid w:val="001F7785"/>
    <w:rsid w:val="001F7A9A"/>
    <w:rsid w:val="001F7B1B"/>
    <w:rsid w:val="001F7FF2"/>
    <w:rsid w:val="00200122"/>
    <w:rsid w:val="0020193C"/>
    <w:rsid w:val="00204BA8"/>
    <w:rsid w:val="00206483"/>
    <w:rsid w:val="0020743D"/>
    <w:rsid w:val="002113CF"/>
    <w:rsid w:val="002126AA"/>
    <w:rsid w:val="00212AC4"/>
    <w:rsid w:val="00213361"/>
    <w:rsid w:val="00213919"/>
    <w:rsid w:val="00213FE1"/>
    <w:rsid w:val="00215FED"/>
    <w:rsid w:val="00216290"/>
    <w:rsid w:val="002163D4"/>
    <w:rsid w:val="002173B7"/>
    <w:rsid w:val="00220A6F"/>
    <w:rsid w:val="00220F37"/>
    <w:rsid w:val="0022168E"/>
    <w:rsid w:val="00221E61"/>
    <w:rsid w:val="00221EC0"/>
    <w:rsid w:val="00222290"/>
    <w:rsid w:val="00224778"/>
    <w:rsid w:val="00224E2E"/>
    <w:rsid w:val="00225337"/>
    <w:rsid w:val="00225E6D"/>
    <w:rsid w:val="00226725"/>
    <w:rsid w:val="00226C9B"/>
    <w:rsid w:val="00226F81"/>
    <w:rsid w:val="00227896"/>
    <w:rsid w:val="00227EAF"/>
    <w:rsid w:val="00230564"/>
    <w:rsid w:val="00231049"/>
    <w:rsid w:val="002314D2"/>
    <w:rsid w:val="00231720"/>
    <w:rsid w:val="0023218D"/>
    <w:rsid w:val="0023305C"/>
    <w:rsid w:val="00233BE1"/>
    <w:rsid w:val="002343B0"/>
    <w:rsid w:val="00234BA3"/>
    <w:rsid w:val="00234F64"/>
    <w:rsid w:val="002410E8"/>
    <w:rsid w:val="00241881"/>
    <w:rsid w:val="002420A5"/>
    <w:rsid w:val="0024294C"/>
    <w:rsid w:val="00242A20"/>
    <w:rsid w:val="00243023"/>
    <w:rsid w:val="00244867"/>
    <w:rsid w:val="0024486C"/>
    <w:rsid w:val="00244ECF"/>
    <w:rsid w:val="002457CA"/>
    <w:rsid w:val="00250CF0"/>
    <w:rsid w:val="00250D55"/>
    <w:rsid w:val="00252862"/>
    <w:rsid w:val="00254202"/>
    <w:rsid w:val="00255379"/>
    <w:rsid w:val="002556A0"/>
    <w:rsid w:val="0025652F"/>
    <w:rsid w:val="00256C4C"/>
    <w:rsid w:val="00257A17"/>
    <w:rsid w:val="00260A16"/>
    <w:rsid w:val="00263A36"/>
    <w:rsid w:val="00263B6C"/>
    <w:rsid w:val="00265271"/>
    <w:rsid w:val="0026592A"/>
    <w:rsid w:val="00265A31"/>
    <w:rsid w:val="00266A30"/>
    <w:rsid w:val="00266C84"/>
    <w:rsid w:val="002673A9"/>
    <w:rsid w:val="00267B20"/>
    <w:rsid w:val="00270EC3"/>
    <w:rsid w:val="0027157C"/>
    <w:rsid w:val="002718A0"/>
    <w:rsid w:val="00271DF6"/>
    <w:rsid w:val="00272939"/>
    <w:rsid w:val="002744F4"/>
    <w:rsid w:val="0027590B"/>
    <w:rsid w:val="00276AC4"/>
    <w:rsid w:val="00277D37"/>
    <w:rsid w:val="002802DA"/>
    <w:rsid w:val="002802EC"/>
    <w:rsid w:val="00280CFF"/>
    <w:rsid w:val="002810D4"/>
    <w:rsid w:val="00282BB9"/>
    <w:rsid w:val="00283280"/>
    <w:rsid w:val="002839F8"/>
    <w:rsid w:val="00285969"/>
    <w:rsid w:val="00286784"/>
    <w:rsid w:val="0029020F"/>
    <w:rsid w:val="0029024E"/>
    <w:rsid w:val="002913CD"/>
    <w:rsid w:val="00291CA1"/>
    <w:rsid w:val="00292915"/>
    <w:rsid w:val="00293399"/>
    <w:rsid w:val="002933E7"/>
    <w:rsid w:val="00294472"/>
    <w:rsid w:val="00295427"/>
    <w:rsid w:val="00295573"/>
    <w:rsid w:val="00296A41"/>
    <w:rsid w:val="00297207"/>
    <w:rsid w:val="002A06F8"/>
    <w:rsid w:val="002A1370"/>
    <w:rsid w:val="002A4683"/>
    <w:rsid w:val="002A4A50"/>
    <w:rsid w:val="002A4C32"/>
    <w:rsid w:val="002A4D71"/>
    <w:rsid w:val="002A5A11"/>
    <w:rsid w:val="002A5C9C"/>
    <w:rsid w:val="002A71E2"/>
    <w:rsid w:val="002A74EF"/>
    <w:rsid w:val="002A782A"/>
    <w:rsid w:val="002B2645"/>
    <w:rsid w:val="002B3829"/>
    <w:rsid w:val="002B4E65"/>
    <w:rsid w:val="002B567A"/>
    <w:rsid w:val="002B5BFF"/>
    <w:rsid w:val="002B7163"/>
    <w:rsid w:val="002B7679"/>
    <w:rsid w:val="002B76E9"/>
    <w:rsid w:val="002B7919"/>
    <w:rsid w:val="002C22C0"/>
    <w:rsid w:val="002C22EF"/>
    <w:rsid w:val="002C375A"/>
    <w:rsid w:val="002C38BC"/>
    <w:rsid w:val="002C4C94"/>
    <w:rsid w:val="002C54DA"/>
    <w:rsid w:val="002C6285"/>
    <w:rsid w:val="002D055C"/>
    <w:rsid w:val="002D075C"/>
    <w:rsid w:val="002D1318"/>
    <w:rsid w:val="002D2888"/>
    <w:rsid w:val="002D53CE"/>
    <w:rsid w:val="002D6B1D"/>
    <w:rsid w:val="002E0319"/>
    <w:rsid w:val="002E1006"/>
    <w:rsid w:val="002E11F2"/>
    <w:rsid w:val="002E15F2"/>
    <w:rsid w:val="002E1C35"/>
    <w:rsid w:val="002E24B8"/>
    <w:rsid w:val="002E3119"/>
    <w:rsid w:val="002E3DE9"/>
    <w:rsid w:val="002E454C"/>
    <w:rsid w:val="002E6C01"/>
    <w:rsid w:val="002E6E1B"/>
    <w:rsid w:val="002E76CE"/>
    <w:rsid w:val="002F04B0"/>
    <w:rsid w:val="002F0F69"/>
    <w:rsid w:val="002F1B78"/>
    <w:rsid w:val="002F2B3B"/>
    <w:rsid w:val="002F4146"/>
    <w:rsid w:val="002F5A12"/>
    <w:rsid w:val="002F617F"/>
    <w:rsid w:val="002F7441"/>
    <w:rsid w:val="002F7AA6"/>
    <w:rsid w:val="00300109"/>
    <w:rsid w:val="00301755"/>
    <w:rsid w:val="003026E1"/>
    <w:rsid w:val="00304FBF"/>
    <w:rsid w:val="00305040"/>
    <w:rsid w:val="003059DF"/>
    <w:rsid w:val="00305D4C"/>
    <w:rsid w:val="0030665E"/>
    <w:rsid w:val="00306894"/>
    <w:rsid w:val="00307595"/>
    <w:rsid w:val="00307673"/>
    <w:rsid w:val="00307818"/>
    <w:rsid w:val="003122F4"/>
    <w:rsid w:val="003124B0"/>
    <w:rsid w:val="0031279F"/>
    <w:rsid w:val="003136AE"/>
    <w:rsid w:val="00313FA1"/>
    <w:rsid w:val="0031431B"/>
    <w:rsid w:val="00314933"/>
    <w:rsid w:val="0031552B"/>
    <w:rsid w:val="003212C8"/>
    <w:rsid w:val="00321B18"/>
    <w:rsid w:val="0032236A"/>
    <w:rsid w:val="0032287A"/>
    <w:rsid w:val="003233DF"/>
    <w:rsid w:val="00323ECB"/>
    <w:rsid w:val="00326852"/>
    <w:rsid w:val="003268D5"/>
    <w:rsid w:val="00326DAC"/>
    <w:rsid w:val="003276DB"/>
    <w:rsid w:val="00327FE0"/>
    <w:rsid w:val="003317E4"/>
    <w:rsid w:val="00331F9A"/>
    <w:rsid w:val="003321DE"/>
    <w:rsid w:val="00333602"/>
    <w:rsid w:val="003342FC"/>
    <w:rsid w:val="00334E72"/>
    <w:rsid w:val="0033591B"/>
    <w:rsid w:val="00335AEC"/>
    <w:rsid w:val="00335B8A"/>
    <w:rsid w:val="00336F3E"/>
    <w:rsid w:val="00340009"/>
    <w:rsid w:val="00342CAE"/>
    <w:rsid w:val="00343D35"/>
    <w:rsid w:val="003448F6"/>
    <w:rsid w:val="00347995"/>
    <w:rsid w:val="00350759"/>
    <w:rsid w:val="00351198"/>
    <w:rsid w:val="00351E91"/>
    <w:rsid w:val="00354090"/>
    <w:rsid w:val="00354749"/>
    <w:rsid w:val="00354D27"/>
    <w:rsid w:val="003562C6"/>
    <w:rsid w:val="00356CCF"/>
    <w:rsid w:val="003571C3"/>
    <w:rsid w:val="0035738A"/>
    <w:rsid w:val="00360A1F"/>
    <w:rsid w:val="00360F3C"/>
    <w:rsid w:val="0036226E"/>
    <w:rsid w:val="0036278D"/>
    <w:rsid w:val="003629DC"/>
    <w:rsid w:val="003635F6"/>
    <w:rsid w:val="00365167"/>
    <w:rsid w:val="00365914"/>
    <w:rsid w:val="003703D2"/>
    <w:rsid w:val="003703F3"/>
    <w:rsid w:val="003708E2"/>
    <w:rsid w:val="003709DF"/>
    <w:rsid w:val="003713DD"/>
    <w:rsid w:val="00371BEC"/>
    <w:rsid w:val="00376B97"/>
    <w:rsid w:val="00381483"/>
    <w:rsid w:val="00381B08"/>
    <w:rsid w:val="00382117"/>
    <w:rsid w:val="003829B0"/>
    <w:rsid w:val="00382F63"/>
    <w:rsid w:val="00383907"/>
    <w:rsid w:val="003848FD"/>
    <w:rsid w:val="00385000"/>
    <w:rsid w:val="003858A6"/>
    <w:rsid w:val="003860B3"/>
    <w:rsid w:val="00386ACF"/>
    <w:rsid w:val="00386F5E"/>
    <w:rsid w:val="003905A7"/>
    <w:rsid w:val="0039132F"/>
    <w:rsid w:val="003914D6"/>
    <w:rsid w:val="00391BE4"/>
    <w:rsid w:val="0039206D"/>
    <w:rsid w:val="003921E8"/>
    <w:rsid w:val="00392351"/>
    <w:rsid w:val="00392733"/>
    <w:rsid w:val="00392DCC"/>
    <w:rsid w:val="0039346F"/>
    <w:rsid w:val="00394A7C"/>
    <w:rsid w:val="003968A4"/>
    <w:rsid w:val="00396BD1"/>
    <w:rsid w:val="003A0373"/>
    <w:rsid w:val="003A0CF6"/>
    <w:rsid w:val="003A1678"/>
    <w:rsid w:val="003A1D77"/>
    <w:rsid w:val="003A3EAF"/>
    <w:rsid w:val="003A47B5"/>
    <w:rsid w:val="003A52F9"/>
    <w:rsid w:val="003A5B36"/>
    <w:rsid w:val="003A5CEA"/>
    <w:rsid w:val="003A6480"/>
    <w:rsid w:val="003A6AFC"/>
    <w:rsid w:val="003A6D92"/>
    <w:rsid w:val="003A7841"/>
    <w:rsid w:val="003B081A"/>
    <w:rsid w:val="003B24F1"/>
    <w:rsid w:val="003B2821"/>
    <w:rsid w:val="003B3D44"/>
    <w:rsid w:val="003B4ED8"/>
    <w:rsid w:val="003B505B"/>
    <w:rsid w:val="003B53BC"/>
    <w:rsid w:val="003B6C7D"/>
    <w:rsid w:val="003B6F5A"/>
    <w:rsid w:val="003B7525"/>
    <w:rsid w:val="003B7A42"/>
    <w:rsid w:val="003C09B3"/>
    <w:rsid w:val="003C1048"/>
    <w:rsid w:val="003C24B4"/>
    <w:rsid w:val="003C3294"/>
    <w:rsid w:val="003C36C5"/>
    <w:rsid w:val="003C412D"/>
    <w:rsid w:val="003C4A8B"/>
    <w:rsid w:val="003C6D60"/>
    <w:rsid w:val="003C76EB"/>
    <w:rsid w:val="003C7FE8"/>
    <w:rsid w:val="003D360E"/>
    <w:rsid w:val="003D373B"/>
    <w:rsid w:val="003D444C"/>
    <w:rsid w:val="003D50D8"/>
    <w:rsid w:val="003D77F9"/>
    <w:rsid w:val="003E07B7"/>
    <w:rsid w:val="003E1A51"/>
    <w:rsid w:val="003E20D6"/>
    <w:rsid w:val="003E2BE2"/>
    <w:rsid w:val="003E4D87"/>
    <w:rsid w:val="003E54CB"/>
    <w:rsid w:val="003E5CE2"/>
    <w:rsid w:val="003E5FBE"/>
    <w:rsid w:val="003E6150"/>
    <w:rsid w:val="003F0335"/>
    <w:rsid w:val="003F0D76"/>
    <w:rsid w:val="003F1354"/>
    <w:rsid w:val="003F197D"/>
    <w:rsid w:val="003F1E27"/>
    <w:rsid w:val="003F4996"/>
    <w:rsid w:val="003F5A4B"/>
    <w:rsid w:val="003F5D8A"/>
    <w:rsid w:val="00401082"/>
    <w:rsid w:val="0040124D"/>
    <w:rsid w:val="00401269"/>
    <w:rsid w:val="00401E80"/>
    <w:rsid w:val="0040350C"/>
    <w:rsid w:val="004046C9"/>
    <w:rsid w:val="004051F1"/>
    <w:rsid w:val="00405477"/>
    <w:rsid w:val="004054B8"/>
    <w:rsid w:val="00407751"/>
    <w:rsid w:val="004111C6"/>
    <w:rsid w:val="00412249"/>
    <w:rsid w:val="0041436E"/>
    <w:rsid w:val="00415618"/>
    <w:rsid w:val="004161A9"/>
    <w:rsid w:val="00416678"/>
    <w:rsid w:val="00416762"/>
    <w:rsid w:val="00416A86"/>
    <w:rsid w:val="00416E55"/>
    <w:rsid w:val="00417678"/>
    <w:rsid w:val="00420693"/>
    <w:rsid w:val="004208D1"/>
    <w:rsid w:val="004220E7"/>
    <w:rsid w:val="00422440"/>
    <w:rsid w:val="004231A8"/>
    <w:rsid w:val="0042492C"/>
    <w:rsid w:val="0042518A"/>
    <w:rsid w:val="00425FCD"/>
    <w:rsid w:val="00426F28"/>
    <w:rsid w:val="004274A6"/>
    <w:rsid w:val="004276A0"/>
    <w:rsid w:val="00434A48"/>
    <w:rsid w:val="004351D0"/>
    <w:rsid w:val="00436114"/>
    <w:rsid w:val="00436E2A"/>
    <w:rsid w:val="004371C3"/>
    <w:rsid w:val="00437E54"/>
    <w:rsid w:val="004403A1"/>
    <w:rsid w:val="0044144B"/>
    <w:rsid w:val="00441C60"/>
    <w:rsid w:val="00443DCF"/>
    <w:rsid w:val="00444B8D"/>
    <w:rsid w:val="00444F54"/>
    <w:rsid w:val="00445265"/>
    <w:rsid w:val="004464AB"/>
    <w:rsid w:val="00446793"/>
    <w:rsid w:val="0044685C"/>
    <w:rsid w:val="0044762D"/>
    <w:rsid w:val="00450863"/>
    <w:rsid w:val="00450EDF"/>
    <w:rsid w:val="00452CE4"/>
    <w:rsid w:val="004559CE"/>
    <w:rsid w:val="0045636A"/>
    <w:rsid w:val="004566DC"/>
    <w:rsid w:val="0045673C"/>
    <w:rsid w:val="00456FBA"/>
    <w:rsid w:val="00460D9D"/>
    <w:rsid w:val="00460E1A"/>
    <w:rsid w:val="0046319C"/>
    <w:rsid w:val="00463739"/>
    <w:rsid w:val="00463DF8"/>
    <w:rsid w:val="0046453C"/>
    <w:rsid w:val="00464D63"/>
    <w:rsid w:val="004663CA"/>
    <w:rsid w:val="00467446"/>
    <w:rsid w:val="004713D5"/>
    <w:rsid w:val="00471445"/>
    <w:rsid w:val="00471562"/>
    <w:rsid w:val="004720C9"/>
    <w:rsid w:val="004726E6"/>
    <w:rsid w:val="00475085"/>
    <w:rsid w:val="0047628B"/>
    <w:rsid w:val="00476814"/>
    <w:rsid w:val="00476CF6"/>
    <w:rsid w:val="00476E7B"/>
    <w:rsid w:val="00477AA8"/>
    <w:rsid w:val="00477FC7"/>
    <w:rsid w:val="00480310"/>
    <w:rsid w:val="004805CC"/>
    <w:rsid w:val="00481522"/>
    <w:rsid w:val="0048240A"/>
    <w:rsid w:val="00483EA4"/>
    <w:rsid w:val="00485B7D"/>
    <w:rsid w:val="00486096"/>
    <w:rsid w:val="00487366"/>
    <w:rsid w:val="00487C74"/>
    <w:rsid w:val="00490E2C"/>
    <w:rsid w:val="00491102"/>
    <w:rsid w:val="00492B84"/>
    <w:rsid w:val="00492E4C"/>
    <w:rsid w:val="00492FCB"/>
    <w:rsid w:val="004940C0"/>
    <w:rsid w:val="004946AE"/>
    <w:rsid w:val="00494773"/>
    <w:rsid w:val="004951D1"/>
    <w:rsid w:val="004979E8"/>
    <w:rsid w:val="004A04B7"/>
    <w:rsid w:val="004A0F11"/>
    <w:rsid w:val="004A17D3"/>
    <w:rsid w:val="004A1FDF"/>
    <w:rsid w:val="004A2792"/>
    <w:rsid w:val="004A388B"/>
    <w:rsid w:val="004A3EAA"/>
    <w:rsid w:val="004A4256"/>
    <w:rsid w:val="004A4965"/>
    <w:rsid w:val="004A571C"/>
    <w:rsid w:val="004A6286"/>
    <w:rsid w:val="004A695F"/>
    <w:rsid w:val="004A7D97"/>
    <w:rsid w:val="004B042D"/>
    <w:rsid w:val="004B47A6"/>
    <w:rsid w:val="004B4858"/>
    <w:rsid w:val="004B5133"/>
    <w:rsid w:val="004B67B0"/>
    <w:rsid w:val="004B684B"/>
    <w:rsid w:val="004B6A63"/>
    <w:rsid w:val="004B6BAD"/>
    <w:rsid w:val="004B6CFA"/>
    <w:rsid w:val="004B7016"/>
    <w:rsid w:val="004C0283"/>
    <w:rsid w:val="004C13A0"/>
    <w:rsid w:val="004C20AA"/>
    <w:rsid w:val="004C41B6"/>
    <w:rsid w:val="004C4246"/>
    <w:rsid w:val="004C490C"/>
    <w:rsid w:val="004C57B0"/>
    <w:rsid w:val="004C6763"/>
    <w:rsid w:val="004D04B7"/>
    <w:rsid w:val="004D082F"/>
    <w:rsid w:val="004D0D91"/>
    <w:rsid w:val="004D17C8"/>
    <w:rsid w:val="004D2212"/>
    <w:rsid w:val="004D2D1E"/>
    <w:rsid w:val="004D4189"/>
    <w:rsid w:val="004D530C"/>
    <w:rsid w:val="004D57F3"/>
    <w:rsid w:val="004D656A"/>
    <w:rsid w:val="004D6CBA"/>
    <w:rsid w:val="004D6E37"/>
    <w:rsid w:val="004D797C"/>
    <w:rsid w:val="004E00EA"/>
    <w:rsid w:val="004E0376"/>
    <w:rsid w:val="004E178B"/>
    <w:rsid w:val="004E343F"/>
    <w:rsid w:val="004E3DC9"/>
    <w:rsid w:val="004E4792"/>
    <w:rsid w:val="004E7115"/>
    <w:rsid w:val="004F4B92"/>
    <w:rsid w:val="004F677D"/>
    <w:rsid w:val="004F6917"/>
    <w:rsid w:val="004F7264"/>
    <w:rsid w:val="00501C49"/>
    <w:rsid w:val="00503917"/>
    <w:rsid w:val="005039BA"/>
    <w:rsid w:val="00503E72"/>
    <w:rsid w:val="00505646"/>
    <w:rsid w:val="005077B6"/>
    <w:rsid w:val="00507EB3"/>
    <w:rsid w:val="00510566"/>
    <w:rsid w:val="00510F88"/>
    <w:rsid w:val="00511AFF"/>
    <w:rsid w:val="00514158"/>
    <w:rsid w:val="00514E58"/>
    <w:rsid w:val="00514FF9"/>
    <w:rsid w:val="0051617E"/>
    <w:rsid w:val="00516785"/>
    <w:rsid w:val="00520E48"/>
    <w:rsid w:val="00521443"/>
    <w:rsid w:val="00521BAD"/>
    <w:rsid w:val="00521FD4"/>
    <w:rsid w:val="0052285B"/>
    <w:rsid w:val="0052310E"/>
    <w:rsid w:val="0052419D"/>
    <w:rsid w:val="00524F3D"/>
    <w:rsid w:val="005254F7"/>
    <w:rsid w:val="00526AE1"/>
    <w:rsid w:val="00527F0E"/>
    <w:rsid w:val="005301F8"/>
    <w:rsid w:val="005312FC"/>
    <w:rsid w:val="0053232A"/>
    <w:rsid w:val="0053232B"/>
    <w:rsid w:val="00532A70"/>
    <w:rsid w:val="00532D78"/>
    <w:rsid w:val="00532E7E"/>
    <w:rsid w:val="005346E1"/>
    <w:rsid w:val="00535625"/>
    <w:rsid w:val="0053569E"/>
    <w:rsid w:val="0053603D"/>
    <w:rsid w:val="0053742A"/>
    <w:rsid w:val="00537C85"/>
    <w:rsid w:val="00537EEA"/>
    <w:rsid w:val="00540121"/>
    <w:rsid w:val="005410EE"/>
    <w:rsid w:val="00541D29"/>
    <w:rsid w:val="00544DF8"/>
    <w:rsid w:val="00546BB3"/>
    <w:rsid w:val="00550624"/>
    <w:rsid w:val="005510D6"/>
    <w:rsid w:val="0055163A"/>
    <w:rsid w:val="00553923"/>
    <w:rsid w:val="00553C26"/>
    <w:rsid w:val="0055517E"/>
    <w:rsid w:val="005553B9"/>
    <w:rsid w:val="00555862"/>
    <w:rsid w:val="005559A6"/>
    <w:rsid w:val="00555FA7"/>
    <w:rsid w:val="00556C72"/>
    <w:rsid w:val="00557191"/>
    <w:rsid w:val="00560604"/>
    <w:rsid w:val="00561500"/>
    <w:rsid w:val="0056160E"/>
    <w:rsid w:val="0056238E"/>
    <w:rsid w:val="00562E73"/>
    <w:rsid w:val="00562F17"/>
    <w:rsid w:val="005641A2"/>
    <w:rsid w:val="0056449B"/>
    <w:rsid w:val="005652E3"/>
    <w:rsid w:val="005657E0"/>
    <w:rsid w:val="0056582C"/>
    <w:rsid w:val="0056617F"/>
    <w:rsid w:val="00566A56"/>
    <w:rsid w:val="005726B1"/>
    <w:rsid w:val="005738FC"/>
    <w:rsid w:val="0057498F"/>
    <w:rsid w:val="00580D0F"/>
    <w:rsid w:val="00582519"/>
    <w:rsid w:val="0058282C"/>
    <w:rsid w:val="00582DD7"/>
    <w:rsid w:val="005849D2"/>
    <w:rsid w:val="00584A15"/>
    <w:rsid w:val="00585FF5"/>
    <w:rsid w:val="005868DE"/>
    <w:rsid w:val="005877AC"/>
    <w:rsid w:val="005911F7"/>
    <w:rsid w:val="0059263A"/>
    <w:rsid w:val="005966B7"/>
    <w:rsid w:val="00596E9F"/>
    <w:rsid w:val="005A107C"/>
    <w:rsid w:val="005A1B19"/>
    <w:rsid w:val="005A1B3C"/>
    <w:rsid w:val="005A32F7"/>
    <w:rsid w:val="005A65AA"/>
    <w:rsid w:val="005B24AA"/>
    <w:rsid w:val="005B46A4"/>
    <w:rsid w:val="005B4A15"/>
    <w:rsid w:val="005B4BD7"/>
    <w:rsid w:val="005B5E2A"/>
    <w:rsid w:val="005B5FE7"/>
    <w:rsid w:val="005B6ABD"/>
    <w:rsid w:val="005B7E9A"/>
    <w:rsid w:val="005C02A4"/>
    <w:rsid w:val="005C06B9"/>
    <w:rsid w:val="005C13F0"/>
    <w:rsid w:val="005C146F"/>
    <w:rsid w:val="005C1AB4"/>
    <w:rsid w:val="005C1E28"/>
    <w:rsid w:val="005C20D2"/>
    <w:rsid w:val="005C32FE"/>
    <w:rsid w:val="005C3910"/>
    <w:rsid w:val="005C4CC1"/>
    <w:rsid w:val="005C4DE5"/>
    <w:rsid w:val="005C503A"/>
    <w:rsid w:val="005C6175"/>
    <w:rsid w:val="005C651B"/>
    <w:rsid w:val="005C665D"/>
    <w:rsid w:val="005C78FE"/>
    <w:rsid w:val="005D024A"/>
    <w:rsid w:val="005D1185"/>
    <w:rsid w:val="005D1363"/>
    <w:rsid w:val="005D173C"/>
    <w:rsid w:val="005D3070"/>
    <w:rsid w:val="005D32FA"/>
    <w:rsid w:val="005D371A"/>
    <w:rsid w:val="005D4277"/>
    <w:rsid w:val="005D4AA3"/>
    <w:rsid w:val="005D4FD4"/>
    <w:rsid w:val="005D53A8"/>
    <w:rsid w:val="005D562D"/>
    <w:rsid w:val="005D65BE"/>
    <w:rsid w:val="005D6A2D"/>
    <w:rsid w:val="005D6D64"/>
    <w:rsid w:val="005E1DEF"/>
    <w:rsid w:val="005E23B4"/>
    <w:rsid w:val="005E3FA5"/>
    <w:rsid w:val="005E462C"/>
    <w:rsid w:val="005E475D"/>
    <w:rsid w:val="005E4B5D"/>
    <w:rsid w:val="005E5A2D"/>
    <w:rsid w:val="005E618C"/>
    <w:rsid w:val="005F12AE"/>
    <w:rsid w:val="005F28E0"/>
    <w:rsid w:val="005F3820"/>
    <w:rsid w:val="005F4237"/>
    <w:rsid w:val="005F56D2"/>
    <w:rsid w:val="005F71DD"/>
    <w:rsid w:val="00600B63"/>
    <w:rsid w:val="00600BF8"/>
    <w:rsid w:val="00601650"/>
    <w:rsid w:val="00602EAC"/>
    <w:rsid w:val="00603FB1"/>
    <w:rsid w:val="00604A93"/>
    <w:rsid w:val="00604B13"/>
    <w:rsid w:val="00604EEF"/>
    <w:rsid w:val="006057DE"/>
    <w:rsid w:val="00605AFD"/>
    <w:rsid w:val="006074E8"/>
    <w:rsid w:val="006079BC"/>
    <w:rsid w:val="0061084F"/>
    <w:rsid w:val="00610CD1"/>
    <w:rsid w:val="006119A4"/>
    <w:rsid w:val="006121F0"/>
    <w:rsid w:val="006123D4"/>
    <w:rsid w:val="006131FD"/>
    <w:rsid w:val="00614450"/>
    <w:rsid w:val="0061445B"/>
    <w:rsid w:val="00615C30"/>
    <w:rsid w:val="006163DC"/>
    <w:rsid w:val="006173CC"/>
    <w:rsid w:val="00622654"/>
    <w:rsid w:val="0062285F"/>
    <w:rsid w:val="0062448B"/>
    <w:rsid w:val="00624827"/>
    <w:rsid w:val="00624C4B"/>
    <w:rsid w:val="006251F6"/>
    <w:rsid w:val="00625384"/>
    <w:rsid w:val="006275FE"/>
    <w:rsid w:val="00627876"/>
    <w:rsid w:val="0063107A"/>
    <w:rsid w:val="00635934"/>
    <w:rsid w:val="00636E60"/>
    <w:rsid w:val="00636F4D"/>
    <w:rsid w:val="00637195"/>
    <w:rsid w:val="006377DE"/>
    <w:rsid w:val="0063792E"/>
    <w:rsid w:val="00637CFE"/>
    <w:rsid w:val="00640D13"/>
    <w:rsid w:val="006423B3"/>
    <w:rsid w:val="00642547"/>
    <w:rsid w:val="006428A7"/>
    <w:rsid w:val="006428BE"/>
    <w:rsid w:val="00643D5F"/>
    <w:rsid w:val="00644C25"/>
    <w:rsid w:val="00645E36"/>
    <w:rsid w:val="006461C7"/>
    <w:rsid w:val="0065001C"/>
    <w:rsid w:val="00650147"/>
    <w:rsid w:val="006536E3"/>
    <w:rsid w:val="00655025"/>
    <w:rsid w:val="00655EAB"/>
    <w:rsid w:val="006564D3"/>
    <w:rsid w:val="00660CBF"/>
    <w:rsid w:val="00661483"/>
    <w:rsid w:val="00662539"/>
    <w:rsid w:val="00663317"/>
    <w:rsid w:val="00664B32"/>
    <w:rsid w:val="00665234"/>
    <w:rsid w:val="00670DB2"/>
    <w:rsid w:val="006717A0"/>
    <w:rsid w:val="00671E5A"/>
    <w:rsid w:val="006743B5"/>
    <w:rsid w:val="00675EDA"/>
    <w:rsid w:val="0067622C"/>
    <w:rsid w:val="00677E55"/>
    <w:rsid w:val="00685CF7"/>
    <w:rsid w:val="00685D1E"/>
    <w:rsid w:val="00686165"/>
    <w:rsid w:val="00691CB5"/>
    <w:rsid w:val="006923DF"/>
    <w:rsid w:val="00693209"/>
    <w:rsid w:val="00693475"/>
    <w:rsid w:val="00694427"/>
    <w:rsid w:val="00694DCA"/>
    <w:rsid w:val="006959F9"/>
    <w:rsid w:val="00696473"/>
    <w:rsid w:val="006968B1"/>
    <w:rsid w:val="006A03A2"/>
    <w:rsid w:val="006A1156"/>
    <w:rsid w:val="006A37F5"/>
    <w:rsid w:val="006A564E"/>
    <w:rsid w:val="006A6DE6"/>
    <w:rsid w:val="006B217E"/>
    <w:rsid w:val="006B38FF"/>
    <w:rsid w:val="006B48C4"/>
    <w:rsid w:val="006B55EE"/>
    <w:rsid w:val="006B59B1"/>
    <w:rsid w:val="006B6A66"/>
    <w:rsid w:val="006C0734"/>
    <w:rsid w:val="006C0BB5"/>
    <w:rsid w:val="006C0CFF"/>
    <w:rsid w:val="006C130F"/>
    <w:rsid w:val="006C172F"/>
    <w:rsid w:val="006C1892"/>
    <w:rsid w:val="006C1A72"/>
    <w:rsid w:val="006C308A"/>
    <w:rsid w:val="006C3123"/>
    <w:rsid w:val="006C5B73"/>
    <w:rsid w:val="006C645D"/>
    <w:rsid w:val="006C66E5"/>
    <w:rsid w:val="006C6B90"/>
    <w:rsid w:val="006C6FD3"/>
    <w:rsid w:val="006C71CD"/>
    <w:rsid w:val="006D1EB1"/>
    <w:rsid w:val="006D225A"/>
    <w:rsid w:val="006D25B7"/>
    <w:rsid w:val="006D36DC"/>
    <w:rsid w:val="006D379C"/>
    <w:rsid w:val="006D3AB2"/>
    <w:rsid w:val="006D3C99"/>
    <w:rsid w:val="006D4825"/>
    <w:rsid w:val="006D617B"/>
    <w:rsid w:val="006D658D"/>
    <w:rsid w:val="006D6FFE"/>
    <w:rsid w:val="006D70E5"/>
    <w:rsid w:val="006E020B"/>
    <w:rsid w:val="006E1C84"/>
    <w:rsid w:val="006E2D2A"/>
    <w:rsid w:val="006E2FD0"/>
    <w:rsid w:val="006E3CC3"/>
    <w:rsid w:val="006E420A"/>
    <w:rsid w:val="006E46CF"/>
    <w:rsid w:val="006E486F"/>
    <w:rsid w:val="006E5C03"/>
    <w:rsid w:val="006E6F62"/>
    <w:rsid w:val="006E7FD6"/>
    <w:rsid w:val="006F1DBE"/>
    <w:rsid w:val="006F1F0F"/>
    <w:rsid w:val="006F2213"/>
    <w:rsid w:val="006F264E"/>
    <w:rsid w:val="006F2E41"/>
    <w:rsid w:val="006F49D3"/>
    <w:rsid w:val="006F4D62"/>
    <w:rsid w:val="006F5F11"/>
    <w:rsid w:val="006F7D25"/>
    <w:rsid w:val="00700514"/>
    <w:rsid w:val="007009C0"/>
    <w:rsid w:val="007017E3"/>
    <w:rsid w:val="00703694"/>
    <w:rsid w:val="007037A0"/>
    <w:rsid w:val="007041E3"/>
    <w:rsid w:val="00704D45"/>
    <w:rsid w:val="00705883"/>
    <w:rsid w:val="007062BC"/>
    <w:rsid w:val="007067DB"/>
    <w:rsid w:val="00706E8E"/>
    <w:rsid w:val="00710063"/>
    <w:rsid w:val="007108A7"/>
    <w:rsid w:val="00710ABE"/>
    <w:rsid w:val="00711A89"/>
    <w:rsid w:val="007126E0"/>
    <w:rsid w:val="00712B98"/>
    <w:rsid w:val="0071401E"/>
    <w:rsid w:val="007140AD"/>
    <w:rsid w:val="00715251"/>
    <w:rsid w:val="0071565B"/>
    <w:rsid w:val="00715CBD"/>
    <w:rsid w:val="007164F6"/>
    <w:rsid w:val="00716E14"/>
    <w:rsid w:val="0071701A"/>
    <w:rsid w:val="00722B53"/>
    <w:rsid w:val="0072382B"/>
    <w:rsid w:val="00723D36"/>
    <w:rsid w:val="007245BA"/>
    <w:rsid w:val="00726229"/>
    <w:rsid w:val="007262CC"/>
    <w:rsid w:val="0072632D"/>
    <w:rsid w:val="00730191"/>
    <w:rsid w:val="00730B49"/>
    <w:rsid w:val="007318CA"/>
    <w:rsid w:val="007331C0"/>
    <w:rsid w:val="00734951"/>
    <w:rsid w:val="00736BEF"/>
    <w:rsid w:val="0074009D"/>
    <w:rsid w:val="0074197C"/>
    <w:rsid w:val="00743613"/>
    <w:rsid w:val="00743C52"/>
    <w:rsid w:val="00743FF3"/>
    <w:rsid w:val="00746A42"/>
    <w:rsid w:val="007476F1"/>
    <w:rsid w:val="007509DD"/>
    <w:rsid w:val="00751125"/>
    <w:rsid w:val="0075263C"/>
    <w:rsid w:val="00755B0D"/>
    <w:rsid w:val="007564B8"/>
    <w:rsid w:val="0076122C"/>
    <w:rsid w:val="007624CD"/>
    <w:rsid w:val="00762CF8"/>
    <w:rsid w:val="00762DA2"/>
    <w:rsid w:val="00763474"/>
    <w:rsid w:val="007666DA"/>
    <w:rsid w:val="00771798"/>
    <w:rsid w:val="007725AF"/>
    <w:rsid w:val="00773239"/>
    <w:rsid w:val="007744D4"/>
    <w:rsid w:val="007749E7"/>
    <w:rsid w:val="00774F4E"/>
    <w:rsid w:val="007750E2"/>
    <w:rsid w:val="00775CC3"/>
    <w:rsid w:val="00775DF4"/>
    <w:rsid w:val="00780DF2"/>
    <w:rsid w:val="007810E5"/>
    <w:rsid w:val="00781774"/>
    <w:rsid w:val="0078301C"/>
    <w:rsid w:val="007836B1"/>
    <w:rsid w:val="007837F3"/>
    <w:rsid w:val="00783DE6"/>
    <w:rsid w:val="00784B66"/>
    <w:rsid w:val="00784C0A"/>
    <w:rsid w:val="00785EB3"/>
    <w:rsid w:val="00786122"/>
    <w:rsid w:val="00786BCF"/>
    <w:rsid w:val="00786C0C"/>
    <w:rsid w:val="007906F5"/>
    <w:rsid w:val="00790DBC"/>
    <w:rsid w:val="00793743"/>
    <w:rsid w:val="00793BB7"/>
    <w:rsid w:val="007942F5"/>
    <w:rsid w:val="00794B40"/>
    <w:rsid w:val="0079588F"/>
    <w:rsid w:val="00795D12"/>
    <w:rsid w:val="00797B5D"/>
    <w:rsid w:val="007A01D4"/>
    <w:rsid w:val="007A03B7"/>
    <w:rsid w:val="007A1079"/>
    <w:rsid w:val="007A2064"/>
    <w:rsid w:val="007A43A7"/>
    <w:rsid w:val="007B055A"/>
    <w:rsid w:val="007B05A8"/>
    <w:rsid w:val="007B169A"/>
    <w:rsid w:val="007B1D7E"/>
    <w:rsid w:val="007B2677"/>
    <w:rsid w:val="007B3EFE"/>
    <w:rsid w:val="007B5D3D"/>
    <w:rsid w:val="007B76AB"/>
    <w:rsid w:val="007B7EAA"/>
    <w:rsid w:val="007C2293"/>
    <w:rsid w:val="007C2BE0"/>
    <w:rsid w:val="007C32C2"/>
    <w:rsid w:val="007C3EC2"/>
    <w:rsid w:val="007C4CAA"/>
    <w:rsid w:val="007C69A5"/>
    <w:rsid w:val="007C6C6D"/>
    <w:rsid w:val="007C76C7"/>
    <w:rsid w:val="007C76FB"/>
    <w:rsid w:val="007D0BD3"/>
    <w:rsid w:val="007D22CD"/>
    <w:rsid w:val="007D4082"/>
    <w:rsid w:val="007D48A6"/>
    <w:rsid w:val="007D592B"/>
    <w:rsid w:val="007D5AA6"/>
    <w:rsid w:val="007D5BB2"/>
    <w:rsid w:val="007D7384"/>
    <w:rsid w:val="007D7A91"/>
    <w:rsid w:val="007D7BB4"/>
    <w:rsid w:val="007E255A"/>
    <w:rsid w:val="007E3059"/>
    <w:rsid w:val="007E32B9"/>
    <w:rsid w:val="007E3991"/>
    <w:rsid w:val="007E4B1B"/>
    <w:rsid w:val="007E4C0B"/>
    <w:rsid w:val="007E5DB4"/>
    <w:rsid w:val="007E609D"/>
    <w:rsid w:val="007E6187"/>
    <w:rsid w:val="007E6456"/>
    <w:rsid w:val="007F009A"/>
    <w:rsid w:val="007F257A"/>
    <w:rsid w:val="007F2EAB"/>
    <w:rsid w:val="007F38C7"/>
    <w:rsid w:val="007F3B41"/>
    <w:rsid w:val="007F58BC"/>
    <w:rsid w:val="007F5EA0"/>
    <w:rsid w:val="007F7094"/>
    <w:rsid w:val="007F71C2"/>
    <w:rsid w:val="008002E5"/>
    <w:rsid w:val="00802081"/>
    <w:rsid w:val="00803C56"/>
    <w:rsid w:val="0080535F"/>
    <w:rsid w:val="00805C1D"/>
    <w:rsid w:val="00806359"/>
    <w:rsid w:val="008063A9"/>
    <w:rsid w:val="008065AC"/>
    <w:rsid w:val="00806763"/>
    <w:rsid w:val="00810685"/>
    <w:rsid w:val="00810E18"/>
    <w:rsid w:val="0081101E"/>
    <w:rsid w:val="00811087"/>
    <w:rsid w:val="00811943"/>
    <w:rsid w:val="00812B37"/>
    <w:rsid w:val="00815039"/>
    <w:rsid w:val="008152AC"/>
    <w:rsid w:val="00815D60"/>
    <w:rsid w:val="00815F0B"/>
    <w:rsid w:val="00815F15"/>
    <w:rsid w:val="00816C19"/>
    <w:rsid w:val="00817C4A"/>
    <w:rsid w:val="00821C0C"/>
    <w:rsid w:val="00822AE4"/>
    <w:rsid w:val="00823B1B"/>
    <w:rsid w:val="00825E78"/>
    <w:rsid w:val="00826343"/>
    <w:rsid w:val="008274CD"/>
    <w:rsid w:val="00831093"/>
    <w:rsid w:val="008311B8"/>
    <w:rsid w:val="00831276"/>
    <w:rsid w:val="008316A8"/>
    <w:rsid w:val="00832ED6"/>
    <w:rsid w:val="00833883"/>
    <w:rsid w:val="00833C53"/>
    <w:rsid w:val="00833F50"/>
    <w:rsid w:val="00834243"/>
    <w:rsid w:val="008342F7"/>
    <w:rsid w:val="00834635"/>
    <w:rsid w:val="00834DA1"/>
    <w:rsid w:val="00835C04"/>
    <w:rsid w:val="00835D5E"/>
    <w:rsid w:val="00836230"/>
    <w:rsid w:val="00837354"/>
    <w:rsid w:val="00841EB7"/>
    <w:rsid w:val="008453F3"/>
    <w:rsid w:val="008454A4"/>
    <w:rsid w:val="008457D1"/>
    <w:rsid w:val="00845A01"/>
    <w:rsid w:val="00845C8A"/>
    <w:rsid w:val="00847314"/>
    <w:rsid w:val="00847453"/>
    <w:rsid w:val="008502F2"/>
    <w:rsid w:val="00851669"/>
    <w:rsid w:val="00851AE0"/>
    <w:rsid w:val="008539C0"/>
    <w:rsid w:val="00853A2B"/>
    <w:rsid w:val="008542B5"/>
    <w:rsid w:val="008543B1"/>
    <w:rsid w:val="00856FAD"/>
    <w:rsid w:val="00857969"/>
    <w:rsid w:val="008605CB"/>
    <w:rsid w:val="0086094A"/>
    <w:rsid w:val="00860F35"/>
    <w:rsid w:val="008638D2"/>
    <w:rsid w:val="008644A6"/>
    <w:rsid w:val="0086534F"/>
    <w:rsid w:val="00866E84"/>
    <w:rsid w:val="00867DCE"/>
    <w:rsid w:val="00871549"/>
    <w:rsid w:val="00871920"/>
    <w:rsid w:val="00872B1F"/>
    <w:rsid w:val="00873464"/>
    <w:rsid w:val="00874BFB"/>
    <w:rsid w:val="008751DD"/>
    <w:rsid w:val="00875D1B"/>
    <w:rsid w:val="008766E8"/>
    <w:rsid w:val="00876D5B"/>
    <w:rsid w:val="008802D8"/>
    <w:rsid w:val="0088074A"/>
    <w:rsid w:val="00880F3B"/>
    <w:rsid w:val="008815D7"/>
    <w:rsid w:val="00881AE8"/>
    <w:rsid w:val="00882CC4"/>
    <w:rsid w:val="008842BC"/>
    <w:rsid w:val="008844AC"/>
    <w:rsid w:val="00887DB1"/>
    <w:rsid w:val="00890102"/>
    <w:rsid w:val="008941FD"/>
    <w:rsid w:val="00894202"/>
    <w:rsid w:val="008A03FF"/>
    <w:rsid w:val="008A261E"/>
    <w:rsid w:val="008A47F4"/>
    <w:rsid w:val="008A49DB"/>
    <w:rsid w:val="008A60CA"/>
    <w:rsid w:val="008A6D67"/>
    <w:rsid w:val="008A7E7D"/>
    <w:rsid w:val="008B06CB"/>
    <w:rsid w:val="008B08C3"/>
    <w:rsid w:val="008B1A33"/>
    <w:rsid w:val="008B2B7C"/>
    <w:rsid w:val="008B2E9D"/>
    <w:rsid w:val="008B459E"/>
    <w:rsid w:val="008B4971"/>
    <w:rsid w:val="008B4D5D"/>
    <w:rsid w:val="008B56EE"/>
    <w:rsid w:val="008C1466"/>
    <w:rsid w:val="008C2307"/>
    <w:rsid w:val="008C3058"/>
    <w:rsid w:val="008C32F0"/>
    <w:rsid w:val="008C4DCD"/>
    <w:rsid w:val="008C53BF"/>
    <w:rsid w:val="008C6532"/>
    <w:rsid w:val="008C7AB7"/>
    <w:rsid w:val="008C7B0D"/>
    <w:rsid w:val="008C7F71"/>
    <w:rsid w:val="008D2F76"/>
    <w:rsid w:val="008D31EC"/>
    <w:rsid w:val="008D339F"/>
    <w:rsid w:val="008D519A"/>
    <w:rsid w:val="008D7C62"/>
    <w:rsid w:val="008E139C"/>
    <w:rsid w:val="008E2A39"/>
    <w:rsid w:val="008E4ED3"/>
    <w:rsid w:val="008E6292"/>
    <w:rsid w:val="008E67E4"/>
    <w:rsid w:val="008E6995"/>
    <w:rsid w:val="008E6D52"/>
    <w:rsid w:val="008E7AAE"/>
    <w:rsid w:val="008F23EB"/>
    <w:rsid w:val="008F310F"/>
    <w:rsid w:val="008F4A92"/>
    <w:rsid w:val="008F5659"/>
    <w:rsid w:val="008F6A18"/>
    <w:rsid w:val="00901EAE"/>
    <w:rsid w:val="009029B5"/>
    <w:rsid w:val="009035DA"/>
    <w:rsid w:val="00904624"/>
    <w:rsid w:val="00904775"/>
    <w:rsid w:val="00906BCA"/>
    <w:rsid w:val="0090771E"/>
    <w:rsid w:val="00907D1B"/>
    <w:rsid w:val="00907EAD"/>
    <w:rsid w:val="00915110"/>
    <w:rsid w:val="00916BBB"/>
    <w:rsid w:val="00917E28"/>
    <w:rsid w:val="00917F9E"/>
    <w:rsid w:val="00920897"/>
    <w:rsid w:val="00920F7A"/>
    <w:rsid w:val="0092111C"/>
    <w:rsid w:val="0092143F"/>
    <w:rsid w:val="00921DEA"/>
    <w:rsid w:val="0092359D"/>
    <w:rsid w:val="00923FC6"/>
    <w:rsid w:val="00924284"/>
    <w:rsid w:val="00924711"/>
    <w:rsid w:val="00924E41"/>
    <w:rsid w:val="00925AA5"/>
    <w:rsid w:val="00927777"/>
    <w:rsid w:val="009324C2"/>
    <w:rsid w:val="00932E29"/>
    <w:rsid w:val="00932FF9"/>
    <w:rsid w:val="00934411"/>
    <w:rsid w:val="0093446E"/>
    <w:rsid w:val="00934BDB"/>
    <w:rsid w:val="0093540D"/>
    <w:rsid w:val="009360E2"/>
    <w:rsid w:val="0094019D"/>
    <w:rsid w:val="00941DEE"/>
    <w:rsid w:val="00941F97"/>
    <w:rsid w:val="00942C11"/>
    <w:rsid w:val="00942E9B"/>
    <w:rsid w:val="009431C5"/>
    <w:rsid w:val="009432FD"/>
    <w:rsid w:val="0094351F"/>
    <w:rsid w:val="009456AA"/>
    <w:rsid w:val="00947679"/>
    <w:rsid w:val="00950331"/>
    <w:rsid w:val="0095175F"/>
    <w:rsid w:val="009531D1"/>
    <w:rsid w:val="009547F8"/>
    <w:rsid w:val="009549EF"/>
    <w:rsid w:val="0095503F"/>
    <w:rsid w:val="009550DE"/>
    <w:rsid w:val="00955567"/>
    <w:rsid w:val="00956581"/>
    <w:rsid w:val="00956596"/>
    <w:rsid w:val="00956920"/>
    <w:rsid w:val="00956BD3"/>
    <w:rsid w:val="009577D8"/>
    <w:rsid w:val="00957D45"/>
    <w:rsid w:val="009615AD"/>
    <w:rsid w:val="00965EB2"/>
    <w:rsid w:val="00966AD2"/>
    <w:rsid w:val="0096760E"/>
    <w:rsid w:val="00971324"/>
    <w:rsid w:val="00971633"/>
    <w:rsid w:val="009729D4"/>
    <w:rsid w:val="00973C6D"/>
    <w:rsid w:val="00974403"/>
    <w:rsid w:val="00974938"/>
    <w:rsid w:val="00976D11"/>
    <w:rsid w:val="00976FBD"/>
    <w:rsid w:val="009776ED"/>
    <w:rsid w:val="00977FFD"/>
    <w:rsid w:val="00980759"/>
    <w:rsid w:val="009817B0"/>
    <w:rsid w:val="00982118"/>
    <w:rsid w:val="009821CE"/>
    <w:rsid w:val="00982846"/>
    <w:rsid w:val="0098332D"/>
    <w:rsid w:val="00983C88"/>
    <w:rsid w:val="0098461C"/>
    <w:rsid w:val="00985C61"/>
    <w:rsid w:val="00985DC7"/>
    <w:rsid w:val="0098629A"/>
    <w:rsid w:val="00986DD2"/>
    <w:rsid w:val="009920B9"/>
    <w:rsid w:val="009921F3"/>
    <w:rsid w:val="00992689"/>
    <w:rsid w:val="00992D6D"/>
    <w:rsid w:val="00992F2D"/>
    <w:rsid w:val="00993050"/>
    <w:rsid w:val="00993BE8"/>
    <w:rsid w:val="00994E35"/>
    <w:rsid w:val="009961B7"/>
    <w:rsid w:val="00996921"/>
    <w:rsid w:val="009A02B4"/>
    <w:rsid w:val="009A12A7"/>
    <w:rsid w:val="009A277C"/>
    <w:rsid w:val="009A358E"/>
    <w:rsid w:val="009A3D2E"/>
    <w:rsid w:val="009A4F11"/>
    <w:rsid w:val="009A658F"/>
    <w:rsid w:val="009A72E4"/>
    <w:rsid w:val="009A7B7F"/>
    <w:rsid w:val="009B430D"/>
    <w:rsid w:val="009B4540"/>
    <w:rsid w:val="009B6123"/>
    <w:rsid w:val="009B6138"/>
    <w:rsid w:val="009B61EB"/>
    <w:rsid w:val="009B6F39"/>
    <w:rsid w:val="009C0A3A"/>
    <w:rsid w:val="009C0E2D"/>
    <w:rsid w:val="009C4771"/>
    <w:rsid w:val="009C49F6"/>
    <w:rsid w:val="009C501C"/>
    <w:rsid w:val="009C56E0"/>
    <w:rsid w:val="009C582F"/>
    <w:rsid w:val="009C663C"/>
    <w:rsid w:val="009C678F"/>
    <w:rsid w:val="009D27ED"/>
    <w:rsid w:val="009D3161"/>
    <w:rsid w:val="009D3B1E"/>
    <w:rsid w:val="009D4BE6"/>
    <w:rsid w:val="009D5BC9"/>
    <w:rsid w:val="009D6132"/>
    <w:rsid w:val="009D674E"/>
    <w:rsid w:val="009D736A"/>
    <w:rsid w:val="009E0BC8"/>
    <w:rsid w:val="009E0DFD"/>
    <w:rsid w:val="009E16AB"/>
    <w:rsid w:val="009E171B"/>
    <w:rsid w:val="009E26C0"/>
    <w:rsid w:val="009E2E94"/>
    <w:rsid w:val="009E335C"/>
    <w:rsid w:val="009E3E91"/>
    <w:rsid w:val="009E50A8"/>
    <w:rsid w:val="009E6F98"/>
    <w:rsid w:val="009F0356"/>
    <w:rsid w:val="009F1B7D"/>
    <w:rsid w:val="009F388A"/>
    <w:rsid w:val="009F56A8"/>
    <w:rsid w:val="009F6FF4"/>
    <w:rsid w:val="009F7BD3"/>
    <w:rsid w:val="00A015E8"/>
    <w:rsid w:val="00A01823"/>
    <w:rsid w:val="00A01ABE"/>
    <w:rsid w:val="00A01D2C"/>
    <w:rsid w:val="00A02053"/>
    <w:rsid w:val="00A022DF"/>
    <w:rsid w:val="00A03976"/>
    <w:rsid w:val="00A03CA0"/>
    <w:rsid w:val="00A0413E"/>
    <w:rsid w:val="00A0415A"/>
    <w:rsid w:val="00A04429"/>
    <w:rsid w:val="00A0491F"/>
    <w:rsid w:val="00A04B3D"/>
    <w:rsid w:val="00A04F0D"/>
    <w:rsid w:val="00A05493"/>
    <w:rsid w:val="00A066C4"/>
    <w:rsid w:val="00A07D47"/>
    <w:rsid w:val="00A10064"/>
    <w:rsid w:val="00A12289"/>
    <w:rsid w:val="00A12D56"/>
    <w:rsid w:val="00A12F62"/>
    <w:rsid w:val="00A132E1"/>
    <w:rsid w:val="00A14786"/>
    <w:rsid w:val="00A14FE9"/>
    <w:rsid w:val="00A174E1"/>
    <w:rsid w:val="00A215D7"/>
    <w:rsid w:val="00A21C1E"/>
    <w:rsid w:val="00A23AFC"/>
    <w:rsid w:val="00A243C0"/>
    <w:rsid w:val="00A24808"/>
    <w:rsid w:val="00A2775E"/>
    <w:rsid w:val="00A30A34"/>
    <w:rsid w:val="00A31348"/>
    <w:rsid w:val="00A31415"/>
    <w:rsid w:val="00A31988"/>
    <w:rsid w:val="00A32B27"/>
    <w:rsid w:val="00A340FF"/>
    <w:rsid w:val="00A34BCC"/>
    <w:rsid w:val="00A35CC7"/>
    <w:rsid w:val="00A3653C"/>
    <w:rsid w:val="00A3749B"/>
    <w:rsid w:val="00A37B7F"/>
    <w:rsid w:val="00A37D87"/>
    <w:rsid w:val="00A37F46"/>
    <w:rsid w:val="00A43788"/>
    <w:rsid w:val="00A44937"/>
    <w:rsid w:val="00A45DB4"/>
    <w:rsid w:val="00A508DF"/>
    <w:rsid w:val="00A50BDE"/>
    <w:rsid w:val="00A50D88"/>
    <w:rsid w:val="00A53100"/>
    <w:rsid w:val="00A537DF"/>
    <w:rsid w:val="00A54495"/>
    <w:rsid w:val="00A548C3"/>
    <w:rsid w:val="00A54947"/>
    <w:rsid w:val="00A55678"/>
    <w:rsid w:val="00A56923"/>
    <w:rsid w:val="00A56FD3"/>
    <w:rsid w:val="00A62912"/>
    <w:rsid w:val="00A629A1"/>
    <w:rsid w:val="00A62E39"/>
    <w:rsid w:val="00A62E42"/>
    <w:rsid w:val="00A64A71"/>
    <w:rsid w:val="00A67F09"/>
    <w:rsid w:val="00A71285"/>
    <w:rsid w:val="00A71A24"/>
    <w:rsid w:val="00A72960"/>
    <w:rsid w:val="00A72D8F"/>
    <w:rsid w:val="00A74D12"/>
    <w:rsid w:val="00A7705D"/>
    <w:rsid w:val="00A7755F"/>
    <w:rsid w:val="00A811BC"/>
    <w:rsid w:val="00A81612"/>
    <w:rsid w:val="00A8161C"/>
    <w:rsid w:val="00A82B37"/>
    <w:rsid w:val="00A82F6E"/>
    <w:rsid w:val="00A84467"/>
    <w:rsid w:val="00A849DA"/>
    <w:rsid w:val="00A85CA0"/>
    <w:rsid w:val="00A86F64"/>
    <w:rsid w:val="00A86F83"/>
    <w:rsid w:val="00A87595"/>
    <w:rsid w:val="00A90D61"/>
    <w:rsid w:val="00A9144F"/>
    <w:rsid w:val="00A91CD3"/>
    <w:rsid w:val="00A93401"/>
    <w:rsid w:val="00A9406D"/>
    <w:rsid w:val="00A940AD"/>
    <w:rsid w:val="00A94C39"/>
    <w:rsid w:val="00A96828"/>
    <w:rsid w:val="00A97045"/>
    <w:rsid w:val="00AA2251"/>
    <w:rsid w:val="00AA22E8"/>
    <w:rsid w:val="00AA4E80"/>
    <w:rsid w:val="00AA5747"/>
    <w:rsid w:val="00AA662D"/>
    <w:rsid w:val="00AA6929"/>
    <w:rsid w:val="00AA7D1E"/>
    <w:rsid w:val="00AB0427"/>
    <w:rsid w:val="00AB1670"/>
    <w:rsid w:val="00AB2422"/>
    <w:rsid w:val="00AB264F"/>
    <w:rsid w:val="00AB26DB"/>
    <w:rsid w:val="00AB2912"/>
    <w:rsid w:val="00AB7931"/>
    <w:rsid w:val="00AB7AB9"/>
    <w:rsid w:val="00AC0190"/>
    <w:rsid w:val="00AC0327"/>
    <w:rsid w:val="00AC1DC6"/>
    <w:rsid w:val="00AC2BB6"/>
    <w:rsid w:val="00AC3196"/>
    <w:rsid w:val="00AC3D46"/>
    <w:rsid w:val="00AC4A02"/>
    <w:rsid w:val="00AC696B"/>
    <w:rsid w:val="00AC7A1C"/>
    <w:rsid w:val="00AD0625"/>
    <w:rsid w:val="00AD271D"/>
    <w:rsid w:val="00AE0E5C"/>
    <w:rsid w:val="00AE1938"/>
    <w:rsid w:val="00AE1F73"/>
    <w:rsid w:val="00AE2F90"/>
    <w:rsid w:val="00AE4131"/>
    <w:rsid w:val="00AE48CF"/>
    <w:rsid w:val="00AE594A"/>
    <w:rsid w:val="00AE623B"/>
    <w:rsid w:val="00AE6374"/>
    <w:rsid w:val="00AE6E7E"/>
    <w:rsid w:val="00AE7753"/>
    <w:rsid w:val="00AF1E94"/>
    <w:rsid w:val="00AF2251"/>
    <w:rsid w:val="00AF24C6"/>
    <w:rsid w:val="00AF2A6F"/>
    <w:rsid w:val="00AF531E"/>
    <w:rsid w:val="00B00203"/>
    <w:rsid w:val="00B0315A"/>
    <w:rsid w:val="00B03869"/>
    <w:rsid w:val="00B03DD6"/>
    <w:rsid w:val="00B068CF"/>
    <w:rsid w:val="00B06A2F"/>
    <w:rsid w:val="00B07F02"/>
    <w:rsid w:val="00B10C41"/>
    <w:rsid w:val="00B13FFA"/>
    <w:rsid w:val="00B15196"/>
    <w:rsid w:val="00B15796"/>
    <w:rsid w:val="00B157EB"/>
    <w:rsid w:val="00B1585F"/>
    <w:rsid w:val="00B15FDB"/>
    <w:rsid w:val="00B160F2"/>
    <w:rsid w:val="00B164E3"/>
    <w:rsid w:val="00B210C8"/>
    <w:rsid w:val="00B22BE3"/>
    <w:rsid w:val="00B245AB"/>
    <w:rsid w:val="00B265B7"/>
    <w:rsid w:val="00B26EA2"/>
    <w:rsid w:val="00B30816"/>
    <w:rsid w:val="00B30D06"/>
    <w:rsid w:val="00B31F5C"/>
    <w:rsid w:val="00B32EA9"/>
    <w:rsid w:val="00B34768"/>
    <w:rsid w:val="00B3583B"/>
    <w:rsid w:val="00B36132"/>
    <w:rsid w:val="00B37A61"/>
    <w:rsid w:val="00B37A8F"/>
    <w:rsid w:val="00B40A74"/>
    <w:rsid w:val="00B4187B"/>
    <w:rsid w:val="00B4249A"/>
    <w:rsid w:val="00B437F0"/>
    <w:rsid w:val="00B4417C"/>
    <w:rsid w:val="00B45B30"/>
    <w:rsid w:val="00B51A1E"/>
    <w:rsid w:val="00B52131"/>
    <w:rsid w:val="00B56FE8"/>
    <w:rsid w:val="00B61F31"/>
    <w:rsid w:val="00B6359E"/>
    <w:rsid w:val="00B63F11"/>
    <w:rsid w:val="00B646BA"/>
    <w:rsid w:val="00B65347"/>
    <w:rsid w:val="00B65DE1"/>
    <w:rsid w:val="00B67AF5"/>
    <w:rsid w:val="00B7109E"/>
    <w:rsid w:val="00B72EB2"/>
    <w:rsid w:val="00B7405F"/>
    <w:rsid w:val="00B74469"/>
    <w:rsid w:val="00B77E1A"/>
    <w:rsid w:val="00B77FF4"/>
    <w:rsid w:val="00B80E60"/>
    <w:rsid w:val="00B81364"/>
    <w:rsid w:val="00B81990"/>
    <w:rsid w:val="00B82371"/>
    <w:rsid w:val="00B8280F"/>
    <w:rsid w:val="00B832F0"/>
    <w:rsid w:val="00B833DC"/>
    <w:rsid w:val="00B833EF"/>
    <w:rsid w:val="00B84184"/>
    <w:rsid w:val="00B84CB2"/>
    <w:rsid w:val="00B84D29"/>
    <w:rsid w:val="00B85923"/>
    <w:rsid w:val="00B860A2"/>
    <w:rsid w:val="00B86688"/>
    <w:rsid w:val="00B86855"/>
    <w:rsid w:val="00B87927"/>
    <w:rsid w:val="00B8794A"/>
    <w:rsid w:val="00B90453"/>
    <w:rsid w:val="00B90FE4"/>
    <w:rsid w:val="00B91530"/>
    <w:rsid w:val="00B91753"/>
    <w:rsid w:val="00B92938"/>
    <w:rsid w:val="00B94162"/>
    <w:rsid w:val="00B9463D"/>
    <w:rsid w:val="00B96889"/>
    <w:rsid w:val="00B96DB9"/>
    <w:rsid w:val="00B96E99"/>
    <w:rsid w:val="00BA2313"/>
    <w:rsid w:val="00BA3177"/>
    <w:rsid w:val="00BA34D7"/>
    <w:rsid w:val="00BA5072"/>
    <w:rsid w:val="00BA5342"/>
    <w:rsid w:val="00BA7AB6"/>
    <w:rsid w:val="00BB26EE"/>
    <w:rsid w:val="00BB2C59"/>
    <w:rsid w:val="00BB32BD"/>
    <w:rsid w:val="00BB383B"/>
    <w:rsid w:val="00BB41CC"/>
    <w:rsid w:val="00BB4977"/>
    <w:rsid w:val="00BB4B2C"/>
    <w:rsid w:val="00BB4F75"/>
    <w:rsid w:val="00BB738A"/>
    <w:rsid w:val="00BC0287"/>
    <w:rsid w:val="00BC1317"/>
    <w:rsid w:val="00BC404B"/>
    <w:rsid w:val="00BC5DB6"/>
    <w:rsid w:val="00BC6629"/>
    <w:rsid w:val="00BD18F6"/>
    <w:rsid w:val="00BD1E8A"/>
    <w:rsid w:val="00BD26AA"/>
    <w:rsid w:val="00BD301A"/>
    <w:rsid w:val="00BD35EE"/>
    <w:rsid w:val="00BD454F"/>
    <w:rsid w:val="00BD5041"/>
    <w:rsid w:val="00BD6200"/>
    <w:rsid w:val="00BD6427"/>
    <w:rsid w:val="00BE2273"/>
    <w:rsid w:val="00BE2E0F"/>
    <w:rsid w:val="00BE2F2C"/>
    <w:rsid w:val="00BE3E85"/>
    <w:rsid w:val="00BE6C25"/>
    <w:rsid w:val="00BF04B2"/>
    <w:rsid w:val="00BF0924"/>
    <w:rsid w:val="00BF222D"/>
    <w:rsid w:val="00BF35E8"/>
    <w:rsid w:val="00BF3980"/>
    <w:rsid w:val="00BF3E51"/>
    <w:rsid w:val="00BF3F5F"/>
    <w:rsid w:val="00BF416A"/>
    <w:rsid w:val="00BF542A"/>
    <w:rsid w:val="00BF63A1"/>
    <w:rsid w:val="00BF6785"/>
    <w:rsid w:val="00BF6B2C"/>
    <w:rsid w:val="00C000D3"/>
    <w:rsid w:val="00C01DCC"/>
    <w:rsid w:val="00C02DB6"/>
    <w:rsid w:val="00C07BD7"/>
    <w:rsid w:val="00C10343"/>
    <w:rsid w:val="00C10365"/>
    <w:rsid w:val="00C1128E"/>
    <w:rsid w:val="00C117E0"/>
    <w:rsid w:val="00C118ED"/>
    <w:rsid w:val="00C122EF"/>
    <w:rsid w:val="00C129BE"/>
    <w:rsid w:val="00C14584"/>
    <w:rsid w:val="00C17833"/>
    <w:rsid w:val="00C202B3"/>
    <w:rsid w:val="00C2044A"/>
    <w:rsid w:val="00C2189F"/>
    <w:rsid w:val="00C21EE0"/>
    <w:rsid w:val="00C24AE7"/>
    <w:rsid w:val="00C24B65"/>
    <w:rsid w:val="00C25443"/>
    <w:rsid w:val="00C25E94"/>
    <w:rsid w:val="00C26607"/>
    <w:rsid w:val="00C26C6F"/>
    <w:rsid w:val="00C30297"/>
    <w:rsid w:val="00C307CE"/>
    <w:rsid w:val="00C35226"/>
    <w:rsid w:val="00C35644"/>
    <w:rsid w:val="00C35CFC"/>
    <w:rsid w:val="00C3785D"/>
    <w:rsid w:val="00C37B7B"/>
    <w:rsid w:val="00C37D57"/>
    <w:rsid w:val="00C41889"/>
    <w:rsid w:val="00C44902"/>
    <w:rsid w:val="00C44C9A"/>
    <w:rsid w:val="00C457A9"/>
    <w:rsid w:val="00C46308"/>
    <w:rsid w:val="00C472FE"/>
    <w:rsid w:val="00C473EA"/>
    <w:rsid w:val="00C47CB7"/>
    <w:rsid w:val="00C50D2A"/>
    <w:rsid w:val="00C517AE"/>
    <w:rsid w:val="00C5183E"/>
    <w:rsid w:val="00C51D44"/>
    <w:rsid w:val="00C5237D"/>
    <w:rsid w:val="00C5246F"/>
    <w:rsid w:val="00C55B5B"/>
    <w:rsid w:val="00C56ABD"/>
    <w:rsid w:val="00C609D0"/>
    <w:rsid w:val="00C610C9"/>
    <w:rsid w:val="00C61112"/>
    <w:rsid w:val="00C61AE9"/>
    <w:rsid w:val="00C647E5"/>
    <w:rsid w:val="00C67FCE"/>
    <w:rsid w:val="00C70E44"/>
    <w:rsid w:val="00C71E60"/>
    <w:rsid w:val="00C721A4"/>
    <w:rsid w:val="00C72318"/>
    <w:rsid w:val="00C724E6"/>
    <w:rsid w:val="00C747A5"/>
    <w:rsid w:val="00C74D44"/>
    <w:rsid w:val="00C754FC"/>
    <w:rsid w:val="00C75735"/>
    <w:rsid w:val="00C817D4"/>
    <w:rsid w:val="00C82E89"/>
    <w:rsid w:val="00C84504"/>
    <w:rsid w:val="00C85314"/>
    <w:rsid w:val="00C857CE"/>
    <w:rsid w:val="00C86D49"/>
    <w:rsid w:val="00C87F4E"/>
    <w:rsid w:val="00C90571"/>
    <w:rsid w:val="00C90DE2"/>
    <w:rsid w:val="00C91E19"/>
    <w:rsid w:val="00C930AC"/>
    <w:rsid w:val="00C94537"/>
    <w:rsid w:val="00C95026"/>
    <w:rsid w:val="00C95E5D"/>
    <w:rsid w:val="00C965FA"/>
    <w:rsid w:val="00C97A75"/>
    <w:rsid w:val="00C97E84"/>
    <w:rsid w:val="00C97F85"/>
    <w:rsid w:val="00CA0116"/>
    <w:rsid w:val="00CA03FE"/>
    <w:rsid w:val="00CA06B6"/>
    <w:rsid w:val="00CA1B20"/>
    <w:rsid w:val="00CA1D59"/>
    <w:rsid w:val="00CA399F"/>
    <w:rsid w:val="00CA4BC0"/>
    <w:rsid w:val="00CA5CA8"/>
    <w:rsid w:val="00CA73B5"/>
    <w:rsid w:val="00CB0157"/>
    <w:rsid w:val="00CB145D"/>
    <w:rsid w:val="00CB1928"/>
    <w:rsid w:val="00CB242C"/>
    <w:rsid w:val="00CB3865"/>
    <w:rsid w:val="00CB3E71"/>
    <w:rsid w:val="00CB5205"/>
    <w:rsid w:val="00CB60A5"/>
    <w:rsid w:val="00CB6C0F"/>
    <w:rsid w:val="00CB6E1A"/>
    <w:rsid w:val="00CB75E2"/>
    <w:rsid w:val="00CC0588"/>
    <w:rsid w:val="00CC1F26"/>
    <w:rsid w:val="00CC3207"/>
    <w:rsid w:val="00CC35CA"/>
    <w:rsid w:val="00CC51D8"/>
    <w:rsid w:val="00CC559D"/>
    <w:rsid w:val="00CC68D6"/>
    <w:rsid w:val="00CC7773"/>
    <w:rsid w:val="00CC7AED"/>
    <w:rsid w:val="00CD11C4"/>
    <w:rsid w:val="00CD188A"/>
    <w:rsid w:val="00CD349B"/>
    <w:rsid w:val="00CD6170"/>
    <w:rsid w:val="00CD654B"/>
    <w:rsid w:val="00CD6AF5"/>
    <w:rsid w:val="00CE03A7"/>
    <w:rsid w:val="00CE05AB"/>
    <w:rsid w:val="00CE18C8"/>
    <w:rsid w:val="00CE223E"/>
    <w:rsid w:val="00CE2D76"/>
    <w:rsid w:val="00CE2DDF"/>
    <w:rsid w:val="00CE35DE"/>
    <w:rsid w:val="00CE372B"/>
    <w:rsid w:val="00CE3D0A"/>
    <w:rsid w:val="00CE43E0"/>
    <w:rsid w:val="00CE4843"/>
    <w:rsid w:val="00CE4D94"/>
    <w:rsid w:val="00CE5875"/>
    <w:rsid w:val="00CE6259"/>
    <w:rsid w:val="00CE68E7"/>
    <w:rsid w:val="00CF3DF8"/>
    <w:rsid w:val="00CF3F0D"/>
    <w:rsid w:val="00CF5F82"/>
    <w:rsid w:val="00CF788F"/>
    <w:rsid w:val="00D00690"/>
    <w:rsid w:val="00D00CA0"/>
    <w:rsid w:val="00D02BB2"/>
    <w:rsid w:val="00D04017"/>
    <w:rsid w:val="00D046C4"/>
    <w:rsid w:val="00D054D9"/>
    <w:rsid w:val="00D07D8E"/>
    <w:rsid w:val="00D101F7"/>
    <w:rsid w:val="00D11760"/>
    <w:rsid w:val="00D12B78"/>
    <w:rsid w:val="00D1307D"/>
    <w:rsid w:val="00D13D81"/>
    <w:rsid w:val="00D145F5"/>
    <w:rsid w:val="00D14DF9"/>
    <w:rsid w:val="00D15160"/>
    <w:rsid w:val="00D20227"/>
    <w:rsid w:val="00D20BD9"/>
    <w:rsid w:val="00D20F49"/>
    <w:rsid w:val="00D210CE"/>
    <w:rsid w:val="00D21AB2"/>
    <w:rsid w:val="00D239E5"/>
    <w:rsid w:val="00D25D7C"/>
    <w:rsid w:val="00D278B0"/>
    <w:rsid w:val="00D304F4"/>
    <w:rsid w:val="00D31B81"/>
    <w:rsid w:val="00D31DCD"/>
    <w:rsid w:val="00D32E1B"/>
    <w:rsid w:val="00D33BA1"/>
    <w:rsid w:val="00D34A51"/>
    <w:rsid w:val="00D34EBE"/>
    <w:rsid w:val="00D355F0"/>
    <w:rsid w:val="00D35B37"/>
    <w:rsid w:val="00D37F14"/>
    <w:rsid w:val="00D41375"/>
    <w:rsid w:val="00D41D5F"/>
    <w:rsid w:val="00D423DB"/>
    <w:rsid w:val="00D43AC8"/>
    <w:rsid w:val="00D45147"/>
    <w:rsid w:val="00D5286B"/>
    <w:rsid w:val="00D528DB"/>
    <w:rsid w:val="00D52AD3"/>
    <w:rsid w:val="00D539B5"/>
    <w:rsid w:val="00D539FB"/>
    <w:rsid w:val="00D545F9"/>
    <w:rsid w:val="00D56113"/>
    <w:rsid w:val="00D618A6"/>
    <w:rsid w:val="00D61A2B"/>
    <w:rsid w:val="00D62296"/>
    <w:rsid w:val="00D625B1"/>
    <w:rsid w:val="00D665CC"/>
    <w:rsid w:val="00D66C9D"/>
    <w:rsid w:val="00D717CA"/>
    <w:rsid w:val="00D75AD6"/>
    <w:rsid w:val="00D80AA1"/>
    <w:rsid w:val="00D81744"/>
    <w:rsid w:val="00D833D9"/>
    <w:rsid w:val="00D83903"/>
    <w:rsid w:val="00D83BD9"/>
    <w:rsid w:val="00D8637E"/>
    <w:rsid w:val="00D91772"/>
    <w:rsid w:val="00D94DCF"/>
    <w:rsid w:val="00D94EAE"/>
    <w:rsid w:val="00D9568E"/>
    <w:rsid w:val="00D95A0D"/>
    <w:rsid w:val="00D95E4E"/>
    <w:rsid w:val="00D9635B"/>
    <w:rsid w:val="00D9673A"/>
    <w:rsid w:val="00D96B13"/>
    <w:rsid w:val="00D96DEF"/>
    <w:rsid w:val="00D971FC"/>
    <w:rsid w:val="00DA0A99"/>
    <w:rsid w:val="00DA1E13"/>
    <w:rsid w:val="00DA323A"/>
    <w:rsid w:val="00DA335D"/>
    <w:rsid w:val="00DA3779"/>
    <w:rsid w:val="00DA3873"/>
    <w:rsid w:val="00DA586F"/>
    <w:rsid w:val="00DA611D"/>
    <w:rsid w:val="00DA667A"/>
    <w:rsid w:val="00DB085A"/>
    <w:rsid w:val="00DB08DA"/>
    <w:rsid w:val="00DB19E1"/>
    <w:rsid w:val="00DB1E4C"/>
    <w:rsid w:val="00DB26BF"/>
    <w:rsid w:val="00DB3DD7"/>
    <w:rsid w:val="00DB5028"/>
    <w:rsid w:val="00DB58A4"/>
    <w:rsid w:val="00DB5BAB"/>
    <w:rsid w:val="00DB7F09"/>
    <w:rsid w:val="00DC00E8"/>
    <w:rsid w:val="00DC0AAE"/>
    <w:rsid w:val="00DC1C56"/>
    <w:rsid w:val="00DC2516"/>
    <w:rsid w:val="00DC2A0E"/>
    <w:rsid w:val="00DC38F5"/>
    <w:rsid w:val="00DC4756"/>
    <w:rsid w:val="00DC5DB1"/>
    <w:rsid w:val="00DC6179"/>
    <w:rsid w:val="00DC6379"/>
    <w:rsid w:val="00DD306C"/>
    <w:rsid w:val="00DD3526"/>
    <w:rsid w:val="00DD37D2"/>
    <w:rsid w:val="00DD4089"/>
    <w:rsid w:val="00DD40DC"/>
    <w:rsid w:val="00DD4394"/>
    <w:rsid w:val="00DD46E7"/>
    <w:rsid w:val="00DD5BC0"/>
    <w:rsid w:val="00DD6126"/>
    <w:rsid w:val="00DD64F7"/>
    <w:rsid w:val="00DD750A"/>
    <w:rsid w:val="00DE0EF9"/>
    <w:rsid w:val="00DE2676"/>
    <w:rsid w:val="00DE2C31"/>
    <w:rsid w:val="00DE3C77"/>
    <w:rsid w:val="00DE3FAC"/>
    <w:rsid w:val="00DE6156"/>
    <w:rsid w:val="00DE69A5"/>
    <w:rsid w:val="00DE7178"/>
    <w:rsid w:val="00DF04E6"/>
    <w:rsid w:val="00DF2393"/>
    <w:rsid w:val="00DF3C44"/>
    <w:rsid w:val="00DF5C41"/>
    <w:rsid w:val="00DF654A"/>
    <w:rsid w:val="00DF6F61"/>
    <w:rsid w:val="00E0089A"/>
    <w:rsid w:val="00E00DD9"/>
    <w:rsid w:val="00E00E8B"/>
    <w:rsid w:val="00E01A18"/>
    <w:rsid w:val="00E01D71"/>
    <w:rsid w:val="00E03AA3"/>
    <w:rsid w:val="00E06174"/>
    <w:rsid w:val="00E06832"/>
    <w:rsid w:val="00E07D75"/>
    <w:rsid w:val="00E101C6"/>
    <w:rsid w:val="00E102EB"/>
    <w:rsid w:val="00E11C8E"/>
    <w:rsid w:val="00E12B4F"/>
    <w:rsid w:val="00E13588"/>
    <w:rsid w:val="00E137AC"/>
    <w:rsid w:val="00E13AE3"/>
    <w:rsid w:val="00E150EE"/>
    <w:rsid w:val="00E16229"/>
    <w:rsid w:val="00E16F4A"/>
    <w:rsid w:val="00E201F2"/>
    <w:rsid w:val="00E2205B"/>
    <w:rsid w:val="00E22A2F"/>
    <w:rsid w:val="00E22D51"/>
    <w:rsid w:val="00E23B6B"/>
    <w:rsid w:val="00E24D27"/>
    <w:rsid w:val="00E24E09"/>
    <w:rsid w:val="00E267CA"/>
    <w:rsid w:val="00E2693C"/>
    <w:rsid w:val="00E26F82"/>
    <w:rsid w:val="00E270B8"/>
    <w:rsid w:val="00E27D09"/>
    <w:rsid w:val="00E31105"/>
    <w:rsid w:val="00E32B95"/>
    <w:rsid w:val="00E3467B"/>
    <w:rsid w:val="00E34927"/>
    <w:rsid w:val="00E34ED9"/>
    <w:rsid w:val="00E35F34"/>
    <w:rsid w:val="00E36AF8"/>
    <w:rsid w:val="00E37621"/>
    <w:rsid w:val="00E4088D"/>
    <w:rsid w:val="00E426EE"/>
    <w:rsid w:val="00E44A9F"/>
    <w:rsid w:val="00E46983"/>
    <w:rsid w:val="00E50E7C"/>
    <w:rsid w:val="00E51035"/>
    <w:rsid w:val="00E51077"/>
    <w:rsid w:val="00E51545"/>
    <w:rsid w:val="00E51D43"/>
    <w:rsid w:val="00E51D9E"/>
    <w:rsid w:val="00E52B51"/>
    <w:rsid w:val="00E52F90"/>
    <w:rsid w:val="00E53361"/>
    <w:rsid w:val="00E537D1"/>
    <w:rsid w:val="00E55675"/>
    <w:rsid w:val="00E55F7D"/>
    <w:rsid w:val="00E567E6"/>
    <w:rsid w:val="00E56971"/>
    <w:rsid w:val="00E60124"/>
    <w:rsid w:val="00E60DD7"/>
    <w:rsid w:val="00E610A6"/>
    <w:rsid w:val="00E61285"/>
    <w:rsid w:val="00E61484"/>
    <w:rsid w:val="00E61629"/>
    <w:rsid w:val="00E6170D"/>
    <w:rsid w:val="00E62ED5"/>
    <w:rsid w:val="00E63752"/>
    <w:rsid w:val="00E65AA0"/>
    <w:rsid w:val="00E66CD0"/>
    <w:rsid w:val="00E67B8F"/>
    <w:rsid w:val="00E711D7"/>
    <w:rsid w:val="00E733A3"/>
    <w:rsid w:val="00E734BA"/>
    <w:rsid w:val="00E74F29"/>
    <w:rsid w:val="00E759C6"/>
    <w:rsid w:val="00E7605E"/>
    <w:rsid w:val="00E76886"/>
    <w:rsid w:val="00E772A8"/>
    <w:rsid w:val="00E811F3"/>
    <w:rsid w:val="00E815E1"/>
    <w:rsid w:val="00E81894"/>
    <w:rsid w:val="00E83E57"/>
    <w:rsid w:val="00E852D8"/>
    <w:rsid w:val="00E8575C"/>
    <w:rsid w:val="00E85FB6"/>
    <w:rsid w:val="00E86599"/>
    <w:rsid w:val="00E86B62"/>
    <w:rsid w:val="00E902B0"/>
    <w:rsid w:val="00E902E8"/>
    <w:rsid w:val="00E90BA5"/>
    <w:rsid w:val="00E95CD3"/>
    <w:rsid w:val="00E97910"/>
    <w:rsid w:val="00EA0239"/>
    <w:rsid w:val="00EA23AC"/>
    <w:rsid w:val="00EA268B"/>
    <w:rsid w:val="00EA39DA"/>
    <w:rsid w:val="00EA4BC9"/>
    <w:rsid w:val="00EA5285"/>
    <w:rsid w:val="00EA6931"/>
    <w:rsid w:val="00EA6995"/>
    <w:rsid w:val="00EA6F15"/>
    <w:rsid w:val="00EA78EB"/>
    <w:rsid w:val="00EA7C3D"/>
    <w:rsid w:val="00EB05AA"/>
    <w:rsid w:val="00EB28EE"/>
    <w:rsid w:val="00EB2F5D"/>
    <w:rsid w:val="00EB5EB5"/>
    <w:rsid w:val="00EB6878"/>
    <w:rsid w:val="00EB6C41"/>
    <w:rsid w:val="00EC1E0E"/>
    <w:rsid w:val="00EC202F"/>
    <w:rsid w:val="00EC20BB"/>
    <w:rsid w:val="00EC236D"/>
    <w:rsid w:val="00EC265B"/>
    <w:rsid w:val="00EC2F3D"/>
    <w:rsid w:val="00EC414D"/>
    <w:rsid w:val="00EC433A"/>
    <w:rsid w:val="00EC4AA6"/>
    <w:rsid w:val="00EC5DD1"/>
    <w:rsid w:val="00EC65B6"/>
    <w:rsid w:val="00EC6B16"/>
    <w:rsid w:val="00EC7315"/>
    <w:rsid w:val="00EC7C84"/>
    <w:rsid w:val="00ED08C4"/>
    <w:rsid w:val="00ED0E15"/>
    <w:rsid w:val="00ED526A"/>
    <w:rsid w:val="00ED66BD"/>
    <w:rsid w:val="00ED6BDF"/>
    <w:rsid w:val="00ED7908"/>
    <w:rsid w:val="00EE0F5C"/>
    <w:rsid w:val="00EE1447"/>
    <w:rsid w:val="00EE3A5C"/>
    <w:rsid w:val="00EE4EE3"/>
    <w:rsid w:val="00EE558A"/>
    <w:rsid w:val="00EE5D38"/>
    <w:rsid w:val="00EE6441"/>
    <w:rsid w:val="00EE6AAC"/>
    <w:rsid w:val="00EE6F9E"/>
    <w:rsid w:val="00EE7BF3"/>
    <w:rsid w:val="00EF145E"/>
    <w:rsid w:val="00EF2BBB"/>
    <w:rsid w:val="00EF3263"/>
    <w:rsid w:val="00EF57BE"/>
    <w:rsid w:val="00EF7460"/>
    <w:rsid w:val="00F0015D"/>
    <w:rsid w:val="00F0082D"/>
    <w:rsid w:val="00F00BF6"/>
    <w:rsid w:val="00F015AB"/>
    <w:rsid w:val="00F03EE5"/>
    <w:rsid w:val="00F05118"/>
    <w:rsid w:val="00F05519"/>
    <w:rsid w:val="00F0632D"/>
    <w:rsid w:val="00F063AB"/>
    <w:rsid w:val="00F066A2"/>
    <w:rsid w:val="00F07C2B"/>
    <w:rsid w:val="00F07C90"/>
    <w:rsid w:val="00F10033"/>
    <w:rsid w:val="00F107FE"/>
    <w:rsid w:val="00F117A2"/>
    <w:rsid w:val="00F132CC"/>
    <w:rsid w:val="00F14AA0"/>
    <w:rsid w:val="00F20BE1"/>
    <w:rsid w:val="00F21D2E"/>
    <w:rsid w:val="00F22858"/>
    <w:rsid w:val="00F254D3"/>
    <w:rsid w:val="00F2679D"/>
    <w:rsid w:val="00F26C50"/>
    <w:rsid w:val="00F27E49"/>
    <w:rsid w:val="00F30899"/>
    <w:rsid w:val="00F31CBD"/>
    <w:rsid w:val="00F327D3"/>
    <w:rsid w:val="00F32DE0"/>
    <w:rsid w:val="00F3328D"/>
    <w:rsid w:val="00F33DB8"/>
    <w:rsid w:val="00F34DFD"/>
    <w:rsid w:val="00F360D4"/>
    <w:rsid w:val="00F366FC"/>
    <w:rsid w:val="00F36FC0"/>
    <w:rsid w:val="00F41D38"/>
    <w:rsid w:val="00F424CA"/>
    <w:rsid w:val="00F42A86"/>
    <w:rsid w:val="00F4370F"/>
    <w:rsid w:val="00F50A3D"/>
    <w:rsid w:val="00F5267A"/>
    <w:rsid w:val="00F554D6"/>
    <w:rsid w:val="00F56760"/>
    <w:rsid w:val="00F57BED"/>
    <w:rsid w:val="00F57FB2"/>
    <w:rsid w:val="00F60198"/>
    <w:rsid w:val="00F62754"/>
    <w:rsid w:val="00F6299F"/>
    <w:rsid w:val="00F62C52"/>
    <w:rsid w:val="00F6409A"/>
    <w:rsid w:val="00F653F7"/>
    <w:rsid w:val="00F65FD5"/>
    <w:rsid w:val="00F668B6"/>
    <w:rsid w:val="00F71CBE"/>
    <w:rsid w:val="00F72412"/>
    <w:rsid w:val="00F72DA5"/>
    <w:rsid w:val="00F75150"/>
    <w:rsid w:val="00F7613A"/>
    <w:rsid w:val="00F77FD9"/>
    <w:rsid w:val="00F824F9"/>
    <w:rsid w:val="00F82746"/>
    <w:rsid w:val="00F836F9"/>
    <w:rsid w:val="00F83851"/>
    <w:rsid w:val="00F845D7"/>
    <w:rsid w:val="00F85084"/>
    <w:rsid w:val="00F8712B"/>
    <w:rsid w:val="00F9160E"/>
    <w:rsid w:val="00F91901"/>
    <w:rsid w:val="00F921D5"/>
    <w:rsid w:val="00F92279"/>
    <w:rsid w:val="00F93C00"/>
    <w:rsid w:val="00F93C33"/>
    <w:rsid w:val="00F9658E"/>
    <w:rsid w:val="00FA242F"/>
    <w:rsid w:val="00FA4D77"/>
    <w:rsid w:val="00FA647A"/>
    <w:rsid w:val="00FA6C03"/>
    <w:rsid w:val="00FA7D36"/>
    <w:rsid w:val="00FB12B1"/>
    <w:rsid w:val="00FB1F3E"/>
    <w:rsid w:val="00FB21A1"/>
    <w:rsid w:val="00FB29DF"/>
    <w:rsid w:val="00FB4D21"/>
    <w:rsid w:val="00FB6C89"/>
    <w:rsid w:val="00FB762B"/>
    <w:rsid w:val="00FB7767"/>
    <w:rsid w:val="00FB7E9C"/>
    <w:rsid w:val="00FC0E37"/>
    <w:rsid w:val="00FC167C"/>
    <w:rsid w:val="00FC1C80"/>
    <w:rsid w:val="00FC2FE8"/>
    <w:rsid w:val="00FC41E8"/>
    <w:rsid w:val="00FC5577"/>
    <w:rsid w:val="00FC57F7"/>
    <w:rsid w:val="00FC5F92"/>
    <w:rsid w:val="00FC64D9"/>
    <w:rsid w:val="00FC6593"/>
    <w:rsid w:val="00FC6ADA"/>
    <w:rsid w:val="00FD14C9"/>
    <w:rsid w:val="00FD2AA6"/>
    <w:rsid w:val="00FD33A6"/>
    <w:rsid w:val="00FD3517"/>
    <w:rsid w:val="00FD365C"/>
    <w:rsid w:val="00FD402F"/>
    <w:rsid w:val="00FD5575"/>
    <w:rsid w:val="00FD5F19"/>
    <w:rsid w:val="00FD7DFC"/>
    <w:rsid w:val="00FD7F57"/>
    <w:rsid w:val="00FE228D"/>
    <w:rsid w:val="00FE455E"/>
    <w:rsid w:val="00FE4D74"/>
    <w:rsid w:val="00FE7806"/>
    <w:rsid w:val="00FF1F9D"/>
    <w:rsid w:val="00FF24FF"/>
    <w:rsid w:val="00FF307C"/>
    <w:rsid w:val="00FF3145"/>
    <w:rsid w:val="00FF447A"/>
    <w:rsid w:val="00FF46BE"/>
    <w:rsid w:val="00FF4C02"/>
    <w:rsid w:val="00FF635D"/>
    <w:rsid w:val="00FF6F55"/>
    <w:rsid w:val="00FF7668"/>
    <w:rsid w:val="00FF7909"/>
    <w:rsid w:val="00FF7B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E9E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6B"/>
    <w:pPr>
      <w:spacing w:before="120" w:after="120" w:line="240" w:lineRule="auto"/>
    </w:pPr>
    <w:rPr>
      <w:rFonts w:ascii="Calibri" w:eastAsia="Times New Roman" w:hAnsi="Calibri" w:cs="Times New Roman"/>
      <w:color w:val="262626" w:themeColor="text1" w:themeTint="D9"/>
      <w:szCs w:val="20"/>
      <w:lang w:eastAsia="en-AU"/>
    </w:rPr>
  </w:style>
  <w:style w:type="paragraph" w:styleId="Heading1">
    <w:name w:val="heading 1"/>
    <w:basedOn w:val="HeadingBase"/>
    <w:next w:val="Normal"/>
    <w:link w:val="Heading1Char"/>
    <w:qFormat/>
    <w:rsid w:val="00D5286B"/>
    <w:pPr>
      <w:spacing w:before="360" w:after="240"/>
      <w:outlineLvl w:val="0"/>
    </w:pPr>
    <w:rPr>
      <w:b/>
      <w:bCs w:val="0"/>
      <w:color w:val="2C384A"/>
      <w:sz w:val="40"/>
      <w:szCs w:val="48"/>
      <w:lang w:eastAsia="en-US"/>
    </w:rPr>
  </w:style>
  <w:style w:type="paragraph" w:styleId="Heading2">
    <w:name w:val="heading 2"/>
    <w:basedOn w:val="HeadingBase"/>
    <w:next w:val="Normal"/>
    <w:link w:val="Heading2Char"/>
    <w:qFormat/>
    <w:rsid w:val="00D5286B"/>
    <w:pPr>
      <w:spacing w:before="240" w:after="240"/>
      <w:outlineLvl w:val="1"/>
    </w:pPr>
    <w:rPr>
      <w:b/>
      <w:bCs w:val="0"/>
      <w:iCs/>
      <w:color w:val="465976"/>
      <w:sz w:val="32"/>
      <w:szCs w:val="28"/>
    </w:rPr>
  </w:style>
  <w:style w:type="paragraph" w:styleId="Heading3">
    <w:name w:val="heading 3"/>
    <w:basedOn w:val="HeadingBase"/>
    <w:next w:val="Normal"/>
    <w:link w:val="Heading3Char"/>
    <w:qFormat/>
    <w:rsid w:val="00D5286B"/>
    <w:pPr>
      <w:spacing w:before="120"/>
      <w:outlineLvl w:val="2"/>
    </w:pPr>
    <w:rPr>
      <w:b/>
      <w:bCs w:val="0"/>
      <w:color w:val="5C759A"/>
      <w:sz w:val="28"/>
      <w:szCs w:val="26"/>
    </w:rPr>
  </w:style>
  <w:style w:type="paragraph" w:styleId="Heading4">
    <w:name w:val="heading 4"/>
    <w:basedOn w:val="HeadingBase"/>
    <w:next w:val="Normal"/>
    <w:link w:val="Heading4Char"/>
    <w:qFormat/>
    <w:rsid w:val="00D5286B"/>
    <w:pPr>
      <w:spacing w:before="120"/>
      <w:outlineLvl w:val="3"/>
    </w:pPr>
    <w:rPr>
      <w:b/>
      <w:bCs w:val="0"/>
      <w:color w:val="879AB7"/>
      <w:sz w:val="24"/>
      <w:szCs w:val="26"/>
    </w:rPr>
  </w:style>
  <w:style w:type="paragraph" w:styleId="Heading5">
    <w:name w:val="heading 5"/>
    <w:basedOn w:val="HeadingBase"/>
    <w:next w:val="Normal"/>
    <w:link w:val="Heading5Char"/>
    <w:rsid w:val="00CB242C"/>
    <w:pPr>
      <w:outlineLvl w:val="4"/>
    </w:pPr>
    <w:rPr>
      <w:b/>
      <w:bCs w:val="0"/>
      <w:iCs/>
      <w:color w:val="3A73AD"/>
      <w:sz w:val="22"/>
    </w:rPr>
  </w:style>
  <w:style w:type="paragraph" w:styleId="Heading6">
    <w:name w:val="heading 6"/>
    <w:basedOn w:val="HeadingBase"/>
    <w:next w:val="Normal"/>
    <w:link w:val="Heading6Char"/>
    <w:rsid w:val="00CB242C"/>
    <w:pPr>
      <w:outlineLvl w:val="5"/>
    </w:pPr>
    <w:rPr>
      <w:bCs w:val="0"/>
      <w:color w:val="3A73AD"/>
      <w:sz w:val="22"/>
      <w:szCs w:val="22"/>
    </w:rPr>
  </w:style>
  <w:style w:type="paragraph" w:styleId="Heading7">
    <w:name w:val="heading 7"/>
    <w:basedOn w:val="Normal"/>
    <w:next w:val="Normal"/>
    <w:link w:val="Heading7Char"/>
    <w:uiPriority w:val="9"/>
    <w:semiHidden/>
    <w:unhideWhenUsed/>
    <w:rsid w:val="00464D63"/>
    <w:pPr>
      <w:keepNext/>
      <w:keepLines/>
      <w:spacing w:before="40" w:after="0"/>
      <w:outlineLvl w:val="6"/>
    </w:pPr>
    <w:rPr>
      <w:rFonts w:asciiTheme="majorHAnsi" w:eastAsiaTheme="majorEastAsia" w:hAnsiTheme="majorHAnsi" w:cstheme="majorBidi"/>
      <w:i/>
      <w:iCs/>
      <w:color w:val="0015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86B"/>
    <w:rPr>
      <w:rFonts w:ascii="Calibri" w:eastAsia="Times New Roman" w:hAnsi="Calibri" w:cs="Arial"/>
      <w:b/>
      <w:color w:val="2C384A"/>
      <w:kern w:val="32"/>
      <w:sz w:val="40"/>
      <w:szCs w:val="48"/>
    </w:rPr>
  </w:style>
  <w:style w:type="character" w:customStyle="1" w:styleId="Heading2Char">
    <w:name w:val="Heading 2 Char"/>
    <w:basedOn w:val="DefaultParagraphFont"/>
    <w:link w:val="Heading2"/>
    <w:rsid w:val="00D5286B"/>
    <w:rPr>
      <w:rFonts w:ascii="Calibri" w:eastAsia="Times New Roman" w:hAnsi="Calibri" w:cs="Arial"/>
      <w:b/>
      <w:iCs/>
      <w:color w:val="465976"/>
      <w:kern w:val="32"/>
      <w:sz w:val="32"/>
      <w:szCs w:val="28"/>
      <w:lang w:eastAsia="en-AU"/>
    </w:rPr>
  </w:style>
  <w:style w:type="character" w:customStyle="1" w:styleId="Heading3Char">
    <w:name w:val="Heading 3 Char"/>
    <w:basedOn w:val="DefaultParagraphFont"/>
    <w:link w:val="Heading3"/>
    <w:rsid w:val="00D5286B"/>
    <w:rPr>
      <w:rFonts w:ascii="Calibri" w:eastAsia="Times New Roman" w:hAnsi="Calibri" w:cs="Arial"/>
      <w:b/>
      <w:color w:val="5C759A"/>
      <w:kern w:val="32"/>
      <w:sz w:val="28"/>
      <w:szCs w:val="26"/>
      <w:lang w:eastAsia="en-AU"/>
    </w:rPr>
  </w:style>
  <w:style w:type="character" w:customStyle="1" w:styleId="Heading4Char">
    <w:name w:val="Heading 4 Char"/>
    <w:basedOn w:val="DefaultParagraphFont"/>
    <w:link w:val="Heading4"/>
    <w:rsid w:val="00D5286B"/>
    <w:rPr>
      <w:rFonts w:ascii="Calibri" w:eastAsia="Times New Roman" w:hAnsi="Calibri" w:cs="Arial"/>
      <w:b/>
      <w:color w:val="879AB7"/>
      <w:kern w:val="32"/>
      <w:sz w:val="24"/>
      <w:szCs w:val="26"/>
      <w:lang w:eastAsia="en-AU"/>
    </w:rPr>
  </w:style>
  <w:style w:type="character" w:customStyle="1" w:styleId="Heading5Char">
    <w:name w:val="Heading 5 Char"/>
    <w:basedOn w:val="DefaultParagraphFont"/>
    <w:link w:val="Heading5"/>
    <w:rsid w:val="00CB242C"/>
    <w:rPr>
      <w:rFonts w:ascii="Calibri" w:eastAsia="Times New Roman" w:hAnsi="Calibri" w:cs="Arial"/>
      <w:b/>
      <w:iCs/>
      <w:color w:val="3A73AD"/>
      <w:kern w:val="32"/>
      <w:szCs w:val="36"/>
      <w:lang w:eastAsia="en-AU"/>
    </w:rPr>
  </w:style>
  <w:style w:type="character" w:customStyle="1" w:styleId="Heading6Char">
    <w:name w:val="Heading 6 Char"/>
    <w:basedOn w:val="DefaultParagraphFont"/>
    <w:link w:val="Heading6"/>
    <w:rsid w:val="00CB242C"/>
    <w:rPr>
      <w:rFonts w:ascii="Calibri" w:eastAsia="Times New Roman" w:hAnsi="Calibri" w:cs="Arial"/>
      <w:color w:val="3A73AD"/>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F93C00"/>
    <w:pPr>
      <w:keepNext/>
      <w:spacing w:before="240"/>
    </w:pPr>
    <w:rPr>
      <w:b/>
      <w:color w:val="002C47" w:themeColor="accent1"/>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6564D3"/>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564D3"/>
    <w:pPr>
      <w:jc w:val="center"/>
    </w:pPr>
  </w:style>
  <w:style w:type="paragraph" w:customStyle="1" w:styleId="ReportDate">
    <w:name w:val="Report Date"/>
    <w:basedOn w:val="Normal"/>
    <w:link w:val="ReportDateChar"/>
    <w:rsid w:val="00DC6179"/>
    <w:pPr>
      <w:keepNext/>
      <w:spacing w:before="0" w:after="360"/>
    </w:pPr>
    <w:rPr>
      <w:color w:val="FFFFFF" w:themeColor="background1"/>
      <w:sz w:val="24"/>
    </w:rPr>
  </w:style>
  <w:style w:type="paragraph" w:customStyle="1" w:styleId="Dash">
    <w:name w:val="Dash"/>
    <w:basedOn w:val="Normal"/>
    <w:link w:val="DashChar"/>
    <w:rsid w:val="000E0B74"/>
    <w:pPr>
      <w:numPr>
        <w:ilvl w:val="1"/>
        <w:numId w:val="1"/>
      </w:numPr>
      <w:spacing w:before="0"/>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F60198"/>
    <w:pPr>
      <w:keepNext/>
      <w:tabs>
        <w:tab w:val="clear" w:pos="4513"/>
        <w:tab w:val="clear" w:pos="9026"/>
      </w:tabs>
      <w:jc w:val="left"/>
    </w:pPr>
    <w:rPr>
      <w:noProof/>
    </w:rPr>
  </w:style>
  <w:style w:type="paragraph" w:customStyle="1" w:styleId="FooterOdd">
    <w:name w:val="Footer Odd"/>
    <w:basedOn w:val="Footer"/>
    <w:rsid w:val="00F60198"/>
    <w:pPr>
      <w:keepNext/>
      <w:tabs>
        <w:tab w:val="clear" w:pos="4513"/>
        <w:tab w:val="clear" w:pos="9026"/>
      </w:tabs>
      <w:jc w:val="right"/>
    </w:pPr>
  </w:style>
  <w:style w:type="character" w:styleId="Hyperlink">
    <w:name w:val="Hyperlink"/>
    <w:basedOn w:val="DefaultParagraphFont"/>
    <w:uiPriority w:val="99"/>
    <w:rsid w:val="006564D3"/>
    <w:rPr>
      <w:color w:val="3A6FAF" w:themeColor="accent2"/>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464D63"/>
    <w:pPr>
      <w:keepNext/>
      <w:spacing w:before="0" w:after="20"/>
    </w:pPr>
    <w:rPr>
      <w:b/>
      <w:color w:val="3A6FAF" w:themeColor="accent2"/>
    </w:rPr>
  </w:style>
  <w:style w:type="paragraph" w:customStyle="1" w:styleId="TableColumnHeadingCentred">
    <w:name w:val="Table Column Heading Centred"/>
    <w:basedOn w:val="TableTextLeft"/>
    <w:rsid w:val="006564D3"/>
    <w:pPr>
      <w:jc w:val="center"/>
    </w:pPr>
    <w:rPr>
      <w:b/>
      <w:color w:val="002C47" w:themeColor="accent1"/>
      <w:sz w:val="20"/>
    </w:rPr>
  </w:style>
  <w:style w:type="paragraph" w:customStyle="1" w:styleId="TableColumnHeadingLeft">
    <w:name w:val="Table Column Heading Left"/>
    <w:basedOn w:val="TableTextLeft"/>
    <w:rsid w:val="006564D3"/>
    <w:rPr>
      <w:b/>
      <w:color w:val="002C47" w:themeColor="accent1"/>
      <w:sz w:val="20"/>
    </w:rPr>
  </w:style>
  <w:style w:type="paragraph" w:customStyle="1" w:styleId="TableColumnHeadingRight">
    <w:name w:val="Table Column Heading Right"/>
    <w:basedOn w:val="TableTextLeft"/>
    <w:rsid w:val="006564D3"/>
    <w:pPr>
      <w:jc w:val="right"/>
    </w:pPr>
    <w:rPr>
      <w:b/>
      <w:color w:val="002C47" w:themeColor="accent1"/>
      <w:sz w:val="20"/>
    </w:rPr>
  </w:style>
  <w:style w:type="table" w:styleId="TableGrid">
    <w:name w:val="Table Grid"/>
    <w:basedOn w:val="TableNormal"/>
    <w:uiPriority w:val="3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rsid w:val="006564D3"/>
    <w:pPr>
      <w:keepNext/>
      <w:tabs>
        <w:tab w:val="right" w:leader="dot" w:pos="9072"/>
      </w:tabs>
      <w:spacing w:before="180" w:after="0"/>
      <w:ind w:right="-2"/>
    </w:pPr>
    <w:rPr>
      <w:b/>
      <w:noProof/>
      <w:color w:val="002C47" w:themeColor="accent1"/>
      <w:szCs w:val="22"/>
    </w:rPr>
  </w:style>
  <w:style w:type="paragraph" w:styleId="TOC2">
    <w:name w:val="toc 2"/>
    <w:basedOn w:val="Normal"/>
    <w:next w:val="Normal"/>
    <w:uiPriority w:val="39"/>
    <w:rsid w:val="006564D3"/>
    <w:pPr>
      <w:keepNext/>
      <w:tabs>
        <w:tab w:val="right" w:leader="dot" w:pos="9072"/>
      </w:tabs>
      <w:spacing w:before="40" w:after="20"/>
      <w:ind w:right="-2"/>
    </w:pPr>
    <w:rPr>
      <w:noProof/>
      <w:color w:val="002C47" w:themeColor="accent1"/>
    </w:rPr>
  </w:style>
  <w:style w:type="paragraph" w:styleId="TOC3">
    <w:name w:val="toc 3"/>
    <w:basedOn w:val="Normal"/>
    <w:next w:val="Normal"/>
    <w:uiPriority w:val="39"/>
    <w:rsid w:val="006564D3"/>
    <w:pPr>
      <w:tabs>
        <w:tab w:val="right" w:leader="dot" w:pos="9072"/>
      </w:tabs>
      <w:spacing w:before="20" w:after="0"/>
      <w:ind w:left="284" w:right="-2"/>
    </w:pPr>
    <w:rPr>
      <w:rFonts w:cs="Calibri"/>
      <w:noProof/>
      <w:color w:val="3A6FAF" w:themeColor="accent2"/>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CB242C"/>
    <w:pPr>
      <w:numPr>
        <w:ilvl w:val="1"/>
        <w:numId w:val="8"/>
      </w:numPr>
      <w:ind w:left="284" w:hanging="284"/>
    </w:pPr>
  </w:style>
  <w:style w:type="paragraph" w:customStyle="1" w:styleId="Heading3Numbered">
    <w:name w:val="Heading 3 Numbered"/>
    <w:basedOn w:val="Heading3"/>
    <w:rsid w:val="000E0B74"/>
    <w:pPr>
      <w:numPr>
        <w:ilvl w:val="2"/>
        <w:numId w:val="8"/>
      </w:numPr>
      <w:ind w:left="284" w:hanging="284"/>
    </w:pPr>
  </w:style>
  <w:style w:type="paragraph" w:styleId="Title">
    <w:name w:val="Title"/>
    <w:basedOn w:val="Normal"/>
    <w:next w:val="Normal"/>
    <w:link w:val="TitleChar"/>
    <w:uiPriority w:val="10"/>
    <w:qFormat/>
    <w:rsid w:val="00FF4C02"/>
    <w:pPr>
      <w:spacing w:before="0" w:after="300"/>
      <w:contextualSpacing/>
    </w:pPr>
    <w:rPr>
      <w:rFonts w:eastAsiaTheme="majorEastAsia"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FF4C02"/>
    <w:rPr>
      <w:rFonts w:ascii="Calibri" w:eastAsiaTheme="majorEastAsia" w:hAnsi="Calibri" w:cstheme="majorBidi"/>
      <w:b/>
      <w:color w:val="FFFFFF" w:themeColor="background1"/>
      <w:spacing w:val="5"/>
      <w:kern w:val="28"/>
      <w:sz w:val="60"/>
      <w:szCs w:val="52"/>
      <w:lang w:eastAsia="en-AU"/>
    </w:rPr>
  </w:style>
  <w:style w:type="paragraph" w:styleId="Subtitle">
    <w:name w:val="Subtitle"/>
    <w:basedOn w:val="Normal"/>
    <w:next w:val="Normal"/>
    <w:link w:val="SubtitleChar"/>
    <w:uiPriority w:val="11"/>
    <w:qFormat/>
    <w:rsid w:val="00FF4C02"/>
    <w:pPr>
      <w:numPr>
        <w:ilvl w:val="1"/>
      </w:numPr>
    </w:pPr>
    <w:rPr>
      <w:rFonts w:eastAsiaTheme="majorEastAsia" w:cstheme="majorBidi"/>
      <w:iCs/>
      <w:caps/>
      <w:color w:val="FFFFFF" w:themeColor="background1"/>
      <w:sz w:val="32"/>
      <w:szCs w:val="44"/>
    </w:rPr>
  </w:style>
  <w:style w:type="character" w:customStyle="1" w:styleId="SubtitleChar">
    <w:name w:val="Subtitle Char"/>
    <w:basedOn w:val="DefaultParagraphFont"/>
    <w:link w:val="Subtitle"/>
    <w:uiPriority w:val="11"/>
    <w:rsid w:val="00FF4C02"/>
    <w:rPr>
      <w:rFonts w:ascii="Calibri" w:eastAsiaTheme="majorEastAsia" w:hAnsi="Calibri" w:cstheme="majorBidi"/>
      <w:iCs/>
      <w:caps/>
      <w:color w:val="FFFFFF" w:themeColor="background1"/>
      <w:sz w:val="32"/>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F60198"/>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uiPriority w:val="99"/>
    <w:rsid w:val="00F60198"/>
    <w:rPr>
      <w:rFonts w:ascii="Calibri" w:eastAsia="Times New Roman" w:hAnsi="Calibri" w:cs="Times New Roman"/>
      <w:color w:val="002C47"/>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rsid w:val="006564D3"/>
    <w:pPr>
      <w:keepNext/>
      <w:spacing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DC6179"/>
    <w:rPr>
      <w:rFonts w:ascii="Calibri" w:eastAsia="Times New Roman" w:hAnsi="Calibri" w:cs="Times New Roman"/>
      <w:color w:val="FFFFFF" w:themeColor="background1"/>
      <w:sz w:val="2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5F5F5F" w:themeColor="text2"/>
      <w:sz w:val="22"/>
    </w:rPr>
  </w:style>
  <w:style w:type="character" w:customStyle="1" w:styleId="Heading7Char">
    <w:name w:val="Heading 7 Char"/>
    <w:basedOn w:val="DefaultParagraphFont"/>
    <w:link w:val="Heading7"/>
    <w:uiPriority w:val="9"/>
    <w:semiHidden/>
    <w:rsid w:val="00464D63"/>
    <w:rPr>
      <w:rFonts w:asciiTheme="majorHAnsi" w:eastAsiaTheme="majorEastAsia" w:hAnsiTheme="majorHAnsi" w:cstheme="majorBidi"/>
      <w:i/>
      <w:iCs/>
      <w:color w:val="001523" w:themeColor="accent1" w:themeShade="7F"/>
      <w:szCs w:val="20"/>
      <w:lang w:eastAsia="en-AU"/>
    </w:rPr>
  </w:style>
  <w:style w:type="paragraph" w:customStyle="1" w:styleId="Divider">
    <w:name w:val="Divider"/>
    <w:basedOn w:val="ReportDate"/>
    <w:rsid w:val="002F617F"/>
    <w:pPr>
      <w:spacing w:after="1800"/>
    </w:pPr>
    <w:rPr>
      <w:rFonts w:ascii="Rockwell" w:hAnsi="Rockwell"/>
    </w:rPr>
  </w:style>
  <w:style w:type="character" w:customStyle="1" w:styleId="FramedFooter">
    <w:name w:val="Framed Footer"/>
    <w:rsid w:val="00F60198"/>
    <w:rPr>
      <w:rFonts w:ascii="Arial" w:hAnsi="Arial"/>
      <w:color w:val="002C47"/>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rsid w:val="00F60198"/>
    <w:pPr>
      <w:jc w:val="left"/>
    </w:pPr>
    <w:rPr>
      <w:color w:val="002C47"/>
    </w:rPr>
  </w:style>
  <w:style w:type="paragraph" w:customStyle="1" w:styleId="HeaderOdd">
    <w:name w:val="Header Odd"/>
    <w:basedOn w:val="Header"/>
    <w:qFormat/>
    <w:rsid w:val="000E4466"/>
    <w:rPr>
      <w:b/>
      <w:color w:val="B3FFEE" w:themeColor="accent3" w:themeTint="33"/>
    </w:rPr>
  </w:style>
  <w:style w:type="paragraph" w:styleId="FootnoteText">
    <w:name w:val="footnote text"/>
    <w:basedOn w:val="Normal"/>
    <w:link w:val="FootnoteTextChar"/>
    <w:uiPriority w:val="99"/>
    <w:rsid w:val="008C7F71"/>
    <w:pPr>
      <w:spacing w:before="0"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styleId="ListParagraph">
    <w:name w:val="List Paragraph"/>
    <w:aliases w:val="List Paragraph1,Recommendation,List Paragraph11,L,bullet point list,1 heading,Bullet point,Dot point 1.5 line spacing,List Paragraph - bullets,NFP GP Bulleted List,Content descriptions,DDM Gen Text,List Paragraph Number,NAST Quote,CV text"/>
    <w:basedOn w:val="Normal"/>
    <w:link w:val="ListParagraphChar"/>
    <w:uiPriority w:val="34"/>
    <w:qFormat/>
    <w:rsid w:val="00145A26"/>
    <w:pPr>
      <w:numPr>
        <w:numId w:val="57"/>
      </w:numPr>
      <w:spacing w:before="0" w:line="259" w:lineRule="auto"/>
    </w:pPr>
    <w:rPr>
      <w:rFonts w:asciiTheme="minorHAnsi" w:eastAsiaTheme="minorHAnsi" w:hAnsiTheme="minorHAnsi" w:cstheme="minorBidi"/>
      <w:szCs w:val="22"/>
      <w:lang w:eastAsia="en-US"/>
    </w:rPr>
  </w:style>
  <w:style w:type="paragraph" w:styleId="NormalWeb">
    <w:name w:val="Normal (Web)"/>
    <w:basedOn w:val="Normal"/>
    <w:link w:val="NormalWebChar"/>
    <w:uiPriority w:val="99"/>
    <w:semiHidden/>
    <w:unhideWhenUsed/>
    <w:rsid w:val="00A537DF"/>
    <w:pPr>
      <w:spacing w:before="100" w:beforeAutospacing="1" w:after="100" w:afterAutospacing="1"/>
    </w:pPr>
    <w:rPr>
      <w:rFonts w:ascii="Times New Roman" w:eastAsiaTheme="minorHAnsi" w:hAnsi="Times New Roman"/>
      <w:sz w:val="24"/>
      <w:szCs w:val="24"/>
    </w:rPr>
  </w:style>
  <w:style w:type="paragraph" w:customStyle="1" w:styleId="home-intro">
    <w:name w:val="home-intro"/>
    <w:basedOn w:val="Normal"/>
    <w:uiPriority w:val="99"/>
    <w:semiHidden/>
    <w:rsid w:val="00A537DF"/>
    <w:pPr>
      <w:spacing w:before="100" w:beforeAutospacing="1" w:after="100" w:afterAutospacing="1"/>
    </w:pPr>
    <w:rPr>
      <w:rFonts w:eastAsiaTheme="minorHAnsi" w:cs="Calibri"/>
      <w:szCs w:val="22"/>
    </w:rPr>
  </w:style>
  <w:style w:type="character" w:customStyle="1" w:styleId="NormalWebChar">
    <w:name w:val="Normal (Web) Char"/>
    <w:basedOn w:val="DefaultParagraphFont"/>
    <w:link w:val="NormalWeb"/>
    <w:uiPriority w:val="99"/>
    <w:semiHidden/>
    <w:rsid w:val="00A537DF"/>
    <w:rPr>
      <w:rFonts w:ascii="Times New Roman" w:hAnsi="Times New Roman" w:cs="Times New Roman"/>
      <w:sz w:val="24"/>
      <w:szCs w:val="24"/>
      <w:lang w:eastAsia="en-AU"/>
    </w:rPr>
  </w:style>
  <w:style w:type="character" w:customStyle="1" w:styleId="BulletChar">
    <w:name w:val="Bullet Char"/>
    <w:basedOn w:val="NormalWebChar"/>
    <w:link w:val="Bullet"/>
    <w:rsid w:val="00A537DF"/>
    <w:rPr>
      <w:rFonts w:ascii="Calibri" w:eastAsia="Times New Roman" w:hAnsi="Calibri" w:cs="Times New Roman"/>
      <w:sz w:val="24"/>
      <w:szCs w:val="20"/>
      <w:lang w:eastAsia="en-AU"/>
    </w:rPr>
  </w:style>
  <w:style w:type="paragraph" w:styleId="CommentText">
    <w:name w:val="annotation text"/>
    <w:basedOn w:val="Normal"/>
    <w:link w:val="CommentTextChar"/>
    <w:uiPriority w:val="99"/>
    <w:unhideWhenUsed/>
    <w:rsid w:val="00A537DF"/>
    <w:pPr>
      <w:spacing w:before="0" w:after="0"/>
    </w:pPr>
    <w:rPr>
      <w:rFonts w:eastAsiaTheme="minorHAnsi" w:cs="Calibri"/>
      <w:sz w:val="20"/>
      <w:lang w:eastAsia="en-US"/>
    </w:rPr>
  </w:style>
  <w:style w:type="character" w:customStyle="1" w:styleId="CommentTextChar">
    <w:name w:val="Comment Text Char"/>
    <w:basedOn w:val="DefaultParagraphFont"/>
    <w:link w:val="CommentText"/>
    <w:uiPriority w:val="99"/>
    <w:rsid w:val="00A537DF"/>
    <w:rPr>
      <w:rFonts w:ascii="Calibri" w:hAnsi="Calibri" w:cs="Calibri"/>
      <w:sz w:val="20"/>
      <w:szCs w:val="20"/>
    </w:rPr>
  </w:style>
  <w:style w:type="character" w:styleId="CommentReference">
    <w:name w:val="annotation reference"/>
    <w:basedOn w:val="DefaultParagraphFont"/>
    <w:uiPriority w:val="99"/>
    <w:semiHidden/>
    <w:unhideWhenUsed/>
    <w:rsid w:val="00B86855"/>
    <w:rPr>
      <w:sz w:val="16"/>
      <w:szCs w:val="16"/>
    </w:rPr>
  </w:style>
  <w:style w:type="paragraph" w:styleId="CommentSubject">
    <w:name w:val="annotation subject"/>
    <w:basedOn w:val="CommentText"/>
    <w:next w:val="CommentText"/>
    <w:link w:val="CommentSubjectChar"/>
    <w:uiPriority w:val="99"/>
    <w:semiHidden/>
    <w:unhideWhenUsed/>
    <w:rsid w:val="00B86855"/>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B86855"/>
    <w:rPr>
      <w:rFonts w:ascii="Calibri" w:eastAsia="Times New Roman" w:hAnsi="Calibri" w:cs="Times New Roman"/>
      <w:b/>
      <w:bCs/>
      <w:sz w:val="20"/>
      <w:szCs w:val="20"/>
      <w:lang w:eastAsia="en-AU"/>
    </w:rPr>
  </w:style>
  <w:style w:type="character" w:customStyle="1" w:styleId="ListParagraphChar">
    <w:name w:val="List Paragraph Char"/>
    <w:aliases w:val="List Paragraph1 Char,Recommendation Char,List Paragraph11 Char,L Char,bullet point list Char,1 heading Char,Bullet point Char,Dot point 1.5 line spacing Char,List Paragraph - bullets Char,NFP GP Bulleted List Char,DDM Gen Text Char"/>
    <w:basedOn w:val="DefaultParagraphFont"/>
    <w:link w:val="ListParagraph"/>
    <w:uiPriority w:val="34"/>
    <w:locked/>
    <w:rsid w:val="00D11760"/>
    <w:rPr>
      <w:color w:val="262626" w:themeColor="text1" w:themeTint="D9"/>
    </w:rPr>
  </w:style>
  <w:style w:type="table" w:customStyle="1" w:styleId="GridTable4-Accent11">
    <w:name w:val="Grid Table 4 - Accent 11"/>
    <w:basedOn w:val="TableNormal"/>
    <w:next w:val="GridTable4-Accent1"/>
    <w:uiPriority w:val="49"/>
    <w:rsid w:val="0045086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450863"/>
    <w:pPr>
      <w:spacing w:after="0" w:line="240" w:lineRule="auto"/>
    </w:pPr>
    <w:tblPr>
      <w:tblStyleRowBandSize w:val="1"/>
      <w:tblStyleColBandSize w:val="1"/>
      <w:tblBorders>
        <w:top w:val="single" w:sz="4" w:space="0" w:color="0098F6" w:themeColor="accent1" w:themeTint="99"/>
        <w:left w:val="single" w:sz="4" w:space="0" w:color="0098F6" w:themeColor="accent1" w:themeTint="99"/>
        <w:bottom w:val="single" w:sz="4" w:space="0" w:color="0098F6" w:themeColor="accent1" w:themeTint="99"/>
        <w:right w:val="single" w:sz="4" w:space="0" w:color="0098F6" w:themeColor="accent1" w:themeTint="99"/>
        <w:insideH w:val="single" w:sz="4" w:space="0" w:color="0098F6" w:themeColor="accent1" w:themeTint="99"/>
        <w:insideV w:val="single" w:sz="4" w:space="0" w:color="0098F6" w:themeColor="accent1" w:themeTint="99"/>
      </w:tblBorders>
    </w:tblPr>
    <w:tblStylePr w:type="firstRow">
      <w:rPr>
        <w:b/>
        <w:bCs/>
        <w:color w:val="FFFFFF" w:themeColor="background1"/>
      </w:rPr>
      <w:tblPr/>
      <w:tcPr>
        <w:tcBorders>
          <w:top w:val="single" w:sz="4" w:space="0" w:color="002C47" w:themeColor="accent1"/>
          <w:left w:val="single" w:sz="4" w:space="0" w:color="002C47" w:themeColor="accent1"/>
          <w:bottom w:val="single" w:sz="4" w:space="0" w:color="002C47" w:themeColor="accent1"/>
          <w:right w:val="single" w:sz="4" w:space="0" w:color="002C47" w:themeColor="accent1"/>
          <w:insideH w:val="nil"/>
          <w:insideV w:val="nil"/>
        </w:tcBorders>
        <w:shd w:val="clear" w:color="auto" w:fill="002C47" w:themeFill="accent1"/>
      </w:tcPr>
    </w:tblStylePr>
    <w:tblStylePr w:type="lastRow">
      <w:rPr>
        <w:b/>
        <w:bCs/>
      </w:rPr>
      <w:tblPr/>
      <w:tcPr>
        <w:tcBorders>
          <w:top w:val="double" w:sz="4" w:space="0" w:color="002C47" w:themeColor="accent1"/>
        </w:tcBorders>
      </w:tcPr>
    </w:tblStylePr>
    <w:tblStylePr w:type="firstCol">
      <w:rPr>
        <w:b/>
        <w:bCs/>
      </w:rPr>
    </w:tblStylePr>
    <w:tblStylePr w:type="lastCol">
      <w:rPr>
        <w:b/>
        <w:bCs/>
      </w:rPr>
    </w:tblStylePr>
    <w:tblStylePr w:type="band1Vert">
      <w:tblPr/>
      <w:tcPr>
        <w:shd w:val="clear" w:color="auto" w:fill="A7DDFF" w:themeFill="accent1" w:themeFillTint="33"/>
      </w:tcPr>
    </w:tblStylePr>
    <w:tblStylePr w:type="band1Horz">
      <w:tblPr/>
      <w:tcPr>
        <w:shd w:val="clear" w:color="auto" w:fill="A7DDFF" w:themeFill="accent1" w:themeFillTint="33"/>
      </w:tcPr>
    </w:tblStylePr>
  </w:style>
  <w:style w:type="paragraph" w:styleId="TOCHeading">
    <w:name w:val="TOC Heading"/>
    <w:basedOn w:val="Heading1"/>
    <w:next w:val="Normal"/>
    <w:uiPriority w:val="39"/>
    <w:unhideWhenUsed/>
    <w:qFormat/>
    <w:rsid w:val="00553C26"/>
    <w:pPr>
      <w:keepLines/>
      <w:spacing w:before="240" w:after="0" w:line="259" w:lineRule="auto"/>
      <w:outlineLvl w:val="9"/>
    </w:pPr>
    <w:rPr>
      <w:rFonts w:asciiTheme="majorHAnsi" w:eastAsiaTheme="majorEastAsia" w:hAnsiTheme="majorHAnsi" w:cstheme="majorBidi"/>
      <w:color w:val="002035" w:themeColor="accent1" w:themeShade="BF"/>
      <w:kern w:val="0"/>
      <w:sz w:val="32"/>
      <w:szCs w:val="32"/>
      <w:lang w:val="en-US"/>
    </w:rPr>
  </w:style>
  <w:style w:type="table" w:styleId="TableGridLight">
    <w:name w:val="Grid Table Light"/>
    <w:basedOn w:val="TableNormal"/>
    <w:uiPriority w:val="40"/>
    <w:rsid w:val="00E44A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5E23B4"/>
    <w:pPr>
      <w:spacing w:after="0" w:line="240" w:lineRule="auto"/>
    </w:pPr>
    <w:tblPr>
      <w:tblStyleRowBandSize w:val="1"/>
      <w:tblStyleColBandSize w:val="1"/>
      <w:tblBorders>
        <w:top w:val="single" w:sz="4" w:space="0" w:color="82A7D5" w:themeColor="accent2" w:themeTint="99"/>
        <w:left w:val="single" w:sz="4" w:space="0" w:color="82A7D5" w:themeColor="accent2" w:themeTint="99"/>
        <w:bottom w:val="single" w:sz="4" w:space="0" w:color="82A7D5" w:themeColor="accent2" w:themeTint="99"/>
        <w:right w:val="single" w:sz="4" w:space="0" w:color="82A7D5" w:themeColor="accent2" w:themeTint="99"/>
        <w:insideH w:val="single" w:sz="4" w:space="0" w:color="82A7D5" w:themeColor="accent2" w:themeTint="99"/>
        <w:insideV w:val="single" w:sz="4" w:space="0" w:color="82A7D5" w:themeColor="accent2" w:themeTint="99"/>
      </w:tblBorders>
    </w:tblPr>
    <w:tblStylePr w:type="firstRow">
      <w:rPr>
        <w:b/>
        <w:bCs/>
        <w:color w:val="FFFFFF" w:themeColor="background1"/>
      </w:rPr>
      <w:tblPr/>
      <w:tcPr>
        <w:tcBorders>
          <w:top w:val="single" w:sz="4" w:space="0" w:color="3A6FAF" w:themeColor="accent2"/>
          <w:left w:val="single" w:sz="4" w:space="0" w:color="3A6FAF" w:themeColor="accent2"/>
          <w:bottom w:val="single" w:sz="4" w:space="0" w:color="3A6FAF" w:themeColor="accent2"/>
          <w:right w:val="single" w:sz="4" w:space="0" w:color="3A6FAF" w:themeColor="accent2"/>
          <w:insideH w:val="nil"/>
          <w:insideV w:val="nil"/>
        </w:tcBorders>
        <w:shd w:val="clear" w:color="auto" w:fill="3A6FAF" w:themeFill="accent2"/>
      </w:tcPr>
    </w:tblStylePr>
    <w:tblStylePr w:type="lastRow">
      <w:rPr>
        <w:b/>
        <w:bCs/>
      </w:rPr>
      <w:tblPr/>
      <w:tcPr>
        <w:tcBorders>
          <w:top w:val="double" w:sz="4" w:space="0" w:color="3A6FAF" w:themeColor="accent2"/>
        </w:tcBorders>
      </w:tcPr>
    </w:tblStylePr>
    <w:tblStylePr w:type="firstCol">
      <w:rPr>
        <w:b/>
        <w:bCs/>
      </w:rPr>
    </w:tblStylePr>
    <w:tblStylePr w:type="lastCol">
      <w:rPr>
        <w:b/>
        <w:bCs/>
      </w:rPr>
    </w:tblStylePr>
    <w:tblStylePr w:type="band1Vert">
      <w:tblPr/>
      <w:tcPr>
        <w:shd w:val="clear" w:color="auto" w:fill="D5E1F1" w:themeFill="accent2" w:themeFillTint="33"/>
      </w:tcPr>
    </w:tblStylePr>
    <w:tblStylePr w:type="band1Horz">
      <w:tblPr/>
      <w:tcPr>
        <w:shd w:val="clear" w:color="auto" w:fill="D5E1F1" w:themeFill="accent2" w:themeFillTint="33"/>
      </w:tcPr>
    </w:tblStylePr>
  </w:style>
  <w:style w:type="paragraph" w:styleId="Caption">
    <w:name w:val="caption"/>
    <w:basedOn w:val="Normal"/>
    <w:next w:val="Normal"/>
    <w:uiPriority w:val="35"/>
    <w:unhideWhenUsed/>
    <w:qFormat/>
    <w:rsid w:val="005E23B4"/>
    <w:pPr>
      <w:spacing w:before="0" w:after="200"/>
    </w:pPr>
    <w:rPr>
      <w:i/>
      <w:iCs/>
      <w:color w:val="5F5F5F" w:themeColor="text2"/>
      <w:sz w:val="18"/>
      <w:szCs w:val="18"/>
    </w:rPr>
  </w:style>
  <w:style w:type="character" w:styleId="UnresolvedMention">
    <w:name w:val="Unresolved Mention"/>
    <w:basedOn w:val="DefaultParagraphFont"/>
    <w:uiPriority w:val="99"/>
    <w:semiHidden/>
    <w:unhideWhenUsed/>
    <w:rsid w:val="00DA667A"/>
    <w:rPr>
      <w:color w:val="605E5C"/>
      <w:shd w:val="clear" w:color="auto" w:fill="E1DFDD"/>
    </w:rPr>
  </w:style>
  <w:style w:type="character" w:customStyle="1" w:styleId="DashChar">
    <w:name w:val="Dash Char"/>
    <w:basedOn w:val="DefaultParagraphFont"/>
    <w:link w:val="Dash"/>
    <w:rsid w:val="00E55F7D"/>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6C130F"/>
    <w:rPr>
      <w:color w:val="E61E26" w:themeColor="followedHyperlink"/>
      <w:u w:val="single"/>
    </w:rPr>
  </w:style>
  <w:style w:type="paragraph" w:styleId="Revision">
    <w:name w:val="Revision"/>
    <w:hidden/>
    <w:uiPriority w:val="99"/>
    <w:semiHidden/>
    <w:rsid w:val="008C53BF"/>
    <w:pPr>
      <w:spacing w:after="0" w:line="240" w:lineRule="auto"/>
    </w:pPr>
    <w:rPr>
      <w:rFonts w:ascii="Calibri" w:eastAsia="Times New Roman" w:hAnsi="Calibri" w:cs="Times New Roman"/>
      <w:szCs w:val="20"/>
      <w:lang w:eastAsia="en-AU"/>
    </w:rPr>
  </w:style>
  <w:style w:type="character" w:styleId="Strong">
    <w:name w:val="Strong"/>
    <w:basedOn w:val="DefaultParagraphFont"/>
    <w:uiPriority w:val="22"/>
    <w:qFormat/>
    <w:rsid w:val="00D11760"/>
    <w:rPr>
      <w:rFonts w:ascii="Calibri" w:hAnsi="Calibri"/>
      <w:b/>
      <w:bCs/>
      <w:color w:val="46597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73035918">
      <w:bodyDiv w:val="1"/>
      <w:marLeft w:val="0"/>
      <w:marRight w:val="0"/>
      <w:marTop w:val="0"/>
      <w:marBottom w:val="0"/>
      <w:divBdr>
        <w:top w:val="none" w:sz="0" w:space="0" w:color="auto"/>
        <w:left w:val="none" w:sz="0" w:space="0" w:color="auto"/>
        <w:bottom w:val="none" w:sz="0" w:space="0" w:color="auto"/>
        <w:right w:val="none" w:sz="0" w:space="0" w:color="auto"/>
      </w:divBdr>
    </w:div>
    <w:div w:id="909580723">
      <w:bodyDiv w:val="1"/>
      <w:marLeft w:val="0"/>
      <w:marRight w:val="0"/>
      <w:marTop w:val="0"/>
      <w:marBottom w:val="0"/>
      <w:divBdr>
        <w:top w:val="none" w:sz="0" w:space="0" w:color="auto"/>
        <w:left w:val="none" w:sz="0" w:space="0" w:color="auto"/>
        <w:bottom w:val="none" w:sz="0" w:space="0" w:color="auto"/>
        <w:right w:val="none" w:sz="0" w:space="0" w:color="auto"/>
      </w:divBdr>
    </w:div>
    <w:div w:id="1337608491">
      <w:bodyDiv w:val="1"/>
      <w:marLeft w:val="0"/>
      <w:marRight w:val="0"/>
      <w:marTop w:val="0"/>
      <w:marBottom w:val="0"/>
      <w:divBdr>
        <w:top w:val="none" w:sz="0" w:space="0" w:color="auto"/>
        <w:left w:val="none" w:sz="0" w:space="0" w:color="auto"/>
        <w:bottom w:val="none" w:sz="0" w:space="0" w:color="auto"/>
        <w:right w:val="none" w:sz="0" w:space="0" w:color="auto"/>
      </w:divBdr>
    </w:div>
    <w:div w:id="1339694739">
      <w:bodyDiv w:val="1"/>
      <w:marLeft w:val="0"/>
      <w:marRight w:val="0"/>
      <w:marTop w:val="0"/>
      <w:marBottom w:val="0"/>
      <w:divBdr>
        <w:top w:val="none" w:sz="0" w:space="0" w:color="auto"/>
        <w:left w:val="none" w:sz="0" w:space="0" w:color="auto"/>
        <w:bottom w:val="none" w:sz="0" w:space="0" w:color="auto"/>
        <w:right w:val="none" w:sz="0" w:space="0" w:color="auto"/>
      </w:divBdr>
    </w:div>
    <w:div w:id="1347248645">
      <w:bodyDiv w:val="1"/>
      <w:marLeft w:val="0"/>
      <w:marRight w:val="0"/>
      <w:marTop w:val="0"/>
      <w:marBottom w:val="0"/>
      <w:divBdr>
        <w:top w:val="none" w:sz="0" w:space="0" w:color="auto"/>
        <w:left w:val="none" w:sz="0" w:space="0" w:color="auto"/>
        <w:bottom w:val="none" w:sz="0" w:space="0" w:color="auto"/>
        <w:right w:val="none" w:sz="0" w:space="0" w:color="auto"/>
      </w:divBdr>
    </w:div>
    <w:div w:id="1353337972">
      <w:bodyDiv w:val="1"/>
      <w:marLeft w:val="0"/>
      <w:marRight w:val="0"/>
      <w:marTop w:val="0"/>
      <w:marBottom w:val="0"/>
      <w:divBdr>
        <w:top w:val="none" w:sz="0" w:space="0" w:color="auto"/>
        <w:left w:val="none" w:sz="0" w:space="0" w:color="auto"/>
        <w:bottom w:val="none" w:sz="0" w:space="0" w:color="auto"/>
        <w:right w:val="none" w:sz="0" w:space="0" w:color="auto"/>
      </w:divBdr>
    </w:div>
    <w:div w:id="1365401342">
      <w:bodyDiv w:val="1"/>
      <w:marLeft w:val="0"/>
      <w:marRight w:val="0"/>
      <w:marTop w:val="0"/>
      <w:marBottom w:val="0"/>
      <w:divBdr>
        <w:top w:val="none" w:sz="0" w:space="0" w:color="auto"/>
        <w:left w:val="none" w:sz="0" w:space="0" w:color="auto"/>
        <w:bottom w:val="none" w:sz="0" w:space="0" w:color="auto"/>
        <w:right w:val="none" w:sz="0" w:space="0" w:color="auto"/>
      </w:divBdr>
    </w:div>
    <w:div w:id="1532256894">
      <w:bodyDiv w:val="1"/>
      <w:marLeft w:val="0"/>
      <w:marRight w:val="0"/>
      <w:marTop w:val="0"/>
      <w:marBottom w:val="0"/>
      <w:divBdr>
        <w:top w:val="none" w:sz="0" w:space="0" w:color="auto"/>
        <w:left w:val="none" w:sz="0" w:space="0" w:color="auto"/>
        <w:bottom w:val="none" w:sz="0" w:space="0" w:color="auto"/>
        <w:right w:val="none" w:sz="0" w:space="0" w:color="auto"/>
      </w:divBdr>
    </w:div>
    <w:div w:id="1713339778">
      <w:bodyDiv w:val="1"/>
      <w:marLeft w:val="0"/>
      <w:marRight w:val="0"/>
      <w:marTop w:val="0"/>
      <w:marBottom w:val="0"/>
      <w:divBdr>
        <w:top w:val="none" w:sz="0" w:space="0" w:color="auto"/>
        <w:left w:val="none" w:sz="0" w:space="0" w:color="auto"/>
        <w:bottom w:val="none" w:sz="0" w:space="0" w:color="auto"/>
        <w:right w:val="none" w:sz="0" w:space="0" w:color="auto"/>
      </w:divBdr>
    </w:div>
    <w:div w:id="19117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20A00091" TargetMode="External"/><Relationship Id="rId13" Type="http://schemas.openxmlformats.org/officeDocument/2006/relationships/hyperlink" Target="https://portal.paymenttimes.gov.au/" TargetMode="External"/><Relationship Id="rId18" Type="http://schemas.openxmlformats.org/officeDocument/2006/relationships/hyperlink" Target="https://portal.paymenttimes.gov.a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egislation.gov.au/Series/C2004A00553" TargetMode="External"/><Relationship Id="rId7" Type="http://schemas.openxmlformats.org/officeDocument/2006/relationships/endnotes" Target="endnotes.xml"/><Relationship Id="rId12" Type="http://schemas.openxmlformats.org/officeDocument/2006/relationships/hyperlink" Target="https://portal.paymenttimes.gov.au/" TargetMode="External"/><Relationship Id="rId17" Type="http://schemas.openxmlformats.org/officeDocument/2006/relationships/hyperlink" Target="https://www.legislation.gov.au/Series/C2004A0055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ortal.paymenttimes.gov.au/" TargetMode="External"/><Relationship Id="rId20" Type="http://schemas.openxmlformats.org/officeDocument/2006/relationships/hyperlink" Target="https://portal.paymenttime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20A0009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rtal.paymenttimes.gov.au/" TargetMode="External"/><Relationship Id="rId23" Type="http://schemas.openxmlformats.org/officeDocument/2006/relationships/hyperlink" Target="https://register.paymenttimes.gov.au/" TargetMode="External"/><Relationship Id="rId28" Type="http://schemas.openxmlformats.org/officeDocument/2006/relationships/header" Target="header3.xml"/><Relationship Id="rId10" Type="http://schemas.openxmlformats.org/officeDocument/2006/relationships/hyperlink" Target="https://www.legislation.gov.au/Series/F2020L01472" TargetMode="External"/><Relationship Id="rId19" Type="http://schemas.openxmlformats.org/officeDocument/2006/relationships/hyperlink" Target="https://portal.paymenttimes.gov.au/" TargetMode="External"/><Relationship Id="rId4" Type="http://schemas.openxmlformats.org/officeDocument/2006/relationships/settings" Target="settings.xml"/><Relationship Id="rId9" Type="http://schemas.openxmlformats.org/officeDocument/2006/relationships/hyperlink" Target="https://www.legislation.gov.au/Series/C2020A00091" TargetMode="External"/><Relationship Id="rId14" Type="http://schemas.openxmlformats.org/officeDocument/2006/relationships/hyperlink" Target="https://portal.paymenttimes.gov.au/" TargetMode="External"/><Relationship Id="rId22" Type="http://schemas.openxmlformats.org/officeDocument/2006/relationships/hyperlink" Target="https://register.paymenttimes.gov.au/"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AEAEA"/>
      </a:lt2>
      <a:accent1>
        <a:srgbClr val="002C47"/>
      </a:accent1>
      <a:accent2>
        <a:srgbClr val="3A6FAF"/>
      </a:accent2>
      <a:accent3>
        <a:srgbClr val="008569"/>
      </a:accent3>
      <a:accent4>
        <a:srgbClr val="C45154"/>
      </a:accent4>
      <a:accent5>
        <a:srgbClr val="00818F"/>
      </a:accent5>
      <a:accent6>
        <a:srgbClr val="844D9E"/>
      </a:accent6>
      <a:hlink>
        <a:srgbClr val="3A6FAF"/>
      </a:hlink>
      <a:folHlink>
        <a:srgbClr val="E61E2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B82A-A002-4BCB-9924-AC6526B6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3915</Words>
  <Characters>20177</Characters>
  <Application>Microsoft Office Word</Application>
  <DocSecurity>0</DocSecurity>
  <Lines>397</Lines>
  <Paragraphs>202</Paragraphs>
  <ScaleCrop>false</ScaleCrop>
  <HeadingPairs>
    <vt:vector size="2" baseType="variant">
      <vt:variant>
        <vt:lpstr>Title</vt:lpstr>
      </vt:variant>
      <vt:variant>
        <vt:i4>1</vt:i4>
      </vt:variant>
    </vt:vector>
  </HeadingPairs>
  <TitlesOfParts>
    <vt:vector size="1" baseType="lpstr">
      <vt:lpstr>PTRS Guidance Note 2 - Preparing a payment times report</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PTRS Guidance Note 2 - Preparing a payment times report</dc:title>
  <dc:subject/>
  <dc:creator/>
  <cp:keywords/>
  <dc:description/>
  <cp:lastModifiedBy/>
  <cp:revision>1</cp:revision>
  <dcterms:created xsi:type="dcterms:W3CDTF">2022-07-21T04:42:00Z</dcterms:created>
  <dcterms:modified xsi:type="dcterms:W3CDTF">2022-07-21T04:43:00Z</dcterms:modified>
  <cp:category/>
</cp:coreProperties>
</file>