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9B19"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35EBE43" w14:textId="1807F0F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1DD964F1B5A644D483550BD5D4E43895"/>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EE5FEF">
            <w:rPr>
              <w:sz w:val="24"/>
              <w:szCs w:val="24"/>
            </w:rPr>
            <w:t>Assistant Treasurer</w:t>
          </w:r>
        </w:sdtContent>
      </w:sdt>
    </w:p>
    <w:p w14:paraId="24B5E250" w14:textId="19C911CF" w:rsidR="00F109D4" w:rsidRDefault="00992A3F" w:rsidP="003C7907">
      <w:pPr>
        <w:spacing w:before="240" w:after="240"/>
        <w:jc w:val="center"/>
        <w:rPr>
          <w:i/>
        </w:rPr>
      </w:pPr>
      <w:r>
        <w:rPr>
          <w:i/>
          <w:iCs/>
          <w:szCs w:val="24"/>
        </w:rPr>
        <w:t>Australian Charities and Not-for-profits Commission Act 2012</w:t>
      </w:r>
    </w:p>
    <w:p w14:paraId="70B7E5F6" w14:textId="5FE78C27" w:rsidR="00F109D4" w:rsidRPr="00503E44" w:rsidRDefault="00992A3F" w:rsidP="00AA1689">
      <w:pPr>
        <w:tabs>
          <w:tab w:val="left" w:pos="1418"/>
        </w:tabs>
        <w:spacing w:before="0" w:after="240"/>
        <w:jc w:val="center"/>
        <w:rPr>
          <w:i/>
        </w:rPr>
      </w:pPr>
      <w:r w:rsidRPr="000E3217">
        <w:rPr>
          <w:i/>
          <w:iCs/>
        </w:rPr>
        <w:t>Australian Charities and Not‑for‑profits Commission Regulation</w:t>
      </w:r>
      <w:r w:rsidR="004B7ACD">
        <w:rPr>
          <w:i/>
          <w:iCs/>
        </w:rPr>
        <w:t>s</w:t>
      </w:r>
      <w:r>
        <w:rPr>
          <w:i/>
          <w:iCs/>
        </w:rPr>
        <w:t xml:space="preserve"> </w:t>
      </w:r>
      <w:r w:rsidRPr="000007AD">
        <w:rPr>
          <w:i/>
          <w:iCs/>
        </w:rPr>
        <w:t>2022</w:t>
      </w:r>
    </w:p>
    <w:p w14:paraId="67C708F4" w14:textId="77777777" w:rsidR="00DB16F8" w:rsidRDefault="00DB16F8" w:rsidP="00647BB7">
      <w:pPr>
        <w:spacing w:before="240"/>
      </w:pPr>
      <w:r>
        <w:t xml:space="preserve">The </w:t>
      </w:r>
      <w:r>
        <w:rPr>
          <w:i/>
        </w:rPr>
        <w:t>Australian Charities and Not-for-profits Commission Act 2012</w:t>
      </w:r>
      <w:r>
        <w:t xml:space="preserve"> (the Act) provides for the registration and regulation of charities by the Australian Charities and Not</w:t>
      </w:r>
      <w:r>
        <w:noBreakHyphen/>
        <w:t>for</w:t>
      </w:r>
      <w:r>
        <w:noBreakHyphen/>
        <w:t>profits Commission (ACNC).</w:t>
      </w:r>
    </w:p>
    <w:p w14:paraId="59FDF278" w14:textId="082C83E3" w:rsidR="00F109D4" w:rsidRDefault="00C55D29" w:rsidP="00647BB7">
      <w:pPr>
        <w:spacing w:before="240"/>
      </w:pPr>
      <w:r w:rsidRPr="00503E44">
        <w:t xml:space="preserve">Section </w:t>
      </w:r>
      <w:r w:rsidR="00D220F3">
        <w:t>200-5</w:t>
      </w:r>
      <w:r w:rsidR="005E4BAC">
        <w:t xml:space="preserve"> </w:t>
      </w:r>
      <w:r w:rsidR="00F109D4" w:rsidRPr="00503E44">
        <w:t>of the Ac</w:t>
      </w:r>
      <w:r w:rsidR="00DB16F8">
        <w:t>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7E4BD934" w14:textId="229DC6B5" w:rsidR="00F109D4" w:rsidRDefault="00E949C5" w:rsidP="00647BB7">
      <w:pPr>
        <w:spacing w:before="240"/>
      </w:pPr>
      <w:r>
        <w:t xml:space="preserve">The purpose of the </w:t>
      </w:r>
      <w:r w:rsidRPr="000E3217">
        <w:rPr>
          <w:i/>
          <w:iCs/>
        </w:rPr>
        <w:t>Australian Charities and Not‑for‑profits Commission Regulation</w:t>
      </w:r>
      <w:r w:rsidR="004B7ACD">
        <w:rPr>
          <w:i/>
          <w:iCs/>
        </w:rPr>
        <w:t>s</w:t>
      </w:r>
      <w:r w:rsidR="00CB171B">
        <w:rPr>
          <w:i/>
          <w:iCs/>
        </w:rPr>
        <w:t> </w:t>
      </w:r>
      <w:r w:rsidRPr="000007AD">
        <w:rPr>
          <w:i/>
          <w:iCs/>
        </w:rPr>
        <w:t>2022</w:t>
      </w:r>
      <w:r>
        <w:rPr>
          <w:i/>
          <w:iCs/>
        </w:rPr>
        <w:t xml:space="preserve"> </w:t>
      </w:r>
      <w:r>
        <w:t xml:space="preserve">(the Regulations) is to remake the </w:t>
      </w:r>
      <w:r w:rsidRPr="00E949C5">
        <w:rPr>
          <w:i/>
          <w:iCs/>
        </w:rPr>
        <w:t>Australian Charities and Not-for-profits Commission Regulation 2013</w:t>
      </w:r>
      <w:r>
        <w:rPr>
          <w:i/>
          <w:iCs/>
        </w:rPr>
        <w:t xml:space="preserve"> </w:t>
      </w:r>
      <w:r>
        <w:t>(the</w:t>
      </w:r>
      <w:r w:rsidR="0098393E">
        <w:t xml:space="preserve"> </w:t>
      </w:r>
      <w:r w:rsidR="00704415">
        <w:t xml:space="preserve">former </w:t>
      </w:r>
      <w:r>
        <w:t xml:space="preserve">Regulations) before </w:t>
      </w:r>
      <w:proofErr w:type="gramStart"/>
      <w:r>
        <w:t>they</w:t>
      </w:r>
      <w:proofErr w:type="gramEnd"/>
      <w:r>
        <w:t xml:space="preserve"> sunset.  </w:t>
      </w:r>
      <w:r>
        <w:rPr>
          <w:color w:val="000000"/>
          <w:shd w:val="clear" w:color="auto" w:fill="FFFFFF"/>
        </w:rPr>
        <w:t>The </w:t>
      </w:r>
      <w:r>
        <w:rPr>
          <w:i/>
          <w:iCs/>
          <w:color w:val="000000"/>
          <w:shd w:val="clear" w:color="auto" w:fill="FFFFFF"/>
        </w:rPr>
        <w:t>Legislation Act 2003</w:t>
      </w:r>
      <w:r>
        <w:rPr>
          <w:color w:val="000000"/>
          <w:shd w:val="clear" w:color="auto" w:fill="FFFFFF"/>
        </w:rPr>
        <w:t> provides that all legislative instruments, other than exempt instruments, progressively sunset according to the timetable</w:t>
      </w:r>
      <w:r w:rsidR="00027338">
        <w:rPr>
          <w:color w:val="000000"/>
          <w:shd w:val="clear" w:color="auto" w:fill="FFFFFF"/>
        </w:rPr>
        <w:t xml:space="preserve"> set out</w:t>
      </w:r>
      <w:r>
        <w:rPr>
          <w:color w:val="000000"/>
          <w:shd w:val="clear" w:color="auto" w:fill="FFFFFF"/>
        </w:rPr>
        <w:t xml:space="preserve"> in section 50 of </w:t>
      </w:r>
      <w:r w:rsidR="004F10F4">
        <w:rPr>
          <w:color w:val="000000"/>
          <w:shd w:val="clear" w:color="auto" w:fill="FFFFFF"/>
        </w:rPr>
        <w:t xml:space="preserve">the </w:t>
      </w:r>
      <w:r w:rsidR="004F10F4">
        <w:rPr>
          <w:i/>
          <w:iCs/>
          <w:color w:val="000000"/>
          <w:shd w:val="clear" w:color="auto" w:fill="FFFFFF"/>
        </w:rPr>
        <w:t>Legislation Act 2003</w:t>
      </w:r>
      <w:r>
        <w:rPr>
          <w:color w:val="000000"/>
          <w:shd w:val="clear" w:color="auto" w:fill="FFFFFF"/>
        </w:rPr>
        <w:t xml:space="preserve">. </w:t>
      </w:r>
      <w:r>
        <w:t>Sunsetting legislative instruments generally cease to have effect after ten years and further action is required to continue their operation, such as remaking the instrument.</w:t>
      </w:r>
    </w:p>
    <w:p w14:paraId="1CF43079" w14:textId="47A566CF" w:rsidR="006A5AFC" w:rsidRDefault="00036517" w:rsidP="00647BB7">
      <w:pPr>
        <w:spacing w:before="240"/>
      </w:pPr>
      <w:r>
        <w:t xml:space="preserve">The </w:t>
      </w:r>
      <w:r w:rsidR="00704415">
        <w:t xml:space="preserve">former </w:t>
      </w:r>
      <w:r>
        <w:t>Regulations</w:t>
      </w:r>
      <w:r w:rsidR="00CB171B">
        <w:t xml:space="preserve"> were </w:t>
      </w:r>
      <w:r>
        <w:t>due to sunset on 1 April 2023</w:t>
      </w:r>
      <w:r w:rsidR="00110A40">
        <w:t xml:space="preserve">.  The Regulations remake the </w:t>
      </w:r>
      <w:r w:rsidR="00704415">
        <w:t xml:space="preserve">former </w:t>
      </w:r>
      <w:r w:rsidR="00110A40">
        <w:t>Regulations with revisions to update and remove redundant provisions</w:t>
      </w:r>
      <w:r w:rsidR="006A5AFC">
        <w:t xml:space="preserve">.  </w:t>
      </w:r>
    </w:p>
    <w:p w14:paraId="10828711" w14:textId="2F65ECBD" w:rsidR="003802F4" w:rsidRDefault="003802F4" w:rsidP="00647BB7">
      <w:pPr>
        <w:spacing w:before="240"/>
      </w:pPr>
      <w:r w:rsidRPr="00E02293">
        <w:rPr>
          <w:szCs w:val="22"/>
        </w:rPr>
        <w:t xml:space="preserve">The language, format and numbering of the </w:t>
      </w:r>
      <w:r w:rsidR="00704415" w:rsidRPr="00E02293">
        <w:rPr>
          <w:szCs w:val="22"/>
        </w:rPr>
        <w:t xml:space="preserve">former </w:t>
      </w:r>
      <w:r w:rsidRPr="00E02293">
        <w:rPr>
          <w:szCs w:val="22"/>
        </w:rPr>
        <w:t>Regulations</w:t>
      </w:r>
      <w:r w:rsidR="00E02293" w:rsidRPr="00E02293">
        <w:rPr>
          <w:szCs w:val="22"/>
        </w:rPr>
        <w:t xml:space="preserve"> ha</w:t>
      </w:r>
      <w:r w:rsidR="0038345A">
        <w:rPr>
          <w:szCs w:val="22"/>
        </w:rPr>
        <w:t>ve</w:t>
      </w:r>
      <w:r w:rsidR="00E02293" w:rsidRPr="00E02293">
        <w:rPr>
          <w:szCs w:val="22"/>
        </w:rPr>
        <w:t xml:space="preserve"> been maintained in the Regulations as </w:t>
      </w:r>
      <w:r w:rsidR="001309BE">
        <w:rPr>
          <w:szCs w:val="22"/>
        </w:rPr>
        <w:t>they</w:t>
      </w:r>
      <w:r w:rsidR="00E02293" w:rsidRPr="00E02293">
        <w:rPr>
          <w:szCs w:val="22"/>
        </w:rPr>
        <w:t xml:space="preserve"> are </w:t>
      </w:r>
      <w:r w:rsidRPr="00E02293">
        <w:rPr>
          <w:szCs w:val="22"/>
        </w:rPr>
        <w:t xml:space="preserve">used extensively in the ACNC's administrative guidance for the sector. </w:t>
      </w:r>
    </w:p>
    <w:p w14:paraId="716EE0A2" w14:textId="76C91483" w:rsidR="00277BA0" w:rsidRDefault="00277BA0" w:rsidP="00277BA0">
      <w:pPr>
        <w:spacing w:before="240"/>
      </w:pPr>
      <w:r w:rsidRPr="00277BA0">
        <w:t>Section</w:t>
      </w:r>
      <w:r w:rsidR="006B56F3">
        <w:t>s</w:t>
      </w:r>
      <w:r w:rsidRPr="00277BA0">
        <w:t xml:space="preserve"> 45-15 </w:t>
      </w:r>
      <w:r w:rsidR="006B56F3">
        <w:t xml:space="preserve">and 50-15 </w:t>
      </w:r>
      <w:r w:rsidRPr="00277BA0">
        <w:t>of the Act specif</w:t>
      </w:r>
      <w:r w:rsidR="006B56F3">
        <w:t>y</w:t>
      </w:r>
      <w:r w:rsidRPr="00277BA0">
        <w:t xml:space="preserve"> that before the power to make the Regulation</w:t>
      </w:r>
      <w:r>
        <w:t>s</w:t>
      </w:r>
      <w:r w:rsidRPr="00277BA0">
        <w:t xml:space="preserve"> may</w:t>
      </w:r>
      <w:r>
        <w:t xml:space="preserve"> </w:t>
      </w:r>
      <w:r w:rsidRPr="00277BA0">
        <w:t>be exercised, the Minister must be satisfied that appropriate consultation has been</w:t>
      </w:r>
      <w:r>
        <w:t xml:space="preserve"> </w:t>
      </w:r>
      <w:r w:rsidRPr="00277BA0">
        <w:t>undertaken with the following entities:</w:t>
      </w:r>
    </w:p>
    <w:p w14:paraId="7FBCB35C" w14:textId="77777777" w:rsidR="00277BA0" w:rsidRDefault="00277BA0" w:rsidP="00277BA0">
      <w:pPr>
        <w:pStyle w:val="Bullet"/>
      </w:pPr>
      <w:r w:rsidRPr="00277BA0">
        <w:t>the NFP sector (such as through entities that represent parts of the</w:t>
      </w:r>
      <w:r>
        <w:t xml:space="preserve"> </w:t>
      </w:r>
      <w:r w:rsidRPr="00277BA0">
        <w:t>sector); and</w:t>
      </w:r>
    </w:p>
    <w:p w14:paraId="21B1C8AF" w14:textId="2038642A" w:rsidR="00277BA0" w:rsidRDefault="00277BA0" w:rsidP="00277BA0">
      <w:pPr>
        <w:pStyle w:val="Bullet"/>
      </w:pPr>
      <w:r w:rsidRPr="00277BA0">
        <w:t>entities having expertise in fields relevant to the Regulation</w:t>
      </w:r>
      <w:r>
        <w:t>s</w:t>
      </w:r>
      <w:r w:rsidRPr="00277BA0">
        <w:t>; and</w:t>
      </w:r>
    </w:p>
    <w:p w14:paraId="0EA4D0EC" w14:textId="50A95C42" w:rsidR="00277BA0" w:rsidRDefault="00277BA0" w:rsidP="00277BA0">
      <w:pPr>
        <w:pStyle w:val="Bullet"/>
      </w:pPr>
      <w:r w:rsidRPr="00277BA0">
        <w:t>entities likely to be affected by the</w:t>
      </w:r>
      <w:r>
        <w:t xml:space="preserve"> </w:t>
      </w:r>
      <w:r w:rsidRPr="00277BA0">
        <w:t>Regulation</w:t>
      </w:r>
      <w:r>
        <w:t>s</w:t>
      </w:r>
      <w:r w:rsidRPr="00277BA0">
        <w:t>; and</w:t>
      </w:r>
    </w:p>
    <w:p w14:paraId="3CB2FA5F" w14:textId="31832164" w:rsidR="00277BA0" w:rsidRPr="00277BA0" w:rsidRDefault="00277BA0" w:rsidP="00277BA0">
      <w:pPr>
        <w:pStyle w:val="Bullet"/>
      </w:pPr>
      <w:r w:rsidRPr="00277BA0">
        <w:t>the ACNC Commissioner.</w:t>
      </w:r>
    </w:p>
    <w:p w14:paraId="7746F4E6" w14:textId="1B24EEA3" w:rsidR="00277BA0" w:rsidRDefault="00277BA0" w:rsidP="00277BA0">
      <w:pPr>
        <w:spacing w:before="240"/>
      </w:pPr>
      <w:r w:rsidRPr="00277BA0">
        <w:t>Section</w:t>
      </w:r>
      <w:r w:rsidR="008D33AD">
        <w:t>s</w:t>
      </w:r>
      <w:r w:rsidRPr="00277BA0">
        <w:t xml:space="preserve"> 45-15</w:t>
      </w:r>
      <w:r w:rsidR="008D33AD">
        <w:t xml:space="preserve"> and </w:t>
      </w:r>
      <w:r w:rsidR="006B56F3">
        <w:t>50-15</w:t>
      </w:r>
      <w:r w:rsidRPr="00277BA0">
        <w:t xml:space="preserve"> of the Act also </w:t>
      </w:r>
      <w:r w:rsidR="006B56F3" w:rsidRPr="00277BA0">
        <w:t>specif</w:t>
      </w:r>
      <w:r w:rsidR="006B56F3">
        <w:t>y</w:t>
      </w:r>
      <w:r w:rsidR="006B56F3" w:rsidRPr="00277BA0">
        <w:t xml:space="preserve"> </w:t>
      </w:r>
      <w:r w:rsidRPr="00277BA0">
        <w:t>that before the power to make the Regulation</w:t>
      </w:r>
      <w:r>
        <w:t xml:space="preserve">s </w:t>
      </w:r>
      <w:r w:rsidRPr="00277BA0">
        <w:t>may be exercised, the Minister must be satisfied that relevant input received as part of</w:t>
      </w:r>
      <w:r>
        <w:t xml:space="preserve"> </w:t>
      </w:r>
      <w:r w:rsidRPr="00277BA0">
        <w:t xml:space="preserve">that consultation has been </w:t>
      </w:r>
      <w:proofErr w:type="gramStart"/>
      <w:r w:rsidRPr="00277BA0">
        <w:t>taken into account</w:t>
      </w:r>
      <w:proofErr w:type="gramEnd"/>
      <w:r w:rsidRPr="00277BA0">
        <w:t xml:space="preserve"> adequately.</w:t>
      </w:r>
    </w:p>
    <w:p w14:paraId="70E34779" w14:textId="3CBBD06E" w:rsidR="000007BD" w:rsidRPr="00582601" w:rsidRDefault="0036312E" w:rsidP="000007BD">
      <w:pPr>
        <w:spacing w:before="240"/>
        <w:rPr>
          <w:szCs w:val="24"/>
        </w:rPr>
      </w:pPr>
      <w:r>
        <w:t xml:space="preserve">The Regulations and explanatory material were released for a four-week public consultation between </w:t>
      </w:r>
      <w:r w:rsidR="0091064C">
        <w:t>18 July 2022</w:t>
      </w:r>
      <w:r>
        <w:t xml:space="preserve"> and </w:t>
      </w:r>
      <w:r w:rsidR="0091064C">
        <w:t>15 August 2022</w:t>
      </w:r>
      <w:r>
        <w:t xml:space="preserve">.  </w:t>
      </w:r>
    </w:p>
    <w:p w14:paraId="0D77930F" w14:textId="4C8138B9" w:rsidR="00407BC1" w:rsidRPr="00582601" w:rsidRDefault="00407BC1" w:rsidP="00582601">
      <w:pPr>
        <w:autoSpaceDE w:val="0"/>
        <w:autoSpaceDN w:val="0"/>
        <w:adjustRightInd w:val="0"/>
        <w:spacing w:before="0" w:after="0"/>
        <w:rPr>
          <w:szCs w:val="24"/>
        </w:rPr>
      </w:pPr>
    </w:p>
    <w:p w14:paraId="2CF144D4" w14:textId="13B731F2" w:rsidR="00462606" w:rsidRDefault="00462606" w:rsidP="00462606">
      <w:pPr>
        <w:spacing w:before="240"/>
      </w:pPr>
      <w:r>
        <w:t xml:space="preserve">Details of the Regulations are set out in </w:t>
      </w:r>
      <w:r w:rsidRPr="005808B1">
        <w:rPr>
          <w:u w:val="single"/>
        </w:rPr>
        <w:t>Attachment A</w:t>
      </w:r>
      <w:r>
        <w:t>.</w:t>
      </w:r>
    </w:p>
    <w:p w14:paraId="710CA926" w14:textId="7603C9C8"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0DC201A8" w14:textId="0A60F8B1" w:rsidR="009143A0" w:rsidRDefault="00F109D4" w:rsidP="00647BB7">
      <w:pPr>
        <w:spacing w:before="240"/>
      </w:pPr>
      <w:r w:rsidRPr="00503E44">
        <w:t xml:space="preserve">The Regulations commence on </w:t>
      </w:r>
      <w:r w:rsidR="00462606">
        <w:t>1 April 2023.</w:t>
      </w:r>
    </w:p>
    <w:p w14:paraId="381437BD" w14:textId="45315BAB" w:rsidR="009143A0" w:rsidRDefault="007A5DFC" w:rsidP="00647BB7">
      <w:pPr>
        <w:spacing w:before="240"/>
      </w:pPr>
      <w:r w:rsidRPr="004018AB">
        <w:t xml:space="preserve">No Regulations Impact Statement (RIS) has been prepared because under the Office of Best Practice Regulation guidelines no RIS is required if the remade Regulations do not make significant changes to the </w:t>
      </w:r>
      <w:r w:rsidR="00891A61" w:rsidRPr="004018AB">
        <w:t xml:space="preserve">former </w:t>
      </w:r>
      <w:r w:rsidR="00CD68DF" w:rsidRPr="004018AB">
        <w:t>R</w:t>
      </w:r>
      <w:r w:rsidRPr="004018AB">
        <w:t>egulations</w:t>
      </w:r>
      <w:r w:rsidR="00EE5FEF">
        <w:t xml:space="preserve"> and remain fit for purpose</w:t>
      </w:r>
      <w:r w:rsidRPr="004018AB">
        <w:t>.</w:t>
      </w:r>
    </w:p>
    <w:p w14:paraId="1419DF89" w14:textId="15336A87" w:rsidR="00EA4DD8" w:rsidRDefault="00EA4DD8" w:rsidP="00EA4DD8">
      <w:pPr>
        <w:pageBreakBefore/>
        <w:spacing w:before="240"/>
        <w:jc w:val="right"/>
        <w:rPr>
          <w:b/>
          <w:u w:val="single"/>
        </w:rPr>
      </w:pPr>
      <w:r w:rsidRPr="007B335E">
        <w:rPr>
          <w:b/>
          <w:u w:val="single"/>
        </w:rPr>
        <w:lastRenderedPageBreak/>
        <w:t xml:space="preserve">ATTACHMENT </w:t>
      </w:r>
      <w:r w:rsidR="005808B1">
        <w:rPr>
          <w:b/>
          <w:u w:val="single"/>
        </w:rPr>
        <w:t>A</w:t>
      </w:r>
    </w:p>
    <w:p w14:paraId="3FA14A89" w14:textId="4F895F1A" w:rsidR="00EA4DD8" w:rsidRDefault="00EA4DD8" w:rsidP="00EA4DD8">
      <w:pPr>
        <w:spacing w:before="240"/>
        <w:ind w:right="91"/>
        <w:rPr>
          <w:b/>
          <w:bCs/>
          <w:szCs w:val="24"/>
          <w:u w:val="single"/>
        </w:rPr>
      </w:pPr>
      <w:r>
        <w:rPr>
          <w:b/>
          <w:bCs/>
          <w:u w:val="single"/>
        </w:rPr>
        <w:t xml:space="preserve">Details of the </w:t>
      </w:r>
      <w:r w:rsidR="00B95609" w:rsidRPr="00B95609">
        <w:rPr>
          <w:b/>
          <w:i/>
          <w:iCs/>
          <w:u w:val="single"/>
        </w:rPr>
        <w:t>Australian Charities and Not‑for‑profits Commission Regulation</w:t>
      </w:r>
      <w:r w:rsidR="00607543">
        <w:rPr>
          <w:b/>
          <w:i/>
          <w:iCs/>
          <w:u w:val="single"/>
        </w:rPr>
        <w:t>s</w:t>
      </w:r>
      <w:r w:rsidR="00B95609" w:rsidRPr="00B95609">
        <w:rPr>
          <w:b/>
          <w:i/>
          <w:iCs/>
          <w:u w:val="single"/>
        </w:rPr>
        <w:t xml:space="preserve"> 2022</w:t>
      </w:r>
      <w:r>
        <w:rPr>
          <w:b/>
          <w:bCs/>
          <w:u w:val="single"/>
        </w:rPr>
        <w:t xml:space="preserve"> </w:t>
      </w:r>
    </w:p>
    <w:p w14:paraId="3117FDF2" w14:textId="739A4997" w:rsidR="0047388C" w:rsidRDefault="0047388C" w:rsidP="00EA4DD8">
      <w:pPr>
        <w:spacing w:before="240"/>
      </w:pPr>
      <w:r>
        <w:rPr>
          <w:bCs/>
        </w:rPr>
        <w:t>This attachment sets out further details on</w:t>
      </w:r>
      <w:r w:rsidR="003E43B3">
        <w:rPr>
          <w:bCs/>
        </w:rPr>
        <w:t xml:space="preserve"> the</w:t>
      </w:r>
      <w:r>
        <w:rPr>
          <w:bCs/>
        </w:rPr>
        <w:t xml:space="preserve"> </w:t>
      </w:r>
      <w:r w:rsidRPr="0047388C">
        <w:rPr>
          <w:i/>
        </w:rPr>
        <w:t>Australian Charities and Not‑for‑profits Commission Regulation</w:t>
      </w:r>
      <w:r w:rsidR="00607543">
        <w:rPr>
          <w:i/>
        </w:rPr>
        <w:t>s</w:t>
      </w:r>
      <w:r w:rsidRPr="0047388C">
        <w:rPr>
          <w:i/>
        </w:rPr>
        <w:t xml:space="preserve"> 2022</w:t>
      </w:r>
      <w:r>
        <w:rPr>
          <w:i/>
        </w:rPr>
        <w:t xml:space="preserve"> </w:t>
      </w:r>
      <w:r>
        <w:t xml:space="preserve">(the Regulations). All references are to the Regulations unless otherwise stated. </w:t>
      </w:r>
      <w:r w:rsidR="00575658" w:rsidRPr="00796919">
        <w:t>The</w:t>
      </w:r>
      <w:r w:rsidR="00575658">
        <w:t xml:space="preserve"> </w:t>
      </w:r>
      <w:r w:rsidR="00575658" w:rsidRPr="00796919">
        <w:t>Regulation</w:t>
      </w:r>
      <w:r w:rsidR="00575658">
        <w:t>s make</w:t>
      </w:r>
      <w:r w:rsidR="00575658" w:rsidRPr="00796919">
        <w:t xml:space="preserve"> improvements to the</w:t>
      </w:r>
      <w:r w:rsidR="00575658">
        <w:t xml:space="preserve"> former Regulations by reformatting and restructuring provisions </w:t>
      </w:r>
      <w:r w:rsidR="00575658" w:rsidRPr="00796919">
        <w:t xml:space="preserve">to take account of </w:t>
      </w:r>
      <w:r w:rsidR="00EE5FEF">
        <w:t>current</w:t>
      </w:r>
      <w:r w:rsidR="00575658" w:rsidRPr="00796919">
        <w:t xml:space="preserve"> instrument drafting </w:t>
      </w:r>
      <w:proofErr w:type="gramStart"/>
      <w:r w:rsidR="004B0E94">
        <w:t>practice</w:t>
      </w:r>
      <w:r w:rsidR="009853EF">
        <w:t>, and</w:t>
      </w:r>
      <w:proofErr w:type="gramEnd"/>
      <w:r w:rsidR="009853EF">
        <w:t xml:space="preserve"> removing transitional provisions which are no longer required</w:t>
      </w:r>
      <w:r w:rsidR="00575658" w:rsidRPr="00796919">
        <w:t>.</w:t>
      </w:r>
      <w:r w:rsidR="00575658">
        <w:t xml:space="preserve"> </w:t>
      </w:r>
      <w:r w:rsidR="00575658" w:rsidRPr="00796919">
        <w:t>The Regulation</w:t>
      </w:r>
      <w:r w:rsidR="00575658">
        <w:t>s</w:t>
      </w:r>
      <w:r w:rsidR="00575658" w:rsidRPr="00796919">
        <w:t xml:space="preserve"> also simplif</w:t>
      </w:r>
      <w:r w:rsidR="00575658">
        <w:t>y</w:t>
      </w:r>
      <w:r w:rsidR="00575658" w:rsidRPr="00796919">
        <w:t xml:space="preserve"> and update language in accordance with </w:t>
      </w:r>
      <w:r w:rsidR="004B0E94">
        <w:t>current</w:t>
      </w:r>
      <w:r w:rsidR="00575658" w:rsidRPr="00796919">
        <w:t xml:space="preserve"> drafting practices.</w:t>
      </w:r>
    </w:p>
    <w:p w14:paraId="29B5335A" w14:textId="0F30B263" w:rsidR="00EA4DD8" w:rsidRDefault="00EA4DD8" w:rsidP="00EA4DD8">
      <w:pPr>
        <w:spacing w:before="240"/>
        <w:rPr>
          <w:rFonts w:ascii="Calibri" w:hAnsi="Calibri"/>
          <w:sz w:val="22"/>
          <w:szCs w:val="22"/>
          <w:u w:val="single"/>
          <w:lang w:eastAsia="en-US"/>
        </w:rPr>
      </w:pPr>
      <w:r>
        <w:rPr>
          <w:u w:val="single"/>
        </w:rPr>
        <w:t>Section 1</w:t>
      </w:r>
      <w:r w:rsidR="00EC1CF5">
        <w:rPr>
          <w:u w:val="single"/>
        </w:rPr>
        <w:t>.1</w:t>
      </w:r>
      <w:r>
        <w:rPr>
          <w:u w:val="single"/>
        </w:rPr>
        <w:t xml:space="preserve"> – Name</w:t>
      </w:r>
    </w:p>
    <w:p w14:paraId="277FC569" w14:textId="1C2DE7FF" w:rsidR="00EA4DD8" w:rsidRDefault="00EA4DD8" w:rsidP="00EA4DD8">
      <w:pPr>
        <w:spacing w:before="240"/>
      </w:pPr>
      <w:r>
        <w:t xml:space="preserve">This section provides that the name of the Regulations is the </w:t>
      </w:r>
      <w:r w:rsidR="00787BC4" w:rsidRPr="0047388C">
        <w:rPr>
          <w:i/>
        </w:rPr>
        <w:t>Australian Charities and Not‑for‑profits Commission Regulation</w:t>
      </w:r>
      <w:r w:rsidR="00607543">
        <w:rPr>
          <w:i/>
        </w:rPr>
        <w:t>s</w:t>
      </w:r>
      <w:r w:rsidR="00787BC4" w:rsidRPr="0047388C">
        <w:rPr>
          <w:i/>
        </w:rPr>
        <w:t xml:space="preserve"> 2022</w:t>
      </w:r>
      <w:r w:rsidR="00787BC4">
        <w:t>.</w:t>
      </w:r>
    </w:p>
    <w:p w14:paraId="6BC50C15" w14:textId="4D05D4BC" w:rsidR="00EA4DD8" w:rsidRDefault="00EA4DD8" w:rsidP="00EA4DD8">
      <w:pPr>
        <w:spacing w:before="240"/>
        <w:ind w:right="91"/>
        <w:rPr>
          <w:u w:val="single"/>
        </w:rPr>
      </w:pPr>
      <w:r>
        <w:rPr>
          <w:u w:val="single"/>
        </w:rPr>
        <w:t xml:space="preserve">Section </w:t>
      </w:r>
      <w:r w:rsidR="00EC1CF5">
        <w:rPr>
          <w:u w:val="single"/>
        </w:rPr>
        <w:t>1.</w:t>
      </w:r>
      <w:r>
        <w:rPr>
          <w:u w:val="single"/>
        </w:rPr>
        <w:t>2 – Commencement</w:t>
      </w:r>
    </w:p>
    <w:p w14:paraId="016D71A7" w14:textId="6757916A" w:rsidR="00EA4DD8" w:rsidRDefault="006771D8" w:rsidP="00EA4DD8">
      <w:pPr>
        <w:spacing w:before="240"/>
        <w:ind w:right="91"/>
      </w:pPr>
      <w:r>
        <w:t xml:space="preserve">This section provides that the Regulations commence on </w:t>
      </w:r>
      <w:sdt>
        <w:sdtPr>
          <w:id w:val="-36432914"/>
          <w:placeholder>
            <w:docPart w:val="1951641045814E5A917791A812C71B0B"/>
          </w:placeholder>
          <w:date w:fullDate="2023-04-01T00:00:00Z">
            <w:dateFormat w:val="d MMMM yyyy"/>
            <w:lid w:val="en-AU"/>
            <w:storeMappedDataAs w:val="dateTime"/>
            <w:calendar w:val="gregorian"/>
          </w:date>
        </w:sdtPr>
        <w:sdtEndPr/>
        <w:sdtContent>
          <w:r>
            <w:t>1 April 2023</w:t>
          </w:r>
        </w:sdtContent>
      </w:sdt>
      <w:r w:rsidR="00EA4DD8">
        <w:t>.</w:t>
      </w:r>
    </w:p>
    <w:p w14:paraId="5EADB60F" w14:textId="03F486E1" w:rsidR="00EA4DD8" w:rsidRDefault="00EA4DD8" w:rsidP="00EA4DD8">
      <w:pPr>
        <w:spacing w:before="240"/>
        <w:ind w:right="91"/>
        <w:rPr>
          <w:u w:val="single"/>
        </w:rPr>
      </w:pPr>
      <w:r>
        <w:rPr>
          <w:u w:val="single"/>
        </w:rPr>
        <w:t xml:space="preserve">Section </w:t>
      </w:r>
      <w:r w:rsidR="00EC1CF5">
        <w:rPr>
          <w:u w:val="single"/>
        </w:rPr>
        <w:t>1.</w:t>
      </w:r>
      <w:r>
        <w:rPr>
          <w:u w:val="single"/>
        </w:rPr>
        <w:t>3 – Authority</w:t>
      </w:r>
    </w:p>
    <w:p w14:paraId="492E459A" w14:textId="2EB7EF38" w:rsidR="00EA4DD8" w:rsidRPr="00CA7841" w:rsidRDefault="00141E64" w:rsidP="00CA7841">
      <w:pPr>
        <w:autoSpaceDE w:val="0"/>
        <w:autoSpaceDN w:val="0"/>
        <w:adjustRightInd w:val="0"/>
        <w:spacing w:before="0" w:after="0"/>
        <w:rPr>
          <w:i/>
          <w:iCs/>
          <w:szCs w:val="24"/>
        </w:rPr>
      </w:pPr>
      <w:r>
        <w:t xml:space="preserve">This section provides that the </w:t>
      </w:r>
      <w:r w:rsidR="00EA4DD8">
        <w:t xml:space="preserve">Regulations are made under the </w:t>
      </w:r>
      <w:r w:rsidR="00CA7841">
        <w:rPr>
          <w:i/>
          <w:iCs/>
          <w:szCs w:val="24"/>
        </w:rPr>
        <w:t>Australian Charities and Not-for-profits Commission Act 2012</w:t>
      </w:r>
      <w:r w:rsidR="00EA4DD8">
        <w:t xml:space="preserve"> (the Act).</w:t>
      </w:r>
    </w:p>
    <w:p w14:paraId="0F30F652" w14:textId="623C16A3" w:rsidR="00EA4DD8" w:rsidRDefault="00EA4DD8" w:rsidP="00EA4DD8">
      <w:pPr>
        <w:spacing w:before="240"/>
        <w:ind w:right="91"/>
        <w:rPr>
          <w:u w:val="single"/>
        </w:rPr>
      </w:pPr>
      <w:r>
        <w:rPr>
          <w:u w:val="single"/>
        </w:rPr>
        <w:t xml:space="preserve">Section </w:t>
      </w:r>
      <w:r w:rsidR="0072440E">
        <w:rPr>
          <w:u w:val="single"/>
        </w:rPr>
        <w:t>1.</w:t>
      </w:r>
      <w:r>
        <w:rPr>
          <w:u w:val="single"/>
        </w:rPr>
        <w:t xml:space="preserve">4 – </w:t>
      </w:r>
      <w:r w:rsidRPr="00BD0A90">
        <w:rPr>
          <w:u w:val="single"/>
        </w:rPr>
        <w:t>Schedules</w:t>
      </w:r>
    </w:p>
    <w:p w14:paraId="6466654E" w14:textId="5402EA25" w:rsidR="00EA4DD8" w:rsidRDefault="00EA4DD8" w:rsidP="00EA4DD8">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0EDD7538" w14:textId="363D5910" w:rsidR="00583457" w:rsidRDefault="00583457" w:rsidP="00EA4DD8">
      <w:pPr>
        <w:spacing w:before="240" w:after="200"/>
        <w:ind w:right="91"/>
        <w:rPr>
          <w:u w:val="single"/>
        </w:rPr>
      </w:pPr>
      <w:r>
        <w:rPr>
          <w:u w:val="single"/>
        </w:rPr>
        <w:t xml:space="preserve">Section </w:t>
      </w:r>
      <w:r w:rsidR="0072440E">
        <w:rPr>
          <w:u w:val="single"/>
        </w:rPr>
        <w:t>1.</w:t>
      </w:r>
      <w:r w:rsidR="003E7D3E">
        <w:rPr>
          <w:u w:val="single"/>
        </w:rPr>
        <w:t>5</w:t>
      </w:r>
      <w:r>
        <w:rPr>
          <w:u w:val="single"/>
        </w:rPr>
        <w:t xml:space="preserve"> – Definitions</w:t>
      </w:r>
    </w:p>
    <w:p w14:paraId="21A725F1" w14:textId="71A2F0B9" w:rsidR="00583457" w:rsidRDefault="00583457" w:rsidP="00EA4DD8">
      <w:pPr>
        <w:spacing w:before="240" w:after="200"/>
        <w:ind w:right="91"/>
      </w:pPr>
      <w:r>
        <w:t xml:space="preserve">This section remakes the interpretation section of the former Regulations </w:t>
      </w:r>
      <w:proofErr w:type="gramStart"/>
      <w:r>
        <w:t>with</w:t>
      </w:r>
      <w:r w:rsidR="00CA2FB9">
        <w:t xml:space="preserve"> the exception of</w:t>
      </w:r>
      <w:proofErr w:type="gramEnd"/>
      <w:r>
        <w:t xml:space="preserve"> </w:t>
      </w:r>
      <w:r w:rsidR="00157DF7">
        <w:t xml:space="preserve">some definitions </w:t>
      </w:r>
      <w:r w:rsidR="00BA00F9">
        <w:t xml:space="preserve">being ‘register’, ‘registered entity’ and ‘taxation law’ </w:t>
      </w:r>
      <w:r w:rsidR="00CA2FB9">
        <w:t>which have been</w:t>
      </w:r>
      <w:r w:rsidR="00157DF7">
        <w:t xml:space="preserve"> removed</w:t>
      </w:r>
      <w:r w:rsidR="00BA00F9">
        <w:t xml:space="preserve"> </w:t>
      </w:r>
      <w:r w:rsidR="00157DF7">
        <w:t>as they are already defined in the Act.</w:t>
      </w:r>
      <w:r w:rsidR="003C6E5B" w:rsidRPr="003C6E5B">
        <w:t xml:space="preserve"> </w:t>
      </w:r>
      <w:r w:rsidR="005C3B7B">
        <w:t>A</w:t>
      </w:r>
      <w:r w:rsidR="003C6E5B">
        <w:t xml:space="preserve"> ‘Note’ to section 5</w:t>
      </w:r>
      <w:r w:rsidR="005C3B7B">
        <w:t xml:space="preserve"> has also been </w:t>
      </w:r>
      <w:r w:rsidR="00706AE5">
        <w:t>added</w:t>
      </w:r>
      <w:r w:rsidR="005C3B7B">
        <w:t xml:space="preserve"> to indicate </w:t>
      </w:r>
      <w:proofErr w:type="gramStart"/>
      <w:r w:rsidR="005C3B7B">
        <w:t>a number of</w:t>
      </w:r>
      <w:proofErr w:type="gramEnd"/>
      <w:r w:rsidR="005C3B7B">
        <w:t xml:space="preserve"> expressions which are included in the Regulations but are defined in the Act. </w:t>
      </w:r>
    </w:p>
    <w:p w14:paraId="4F4DA319" w14:textId="28AD368A" w:rsidR="00B95BDB" w:rsidRDefault="00D1721F" w:rsidP="00EA4DD8">
      <w:pPr>
        <w:spacing w:before="240" w:after="200"/>
        <w:ind w:right="91"/>
        <w:rPr>
          <w:u w:val="single"/>
        </w:rPr>
      </w:pPr>
      <w:r>
        <w:rPr>
          <w:u w:val="single"/>
        </w:rPr>
        <w:t>Section 40.10 – Information withheld from Register</w:t>
      </w:r>
    </w:p>
    <w:p w14:paraId="3C2A0259" w14:textId="77777777" w:rsidR="002D478F" w:rsidRDefault="00CC5646" w:rsidP="00EA4DD8">
      <w:pPr>
        <w:spacing w:before="240" w:after="200"/>
        <w:ind w:right="91"/>
      </w:pPr>
      <w:r>
        <w:t xml:space="preserve">This section remakes </w:t>
      </w:r>
      <w:r w:rsidR="00EE5FEF">
        <w:t xml:space="preserve">former </w:t>
      </w:r>
      <w:r w:rsidRPr="0012337B">
        <w:t>subsection 40.10(4)</w:t>
      </w:r>
      <w:r>
        <w:t xml:space="preserve"> to </w:t>
      </w:r>
      <w:r w:rsidR="00FF12C8">
        <w:t>refer to private ancillary fund guidelines more generally</w:t>
      </w:r>
      <w:r w:rsidR="00BB0515">
        <w:t>, instead of to ‘guideline 14’</w:t>
      </w:r>
      <w:r w:rsidR="00290AD2">
        <w:t xml:space="preserve">. </w:t>
      </w:r>
      <w:r w:rsidR="00EE5FEF" w:rsidRPr="00EE5FEF">
        <w:t xml:space="preserve">The reference to ‘guideline 14’ has been removed because it relates to a superseded 2009 version of the private ancillary fund guidelines which were in place at the time that the former Regulations were </w:t>
      </w:r>
      <w:r w:rsidR="00EE5FEF">
        <w:t>made</w:t>
      </w:r>
      <w:r w:rsidR="00EE5FEF" w:rsidRPr="00EE5FEF">
        <w:t>.</w:t>
      </w:r>
      <w:r w:rsidR="00290AD2">
        <w:t xml:space="preserve"> This </w:t>
      </w:r>
      <w:r w:rsidR="00EE5FEF">
        <w:t xml:space="preserve">change provides additional flexibility and </w:t>
      </w:r>
      <w:r w:rsidR="00290AD2">
        <w:t xml:space="preserve">allows the Regulations to </w:t>
      </w:r>
      <w:r w:rsidR="004B0E94">
        <w:t>continue to apply despite</w:t>
      </w:r>
      <w:r w:rsidR="00EE5FEF">
        <w:t xml:space="preserve"> potential </w:t>
      </w:r>
      <w:r w:rsidR="00B23020">
        <w:t xml:space="preserve">changes </w:t>
      </w:r>
      <w:r w:rsidR="00A95BA0">
        <w:t xml:space="preserve">to the numbering of </w:t>
      </w:r>
      <w:r w:rsidR="00EE5FEF">
        <w:t xml:space="preserve">the </w:t>
      </w:r>
      <w:r w:rsidR="00B23020">
        <w:t>private ancillary fund guidelines</w:t>
      </w:r>
      <w:r w:rsidR="005319BC">
        <w:t xml:space="preserve"> in </w:t>
      </w:r>
      <w:r w:rsidR="00EE5FEF">
        <w:t xml:space="preserve">the </w:t>
      </w:r>
      <w:r w:rsidR="005319BC">
        <w:t>future</w:t>
      </w:r>
      <w:r w:rsidR="00FF12C8">
        <w:t>.</w:t>
      </w:r>
    </w:p>
    <w:p w14:paraId="043AAABA" w14:textId="12F9D2DC" w:rsidR="00257934" w:rsidRPr="00615DDC" w:rsidRDefault="002D478F" w:rsidP="00EA4DD8">
      <w:pPr>
        <w:spacing w:before="240" w:after="200"/>
        <w:ind w:right="91"/>
        <w:rPr>
          <w:u w:val="single"/>
        </w:rPr>
      </w:pPr>
      <w:r w:rsidRPr="001A46F1">
        <w:rPr>
          <w:u w:val="single"/>
        </w:rPr>
        <w:lastRenderedPageBreak/>
        <w:t xml:space="preserve">Section </w:t>
      </w:r>
      <w:r w:rsidR="00CF322B" w:rsidRPr="00615DDC">
        <w:rPr>
          <w:u w:val="single"/>
        </w:rPr>
        <w:t>45.5 – Governance standard 1</w:t>
      </w:r>
      <w:r w:rsidR="00887EB4">
        <w:rPr>
          <w:u w:val="single"/>
        </w:rPr>
        <w:t xml:space="preserve"> –</w:t>
      </w:r>
      <w:r w:rsidR="00490E11" w:rsidRPr="001A46F1">
        <w:rPr>
          <w:u w:val="single"/>
        </w:rPr>
        <w:t xml:space="preserve"> Purposes and not</w:t>
      </w:r>
      <w:r w:rsidR="00490E11" w:rsidRPr="001A46F1">
        <w:rPr>
          <w:u w:val="single"/>
        </w:rPr>
        <w:noBreakHyphen/>
        <w:t>for</w:t>
      </w:r>
      <w:r w:rsidR="00490E11" w:rsidRPr="001A46F1">
        <w:rPr>
          <w:u w:val="single"/>
        </w:rPr>
        <w:noBreakHyphen/>
        <w:t>profit nature of a registered entity</w:t>
      </w:r>
    </w:p>
    <w:p w14:paraId="6D1B9312" w14:textId="1A7CDAEA" w:rsidR="00750343" w:rsidRPr="0058338B" w:rsidRDefault="00CF322B" w:rsidP="00EA4DD8">
      <w:pPr>
        <w:spacing w:before="240" w:after="200"/>
        <w:ind w:right="91"/>
      </w:pPr>
      <w:r>
        <w:t xml:space="preserve">This section remakes section 45.5 as is, </w:t>
      </w:r>
      <w:proofErr w:type="gramStart"/>
      <w:r>
        <w:t>with the exception of</w:t>
      </w:r>
      <w:proofErr w:type="gramEnd"/>
      <w:r>
        <w:t xml:space="preserve"> the ‘Note’ to subsection 45.5(2), which has been updated to refer to the current website for viewing Australian law.</w:t>
      </w:r>
    </w:p>
    <w:p w14:paraId="3DA184C0" w14:textId="77777777" w:rsidR="001D2037" w:rsidRPr="001D2037" w:rsidRDefault="00EA4DD8" w:rsidP="001D2037">
      <w:pPr>
        <w:spacing w:after="0"/>
        <w:ind w:right="91"/>
        <w:rPr>
          <w:color w:val="FF0000"/>
          <w:u w:val="single"/>
        </w:rPr>
      </w:pPr>
      <w:r w:rsidRPr="001D2037">
        <w:rPr>
          <w:u w:val="single"/>
        </w:rPr>
        <w:t xml:space="preserve">Schedule 1 – </w:t>
      </w:r>
      <w:r w:rsidR="001D2037" w:rsidRPr="001D2037">
        <w:rPr>
          <w:u w:val="single"/>
        </w:rPr>
        <w:t>Repeals</w:t>
      </w:r>
      <w:r w:rsidRPr="001D2037">
        <w:rPr>
          <w:u w:val="single"/>
        </w:rPr>
        <w:t xml:space="preserve"> </w:t>
      </w:r>
    </w:p>
    <w:p w14:paraId="558214B1" w14:textId="5DC1D618" w:rsidR="00482B81" w:rsidRPr="00CE0C03" w:rsidRDefault="001D2037" w:rsidP="00CE0C03">
      <w:pPr>
        <w:spacing w:after="0"/>
        <w:ind w:right="91"/>
        <w:rPr>
          <w:b/>
          <w:kern w:val="28"/>
        </w:rPr>
      </w:pPr>
      <w:r w:rsidRPr="001D2037">
        <w:t>This Schedule repeals the</w:t>
      </w:r>
      <w:r w:rsidR="00891A61">
        <w:t xml:space="preserve"> former</w:t>
      </w:r>
      <w:r w:rsidRPr="001D2037">
        <w:t xml:space="preserve"> Regulations.</w:t>
      </w:r>
    </w:p>
    <w:sectPr w:rsidR="00482B81" w:rsidRPr="00CE0C03"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9EBE" w14:textId="77777777" w:rsidR="00D06D39" w:rsidRDefault="00D06D39" w:rsidP="00954679">
      <w:pPr>
        <w:spacing w:before="0" w:after="0"/>
      </w:pPr>
      <w:r>
        <w:separator/>
      </w:r>
    </w:p>
  </w:endnote>
  <w:endnote w:type="continuationSeparator" w:id="0">
    <w:p w14:paraId="06FFE1D3" w14:textId="77777777" w:rsidR="00D06D39" w:rsidRDefault="00D06D39" w:rsidP="00954679">
      <w:pPr>
        <w:spacing w:before="0" w:after="0"/>
      </w:pPr>
      <w:r>
        <w:continuationSeparator/>
      </w:r>
    </w:p>
  </w:endnote>
  <w:endnote w:type="continuationNotice" w:id="1">
    <w:p w14:paraId="5813D75D" w14:textId="77777777" w:rsidR="00D06D39" w:rsidRDefault="00D06D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09121B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547B" w14:textId="77777777" w:rsidR="00D06D39" w:rsidRDefault="00D06D39" w:rsidP="00954679">
      <w:pPr>
        <w:spacing w:before="0" w:after="0"/>
      </w:pPr>
      <w:r>
        <w:separator/>
      </w:r>
    </w:p>
  </w:footnote>
  <w:footnote w:type="continuationSeparator" w:id="0">
    <w:p w14:paraId="40A730E9" w14:textId="77777777" w:rsidR="00D06D39" w:rsidRDefault="00D06D39" w:rsidP="00954679">
      <w:pPr>
        <w:spacing w:before="0" w:after="0"/>
      </w:pPr>
      <w:r>
        <w:continuationSeparator/>
      </w:r>
    </w:p>
  </w:footnote>
  <w:footnote w:type="continuationNotice" w:id="1">
    <w:p w14:paraId="12522139" w14:textId="77777777" w:rsidR="00D06D39" w:rsidRDefault="00D06D3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873389"/>
    <w:multiLevelType w:val="multilevel"/>
    <w:tmpl w:val="3AE0002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9008F56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6C"/>
    <w:rsid w:val="000007BD"/>
    <w:rsid w:val="00005CDD"/>
    <w:rsid w:val="00013390"/>
    <w:rsid w:val="00016EA2"/>
    <w:rsid w:val="00027338"/>
    <w:rsid w:val="0003162B"/>
    <w:rsid w:val="00036517"/>
    <w:rsid w:val="00064473"/>
    <w:rsid w:val="00064F28"/>
    <w:rsid w:val="00076178"/>
    <w:rsid w:val="00095211"/>
    <w:rsid w:val="000B21F6"/>
    <w:rsid w:val="000B39A1"/>
    <w:rsid w:val="000B3CDE"/>
    <w:rsid w:val="000C10DF"/>
    <w:rsid w:val="000C4004"/>
    <w:rsid w:val="000C4639"/>
    <w:rsid w:val="000C466E"/>
    <w:rsid w:val="000C6935"/>
    <w:rsid w:val="000E32E3"/>
    <w:rsid w:val="0010668F"/>
    <w:rsid w:val="00110A40"/>
    <w:rsid w:val="00113B45"/>
    <w:rsid w:val="0012337B"/>
    <w:rsid w:val="001309BE"/>
    <w:rsid w:val="00135F4A"/>
    <w:rsid w:val="00141E64"/>
    <w:rsid w:val="00143221"/>
    <w:rsid w:val="00157DF7"/>
    <w:rsid w:val="00177961"/>
    <w:rsid w:val="001A38BC"/>
    <w:rsid w:val="001A46F1"/>
    <w:rsid w:val="001A641F"/>
    <w:rsid w:val="001B0C82"/>
    <w:rsid w:val="001B7535"/>
    <w:rsid w:val="001D1B5D"/>
    <w:rsid w:val="001D2037"/>
    <w:rsid w:val="001E6A74"/>
    <w:rsid w:val="001F41D0"/>
    <w:rsid w:val="00210141"/>
    <w:rsid w:val="00213BC0"/>
    <w:rsid w:val="00220F16"/>
    <w:rsid w:val="00245FB3"/>
    <w:rsid w:val="00254C5B"/>
    <w:rsid w:val="00257934"/>
    <w:rsid w:val="00277BA0"/>
    <w:rsid w:val="00290AD2"/>
    <w:rsid w:val="00292304"/>
    <w:rsid w:val="002A02F3"/>
    <w:rsid w:val="002A7E1F"/>
    <w:rsid w:val="002C226C"/>
    <w:rsid w:val="002D478F"/>
    <w:rsid w:val="002D4827"/>
    <w:rsid w:val="003041FA"/>
    <w:rsid w:val="00322B18"/>
    <w:rsid w:val="003342CD"/>
    <w:rsid w:val="00335042"/>
    <w:rsid w:val="00362B70"/>
    <w:rsid w:val="0036312E"/>
    <w:rsid w:val="00377BBA"/>
    <w:rsid w:val="003802F4"/>
    <w:rsid w:val="003826DF"/>
    <w:rsid w:val="0038345A"/>
    <w:rsid w:val="0039091D"/>
    <w:rsid w:val="00392BBA"/>
    <w:rsid w:val="003954FD"/>
    <w:rsid w:val="00396619"/>
    <w:rsid w:val="003A10DD"/>
    <w:rsid w:val="003C6E5B"/>
    <w:rsid w:val="003C7907"/>
    <w:rsid w:val="003D60D7"/>
    <w:rsid w:val="003E1CE3"/>
    <w:rsid w:val="003E43B3"/>
    <w:rsid w:val="003E7D3E"/>
    <w:rsid w:val="004018AB"/>
    <w:rsid w:val="00407BC1"/>
    <w:rsid w:val="004123F5"/>
    <w:rsid w:val="00431A2B"/>
    <w:rsid w:val="0044144B"/>
    <w:rsid w:val="00457286"/>
    <w:rsid w:val="00462095"/>
    <w:rsid w:val="00462606"/>
    <w:rsid w:val="0047388C"/>
    <w:rsid w:val="004762E4"/>
    <w:rsid w:val="00482B81"/>
    <w:rsid w:val="00482D4C"/>
    <w:rsid w:val="00490E11"/>
    <w:rsid w:val="004B0E94"/>
    <w:rsid w:val="004B38EE"/>
    <w:rsid w:val="004B3C0F"/>
    <w:rsid w:val="004B7ACD"/>
    <w:rsid w:val="004C05E4"/>
    <w:rsid w:val="004C1D43"/>
    <w:rsid w:val="004C2195"/>
    <w:rsid w:val="004E39E1"/>
    <w:rsid w:val="004F10F4"/>
    <w:rsid w:val="004F56D0"/>
    <w:rsid w:val="00503E44"/>
    <w:rsid w:val="00513928"/>
    <w:rsid w:val="00515283"/>
    <w:rsid w:val="00522AEA"/>
    <w:rsid w:val="005319BC"/>
    <w:rsid w:val="00533926"/>
    <w:rsid w:val="00536C55"/>
    <w:rsid w:val="0055675D"/>
    <w:rsid w:val="00566E8F"/>
    <w:rsid w:val="00570BF1"/>
    <w:rsid w:val="0057422E"/>
    <w:rsid w:val="00574792"/>
    <w:rsid w:val="00575658"/>
    <w:rsid w:val="005808B1"/>
    <w:rsid w:val="00582601"/>
    <w:rsid w:val="0058338B"/>
    <w:rsid w:val="005833BE"/>
    <w:rsid w:val="00583457"/>
    <w:rsid w:val="00597DAA"/>
    <w:rsid w:val="005C3B7B"/>
    <w:rsid w:val="005C7F27"/>
    <w:rsid w:val="005D7D5A"/>
    <w:rsid w:val="005E4BAC"/>
    <w:rsid w:val="005E7266"/>
    <w:rsid w:val="0060130D"/>
    <w:rsid w:val="00607543"/>
    <w:rsid w:val="00615DDC"/>
    <w:rsid w:val="0064129F"/>
    <w:rsid w:val="00643572"/>
    <w:rsid w:val="00647BB7"/>
    <w:rsid w:val="006726D6"/>
    <w:rsid w:val="006771D8"/>
    <w:rsid w:val="00680297"/>
    <w:rsid w:val="006873CE"/>
    <w:rsid w:val="00696F97"/>
    <w:rsid w:val="006A0786"/>
    <w:rsid w:val="006A0B67"/>
    <w:rsid w:val="006A5AFC"/>
    <w:rsid w:val="006B56F3"/>
    <w:rsid w:val="006D6573"/>
    <w:rsid w:val="00704415"/>
    <w:rsid w:val="00706AE5"/>
    <w:rsid w:val="00710E94"/>
    <w:rsid w:val="0072440E"/>
    <w:rsid w:val="007254F9"/>
    <w:rsid w:val="00727C96"/>
    <w:rsid w:val="00727D8A"/>
    <w:rsid w:val="0073048A"/>
    <w:rsid w:val="00731FEA"/>
    <w:rsid w:val="00736F61"/>
    <w:rsid w:val="00737CA5"/>
    <w:rsid w:val="00742253"/>
    <w:rsid w:val="00746ABB"/>
    <w:rsid w:val="00750343"/>
    <w:rsid w:val="0076143A"/>
    <w:rsid w:val="00763987"/>
    <w:rsid w:val="00763E83"/>
    <w:rsid w:val="007662C7"/>
    <w:rsid w:val="00771EB8"/>
    <w:rsid w:val="00776306"/>
    <w:rsid w:val="0078496C"/>
    <w:rsid w:val="00787BC4"/>
    <w:rsid w:val="00797E60"/>
    <w:rsid w:val="007A55A7"/>
    <w:rsid w:val="007A5DFC"/>
    <w:rsid w:val="007B1F10"/>
    <w:rsid w:val="007B335E"/>
    <w:rsid w:val="007D119B"/>
    <w:rsid w:val="007E018D"/>
    <w:rsid w:val="007F1B71"/>
    <w:rsid w:val="00807E7D"/>
    <w:rsid w:val="00831675"/>
    <w:rsid w:val="00877C22"/>
    <w:rsid w:val="0088467C"/>
    <w:rsid w:val="00887EB4"/>
    <w:rsid w:val="00891A61"/>
    <w:rsid w:val="00894579"/>
    <w:rsid w:val="00896881"/>
    <w:rsid w:val="008A5B67"/>
    <w:rsid w:val="008C6E3F"/>
    <w:rsid w:val="008D139D"/>
    <w:rsid w:val="008D16F7"/>
    <w:rsid w:val="008D33AD"/>
    <w:rsid w:val="008E1427"/>
    <w:rsid w:val="008E4F5B"/>
    <w:rsid w:val="0091064C"/>
    <w:rsid w:val="009143A0"/>
    <w:rsid w:val="00920B38"/>
    <w:rsid w:val="00920BF1"/>
    <w:rsid w:val="00923080"/>
    <w:rsid w:val="00936902"/>
    <w:rsid w:val="00942F4B"/>
    <w:rsid w:val="00954679"/>
    <w:rsid w:val="009709BC"/>
    <w:rsid w:val="00973C98"/>
    <w:rsid w:val="0098393E"/>
    <w:rsid w:val="009853EF"/>
    <w:rsid w:val="00992A3F"/>
    <w:rsid w:val="009A2F79"/>
    <w:rsid w:val="009B4F77"/>
    <w:rsid w:val="009B7A69"/>
    <w:rsid w:val="009C6A1E"/>
    <w:rsid w:val="009E2F86"/>
    <w:rsid w:val="00A12209"/>
    <w:rsid w:val="00A15536"/>
    <w:rsid w:val="00A170C2"/>
    <w:rsid w:val="00A3029E"/>
    <w:rsid w:val="00A36DF3"/>
    <w:rsid w:val="00A41DE0"/>
    <w:rsid w:val="00A45062"/>
    <w:rsid w:val="00A475F4"/>
    <w:rsid w:val="00A532DD"/>
    <w:rsid w:val="00A74608"/>
    <w:rsid w:val="00A80BCF"/>
    <w:rsid w:val="00A8369C"/>
    <w:rsid w:val="00A91337"/>
    <w:rsid w:val="00A95BA0"/>
    <w:rsid w:val="00AA1689"/>
    <w:rsid w:val="00AA5770"/>
    <w:rsid w:val="00AC1D15"/>
    <w:rsid w:val="00AD556B"/>
    <w:rsid w:val="00B00C16"/>
    <w:rsid w:val="00B0532A"/>
    <w:rsid w:val="00B06DA5"/>
    <w:rsid w:val="00B07B0C"/>
    <w:rsid w:val="00B17202"/>
    <w:rsid w:val="00B23020"/>
    <w:rsid w:val="00B25563"/>
    <w:rsid w:val="00B26D48"/>
    <w:rsid w:val="00B34C88"/>
    <w:rsid w:val="00B42EE1"/>
    <w:rsid w:val="00B520AE"/>
    <w:rsid w:val="00B6754D"/>
    <w:rsid w:val="00B8293D"/>
    <w:rsid w:val="00B90201"/>
    <w:rsid w:val="00B92478"/>
    <w:rsid w:val="00B95609"/>
    <w:rsid w:val="00B95BDB"/>
    <w:rsid w:val="00BA00F9"/>
    <w:rsid w:val="00BA24D4"/>
    <w:rsid w:val="00BA6188"/>
    <w:rsid w:val="00BB0515"/>
    <w:rsid w:val="00BB55D0"/>
    <w:rsid w:val="00BD0A90"/>
    <w:rsid w:val="00BD61A2"/>
    <w:rsid w:val="00BD7395"/>
    <w:rsid w:val="00BE484D"/>
    <w:rsid w:val="00BF130C"/>
    <w:rsid w:val="00C03864"/>
    <w:rsid w:val="00C30A37"/>
    <w:rsid w:val="00C37E05"/>
    <w:rsid w:val="00C40B35"/>
    <w:rsid w:val="00C414AC"/>
    <w:rsid w:val="00C55D29"/>
    <w:rsid w:val="00CA0BE9"/>
    <w:rsid w:val="00CA138D"/>
    <w:rsid w:val="00CA2DB0"/>
    <w:rsid w:val="00CA2FB9"/>
    <w:rsid w:val="00CA7841"/>
    <w:rsid w:val="00CB171B"/>
    <w:rsid w:val="00CB3D89"/>
    <w:rsid w:val="00CC5646"/>
    <w:rsid w:val="00CC7641"/>
    <w:rsid w:val="00CD68DF"/>
    <w:rsid w:val="00CE0C03"/>
    <w:rsid w:val="00CF322B"/>
    <w:rsid w:val="00D06D39"/>
    <w:rsid w:val="00D10A4B"/>
    <w:rsid w:val="00D13794"/>
    <w:rsid w:val="00D1721F"/>
    <w:rsid w:val="00D214AE"/>
    <w:rsid w:val="00D220F3"/>
    <w:rsid w:val="00D24052"/>
    <w:rsid w:val="00D24386"/>
    <w:rsid w:val="00D30F8F"/>
    <w:rsid w:val="00D31575"/>
    <w:rsid w:val="00D34626"/>
    <w:rsid w:val="00D34FB4"/>
    <w:rsid w:val="00D4257A"/>
    <w:rsid w:val="00D5607A"/>
    <w:rsid w:val="00D625B1"/>
    <w:rsid w:val="00D62665"/>
    <w:rsid w:val="00D82E47"/>
    <w:rsid w:val="00D90D04"/>
    <w:rsid w:val="00DB13E5"/>
    <w:rsid w:val="00DB16F8"/>
    <w:rsid w:val="00DB6907"/>
    <w:rsid w:val="00DC0CDE"/>
    <w:rsid w:val="00DC4D72"/>
    <w:rsid w:val="00E02293"/>
    <w:rsid w:val="00E0624D"/>
    <w:rsid w:val="00E4438C"/>
    <w:rsid w:val="00E457F3"/>
    <w:rsid w:val="00E622CC"/>
    <w:rsid w:val="00E6365B"/>
    <w:rsid w:val="00E949C5"/>
    <w:rsid w:val="00EA4DD8"/>
    <w:rsid w:val="00EB2AEF"/>
    <w:rsid w:val="00EB2EE0"/>
    <w:rsid w:val="00EB7E71"/>
    <w:rsid w:val="00EC1CF5"/>
    <w:rsid w:val="00ED171D"/>
    <w:rsid w:val="00EE2ADE"/>
    <w:rsid w:val="00EE5FEF"/>
    <w:rsid w:val="00F109D4"/>
    <w:rsid w:val="00F138DF"/>
    <w:rsid w:val="00F15EE9"/>
    <w:rsid w:val="00F47585"/>
    <w:rsid w:val="00F63AF3"/>
    <w:rsid w:val="00F85E6F"/>
    <w:rsid w:val="00FA0101"/>
    <w:rsid w:val="00FB2995"/>
    <w:rsid w:val="00FE04E4"/>
    <w:rsid w:val="00FE73F9"/>
    <w:rsid w:val="00FF1057"/>
    <w:rsid w:val="00FF12C8"/>
    <w:rsid w:val="00FF2109"/>
    <w:rsid w:val="00FF3B13"/>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34B70"/>
  <w15:docId w15:val="{60040FA7-58AB-4121-8C0D-4698A98E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2171">
      <w:bodyDiv w:val="1"/>
      <w:marLeft w:val="0"/>
      <w:marRight w:val="0"/>
      <w:marTop w:val="0"/>
      <w:marBottom w:val="0"/>
      <w:divBdr>
        <w:top w:val="none" w:sz="0" w:space="0" w:color="auto"/>
        <w:left w:val="none" w:sz="0" w:space="0" w:color="auto"/>
        <w:bottom w:val="none" w:sz="0" w:space="0" w:color="auto"/>
        <w:right w:val="none" w:sz="0" w:space="0" w:color="auto"/>
      </w:divBdr>
    </w:div>
    <w:div w:id="73952008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D964F1B5A644D483550BD5D4E43895"/>
        <w:category>
          <w:name w:val="General"/>
          <w:gallery w:val="placeholder"/>
        </w:category>
        <w:types>
          <w:type w:val="bbPlcHdr"/>
        </w:types>
        <w:behaviors>
          <w:behavior w:val="content"/>
        </w:behaviors>
        <w:guid w:val="{9951559C-3574-4F6A-9AD6-DDD2E3D257A1}"/>
      </w:docPartPr>
      <w:docPartBody>
        <w:p w:rsidR="00F45A47" w:rsidRDefault="00F37B3F">
          <w:pPr>
            <w:pStyle w:val="1DD964F1B5A644D483550BD5D4E43895"/>
          </w:pPr>
          <w:r w:rsidRPr="003C7907">
            <w:rPr>
              <w:rStyle w:val="PlaceholderText"/>
              <w:sz w:val="24"/>
              <w:szCs w:val="24"/>
            </w:rPr>
            <w:t>Select a Minister</w:t>
          </w:r>
        </w:p>
      </w:docPartBody>
    </w:docPart>
    <w:docPart>
      <w:docPartPr>
        <w:name w:val="1951641045814E5A917791A812C71B0B"/>
        <w:category>
          <w:name w:val="General"/>
          <w:gallery w:val="placeholder"/>
        </w:category>
        <w:types>
          <w:type w:val="bbPlcHdr"/>
        </w:types>
        <w:behaviors>
          <w:behavior w:val="content"/>
        </w:behaviors>
        <w:guid w:val="{F9D8EFE1-99B3-4804-ACE8-DA0140345FEE}"/>
      </w:docPartPr>
      <w:docPartBody>
        <w:p w:rsidR="00F45A47" w:rsidRDefault="00F37B3F" w:rsidP="00F37B3F">
          <w:pPr>
            <w:pStyle w:val="1951641045814E5A917791A812C71B0B"/>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3F"/>
    <w:rsid w:val="00141DCD"/>
    <w:rsid w:val="001E097A"/>
    <w:rsid w:val="003923F8"/>
    <w:rsid w:val="00EA38E7"/>
    <w:rsid w:val="00F37B3F"/>
    <w:rsid w:val="00F45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B3F"/>
  </w:style>
  <w:style w:type="paragraph" w:customStyle="1" w:styleId="1DD964F1B5A644D483550BD5D4E43895">
    <w:name w:val="1DD964F1B5A644D483550BD5D4E43895"/>
  </w:style>
  <w:style w:type="paragraph" w:customStyle="1" w:styleId="1951641045814E5A917791A812C71B0B">
    <w:name w:val="1951641045814E5A917791A812C71B0B"/>
    <w:rsid w:val="00F37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8136" ma:contentTypeDescription="" ma:contentTypeScope="" ma:versionID="a70fb6953bb4e8c3162a53f65f44d1af">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2022RG-136-77379</_dlc_DocId>
    <_dlc_DocIdUrl xmlns="0f563589-9cf9-4143-b1eb-fb0534803d38">
      <Url>http://tweb/sites/rg/ldp/_layouts/15/DocIdRedir.aspx?ID=2022RG-136-77379</Url>
      <Description>2022RG-136-77379</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B526-18A8-4F55-A129-FF6436C0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669DEFF7-33D4-4F5C-8F35-3602BC9D0FBE}">
  <ds:schemaRefs>
    <ds:schemaRef ds:uri="http://schemas.microsoft.com/sharepoint/events"/>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Statement: Australian Charities and Not-for-profits Commission Act 2012; Australian Charities and Not‑for‑profits Commission Regulations 2022</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Australian Charities and Not-for-profits Commission Act 2012; Australian Charities and Not‑for‑profits Commission Regulations 2022</dc:title>
  <dc:creator>Australian Government</dc:creator>
  <cp:lastModifiedBy>Scibilia, Tomika</cp:lastModifiedBy>
  <cp:revision>3</cp:revision>
  <cp:lastPrinted>2022-07-15T05:49:00Z</cp:lastPrinted>
  <dcterms:created xsi:type="dcterms:W3CDTF">2022-07-15T05:49:00Z</dcterms:created>
  <dcterms:modified xsi:type="dcterms:W3CDTF">2022-07-15T05:49:00Z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0x01010036BB8DE7EC542E42A8B2E98CC20CB69700AD614E3FF758BD46BB6A91BF499E7E08</vt:lpwstr>
  </property>
  <property fmtid="{D5CDD505-2E9C-101B-9397-08002B2CF9AE}" pid="3" name="TSYTopic">
    <vt:lpwstr/>
  </property>
  <property fmtid="{D5CDD505-2E9C-101B-9397-08002B2CF9AE}" pid="4" name="TSYRecordClass">
    <vt:lpwstr>1;#AE-20260-Destroy 7 years after action completed|623f5ec9-ec5d-4824-8e13-9c9bfc51fe7e</vt:lpwstr>
  </property>
</Properties>
</file>