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148832DC"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1BF6EC33" wp14:editId="5D0719A0">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813EF79" w14:textId="77777777" w:rsidR="00A652B8" w:rsidRPr="006D0240" w:rsidRDefault="00A652B8" w:rsidP="001D4EAA">
          <w:pPr>
            <w:pStyle w:val="Header"/>
            <w:spacing w:after="1320"/>
            <w:jc w:val="left"/>
          </w:pPr>
        </w:p>
        <w:p w14:paraId="3FD6CEB9" w14:textId="54190DBD" w:rsidR="00A652B8" w:rsidRPr="001D4EAA" w:rsidRDefault="00D2019A" w:rsidP="001D4EAA">
          <w:pPr>
            <w:pStyle w:val="Title"/>
          </w:pPr>
          <w:r>
            <w:t>Government election commitments: M</w:t>
          </w:r>
          <w:r w:rsidR="00120D5B">
            <w:t xml:space="preserve">ultinational tax </w:t>
          </w:r>
          <w:r>
            <w:t>integrity</w:t>
          </w:r>
          <w:r w:rsidR="00120D5B">
            <w:t xml:space="preserve"> and </w:t>
          </w:r>
          <w:r>
            <w:t xml:space="preserve">enhanced </w:t>
          </w:r>
          <w:r w:rsidR="00120D5B">
            <w:t>tax transparency</w:t>
          </w:r>
          <w:r>
            <w:br/>
          </w:r>
        </w:p>
        <w:p w14:paraId="2EC559E9" w14:textId="77777777" w:rsidR="00A652B8" w:rsidRPr="001D4EAA" w:rsidRDefault="00A652B8" w:rsidP="00082FC2">
          <w:pPr>
            <w:pStyle w:val="Subtitle"/>
            <w:spacing w:after="240"/>
          </w:pPr>
          <w:r>
            <w:t>Consultation paper</w:t>
          </w:r>
        </w:p>
        <w:p w14:paraId="64171D27" w14:textId="13123B42" w:rsidR="00A652B8" w:rsidRDefault="00166E33" w:rsidP="001D4EAA">
          <w:pPr>
            <w:pStyle w:val="ReportDate"/>
            <w:rPr>
              <w:rFonts w:ascii="Rockwell" w:hAnsi="Rockwell"/>
              <w:sz w:val="24"/>
            </w:rPr>
          </w:pPr>
          <w:r>
            <w:rPr>
              <w:rStyle w:val="ReportDateChar"/>
            </w:rPr>
            <w:t>August</w:t>
          </w:r>
          <w:r w:rsidR="00F87A60">
            <w:rPr>
              <w:rStyle w:val="ReportDateChar"/>
            </w:rPr>
            <w:t xml:space="preserve"> 2022</w:t>
          </w:r>
        </w:p>
        <w:p w14:paraId="27506B38" w14:textId="77777777" w:rsidR="00A652B8" w:rsidRDefault="00A652B8" w:rsidP="00775702">
          <w:pPr>
            <w:spacing w:after="1640"/>
          </w:pPr>
        </w:p>
        <w:p w14:paraId="532E0CFF" w14:textId="77777777" w:rsidR="00A652B8" w:rsidRDefault="00A652B8" w:rsidP="00775702">
          <w:pPr>
            <w:spacing w:after="1640"/>
          </w:pPr>
        </w:p>
        <w:p w14:paraId="28B581AF" w14:textId="77777777" w:rsidR="00A652B8" w:rsidRDefault="00A652B8">
          <w:pPr>
            <w:spacing w:before="0" w:after="160" w:line="259" w:lineRule="auto"/>
          </w:pPr>
          <w:r>
            <w:br w:type="page"/>
          </w:r>
        </w:p>
      </w:sdtContent>
    </w:sdt>
    <w:p w14:paraId="563CD164"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3ACFA470" w14:textId="4A3977C5" w:rsidR="000E0B74" w:rsidRDefault="000E0B74" w:rsidP="000E0B74">
      <w:pPr>
        <w:spacing w:before="240"/>
      </w:pPr>
      <w:r w:rsidRPr="00661BF0">
        <w:lastRenderedPageBreak/>
        <w:t xml:space="preserve">© Commonwealth of Australia </w:t>
      </w:r>
      <w:r w:rsidRPr="0078583F">
        <w:t>20</w:t>
      </w:r>
      <w:r w:rsidR="00EF2FBF" w:rsidRPr="0078583F">
        <w:t>2</w:t>
      </w:r>
      <w:r w:rsidR="0078583F" w:rsidRPr="0078583F">
        <w:t>2</w:t>
      </w:r>
    </w:p>
    <w:p w14:paraId="4AE44330" w14:textId="223DF14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1F274DC" w14:textId="77777777" w:rsidR="000E0B74" w:rsidRDefault="000E0B74" w:rsidP="000E0B74">
      <w:pPr>
        <w:pStyle w:val="ChartGraphic"/>
        <w:jc w:val="left"/>
      </w:pPr>
      <w:r w:rsidRPr="00E56DFB">
        <w:rPr>
          <w:noProof/>
          <w:lang w:eastAsia="zh-CN"/>
        </w:rPr>
        <w:drawing>
          <wp:inline distT="0" distB="0" distL="0" distR="0" wp14:anchorId="53D31DE7" wp14:editId="652F124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D79EF6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9E1B682" w14:textId="77777777" w:rsidR="000E0B74" w:rsidRPr="0031276E" w:rsidRDefault="000E0B74" w:rsidP="0031276E">
      <w:pPr>
        <w:spacing w:before="240"/>
        <w:rPr>
          <w:b/>
        </w:rPr>
      </w:pPr>
      <w:r w:rsidRPr="0031276E">
        <w:rPr>
          <w:b/>
        </w:rPr>
        <w:t>Treasury material used ‘as supplied’.</w:t>
      </w:r>
    </w:p>
    <w:p w14:paraId="33235146"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CF1BF2C" w14:textId="58517E78" w:rsidR="000E0B74" w:rsidRPr="00A13A11" w:rsidRDefault="000E0B74" w:rsidP="000E0B74">
      <w:pPr>
        <w:ind w:firstLine="720"/>
      </w:pPr>
      <w:r w:rsidRPr="002F1BC2">
        <w:rPr>
          <w:i/>
        </w:rPr>
        <w:t xml:space="preserve">Source: The </w:t>
      </w:r>
      <w:r w:rsidRPr="002F1BC2">
        <w:rPr>
          <w:i/>
          <w:iCs/>
        </w:rPr>
        <w:t>Australian Government the Treasury</w:t>
      </w:r>
      <w:r>
        <w:t>.</w:t>
      </w:r>
    </w:p>
    <w:p w14:paraId="113FE58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B5577A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8DB6AE6" w14:textId="166613FC" w:rsidR="000E0B74" w:rsidRPr="006627B4" w:rsidRDefault="000E0B74" w:rsidP="000E0B74">
      <w:pPr>
        <w:ind w:firstLine="720"/>
      </w:pPr>
      <w:r w:rsidRPr="002F1BC2">
        <w:rPr>
          <w:i/>
        </w:rPr>
        <w:t>Based on The Australian Government the Treasury data</w:t>
      </w:r>
      <w:r>
        <w:t>.</w:t>
      </w:r>
    </w:p>
    <w:p w14:paraId="14A0ECB9" w14:textId="77777777" w:rsidR="000E0B74" w:rsidRPr="006627B4" w:rsidRDefault="000E0B74" w:rsidP="000E0B74">
      <w:pPr>
        <w:spacing w:before="240"/>
        <w:rPr>
          <w:b/>
        </w:rPr>
      </w:pPr>
      <w:r w:rsidRPr="006627B4">
        <w:rPr>
          <w:b/>
        </w:rPr>
        <w:t>Use of the Coat of Arms</w:t>
      </w:r>
    </w:p>
    <w:p w14:paraId="7CA62FB9"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8" w:history="1">
        <w:r w:rsidRPr="005A283B">
          <w:rPr>
            <w:rStyle w:val="Hyperlink"/>
          </w:rPr>
          <w:t>www.pmc.gov.au/government/commonwealth-coat-arm</w:t>
        </w:r>
      </w:hyperlink>
      <w:r w:rsidRPr="004A7BC2">
        <w:t>s).</w:t>
      </w:r>
    </w:p>
    <w:p w14:paraId="0E81C718" w14:textId="77777777" w:rsidR="000E0B74" w:rsidRPr="006627B4" w:rsidRDefault="000E0B74" w:rsidP="000E0B74">
      <w:pPr>
        <w:spacing w:before="240"/>
        <w:rPr>
          <w:b/>
        </w:rPr>
      </w:pPr>
      <w:r>
        <w:rPr>
          <w:b/>
        </w:rPr>
        <w:t>Other u</w:t>
      </w:r>
      <w:r w:rsidRPr="006627B4">
        <w:rPr>
          <w:b/>
        </w:rPr>
        <w:t>ses</w:t>
      </w:r>
    </w:p>
    <w:p w14:paraId="23BF9300" w14:textId="77777777" w:rsidR="000E0B74" w:rsidRPr="006627B4" w:rsidRDefault="000E0B74" w:rsidP="000E0B74">
      <w:r>
        <w:t>E</w:t>
      </w:r>
      <w:r w:rsidRPr="006627B4">
        <w:t>nquiries regarding this licence and any other use of this document are welcome at:</w:t>
      </w:r>
    </w:p>
    <w:p w14:paraId="07773215" w14:textId="605D3162"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Parkes ACT</w:t>
      </w:r>
      <w:r>
        <w:t xml:space="preserve"> </w:t>
      </w:r>
      <w:r w:rsidRPr="006627B4">
        <w:t>2600</w:t>
      </w:r>
      <w:r>
        <w:br/>
      </w:r>
      <w:r w:rsidRPr="006627B4">
        <w:t xml:space="preserve">Email: </w:t>
      </w:r>
      <w:hyperlink r:id="rId19" w:history="1">
        <w:r w:rsidR="004A077D" w:rsidRPr="000951A5">
          <w:rPr>
            <w:rStyle w:val="Hyperlink"/>
          </w:rPr>
          <w:t>media@treasury.gov.au</w:t>
        </w:r>
      </w:hyperlink>
      <w:r w:rsidR="004A077D">
        <w:t xml:space="preserve"> </w:t>
      </w:r>
    </w:p>
    <w:p w14:paraId="02C90342" w14:textId="77777777" w:rsidR="000E0B74" w:rsidRDefault="000E0B74" w:rsidP="000E0B74">
      <w:pPr>
        <w:pStyle w:val="SingleParagraph"/>
        <w:sectPr w:rsidR="000E0B74" w:rsidSect="008043EA">
          <w:headerReference w:type="even" r:id="rId20"/>
          <w:headerReference w:type="default" r:id="rId21"/>
          <w:footerReference w:type="even" r:id="rId22"/>
          <w:pgSz w:w="11906" w:h="16838" w:code="9"/>
          <w:pgMar w:top="1843" w:right="1418" w:bottom="1418" w:left="1418" w:header="709" w:footer="709" w:gutter="0"/>
          <w:pgNumType w:fmt="lowerRoman"/>
          <w:cols w:space="708"/>
          <w:titlePg/>
          <w:docGrid w:linePitch="360"/>
        </w:sectPr>
      </w:pPr>
    </w:p>
    <w:p w14:paraId="748EB438" w14:textId="77777777" w:rsidR="000E0B74" w:rsidRPr="00354FBB" w:rsidRDefault="000E0B74" w:rsidP="00354FBB">
      <w:pPr>
        <w:pStyle w:val="Heading1"/>
      </w:pPr>
      <w:bookmarkStart w:id="0" w:name="_Toc110583126"/>
      <w:r w:rsidRPr="00354FBB">
        <w:lastRenderedPageBreak/>
        <w:t>Contents</w:t>
      </w:r>
      <w:bookmarkEnd w:id="0"/>
    </w:p>
    <w:p w14:paraId="206D19C4" w14:textId="50DAA391" w:rsidR="00B30CBE"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10583126" w:history="1">
        <w:r w:rsidR="00B30CBE" w:rsidRPr="00907A1B">
          <w:rPr>
            <w:rStyle w:val="Hyperlink"/>
          </w:rPr>
          <w:t>Contents</w:t>
        </w:r>
        <w:r w:rsidR="00B30CBE">
          <w:rPr>
            <w:webHidden/>
          </w:rPr>
          <w:tab/>
        </w:r>
        <w:r w:rsidR="00B30CBE">
          <w:rPr>
            <w:webHidden/>
          </w:rPr>
          <w:fldChar w:fldCharType="begin"/>
        </w:r>
        <w:r w:rsidR="00B30CBE">
          <w:rPr>
            <w:webHidden/>
          </w:rPr>
          <w:instrText xml:space="preserve"> PAGEREF _Toc110583126 \h </w:instrText>
        </w:r>
        <w:r w:rsidR="00B30CBE">
          <w:rPr>
            <w:webHidden/>
          </w:rPr>
        </w:r>
        <w:r w:rsidR="00B30CBE">
          <w:rPr>
            <w:webHidden/>
          </w:rPr>
          <w:fldChar w:fldCharType="separate"/>
        </w:r>
        <w:r w:rsidR="00B30CBE">
          <w:rPr>
            <w:webHidden/>
          </w:rPr>
          <w:t>ii</w:t>
        </w:r>
        <w:r w:rsidR="00B30CBE">
          <w:rPr>
            <w:webHidden/>
          </w:rPr>
          <w:fldChar w:fldCharType="end"/>
        </w:r>
      </w:hyperlink>
    </w:p>
    <w:p w14:paraId="14822B34" w14:textId="3499DEF0" w:rsidR="00B30CBE" w:rsidRDefault="005D071F">
      <w:pPr>
        <w:pStyle w:val="TOC1"/>
        <w:rPr>
          <w:rFonts w:asciiTheme="minorHAnsi" w:eastAsiaTheme="minorEastAsia" w:hAnsiTheme="minorHAnsi" w:cstheme="minorBidi"/>
          <w:b w:val="0"/>
          <w:color w:val="auto"/>
        </w:rPr>
      </w:pPr>
      <w:hyperlink w:anchor="_Toc110583127" w:history="1">
        <w:r w:rsidR="00B30CBE" w:rsidRPr="00907A1B">
          <w:rPr>
            <w:rStyle w:val="Hyperlink"/>
          </w:rPr>
          <w:t>Consultation Process</w:t>
        </w:r>
        <w:r w:rsidR="00B30CBE">
          <w:rPr>
            <w:webHidden/>
          </w:rPr>
          <w:tab/>
        </w:r>
        <w:r w:rsidR="00B30CBE">
          <w:rPr>
            <w:webHidden/>
          </w:rPr>
          <w:fldChar w:fldCharType="begin"/>
        </w:r>
        <w:r w:rsidR="00B30CBE">
          <w:rPr>
            <w:webHidden/>
          </w:rPr>
          <w:instrText xml:space="preserve"> PAGEREF _Toc110583127 \h </w:instrText>
        </w:r>
        <w:r w:rsidR="00B30CBE">
          <w:rPr>
            <w:webHidden/>
          </w:rPr>
        </w:r>
        <w:r w:rsidR="00B30CBE">
          <w:rPr>
            <w:webHidden/>
          </w:rPr>
          <w:fldChar w:fldCharType="separate"/>
        </w:r>
        <w:r w:rsidR="00B30CBE">
          <w:rPr>
            <w:webHidden/>
          </w:rPr>
          <w:t>3</w:t>
        </w:r>
        <w:r w:rsidR="00B30CBE">
          <w:rPr>
            <w:webHidden/>
          </w:rPr>
          <w:fldChar w:fldCharType="end"/>
        </w:r>
      </w:hyperlink>
    </w:p>
    <w:p w14:paraId="60C029CE" w14:textId="65F42FBF" w:rsidR="00B30CBE" w:rsidRDefault="005D071F">
      <w:pPr>
        <w:pStyle w:val="TOC2"/>
        <w:rPr>
          <w:rFonts w:asciiTheme="minorHAnsi" w:eastAsiaTheme="minorEastAsia" w:hAnsiTheme="minorHAnsi" w:cstheme="minorBidi"/>
          <w:color w:val="auto"/>
          <w:szCs w:val="22"/>
        </w:rPr>
      </w:pPr>
      <w:hyperlink w:anchor="_Toc110583128" w:history="1">
        <w:r w:rsidR="00B30CBE" w:rsidRPr="00907A1B">
          <w:rPr>
            <w:rStyle w:val="Hyperlink"/>
          </w:rPr>
          <w:t>Request for feedback and comments</w:t>
        </w:r>
        <w:r w:rsidR="00B30CBE">
          <w:rPr>
            <w:webHidden/>
          </w:rPr>
          <w:tab/>
        </w:r>
        <w:r w:rsidR="00B30CBE">
          <w:rPr>
            <w:webHidden/>
          </w:rPr>
          <w:fldChar w:fldCharType="begin"/>
        </w:r>
        <w:r w:rsidR="00B30CBE">
          <w:rPr>
            <w:webHidden/>
          </w:rPr>
          <w:instrText xml:space="preserve"> PAGEREF _Toc110583128 \h </w:instrText>
        </w:r>
        <w:r w:rsidR="00B30CBE">
          <w:rPr>
            <w:webHidden/>
          </w:rPr>
        </w:r>
        <w:r w:rsidR="00B30CBE">
          <w:rPr>
            <w:webHidden/>
          </w:rPr>
          <w:fldChar w:fldCharType="separate"/>
        </w:r>
        <w:r w:rsidR="00B30CBE">
          <w:rPr>
            <w:webHidden/>
          </w:rPr>
          <w:t>3</w:t>
        </w:r>
        <w:r w:rsidR="00B30CBE">
          <w:rPr>
            <w:webHidden/>
          </w:rPr>
          <w:fldChar w:fldCharType="end"/>
        </w:r>
      </w:hyperlink>
    </w:p>
    <w:p w14:paraId="47109B5A" w14:textId="5FFFB7D7" w:rsidR="00B30CBE" w:rsidRDefault="005D071F">
      <w:pPr>
        <w:pStyle w:val="TOC1"/>
        <w:rPr>
          <w:rFonts w:asciiTheme="minorHAnsi" w:eastAsiaTheme="minorEastAsia" w:hAnsiTheme="minorHAnsi" w:cstheme="minorBidi"/>
          <w:b w:val="0"/>
          <w:color w:val="auto"/>
        </w:rPr>
      </w:pPr>
      <w:hyperlink w:anchor="_Toc110583129" w:history="1">
        <w:r w:rsidR="00B30CBE" w:rsidRPr="00907A1B">
          <w:rPr>
            <w:rStyle w:val="Hyperlink"/>
          </w:rPr>
          <w:t>Strengthening Australia’s multinational tax avoidance and tax transparency rules</w:t>
        </w:r>
        <w:r w:rsidR="00B30CBE">
          <w:rPr>
            <w:webHidden/>
          </w:rPr>
          <w:tab/>
        </w:r>
        <w:r w:rsidR="00B30CBE">
          <w:rPr>
            <w:webHidden/>
          </w:rPr>
          <w:fldChar w:fldCharType="begin"/>
        </w:r>
        <w:r w:rsidR="00B30CBE">
          <w:rPr>
            <w:webHidden/>
          </w:rPr>
          <w:instrText xml:space="preserve"> PAGEREF _Toc110583129 \h </w:instrText>
        </w:r>
        <w:r w:rsidR="00B30CBE">
          <w:rPr>
            <w:webHidden/>
          </w:rPr>
        </w:r>
        <w:r w:rsidR="00B30CBE">
          <w:rPr>
            <w:webHidden/>
          </w:rPr>
          <w:fldChar w:fldCharType="separate"/>
        </w:r>
        <w:r w:rsidR="00B30CBE">
          <w:rPr>
            <w:webHidden/>
          </w:rPr>
          <w:t>4</w:t>
        </w:r>
        <w:r w:rsidR="00B30CBE">
          <w:rPr>
            <w:webHidden/>
          </w:rPr>
          <w:fldChar w:fldCharType="end"/>
        </w:r>
      </w:hyperlink>
    </w:p>
    <w:p w14:paraId="6324AB87" w14:textId="7F39EEC0" w:rsidR="00B30CBE" w:rsidRDefault="005D071F">
      <w:pPr>
        <w:pStyle w:val="TOC2"/>
        <w:rPr>
          <w:rFonts w:asciiTheme="minorHAnsi" w:eastAsiaTheme="minorEastAsia" w:hAnsiTheme="minorHAnsi" w:cstheme="minorBidi"/>
          <w:color w:val="auto"/>
          <w:szCs w:val="22"/>
        </w:rPr>
      </w:pPr>
      <w:hyperlink w:anchor="_Toc110583130" w:history="1">
        <w:r w:rsidR="00B30CBE" w:rsidRPr="00907A1B">
          <w:rPr>
            <w:rStyle w:val="Hyperlink"/>
          </w:rPr>
          <w:t>Introduction</w:t>
        </w:r>
        <w:r w:rsidR="00B30CBE">
          <w:rPr>
            <w:webHidden/>
          </w:rPr>
          <w:tab/>
        </w:r>
        <w:r w:rsidR="00B30CBE">
          <w:rPr>
            <w:webHidden/>
          </w:rPr>
          <w:fldChar w:fldCharType="begin"/>
        </w:r>
        <w:r w:rsidR="00B30CBE">
          <w:rPr>
            <w:webHidden/>
          </w:rPr>
          <w:instrText xml:space="preserve"> PAGEREF _Toc110583130 \h </w:instrText>
        </w:r>
        <w:r w:rsidR="00B30CBE">
          <w:rPr>
            <w:webHidden/>
          </w:rPr>
        </w:r>
        <w:r w:rsidR="00B30CBE">
          <w:rPr>
            <w:webHidden/>
          </w:rPr>
          <w:fldChar w:fldCharType="separate"/>
        </w:r>
        <w:r w:rsidR="00B30CBE">
          <w:rPr>
            <w:webHidden/>
          </w:rPr>
          <w:t>4</w:t>
        </w:r>
        <w:r w:rsidR="00B30CBE">
          <w:rPr>
            <w:webHidden/>
          </w:rPr>
          <w:fldChar w:fldCharType="end"/>
        </w:r>
      </w:hyperlink>
    </w:p>
    <w:p w14:paraId="10D54019" w14:textId="6675C183" w:rsidR="00B30CBE" w:rsidRDefault="005D071F">
      <w:pPr>
        <w:pStyle w:val="TOC1"/>
        <w:rPr>
          <w:rFonts w:asciiTheme="minorHAnsi" w:eastAsiaTheme="minorEastAsia" w:hAnsiTheme="minorHAnsi" w:cstheme="minorBidi"/>
          <w:b w:val="0"/>
          <w:color w:val="auto"/>
        </w:rPr>
      </w:pPr>
      <w:hyperlink w:anchor="_Toc110583131" w:history="1">
        <w:r w:rsidR="00B30CBE" w:rsidRPr="00907A1B">
          <w:rPr>
            <w:rStyle w:val="Hyperlink"/>
          </w:rPr>
          <w:t>Part 1: MNE interest limitation rules</w:t>
        </w:r>
        <w:r w:rsidR="00B30CBE">
          <w:rPr>
            <w:webHidden/>
          </w:rPr>
          <w:tab/>
        </w:r>
        <w:r w:rsidR="00B30CBE">
          <w:rPr>
            <w:webHidden/>
          </w:rPr>
          <w:fldChar w:fldCharType="begin"/>
        </w:r>
        <w:r w:rsidR="00B30CBE">
          <w:rPr>
            <w:webHidden/>
          </w:rPr>
          <w:instrText xml:space="preserve"> PAGEREF _Toc110583131 \h </w:instrText>
        </w:r>
        <w:r w:rsidR="00B30CBE">
          <w:rPr>
            <w:webHidden/>
          </w:rPr>
        </w:r>
        <w:r w:rsidR="00B30CBE">
          <w:rPr>
            <w:webHidden/>
          </w:rPr>
          <w:fldChar w:fldCharType="separate"/>
        </w:r>
        <w:r w:rsidR="00B30CBE">
          <w:rPr>
            <w:webHidden/>
          </w:rPr>
          <w:t>5</w:t>
        </w:r>
        <w:r w:rsidR="00B30CBE">
          <w:rPr>
            <w:webHidden/>
          </w:rPr>
          <w:fldChar w:fldCharType="end"/>
        </w:r>
      </w:hyperlink>
    </w:p>
    <w:p w14:paraId="6008C1B1" w14:textId="3F16A316" w:rsidR="00B30CBE" w:rsidRDefault="005D071F">
      <w:pPr>
        <w:pStyle w:val="TOC2"/>
        <w:rPr>
          <w:rFonts w:asciiTheme="minorHAnsi" w:eastAsiaTheme="minorEastAsia" w:hAnsiTheme="minorHAnsi" w:cstheme="minorBidi"/>
          <w:color w:val="auto"/>
          <w:szCs w:val="22"/>
        </w:rPr>
      </w:pPr>
      <w:hyperlink w:anchor="_Toc110583132" w:history="1">
        <w:r w:rsidR="00B30CBE" w:rsidRPr="00907A1B">
          <w:rPr>
            <w:rStyle w:val="Hyperlink"/>
          </w:rPr>
          <w:t>Introduction and existing framework</w:t>
        </w:r>
        <w:r w:rsidR="00B30CBE">
          <w:rPr>
            <w:webHidden/>
          </w:rPr>
          <w:tab/>
        </w:r>
        <w:r w:rsidR="00B30CBE">
          <w:rPr>
            <w:webHidden/>
          </w:rPr>
          <w:fldChar w:fldCharType="begin"/>
        </w:r>
        <w:r w:rsidR="00B30CBE">
          <w:rPr>
            <w:webHidden/>
          </w:rPr>
          <w:instrText xml:space="preserve"> PAGEREF _Toc110583132 \h </w:instrText>
        </w:r>
        <w:r w:rsidR="00B30CBE">
          <w:rPr>
            <w:webHidden/>
          </w:rPr>
        </w:r>
        <w:r w:rsidR="00B30CBE">
          <w:rPr>
            <w:webHidden/>
          </w:rPr>
          <w:fldChar w:fldCharType="separate"/>
        </w:r>
        <w:r w:rsidR="00B30CBE">
          <w:rPr>
            <w:webHidden/>
          </w:rPr>
          <w:t>5</w:t>
        </w:r>
        <w:r w:rsidR="00B30CBE">
          <w:rPr>
            <w:webHidden/>
          </w:rPr>
          <w:fldChar w:fldCharType="end"/>
        </w:r>
      </w:hyperlink>
    </w:p>
    <w:p w14:paraId="4AFB8F7F" w14:textId="7A9FB766" w:rsidR="00B30CBE" w:rsidRDefault="005D071F">
      <w:pPr>
        <w:pStyle w:val="TOC2"/>
        <w:rPr>
          <w:rFonts w:asciiTheme="minorHAnsi" w:eastAsiaTheme="minorEastAsia" w:hAnsiTheme="minorHAnsi" w:cstheme="minorBidi"/>
          <w:color w:val="auto"/>
          <w:szCs w:val="22"/>
        </w:rPr>
      </w:pPr>
      <w:hyperlink w:anchor="_Toc110583133" w:history="1">
        <w:r w:rsidR="00B30CBE" w:rsidRPr="00907A1B">
          <w:rPr>
            <w:rStyle w:val="Hyperlink"/>
          </w:rPr>
          <w:t>Current thin capitalisation rules</w:t>
        </w:r>
        <w:r w:rsidR="00B30CBE">
          <w:rPr>
            <w:webHidden/>
          </w:rPr>
          <w:tab/>
        </w:r>
        <w:r w:rsidR="00B30CBE">
          <w:rPr>
            <w:webHidden/>
          </w:rPr>
          <w:fldChar w:fldCharType="begin"/>
        </w:r>
        <w:r w:rsidR="00B30CBE">
          <w:rPr>
            <w:webHidden/>
          </w:rPr>
          <w:instrText xml:space="preserve"> PAGEREF _Toc110583133 \h </w:instrText>
        </w:r>
        <w:r w:rsidR="00B30CBE">
          <w:rPr>
            <w:webHidden/>
          </w:rPr>
        </w:r>
        <w:r w:rsidR="00B30CBE">
          <w:rPr>
            <w:webHidden/>
          </w:rPr>
          <w:fldChar w:fldCharType="separate"/>
        </w:r>
        <w:r w:rsidR="00B30CBE">
          <w:rPr>
            <w:webHidden/>
          </w:rPr>
          <w:t>5</w:t>
        </w:r>
        <w:r w:rsidR="00B30CBE">
          <w:rPr>
            <w:webHidden/>
          </w:rPr>
          <w:fldChar w:fldCharType="end"/>
        </w:r>
      </w:hyperlink>
    </w:p>
    <w:p w14:paraId="2FBCE011" w14:textId="0F72504D" w:rsidR="00B30CBE" w:rsidRDefault="005D071F">
      <w:pPr>
        <w:pStyle w:val="TOC2"/>
        <w:rPr>
          <w:rFonts w:asciiTheme="minorHAnsi" w:eastAsiaTheme="minorEastAsia" w:hAnsiTheme="minorHAnsi" w:cstheme="minorBidi"/>
          <w:color w:val="auto"/>
          <w:szCs w:val="22"/>
        </w:rPr>
      </w:pPr>
      <w:hyperlink w:anchor="_Toc110583134" w:history="1">
        <w:r w:rsidR="00B30CBE" w:rsidRPr="00907A1B">
          <w:rPr>
            <w:rStyle w:val="Hyperlink"/>
          </w:rPr>
          <w:t>Implementation considerations</w:t>
        </w:r>
        <w:r w:rsidR="00B30CBE">
          <w:rPr>
            <w:webHidden/>
          </w:rPr>
          <w:tab/>
        </w:r>
        <w:r w:rsidR="00B30CBE">
          <w:rPr>
            <w:webHidden/>
          </w:rPr>
          <w:fldChar w:fldCharType="begin"/>
        </w:r>
        <w:r w:rsidR="00B30CBE">
          <w:rPr>
            <w:webHidden/>
          </w:rPr>
          <w:instrText xml:space="preserve"> PAGEREF _Toc110583134 \h </w:instrText>
        </w:r>
        <w:r w:rsidR="00B30CBE">
          <w:rPr>
            <w:webHidden/>
          </w:rPr>
        </w:r>
        <w:r w:rsidR="00B30CBE">
          <w:rPr>
            <w:webHidden/>
          </w:rPr>
          <w:fldChar w:fldCharType="separate"/>
        </w:r>
        <w:r w:rsidR="00B30CBE">
          <w:rPr>
            <w:webHidden/>
          </w:rPr>
          <w:t>6</w:t>
        </w:r>
        <w:r w:rsidR="00B30CBE">
          <w:rPr>
            <w:webHidden/>
          </w:rPr>
          <w:fldChar w:fldCharType="end"/>
        </w:r>
      </w:hyperlink>
    </w:p>
    <w:p w14:paraId="7BECB959" w14:textId="6270B2E8" w:rsidR="00B30CBE" w:rsidRDefault="005D071F">
      <w:pPr>
        <w:pStyle w:val="TOC3"/>
        <w:rPr>
          <w:rFonts w:asciiTheme="minorHAnsi" w:eastAsiaTheme="minorEastAsia" w:hAnsiTheme="minorHAnsi" w:cstheme="minorBidi"/>
          <w:szCs w:val="22"/>
        </w:rPr>
      </w:pPr>
      <w:hyperlink w:anchor="_Toc110583135" w:history="1">
        <w:r w:rsidR="00B30CBE" w:rsidRPr="00907A1B">
          <w:rPr>
            <w:rStyle w:val="Hyperlink"/>
          </w:rPr>
          <w:t>Adopting an earnings-based ‘safe harbour’ test</w:t>
        </w:r>
        <w:r w:rsidR="00B30CBE">
          <w:rPr>
            <w:webHidden/>
          </w:rPr>
          <w:tab/>
        </w:r>
        <w:r w:rsidR="00B30CBE">
          <w:rPr>
            <w:webHidden/>
          </w:rPr>
          <w:fldChar w:fldCharType="begin"/>
        </w:r>
        <w:r w:rsidR="00B30CBE">
          <w:rPr>
            <w:webHidden/>
          </w:rPr>
          <w:instrText xml:space="preserve"> PAGEREF _Toc110583135 \h </w:instrText>
        </w:r>
        <w:r w:rsidR="00B30CBE">
          <w:rPr>
            <w:webHidden/>
          </w:rPr>
        </w:r>
        <w:r w:rsidR="00B30CBE">
          <w:rPr>
            <w:webHidden/>
          </w:rPr>
          <w:fldChar w:fldCharType="separate"/>
        </w:r>
        <w:r w:rsidR="00B30CBE">
          <w:rPr>
            <w:webHidden/>
          </w:rPr>
          <w:t>6</w:t>
        </w:r>
        <w:r w:rsidR="00B30CBE">
          <w:rPr>
            <w:webHidden/>
          </w:rPr>
          <w:fldChar w:fldCharType="end"/>
        </w:r>
      </w:hyperlink>
    </w:p>
    <w:p w14:paraId="438F8EFB" w14:textId="755DD260" w:rsidR="00B30CBE" w:rsidRDefault="005D071F">
      <w:pPr>
        <w:pStyle w:val="TOC3"/>
        <w:rPr>
          <w:rFonts w:asciiTheme="minorHAnsi" w:eastAsiaTheme="minorEastAsia" w:hAnsiTheme="minorHAnsi" w:cstheme="minorBidi"/>
          <w:szCs w:val="22"/>
        </w:rPr>
      </w:pPr>
      <w:hyperlink w:anchor="_Toc110583136" w:history="1">
        <w:r w:rsidR="00B30CBE" w:rsidRPr="00907A1B">
          <w:rPr>
            <w:rStyle w:val="Hyperlink"/>
          </w:rPr>
          <w:t>Fixed ratio rule: implementation considerations</w:t>
        </w:r>
        <w:r w:rsidR="00B30CBE">
          <w:rPr>
            <w:webHidden/>
          </w:rPr>
          <w:tab/>
        </w:r>
        <w:r w:rsidR="00B30CBE">
          <w:rPr>
            <w:webHidden/>
          </w:rPr>
          <w:fldChar w:fldCharType="begin"/>
        </w:r>
        <w:r w:rsidR="00B30CBE">
          <w:rPr>
            <w:webHidden/>
          </w:rPr>
          <w:instrText xml:space="preserve"> PAGEREF _Toc110583136 \h </w:instrText>
        </w:r>
        <w:r w:rsidR="00B30CBE">
          <w:rPr>
            <w:webHidden/>
          </w:rPr>
        </w:r>
        <w:r w:rsidR="00B30CBE">
          <w:rPr>
            <w:webHidden/>
          </w:rPr>
          <w:fldChar w:fldCharType="separate"/>
        </w:r>
        <w:r w:rsidR="00B30CBE">
          <w:rPr>
            <w:webHidden/>
          </w:rPr>
          <w:t>7</w:t>
        </w:r>
        <w:r w:rsidR="00B30CBE">
          <w:rPr>
            <w:webHidden/>
          </w:rPr>
          <w:fldChar w:fldCharType="end"/>
        </w:r>
      </w:hyperlink>
    </w:p>
    <w:p w14:paraId="756D1290" w14:textId="6907BD98" w:rsidR="00B30CBE" w:rsidRDefault="005D071F">
      <w:pPr>
        <w:pStyle w:val="TOC3"/>
        <w:rPr>
          <w:rFonts w:asciiTheme="minorHAnsi" w:eastAsiaTheme="minorEastAsia" w:hAnsiTheme="minorHAnsi" w:cstheme="minorBidi"/>
          <w:szCs w:val="22"/>
        </w:rPr>
      </w:pPr>
      <w:hyperlink w:anchor="_Toc110583137" w:history="1">
        <w:r w:rsidR="00B30CBE" w:rsidRPr="00907A1B">
          <w:rPr>
            <w:rStyle w:val="Hyperlink"/>
          </w:rPr>
          <w:t>Group ratio rule</w:t>
        </w:r>
        <w:r w:rsidR="00B30CBE">
          <w:rPr>
            <w:webHidden/>
          </w:rPr>
          <w:tab/>
        </w:r>
        <w:r w:rsidR="00B30CBE">
          <w:rPr>
            <w:webHidden/>
          </w:rPr>
          <w:fldChar w:fldCharType="begin"/>
        </w:r>
        <w:r w:rsidR="00B30CBE">
          <w:rPr>
            <w:webHidden/>
          </w:rPr>
          <w:instrText xml:space="preserve"> PAGEREF _Toc110583137 \h </w:instrText>
        </w:r>
        <w:r w:rsidR="00B30CBE">
          <w:rPr>
            <w:webHidden/>
          </w:rPr>
        </w:r>
        <w:r w:rsidR="00B30CBE">
          <w:rPr>
            <w:webHidden/>
          </w:rPr>
          <w:fldChar w:fldCharType="separate"/>
        </w:r>
        <w:r w:rsidR="00B30CBE">
          <w:rPr>
            <w:webHidden/>
          </w:rPr>
          <w:t>8</w:t>
        </w:r>
        <w:r w:rsidR="00B30CBE">
          <w:rPr>
            <w:webHidden/>
          </w:rPr>
          <w:fldChar w:fldCharType="end"/>
        </w:r>
      </w:hyperlink>
    </w:p>
    <w:p w14:paraId="746E2747" w14:textId="093234BE" w:rsidR="00B30CBE" w:rsidRDefault="005D071F">
      <w:pPr>
        <w:pStyle w:val="TOC3"/>
        <w:rPr>
          <w:rFonts w:asciiTheme="minorHAnsi" w:eastAsiaTheme="minorEastAsia" w:hAnsiTheme="minorHAnsi" w:cstheme="minorBidi"/>
          <w:szCs w:val="22"/>
        </w:rPr>
      </w:pPr>
      <w:hyperlink w:anchor="_Toc110583138" w:history="1">
        <w:r w:rsidR="00B30CBE" w:rsidRPr="00907A1B">
          <w:rPr>
            <w:rStyle w:val="Hyperlink"/>
          </w:rPr>
          <w:t>Fixed ratio rule: the role of arm’s length debt test</w:t>
        </w:r>
        <w:r w:rsidR="00B30CBE">
          <w:rPr>
            <w:webHidden/>
          </w:rPr>
          <w:tab/>
        </w:r>
        <w:r w:rsidR="00B30CBE">
          <w:rPr>
            <w:webHidden/>
          </w:rPr>
          <w:fldChar w:fldCharType="begin"/>
        </w:r>
        <w:r w:rsidR="00B30CBE">
          <w:rPr>
            <w:webHidden/>
          </w:rPr>
          <w:instrText xml:space="preserve"> PAGEREF _Toc110583138 \h </w:instrText>
        </w:r>
        <w:r w:rsidR="00B30CBE">
          <w:rPr>
            <w:webHidden/>
          </w:rPr>
        </w:r>
        <w:r w:rsidR="00B30CBE">
          <w:rPr>
            <w:webHidden/>
          </w:rPr>
          <w:fldChar w:fldCharType="separate"/>
        </w:r>
        <w:r w:rsidR="00B30CBE">
          <w:rPr>
            <w:webHidden/>
          </w:rPr>
          <w:t>8</w:t>
        </w:r>
        <w:r w:rsidR="00B30CBE">
          <w:rPr>
            <w:webHidden/>
          </w:rPr>
          <w:fldChar w:fldCharType="end"/>
        </w:r>
      </w:hyperlink>
    </w:p>
    <w:p w14:paraId="40E5D07E" w14:textId="70F1C456" w:rsidR="00B30CBE" w:rsidRDefault="005D071F">
      <w:pPr>
        <w:pStyle w:val="TOC1"/>
        <w:rPr>
          <w:rFonts w:asciiTheme="minorHAnsi" w:eastAsiaTheme="minorEastAsia" w:hAnsiTheme="minorHAnsi" w:cstheme="minorBidi"/>
          <w:b w:val="0"/>
          <w:color w:val="auto"/>
        </w:rPr>
      </w:pPr>
      <w:hyperlink w:anchor="_Toc110583139" w:history="1">
        <w:r w:rsidR="00B30CBE" w:rsidRPr="00907A1B">
          <w:rPr>
            <w:rStyle w:val="Hyperlink"/>
          </w:rPr>
          <w:t>Part 2: Denying MNEs deductions for payments relating to intangibles and royalties paid to low or no tax jurisdictions</w:t>
        </w:r>
        <w:r w:rsidR="00B30CBE">
          <w:rPr>
            <w:webHidden/>
          </w:rPr>
          <w:tab/>
        </w:r>
        <w:r w:rsidR="00B30CBE">
          <w:rPr>
            <w:webHidden/>
          </w:rPr>
          <w:fldChar w:fldCharType="begin"/>
        </w:r>
        <w:r w:rsidR="00B30CBE">
          <w:rPr>
            <w:webHidden/>
          </w:rPr>
          <w:instrText xml:space="preserve"> PAGEREF _Toc110583139 \h </w:instrText>
        </w:r>
        <w:r w:rsidR="00B30CBE">
          <w:rPr>
            <w:webHidden/>
          </w:rPr>
        </w:r>
        <w:r w:rsidR="00B30CBE">
          <w:rPr>
            <w:webHidden/>
          </w:rPr>
          <w:fldChar w:fldCharType="separate"/>
        </w:r>
        <w:r w:rsidR="00B30CBE">
          <w:rPr>
            <w:webHidden/>
          </w:rPr>
          <w:t>11</w:t>
        </w:r>
        <w:r w:rsidR="00B30CBE">
          <w:rPr>
            <w:webHidden/>
          </w:rPr>
          <w:fldChar w:fldCharType="end"/>
        </w:r>
      </w:hyperlink>
    </w:p>
    <w:p w14:paraId="4B7C5BCC" w14:textId="6F3B2B10" w:rsidR="00B30CBE" w:rsidRDefault="005D071F">
      <w:pPr>
        <w:pStyle w:val="TOC2"/>
        <w:rPr>
          <w:rFonts w:asciiTheme="minorHAnsi" w:eastAsiaTheme="minorEastAsia" w:hAnsiTheme="minorHAnsi" w:cstheme="minorBidi"/>
          <w:color w:val="auto"/>
          <w:szCs w:val="22"/>
        </w:rPr>
      </w:pPr>
      <w:hyperlink w:anchor="_Toc110583140" w:history="1">
        <w:r w:rsidR="00B30CBE" w:rsidRPr="00907A1B">
          <w:rPr>
            <w:rStyle w:val="Hyperlink"/>
          </w:rPr>
          <w:t>Introduction</w:t>
        </w:r>
        <w:r w:rsidR="00B30CBE">
          <w:rPr>
            <w:webHidden/>
          </w:rPr>
          <w:tab/>
        </w:r>
        <w:r w:rsidR="00B30CBE">
          <w:rPr>
            <w:webHidden/>
          </w:rPr>
          <w:fldChar w:fldCharType="begin"/>
        </w:r>
        <w:r w:rsidR="00B30CBE">
          <w:rPr>
            <w:webHidden/>
          </w:rPr>
          <w:instrText xml:space="preserve"> PAGEREF _Toc110583140 \h </w:instrText>
        </w:r>
        <w:r w:rsidR="00B30CBE">
          <w:rPr>
            <w:webHidden/>
          </w:rPr>
        </w:r>
        <w:r w:rsidR="00B30CBE">
          <w:rPr>
            <w:webHidden/>
          </w:rPr>
          <w:fldChar w:fldCharType="separate"/>
        </w:r>
        <w:r w:rsidR="00B30CBE">
          <w:rPr>
            <w:webHidden/>
          </w:rPr>
          <w:t>11</w:t>
        </w:r>
        <w:r w:rsidR="00B30CBE">
          <w:rPr>
            <w:webHidden/>
          </w:rPr>
          <w:fldChar w:fldCharType="end"/>
        </w:r>
      </w:hyperlink>
    </w:p>
    <w:p w14:paraId="7CDA7BC5" w14:textId="1455E5D0" w:rsidR="00B30CBE" w:rsidRDefault="005D071F">
      <w:pPr>
        <w:pStyle w:val="TOC2"/>
        <w:rPr>
          <w:rFonts w:asciiTheme="minorHAnsi" w:eastAsiaTheme="minorEastAsia" w:hAnsiTheme="minorHAnsi" w:cstheme="minorBidi"/>
          <w:color w:val="auto"/>
          <w:szCs w:val="22"/>
        </w:rPr>
      </w:pPr>
      <w:hyperlink w:anchor="_Toc110583141" w:history="1">
        <w:r w:rsidR="00B30CBE" w:rsidRPr="00907A1B">
          <w:rPr>
            <w:rStyle w:val="Hyperlink"/>
          </w:rPr>
          <w:t>Current rules</w:t>
        </w:r>
        <w:r w:rsidR="00B30CBE">
          <w:rPr>
            <w:webHidden/>
          </w:rPr>
          <w:tab/>
        </w:r>
        <w:r w:rsidR="00B30CBE">
          <w:rPr>
            <w:webHidden/>
          </w:rPr>
          <w:fldChar w:fldCharType="begin"/>
        </w:r>
        <w:r w:rsidR="00B30CBE">
          <w:rPr>
            <w:webHidden/>
          </w:rPr>
          <w:instrText xml:space="preserve"> PAGEREF _Toc110583141 \h </w:instrText>
        </w:r>
        <w:r w:rsidR="00B30CBE">
          <w:rPr>
            <w:webHidden/>
          </w:rPr>
        </w:r>
        <w:r w:rsidR="00B30CBE">
          <w:rPr>
            <w:webHidden/>
          </w:rPr>
          <w:fldChar w:fldCharType="separate"/>
        </w:r>
        <w:r w:rsidR="00B30CBE">
          <w:rPr>
            <w:webHidden/>
          </w:rPr>
          <w:t>11</w:t>
        </w:r>
        <w:r w:rsidR="00B30CBE">
          <w:rPr>
            <w:webHidden/>
          </w:rPr>
          <w:fldChar w:fldCharType="end"/>
        </w:r>
      </w:hyperlink>
    </w:p>
    <w:p w14:paraId="64CB2C86" w14:textId="1A0BD291" w:rsidR="00B30CBE" w:rsidRDefault="005D071F">
      <w:pPr>
        <w:pStyle w:val="TOC2"/>
        <w:rPr>
          <w:rFonts w:asciiTheme="minorHAnsi" w:eastAsiaTheme="minorEastAsia" w:hAnsiTheme="minorHAnsi" w:cstheme="minorBidi"/>
          <w:color w:val="auto"/>
          <w:szCs w:val="22"/>
        </w:rPr>
      </w:pPr>
      <w:hyperlink w:anchor="_Toc110583142" w:history="1">
        <w:r w:rsidR="00B30CBE" w:rsidRPr="00907A1B">
          <w:rPr>
            <w:rStyle w:val="Hyperlink"/>
          </w:rPr>
          <w:t>Integrity issues</w:t>
        </w:r>
        <w:r w:rsidR="00B30CBE">
          <w:rPr>
            <w:webHidden/>
          </w:rPr>
          <w:tab/>
        </w:r>
        <w:r w:rsidR="00B30CBE">
          <w:rPr>
            <w:webHidden/>
          </w:rPr>
          <w:fldChar w:fldCharType="begin"/>
        </w:r>
        <w:r w:rsidR="00B30CBE">
          <w:rPr>
            <w:webHidden/>
          </w:rPr>
          <w:instrText xml:space="preserve"> PAGEREF _Toc110583142 \h </w:instrText>
        </w:r>
        <w:r w:rsidR="00B30CBE">
          <w:rPr>
            <w:webHidden/>
          </w:rPr>
        </w:r>
        <w:r w:rsidR="00B30CBE">
          <w:rPr>
            <w:webHidden/>
          </w:rPr>
          <w:fldChar w:fldCharType="separate"/>
        </w:r>
        <w:r w:rsidR="00B30CBE">
          <w:rPr>
            <w:webHidden/>
          </w:rPr>
          <w:t>12</w:t>
        </w:r>
        <w:r w:rsidR="00B30CBE">
          <w:rPr>
            <w:webHidden/>
          </w:rPr>
          <w:fldChar w:fldCharType="end"/>
        </w:r>
      </w:hyperlink>
    </w:p>
    <w:p w14:paraId="6178098A" w14:textId="7D692336" w:rsidR="00B30CBE" w:rsidRDefault="005D071F">
      <w:pPr>
        <w:pStyle w:val="TOC3"/>
        <w:rPr>
          <w:rFonts w:asciiTheme="minorHAnsi" w:eastAsiaTheme="minorEastAsia" w:hAnsiTheme="minorHAnsi" w:cstheme="minorBidi"/>
          <w:szCs w:val="22"/>
        </w:rPr>
      </w:pPr>
      <w:hyperlink w:anchor="_Toc110583143" w:history="1">
        <w:r w:rsidR="00B30CBE" w:rsidRPr="00907A1B">
          <w:rPr>
            <w:rStyle w:val="Hyperlink"/>
          </w:rPr>
          <w:t>Taxpayers in scope</w:t>
        </w:r>
        <w:r w:rsidR="00B30CBE">
          <w:rPr>
            <w:webHidden/>
          </w:rPr>
          <w:tab/>
        </w:r>
        <w:r w:rsidR="00B30CBE">
          <w:rPr>
            <w:webHidden/>
          </w:rPr>
          <w:fldChar w:fldCharType="begin"/>
        </w:r>
        <w:r w:rsidR="00B30CBE">
          <w:rPr>
            <w:webHidden/>
          </w:rPr>
          <w:instrText xml:space="preserve"> PAGEREF _Toc110583143 \h </w:instrText>
        </w:r>
        <w:r w:rsidR="00B30CBE">
          <w:rPr>
            <w:webHidden/>
          </w:rPr>
        </w:r>
        <w:r w:rsidR="00B30CBE">
          <w:rPr>
            <w:webHidden/>
          </w:rPr>
          <w:fldChar w:fldCharType="separate"/>
        </w:r>
        <w:r w:rsidR="00B30CBE">
          <w:rPr>
            <w:webHidden/>
          </w:rPr>
          <w:t>13</w:t>
        </w:r>
        <w:r w:rsidR="00B30CBE">
          <w:rPr>
            <w:webHidden/>
          </w:rPr>
          <w:fldChar w:fldCharType="end"/>
        </w:r>
      </w:hyperlink>
    </w:p>
    <w:p w14:paraId="5512CC72" w14:textId="784C0749" w:rsidR="00B30CBE" w:rsidRDefault="005D071F">
      <w:pPr>
        <w:pStyle w:val="TOC3"/>
        <w:rPr>
          <w:rFonts w:asciiTheme="minorHAnsi" w:eastAsiaTheme="minorEastAsia" w:hAnsiTheme="minorHAnsi" w:cstheme="minorBidi"/>
          <w:szCs w:val="22"/>
        </w:rPr>
      </w:pPr>
      <w:hyperlink w:anchor="_Toc110583144" w:history="1">
        <w:r w:rsidR="00B30CBE" w:rsidRPr="00907A1B">
          <w:rPr>
            <w:rStyle w:val="Hyperlink"/>
          </w:rPr>
          <w:t>Payments relating to intangibles and royalties in scope of this measure</w:t>
        </w:r>
        <w:r w:rsidR="00B30CBE">
          <w:rPr>
            <w:webHidden/>
          </w:rPr>
          <w:tab/>
        </w:r>
        <w:r w:rsidR="00B30CBE">
          <w:rPr>
            <w:webHidden/>
          </w:rPr>
          <w:fldChar w:fldCharType="begin"/>
        </w:r>
        <w:r w:rsidR="00B30CBE">
          <w:rPr>
            <w:webHidden/>
          </w:rPr>
          <w:instrText xml:space="preserve"> PAGEREF _Toc110583144 \h </w:instrText>
        </w:r>
        <w:r w:rsidR="00B30CBE">
          <w:rPr>
            <w:webHidden/>
          </w:rPr>
        </w:r>
        <w:r w:rsidR="00B30CBE">
          <w:rPr>
            <w:webHidden/>
          </w:rPr>
          <w:fldChar w:fldCharType="separate"/>
        </w:r>
        <w:r w:rsidR="00B30CBE">
          <w:rPr>
            <w:webHidden/>
          </w:rPr>
          <w:t>14</w:t>
        </w:r>
        <w:r w:rsidR="00B30CBE">
          <w:rPr>
            <w:webHidden/>
          </w:rPr>
          <w:fldChar w:fldCharType="end"/>
        </w:r>
      </w:hyperlink>
    </w:p>
    <w:p w14:paraId="4D3A1F09" w14:textId="5A33CAF6" w:rsidR="00B30CBE" w:rsidRDefault="005D071F">
      <w:pPr>
        <w:pStyle w:val="TOC3"/>
        <w:rPr>
          <w:rFonts w:asciiTheme="minorHAnsi" w:eastAsiaTheme="minorEastAsia" w:hAnsiTheme="minorHAnsi" w:cstheme="minorBidi"/>
          <w:szCs w:val="22"/>
        </w:rPr>
      </w:pPr>
      <w:hyperlink w:anchor="_Toc110583145" w:history="1">
        <w:r w:rsidR="00B30CBE" w:rsidRPr="00907A1B">
          <w:rPr>
            <w:rStyle w:val="Hyperlink"/>
          </w:rPr>
          <w:t>Application to related and unrelated parties</w:t>
        </w:r>
        <w:r w:rsidR="00B30CBE">
          <w:rPr>
            <w:webHidden/>
          </w:rPr>
          <w:tab/>
        </w:r>
        <w:r w:rsidR="00B30CBE">
          <w:rPr>
            <w:webHidden/>
          </w:rPr>
          <w:fldChar w:fldCharType="begin"/>
        </w:r>
        <w:r w:rsidR="00B30CBE">
          <w:rPr>
            <w:webHidden/>
          </w:rPr>
          <w:instrText xml:space="preserve"> PAGEREF _Toc110583145 \h </w:instrText>
        </w:r>
        <w:r w:rsidR="00B30CBE">
          <w:rPr>
            <w:webHidden/>
          </w:rPr>
        </w:r>
        <w:r w:rsidR="00B30CBE">
          <w:rPr>
            <w:webHidden/>
          </w:rPr>
          <w:fldChar w:fldCharType="separate"/>
        </w:r>
        <w:r w:rsidR="00B30CBE">
          <w:rPr>
            <w:webHidden/>
          </w:rPr>
          <w:t>15</w:t>
        </w:r>
        <w:r w:rsidR="00B30CBE">
          <w:rPr>
            <w:webHidden/>
          </w:rPr>
          <w:fldChar w:fldCharType="end"/>
        </w:r>
      </w:hyperlink>
    </w:p>
    <w:p w14:paraId="49C56C25" w14:textId="5CE52284" w:rsidR="00B30CBE" w:rsidRDefault="005D071F">
      <w:pPr>
        <w:pStyle w:val="TOC3"/>
        <w:rPr>
          <w:rFonts w:asciiTheme="minorHAnsi" w:eastAsiaTheme="minorEastAsia" w:hAnsiTheme="minorHAnsi" w:cstheme="minorBidi"/>
          <w:szCs w:val="22"/>
        </w:rPr>
      </w:pPr>
      <w:hyperlink w:anchor="_Toc110583146" w:history="1">
        <w:r w:rsidR="00B30CBE" w:rsidRPr="00907A1B">
          <w:rPr>
            <w:rStyle w:val="Hyperlink"/>
          </w:rPr>
          <w:t>Insufficient tax</w:t>
        </w:r>
        <w:r w:rsidR="00B30CBE">
          <w:rPr>
            <w:webHidden/>
          </w:rPr>
          <w:tab/>
        </w:r>
        <w:r w:rsidR="00B30CBE">
          <w:rPr>
            <w:webHidden/>
          </w:rPr>
          <w:fldChar w:fldCharType="begin"/>
        </w:r>
        <w:r w:rsidR="00B30CBE">
          <w:rPr>
            <w:webHidden/>
          </w:rPr>
          <w:instrText xml:space="preserve"> PAGEREF _Toc110583146 \h </w:instrText>
        </w:r>
        <w:r w:rsidR="00B30CBE">
          <w:rPr>
            <w:webHidden/>
          </w:rPr>
        </w:r>
        <w:r w:rsidR="00B30CBE">
          <w:rPr>
            <w:webHidden/>
          </w:rPr>
          <w:fldChar w:fldCharType="separate"/>
        </w:r>
        <w:r w:rsidR="00B30CBE">
          <w:rPr>
            <w:webHidden/>
          </w:rPr>
          <w:t>15</w:t>
        </w:r>
        <w:r w:rsidR="00B30CBE">
          <w:rPr>
            <w:webHidden/>
          </w:rPr>
          <w:fldChar w:fldCharType="end"/>
        </w:r>
      </w:hyperlink>
    </w:p>
    <w:p w14:paraId="35D2930C" w14:textId="1AEEA09F" w:rsidR="00B30CBE" w:rsidRDefault="005D071F">
      <w:pPr>
        <w:pStyle w:val="TOC2"/>
        <w:rPr>
          <w:rFonts w:asciiTheme="minorHAnsi" w:eastAsiaTheme="minorEastAsia" w:hAnsiTheme="minorHAnsi" w:cstheme="minorBidi"/>
          <w:color w:val="auto"/>
          <w:szCs w:val="22"/>
        </w:rPr>
      </w:pPr>
      <w:hyperlink w:anchor="_Toc110583147" w:history="1">
        <w:r w:rsidR="00B30CBE" w:rsidRPr="00907A1B">
          <w:rPr>
            <w:rStyle w:val="Hyperlink"/>
          </w:rPr>
          <w:t>International comparisons</w:t>
        </w:r>
        <w:r w:rsidR="00B30CBE">
          <w:rPr>
            <w:webHidden/>
          </w:rPr>
          <w:tab/>
        </w:r>
        <w:r w:rsidR="00B30CBE">
          <w:rPr>
            <w:webHidden/>
          </w:rPr>
          <w:fldChar w:fldCharType="begin"/>
        </w:r>
        <w:r w:rsidR="00B30CBE">
          <w:rPr>
            <w:webHidden/>
          </w:rPr>
          <w:instrText xml:space="preserve"> PAGEREF _Toc110583147 \h </w:instrText>
        </w:r>
        <w:r w:rsidR="00B30CBE">
          <w:rPr>
            <w:webHidden/>
          </w:rPr>
        </w:r>
        <w:r w:rsidR="00B30CBE">
          <w:rPr>
            <w:webHidden/>
          </w:rPr>
          <w:fldChar w:fldCharType="separate"/>
        </w:r>
        <w:r w:rsidR="00B30CBE">
          <w:rPr>
            <w:webHidden/>
          </w:rPr>
          <w:t>16</w:t>
        </w:r>
        <w:r w:rsidR="00B30CBE">
          <w:rPr>
            <w:webHidden/>
          </w:rPr>
          <w:fldChar w:fldCharType="end"/>
        </w:r>
      </w:hyperlink>
    </w:p>
    <w:p w14:paraId="6A5FF166" w14:textId="19DE3F96" w:rsidR="00B30CBE" w:rsidRDefault="005D071F">
      <w:pPr>
        <w:pStyle w:val="TOC1"/>
        <w:rPr>
          <w:rFonts w:asciiTheme="minorHAnsi" w:eastAsiaTheme="minorEastAsia" w:hAnsiTheme="minorHAnsi" w:cstheme="minorBidi"/>
          <w:b w:val="0"/>
          <w:color w:val="auto"/>
        </w:rPr>
      </w:pPr>
      <w:hyperlink w:anchor="_Toc110583148" w:history="1">
        <w:r w:rsidR="00B30CBE" w:rsidRPr="00907A1B">
          <w:rPr>
            <w:rStyle w:val="Hyperlink"/>
          </w:rPr>
          <w:t>Part 3: Multinational tax transparency</w:t>
        </w:r>
        <w:r w:rsidR="00B30CBE">
          <w:rPr>
            <w:webHidden/>
          </w:rPr>
          <w:tab/>
        </w:r>
        <w:r w:rsidR="00B30CBE">
          <w:rPr>
            <w:webHidden/>
          </w:rPr>
          <w:fldChar w:fldCharType="begin"/>
        </w:r>
        <w:r w:rsidR="00B30CBE">
          <w:rPr>
            <w:webHidden/>
          </w:rPr>
          <w:instrText xml:space="preserve"> PAGEREF _Toc110583148 \h </w:instrText>
        </w:r>
        <w:r w:rsidR="00B30CBE">
          <w:rPr>
            <w:webHidden/>
          </w:rPr>
        </w:r>
        <w:r w:rsidR="00B30CBE">
          <w:rPr>
            <w:webHidden/>
          </w:rPr>
          <w:fldChar w:fldCharType="separate"/>
        </w:r>
        <w:r w:rsidR="00B30CBE">
          <w:rPr>
            <w:webHidden/>
          </w:rPr>
          <w:t>19</w:t>
        </w:r>
        <w:r w:rsidR="00B30CBE">
          <w:rPr>
            <w:webHidden/>
          </w:rPr>
          <w:fldChar w:fldCharType="end"/>
        </w:r>
      </w:hyperlink>
    </w:p>
    <w:p w14:paraId="7DBCBF2D" w14:textId="3F8E128F" w:rsidR="00B30CBE" w:rsidRDefault="005D071F">
      <w:pPr>
        <w:pStyle w:val="TOC2"/>
        <w:rPr>
          <w:rFonts w:asciiTheme="minorHAnsi" w:eastAsiaTheme="minorEastAsia" w:hAnsiTheme="minorHAnsi" w:cstheme="minorBidi"/>
          <w:color w:val="auto"/>
          <w:szCs w:val="22"/>
        </w:rPr>
      </w:pPr>
      <w:hyperlink w:anchor="_Toc110583149" w:history="1">
        <w:r w:rsidR="00B30CBE" w:rsidRPr="00907A1B">
          <w:rPr>
            <w:rStyle w:val="Hyperlink"/>
          </w:rPr>
          <w:t>Introduction</w:t>
        </w:r>
        <w:r w:rsidR="00B30CBE">
          <w:rPr>
            <w:webHidden/>
          </w:rPr>
          <w:tab/>
        </w:r>
        <w:r w:rsidR="00B30CBE">
          <w:rPr>
            <w:webHidden/>
          </w:rPr>
          <w:fldChar w:fldCharType="begin"/>
        </w:r>
        <w:r w:rsidR="00B30CBE">
          <w:rPr>
            <w:webHidden/>
          </w:rPr>
          <w:instrText xml:space="preserve"> PAGEREF _Toc110583149 \h </w:instrText>
        </w:r>
        <w:r w:rsidR="00B30CBE">
          <w:rPr>
            <w:webHidden/>
          </w:rPr>
        </w:r>
        <w:r w:rsidR="00B30CBE">
          <w:rPr>
            <w:webHidden/>
          </w:rPr>
          <w:fldChar w:fldCharType="separate"/>
        </w:r>
        <w:r w:rsidR="00B30CBE">
          <w:rPr>
            <w:webHidden/>
          </w:rPr>
          <w:t>19</w:t>
        </w:r>
        <w:r w:rsidR="00B30CBE">
          <w:rPr>
            <w:webHidden/>
          </w:rPr>
          <w:fldChar w:fldCharType="end"/>
        </w:r>
      </w:hyperlink>
    </w:p>
    <w:p w14:paraId="4CFF1B7B" w14:textId="1F3E6137" w:rsidR="00B30CBE" w:rsidRDefault="005D071F">
      <w:pPr>
        <w:pStyle w:val="TOC2"/>
        <w:rPr>
          <w:rFonts w:asciiTheme="minorHAnsi" w:eastAsiaTheme="minorEastAsia" w:hAnsiTheme="minorHAnsi" w:cstheme="minorBidi"/>
          <w:color w:val="auto"/>
          <w:szCs w:val="22"/>
        </w:rPr>
      </w:pPr>
      <w:hyperlink w:anchor="_Toc110583150" w:history="1">
        <w:r w:rsidR="00B30CBE" w:rsidRPr="00907A1B">
          <w:rPr>
            <w:rStyle w:val="Hyperlink"/>
          </w:rPr>
          <w:t>Policy context</w:t>
        </w:r>
        <w:r w:rsidR="00B30CBE">
          <w:rPr>
            <w:webHidden/>
          </w:rPr>
          <w:tab/>
        </w:r>
        <w:r w:rsidR="00B30CBE">
          <w:rPr>
            <w:webHidden/>
          </w:rPr>
          <w:fldChar w:fldCharType="begin"/>
        </w:r>
        <w:r w:rsidR="00B30CBE">
          <w:rPr>
            <w:webHidden/>
          </w:rPr>
          <w:instrText xml:space="preserve"> PAGEREF _Toc110583150 \h </w:instrText>
        </w:r>
        <w:r w:rsidR="00B30CBE">
          <w:rPr>
            <w:webHidden/>
          </w:rPr>
        </w:r>
        <w:r w:rsidR="00B30CBE">
          <w:rPr>
            <w:webHidden/>
          </w:rPr>
          <w:fldChar w:fldCharType="separate"/>
        </w:r>
        <w:r w:rsidR="00B30CBE">
          <w:rPr>
            <w:webHidden/>
          </w:rPr>
          <w:t>19</w:t>
        </w:r>
        <w:r w:rsidR="00B30CBE">
          <w:rPr>
            <w:webHidden/>
          </w:rPr>
          <w:fldChar w:fldCharType="end"/>
        </w:r>
      </w:hyperlink>
    </w:p>
    <w:p w14:paraId="71CE1A84" w14:textId="5DC6BDA3" w:rsidR="00B30CBE" w:rsidRDefault="005D071F">
      <w:pPr>
        <w:pStyle w:val="TOC2"/>
        <w:rPr>
          <w:rFonts w:asciiTheme="minorHAnsi" w:eastAsiaTheme="minorEastAsia" w:hAnsiTheme="minorHAnsi" w:cstheme="minorBidi"/>
          <w:color w:val="auto"/>
          <w:szCs w:val="22"/>
        </w:rPr>
      </w:pPr>
      <w:hyperlink w:anchor="_Toc110583151" w:history="1">
        <w:r w:rsidR="00B30CBE" w:rsidRPr="00907A1B">
          <w:rPr>
            <w:rStyle w:val="Hyperlink"/>
          </w:rPr>
          <w:t>Tax transparency reporting: the current approach in Australia</w:t>
        </w:r>
        <w:r w:rsidR="00B30CBE">
          <w:rPr>
            <w:webHidden/>
          </w:rPr>
          <w:tab/>
        </w:r>
        <w:r w:rsidR="00B30CBE">
          <w:rPr>
            <w:webHidden/>
          </w:rPr>
          <w:fldChar w:fldCharType="begin"/>
        </w:r>
        <w:r w:rsidR="00B30CBE">
          <w:rPr>
            <w:webHidden/>
          </w:rPr>
          <w:instrText xml:space="preserve"> PAGEREF _Toc110583151 \h </w:instrText>
        </w:r>
        <w:r w:rsidR="00B30CBE">
          <w:rPr>
            <w:webHidden/>
          </w:rPr>
        </w:r>
        <w:r w:rsidR="00B30CBE">
          <w:rPr>
            <w:webHidden/>
          </w:rPr>
          <w:fldChar w:fldCharType="separate"/>
        </w:r>
        <w:r w:rsidR="00B30CBE">
          <w:rPr>
            <w:webHidden/>
          </w:rPr>
          <w:t>20</w:t>
        </w:r>
        <w:r w:rsidR="00B30CBE">
          <w:rPr>
            <w:webHidden/>
          </w:rPr>
          <w:fldChar w:fldCharType="end"/>
        </w:r>
      </w:hyperlink>
    </w:p>
    <w:p w14:paraId="0ADC3C2F" w14:textId="30B14161" w:rsidR="00B30CBE" w:rsidRDefault="005D071F">
      <w:pPr>
        <w:pStyle w:val="TOC2"/>
        <w:rPr>
          <w:rFonts w:asciiTheme="minorHAnsi" w:eastAsiaTheme="minorEastAsia" w:hAnsiTheme="minorHAnsi" w:cstheme="minorBidi"/>
          <w:color w:val="auto"/>
          <w:szCs w:val="22"/>
        </w:rPr>
      </w:pPr>
      <w:hyperlink w:anchor="_Toc110583152" w:history="1">
        <w:r w:rsidR="00B30CBE" w:rsidRPr="00907A1B">
          <w:rPr>
            <w:rStyle w:val="Hyperlink"/>
          </w:rPr>
          <w:t>Public reporting of tax information on a country-by-country basis</w:t>
        </w:r>
        <w:r w:rsidR="00B30CBE">
          <w:rPr>
            <w:webHidden/>
          </w:rPr>
          <w:tab/>
        </w:r>
        <w:r w:rsidR="00B30CBE">
          <w:rPr>
            <w:webHidden/>
          </w:rPr>
          <w:fldChar w:fldCharType="begin"/>
        </w:r>
        <w:r w:rsidR="00B30CBE">
          <w:rPr>
            <w:webHidden/>
          </w:rPr>
          <w:instrText xml:space="preserve"> PAGEREF _Toc110583152 \h </w:instrText>
        </w:r>
        <w:r w:rsidR="00B30CBE">
          <w:rPr>
            <w:webHidden/>
          </w:rPr>
        </w:r>
        <w:r w:rsidR="00B30CBE">
          <w:rPr>
            <w:webHidden/>
          </w:rPr>
          <w:fldChar w:fldCharType="separate"/>
        </w:r>
        <w:r w:rsidR="00B30CBE">
          <w:rPr>
            <w:webHidden/>
          </w:rPr>
          <w:t>21</w:t>
        </w:r>
        <w:r w:rsidR="00B30CBE">
          <w:rPr>
            <w:webHidden/>
          </w:rPr>
          <w:fldChar w:fldCharType="end"/>
        </w:r>
      </w:hyperlink>
    </w:p>
    <w:p w14:paraId="3DFD7EDD" w14:textId="6A7F1587" w:rsidR="00B30CBE" w:rsidRDefault="005D071F">
      <w:pPr>
        <w:pStyle w:val="TOC3"/>
        <w:rPr>
          <w:rFonts w:asciiTheme="minorHAnsi" w:eastAsiaTheme="minorEastAsia" w:hAnsiTheme="minorHAnsi" w:cstheme="minorBidi"/>
          <w:szCs w:val="22"/>
        </w:rPr>
      </w:pPr>
      <w:hyperlink w:anchor="_Toc110583153" w:history="1">
        <w:r w:rsidR="00B30CBE" w:rsidRPr="00907A1B">
          <w:rPr>
            <w:rStyle w:val="Hyperlink"/>
          </w:rPr>
          <w:t>Confidential country-by-country reporting (OECD standard)</w:t>
        </w:r>
        <w:r w:rsidR="00B30CBE">
          <w:rPr>
            <w:webHidden/>
          </w:rPr>
          <w:tab/>
        </w:r>
        <w:r w:rsidR="00B30CBE">
          <w:rPr>
            <w:webHidden/>
          </w:rPr>
          <w:fldChar w:fldCharType="begin"/>
        </w:r>
        <w:r w:rsidR="00B30CBE">
          <w:rPr>
            <w:webHidden/>
          </w:rPr>
          <w:instrText xml:space="preserve"> PAGEREF _Toc110583153 \h </w:instrText>
        </w:r>
        <w:r w:rsidR="00B30CBE">
          <w:rPr>
            <w:webHidden/>
          </w:rPr>
        </w:r>
        <w:r w:rsidR="00B30CBE">
          <w:rPr>
            <w:webHidden/>
          </w:rPr>
          <w:fldChar w:fldCharType="separate"/>
        </w:r>
        <w:r w:rsidR="00B30CBE">
          <w:rPr>
            <w:webHidden/>
          </w:rPr>
          <w:t>21</w:t>
        </w:r>
        <w:r w:rsidR="00B30CBE">
          <w:rPr>
            <w:webHidden/>
          </w:rPr>
          <w:fldChar w:fldCharType="end"/>
        </w:r>
      </w:hyperlink>
    </w:p>
    <w:p w14:paraId="40F8A912" w14:textId="218A7238" w:rsidR="00B30CBE" w:rsidRDefault="005D071F">
      <w:pPr>
        <w:pStyle w:val="TOC3"/>
        <w:rPr>
          <w:rFonts w:asciiTheme="minorHAnsi" w:eastAsiaTheme="minorEastAsia" w:hAnsiTheme="minorHAnsi" w:cstheme="minorBidi"/>
          <w:szCs w:val="22"/>
        </w:rPr>
      </w:pPr>
      <w:hyperlink w:anchor="_Toc110583154" w:history="1">
        <w:r w:rsidR="00B30CBE" w:rsidRPr="00907A1B">
          <w:rPr>
            <w:rStyle w:val="Hyperlink"/>
          </w:rPr>
          <w:t>Public country-by-country reporting (EU standard)</w:t>
        </w:r>
        <w:r w:rsidR="00B30CBE">
          <w:rPr>
            <w:webHidden/>
          </w:rPr>
          <w:tab/>
        </w:r>
        <w:r w:rsidR="00B30CBE">
          <w:rPr>
            <w:webHidden/>
          </w:rPr>
          <w:fldChar w:fldCharType="begin"/>
        </w:r>
        <w:r w:rsidR="00B30CBE">
          <w:rPr>
            <w:webHidden/>
          </w:rPr>
          <w:instrText xml:space="preserve"> PAGEREF _Toc110583154 \h </w:instrText>
        </w:r>
        <w:r w:rsidR="00B30CBE">
          <w:rPr>
            <w:webHidden/>
          </w:rPr>
        </w:r>
        <w:r w:rsidR="00B30CBE">
          <w:rPr>
            <w:webHidden/>
          </w:rPr>
          <w:fldChar w:fldCharType="separate"/>
        </w:r>
        <w:r w:rsidR="00B30CBE">
          <w:rPr>
            <w:webHidden/>
          </w:rPr>
          <w:t>22</w:t>
        </w:r>
        <w:r w:rsidR="00B30CBE">
          <w:rPr>
            <w:webHidden/>
          </w:rPr>
          <w:fldChar w:fldCharType="end"/>
        </w:r>
      </w:hyperlink>
    </w:p>
    <w:p w14:paraId="1E7AE7A4" w14:textId="55D1805A" w:rsidR="00B30CBE" w:rsidRDefault="005D071F">
      <w:pPr>
        <w:pStyle w:val="TOC3"/>
        <w:rPr>
          <w:rFonts w:asciiTheme="minorHAnsi" w:eastAsiaTheme="minorEastAsia" w:hAnsiTheme="minorHAnsi" w:cstheme="minorBidi"/>
          <w:szCs w:val="22"/>
        </w:rPr>
      </w:pPr>
      <w:hyperlink w:anchor="_Toc110583155" w:history="1">
        <w:r w:rsidR="00B30CBE" w:rsidRPr="00907A1B">
          <w:rPr>
            <w:rStyle w:val="Hyperlink"/>
          </w:rPr>
          <w:t>Global Reporting Initiative – Tax Standard</w:t>
        </w:r>
        <w:r w:rsidR="00B30CBE">
          <w:rPr>
            <w:webHidden/>
          </w:rPr>
          <w:tab/>
        </w:r>
        <w:r w:rsidR="00B30CBE">
          <w:rPr>
            <w:webHidden/>
          </w:rPr>
          <w:fldChar w:fldCharType="begin"/>
        </w:r>
        <w:r w:rsidR="00B30CBE">
          <w:rPr>
            <w:webHidden/>
          </w:rPr>
          <w:instrText xml:space="preserve"> PAGEREF _Toc110583155 \h </w:instrText>
        </w:r>
        <w:r w:rsidR="00B30CBE">
          <w:rPr>
            <w:webHidden/>
          </w:rPr>
        </w:r>
        <w:r w:rsidR="00B30CBE">
          <w:rPr>
            <w:webHidden/>
          </w:rPr>
          <w:fldChar w:fldCharType="separate"/>
        </w:r>
        <w:r w:rsidR="00B30CBE">
          <w:rPr>
            <w:webHidden/>
          </w:rPr>
          <w:t>23</w:t>
        </w:r>
        <w:r w:rsidR="00B30CBE">
          <w:rPr>
            <w:webHidden/>
          </w:rPr>
          <w:fldChar w:fldCharType="end"/>
        </w:r>
      </w:hyperlink>
    </w:p>
    <w:p w14:paraId="6C1538B8" w14:textId="0A600ABF" w:rsidR="00B30CBE" w:rsidRDefault="005D071F">
      <w:pPr>
        <w:pStyle w:val="TOC3"/>
        <w:rPr>
          <w:rFonts w:asciiTheme="minorHAnsi" w:eastAsiaTheme="minorEastAsia" w:hAnsiTheme="minorHAnsi" w:cstheme="minorBidi"/>
          <w:szCs w:val="22"/>
        </w:rPr>
      </w:pPr>
      <w:hyperlink w:anchor="_Toc110583156" w:history="1">
        <w:r w:rsidR="00B30CBE" w:rsidRPr="00907A1B">
          <w:rPr>
            <w:rStyle w:val="Hyperlink"/>
          </w:rPr>
          <w:t>(Voluntary) Tax Transparency Code</w:t>
        </w:r>
        <w:r w:rsidR="00B30CBE">
          <w:rPr>
            <w:webHidden/>
          </w:rPr>
          <w:tab/>
        </w:r>
        <w:r w:rsidR="00B30CBE">
          <w:rPr>
            <w:webHidden/>
          </w:rPr>
          <w:fldChar w:fldCharType="begin"/>
        </w:r>
        <w:r w:rsidR="00B30CBE">
          <w:rPr>
            <w:webHidden/>
          </w:rPr>
          <w:instrText xml:space="preserve"> PAGEREF _Toc110583156 \h </w:instrText>
        </w:r>
        <w:r w:rsidR="00B30CBE">
          <w:rPr>
            <w:webHidden/>
          </w:rPr>
        </w:r>
        <w:r w:rsidR="00B30CBE">
          <w:rPr>
            <w:webHidden/>
          </w:rPr>
          <w:fldChar w:fldCharType="separate"/>
        </w:r>
        <w:r w:rsidR="00B30CBE">
          <w:rPr>
            <w:webHidden/>
          </w:rPr>
          <w:t>25</w:t>
        </w:r>
        <w:r w:rsidR="00B30CBE">
          <w:rPr>
            <w:webHidden/>
          </w:rPr>
          <w:fldChar w:fldCharType="end"/>
        </w:r>
      </w:hyperlink>
    </w:p>
    <w:p w14:paraId="052DE940" w14:textId="20F3229F" w:rsidR="00B30CBE" w:rsidRDefault="005D071F">
      <w:pPr>
        <w:pStyle w:val="TOC2"/>
        <w:rPr>
          <w:rFonts w:asciiTheme="minorHAnsi" w:eastAsiaTheme="minorEastAsia" w:hAnsiTheme="minorHAnsi" w:cstheme="minorBidi"/>
          <w:color w:val="auto"/>
          <w:szCs w:val="22"/>
        </w:rPr>
      </w:pPr>
      <w:hyperlink w:anchor="_Toc110583157" w:history="1">
        <w:r w:rsidR="00B30CBE" w:rsidRPr="00907A1B">
          <w:rPr>
            <w:rStyle w:val="Hyperlink"/>
          </w:rPr>
          <w:t>Standardised public CbC reporting</w:t>
        </w:r>
        <w:r w:rsidR="00B30CBE">
          <w:rPr>
            <w:webHidden/>
          </w:rPr>
          <w:tab/>
        </w:r>
        <w:r w:rsidR="00B30CBE">
          <w:rPr>
            <w:webHidden/>
          </w:rPr>
          <w:fldChar w:fldCharType="begin"/>
        </w:r>
        <w:r w:rsidR="00B30CBE">
          <w:rPr>
            <w:webHidden/>
          </w:rPr>
          <w:instrText xml:space="preserve"> PAGEREF _Toc110583157 \h </w:instrText>
        </w:r>
        <w:r w:rsidR="00B30CBE">
          <w:rPr>
            <w:webHidden/>
          </w:rPr>
        </w:r>
        <w:r w:rsidR="00B30CBE">
          <w:rPr>
            <w:webHidden/>
          </w:rPr>
          <w:fldChar w:fldCharType="separate"/>
        </w:r>
        <w:r w:rsidR="00B30CBE">
          <w:rPr>
            <w:webHidden/>
          </w:rPr>
          <w:t>26</w:t>
        </w:r>
        <w:r w:rsidR="00B30CBE">
          <w:rPr>
            <w:webHidden/>
          </w:rPr>
          <w:fldChar w:fldCharType="end"/>
        </w:r>
      </w:hyperlink>
    </w:p>
    <w:p w14:paraId="4D5A0036" w14:textId="65CEC07C" w:rsidR="00B30CBE" w:rsidRDefault="005D071F">
      <w:pPr>
        <w:pStyle w:val="TOC2"/>
        <w:rPr>
          <w:rFonts w:asciiTheme="minorHAnsi" w:eastAsiaTheme="minorEastAsia" w:hAnsiTheme="minorHAnsi" w:cstheme="minorBidi"/>
          <w:color w:val="auto"/>
          <w:szCs w:val="22"/>
        </w:rPr>
      </w:pPr>
      <w:hyperlink w:anchor="_Toc110583158" w:history="1">
        <w:r w:rsidR="00B30CBE" w:rsidRPr="00907A1B">
          <w:rPr>
            <w:rStyle w:val="Hyperlink"/>
          </w:rPr>
          <w:t>Mandatory reporting of material tax risk to shareholders</w:t>
        </w:r>
        <w:r w:rsidR="00B30CBE">
          <w:rPr>
            <w:webHidden/>
          </w:rPr>
          <w:tab/>
        </w:r>
        <w:r w:rsidR="00B30CBE">
          <w:rPr>
            <w:webHidden/>
          </w:rPr>
          <w:fldChar w:fldCharType="begin"/>
        </w:r>
        <w:r w:rsidR="00B30CBE">
          <w:rPr>
            <w:webHidden/>
          </w:rPr>
          <w:instrText xml:space="preserve"> PAGEREF _Toc110583158 \h </w:instrText>
        </w:r>
        <w:r w:rsidR="00B30CBE">
          <w:rPr>
            <w:webHidden/>
          </w:rPr>
        </w:r>
        <w:r w:rsidR="00B30CBE">
          <w:rPr>
            <w:webHidden/>
          </w:rPr>
          <w:fldChar w:fldCharType="separate"/>
        </w:r>
        <w:r w:rsidR="00B30CBE">
          <w:rPr>
            <w:webHidden/>
          </w:rPr>
          <w:t>27</w:t>
        </w:r>
        <w:r w:rsidR="00B30CBE">
          <w:rPr>
            <w:webHidden/>
          </w:rPr>
          <w:fldChar w:fldCharType="end"/>
        </w:r>
      </w:hyperlink>
    </w:p>
    <w:p w14:paraId="10C6E7CB" w14:textId="45513A4D" w:rsidR="00B30CBE" w:rsidRDefault="005D071F">
      <w:pPr>
        <w:pStyle w:val="TOC3"/>
        <w:rPr>
          <w:rFonts w:asciiTheme="minorHAnsi" w:eastAsiaTheme="minorEastAsia" w:hAnsiTheme="minorHAnsi" w:cstheme="minorBidi"/>
          <w:szCs w:val="22"/>
        </w:rPr>
      </w:pPr>
      <w:hyperlink w:anchor="_Toc110583159" w:history="1">
        <w:r w:rsidR="00B30CBE" w:rsidRPr="00907A1B">
          <w:rPr>
            <w:rStyle w:val="Hyperlink"/>
          </w:rPr>
          <w:t>Tax haven exposure</w:t>
        </w:r>
        <w:r w:rsidR="00B30CBE">
          <w:rPr>
            <w:webHidden/>
          </w:rPr>
          <w:tab/>
        </w:r>
        <w:r w:rsidR="00B30CBE">
          <w:rPr>
            <w:webHidden/>
          </w:rPr>
          <w:fldChar w:fldCharType="begin"/>
        </w:r>
        <w:r w:rsidR="00B30CBE">
          <w:rPr>
            <w:webHidden/>
          </w:rPr>
          <w:instrText xml:space="preserve"> PAGEREF _Toc110583159 \h </w:instrText>
        </w:r>
        <w:r w:rsidR="00B30CBE">
          <w:rPr>
            <w:webHidden/>
          </w:rPr>
        </w:r>
        <w:r w:rsidR="00B30CBE">
          <w:rPr>
            <w:webHidden/>
          </w:rPr>
          <w:fldChar w:fldCharType="separate"/>
        </w:r>
        <w:r w:rsidR="00B30CBE">
          <w:rPr>
            <w:webHidden/>
          </w:rPr>
          <w:t>27</w:t>
        </w:r>
        <w:r w:rsidR="00B30CBE">
          <w:rPr>
            <w:webHidden/>
          </w:rPr>
          <w:fldChar w:fldCharType="end"/>
        </w:r>
      </w:hyperlink>
    </w:p>
    <w:p w14:paraId="39B717DC" w14:textId="0F59CF0D" w:rsidR="00B30CBE" w:rsidRDefault="005D071F">
      <w:pPr>
        <w:pStyle w:val="TOC3"/>
        <w:rPr>
          <w:rFonts w:asciiTheme="minorHAnsi" w:eastAsiaTheme="minorEastAsia" w:hAnsiTheme="minorHAnsi" w:cstheme="minorBidi"/>
          <w:szCs w:val="22"/>
        </w:rPr>
      </w:pPr>
      <w:hyperlink w:anchor="_Toc110583160" w:history="1">
        <w:r w:rsidR="00B30CBE" w:rsidRPr="00907A1B">
          <w:rPr>
            <w:rStyle w:val="Hyperlink"/>
          </w:rPr>
          <w:t>Other forms of high-risk tax arrangements</w:t>
        </w:r>
        <w:r w:rsidR="00B30CBE">
          <w:rPr>
            <w:webHidden/>
          </w:rPr>
          <w:tab/>
        </w:r>
        <w:r w:rsidR="00B30CBE">
          <w:rPr>
            <w:webHidden/>
          </w:rPr>
          <w:fldChar w:fldCharType="begin"/>
        </w:r>
        <w:r w:rsidR="00B30CBE">
          <w:rPr>
            <w:webHidden/>
          </w:rPr>
          <w:instrText xml:space="preserve"> PAGEREF _Toc110583160 \h </w:instrText>
        </w:r>
        <w:r w:rsidR="00B30CBE">
          <w:rPr>
            <w:webHidden/>
          </w:rPr>
        </w:r>
        <w:r w:rsidR="00B30CBE">
          <w:rPr>
            <w:webHidden/>
          </w:rPr>
          <w:fldChar w:fldCharType="separate"/>
        </w:r>
        <w:r w:rsidR="00B30CBE">
          <w:rPr>
            <w:webHidden/>
          </w:rPr>
          <w:t>28</w:t>
        </w:r>
        <w:r w:rsidR="00B30CBE">
          <w:rPr>
            <w:webHidden/>
          </w:rPr>
          <w:fldChar w:fldCharType="end"/>
        </w:r>
      </w:hyperlink>
    </w:p>
    <w:p w14:paraId="401B26D8" w14:textId="76CCE188" w:rsidR="00B30CBE" w:rsidRDefault="005D071F">
      <w:pPr>
        <w:pStyle w:val="TOC2"/>
        <w:rPr>
          <w:rFonts w:asciiTheme="minorHAnsi" w:eastAsiaTheme="minorEastAsia" w:hAnsiTheme="minorHAnsi" w:cstheme="minorBidi"/>
          <w:color w:val="auto"/>
          <w:szCs w:val="22"/>
        </w:rPr>
      </w:pPr>
      <w:hyperlink w:anchor="_Toc110583161" w:history="1">
        <w:r w:rsidR="00B30CBE" w:rsidRPr="00907A1B">
          <w:rPr>
            <w:rStyle w:val="Hyperlink"/>
          </w:rPr>
          <w:t>Requiring government tenderers to disclose their country of tax domicile</w:t>
        </w:r>
        <w:r w:rsidR="00B30CBE">
          <w:rPr>
            <w:webHidden/>
          </w:rPr>
          <w:tab/>
        </w:r>
        <w:r w:rsidR="00B30CBE">
          <w:rPr>
            <w:webHidden/>
          </w:rPr>
          <w:fldChar w:fldCharType="begin"/>
        </w:r>
        <w:r w:rsidR="00B30CBE">
          <w:rPr>
            <w:webHidden/>
          </w:rPr>
          <w:instrText xml:space="preserve"> PAGEREF _Toc110583161 \h </w:instrText>
        </w:r>
        <w:r w:rsidR="00B30CBE">
          <w:rPr>
            <w:webHidden/>
          </w:rPr>
        </w:r>
        <w:r w:rsidR="00B30CBE">
          <w:rPr>
            <w:webHidden/>
          </w:rPr>
          <w:fldChar w:fldCharType="separate"/>
        </w:r>
        <w:r w:rsidR="00B30CBE">
          <w:rPr>
            <w:webHidden/>
          </w:rPr>
          <w:t>28</w:t>
        </w:r>
        <w:r w:rsidR="00B30CBE">
          <w:rPr>
            <w:webHidden/>
          </w:rPr>
          <w:fldChar w:fldCharType="end"/>
        </w:r>
      </w:hyperlink>
    </w:p>
    <w:p w14:paraId="6CADF0BA" w14:textId="24F9B089" w:rsidR="00B30CBE" w:rsidRDefault="005D071F">
      <w:pPr>
        <w:pStyle w:val="TOC1"/>
        <w:rPr>
          <w:rFonts w:asciiTheme="minorHAnsi" w:eastAsiaTheme="minorEastAsia" w:hAnsiTheme="minorHAnsi" w:cstheme="minorBidi"/>
          <w:b w:val="0"/>
          <w:color w:val="auto"/>
        </w:rPr>
      </w:pPr>
      <w:hyperlink w:anchor="_Toc110583162" w:history="1">
        <w:r w:rsidR="00B30CBE" w:rsidRPr="00907A1B">
          <w:rPr>
            <w:rStyle w:val="Hyperlink"/>
          </w:rPr>
          <w:t>Appendix 1 – Royalty withholding tax rates in Australia’s bilateral tax treaties</w:t>
        </w:r>
        <w:r w:rsidR="00B30CBE">
          <w:rPr>
            <w:webHidden/>
          </w:rPr>
          <w:tab/>
        </w:r>
        <w:r w:rsidR="00B30CBE">
          <w:rPr>
            <w:webHidden/>
          </w:rPr>
          <w:fldChar w:fldCharType="begin"/>
        </w:r>
        <w:r w:rsidR="00B30CBE">
          <w:rPr>
            <w:webHidden/>
          </w:rPr>
          <w:instrText xml:space="preserve"> PAGEREF _Toc110583162 \h </w:instrText>
        </w:r>
        <w:r w:rsidR="00B30CBE">
          <w:rPr>
            <w:webHidden/>
          </w:rPr>
        </w:r>
        <w:r w:rsidR="00B30CBE">
          <w:rPr>
            <w:webHidden/>
          </w:rPr>
          <w:fldChar w:fldCharType="separate"/>
        </w:r>
        <w:r w:rsidR="00B30CBE">
          <w:rPr>
            <w:webHidden/>
          </w:rPr>
          <w:t>30</w:t>
        </w:r>
        <w:r w:rsidR="00B30CBE">
          <w:rPr>
            <w:webHidden/>
          </w:rPr>
          <w:fldChar w:fldCharType="end"/>
        </w:r>
      </w:hyperlink>
    </w:p>
    <w:p w14:paraId="3F1FE93B" w14:textId="67F8FB9D" w:rsidR="000E0B74" w:rsidRDefault="00257AEE" w:rsidP="00656356">
      <w:pPr>
        <w:pStyle w:val="SingleParagraph"/>
        <w:tabs>
          <w:tab w:val="right" w:leader="dot" w:pos="9072"/>
        </w:tabs>
        <w:ind w:right="-2"/>
        <w:sectPr w:rsidR="000E0B74" w:rsidSect="008043EA">
          <w:footerReference w:type="default" r:id="rId23"/>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6434351" w14:textId="77777777" w:rsidR="000E0B74" w:rsidRDefault="000E0B74" w:rsidP="00354FBB">
      <w:pPr>
        <w:pStyle w:val="Heading1"/>
      </w:pPr>
      <w:bookmarkStart w:id="1" w:name="_Toc110583127"/>
      <w:bookmarkStart w:id="2" w:name="_Toc432067103"/>
      <w:r>
        <w:lastRenderedPageBreak/>
        <w:t>Consultation Process</w:t>
      </w:r>
      <w:bookmarkEnd w:id="1"/>
    </w:p>
    <w:p w14:paraId="1D7A4DD3" w14:textId="77777777" w:rsidR="000E0B74" w:rsidRDefault="000E0B74" w:rsidP="000E0B74">
      <w:pPr>
        <w:pStyle w:val="Heading2"/>
      </w:pPr>
      <w:bookmarkStart w:id="3" w:name="_Toc110583128"/>
      <w:r>
        <w:t>Request for feedback and comments</w:t>
      </w:r>
      <w:bookmarkEnd w:id="3"/>
    </w:p>
    <w:p w14:paraId="4651B3CD" w14:textId="1F1FB763" w:rsidR="003C6A8C" w:rsidRDefault="003C6A8C" w:rsidP="003C6A8C">
      <w:r>
        <w:t xml:space="preserve">Interested parties are invited to comment on the policy issues and implementation considerations to improve </w:t>
      </w:r>
      <w:r w:rsidR="00FC3F3D">
        <w:t>multinational tax integrity</w:t>
      </w:r>
      <w:r>
        <w:t xml:space="preserve">, as raised in this paper. While submissions may be lodged electronically or by post, electronic lodgement is preferred. </w:t>
      </w:r>
    </w:p>
    <w:p w14:paraId="476B9AA9" w14:textId="77777777" w:rsidR="003C6A8C" w:rsidRDefault="003C6A8C" w:rsidP="003C6A8C">
      <w:r>
        <w:t xml:space="preserve">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 </w:t>
      </w:r>
    </w:p>
    <w:p w14:paraId="06192169" w14:textId="0D267A22" w:rsidR="003C6A8C" w:rsidRDefault="003C6A8C" w:rsidP="003C6A8C">
      <w:r>
        <w:t>A request made under the Freedom of Information Act 1982 for a submission marked ‘confidential’ to be made available will be determined in accordance with that Act</w:t>
      </w:r>
    </w:p>
    <w:p w14:paraId="6EEC4C4E" w14:textId="77777777" w:rsidR="003C6A8C" w:rsidRDefault="003C6A8C" w:rsidP="000E0B74"/>
    <w:p w14:paraId="722B57AA" w14:textId="1C0D3AFF" w:rsidR="000E0B74" w:rsidRDefault="000E0B74" w:rsidP="00257AEE">
      <w:pPr>
        <w:pStyle w:val="Heading3noTOC"/>
      </w:pPr>
      <w:r>
        <w:t>Closing date for submissions:</w:t>
      </w:r>
      <w:r w:rsidR="00714538">
        <w:t xml:space="preserve"> </w:t>
      </w:r>
      <w:r w:rsidR="00714538" w:rsidRPr="00714538">
        <w:rPr>
          <w:rStyle w:val="Heading3Char"/>
        </w:rPr>
        <w:t>2 September 2022</w:t>
      </w:r>
      <w:r>
        <w:t xml:space="preserve"> </w:t>
      </w:r>
    </w:p>
    <w:tbl>
      <w:tblPr>
        <w:tblStyle w:val="TableGrid"/>
        <w:tblW w:w="0" w:type="auto"/>
        <w:tblLook w:val="04A0" w:firstRow="1" w:lastRow="0" w:firstColumn="1" w:lastColumn="0" w:noHBand="0" w:noVBand="1"/>
      </w:tblPr>
      <w:tblGrid>
        <w:gridCol w:w="1515"/>
        <w:gridCol w:w="7555"/>
      </w:tblGrid>
      <w:tr w:rsidR="000E0B74" w:rsidRPr="00B85F47" w14:paraId="23A4B7C4"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03CF0F92" w14:textId="77777777" w:rsidR="000E0B74" w:rsidRPr="00B85F47" w:rsidRDefault="000E0B74" w:rsidP="0017089D">
            <w:pPr>
              <w:spacing w:before="96" w:after="96"/>
              <w:rPr>
                <w:sz w:val="22"/>
                <w:szCs w:val="22"/>
              </w:rPr>
            </w:pPr>
            <w:r w:rsidRPr="00B85F47">
              <w:rPr>
                <w:sz w:val="22"/>
                <w:szCs w:val="22"/>
              </w:rPr>
              <w:t>Email</w:t>
            </w:r>
          </w:p>
        </w:tc>
        <w:tc>
          <w:tcPr>
            <w:tcW w:w="7654" w:type="dxa"/>
            <w:shd w:val="clear" w:color="auto" w:fill="auto"/>
          </w:tcPr>
          <w:p w14:paraId="3994FC6D" w14:textId="76ED8313" w:rsidR="000E0B74" w:rsidRPr="00D601C3" w:rsidRDefault="00D601C3" w:rsidP="00516785">
            <w:pPr>
              <w:spacing w:before="96" w:after="96"/>
              <w:rPr>
                <w:sz w:val="22"/>
                <w:szCs w:val="22"/>
              </w:rPr>
            </w:pPr>
            <w:r w:rsidRPr="00D601C3">
              <w:rPr>
                <w:rFonts w:cs="Arial"/>
                <w:sz w:val="22"/>
                <w:szCs w:val="22"/>
              </w:rPr>
              <w:t>MNETaxIntegrity@</w:t>
            </w:r>
            <w:r>
              <w:rPr>
                <w:rFonts w:cs="Arial"/>
                <w:sz w:val="22"/>
                <w:szCs w:val="22"/>
              </w:rPr>
              <w:t>treasury.gov.au</w:t>
            </w:r>
          </w:p>
        </w:tc>
      </w:tr>
      <w:tr w:rsidR="000E0B74" w:rsidRPr="00B85F47" w14:paraId="5EB433C1" w14:textId="77777777" w:rsidTr="00B85F47">
        <w:tc>
          <w:tcPr>
            <w:tcW w:w="1526" w:type="dxa"/>
          </w:tcPr>
          <w:p w14:paraId="012AAFB3" w14:textId="77777777" w:rsidR="000E0B74" w:rsidRPr="00B85F47" w:rsidRDefault="000E0B74" w:rsidP="0017089D">
            <w:pPr>
              <w:rPr>
                <w:sz w:val="22"/>
                <w:szCs w:val="22"/>
              </w:rPr>
            </w:pPr>
            <w:r w:rsidRPr="00B85F47">
              <w:rPr>
                <w:sz w:val="22"/>
                <w:szCs w:val="22"/>
              </w:rPr>
              <w:t>Mail</w:t>
            </w:r>
          </w:p>
          <w:p w14:paraId="5DA3232B" w14:textId="77777777" w:rsidR="008D7F38" w:rsidRPr="00B85F47" w:rsidRDefault="008D7F38" w:rsidP="0017089D">
            <w:pPr>
              <w:rPr>
                <w:sz w:val="22"/>
                <w:szCs w:val="22"/>
              </w:rPr>
            </w:pPr>
          </w:p>
          <w:p w14:paraId="56890ADA" w14:textId="77777777" w:rsidR="008D7F38" w:rsidRPr="00B85F47" w:rsidRDefault="008D7F38" w:rsidP="0017089D">
            <w:pPr>
              <w:rPr>
                <w:sz w:val="22"/>
                <w:szCs w:val="22"/>
              </w:rPr>
            </w:pPr>
          </w:p>
        </w:tc>
        <w:tc>
          <w:tcPr>
            <w:tcW w:w="7654" w:type="dxa"/>
          </w:tcPr>
          <w:p w14:paraId="62723784" w14:textId="77419ECB" w:rsidR="000E0B74" w:rsidRPr="00B85F47" w:rsidRDefault="00643272" w:rsidP="0017089D">
            <w:pPr>
              <w:pStyle w:val="SingleParagraph"/>
              <w:rPr>
                <w:rFonts w:cs="Arial"/>
                <w:sz w:val="22"/>
                <w:szCs w:val="22"/>
              </w:rPr>
            </w:pPr>
            <w:r>
              <w:rPr>
                <w:rFonts w:cs="Arial"/>
                <w:sz w:val="22"/>
                <w:szCs w:val="22"/>
              </w:rPr>
              <w:t>Assistant Secretary</w:t>
            </w:r>
          </w:p>
          <w:p w14:paraId="18018995" w14:textId="4319D5DA" w:rsidR="00520BDA" w:rsidRPr="00B85F47" w:rsidRDefault="00520BDA" w:rsidP="0017089D">
            <w:pPr>
              <w:pStyle w:val="SingleParagraph"/>
              <w:rPr>
                <w:rFonts w:cs="Arial"/>
                <w:sz w:val="22"/>
                <w:szCs w:val="22"/>
              </w:rPr>
            </w:pPr>
            <w:r w:rsidRPr="00520BDA">
              <w:rPr>
                <w:rFonts w:cs="Arial"/>
                <w:sz w:val="22"/>
                <w:szCs w:val="22"/>
              </w:rPr>
              <w:t>Corporate and International Tax Division</w:t>
            </w:r>
          </w:p>
          <w:p w14:paraId="7980D7E2"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5EE6F362"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5D13E139"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41BB649B" w14:textId="77777777" w:rsidTr="00B85F47">
        <w:tc>
          <w:tcPr>
            <w:tcW w:w="1526" w:type="dxa"/>
          </w:tcPr>
          <w:p w14:paraId="42324A1B" w14:textId="77777777" w:rsidR="000E0B74" w:rsidRPr="00B85F47" w:rsidRDefault="000E0B74" w:rsidP="0017089D">
            <w:pPr>
              <w:rPr>
                <w:sz w:val="22"/>
                <w:szCs w:val="22"/>
              </w:rPr>
            </w:pPr>
            <w:r w:rsidRPr="00B85F47">
              <w:rPr>
                <w:sz w:val="22"/>
                <w:szCs w:val="22"/>
              </w:rPr>
              <w:t>Enquiries</w:t>
            </w:r>
          </w:p>
        </w:tc>
        <w:tc>
          <w:tcPr>
            <w:tcW w:w="7654" w:type="dxa"/>
          </w:tcPr>
          <w:p w14:paraId="1E51C33B" w14:textId="7F1FAA6F" w:rsidR="000E0B74" w:rsidRPr="00B85F47" w:rsidRDefault="000E0B74" w:rsidP="0017089D">
            <w:pPr>
              <w:rPr>
                <w:sz w:val="22"/>
                <w:szCs w:val="22"/>
              </w:rPr>
            </w:pPr>
            <w:r w:rsidRPr="00B85F47">
              <w:rPr>
                <w:rFonts w:cs="Arial"/>
                <w:sz w:val="22"/>
                <w:szCs w:val="22"/>
              </w:rPr>
              <w:t>Enquiries can be initially directed to</w:t>
            </w:r>
            <w:r w:rsidR="00520BDA">
              <w:rPr>
                <w:rFonts w:cs="Arial"/>
                <w:sz w:val="22"/>
                <w:szCs w:val="22"/>
              </w:rPr>
              <w:t xml:space="preserve"> David Hawkins (interest limitation rules</w:t>
            </w:r>
            <w:r w:rsidR="00120D5B">
              <w:rPr>
                <w:rFonts w:cs="Arial"/>
                <w:sz w:val="22"/>
                <w:szCs w:val="22"/>
              </w:rPr>
              <w:t>, tax transparency commitments</w:t>
            </w:r>
            <w:r w:rsidR="00520BDA">
              <w:rPr>
                <w:rFonts w:cs="Arial"/>
                <w:sz w:val="22"/>
                <w:szCs w:val="22"/>
              </w:rPr>
              <w:t xml:space="preserve">) and </w:t>
            </w:r>
            <w:proofErr w:type="spellStart"/>
            <w:r w:rsidR="00520BDA">
              <w:rPr>
                <w:rFonts w:cs="Arial"/>
                <w:sz w:val="22"/>
                <w:szCs w:val="22"/>
              </w:rPr>
              <w:t>Ronita</w:t>
            </w:r>
            <w:proofErr w:type="spellEnd"/>
            <w:r w:rsidR="00520BDA">
              <w:rPr>
                <w:rFonts w:cs="Arial"/>
                <w:sz w:val="22"/>
                <w:szCs w:val="22"/>
              </w:rPr>
              <w:t xml:space="preserve"> Ram (denying deductions for payments relating to intangible</w:t>
            </w:r>
            <w:r w:rsidR="00E85764">
              <w:rPr>
                <w:rFonts w:cs="Arial"/>
                <w:sz w:val="22"/>
                <w:szCs w:val="22"/>
              </w:rPr>
              <w:t>s and royalties</w:t>
            </w:r>
            <w:r w:rsidR="00520BDA">
              <w:rPr>
                <w:rFonts w:cs="Arial"/>
                <w:sz w:val="22"/>
                <w:szCs w:val="22"/>
              </w:rPr>
              <w:t>).</w:t>
            </w:r>
          </w:p>
        </w:tc>
      </w:tr>
      <w:tr w:rsidR="000E0B74" w:rsidRPr="00B85F47" w14:paraId="191A7474" w14:textId="77777777" w:rsidTr="00B85F47">
        <w:tc>
          <w:tcPr>
            <w:tcW w:w="1526" w:type="dxa"/>
          </w:tcPr>
          <w:p w14:paraId="4D0F74A9" w14:textId="77777777" w:rsidR="000E0B74" w:rsidRPr="00B85F47" w:rsidRDefault="000E0B74" w:rsidP="0017089D">
            <w:pPr>
              <w:rPr>
                <w:sz w:val="22"/>
                <w:szCs w:val="22"/>
              </w:rPr>
            </w:pPr>
            <w:r w:rsidRPr="00B85F47">
              <w:rPr>
                <w:sz w:val="22"/>
                <w:szCs w:val="22"/>
              </w:rPr>
              <w:t>Phone</w:t>
            </w:r>
          </w:p>
        </w:tc>
        <w:tc>
          <w:tcPr>
            <w:tcW w:w="7654" w:type="dxa"/>
          </w:tcPr>
          <w:p w14:paraId="47D936DF" w14:textId="7734D228" w:rsidR="000E0B74" w:rsidRPr="00520BDA" w:rsidRDefault="00520BDA" w:rsidP="0017089D">
            <w:pPr>
              <w:rPr>
                <w:rFonts w:cs="Arial"/>
                <w:sz w:val="22"/>
                <w:szCs w:val="22"/>
              </w:rPr>
            </w:pPr>
            <w:r>
              <w:rPr>
                <w:rFonts w:cs="Arial"/>
                <w:sz w:val="22"/>
                <w:szCs w:val="22"/>
              </w:rPr>
              <w:t xml:space="preserve">David Hawkins </w:t>
            </w:r>
            <w:r w:rsidR="000E0B74" w:rsidRPr="00B85F47">
              <w:rPr>
                <w:rFonts w:cs="Arial"/>
                <w:sz w:val="22"/>
                <w:szCs w:val="22"/>
              </w:rPr>
              <w:t xml:space="preserve">02 </w:t>
            </w:r>
            <w:r w:rsidR="000E0B74" w:rsidRPr="00520BDA">
              <w:rPr>
                <w:rFonts w:cs="Arial"/>
                <w:sz w:val="22"/>
                <w:szCs w:val="22"/>
              </w:rPr>
              <w:t>6263</w:t>
            </w:r>
            <w:r w:rsidR="000E0B74" w:rsidRPr="00B85F47">
              <w:rPr>
                <w:rFonts w:cs="Arial"/>
                <w:sz w:val="22"/>
                <w:szCs w:val="22"/>
              </w:rPr>
              <w:t xml:space="preserve"> </w:t>
            </w:r>
            <w:r w:rsidRPr="00520BDA">
              <w:rPr>
                <w:rFonts w:cs="Arial"/>
                <w:sz w:val="22"/>
                <w:szCs w:val="22"/>
              </w:rPr>
              <w:t>1552</w:t>
            </w:r>
            <w:r>
              <w:rPr>
                <w:rFonts w:cs="Arial"/>
                <w:sz w:val="22"/>
                <w:szCs w:val="22"/>
              </w:rPr>
              <w:t xml:space="preserve"> (interest limitation rule</w:t>
            </w:r>
            <w:r w:rsidR="00A71713">
              <w:rPr>
                <w:rFonts w:cs="Arial"/>
                <w:sz w:val="22"/>
                <w:szCs w:val="22"/>
              </w:rPr>
              <w:t>s</w:t>
            </w:r>
            <w:r w:rsidR="0059223F">
              <w:rPr>
                <w:rFonts w:cs="Arial"/>
                <w:sz w:val="22"/>
                <w:szCs w:val="22"/>
              </w:rPr>
              <w:t xml:space="preserve">, tax </w:t>
            </w:r>
            <w:r w:rsidR="00120D5B">
              <w:rPr>
                <w:rFonts w:cs="Arial"/>
                <w:sz w:val="22"/>
                <w:szCs w:val="22"/>
              </w:rPr>
              <w:t>transparency commitments</w:t>
            </w:r>
            <w:r>
              <w:rPr>
                <w:rFonts w:cs="Arial"/>
                <w:sz w:val="22"/>
                <w:szCs w:val="22"/>
              </w:rPr>
              <w:t>)</w:t>
            </w:r>
          </w:p>
          <w:p w14:paraId="64FB55E1" w14:textId="75C375C0" w:rsidR="000E0B74" w:rsidRPr="00B85F47" w:rsidRDefault="00520BDA" w:rsidP="0017089D">
            <w:pPr>
              <w:rPr>
                <w:sz w:val="22"/>
                <w:szCs w:val="22"/>
              </w:rPr>
            </w:pPr>
            <w:proofErr w:type="spellStart"/>
            <w:r w:rsidRPr="00520BDA">
              <w:rPr>
                <w:rFonts w:cs="Arial"/>
                <w:sz w:val="22"/>
                <w:szCs w:val="22"/>
              </w:rPr>
              <w:t>Ronita</w:t>
            </w:r>
            <w:proofErr w:type="spellEnd"/>
            <w:r w:rsidRPr="00520BDA">
              <w:rPr>
                <w:rFonts w:cs="Arial"/>
                <w:sz w:val="22"/>
                <w:szCs w:val="22"/>
              </w:rPr>
              <w:t xml:space="preserve"> Ram 02 6263 3168</w:t>
            </w:r>
            <w:r>
              <w:rPr>
                <w:rFonts w:cs="Arial"/>
                <w:sz w:val="22"/>
                <w:szCs w:val="22"/>
              </w:rPr>
              <w:t xml:space="preserve"> (denying deductions for payments relating to </w:t>
            </w:r>
            <w:r w:rsidR="00E85764">
              <w:rPr>
                <w:rFonts w:cs="Arial"/>
                <w:sz w:val="22"/>
                <w:szCs w:val="22"/>
              </w:rPr>
              <w:t>intangibles and royalties</w:t>
            </w:r>
            <w:r>
              <w:rPr>
                <w:rFonts w:cs="Arial"/>
                <w:sz w:val="22"/>
                <w:szCs w:val="22"/>
              </w:rPr>
              <w:t>)</w:t>
            </w:r>
          </w:p>
        </w:tc>
      </w:tr>
    </w:tbl>
    <w:bookmarkEnd w:id="2"/>
    <w:p w14:paraId="377C1E58" w14:textId="77777777" w:rsidR="00A16E03" w:rsidRDefault="00A16E03" w:rsidP="00A16E03">
      <w:r w:rsidRPr="00C66637">
        <w:t xml:space="preserve">The principles outlined in this paper have not received Government approval and are not yet law. </w:t>
      </w:r>
      <w:proofErr w:type="gramStart"/>
      <w:r w:rsidRPr="00C66637">
        <w:t>As a consequence</w:t>
      </w:r>
      <w:proofErr w:type="gramEnd"/>
      <w:r w:rsidRPr="00C66637">
        <w:t>, this paper is merely a guide as to how the principles might operate</w:t>
      </w:r>
      <w:r>
        <w:t>.</w:t>
      </w:r>
    </w:p>
    <w:p w14:paraId="2FA4ED90" w14:textId="77777777" w:rsidR="008D7F38" w:rsidRPr="008D7F38" w:rsidRDefault="008D7F38" w:rsidP="008D7F38"/>
    <w:p w14:paraId="653A6DC0" w14:textId="77777777" w:rsidR="00E10D39" w:rsidRDefault="00E10D39">
      <w:pPr>
        <w:spacing w:before="0" w:after="160" w:line="259" w:lineRule="auto"/>
        <w:rPr>
          <w:rFonts w:cs="Arial"/>
          <w:color w:val="004A7F"/>
          <w:kern w:val="32"/>
          <w:sz w:val="48"/>
          <w:szCs w:val="36"/>
        </w:rPr>
      </w:pPr>
      <w:r>
        <w:br w:type="page"/>
      </w:r>
    </w:p>
    <w:p w14:paraId="0D9140AF" w14:textId="5E541BCD" w:rsidR="000E0B74" w:rsidRDefault="00120D5B" w:rsidP="00354FBB">
      <w:pPr>
        <w:pStyle w:val="Heading1"/>
      </w:pPr>
      <w:bookmarkStart w:id="4" w:name="_Toc110583129"/>
      <w:r>
        <w:lastRenderedPageBreak/>
        <w:t xml:space="preserve">Strengthening Australia’s multinational tax avoidance and </w:t>
      </w:r>
      <w:r w:rsidR="0059223F">
        <w:t xml:space="preserve">tax transparency </w:t>
      </w:r>
      <w:r w:rsidR="006E5524">
        <w:t>rules</w:t>
      </w:r>
      <w:bookmarkEnd w:id="4"/>
      <w:r w:rsidR="0059223F">
        <w:t xml:space="preserve"> </w:t>
      </w:r>
    </w:p>
    <w:p w14:paraId="186B3C90" w14:textId="1D2D2A5C" w:rsidR="000E0B74" w:rsidRDefault="000E0B74" w:rsidP="008043EA">
      <w:pPr>
        <w:pStyle w:val="Heading2"/>
      </w:pPr>
      <w:bookmarkStart w:id="5" w:name="_Toc306887371"/>
      <w:bookmarkStart w:id="6" w:name="_Toc432064635"/>
      <w:bookmarkStart w:id="7" w:name="_Toc110583130"/>
      <w:r>
        <w:t>Introduction</w:t>
      </w:r>
      <w:bookmarkEnd w:id="5"/>
      <w:bookmarkEnd w:id="6"/>
      <w:bookmarkEnd w:id="7"/>
    </w:p>
    <w:p w14:paraId="36DD626B" w14:textId="7CBFE63F" w:rsidR="00120D5B" w:rsidRDefault="00120D5B" w:rsidP="00120D5B">
      <w:r>
        <w:t xml:space="preserve">The Government, as part of its election commitment platform, announced a </w:t>
      </w:r>
      <w:r w:rsidRPr="00CA51B9">
        <w:t xml:space="preserve">multinational tax integrity package </w:t>
      </w:r>
      <w:r>
        <w:t>to address</w:t>
      </w:r>
      <w:r w:rsidRPr="00CA51B9">
        <w:t xml:space="preserve"> </w:t>
      </w:r>
      <w:r>
        <w:t xml:space="preserve">the tax avoidance practices of </w:t>
      </w:r>
      <w:r w:rsidRPr="00CA51B9">
        <w:t xml:space="preserve">multinational </w:t>
      </w:r>
      <w:r>
        <w:t>enterprise</w:t>
      </w:r>
      <w:r w:rsidRPr="00CA51B9">
        <w:t xml:space="preserve">s </w:t>
      </w:r>
      <w:r>
        <w:t xml:space="preserve">(MNEs) </w:t>
      </w:r>
      <w:r w:rsidRPr="00CA51B9">
        <w:t>and</w:t>
      </w:r>
      <w:r>
        <w:t xml:space="preserve"> </w:t>
      </w:r>
      <w:r w:rsidRPr="00CA51B9">
        <w:t>improve transparenc</w:t>
      </w:r>
      <w:r>
        <w:t xml:space="preserve">y through better public reporting of MNEs’ tax information. These changes form part of the Government’s commitment to ensuring that MNEs pay their fair share of tax in Australia to help fund vital services, repair the </w:t>
      </w:r>
      <w:proofErr w:type="gramStart"/>
      <w:r>
        <w:t>Budget</w:t>
      </w:r>
      <w:proofErr w:type="gramEnd"/>
      <w:r>
        <w:t xml:space="preserve"> and level the playing field for Australian businesses.  </w:t>
      </w:r>
    </w:p>
    <w:p w14:paraId="16F47CAF" w14:textId="6B196DCA" w:rsidR="00120D5B" w:rsidRDefault="00120D5B" w:rsidP="00120D5B">
      <w:r>
        <w:t>Tax integrity issues arise due to MNEs adopting increasingly sophisticated tax planning practices. MNEs can take advantage of the differences between jurisdictions’ tax systems to minimise their tax paid, typically by moving the incidence of taxation from a high taxation jurisdiction to a low taxation jurisdiction, or by avoiding a taxable presence in high taxation jurisdictions altogether.</w:t>
      </w:r>
    </w:p>
    <w:p w14:paraId="3C600FAE" w14:textId="674D6E21" w:rsidR="00120D5B" w:rsidRDefault="00555663" w:rsidP="00120D5B">
      <w:r>
        <w:t xml:space="preserve">Transparency is a key factor underpinning the integrity of the tax system. It can help to deter MNEs from entering arrangements to minimise their tax </w:t>
      </w:r>
      <w:proofErr w:type="gramStart"/>
      <w:r>
        <w:t>paid</w:t>
      </w:r>
      <w:r w:rsidR="002A7E65">
        <w:t>,</w:t>
      </w:r>
      <w:r>
        <w:t xml:space="preserve"> and</w:t>
      </w:r>
      <w:proofErr w:type="gramEnd"/>
      <w:r>
        <w:t xml:space="preserve"> helps to build community confidence that MNEs are paying their fair share of tax in Australia.</w:t>
      </w:r>
      <w:r w:rsidR="00120D5B">
        <w:t xml:space="preserve"> </w:t>
      </w:r>
    </w:p>
    <w:p w14:paraId="546C955B" w14:textId="0AECBF61" w:rsidR="00FD7A8C" w:rsidRDefault="000D613D" w:rsidP="00D01F77">
      <w:r>
        <w:t xml:space="preserve">This paper </w:t>
      </w:r>
      <w:r w:rsidR="00C54484">
        <w:t>seeks to consult on the implementation of proposals</w:t>
      </w:r>
      <w:r>
        <w:t xml:space="preserve"> to</w:t>
      </w:r>
      <w:r w:rsidR="00FD7A8C">
        <w:t>:</w:t>
      </w:r>
    </w:p>
    <w:p w14:paraId="614C13E7" w14:textId="0C3EF16B" w:rsidR="00FD7A8C" w:rsidRDefault="000D613D" w:rsidP="00FD7A8C">
      <w:pPr>
        <w:pStyle w:val="Bullet"/>
      </w:pPr>
      <w:r>
        <w:t xml:space="preserve">amend Australia’s existing thin capitalisation rules to limit interest deductions for </w:t>
      </w:r>
      <w:r w:rsidR="00120D5B">
        <w:t xml:space="preserve">MNEs </w:t>
      </w:r>
      <w:r>
        <w:t>in line with the O</w:t>
      </w:r>
      <w:r w:rsidR="00120D5B">
        <w:t>rganisation for Economic Cooperation and Development (OECD)</w:t>
      </w:r>
      <w:r>
        <w:t xml:space="preserve">’s recommended approach under </w:t>
      </w:r>
      <w:r w:rsidR="00A27F8F">
        <w:t xml:space="preserve">Action 4 of </w:t>
      </w:r>
      <w:r>
        <w:t xml:space="preserve">the Base Erosion and Profit Shifting (BEPS) </w:t>
      </w:r>
      <w:r w:rsidR="00A27F8F">
        <w:t>program</w:t>
      </w:r>
      <w:r>
        <w:t xml:space="preserve"> (Part 1</w:t>
      </w:r>
      <w:proofErr w:type="gramStart"/>
      <w:r>
        <w:t>)</w:t>
      </w:r>
      <w:r w:rsidR="00F15D5E">
        <w:t>;</w:t>
      </w:r>
      <w:proofErr w:type="gramEnd"/>
      <w:r>
        <w:t xml:space="preserve"> </w:t>
      </w:r>
    </w:p>
    <w:p w14:paraId="0B6E0016" w14:textId="47D4CC98" w:rsidR="000D613D" w:rsidRDefault="000D613D" w:rsidP="002E14F3">
      <w:pPr>
        <w:pStyle w:val="Bullet"/>
      </w:pPr>
      <w:r>
        <w:t>introduce a new rule limiting MNEs</w:t>
      </w:r>
      <w:r w:rsidR="00A84A3F">
        <w:t>’</w:t>
      </w:r>
      <w:r>
        <w:t xml:space="preserve"> ability to claim tax deductions for payments </w:t>
      </w:r>
      <w:r w:rsidR="00E60F40">
        <w:t>relating to intangibles and royalties</w:t>
      </w:r>
      <w:r w:rsidR="00164DC2">
        <w:t xml:space="preserve"> that lead to insufficient tax paid</w:t>
      </w:r>
      <w:r>
        <w:t xml:space="preserve"> (Part 2)</w:t>
      </w:r>
      <w:r w:rsidR="00F15D5E">
        <w:t xml:space="preserve">; and </w:t>
      </w:r>
    </w:p>
    <w:p w14:paraId="76A2E05C" w14:textId="02614FEF" w:rsidR="00F15D5E" w:rsidRDefault="00555663" w:rsidP="000238B1">
      <w:pPr>
        <w:pStyle w:val="Bullet"/>
      </w:pPr>
      <w:r>
        <w:t xml:space="preserve">ensure enhanced tax transparency by MNEs (Part 3), </w:t>
      </w:r>
      <w:r w:rsidR="001C2292">
        <w:t>through measures such as</w:t>
      </w:r>
      <w:r>
        <w:t xml:space="preserve"> public reporting of certain tax information on a country-by-country basis</w:t>
      </w:r>
      <w:r w:rsidR="001C2292">
        <w:t>;</w:t>
      </w:r>
      <w:r>
        <w:t xml:space="preserve"> mandatory reporting of material tax risk</w:t>
      </w:r>
      <w:r w:rsidR="001C2292">
        <w:t>s</w:t>
      </w:r>
      <w:r>
        <w:t xml:space="preserve"> to shareholders; and requiring tenderers for Australian government contracts to disclose their country of tax domicile</w:t>
      </w:r>
      <w:r w:rsidR="00F15D5E">
        <w:t>.</w:t>
      </w:r>
    </w:p>
    <w:p w14:paraId="3927F393" w14:textId="04A2077A" w:rsidR="003C6A8C" w:rsidRDefault="00771102" w:rsidP="00D01F77">
      <w:r>
        <w:t xml:space="preserve">The changes </w:t>
      </w:r>
      <w:r w:rsidR="00DE526B">
        <w:t>contemplated in this paper</w:t>
      </w:r>
      <w:r>
        <w:t xml:space="preserve"> </w:t>
      </w:r>
      <w:r w:rsidR="003C6A8C">
        <w:t xml:space="preserve">seek to target activities deliberately designed to minimise tax, while </w:t>
      </w:r>
      <w:r w:rsidR="009E5599">
        <w:t>also considering</w:t>
      </w:r>
      <w:r w:rsidR="003C6A8C">
        <w:t xml:space="preserve"> the need to attract and retain foreign capital and investment in Australia</w:t>
      </w:r>
      <w:r w:rsidR="00321E33">
        <w:t>,</w:t>
      </w:r>
      <w:r w:rsidR="003C6A8C">
        <w:t xml:space="preserve"> </w:t>
      </w:r>
      <w:r w:rsidR="009E5599">
        <w:t xml:space="preserve">limit potential </w:t>
      </w:r>
      <w:r w:rsidR="00DA412E" w:rsidRPr="008337B7">
        <w:t xml:space="preserve">additional </w:t>
      </w:r>
      <w:r w:rsidR="003C6A8C" w:rsidRPr="008337B7">
        <w:t>compliance cost considerations for business</w:t>
      </w:r>
      <w:r w:rsidR="00321E33" w:rsidRPr="008337B7">
        <w:t>,</w:t>
      </w:r>
      <w:r w:rsidR="00321E33">
        <w:t xml:space="preserve"> and </w:t>
      </w:r>
      <w:r w:rsidR="009E5599">
        <w:t>continue</w:t>
      </w:r>
      <w:r w:rsidR="00321E33">
        <w:t xml:space="preserve"> to support genuine commercial activity</w:t>
      </w:r>
      <w:r w:rsidR="003C6A8C">
        <w:t>.</w:t>
      </w:r>
    </w:p>
    <w:p w14:paraId="626A87FC" w14:textId="75BBB379" w:rsidR="00790458" w:rsidRDefault="003C6A8C" w:rsidP="00D01F77">
      <w:r>
        <w:t xml:space="preserve">This consultation paper </w:t>
      </w:r>
      <w:r w:rsidR="00771102">
        <w:t>complement</w:t>
      </w:r>
      <w:r>
        <w:t>s</w:t>
      </w:r>
      <w:r w:rsidR="00771102">
        <w:t xml:space="preserve"> </w:t>
      </w:r>
      <w:r>
        <w:t xml:space="preserve">the Government’s </w:t>
      </w:r>
      <w:r w:rsidR="00771102">
        <w:t xml:space="preserve">other </w:t>
      </w:r>
      <w:r>
        <w:t>MNE</w:t>
      </w:r>
      <w:r w:rsidR="00771102">
        <w:t xml:space="preserve"> tax initiatives</w:t>
      </w:r>
      <w:r w:rsidR="009E5599">
        <w:t>, including</w:t>
      </w:r>
      <w:r w:rsidR="00DD0E95">
        <w:t xml:space="preserve"> </w:t>
      </w:r>
      <w:r w:rsidR="00771102">
        <w:t>Australia’s ongoing participation in negotiations on the OECD ‘</w:t>
      </w:r>
      <w:r w:rsidR="009608C4">
        <w:t>t</w:t>
      </w:r>
      <w:r w:rsidR="00771102">
        <w:t>wo</w:t>
      </w:r>
      <w:r w:rsidR="009608C4">
        <w:t>-p</w:t>
      </w:r>
      <w:r w:rsidR="00771102">
        <w:t>illar’ solution</w:t>
      </w:r>
      <w:r w:rsidR="00362FA9">
        <w:t xml:space="preserve"> to address the tax challenges of the digitalisation of the economy</w:t>
      </w:r>
      <w:r w:rsidR="00771102">
        <w:t>, which includes a 15</w:t>
      </w:r>
      <w:r w:rsidR="00982D7C">
        <w:t> </w:t>
      </w:r>
      <w:r w:rsidR="00771102">
        <w:t xml:space="preserve">per cent global minimum </w:t>
      </w:r>
      <w:r w:rsidR="00362FA9">
        <w:t xml:space="preserve">effective </w:t>
      </w:r>
      <w:r w:rsidR="00771102">
        <w:t xml:space="preserve">tax rate on the profits of large </w:t>
      </w:r>
      <w:r w:rsidR="0022159B">
        <w:t>MNEs</w:t>
      </w:r>
      <w:r w:rsidR="00771102">
        <w:t xml:space="preserve">. </w:t>
      </w:r>
    </w:p>
    <w:p w14:paraId="541E40C1" w14:textId="62AD895D" w:rsidR="00C85E9C" w:rsidRDefault="00C85E9C" w:rsidP="00D01F77">
      <w:r>
        <w:t>The Government also announced that it will implement a public registry of beneficial ownership to improve</w:t>
      </w:r>
      <w:r w:rsidRPr="002D1635">
        <w:t xml:space="preserve"> transparency o</w:t>
      </w:r>
      <w:r>
        <w:t xml:space="preserve">n corporate structures, to show who ultimately owns (or controls) </w:t>
      </w:r>
      <w:r w:rsidR="00415F77">
        <w:t xml:space="preserve">a </w:t>
      </w:r>
      <w:r>
        <w:t xml:space="preserve">company or legal vehicle. Further details on the beneficial ownership register will be announced in due course. </w:t>
      </w:r>
    </w:p>
    <w:p w14:paraId="5C8A0AD5" w14:textId="2E297B76" w:rsidR="00354FC9" w:rsidRDefault="00A6510A" w:rsidP="00E10D39">
      <w:r>
        <w:t xml:space="preserve">Following consideration of responses to this discussion paper, the Government will issue and consult further on exposure draft legislation prior to introducing any legislation into Parliament. </w:t>
      </w:r>
    </w:p>
    <w:p w14:paraId="24304FD3" w14:textId="65EAC9DF" w:rsidR="008361B4" w:rsidRDefault="008361B4" w:rsidP="008361B4"/>
    <w:p w14:paraId="66DBEFC4" w14:textId="443284C9" w:rsidR="00C6326A" w:rsidRDefault="00C6326A" w:rsidP="00C6326A">
      <w:pPr>
        <w:pStyle w:val="Heading1"/>
      </w:pPr>
      <w:r>
        <w:br w:type="column"/>
      </w:r>
      <w:bookmarkStart w:id="8" w:name="_Toc110583131"/>
      <w:r w:rsidR="00DE526B">
        <w:lastRenderedPageBreak/>
        <w:t xml:space="preserve">Part 1: </w:t>
      </w:r>
      <w:r w:rsidR="000F408D">
        <w:t>MNE interest limitation rules</w:t>
      </w:r>
      <w:bookmarkEnd w:id="8"/>
      <w:r>
        <w:t xml:space="preserve"> </w:t>
      </w:r>
    </w:p>
    <w:p w14:paraId="3AB44B21" w14:textId="2C4D80F7" w:rsidR="00C6326A" w:rsidRDefault="00C6326A" w:rsidP="00C6326A">
      <w:pPr>
        <w:pStyle w:val="Heading2"/>
      </w:pPr>
      <w:bookmarkStart w:id="9" w:name="_Toc110583132"/>
      <w:r>
        <w:t>Introduction</w:t>
      </w:r>
      <w:r w:rsidR="00D74386">
        <w:t xml:space="preserve"> and existing framework</w:t>
      </w:r>
      <w:bookmarkEnd w:id="9"/>
      <w:r w:rsidR="00D74386">
        <w:t xml:space="preserve"> </w:t>
      </w:r>
    </w:p>
    <w:p w14:paraId="5D534E66" w14:textId="303324FA" w:rsidR="00114B12" w:rsidRDefault="007C1B5C" w:rsidP="00DE526B">
      <w:r>
        <w:t xml:space="preserve">The thin capitalisation regime is </w:t>
      </w:r>
      <w:r w:rsidR="000F408D">
        <w:t xml:space="preserve">Australia’s current approach to </w:t>
      </w:r>
      <w:r w:rsidR="0068125A">
        <w:t>limiting debt deductions</w:t>
      </w:r>
      <w:r>
        <w:t xml:space="preserve">. </w:t>
      </w:r>
      <w:r w:rsidR="000F408D">
        <w:t xml:space="preserve">These </w:t>
      </w:r>
      <w:r w:rsidR="00DE526B">
        <w:t xml:space="preserve">rules are designed to </w:t>
      </w:r>
      <w:r w:rsidR="006547C0">
        <w:t>limit the debt deductions that an entity can claim for tax purposes based on the amount of debt used to finance its operations compared to its level of equity</w:t>
      </w:r>
      <w:r w:rsidR="00DE526B">
        <w:t xml:space="preserve">. </w:t>
      </w:r>
      <w:r w:rsidR="00A5683F">
        <w:t xml:space="preserve">While the optimal capital structure is dependent </w:t>
      </w:r>
      <w:r w:rsidR="003A1A04">
        <w:t>on an entity’s circumstances</w:t>
      </w:r>
      <w:r w:rsidR="00A5683F">
        <w:t xml:space="preserve"> (reflecting</w:t>
      </w:r>
      <w:r w:rsidR="001A703B">
        <w:t>, among other factors, risk</w:t>
      </w:r>
      <w:r w:rsidR="00A5683F">
        <w:t xml:space="preserve"> profile and revenue streams), generally</w:t>
      </w:r>
      <w:r w:rsidR="003A1A04">
        <w:t>, debt financing represent</w:t>
      </w:r>
      <w:r w:rsidR="001A703B">
        <w:t>s</w:t>
      </w:r>
      <w:r w:rsidR="003A1A04">
        <w:t xml:space="preserve"> a more tax-efficient method of financing, as an entity can claim tax deductions for interest paid on debt and therefore reduce its taxable profits</w:t>
      </w:r>
      <w:r w:rsidR="00F80575">
        <w:t>, relative to equity finance</w:t>
      </w:r>
      <w:r w:rsidR="003A1A04">
        <w:t xml:space="preserve">. </w:t>
      </w:r>
    </w:p>
    <w:p w14:paraId="117B6109" w14:textId="5EC0C312" w:rsidR="00DE526B" w:rsidRPr="000F408D" w:rsidRDefault="002961E0" w:rsidP="00DE526B">
      <w:pPr>
        <w:rPr>
          <w:i/>
          <w:iCs/>
        </w:rPr>
      </w:pPr>
      <w:r w:rsidRPr="002961E0">
        <w:t>T</w:t>
      </w:r>
      <w:r w:rsidDel="00CB3BFC">
        <w:t>h</w:t>
      </w:r>
      <w:r>
        <w:t>e</w:t>
      </w:r>
      <w:r w:rsidR="000F408D">
        <w:t xml:space="preserve"> OECD notes that</w:t>
      </w:r>
      <w:r w:rsidR="000F408D" w:rsidRPr="000F408D">
        <w:t xml:space="preserve"> “</w:t>
      </w:r>
      <w:r w:rsidR="000F408D">
        <w:t>…t</w:t>
      </w:r>
      <w:r w:rsidR="000F408D" w:rsidRPr="000F408D">
        <w:t xml:space="preserve">he use of third party and related party interest is perhaps one of the </w:t>
      </w:r>
      <w:proofErr w:type="gramStart"/>
      <w:r w:rsidR="000F408D" w:rsidRPr="000F408D">
        <w:t>most simple</w:t>
      </w:r>
      <w:proofErr w:type="gramEnd"/>
      <w:r w:rsidR="000F408D" w:rsidRPr="000F408D">
        <w:t xml:space="preserve"> of the profit-shifting techniques available in international tax planning. The fluidity and fungibility of money </w:t>
      </w:r>
      <w:proofErr w:type="gramStart"/>
      <w:r w:rsidR="000F408D" w:rsidRPr="000F408D">
        <w:t>makes</w:t>
      </w:r>
      <w:proofErr w:type="gramEnd"/>
      <w:r w:rsidR="000F408D" w:rsidRPr="000F408D">
        <w:t xml:space="preserve"> it a relatively simple exercise to adjust the mix of debt and equity in a controlled entity</w:t>
      </w:r>
      <w:r w:rsidR="000F408D">
        <w:t>”</w:t>
      </w:r>
      <w:r w:rsidR="00851880" w:rsidRPr="000F408D">
        <w:t>.</w:t>
      </w:r>
      <w:r w:rsidR="009E5599" w:rsidRPr="000B5893">
        <w:rPr>
          <w:rStyle w:val="FootnoteReference"/>
          <w:vertAlign w:val="superscript"/>
        </w:rPr>
        <w:footnoteReference w:id="2"/>
      </w:r>
      <w:r w:rsidR="00851880" w:rsidRPr="000F408D">
        <w:rPr>
          <w:i/>
          <w:iCs/>
        </w:rPr>
        <w:t xml:space="preserve"> </w:t>
      </w:r>
      <w:r w:rsidR="003A1A04" w:rsidRPr="000F408D">
        <w:rPr>
          <w:i/>
          <w:iCs/>
        </w:rPr>
        <w:t xml:space="preserve"> </w:t>
      </w:r>
    </w:p>
    <w:p w14:paraId="663F047F" w14:textId="77777777" w:rsidR="000F408D" w:rsidRDefault="00051F61" w:rsidP="00DE526B">
      <w:r>
        <w:t>Generally, t</w:t>
      </w:r>
      <w:r w:rsidR="00C573D3">
        <w:t xml:space="preserve">here are two </w:t>
      </w:r>
      <w:r>
        <w:t>approaches</w:t>
      </w:r>
      <w:r w:rsidR="00C573D3">
        <w:t xml:space="preserve"> to limit</w:t>
      </w:r>
      <w:r>
        <w:t>ing</w:t>
      </w:r>
      <w:r w:rsidR="00C573D3">
        <w:t xml:space="preserve"> </w:t>
      </w:r>
      <w:r>
        <w:t>MNE</w:t>
      </w:r>
      <w:r w:rsidR="00C573D3">
        <w:t xml:space="preserve"> interest deductions</w:t>
      </w:r>
      <w:r w:rsidR="002B7AAC">
        <w:t xml:space="preserve"> for tax purposes</w:t>
      </w:r>
      <w:r>
        <w:t>:</w:t>
      </w:r>
      <w:r w:rsidR="00C573D3">
        <w:t xml:space="preserve"> either directly</w:t>
      </w:r>
      <w:r>
        <w:t>,</w:t>
      </w:r>
      <w:r w:rsidR="00C573D3">
        <w:t xml:space="preserve"> by limiting the amount of interest expenses an entity can claim</w:t>
      </w:r>
      <w:r>
        <w:t>,</w:t>
      </w:r>
      <w:r w:rsidR="00C573D3">
        <w:t xml:space="preserve"> or indirectly</w:t>
      </w:r>
      <w:r w:rsidR="00D348C2">
        <w:t>,</w:t>
      </w:r>
      <w:r w:rsidR="00C573D3">
        <w:t xml:space="preserve"> by limiting the amount of debt an entity can use to generate allowable interest deductions. </w:t>
      </w:r>
    </w:p>
    <w:p w14:paraId="189FB203" w14:textId="2C6091A6" w:rsidR="00C573D3" w:rsidRDefault="00051F61" w:rsidP="00DE526B">
      <w:r>
        <w:t>Australia’s</w:t>
      </w:r>
      <w:r w:rsidR="00C573D3">
        <w:t xml:space="preserve"> thin capitalisation regime </w:t>
      </w:r>
      <w:r w:rsidR="00B52B5A">
        <w:t>currently utilises</w:t>
      </w:r>
      <w:r>
        <w:t xml:space="preserve"> the indirect approach, </w:t>
      </w:r>
      <w:r w:rsidDel="00173846">
        <w:t>by</w:t>
      </w:r>
      <w:r w:rsidR="00C573D3" w:rsidDel="00173846">
        <w:t xml:space="preserve"> restrict</w:t>
      </w:r>
      <w:r w:rsidDel="00173846">
        <w:t>ing</w:t>
      </w:r>
      <w:r w:rsidR="00C573D3" w:rsidDel="00173846">
        <w:t xml:space="preserve"> the amount of interest deductions </w:t>
      </w:r>
      <w:r w:rsidR="00C573D3">
        <w:t xml:space="preserve">a company can have based on its level of assets. </w:t>
      </w:r>
      <w:r w:rsidR="000F408D">
        <w:t xml:space="preserve">These rules are complemented by transfer pricing rules, which </w:t>
      </w:r>
      <w:r w:rsidR="00173846">
        <w:t xml:space="preserve">can </w:t>
      </w:r>
      <w:r w:rsidR="000F408D">
        <w:t>also limit deductions</w:t>
      </w:r>
      <w:r w:rsidR="00B52B5A">
        <w:t xml:space="preserve"> </w:t>
      </w:r>
      <w:r w:rsidR="001E1B31">
        <w:t xml:space="preserve">by examining the interest rate on the debt, </w:t>
      </w:r>
      <w:r w:rsidR="00446EA4">
        <w:t>t</w:t>
      </w:r>
      <w:r w:rsidR="00446EA4" w:rsidRPr="00446EA4">
        <w:t xml:space="preserve">o </w:t>
      </w:r>
      <w:r w:rsidR="001E1B31">
        <w:t>en</w:t>
      </w:r>
      <w:r w:rsidR="00446EA4" w:rsidRPr="00446EA4">
        <w:t>sure</w:t>
      </w:r>
      <w:r w:rsidR="00446EA4" w:rsidDel="001E1B31">
        <w:t xml:space="preserve"> </w:t>
      </w:r>
      <w:r w:rsidR="00446EA4">
        <w:t>entities</w:t>
      </w:r>
      <w:r w:rsidR="00446EA4" w:rsidRPr="00446EA4">
        <w:t xml:space="preserve"> price their related-party international dealings in line with what is expected from independent parties in the same situation</w:t>
      </w:r>
      <w:r w:rsidR="000F408D">
        <w:t xml:space="preserve">. </w:t>
      </w:r>
      <w:r w:rsidR="00C573D3">
        <w:t xml:space="preserve">The OECD earnings-based model </w:t>
      </w:r>
      <w:r>
        <w:t xml:space="preserve">adopts the direct approach, by </w:t>
      </w:r>
      <w:r w:rsidR="00C573D3">
        <w:t>limit</w:t>
      </w:r>
      <w:r>
        <w:t>ing</w:t>
      </w:r>
      <w:r w:rsidR="00C573D3">
        <w:t xml:space="preserve"> the amount of </w:t>
      </w:r>
      <w:r w:rsidR="00767222">
        <w:t xml:space="preserve">net </w:t>
      </w:r>
      <w:r w:rsidR="00C573D3">
        <w:t xml:space="preserve">interest expense that can be claimed as </w:t>
      </w:r>
      <w:r w:rsidR="0021151D">
        <w:t xml:space="preserve">an </w:t>
      </w:r>
      <w:r w:rsidR="00C573D3">
        <w:t xml:space="preserve">interest deduction. </w:t>
      </w:r>
    </w:p>
    <w:p w14:paraId="7B5BC471" w14:textId="0270AA25" w:rsidR="00004316" w:rsidRDefault="00004316" w:rsidP="00051F61">
      <w:pPr>
        <w:pStyle w:val="Heading2"/>
      </w:pPr>
      <w:bookmarkStart w:id="10" w:name="_Toc110583133"/>
      <w:r>
        <w:t>Current thin capitalisation rules</w:t>
      </w:r>
      <w:bookmarkEnd w:id="10"/>
      <w:r>
        <w:t xml:space="preserve"> </w:t>
      </w:r>
    </w:p>
    <w:p w14:paraId="261ACDC6" w14:textId="6E54AD6D" w:rsidR="00B26271" w:rsidRDefault="00065263" w:rsidP="00B26271">
      <w:r>
        <w:t xml:space="preserve">Entities subject to the </w:t>
      </w:r>
      <w:r w:rsidR="00740CD0">
        <w:t xml:space="preserve">current </w:t>
      </w:r>
      <w:r w:rsidR="00B26271">
        <w:t>thin capitalisation rules</w:t>
      </w:r>
      <w:r>
        <w:t xml:space="preserve"> are required to</w:t>
      </w:r>
      <w:r w:rsidR="00B26271">
        <w:t xml:space="preserve"> calculate their adjusted average debt and compare </w:t>
      </w:r>
      <w:r w:rsidR="00173846">
        <w:t xml:space="preserve">it </w:t>
      </w:r>
      <w:r w:rsidR="00B26271">
        <w:t xml:space="preserve">to the maximum allowable debt prescribed under Australia’s thin capitalisation rules. </w:t>
      </w:r>
      <w:r>
        <w:t>Currently, t</w:t>
      </w:r>
      <w:r w:rsidR="00B26271">
        <w:t>he maximum allowable debt is the greatest of:</w:t>
      </w:r>
    </w:p>
    <w:p w14:paraId="59C1E38A" w14:textId="59D06845" w:rsidR="00B26271" w:rsidRDefault="00173846" w:rsidP="00B26271">
      <w:pPr>
        <w:pStyle w:val="Bullet"/>
      </w:pPr>
      <w:r>
        <w:t xml:space="preserve">the </w:t>
      </w:r>
      <w:r w:rsidR="00B26271">
        <w:t>safe harbour debt amount, which is set at 60 per cent of the average value of the entit</w:t>
      </w:r>
      <w:r w:rsidR="00F56E9A">
        <w:t>y’</w:t>
      </w:r>
      <w:r w:rsidR="00B26271">
        <w:t xml:space="preserve">s Australian </w:t>
      </w:r>
      <w:proofErr w:type="gramStart"/>
      <w:r w:rsidR="00B26271">
        <w:t>assets;</w:t>
      </w:r>
      <w:proofErr w:type="gramEnd"/>
      <w:r w:rsidR="00B26271">
        <w:t xml:space="preserve"> </w:t>
      </w:r>
    </w:p>
    <w:p w14:paraId="2994958F" w14:textId="2B3CFE14" w:rsidR="00B26271" w:rsidRDefault="00173846" w:rsidP="00B26271">
      <w:pPr>
        <w:pStyle w:val="Bullet"/>
      </w:pPr>
      <w:r>
        <w:t xml:space="preserve">the </w:t>
      </w:r>
      <w:r w:rsidR="00B26271">
        <w:t>arm</w:t>
      </w:r>
      <w:r w:rsidR="00DD7876">
        <w:t>’</w:t>
      </w:r>
      <w:r w:rsidR="00B26271">
        <w:t xml:space="preserve">s-length debt amount, which reflects the amount of debt that could have been borrowed by an independent party carrying on the same operations as the Australian entity; or </w:t>
      </w:r>
    </w:p>
    <w:p w14:paraId="2DF7F588" w14:textId="4289CD7C" w:rsidR="00B26271" w:rsidRDefault="00173846" w:rsidP="00B26271">
      <w:pPr>
        <w:pStyle w:val="Bullet"/>
      </w:pPr>
      <w:r>
        <w:t xml:space="preserve">the </w:t>
      </w:r>
      <w:r w:rsidR="00B26271">
        <w:t>worldwide gearing debt amount, which allows an entity’s Australian operations to be geared up to 100</w:t>
      </w:r>
      <w:r>
        <w:t xml:space="preserve">per cent </w:t>
      </w:r>
      <w:r w:rsidR="00B26271">
        <w:t xml:space="preserve">of the gearing of the worldwide group to which the Australian entity belongs. </w:t>
      </w:r>
    </w:p>
    <w:p w14:paraId="0B9DE654" w14:textId="14320609" w:rsidR="00B26271" w:rsidRDefault="00F56E9A" w:rsidP="00B26271">
      <w:pPr>
        <w:pStyle w:val="Bullet"/>
        <w:numPr>
          <w:ilvl w:val="0"/>
          <w:numId w:val="0"/>
        </w:numPr>
      </w:pPr>
      <w:proofErr w:type="gramStart"/>
      <w:r>
        <w:t>The majority of</w:t>
      </w:r>
      <w:proofErr w:type="gramEnd"/>
      <w:r>
        <w:t xml:space="preserve"> </w:t>
      </w:r>
      <w:r w:rsidR="00B26271">
        <w:t xml:space="preserve">Australian entities subject to the thin capitalisation rules apply the safe harbour </w:t>
      </w:r>
      <w:r w:rsidR="00301666">
        <w:t>test</w:t>
      </w:r>
      <w:r w:rsidR="00B26271">
        <w:t>.</w:t>
      </w:r>
    </w:p>
    <w:p w14:paraId="0EB8D974" w14:textId="5516F586" w:rsidR="00B26271" w:rsidRDefault="00B26271" w:rsidP="00B26271">
      <w:pPr>
        <w:pStyle w:val="Bullet"/>
        <w:numPr>
          <w:ilvl w:val="0"/>
          <w:numId w:val="0"/>
        </w:numPr>
      </w:pPr>
      <w:r>
        <w:t>Australia’s</w:t>
      </w:r>
      <w:r w:rsidR="00B02B9A">
        <w:t xml:space="preserve"> current</w:t>
      </w:r>
      <w:r w:rsidR="00D74386">
        <w:t xml:space="preserve"> thin capitalisation rules</w:t>
      </w:r>
      <w:r>
        <w:t xml:space="preserve"> </w:t>
      </w:r>
      <w:r w:rsidR="00D74386">
        <w:t>apply</w:t>
      </w:r>
      <w:r>
        <w:t xml:space="preserve"> in respect of both Australian and foreign entities that have multinational investments, including: </w:t>
      </w:r>
    </w:p>
    <w:p w14:paraId="15DAC823" w14:textId="5A789454" w:rsidR="00B26271" w:rsidRDefault="00B26271" w:rsidP="00B26271">
      <w:pPr>
        <w:pStyle w:val="Bullet"/>
      </w:pPr>
      <w:r>
        <w:t xml:space="preserve">Australian entities with overseas operations or </w:t>
      </w:r>
      <w:proofErr w:type="gramStart"/>
      <w:r>
        <w:t>investments;</w:t>
      </w:r>
      <w:proofErr w:type="gramEnd"/>
    </w:p>
    <w:p w14:paraId="6DB4386D" w14:textId="6FBB7888" w:rsidR="00004316" w:rsidRDefault="00D74386" w:rsidP="00004316">
      <w:pPr>
        <w:pStyle w:val="Bullet"/>
      </w:pPr>
      <w:r>
        <w:lastRenderedPageBreak/>
        <w:t>foreign controlled</w:t>
      </w:r>
      <w:r w:rsidR="00B26271">
        <w:t xml:space="preserve"> Australian entities</w:t>
      </w:r>
      <w:r>
        <w:t xml:space="preserve">; and </w:t>
      </w:r>
    </w:p>
    <w:p w14:paraId="4F2EB6DA" w14:textId="579717E2" w:rsidR="00004316" w:rsidRDefault="00D74386" w:rsidP="00004316">
      <w:pPr>
        <w:pStyle w:val="Bullet"/>
      </w:pPr>
      <w:r>
        <w:t>foreign entities that claim debt deductions in respect of operations or investments in Australia.</w:t>
      </w:r>
      <w:r w:rsidR="00B26271">
        <w:t xml:space="preserve"> </w:t>
      </w:r>
    </w:p>
    <w:p w14:paraId="014E9D42" w14:textId="7A43AFD3" w:rsidR="00DD7876" w:rsidRPr="00770A2F" w:rsidRDefault="00DD7876" w:rsidP="00DD7876">
      <w:pPr>
        <w:pStyle w:val="Bullet"/>
        <w:numPr>
          <w:ilvl w:val="0"/>
          <w:numId w:val="0"/>
        </w:numPr>
      </w:pPr>
      <w:r w:rsidRPr="00770A2F">
        <w:t xml:space="preserve">The current thin capitalisation rules </w:t>
      </w:r>
      <w:r w:rsidR="00770A2F">
        <w:t xml:space="preserve">do not apply to an entity whose </w:t>
      </w:r>
      <w:r w:rsidR="00770A2F" w:rsidRPr="00770A2F">
        <w:t>debt deductions, together with those of any associate entities, are $2 million or less for the income year</w:t>
      </w:r>
      <w:r w:rsidR="008B18D4">
        <w:t xml:space="preserve"> (among other exclusions)</w:t>
      </w:r>
      <w:r w:rsidR="00770A2F" w:rsidRPr="00770A2F">
        <w:t>.</w:t>
      </w:r>
    </w:p>
    <w:p w14:paraId="4EC0DFA9" w14:textId="7000BCBE" w:rsidR="00A57062" w:rsidRDefault="00B40A1B" w:rsidP="00E764E2">
      <w:pPr>
        <w:pStyle w:val="Heading2"/>
      </w:pPr>
      <w:bookmarkStart w:id="11" w:name="_Toc110583134"/>
      <w:r>
        <w:t xml:space="preserve">Implementation </w:t>
      </w:r>
      <w:r w:rsidR="000F0B8E">
        <w:t>considerations</w:t>
      </w:r>
      <w:bookmarkEnd w:id="11"/>
    </w:p>
    <w:p w14:paraId="2389663F" w14:textId="113385B6" w:rsidR="00727315" w:rsidRDefault="00727315" w:rsidP="00727315">
      <w:pPr>
        <w:pStyle w:val="Heading3"/>
      </w:pPr>
      <w:bookmarkStart w:id="12" w:name="_Toc110583135"/>
      <w:r>
        <w:t xml:space="preserve">Adopting an </w:t>
      </w:r>
      <w:r w:rsidR="001B692A">
        <w:t>earnings</w:t>
      </w:r>
      <w:r>
        <w:t>-based ‘safe harbour’ test</w:t>
      </w:r>
      <w:bookmarkEnd w:id="12"/>
      <w:r w:rsidRPr="007B2BB2">
        <w:t xml:space="preserve"> </w:t>
      </w:r>
    </w:p>
    <w:p w14:paraId="456519E2" w14:textId="44FA8B6A" w:rsidR="001B692A" w:rsidRDefault="001B692A" w:rsidP="001B692A">
      <w:r w:rsidRPr="00BF0640">
        <w:t>In 2015, the OECD outlined a framework for a best-practice interest limitation rule</w:t>
      </w:r>
      <w:r>
        <w:t>, to discourage debt arrangements which are designed to minimise tax</w:t>
      </w:r>
      <w:r w:rsidRPr="00BF0640">
        <w:t xml:space="preserve">. </w:t>
      </w:r>
      <w:r>
        <w:t xml:space="preserve">This </w:t>
      </w:r>
      <w:r w:rsidR="00173846">
        <w:t xml:space="preserve">rule is known as </w:t>
      </w:r>
      <w:r>
        <w:t xml:space="preserve">the fixed ratio (earnings-based) rule. </w:t>
      </w:r>
      <w:bookmarkStart w:id="13" w:name="_Hlk107234215"/>
      <w:r w:rsidR="000B5893">
        <w:t>The OECD’s recommended approach limits net interest deductions to 30 per cent of Earnings Before Interest, Taxes, Depreciation, and Amortisation (</w:t>
      </w:r>
      <w:r w:rsidR="000B5893" w:rsidRPr="00A27F8F">
        <w:t>EBITDA</w:t>
      </w:r>
      <w:r w:rsidR="000B5893" w:rsidRPr="00814009">
        <w:t>)</w:t>
      </w:r>
      <w:r w:rsidR="000B5893">
        <w:t xml:space="preserve"> and is intended to be a straightforward rule to apply. </w:t>
      </w:r>
    </w:p>
    <w:p w14:paraId="31697F51" w14:textId="0DCA2C66" w:rsidR="000B5893" w:rsidRDefault="000B5893" w:rsidP="001B692A">
      <w:r>
        <w:t xml:space="preserve">The Government has committed to adapting Australia’s interest limitation rules to align with the OECD recommended approach. </w:t>
      </w:r>
    </w:p>
    <w:p w14:paraId="529EDD20" w14:textId="4220B2E8" w:rsidR="001B692A" w:rsidRDefault="001B692A" w:rsidP="001B692A">
      <w:r>
        <w:t xml:space="preserve">The policy intent of a fixed ratio rule </w:t>
      </w:r>
      <w:r w:rsidR="000B5893">
        <w:t>based on earnings</w:t>
      </w:r>
      <w:r>
        <w:t xml:space="preserve"> is to ensure that an entity’s interest deductions are directly linked to its economic activity and the entity’s taxable income</w:t>
      </w:r>
      <w:r w:rsidR="000B5893">
        <w:t xml:space="preserve">, </w:t>
      </w:r>
      <w:r>
        <w:t xml:space="preserve">which </w:t>
      </w:r>
      <w:r w:rsidR="000B5893">
        <w:t xml:space="preserve">can help protect </w:t>
      </w:r>
      <w:r>
        <w:t xml:space="preserve">against tax planning practices. Compared to the current assets-based </w:t>
      </w:r>
      <w:r w:rsidR="000B5893">
        <w:t>safe harbour</w:t>
      </w:r>
      <w:r w:rsidR="0052409B">
        <w:t>,</w:t>
      </w:r>
      <w:r>
        <w:t xml:space="preserve"> the OECD-recommended approach recognises that ‘thinly capitalised’ entities with high debt</w:t>
      </w:r>
      <w:r w:rsidR="00173846">
        <w:t>-</w:t>
      </w:r>
      <w:r>
        <w:t>to</w:t>
      </w:r>
      <w:r w:rsidR="00173846">
        <w:t>-</w:t>
      </w:r>
      <w:r>
        <w:t xml:space="preserve">asset ratios can still use various tax planning strategies to shift profits out of Australia (for example, by maximising debt-deductions via relatively high interest rate loans). </w:t>
      </w:r>
    </w:p>
    <w:bookmarkEnd w:id="13"/>
    <w:p w14:paraId="1A09BB7B" w14:textId="3D595921" w:rsidR="001B692A" w:rsidRDefault="001B692A" w:rsidP="001B692A">
      <w:r>
        <w:t xml:space="preserve">Tax EBITDA is a common commercial concept. Using this </w:t>
      </w:r>
      <w:r w:rsidR="00173846">
        <w:t xml:space="preserve">concept </w:t>
      </w:r>
      <w:r>
        <w:t>to define earnings intend</w:t>
      </w:r>
      <w:r w:rsidR="00173846">
        <w:t xml:space="preserve">s </w:t>
      </w:r>
      <w:r>
        <w:t xml:space="preserve">to better reflect an entity’s capacity to meet its </w:t>
      </w:r>
      <w:r w:rsidR="00173846">
        <w:t xml:space="preserve">interest payment </w:t>
      </w:r>
      <w:r>
        <w:t xml:space="preserve">obligations (compared to the EBIT alternative, for instance) by adding back ‘non-cash’ items of an entity’s income statement (depreciation of fixed assets and amortisation of intangible assets). </w:t>
      </w:r>
    </w:p>
    <w:p w14:paraId="026A301C" w14:textId="3DE4B2E5" w:rsidR="001B692A" w:rsidRDefault="001B692A" w:rsidP="001B692A">
      <w:r>
        <w:t xml:space="preserve">The fixed ratio rule would replace the current asset-based safe harbour test, which can be viewed as a shortcut method for claiming ‘reasonable levels’ of debt deductions. The current safe harbour test is relatively compliance-light and is used by most taxpayers subject to the current thin capitalisation rules. </w:t>
      </w:r>
      <w:bookmarkStart w:id="14" w:name="_Hlk107234228"/>
    </w:p>
    <w:p w14:paraId="3EC44E28" w14:textId="54D77354" w:rsidR="001B692A" w:rsidRDefault="001B692A" w:rsidP="001B692A">
      <w:r>
        <w:t>The Government recognises that entities can be highly geared on commercial (arm’s length) terms</w:t>
      </w:r>
      <w:r w:rsidR="00555663">
        <w:t xml:space="preserve"> </w:t>
      </w:r>
      <w:r w:rsidDel="00555663">
        <w:t xml:space="preserve">allowing them to claim higher levels of deductions, provided these can be substantiated. </w:t>
      </w:r>
      <w:bookmarkEnd w:id="14"/>
      <w:r w:rsidDel="00555663">
        <w:t>The</w:t>
      </w:r>
      <w:r>
        <w:t xml:space="preserve"> interaction of the fixed ratio rule with an arm’s length test and worldwide gearing test is outlined further below.</w:t>
      </w:r>
    </w:p>
    <w:p w14:paraId="43BB737A" w14:textId="3D5EBE27" w:rsidR="006502D3" w:rsidRDefault="001B692A" w:rsidP="001B692A">
      <w:r>
        <w:t xml:space="preserve">It is proposed that the fixed ratio rule will target </w:t>
      </w:r>
      <w:r w:rsidR="00173846">
        <w:t>‘</w:t>
      </w:r>
      <w:r>
        <w:t>general entities</w:t>
      </w:r>
      <w:r w:rsidR="00173846">
        <w:t>’</w:t>
      </w:r>
      <w:r>
        <w:t xml:space="preserve"> as defined in the current thin capitalisation legislation. Financial entities and authorised deposit-taking institutions would, in the interim, continue to be subject to the existing thin capitalisation rules. In this regard, the OECD acknowledges that the fixed ratio rule is unlikely to be effective for these </w:t>
      </w:r>
      <w:r w:rsidR="000B5893">
        <w:t>types of entities</w:t>
      </w:r>
      <w:r>
        <w:t xml:space="preserve"> –part</w:t>
      </w:r>
      <w:r w:rsidR="00173846">
        <w:t>ly</w:t>
      </w:r>
      <w:r>
        <w:t xml:space="preserve"> because they are net lenders and are subject to regulatory capital rules</w:t>
      </w:r>
      <w:r w:rsidR="00173846">
        <w:t xml:space="preserve">. As such, they can </w:t>
      </w:r>
      <w:r>
        <w:t>be excluded from the fixed ratio rule</w:t>
      </w:r>
      <w:r w:rsidR="007444B0">
        <w:t>.</w:t>
      </w:r>
    </w:p>
    <w:p w14:paraId="650DA3F4" w14:textId="77777777" w:rsidR="00E378B0" w:rsidRPr="00DD7BCF" w:rsidRDefault="00E378B0" w:rsidP="00727315"/>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727315" w14:paraId="4FD8F2B2" w14:textId="77777777" w:rsidTr="006016A6">
        <w:tc>
          <w:tcPr>
            <w:tcW w:w="5000" w:type="pct"/>
            <w:shd w:val="clear" w:color="auto" w:fill="EEEEEE" w:themeFill="background2"/>
          </w:tcPr>
          <w:p w14:paraId="74E32470" w14:textId="77777777" w:rsidR="00727315" w:rsidRPr="000D1284" w:rsidRDefault="00727315" w:rsidP="00727315">
            <w:pPr>
              <w:pStyle w:val="BoxHeading"/>
            </w:pPr>
            <w:r>
              <w:lastRenderedPageBreak/>
              <w:t>Questions</w:t>
            </w:r>
          </w:p>
          <w:p w14:paraId="7FB67146" w14:textId="60959F3E" w:rsidR="006A6908" w:rsidRDefault="006A6908" w:rsidP="005973FD">
            <w:pPr>
              <w:pStyle w:val="BoxText"/>
              <w:numPr>
                <w:ilvl w:val="0"/>
                <w:numId w:val="13"/>
              </w:numPr>
              <w:ind w:left="342" w:hanging="342"/>
            </w:pPr>
            <w:r>
              <w:t xml:space="preserve">Considering the policy intent of limiting debt deductions to genuinely commercial amounts, should </w:t>
            </w:r>
            <w:r w:rsidR="009501F9">
              <w:t xml:space="preserve">the </w:t>
            </w:r>
            <w:r>
              <w:t xml:space="preserve">fixed ratio rule rely on accounting or tax figures? </w:t>
            </w:r>
            <w:r w:rsidR="00F83A95">
              <w:t>On what basis do y</w:t>
            </w:r>
            <w:r w:rsidR="0097382E">
              <w:t>ou say this?</w:t>
            </w:r>
          </w:p>
          <w:p w14:paraId="50F70D33" w14:textId="1A9C1350" w:rsidR="00611CC8" w:rsidRDefault="00611CC8" w:rsidP="005973FD">
            <w:pPr>
              <w:pStyle w:val="BoxText"/>
              <w:numPr>
                <w:ilvl w:val="0"/>
                <w:numId w:val="13"/>
              </w:numPr>
              <w:ind w:left="342" w:hanging="342"/>
            </w:pPr>
            <w:r>
              <w:t>W</w:t>
            </w:r>
            <w:r w:rsidR="00114B12">
              <w:t xml:space="preserve">ill </w:t>
            </w:r>
            <w:r w:rsidR="000B5893">
              <w:t>the move to a fixed ratio based on earnings</w:t>
            </w:r>
            <w:r w:rsidR="00114B12">
              <w:t xml:space="preserve"> impose</w:t>
            </w:r>
            <w:r>
              <w:t xml:space="preserve"> </w:t>
            </w:r>
            <w:r w:rsidR="00DA412E">
              <w:t xml:space="preserve">additional </w:t>
            </w:r>
            <w:r>
              <w:t xml:space="preserve">compliance costs </w:t>
            </w:r>
            <w:r w:rsidR="004C1DBE">
              <w:t xml:space="preserve">on </w:t>
            </w:r>
            <w:r>
              <w:t>taxpayers? Can these costs be quantified?</w:t>
            </w:r>
          </w:p>
          <w:p w14:paraId="673C7BEB" w14:textId="6EB4E6E6" w:rsidR="00671120" w:rsidRDefault="00671120" w:rsidP="005973FD">
            <w:pPr>
              <w:pStyle w:val="BoxText"/>
              <w:numPr>
                <w:ilvl w:val="0"/>
                <w:numId w:val="13"/>
              </w:numPr>
              <w:ind w:left="342" w:hanging="342"/>
            </w:pPr>
            <w:r w:rsidRPr="00671120">
              <w:t xml:space="preserve">What factors influence an entity’s </w:t>
            </w:r>
            <w:r w:rsidR="00173846">
              <w:t xml:space="preserve">current </w:t>
            </w:r>
            <w:r w:rsidRPr="00671120">
              <w:t>decision to use the safe harbour test</w:t>
            </w:r>
            <w:r>
              <w:t xml:space="preserve"> </w:t>
            </w:r>
            <w:r w:rsidRPr="00671120">
              <w:t>(as opposed to the arm</w:t>
            </w:r>
            <w:r w:rsidR="008A346F">
              <w:t>’</w:t>
            </w:r>
            <w:r w:rsidRPr="00671120">
              <w:t>s</w:t>
            </w:r>
            <w:r w:rsidR="008A346F">
              <w:t xml:space="preserve"> </w:t>
            </w:r>
            <w:r w:rsidRPr="00671120">
              <w:t>length debt test or the worldwide gearing test)?</w:t>
            </w:r>
          </w:p>
          <w:p w14:paraId="48F9E236" w14:textId="008CFF19" w:rsidR="00727315" w:rsidRDefault="007E75BD" w:rsidP="005973FD">
            <w:pPr>
              <w:pStyle w:val="BoxText"/>
              <w:numPr>
                <w:ilvl w:val="0"/>
                <w:numId w:val="13"/>
              </w:numPr>
              <w:ind w:left="342" w:hanging="342"/>
            </w:pPr>
            <w:r>
              <w:t>Are there specific</w:t>
            </w:r>
            <w:r w:rsidR="00727315">
              <w:t xml:space="preserve"> types of entities currently us</w:t>
            </w:r>
            <w:r w:rsidR="00173846">
              <w:t xml:space="preserve">ing </w:t>
            </w:r>
            <w:r w:rsidR="00727315">
              <w:t xml:space="preserve">the safe harbour test </w:t>
            </w:r>
            <w:r w:rsidR="00173846">
              <w:t xml:space="preserve">that </w:t>
            </w:r>
            <w:r w:rsidR="00727315">
              <w:t>w</w:t>
            </w:r>
            <w:r>
              <w:t>ould</w:t>
            </w:r>
            <w:r w:rsidR="00727315">
              <w:t xml:space="preserve"> be affected by the introduc</w:t>
            </w:r>
            <w:r w:rsidR="00173846">
              <w:t xml:space="preserve">tion of </w:t>
            </w:r>
            <w:r w:rsidR="00727315">
              <w:t xml:space="preserve">a fixed ratio (earnings based) rule? </w:t>
            </w:r>
            <w:r w:rsidR="00173846">
              <w:t xml:space="preserve"> If so, how</w:t>
            </w:r>
            <w:r w:rsidR="000B5893">
              <w:t xml:space="preserve"> would</w:t>
            </w:r>
            <w:r w:rsidR="00727315" w:rsidDel="00173846">
              <w:t xml:space="preserve"> they be affected</w:t>
            </w:r>
            <w:r w:rsidR="00727315">
              <w:t>?</w:t>
            </w:r>
          </w:p>
          <w:p w14:paraId="3C1D6C85" w14:textId="08B93BFE" w:rsidR="006502D3" w:rsidRPr="000D1284" w:rsidRDefault="007444B0" w:rsidP="005973FD">
            <w:pPr>
              <w:pStyle w:val="BoxText"/>
              <w:numPr>
                <w:ilvl w:val="0"/>
                <w:numId w:val="13"/>
              </w:numPr>
              <w:ind w:left="342" w:hanging="342"/>
            </w:pPr>
            <w:r>
              <w:t>Should there be any changes to the existing thin capitalisation rules appl</w:t>
            </w:r>
            <w:r w:rsidR="00173846">
              <w:t xml:space="preserve">icable </w:t>
            </w:r>
            <w:r>
              <w:t>to financial entities and authorised deposit</w:t>
            </w:r>
            <w:r w:rsidR="00173846">
              <w:t>-</w:t>
            </w:r>
            <w:r>
              <w:t>taking institutions?</w:t>
            </w:r>
          </w:p>
        </w:tc>
      </w:tr>
    </w:tbl>
    <w:p w14:paraId="6C3E5D9C" w14:textId="77777777" w:rsidR="00555663" w:rsidRDefault="00555663" w:rsidP="00555663"/>
    <w:p w14:paraId="752C020A" w14:textId="34744AEE" w:rsidR="00727315" w:rsidRDefault="00727315" w:rsidP="00727315">
      <w:pPr>
        <w:pStyle w:val="Heading3"/>
      </w:pPr>
      <w:bookmarkStart w:id="15" w:name="_Toc110583136"/>
      <w:r>
        <w:t>Fixed ratio rule: implementation considerations</w:t>
      </w:r>
      <w:bookmarkEnd w:id="15"/>
      <w:r>
        <w:t xml:space="preserve"> </w:t>
      </w:r>
    </w:p>
    <w:p w14:paraId="345729E0" w14:textId="60204539" w:rsidR="00727315" w:rsidRDefault="00727315" w:rsidP="00727315">
      <w:r>
        <w:t xml:space="preserve">The OECD’s framework provides countries with some flexibility in implementing the EBITDA fixed ratio rule. </w:t>
      </w:r>
    </w:p>
    <w:p w14:paraId="0EEE541D" w14:textId="7CF45712" w:rsidR="00727315" w:rsidRDefault="00727315" w:rsidP="00727315">
      <w:r>
        <w:t xml:space="preserve">The following </w:t>
      </w:r>
      <w:r w:rsidR="009A05D4">
        <w:t>considerations</w:t>
      </w:r>
      <w:r>
        <w:t xml:space="preserve"> will inform the basis of the </w:t>
      </w:r>
      <w:r w:rsidR="009A05D4">
        <w:t>final design of the fixed ratio rule</w:t>
      </w:r>
      <w:r w:rsidR="005D3E12">
        <w:t>:</w:t>
      </w:r>
    </w:p>
    <w:p w14:paraId="681D98ED" w14:textId="4BD50AD4" w:rsidR="00727315" w:rsidRDefault="00727315" w:rsidP="00727315">
      <w:pPr>
        <w:pStyle w:val="Bullet"/>
      </w:pPr>
      <w:r>
        <w:t xml:space="preserve">A </w:t>
      </w:r>
      <w:r w:rsidR="003B0F90">
        <w:t>potential</w:t>
      </w:r>
      <w:r>
        <w:t xml:space="preserve"> </w:t>
      </w:r>
      <w:r w:rsidRPr="009A2D91">
        <w:rPr>
          <w:i/>
          <w:iCs/>
        </w:rPr>
        <w:t>de minimis</w:t>
      </w:r>
      <w:r>
        <w:t xml:space="preserve"> monetary threshold based on net interest expense of </w:t>
      </w:r>
      <w:r w:rsidR="00DC7A00">
        <w:t xml:space="preserve">the </w:t>
      </w:r>
      <w:r>
        <w:t>local group, to remove low risk entities from th</w:t>
      </w:r>
      <w:r w:rsidR="002A1349">
        <w:t>e</w:t>
      </w:r>
      <w:r>
        <w:t xml:space="preserve"> interest limitation rule. </w:t>
      </w:r>
    </w:p>
    <w:p w14:paraId="5280A55F" w14:textId="7DF6E268" w:rsidR="00727315" w:rsidRDefault="00F11628" w:rsidP="00762FA3">
      <w:pPr>
        <w:pStyle w:val="Bullet"/>
      </w:pPr>
      <w:r>
        <w:t>Additional flexibility for highly leveraged entities/groups (</w:t>
      </w:r>
      <w:proofErr w:type="gramStart"/>
      <w:r>
        <w:t>i.e.</w:t>
      </w:r>
      <w:proofErr w:type="gramEnd"/>
      <w:r>
        <w:t xml:space="preserve"> </w:t>
      </w:r>
      <w:r w:rsidR="006547C0">
        <w:t xml:space="preserve">the arm’s length debt test or </w:t>
      </w:r>
      <w:r>
        <w:t>a specific group ratio rule</w:t>
      </w:r>
      <w:r w:rsidR="002A1349">
        <w:t xml:space="preserve">, including considerations around </w:t>
      </w:r>
      <w:r w:rsidR="00727315">
        <w:t>third party interest expense calculations</w:t>
      </w:r>
      <w:r w:rsidR="002A1349">
        <w:t>)</w:t>
      </w:r>
      <w:r w:rsidR="00727315">
        <w:t xml:space="preserve">. </w:t>
      </w:r>
    </w:p>
    <w:p w14:paraId="5194DF93" w14:textId="780D044D" w:rsidR="00CF6CA9" w:rsidRDefault="002A1349" w:rsidP="00992828">
      <w:pPr>
        <w:pStyle w:val="Bullet"/>
        <w:numPr>
          <w:ilvl w:val="0"/>
          <w:numId w:val="14"/>
        </w:numPr>
      </w:pPr>
      <w:r>
        <w:t>The treatment of a</w:t>
      </w:r>
      <w:r w:rsidR="00CF6CA9">
        <w:t xml:space="preserve">ssets/projects that provide </w:t>
      </w:r>
      <w:r w:rsidR="008A346F">
        <w:t xml:space="preserve">net </w:t>
      </w:r>
      <w:r w:rsidR="00CF6CA9">
        <w:t>public benefits</w:t>
      </w:r>
      <w:r w:rsidR="008A346F">
        <w:t xml:space="preserve"> or are considered nationally significant</w:t>
      </w:r>
      <w:r w:rsidR="00446EA4">
        <w:t xml:space="preserve"> (leveraging existing legislative concepts)</w:t>
      </w:r>
      <w:r>
        <w:t>.</w:t>
      </w:r>
    </w:p>
    <w:p w14:paraId="640C330E" w14:textId="728468EC" w:rsidR="00727315" w:rsidRDefault="00727315" w:rsidP="00727315">
      <w:r>
        <w:t>The Government will draw on approaches adopted by comparable international jurisdictions (for instance, the U</w:t>
      </w:r>
      <w:r w:rsidR="007E2555">
        <w:t xml:space="preserve">nited </w:t>
      </w:r>
      <w:r>
        <w:t>K</w:t>
      </w:r>
      <w:r w:rsidR="007E2555">
        <w:t>ingdom</w:t>
      </w:r>
      <w:r>
        <w:t xml:space="preserve">, Canada, France, </w:t>
      </w:r>
      <w:proofErr w:type="gramStart"/>
      <w:r>
        <w:t>Germany</w:t>
      </w:r>
      <w:proofErr w:type="gramEnd"/>
      <w:r w:rsidR="007E2555">
        <w:t xml:space="preserve"> and</w:t>
      </w:r>
      <w:r>
        <w:t xml:space="preserve"> the </w:t>
      </w:r>
      <w:r w:rsidR="007E2555">
        <w:t>United States</w:t>
      </w:r>
      <w:r>
        <w:t>) in implementing the fixed ratio rule.</w:t>
      </w:r>
    </w:p>
    <w:p w14:paraId="7A7F1839" w14:textId="77777777" w:rsidR="00727315" w:rsidRDefault="00727315" w:rsidP="00727315"/>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727315" w14:paraId="5AAA077F" w14:textId="77777777" w:rsidTr="006016A6">
        <w:tc>
          <w:tcPr>
            <w:tcW w:w="5000" w:type="pct"/>
            <w:shd w:val="clear" w:color="auto" w:fill="EEEEEE" w:themeFill="background2"/>
          </w:tcPr>
          <w:p w14:paraId="02FE4DC3" w14:textId="77777777" w:rsidR="00727315" w:rsidRPr="000D1284" w:rsidRDefault="00727315" w:rsidP="00727315">
            <w:pPr>
              <w:pStyle w:val="BoxHeading"/>
            </w:pPr>
            <w:r>
              <w:lastRenderedPageBreak/>
              <w:t>Questions</w:t>
            </w:r>
          </w:p>
          <w:p w14:paraId="70F9F4F9" w14:textId="2DAF1DD2" w:rsidR="00727315" w:rsidRDefault="002A1349" w:rsidP="006547C0">
            <w:pPr>
              <w:pStyle w:val="BoxText"/>
              <w:numPr>
                <w:ilvl w:val="0"/>
                <w:numId w:val="13"/>
              </w:numPr>
              <w:ind w:left="342" w:hanging="342"/>
            </w:pPr>
            <w:r>
              <w:t xml:space="preserve">Would </w:t>
            </w:r>
            <w:r w:rsidR="00727315">
              <w:t xml:space="preserve">the existing $2 million </w:t>
            </w:r>
            <w:r w:rsidR="00727315" w:rsidRPr="006547C0">
              <w:t>de minimis</w:t>
            </w:r>
            <w:r w:rsidR="00727315">
              <w:t xml:space="preserve"> threshold </w:t>
            </w:r>
            <w:r>
              <w:t>be an appropriate</w:t>
            </w:r>
            <w:r w:rsidR="00727315">
              <w:t xml:space="preserve"> threshold </w:t>
            </w:r>
            <w:r>
              <w:t>for</w:t>
            </w:r>
            <w:r w:rsidR="00727315">
              <w:t xml:space="preserve"> the fixed ratio rule</w:t>
            </w:r>
            <w:r>
              <w:t>, t</w:t>
            </w:r>
            <w:r w:rsidR="00CF6CA9">
              <w:t xml:space="preserve">o exclude </w:t>
            </w:r>
            <w:r w:rsidR="005D3E12">
              <w:t>low-</w:t>
            </w:r>
            <w:r w:rsidR="00CF6CA9">
              <w:t>risk entities</w:t>
            </w:r>
            <w:r w:rsidR="00727315">
              <w:t>?</w:t>
            </w:r>
          </w:p>
          <w:p w14:paraId="0C5FCC67" w14:textId="20EE11E6" w:rsidR="00DE1CA7" w:rsidRDefault="00727315" w:rsidP="006547C0">
            <w:pPr>
              <w:pStyle w:val="BoxText"/>
              <w:numPr>
                <w:ilvl w:val="6"/>
                <w:numId w:val="14"/>
              </w:numPr>
              <w:ind w:left="342" w:hanging="342"/>
            </w:pPr>
            <w:r>
              <w:t>Are there specific sectors more likely to experience earnings volatility that may cause entities to explore using one of the alternative tests instead (</w:t>
            </w:r>
            <w:proofErr w:type="gramStart"/>
            <w:r>
              <w:t>e.g.</w:t>
            </w:r>
            <w:proofErr w:type="gramEnd"/>
            <w:r>
              <w:t xml:space="preserve"> arm’s length test)? </w:t>
            </w:r>
            <w:r w:rsidR="00DE1CA7">
              <w:t xml:space="preserve"> </w:t>
            </w:r>
          </w:p>
          <w:p w14:paraId="39DC7CBC" w14:textId="47E936EF" w:rsidR="00727315" w:rsidRPr="000D1284" w:rsidRDefault="00727315" w:rsidP="00200AC7">
            <w:pPr>
              <w:pStyle w:val="BoxText"/>
              <w:numPr>
                <w:ilvl w:val="6"/>
                <w:numId w:val="14"/>
              </w:numPr>
              <w:ind w:left="342" w:hanging="342"/>
            </w:pPr>
            <w:r>
              <w:t>What features of fixed ratio (earnings</w:t>
            </w:r>
            <w:r w:rsidR="00884133">
              <w:t>-</w:t>
            </w:r>
            <w:r>
              <w:t>based) rules in other jurisdictions are most significant (relevant) for implementing a fixed ratio rule in the Australian context?</w:t>
            </w:r>
          </w:p>
        </w:tc>
      </w:tr>
    </w:tbl>
    <w:p w14:paraId="4967EC89" w14:textId="77777777" w:rsidR="00727315" w:rsidRDefault="00727315" w:rsidP="00727315">
      <w:pPr>
        <w:pStyle w:val="Heading3"/>
      </w:pPr>
      <w:bookmarkStart w:id="16" w:name="_Toc110583137"/>
      <w:r>
        <w:t>Group ratio rule</w:t>
      </w:r>
      <w:bookmarkEnd w:id="16"/>
    </w:p>
    <w:p w14:paraId="32EA1777" w14:textId="536CDE9C" w:rsidR="00727315" w:rsidRDefault="00727315" w:rsidP="00727315">
      <w:r>
        <w:t>The OECD recommends that countries adopting a fixed ratio rule also consider an earnings-based group ratio rule. Th</w:t>
      </w:r>
      <w:r w:rsidR="000B5893">
        <w:t>e group ratio rule</w:t>
      </w:r>
      <w:r>
        <w:t xml:space="preserve"> can be as a separate additional provision or part of the fixed ratio rule. The intent of a group ratio rule is to directly limit the net interest expense (in line with the core fixed ratio rule) while providing some flexibility for highly leveraged groups (</w:t>
      </w:r>
      <w:proofErr w:type="gramStart"/>
      <w:r>
        <w:t>i.e.</w:t>
      </w:r>
      <w:proofErr w:type="gramEnd"/>
      <w:r>
        <w:t xml:space="preserve"> those with a net third party interest/ EBITDA ratio above the 30 per cent benchmark fixed ratio) to deduct a higher net interest expense than what would be permitted under the fixed ratio rule.</w:t>
      </w:r>
      <w:r w:rsidR="00B5282F">
        <w:t xml:space="preserve"> </w:t>
      </w:r>
      <w:r w:rsidR="00D3728C">
        <w:t xml:space="preserve">The OECD </w:t>
      </w:r>
      <w:r w:rsidR="00446EA4">
        <w:t>permits</w:t>
      </w:r>
      <w:r w:rsidR="00D3728C">
        <w:t xml:space="preserve"> an uplift of up to 10 per cent to the group’s net third party interest expense, to ensure this additional feature continues to provide a robust response to </w:t>
      </w:r>
      <w:r w:rsidR="00042BB0">
        <w:t>BEPS</w:t>
      </w:r>
      <w:r w:rsidR="00D3728C">
        <w:t>.</w:t>
      </w:r>
    </w:p>
    <w:p w14:paraId="599305F2" w14:textId="5948F0E0" w:rsidR="00727315" w:rsidRDefault="00727315" w:rsidP="00727315">
      <w:r>
        <w:t>Australia’s current thin cap</w:t>
      </w:r>
      <w:r w:rsidR="00565B6B">
        <w:t>italisation</w:t>
      </w:r>
      <w:r>
        <w:t xml:space="preserve"> rules provide for a group ratio rule in the form of a worldwide gearing test, which is based on a debt-to-equity ratio. While this test is not commonly applied (compared to the current safe harbour test or arm’s length debt test), it still gives rise to a threshold question of what role (if any) a debt-to-equity gearing test would serve if a fixed ratio rule (combined with a group ratio rule) was adopted. That is, is it appropriate to have two ‘competing’ group tests</w:t>
      </w:r>
      <w:r w:rsidR="00FB37B8">
        <w:t>?</w:t>
      </w:r>
    </w:p>
    <w:p w14:paraId="63407928" w14:textId="640E95F9" w:rsidR="00727315" w:rsidRDefault="00727315" w:rsidP="00727315"/>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727315" w14:paraId="30B045CA" w14:textId="77777777" w:rsidTr="006016A6">
        <w:tc>
          <w:tcPr>
            <w:tcW w:w="5000" w:type="pct"/>
            <w:shd w:val="clear" w:color="auto" w:fill="EEEEEE" w:themeFill="background2"/>
          </w:tcPr>
          <w:p w14:paraId="03CB9C7C" w14:textId="77777777" w:rsidR="00727315" w:rsidRPr="000D1284" w:rsidRDefault="00727315" w:rsidP="00727315">
            <w:pPr>
              <w:pStyle w:val="BoxHeading"/>
            </w:pPr>
            <w:r>
              <w:t>Questions</w:t>
            </w:r>
          </w:p>
          <w:p w14:paraId="353F0382" w14:textId="40380965" w:rsidR="00727315" w:rsidRDefault="00727315" w:rsidP="00200AC7">
            <w:pPr>
              <w:pStyle w:val="BoxText"/>
              <w:numPr>
                <w:ilvl w:val="6"/>
                <w:numId w:val="14"/>
              </w:numPr>
              <w:ind w:left="342" w:hanging="283"/>
            </w:pPr>
            <w:r>
              <w:t>If the Government adopts an earnings-based group ratio rule</w:t>
            </w:r>
            <w:r w:rsidR="007E75BD">
              <w:t xml:space="preserve"> to complement the fixed ratio rule, </w:t>
            </w:r>
            <w:r>
              <w:t xml:space="preserve">should the existing worldwide gearing test (based on a debt-to-equity ratio) be repealed? </w:t>
            </w:r>
            <w:r w:rsidR="00F11628">
              <w:t>If not, why?</w:t>
            </w:r>
          </w:p>
          <w:p w14:paraId="0BC8B1F3" w14:textId="6F3876E4" w:rsidR="007E75BD" w:rsidRDefault="007E75BD" w:rsidP="00200AC7">
            <w:pPr>
              <w:pStyle w:val="BoxText"/>
              <w:numPr>
                <w:ilvl w:val="0"/>
                <w:numId w:val="39"/>
              </w:numPr>
              <w:ind w:left="342" w:hanging="342"/>
            </w:pPr>
            <w:r>
              <w:t xml:space="preserve">How </w:t>
            </w:r>
            <w:r w:rsidRPr="006220DE">
              <w:t xml:space="preserve">should net </w:t>
            </w:r>
            <w:r w:rsidR="00DF4167" w:rsidRPr="006220DE">
              <w:t>third</w:t>
            </w:r>
            <w:r w:rsidR="00DF4167">
              <w:t>-</w:t>
            </w:r>
            <w:r w:rsidRPr="006220DE">
              <w:t xml:space="preserve">party interest expense be calculated in applying the group ratio rule (as part of the fixed ratio rule) </w:t>
            </w:r>
            <w:proofErr w:type="gramStart"/>
            <w:r w:rsidRPr="006220DE">
              <w:t>e.g.</w:t>
            </w:r>
            <w:proofErr w:type="gramEnd"/>
            <w:r w:rsidRPr="006220DE">
              <w:t xml:space="preserve"> </w:t>
            </w:r>
            <w:r w:rsidR="00114B12">
              <w:t xml:space="preserve">what </w:t>
            </w:r>
            <w:r w:rsidRPr="006220DE">
              <w:t xml:space="preserve">accounting values </w:t>
            </w:r>
            <w:r w:rsidR="004C3C92">
              <w:t>should be</w:t>
            </w:r>
            <w:r w:rsidRPr="006220DE">
              <w:t xml:space="preserve"> used?</w:t>
            </w:r>
          </w:p>
          <w:p w14:paraId="546E90A7" w14:textId="7C3AE712" w:rsidR="00727315" w:rsidRPr="000D1284" w:rsidRDefault="00727315" w:rsidP="00200AC7">
            <w:pPr>
              <w:pStyle w:val="BoxText"/>
              <w:numPr>
                <w:ilvl w:val="0"/>
                <w:numId w:val="39"/>
              </w:numPr>
              <w:ind w:left="342" w:hanging="342"/>
            </w:pPr>
            <w:r>
              <w:t>What types of entities currently use the existing worldwide group test?</w:t>
            </w:r>
          </w:p>
        </w:tc>
      </w:tr>
    </w:tbl>
    <w:p w14:paraId="3C71A45B" w14:textId="38D20F2E" w:rsidR="00727315" w:rsidRDefault="00727315" w:rsidP="00727315">
      <w:pPr>
        <w:pStyle w:val="Heading3"/>
      </w:pPr>
      <w:bookmarkStart w:id="17" w:name="_Toc110583138"/>
      <w:r>
        <w:t>Fixed ratio rule: the role of arm</w:t>
      </w:r>
      <w:r w:rsidR="008A346F">
        <w:t>’</w:t>
      </w:r>
      <w:r>
        <w:t>s</w:t>
      </w:r>
      <w:r w:rsidR="008A346F">
        <w:t xml:space="preserve"> </w:t>
      </w:r>
      <w:r>
        <w:t>length debt test</w:t>
      </w:r>
      <w:bookmarkEnd w:id="17"/>
      <w:r>
        <w:t xml:space="preserve"> </w:t>
      </w:r>
    </w:p>
    <w:p w14:paraId="6EBAF8FE" w14:textId="564C014D" w:rsidR="00727315" w:rsidRDefault="00727315" w:rsidP="00727315">
      <w:r>
        <w:t xml:space="preserve">In announcing a commitment to move to a fixed ratio rule, the Government also indicated it would </w:t>
      </w:r>
      <w:r w:rsidR="008B18D4">
        <w:t>maintain</w:t>
      </w:r>
      <w:r>
        <w:t xml:space="preserve"> </w:t>
      </w:r>
      <w:r w:rsidR="008B18D4">
        <w:t>an</w:t>
      </w:r>
      <w:r>
        <w:t xml:space="preserve"> arm’s length test. </w:t>
      </w:r>
    </w:p>
    <w:p w14:paraId="15EF227C" w14:textId="0B0AA193" w:rsidR="00727315" w:rsidRDefault="008B18D4" w:rsidP="00727315">
      <w:r>
        <w:t>Currently, t</w:t>
      </w:r>
      <w:r w:rsidR="00727315">
        <w:t>he arm’s length amount of debt of the Australian entity is</w:t>
      </w:r>
      <w:r w:rsidR="00993CFE">
        <w:t xml:space="preserve"> </w:t>
      </w:r>
      <w:r w:rsidR="00727315">
        <w:t xml:space="preserve">determined in a way prescribed by legislation. It requires considering the Australian entity as a stand-alone business and multiple </w:t>
      </w:r>
      <w:r w:rsidR="00727315">
        <w:lastRenderedPageBreak/>
        <w:t xml:space="preserve">factors are then </w:t>
      </w:r>
      <w:r w:rsidR="00B41B37">
        <w:t>considered</w:t>
      </w:r>
      <w:r w:rsidR="00727315">
        <w:t xml:space="preserve"> to determine what the Australian business </w:t>
      </w:r>
      <w:r w:rsidR="00727315" w:rsidRPr="007A6A2A">
        <w:rPr>
          <w:i/>
          <w:iCs/>
        </w:rPr>
        <w:t>would</w:t>
      </w:r>
      <w:r w:rsidR="00727315">
        <w:t xml:space="preserve"> and </w:t>
      </w:r>
      <w:r w:rsidR="00727315" w:rsidRPr="007A6A2A">
        <w:rPr>
          <w:i/>
          <w:iCs/>
        </w:rPr>
        <w:t>could</w:t>
      </w:r>
      <w:r w:rsidR="00727315">
        <w:t xml:space="preserve"> borrow from an independent commercial lender. </w:t>
      </w:r>
    </w:p>
    <w:p w14:paraId="5F00750D" w14:textId="1DE82E4A" w:rsidR="000E5112" w:rsidRDefault="008B18D4" w:rsidP="00814009">
      <w:r>
        <w:t>In considering the implementation approach to the fixed ratio rule</w:t>
      </w:r>
      <w:r w:rsidR="000E5112">
        <w:t xml:space="preserve">, </w:t>
      </w:r>
      <w:r w:rsidR="00814009">
        <w:t>consideration should also be given to how the current arm’s length test might be strengthened to prevent entities from opting into arrangements</w:t>
      </w:r>
      <w:r w:rsidR="00DF4167">
        <w:t>,</w:t>
      </w:r>
      <w:r w:rsidR="00814009">
        <w:t xml:space="preserve"> t</w:t>
      </w:r>
      <w:r w:rsidR="00DF4167">
        <w:t xml:space="preserve">hat </w:t>
      </w:r>
      <w:r w:rsidR="00814009">
        <w:t xml:space="preserve">potentially take advantage of greater debt deductions than would be available under the fixed ratio rule. </w:t>
      </w:r>
      <w:r w:rsidR="00172FC0">
        <w:t>In this regard, the OECD guidance notes that “after introducing the best practice approach, a country may also continue to apply an arm’s length test, withholding tax on interest, or rules to disallow a percentage of an entity’s total interest expense, so long as these do not reduce the effectiveness of the best practice in tackling base erosion and profit shifting”.</w:t>
      </w:r>
      <w:r w:rsidR="000B5893" w:rsidRPr="000B5893">
        <w:rPr>
          <w:rStyle w:val="FootnoteReference"/>
          <w:vertAlign w:val="superscript"/>
        </w:rPr>
        <w:footnoteReference w:id="3"/>
      </w:r>
      <w:r w:rsidR="000E5112">
        <w:t xml:space="preserve">  </w:t>
      </w:r>
    </w:p>
    <w:p w14:paraId="16A1A22A" w14:textId="286500A0" w:rsidR="00391EE5" w:rsidRDefault="00391EE5" w:rsidP="00B41B37">
      <w:pPr>
        <w:pStyle w:val="Heading4"/>
      </w:pPr>
      <w:r>
        <w:t>Compliance</w:t>
      </w:r>
      <w:r w:rsidR="007950A5">
        <w:t xml:space="preserve"> issues</w:t>
      </w:r>
    </w:p>
    <w:p w14:paraId="45E4C782" w14:textId="131C59AC" w:rsidR="00F25181" w:rsidRDefault="00727315" w:rsidP="00E764E2">
      <w:pPr>
        <w:jc w:val="both"/>
      </w:pPr>
      <w:r>
        <w:t xml:space="preserve">Entities applying the </w:t>
      </w:r>
      <w:r w:rsidR="007950A5">
        <w:t xml:space="preserve">current </w:t>
      </w:r>
      <w:r>
        <w:t>arm’s length debt test are required to substantiate their claims</w:t>
      </w:r>
      <w:r w:rsidR="00F25181">
        <w:t>.</w:t>
      </w:r>
      <w:r w:rsidDel="0000067E">
        <w:t xml:space="preserve"> </w:t>
      </w:r>
      <w:r w:rsidR="0000067E">
        <w:t>As</w:t>
      </w:r>
      <w:r>
        <w:t xml:space="preserve"> the rules operate to allow an entity to determine whether it is appropriately capitalised, there is a general acceptance that entities should </w:t>
      </w:r>
      <w:r w:rsidR="00993CFE">
        <w:t>undertake</w:t>
      </w:r>
      <w:r>
        <w:t xml:space="preserve"> rigorous compliance. </w:t>
      </w:r>
    </w:p>
    <w:p w14:paraId="74C6902E" w14:textId="4AF332ED" w:rsidR="00F25181" w:rsidRDefault="00F25181" w:rsidP="00F25181">
      <w:r>
        <w:t xml:space="preserve">The ATO has published guidance (Practical Compliance Guideline PCG 2020/7) explaining the compliance approach they will take to administering the arm’s length debt test. Arrangements are placed in ‘risk-zones’, with resources allocated based on where the taxpayer sits in the risk spectrum.  </w:t>
      </w:r>
    </w:p>
    <w:p w14:paraId="00961945" w14:textId="5AD476BF" w:rsidR="00F25181" w:rsidRDefault="00F25181" w:rsidP="00F25181">
      <w:r>
        <w:t>While this guidance is helpful in assisting taxpayers to comply with the rules, taxpayers continue to report complexity and high compliance costs involved in applying the arm’s length debt test.</w:t>
      </w:r>
      <w:r w:rsidR="00D50384">
        <w:t xml:space="preserve"> Similarly, the ATO also incurs a high compliance </w:t>
      </w:r>
      <w:r w:rsidR="00DF4167">
        <w:t xml:space="preserve">and administration costs. </w:t>
      </w:r>
    </w:p>
    <w:p w14:paraId="34A3DCD5" w14:textId="7E1E5ECD" w:rsidR="00391EE5" w:rsidRDefault="00391EE5" w:rsidP="00B41B37">
      <w:pPr>
        <w:pStyle w:val="Heading4"/>
      </w:pPr>
      <w:r>
        <w:t>Integrity</w:t>
      </w:r>
      <w:r w:rsidR="00B41B37">
        <w:t xml:space="preserve"> issues</w:t>
      </w:r>
    </w:p>
    <w:p w14:paraId="2C820EE2" w14:textId="5692D95F" w:rsidR="009F6559" w:rsidRDefault="00A82014" w:rsidP="009F6559">
      <w:r>
        <w:t>While the arm’s length debt amount is determined according to prescribed criteria, it is not a bright</w:t>
      </w:r>
      <w:r w:rsidR="00DF4167">
        <w:t>-</w:t>
      </w:r>
      <w:r>
        <w:t xml:space="preserve"> line </w:t>
      </w:r>
      <w:r w:rsidR="00B41B37">
        <w:t>test</w:t>
      </w:r>
      <w:r>
        <w:t xml:space="preserve"> and it can be difficult to establish the genuine commercial quantum of debt allowable under the </w:t>
      </w:r>
      <w:r w:rsidR="000B5893">
        <w:t>rules</w:t>
      </w:r>
      <w:r>
        <w:t xml:space="preserve">. </w:t>
      </w:r>
      <w:r w:rsidR="00AE4828">
        <w:t>This issue generally arise</w:t>
      </w:r>
      <w:r w:rsidR="00F00FF9">
        <w:t>s</w:t>
      </w:r>
      <w:r w:rsidR="00AE4828">
        <w:t xml:space="preserve"> from related party borrowings (as opposed to third-party debt). </w:t>
      </w:r>
      <w:r w:rsidR="00D57BFC">
        <w:t>E</w:t>
      </w:r>
      <w:r w:rsidR="00D50384" w:rsidRPr="0000067E">
        <w:t xml:space="preserve">ven with strong transfer pricing rules, issues can </w:t>
      </w:r>
      <w:r w:rsidR="00D50384">
        <w:t xml:space="preserve">still </w:t>
      </w:r>
      <w:r w:rsidR="00D50384" w:rsidRPr="0000067E">
        <w:t xml:space="preserve">arise </w:t>
      </w:r>
      <w:r w:rsidR="00D50384">
        <w:t xml:space="preserve">in </w:t>
      </w:r>
      <w:r w:rsidR="00B1095F">
        <w:t xml:space="preserve">complying with, and </w:t>
      </w:r>
      <w:r w:rsidR="00D50384">
        <w:t>administering</w:t>
      </w:r>
      <w:r w:rsidR="00B1095F">
        <w:t>,</w:t>
      </w:r>
      <w:r w:rsidR="00D50384">
        <w:t xml:space="preserve"> the test (i.e</w:t>
      </w:r>
      <w:r w:rsidR="000B5893">
        <w:t>.,</w:t>
      </w:r>
      <w:r w:rsidR="00D50384">
        <w:t xml:space="preserve"> the extent o</w:t>
      </w:r>
      <w:r w:rsidR="00D50384" w:rsidRPr="0000067E">
        <w:t>f ‘implicit credit support’ and the effect that has on an interest rate, the concept of ‘notional’ or ‘hypothesised’ entities, and information asymmetries generally</w:t>
      </w:r>
      <w:r w:rsidR="00B1095F">
        <w:t>)</w:t>
      </w:r>
      <w:r w:rsidR="00D50384" w:rsidRPr="0000067E">
        <w:t>.</w:t>
      </w:r>
      <w:r w:rsidR="009F6559">
        <w:t xml:space="preserve"> </w:t>
      </w:r>
    </w:p>
    <w:p w14:paraId="1481C76D" w14:textId="5E1425EA" w:rsidR="009F6559" w:rsidRDefault="00D57BFC" w:rsidP="009F6559">
      <w:r>
        <w:t>If an above</w:t>
      </w:r>
      <w:r w:rsidR="00DF4167">
        <w:t>-</w:t>
      </w:r>
      <w:r>
        <w:t>arm’s length</w:t>
      </w:r>
      <w:r w:rsidR="00DF4167">
        <w:t>-</w:t>
      </w:r>
      <w:r>
        <w:t xml:space="preserve">interest rate is still being paid on a quantum of debt allowed under the thin capitalisation rules, </w:t>
      </w:r>
      <w:r w:rsidR="000B5893">
        <w:t>the higher rate</w:t>
      </w:r>
      <w:r>
        <w:t xml:space="preserve"> undermines the policy intent of limiting Australian debt deductions to a commercially justifiable amount. </w:t>
      </w:r>
      <w:r w:rsidR="009F6559">
        <w:t xml:space="preserve">This gives rise to questions about whether the existing legislative architecture for the arm’s length debt test is </w:t>
      </w:r>
      <w:r w:rsidR="00B41B37">
        <w:t xml:space="preserve">still </w:t>
      </w:r>
      <w:r w:rsidR="009F6559">
        <w:t xml:space="preserve">appropriate. </w:t>
      </w:r>
    </w:p>
    <w:p w14:paraId="070C81F6" w14:textId="77777777" w:rsidR="00B41B37" w:rsidRDefault="00B41B37" w:rsidP="00B41B37">
      <w:pPr>
        <w:pStyle w:val="Heading4"/>
      </w:pPr>
      <w:r>
        <w:t>Behavioural response</w:t>
      </w:r>
    </w:p>
    <w:p w14:paraId="237FF54E" w14:textId="577C05E1" w:rsidR="008B519E" w:rsidRDefault="00B1095F" w:rsidP="00D6020B">
      <w:r>
        <w:t>The i</w:t>
      </w:r>
      <w:r w:rsidR="00953819" w:rsidRPr="00B41B37">
        <w:t>ntegrity</w:t>
      </w:r>
      <w:r w:rsidR="008B519E">
        <w:t xml:space="preserve"> </w:t>
      </w:r>
      <w:r w:rsidR="00CA2D19">
        <w:t xml:space="preserve">and compliance </w:t>
      </w:r>
      <w:r>
        <w:t>issue</w:t>
      </w:r>
      <w:r w:rsidR="00953819" w:rsidRPr="00B41B37">
        <w:t xml:space="preserve">s </w:t>
      </w:r>
      <w:r>
        <w:t xml:space="preserve">outlined above </w:t>
      </w:r>
      <w:r w:rsidR="00953819" w:rsidRPr="00B41B37">
        <w:t>are</w:t>
      </w:r>
      <w:r w:rsidR="008B519E" w:rsidRPr="00B41B37">
        <w:t xml:space="preserve"> </w:t>
      </w:r>
      <w:r>
        <w:t>relevant</w:t>
      </w:r>
      <w:r w:rsidR="008B519E" w:rsidRPr="00B41B37">
        <w:t xml:space="preserve"> </w:t>
      </w:r>
      <w:r>
        <w:t xml:space="preserve">to </w:t>
      </w:r>
      <w:r w:rsidRPr="000B5893">
        <w:t>the extent</w:t>
      </w:r>
      <w:r>
        <w:t xml:space="preserve"> the introduction</w:t>
      </w:r>
      <w:r w:rsidR="008B519E">
        <w:t xml:space="preserve"> of </w:t>
      </w:r>
      <w:r>
        <w:t>a fixed ratio rule would encourage</w:t>
      </w:r>
      <w:r w:rsidR="008B519E" w:rsidRPr="00B41B37">
        <w:t xml:space="preserve"> </w:t>
      </w:r>
      <w:r w:rsidR="008B519E">
        <w:t xml:space="preserve">entities </w:t>
      </w:r>
      <w:r>
        <w:t>to</w:t>
      </w:r>
      <w:r w:rsidR="008B519E">
        <w:t xml:space="preserve"> </w:t>
      </w:r>
      <w:r w:rsidR="00827EF4">
        <w:t>begin</w:t>
      </w:r>
      <w:r w:rsidR="008B519E">
        <w:t xml:space="preserve"> using the arm’s length test</w:t>
      </w:r>
      <w:r>
        <w:t xml:space="preserve">. </w:t>
      </w:r>
      <w:r w:rsidR="000B5893">
        <w:t>Entities might</w:t>
      </w:r>
      <w:r>
        <w:t xml:space="preserve"> seek</w:t>
      </w:r>
      <w:r w:rsidR="008B519E">
        <w:t xml:space="preserve"> to justify a higher quantum of debt</w:t>
      </w:r>
      <w:r>
        <w:t>, or higher interest deductions than would be allowed under the fixed ratio rule</w:t>
      </w:r>
      <w:r w:rsidR="000B5893">
        <w:t xml:space="preserve"> by moving to the arm’s length test.</w:t>
      </w:r>
      <w:r w:rsidR="008B519E" w:rsidRPr="00B41B37">
        <w:t xml:space="preserve"> </w:t>
      </w:r>
      <w:r>
        <w:t>While t</w:t>
      </w:r>
      <w:r w:rsidR="008B519E" w:rsidRPr="00B41B37">
        <w:t xml:space="preserve">his </w:t>
      </w:r>
      <w:r>
        <w:t xml:space="preserve">sort of behavioural response </w:t>
      </w:r>
      <w:r w:rsidR="008B519E" w:rsidRPr="00B41B37">
        <w:t xml:space="preserve">would </w:t>
      </w:r>
      <w:r>
        <w:t>be dependent on the core design features of the fixed ratio rule (canvassed above), it would nonetheless</w:t>
      </w:r>
      <w:r w:rsidR="008B519E">
        <w:t xml:space="preserve"> undermine the Government’s policy intent (while also imposing increased administrative burdens on the ATO).</w:t>
      </w:r>
    </w:p>
    <w:p w14:paraId="37A10F33" w14:textId="3C871781" w:rsidR="00827EF4" w:rsidRDefault="00B1095F" w:rsidP="00D6020B">
      <w:r>
        <w:lastRenderedPageBreak/>
        <w:t>The consideration</w:t>
      </w:r>
      <w:r w:rsidR="00827EF4">
        <w:t xml:space="preserve"> of </w:t>
      </w:r>
      <w:r>
        <w:t>any</w:t>
      </w:r>
      <w:r w:rsidR="00827EF4" w:rsidRPr="008B519E">
        <w:t xml:space="preserve"> changes to the arm’s length debt test would </w:t>
      </w:r>
      <w:r w:rsidR="00DF4167">
        <w:t>seek</w:t>
      </w:r>
      <w:r w:rsidR="00DF4167" w:rsidRPr="008B519E">
        <w:t xml:space="preserve"> </w:t>
      </w:r>
      <w:r w:rsidR="00827EF4" w:rsidRPr="008B519E">
        <w:t>to ensure integrity, w</w:t>
      </w:r>
      <w:r>
        <w:t>hile balancing</w:t>
      </w:r>
      <w:r w:rsidR="00827EF4" w:rsidRPr="008B519E">
        <w:t xml:space="preserve"> the ability to determine a genuinely commercial level of debt for the Australian business</w:t>
      </w:r>
      <w:r>
        <w:t>.</w:t>
      </w:r>
      <w:r w:rsidR="00827EF4">
        <w:t xml:space="preserve"> </w:t>
      </w:r>
    </w:p>
    <w:p w14:paraId="0A7285DA" w14:textId="6AF90A7C" w:rsidR="00D6020B" w:rsidRDefault="00D6020B" w:rsidP="00B1095F">
      <w:pPr>
        <w:pStyle w:val="Bullet"/>
        <w:numPr>
          <w:ilvl w:val="0"/>
          <w:numId w:val="0"/>
        </w:numPr>
        <w:ind w:left="520"/>
      </w:pP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671120" w14:paraId="62AC940C" w14:textId="77777777" w:rsidTr="006016A6">
        <w:tc>
          <w:tcPr>
            <w:tcW w:w="5000" w:type="pct"/>
            <w:shd w:val="clear" w:color="auto" w:fill="EEEEEE" w:themeFill="background2"/>
          </w:tcPr>
          <w:p w14:paraId="04432302" w14:textId="77777777" w:rsidR="00671120" w:rsidRPr="000D1284" w:rsidRDefault="00671120" w:rsidP="00671120">
            <w:pPr>
              <w:pStyle w:val="BoxHeading"/>
            </w:pPr>
            <w:r>
              <w:t>Questions</w:t>
            </w:r>
          </w:p>
          <w:p w14:paraId="1EA2A812" w14:textId="7AFD5AA6" w:rsidR="00671120" w:rsidRDefault="00671120" w:rsidP="00200AC7">
            <w:pPr>
              <w:pStyle w:val="BoxText"/>
              <w:numPr>
                <w:ilvl w:val="0"/>
                <w:numId w:val="39"/>
              </w:numPr>
              <w:ind w:left="342" w:hanging="342"/>
            </w:pPr>
            <w:r>
              <w:t xml:space="preserve">Would </w:t>
            </w:r>
            <w:r w:rsidR="0069180F">
              <w:t>introducing</w:t>
            </w:r>
            <w:r>
              <w:t xml:space="preserve"> a fixed ratio rule encourage entities </w:t>
            </w:r>
            <w:r w:rsidR="0069180F">
              <w:t>not currently using</w:t>
            </w:r>
            <w:r>
              <w:t xml:space="preserve"> the arm’s length debt test</w:t>
            </w:r>
            <w:r w:rsidR="0069180F">
              <w:t xml:space="preserve"> to shift to </w:t>
            </w:r>
            <w:r w:rsidR="00993CFE">
              <w:t>an</w:t>
            </w:r>
            <w:r>
              <w:t xml:space="preserve"> arm’s length test? If so, </w:t>
            </w:r>
            <w:r w:rsidR="0069180F">
              <w:t>why? A</w:t>
            </w:r>
            <w:r>
              <w:t xml:space="preserve">re there </w:t>
            </w:r>
            <w:r w:rsidR="0069180F">
              <w:t>specific</w:t>
            </w:r>
            <w:r>
              <w:t xml:space="preserve"> </w:t>
            </w:r>
            <w:r w:rsidR="0069180F">
              <w:t>s</w:t>
            </w:r>
            <w:r>
              <w:t>ectors</w:t>
            </w:r>
            <w:r w:rsidR="0069180F">
              <w:t xml:space="preserve"> where this type of behavioural response is likely to be more evident? </w:t>
            </w:r>
          </w:p>
          <w:p w14:paraId="14EADE76" w14:textId="668CEBF0" w:rsidR="00671120" w:rsidRDefault="00244F63" w:rsidP="00200AC7">
            <w:pPr>
              <w:pStyle w:val="BoxText"/>
              <w:numPr>
                <w:ilvl w:val="0"/>
                <w:numId w:val="39"/>
              </w:numPr>
              <w:ind w:left="342" w:hanging="342"/>
            </w:pPr>
            <w:r>
              <w:t>For entities currently using the arm’s length debt test, w</w:t>
            </w:r>
            <w:r w:rsidR="0069180F">
              <w:t xml:space="preserve">ould </w:t>
            </w:r>
            <w:r w:rsidR="00B1095F">
              <w:t>replacing</w:t>
            </w:r>
            <w:r w:rsidR="0069180F">
              <w:t xml:space="preserve"> the current ‘standalone entity’ rule </w:t>
            </w:r>
            <w:r w:rsidR="0069180F" w:rsidDel="00920199">
              <w:t xml:space="preserve">to </w:t>
            </w:r>
            <w:r w:rsidR="0069180F">
              <w:t>require</w:t>
            </w:r>
            <w:r>
              <w:t xml:space="preserve"> consideration of the entity being a member of a worldwide group reduce compliance costs</w:t>
            </w:r>
            <w:r w:rsidR="00671120">
              <w:t>?</w:t>
            </w:r>
            <w:r>
              <w:t xml:space="preserve"> If not, why?</w:t>
            </w:r>
          </w:p>
          <w:p w14:paraId="47444F1F" w14:textId="61B5C07D" w:rsidR="004B7A1A" w:rsidRDefault="00F00FF9" w:rsidP="00200AC7">
            <w:pPr>
              <w:pStyle w:val="BoxText"/>
              <w:numPr>
                <w:ilvl w:val="0"/>
                <w:numId w:val="39"/>
              </w:numPr>
              <w:ind w:left="342" w:hanging="342"/>
            </w:pPr>
            <w:r>
              <w:t xml:space="preserve">To what extent does the current arm’s length debt test permit </w:t>
            </w:r>
            <w:r w:rsidR="00C73952">
              <w:t>BEPS</w:t>
            </w:r>
            <w:r>
              <w:t xml:space="preserve"> practices to occur? </w:t>
            </w:r>
            <w:r w:rsidR="004B7A1A">
              <w:t>What changes should be made to ensure that an arm’s length test complements the fixed ratio rule?</w:t>
            </w:r>
          </w:p>
          <w:p w14:paraId="7491C335" w14:textId="52635F2A" w:rsidR="00993CFE" w:rsidRDefault="00993CFE" w:rsidP="00200AC7">
            <w:pPr>
              <w:pStyle w:val="BoxText"/>
              <w:numPr>
                <w:ilvl w:val="0"/>
                <w:numId w:val="39"/>
              </w:numPr>
              <w:ind w:left="342" w:hanging="342"/>
            </w:pPr>
            <w:r>
              <w:t>How should the different integrity concerns posed by external (third-party) debt and related-party debt be reflected in any changes to the arm’s length debt test?</w:t>
            </w:r>
          </w:p>
          <w:p w14:paraId="5C243971" w14:textId="00851938" w:rsidR="00993CFE" w:rsidRDefault="00244F63" w:rsidP="00200AC7">
            <w:pPr>
              <w:pStyle w:val="BoxText"/>
              <w:numPr>
                <w:ilvl w:val="0"/>
                <w:numId w:val="39"/>
              </w:numPr>
              <w:ind w:left="342" w:hanging="342"/>
            </w:pPr>
            <w:r>
              <w:t xml:space="preserve">Would differentiating between external (third-party) debt and related-party debt </w:t>
            </w:r>
            <w:r w:rsidR="004F602A">
              <w:t>simplify the operation of the test</w:t>
            </w:r>
            <w:r>
              <w:t xml:space="preserve">? </w:t>
            </w:r>
          </w:p>
          <w:p w14:paraId="0346DC20" w14:textId="7C8394BD" w:rsidR="00E764E2" w:rsidRDefault="00993CFE" w:rsidP="00200AC7">
            <w:pPr>
              <w:pStyle w:val="BoxText"/>
              <w:numPr>
                <w:ilvl w:val="0"/>
                <w:numId w:val="39"/>
              </w:numPr>
              <w:ind w:left="342" w:hanging="342"/>
            </w:pPr>
            <w:r>
              <w:t>W</w:t>
            </w:r>
            <w:r w:rsidR="00244F63">
              <w:t>ould additional limitations be required to prevent any unintended consequences, such as ‘debt dumping’</w:t>
            </w:r>
            <w:r>
              <w:t xml:space="preserve"> or other debt</w:t>
            </w:r>
            <w:r w:rsidR="00E34C92">
              <w:t>-</w:t>
            </w:r>
            <w:r>
              <w:t>creation integrity concerns</w:t>
            </w:r>
            <w:r w:rsidR="00244F63">
              <w:t xml:space="preserve">? </w:t>
            </w:r>
          </w:p>
          <w:p w14:paraId="4DF8F3C4" w14:textId="580B07B2" w:rsidR="00671120" w:rsidRPr="000D1284" w:rsidRDefault="00671120" w:rsidP="00200AC7">
            <w:pPr>
              <w:pStyle w:val="BoxText"/>
              <w:numPr>
                <w:ilvl w:val="0"/>
                <w:numId w:val="39"/>
              </w:numPr>
              <w:ind w:left="342" w:hanging="342"/>
            </w:pPr>
            <w:r>
              <w:t xml:space="preserve">Are there any other changes </w:t>
            </w:r>
            <w:r w:rsidR="0069180F">
              <w:t xml:space="preserve">(policy or administrative) </w:t>
            </w:r>
            <w:r>
              <w:t>that could be made to the arm’s length debt test</w:t>
            </w:r>
            <w:r w:rsidR="0069180F">
              <w:t xml:space="preserve">, </w:t>
            </w:r>
            <w:r w:rsidR="00E34C92">
              <w:t xml:space="preserve">to </w:t>
            </w:r>
            <w:r w:rsidR="0069180F">
              <w:t>keep in line with the Government’s commitment to limit interest deductions</w:t>
            </w:r>
            <w:r>
              <w:t>?</w:t>
            </w:r>
            <w:r w:rsidR="004C2AF5">
              <w:t xml:space="preserve"> If so, what would be a reasonable transition period</w:t>
            </w:r>
            <w:r w:rsidR="000B5893">
              <w:t xml:space="preserve"> to introduce these changes</w:t>
            </w:r>
            <w:r w:rsidR="004C2AF5">
              <w:t xml:space="preserve">?  </w:t>
            </w:r>
          </w:p>
        </w:tc>
      </w:tr>
    </w:tbl>
    <w:p w14:paraId="1C13A021" w14:textId="4928E378" w:rsidR="00F06A0F" w:rsidRDefault="00F06A0F" w:rsidP="00F06A0F">
      <w:pPr>
        <w:pStyle w:val="Heading2"/>
      </w:pPr>
    </w:p>
    <w:p w14:paraId="3DF12727" w14:textId="50D7D6F5" w:rsidR="00354FC9" w:rsidRDefault="00354FC9" w:rsidP="00354FC9">
      <w:pPr>
        <w:sectPr w:rsidR="00354FC9" w:rsidSect="009927E5">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docGrid w:linePitch="360"/>
        </w:sectPr>
      </w:pPr>
    </w:p>
    <w:p w14:paraId="312F9211" w14:textId="606BE151" w:rsidR="00354FC9" w:rsidRDefault="00690C5B" w:rsidP="00354FC9">
      <w:pPr>
        <w:pStyle w:val="Heading1"/>
      </w:pPr>
      <w:bookmarkStart w:id="18" w:name="_Toc110583139"/>
      <w:r>
        <w:lastRenderedPageBreak/>
        <w:t xml:space="preserve">Part 2: </w:t>
      </w:r>
      <w:r w:rsidR="00354FC9">
        <w:t xml:space="preserve">Denying MNEs deductions </w:t>
      </w:r>
      <w:r w:rsidR="00FB4AB6">
        <w:t xml:space="preserve">for payments </w:t>
      </w:r>
      <w:r w:rsidR="00602D7B">
        <w:t>relating to intangible</w:t>
      </w:r>
      <w:r w:rsidR="00E60F40">
        <w:t>s</w:t>
      </w:r>
      <w:r w:rsidR="00602D7B">
        <w:t xml:space="preserve"> </w:t>
      </w:r>
      <w:r w:rsidR="00E60F40">
        <w:t xml:space="preserve">and royalties </w:t>
      </w:r>
      <w:r w:rsidR="00BA499F">
        <w:t>paid</w:t>
      </w:r>
      <w:r w:rsidR="003A7C21">
        <w:t xml:space="preserve"> </w:t>
      </w:r>
      <w:r w:rsidR="00FB4AB6" w:rsidDel="00DF2549">
        <w:t>to low or no tax jurisdictions</w:t>
      </w:r>
      <w:bookmarkEnd w:id="18"/>
    </w:p>
    <w:p w14:paraId="090367A0" w14:textId="3140078D" w:rsidR="00354FC9" w:rsidRDefault="00354FC9" w:rsidP="00354FC9">
      <w:pPr>
        <w:pStyle w:val="Heading2"/>
      </w:pPr>
      <w:bookmarkStart w:id="19" w:name="_Toc110583140"/>
      <w:r>
        <w:t>Introduction</w:t>
      </w:r>
      <w:bookmarkEnd w:id="19"/>
    </w:p>
    <w:p w14:paraId="0ED93EF4" w14:textId="113A7372" w:rsidR="00047038" w:rsidRDefault="008A1381" w:rsidP="00047038">
      <w:r>
        <w:t>MNEs</w:t>
      </w:r>
      <w:r w:rsidR="004D7FEA">
        <w:t xml:space="preserve"> </w:t>
      </w:r>
      <w:r w:rsidR="00AB0189">
        <w:t xml:space="preserve">can </w:t>
      </w:r>
      <w:r w:rsidR="004D7FEA">
        <w:t>shift profits to low or no tax jurisdictions</w:t>
      </w:r>
      <w:r w:rsidR="00294825">
        <w:t xml:space="preserve"> </w:t>
      </w:r>
      <w:r w:rsidR="00AB0189">
        <w:t xml:space="preserve">using </w:t>
      </w:r>
      <w:r w:rsidR="00294825">
        <w:t>arrangements involving intangibles</w:t>
      </w:r>
      <w:r w:rsidR="004D7FEA">
        <w:t xml:space="preserve"> to avoid paying tax in Australia. The fast growth of the digital economy</w:t>
      </w:r>
      <w:r w:rsidR="00294825">
        <w:t xml:space="preserve"> has</w:t>
      </w:r>
      <w:r w:rsidR="004D7FEA">
        <w:t xml:space="preserve"> exacerbated these practices, with an increasing number of </w:t>
      </w:r>
      <w:r w:rsidR="0022159B">
        <w:t xml:space="preserve">MNEs </w:t>
      </w:r>
      <w:r w:rsidR="004D7FEA">
        <w:t xml:space="preserve">structuring their ownership </w:t>
      </w:r>
      <w:r w:rsidR="002F0E72">
        <w:t>of intangible</w:t>
      </w:r>
      <w:r w:rsidR="00E60F40">
        <w:t>s</w:t>
      </w:r>
      <w:r w:rsidR="002F0E72">
        <w:t xml:space="preserve"> </w:t>
      </w:r>
      <w:r w:rsidR="004D7FEA">
        <w:t>through low tax jurisdictions</w:t>
      </w:r>
      <w:r w:rsidR="00BE766B">
        <w:t>, giving rise to integrity risks to Australia’s tax base</w:t>
      </w:r>
      <w:r w:rsidR="004D7FEA">
        <w:t>.</w:t>
      </w:r>
    </w:p>
    <w:p w14:paraId="44D0A61B" w14:textId="08399061" w:rsidR="00B92E22" w:rsidRDefault="005919D5" w:rsidP="00047038">
      <w:r>
        <w:t>The Government</w:t>
      </w:r>
      <w:r w:rsidR="00DF2549">
        <w:t xml:space="preserve"> has</w:t>
      </w:r>
      <w:r>
        <w:t xml:space="preserve"> announced </w:t>
      </w:r>
      <w:r w:rsidR="00A870CC">
        <w:t xml:space="preserve">it </w:t>
      </w:r>
      <w:r w:rsidR="00DF2549">
        <w:t xml:space="preserve">will </w:t>
      </w:r>
      <w:r w:rsidR="00A870CC">
        <w:t xml:space="preserve">introduce a new rule limiting MNEs’ ability to claim tax deductions for payments </w:t>
      </w:r>
      <w:r w:rsidR="00E60F40">
        <w:t>relating to intangibles and royalties</w:t>
      </w:r>
      <w:r w:rsidR="003D200D">
        <w:t>,</w:t>
      </w:r>
      <w:r w:rsidR="00544E67">
        <w:t xml:space="preserve"> that </w:t>
      </w:r>
      <w:r w:rsidR="0085486B">
        <w:t xml:space="preserve">can </w:t>
      </w:r>
      <w:r w:rsidR="00544E67">
        <w:t>lead</w:t>
      </w:r>
      <w:r w:rsidR="00DF2549">
        <w:t xml:space="preserve"> </w:t>
      </w:r>
      <w:r w:rsidR="00A870CC">
        <w:t xml:space="preserve">to </w:t>
      </w:r>
      <w:r w:rsidR="00544E67">
        <w:t>insufficient</w:t>
      </w:r>
      <w:r w:rsidR="00A870CC">
        <w:t xml:space="preserve"> tax</w:t>
      </w:r>
      <w:r w:rsidR="00544E67">
        <w:t xml:space="preserve"> paid</w:t>
      </w:r>
      <w:r w:rsidR="00A870CC">
        <w:t>. Th</w:t>
      </w:r>
      <w:r w:rsidR="003D200D">
        <w:t xml:space="preserve">e </w:t>
      </w:r>
      <w:r w:rsidR="00B92E22" w:rsidRPr="00B92E22">
        <w:t xml:space="preserve">proposed measure is consistent with actions </w:t>
      </w:r>
      <w:r w:rsidR="003D200D">
        <w:t xml:space="preserve">taken by </w:t>
      </w:r>
      <w:r w:rsidR="00B92E22" w:rsidRPr="00B92E22">
        <w:t xml:space="preserve">other jurisdictions to address </w:t>
      </w:r>
      <w:r w:rsidR="00DF2549">
        <w:t>profit</w:t>
      </w:r>
      <w:r w:rsidR="003D200D">
        <w:t>-</w:t>
      </w:r>
      <w:r w:rsidR="00DF2549">
        <w:t xml:space="preserve">shifting </w:t>
      </w:r>
      <w:r w:rsidR="00B92E22" w:rsidRPr="00B92E22">
        <w:t>issues related to intangibles</w:t>
      </w:r>
      <w:r w:rsidR="00E76443">
        <w:t xml:space="preserve"> and royalties</w:t>
      </w:r>
      <w:r w:rsidR="00B92E22" w:rsidRPr="00B92E22">
        <w:t>.</w:t>
      </w:r>
    </w:p>
    <w:p w14:paraId="5B682042" w14:textId="3A105B72" w:rsidR="00354FC9" w:rsidRDefault="00354FC9" w:rsidP="00354FC9">
      <w:pPr>
        <w:pStyle w:val="Heading2"/>
      </w:pPr>
      <w:bookmarkStart w:id="20" w:name="_Toc110583141"/>
      <w:r>
        <w:t xml:space="preserve">Current </w:t>
      </w:r>
      <w:r w:rsidR="00467A9A">
        <w:t>rules</w:t>
      </w:r>
      <w:bookmarkEnd w:id="20"/>
    </w:p>
    <w:p w14:paraId="21EE8F15" w14:textId="61404353" w:rsidR="00A55EE6" w:rsidRDefault="00A416AC" w:rsidP="00C40DE4">
      <w:r>
        <w:t xml:space="preserve">Royalties are </w:t>
      </w:r>
      <w:r w:rsidR="00A55EE6">
        <w:t xml:space="preserve">broadly </w:t>
      </w:r>
      <w:r w:rsidR="00C40DE4">
        <w:t xml:space="preserve">defined for the purposes of Australia’s tax law both </w:t>
      </w:r>
      <w:r w:rsidR="00A55EE6">
        <w:t xml:space="preserve">in section 6(1) of </w:t>
      </w:r>
      <w:r w:rsidR="00C40DE4">
        <w:t xml:space="preserve">the </w:t>
      </w:r>
      <w:r w:rsidR="00C40DE4" w:rsidRPr="00C40DE4">
        <w:rPr>
          <w:i/>
          <w:iCs/>
        </w:rPr>
        <w:t>Income Tax Assessment Act 1936</w:t>
      </w:r>
      <w:r w:rsidR="00847F4D">
        <w:rPr>
          <w:i/>
          <w:iCs/>
        </w:rPr>
        <w:t xml:space="preserve"> </w:t>
      </w:r>
      <w:r w:rsidR="00847F4D" w:rsidRPr="00847F4D">
        <w:t>(ITAA 1936)</w:t>
      </w:r>
      <w:r w:rsidR="00C40DE4">
        <w:rPr>
          <w:i/>
          <w:iCs/>
        </w:rPr>
        <w:t xml:space="preserve"> </w:t>
      </w:r>
      <w:r w:rsidR="00C40DE4">
        <w:t xml:space="preserve">and in Australia’s </w:t>
      </w:r>
      <w:r w:rsidR="00372657">
        <w:t xml:space="preserve">bilateral </w:t>
      </w:r>
      <w:r w:rsidR="00C40DE4">
        <w:t>tax treaties</w:t>
      </w:r>
      <w:r w:rsidR="00A55EE6">
        <w:t xml:space="preserve">. </w:t>
      </w:r>
    </w:p>
    <w:p w14:paraId="48519FF8" w14:textId="2821560A" w:rsidR="00C40DE4" w:rsidRDefault="00C40DE4" w:rsidP="00C40DE4">
      <w:r>
        <w:t xml:space="preserve">Examples of royalties </w:t>
      </w:r>
      <w:r w:rsidR="006C0CC6">
        <w:t>as defined in</w:t>
      </w:r>
      <w:r>
        <w:t xml:space="preserve"> the ITAA 1936 include amounts paid or credited as consideration for:</w:t>
      </w:r>
    </w:p>
    <w:p w14:paraId="158E41C1" w14:textId="74E3B021" w:rsidR="00C40DE4" w:rsidRDefault="00C40DE4" w:rsidP="006547C0">
      <w:pPr>
        <w:pStyle w:val="Bullet"/>
        <w:numPr>
          <w:ilvl w:val="0"/>
          <w:numId w:val="14"/>
        </w:numPr>
        <w:ind w:hanging="378"/>
      </w:pPr>
      <w:r>
        <w:t xml:space="preserve">the use of, or the right to use, any copyright, patent, design or model, plan, secret formula or process, trademark, or other like property or </w:t>
      </w:r>
      <w:proofErr w:type="gramStart"/>
      <w:r>
        <w:t>right;</w:t>
      </w:r>
      <w:proofErr w:type="gramEnd"/>
    </w:p>
    <w:p w14:paraId="1CCE8D63" w14:textId="3F9C6D8C" w:rsidR="00C40DE4" w:rsidRDefault="00C40DE4" w:rsidP="006547C0">
      <w:pPr>
        <w:pStyle w:val="Bullet"/>
        <w:numPr>
          <w:ilvl w:val="0"/>
          <w:numId w:val="14"/>
        </w:numPr>
        <w:ind w:hanging="378"/>
      </w:pPr>
      <w:r>
        <w:t xml:space="preserve">the use of, or the right to use, any industrial, </w:t>
      </w:r>
      <w:proofErr w:type="gramStart"/>
      <w:r>
        <w:t>commercial</w:t>
      </w:r>
      <w:proofErr w:type="gramEnd"/>
      <w:r>
        <w:t xml:space="preserve"> or scientific equipment; and</w:t>
      </w:r>
    </w:p>
    <w:p w14:paraId="7F11BDEC" w14:textId="386CFEF5" w:rsidR="00C40DE4" w:rsidRPr="00C40DE4" w:rsidRDefault="00C40DE4" w:rsidP="006547C0">
      <w:pPr>
        <w:pStyle w:val="Bullet"/>
        <w:numPr>
          <w:ilvl w:val="0"/>
          <w:numId w:val="14"/>
        </w:numPr>
        <w:ind w:hanging="378"/>
      </w:pPr>
      <w:r>
        <w:t xml:space="preserve">the supply of scientific, technical, </w:t>
      </w:r>
      <w:proofErr w:type="gramStart"/>
      <w:r>
        <w:t>industrial</w:t>
      </w:r>
      <w:proofErr w:type="gramEnd"/>
      <w:r>
        <w:t xml:space="preserve"> or commercial knowledge or information.</w:t>
      </w:r>
    </w:p>
    <w:p w14:paraId="664A0B44" w14:textId="1FE35866" w:rsidR="00A55EE6" w:rsidRDefault="00A55EE6" w:rsidP="008E6152">
      <w:r>
        <w:t xml:space="preserve">Royalties are also defined in Australia’s </w:t>
      </w:r>
      <w:r w:rsidR="00372657">
        <w:t>bilateral tax treaties</w:t>
      </w:r>
      <w:r>
        <w:t xml:space="preserve"> in </w:t>
      </w:r>
      <w:r w:rsidR="0026548F">
        <w:t xml:space="preserve">broadly </w:t>
      </w:r>
      <w:r>
        <w:t>similar terms to the domestic definition</w:t>
      </w:r>
      <w:r w:rsidR="00DF2549">
        <w:t>. I</w:t>
      </w:r>
      <w:r w:rsidR="0026548F">
        <w:t xml:space="preserve">ndividual treaties may vary given </w:t>
      </w:r>
      <w:r w:rsidR="008A346F">
        <w:t>they are</w:t>
      </w:r>
      <w:r w:rsidR="0026548F">
        <w:t xml:space="preserve"> the product of </w:t>
      </w:r>
      <w:r w:rsidR="004D274A">
        <w:t xml:space="preserve">bilateral </w:t>
      </w:r>
      <w:r w:rsidR="0026548F">
        <w:t>negotiation</w:t>
      </w:r>
      <w:r w:rsidR="008A346F">
        <w:t>s</w:t>
      </w:r>
      <w:r w:rsidR="0026548F">
        <w:t>.</w:t>
      </w:r>
      <w:r>
        <w:t xml:space="preserve"> </w:t>
      </w:r>
    </w:p>
    <w:p w14:paraId="1647833F" w14:textId="7E18CEAC" w:rsidR="008E6152" w:rsidRDefault="00C40DE4" w:rsidP="008E6152">
      <w:r>
        <w:t>In broad terms, r</w:t>
      </w:r>
      <w:r w:rsidR="00A65D4C">
        <w:t xml:space="preserve">oyalties paid to foreign residents are </w:t>
      </w:r>
      <w:r w:rsidR="00082333">
        <w:t xml:space="preserve">deductible by the Australian resident payer </w:t>
      </w:r>
      <w:r w:rsidR="00DF2549">
        <w:t>(</w:t>
      </w:r>
      <w:r w:rsidR="00082333">
        <w:t>reducing taxable income</w:t>
      </w:r>
      <w:r w:rsidR="00DF2549">
        <w:t>)</w:t>
      </w:r>
      <w:r w:rsidR="00082333">
        <w:t xml:space="preserve">, and </w:t>
      </w:r>
      <w:r w:rsidR="00A65D4C">
        <w:t xml:space="preserve">subject to </w:t>
      </w:r>
      <w:r w:rsidR="00764F3B">
        <w:t xml:space="preserve">a </w:t>
      </w:r>
      <w:r w:rsidR="00A65D4C">
        <w:t xml:space="preserve">final </w:t>
      </w:r>
      <w:r w:rsidR="00764F3B">
        <w:t>withholding tax</w:t>
      </w:r>
      <w:r w:rsidR="00082333">
        <w:t xml:space="preserve"> in the hands of the foreign recipient</w:t>
      </w:r>
      <w:r>
        <w:t>.</w:t>
      </w:r>
      <w:r w:rsidR="008E6152" w:rsidRPr="008E6152">
        <w:t xml:space="preserve"> </w:t>
      </w:r>
      <w:r w:rsidR="008605E5">
        <w:t>Where</w:t>
      </w:r>
      <w:r w:rsidR="00A416AC">
        <w:t xml:space="preserve"> the recipient is a resident of a </w:t>
      </w:r>
      <w:r w:rsidR="00694CEC">
        <w:t>jurisdiction</w:t>
      </w:r>
      <w:r w:rsidR="00A416AC">
        <w:t xml:space="preserve"> </w:t>
      </w:r>
      <w:r w:rsidR="00DF2549">
        <w:t xml:space="preserve">that </w:t>
      </w:r>
      <w:r w:rsidR="00A416AC">
        <w:t>has a tax treaty with Australia</w:t>
      </w:r>
      <w:r w:rsidR="003D200D">
        <w:t>,</w:t>
      </w:r>
      <w:r w:rsidR="00A416AC">
        <w:t xml:space="preserve"> the withholding rate is </w:t>
      </w:r>
      <w:r w:rsidR="00D90042">
        <w:t xml:space="preserve">lowered </w:t>
      </w:r>
      <w:r w:rsidR="00A416AC">
        <w:t>by the treaty</w:t>
      </w:r>
      <w:r w:rsidR="00B67A3A">
        <w:t xml:space="preserve"> (see Appendix 1)</w:t>
      </w:r>
      <w:r w:rsidR="00A416AC">
        <w:t xml:space="preserve">. </w:t>
      </w:r>
      <w:r w:rsidR="008E6152">
        <w:t>If there is no tax treaty</w:t>
      </w:r>
      <w:r w:rsidR="003D200D">
        <w:t xml:space="preserve">, </w:t>
      </w:r>
      <w:r w:rsidR="008E6152">
        <w:t xml:space="preserve">the </w:t>
      </w:r>
      <w:r w:rsidR="00A416AC">
        <w:t xml:space="preserve">withholding </w:t>
      </w:r>
      <w:r w:rsidR="008E6152">
        <w:t xml:space="preserve">rate </w:t>
      </w:r>
      <w:r w:rsidR="00A416AC">
        <w:t>is</w:t>
      </w:r>
      <w:r w:rsidR="008E6152">
        <w:t xml:space="preserve"> 30</w:t>
      </w:r>
      <w:r w:rsidR="00B25143">
        <w:t xml:space="preserve"> per cent.</w:t>
      </w:r>
    </w:p>
    <w:p w14:paraId="7C9DB3C3" w14:textId="2C494C86" w:rsidR="005812FC" w:rsidRDefault="001B79F4" w:rsidP="00A65D4C">
      <w:pPr>
        <w:pStyle w:val="DoubleDot"/>
        <w:numPr>
          <w:ilvl w:val="0"/>
          <w:numId w:val="0"/>
        </w:numPr>
      </w:pPr>
      <w:r>
        <w:t xml:space="preserve">Existing </w:t>
      </w:r>
      <w:r w:rsidR="005812FC">
        <w:t>rules in Australia’s tax integrity framework may apply</w:t>
      </w:r>
      <w:r>
        <w:t xml:space="preserve"> where taxpayers seek to reduce their tax liabilities in connection with transactions involving intangibles and royalties</w:t>
      </w:r>
      <w:r w:rsidR="005812FC">
        <w:t>. These include:</w:t>
      </w:r>
    </w:p>
    <w:p w14:paraId="23DE5B2E" w14:textId="2B3C5667" w:rsidR="005812FC" w:rsidRDefault="005812FC" w:rsidP="006547C0">
      <w:pPr>
        <w:pStyle w:val="Bullet"/>
        <w:numPr>
          <w:ilvl w:val="0"/>
          <w:numId w:val="14"/>
        </w:numPr>
      </w:pPr>
      <w:r>
        <w:t xml:space="preserve">the </w:t>
      </w:r>
      <w:r w:rsidR="00C40DE4">
        <w:t>transfer pricing rules</w:t>
      </w:r>
      <w:r w:rsidR="001D25E7">
        <w:t>,</w:t>
      </w:r>
      <w:r w:rsidR="00C40DE4">
        <w:t xml:space="preserve"> </w:t>
      </w:r>
      <w:r w:rsidR="003011C8">
        <w:t xml:space="preserve">which require cross-border transactions to be arm’s </w:t>
      </w:r>
      <w:proofErr w:type="gramStart"/>
      <w:r w:rsidR="003011C8">
        <w:t>length;</w:t>
      </w:r>
      <w:proofErr w:type="gramEnd"/>
    </w:p>
    <w:p w14:paraId="540046AF" w14:textId="2C89F135" w:rsidR="005812FC" w:rsidRDefault="00184FC4" w:rsidP="006547C0">
      <w:pPr>
        <w:pStyle w:val="Bullet"/>
        <w:numPr>
          <w:ilvl w:val="0"/>
          <w:numId w:val="14"/>
        </w:numPr>
      </w:pPr>
      <w:r>
        <w:t>the</w:t>
      </w:r>
      <w:r w:rsidR="00C40DE4">
        <w:t xml:space="preserve"> </w:t>
      </w:r>
      <w:r w:rsidR="00C40DE4" w:rsidRPr="00C40DE4">
        <w:t>general anti</w:t>
      </w:r>
      <w:r w:rsidR="00E76443">
        <w:noBreakHyphen/>
      </w:r>
      <w:r w:rsidR="00C40DE4" w:rsidRPr="00C40DE4">
        <w:t xml:space="preserve">avoidance </w:t>
      </w:r>
      <w:r w:rsidR="00D94D5C">
        <w:t>provisions</w:t>
      </w:r>
      <w:r w:rsidR="003011C8">
        <w:t xml:space="preserve"> </w:t>
      </w:r>
      <w:r w:rsidR="00C40DE4">
        <w:t xml:space="preserve">in </w:t>
      </w:r>
      <w:r w:rsidR="00C40DE4" w:rsidRPr="00C40DE4">
        <w:t>Part IVA</w:t>
      </w:r>
      <w:r w:rsidR="00C40DE4">
        <w:t xml:space="preserve"> of the ITAA 1936</w:t>
      </w:r>
      <w:r w:rsidR="003011C8">
        <w:t xml:space="preserve">, which cancel tax benefits </w:t>
      </w:r>
      <w:r w:rsidR="00ED243A">
        <w:t xml:space="preserve">in a range of </w:t>
      </w:r>
      <w:proofErr w:type="gramStart"/>
      <w:r w:rsidR="00ED243A">
        <w:t>circumstances</w:t>
      </w:r>
      <w:r w:rsidR="005812FC">
        <w:t>;</w:t>
      </w:r>
      <w:proofErr w:type="gramEnd"/>
    </w:p>
    <w:p w14:paraId="0898DDAF" w14:textId="428B22A3" w:rsidR="005812FC" w:rsidRDefault="001D25E7" w:rsidP="006547C0">
      <w:pPr>
        <w:pStyle w:val="Bullet"/>
        <w:numPr>
          <w:ilvl w:val="0"/>
          <w:numId w:val="14"/>
        </w:numPr>
      </w:pPr>
      <w:r>
        <w:lastRenderedPageBreak/>
        <w:t>the principal purpose test</w:t>
      </w:r>
      <w:r w:rsidR="00DF2549">
        <w:t>s</w:t>
      </w:r>
      <w:r>
        <w:t xml:space="preserve"> (or other similar rules) in Australia’s </w:t>
      </w:r>
      <w:r w:rsidR="00F67EEA">
        <w:t xml:space="preserve">bilateral </w:t>
      </w:r>
      <w:r>
        <w:t>tax treaties</w:t>
      </w:r>
      <w:r w:rsidR="00F67EEA">
        <w:t>, which disallow treaty benefits where obtaining that benefit was a principal purpose of the arrangement;</w:t>
      </w:r>
      <w:r w:rsidR="009C6EC3">
        <w:t xml:space="preserve"> and</w:t>
      </w:r>
    </w:p>
    <w:p w14:paraId="1ED7BFFE" w14:textId="1916A7AA" w:rsidR="00C40DE4" w:rsidRDefault="005812FC" w:rsidP="006547C0">
      <w:pPr>
        <w:pStyle w:val="Bullet"/>
        <w:numPr>
          <w:ilvl w:val="0"/>
          <w:numId w:val="14"/>
        </w:numPr>
      </w:pPr>
      <w:r>
        <w:t>t</w:t>
      </w:r>
      <w:r w:rsidR="001D25E7">
        <w:t>he controlled foreign company</w:t>
      </w:r>
      <w:r w:rsidR="0055393F">
        <w:t xml:space="preserve"> </w:t>
      </w:r>
      <w:r w:rsidR="001D25E7">
        <w:t>rul</w:t>
      </w:r>
      <w:r w:rsidR="00801005">
        <w:t>es</w:t>
      </w:r>
      <w:r>
        <w:t>, which</w:t>
      </w:r>
      <w:r w:rsidR="00801005">
        <w:t xml:space="preserve"> attribute </w:t>
      </w:r>
      <w:r w:rsidR="002A3BFE">
        <w:t xml:space="preserve">certain </w:t>
      </w:r>
      <w:r w:rsidR="00F67EEA">
        <w:t>income parked</w:t>
      </w:r>
      <w:r w:rsidR="00801005">
        <w:t xml:space="preserve"> offshore back to Australia.</w:t>
      </w:r>
    </w:p>
    <w:p w14:paraId="747CF9A3" w14:textId="3B57BF3E" w:rsidR="00B710E1" w:rsidRDefault="00903C0D" w:rsidP="00903C0D">
      <w:pPr>
        <w:pStyle w:val="Heading2"/>
      </w:pPr>
      <w:bookmarkStart w:id="21" w:name="_Toc110583142"/>
      <w:r>
        <w:t>Integrity issues</w:t>
      </w:r>
      <w:bookmarkEnd w:id="21"/>
    </w:p>
    <w:p w14:paraId="7263243D" w14:textId="1381DEFD" w:rsidR="00B33263" w:rsidRDefault="00456521" w:rsidP="00903C0D">
      <w:r>
        <w:t xml:space="preserve">In the context of </w:t>
      </w:r>
      <w:r w:rsidR="00DF2549">
        <w:t xml:space="preserve">the </w:t>
      </w:r>
      <w:r>
        <w:t>highly</w:t>
      </w:r>
      <w:r w:rsidR="00DF2549">
        <w:t xml:space="preserve"> globalised and</w:t>
      </w:r>
      <w:r>
        <w:t xml:space="preserve"> digitalised </w:t>
      </w:r>
      <w:r w:rsidR="00DF2549">
        <w:t xml:space="preserve">modern </w:t>
      </w:r>
      <w:r>
        <w:t xml:space="preserve">economy, </w:t>
      </w:r>
      <w:r w:rsidR="00B33263">
        <w:t>digital businesses and more traditional businesses</w:t>
      </w:r>
      <w:r>
        <w:t xml:space="preserve"> </w:t>
      </w:r>
      <w:r w:rsidR="00DF2549">
        <w:t xml:space="preserve">rely heavily on and value highly </w:t>
      </w:r>
      <w:r>
        <w:t>their</w:t>
      </w:r>
      <w:r w:rsidR="00B33263">
        <w:t xml:space="preserve"> intangibles. </w:t>
      </w:r>
      <w:r w:rsidR="002A4502">
        <w:t>Examples of i</w:t>
      </w:r>
      <w:r w:rsidR="001E299B">
        <w:t xml:space="preserve">ntangibles </w:t>
      </w:r>
      <w:r w:rsidR="00F22A42">
        <w:t>includes</w:t>
      </w:r>
      <w:r w:rsidR="001E299B">
        <w:t xml:space="preserve"> brand names, patented inventions, trade secrets and algorithms.</w:t>
      </w:r>
      <w:r w:rsidR="009D7C0B">
        <w:t xml:space="preserve"> </w:t>
      </w:r>
      <w:r w:rsidR="0009652A">
        <w:t xml:space="preserve"> </w:t>
      </w:r>
      <w:r w:rsidR="009D7C0B">
        <w:t xml:space="preserve">  </w:t>
      </w:r>
    </w:p>
    <w:p w14:paraId="1F1EA9AC" w14:textId="4EF57551" w:rsidR="00F35382" w:rsidRDefault="00B33263" w:rsidP="003513F5">
      <w:r>
        <w:t>Intangibles are</w:t>
      </w:r>
      <w:r w:rsidR="00456521">
        <w:t xml:space="preserve"> </w:t>
      </w:r>
      <w:r>
        <w:t xml:space="preserve">highly mobile and can be located anywhere in the world. </w:t>
      </w:r>
      <w:r w:rsidR="0022159B">
        <w:t>MNEs</w:t>
      </w:r>
      <w:r w:rsidR="00F35382">
        <w:t xml:space="preserve"> </w:t>
      </w:r>
      <w:r w:rsidR="00456521">
        <w:t xml:space="preserve">may undertake </w:t>
      </w:r>
      <w:r>
        <w:t>significant economic activity develop</w:t>
      </w:r>
      <w:r w:rsidR="00456521">
        <w:t xml:space="preserve">ing, enhancing, </w:t>
      </w:r>
      <w:proofErr w:type="gramStart"/>
      <w:r w:rsidR="00456521">
        <w:t>maintaining</w:t>
      </w:r>
      <w:proofErr w:type="gramEnd"/>
      <w:r w:rsidR="00456521">
        <w:t xml:space="preserve"> and explo</w:t>
      </w:r>
      <w:r w:rsidR="001E299B">
        <w:t>it</w:t>
      </w:r>
      <w:r w:rsidR="00456521">
        <w:t>ing</w:t>
      </w:r>
      <w:r>
        <w:t xml:space="preserve"> </w:t>
      </w:r>
      <w:r w:rsidR="00F35382">
        <w:t xml:space="preserve">an </w:t>
      </w:r>
      <w:r>
        <w:t>intangible in a particular jurisdiction</w:t>
      </w:r>
      <w:r w:rsidR="003D200D">
        <w:t xml:space="preserve">. However, </w:t>
      </w:r>
      <w:r w:rsidR="00F35382">
        <w:t xml:space="preserve">it is </w:t>
      </w:r>
      <w:r w:rsidR="00DF2549">
        <w:t xml:space="preserve">relatively </w:t>
      </w:r>
      <w:r w:rsidR="00F35382">
        <w:t xml:space="preserve">easy for </w:t>
      </w:r>
      <w:r w:rsidR="00DF2549">
        <w:t xml:space="preserve">those </w:t>
      </w:r>
      <w:r w:rsidR="0022159B">
        <w:t xml:space="preserve">MNEs </w:t>
      </w:r>
      <w:r w:rsidR="00F35382">
        <w:t xml:space="preserve">to </w:t>
      </w:r>
      <w:proofErr w:type="gramStart"/>
      <w:r>
        <w:t>enter into</w:t>
      </w:r>
      <w:proofErr w:type="gramEnd"/>
      <w:r>
        <w:t xml:space="preserve"> arrangements </w:t>
      </w:r>
      <w:r w:rsidR="00F35382">
        <w:t xml:space="preserve">involving </w:t>
      </w:r>
      <w:r w:rsidR="00DF2549">
        <w:t xml:space="preserve">their </w:t>
      </w:r>
      <w:r w:rsidR="00F35382">
        <w:t xml:space="preserve">intangibles </w:t>
      </w:r>
      <w:r>
        <w:t xml:space="preserve">to </w:t>
      </w:r>
      <w:r w:rsidR="00DF2549">
        <w:t xml:space="preserve">shift profits from higher tax jurisdictions to </w:t>
      </w:r>
      <w:r w:rsidR="003D200D">
        <w:t xml:space="preserve">low or no tax </w:t>
      </w:r>
      <w:r w:rsidR="00DF2549">
        <w:t xml:space="preserve">jurisdictions. </w:t>
      </w:r>
      <w:r w:rsidR="002162F5">
        <w:t>Various</w:t>
      </w:r>
      <w:r w:rsidR="0009652A">
        <w:t xml:space="preserve"> jurisdictions have </w:t>
      </w:r>
      <w:r w:rsidR="00B51987">
        <w:t xml:space="preserve">also </w:t>
      </w:r>
      <w:r w:rsidR="0009652A">
        <w:t>introduced preferential</w:t>
      </w:r>
      <w:r w:rsidR="00454F69">
        <w:t xml:space="preserve"> tax</w:t>
      </w:r>
      <w:r w:rsidR="0009652A">
        <w:t xml:space="preserve"> regimes</w:t>
      </w:r>
      <w:r w:rsidR="00454F69">
        <w:t xml:space="preserve"> for intangibles</w:t>
      </w:r>
      <w:r w:rsidR="00B51987">
        <w:t xml:space="preserve"> (such as </w:t>
      </w:r>
      <w:r w:rsidR="00407B96">
        <w:t>‘</w:t>
      </w:r>
      <w:r w:rsidR="002F699A">
        <w:t>Patent Box Regimes</w:t>
      </w:r>
      <w:r w:rsidR="00407B96">
        <w:t>’</w:t>
      </w:r>
      <w:r w:rsidR="00B51987">
        <w:t>)</w:t>
      </w:r>
      <w:r w:rsidR="00A0566D">
        <w:t xml:space="preserve">. </w:t>
      </w:r>
      <w:r w:rsidR="00DF2549">
        <w:t>While</w:t>
      </w:r>
      <w:r w:rsidR="008F5C16">
        <w:t xml:space="preserve"> </w:t>
      </w:r>
      <w:r w:rsidR="00554402">
        <w:t xml:space="preserve">OECD BEPS Action 5 introduced new rules to constrain eligibility requirements for a patent box, including </w:t>
      </w:r>
      <w:r w:rsidR="0002290D">
        <w:t xml:space="preserve">a requirement for </w:t>
      </w:r>
      <w:r w:rsidR="00554402">
        <w:t xml:space="preserve">sufficient </w:t>
      </w:r>
      <w:r w:rsidR="0002290D">
        <w:t>economic substance</w:t>
      </w:r>
      <w:r w:rsidR="00554402">
        <w:t xml:space="preserve"> in the jurisdiction with the intangible</w:t>
      </w:r>
      <w:r w:rsidR="008F5C16">
        <w:t xml:space="preserve">, </w:t>
      </w:r>
      <w:r w:rsidR="0003297A">
        <w:t xml:space="preserve">some patent boxes may be non-compliant or low-or not taxed, thus </w:t>
      </w:r>
      <w:r w:rsidR="00931377">
        <w:t>encourag</w:t>
      </w:r>
      <w:r w:rsidR="0003297A">
        <w:t>ing</w:t>
      </w:r>
      <w:r w:rsidR="00931377">
        <w:t xml:space="preserve"> aggressive tax planning</w:t>
      </w:r>
      <w:r w:rsidR="00554402">
        <w:t>.</w:t>
      </w:r>
      <w:r w:rsidR="004844F4">
        <w:t xml:space="preserve"> MNEs may also secure further advantages when they shift profits to a low or </w:t>
      </w:r>
      <w:r w:rsidR="003D200D">
        <w:t>no-</w:t>
      </w:r>
      <w:r w:rsidR="004844F4">
        <w:t xml:space="preserve">tax jurisdiction </w:t>
      </w:r>
      <w:r w:rsidR="003D200D">
        <w:t>that</w:t>
      </w:r>
      <w:r w:rsidR="004844F4">
        <w:t xml:space="preserve"> do not effectively exchange tax information with other jurisdictions, provide minimal transparency of tax affairs</w:t>
      </w:r>
      <w:r w:rsidR="003D200D">
        <w:t>,</w:t>
      </w:r>
      <w:r w:rsidR="004844F4">
        <w:t xml:space="preserve"> or have less stringent tax administration</w:t>
      </w:r>
      <w:r w:rsidR="00DF2549">
        <w:t>s</w:t>
      </w:r>
      <w:r w:rsidR="004844F4">
        <w:t xml:space="preserve"> or poor </w:t>
      </w:r>
      <w:r w:rsidR="00DA6DD8">
        <w:t xml:space="preserve">taxpayer </w:t>
      </w:r>
      <w:r w:rsidR="004844F4">
        <w:t>compliance.</w:t>
      </w:r>
    </w:p>
    <w:p w14:paraId="69F1F7A6" w14:textId="2C5F0935" w:rsidR="003513F5" w:rsidRDefault="00B33263" w:rsidP="003513F5">
      <w:r>
        <w:t>The increasing digitalisation and globalisation of the economy has</w:t>
      </w:r>
      <w:r w:rsidR="00DF2549">
        <w:t xml:space="preserve"> </w:t>
      </w:r>
      <w:r>
        <w:t>exacerbated th</w:t>
      </w:r>
      <w:r w:rsidR="003513F5">
        <w:t>ese issues</w:t>
      </w:r>
      <w:r w:rsidR="00172ACB">
        <w:t>.</w:t>
      </w:r>
      <w:r w:rsidR="00DF2549">
        <w:t xml:space="preserve"> </w:t>
      </w:r>
      <w:r w:rsidR="00172ACB">
        <w:t xml:space="preserve">The </w:t>
      </w:r>
      <w:r w:rsidR="00A93283">
        <w:t>high value of intangible</w:t>
      </w:r>
      <w:r w:rsidR="00E76443">
        <w:t>s</w:t>
      </w:r>
      <w:r w:rsidR="00A93283">
        <w:t xml:space="preserve"> in knowledge-based </w:t>
      </w:r>
      <w:r w:rsidR="00DF2549">
        <w:t>economies</w:t>
      </w:r>
      <w:r w:rsidR="00A93283">
        <w:t xml:space="preserve">, the ease of relocating </w:t>
      </w:r>
      <w:r w:rsidR="00172ACB">
        <w:t>them</w:t>
      </w:r>
      <w:r w:rsidR="00FF7318">
        <w:t>,</w:t>
      </w:r>
      <w:r w:rsidR="00172ACB">
        <w:t xml:space="preserve"> </w:t>
      </w:r>
      <w:r w:rsidR="00A93283">
        <w:t xml:space="preserve">and </w:t>
      </w:r>
      <w:r w:rsidR="00FF7318">
        <w:t>the</w:t>
      </w:r>
      <w:r w:rsidR="00A93283">
        <w:t xml:space="preserve"> increased tax competition between jurisdictions</w:t>
      </w:r>
      <w:r w:rsidR="00172ACB">
        <w:t xml:space="preserve"> have made it harder</w:t>
      </w:r>
      <w:r w:rsidR="00DF2549">
        <w:t xml:space="preserve"> </w:t>
      </w:r>
      <w:r w:rsidR="00172ACB">
        <w:t xml:space="preserve">to </w:t>
      </w:r>
      <w:r w:rsidR="00FF1092">
        <w:t>address</w:t>
      </w:r>
      <w:r w:rsidR="00172ACB">
        <w:t xml:space="preserve"> the challenge of ensuring </w:t>
      </w:r>
      <w:r w:rsidR="00A93283">
        <w:t>an appropriate amount of tax</w:t>
      </w:r>
      <w:r w:rsidR="00B967DC">
        <w:t xml:space="preserve"> associated with intangible</w:t>
      </w:r>
      <w:r w:rsidR="00E76443">
        <w:t>s</w:t>
      </w:r>
      <w:r w:rsidR="00B967DC">
        <w:t xml:space="preserve"> </w:t>
      </w:r>
      <w:r w:rsidR="00A93283">
        <w:t>is paid in Australia</w:t>
      </w:r>
      <w:r>
        <w:t>.</w:t>
      </w:r>
    </w:p>
    <w:p w14:paraId="4C729904" w14:textId="449C285C" w:rsidR="003513F5" w:rsidRDefault="003513F5" w:rsidP="003513F5">
      <w:r>
        <w:t xml:space="preserve">The ATO has raised integrity issues regarding international </w:t>
      </w:r>
      <w:r w:rsidR="00DC50B1">
        <w:t>related-</w:t>
      </w:r>
      <w:r w:rsidR="00A93283">
        <w:t xml:space="preserve">party </w:t>
      </w:r>
      <w:r>
        <w:t>arrangements involving the migration of intangible</w:t>
      </w:r>
      <w:r w:rsidR="00E76443">
        <w:t>s</w:t>
      </w:r>
      <w:r>
        <w:t xml:space="preserve"> and mischaracterisation of </w:t>
      </w:r>
      <w:r w:rsidRPr="00DF6E51">
        <w:t>Australian activities connected with the development, enhancement, maintenance, protection and exploitation (DEMPE)</w:t>
      </w:r>
      <w:r>
        <w:t xml:space="preserve"> functions</w:t>
      </w:r>
      <w:r w:rsidRPr="00DF6E51">
        <w:t xml:space="preserve"> of intangibles</w:t>
      </w:r>
      <w:r>
        <w:t xml:space="preserve"> in Taxpayer Alert TA 2020/1</w:t>
      </w:r>
      <w:r w:rsidR="00DC50B1">
        <w:t>.</w:t>
      </w:r>
      <w:r w:rsidR="00221CF3" w:rsidRPr="00A43EE5">
        <w:rPr>
          <w:rStyle w:val="FootnoteReference"/>
          <w:color w:val="000000" w:themeColor="text1"/>
          <w:vertAlign w:val="superscript"/>
        </w:rPr>
        <w:footnoteReference w:id="4"/>
      </w:r>
      <w:r>
        <w:t xml:space="preserve"> </w:t>
      </w:r>
      <w:r w:rsidR="00F35382">
        <w:t>S</w:t>
      </w:r>
      <w:r>
        <w:t xml:space="preserve">pecific concern </w:t>
      </w:r>
      <w:r w:rsidR="00F35382">
        <w:t>was raised in relation to</w:t>
      </w:r>
      <w:r>
        <w:t xml:space="preserve"> arrangements where intangible</w:t>
      </w:r>
      <w:r w:rsidR="00E76443">
        <w:t>s</w:t>
      </w:r>
      <w:r>
        <w:t xml:space="preserve"> and/or associated rights are migrated to international related parties as part of non-arm</w:t>
      </w:r>
      <w:r w:rsidR="006478E1">
        <w:t>’</w:t>
      </w:r>
      <w:r>
        <w:t>s length arrangements and/or in a manner intended to avoid Australian tax.</w:t>
      </w:r>
    </w:p>
    <w:p w14:paraId="788A1FCA" w14:textId="0B984828" w:rsidR="003513F5" w:rsidRDefault="00A93283" w:rsidP="003513F5">
      <w:r>
        <w:t>T</w:t>
      </w:r>
      <w:r w:rsidRPr="00A55EE6">
        <w:t xml:space="preserve">axpayers </w:t>
      </w:r>
      <w:r>
        <w:t xml:space="preserve">have also </w:t>
      </w:r>
      <w:proofErr w:type="gramStart"/>
      <w:r>
        <w:t>entered into</w:t>
      </w:r>
      <w:proofErr w:type="gramEnd"/>
      <w:r w:rsidRPr="00A55EE6">
        <w:t xml:space="preserve"> arrangements </w:t>
      </w:r>
      <w:r>
        <w:t xml:space="preserve">to </w:t>
      </w:r>
      <w:r w:rsidRPr="00A55EE6">
        <w:t>mischaracteris</w:t>
      </w:r>
      <w:r>
        <w:t>e</w:t>
      </w:r>
      <w:r w:rsidRPr="00A55EE6">
        <w:t xml:space="preserve"> </w:t>
      </w:r>
      <w:r>
        <w:t>payments</w:t>
      </w:r>
      <w:r w:rsidRPr="00A55EE6">
        <w:t xml:space="preserve"> and/or activities or conditions connected with intangibles </w:t>
      </w:r>
      <w:r>
        <w:t>of a foreign entity to avoid Australian tax</w:t>
      </w:r>
      <w:r w:rsidRPr="00A55EE6">
        <w:t>.</w:t>
      </w:r>
      <w:r>
        <w:t xml:space="preserve"> This has been</w:t>
      </w:r>
      <w:r w:rsidR="003513F5">
        <w:t xml:space="preserve"> raised by the ATO in Taxpayer Alert TA 2018/2</w:t>
      </w:r>
      <w:r w:rsidR="00221CF3" w:rsidRPr="00A43EE5">
        <w:rPr>
          <w:rStyle w:val="FootnoteReference"/>
          <w:vertAlign w:val="superscript"/>
        </w:rPr>
        <w:footnoteReference w:id="5"/>
      </w:r>
      <w:r w:rsidR="003513F5">
        <w:t>.</w:t>
      </w:r>
      <w:r>
        <w:t xml:space="preserve"> </w:t>
      </w:r>
      <w:r w:rsidR="003513F5">
        <w:t xml:space="preserve">These arrangements concern a royalty element of a payment which may be bundled into the price of tangible goods and/or services and is not separately recognised </w:t>
      </w:r>
      <w:r w:rsidR="0002290D">
        <w:t xml:space="preserve">as a royalty although it has the characteristics of </w:t>
      </w:r>
      <w:r w:rsidR="00172ACB">
        <w:t>one</w:t>
      </w:r>
      <w:r w:rsidR="0002290D">
        <w:t xml:space="preserve"> </w:t>
      </w:r>
      <w:r w:rsidR="003513F5">
        <w:t>(</w:t>
      </w:r>
      <w:proofErr w:type="gramStart"/>
      <w:r w:rsidR="003513F5">
        <w:t>i.e.</w:t>
      </w:r>
      <w:proofErr w:type="gramEnd"/>
      <w:r w:rsidR="003513F5">
        <w:t xml:space="preserve"> an ‘embedded royalty’).</w:t>
      </w:r>
      <w:r>
        <w:t xml:space="preserve"> </w:t>
      </w:r>
      <w:r w:rsidR="003513F5">
        <w:t xml:space="preserve">Moreover, that royalty element may be paid by a person without a taxable presence in Australia. </w:t>
      </w:r>
    </w:p>
    <w:p w14:paraId="6550C5E9" w14:textId="4E5D1334" w:rsidR="005038A9" w:rsidRDefault="005038A9" w:rsidP="003513F5">
      <w:r>
        <w:t>Through arrangements involving intangibles</w:t>
      </w:r>
      <w:r w:rsidR="006018E4">
        <w:t xml:space="preserve"> and royalties</w:t>
      </w:r>
      <w:r>
        <w:t xml:space="preserve">, </w:t>
      </w:r>
      <w:r w:rsidR="00DF2549">
        <w:t xml:space="preserve">taxpayers may seek to reduce </w:t>
      </w:r>
      <w:r>
        <w:t xml:space="preserve">Australian tax </w:t>
      </w:r>
      <w:r w:rsidR="00DF2549">
        <w:t>by avoiding</w:t>
      </w:r>
      <w:r>
        <w:t xml:space="preserve"> royalty withholding tax, claiming </w:t>
      </w:r>
      <w:r w:rsidR="00DF2549">
        <w:t xml:space="preserve">increased </w:t>
      </w:r>
      <w:r>
        <w:t xml:space="preserve">tax deductions, or </w:t>
      </w:r>
      <w:r w:rsidR="00DF2549">
        <w:t xml:space="preserve">reducing </w:t>
      </w:r>
      <w:r w:rsidR="00671C38">
        <w:t xml:space="preserve">income </w:t>
      </w:r>
      <w:r>
        <w:t xml:space="preserve">recognised </w:t>
      </w:r>
      <w:r>
        <w:lastRenderedPageBreak/>
        <w:t xml:space="preserve">in Australia. The </w:t>
      </w:r>
      <w:r w:rsidR="00DF2549">
        <w:t xml:space="preserve">attempted </w:t>
      </w:r>
      <w:r>
        <w:t>reduction of Australian tax</w:t>
      </w:r>
      <w:r w:rsidR="00A03684">
        <w:t>,</w:t>
      </w:r>
      <w:r>
        <w:t xml:space="preserve"> together with </w:t>
      </w:r>
      <w:r w:rsidR="00DF2549">
        <w:t xml:space="preserve">low or no foreign </w:t>
      </w:r>
      <w:r>
        <w:t>tax</w:t>
      </w:r>
      <w:r w:rsidR="00A03684">
        <w:t>,</w:t>
      </w:r>
      <w:r>
        <w:t xml:space="preserve"> </w:t>
      </w:r>
      <w:r w:rsidR="00DF2549">
        <w:t xml:space="preserve">is intended to produce </w:t>
      </w:r>
      <w:r>
        <w:t>advantageous overall tax outcomes.</w:t>
      </w:r>
    </w:p>
    <w:p w14:paraId="60D764BE" w14:textId="0B25E142" w:rsidR="00945723" w:rsidRDefault="00AE703B" w:rsidP="003513F5">
      <w:r>
        <w:t xml:space="preserve">Australia’s existing </w:t>
      </w:r>
      <w:r w:rsidR="00DF2549">
        <w:t xml:space="preserve">integrity </w:t>
      </w:r>
      <w:r>
        <w:t xml:space="preserve">rules, including the transfer pricing rules and general anti-avoidance </w:t>
      </w:r>
      <w:r w:rsidR="0002290D">
        <w:t xml:space="preserve">provisions </w:t>
      </w:r>
      <w:r>
        <w:t xml:space="preserve">go some way </w:t>
      </w:r>
      <w:r w:rsidR="00DF2549">
        <w:t xml:space="preserve">in tackling </w:t>
      </w:r>
      <w:r>
        <w:t>these issues</w:t>
      </w:r>
      <w:r w:rsidR="00C07527">
        <w:t>. However</w:t>
      </w:r>
      <w:r>
        <w:t xml:space="preserve">, Australia’s </w:t>
      </w:r>
      <w:r w:rsidR="00DF2549">
        <w:t xml:space="preserve">tax framework </w:t>
      </w:r>
      <w:r>
        <w:t>need</w:t>
      </w:r>
      <w:r w:rsidR="00DF2549">
        <w:t>s</w:t>
      </w:r>
      <w:r>
        <w:t xml:space="preserve"> </w:t>
      </w:r>
      <w:r w:rsidR="00DF2549">
        <w:t xml:space="preserve">a specific measure targeting </w:t>
      </w:r>
      <w:r w:rsidR="00113F12">
        <w:t>integrity issues associated with intangibles</w:t>
      </w:r>
      <w:r w:rsidR="008A5D19">
        <w:t xml:space="preserve"> </w:t>
      </w:r>
      <w:r w:rsidR="006018E4">
        <w:t>and royalties</w:t>
      </w:r>
      <w:r>
        <w:t xml:space="preserve">. </w:t>
      </w:r>
    </w:p>
    <w:p w14:paraId="48619B2F" w14:textId="239C0D86" w:rsidR="00535B0E" w:rsidRDefault="00535B0E" w:rsidP="003513F5"/>
    <w:p w14:paraId="243ABB75" w14:textId="621FC02C" w:rsidR="00B96441" w:rsidRPr="00DF6E51" w:rsidRDefault="006545F7" w:rsidP="00DF6E51">
      <w:pPr>
        <w:rPr>
          <w:rFonts w:ascii="Calibri" w:hAnsi="Calibri" w:cs="Arial"/>
          <w:iCs/>
          <w:color w:val="2C384A"/>
          <w:kern w:val="32"/>
          <w:sz w:val="36"/>
          <w:szCs w:val="28"/>
        </w:rPr>
      </w:pPr>
      <w:r>
        <w:rPr>
          <w:rFonts w:ascii="Calibri" w:hAnsi="Calibri" w:cs="Arial"/>
          <w:iCs/>
          <w:color w:val="2C384A"/>
          <w:kern w:val="32"/>
          <w:sz w:val="36"/>
          <w:szCs w:val="28"/>
        </w:rPr>
        <w:t>Policy d</w:t>
      </w:r>
      <w:r w:rsidR="00B96441" w:rsidRPr="00DF6E51">
        <w:rPr>
          <w:rFonts w:ascii="Calibri" w:hAnsi="Calibri" w:cs="Arial"/>
          <w:iCs/>
          <w:color w:val="2C384A"/>
          <w:kern w:val="32"/>
          <w:sz w:val="36"/>
          <w:szCs w:val="28"/>
        </w:rPr>
        <w:t>esign issues</w:t>
      </w:r>
    </w:p>
    <w:p w14:paraId="272967C7" w14:textId="4BEF681D" w:rsidR="00663C02" w:rsidRDefault="00F065E8" w:rsidP="00663C02">
      <w:pPr>
        <w:pStyle w:val="Heading3"/>
      </w:pPr>
      <w:bookmarkStart w:id="22" w:name="_Toc110583143"/>
      <w:r>
        <w:t>Taxpayers in scope</w:t>
      </w:r>
      <w:bookmarkEnd w:id="22"/>
    </w:p>
    <w:p w14:paraId="2AEA5825" w14:textId="6E8086B8" w:rsidR="0027677D" w:rsidRDefault="0027677D" w:rsidP="00047038">
      <w:pPr>
        <w:pStyle w:val="DoubleDot"/>
        <w:numPr>
          <w:ilvl w:val="0"/>
          <w:numId w:val="0"/>
        </w:numPr>
      </w:pPr>
      <w:r>
        <w:t xml:space="preserve">The business models of large </w:t>
      </w:r>
      <w:r w:rsidR="008A1381">
        <w:t>MNEs</w:t>
      </w:r>
      <w:r>
        <w:t xml:space="preserve"> are typically reliant on intangible</w:t>
      </w:r>
      <w:r w:rsidR="006018E4">
        <w:t>s</w:t>
      </w:r>
      <w:r w:rsidR="00746230">
        <w:t>.</w:t>
      </w:r>
      <w:r>
        <w:t xml:space="preserve"> </w:t>
      </w:r>
      <w:r w:rsidR="00746230">
        <w:t>T</w:t>
      </w:r>
      <w:r>
        <w:t>heir cross-border nature</w:t>
      </w:r>
      <w:r w:rsidR="00A97740">
        <w:t>,</w:t>
      </w:r>
      <w:r>
        <w:t xml:space="preserve"> combined with their significant resources</w:t>
      </w:r>
      <w:r w:rsidR="00A97740">
        <w:t>,</w:t>
      </w:r>
      <w:r>
        <w:t xml:space="preserve"> means </w:t>
      </w:r>
      <w:r w:rsidR="008A1381">
        <w:t xml:space="preserve">MNEs </w:t>
      </w:r>
      <w:r>
        <w:t>are more likely to have the incentive</w:t>
      </w:r>
      <w:r w:rsidR="00F356CB">
        <w:t>s</w:t>
      </w:r>
      <w:r>
        <w:t xml:space="preserve"> and abilit</w:t>
      </w:r>
      <w:r w:rsidR="00645F54">
        <w:t>y</w:t>
      </w:r>
      <w:r>
        <w:t xml:space="preserve"> to </w:t>
      </w:r>
      <w:r w:rsidR="00F356CB">
        <w:t xml:space="preserve">enter arrangements to </w:t>
      </w:r>
      <w:r>
        <w:t xml:space="preserve">reduce profits that would </w:t>
      </w:r>
      <w:r w:rsidR="008A5D19">
        <w:t xml:space="preserve">otherwise </w:t>
      </w:r>
      <w:r>
        <w:t>be taxable in Australia.</w:t>
      </w:r>
    </w:p>
    <w:p w14:paraId="1865813F" w14:textId="33479D64" w:rsidR="00D85D6B" w:rsidRDefault="0027677D" w:rsidP="00D85D6B">
      <w:pPr>
        <w:pStyle w:val="DoubleDot"/>
        <w:numPr>
          <w:ilvl w:val="0"/>
          <w:numId w:val="0"/>
        </w:numPr>
      </w:pPr>
      <w:r>
        <w:t xml:space="preserve">Australia has </w:t>
      </w:r>
      <w:r w:rsidR="00A97740">
        <w:t>introduced</w:t>
      </w:r>
      <w:r>
        <w:t xml:space="preserve"> </w:t>
      </w:r>
      <w:r w:rsidR="00F36DF7">
        <w:t xml:space="preserve">the </w:t>
      </w:r>
      <w:r>
        <w:t xml:space="preserve">concept of ‘significant global entity’ (SGE) to identify the </w:t>
      </w:r>
      <w:r w:rsidR="00047038">
        <w:t xml:space="preserve">population of large </w:t>
      </w:r>
      <w:r w:rsidR="008A1381">
        <w:t>MNEs</w:t>
      </w:r>
      <w:r>
        <w:t xml:space="preserve">, </w:t>
      </w:r>
      <w:r w:rsidR="00F36DF7">
        <w:t xml:space="preserve">defined </w:t>
      </w:r>
      <w:r>
        <w:t xml:space="preserve">under </w:t>
      </w:r>
      <w:r w:rsidRPr="00614B69">
        <w:t xml:space="preserve">Subdivision 960-U of the </w:t>
      </w:r>
      <w:r w:rsidRPr="00556A5A">
        <w:rPr>
          <w:i/>
          <w:iCs/>
        </w:rPr>
        <w:t>Income Tax Assessment Act 1997</w:t>
      </w:r>
      <w:r w:rsidRPr="00614B69">
        <w:t xml:space="preserve"> (ITAA 1997)</w:t>
      </w:r>
      <w:r w:rsidR="00EE2F8A">
        <w:t xml:space="preserve">. </w:t>
      </w:r>
      <w:r w:rsidR="00945354">
        <w:t xml:space="preserve">An </w:t>
      </w:r>
      <w:r w:rsidR="00D85D6B">
        <w:t>SGE includes a Global Parent Entity (GPE)</w:t>
      </w:r>
      <w:r w:rsidR="00D85D6B" w:rsidRPr="00475C28">
        <w:rPr>
          <w:rStyle w:val="FootnoteReference"/>
          <w:vertAlign w:val="superscript"/>
        </w:rPr>
        <w:footnoteReference w:id="6"/>
      </w:r>
      <w:r w:rsidR="00D85D6B">
        <w:t xml:space="preserve"> or a member of a group of consolidated entities for accounting purposes as a single group, where either the GPE or the group’s annual global income</w:t>
      </w:r>
      <w:r w:rsidR="00D85D6B" w:rsidRPr="00BE49FB">
        <w:rPr>
          <w:rStyle w:val="FootnoteReference"/>
          <w:vertAlign w:val="superscript"/>
        </w:rPr>
        <w:footnoteReference w:id="7"/>
      </w:r>
      <w:r w:rsidR="00D85D6B">
        <w:t xml:space="preserve"> is equal to or exceeds A$1 billion</w:t>
      </w:r>
      <w:r w:rsidR="00945354">
        <w:t>. It can be</w:t>
      </w:r>
      <w:r w:rsidR="00D85D6B">
        <w:t xml:space="preserve"> headquartered in Australia or overseas, with or without local operations.</w:t>
      </w:r>
    </w:p>
    <w:p w14:paraId="1099A58F" w14:textId="08688121" w:rsidR="00047038" w:rsidRDefault="00EE2F8A" w:rsidP="00047038">
      <w:pPr>
        <w:pStyle w:val="DoubleDot"/>
        <w:numPr>
          <w:ilvl w:val="0"/>
          <w:numId w:val="0"/>
        </w:numPr>
      </w:pPr>
      <w:r w:rsidRPr="00F065E8">
        <w:t>SGEs are in scope of</w:t>
      </w:r>
      <w:r>
        <w:t xml:space="preserve"> </w:t>
      </w:r>
      <w:proofErr w:type="gramStart"/>
      <w:r>
        <w:t>a number of</w:t>
      </w:r>
      <w:proofErr w:type="gramEnd"/>
      <w:r>
        <w:t xml:space="preserve"> </w:t>
      </w:r>
      <w:r w:rsidR="002C58A5">
        <w:t xml:space="preserve">existing </w:t>
      </w:r>
      <w:r>
        <w:t>measures in</w:t>
      </w:r>
      <w:r w:rsidRPr="00F065E8">
        <w:t xml:space="preserve"> Australia’s legislative framework</w:t>
      </w:r>
      <w:r w:rsidR="0061061A">
        <w:t xml:space="preserve"> </w:t>
      </w:r>
      <w:r w:rsidDel="00A43EE5">
        <w:t>addressing</w:t>
      </w:r>
      <w:r w:rsidR="00A43EE5">
        <w:t xml:space="preserve"> </w:t>
      </w:r>
      <w:r w:rsidR="00A97740">
        <w:t>profit-</w:t>
      </w:r>
      <w:r>
        <w:t>shifting issues</w:t>
      </w:r>
      <w:r w:rsidR="0061061A">
        <w:t>. Examples include</w:t>
      </w:r>
      <w:r w:rsidRPr="00F065E8">
        <w:t xml:space="preserve"> the </w:t>
      </w:r>
      <w:r w:rsidRPr="00F065E8" w:rsidDel="00DF2549">
        <w:t>MAAL</w:t>
      </w:r>
      <w:r w:rsidR="00ED243A">
        <w:t xml:space="preserve"> and</w:t>
      </w:r>
      <w:r w:rsidR="00ED243A" w:rsidRPr="00F065E8">
        <w:t xml:space="preserve"> </w:t>
      </w:r>
      <w:r w:rsidR="0061061A">
        <w:t xml:space="preserve">the </w:t>
      </w:r>
      <w:r>
        <w:t>DPT</w:t>
      </w:r>
      <w:r w:rsidR="004533C0">
        <w:rPr>
          <w:rStyle w:val="FootnoteReference"/>
        </w:rPr>
        <w:footnoteReference w:id="8"/>
      </w:r>
      <w:r w:rsidR="00ED243A">
        <w:t xml:space="preserve"> of Part IVA of the ITAA 1936</w:t>
      </w:r>
      <w:r w:rsidR="003A7C21">
        <w:t>,</w:t>
      </w:r>
      <w:r>
        <w:t xml:space="preserve"> </w:t>
      </w:r>
      <w:r w:rsidR="0061061A">
        <w:t xml:space="preserve">the </w:t>
      </w:r>
      <w:r w:rsidRPr="00F065E8">
        <w:t>country</w:t>
      </w:r>
      <w:r w:rsidR="00EE7BF2">
        <w:noBreakHyphen/>
      </w:r>
      <w:r w:rsidRPr="00F065E8">
        <w:t xml:space="preserve">by-country reporting </w:t>
      </w:r>
      <w:r w:rsidR="0061061A">
        <w:t xml:space="preserve">requirements </w:t>
      </w:r>
      <w:r w:rsidRPr="00F065E8">
        <w:t>(</w:t>
      </w:r>
      <w:proofErr w:type="spellStart"/>
      <w:r w:rsidRPr="00F065E8">
        <w:t>C</w:t>
      </w:r>
      <w:r>
        <w:t>b</w:t>
      </w:r>
      <w:r w:rsidRPr="00F065E8">
        <w:t>C</w:t>
      </w:r>
      <w:proofErr w:type="spellEnd"/>
      <w:r w:rsidRPr="00F065E8">
        <w:t xml:space="preserve"> reporting</w:t>
      </w:r>
      <w:proofErr w:type="gramStart"/>
      <w:r w:rsidRPr="00F065E8">
        <w:t>),</w:t>
      </w:r>
      <w:r w:rsidR="00D9071C">
        <w:t xml:space="preserve"> </w:t>
      </w:r>
      <w:r w:rsidR="00945354">
        <w:t>and</w:t>
      </w:r>
      <w:proofErr w:type="gramEnd"/>
      <w:r w:rsidR="00945354">
        <w:t xml:space="preserve"> </w:t>
      </w:r>
      <w:r w:rsidRPr="00F065E8">
        <w:t>increased administrative and other penalties.</w:t>
      </w:r>
    </w:p>
    <w:p w14:paraId="286B2032" w14:textId="2F19F950" w:rsidR="00047038" w:rsidRDefault="00F065E8" w:rsidP="00F065E8">
      <w:pPr>
        <w:pStyle w:val="DoubleDot"/>
        <w:numPr>
          <w:ilvl w:val="0"/>
          <w:numId w:val="0"/>
        </w:numPr>
      </w:pPr>
      <w:r>
        <w:t>Though SGEs are</w:t>
      </w:r>
      <w:r w:rsidR="008A5D19">
        <w:t xml:space="preserve"> generally</w:t>
      </w:r>
      <w:r>
        <w:t xml:space="preserve"> corporate entities</w:t>
      </w:r>
      <w:r w:rsidRPr="00066E34">
        <w:t xml:space="preserve">, </w:t>
      </w:r>
      <w:r>
        <w:t>since 2019</w:t>
      </w:r>
      <w:r w:rsidR="00EE2F8A">
        <w:t>,</w:t>
      </w:r>
      <w:r>
        <w:t xml:space="preserve"> </w:t>
      </w:r>
      <w:r w:rsidRPr="00066E34">
        <w:t xml:space="preserve">the </w:t>
      </w:r>
      <w:r w:rsidR="00847F4D">
        <w:t xml:space="preserve">broader concept of </w:t>
      </w:r>
      <w:r w:rsidRPr="00066E34">
        <w:t xml:space="preserve">SGE </w:t>
      </w:r>
      <w:r>
        <w:t xml:space="preserve">can include </w:t>
      </w:r>
      <w:r w:rsidRPr="00066E34">
        <w:t>high wealth individuals</w:t>
      </w:r>
      <w:r w:rsidR="00047038" w:rsidRPr="0061061A">
        <w:rPr>
          <w:rStyle w:val="FootnoteReference"/>
          <w:vertAlign w:val="superscript"/>
        </w:rPr>
        <w:footnoteReference w:id="9"/>
      </w:r>
      <w:r w:rsidR="00EE2F8A">
        <w:t>,</w:t>
      </w:r>
      <w:r w:rsidRPr="00066E34">
        <w:t xml:space="preserve"> partnerships</w:t>
      </w:r>
      <w:r w:rsidR="00EE2F8A">
        <w:t>,</w:t>
      </w:r>
      <w:r w:rsidRPr="00066E34">
        <w:t xml:space="preserve"> trusts</w:t>
      </w:r>
      <w:r w:rsidR="00EE2F8A">
        <w:t>,</w:t>
      </w:r>
      <w:r w:rsidRPr="00066E34">
        <w:t xml:space="preserve"> those considered to be non-material to a group</w:t>
      </w:r>
      <w:r w:rsidR="00A97740">
        <w:t>,</w:t>
      </w:r>
      <w:r w:rsidRPr="00066E34">
        <w:t xml:space="preserve"> as well as certain investment entities (and those that they control), including in circumstances where consolidated financial statements have not been prepared.</w:t>
      </w:r>
      <w:r w:rsidR="00047038">
        <w:t xml:space="preserve"> </w:t>
      </w:r>
    </w:p>
    <w:p w14:paraId="4AA684B5" w14:textId="3F36B3CF" w:rsidR="00047038" w:rsidRDefault="00EE2F8A" w:rsidP="00F065E8">
      <w:pPr>
        <w:pStyle w:val="DoubleDot"/>
        <w:numPr>
          <w:ilvl w:val="0"/>
          <w:numId w:val="0"/>
        </w:numPr>
      </w:pPr>
      <w:r>
        <w:t>D</w:t>
      </w:r>
      <w:r w:rsidR="00047038">
        <w:t xml:space="preserve">espite SGEs being generally </w:t>
      </w:r>
      <w:r>
        <w:t xml:space="preserve">within </w:t>
      </w:r>
      <w:r w:rsidR="00047038">
        <w:t>the main scope of Australia’s tax integrity framework,</w:t>
      </w:r>
      <w:r>
        <w:t xml:space="preserve"> different measures may apply to only certain types of SGEs</w:t>
      </w:r>
      <w:r w:rsidR="00847F4D">
        <w:t xml:space="preserve">. For example, individuals are not subject to </w:t>
      </w:r>
      <w:proofErr w:type="spellStart"/>
      <w:r w:rsidR="00847F4D">
        <w:t>CbC</w:t>
      </w:r>
      <w:proofErr w:type="spellEnd"/>
      <w:r>
        <w:t xml:space="preserve"> </w:t>
      </w:r>
      <w:r w:rsidR="00847F4D">
        <w:t xml:space="preserve">reporting, even if they qualify as </w:t>
      </w:r>
      <w:r>
        <w:t>a</w:t>
      </w:r>
      <w:r w:rsidR="00284E46">
        <w:t>n</w:t>
      </w:r>
      <w:r>
        <w:t xml:space="preserve"> </w:t>
      </w:r>
      <w:r w:rsidR="00847F4D">
        <w:t>SGE. Also, not all tax integrity provisions have their application restricted to SGEs (Part IVA of the ITAA 1936, for example, applies to all taxpayers)</w:t>
      </w:r>
      <w:r w:rsidR="00047038">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922A8" w14:paraId="3406275E" w14:textId="77777777" w:rsidTr="00762FA3">
        <w:tc>
          <w:tcPr>
            <w:tcW w:w="5000" w:type="pct"/>
            <w:shd w:val="clear" w:color="auto" w:fill="EEEEEE" w:themeFill="background2"/>
          </w:tcPr>
          <w:p w14:paraId="67DA4786" w14:textId="77777777" w:rsidR="00E922A8" w:rsidRPr="000D1284" w:rsidRDefault="00E922A8" w:rsidP="00762FA3">
            <w:pPr>
              <w:pStyle w:val="BoxHeading"/>
            </w:pPr>
            <w:r>
              <w:lastRenderedPageBreak/>
              <w:t>Questions</w:t>
            </w:r>
          </w:p>
          <w:p w14:paraId="0E7B9ACD" w14:textId="206B8035" w:rsidR="00E922A8" w:rsidRDefault="00631C56" w:rsidP="008C351F">
            <w:pPr>
              <w:pStyle w:val="BoxText"/>
              <w:numPr>
                <w:ilvl w:val="0"/>
                <w:numId w:val="21"/>
              </w:numPr>
              <w:ind w:left="484" w:hanging="377"/>
            </w:pPr>
            <w:r>
              <w:t xml:space="preserve">Do you consider </w:t>
            </w:r>
            <w:r w:rsidR="00E922A8">
              <w:t>th</w:t>
            </w:r>
            <w:r w:rsidR="004F602A">
              <w:t>is</w:t>
            </w:r>
            <w:r w:rsidR="00E922A8">
              <w:t xml:space="preserve"> </w:t>
            </w:r>
            <w:r w:rsidR="004F602A">
              <w:t xml:space="preserve">policy </w:t>
            </w:r>
            <w:r w:rsidR="00E922A8" w:rsidDel="004D274A">
              <w:t xml:space="preserve">should </w:t>
            </w:r>
            <w:r w:rsidR="00E922A8">
              <w:t>apply to SGEs</w:t>
            </w:r>
            <w:r w:rsidR="004D274A">
              <w:t>, or should th</w:t>
            </w:r>
            <w:r>
              <w:t>e</w:t>
            </w:r>
            <w:r w:rsidR="004D274A" w:rsidDel="00DF2549">
              <w:t xml:space="preserve"> measure </w:t>
            </w:r>
            <w:r w:rsidR="004D274A">
              <w:t>be broader</w:t>
            </w:r>
            <w:r w:rsidR="004D274A" w:rsidDel="00DF2549">
              <w:t xml:space="preserve"> than SGEs</w:t>
            </w:r>
            <w:r w:rsidR="00BC711E" w:rsidDel="00DF2549">
              <w:t>, and why</w:t>
            </w:r>
            <w:r w:rsidR="00E922A8">
              <w:t>?</w:t>
            </w:r>
          </w:p>
          <w:p w14:paraId="5CDD6204" w14:textId="249EBB9C" w:rsidR="006A6C0D" w:rsidRPr="000D1284" w:rsidRDefault="00631C56" w:rsidP="008C351F">
            <w:pPr>
              <w:pStyle w:val="BoxText"/>
              <w:numPr>
                <w:ilvl w:val="0"/>
                <w:numId w:val="21"/>
              </w:numPr>
              <w:ind w:left="484" w:hanging="377"/>
            </w:pPr>
            <w:r>
              <w:t>Do you consider</w:t>
            </w:r>
            <w:r w:rsidR="00E922A8">
              <w:t xml:space="preserve"> </w:t>
            </w:r>
            <w:r w:rsidR="008A5D19">
              <w:t>th</w:t>
            </w:r>
            <w:r w:rsidR="004F602A">
              <w:t>is</w:t>
            </w:r>
            <w:r w:rsidR="008A5D19">
              <w:t xml:space="preserve"> </w:t>
            </w:r>
            <w:r w:rsidR="004F602A">
              <w:t>policy</w:t>
            </w:r>
            <w:r>
              <w:t xml:space="preserve"> should</w:t>
            </w:r>
            <w:r w:rsidR="00E922A8">
              <w:t xml:space="preserve"> </w:t>
            </w:r>
            <w:r>
              <w:t>apply to</w:t>
            </w:r>
            <w:r w:rsidR="00E922A8">
              <w:t xml:space="preserve"> </w:t>
            </w:r>
            <w:r w:rsidR="009B58EA">
              <w:t xml:space="preserve">only </w:t>
            </w:r>
            <w:r w:rsidR="00E922A8">
              <w:t>corporate SGEs</w:t>
            </w:r>
            <w:r w:rsidR="00BC711E">
              <w:t>, and why</w:t>
            </w:r>
            <w:r w:rsidR="00E922A8">
              <w:t>?</w:t>
            </w:r>
          </w:p>
        </w:tc>
      </w:tr>
    </w:tbl>
    <w:p w14:paraId="04D8F8F3" w14:textId="38E4400C" w:rsidR="00DD4F76" w:rsidRDefault="00DD4F76" w:rsidP="00640795">
      <w:pPr>
        <w:pStyle w:val="Heading3"/>
      </w:pPr>
      <w:bookmarkStart w:id="23" w:name="_Toc110583144"/>
      <w:bookmarkStart w:id="24" w:name="_Hlk106619763"/>
      <w:r>
        <w:t xml:space="preserve">Payments </w:t>
      </w:r>
      <w:r w:rsidR="006018E4">
        <w:t xml:space="preserve">relating </w:t>
      </w:r>
      <w:r>
        <w:t xml:space="preserve">to intangibles </w:t>
      </w:r>
      <w:r w:rsidR="006018E4">
        <w:t>and royalties</w:t>
      </w:r>
      <w:r>
        <w:t xml:space="preserve"> </w:t>
      </w:r>
      <w:r w:rsidR="00683979">
        <w:t>in scope of this measure</w:t>
      </w:r>
      <w:bookmarkEnd w:id="23"/>
      <w:r>
        <w:t xml:space="preserve"> </w:t>
      </w:r>
    </w:p>
    <w:p w14:paraId="2CD92892" w14:textId="009C55D8" w:rsidR="00DD4F76" w:rsidRDefault="00DD4F76" w:rsidP="00DD4F76">
      <w:r>
        <w:t xml:space="preserve">Generally, the royalty definition </w:t>
      </w:r>
      <w:r w:rsidRPr="00A55EE6">
        <w:t>in section 6(1) of the ITAA 1936</w:t>
      </w:r>
      <w:r w:rsidR="00BE5EA1">
        <w:t>,</w:t>
      </w:r>
      <w:r w:rsidRPr="00A55EE6">
        <w:t xml:space="preserve"> </w:t>
      </w:r>
      <w:r w:rsidR="00ED243A">
        <w:t>or</w:t>
      </w:r>
      <w:r w:rsidR="00ED243A" w:rsidRPr="00A55EE6">
        <w:t xml:space="preserve"> </w:t>
      </w:r>
      <w:r w:rsidR="002C0EA0">
        <w:t xml:space="preserve">in the </w:t>
      </w:r>
      <w:r w:rsidRPr="00A55EE6">
        <w:t>respective royalty article (generally Article 12) in each of Australia’s tax treaties</w:t>
      </w:r>
      <w:r w:rsidR="00BE5EA1">
        <w:t>,</w:t>
      </w:r>
      <w:r>
        <w:t xml:space="preserve"> will be applied to payments of royalties made by a person with a taxable presence in Australia.</w:t>
      </w:r>
      <w:r w:rsidR="00970FCE">
        <w:t xml:space="preserve"> Although the</w:t>
      </w:r>
      <w:r w:rsidR="00970FCE" w:rsidDel="009B1C34">
        <w:t xml:space="preserve"> </w:t>
      </w:r>
      <w:r w:rsidR="00970FCE">
        <w:t xml:space="preserve">definition </w:t>
      </w:r>
      <w:r w:rsidR="009B1C34">
        <w:t xml:space="preserve">of a royalty </w:t>
      </w:r>
      <w:r w:rsidR="00970FCE">
        <w:t xml:space="preserve">in Australia’s bilateral tax treaties </w:t>
      </w:r>
      <w:r w:rsidR="00DB7ECA">
        <w:t>is</w:t>
      </w:r>
      <w:r w:rsidR="00970FCE">
        <w:t xml:space="preserve"> broadly </w:t>
      </w:r>
      <w:proofErr w:type="gramStart"/>
      <w:r w:rsidR="00970FCE">
        <w:t>similar to</w:t>
      </w:r>
      <w:proofErr w:type="gramEnd"/>
      <w:r w:rsidR="00970FCE">
        <w:t xml:space="preserve"> the domestic definition</w:t>
      </w:r>
      <w:r w:rsidR="00ED243A">
        <w:t xml:space="preserve">, </w:t>
      </w:r>
      <w:r w:rsidR="00970FCE">
        <w:t>the definition</w:t>
      </w:r>
      <w:r w:rsidR="001D4430">
        <w:t xml:space="preserve"> is exhaustive and</w:t>
      </w:r>
      <w:r w:rsidR="00970FCE">
        <w:t xml:space="preserve"> may vary between individual treaties.</w:t>
      </w:r>
      <w:r w:rsidR="004500CB">
        <w:t xml:space="preserve"> Where a payment falls within the respective royalty definition</w:t>
      </w:r>
      <w:r w:rsidR="00AA029F">
        <w:t xml:space="preserve"> and the royalty has been sourced in Australia</w:t>
      </w:r>
      <w:r w:rsidR="004500CB">
        <w:t>, Australia can apply royalty withholding tax.</w:t>
      </w:r>
    </w:p>
    <w:p w14:paraId="71676214" w14:textId="59475B7E" w:rsidR="00DD4F76" w:rsidRDefault="001D4430" w:rsidP="00DD4F76">
      <w:r>
        <w:t>A</w:t>
      </w:r>
      <w:r w:rsidR="00DD4F76">
        <w:t xml:space="preserve">rrangements can be entered to avoid </w:t>
      </w:r>
      <w:r w:rsidR="00BE5EA1">
        <w:t xml:space="preserve">the </w:t>
      </w:r>
      <w:r w:rsidR="00DD4F76">
        <w:t xml:space="preserve">application of the royalty definition </w:t>
      </w:r>
      <w:r w:rsidR="00037A9B">
        <w:t xml:space="preserve">in addition </w:t>
      </w:r>
      <w:r w:rsidR="00DD4F76">
        <w:t>to reduc</w:t>
      </w:r>
      <w:r w:rsidR="00037A9B">
        <w:t>ing</w:t>
      </w:r>
      <w:r w:rsidR="00DD4F76">
        <w:t xml:space="preserve"> the taxable profit from activities involving intangibles in Australia, as identified by the ATO under TA 2018/2</w:t>
      </w:r>
      <w:r w:rsidR="00D762C8" w:rsidRPr="00D762C8">
        <w:t xml:space="preserve"> </w:t>
      </w:r>
      <w:r w:rsidR="00D762C8">
        <w:t>and TA 2020/1</w:t>
      </w:r>
      <w:r w:rsidR="00DD4F76">
        <w:t>.</w:t>
      </w:r>
      <w:r w:rsidR="00F23FE5">
        <w:t xml:space="preserve"> Under these arrangements, taxpayers deduct these payments irrespective of whether they recognise the payment as a royalty or not. Th</w:t>
      </w:r>
      <w:r w:rsidR="00BE5EA1">
        <w:t xml:space="preserve">ese arrangements result in </w:t>
      </w:r>
      <w:r w:rsidR="00F23FE5">
        <w:t>a reduction in taxable profit</w:t>
      </w:r>
      <w:r w:rsidR="00BE5EA1">
        <w:t>,</w:t>
      </w:r>
      <w:r w:rsidR="00F23FE5">
        <w:t xml:space="preserve"> regardless of whether the payment is also mischaracterised as something other than a royalty. </w:t>
      </w:r>
    </w:p>
    <w:p w14:paraId="09D16DD6" w14:textId="6DFA8936" w:rsidR="00B5072A" w:rsidRDefault="001F2D41" w:rsidP="001F2D41">
      <w:r w:rsidRPr="00A55EE6">
        <w:t>In TA 2018/2, the ATO raise</w:t>
      </w:r>
      <w:r w:rsidR="00130481">
        <w:t>s</w:t>
      </w:r>
      <w:r w:rsidRPr="00A55EE6">
        <w:t xml:space="preserve"> concerns with </w:t>
      </w:r>
      <w:r w:rsidR="00C142F1">
        <w:t xml:space="preserve">the potential existence of royalty payments embedded </w:t>
      </w:r>
      <w:r w:rsidR="00B5072A">
        <w:t>(</w:t>
      </w:r>
      <w:r w:rsidR="00ED243A">
        <w:t>‘</w:t>
      </w:r>
      <w:r w:rsidR="00B5072A">
        <w:t xml:space="preserve">embedded </w:t>
      </w:r>
      <w:proofErr w:type="gramStart"/>
      <w:r w:rsidR="00B5072A">
        <w:t>royalties</w:t>
      </w:r>
      <w:r w:rsidR="00ED243A">
        <w:t>‘</w:t>
      </w:r>
      <w:proofErr w:type="gramEnd"/>
      <w:r w:rsidR="00ED243A">
        <w:t xml:space="preserve">) </w:t>
      </w:r>
      <w:r w:rsidR="00C142F1">
        <w:t>in the consideration paid for tangible goods or services</w:t>
      </w:r>
      <w:r w:rsidR="00C84CAD">
        <w:t>.</w:t>
      </w:r>
      <w:r w:rsidR="00C142F1">
        <w:t xml:space="preserve"> </w:t>
      </w:r>
      <w:r w:rsidR="00C84CAD">
        <w:t xml:space="preserve">The arrangements that give rise to embedded royalties are generally characterised by </w:t>
      </w:r>
      <w:r w:rsidRPr="00A55EE6">
        <w:t xml:space="preserve">taxpayers </w:t>
      </w:r>
      <w:r w:rsidR="00C84CAD">
        <w:t xml:space="preserve">entering transactions involving the supply of goods and services where a royalty element is present, however not explicitly recognised or remunerated in the supply contract. </w:t>
      </w:r>
      <w:r w:rsidR="009D5682">
        <w:t xml:space="preserve">For example, they may be referred to as ‘management </w:t>
      </w:r>
      <w:proofErr w:type="gramStart"/>
      <w:r w:rsidR="009D5682">
        <w:t>fees’</w:t>
      </w:r>
      <w:proofErr w:type="gramEnd"/>
      <w:r w:rsidR="009D5682">
        <w:t>.</w:t>
      </w:r>
    </w:p>
    <w:p w14:paraId="2F6E8D99" w14:textId="1E7064E1" w:rsidR="00497A11" w:rsidRDefault="00DD4F76" w:rsidP="001F2D41">
      <w:r>
        <w:t xml:space="preserve">Under such arrangements, the person with a taxable presence in Australia may not be considered to have incurred a royalty. </w:t>
      </w:r>
      <w:r w:rsidR="00D4769D">
        <w:t xml:space="preserve">Consequently, </w:t>
      </w:r>
      <w:r w:rsidR="001F2D41" w:rsidRPr="00A55EE6">
        <w:t>Australian royalty withholding tax obligations</w:t>
      </w:r>
      <w:r>
        <w:t xml:space="preserve"> may</w:t>
      </w:r>
      <w:r w:rsidR="001F2D41" w:rsidRPr="00A55EE6">
        <w:t xml:space="preserve"> be </w:t>
      </w:r>
      <w:r>
        <w:t>avoided</w:t>
      </w:r>
      <w:r w:rsidR="001F2D41" w:rsidRPr="00A55EE6">
        <w:t>.</w:t>
      </w:r>
      <w:r w:rsidR="00497A11">
        <w:t xml:space="preserve"> </w:t>
      </w:r>
      <w:r w:rsidR="00291A44">
        <w:t>Embedded</w:t>
      </w:r>
      <w:r w:rsidR="00890668">
        <w:t xml:space="preserve"> royalty arrangements</w:t>
      </w:r>
      <w:r w:rsidR="00291A44">
        <w:t xml:space="preserve"> are complex and may present a high level of </w:t>
      </w:r>
      <w:r w:rsidR="00497A11">
        <w:t>obfuscation</w:t>
      </w:r>
      <w:r w:rsidR="00291A44">
        <w:t>.</w:t>
      </w:r>
    </w:p>
    <w:p w14:paraId="2917C90A" w14:textId="1BEC0C46" w:rsidR="001F2D41" w:rsidRDefault="00497A11" w:rsidP="001F2D41">
      <w:r>
        <w:t>In addition</w:t>
      </w:r>
      <w:r w:rsidR="00890668">
        <w:t>, w</w:t>
      </w:r>
      <w:r w:rsidR="001F2D41" w:rsidRPr="00A55EE6">
        <w:t xml:space="preserve">here the royalty is incurred outside Australia and higher up the intra-group value </w:t>
      </w:r>
      <w:r w:rsidR="00704E6A" w:rsidRPr="00A55EE6">
        <w:t>chain</w:t>
      </w:r>
      <w:r w:rsidR="00704E6A">
        <w:t xml:space="preserve"> and</w:t>
      </w:r>
      <w:r w:rsidR="001F2D41" w:rsidRPr="00A55EE6">
        <w:t xml:space="preserve"> charged to Australia as part of the purchase price of tangible goods and/or services, such royalties may not </w:t>
      </w:r>
      <w:proofErr w:type="gramStart"/>
      <w:r w:rsidR="001F2D41" w:rsidRPr="00A55EE6">
        <w:t xml:space="preserve">be considered </w:t>
      </w:r>
      <w:r w:rsidR="00945354">
        <w:t>to be</w:t>
      </w:r>
      <w:proofErr w:type="gramEnd"/>
      <w:r w:rsidR="00945354">
        <w:t xml:space="preserve"> </w:t>
      </w:r>
      <w:r w:rsidR="001F2D41" w:rsidRPr="00A55EE6">
        <w:t xml:space="preserve">sourced in Australia. In such a situation, </w:t>
      </w:r>
      <w:r w:rsidR="00DA675D">
        <w:t>it may instead be more appropriate for these payments to be</w:t>
      </w:r>
      <w:r w:rsidR="00DD4F76">
        <w:t xml:space="preserve"> within the Australian tax net, given they were undertaken to avoid the application of Australian royalty withholding tax.</w:t>
      </w:r>
    </w:p>
    <w:p w14:paraId="4C8A02E4" w14:textId="2251F10A" w:rsidR="005003F5" w:rsidRDefault="00302E5F" w:rsidP="001F2D41">
      <w:r>
        <w:t xml:space="preserve">Issues with </w:t>
      </w:r>
      <w:r w:rsidR="00DC45A6">
        <w:t xml:space="preserve">the </w:t>
      </w:r>
      <w:r>
        <w:t xml:space="preserve">characterisation of payments and </w:t>
      </w:r>
      <w:r w:rsidR="00F23FE5">
        <w:t xml:space="preserve">determining </w:t>
      </w:r>
      <w:r w:rsidR="00EF74A9">
        <w:t xml:space="preserve">the extent of </w:t>
      </w:r>
      <w:r>
        <w:t>intra-group value chains means addressing e</w:t>
      </w:r>
      <w:r w:rsidR="00291A44">
        <w:t>mbedded royalty arrangements</w:t>
      </w:r>
      <w:r>
        <w:t xml:space="preserve"> is challenging. However, not covering embedded royalty arrangements </w:t>
      </w:r>
      <w:r w:rsidR="002F5731">
        <w:t xml:space="preserve">would </w:t>
      </w:r>
      <w:r w:rsidR="00497A11">
        <w:t>pose</w:t>
      </w:r>
      <w:r w:rsidR="002F5731">
        <w:t xml:space="preserve"> an </w:t>
      </w:r>
      <w:r w:rsidR="00291A44">
        <w:t>integrity risk</w:t>
      </w:r>
      <w:r>
        <w:t xml:space="preserve"> to Australia’s tax base</w:t>
      </w:r>
      <w:r w:rsidR="00291A44">
        <w:t>.</w:t>
      </w:r>
      <w:r w:rsidR="00C60300">
        <w:t xml:space="preserve"> </w:t>
      </w:r>
      <w:r w:rsidR="00F42452">
        <w:t xml:space="preserve">Similar risks </w:t>
      </w:r>
      <w:r w:rsidR="004E219F">
        <w:t xml:space="preserve">with embedded royalties </w:t>
      </w:r>
      <w:r w:rsidR="00F42452">
        <w:t xml:space="preserve">have </w:t>
      </w:r>
      <w:r w:rsidR="00C60300">
        <w:t xml:space="preserve">been recognised in recently introduced policies in other jurisdictions, such as the United Kingdom’s </w:t>
      </w:r>
      <w:r w:rsidR="00F00347">
        <w:t>‘</w:t>
      </w:r>
      <w:r w:rsidR="00C60300" w:rsidRPr="00C60300">
        <w:t>Offshore Receipts in respect of Intangible Property</w:t>
      </w:r>
      <w:r w:rsidR="00F00347">
        <w:t>’</w:t>
      </w:r>
      <w:r w:rsidR="00C60300">
        <w:t xml:space="preserve"> (ORIP).</w:t>
      </w:r>
      <w:r w:rsidR="00DC5A74" w:rsidRPr="00DC5A74">
        <w:t xml:space="preserve"> Like the </w:t>
      </w:r>
      <w:r w:rsidR="00E329D9">
        <w:t>United Kingdom</w:t>
      </w:r>
      <w:r w:rsidR="00DC5A74" w:rsidRPr="00DC5A74">
        <w:t>, Australia could consider ensuring th</w:t>
      </w:r>
      <w:r w:rsidR="004F602A">
        <w:t>is commitment</w:t>
      </w:r>
      <w:r w:rsidR="00DC5A74" w:rsidRPr="00DC5A74">
        <w:t xml:space="preserve"> covers any amount in respect of rights over intangible</w:t>
      </w:r>
      <w:r w:rsidR="00045AFE">
        <w:t>s</w:t>
      </w:r>
      <w:r w:rsidR="00DC5A74" w:rsidRPr="00DC5A74">
        <w:t xml:space="preserve"> which enable, facilitate, or promote Australian sales (in relation to services, goods, or other property) directly or indirectly.</w:t>
      </w:r>
    </w:p>
    <w:p w14:paraId="299DDA0B" w14:textId="3BAA410F" w:rsidR="00DD4F76" w:rsidRDefault="0029054A" w:rsidP="009177C1">
      <w:r>
        <w:t xml:space="preserve">Further integrity risks </w:t>
      </w:r>
      <w:r w:rsidR="007F7034">
        <w:t xml:space="preserve">associated with intangibles </w:t>
      </w:r>
      <w:r>
        <w:t>are outlined in</w:t>
      </w:r>
      <w:r w:rsidR="00130481">
        <w:t xml:space="preserve"> TA 2020/1</w:t>
      </w:r>
      <w:r w:rsidR="00945354">
        <w:t>.</w:t>
      </w:r>
      <w:r w:rsidR="00130481">
        <w:t xml:space="preserve"> </w:t>
      </w:r>
      <w:r w:rsidR="00945354">
        <w:t xml:space="preserve">The </w:t>
      </w:r>
      <w:r w:rsidR="00130481">
        <w:t>ATO raises concerns with intangibles either being relocated to</w:t>
      </w:r>
      <w:r w:rsidR="00945354">
        <w:t>, or held by,</w:t>
      </w:r>
      <w:r w:rsidR="00130481">
        <w:t xml:space="preserve"> a foreign entity</w:t>
      </w:r>
      <w:r w:rsidR="00945354">
        <w:t>.</w:t>
      </w:r>
      <w:r w:rsidR="00130481">
        <w:t xml:space="preserve"> </w:t>
      </w:r>
      <w:r w:rsidR="00945354">
        <w:t xml:space="preserve">Although </w:t>
      </w:r>
      <w:r w:rsidR="009177C1">
        <w:t xml:space="preserve">significant </w:t>
      </w:r>
      <w:r w:rsidR="007E513B">
        <w:t xml:space="preserve">activities </w:t>
      </w:r>
      <w:r w:rsidR="007E513B">
        <w:lastRenderedPageBreak/>
        <w:t xml:space="preserve">connected with </w:t>
      </w:r>
      <w:r w:rsidR="002C0EA0">
        <w:t xml:space="preserve">the </w:t>
      </w:r>
      <w:r w:rsidR="007E513B">
        <w:t>DEMPE</w:t>
      </w:r>
      <w:r w:rsidR="009177C1">
        <w:t xml:space="preserve"> </w:t>
      </w:r>
      <w:r w:rsidR="007E513B">
        <w:t>of th</w:t>
      </w:r>
      <w:r w:rsidR="009177C1">
        <w:t xml:space="preserve">e intangible may be undertaken </w:t>
      </w:r>
      <w:r w:rsidR="00D9071C">
        <w:t xml:space="preserve">by </w:t>
      </w:r>
      <w:r w:rsidR="009177C1">
        <w:t>an entity in Australia, Australia is not appropriately remunerated.</w:t>
      </w:r>
      <w:r w:rsidR="00AC2E34">
        <w:t xml:space="preserve"> In these situations, </w:t>
      </w:r>
      <w:r w:rsidR="00F06896">
        <w:t xml:space="preserve">the Australian taxable profits have been reduced due to reduced worldwide income </w:t>
      </w:r>
      <w:r w:rsidR="00B0616A">
        <w:t xml:space="preserve">being derived </w:t>
      </w:r>
      <w:r w:rsidR="00F06896">
        <w:t xml:space="preserve">from the exploitation of intangibles in Australia </w:t>
      </w:r>
      <w:r w:rsidR="00B0616A">
        <w:t>as the intangible is not in Australia</w:t>
      </w:r>
      <w:r w:rsidR="00D9071C">
        <w:t>.</w:t>
      </w:r>
      <w:r w:rsidR="00F06896">
        <w:t xml:space="preserve"> Australian taxable profits for the </w:t>
      </w:r>
      <w:r w:rsidR="00B0616A">
        <w:t xml:space="preserve">economic </w:t>
      </w:r>
      <w:r w:rsidR="00306216">
        <w:t xml:space="preserve">activity </w:t>
      </w:r>
      <w:r w:rsidR="00E4622F">
        <w:t xml:space="preserve">in Australia </w:t>
      </w:r>
      <w:r w:rsidR="00306216">
        <w:t>associated with the intangible</w:t>
      </w:r>
      <w:r w:rsidR="00D9071C">
        <w:t xml:space="preserve"> may be reduced</w:t>
      </w:r>
      <w:r w:rsidR="00115A2E">
        <w:t xml:space="preserve"> as the economic activity in Australia is not appropriately recognised</w:t>
      </w:r>
      <w:r w:rsidR="00F06896">
        <w:t xml:space="preserve">. </w:t>
      </w:r>
      <w:r w:rsidR="00B867EC">
        <w:t xml:space="preserve">As such arrangements also present risks to Australia’s tax base, the current balance of Australia’s rules will </w:t>
      </w:r>
      <w:r w:rsidR="00497A11">
        <w:t xml:space="preserve">need to </w:t>
      </w:r>
      <w:r w:rsidR="00B867EC">
        <w:t xml:space="preserve">be assessed </w:t>
      </w:r>
      <w:r w:rsidR="003F559D">
        <w:t xml:space="preserve">as to </w:t>
      </w:r>
      <w:r w:rsidR="00B867EC">
        <w:t>whether they appropriately deal with such arrangements.</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9177C1" w14:paraId="0CC971CE" w14:textId="77777777" w:rsidTr="00762FA3">
        <w:tc>
          <w:tcPr>
            <w:tcW w:w="5000" w:type="pct"/>
            <w:shd w:val="clear" w:color="auto" w:fill="EEEEEE" w:themeFill="background2"/>
          </w:tcPr>
          <w:p w14:paraId="1AD07555" w14:textId="0D1E58A9" w:rsidR="009177C1" w:rsidRPr="000D1284" w:rsidRDefault="009177C1" w:rsidP="00762FA3">
            <w:pPr>
              <w:pStyle w:val="BoxHeading"/>
            </w:pPr>
            <w:r>
              <w:t>Questions</w:t>
            </w:r>
          </w:p>
          <w:p w14:paraId="4EFBC7FE" w14:textId="3CF37F07" w:rsidR="009177C1" w:rsidRDefault="009177C1" w:rsidP="008C351F">
            <w:pPr>
              <w:pStyle w:val="BoxText"/>
              <w:numPr>
                <w:ilvl w:val="0"/>
                <w:numId w:val="21"/>
              </w:numPr>
              <w:ind w:left="484" w:hanging="425"/>
            </w:pPr>
            <w:r w:rsidRPr="00A55EE6">
              <w:t xml:space="preserve">Do you </w:t>
            </w:r>
            <w:r w:rsidR="007E79A0">
              <w:t>consider</w:t>
            </w:r>
            <w:r w:rsidRPr="00A55EE6">
              <w:t xml:space="preserve"> the </w:t>
            </w:r>
            <w:r w:rsidR="00200AC7">
              <w:t>policy</w:t>
            </w:r>
            <w:r w:rsidRPr="00A55EE6">
              <w:t xml:space="preserve"> should seek to </w:t>
            </w:r>
            <w:r w:rsidR="005D5146">
              <w:t>cover</w:t>
            </w:r>
            <w:r w:rsidR="005D5146" w:rsidRPr="00A55EE6">
              <w:t xml:space="preserve"> </w:t>
            </w:r>
            <w:r w:rsidR="003B2CAB">
              <w:t xml:space="preserve">both royalties and </w:t>
            </w:r>
            <w:r w:rsidRPr="00A55EE6">
              <w:t>embedded royalties?</w:t>
            </w:r>
            <w:r>
              <w:t xml:space="preserve"> </w:t>
            </w:r>
          </w:p>
          <w:p w14:paraId="20D9FB55" w14:textId="38EDBFFC" w:rsidR="0078347F" w:rsidRDefault="007E79A0" w:rsidP="008C351F">
            <w:pPr>
              <w:pStyle w:val="BoxText"/>
              <w:numPr>
                <w:ilvl w:val="0"/>
                <w:numId w:val="21"/>
              </w:numPr>
              <w:ind w:left="484" w:hanging="425"/>
            </w:pPr>
            <w:r>
              <w:t xml:space="preserve">Do you consider there are </w:t>
            </w:r>
            <w:r w:rsidR="0078347F">
              <w:t xml:space="preserve">practical challenges in identifying embedded </w:t>
            </w:r>
            <w:r w:rsidR="00230A0E">
              <w:t>royalties</w:t>
            </w:r>
            <w:r>
              <w:t>, and if</w:t>
            </w:r>
            <w:r w:rsidR="00945354">
              <w:t xml:space="preserve"> so</w:t>
            </w:r>
            <w:r w:rsidR="00806847">
              <w:t>,</w:t>
            </w:r>
            <w:r w:rsidR="00945354">
              <w:t xml:space="preserve"> what are they</w:t>
            </w:r>
            <w:r w:rsidR="0078347F">
              <w:t xml:space="preserve">? </w:t>
            </w:r>
          </w:p>
          <w:p w14:paraId="535350F2" w14:textId="12155331" w:rsidR="009177C1" w:rsidRDefault="007E79A0" w:rsidP="008C351F">
            <w:pPr>
              <w:pStyle w:val="BoxText"/>
              <w:numPr>
                <w:ilvl w:val="0"/>
                <w:numId w:val="21"/>
              </w:numPr>
              <w:ind w:left="484" w:hanging="425"/>
            </w:pPr>
            <w:r>
              <w:t xml:space="preserve">Do you consider </w:t>
            </w:r>
            <w:r w:rsidR="009177C1" w:rsidRPr="00A55EE6">
              <w:t xml:space="preserve">the </w:t>
            </w:r>
            <w:r w:rsidR="00200AC7">
              <w:t>policy</w:t>
            </w:r>
            <w:r w:rsidR="009177C1" w:rsidRPr="00A55EE6">
              <w:t xml:space="preserve"> </w:t>
            </w:r>
            <w:r>
              <w:t>should</w:t>
            </w:r>
            <w:r w:rsidR="009177C1" w:rsidRPr="00A55EE6">
              <w:t xml:space="preserve"> seek to address </w:t>
            </w:r>
            <w:r w:rsidR="00AC2E34">
              <w:t>reduced Australian profits which has resulted due to</w:t>
            </w:r>
            <w:r w:rsidR="009177C1">
              <w:t xml:space="preserve"> migrated </w:t>
            </w:r>
            <w:r w:rsidR="00AC2E34">
              <w:t xml:space="preserve">intangibles and </w:t>
            </w:r>
            <w:r w:rsidR="009177C1">
              <w:t>DEMPE functions</w:t>
            </w:r>
            <w:r w:rsidR="009177C1" w:rsidRPr="00A55EE6">
              <w:t>?</w:t>
            </w:r>
          </w:p>
          <w:p w14:paraId="49B3C916" w14:textId="054F9CA4" w:rsidR="009B3AEF" w:rsidRDefault="009B3AEF" w:rsidP="008C351F">
            <w:pPr>
              <w:pStyle w:val="BoxText"/>
              <w:numPr>
                <w:ilvl w:val="0"/>
                <w:numId w:val="21"/>
              </w:numPr>
              <w:ind w:left="484" w:hanging="425"/>
            </w:pPr>
            <w:r>
              <w:t xml:space="preserve">Do you consider any other payments </w:t>
            </w:r>
            <w:r w:rsidR="003B2CAB">
              <w:t>(not related to intangibles</w:t>
            </w:r>
            <w:r w:rsidR="004A6334">
              <w:t xml:space="preserve"> or royalties</w:t>
            </w:r>
            <w:r w:rsidR="003B2CAB">
              <w:t xml:space="preserve">) </w:t>
            </w:r>
            <w:r>
              <w:t xml:space="preserve">should </w:t>
            </w:r>
            <w:r w:rsidR="003B2CAB">
              <w:t xml:space="preserve">also </w:t>
            </w:r>
            <w:r>
              <w:t xml:space="preserve">be covered by this </w:t>
            </w:r>
            <w:r w:rsidR="00200AC7">
              <w:t>policy</w:t>
            </w:r>
            <w:r>
              <w:t>?</w:t>
            </w:r>
          </w:p>
          <w:p w14:paraId="7B552716" w14:textId="5B0C7DFB" w:rsidR="009B3AEF" w:rsidRPr="000D1284" w:rsidRDefault="009B3AEF" w:rsidP="006A631B">
            <w:pPr>
              <w:pStyle w:val="BoxText"/>
              <w:ind w:left="720"/>
            </w:pPr>
          </w:p>
        </w:tc>
      </w:tr>
    </w:tbl>
    <w:p w14:paraId="6A75C2B2" w14:textId="6CA0B051" w:rsidR="007454B0" w:rsidRDefault="00640795" w:rsidP="00640795">
      <w:pPr>
        <w:pStyle w:val="Heading3"/>
      </w:pPr>
      <w:bookmarkStart w:id="25" w:name="_Toc110583145"/>
      <w:r>
        <w:t>Application</w:t>
      </w:r>
      <w:r w:rsidR="00F065E8">
        <w:t xml:space="preserve"> to related </w:t>
      </w:r>
      <w:r>
        <w:t xml:space="preserve">and unrelated </w:t>
      </w:r>
      <w:r w:rsidR="00663C02">
        <w:t>parties</w:t>
      </w:r>
      <w:bookmarkEnd w:id="25"/>
    </w:p>
    <w:p w14:paraId="3EF3600C" w14:textId="720743DE" w:rsidR="00221CF3" w:rsidRDefault="00847256" w:rsidP="004954ED">
      <w:pPr>
        <w:pStyle w:val="DoubleDot"/>
        <w:numPr>
          <w:ilvl w:val="0"/>
          <w:numId w:val="0"/>
        </w:numPr>
      </w:pPr>
      <w:r>
        <w:t>As outlined in the examples provided in TA 2018/2</w:t>
      </w:r>
      <w:r w:rsidR="009337DC">
        <w:t xml:space="preserve"> and TA 2020/1</w:t>
      </w:r>
      <w:r>
        <w:t xml:space="preserve">, </w:t>
      </w:r>
      <w:r w:rsidR="00362ACA">
        <w:t>profit-</w:t>
      </w:r>
      <w:r>
        <w:t xml:space="preserve">shifting arrangements involving </w:t>
      </w:r>
      <w:r w:rsidR="008A5D19">
        <w:t xml:space="preserve">intangibles </w:t>
      </w:r>
      <w:r>
        <w:t xml:space="preserve">are generally conducted between related entities. However, </w:t>
      </w:r>
      <w:r w:rsidRPr="006C55B2">
        <w:t xml:space="preserve">nothing prevents unrelated entities from acting in </w:t>
      </w:r>
      <w:r w:rsidR="008A5D19">
        <w:t>concert</w:t>
      </w:r>
      <w:r w:rsidR="008A5D19" w:rsidRPr="006C55B2">
        <w:t xml:space="preserve"> </w:t>
      </w:r>
      <w:r w:rsidRPr="006C55B2">
        <w:t xml:space="preserve">to achieve a tax </w:t>
      </w:r>
      <w:r w:rsidR="008A5D19">
        <w:t>benefit</w:t>
      </w:r>
      <w:r w:rsidRPr="006C55B2">
        <w:t>.</w:t>
      </w:r>
    </w:p>
    <w:p w14:paraId="1509F69F" w14:textId="27F84D5B" w:rsidR="006C55B2" w:rsidRDefault="00945354" w:rsidP="004954ED">
      <w:pPr>
        <w:pStyle w:val="DoubleDot"/>
        <w:numPr>
          <w:ilvl w:val="0"/>
          <w:numId w:val="0"/>
        </w:numPr>
      </w:pPr>
      <w:r>
        <w:t>T</w:t>
      </w:r>
      <w:r w:rsidR="00530B4F">
        <w:t>o ensure integrity risks are appropriately captured</w:t>
      </w:r>
      <w:r w:rsidR="00362ACA">
        <w:t>,</w:t>
      </w:r>
      <w:r w:rsidR="00530B4F">
        <w:t xml:space="preserve"> </w:t>
      </w:r>
      <w:r w:rsidR="003B2CAB">
        <w:t>it may be necessary to apply the measure</w:t>
      </w:r>
      <w:r w:rsidR="00530B4F">
        <w:t xml:space="preserve"> to arrangements that involve both related and unrelated entities.</w:t>
      </w:r>
      <w:r w:rsidR="00362ACA">
        <w:t xml:space="preserve"> </w:t>
      </w:r>
      <w:r w:rsidR="00530B4F">
        <w:t>This would also more effectively build upon</w:t>
      </w:r>
      <w:r w:rsidR="009C3F26">
        <w:t>, and be consistent with,</w:t>
      </w:r>
      <w:r w:rsidR="003B2CAB">
        <w:t xml:space="preserve"> other aspects of</w:t>
      </w:r>
      <w:r w:rsidR="00530B4F">
        <w:t xml:space="preserve"> </w:t>
      </w:r>
      <w:r w:rsidR="008A5D19">
        <w:t>Australia</w:t>
      </w:r>
      <w:r w:rsidR="003B2CAB">
        <w:t>’s</w:t>
      </w:r>
      <w:r w:rsidR="008A5D19">
        <w:t xml:space="preserve"> tax law framework</w:t>
      </w:r>
      <w:r w:rsidR="00530B4F">
        <w:t xml:space="preserve">. </w:t>
      </w:r>
      <w:r w:rsidR="00847256" w:rsidRPr="00EF0365">
        <w:t xml:space="preserve">For </w:t>
      </w:r>
      <w:r w:rsidR="00530B4F">
        <w:t>example</w:t>
      </w:r>
      <w:r w:rsidR="00847256" w:rsidRPr="00EF0365">
        <w:t xml:space="preserve">, the transfer pricing rules of Subdivision 815-B of the ITAA 1997 apply to </w:t>
      </w:r>
      <w:r w:rsidR="009337DC">
        <w:t>both related and</w:t>
      </w:r>
      <w:r w:rsidR="00847256" w:rsidRPr="00EF0365">
        <w:t xml:space="preserve"> unrelated entities that enter non-arm’s length cross-border arrangements</w:t>
      </w:r>
      <w:r w:rsidR="00847256">
        <w:t>. This is necessary</w:t>
      </w:r>
      <w:r w:rsidR="00847256" w:rsidRPr="00EF0365">
        <w:t xml:space="preserve"> to ensure that, irrespective of the relationship between the parties, where non-arm’s length conditions operate in connection with cross-border arrangements</w:t>
      </w:r>
      <w:r w:rsidR="00847256">
        <w:t>,</w:t>
      </w:r>
      <w:r w:rsidR="00847256" w:rsidRPr="00EF0365">
        <w:t xml:space="preserve"> amounts are appropriately brought to tax in Australia. Further</w:t>
      </w:r>
      <w:r w:rsidR="008A5D19">
        <w:t>more</w:t>
      </w:r>
      <w:r w:rsidR="00847256" w:rsidRPr="00EF0365">
        <w:t>, Subdivision 815-B does not require a tax avoidance motive.</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1B764D" w14:paraId="54BB5A04" w14:textId="77777777" w:rsidTr="00762FA3">
        <w:tc>
          <w:tcPr>
            <w:tcW w:w="5000" w:type="pct"/>
            <w:shd w:val="clear" w:color="auto" w:fill="EEEEEE" w:themeFill="background2"/>
          </w:tcPr>
          <w:p w14:paraId="3A3012F0" w14:textId="77777777" w:rsidR="001B764D" w:rsidRPr="000D1284" w:rsidRDefault="001B764D" w:rsidP="00762FA3">
            <w:pPr>
              <w:pStyle w:val="BoxHeading"/>
            </w:pPr>
            <w:r>
              <w:t>Question</w:t>
            </w:r>
          </w:p>
          <w:p w14:paraId="6153539B" w14:textId="75513E8B" w:rsidR="001B764D" w:rsidRPr="000D1284" w:rsidRDefault="00150B26" w:rsidP="008C351F">
            <w:pPr>
              <w:pStyle w:val="BoxText"/>
              <w:numPr>
                <w:ilvl w:val="0"/>
                <w:numId w:val="21"/>
              </w:numPr>
              <w:ind w:left="484" w:hanging="425"/>
            </w:pPr>
            <w:r>
              <w:t xml:space="preserve">Do you consider </w:t>
            </w:r>
            <w:r w:rsidR="00730AF3">
              <w:t xml:space="preserve">the </w:t>
            </w:r>
            <w:r w:rsidR="00200AC7">
              <w:t>policy</w:t>
            </w:r>
            <w:r w:rsidR="001B764D" w:rsidRPr="00675030">
              <w:t xml:space="preserve"> </w:t>
            </w:r>
            <w:r>
              <w:t xml:space="preserve">should </w:t>
            </w:r>
            <w:r w:rsidR="001B764D">
              <w:t>apply to both related and unrelated entities</w:t>
            </w:r>
            <w:r w:rsidR="001B764D" w:rsidRPr="00675030">
              <w:t>?</w:t>
            </w:r>
          </w:p>
        </w:tc>
      </w:tr>
    </w:tbl>
    <w:p w14:paraId="54C26D15" w14:textId="04876BAE" w:rsidR="004F2E22" w:rsidRDefault="000F1F71" w:rsidP="004F2E22">
      <w:pPr>
        <w:pStyle w:val="Heading3"/>
      </w:pPr>
      <w:bookmarkStart w:id="26" w:name="_Toc110583146"/>
      <w:r>
        <w:t xml:space="preserve">Insufficient </w:t>
      </w:r>
      <w:r w:rsidR="00D409B2">
        <w:t>t</w:t>
      </w:r>
      <w:r>
        <w:t>ax</w:t>
      </w:r>
      <w:bookmarkEnd w:id="26"/>
    </w:p>
    <w:p w14:paraId="2AFE9D42" w14:textId="0D760AE2" w:rsidR="00B17BDB" w:rsidRDefault="00B17BDB" w:rsidP="00663C02">
      <w:r>
        <w:t xml:space="preserve">The </w:t>
      </w:r>
      <w:r w:rsidR="009D5687">
        <w:t>measure</w:t>
      </w:r>
      <w:r>
        <w:t xml:space="preserve"> focuses on a</w:t>
      </w:r>
      <w:r w:rsidR="00B14702">
        <w:t xml:space="preserve">rrangements involving payments </w:t>
      </w:r>
      <w:r w:rsidR="009C3F26">
        <w:t>relating to intangible</w:t>
      </w:r>
      <w:r w:rsidR="00045AFE">
        <w:t>s and royalties</w:t>
      </w:r>
      <w:r w:rsidR="009C3F26">
        <w:t xml:space="preserve"> </w:t>
      </w:r>
      <w:r w:rsidR="00B14702">
        <w:t xml:space="preserve">to low </w:t>
      </w:r>
      <w:r w:rsidR="0049706B">
        <w:t>or no</w:t>
      </w:r>
      <w:r w:rsidR="00B14702">
        <w:t xml:space="preserve"> tax jurisdictions</w:t>
      </w:r>
      <w:r w:rsidR="00F26CA5">
        <w:t xml:space="preserve"> or</w:t>
      </w:r>
      <w:r w:rsidR="00CD4A54">
        <w:t xml:space="preserve"> that</w:t>
      </w:r>
      <w:r w:rsidR="00F26CA5">
        <w:t xml:space="preserve"> lead to insufficient tax </w:t>
      </w:r>
      <w:r w:rsidR="000C010E">
        <w:t xml:space="preserve">being </w:t>
      </w:r>
      <w:r w:rsidR="00F26CA5">
        <w:t>paid</w:t>
      </w:r>
      <w:r w:rsidR="00B14702">
        <w:t>.</w:t>
      </w:r>
      <w:r w:rsidR="005F26DF">
        <w:t xml:space="preserve"> </w:t>
      </w:r>
    </w:p>
    <w:p w14:paraId="0D89DD18" w14:textId="5F555DB1" w:rsidR="001B0362" w:rsidRDefault="00AB7402" w:rsidP="00663C02">
      <w:r>
        <w:lastRenderedPageBreak/>
        <w:t>There are various</w:t>
      </w:r>
      <w:r w:rsidR="002E1280">
        <w:t xml:space="preserve"> </w:t>
      </w:r>
      <w:r w:rsidR="009C3F26">
        <w:t xml:space="preserve">factors </w:t>
      </w:r>
      <w:r w:rsidR="00DC5B2B">
        <w:t>that</w:t>
      </w:r>
      <w:r>
        <w:t xml:space="preserve"> could </w:t>
      </w:r>
      <w:r w:rsidR="00DC5B2B">
        <w:t xml:space="preserve">be </w:t>
      </w:r>
      <w:r>
        <w:t>consider</w:t>
      </w:r>
      <w:r w:rsidR="00DC5B2B">
        <w:t>ed</w:t>
      </w:r>
      <w:r>
        <w:t xml:space="preserve"> </w:t>
      </w:r>
      <w:r w:rsidR="00DC5B2B">
        <w:t>in</w:t>
      </w:r>
      <w:r>
        <w:t xml:space="preserve"> defin</w:t>
      </w:r>
      <w:r w:rsidR="00DC5B2B">
        <w:t>ing</w:t>
      </w:r>
      <w:r>
        <w:t xml:space="preserve"> ‘insufficient tax’</w:t>
      </w:r>
      <w:r w:rsidR="009C3F26">
        <w:t xml:space="preserve"> or ‘low or no tax jurisdictions’, such as the options set out below</w:t>
      </w:r>
      <w:r>
        <w:t>.</w:t>
      </w:r>
    </w:p>
    <w:p w14:paraId="1F465548" w14:textId="3D04642A" w:rsidR="00784138" w:rsidRDefault="009D08D8" w:rsidP="005973FD">
      <w:pPr>
        <w:pStyle w:val="ListParagraph"/>
        <w:numPr>
          <w:ilvl w:val="0"/>
          <w:numId w:val="12"/>
        </w:numPr>
      </w:pPr>
      <w:r w:rsidRPr="00CE2528">
        <w:rPr>
          <w:b/>
          <w:bCs/>
        </w:rPr>
        <w:t>Hybrid mismatch targeted integrity rule</w:t>
      </w:r>
      <w:r w:rsidR="00784138">
        <w:t xml:space="preserve">: </w:t>
      </w:r>
      <w:r w:rsidR="00945354">
        <w:t>P</w:t>
      </w:r>
      <w:r w:rsidR="00A34DAA">
        <w:t xml:space="preserve">ayments made to jurisdictions where they are taxed at </w:t>
      </w:r>
      <w:r w:rsidR="00E00E2D">
        <w:t>a rate of 10</w:t>
      </w:r>
      <w:r w:rsidR="007D4C3D">
        <w:t xml:space="preserve"> per cent</w:t>
      </w:r>
      <w:r w:rsidR="00E00E2D">
        <w:t xml:space="preserve"> or less</w:t>
      </w:r>
      <w:r w:rsidR="00A34DAA">
        <w:t xml:space="preserve"> would be in scope. This </w:t>
      </w:r>
      <w:r w:rsidR="00B157FD">
        <w:t>is consistent</w:t>
      </w:r>
      <w:r w:rsidR="00E00E2D">
        <w:t xml:space="preserve"> with</w:t>
      </w:r>
      <w:r>
        <w:t xml:space="preserve"> the hybrid mismatch targeted integrity rule in Subdivision 832-J of the </w:t>
      </w:r>
      <w:r w:rsidR="00A34DAA" w:rsidRPr="00D3490E">
        <w:t>ITAA 1997</w:t>
      </w:r>
      <w:r w:rsidR="00E00E2D">
        <w:rPr>
          <w:rStyle w:val="FootnoteReference"/>
        </w:rPr>
        <w:footnoteReference w:id="10"/>
      </w:r>
      <w:r w:rsidR="006A631B">
        <w:t>,</w:t>
      </w:r>
      <w:r>
        <w:t xml:space="preserve"> </w:t>
      </w:r>
      <w:r w:rsidR="00A34DAA">
        <w:t>which</w:t>
      </w:r>
      <w:r>
        <w:t xml:space="preserve"> seeks to prevent offshore </w:t>
      </w:r>
      <w:r w:rsidR="0022159B">
        <w:t xml:space="preserve">MNEs </w:t>
      </w:r>
      <w:r>
        <w:t>from otherwise circumventing the hybrid mismatch rules by routing investment or financing into Australia via an entity located in jurisdictions with a tax rate of 10</w:t>
      </w:r>
      <w:r w:rsidR="00B24025">
        <w:t xml:space="preserve"> per cent</w:t>
      </w:r>
      <w:r>
        <w:t xml:space="preserve"> or less.</w:t>
      </w:r>
    </w:p>
    <w:p w14:paraId="5F1A9843" w14:textId="0F365446" w:rsidR="00980ABD" w:rsidRDefault="00B24025" w:rsidP="005973FD">
      <w:pPr>
        <w:pStyle w:val="ListParagraph"/>
        <w:numPr>
          <w:ilvl w:val="0"/>
          <w:numId w:val="12"/>
        </w:numPr>
      </w:pPr>
      <w:r w:rsidRPr="00CF19E2">
        <w:rPr>
          <w:b/>
          <w:bCs/>
        </w:rPr>
        <w:t xml:space="preserve">Global </w:t>
      </w:r>
      <w:r w:rsidR="00F41085">
        <w:rPr>
          <w:b/>
          <w:bCs/>
        </w:rPr>
        <w:t>A</w:t>
      </w:r>
      <w:r w:rsidR="00F41085" w:rsidRPr="00CF19E2">
        <w:rPr>
          <w:b/>
          <w:bCs/>
        </w:rPr>
        <w:t>nti</w:t>
      </w:r>
      <w:r w:rsidRPr="00CF19E2">
        <w:rPr>
          <w:b/>
          <w:bCs/>
        </w:rPr>
        <w:t>-Base Erosion Rules (</w:t>
      </w:r>
      <w:proofErr w:type="spellStart"/>
      <w:r w:rsidRPr="00CF19E2">
        <w:rPr>
          <w:b/>
          <w:bCs/>
        </w:rPr>
        <w:t>GloBE</w:t>
      </w:r>
      <w:proofErr w:type="spellEnd"/>
      <w:r w:rsidRPr="00CF19E2">
        <w:rPr>
          <w:b/>
          <w:bCs/>
        </w:rPr>
        <w:t>) minimum tax rate</w:t>
      </w:r>
      <w:r w:rsidR="00784138">
        <w:t xml:space="preserve">: </w:t>
      </w:r>
      <w:r w:rsidR="00945354">
        <w:t>P</w:t>
      </w:r>
      <w:r w:rsidR="00784138">
        <w:t>ayments made to</w:t>
      </w:r>
      <w:r>
        <w:t xml:space="preserve"> entities in</w:t>
      </w:r>
      <w:r w:rsidR="00784138">
        <w:t xml:space="preserve"> jurisdictions </w:t>
      </w:r>
      <w:r>
        <w:t xml:space="preserve">determined under the </w:t>
      </w:r>
      <w:proofErr w:type="spellStart"/>
      <w:r>
        <w:t>GloBE</w:t>
      </w:r>
      <w:proofErr w:type="spellEnd"/>
      <w:r>
        <w:t xml:space="preserve"> rules to have an effective tax rate of less than </w:t>
      </w:r>
      <w:r w:rsidR="00784138">
        <w:t>15</w:t>
      </w:r>
      <w:r>
        <w:t xml:space="preserve"> per cent</w:t>
      </w:r>
      <w:r w:rsidR="00784138">
        <w:t xml:space="preserve"> would be in scope. This is consistent with the </w:t>
      </w:r>
      <w:proofErr w:type="spellStart"/>
      <w:r w:rsidR="00784138">
        <w:t>GloBE</w:t>
      </w:r>
      <w:proofErr w:type="spellEnd"/>
      <w:r w:rsidR="00784138">
        <w:t xml:space="preserve"> minimum tax rate as part of the </w:t>
      </w:r>
      <w:proofErr w:type="spellStart"/>
      <w:r w:rsidR="00006EF5">
        <w:t>GloBE</w:t>
      </w:r>
      <w:proofErr w:type="spellEnd"/>
      <w:r w:rsidR="00006EF5">
        <w:t xml:space="preserve"> (</w:t>
      </w:r>
      <w:r w:rsidR="00784138">
        <w:t>Pillar Two</w:t>
      </w:r>
      <w:r w:rsidR="00006EF5">
        <w:t>)</w:t>
      </w:r>
      <w:r w:rsidR="00784138">
        <w:t xml:space="preserve"> Model Rules. Under the </w:t>
      </w:r>
      <w:proofErr w:type="spellStart"/>
      <w:r w:rsidR="00784138">
        <w:t>GloBE</w:t>
      </w:r>
      <w:proofErr w:type="spellEnd"/>
      <w:r w:rsidR="00784138">
        <w:t xml:space="preserve"> rules, the </w:t>
      </w:r>
      <w:r>
        <w:t xml:space="preserve">tax base for the </w:t>
      </w:r>
      <w:r w:rsidR="00784138">
        <w:t>effective tax rate calculat</w:t>
      </w:r>
      <w:r>
        <w:t>ion is</w:t>
      </w:r>
      <w:r w:rsidR="00784138">
        <w:t xml:space="preserve"> based on financial accounting statements, rather than tax filings</w:t>
      </w:r>
      <w:r>
        <w:t xml:space="preserve">, and the covered taxes </w:t>
      </w:r>
      <w:r w:rsidR="008A346F">
        <w:t xml:space="preserve">are </w:t>
      </w:r>
      <w:r>
        <w:t>broadly the same as the tax liability recorded in the income tax return</w:t>
      </w:r>
      <w:r w:rsidR="00784138">
        <w:t>.</w:t>
      </w:r>
    </w:p>
    <w:p w14:paraId="29945FD9" w14:textId="59EBEA33" w:rsidR="00AB20C1" w:rsidRPr="00E95B2E" w:rsidRDefault="003A1D99" w:rsidP="005973FD">
      <w:pPr>
        <w:pStyle w:val="ListParagraph"/>
        <w:numPr>
          <w:ilvl w:val="0"/>
          <w:numId w:val="12"/>
        </w:numPr>
      </w:pPr>
      <w:r>
        <w:rPr>
          <w:b/>
          <w:bCs/>
        </w:rPr>
        <w:t>S</w:t>
      </w:r>
      <w:r w:rsidR="00980ABD">
        <w:rPr>
          <w:b/>
          <w:bCs/>
        </w:rPr>
        <w:t>uf</w:t>
      </w:r>
      <w:r>
        <w:rPr>
          <w:b/>
          <w:bCs/>
        </w:rPr>
        <w:t xml:space="preserve">ficient </w:t>
      </w:r>
      <w:r w:rsidR="005D73D1">
        <w:rPr>
          <w:b/>
          <w:bCs/>
        </w:rPr>
        <w:t>f</w:t>
      </w:r>
      <w:r>
        <w:rPr>
          <w:b/>
          <w:bCs/>
        </w:rPr>
        <w:t xml:space="preserve">oreign </w:t>
      </w:r>
      <w:r w:rsidR="005D73D1">
        <w:rPr>
          <w:b/>
          <w:bCs/>
        </w:rPr>
        <w:t>tax</w:t>
      </w:r>
      <w:r>
        <w:rPr>
          <w:b/>
          <w:bCs/>
        </w:rPr>
        <w:t xml:space="preserve"> test</w:t>
      </w:r>
      <w:r w:rsidR="00784138">
        <w:rPr>
          <w:b/>
          <w:bCs/>
        </w:rPr>
        <w:t>:</w:t>
      </w:r>
      <w:r>
        <w:rPr>
          <w:b/>
          <w:bCs/>
        </w:rPr>
        <w:t xml:space="preserve"> </w:t>
      </w:r>
      <w:r w:rsidR="00945354">
        <w:t>P</w:t>
      </w:r>
      <w:r w:rsidR="008619CA">
        <w:t xml:space="preserve">ayments made to </w:t>
      </w:r>
      <w:r w:rsidR="00DD111C">
        <w:t xml:space="preserve">jurisdictions with a </w:t>
      </w:r>
      <w:r w:rsidR="008619CA">
        <w:t xml:space="preserve">corporate </w:t>
      </w:r>
      <w:r w:rsidR="00DD111C">
        <w:t>tax rate of less</w:t>
      </w:r>
      <w:r w:rsidR="00406005">
        <w:t xml:space="preserve"> than 24 per cent</w:t>
      </w:r>
      <w:r w:rsidR="008619CA">
        <w:t xml:space="preserve"> would be in scope</w:t>
      </w:r>
      <w:r w:rsidR="00DD111C">
        <w:t xml:space="preserve">. </w:t>
      </w:r>
      <w:r w:rsidR="000679E9">
        <w:t xml:space="preserve">This </w:t>
      </w:r>
      <w:r w:rsidR="00DD111C">
        <w:t>is consistent with</w:t>
      </w:r>
      <w:r w:rsidR="00BD1928">
        <w:t xml:space="preserve"> </w:t>
      </w:r>
      <w:r w:rsidR="005E5CE2">
        <w:t>the ‘</w:t>
      </w:r>
      <w:r w:rsidR="00D7460C">
        <w:t>s</w:t>
      </w:r>
      <w:r w:rsidR="005E5CE2">
        <w:t xml:space="preserve">ufficient </w:t>
      </w:r>
      <w:r w:rsidR="00D7460C">
        <w:t>foreign tax</w:t>
      </w:r>
      <w:r w:rsidR="005E5CE2">
        <w:t xml:space="preserve"> </w:t>
      </w:r>
      <w:r w:rsidR="000852EF">
        <w:t>t</w:t>
      </w:r>
      <w:r w:rsidR="005E5CE2">
        <w:t xml:space="preserve">est’ outlined </w:t>
      </w:r>
      <w:r w:rsidR="00BF748C">
        <w:t>under</w:t>
      </w:r>
      <w:r w:rsidR="005E5CE2">
        <w:t xml:space="preserve"> </w:t>
      </w:r>
      <w:r w:rsidR="00C01135">
        <w:t xml:space="preserve">section 177L of the </w:t>
      </w:r>
      <w:r w:rsidR="00D3490E" w:rsidRPr="00D3490E">
        <w:t xml:space="preserve">ITAA </w:t>
      </w:r>
      <w:r w:rsidR="000426D2" w:rsidRPr="00D3490E">
        <w:t>1936</w:t>
      </w:r>
      <w:r w:rsidR="00945354">
        <w:t>.</w:t>
      </w:r>
      <w:r w:rsidR="00DD111C">
        <w:t xml:space="preserve"> Under this test</w:t>
      </w:r>
      <w:r>
        <w:t xml:space="preserve">, </w:t>
      </w:r>
      <w:r w:rsidR="004935ED">
        <w:t xml:space="preserve">the </w:t>
      </w:r>
      <w:r w:rsidR="004F5C18">
        <w:t>measure</w:t>
      </w:r>
      <w:r w:rsidR="004935ED">
        <w:t xml:space="preserve"> w</w:t>
      </w:r>
      <w:r w:rsidR="00D3490E">
        <w:t>ould</w:t>
      </w:r>
      <w:r w:rsidR="004935ED">
        <w:t xml:space="preserve"> not apply </w:t>
      </w:r>
      <w:r w:rsidR="00D3490E">
        <w:t xml:space="preserve">if </w:t>
      </w:r>
      <w:r w:rsidR="004935ED">
        <w:t xml:space="preserve">the increase in foreign tax </w:t>
      </w:r>
      <w:r w:rsidR="00D3490E">
        <w:t xml:space="preserve">resulting from </w:t>
      </w:r>
      <w:r w:rsidR="004935ED">
        <w:t xml:space="preserve">the </w:t>
      </w:r>
      <w:r w:rsidR="00BD1928">
        <w:t>offshore income diversion</w:t>
      </w:r>
      <w:r w:rsidR="004935ED">
        <w:t xml:space="preserve"> is at least 80</w:t>
      </w:r>
      <w:r w:rsidR="00404092">
        <w:t> </w:t>
      </w:r>
      <w:r w:rsidR="00F67C5D">
        <w:t>per cent</w:t>
      </w:r>
      <w:r w:rsidR="004935ED">
        <w:t xml:space="preserve"> of the reduced Australian tax liability.</w:t>
      </w:r>
      <w:r w:rsidR="00F54319">
        <w:t xml:space="preserve"> </w:t>
      </w:r>
      <w:r w:rsidR="00945354">
        <w:t>J</w:t>
      </w:r>
      <w:r w:rsidR="00F54319">
        <w:t>urisdictions with a corporate tax rate below 24</w:t>
      </w:r>
      <w:r w:rsidR="006478E1">
        <w:t> </w:t>
      </w:r>
      <w:r w:rsidR="00F67C5D">
        <w:t>per cent</w:t>
      </w:r>
      <w:r w:rsidR="00F54319">
        <w:t xml:space="preserve"> would not be considered to pass this exception, as the company tax rate for</w:t>
      </w:r>
      <w:r w:rsidR="00F67C5D">
        <w:t xml:space="preserve"> </w:t>
      </w:r>
      <w:r w:rsidR="00D3490E">
        <w:t>SGEs</w:t>
      </w:r>
      <w:r w:rsidR="00F54319">
        <w:t xml:space="preserve"> is 30</w:t>
      </w:r>
      <w:r w:rsidR="00F67C5D">
        <w:t xml:space="preserve"> per cent</w:t>
      </w:r>
      <w:r w:rsidR="00980ABD">
        <w:t>.</w:t>
      </w:r>
    </w:p>
    <w:p w14:paraId="2457D06E" w14:textId="2F0F2061" w:rsidR="00861C7E" w:rsidRDefault="00BF748C" w:rsidP="00A31B70">
      <w:pPr>
        <w:pStyle w:val="ListParagraph"/>
        <w:numPr>
          <w:ilvl w:val="0"/>
          <w:numId w:val="12"/>
        </w:numPr>
      </w:pPr>
      <w:r>
        <w:rPr>
          <w:b/>
          <w:bCs/>
        </w:rPr>
        <w:t>Intellectual property tax-pre</w:t>
      </w:r>
      <w:r w:rsidR="00D47C5D">
        <w:rPr>
          <w:b/>
          <w:bCs/>
        </w:rPr>
        <w:t>f</w:t>
      </w:r>
      <w:r>
        <w:rPr>
          <w:b/>
          <w:bCs/>
        </w:rPr>
        <w:t>e</w:t>
      </w:r>
      <w:r w:rsidR="00D47C5D">
        <w:rPr>
          <w:b/>
          <w:bCs/>
        </w:rPr>
        <w:t>re</w:t>
      </w:r>
      <w:r>
        <w:rPr>
          <w:b/>
          <w:bCs/>
        </w:rPr>
        <w:t>ntial regime</w:t>
      </w:r>
      <w:r w:rsidR="00784138">
        <w:rPr>
          <w:b/>
          <w:bCs/>
        </w:rPr>
        <w:t>:</w:t>
      </w:r>
      <w:r>
        <w:rPr>
          <w:b/>
          <w:bCs/>
        </w:rPr>
        <w:t xml:space="preserve"> </w:t>
      </w:r>
      <w:r w:rsidR="00945354">
        <w:t>P</w:t>
      </w:r>
      <w:r w:rsidR="00D3490E">
        <w:t xml:space="preserve">ayments made to </w:t>
      </w:r>
      <w:r w:rsidR="00492C5C">
        <w:t xml:space="preserve">jurisdictions with </w:t>
      </w:r>
      <w:r w:rsidR="0081111E">
        <w:t xml:space="preserve">an </w:t>
      </w:r>
      <w:r w:rsidR="00492C5C">
        <w:t>intellectual property (IP) tax-preferential regime</w:t>
      </w:r>
      <w:r w:rsidR="00D3490E">
        <w:t xml:space="preserve"> (commonly referred to as ‘Patent Box Regimes’)</w:t>
      </w:r>
      <w:r w:rsidR="00945354">
        <w:t xml:space="preserve"> would be in scope</w:t>
      </w:r>
      <w:r w:rsidR="00D47C5D">
        <w:t>.</w:t>
      </w:r>
      <w:r w:rsidR="00CD0415">
        <w:t xml:space="preserve"> However, this option may restrict the proposed measure to IP</w:t>
      </w:r>
      <w:r w:rsidR="0080087A">
        <w:t xml:space="preserve"> only</w:t>
      </w:r>
      <w:r w:rsidR="00CD0415">
        <w:t xml:space="preserve"> rather than the broader application to payments </w:t>
      </w:r>
      <w:r w:rsidR="008F2F37">
        <w:t>relating to intangibles and royalties</w:t>
      </w:r>
      <w:r w:rsidR="00CD0415">
        <w:t xml:space="preserve">. </w:t>
      </w:r>
    </w:p>
    <w:p w14:paraId="5413CB11" w14:textId="0D1F85D4" w:rsidR="00982542" w:rsidRDefault="00FC72FA" w:rsidP="005973FD">
      <w:pPr>
        <w:pStyle w:val="ListParagraph"/>
        <w:numPr>
          <w:ilvl w:val="0"/>
          <w:numId w:val="12"/>
        </w:numPr>
      </w:pPr>
      <w:r>
        <w:rPr>
          <w:b/>
          <w:bCs/>
        </w:rPr>
        <w:t>Low or nominal tax jurisdiction lists</w:t>
      </w:r>
      <w:r w:rsidR="00784138">
        <w:rPr>
          <w:b/>
          <w:bCs/>
        </w:rPr>
        <w:t>:</w:t>
      </w:r>
      <w:r>
        <w:rPr>
          <w:b/>
          <w:bCs/>
        </w:rPr>
        <w:t xml:space="preserve"> </w:t>
      </w:r>
      <w:r w:rsidR="00945354">
        <w:t>P</w:t>
      </w:r>
      <w:r w:rsidR="00D3490E">
        <w:t xml:space="preserve">ayments made to </w:t>
      </w:r>
      <w:r w:rsidR="00D47C5D">
        <w:t>jurisdictions</w:t>
      </w:r>
      <w:r w:rsidR="00D3490E">
        <w:t xml:space="preserve"> listed on </w:t>
      </w:r>
      <w:r w:rsidR="008C323A">
        <w:t xml:space="preserve">low or nominal tax jurisdiction lists published by </w:t>
      </w:r>
      <w:r w:rsidR="00D3490E">
        <w:t xml:space="preserve">international </w:t>
      </w:r>
      <w:r w:rsidR="008C323A">
        <w:t xml:space="preserve">organisations </w:t>
      </w:r>
      <w:r w:rsidR="00D47C5D">
        <w:t>would be in scope</w:t>
      </w:r>
      <w:r w:rsidR="008C323A">
        <w:t xml:space="preserve">. </w:t>
      </w:r>
      <w:r w:rsidR="000C1284">
        <w:t xml:space="preserve">However, this option is not preferred as there is no global consensus </w:t>
      </w:r>
      <w:r w:rsidR="00C829C4">
        <w:t>on the status of</w:t>
      </w:r>
      <w:r w:rsidR="000C1284">
        <w:t xml:space="preserve"> these lists.</w:t>
      </w:r>
      <w:r w:rsidR="000E4343">
        <w:t xml:space="preserve"> </w:t>
      </w:r>
      <w:r w:rsidR="00C829C4">
        <w:t>D</w:t>
      </w:r>
      <w:r w:rsidR="00982542">
        <w:t xml:space="preserve">eveloping Australia’s own bespoke list of low tax jurisdictions </w:t>
      </w:r>
      <w:r w:rsidR="00100CEC">
        <w:t>for this measure</w:t>
      </w:r>
      <w:r w:rsidR="00982542">
        <w:t xml:space="preserve"> (as opposed to leveraging an existing mechanism) could </w:t>
      </w:r>
      <w:r w:rsidR="008E0996">
        <w:t>increase the likelihood of</w:t>
      </w:r>
      <w:r w:rsidR="00982542">
        <w:t xml:space="preserve"> retaliatory responses from </w:t>
      </w:r>
      <w:r w:rsidR="0023491D">
        <w:t>listed jurisdictions</w:t>
      </w:r>
      <w:r w:rsidR="00982542">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D3490E" w14:paraId="1F62CB3D" w14:textId="77777777" w:rsidTr="0059223F">
        <w:trPr>
          <w:trHeight w:val="1049"/>
        </w:trPr>
        <w:tc>
          <w:tcPr>
            <w:tcW w:w="5000" w:type="pct"/>
            <w:shd w:val="clear" w:color="auto" w:fill="EEEEEE" w:themeFill="background2"/>
          </w:tcPr>
          <w:p w14:paraId="3BABB7FB" w14:textId="3A5F55FB" w:rsidR="00D3490E" w:rsidRPr="000D1284" w:rsidRDefault="00D3490E" w:rsidP="00762FA3">
            <w:pPr>
              <w:pStyle w:val="BoxHeading"/>
            </w:pPr>
            <w:r>
              <w:t>Questions</w:t>
            </w:r>
          </w:p>
          <w:p w14:paraId="45BDDA0C" w14:textId="559E30D4" w:rsidR="00D3490E" w:rsidRPr="000D1284" w:rsidRDefault="008D13E7" w:rsidP="008C351F">
            <w:pPr>
              <w:pStyle w:val="BoxText"/>
              <w:numPr>
                <w:ilvl w:val="0"/>
                <w:numId w:val="21"/>
              </w:numPr>
              <w:ind w:left="484" w:hanging="425"/>
            </w:pPr>
            <w:r>
              <w:t xml:space="preserve">What are your views in relation to the options outlined above? </w:t>
            </w:r>
          </w:p>
        </w:tc>
      </w:tr>
    </w:tbl>
    <w:p w14:paraId="39E07433" w14:textId="76DC2E5B" w:rsidR="00467A9A" w:rsidRDefault="00467A9A" w:rsidP="00663C02">
      <w:pPr>
        <w:pStyle w:val="Heading2"/>
      </w:pPr>
      <w:bookmarkStart w:id="27" w:name="_Toc110583147"/>
      <w:bookmarkEnd w:id="24"/>
      <w:r>
        <w:t>In</w:t>
      </w:r>
      <w:r w:rsidR="00663C02">
        <w:t>ternational comparisons</w:t>
      </w:r>
      <w:bookmarkEnd w:id="27"/>
    </w:p>
    <w:p w14:paraId="3D504B28" w14:textId="69074BA3" w:rsidR="001E56CD" w:rsidRDefault="00DE7F72" w:rsidP="00DE7F72">
      <w:r>
        <w:t>Several</w:t>
      </w:r>
      <w:r w:rsidR="00C54EA5">
        <w:t xml:space="preserve"> other jurisdictions have implemented measures</w:t>
      </w:r>
      <w:r w:rsidR="00C6309A">
        <w:t xml:space="preserve"> to address </w:t>
      </w:r>
      <w:r w:rsidR="00E17604">
        <w:t>payments relating to intangibles and royalties</w:t>
      </w:r>
      <w:r w:rsidR="00C6309A">
        <w:t>.</w:t>
      </w:r>
      <w:r w:rsidR="00852B72">
        <w:t xml:space="preserve"> </w:t>
      </w:r>
      <w:r w:rsidR="00E34182">
        <w:t>An overview of other jurisdictions’</w:t>
      </w:r>
      <w:r w:rsidR="0058343F">
        <w:t xml:space="preserve"> measures </w:t>
      </w:r>
      <w:r w:rsidR="00E34182">
        <w:t>is</w:t>
      </w:r>
      <w:r w:rsidR="0058343F">
        <w:t xml:space="preserve"> below:</w:t>
      </w:r>
    </w:p>
    <w:tbl>
      <w:tblPr>
        <w:tblStyle w:val="GridTable4-Accent5"/>
        <w:tblW w:w="0" w:type="auto"/>
        <w:tblLook w:val="04A0" w:firstRow="1" w:lastRow="0" w:firstColumn="1" w:lastColumn="0" w:noHBand="0" w:noVBand="1"/>
        <w:tblCaption w:val=""/>
        <w:tblDescription w:val=""/>
      </w:tblPr>
      <w:tblGrid>
        <w:gridCol w:w="1555"/>
        <w:gridCol w:w="1984"/>
        <w:gridCol w:w="5521"/>
      </w:tblGrid>
      <w:tr w:rsidR="005A1C17" w14:paraId="3F9DC076" w14:textId="12C2F36E" w:rsidTr="00B8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2B5A0E" w14:textId="0567D888" w:rsidR="005A1C17" w:rsidRPr="002325A8" w:rsidRDefault="00694CEC" w:rsidP="00DE7F72">
            <w:r>
              <w:lastRenderedPageBreak/>
              <w:t>Jurisdiction</w:t>
            </w:r>
          </w:p>
        </w:tc>
        <w:tc>
          <w:tcPr>
            <w:tcW w:w="1984" w:type="dxa"/>
            <w:vAlign w:val="center"/>
          </w:tcPr>
          <w:p w14:paraId="612ABCE6" w14:textId="77777777" w:rsidR="005A1C17" w:rsidRPr="00C10998" w:rsidRDefault="005A1C17" w:rsidP="00DE7F72">
            <w:pPr>
              <w:cnfStyle w:val="100000000000" w:firstRow="1" w:lastRow="0" w:firstColumn="0" w:lastColumn="0" w:oddVBand="0" w:evenVBand="0" w:oddHBand="0" w:evenHBand="0" w:firstRowFirstColumn="0" w:firstRowLastColumn="0" w:lastRowFirstColumn="0" w:lastRowLastColumn="0"/>
            </w:pPr>
            <w:r>
              <w:t>Measure</w:t>
            </w:r>
          </w:p>
        </w:tc>
        <w:tc>
          <w:tcPr>
            <w:tcW w:w="5521" w:type="dxa"/>
          </w:tcPr>
          <w:p w14:paraId="5C018E43" w14:textId="0A3875C0" w:rsidR="005A1C17" w:rsidRDefault="005A1C17" w:rsidP="00DE7F72">
            <w:pPr>
              <w:cnfStyle w:val="100000000000" w:firstRow="1" w:lastRow="0" w:firstColumn="0" w:lastColumn="0" w:oddVBand="0" w:evenVBand="0" w:oddHBand="0" w:evenHBand="0" w:firstRowFirstColumn="0" w:firstRowLastColumn="0" w:lastRowFirstColumn="0" w:lastRowLastColumn="0"/>
            </w:pPr>
            <w:r>
              <w:t>Overview</w:t>
            </w:r>
          </w:p>
        </w:tc>
      </w:tr>
      <w:tr w:rsidR="005A1C17" w14:paraId="34F9D578" w14:textId="3DD7AC45" w:rsidTr="0006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auto"/>
            <w:vAlign w:val="center"/>
          </w:tcPr>
          <w:p w14:paraId="21ED40D7" w14:textId="3AEF5864" w:rsidR="005A1C17" w:rsidRPr="00DE7F72" w:rsidRDefault="00E34182" w:rsidP="00DE7F72">
            <w:r w:rsidRPr="00DE7F72">
              <w:rPr>
                <w:rFonts w:cs="Calibri Light"/>
                <w:color w:val="000000"/>
                <w:szCs w:val="22"/>
              </w:rPr>
              <w:t>United States</w:t>
            </w:r>
            <w:r w:rsidR="002264DC" w:rsidRPr="00DE7F72">
              <w:rPr>
                <w:rFonts w:cs="Calibri Light"/>
                <w:color w:val="000000"/>
                <w:szCs w:val="22"/>
              </w:rPr>
              <w:t xml:space="preserve"> (US)</w:t>
            </w:r>
          </w:p>
        </w:tc>
        <w:tc>
          <w:tcPr>
            <w:tcW w:w="1984" w:type="dxa"/>
            <w:shd w:val="clear" w:color="auto" w:fill="auto"/>
            <w:vAlign w:val="center"/>
          </w:tcPr>
          <w:p w14:paraId="25DD4702" w14:textId="55851DC5" w:rsidR="005A1C17" w:rsidRPr="00282F1F" w:rsidRDefault="005A1C17" w:rsidP="00DE7F72">
            <w:pPr>
              <w:cnfStyle w:val="000000100000" w:firstRow="0" w:lastRow="0" w:firstColumn="0" w:lastColumn="0" w:oddVBand="0" w:evenVBand="0" w:oddHBand="1" w:evenHBand="0" w:firstRowFirstColumn="0" w:firstRowLastColumn="0" w:lastRowFirstColumn="0" w:lastRowLastColumn="0"/>
            </w:pPr>
            <w:r>
              <w:rPr>
                <w:rFonts w:cs="Calibri Light"/>
                <w:color w:val="000000"/>
                <w:szCs w:val="22"/>
              </w:rPr>
              <w:t xml:space="preserve">Global Intangible Low Taxed Income </w:t>
            </w:r>
            <w:r w:rsidR="00302748">
              <w:rPr>
                <w:rFonts w:cs="Calibri Light"/>
                <w:color w:val="000000"/>
                <w:szCs w:val="22"/>
              </w:rPr>
              <w:t>(</w:t>
            </w:r>
            <w:r>
              <w:rPr>
                <w:rFonts w:cs="Calibri Light"/>
                <w:color w:val="000000"/>
                <w:szCs w:val="22"/>
              </w:rPr>
              <w:t>GILTI</w:t>
            </w:r>
            <w:r w:rsidR="00302748">
              <w:rPr>
                <w:rFonts w:cs="Calibri Light"/>
                <w:color w:val="000000"/>
                <w:szCs w:val="22"/>
              </w:rPr>
              <w:t>)</w:t>
            </w:r>
            <w:r>
              <w:rPr>
                <w:rFonts w:cs="Calibri Light"/>
                <w:color w:val="000000"/>
                <w:szCs w:val="22"/>
              </w:rPr>
              <w:t xml:space="preserve"> </w:t>
            </w:r>
          </w:p>
        </w:tc>
        <w:tc>
          <w:tcPr>
            <w:tcW w:w="5521" w:type="dxa"/>
            <w:shd w:val="clear" w:color="auto" w:fill="auto"/>
          </w:tcPr>
          <w:p w14:paraId="61A0D422" w14:textId="3560B545" w:rsidR="006D4094" w:rsidRDefault="00E34182" w:rsidP="00DE7F72">
            <w:pPr>
              <w:cnfStyle w:val="000000100000" w:firstRow="0" w:lastRow="0" w:firstColumn="0" w:lastColumn="0" w:oddVBand="0" w:evenVBand="0" w:oddHBand="1" w:evenHBand="0" w:firstRowFirstColumn="0" w:firstRowLastColumn="0" w:lastRowFirstColumn="0" w:lastRowLastColumn="0"/>
              <w:rPr>
                <w:rFonts w:cs="Calibri Light"/>
                <w:color w:val="000000"/>
                <w:szCs w:val="22"/>
              </w:rPr>
            </w:pPr>
            <w:r>
              <w:rPr>
                <w:rFonts w:cs="Calibri Light"/>
                <w:color w:val="000000"/>
                <w:szCs w:val="22"/>
              </w:rPr>
              <w:t>Applies tax</w:t>
            </w:r>
            <w:r w:rsidR="000034DF">
              <w:rPr>
                <w:rFonts w:cs="Calibri Light"/>
                <w:color w:val="000000"/>
                <w:szCs w:val="22"/>
              </w:rPr>
              <w:t xml:space="preserve"> on a US resident’s</w:t>
            </w:r>
            <w:r w:rsidR="002F1B8D">
              <w:rPr>
                <w:rFonts w:cs="Calibri Light"/>
                <w:color w:val="000000"/>
                <w:szCs w:val="22"/>
              </w:rPr>
              <w:t xml:space="preserve"> controlled foreign company</w:t>
            </w:r>
            <w:r w:rsidR="000034DF">
              <w:rPr>
                <w:rFonts w:cs="Calibri Light"/>
                <w:color w:val="000000"/>
                <w:szCs w:val="22"/>
              </w:rPr>
              <w:t xml:space="preserve"> foreign income (returns above 10 per cent from tangible assets and all income from intangible assets).</w:t>
            </w:r>
            <w:r w:rsidR="00D012E3">
              <w:rPr>
                <w:rFonts w:cs="Calibri Light"/>
                <w:color w:val="000000"/>
                <w:szCs w:val="22"/>
              </w:rPr>
              <w:t xml:space="preserve"> </w:t>
            </w:r>
            <w:r w:rsidR="006D4094">
              <w:rPr>
                <w:rFonts w:cs="Calibri Light"/>
                <w:color w:val="000000"/>
                <w:szCs w:val="22"/>
              </w:rPr>
              <w:t xml:space="preserve">excluded </w:t>
            </w:r>
            <w:r w:rsidR="006A631B">
              <w:rPr>
                <w:rFonts w:cs="Calibri Light"/>
                <w:color w:val="000000"/>
                <w:szCs w:val="22"/>
              </w:rPr>
              <w:t xml:space="preserve">income </w:t>
            </w:r>
            <w:r w:rsidR="006D4094">
              <w:rPr>
                <w:rFonts w:cs="Calibri Light"/>
                <w:color w:val="000000"/>
                <w:szCs w:val="22"/>
              </w:rPr>
              <w:t>includes:</w:t>
            </w:r>
          </w:p>
          <w:p w14:paraId="233322B5" w14:textId="488C941A" w:rsidR="006D4094" w:rsidRDefault="006D4094"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t>income from US sources that are effectively connected to the conduct of a trade or business in the US</w:t>
            </w:r>
          </w:p>
          <w:p w14:paraId="13C9A109" w14:textId="5AC8D54E" w:rsidR="006D4094" w:rsidRPr="000614A4" w:rsidRDefault="006D4094"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t>high taxed foreign income (if the effective rate of the foreign income tax exceeds 90 per cent of the maximum US corporate rate).</w:t>
            </w:r>
          </w:p>
          <w:p w14:paraId="596E20A0" w14:textId="2DF2B239" w:rsidR="005750A9" w:rsidRDefault="006D4094" w:rsidP="00DE7F72">
            <w:pPr>
              <w:cnfStyle w:val="000000100000" w:firstRow="0" w:lastRow="0" w:firstColumn="0" w:lastColumn="0" w:oddVBand="0" w:evenVBand="0" w:oddHBand="1" w:evenHBand="0" w:firstRowFirstColumn="0" w:firstRowLastColumn="0" w:lastRowFirstColumn="0" w:lastRowLastColumn="0"/>
              <w:rPr>
                <w:rFonts w:cs="Calibri Light"/>
                <w:color w:val="000000"/>
                <w:szCs w:val="22"/>
              </w:rPr>
            </w:pPr>
            <w:r>
              <w:rPr>
                <w:rFonts w:cs="Calibri Light"/>
                <w:color w:val="000000"/>
                <w:szCs w:val="22"/>
              </w:rPr>
              <w:t>A</w:t>
            </w:r>
            <w:r w:rsidR="00D012E3">
              <w:rPr>
                <w:rFonts w:cs="Calibri Light"/>
                <w:color w:val="000000"/>
                <w:szCs w:val="22"/>
              </w:rPr>
              <w:t xml:space="preserve"> </w:t>
            </w:r>
            <w:r>
              <w:rPr>
                <w:rFonts w:cs="Calibri Light"/>
                <w:color w:val="000000"/>
                <w:szCs w:val="22"/>
              </w:rPr>
              <w:t>partial</w:t>
            </w:r>
            <w:r w:rsidR="00D012E3">
              <w:rPr>
                <w:rFonts w:cs="Calibri Light"/>
                <w:color w:val="000000"/>
                <w:szCs w:val="22"/>
              </w:rPr>
              <w:t xml:space="preserve"> deduction </w:t>
            </w:r>
            <w:proofErr w:type="gramStart"/>
            <w:r w:rsidR="00D012E3">
              <w:rPr>
                <w:rFonts w:cs="Calibri Light"/>
                <w:color w:val="000000"/>
                <w:szCs w:val="22"/>
              </w:rPr>
              <w:t xml:space="preserve">for </w:t>
            </w:r>
            <w:r>
              <w:rPr>
                <w:rFonts w:cs="Calibri Light"/>
                <w:color w:val="000000"/>
                <w:szCs w:val="22"/>
              </w:rPr>
              <w:t>the amount of</w:t>
            </w:r>
            <w:proofErr w:type="gramEnd"/>
            <w:r>
              <w:rPr>
                <w:rFonts w:cs="Calibri Light"/>
                <w:color w:val="000000"/>
                <w:szCs w:val="22"/>
              </w:rPr>
              <w:t xml:space="preserve"> GILTI included in income may be claimed</w:t>
            </w:r>
            <w:r w:rsidR="00D012E3">
              <w:rPr>
                <w:rFonts w:cs="Calibri Light"/>
                <w:color w:val="000000"/>
                <w:szCs w:val="22"/>
              </w:rPr>
              <w:t>.</w:t>
            </w:r>
          </w:p>
          <w:p w14:paraId="15F8977B" w14:textId="192C7071" w:rsidR="005A1C17" w:rsidRDefault="00A603E8" w:rsidP="00DE7F72">
            <w:pPr>
              <w:cnfStyle w:val="000000100000" w:firstRow="0" w:lastRow="0" w:firstColumn="0" w:lastColumn="0" w:oddVBand="0" w:evenVBand="0" w:oddHBand="1" w:evenHBand="0" w:firstRowFirstColumn="0" w:firstRowLastColumn="0" w:lastRowFirstColumn="0" w:lastRowLastColumn="0"/>
              <w:rPr>
                <w:rFonts w:cs="Calibri Light"/>
                <w:color w:val="000000"/>
                <w:szCs w:val="22"/>
              </w:rPr>
            </w:pPr>
            <w:r>
              <w:rPr>
                <w:rFonts w:cs="Calibri Light"/>
                <w:color w:val="000000"/>
                <w:szCs w:val="22"/>
              </w:rPr>
              <w:t>The GILTI applie</w:t>
            </w:r>
            <w:r w:rsidR="007D1A37">
              <w:rPr>
                <w:rFonts w:cs="Calibri Light"/>
                <w:color w:val="000000"/>
                <w:szCs w:val="22"/>
              </w:rPr>
              <w:t>d</w:t>
            </w:r>
            <w:r>
              <w:rPr>
                <w:rFonts w:cs="Calibri Light"/>
                <w:color w:val="000000"/>
                <w:szCs w:val="22"/>
              </w:rPr>
              <w:t xml:space="preserve"> from tax years beginning after 31 December 2017. </w:t>
            </w:r>
            <w:r w:rsidR="005750A9">
              <w:rPr>
                <w:rFonts w:cs="Calibri Light"/>
                <w:color w:val="000000"/>
                <w:szCs w:val="22"/>
              </w:rPr>
              <w:t>The US has announced changes to the GILTI</w:t>
            </w:r>
            <w:r w:rsidR="00D012E3">
              <w:rPr>
                <w:rFonts w:cs="Calibri Light"/>
                <w:color w:val="000000"/>
                <w:szCs w:val="22"/>
              </w:rPr>
              <w:t>.</w:t>
            </w:r>
          </w:p>
        </w:tc>
      </w:tr>
      <w:tr w:rsidR="005A1C17" w14:paraId="3581BF8C" w14:textId="3F144237" w:rsidTr="00DE7F72">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vAlign w:val="center"/>
          </w:tcPr>
          <w:p w14:paraId="6F7F29D8" w14:textId="17C67598" w:rsidR="005A1C17" w:rsidRPr="00282F1F" w:rsidRDefault="005A1C17" w:rsidP="00DE7F72"/>
        </w:tc>
        <w:tc>
          <w:tcPr>
            <w:tcW w:w="1984" w:type="dxa"/>
            <w:shd w:val="clear" w:color="auto" w:fill="auto"/>
            <w:vAlign w:val="center"/>
          </w:tcPr>
          <w:p w14:paraId="7C7527B8" w14:textId="74E2C740" w:rsidR="005A1C17" w:rsidRDefault="005A1C17" w:rsidP="00DE7F72">
            <w:pPr>
              <w:cnfStyle w:val="000000000000" w:firstRow="0" w:lastRow="0" w:firstColumn="0" w:lastColumn="0" w:oddVBand="0" w:evenVBand="0" w:oddHBand="0" w:evenHBand="0" w:firstRowFirstColumn="0" w:firstRowLastColumn="0" w:lastRowFirstColumn="0" w:lastRowLastColumn="0"/>
              <w:rPr>
                <w:i/>
                <w:iCs/>
              </w:rPr>
            </w:pPr>
            <w:r>
              <w:rPr>
                <w:rFonts w:cs="Calibri Light"/>
                <w:szCs w:val="22"/>
              </w:rPr>
              <w:t>Base Erosion Anti-abus</w:t>
            </w:r>
            <w:r w:rsidR="008E2FDA">
              <w:rPr>
                <w:rFonts w:cs="Calibri Light"/>
                <w:szCs w:val="22"/>
              </w:rPr>
              <w:t>e</w:t>
            </w:r>
            <w:r>
              <w:rPr>
                <w:rFonts w:cs="Calibri Light"/>
                <w:szCs w:val="22"/>
              </w:rPr>
              <w:t xml:space="preserve"> tax </w:t>
            </w:r>
            <w:r w:rsidR="00302748">
              <w:rPr>
                <w:rFonts w:cs="Calibri Light"/>
                <w:szCs w:val="22"/>
              </w:rPr>
              <w:t>(</w:t>
            </w:r>
            <w:r>
              <w:rPr>
                <w:rFonts w:cs="Calibri Light"/>
                <w:szCs w:val="22"/>
              </w:rPr>
              <w:t>BEAT</w:t>
            </w:r>
            <w:r w:rsidR="00302748">
              <w:rPr>
                <w:rFonts w:cs="Calibri Light"/>
                <w:szCs w:val="22"/>
              </w:rPr>
              <w:t>)</w:t>
            </w:r>
          </w:p>
        </w:tc>
        <w:tc>
          <w:tcPr>
            <w:tcW w:w="5521" w:type="dxa"/>
            <w:shd w:val="clear" w:color="auto" w:fill="auto"/>
          </w:tcPr>
          <w:p w14:paraId="18707C19" w14:textId="0AE171AF" w:rsidR="00A603E8" w:rsidRDefault="00C052C6" w:rsidP="00DE7F72">
            <w:pPr>
              <w:cnfStyle w:val="000000000000" w:firstRow="0" w:lastRow="0" w:firstColumn="0" w:lastColumn="0" w:oddVBand="0" w:evenVBand="0" w:oddHBand="0" w:evenHBand="0" w:firstRowFirstColumn="0" w:firstRowLastColumn="0" w:lastRowFirstColumn="0" w:lastRowLastColumn="0"/>
              <w:rPr>
                <w:rFonts w:cs="Calibri Light"/>
                <w:szCs w:val="22"/>
              </w:rPr>
            </w:pPr>
            <w:r>
              <w:rPr>
                <w:rFonts w:cs="Calibri Light"/>
                <w:szCs w:val="22"/>
              </w:rPr>
              <w:t>Applies a</w:t>
            </w:r>
            <w:r w:rsidR="00437EDA">
              <w:rPr>
                <w:rFonts w:cs="Calibri Light"/>
                <w:szCs w:val="22"/>
              </w:rPr>
              <w:t>n alternative minimum tax</w:t>
            </w:r>
            <w:r>
              <w:rPr>
                <w:rFonts w:cs="Calibri Light"/>
                <w:szCs w:val="22"/>
              </w:rPr>
              <w:t xml:space="preserve"> to the difference in the calculation between a</w:t>
            </w:r>
            <w:r w:rsidR="00437EDA">
              <w:rPr>
                <w:rFonts w:cs="Calibri Light"/>
                <w:szCs w:val="22"/>
              </w:rPr>
              <w:t>n entity’s</w:t>
            </w:r>
            <w:r>
              <w:rPr>
                <w:rFonts w:cs="Calibri Light"/>
                <w:szCs w:val="22"/>
              </w:rPr>
              <w:t xml:space="preserve"> US </w:t>
            </w:r>
            <w:r w:rsidR="00437EDA">
              <w:rPr>
                <w:rFonts w:cs="Calibri Light"/>
                <w:szCs w:val="22"/>
              </w:rPr>
              <w:t>corporate</w:t>
            </w:r>
            <w:r>
              <w:rPr>
                <w:rFonts w:cs="Calibri Light"/>
                <w:szCs w:val="22"/>
              </w:rPr>
              <w:t xml:space="preserve"> tax </w:t>
            </w:r>
            <w:r w:rsidR="00437EDA">
              <w:rPr>
                <w:rFonts w:cs="Calibri Light"/>
                <w:szCs w:val="22"/>
              </w:rPr>
              <w:t>liability</w:t>
            </w:r>
            <w:r>
              <w:rPr>
                <w:rFonts w:cs="Calibri Light"/>
                <w:szCs w:val="22"/>
              </w:rPr>
              <w:t xml:space="preserve"> and an alternative calculation at </w:t>
            </w:r>
            <w:r w:rsidR="005E076A">
              <w:rPr>
                <w:rFonts w:cs="Calibri Light"/>
                <w:szCs w:val="22"/>
              </w:rPr>
              <w:t xml:space="preserve">the BEAT rate </w:t>
            </w:r>
            <w:r>
              <w:rPr>
                <w:rFonts w:cs="Calibri Light"/>
                <w:szCs w:val="22"/>
              </w:rPr>
              <w:t xml:space="preserve">after </w:t>
            </w:r>
            <w:r w:rsidR="00437EDA">
              <w:rPr>
                <w:rFonts w:cs="Calibri Light"/>
                <w:szCs w:val="22"/>
              </w:rPr>
              <w:t>cross-border related party</w:t>
            </w:r>
            <w:r>
              <w:rPr>
                <w:rFonts w:cs="Calibri Light"/>
                <w:szCs w:val="22"/>
              </w:rPr>
              <w:t xml:space="preserve"> payments are added </w:t>
            </w:r>
            <w:proofErr w:type="gramStart"/>
            <w:r>
              <w:rPr>
                <w:rFonts w:cs="Calibri Light"/>
                <w:szCs w:val="22"/>
              </w:rPr>
              <w:t>back</w:t>
            </w:r>
            <w:r w:rsidR="005E076A">
              <w:rPr>
                <w:rFonts w:cs="Calibri Light"/>
                <w:szCs w:val="22"/>
              </w:rPr>
              <w:t>, if</w:t>
            </w:r>
            <w:proofErr w:type="gramEnd"/>
            <w:r w:rsidR="005E076A">
              <w:rPr>
                <w:rFonts w:cs="Calibri Light"/>
                <w:szCs w:val="22"/>
              </w:rPr>
              <w:t xml:space="preserve"> the BEAT calculation is higher than the entity’s US corporate tax liability</w:t>
            </w:r>
            <w:r>
              <w:rPr>
                <w:rFonts w:cs="Calibri Light"/>
                <w:szCs w:val="22"/>
              </w:rPr>
              <w:t>.</w:t>
            </w:r>
            <w:r w:rsidR="00CF0FA8">
              <w:rPr>
                <w:rFonts w:cs="Calibri Light"/>
                <w:szCs w:val="22"/>
              </w:rPr>
              <w:t xml:space="preserve"> The BEAT applies to a US corporation that has an average annual gross receipt of at least US$500 million for a three-year period, and </w:t>
            </w:r>
            <w:r w:rsidR="009159EC">
              <w:rPr>
                <w:rFonts w:cs="Calibri Light"/>
                <w:szCs w:val="22"/>
              </w:rPr>
              <w:t xml:space="preserve">where a certain </w:t>
            </w:r>
            <w:r w:rsidR="008321AB">
              <w:rPr>
                <w:rFonts w:cs="Calibri Light"/>
                <w:szCs w:val="22"/>
              </w:rPr>
              <w:t>threshold</w:t>
            </w:r>
            <w:r w:rsidR="009159EC">
              <w:rPr>
                <w:rFonts w:cs="Calibri Light"/>
                <w:szCs w:val="22"/>
              </w:rPr>
              <w:t xml:space="preserve"> of ‘base erosion payments’ are made</w:t>
            </w:r>
            <w:r w:rsidR="00CF0FA8">
              <w:rPr>
                <w:rFonts w:cs="Calibri Light"/>
                <w:szCs w:val="22"/>
              </w:rPr>
              <w:t>.</w:t>
            </w:r>
          </w:p>
          <w:p w14:paraId="073D1472" w14:textId="26DED510" w:rsidR="005A1C17" w:rsidRDefault="006B53AB" w:rsidP="00DE7F72">
            <w:pPr>
              <w:cnfStyle w:val="000000000000" w:firstRow="0" w:lastRow="0" w:firstColumn="0" w:lastColumn="0" w:oddVBand="0" w:evenVBand="0" w:oddHBand="0" w:evenHBand="0" w:firstRowFirstColumn="0" w:firstRowLastColumn="0" w:lastRowFirstColumn="0" w:lastRowLastColumn="0"/>
              <w:rPr>
                <w:rFonts w:cs="Calibri Light"/>
                <w:szCs w:val="22"/>
              </w:rPr>
            </w:pPr>
            <w:r>
              <w:rPr>
                <w:rFonts w:cs="Calibri Light"/>
                <w:szCs w:val="22"/>
              </w:rPr>
              <w:t>The BEAT applie</w:t>
            </w:r>
            <w:r w:rsidR="007D1A37">
              <w:rPr>
                <w:rFonts w:cs="Calibri Light"/>
                <w:szCs w:val="22"/>
              </w:rPr>
              <w:t>d</w:t>
            </w:r>
            <w:r>
              <w:rPr>
                <w:rFonts w:cs="Calibri Light"/>
                <w:szCs w:val="22"/>
              </w:rPr>
              <w:t xml:space="preserve"> from tax year</w:t>
            </w:r>
            <w:r w:rsidR="00B45A58">
              <w:rPr>
                <w:rFonts w:cs="Calibri Light"/>
                <w:szCs w:val="22"/>
              </w:rPr>
              <w:t>s</w:t>
            </w:r>
            <w:r>
              <w:rPr>
                <w:rFonts w:cs="Calibri Light"/>
                <w:szCs w:val="22"/>
              </w:rPr>
              <w:t xml:space="preserve"> beginning after 31 December 2017.</w:t>
            </w:r>
            <w:r w:rsidR="00A603E8">
              <w:rPr>
                <w:rFonts w:cs="Calibri Light"/>
                <w:szCs w:val="22"/>
              </w:rPr>
              <w:t xml:space="preserve"> </w:t>
            </w:r>
            <w:r w:rsidR="00F97A12">
              <w:rPr>
                <w:rFonts w:cs="Calibri Light"/>
                <w:szCs w:val="22"/>
              </w:rPr>
              <w:t xml:space="preserve">The </w:t>
            </w:r>
            <w:r w:rsidR="00C63256">
              <w:rPr>
                <w:rFonts w:cs="Calibri Light"/>
                <w:szCs w:val="22"/>
              </w:rPr>
              <w:t>US</w:t>
            </w:r>
            <w:r w:rsidR="00F97A12">
              <w:rPr>
                <w:rFonts w:cs="Calibri Light"/>
                <w:szCs w:val="22"/>
              </w:rPr>
              <w:t xml:space="preserve"> has announced the BEAT will be replaced with the </w:t>
            </w:r>
            <w:r>
              <w:rPr>
                <w:rFonts w:cs="Calibri Light"/>
                <w:szCs w:val="22"/>
              </w:rPr>
              <w:t>Pillar Two UTPR from 2024</w:t>
            </w:r>
            <w:r w:rsidR="00F97A12">
              <w:rPr>
                <w:rFonts w:cs="Calibri Light"/>
                <w:szCs w:val="22"/>
              </w:rPr>
              <w:t>.</w:t>
            </w:r>
          </w:p>
        </w:tc>
      </w:tr>
      <w:tr w:rsidR="005A1C17" w14:paraId="224FFFC8" w14:textId="2BCF9BCD" w:rsidTr="00D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9E2185" w14:textId="77777777" w:rsidR="005A1C17" w:rsidRDefault="005A1C17" w:rsidP="00DE7F72">
            <w:pPr>
              <w:rPr>
                <w:i/>
                <w:iCs/>
              </w:rPr>
            </w:pPr>
            <w:r w:rsidRPr="00DE7F72">
              <w:rPr>
                <w:rFonts w:cs="Calibri Light"/>
                <w:szCs w:val="22"/>
              </w:rPr>
              <w:t>United Kingdom</w:t>
            </w:r>
          </w:p>
        </w:tc>
        <w:tc>
          <w:tcPr>
            <w:tcW w:w="1984" w:type="dxa"/>
            <w:vAlign w:val="center"/>
          </w:tcPr>
          <w:p w14:paraId="4678C5FB" w14:textId="3EBCE7A4" w:rsidR="005A1C17" w:rsidRDefault="005750A9" w:rsidP="00DE7F72">
            <w:pPr>
              <w:cnfStyle w:val="000000100000" w:firstRow="0" w:lastRow="0" w:firstColumn="0" w:lastColumn="0" w:oddVBand="0" w:evenVBand="0" w:oddHBand="1" w:evenHBand="0" w:firstRowFirstColumn="0" w:firstRowLastColumn="0" w:lastRowFirstColumn="0" w:lastRowLastColumn="0"/>
              <w:rPr>
                <w:i/>
                <w:iCs/>
              </w:rPr>
            </w:pPr>
            <w:r>
              <w:rPr>
                <w:rFonts w:cs="Calibri Light"/>
                <w:szCs w:val="22"/>
              </w:rPr>
              <w:t xml:space="preserve">Offshore </w:t>
            </w:r>
            <w:r w:rsidR="005A1C17">
              <w:rPr>
                <w:rFonts w:cs="Calibri Light"/>
                <w:szCs w:val="22"/>
              </w:rPr>
              <w:t xml:space="preserve">Receipts in respect of intangible property </w:t>
            </w:r>
            <w:r w:rsidR="00302748">
              <w:rPr>
                <w:rFonts w:cs="Calibri Light"/>
                <w:szCs w:val="22"/>
              </w:rPr>
              <w:t>(</w:t>
            </w:r>
            <w:r w:rsidR="005A1C17">
              <w:rPr>
                <w:rFonts w:cs="Calibri Light"/>
                <w:szCs w:val="22"/>
              </w:rPr>
              <w:t>ORIP</w:t>
            </w:r>
            <w:r w:rsidR="00302748">
              <w:rPr>
                <w:rFonts w:cs="Calibri Light"/>
                <w:szCs w:val="22"/>
              </w:rPr>
              <w:t>)</w:t>
            </w:r>
          </w:p>
        </w:tc>
        <w:tc>
          <w:tcPr>
            <w:tcW w:w="5521" w:type="dxa"/>
          </w:tcPr>
          <w:p w14:paraId="280C896A" w14:textId="21333923" w:rsidR="00662D4F" w:rsidRDefault="006B5A61" w:rsidP="00DE7F72">
            <w:pPr>
              <w:cnfStyle w:val="000000100000" w:firstRow="0" w:lastRow="0" w:firstColumn="0" w:lastColumn="0" w:oddVBand="0" w:evenVBand="0" w:oddHBand="1" w:evenHBand="0" w:firstRowFirstColumn="0" w:firstRowLastColumn="0" w:lastRowFirstColumn="0" w:lastRowLastColumn="0"/>
              <w:rPr>
                <w:rFonts w:cs="Calibri Light"/>
                <w:szCs w:val="22"/>
              </w:rPr>
            </w:pPr>
            <w:r>
              <w:rPr>
                <w:rFonts w:cs="Calibri Light"/>
                <w:szCs w:val="22"/>
              </w:rPr>
              <w:t>Applies</w:t>
            </w:r>
            <w:r w:rsidR="00662D4F">
              <w:rPr>
                <w:rFonts w:cs="Calibri Light"/>
                <w:szCs w:val="22"/>
              </w:rPr>
              <w:t xml:space="preserve"> a 20 per cent charge (in accordance with the UK corporate tax rate) to an entity that is not resident of the UK or a country </w:t>
            </w:r>
            <w:r w:rsidR="00B1474C">
              <w:rPr>
                <w:rFonts w:cs="Calibri Light"/>
                <w:szCs w:val="22"/>
              </w:rPr>
              <w:t>with</w:t>
            </w:r>
            <w:r w:rsidR="00662D4F">
              <w:rPr>
                <w:rFonts w:cs="Calibri Light"/>
                <w:szCs w:val="22"/>
              </w:rPr>
              <w:t xml:space="preserve"> which the UK has an applicable tax treaty</w:t>
            </w:r>
            <w:r w:rsidR="0096602F">
              <w:rPr>
                <w:rFonts w:cs="Calibri Light"/>
                <w:szCs w:val="22"/>
              </w:rPr>
              <w:t>,</w:t>
            </w:r>
            <w:r w:rsidR="00662D4F">
              <w:rPr>
                <w:rFonts w:cs="Calibri Light"/>
                <w:szCs w:val="22"/>
              </w:rPr>
              <w:t xml:space="preserve"> on income </w:t>
            </w:r>
            <w:r w:rsidR="005412A4">
              <w:rPr>
                <w:rFonts w:cs="Calibri Light"/>
                <w:szCs w:val="22"/>
              </w:rPr>
              <w:t>(regardless of whether they are related parties)</w:t>
            </w:r>
            <w:r w:rsidR="00662D4F">
              <w:rPr>
                <w:rFonts w:cs="Calibri Light"/>
                <w:szCs w:val="22"/>
              </w:rPr>
              <w:t xml:space="preserve"> that:</w:t>
            </w:r>
          </w:p>
          <w:p w14:paraId="2F28BF96" w14:textId="13C41AD8" w:rsidR="00662D4F" w:rsidRDefault="00662D4F"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t>The entity receives in a low tax jurisdiction</w:t>
            </w:r>
            <w:r w:rsidR="009A100F">
              <w:t xml:space="preserve"> </w:t>
            </w:r>
            <w:r w:rsidR="00793BDD">
              <w:t>(</w:t>
            </w:r>
            <w:r w:rsidR="00793BDD" w:rsidRPr="0011690E">
              <w:t xml:space="preserve">considered </w:t>
            </w:r>
            <w:r w:rsidR="009A100F" w:rsidRPr="0011690E">
              <w:t xml:space="preserve">to be a jurisdiction with a rate of less than approximately </w:t>
            </w:r>
            <w:r w:rsidR="005750A9" w:rsidRPr="0011690E">
              <w:t>10</w:t>
            </w:r>
            <w:r w:rsidR="005750A9">
              <w:t> </w:t>
            </w:r>
            <w:r w:rsidR="009A100F" w:rsidRPr="0011690E">
              <w:t>per cent</w:t>
            </w:r>
            <w:r w:rsidR="00793BDD" w:rsidRPr="0011690E">
              <w:t>)</w:t>
            </w:r>
            <w:r w:rsidR="009A100F" w:rsidRPr="0011690E">
              <w:t xml:space="preserve">; </w:t>
            </w:r>
            <w:r w:rsidRPr="0011690E">
              <w:t>and</w:t>
            </w:r>
            <w:r>
              <w:t xml:space="preserve"> </w:t>
            </w:r>
          </w:p>
          <w:p w14:paraId="7A1A2DF3" w14:textId="46FA1758" w:rsidR="006B5A61" w:rsidRDefault="002A73D9"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rPr>
                <w:rFonts w:cs="Calibri Light"/>
                <w:szCs w:val="22"/>
              </w:rPr>
            </w:pPr>
            <w:r>
              <w:t>Is</w:t>
            </w:r>
            <w:r w:rsidR="00662D4F">
              <w:t xml:space="preserve"> in respect of intangible property due to the sale of goods or services in the UK</w:t>
            </w:r>
            <w:r w:rsidR="0012253C">
              <w:t xml:space="preserve"> (for example, an embedded royalty)</w:t>
            </w:r>
            <w:r w:rsidR="006B5A61">
              <w:t>.</w:t>
            </w:r>
          </w:p>
          <w:p w14:paraId="2559D940" w14:textId="335FB9B8" w:rsidR="006B5A61" w:rsidRDefault="006B5A61" w:rsidP="00DE7F72">
            <w:pPr>
              <w:cnfStyle w:val="000000100000" w:firstRow="0" w:lastRow="0" w:firstColumn="0" w:lastColumn="0" w:oddVBand="0" w:evenVBand="0" w:oddHBand="1" w:evenHBand="0" w:firstRowFirstColumn="0" w:firstRowLastColumn="0" w:lastRowFirstColumn="0" w:lastRowLastColumn="0"/>
              <w:rPr>
                <w:rFonts w:cs="Calibri Light"/>
                <w:szCs w:val="22"/>
              </w:rPr>
            </w:pPr>
            <w:r>
              <w:rPr>
                <w:rFonts w:cs="Calibri Light"/>
                <w:szCs w:val="22"/>
              </w:rPr>
              <w:t xml:space="preserve">Exemptions </w:t>
            </w:r>
            <w:r w:rsidR="006D7468">
              <w:rPr>
                <w:rFonts w:cs="Calibri Light"/>
                <w:szCs w:val="22"/>
              </w:rPr>
              <w:t>from the ORIP charge</w:t>
            </w:r>
            <w:r>
              <w:rPr>
                <w:rFonts w:cs="Calibri Light"/>
                <w:szCs w:val="22"/>
              </w:rPr>
              <w:t xml:space="preserve"> include:</w:t>
            </w:r>
          </w:p>
          <w:p w14:paraId="603B7D56" w14:textId="216213D9" w:rsidR="006B5A61" w:rsidRDefault="005750A9"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t>Turnover</w:t>
            </w:r>
            <w:r w:rsidR="006B5A61">
              <w:t xml:space="preserve"> of </w:t>
            </w:r>
            <w:r w:rsidR="006B5A61">
              <w:rPr>
                <w:rFonts w:cs="Calibri Light"/>
              </w:rPr>
              <w:t>£</w:t>
            </w:r>
            <w:r w:rsidR="006B5A61">
              <w:t>10 million</w:t>
            </w:r>
            <w:r>
              <w:t xml:space="preserve"> or less</w:t>
            </w:r>
            <w:r w:rsidR="00D42779">
              <w:t>.</w:t>
            </w:r>
          </w:p>
          <w:p w14:paraId="2935CBBD" w14:textId="66437464" w:rsidR="006728A6" w:rsidRPr="00CE4011" w:rsidRDefault="002105E7"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t>W</w:t>
            </w:r>
            <w:r w:rsidR="006728A6">
              <w:t>here all, or substantially all, of the business activity in relation to the intangible property has always been undertaken</w:t>
            </w:r>
            <w:r>
              <w:t xml:space="preserve"> in the territory of residence</w:t>
            </w:r>
            <w:r w:rsidR="009F510D">
              <w:t xml:space="preserve"> (but only if the </w:t>
            </w:r>
            <w:r w:rsidR="0001219C">
              <w:t>intangible property</w:t>
            </w:r>
            <w:r w:rsidR="009F510D">
              <w:t xml:space="preserve"> has not been transferred from a related person</w:t>
            </w:r>
            <w:r w:rsidR="007D0DBC">
              <w:t>, has not been derived from anything transferred from a related person</w:t>
            </w:r>
            <w:r w:rsidR="009F510D">
              <w:t xml:space="preserve"> </w:t>
            </w:r>
            <w:r w:rsidR="004B1E29">
              <w:t>or</w:t>
            </w:r>
            <w:r w:rsidR="009F510D">
              <w:t xml:space="preserve"> is not derived from </w:t>
            </w:r>
            <w:r w:rsidR="0001219C">
              <w:t>intangible property</w:t>
            </w:r>
            <w:r w:rsidR="009F510D">
              <w:t xml:space="preserve"> held by a related person)</w:t>
            </w:r>
            <w:r w:rsidR="006728A6">
              <w:t>.</w:t>
            </w:r>
          </w:p>
          <w:p w14:paraId="2E477A54" w14:textId="696F7699" w:rsidR="00C21D8A" w:rsidRPr="00C21D8A" w:rsidRDefault="00CE372E" w:rsidP="006547C0">
            <w:pPr>
              <w:pStyle w:val="Bullet"/>
              <w:numPr>
                <w:ilvl w:val="0"/>
                <w:numId w:val="14"/>
              </w:numPr>
              <w:spacing w:after="120"/>
              <w:cnfStyle w:val="000000100000" w:firstRow="0" w:lastRow="0" w:firstColumn="0" w:lastColumn="0" w:oddVBand="0" w:evenVBand="0" w:oddHBand="1" w:evenHBand="0" w:firstRowFirstColumn="0" w:firstRowLastColumn="0" w:lastRowFirstColumn="0" w:lastRowLastColumn="0"/>
            </w:pPr>
            <w:r>
              <w:lastRenderedPageBreak/>
              <w:t>W</w:t>
            </w:r>
            <w:r w:rsidRPr="0091753E">
              <w:t xml:space="preserve">here </w:t>
            </w:r>
            <w:r w:rsidR="00C21D8A" w:rsidRPr="0091753E">
              <w:t>the foreign tax is at least 50 per cent of the ORIP tax charge</w:t>
            </w:r>
            <w:r w:rsidR="00C21D8A">
              <w:t>.</w:t>
            </w:r>
          </w:p>
          <w:p w14:paraId="5698CB0F" w14:textId="39C98D80" w:rsidR="005A1C17" w:rsidRPr="006B5A61" w:rsidRDefault="00E90271" w:rsidP="00DE7F72">
            <w:pPr>
              <w:pStyle w:val="Bullet"/>
              <w:numPr>
                <w:ilvl w:val="0"/>
                <w:numId w:val="0"/>
              </w:numPr>
              <w:spacing w:after="120"/>
              <w:ind w:left="520" w:hanging="520"/>
              <w:cnfStyle w:val="000000100000" w:firstRow="0" w:lastRow="0" w:firstColumn="0" w:lastColumn="0" w:oddVBand="0" w:evenVBand="0" w:oddHBand="1" w:evenHBand="0" w:firstRowFirstColumn="0" w:firstRowLastColumn="0" w:lastRowFirstColumn="0" w:lastRowLastColumn="0"/>
            </w:pPr>
            <w:r>
              <w:t>Measure a</w:t>
            </w:r>
            <w:r w:rsidR="00C35974">
              <w:t>pplie</w:t>
            </w:r>
            <w:r w:rsidR="00880D77">
              <w:t>d</w:t>
            </w:r>
            <w:r w:rsidR="00C35974">
              <w:t xml:space="preserve"> from</w:t>
            </w:r>
            <w:r w:rsidR="007E040F">
              <w:t xml:space="preserve"> 6 April 2019.</w:t>
            </w:r>
          </w:p>
        </w:tc>
      </w:tr>
      <w:tr w:rsidR="005A1C17" w14:paraId="02299D7E" w14:textId="189715F2" w:rsidTr="00DE7F72">
        <w:trPr>
          <w:trHeight w:val="1975"/>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146E13" w14:textId="77777777" w:rsidR="005A1C17" w:rsidRDefault="005A1C17" w:rsidP="00DE7F72">
            <w:pPr>
              <w:rPr>
                <w:i/>
                <w:iCs/>
              </w:rPr>
            </w:pPr>
            <w:r w:rsidRPr="00DE7F72">
              <w:rPr>
                <w:rFonts w:cs="Calibri Light"/>
                <w:szCs w:val="22"/>
              </w:rPr>
              <w:lastRenderedPageBreak/>
              <w:t>Netherlands</w:t>
            </w:r>
          </w:p>
        </w:tc>
        <w:tc>
          <w:tcPr>
            <w:tcW w:w="1984" w:type="dxa"/>
            <w:vAlign w:val="center"/>
          </w:tcPr>
          <w:p w14:paraId="14CFC79D" w14:textId="54BBC8CA" w:rsidR="005A1C17" w:rsidRDefault="005A1C17" w:rsidP="00DE7F72">
            <w:pPr>
              <w:cnfStyle w:val="000000000000" w:firstRow="0" w:lastRow="0" w:firstColumn="0" w:lastColumn="0" w:oddVBand="0" w:evenVBand="0" w:oddHBand="0" w:evenHBand="0" w:firstRowFirstColumn="0" w:firstRowLastColumn="0" w:lastRowFirstColumn="0" w:lastRowLastColumn="0"/>
              <w:rPr>
                <w:i/>
                <w:iCs/>
              </w:rPr>
            </w:pPr>
            <w:r>
              <w:rPr>
                <w:rFonts w:cs="Calibri Light"/>
                <w:szCs w:val="22"/>
              </w:rPr>
              <w:t xml:space="preserve">Withholding tax </w:t>
            </w:r>
          </w:p>
        </w:tc>
        <w:tc>
          <w:tcPr>
            <w:tcW w:w="5521" w:type="dxa"/>
          </w:tcPr>
          <w:p w14:paraId="5C247501" w14:textId="6B8158A1" w:rsidR="008C1553" w:rsidRDefault="00994544" w:rsidP="00DE7F72">
            <w:pPr>
              <w:cnfStyle w:val="000000000000" w:firstRow="0" w:lastRow="0" w:firstColumn="0" w:lastColumn="0" w:oddVBand="0" w:evenVBand="0" w:oddHBand="0" w:evenHBand="0" w:firstRowFirstColumn="0" w:firstRowLastColumn="0" w:lastRowFirstColumn="0" w:lastRowLastColumn="0"/>
              <w:rPr>
                <w:rFonts w:cs="Calibri Light"/>
                <w:szCs w:val="22"/>
              </w:rPr>
            </w:pPr>
            <w:r>
              <w:rPr>
                <w:rFonts w:cs="Calibri Light"/>
                <w:szCs w:val="22"/>
              </w:rPr>
              <w:t xml:space="preserve">A withholding tax </w:t>
            </w:r>
            <w:r w:rsidR="002C3FAE">
              <w:rPr>
                <w:rFonts w:cs="Calibri Light"/>
                <w:szCs w:val="22"/>
              </w:rPr>
              <w:t>equivalent</w:t>
            </w:r>
            <w:r>
              <w:rPr>
                <w:rFonts w:cs="Calibri Light"/>
                <w:szCs w:val="22"/>
              </w:rPr>
              <w:t xml:space="preserve"> to the</w:t>
            </w:r>
            <w:r w:rsidR="0010553E">
              <w:rPr>
                <w:rFonts w:cs="Calibri Light"/>
                <w:szCs w:val="22"/>
              </w:rPr>
              <w:t xml:space="preserve"> highest</w:t>
            </w:r>
            <w:r>
              <w:rPr>
                <w:rFonts w:cs="Calibri Light"/>
                <w:szCs w:val="22"/>
              </w:rPr>
              <w:t xml:space="preserve"> Dutch corporate tax rate is applied </w:t>
            </w:r>
            <w:r w:rsidR="0010553E">
              <w:rPr>
                <w:rFonts w:cs="Calibri Light"/>
                <w:szCs w:val="22"/>
              </w:rPr>
              <w:t>in respect of</w:t>
            </w:r>
            <w:r>
              <w:rPr>
                <w:rFonts w:cs="Calibri Light"/>
                <w:szCs w:val="22"/>
              </w:rPr>
              <w:t xml:space="preserve"> royalty payments</w:t>
            </w:r>
            <w:r w:rsidR="0010553E">
              <w:rPr>
                <w:rFonts w:cs="Calibri Light"/>
                <w:szCs w:val="22"/>
              </w:rPr>
              <w:t xml:space="preserve"> made </w:t>
            </w:r>
            <w:r w:rsidR="00342F5A">
              <w:rPr>
                <w:rFonts w:cs="Calibri Light"/>
                <w:szCs w:val="22"/>
              </w:rPr>
              <w:t>to</w:t>
            </w:r>
            <w:r w:rsidR="0010553E">
              <w:rPr>
                <w:rFonts w:cs="Calibri Light"/>
                <w:szCs w:val="22"/>
              </w:rPr>
              <w:t xml:space="preserve"> a </w:t>
            </w:r>
            <w:r w:rsidR="00342F5A">
              <w:rPr>
                <w:rFonts w:cs="Calibri Light"/>
                <w:szCs w:val="22"/>
              </w:rPr>
              <w:t>related</w:t>
            </w:r>
            <w:r w:rsidR="0010553E">
              <w:rPr>
                <w:rFonts w:cs="Calibri Light"/>
                <w:szCs w:val="22"/>
              </w:rPr>
              <w:t xml:space="preserve"> </w:t>
            </w:r>
            <w:r w:rsidR="005C33DB">
              <w:rPr>
                <w:rFonts w:cs="Calibri Light"/>
                <w:szCs w:val="22"/>
              </w:rPr>
              <w:t>company</w:t>
            </w:r>
            <w:r w:rsidR="0010553E">
              <w:rPr>
                <w:rFonts w:cs="Calibri Light"/>
                <w:szCs w:val="22"/>
              </w:rPr>
              <w:t xml:space="preserve"> </w:t>
            </w:r>
            <w:r w:rsidR="00342F5A">
              <w:rPr>
                <w:rFonts w:cs="Calibri Light"/>
                <w:szCs w:val="22"/>
              </w:rPr>
              <w:t>in</w:t>
            </w:r>
            <w:r>
              <w:rPr>
                <w:rFonts w:cs="Calibri Light"/>
                <w:szCs w:val="22"/>
              </w:rPr>
              <w:t xml:space="preserve"> </w:t>
            </w:r>
            <w:r w:rsidR="002C3FAE">
              <w:rPr>
                <w:rFonts w:cs="Calibri Light"/>
                <w:szCs w:val="22"/>
              </w:rPr>
              <w:t xml:space="preserve">a </w:t>
            </w:r>
            <w:r>
              <w:rPr>
                <w:rFonts w:cs="Calibri Light"/>
                <w:szCs w:val="22"/>
              </w:rPr>
              <w:t>low tax jurisdiction</w:t>
            </w:r>
            <w:r w:rsidR="005C33DB">
              <w:rPr>
                <w:rFonts w:cs="Calibri Light"/>
                <w:szCs w:val="22"/>
              </w:rPr>
              <w:t xml:space="preserve"> (jurisdictions</w:t>
            </w:r>
            <w:r w:rsidR="00F61EB1">
              <w:rPr>
                <w:rFonts w:cs="Calibri Light"/>
                <w:szCs w:val="22"/>
              </w:rPr>
              <w:t xml:space="preserve"> with a tax rate</w:t>
            </w:r>
            <w:r w:rsidR="005C33DB">
              <w:rPr>
                <w:rFonts w:cs="Calibri Light"/>
                <w:szCs w:val="22"/>
              </w:rPr>
              <w:t xml:space="preserve"> of less than 9 per cent or are on the EU list of non</w:t>
            </w:r>
            <w:r w:rsidR="00C51FFA">
              <w:rPr>
                <w:rFonts w:cs="Calibri Light"/>
                <w:szCs w:val="22"/>
              </w:rPr>
              <w:noBreakHyphen/>
            </w:r>
            <w:r w:rsidR="005C33DB">
              <w:rPr>
                <w:rFonts w:cs="Calibri Light"/>
                <w:szCs w:val="22"/>
              </w:rPr>
              <w:t>cooperative jurisdictions for tax purposes)</w:t>
            </w:r>
            <w:r w:rsidR="00342F5A">
              <w:rPr>
                <w:rFonts w:cs="Calibri Light"/>
                <w:szCs w:val="22"/>
              </w:rPr>
              <w:t xml:space="preserve"> and in abusive situations</w:t>
            </w:r>
            <w:r w:rsidR="005C33DB">
              <w:rPr>
                <w:rFonts w:cs="Calibri Light"/>
                <w:szCs w:val="22"/>
              </w:rPr>
              <w:t>.</w:t>
            </w:r>
          </w:p>
          <w:p w14:paraId="7731947E" w14:textId="2C92070E" w:rsidR="005A1C17" w:rsidRDefault="008C1553" w:rsidP="00DE7F72">
            <w:pPr>
              <w:cnfStyle w:val="000000000000" w:firstRow="0" w:lastRow="0" w:firstColumn="0" w:lastColumn="0" w:oddVBand="0" w:evenVBand="0" w:oddHBand="0" w:evenHBand="0" w:firstRowFirstColumn="0" w:firstRowLastColumn="0" w:lastRowFirstColumn="0" w:lastRowLastColumn="0"/>
              <w:rPr>
                <w:rFonts w:cs="Calibri Light"/>
                <w:szCs w:val="22"/>
              </w:rPr>
            </w:pPr>
            <w:r>
              <w:rPr>
                <w:rFonts w:cs="Calibri Light"/>
                <w:szCs w:val="22"/>
              </w:rPr>
              <w:t>Measure applied from</w:t>
            </w:r>
            <w:r w:rsidR="00F40B52">
              <w:rPr>
                <w:rFonts w:cs="Calibri Light"/>
                <w:szCs w:val="22"/>
              </w:rPr>
              <w:t xml:space="preserve"> 1 January 2021.</w:t>
            </w:r>
          </w:p>
        </w:tc>
      </w:tr>
      <w:tr w:rsidR="005A1C17" w:rsidRPr="00491D30" w14:paraId="2DDEE1B7" w14:textId="76A5EF7E" w:rsidTr="00D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F51B206" w14:textId="77777777" w:rsidR="005A1C17" w:rsidRPr="00DE7F72" w:rsidRDefault="005A1C17" w:rsidP="00DE7F72">
            <w:pPr>
              <w:rPr>
                <w:rFonts w:cs="Calibri Light"/>
                <w:szCs w:val="22"/>
              </w:rPr>
            </w:pPr>
            <w:r w:rsidRPr="00DE7F72">
              <w:rPr>
                <w:rFonts w:cs="Calibri Light"/>
                <w:szCs w:val="22"/>
              </w:rPr>
              <w:t>Germany</w:t>
            </w:r>
          </w:p>
        </w:tc>
        <w:tc>
          <w:tcPr>
            <w:tcW w:w="1984" w:type="dxa"/>
            <w:vAlign w:val="center"/>
            <w:hideMark/>
          </w:tcPr>
          <w:p w14:paraId="1C2761C7" w14:textId="6428478B" w:rsidR="005A1C17" w:rsidRPr="00491D30" w:rsidRDefault="005A1C17" w:rsidP="00DE7F72">
            <w:pPr>
              <w:cnfStyle w:val="000000100000" w:firstRow="0" w:lastRow="0" w:firstColumn="0" w:lastColumn="0" w:oddVBand="0" w:evenVBand="0" w:oddHBand="1" w:evenHBand="0" w:firstRowFirstColumn="0" w:firstRowLastColumn="0" w:lastRowFirstColumn="0" w:lastRowLastColumn="0"/>
              <w:rPr>
                <w:rFonts w:cs="Calibri Light"/>
                <w:szCs w:val="22"/>
              </w:rPr>
            </w:pPr>
            <w:r w:rsidRPr="00491D30">
              <w:rPr>
                <w:rFonts w:cs="Calibri Light"/>
                <w:szCs w:val="22"/>
              </w:rPr>
              <w:t xml:space="preserve">Royalty </w:t>
            </w:r>
            <w:r w:rsidR="009B0581">
              <w:rPr>
                <w:rFonts w:cs="Calibri Light"/>
                <w:szCs w:val="22"/>
              </w:rPr>
              <w:t>barrier rule</w:t>
            </w:r>
            <w:r w:rsidRPr="00491D30">
              <w:rPr>
                <w:rFonts w:cs="Calibri Light"/>
                <w:szCs w:val="22"/>
              </w:rPr>
              <w:t xml:space="preserve"> </w:t>
            </w:r>
          </w:p>
        </w:tc>
        <w:tc>
          <w:tcPr>
            <w:tcW w:w="5521" w:type="dxa"/>
          </w:tcPr>
          <w:p w14:paraId="4BB7EEEC" w14:textId="77777777" w:rsidR="00153344" w:rsidRDefault="00153344" w:rsidP="00DE7F72">
            <w:pPr>
              <w:cnfStyle w:val="000000100000" w:firstRow="0" w:lastRow="0" w:firstColumn="0" w:lastColumn="0" w:oddVBand="0" w:evenVBand="0" w:oddHBand="1" w:evenHBand="0" w:firstRowFirstColumn="0" w:firstRowLastColumn="0" w:lastRowFirstColumn="0" w:lastRowLastColumn="0"/>
              <w:rPr>
                <w:rFonts w:cs="Calibri Light"/>
                <w:szCs w:val="22"/>
              </w:rPr>
            </w:pPr>
            <w:r w:rsidRPr="00153344">
              <w:rPr>
                <w:rFonts w:cs="Calibri Light"/>
                <w:szCs w:val="22"/>
              </w:rPr>
              <w:t>Applies to limit deductibility of royalty payments between related parties where the payments are preferentially taxed at the recipient level at an effective tax rate below 25 per cent and where the preferential regime applying is not compliant with the nexus approach under OECD BEPS Action 5.</w:t>
            </w:r>
          </w:p>
          <w:p w14:paraId="56E1AE02" w14:textId="6D03F416" w:rsidR="005A1C17" w:rsidRPr="00491D30" w:rsidRDefault="00C35974" w:rsidP="00DE7F72">
            <w:pPr>
              <w:cnfStyle w:val="000000100000" w:firstRow="0" w:lastRow="0" w:firstColumn="0" w:lastColumn="0" w:oddVBand="0" w:evenVBand="0" w:oddHBand="1" w:evenHBand="0" w:firstRowFirstColumn="0" w:firstRowLastColumn="0" w:lastRowFirstColumn="0" w:lastRowLastColumn="0"/>
              <w:rPr>
                <w:rFonts w:cs="Calibri Light"/>
                <w:szCs w:val="22"/>
              </w:rPr>
            </w:pPr>
            <w:r>
              <w:rPr>
                <w:rFonts w:cs="Calibri Light"/>
                <w:szCs w:val="22"/>
              </w:rPr>
              <w:t xml:space="preserve">Measure </w:t>
            </w:r>
            <w:r w:rsidR="00F40B52">
              <w:rPr>
                <w:rFonts w:cs="Calibri Light"/>
                <w:szCs w:val="22"/>
              </w:rPr>
              <w:t>applied</w:t>
            </w:r>
            <w:r>
              <w:rPr>
                <w:rFonts w:cs="Calibri Light"/>
                <w:szCs w:val="22"/>
              </w:rPr>
              <w:t xml:space="preserve"> </w:t>
            </w:r>
            <w:r w:rsidR="0028264D">
              <w:rPr>
                <w:rFonts w:cs="Calibri Light"/>
                <w:szCs w:val="22"/>
              </w:rPr>
              <w:t>from 1 January 2018.</w:t>
            </w:r>
          </w:p>
        </w:tc>
      </w:tr>
    </w:tbl>
    <w:p w14:paraId="3E98DCC5" w14:textId="77777777" w:rsidR="008C78C9" w:rsidRDefault="008C78C9" w:rsidP="003948B3"/>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C78C9" w14:paraId="32670D05" w14:textId="77777777" w:rsidTr="00762FA3">
        <w:trPr>
          <w:trHeight w:val="57"/>
        </w:trPr>
        <w:tc>
          <w:tcPr>
            <w:tcW w:w="5000" w:type="pct"/>
            <w:shd w:val="clear" w:color="auto" w:fill="EEEEEE" w:themeFill="background2"/>
          </w:tcPr>
          <w:p w14:paraId="429D53BF" w14:textId="77777777" w:rsidR="008C78C9" w:rsidRPr="000D1284" w:rsidRDefault="008C78C9" w:rsidP="00762FA3">
            <w:pPr>
              <w:pStyle w:val="BoxHeading"/>
            </w:pPr>
            <w:r>
              <w:t>Question</w:t>
            </w:r>
          </w:p>
          <w:p w14:paraId="5D365A4A" w14:textId="77777777" w:rsidR="008C78C9" w:rsidRDefault="008C78C9" w:rsidP="008C351F">
            <w:pPr>
              <w:pStyle w:val="BoxText"/>
              <w:numPr>
                <w:ilvl w:val="0"/>
                <w:numId w:val="21"/>
              </w:numPr>
              <w:ind w:left="484" w:hanging="425"/>
            </w:pPr>
            <w:r>
              <w:t>What are your views on the effectiveness or behavioural impacts of other jurisdictions’ measures, particularly if Australia were to adopt any similar design features from these measures in the Australian context?</w:t>
            </w:r>
          </w:p>
          <w:p w14:paraId="00D2CF4A" w14:textId="777C98CD" w:rsidR="008C78C9" w:rsidRPr="000D1284" w:rsidRDefault="008C78C9" w:rsidP="008C351F">
            <w:pPr>
              <w:pStyle w:val="BoxText"/>
              <w:numPr>
                <w:ilvl w:val="0"/>
                <w:numId w:val="21"/>
              </w:numPr>
              <w:ind w:left="484" w:hanging="425"/>
            </w:pPr>
            <w:r>
              <w:t>What are your</w:t>
            </w:r>
            <w:r w:rsidR="00150B26">
              <w:t xml:space="preserve"> views on the</w:t>
            </w:r>
            <w:r>
              <w:t xml:space="preserve"> compliance or administrative experiences with other jurisdictions’ measures, particularly if Australia were to adopt any similar design features from these measures in the Australian context?</w:t>
            </w:r>
          </w:p>
        </w:tc>
      </w:tr>
    </w:tbl>
    <w:p w14:paraId="366B4911" w14:textId="77777777" w:rsidR="008C78C9" w:rsidRDefault="008C78C9" w:rsidP="008C78C9"/>
    <w:p w14:paraId="291D46B3" w14:textId="77777777" w:rsidR="008C78C9" w:rsidRDefault="008C78C9" w:rsidP="003948B3"/>
    <w:p w14:paraId="4684CAE3" w14:textId="7BDB1E50" w:rsidR="003948B3" w:rsidRDefault="003948B3" w:rsidP="00166D83"/>
    <w:p w14:paraId="2026D10F" w14:textId="172735D3" w:rsidR="00262878" w:rsidRDefault="00262878">
      <w:pPr>
        <w:spacing w:before="0" w:after="160" w:line="259" w:lineRule="auto"/>
      </w:pPr>
      <w:r>
        <w:br w:type="page"/>
      </w:r>
    </w:p>
    <w:p w14:paraId="52F66837" w14:textId="714247EC" w:rsidR="00262878" w:rsidRDefault="00262878" w:rsidP="00262878">
      <w:pPr>
        <w:pStyle w:val="Heading1"/>
      </w:pPr>
      <w:bookmarkStart w:id="28" w:name="_Toc110583148"/>
      <w:r>
        <w:lastRenderedPageBreak/>
        <w:t>Part 3: Multinational tax transparency</w:t>
      </w:r>
      <w:bookmarkEnd w:id="28"/>
    </w:p>
    <w:p w14:paraId="0A8426C4" w14:textId="77777777" w:rsidR="00262878" w:rsidRDefault="00262878" w:rsidP="00262878">
      <w:pPr>
        <w:pStyle w:val="Heading2"/>
      </w:pPr>
      <w:bookmarkStart w:id="29" w:name="_Toc107909248"/>
      <w:bookmarkStart w:id="30" w:name="_Toc110583149"/>
      <w:r>
        <w:t>Introduction</w:t>
      </w:r>
      <w:bookmarkEnd w:id="29"/>
      <w:bookmarkEnd w:id="30"/>
    </w:p>
    <w:p w14:paraId="66CE03A5" w14:textId="33BE5D3F" w:rsidR="00262878" w:rsidRDefault="00262878" w:rsidP="00262878">
      <w:r>
        <w:t>Th</w:t>
      </w:r>
      <w:r w:rsidR="006F4F59">
        <w:t>is section</w:t>
      </w:r>
      <w:r>
        <w:t xml:space="preserve"> addresses the tax transparency (improved public reporting) elements of the Government’s MNE tax integrity package. Specifically, the commitments relating to:</w:t>
      </w:r>
    </w:p>
    <w:p w14:paraId="086EB965" w14:textId="77777777" w:rsidR="00262878" w:rsidRDefault="00262878" w:rsidP="00262878">
      <w:pPr>
        <w:pStyle w:val="Bullet"/>
        <w:numPr>
          <w:ilvl w:val="0"/>
          <w:numId w:val="14"/>
        </w:numPr>
      </w:pPr>
      <w:r>
        <w:t xml:space="preserve">the public reporting of tax information on a country-by-country basis, </w:t>
      </w:r>
    </w:p>
    <w:p w14:paraId="1ACB131D" w14:textId="77777777" w:rsidR="00262878" w:rsidRDefault="00262878" w:rsidP="00262878">
      <w:pPr>
        <w:pStyle w:val="Bullet"/>
        <w:numPr>
          <w:ilvl w:val="0"/>
          <w:numId w:val="14"/>
        </w:numPr>
      </w:pPr>
      <w:r>
        <w:t xml:space="preserve">mandatory reporting of material tax risk to shareholders, and </w:t>
      </w:r>
    </w:p>
    <w:p w14:paraId="7BA8F495" w14:textId="335797FF" w:rsidR="00262878" w:rsidRDefault="00262878" w:rsidP="00262878">
      <w:pPr>
        <w:pStyle w:val="Bullet"/>
        <w:numPr>
          <w:ilvl w:val="0"/>
          <w:numId w:val="14"/>
        </w:numPr>
      </w:pPr>
      <w:r w:rsidDel="002B53DF">
        <w:t xml:space="preserve">requiring </w:t>
      </w:r>
      <w:r>
        <w:t>tenderers for Australian government contracts</w:t>
      </w:r>
      <w:r w:rsidDel="002B53DF">
        <w:t xml:space="preserve"> to disclose their country of tax domicile</w:t>
      </w:r>
      <w:r>
        <w:t xml:space="preserve">. </w:t>
      </w:r>
    </w:p>
    <w:p w14:paraId="1BBBE90C" w14:textId="5334DEB7" w:rsidR="00262878" w:rsidRPr="001F4989" w:rsidRDefault="00B81A55" w:rsidP="00262878">
      <w:r>
        <w:t>Th</w:t>
      </w:r>
      <w:r w:rsidR="006F4F59">
        <w:t>e section</w:t>
      </w:r>
      <w:r w:rsidR="00262878">
        <w:t xml:space="preserve"> also </w:t>
      </w:r>
      <w:bookmarkStart w:id="31" w:name="_Hlk109981636"/>
      <w:r w:rsidR="00262878" w:rsidRPr="001F4989">
        <w:t xml:space="preserve">canvasses the merits of mandating </w:t>
      </w:r>
      <w:r w:rsidR="00262878" w:rsidRPr="001F4989" w:rsidDel="002B53DF">
        <w:t xml:space="preserve">the </w:t>
      </w:r>
      <w:r w:rsidR="00262878" w:rsidRPr="001F4989">
        <w:t xml:space="preserve">voluntary Tax Transparency Code (the Code) and including the government’s transparency commitments for MNEs as part of </w:t>
      </w:r>
      <w:r w:rsidR="00411D6D">
        <w:t>revisions to the</w:t>
      </w:r>
      <w:r w:rsidR="00262878" w:rsidRPr="001F4989">
        <w:t xml:space="preserve"> Code</w:t>
      </w:r>
      <w:bookmarkEnd w:id="31"/>
      <w:r w:rsidR="00262878" w:rsidRPr="001F4989">
        <w:t xml:space="preserve">. </w:t>
      </w:r>
    </w:p>
    <w:p w14:paraId="3260FDCA" w14:textId="77777777" w:rsidR="00262878" w:rsidRPr="00A92417" w:rsidRDefault="00262878" w:rsidP="00262878">
      <w:pPr>
        <w:pStyle w:val="Heading2"/>
      </w:pPr>
      <w:bookmarkStart w:id="32" w:name="_Toc107909249"/>
      <w:bookmarkStart w:id="33" w:name="_Toc110583150"/>
      <w:r>
        <w:t>Policy context</w:t>
      </w:r>
      <w:bookmarkEnd w:id="32"/>
      <w:bookmarkEnd w:id="33"/>
      <w:r>
        <w:t xml:space="preserve"> </w:t>
      </w:r>
    </w:p>
    <w:p w14:paraId="4DF4F018" w14:textId="76E9C01F" w:rsidR="00262878" w:rsidRDefault="00262878" w:rsidP="00262878">
      <w:r w:rsidRPr="0071196A">
        <w:t xml:space="preserve">Transparency is a key factor underpinning the integrity of the tax system. </w:t>
      </w:r>
      <w:r>
        <w:t>Following</w:t>
      </w:r>
      <w:r w:rsidRPr="0071196A">
        <w:t xml:space="preserve"> the 2008 Global Financial Crisis</w:t>
      </w:r>
      <w:r>
        <w:t>,</w:t>
      </w:r>
      <w:r w:rsidRPr="0071196A">
        <w:t xml:space="preserve"> revelations of aggressive tax planning </w:t>
      </w:r>
      <w:r w:rsidRPr="0071196A" w:rsidDel="00D725A2">
        <w:t xml:space="preserve">by MNEs </w:t>
      </w:r>
      <w:r>
        <w:t xml:space="preserve">led to </w:t>
      </w:r>
      <w:r w:rsidRPr="0071196A">
        <w:t xml:space="preserve">concerns </w:t>
      </w:r>
      <w:r>
        <w:t>about</w:t>
      </w:r>
      <w:r w:rsidRPr="0071196A">
        <w:t xml:space="preserve"> whether MNEs were paying their ‘fair share’ of tax in the jurisdictions where they operated. </w:t>
      </w:r>
    </w:p>
    <w:p w14:paraId="48ABAE06" w14:textId="07915AFD" w:rsidR="00262878" w:rsidRDefault="00262878" w:rsidP="00262878">
      <w:r w:rsidRPr="0071196A">
        <w:t>These concerns informed the O</w:t>
      </w:r>
      <w:r w:rsidR="002A7E65">
        <w:t>E</w:t>
      </w:r>
      <w:r w:rsidRPr="0071196A">
        <w:t>CD</w:t>
      </w:r>
      <w:r w:rsidR="002A7E65">
        <w:t>’s</w:t>
      </w:r>
      <w:r w:rsidRPr="0071196A">
        <w:t xml:space="preserve"> BEP</w:t>
      </w:r>
      <w:r w:rsidR="002A7E65">
        <w:t>S</w:t>
      </w:r>
      <w:r w:rsidRPr="0071196A">
        <w:t xml:space="preserve"> Project, which includes improved transparency as one of its three key pillars. </w:t>
      </w:r>
      <w:r>
        <w:t>The widespread adoption of the BEPS recommendations, in particular action item 13 on Country-by-Country (</w:t>
      </w:r>
      <w:proofErr w:type="spellStart"/>
      <w:r>
        <w:t>CbC</w:t>
      </w:r>
      <w:proofErr w:type="spellEnd"/>
      <w:r>
        <w:t xml:space="preserve">) reporting, is seen as a significant step to reduce the information asymmetry that exists between large MNE taxpayers and the regulators.  </w:t>
      </w:r>
    </w:p>
    <w:p w14:paraId="7D3FE5D5" w14:textId="4DC5B856" w:rsidR="00262878" w:rsidRDefault="00262878" w:rsidP="00262878">
      <w:r>
        <w:t xml:space="preserve">In Australia, the Commissioner of Taxation has a wide range of powers to obtain tax related information from taxpayers (but until a problem is identified, the Commissioner may have no basis to act). The automatic generation and exchange of BEPS </w:t>
      </w:r>
      <w:proofErr w:type="spellStart"/>
      <w:r>
        <w:t>CbC</w:t>
      </w:r>
      <w:proofErr w:type="spellEnd"/>
      <w:r>
        <w:t xml:space="preserve"> reports </w:t>
      </w:r>
      <w:r w:rsidR="00D725A2">
        <w:t xml:space="preserve">between jurisdictions </w:t>
      </w:r>
      <w:r>
        <w:t xml:space="preserve">address the information asymmetry inherent </w:t>
      </w:r>
      <w:r w:rsidR="00D725A2">
        <w:t xml:space="preserve">between </w:t>
      </w:r>
      <w:r>
        <w:t>MNEs and tax authorities.</w:t>
      </w:r>
    </w:p>
    <w:p w14:paraId="17610B6D" w14:textId="62971E49" w:rsidR="00262878" w:rsidRDefault="00262878" w:rsidP="00262878">
      <w:r>
        <w:t xml:space="preserve">An essential feature </w:t>
      </w:r>
      <w:r w:rsidR="00D725A2">
        <w:t xml:space="preserve">of </w:t>
      </w:r>
      <w:r>
        <w:t xml:space="preserve">BEPS </w:t>
      </w:r>
      <w:proofErr w:type="spellStart"/>
      <w:r>
        <w:t>CbC</w:t>
      </w:r>
      <w:proofErr w:type="spellEnd"/>
      <w:r>
        <w:t xml:space="preserve"> reporting is </w:t>
      </w:r>
      <w:r w:rsidDel="00D725A2">
        <w:t>that it is confidential</w:t>
      </w:r>
      <w:r>
        <w:t xml:space="preserve"> between the MNEs and tax authorities. This </w:t>
      </w:r>
      <w:r w:rsidDel="00D725A2">
        <w:t xml:space="preserve">condition </w:t>
      </w:r>
      <w:r>
        <w:t xml:space="preserve">was necessary </w:t>
      </w:r>
      <w:r w:rsidDel="00D725A2">
        <w:t>to obtain</w:t>
      </w:r>
      <w:r>
        <w:t xml:space="preserve"> its adoption by the OECD and is also seen as </w:t>
      </w:r>
      <w:r w:rsidR="00D725A2">
        <w:t xml:space="preserve">the foundation of </w:t>
      </w:r>
      <w:r>
        <w:t>a collaborative relationship between tax authorities and taxpayers</w:t>
      </w:r>
      <w:r w:rsidR="00D725A2">
        <w:t>,</w:t>
      </w:r>
      <w:r>
        <w:t xml:space="preserve"> who would otherwise be more circumspect in the information they would be willing to provide. </w:t>
      </w:r>
    </w:p>
    <w:p w14:paraId="01000F92" w14:textId="44602E47" w:rsidR="00262878" w:rsidRDefault="00D725A2" w:rsidP="00262878">
      <w:r>
        <w:t>P</w:t>
      </w:r>
      <w:r w:rsidR="00262878">
        <w:t xml:space="preserve">ublic </w:t>
      </w:r>
      <w:r w:rsidR="00411D6D">
        <w:t>tax</w:t>
      </w:r>
      <w:r w:rsidR="00262878" w:rsidDel="00D725A2">
        <w:t xml:space="preserve"> transparency </w:t>
      </w:r>
      <w:r w:rsidR="00262878">
        <w:t>has an important</w:t>
      </w:r>
      <w:r w:rsidR="00262878" w:rsidDel="00D725A2">
        <w:t xml:space="preserve"> </w:t>
      </w:r>
      <w:r>
        <w:t xml:space="preserve">role </w:t>
      </w:r>
      <w:r w:rsidR="00262878">
        <w:t xml:space="preserve">in ensuring MNEs pay their fair share of tax. </w:t>
      </w:r>
      <w:r>
        <w:t>Along with</w:t>
      </w:r>
      <w:r w:rsidR="00262878">
        <w:t xml:space="preserve"> the benefits of extra scrutiny, public </w:t>
      </w:r>
      <w:r w:rsidR="00411D6D">
        <w:t xml:space="preserve">tax </w:t>
      </w:r>
      <w:r w:rsidR="00262878">
        <w:t>transparency help</w:t>
      </w:r>
      <w:r>
        <w:t>s</w:t>
      </w:r>
      <w:r w:rsidR="00262878">
        <w:t xml:space="preserve"> build trust in the tax system. It undermines the self-assessment nature of our tax system if there is a perception that MNEs are not paying their fair share. </w:t>
      </w:r>
    </w:p>
    <w:p w14:paraId="7A6205A3" w14:textId="5018C94D" w:rsidR="00262878" w:rsidRPr="0071196A" w:rsidRDefault="00262878" w:rsidP="00262878">
      <w:r>
        <w:t>The community is increasingly seeking</w:t>
      </w:r>
      <w:r w:rsidRPr="0071196A">
        <w:t xml:space="preserve"> more openness from business</w:t>
      </w:r>
      <w:r>
        <w:t xml:space="preserve"> (and governments)</w:t>
      </w:r>
      <w:r w:rsidRPr="0071196A">
        <w:t xml:space="preserve">, </w:t>
      </w:r>
      <w:r>
        <w:t xml:space="preserve">to assist </w:t>
      </w:r>
      <w:r w:rsidDel="00D725A2">
        <w:t>the</w:t>
      </w:r>
      <w:r w:rsidRPr="0071196A" w:rsidDel="00D725A2">
        <w:t xml:space="preserve"> public</w:t>
      </w:r>
      <w:r w:rsidDel="00D725A2">
        <w:t>’s</w:t>
      </w:r>
      <w:r>
        <w:t xml:space="preserve"> understanding of MNEs</w:t>
      </w:r>
      <w:r w:rsidR="00D725A2">
        <w:t>’</w:t>
      </w:r>
      <w:r>
        <w:t xml:space="preserve"> tax compliance and to </w:t>
      </w:r>
      <w:r w:rsidDel="00D725A2">
        <w:t xml:space="preserve">better inform </w:t>
      </w:r>
      <w:r w:rsidRPr="0071196A" w:rsidDel="00D725A2">
        <w:t>the</w:t>
      </w:r>
      <w:r w:rsidDel="00D725A2">
        <w:t>ir assessment of</w:t>
      </w:r>
      <w:r w:rsidRPr="0071196A" w:rsidDel="00D725A2">
        <w:t xml:space="preserve"> </w:t>
      </w:r>
      <w:r>
        <w:t xml:space="preserve">MNEs </w:t>
      </w:r>
      <w:r w:rsidRPr="0071196A">
        <w:t>contributions to the commun</w:t>
      </w:r>
      <w:r>
        <w:t>ity (in terms of tax paid) relative to their activities in the economy.</w:t>
      </w:r>
      <w:r w:rsidRPr="0071196A">
        <w:t xml:space="preserve"> </w:t>
      </w:r>
      <w:r>
        <w:t>E</w:t>
      </w:r>
      <w:r w:rsidRPr="0071196A">
        <w:t>ssentially</w:t>
      </w:r>
      <w:r>
        <w:t>, this</w:t>
      </w:r>
      <w:r w:rsidRPr="0071196A">
        <w:t xml:space="preserve"> </w:t>
      </w:r>
      <w:r w:rsidR="00411D6D">
        <w:t>understanding</w:t>
      </w:r>
      <w:r w:rsidRPr="0071196A">
        <w:t xml:space="preserve"> reflect</w:t>
      </w:r>
      <w:r>
        <w:t>s</w:t>
      </w:r>
      <w:r w:rsidRPr="0071196A">
        <w:t xml:space="preserve"> the social contract notion and the idea that the tax burden should be shared equitably</w:t>
      </w:r>
      <w:r>
        <w:t>; that is, MNEs should pay a fair share of tax</w:t>
      </w:r>
      <w:r w:rsidRPr="0071196A">
        <w:t>.</w:t>
      </w:r>
      <w:r>
        <w:t xml:space="preserve"> Public transparency allows civil society and the public to scrutinise the corporate behaviour of MNEs and judge whether it meets public expectations.</w:t>
      </w:r>
    </w:p>
    <w:p w14:paraId="1D7F47DD" w14:textId="77777777" w:rsidR="00262878" w:rsidRDefault="00262878" w:rsidP="00262878">
      <w:r w:rsidRPr="0071196A">
        <w:t xml:space="preserve">There is, however, an in-built tension between the push for improved access to corporations’ tax-related information and taxpayer </w:t>
      </w:r>
      <w:r>
        <w:t xml:space="preserve">privacy and </w:t>
      </w:r>
      <w:r w:rsidRPr="0071196A">
        <w:t xml:space="preserve">confidentiality. </w:t>
      </w:r>
      <w:r>
        <w:t xml:space="preserve">This tension gives rise to trade-offs and </w:t>
      </w:r>
      <w:r>
        <w:lastRenderedPageBreak/>
        <w:t xml:space="preserve">the need to </w:t>
      </w:r>
      <w:r w:rsidRPr="0071196A">
        <w:t xml:space="preserve">balance </w:t>
      </w:r>
      <w:r>
        <w:t xml:space="preserve">the ‘public good’ element of improved transparency with </w:t>
      </w:r>
      <w:r w:rsidRPr="0071196A">
        <w:t>the protect</w:t>
      </w:r>
      <w:r>
        <w:t>ion of</w:t>
      </w:r>
      <w:r w:rsidRPr="0071196A">
        <w:t xml:space="preserve"> MNEs’ commercially sensitive information</w:t>
      </w:r>
      <w:r>
        <w:t>. Additionally, increased tax transparency should not detract from entities’ investment intentions or impose unnecessary compliance burdens as to be counterproductive</w:t>
      </w:r>
      <w:r w:rsidRPr="0071196A">
        <w:t>.</w:t>
      </w:r>
    </w:p>
    <w:p w14:paraId="36F49BDD" w14:textId="1ED2207C" w:rsidR="00262878" w:rsidRDefault="00262878" w:rsidP="00262878">
      <w:r>
        <w:t>Recent global developments reflect a shifting</w:t>
      </w:r>
      <w:r w:rsidDel="001A7168">
        <w:t xml:space="preserve"> </w:t>
      </w:r>
      <w:r>
        <w:t>attitude</w:t>
      </w:r>
      <w:r w:rsidRPr="0071196A">
        <w:t xml:space="preserve"> towards </w:t>
      </w:r>
      <w:r w:rsidRPr="0071196A" w:rsidDel="001A7168">
        <w:t xml:space="preserve">MNEs </w:t>
      </w:r>
      <w:r w:rsidRPr="0071196A">
        <w:t>voluntarily sharing more information about their tax affairs</w:t>
      </w:r>
      <w:r>
        <w:t xml:space="preserve">, </w:t>
      </w:r>
      <w:r w:rsidR="001A7168">
        <w:t xml:space="preserve">moving </w:t>
      </w:r>
      <w:r>
        <w:t>away</w:t>
      </w:r>
      <w:r w:rsidRPr="0071196A">
        <w:t xml:space="preserve"> from strict </w:t>
      </w:r>
      <w:r w:rsidRPr="0071196A" w:rsidDel="001A7168">
        <w:t xml:space="preserve">taxpayer </w:t>
      </w:r>
      <w:r w:rsidRPr="0071196A">
        <w:t>confidentiality</w:t>
      </w:r>
      <w:r>
        <w:t>. T</w:t>
      </w:r>
      <w:r w:rsidRPr="0071196A">
        <w:t xml:space="preserve">he European Union’s recent public </w:t>
      </w:r>
      <w:proofErr w:type="spellStart"/>
      <w:r>
        <w:t>CbC</w:t>
      </w:r>
      <w:proofErr w:type="spellEnd"/>
      <w:r w:rsidRPr="0071196A">
        <w:t xml:space="preserve"> reporting </w:t>
      </w:r>
      <w:r w:rsidR="001A7168">
        <w:t>D</w:t>
      </w:r>
      <w:r w:rsidR="001A7168" w:rsidRPr="0071196A">
        <w:t>irective</w:t>
      </w:r>
      <w:r w:rsidR="001A7168">
        <w:t xml:space="preserve"> </w:t>
      </w:r>
      <w:r>
        <w:t xml:space="preserve">and the emergence of the Global Reporting Initiative’s Tax Standard are examples of </w:t>
      </w:r>
      <w:r w:rsidRPr="00107755">
        <w:t>schemes</w:t>
      </w:r>
      <w:r>
        <w:t xml:space="preserve"> </w:t>
      </w:r>
      <w:r w:rsidR="001A7168">
        <w:t xml:space="preserve">that </w:t>
      </w:r>
      <w:r>
        <w:t>enhance corporate tax transparency</w:t>
      </w:r>
      <w:r w:rsidRPr="0071196A">
        <w:t xml:space="preserve">. </w:t>
      </w:r>
    </w:p>
    <w:p w14:paraId="610C3810" w14:textId="77777777" w:rsidR="00262878" w:rsidRPr="0071196A" w:rsidRDefault="00262878" w:rsidP="00262878">
      <w:r>
        <w:t xml:space="preserve">The options outlined in this discussion paper are informed by these recent international developments. </w:t>
      </w:r>
    </w:p>
    <w:p w14:paraId="2CCFA24B" w14:textId="1AACDCE0" w:rsidR="00262878" w:rsidRDefault="00262878" w:rsidP="00262878">
      <w:r>
        <w:t>Ultimately, the Government’s intent is to introduce targeted and balanced</w:t>
      </w:r>
      <w:r w:rsidRPr="0071196A">
        <w:t xml:space="preserve"> tax transparency initiatives</w:t>
      </w:r>
      <w:r>
        <w:t xml:space="preserve"> directed at MNEs</w:t>
      </w:r>
      <w:r w:rsidR="001A7168">
        <w:t>. A</w:t>
      </w:r>
      <w:r w:rsidRPr="0071196A">
        <w:t xml:space="preserve">s part of the </w:t>
      </w:r>
      <w:r>
        <w:t xml:space="preserve">broader </w:t>
      </w:r>
      <w:r w:rsidRPr="0071196A">
        <w:t xml:space="preserve">regulatory mix, </w:t>
      </w:r>
      <w:r w:rsidR="001A7168">
        <w:t xml:space="preserve">these measures </w:t>
      </w:r>
      <w:r w:rsidRPr="0071196A">
        <w:t xml:space="preserve">are intended to </w:t>
      </w:r>
      <w:r>
        <w:t>moderate</w:t>
      </w:r>
      <w:r w:rsidRPr="0071196A">
        <w:t xml:space="preserve"> corporate tax-aggressiveness. The ideal is</w:t>
      </w:r>
      <w:r>
        <w:t xml:space="preserve"> that the more information and data insights the wider community has on MNE structures and their cross-border activity, the more informed the debate will be about </w:t>
      </w:r>
      <w:r w:rsidDel="001A7168">
        <w:t xml:space="preserve">what </w:t>
      </w:r>
      <w:r>
        <w:t>level of tax</w:t>
      </w:r>
      <w:r w:rsidR="001A7168">
        <w:t xml:space="preserve"> </w:t>
      </w:r>
      <w:r>
        <w:t xml:space="preserve">should </w:t>
      </w:r>
      <w:r w:rsidDel="001A7168">
        <w:t>be paid by MNEs</w:t>
      </w:r>
      <w:r>
        <w:t>. In turn,</w:t>
      </w:r>
      <w:r w:rsidDel="00397CC6">
        <w:t xml:space="preserve"> </w:t>
      </w:r>
      <w:r>
        <w:t xml:space="preserve">enhanced public scrutiny aims to seed </w:t>
      </w:r>
      <w:r w:rsidRPr="0071196A">
        <w:t xml:space="preserve">fundamental behavioural change in how MNEs view their tax obligations, including in relation to their tax governance practices and their decision-making around aggressive tax planning strategies. </w:t>
      </w:r>
    </w:p>
    <w:p w14:paraId="3491E0FA" w14:textId="77777777" w:rsidR="00262878" w:rsidRDefault="00262878" w:rsidP="00262878">
      <w:pPr>
        <w:pStyle w:val="Heading2"/>
      </w:pPr>
      <w:bookmarkStart w:id="34" w:name="_Toc107909250"/>
      <w:bookmarkStart w:id="35" w:name="_Toc110583151"/>
      <w:bookmarkStart w:id="36" w:name="_Toc306887373"/>
      <w:bookmarkStart w:id="37" w:name="_Toc432064637"/>
      <w:r>
        <w:t>Tax transparency reporting: the current approach in Australia</w:t>
      </w:r>
      <w:bookmarkEnd w:id="34"/>
      <w:bookmarkEnd w:id="35"/>
    </w:p>
    <w:p w14:paraId="5B70A678" w14:textId="2FAE00CB" w:rsidR="00262878" w:rsidRDefault="00262878" w:rsidP="00262878">
      <w:r>
        <w:t xml:space="preserve">Australia’s current approach to tax </w:t>
      </w:r>
      <w:r w:rsidRPr="000743AF">
        <w:t>transparency has played a limited role in informing the public debate in relation to the tax affairs of large MNEs</w:t>
      </w:r>
      <w:r>
        <w:t>, le</w:t>
      </w:r>
      <w:r w:rsidR="00DE45BF">
        <w:t>a</w:t>
      </w:r>
      <w:r>
        <w:t>d</w:t>
      </w:r>
      <w:r w:rsidR="00DE45BF">
        <w:t>ing</w:t>
      </w:r>
      <w:r>
        <w:t xml:space="preserve"> to claims that the current transparency reporting framework is deficient. </w:t>
      </w:r>
      <w:r w:rsidR="00DE45BF">
        <w:t xml:space="preserve">Issues of this sort </w:t>
      </w:r>
      <w:r>
        <w:t>have informed the Government’s improved transparency commitments.</w:t>
      </w:r>
    </w:p>
    <w:p w14:paraId="0BAF26A9" w14:textId="77777777" w:rsidR="00262878" w:rsidRDefault="00262878" w:rsidP="00262878">
      <w:r>
        <w:t>Australia has adopted the OECD BEPS Action 13 (</w:t>
      </w:r>
      <w:proofErr w:type="spellStart"/>
      <w:r>
        <w:t>CbC</w:t>
      </w:r>
      <w:proofErr w:type="spellEnd"/>
      <w:r>
        <w:t xml:space="preserve"> reporting) initiative which requires </w:t>
      </w:r>
      <w:proofErr w:type="spellStart"/>
      <w:r>
        <w:t>CbC</w:t>
      </w:r>
      <w:proofErr w:type="spellEnd"/>
      <w:r>
        <w:t xml:space="preserve"> reporting entities</w:t>
      </w:r>
      <w:r w:rsidRPr="00FD05ED">
        <w:rPr>
          <w:rStyle w:val="FootnoteReference"/>
          <w:vertAlign w:val="superscript"/>
        </w:rPr>
        <w:footnoteReference w:id="11"/>
      </w:r>
      <w:r>
        <w:t xml:space="preserve"> or a significant global entity, to lodge a </w:t>
      </w:r>
      <w:proofErr w:type="spellStart"/>
      <w:r>
        <w:t>CbC</w:t>
      </w:r>
      <w:proofErr w:type="spellEnd"/>
      <w:r>
        <w:t xml:space="preserve"> Report, Master file and Local file with the ATO.  This data is subject to strict confidentiality restricting what can be published. While the </w:t>
      </w:r>
      <w:proofErr w:type="spellStart"/>
      <w:r>
        <w:t>CbC</w:t>
      </w:r>
      <w:proofErr w:type="spellEnd"/>
      <w:r>
        <w:t xml:space="preserve"> data assists the ATO with their compliance activities, the lack of public transparency has not addressed the increased community demand for enhanced corporate tax disclosures.</w:t>
      </w:r>
    </w:p>
    <w:p w14:paraId="596AC56F" w14:textId="1FA70D78" w:rsidR="00262878" w:rsidRDefault="00262878" w:rsidP="00262878">
      <w:r>
        <w:t>Australia also has</w:t>
      </w:r>
      <w:r w:rsidR="00DE45BF">
        <w:t xml:space="preserve"> </w:t>
      </w:r>
      <w:r>
        <w:t xml:space="preserve">a voluntary Tax Transparency Code. The Code was developed by the Board of Taxation, at the request of the then Government, and was subsequently endorsed as part of the </w:t>
      </w:r>
      <w:r>
        <w:br/>
        <w:t xml:space="preserve">2016-17 Budget. The Code is intended to </w:t>
      </w:r>
      <w:r w:rsidRPr="007B3035">
        <w:t>encourage greater transparency by the corporate sector and enhance the community’s understanding of the corporate sector's compliance with Australia’s tax laws</w:t>
      </w:r>
      <w:r>
        <w:t>. However, the voluntary nature of the Code has given rise to relatively</w:t>
      </w:r>
      <w:r w:rsidRPr="00F702AC">
        <w:t xml:space="preserve"> low </w:t>
      </w:r>
      <w:r w:rsidRPr="00F702AC" w:rsidDel="00DE45BF">
        <w:t>take</w:t>
      </w:r>
      <w:r w:rsidR="00DE45BF">
        <w:t>-</w:t>
      </w:r>
      <w:r w:rsidRPr="00F702AC">
        <w:t>up by companies (</w:t>
      </w:r>
      <w:r>
        <w:t xml:space="preserve">which is even </w:t>
      </w:r>
      <w:r w:rsidRPr="00F702AC">
        <w:t>more pronounced for foreign companies)</w:t>
      </w:r>
      <w:r>
        <w:t xml:space="preserve">. </w:t>
      </w:r>
      <w:r w:rsidR="00DE45BF">
        <w:t>A</w:t>
      </w:r>
      <w:r w:rsidDel="00DE45BF">
        <w:t xml:space="preserve"> </w:t>
      </w:r>
      <w:r w:rsidR="00DE45BF">
        <w:t xml:space="preserve">further </w:t>
      </w:r>
      <w:r>
        <w:t>criticism is that the d</w:t>
      </w:r>
      <w:r w:rsidRPr="00F702AC">
        <w:t xml:space="preserve">isclosures provided under the </w:t>
      </w:r>
      <w:r>
        <w:t>C</w:t>
      </w:r>
      <w:r w:rsidRPr="00F702AC">
        <w:t>ode are not verifiable</w:t>
      </w:r>
      <w:r>
        <w:t>. The lack of verifiable data has not helped to address the g</w:t>
      </w:r>
      <w:r w:rsidRPr="0071196A">
        <w:t xml:space="preserve">rowing distrust </w:t>
      </w:r>
      <w:r>
        <w:t xml:space="preserve">among </w:t>
      </w:r>
      <w:r w:rsidRPr="0071196A">
        <w:t xml:space="preserve">ordinary </w:t>
      </w:r>
      <w:r>
        <w:t xml:space="preserve">members of the community who, as a demographic, </w:t>
      </w:r>
      <w:r w:rsidRPr="0071196A">
        <w:t xml:space="preserve">are </w:t>
      </w:r>
      <w:r>
        <w:t xml:space="preserve">less willing to </w:t>
      </w:r>
      <w:r w:rsidRPr="0071196A">
        <w:t xml:space="preserve">accept assurances that large corporations are honouring their tax obligations in </w:t>
      </w:r>
      <w:r>
        <w:t>line</w:t>
      </w:r>
      <w:r w:rsidRPr="0071196A">
        <w:t xml:space="preserve"> with societal expectations</w:t>
      </w:r>
      <w:r>
        <w:t>.</w:t>
      </w:r>
    </w:p>
    <w:p w14:paraId="70251B52" w14:textId="0E01D338" w:rsidR="00262878" w:rsidRDefault="00262878" w:rsidP="00262878">
      <w:r>
        <w:t xml:space="preserve">The final element of Australia’s tax transparency framework is the Corporate Tax Transparency report, published by the ATO. The information in this report </w:t>
      </w:r>
      <w:r w:rsidRPr="007B3035">
        <w:t>is sourced from tax return information</w:t>
      </w:r>
      <w:r>
        <w:t xml:space="preserve"> and </w:t>
      </w:r>
      <w:r w:rsidRPr="007B3035">
        <w:t xml:space="preserve">excludes </w:t>
      </w:r>
      <w:r>
        <w:t xml:space="preserve">various tax return label items, including </w:t>
      </w:r>
      <w:r w:rsidRPr="007B3035">
        <w:t>tax losses information</w:t>
      </w:r>
      <w:r>
        <w:t>,</w:t>
      </w:r>
      <w:r w:rsidRPr="007B3035">
        <w:t xml:space="preserve"> from being disclosed</w:t>
      </w:r>
      <w:r>
        <w:t xml:space="preserve">. </w:t>
      </w:r>
      <w:r w:rsidR="00BC3E0B">
        <w:t>The exclusion of label items</w:t>
      </w:r>
      <w:r>
        <w:t xml:space="preserve"> can hinder the general community’s understanding of the tax affairs of </w:t>
      </w:r>
      <w:r>
        <w:lastRenderedPageBreak/>
        <w:t>corporate tax entities, including MNEs</w:t>
      </w:r>
      <w:r w:rsidR="00DE45BF">
        <w:t>,</w:t>
      </w:r>
      <w:r>
        <w:t xml:space="preserve"> as the report does not provide a complete picture of an entity’s tax position. For instance, the valid role that tax losses play in determining an entity’s tax position. Further, n</w:t>
      </w:r>
      <w:r w:rsidRPr="008E6A6D">
        <w:t xml:space="preserve">on-corporate entity structures </w:t>
      </w:r>
      <w:r>
        <w:t>(</w:t>
      </w:r>
      <w:r w:rsidRPr="008E6A6D">
        <w:t xml:space="preserve">such as large </w:t>
      </w:r>
      <w:proofErr w:type="gramStart"/>
      <w:r w:rsidRPr="008E6A6D">
        <w:t>privately</w:t>
      </w:r>
      <w:r w:rsidR="00DE45BF">
        <w:t>-</w:t>
      </w:r>
      <w:r w:rsidRPr="008E6A6D">
        <w:t>held</w:t>
      </w:r>
      <w:proofErr w:type="gramEnd"/>
      <w:r w:rsidRPr="008E6A6D">
        <w:t xml:space="preserve"> groups</w:t>
      </w:r>
      <w:r>
        <w:t>)</w:t>
      </w:r>
      <w:r w:rsidRPr="008E6A6D">
        <w:t xml:space="preserve"> are not </w:t>
      </w:r>
      <w:r>
        <w:t xml:space="preserve">included in </w:t>
      </w:r>
      <w:r w:rsidRPr="008E6A6D">
        <w:t xml:space="preserve">the </w:t>
      </w:r>
      <w:r>
        <w:t>Corporate Tax Transparency report.</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78ABB268" w14:textId="77777777" w:rsidTr="00762FA3">
        <w:tc>
          <w:tcPr>
            <w:tcW w:w="5000" w:type="pct"/>
            <w:shd w:val="clear" w:color="auto" w:fill="EEEEEE" w:themeFill="background2"/>
          </w:tcPr>
          <w:p w14:paraId="4BF61243" w14:textId="77777777" w:rsidR="00262878" w:rsidRPr="000D1284" w:rsidRDefault="00262878" w:rsidP="00762FA3">
            <w:pPr>
              <w:pStyle w:val="BoxHeading"/>
            </w:pPr>
            <w:r>
              <w:t>Questions</w:t>
            </w:r>
          </w:p>
          <w:p w14:paraId="14255E9F" w14:textId="57855831" w:rsidR="00262878" w:rsidRPr="003318C8" w:rsidRDefault="00262878" w:rsidP="008C351F">
            <w:pPr>
              <w:pStyle w:val="BoxText"/>
              <w:numPr>
                <w:ilvl w:val="0"/>
                <w:numId w:val="34"/>
              </w:numPr>
              <w:ind w:left="484" w:hanging="425"/>
            </w:pPr>
            <w:r>
              <w:t>Are there any specific features you would introduce to improve how MNEs publicly report tax information?</w:t>
            </w:r>
          </w:p>
        </w:tc>
      </w:tr>
    </w:tbl>
    <w:p w14:paraId="7E03254C" w14:textId="77777777" w:rsidR="00262878" w:rsidRPr="008E6A6D" w:rsidRDefault="00262878" w:rsidP="00262878">
      <w:pPr>
        <w:pStyle w:val="Heading2"/>
      </w:pPr>
      <w:bookmarkStart w:id="38" w:name="_Toc107909251"/>
      <w:bookmarkStart w:id="39" w:name="_Toc110583152"/>
      <w:r w:rsidRPr="008E6A6D">
        <w:t>Public reporting of tax information on a country-by-country basis</w:t>
      </w:r>
      <w:bookmarkEnd w:id="36"/>
      <w:bookmarkEnd w:id="37"/>
      <w:bookmarkEnd w:id="38"/>
      <w:bookmarkEnd w:id="39"/>
    </w:p>
    <w:p w14:paraId="59BAC3BA" w14:textId="401229D0" w:rsidR="00262878" w:rsidRDefault="00262878" w:rsidP="00262878">
      <w:r>
        <w:t xml:space="preserve">The Government has announced </w:t>
      </w:r>
      <w:r w:rsidR="00C811AA">
        <w:t>the introduction of</w:t>
      </w:r>
      <w:r>
        <w:t xml:space="preserve"> measures </w:t>
      </w:r>
      <w:r w:rsidR="00C811AA">
        <w:t>requiring</w:t>
      </w:r>
      <w:r>
        <w:t xml:space="preserve"> the public release of </w:t>
      </w:r>
      <w:r w:rsidR="00BC3E0B">
        <w:t>high</w:t>
      </w:r>
      <w:r>
        <w:t xml:space="preserve">-level data on </w:t>
      </w:r>
      <w:r w:rsidR="00C811AA">
        <w:t xml:space="preserve">the amounts of tax </w:t>
      </w:r>
      <w:r>
        <w:t>large MNEs pay in the jurisdictions they operate</w:t>
      </w:r>
      <w:r w:rsidR="00C811AA">
        <w:t xml:space="preserve">, </w:t>
      </w:r>
      <w:r>
        <w:t xml:space="preserve">as well as </w:t>
      </w:r>
      <w:r w:rsidR="00C811AA">
        <w:t xml:space="preserve">on </w:t>
      </w:r>
      <w:r>
        <w:t xml:space="preserve">the number of employees these jurisdictions.  </w:t>
      </w:r>
    </w:p>
    <w:p w14:paraId="6CF39ECB" w14:textId="27A8320F" w:rsidR="00262878" w:rsidRDefault="00262878" w:rsidP="00262878">
      <w:r>
        <w:t xml:space="preserve">These types of disclosures are commonly referred to as country-by-country or </w:t>
      </w:r>
      <w:proofErr w:type="spellStart"/>
      <w:r>
        <w:t>CbC</w:t>
      </w:r>
      <w:proofErr w:type="spellEnd"/>
      <w:r>
        <w:t xml:space="preserve"> reporting. The policy objective of public </w:t>
      </w:r>
      <w:proofErr w:type="spellStart"/>
      <w:r>
        <w:t>CbC</w:t>
      </w:r>
      <w:proofErr w:type="spellEnd"/>
      <w:r>
        <w:t xml:space="preserve"> reporting is to improve community awareness around the arrangements of large MNEs operating within </w:t>
      </w:r>
      <w:r w:rsidRPr="007573A3">
        <w:t>Australia by highlighting the amount of tax these entities pay.</w:t>
      </w:r>
      <w:r>
        <w:t xml:space="preserve"> </w:t>
      </w:r>
      <w:r w:rsidR="00C811AA">
        <w:t xml:space="preserve">The </w:t>
      </w:r>
      <w:r w:rsidRPr="0071196A">
        <w:t xml:space="preserve">enhanced scrutiny </w:t>
      </w:r>
      <w:r>
        <w:t>of MNEs tax information</w:t>
      </w:r>
      <w:r w:rsidRPr="0071196A">
        <w:t xml:space="preserve"> level</w:t>
      </w:r>
      <w:r>
        <w:t>s</w:t>
      </w:r>
      <w:r w:rsidRPr="0071196A">
        <w:t xml:space="preserve"> the (information) playing field, which, in turn, </w:t>
      </w:r>
      <w:r>
        <w:t>can</w:t>
      </w:r>
      <w:r w:rsidRPr="0071196A">
        <w:t xml:space="preserve"> assist in better informing the public debate on MNE tax compliance.</w:t>
      </w:r>
      <w:r>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0115CE0E" w14:textId="77777777" w:rsidTr="00762FA3">
        <w:tc>
          <w:tcPr>
            <w:tcW w:w="5000" w:type="pct"/>
            <w:shd w:val="clear" w:color="auto" w:fill="EEEEEE" w:themeFill="background2"/>
          </w:tcPr>
          <w:p w14:paraId="591FC4FC" w14:textId="77777777" w:rsidR="00262878" w:rsidRDefault="00262878" w:rsidP="00762FA3">
            <w:pPr>
              <w:pStyle w:val="BoxHeading"/>
            </w:pPr>
            <w:r>
              <w:t>Questions</w:t>
            </w:r>
          </w:p>
          <w:p w14:paraId="32D4DF79" w14:textId="77777777" w:rsidR="00262878" w:rsidRDefault="00262878" w:rsidP="008C351F">
            <w:pPr>
              <w:pStyle w:val="BoxText"/>
              <w:numPr>
                <w:ilvl w:val="0"/>
                <w:numId w:val="34"/>
              </w:numPr>
              <w:ind w:left="484" w:hanging="425"/>
            </w:pPr>
            <w:r>
              <w:t xml:space="preserve">How should large MNEs be defined for the purpose of enhanced public reporting of tax information? Would the Significant Global Entity definition be appropriate to use?  </w:t>
            </w:r>
          </w:p>
          <w:p w14:paraId="2B8DFC53" w14:textId="77777777" w:rsidR="00262878" w:rsidRPr="000D1284" w:rsidRDefault="00262878" w:rsidP="008C351F">
            <w:pPr>
              <w:pStyle w:val="BoxText"/>
              <w:numPr>
                <w:ilvl w:val="0"/>
                <w:numId w:val="34"/>
              </w:numPr>
              <w:ind w:left="484" w:hanging="425"/>
            </w:pPr>
            <w:r w:rsidRPr="00424860">
              <w:t>Would you support an incremental (phased in) approach to mandatory tax transparency reporting for a broader range of entities, starting with large MNEs?</w:t>
            </w:r>
            <w:r>
              <w:t xml:space="preserve"> </w:t>
            </w:r>
          </w:p>
        </w:tc>
      </w:tr>
    </w:tbl>
    <w:p w14:paraId="3C8E90A8" w14:textId="77777777" w:rsidR="00262878" w:rsidRDefault="00262878" w:rsidP="00262878"/>
    <w:p w14:paraId="44503EE5" w14:textId="77777777" w:rsidR="00262878" w:rsidRDefault="00262878" w:rsidP="00262878">
      <w:pPr>
        <w:pStyle w:val="Heading3"/>
      </w:pPr>
      <w:bookmarkStart w:id="40" w:name="_Toc107909252"/>
      <w:bookmarkStart w:id="41" w:name="_Toc110583153"/>
      <w:r>
        <w:t>Confidential country-by-country reporting (OECD standard)</w:t>
      </w:r>
      <w:bookmarkEnd w:id="40"/>
      <w:bookmarkEnd w:id="41"/>
    </w:p>
    <w:p w14:paraId="5589AF88" w14:textId="639AF155" w:rsidR="00262878" w:rsidRDefault="00262878" w:rsidP="00262878">
      <w:r>
        <w:t xml:space="preserve">Currently, MNEs which are </w:t>
      </w:r>
      <w:proofErr w:type="spellStart"/>
      <w:r>
        <w:t>CbC</w:t>
      </w:r>
      <w:proofErr w:type="spellEnd"/>
      <w:r>
        <w:t xml:space="preserve"> reporting entities are required to report </w:t>
      </w:r>
      <w:proofErr w:type="spellStart"/>
      <w:r>
        <w:t>CbC</w:t>
      </w:r>
      <w:proofErr w:type="spellEnd"/>
      <w:r>
        <w:t xml:space="preserve"> information to tax authorities (including the ATO) on a confidential basis (in </w:t>
      </w:r>
      <w:r w:rsidRPr="00C65E02">
        <w:t xml:space="preserve">accordance with </w:t>
      </w:r>
      <w:r>
        <w:t>Australia’s</w:t>
      </w:r>
      <w:r w:rsidRPr="00C65E02">
        <w:t xml:space="preserve"> commitments under </w:t>
      </w:r>
      <w:r>
        <w:t xml:space="preserve">Action 13 of </w:t>
      </w:r>
      <w:r w:rsidRPr="00C65E02">
        <w:t>the OECD's BEPS Action Plan</w:t>
      </w:r>
      <w:r>
        <w:t xml:space="preserve">). The ATO uses the </w:t>
      </w:r>
      <w:proofErr w:type="spellStart"/>
      <w:r>
        <w:t>CbC</w:t>
      </w:r>
      <w:proofErr w:type="spellEnd"/>
      <w:r>
        <w:t xml:space="preserve"> data to inform its risk and compliance work. </w:t>
      </w:r>
    </w:p>
    <w:p w14:paraId="1E1FD42B" w14:textId="07CD7AB3" w:rsidR="00262878" w:rsidRDefault="00262878" w:rsidP="00262878">
      <w:proofErr w:type="spellStart"/>
      <w:r w:rsidRPr="008A1727">
        <w:t>CbC</w:t>
      </w:r>
      <w:proofErr w:type="spellEnd"/>
      <w:r w:rsidRPr="008A1727">
        <w:t xml:space="preserve"> disclosures under this OECD regime are subject to strict confidentiality</w:t>
      </w:r>
      <w:r w:rsidR="00D3108C">
        <w:t xml:space="preserve">. As mentioned above, </w:t>
      </w:r>
      <w:r w:rsidRPr="008A1727">
        <w:t>this</w:t>
      </w:r>
      <w:r w:rsidR="00351D68">
        <w:t xml:space="preserve"> </w:t>
      </w:r>
      <w:r w:rsidR="00D3108C">
        <w:t>confidentiality</w:t>
      </w:r>
      <w:r w:rsidRPr="008A1727">
        <w:t xml:space="preserve"> has been a key feature to encourage taxpayer compliance with increased reporting requirements. Jurisdictions which fail to meet the confidentiality standards will fail a Peer Review and </w:t>
      </w:r>
      <w:r w:rsidR="00D3108C">
        <w:t xml:space="preserve">could face </w:t>
      </w:r>
      <w:r w:rsidRPr="008A1727">
        <w:t xml:space="preserve">the potential exclusion from future reporting exchanges. </w:t>
      </w:r>
    </w:p>
    <w:p w14:paraId="461B2E57" w14:textId="77777777" w:rsidR="00262878" w:rsidRDefault="00262878" w:rsidP="00262878">
      <w:pPr>
        <w:pStyle w:val="Heading3"/>
      </w:pPr>
      <w:bookmarkStart w:id="42" w:name="_Toc107909253"/>
      <w:bookmarkStart w:id="43" w:name="_Toc110583154"/>
      <w:r>
        <w:lastRenderedPageBreak/>
        <w:t>Public country-by-country reporting (EU standard)</w:t>
      </w:r>
      <w:bookmarkEnd w:id="42"/>
      <w:bookmarkEnd w:id="43"/>
    </w:p>
    <w:p w14:paraId="1BCDACB4" w14:textId="373A9F62" w:rsidR="00262878" w:rsidRDefault="00262878" w:rsidP="00262878">
      <w:r w:rsidDel="00D3108C">
        <w:t>Recently, there have been developments internationally that</w:t>
      </w:r>
      <w:r>
        <w:t xml:space="preserve"> will require large MNEs to publicly report </w:t>
      </w:r>
      <w:proofErr w:type="spellStart"/>
      <w:r>
        <w:t>CbC</w:t>
      </w:r>
      <w:proofErr w:type="spellEnd"/>
      <w:r>
        <w:t xml:space="preserve"> information. Specifically, t</w:t>
      </w:r>
      <w:r w:rsidRPr="000C632B">
        <w:t xml:space="preserve">he EU has </w:t>
      </w:r>
      <w:r>
        <w:t xml:space="preserve">introduced </w:t>
      </w:r>
      <w:r w:rsidR="00D3108C">
        <w:t>the obligation</w:t>
      </w:r>
      <w:r w:rsidRPr="000C632B">
        <w:t xml:space="preserve"> </w:t>
      </w:r>
      <w:r w:rsidR="00D3108C">
        <w:t xml:space="preserve">for </w:t>
      </w:r>
      <w:r>
        <w:t xml:space="preserve">MNEs to produce a </w:t>
      </w:r>
      <w:proofErr w:type="spellStart"/>
      <w:r>
        <w:t>CbC</w:t>
      </w:r>
      <w:proofErr w:type="spellEnd"/>
      <w:r>
        <w:t xml:space="preserve"> report on an annual basis</w:t>
      </w:r>
      <w:r w:rsidRPr="000C632B">
        <w:t xml:space="preserve"> </w:t>
      </w:r>
      <w:r>
        <w:t>detailing certain tax information (see box below).</w:t>
      </w:r>
    </w:p>
    <w:p w14:paraId="3C673ADA" w14:textId="60B35C91" w:rsidR="00262878" w:rsidRDefault="00262878" w:rsidP="00262878">
      <w:r w:rsidRPr="000C632B">
        <w:t xml:space="preserve">The </w:t>
      </w:r>
      <w:r w:rsidR="00D3108C">
        <w:t>D</w:t>
      </w:r>
      <w:r w:rsidR="00D3108C" w:rsidRPr="000C632B">
        <w:t>irective</w:t>
      </w:r>
      <w:r w:rsidRPr="009256FF">
        <w:rPr>
          <w:rStyle w:val="FootnoteReference"/>
          <w:vertAlign w:val="superscript"/>
        </w:rPr>
        <w:footnoteReference w:id="12"/>
      </w:r>
      <w:r w:rsidRPr="000C632B">
        <w:t xml:space="preserve"> came into force on 21 December 2021</w:t>
      </w:r>
      <w:r w:rsidR="00D3108C">
        <w:t>,</w:t>
      </w:r>
      <w:r w:rsidRPr="000C632B">
        <w:t xml:space="preserve"> and EU member</w:t>
      </w:r>
      <w:r w:rsidR="00D3108C">
        <w:t>-</w:t>
      </w:r>
      <w:r w:rsidRPr="000C632B">
        <w:t>states have 18 months (</w:t>
      </w:r>
      <w:proofErr w:type="gramStart"/>
      <w:r w:rsidRPr="000C632B">
        <w:t>i.e.</w:t>
      </w:r>
      <w:proofErr w:type="gramEnd"/>
      <w:r w:rsidRPr="000C632B">
        <w:t xml:space="preserve"> until 22 June 2023) to transpose </w:t>
      </w:r>
      <w:r w:rsidRPr="000C632B" w:rsidDel="00D3108C">
        <w:t xml:space="preserve">the directive </w:t>
      </w:r>
      <w:r w:rsidRPr="000C632B">
        <w:t>into their national laws.</w:t>
      </w:r>
      <w:r>
        <w:t xml:space="preserve"> </w:t>
      </w:r>
      <w:r w:rsidR="00D3108C">
        <w:t xml:space="preserve">The Directive </w:t>
      </w:r>
      <w:r>
        <w:t xml:space="preserve">applies to MNEs </w:t>
      </w:r>
      <w:r w:rsidRPr="000C632B">
        <w:t>with consolidated revenue exceeding EUR 750 million that are active in more than one EU member state</w:t>
      </w:r>
      <w:r>
        <w:t>. This could include Australian headquartered MNEs that meet these qualifying requirements.</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3C4D9635" w14:textId="77777777" w:rsidTr="00762FA3">
        <w:tc>
          <w:tcPr>
            <w:tcW w:w="5000" w:type="pct"/>
            <w:shd w:val="clear" w:color="auto" w:fill="EEEEEE" w:themeFill="background2"/>
          </w:tcPr>
          <w:p w14:paraId="5F497F48" w14:textId="77777777" w:rsidR="00262878" w:rsidRPr="000D1284" w:rsidRDefault="00262878" w:rsidP="00762FA3">
            <w:pPr>
              <w:pStyle w:val="BoxHeading"/>
            </w:pPr>
            <w:r>
              <w:t xml:space="preserve">EU public </w:t>
            </w:r>
            <w:proofErr w:type="spellStart"/>
            <w:r>
              <w:t>CbC</w:t>
            </w:r>
            <w:proofErr w:type="spellEnd"/>
            <w:r>
              <w:t xml:space="preserve"> reporting requirements</w:t>
            </w:r>
          </w:p>
          <w:p w14:paraId="21A4CEF1" w14:textId="4E9C9DFE" w:rsidR="00262878" w:rsidRDefault="00262878" w:rsidP="00762FA3">
            <w:r>
              <w:t>T</w:t>
            </w:r>
            <w:r w:rsidRPr="000C632B">
              <w:t xml:space="preserve">he EU has </w:t>
            </w:r>
            <w:r>
              <w:t>introduced an obligation</w:t>
            </w:r>
            <w:r w:rsidRPr="000C632B">
              <w:t xml:space="preserve"> </w:t>
            </w:r>
            <w:r w:rsidR="00D3108C">
              <w:t>for</w:t>
            </w:r>
            <w:r w:rsidR="00D3108C" w:rsidRPr="000C632B">
              <w:t xml:space="preserve"> </w:t>
            </w:r>
            <w:r>
              <w:t xml:space="preserve">MNEs to produce a </w:t>
            </w:r>
            <w:proofErr w:type="spellStart"/>
            <w:r>
              <w:t>CbC</w:t>
            </w:r>
            <w:proofErr w:type="spellEnd"/>
            <w:r>
              <w:t xml:space="preserve"> report on an annual basis</w:t>
            </w:r>
            <w:r w:rsidRPr="000C632B">
              <w:t xml:space="preserve"> </w:t>
            </w:r>
            <w:r>
              <w:t>detailing:</w:t>
            </w:r>
          </w:p>
          <w:p w14:paraId="4AA3A89A" w14:textId="77777777" w:rsidR="00262878" w:rsidRPr="00A138B5" w:rsidRDefault="00262878" w:rsidP="00262878">
            <w:pPr>
              <w:pStyle w:val="Bullet"/>
              <w:numPr>
                <w:ilvl w:val="0"/>
                <w:numId w:val="14"/>
              </w:numPr>
              <w:spacing w:before="60"/>
              <w:ind w:left="522" w:hanging="522"/>
              <w:rPr>
                <w:rFonts w:asciiTheme="minorHAnsi" w:hAnsiTheme="minorHAnsi" w:cstheme="minorHAnsi"/>
              </w:rPr>
            </w:pPr>
            <w:r w:rsidRPr="00A138B5">
              <w:rPr>
                <w:rFonts w:cstheme="minorHAnsi"/>
              </w:rPr>
              <w:t xml:space="preserve">the name of the ultimate </w:t>
            </w:r>
            <w:proofErr w:type="gramStart"/>
            <w:r w:rsidRPr="00A138B5">
              <w:rPr>
                <w:rFonts w:cstheme="minorHAnsi"/>
              </w:rPr>
              <w:t>parent</w:t>
            </w:r>
            <w:r>
              <w:rPr>
                <w:rFonts w:cstheme="minorHAnsi"/>
              </w:rPr>
              <w:t>;</w:t>
            </w:r>
            <w:proofErr w:type="gramEnd"/>
          </w:p>
          <w:p w14:paraId="0387E681"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the currency used for the presentation of the </w:t>
            </w:r>
            <w:proofErr w:type="gramStart"/>
            <w:r w:rsidRPr="00A138B5">
              <w:rPr>
                <w:rFonts w:cstheme="minorHAnsi"/>
              </w:rPr>
              <w:t>report</w:t>
            </w:r>
            <w:r>
              <w:rPr>
                <w:rFonts w:cstheme="minorHAnsi"/>
              </w:rPr>
              <w:t>;</w:t>
            </w:r>
            <w:proofErr w:type="gramEnd"/>
          </w:p>
          <w:p w14:paraId="0FA28C14"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a brief description of the nature of company’s </w:t>
            </w:r>
            <w:proofErr w:type="gramStart"/>
            <w:r w:rsidRPr="00A138B5">
              <w:rPr>
                <w:rFonts w:cstheme="minorHAnsi"/>
              </w:rPr>
              <w:t>activities;</w:t>
            </w:r>
            <w:proofErr w:type="gramEnd"/>
          </w:p>
          <w:p w14:paraId="69E48AFE"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the number of employees on a full-time equivalent </w:t>
            </w:r>
            <w:proofErr w:type="gramStart"/>
            <w:r w:rsidRPr="00A138B5">
              <w:rPr>
                <w:rFonts w:cstheme="minorHAnsi"/>
              </w:rPr>
              <w:t>basis;</w:t>
            </w:r>
            <w:proofErr w:type="gramEnd"/>
          </w:p>
          <w:p w14:paraId="7FB52728" w14:textId="77777777" w:rsidR="00262878" w:rsidRPr="00A138B5" w:rsidRDefault="00262878" w:rsidP="00262878">
            <w:pPr>
              <w:pStyle w:val="Bullet"/>
              <w:numPr>
                <w:ilvl w:val="0"/>
                <w:numId w:val="14"/>
              </w:numPr>
              <w:spacing w:before="60"/>
              <w:ind w:left="522" w:hanging="522"/>
              <w:rPr>
                <w:rFonts w:cstheme="minorHAnsi"/>
              </w:rPr>
            </w:pPr>
            <w:proofErr w:type="gramStart"/>
            <w:r w:rsidRPr="00A138B5">
              <w:rPr>
                <w:rFonts w:cstheme="minorHAnsi"/>
              </w:rPr>
              <w:t>revenues</w:t>
            </w:r>
            <w:r>
              <w:rPr>
                <w:rFonts w:cstheme="minorHAnsi"/>
              </w:rPr>
              <w:t>;</w:t>
            </w:r>
            <w:proofErr w:type="gramEnd"/>
            <w:r w:rsidRPr="00A138B5">
              <w:rPr>
                <w:rFonts w:cstheme="minorHAnsi"/>
              </w:rPr>
              <w:t xml:space="preserve"> </w:t>
            </w:r>
          </w:p>
          <w:p w14:paraId="63AC3785"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profit or loss before income </w:t>
            </w:r>
            <w:proofErr w:type="gramStart"/>
            <w:r w:rsidRPr="00A138B5">
              <w:rPr>
                <w:rFonts w:cstheme="minorHAnsi"/>
              </w:rPr>
              <w:t>tax;</w:t>
            </w:r>
            <w:proofErr w:type="gramEnd"/>
            <w:r w:rsidRPr="00A138B5">
              <w:rPr>
                <w:rFonts w:cstheme="minorHAnsi"/>
              </w:rPr>
              <w:t xml:space="preserve"> </w:t>
            </w:r>
          </w:p>
          <w:p w14:paraId="60DACB3F"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accumulated income </w:t>
            </w:r>
            <w:proofErr w:type="gramStart"/>
            <w:r w:rsidRPr="00A138B5">
              <w:rPr>
                <w:rFonts w:cstheme="minorHAnsi"/>
              </w:rPr>
              <w:t>tax;</w:t>
            </w:r>
            <w:proofErr w:type="gramEnd"/>
            <w:r w:rsidRPr="00A138B5">
              <w:rPr>
                <w:rFonts w:cstheme="minorHAnsi"/>
              </w:rPr>
              <w:t xml:space="preserve"> </w:t>
            </w:r>
          </w:p>
          <w:p w14:paraId="44B4193C"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income tax </w:t>
            </w:r>
            <w:proofErr w:type="gramStart"/>
            <w:r w:rsidRPr="00A138B5">
              <w:rPr>
                <w:rFonts w:cstheme="minorHAnsi"/>
              </w:rPr>
              <w:t>accrued</w:t>
            </w:r>
            <w:r>
              <w:rPr>
                <w:rFonts w:cstheme="minorHAnsi"/>
              </w:rPr>
              <w:t>;</w:t>
            </w:r>
            <w:proofErr w:type="gramEnd"/>
            <w:r w:rsidRPr="00A138B5">
              <w:rPr>
                <w:rFonts w:cstheme="minorHAnsi"/>
              </w:rPr>
              <w:t xml:space="preserve"> </w:t>
            </w:r>
          </w:p>
          <w:p w14:paraId="4C38FB79" w14:textId="77777777" w:rsidR="00262878" w:rsidRPr="00A138B5" w:rsidRDefault="00262878" w:rsidP="00262878">
            <w:pPr>
              <w:pStyle w:val="Bullet"/>
              <w:numPr>
                <w:ilvl w:val="0"/>
                <w:numId w:val="14"/>
              </w:numPr>
              <w:spacing w:before="60"/>
              <w:ind w:left="522" w:hanging="522"/>
              <w:rPr>
                <w:rFonts w:cstheme="minorHAnsi"/>
              </w:rPr>
            </w:pPr>
            <w:r w:rsidRPr="00A138B5">
              <w:rPr>
                <w:rFonts w:cstheme="minorHAnsi"/>
              </w:rPr>
              <w:t xml:space="preserve">income tax paid on a cash basis; and </w:t>
            </w:r>
          </w:p>
          <w:p w14:paraId="41142148" w14:textId="77777777" w:rsidR="00262878" w:rsidRPr="000D1284" w:rsidRDefault="00262878" w:rsidP="00262878">
            <w:pPr>
              <w:pStyle w:val="Bullet"/>
              <w:numPr>
                <w:ilvl w:val="0"/>
                <w:numId w:val="14"/>
              </w:numPr>
              <w:spacing w:before="60"/>
              <w:ind w:left="522" w:hanging="522"/>
            </w:pPr>
            <w:r w:rsidRPr="00A138B5">
              <w:rPr>
                <w:rFonts w:cstheme="minorHAnsi"/>
              </w:rPr>
              <w:t>accumulated earnings.</w:t>
            </w:r>
          </w:p>
        </w:tc>
      </w:tr>
    </w:tbl>
    <w:p w14:paraId="07883AEF" w14:textId="77777777" w:rsidR="00262878" w:rsidRDefault="00262878" w:rsidP="00262878">
      <w:pPr>
        <w:spacing w:before="0" w:after="0"/>
      </w:pPr>
    </w:p>
    <w:p w14:paraId="1049A7D6" w14:textId="77777777" w:rsidR="00262878" w:rsidRDefault="00262878" w:rsidP="00262878">
      <w:pPr>
        <w:spacing w:before="0" w:after="160" w:line="259" w:lineRule="auto"/>
      </w:pPr>
      <w:r>
        <w:t xml:space="preserve">The EU’s move to mandate public </w:t>
      </w:r>
      <w:proofErr w:type="spellStart"/>
      <w:r>
        <w:t>CbC</w:t>
      </w:r>
      <w:proofErr w:type="spellEnd"/>
      <w:r>
        <w:t xml:space="preserve"> reporting reflects shifting public expectations on MNE tax transparency. The </w:t>
      </w:r>
      <w:r w:rsidRPr="0092662D">
        <w:rPr>
          <w:i/>
          <w:iCs/>
        </w:rPr>
        <w:t>Senate Economic References Committee’s Inquiry on Corporate Tax Avoidance</w:t>
      </w:r>
      <w:r w:rsidRPr="005B0432">
        <w:t xml:space="preserve"> </w:t>
      </w:r>
      <w:r>
        <w:t xml:space="preserve">has previously </w:t>
      </w:r>
      <w:r w:rsidRPr="005B0432">
        <w:t>recommended that the Australian government</w:t>
      </w:r>
      <w:r>
        <w:t xml:space="preserve"> </w:t>
      </w:r>
      <w:r w:rsidRPr="005B0432">
        <w:t xml:space="preserve">publish excerpts from the </w:t>
      </w:r>
      <w:proofErr w:type="spellStart"/>
      <w:r w:rsidRPr="005B0432">
        <w:t>C</w:t>
      </w:r>
      <w:r>
        <w:t>bC</w:t>
      </w:r>
      <w:proofErr w:type="spellEnd"/>
      <w:r>
        <w:t xml:space="preserve"> reports, using </w:t>
      </w:r>
      <w:r w:rsidRPr="005B0432">
        <w:t xml:space="preserve">the EU’s standards </w:t>
      </w:r>
      <w:r>
        <w:t>as a guide</w:t>
      </w:r>
      <w:r w:rsidRPr="00E80F1B">
        <w:rPr>
          <w:rStyle w:val="FootnoteReference"/>
          <w:vertAlign w:val="superscript"/>
        </w:rPr>
        <w:footnoteReference w:id="13"/>
      </w:r>
      <w:r>
        <w:t xml:space="preserve">.  </w:t>
      </w:r>
    </w:p>
    <w:p w14:paraId="74B87B61" w14:textId="77777777" w:rsidR="00262878" w:rsidRDefault="00262878" w:rsidP="00262878"/>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03D02C1A" w14:textId="77777777" w:rsidTr="00762FA3">
        <w:tc>
          <w:tcPr>
            <w:tcW w:w="5000" w:type="pct"/>
            <w:shd w:val="clear" w:color="auto" w:fill="EEEEEE" w:themeFill="background2"/>
          </w:tcPr>
          <w:p w14:paraId="646232BF" w14:textId="77777777" w:rsidR="00262878" w:rsidRPr="000D1284" w:rsidRDefault="00262878" w:rsidP="00762FA3">
            <w:pPr>
              <w:pStyle w:val="BoxHeading"/>
            </w:pPr>
            <w:r>
              <w:lastRenderedPageBreak/>
              <w:t>Questions</w:t>
            </w:r>
          </w:p>
          <w:p w14:paraId="2641A2A1" w14:textId="77777777" w:rsidR="00262878" w:rsidRDefault="00262878" w:rsidP="008C351F">
            <w:pPr>
              <w:pStyle w:val="BoxText"/>
              <w:numPr>
                <w:ilvl w:val="0"/>
                <w:numId w:val="34"/>
              </w:numPr>
              <w:ind w:left="484" w:hanging="425"/>
            </w:pPr>
            <w:r>
              <w:t xml:space="preserve">Should Australia mandate improved tax transparency regime in line with the EU’s approach to public </w:t>
            </w:r>
            <w:proofErr w:type="spellStart"/>
            <w:r>
              <w:t>CbC</w:t>
            </w:r>
            <w:proofErr w:type="spellEnd"/>
            <w:r>
              <w:t xml:space="preserve"> reporting? If so, why?  </w:t>
            </w:r>
          </w:p>
          <w:p w14:paraId="3F08BAC7" w14:textId="0F1E88D2" w:rsidR="00262878" w:rsidRDefault="00262878" w:rsidP="008C351F">
            <w:pPr>
              <w:pStyle w:val="BoxText"/>
              <w:numPr>
                <w:ilvl w:val="1"/>
                <w:numId w:val="34"/>
              </w:numPr>
              <w:ind w:left="1051" w:hanging="425"/>
            </w:pPr>
            <w:r>
              <w:t xml:space="preserve">What sorts of entities (based on revenue or entity structure) should this </w:t>
            </w:r>
            <w:r w:rsidR="00675653">
              <w:t xml:space="preserve">mandate </w:t>
            </w:r>
            <w:r>
              <w:t xml:space="preserve">apply to? </w:t>
            </w:r>
          </w:p>
          <w:p w14:paraId="4CF2384A" w14:textId="6E929283" w:rsidR="00262878" w:rsidRDefault="00992C23" w:rsidP="008C351F">
            <w:pPr>
              <w:pStyle w:val="BoxText"/>
              <w:numPr>
                <w:ilvl w:val="1"/>
                <w:numId w:val="34"/>
              </w:numPr>
              <w:ind w:left="1051" w:hanging="425"/>
            </w:pPr>
            <w:r>
              <w:t xml:space="preserve">Please provide details of any compliance costs associated with </w:t>
            </w:r>
            <w:r w:rsidR="00262878">
              <w:t>adopting the EU</w:t>
            </w:r>
            <w:r w:rsidR="000F6D72">
              <w:t>’s</w:t>
            </w:r>
            <w:r w:rsidR="00262878">
              <w:t xml:space="preserve"> approach to </w:t>
            </w:r>
            <w:r>
              <w:t xml:space="preserve">public </w:t>
            </w:r>
            <w:proofErr w:type="spellStart"/>
            <w:r w:rsidR="00262878">
              <w:t>CbC</w:t>
            </w:r>
            <w:proofErr w:type="spellEnd"/>
            <w:r w:rsidR="00262878">
              <w:t xml:space="preserve"> reporting</w:t>
            </w:r>
            <w:r>
              <w:t>.</w:t>
            </w:r>
          </w:p>
          <w:p w14:paraId="03663A1D" w14:textId="77777777" w:rsidR="00262878" w:rsidRPr="000D1284" w:rsidRDefault="00262878" w:rsidP="008C351F">
            <w:pPr>
              <w:pStyle w:val="BoxText"/>
              <w:numPr>
                <w:ilvl w:val="0"/>
                <w:numId w:val="34"/>
              </w:numPr>
              <w:ind w:left="484" w:hanging="425"/>
            </w:pPr>
            <w:r w:rsidRPr="003813E2">
              <w:t xml:space="preserve">If the </w:t>
            </w:r>
            <w:r>
              <w:t xml:space="preserve">EU </w:t>
            </w:r>
            <w:proofErr w:type="spellStart"/>
            <w:r>
              <w:t>CbC</w:t>
            </w:r>
            <w:proofErr w:type="spellEnd"/>
            <w:r>
              <w:t xml:space="preserve"> approach was </w:t>
            </w:r>
            <w:r w:rsidRPr="003813E2">
              <w:t xml:space="preserve">mandated in Australia, are there additional tax disclosures that MNEs should be required to report, such as related party expenses, intangible assets, deferred </w:t>
            </w:r>
            <w:proofErr w:type="gramStart"/>
            <w:r w:rsidRPr="003813E2">
              <w:t>tax</w:t>
            </w:r>
            <w:proofErr w:type="gramEnd"/>
            <w:r w:rsidRPr="003813E2">
              <w:t xml:space="preserve"> and effective tax rate (ETR) per jurisdiction? </w:t>
            </w:r>
            <w:r>
              <w:t xml:space="preserve"> </w:t>
            </w:r>
          </w:p>
        </w:tc>
      </w:tr>
    </w:tbl>
    <w:p w14:paraId="64389272" w14:textId="77777777" w:rsidR="00262878" w:rsidRDefault="00262878" w:rsidP="00262878">
      <w:pPr>
        <w:pStyle w:val="Heading3"/>
      </w:pPr>
      <w:bookmarkStart w:id="44" w:name="_Toc107909254"/>
      <w:bookmarkStart w:id="45" w:name="_Toc110583155"/>
      <w:r>
        <w:t>Global Reporting Initiative – Tax Standard</w:t>
      </w:r>
      <w:bookmarkEnd w:id="44"/>
      <w:bookmarkEnd w:id="45"/>
    </w:p>
    <w:p w14:paraId="695717AC" w14:textId="20BB46D9" w:rsidR="00262878" w:rsidRDefault="00262878" w:rsidP="00262878">
      <w:r>
        <w:t>The Global Reporting Initiative (GRI)</w:t>
      </w:r>
      <w:r w:rsidRPr="00C82B0E">
        <w:t xml:space="preserve"> </w:t>
      </w:r>
      <w:r>
        <w:t>is a n</w:t>
      </w:r>
      <w:r w:rsidRPr="00C82B0E">
        <w:t xml:space="preserve">on-government </w:t>
      </w:r>
      <w:r>
        <w:t>international standards organisation (standard</w:t>
      </w:r>
      <w:r w:rsidR="00D40774">
        <w:t>-</w:t>
      </w:r>
      <w:r>
        <w:t xml:space="preserve">setting body) designed to assist entities with sustainability reporting. It is a </w:t>
      </w:r>
      <w:r w:rsidRPr="00C82B0E">
        <w:t>voluntary transparency regime</w:t>
      </w:r>
      <w:r>
        <w:t xml:space="preserve"> which provides a global standard for corporate governance, including improved public reporting on tax</w:t>
      </w:r>
      <w:r w:rsidR="00D40774">
        <w:t>.</w:t>
      </w:r>
      <w:r w:rsidRPr="009256FF">
        <w:rPr>
          <w:rStyle w:val="FootnoteReference"/>
          <w:vertAlign w:val="superscript"/>
        </w:rPr>
        <w:footnoteReference w:id="14"/>
      </w:r>
    </w:p>
    <w:p w14:paraId="4D340FC7" w14:textId="63F6AE72" w:rsidR="00262878" w:rsidRDefault="00262878" w:rsidP="00262878">
      <w:r>
        <w:t>On 1 January 2021, the GRI’s new tax Standard – GRI 207: Tax 2019 – took effect</w:t>
      </w:r>
      <w:r w:rsidR="00D40774">
        <w:t xml:space="preserve">. </w:t>
      </w:r>
      <w:r>
        <w:t xml:space="preserve"> </w:t>
      </w:r>
      <w:r w:rsidR="00D40774">
        <w:t xml:space="preserve">Some </w:t>
      </w:r>
      <w:r w:rsidR="00B60679">
        <w:t>members</w:t>
      </w:r>
      <w:r w:rsidR="00D40774">
        <w:t xml:space="preserve"> within the international tax community have </w:t>
      </w:r>
      <w:r>
        <w:t xml:space="preserve">positioned </w:t>
      </w:r>
      <w:r w:rsidR="00D40774">
        <w:t>the GRI 207</w:t>
      </w:r>
      <w:r w:rsidDel="00D40774">
        <w:t xml:space="preserve"> </w:t>
      </w:r>
      <w:r>
        <w:t xml:space="preserve">as the first global reporting standard supporting public disclosure of corporations’ business activities </w:t>
      </w:r>
      <w:r w:rsidRPr="00196EF5">
        <w:rPr>
          <w:u w:val="single"/>
        </w:rPr>
        <w:t>and</w:t>
      </w:r>
      <w:r>
        <w:t xml:space="preserve"> tax payments on a </w:t>
      </w:r>
      <w:proofErr w:type="spellStart"/>
      <w:r>
        <w:t>CbC</w:t>
      </w:r>
      <w:proofErr w:type="spellEnd"/>
      <w:r>
        <w:t xml:space="preserve"> basis. </w:t>
      </w:r>
    </w:p>
    <w:p w14:paraId="614E2D84" w14:textId="5FE3AFD8" w:rsidR="00262878" w:rsidRDefault="00262878" w:rsidP="00262878">
      <w:r>
        <w:t>From a tax perspective, the GRI</w:t>
      </w:r>
      <w:r w:rsidR="00B60679">
        <w:t xml:space="preserve"> Tax Standard</w:t>
      </w:r>
      <w:r>
        <w:t xml:space="preserve"> is designed specifically to improve tax transparency through </w:t>
      </w:r>
      <w:r w:rsidRPr="00A3718C">
        <w:t>quantitative and qualitative disclosures as it relates to the tax affairs of large MNEs</w:t>
      </w:r>
      <w:r>
        <w:t xml:space="preserve"> (see box below). However, the GRI tax standard can be used by entities of all sizes.</w:t>
      </w:r>
    </w:p>
    <w:p w14:paraId="02548395" w14:textId="700150A0" w:rsidR="00262878" w:rsidRDefault="00262878" w:rsidP="00262878">
      <w:r>
        <w:t xml:space="preserve">While the GRI is </w:t>
      </w:r>
      <w:r w:rsidR="00B60679">
        <w:t>voluntary,</w:t>
      </w:r>
      <w:r>
        <w:t xml:space="preserve"> the information reported is </w:t>
      </w:r>
      <w:proofErr w:type="gramStart"/>
      <w:r>
        <w:t>similar to</w:t>
      </w:r>
      <w:proofErr w:type="gramEnd"/>
      <w:r>
        <w:t xml:space="preserve"> the data points listed in the OECD </w:t>
      </w:r>
      <w:proofErr w:type="spellStart"/>
      <w:r>
        <w:t>CbC</w:t>
      </w:r>
      <w:proofErr w:type="spellEnd"/>
      <w:r>
        <w:t xml:space="preserve"> regime</w:t>
      </w:r>
      <w:r w:rsidR="00B60679">
        <w:t>. P</w:t>
      </w:r>
      <w:r>
        <w:t xml:space="preserve">roponents of the GRI tax standard claim that the GRI reporting data is more accessible for the public compared to the OECD’s </w:t>
      </w:r>
      <w:proofErr w:type="spellStart"/>
      <w:r>
        <w:t>CbC</w:t>
      </w:r>
      <w:proofErr w:type="spellEnd"/>
      <w:r>
        <w:t xml:space="preserve"> regime </w:t>
      </w:r>
      <w:r w:rsidR="00B60679">
        <w:t>(</w:t>
      </w:r>
      <w:r>
        <w:t>which is regarded by some as ‘unreadable’ and ‘not for the public’</w:t>
      </w:r>
      <w:r w:rsidR="00B60679">
        <w:t>). T</w:t>
      </w:r>
      <w:r>
        <w:t xml:space="preserve">he assertion is that the raw </w:t>
      </w:r>
      <w:proofErr w:type="spellStart"/>
      <w:r>
        <w:t>CbC</w:t>
      </w:r>
      <w:proofErr w:type="spellEnd"/>
      <w:r>
        <w:t xml:space="preserve"> data released into the public domain, or anonymised aggregated </w:t>
      </w:r>
      <w:proofErr w:type="spellStart"/>
      <w:r>
        <w:t>CbC</w:t>
      </w:r>
      <w:proofErr w:type="spellEnd"/>
      <w:r>
        <w:t xml:space="preserve"> figures </w:t>
      </w:r>
      <w:r w:rsidR="00B60679">
        <w:t>would be</w:t>
      </w:r>
      <w:r>
        <w:t xml:space="preserve"> too difficult to analyse. For this reason, some tax advisors and corporate executives anticipate the GRI reporting standard will gain increasing prevalence in the annual reports of both public and privately held corporations.</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5FE47DDC" w14:textId="77777777" w:rsidTr="00762FA3">
        <w:tc>
          <w:tcPr>
            <w:tcW w:w="5000" w:type="pct"/>
            <w:shd w:val="clear" w:color="auto" w:fill="EEEEEE" w:themeFill="background2"/>
          </w:tcPr>
          <w:p w14:paraId="7F488E31" w14:textId="4B8E6C0A" w:rsidR="00262878" w:rsidRPr="000D1284" w:rsidRDefault="00262878" w:rsidP="00762FA3">
            <w:pPr>
              <w:pStyle w:val="BoxHeading"/>
            </w:pPr>
            <w:r>
              <w:lastRenderedPageBreak/>
              <w:t xml:space="preserve">GRI tax standard: </w:t>
            </w:r>
            <w:proofErr w:type="spellStart"/>
            <w:r>
              <w:t>CbC</w:t>
            </w:r>
            <w:proofErr w:type="spellEnd"/>
            <w:r>
              <w:t xml:space="preserve"> reporting requirements</w:t>
            </w:r>
          </w:p>
          <w:p w14:paraId="1D83EE4F" w14:textId="77777777" w:rsidR="00262878" w:rsidRDefault="00262878" w:rsidP="00762FA3">
            <w:r>
              <w:t xml:space="preserve">The GRI Tax Standard requires the public disclosure of company business activities and tax payments on a country-by-country basis.  </w:t>
            </w:r>
          </w:p>
          <w:p w14:paraId="695A0485" w14:textId="77777777" w:rsidR="00262878" w:rsidRDefault="00262878" w:rsidP="00762FA3">
            <w:r>
              <w:t xml:space="preserve">The GRI tax standard can be used by entities of all sizes. Entities are required to report the following </w:t>
            </w:r>
            <w:proofErr w:type="spellStart"/>
            <w:r>
              <w:t>CbC</w:t>
            </w:r>
            <w:proofErr w:type="spellEnd"/>
            <w:r>
              <w:t xml:space="preserve"> information:</w:t>
            </w:r>
          </w:p>
          <w:p w14:paraId="3D6C4885" w14:textId="77777777" w:rsidR="00262878" w:rsidRDefault="00262878" w:rsidP="00262878">
            <w:pPr>
              <w:pStyle w:val="ListParagraph"/>
              <w:numPr>
                <w:ilvl w:val="0"/>
                <w:numId w:val="25"/>
              </w:numPr>
              <w:ind w:left="624" w:hanging="567"/>
              <w:contextualSpacing w:val="0"/>
            </w:pPr>
            <w:r>
              <w:t>All tax jurisdictions where entities are resident for tax purposes.</w:t>
            </w:r>
          </w:p>
          <w:p w14:paraId="7E26E6DC" w14:textId="77777777" w:rsidR="00262878" w:rsidRDefault="00262878" w:rsidP="00262878">
            <w:pPr>
              <w:pStyle w:val="ListParagraph"/>
              <w:numPr>
                <w:ilvl w:val="0"/>
                <w:numId w:val="25"/>
              </w:numPr>
              <w:ind w:left="626" w:hanging="567"/>
            </w:pPr>
            <w:r>
              <w:t>For each tax jurisdiction reported under (a):</w:t>
            </w:r>
          </w:p>
          <w:p w14:paraId="3573903E" w14:textId="77777777" w:rsidR="00262878" w:rsidRDefault="00262878" w:rsidP="00262878">
            <w:pPr>
              <w:pStyle w:val="Bullet"/>
              <w:numPr>
                <w:ilvl w:val="1"/>
                <w:numId w:val="28"/>
              </w:numPr>
              <w:tabs>
                <w:tab w:val="clear" w:pos="720"/>
                <w:tab w:val="left" w:pos="768"/>
              </w:tabs>
              <w:spacing w:before="60"/>
            </w:pPr>
            <w:r>
              <w:t xml:space="preserve"> names of the resident entities</w:t>
            </w:r>
          </w:p>
          <w:p w14:paraId="2D7159FD" w14:textId="77777777" w:rsidR="00262878" w:rsidRDefault="00262878" w:rsidP="00262878">
            <w:pPr>
              <w:pStyle w:val="Bullet"/>
              <w:numPr>
                <w:ilvl w:val="1"/>
                <w:numId w:val="28"/>
              </w:numPr>
              <w:tabs>
                <w:tab w:val="clear" w:pos="720"/>
                <w:tab w:val="left" w:pos="768"/>
              </w:tabs>
              <w:spacing w:before="60"/>
            </w:pPr>
            <w:r>
              <w:t xml:space="preserve"> primary activities of the organisation</w:t>
            </w:r>
          </w:p>
          <w:p w14:paraId="709612FA" w14:textId="77777777" w:rsidR="00262878" w:rsidRDefault="00262878" w:rsidP="00262878">
            <w:pPr>
              <w:pStyle w:val="Bullet"/>
              <w:numPr>
                <w:ilvl w:val="1"/>
                <w:numId w:val="28"/>
              </w:numPr>
              <w:tabs>
                <w:tab w:val="clear" w:pos="720"/>
                <w:tab w:val="left" w:pos="768"/>
              </w:tabs>
              <w:spacing w:before="60"/>
            </w:pPr>
            <w:r>
              <w:t xml:space="preserve"> number of employees, and the basis of calculation of this number</w:t>
            </w:r>
          </w:p>
          <w:p w14:paraId="4862F961" w14:textId="77777777" w:rsidR="00262878" w:rsidRDefault="00262878" w:rsidP="00262878">
            <w:pPr>
              <w:pStyle w:val="Bullet"/>
              <w:numPr>
                <w:ilvl w:val="1"/>
                <w:numId w:val="28"/>
              </w:numPr>
              <w:tabs>
                <w:tab w:val="clear" w:pos="720"/>
                <w:tab w:val="left" w:pos="768"/>
              </w:tabs>
              <w:spacing w:before="60"/>
            </w:pPr>
            <w:r>
              <w:t xml:space="preserve"> revenues from third-party sales</w:t>
            </w:r>
          </w:p>
          <w:p w14:paraId="1805E21F" w14:textId="77777777" w:rsidR="00262878" w:rsidRDefault="00262878" w:rsidP="00262878">
            <w:pPr>
              <w:pStyle w:val="Bullet"/>
              <w:numPr>
                <w:ilvl w:val="1"/>
                <w:numId w:val="28"/>
              </w:numPr>
              <w:tabs>
                <w:tab w:val="clear" w:pos="720"/>
                <w:tab w:val="left" w:pos="768"/>
              </w:tabs>
              <w:spacing w:before="60"/>
            </w:pPr>
            <w:r>
              <w:t xml:space="preserve"> revenues from intra-group transactions with other tax jurisdictions</w:t>
            </w:r>
          </w:p>
          <w:p w14:paraId="34C0779C" w14:textId="77777777" w:rsidR="00262878" w:rsidRDefault="00262878" w:rsidP="00262878">
            <w:pPr>
              <w:pStyle w:val="Bullet"/>
              <w:numPr>
                <w:ilvl w:val="1"/>
                <w:numId w:val="28"/>
              </w:numPr>
              <w:tabs>
                <w:tab w:val="clear" w:pos="720"/>
                <w:tab w:val="left" w:pos="768"/>
              </w:tabs>
              <w:spacing w:before="60"/>
            </w:pPr>
            <w:r>
              <w:t>profit/loss before tax</w:t>
            </w:r>
          </w:p>
          <w:p w14:paraId="56B965ED" w14:textId="77777777" w:rsidR="00262878" w:rsidRDefault="00262878" w:rsidP="00262878">
            <w:pPr>
              <w:pStyle w:val="Bullet"/>
              <w:numPr>
                <w:ilvl w:val="1"/>
                <w:numId w:val="28"/>
              </w:numPr>
              <w:tabs>
                <w:tab w:val="clear" w:pos="720"/>
                <w:tab w:val="left" w:pos="768"/>
              </w:tabs>
              <w:spacing w:before="60"/>
            </w:pPr>
            <w:r>
              <w:t>tangible assets other than cash and cash equivalents</w:t>
            </w:r>
          </w:p>
          <w:p w14:paraId="21880F2A" w14:textId="77777777" w:rsidR="00262878" w:rsidRDefault="00262878" w:rsidP="00262878">
            <w:pPr>
              <w:pStyle w:val="Bullet"/>
              <w:numPr>
                <w:ilvl w:val="1"/>
                <w:numId w:val="28"/>
              </w:numPr>
              <w:tabs>
                <w:tab w:val="clear" w:pos="720"/>
                <w:tab w:val="left" w:pos="768"/>
              </w:tabs>
              <w:spacing w:before="60"/>
            </w:pPr>
            <w:r>
              <w:t>corporate income tax paid on a cash basis</w:t>
            </w:r>
          </w:p>
          <w:p w14:paraId="7BBA7E78" w14:textId="77777777" w:rsidR="00262878" w:rsidRDefault="00262878" w:rsidP="00262878">
            <w:pPr>
              <w:pStyle w:val="Bullet"/>
              <w:numPr>
                <w:ilvl w:val="1"/>
                <w:numId w:val="28"/>
              </w:numPr>
              <w:tabs>
                <w:tab w:val="clear" w:pos="720"/>
                <w:tab w:val="left" w:pos="768"/>
              </w:tabs>
              <w:spacing w:before="60"/>
            </w:pPr>
            <w:r>
              <w:t>corporate income tax accrued on profit/loss</w:t>
            </w:r>
          </w:p>
          <w:p w14:paraId="3C92B4FC" w14:textId="77777777" w:rsidR="00262878" w:rsidRDefault="00262878" w:rsidP="00262878">
            <w:pPr>
              <w:pStyle w:val="Bullet"/>
              <w:numPr>
                <w:ilvl w:val="1"/>
                <w:numId w:val="28"/>
              </w:numPr>
              <w:tabs>
                <w:tab w:val="clear" w:pos="720"/>
                <w:tab w:val="clear" w:pos="1040"/>
                <w:tab w:val="num" w:pos="768"/>
              </w:tabs>
              <w:spacing w:before="60"/>
              <w:ind w:left="768" w:hanging="248"/>
            </w:pPr>
            <w:r>
              <w:t>reasons for the difference between corporate income tax accrued on profit/loss and the tax due if the statutory tax rate is applied to profit/loss before tax</w:t>
            </w:r>
          </w:p>
          <w:p w14:paraId="6335F6E5" w14:textId="77777777" w:rsidR="00262878" w:rsidRDefault="00262878" w:rsidP="00762FA3">
            <w:r>
              <w:t xml:space="preserve">In addition, the GRI tax standard requires reporting on “Management approach to disclosures” which includes: </w:t>
            </w:r>
          </w:p>
          <w:p w14:paraId="284D96BE" w14:textId="77777777" w:rsidR="00262878" w:rsidRDefault="00262878" w:rsidP="00762FA3">
            <w:pPr>
              <w:spacing w:before="60" w:after="0"/>
            </w:pPr>
            <w:r>
              <w:t>•</w:t>
            </w:r>
            <w:r>
              <w:tab/>
              <w:t>Approach to tax</w:t>
            </w:r>
          </w:p>
          <w:p w14:paraId="439CD1E9" w14:textId="77777777" w:rsidR="00262878" w:rsidRDefault="00262878" w:rsidP="00762FA3">
            <w:pPr>
              <w:spacing w:before="60" w:after="0"/>
            </w:pPr>
            <w:r>
              <w:t>•</w:t>
            </w:r>
            <w:r>
              <w:tab/>
              <w:t>Tax governance, control, and risk management</w:t>
            </w:r>
          </w:p>
          <w:p w14:paraId="722DBE25" w14:textId="77777777" w:rsidR="00262878" w:rsidRPr="000D1284" w:rsidRDefault="00262878" w:rsidP="00762FA3">
            <w:pPr>
              <w:spacing w:before="60" w:after="0"/>
            </w:pPr>
            <w:r>
              <w:t>•</w:t>
            </w:r>
            <w:r>
              <w:tab/>
              <w:t>Stakeholder engagement and management of concerns related to tax.</w:t>
            </w:r>
          </w:p>
        </w:tc>
      </w:tr>
    </w:tbl>
    <w:p w14:paraId="5BBD5AD4" w14:textId="77777777" w:rsidR="00262878" w:rsidRDefault="00262878" w:rsidP="00262878"/>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130C7766" w14:textId="77777777" w:rsidTr="00762FA3">
        <w:tc>
          <w:tcPr>
            <w:tcW w:w="5000" w:type="pct"/>
            <w:shd w:val="clear" w:color="auto" w:fill="EEEEEE" w:themeFill="background2"/>
          </w:tcPr>
          <w:p w14:paraId="0A52652A" w14:textId="77777777" w:rsidR="00262878" w:rsidRPr="000D1284" w:rsidRDefault="00262878" w:rsidP="00762FA3">
            <w:pPr>
              <w:pStyle w:val="BoxHeading"/>
            </w:pPr>
            <w:r>
              <w:lastRenderedPageBreak/>
              <w:t>Questions</w:t>
            </w:r>
          </w:p>
          <w:p w14:paraId="15FFB030" w14:textId="77777777" w:rsidR="00262878" w:rsidRDefault="00262878" w:rsidP="000D40FB">
            <w:pPr>
              <w:pStyle w:val="BoxText"/>
              <w:numPr>
                <w:ilvl w:val="0"/>
                <w:numId w:val="36"/>
              </w:numPr>
              <w:ind w:left="484" w:hanging="425"/>
            </w:pPr>
            <w:r>
              <w:t xml:space="preserve">Should the GRI tax standard be used as a basis for Australia to mandate MNE public </w:t>
            </w:r>
            <w:proofErr w:type="spellStart"/>
            <w:r>
              <w:t>CbC</w:t>
            </w:r>
            <w:proofErr w:type="spellEnd"/>
            <w:r>
              <w:t xml:space="preserve"> reporting? If so, why?</w:t>
            </w:r>
          </w:p>
          <w:p w14:paraId="612B062B" w14:textId="459AA03C" w:rsidR="00F27E0D" w:rsidRDefault="00262878" w:rsidP="00262878">
            <w:pPr>
              <w:pStyle w:val="BoxText"/>
              <w:numPr>
                <w:ilvl w:val="7"/>
                <w:numId w:val="14"/>
              </w:numPr>
              <w:ind w:left="909"/>
            </w:pPr>
            <w:r>
              <w:t xml:space="preserve">What sorts of entities (based on revenue or entity structure) should this </w:t>
            </w:r>
            <w:r w:rsidR="0057516C">
              <w:t xml:space="preserve">mandate </w:t>
            </w:r>
            <w:r>
              <w:t>apply to?</w:t>
            </w:r>
          </w:p>
          <w:p w14:paraId="3F3DCED4" w14:textId="63256B9D" w:rsidR="00262878" w:rsidRDefault="00F27E0D" w:rsidP="004C5E4C">
            <w:pPr>
              <w:pStyle w:val="BoxText"/>
              <w:numPr>
                <w:ilvl w:val="7"/>
                <w:numId w:val="14"/>
              </w:numPr>
              <w:ind w:left="909"/>
            </w:pPr>
            <w:r>
              <w:t xml:space="preserve">Please provide details of any compliance costs associated with </w:t>
            </w:r>
            <w:r w:rsidR="00262878">
              <w:t xml:space="preserve">adopting the GRI tax standard approach to public </w:t>
            </w:r>
            <w:proofErr w:type="spellStart"/>
            <w:r w:rsidR="003F55A6">
              <w:t>CbC</w:t>
            </w:r>
            <w:proofErr w:type="spellEnd"/>
            <w:r w:rsidR="003F55A6">
              <w:t xml:space="preserve"> </w:t>
            </w:r>
            <w:r w:rsidR="00262878">
              <w:t>reporting</w:t>
            </w:r>
            <w:r>
              <w:t>.</w:t>
            </w:r>
            <w:r w:rsidR="00262878">
              <w:t xml:space="preserve"> </w:t>
            </w:r>
          </w:p>
          <w:p w14:paraId="41346B7D" w14:textId="77777777" w:rsidR="00262878" w:rsidRPr="0040680B" w:rsidRDefault="00262878" w:rsidP="000D40FB">
            <w:pPr>
              <w:pStyle w:val="BoxText"/>
              <w:numPr>
                <w:ilvl w:val="0"/>
                <w:numId w:val="36"/>
              </w:numPr>
              <w:ind w:left="484" w:hanging="425"/>
            </w:pPr>
            <w:r>
              <w:t xml:space="preserve">If the GRI standard was used as a basis for mandating </w:t>
            </w:r>
            <w:proofErr w:type="spellStart"/>
            <w:r>
              <w:t>CbC</w:t>
            </w:r>
            <w:proofErr w:type="spellEnd"/>
            <w:r>
              <w:t xml:space="preserve"> reporting in Australia, are there additional tax disclosures that MNEs should be required to report, such as related party expenses, intangible assets, deferred </w:t>
            </w:r>
            <w:proofErr w:type="gramStart"/>
            <w:r>
              <w:t>tax</w:t>
            </w:r>
            <w:proofErr w:type="gramEnd"/>
            <w:r>
              <w:t xml:space="preserve"> and effective tax rate (ETR) per jurisdiction?</w:t>
            </w:r>
          </w:p>
        </w:tc>
      </w:tr>
    </w:tbl>
    <w:p w14:paraId="604D477D" w14:textId="77777777" w:rsidR="00262878" w:rsidRDefault="00262878" w:rsidP="00262878">
      <w:pPr>
        <w:pStyle w:val="Heading3"/>
      </w:pPr>
      <w:bookmarkStart w:id="46" w:name="_Toc110583156"/>
      <w:bookmarkStart w:id="47" w:name="_Toc107909255"/>
      <w:r>
        <w:t>(Voluntary) Tax Transparency Code</w:t>
      </w:r>
      <w:bookmarkEnd w:id="46"/>
    </w:p>
    <w:p w14:paraId="0FBC7289" w14:textId="5F6A8165" w:rsidR="00262878" w:rsidRDefault="00262878" w:rsidP="00262878">
      <w:r w:rsidRPr="0040680B">
        <w:t>The </w:t>
      </w:r>
      <w:hyperlink r:id="rId30" w:history="1">
        <w:r w:rsidRPr="0040680B">
          <w:t>Tax Transparency Code</w:t>
        </w:r>
      </w:hyperlink>
      <w:r w:rsidRPr="0040680B">
        <w:t xml:space="preserve"> is a set of principles and ‘minimum standards’ to guide disclosure of tax information by businesses. </w:t>
      </w:r>
      <w:r>
        <w:t>T</w:t>
      </w:r>
      <w:r w:rsidRPr="0040680B">
        <w:t xml:space="preserve">he </w:t>
      </w:r>
      <w:r>
        <w:t>Code,</w:t>
      </w:r>
      <w:r w:rsidRPr="0040680B">
        <w:t xml:space="preserve"> developed by the Board of Taxation</w:t>
      </w:r>
      <w:r>
        <w:t>, is intended:</w:t>
      </w:r>
    </w:p>
    <w:p w14:paraId="4B82A95E" w14:textId="5774DFE1" w:rsidR="00262878" w:rsidRDefault="00262878" w:rsidP="00262878">
      <w:pPr>
        <w:pStyle w:val="Bullet"/>
        <w:numPr>
          <w:ilvl w:val="0"/>
          <w:numId w:val="14"/>
        </w:numPr>
      </w:pPr>
      <w:r>
        <w:t>t</w:t>
      </w:r>
      <w:r w:rsidRPr="0040680B">
        <w:t>o encourage large and medium-sized businesses to publicly disclose their tax affairs to highlight those that are paying their fair share and to encourage all businesses not to engage in aggressive tax avoidance; and</w:t>
      </w:r>
    </w:p>
    <w:p w14:paraId="6EA84C71" w14:textId="77777777" w:rsidR="00262878" w:rsidRPr="0040680B" w:rsidRDefault="00262878" w:rsidP="00262878">
      <w:pPr>
        <w:pStyle w:val="Bullet"/>
        <w:numPr>
          <w:ilvl w:val="0"/>
          <w:numId w:val="14"/>
        </w:numPr>
      </w:pPr>
      <w:r>
        <w:t>f</w:t>
      </w:r>
      <w:r w:rsidRPr="0040680B">
        <w:t>or large businesses to take the lead, to become more transparent and help educate the public about their compliance with Australia’s tax laws.</w:t>
      </w:r>
    </w:p>
    <w:p w14:paraId="49898E53" w14:textId="618DFEC3" w:rsidR="00262878" w:rsidRDefault="001A752A" w:rsidP="00262878">
      <w:r>
        <w:t>At the time of this paper</w:t>
      </w:r>
      <w:r w:rsidR="00262878">
        <w:t xml:space="preserve">, there are approximately </w:t>
      </w:r>
      <w:r>
        <w:t xml:space="preserve">203 </w:t>
      </w:r>
      <w:r w:rsidR="00262878">
        <w:t xml:space="preserve">signatories to the Code, and of these, around </w:t>
      </w:r>
      <w:r>
        <w:t xml:space="preserve">198 </w:t>
      </w:r>
      <w:r w:rsidR="00262878">
        <w:t xml:space="preserve">have published at least one report in accordance with the Code. </w:t>
      </w:r>
      <w:r w:rsidR="00262878" w:rsidRPr="001A752A">
        <w:t>However,</w:t>
      </w:r>
      <w:r w:rsidR="00262878">
        <w:t xml:space="preserve"> generally there has been low uptake of the Code, particularly by Australian subsidiaries of foreign companies. </w:t>
      </w:r>
    </w:p>
    <w:p w14:paraId="3D25E8FC" w14:textId="1F736A84" w:rsidR="00262878" w:rsidRPr="0040680B" w:rsidRDefault="00262878" w:rsidP="00262878">
      <w:pPr>
        <w:rPr>
          <w:rFonts w:asciiTheme="minorHAnsi" w:hAnsiTheme="minorHAnsi"/>
        </w:rPr>
      </w:pPr>
      <w:r w:rsidRPr="001A752A" w:rsidDel="009A4206">
        <w:t>However,</w:t>
      </w:r>
      <w:r w:rsidDel="009A4206">
        <w:t xml:space="preserve"> </w:t>
      </w:r>
      <w:r>
        <w:t xml:space="preserve">if the Code was mandated, </w:t>
      </w:r>
      <w:r w:rsidR="001A752A">
        <w:t xml:space="preserve">the </w:t>
      </w:r>
      <w:r>
        <w:t xml:space="preserve">approach would retain existing qualitative and quantitative disclosures required under the Code, while applying a higher threshold for </w:t>
      </w:r>
      <w:proofErr w:type="spellStart"/>
      <w:r>
        <w:t>CbC</w:t>
      </w:r>
      <w:proofErr w:type="spellEnd"/>
      <w:r>
        <w:t xml:space="preserve"> reporting from large MNEs (they should already have this data due to their OECD </w:t>
      </w:r>
      <w:proofErr w:type="spellStart"/>
      <w:r>
        <w:t>CbC</w:t>
      </w:r>
      <w:proofErr w:type="spellEnd"/>
      <w:r>
        <w:t xml:space="preserve"> reporting requirements). </w:t>
      </w:r>
    </w:p>
    <w:p w14:paraId="7267D56C" w14:textId="77777777" w:rsidR="00262878" w:rsidRDefault="00262878" w:rsidP="00262878"/>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7124D561" w14:textId="77777777" w:rsidTr="00762FA3">
        <w:tc>
          <w:tcPr>
            <w:tcW w:w="5000" w:type="pct"/>
            <w:shd w:val="clear" w:color="auto" w:fill="EEEEEE" w:themeFill="background2"/>
          </w:tcPr>
          <w:p w14:paraId="14739430" w14:textId="77777777" w:rsidR="00262878" w:rsidRPr="000D1284" w:rsidRDefault="00262878" w:rsidP="00762FA3">
            <w:pPr>
              <w:pStyle w:val="BoxHeading"/>
            </w:pPr>
            <w:r>
              <w:lastRenderedPageBreak/>
              <w:t>Questions</w:t>
            </w:r>
          </w:p>
          <w:p w14:paraId="3108A3F8" w14:textId="77777777" w:rsidR="00262878" w:rsidRDefault="00262878" w:rsidP="000D40FB">
            <w:pPr>
              <w:pStyle w:val="BoxText"/>
              <w:numPr>
                <w:ilvl w:val="0"/>
                <w:numId w:val="37"/>
              </w:numPr>
              <w:ind w:left="484" w:hanging="425"/>
            </w:pPr>
            <w:r>
              <w:t xml:space="preserve">Would legislating the Tax Transparency Code to include </w:t>
            </w:r>
            <w:proofErr w:type="spellStart"/>
            <w:r>
              <w:t>CbC</w:t>
            </w:r>
            <w:proofErr w:type="spellEnd"/>
            <w:r>
              <w:t xml:space="preserve"> reporting provide a suitable basis for a mandatory transparency reporting framework? If so, why?</w:t>
            </w:r>
          </w:p>
          <w:p w14:paraId="33873337" w14:textId="5C075E0E" w:rsidR="00262878" w:rsidRDefault="00262878" w:rsidP="006F4F59">
            <w:pPr>
              <w:pStyle w:val="BoxText"/>
              <w:numPr>
                <w:ilvl w:val="1"/>
                <w:numId w:val="37"/>
              </w:numPr>
              <w:ind w:left="909" w:hanging="425"/>
            </w:pPr>
            <w:r>
              <w:t xml:space="preserve">What sorts of entities (based on revenue or entity structure) should </w:t>
            </w:r>
            <w:r w:rsidR="008C0CC0">
              <w:t>this mandate a</w:t>
            </w:r>
            <w:r>
              <w:t xml:space="preserve">pply to? </w:t>
            </w:r>
          </w:p>
          <w:p w14:paraId="3F9C2BE1" w14:textId="6508DF99" w:rsidR="006F4F59" w:rsidRDefault="006F4F59" w:rsidP="006F4F59">
            <w:pPr>
              <w:pStyle w:val="BoxText"/>
              <w:numPr>
                <w:ilvl w:val="1"/>
                <w:numId w:val="37"/>
              </w:numPr>
              <w:ind w:left="909" w:hanging="425"/>
            </w:pPr>
            <w:r>
              <w:t xml:space="preserve">Please provide details of any compliance costs associated with adopting the Tax Transparency Code </w:t>
            </w:r>
            <w:r w:rsidR="00620B10">
              <w:t>for</w:t>
            </w:r>
            <w:r>
              <w:t xml:space="preserve"> public </w:t>
            </w:r>
            <w:proofErr w:type="spellStart"/>
            <w:r w:rsidR="003F55A6">
              <w:t>CbC</w:t>
            </w:r>
            <w:proofErr w:type="spellEnd"/>
            <w:r w:rsidR="003F55A6">
              <w:t xml:space="preserve"> </w:t>
            </w:r>
            <w:r>
              <w:t>reporting.</w:t>
            </w:r>
          </w:p>
          <w:p w14:paraId="6680AAC9" w14:textId="26978D7B" w:rsidR="00262878" w:rsidRPr="000D1284" w:rsidRDefault="00262878" w:rsidP="000D40FB">
            <w:pPr>
              <w:pStyle w:val="BoxText"/>
              <w:numPr>
                <w:ilvl w:val="0"/>
                <w:numId w:val="37"/>
              </w:numPr>
              <w:ind w:left="484" w:hanging="425"/>
            </w:pPr>
            <w:r>
              <w:t xml:space="preserve">If the Tax Transparency Code was used as a basis for mandating </w:t>
            </w:r>
            <w:proofErr w:type="spellStart"/>
            <w:r>
              <w:t>CbC</w:t>
            </w:r>
            <w:proofErr w:type="spellEnd"/>
            <w:r>
              <w:t xml:space="preserve"> reporting in Australia, are there additional tax disclosures that MNEs should be required to report, such as </w:t>
            </w:r>
            <w:r w:rsidRPr="00A3718C">
              <w:t xml:space="preserve">related party expenses, intangible assets, deferred </w:t>
            </w:r>
            <w:proofErr w:type="gramStart"/>
            <w:r w:rsidRPr="00A3718C">
              <w:t>tax</w:t>
            </w:r>
            <w:proofErr w:type="gramEnd"/>
            <w:r w:rsidRPr="00A3718C">
              <w:t xml:space="preserve"> and effective tax rate (ETR) per jurisdiction</w:t>
            </w:r>
            <w:r w:rsidR="00B72A9E">
              <w:t>?</w:t>
            </w:r>
          </w:p>
        </w:tc>
      </w:tr>
    </w:tbl>
    <w:p w14:paraId="2D1AEDD0" w14:textId="77777777" w:rsidR="00262878" w:rsidRDefault="00262878" w:rsidP="00262878"/>
    <w:p w14:paraId="20BBA9AE" w14:textId="77777777" w:rsidR="00262878" w:rsidRDefault="00262878" w:rsidP="00262878">
      <w:pPr>
        <w:pStyle w:val="Heading2"/>
      </w:pPr>
      <w:bookmarkStart w:id="48" w:name="_Toc110583157"/>
      <w:r>
        <w:t xml:space="preserve">Standardised public </w:t>
      </w:r>
      <w:proofErr w:type="spellStart"/>
      <w:r>
        <w:t>CbC</w:t>
      </w:r>
      <w:proofErr w:type="spellEnd"/>
      <w:r>
        <w:t xml:space="preserve"> reporting</w:t>
      </w:r>
      <w:bookmarkEnd w:id="47"/>
      <w:bookmarkEnd w:id="48"/>
    </w:p>
    <w:p w14:paraId="5A693115" w14:textId="6016A8FC" w:rsidR="00262878" w:rsidRDefault="00262878" w:rsidP="00262878">
      <w:r>
        <w:t xml:space="preserve">One of the challenges </w:t>
      </w:r>
      <w:r w:rsidR="007B49E0">
        <w:t>of</w:t>
      </w:r>
      <w:r w:rsidDel="007B49E0">
        <w:t xml:space="preserve"> </w:t>
      </w:r>
      <w:r>
        <w:t>shift</w:t>
      </w:r>
      <w:r w:rsidR="007B49E0">
        <w:t>ing</w:t>
      </w:r>
      <w:r>
        <w:t xml:space="preserve"> to greater tax transparency is to limit </w:t>
      </w:r>
      <w:r w:rsidRPr="00E21407">
        <w:t>unintended consequences</w:t>
      </w:r>
      <w:r>
        <w:t xml:space="preserve">, such that the initiatives become </w:t>
      </w:r>
      <w:r w:rsidRPr="00E21407">
        <w:t>counterproductive</w:t>
      </w:r>
      <w:r>
        <w:t xml:space="preserve"> (</w:t>
      </w:r>
      <w:proofErr w:type="gramStart"/>
      <w:r>
        <w:t>e.g.</w:t>
      </w:r>
      <w:proofErr w:type="gramEnd"/>
      <w:r>
        <w:t xml:space="preserve"> allowing MNEs to report selective information or using different formats</w:t>
      </w:r>
      <w:r w:rsidR="00DC7BC1">
        <w:t>) detracting</w:t>
      </w:r>
      <w:r>
        <w:t xml:space="preserve"> from accountability and public scrutiny/analysis</w:t>
      </w:r>
      <w:r w:rsidRPr="00E21407">
        <w:t xml:space="preserve">. </w:t>
      </w:r>
      <w:r>
        <w:t>This needs to be balanced against imposing unnecessary compliance costs.</w:t>
      </w:r>
    </w:p>
    <w:p w14:paraId="108CC74D" w14:textId="7903BC79" w:rsidR="00262878" w:rsidRDefault="00262878" w:rsidP="00262878">
      <w:r>
        <w:t>Australian MNE tax information is currently not easily accessible as reported information is published in different places – the ATO website, data.gov.au and companies’ websites. This means that the public is required to navigate between different information sources to understand an entity’s tax position. In addition, the information within these published reports and the income years to which they apply can differ</w:t>
      </w:r>
      <w:r w:rsidR="00883066">
        <w:t>,</w:t>
      </w:r>
      <w:r>
        <w:t xml:space="preserve"> which makes analysis and capacity to draw comparisons difficult. </w:t>
      </w:r>
      <w:r w:rsidRPr="00A3718C">
        <w:t>Th</w:t>
      </w:r>
      <w:r>
        <w:t>is is a longstanding issue – th</w:t>
      </w:r>
      <w:r w:rsidRPr="00A3718C">
        <w:t xml:space="preserve">e 2010 Henry Review </w:t>
      </w:r>
      <w:r>
        <w:t>identified this as an issue, recommending that</w:t>
      </w:r>
      <w:r w:rsidRPr="00A3718C">
        <w:t xml:space="preserve"> tax information</w:t>
      </w:r>
      <w:r>
        <w:t xml:space="preserve"> be </w:t>
      </w:r>
      <w:r w:rsidRPr="00497A12">
        <w:t>collect</w:t>
      </w:r>
      <w:r>
        <w:t>ed</w:t>
      </w:r>
      <w:r w:rsidRPr="00497A12">
        <w:t xml:space="preserve"> according to consistent and transparent classifications and concepts</w:t>
      </w:r>
      <w:r>
        <w:t>,</w:t>
      </w:r>
      <w:r w:rsidRPr="00497A12">
        <w:t xml:space="preserve"> </w:t>
      </w:r>
      <w:r>
        <w:t>and made</w:t>
      </w:r>
      <w:r w:rsidRPr="00A3718C">
        <w:t xml:space="preserve"> freely available for analysis and research</w:t>
      </w:r>
      <w:r>
        <w:t>.</w:t>
      </w:r>
    </w:p>
    <w:p w14:paraId="03C69231" w14:textId="3B2EABEA" w:rsidR="00262878" w:rsidRDefault="00262878" w:rsidP="00262878">
      <w:r>
        <w:t xml:space="preserve">Ensuring that data reporting is standardised, publicly accessible and readable will support quantitative benchmarking of an entity’s behaviour using consistent information, such that increased </w:t>
      </w:r>
      <w:r w:rsidRPr="00720BD6">
        <w:t>tax transparen</w:t>
      </w:r>
      <w:r>
        <w:t>cy from</w:t>
      </w:r>
      <w:r w:rsidRPr="00720BD6">
        <w:t xml:space="preserve"> MN</w:t>
      </w:r>
      <w:r>
        <w:t>Es</w:t>
      </w:r>
      <w:r w:rsidRPr="00720BD6">
        <w:t xml:space="preserve"> </w:t>
      </w:r>
      <w:r>
        <w:t>limits</w:t>
      </w:r>
      <w:r w:rsidRPr="00720BD6">
        <w:t xml:space="preserve"> aggressive tax planning</w:t>
      </w:r>
      <w:r>
        <w:t xml:space="preserve">. </w:t>
      </w:r>
    </w:p>
    <w:p w14:paraId="73E324A2" w14:textId="77777777" w:rsidR="00262878" w:rsidRDefault="00262878" w:rsidP="00262878">
      <w:r>
        <w:t xml:space="preserve">Other countries’ approaches to public reporting can be informative in this regard. For example, environmental hazard reporting in the US mandates </w:t>
      </w:r>
      <w:r w:rsidRPr="00840188">
        <w:t>disclosure</w:t>
      </w:r>
      <w:r>
        <w:t xml:space="preserve"> by companies</w:t>
      </w:r>
      <w:r w:rsidRPr="00840188">
        <w:t xml:space="preserve"> in </w:t>
      </w:r>
      <w:r>
        <w:t xml:space="preserve">a </w:t>
      </w:r>
      <w:r w:rsidRPr="00840188">
        <w:t xml:space="preserve">standardised format of </w:t>
      </w:r>
      <w:r>
        <w:t>certain</w:t>
      </w:r>
      <w:r w:rsidRPr="00840188">
        <w:t xml:space="preserve"> toxic chemicals released into the </w:t>
      </w:r>
      <w:r>
        <w:t>environment</w:t>
      </w:r>
      <w:r w:rsidRPr="00840188">
        <w:t xml:space="preserve">. </w:t>
      </w:r>
      <w:r>
        <w:t>The US</w:t>
      </w:r>
      <w:r w:rsidRPr="00840188">
        <w:t xml:space="preserve"> </w:t>
      </w:r>
      <w:r>
        <w:t xml:space="preserve">Environmental Protection Agency administers a ‘Toxics Release Inventory’ – </w:t>
      </w:r>
      <w:r w:rsidRPr="00840188">
        <w:t>a</w:t>
      </w:r>
      <w:r>
        <w:t>n online</w:t>
      </w:r>
      <w:r w:rsidRPr="00840188">
        <w:t xml:space="preserve"> database accessible to the public</w:t>
      </w:r>
      <w:r>
        <w:t xml:space="preserve"> – that serves </w:t>
      </w:r>
      <w:r w:rsidRPr="00840188">
        <w:t xml:space="preserve">as a market-based incentive to change corporate behaviour </w:t>
      </w:r>
      <w:r>
        <w:t>in line with</w:t>
      </w:r>
      <w:r w:rsidRPr="00840188">
        <w:t xml:space="preserve"> minimum regulatory </w:t>
      </w:r>
      <w:r>
        <w:t xml:space="preserve">(and community) </w:t>
      </w:r>
      <w:r w:rsidRPr="00840188">
        <w:t>standard</w:t>
      </w:r>
      <w:r>
        <w:t>s.</w:t>
      </w:r>
    </w:p>
    <w:p w14:paraId="6C015BF3" w14:textId="08860056" w:rsidR="00262878" w:rsidRDefault="00262878" w:rsidP="00262878">
      <w:r>
        <w:t>While</w:t>
      </w:r>
      <w:r w:rsidRPr="00CF11ED">
        <w:t xml:space="preserve"> some companies already voluntar</w:t>
      </w:r>
      <w:r>
        <w:t>il</w:t>
      </w:r>
      <w:r w:rsidRPr="00CF11ED">
        <w:t>y disclos</w:t>
      </w:r>
      <w:r>
        <w:t>e</w:t>
      </w:r>
      <w:r w:rsidRPr="00CF11ED">
        <w:t xml:space="preserve"> tax information on a </w:t>
      </w:r>
      <w:proofErr w:type="spellStart"/>
      <w:r>
        <w:t>CbC</w:t>
      </w:r>
      <w:proofErr w:type="spellEnd"/>
      <w:r>
        <w:t xml:space="preserve"> bas</w:t>
      </w:r>
      <w:r w:rsidRPr="00CF11ED">
        <w:t xml:space="preserve">is (some even do project-by-project basis) via their taxes paid reports (prepared in accordance with the voluntary Tax Transparency Code and other transparency </w:t>
      </w:r>
      <w:r>
        <w:t>regime</w:t>
      </w:r>
      <w:r w:rsidRPr="00CF11ED">
        <w:t xml:space="preserve"> the entity is exposed to)</w:t>
      </w:r>
      <w:r>
        <w:t xml:space="preserve">, ensuring a consistent standard will be important for achieving the Government’s policy intent. </w:t>
      </w:r>
      <w:r w:rsidRPr="00CF11ED">
        <w:t xml:space="preserve"> </w:t>
      </w:r>
      <w:r>
        <w:t xml:space="preserve">   </w:t>
      </w:r>
    </w:p>
    <w:p w14:paraId="0B317849" w14:textId="77777777" w:rsidR="00262878" w:rsidRDefault="00262878" w:rsidP="00262878"/>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1CAC42F1" w14:textId="77777777" w:rsidTr="00762FA3">
        <w:tc>
          <w:tcPr>
            <w:tcW w:w="5000" w:type="pct"/>
            <w:shd w:val="clear" w:color="auto" w:fill="EEEEEE" w:themeFill="background2"/>
          </w:tcPr>
          <w:p w14:paraId="03E03781" w14:textId="77777777" w:rsidR="00262878" w:rsidRPr="000D1284" w:rsidRDefault="00262878" w:rsidP="00762FA3">
            <w:pPr>
              <w:pStyle w:val="BoxHeading"/>
            </w:pPr>
            <w:r>
              <w:lastRenderedPageBreak/>
              <w:t>Questions</w:t>
            </w:r>
          </w:p>
          <w:p w14:paraId="4BBDFF11" w14:textId="77777777" w:rsidR="00262878" w:rsidRPr="00711896" w:rsidRDefault="00262878" w:rsidP="000D40FB">
            <w:pPr>
              <w:pStyle w:val="BoxText"/>
              <w:numPr>
                <w:ilvl w:val="0"/>
                <w:numId w:val="37"/>
              </w:numPr>
              <w:ind w:left="484" w:hanging="425"/>
            </w:pPr>
            <w:r w:rsidRPr="00711896">
              <w:t xml:space="preserve">How should entities be required to publicly report their </w:t>
            </w:r>
            <w:proofErr w:type="spellStart"/>
            <w:r w:rsidRPr="00711896">
              <w:t>CbC</w:t>
            </w:r>
            <w:proofErr w:type="spellEnd"/>
            <w:r w:rsidRPr="00711896">
              <w:t xml:space="preserve"> information? Would publication in their annual report be adequate? Should this </w:t>
            </w:r>
            <w:proofErr w:type="spellStart"/>
            <w:r w:rsidRPr="00711896">
              <w:t>CbC</w:t>
            </w:r>
            <w:proofErr w:type="spellEnd"/>
            <w:r w:rsidRPr="00711896">
              <w:t xml:space="preserve"> data be verifi</w:t>
            </w:r>
            <w:r>
              <w:t xml:space="preserve">able </w:t>
            </w:r>
            <w:r w:rsidRPr="00711896">
              <w:t>(via independent audit, certification letter from CFO</w:t>
            </w:r>
            <w:r>
              <w:t>, reconcilable with financial accounts</w:t>
            </w:r>
            <w:r w:rsidRPr="00711896">
              <w:t xml:space="preserve"> etc)?</w:t>
            </w:r>
          </w:p>
          <w:p w14:paraId="52EF19A6" w14:textId="2272C472" w:rsidR="00262878" w:rsidRDefault="00262878" w:rsidP="000D40FB">
            <w:pPr>
              <w:pStyle w:val="BoxText"/>
              <w:numPr>
                <w:ilvl w:val="0"/>
                <w:numId w:val="37"/>
              </w:numPr>
              <w:ind w:left="484" w:hanging="425"/>
            </w:pPr>
            <w:r>
              <w:t xml:space="preserve">What role should Government play in reviewing, </w:t>
            </w:r>
            <w:proofErr w:type="gramStart"/>
            <w:r>
              <w:t>publishing</w:t>
            </w:r>
            <w:proofErr w:type="gramEnd"/>
            <w:r>
              <w:t xml:space="preserve"> and aggregated analysis of country-by-country data?  </w:t>
            </w:r>
          </w:p>
          <w:p w14:paraId="39B7D36A" w14:textId="0F82666C" w:rsidR="00262878" w:rsidRDefault="00262878" w:rsidP="000D40FB">
            <w:pPr>
              <w:pStyle w:val="BoxText"/>
              <w:numPr>
                <w:ilvl w:val="0"/>
                <w:numId w:val="37"/>
              </w:numPr>
              <w:ind w:left="484" w:hanging="425"/>
            </w:pPr>
            <w:r>
              <w:t xml:space="preserve">What is the most appropriate way to ensure consistent (standard) reporting </w:t>
            </w:r>
            <w:r w:rsidDel="009315C7">
              <w:t xml:space="preserve">by MNEs </w:t>
            </w:r>
            <w:r>
              <w:t xml:space="preserve">of their public </w:t>
            </w:r>
            <w:proofErr w:type="spellStart"/>
            <w:r>
              <w:t>CbC</w:t>
            </w:r>
            <w:proofErr w:type="spellEnd"/>
            <w:r>
              <w:t xml:space="preserve"> information?</w:t>
            </w:r>
          </w:p>
          <w:p w14:paraId="5C3668BE" w14:textId="77777777" w:rsidR="00262878" w:rsidRDefault="00262878" w:rsidP="000D40FB">
            <w:pPr>
              <w:pStyle w:val="BoxText"/>
              <w:numPr>
                <w:ilvl w:val="0"/>
                <w:numId w:val="37"/>
              </w:numPr>
              <w:ind w:left="484" w:hanging="425"/>
            </w:pPr>
            <w:r w:rsidRPr="00D76851">
              <w:t xml:space="preserve">Should the data be reported in a standardised template?  What should this be?  </w:t>
            </w:r>
          </w:p>
          <w:p w14:paraId="2E5D15B2" w14:textId="77777777" w:rsidR="00262878" w:rsidRDefault="00262878" w:rsidP="000D40FB">
            <w:pPr>
              <w:pStyle w:val="BoxText"/>
              <w:numPr>
                <w:ilvl w:val="0"/>
                <w:numId w:val="37"/>
              </w:numPr>
              <w:ind w:left="484" w:hanging="425"/>
            </w:pPr>
            <w:r>
              <w:t xml:space="preserve">When should mandatory tax transparency reports fall due?  For example, should they occur at the same time as annual reports are produced, tax returns lodged, or be staggered to spread compliance burdens?  </w:t>
            </w:r>
          </w:p>
          <w:p w14:paraId="44160AE1" w14:textId="77777777" w:rsidR="00262878" w:rsidRPr="000D1284" w:rsidRDefault="00262878" w:rsidP="000D40FB">
            <w:pPr>
              <w:pStyle w:val="BoxText"/>
              <w:numPr>
                <w:ilvl w:val="0"/>
                <w:numId w:val="37"/>
              </w:numPr>
              <w:ind w:left="484" w:hanging="425"/>
            </w:pPr>
            <w:r>
              <w:t xml:space="preserve">Are there any transitional arrangements that would need to be considered prior to commencement of a legislated reporting requirement? What would these be?  </w:t>
            </w:r>
          </w:p>
        </w:tc>
      </w:tr>
    </w:tbl>
    <w:p w14:paraId="1790CBEE" w14:textId="77777777" w:rsidR="00262878" w:rsidRDefault="00262878" w:rsidP="00262878">
      <w:pPr>
        <w:pStyle w:val="Heading2"/>
      </w:pPr>
      <w:bookmarkStart w:id="49" w:name="_Toc107909256"/>
      <w:bookmarkStart w:id="50" w:name="_Toc110583158"/>
      <w:r w:rsidRPr="007A280C">
        <w:t xml:space="preserve">Mandatory reporting of </w:t>
      </w:r>
      <w:r>
        <w:t>material tax risk</w:t>
      </w:r>
      <w:r w:rsidRPr="007A280C">
        <w:t xml:space="preserve"> to shareholders</w:t>
      </w:r>
      <w:bookmarkEnd w:id="49"/>
      <w:bookmarkEnd w:id="50"/>
    </w:p>
    <w:p w14:paraId="28EC1BAA" w14:textId="27E702A9" w:rsidR="00262878" w:rsidRDefault="00262878" w:rsidP="00262878">
      <w:r w:rsidRPr="00E06D01">
        <w:t>The Government announced that it will require companies to disclose to shareholders “material tax risk”</w:t>
      </w:r>
      <w:r>
        <w:t xml:space="preserve"> to assist shareholders to better understand their investments and any tax structuring arrangements of the company they are investing in.</w:t>
      </w:r>
      <w:r w:rsidRPr="00457FEB">
        <w:t xml:space="preserve"> </w:t>
      </w:r>
    </w:p>
    <w:p w14:paraId="04EE1710" w14:textId="63F8BE32" w:rsidR="00262878" w:rsidRDefault="00262878" w:rsidP="00262878">
      <w:r>
        <w:t xml:space="preserve">In highlighting the concept of material tax risk, the Government announcement included, as an example, reference to the proposed global minimum of 15 per cent being progressed through the G20/OECD Two-Pillar solution. However, </w:t>
      </w:r>
      <w:r w:rsidDel="00D57EBC">
        <w:t xml:space="preserve">there are </w:t>
      </w:r>
      <w:r>
        <w:t xml:space="preserve">other taxpayer arrangements </w:t>
      </w:r>
      <w:r w:rsidDel="00D57EBC">
        <w:t xml:space="preserve">that </w:t>
      </w:r>
      <w:r>
        <w:t xml:space="preserve">might be preferable </w:t>
      </w:r>
      <w:r w:rsidDel="00D57EBC">
        <w:t>to disclose to shareholders instead</w:t>
      </w:r>
      <w:r>
        <w:t xml:space="preserve">, such as </w:t>
      </w:r>
      <w:r w:rsidDel="00D57EBC">
        <w:t xml:space="preserve">whether an </w:t>
      </w:r>
      <w:r>
        <w:t xml:space="preserve">entity </w:t>
      </w:r>
      <w:r w:rsidDel="00D57EBC">
        <w:t xml:space="preserve">has </w:t>
      </w:r>
      <w:r>
        <w:t>self-assessed</w:t>
      </w:r>
      <w:r w:rsidDel="00D57EBC">
        <w:t xml:space="preserve"> </w:t>
      </w:r>
      <w:r>
        <w:t>as a ‘high</w:t>
      </w:r>
      <w:r>
        <w:noBreakHyphen/>
        <w:t>risk’ taxpayer in line with certain ATO Practical Compliance Guidelines.</w:t>
      </w:r>
    </w:p>
    <w:p w14:paraId="3CF76D2C" w14:textId="77777777" w:rsidR="00262878" w:rsidRDefault="00262878" w:rsidP="00262878">
      <w:r>
        <w:t>This section seeks to explore the advantages and disadvantages of these approaches.</w:t>
      </w:r>
    </w:p>
    <w:p w14:paraId="7B23F8D6" w14:textId="77777777" w:rsidR="00262878" w:rsidRDefault="00262878" w:rsidP="00262878">
      <w:pPr>
        <w:pStyle w:val="Heading3"/>
      </w:pPr>
      <w:bookmarkStart w:id="51" w:name="_Toc107909257"/>
      <w:bookmarkStart w:id="52" w:name="_Toc110583159"/>
      <w:r>
        <w:t>Tax haven exposure</w:t>
      </w:r>
      <w:bookmarkEnd w:id="51"/>
      <w:bookmarkEnd w:id="52"/>
    </w:p>
    <w:p w14:paraId="2E0E315D" w14:textId="07A7CF43" w:rsidR="00262878" w:rsidRDefault="00262878" w:rsidP="00262878">
      <w:r>
        <w:t xml:space="preserve">While there </w:t>
      </w:r>
      <w:r w:rsidDel="00795757">
        <w:t xml:space="preserve">are moves to introduce </w:t>
      </w:r>
      <w:r>
        <w:t xml:space="preserve">a global 15 per cent minimum tax, there is currently no globally accepted definition of a tax haven or a globally accepted list of economies that are tax havens. References to tax havens are commonly understood to mean economies with no or low rates of tax that lack transparency </w:t>
      </w:r>
      <w:r w:rsidRPr="00F05409">
        <w:t>and</w:t>
      </w:r>
      <w:r>
        <w:t xml:space="preserve"> do not share information with other jurisdictions. In recent years, there has been a move towards focusing on ‘effective exchange of information’ and ‘transparency’. </w:t>
      </w:r>
    </w:p>
    <w:p w14:paraId="71888DEE" w14:textId="645DDE8A" w:rsidR="00262878" w:rsidRDefault="00262878" w:rsidP="00262878">
      <w:r>
        <w:t xml:space="preserve">This raises potential definitional issues. For instance, determining what constitutes a ‘tax haven’ under this transparency initiative, might ultimately be different to the Government’s separate MNE tax integrity measure to deny tax deductions for </w:t>
      </w:r>
      <w:r w:rsidRPr="00B428AA">
        <w:t>payments for the use of intellectual property when they are paid to a jurisdiction where they don’t pay sufficient tax</w:t>
      </w:r>
      <w:r>
        <w:t xml:space="preserve">. </w:t>
      </w:r>
    </w:p>
    <w:p w14:paraId="1EB9D8CD" w14:textId="437E11CC" w:rsidR="00262878" w:rsidRDefault="00262878" w:rsidP="00262878">
      <w:r>
        <w:t xml:space="preserve">Similarly, </w:t>
      </w:r>
      <w:r w:rsidDel="00924AA7">
        <w:t xml:space="preserve">doing business in a jurisdiction with </w:t>
      </w:r>
      <w:r>
        <w:t xml:space="preserve">a tax rate above 15 per cent would not necessarily capture any special regimes/rulings that may be available to certain companies. This raises issues about whether it would be more appropriate to determine if an entity’s ‘effective tax rate’ is below the global minimum, rather than merely doing business in that jurisdiction.  </w:t>
      </w:r>
    </w:p>
    <w:p w14:paraId="5ABEF555" w14:textId="77777777" w:rsidR="00262878" w:rsidRDefault="00262878" w:rsidP="00262878">
      <w:pPr>
        <w:pStyle w:val="Heading3"/>
      </w:pPr>
      <w:bookmarkStart w:id="53" w:name="_Toc107909258"/>
      <w:bookmarkStart w:id="54" w:name="_Toc110583160"/>
      <w:r>
        <w:lastRenderedPageBreak/>
        <w:t>Other forms of high-risk tax arrangements</w:t>
      </w:r>
      <w:bookmarkEnd w:id="53"/>
      <w:bookmarkEnd w:id="54"/>
    </w:p>
    <w:p w14:paraId="6AD694F1" w14:textId="59C1EA4C" w:rsidR="00262878" w:rsidRDefault="00262878" w:rsidP="00262878">
      <w:r>
        <w:t xml:space="preserve">An alternative approach to ensuring that companies </w:t>
      </w:r>
      <w:r w:rsidRPr="00E06D01">
        <w:t>mak</w:t>
      </w:r>
      <w:r>
        <w:t>e</w:t>
      </w:r>
      <w:r w:rsidRPr="00E06D01">
        <w:t xml:space="preserve"> investors aware of high-risk tax practices, </w:t>
      </w:r>
      <w:r>
        <w:t xml:space="preserve">could be </w:t>
      </w:r>
      <w:r w:rsidRPr="00E06D01">
        <w:t xml:space="preserve">to require listed entities </w:t>
      </w:r>
      <w:r w:rsidR="00A27CFB">
        <w:t>disclosing</w:t>
      </w:r>
      <w:r w:rsidRPr="00E06D01">
        <w:t xml:space="preserve"> to the share</w:t>
      </w:r>
      <w:r>
        <w:t xml:space="preserve"> </w:t>
      </w:r>
      <w:r w:rsidRPr="00E06D01">
        <w:t>market if they self-identify as a high-risk taxpayer</w:t>
      </w:r>
      <w:r>
        <w:t xml:space="preserve">, in line with </w:t>
      </w:r>
      <w:r w:rsidRPr="00E06D01">
        <w:t>certain key Practical Compliance Guidelines</w:t>
      </w:r>
      <w:r>
        <w:t xml:space="preserve">. </w:t>
      </w:r>
    </w:p>
    <w:p w14:paraId="006F3678" w14:textId="35C11F63" w:rsidR="00262878" w:rsidRDefault="00262878" w:rsidP="00262878">
      <w:r>
        <w:t xml:space="preserve">For instance, </w:t>
      </w:r>
      <w:r w:rsidDel="00A27CFB">
        <w:t>e</w:t>
      </w:r>
      <w:r>
        <w:t>ntities are already required to self-identify as high risk under PCG 2017/4 in relation to related party debt funding</w:t>
      </w:r>
      <w:r w:rsidR="00A27CFB">
        <w:t>.</w:t>
      </w:r>
      <w:r w:rsidRPr="00711896">
        <w:rPr>
          <w:rStyle w:val="FootnoteReference"/>
          <w:vertAlign w:val="superscript"/>
        </w:rPr>
        <w:footnoteReference w:id="15"/>
      </w:r>
      <w:r>
        <w:t xml:space="preserve"> Extending this self-reporting mechanism (for certain high tax risk arrangements) to include share market disclosures could a be a more principled approach to achieving the objective of making investors aware of high-risk tax practices. </w:t>
      </w:r>
    </w:p>
    <w:p w14:paraId="45893A90" w14:textId="77777777" w:rsidR="00262878" w:rsidRDefault="00262878" w:rsidP="00262878"/>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0B2BC877" w14:textId="77777777" w:rsidTr="00762FA3">
        <w:tc>
          <w:tcPr>
            <w:tcW w:w="5000" w:type="pct"/>
            <w:shd w:val="clear" w:color="auto" w:fill="EEEEEE" w:themeFill="background2"/>
          </w:tcPr>
          <w:p w14:paraId="3C987D28" w14:textId="77777777" w:rsidR="00262878" w:rsidRPr="000D1284" w:rsidRDefault="00262878" w:rsidP="00762FA3">
            <w:pPr>
              <w:pStyle w:val="BoxHeading"/>
            </w:pPr>
            <w:r>
              <w:t>Questions</w:t>
            </w:r>
          </w:p>
          <w:p w14:paraId="41063A7A" w14:textId="77777777" w:rsidR="00262878" w:rsidRDefault="00262878" w:rsidP="000D40FB">
            <w:pPr>
              <w:pStyle w:val="BoxText"/>
              <w:numPr>
                <w:ilvl w:val="0"/>
                <w:numId w:val="37"/>
              </w:numPr>
              <w:ind w:left="484" w:hanging="425"/>
            </w:pPr>
            <w:r>
              <w:t>How should entities disclose to shareholders whether they have a material tax risk?</w:t>
            </w:r>
          </w:p>
          <w:p w14:paraId="26FE3715" w14:textId="0D01EBA9" w:rsidR="00262878" w:rsidRDefault="00262878" w:rsidP="000D40FB">
            <w:pPr>
              <w:pStyle w:val="BoxText"/>
              <w:numPr>
                <w:ilvl w:val="0"/>
                <w:numId w:val="37"/>
              </w:numPr>
              <w:ind w:left="484" w:hanging="425"/>
            </w:pPr>
            <w:r>
              <w:t>What would be an appropriate channel for entities to disclose if they are doing business in a low</w:t>
            </w:r>
            <w:r w:rsidR="00A27CFB">
              <w:t>-</w:t>
            </w:r>
            <w:r>
              <w:t xml:space="preserve">tax jurisdiction?  </w:t>
            </w:r>
          </w:p>
          <w:p w14:paraId="7C2462A6" w14:textId="77777777" w:rsidR="00ED77FF" w:rsidRDefault="00262878" w:rsidP="000D40FB">
            <w:pPr>
              <w:pStyle w:val="BoxText"/>
              <w:numPr>
                <w:ilvl w:val="1"/>
                <w:numId w:val="37"/>
              </w:numPr>
              <w:ind w:left="484" w:firstLine="0"/>
            </w:pPr>
            <w:r>
              <w:t xml:space="preserve">Are disclosures of this nature already released by organisations?  </w:t>
            </w:r>
          </w:p>
          <w:p w14:paraId="0193F587" w14:textId="48478E21" w:rsidR="00262878" w:rsidRDefault="00262878" w:rsidP="000D40FB">
            <w:pPr>
              <w:pStyle w:val="BoxText"/>
              <w:numPr>
                <w:ilvl w:val="1"/>
                <w:numId w:val="37"/>
              </w:numPr>
              <w:ind w:left="484" w:firstLine="0"/>
            </w:pPr>
            <w:r>
              <w:t xml:space="preserve">Could existing mechanisms be utilised for disclosures of this nature?  </w:t>
            </w:r>
          </w:p>
          <w:p w14:paraId="243EE7CE" w14:textId="3776D61C" w:rsidR="00262878" w:rsidRDefault="00262878" w:rsidP="000D40FB">
            <w:pPr>
              <w:pStyle w:val="BoxText"/>
              <w:numPr>
                <w:ilvl w:val="0"/>
                <w:numId w:val="37"/>
              </w:numPr>
              <w:ind w:left="484" w:hanging="425"/>
            </w:pPr>
            <w:r>
              <w:t xml:space="preserve">What types of high-risk tax arrangements should be disclosed to shareholders? </w:t>
            </w:r>
            <w:r w:rsidDel="00A27CFB">
              <w:t xml:space="preserve">Alternatively, </w:t>
            </w:r>
            <w:r>
              <w:t>are the existing definitions or PCG guidance that should be used to declare higher tax risk arrangements?</w:t>
            </w:r>
          </w:p>
          <w:p w14:paraId="1C4F8050" w14:textId="77777777" w:rsidR="00262878" w:rsidRDefault="00262878" w:rsidP="000D40FB">
            <w:pPr>
              <w:pStyle w:val="BoxText"/>
              <w:numPr>
                <w:ilvl w:val="0"/>
                <w:numId w:val="37"/>
              </w:numPr>
              <w:ind w:left="484" w:hanging="425"/>
            </w:pPr>
            <w:r>
              <w:t xml:space="preserve">Should a threshold apply to entities mandatorily reporting tax haven exposure to shareholders?  If so, what would be an appropriate threshold and why?  </w:t>
            </w:r>
          </w:p>
          <w:p w14:paraId="30FA3E10" w14:textId="77777777" w:rsidR="00262878" w:rsidRPr="000D1284" w:rsidRDefault="00262878" w:rsidP="000D40FB">
            <w:pPr>
              <w:pStyle w:val="BoxText"/>
              <w:numPr>
                <w:ilvl w:val="0"/>
                <w:numId w:val="37"/>
              </w:numPr>
              <w:ind w:left="484" w:hanging="425"/>
            </w:pPr>
            <w:r>
              <w:t xml:space="preserve">What due diligence should companies undertake to ensure the disclosure is accurate?  </w:t>
            </w:r>
          </w:p>
        </w:tc>
      </w:tr>
    </w:tbl>
    <w:p w14:paraId="29B6347E" w14:textId="77777777" w:rsidR="00262878" w:rsidRPr="007A280C" w:rsidRDefault="00262878" w:rsidP="00262878">
      <w:pPr>
        <w:pStyle w:val="Heading2"/>
      </w:pPr>
      <w:bookmarkStart w:id="55" w:name="_Toc107909259"/>
      <w:bookmarkStart w:id="56" w:name="_Toc110583161"/>
      <w:r w:rsidRPr="007A280C">
        <w:t>Requiring government tenderers to disclose their country of tax domicile</w:t>
      </w:r>
      <w:bookmarkEnd w:id="55"/>
      <w:bookmarkEnd w:id="56"/>
    </w:p>
    <w:p w14:paraId="4E088AE5" w14:textId="002F497A" w:rsidR="00262878" w:rsidRDefault="00262878" w:rsidP="00262878">
      <w:r>
        <w:t xml:space="preserve">The Government announced that it will require all firms tendering for Australian Government contracts worth more than $AUD 200,000 (inclusive of GST) to state their country of domicile for tax purposes. </w:t>
      </w:r>
    </w:p>
    <w:p w14:paraId="38C54F77" w14:textId="31226BAB" w:rsidR="00262878" w:rsidRDefault="00262878" w:rsidP="00262878">
      <w:r>
        <w:t>This commitment would only apply in the instances where an MNE is tendering for contracts offered by the Australian Government (</w:t>
      </w:r>
      <w:proofErr w:type="gramStart"/>
      <w:r>
        <w:t>i.e.</w:t>
      </w:r>
      <w:proofErr w:type="gramEnd"/>
      <w:r>
        <w:t xml:space="preserve"> would not apply to contracts offered by the States and Territories).</w:t>
      </w:r>
    </w:p>
    <w:p w14:paraId="04866957" w14:textId="77777777" w:rsidR="00262878" w:rsidRDefault="00262878" w:rsidP="00262878">
      <w:r>
        <w:t xml:space="preserve">This information would complement the existing details tenderers are already required to provide, when applying for Government contracts/tenders. For example, </w:t>
      </w:r>
      <w:r w:rsidRPr="005C2C2E">
        <w:t>businesses tendering for Government procurements through open tenders with contracts that have an estimated total value of over $4</w:t>
      </w:r>
      <w:r>
        <w:t> </w:t>
      </w:r>
      <w:r w:rsidRPr="005C2C2E">
        <w:t xml:space="preserve">million (including GST) must obtain a Statement of Tax Record to evidence satisfactory engagement with the tax system.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878" w14:paraId="0D2A4C6D" w14:textId="77777777" w:rsidTr="00762FA3">
        <w:tc>
          <w:tcPr>
            <w:tcW w:w="5000" w:type="pct"/>
            <w:shd w:val="clear" w:color="auto" w:fill="EEEEEE" w:themeFill="background2"/>
          </w:tcPr>
          <w:p w14:paraId="3383F1AB" w14:textId="77777777" w:rsidR="00262878" w:rsidRPr="000D1284" w:rsidRDefault="00262878" w:rsidP="00762FA3">
            <w:pPr>
              <w:pStyle w:val="BoxHeading"/>
            </w:pPr>
            <w:r>
              <w:lastRenderedPageBreak/>
              <w:t>Questions</w:t>
            </w:r>
          </w:p>
          <w:p w14:paraId="67DAF666" w14:textId="77777777" w:rsidR="00262878" w:rsidRDefault="00262878" w:rsidP="000D40FB">
            <w:pPr>
              <w:pStyle w:val="BoxText"/>
              <w:numPr>
                <w:ilvl w:val="0"/>
                <w:numId w:val="37"/>
              </w:numPr>
              <w:ind w:left="484" w:hanging="425"/>
            </w:pPr>
            <w:r>
              <w:t xml:space="preserve">In considering a disclosure requirement, should the entity’s tax residency status be used as the definition of ‘tax domicile’? </w:t>
            </w:r>
          </w:p>
          <w:p w14:paraId="562B999E" w14:textId="77777777" w:rsidR="00262878" w:rsidRDefault="00262878" w:rsidP="000D40FB">
            <w:pPr>
              <w:pStyle w:val="BoxText"/>
              <w:numPr>
                <w:ilvl w:val="0"/>
                <w:numId w:val="37"/>
              </w:numPr>
              <w:ind w:left="484" w:hanging="425"/>
            </w:pPr>
            <w:r>
              <w:t>Are there any unintended consequences that may arise from this new information requirement? If yes, what are they?</w:t>
            </w:r>
          </w:p>
          <w:p w14:paraId="61B1382F" w14:textId="77777777" w:rsidR="00262878" w:rsidRDefault="00262878" w:rsidP="000D40FB">
            <w:pPr>
              <w:pStyle w:val="BoxText"/>
              <w:numPr>
                <w:ilvl w:val="0"/>
                <w:numId w:val="37"/>
              </w:numPr>
              <w:ind w:left="484" w:hanging="425"/>
            </w:pPr>
            <w:r>
              <w:t>How should this commitment be implemented?</w:t>
            </w:r>
          </w:p>
          <w:p w14:paraId="66C55197" w14:textId="77777777" w:rsidR="00262878" w:rsidRDefault="00262878" w:rsidP="000D40FB">
            <w:pPr>
              <w:pStyle w:val="BoxText"/>
              <w:numPr>
                <w:ilvl w:val="0"/>
                <w:numId w:val="37"/>
              </w:numPr>
              <w:ind w:left="484" w:hanging="425"/>
            </w:pPr>
            <w:r>
              <w:t xml:space="preserve">Should entities disclosing this information be subject to any verification process, having regard for compliance costs (for both taxpayers and government)? </w:t>
            </w:r>
          </w:p>
          <w:p w14:paraId="3AD80AFD" w14:textId="29539B0B" w:rsidR="00262878" w:rsidRPr="000D1284" w:rsidRDefault="00262878" w:rsidP="000D40FB">
            <w:pPr>
              <w:pStyle w:val="BoxText"/>
              <w:numPr>
                <w:ilvl w:val="0"/>
                <w:numId w:val="37"/>
              </w:numPr>
              <w:ind w:left="484" w:hanging="425"/>
            </w:pPr>
            <w:r>
              <w:t xml:space="preserve">Are there any general compliance cost considerations the Government should </w:t>
            </w:r>
            <w:proofErr w:type="gramStart"/>
            <w:r w:rsidR="00ED77FF">
              <w:t>take into account</w:t>
            </w:r>
            <w:proofErr w:type="gramEnd"/>
            <w:r>
              <w:t xml:space="preserve"> in requiring Government tenderers to disclose their country of tax domicile?</w:t>
            </w:r>
          </w:p>
        </w:tc>
      </w:tr>
    </w:tbl>
    <w:p w14:paraId="5D53F7C4" w14:textId="77777777" w:rsidR="002C059B" w:rsidRDefault="002C059B">
      <w:pPr>
        <w:spacing w:before="0" w:after="160" w:line="259" w:lineRule="auto"/>
        <w:rPr>
          <w:rFonts w:ascii="Calibri" w:hAnsi="Calibri" w:cs="Arial"/>
          <w:iCs/>
          <w:color w:val="2C384A"/>
          <w:kern w:val="32"/>
          <w:sz w:val="36"/>
          <w:szCs w:val="28"/>
        </w:rPr>
      </w:pPr>
      <w:r>
        <w:br w:type="page"/>
      </w:r>
    </w:p>
    <w:p w14:paraId="236A58E8" w14:textId="6E5566C1" w:rsidR="00F06A0F" w:rsidRPr="00742073" w:rsidRDefault="009E1F28" w:rsidP="000F6D72">
      <w:pPr>
        <w:pStyle w:val="Heading1"/>
      </w:pPr>
      <w:bookmarkStart w:id="57" w:name="_Toc110583162"/>
      <w:r w:rsidRPr="00742073">
        <w:lastRenderedPageBreak/>
        <w:t>Appendix 1</w:t>
      </w:r>
      <w:r w:rsidR="00742073" w:rsidRPr="00742073">
        <w:t xml:space="preserve"> – Royalty </w:t>
      </w:r>
      <w:r w:rsidR="008F613B">
        <w:t>w</w:t>
      </w:r>
      <w:r w:rsidR="00742073" w:rsidRPr="00742073">
        <w:t xml:space="preserve">ithholding </w:t>
      </w:r>
      <w:r w:rsidR="008F613B">
        <w:t>t</w:t>
      </w:r>
      <w:r w:rsidR="00742073" w:rsidRPr="00742073">
        <w:t xml:space="preserve">ax </w:t>
      </w:r>
      <w:r w:rsidR="008F613B">
        <w:t>r</w:t>
      </w:r>
      <w:r w:rsidR="00742073" w:rsidRPr="00742073">
        <w:t xml:space="preserve">ates </w:t>
      </w:r>
      <w:r w:rsidR="005102F5">
        <w:t>in</w:t>
      </w:r>
      <w:r w:rsidR="00742073" w:rsidRPr="00742073">
        <w:t xml:space="preserve"> </w:t>
      </w:r>
      <w:r w:rsidR="00956B99">
        <w:t>Australia’s bilateral tax t</w:t>
      </w:r>
      <w:r w:rsidR="00742073" w:rsidRPr="00742073">
        <w:t>reat</w:t>
      </w:r>
      <w:r w:rsidR="009510A0">
        <w:t>ies</w:t>
      </w:r>
      <w:bookmarkEnd w:id="57"/>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417"/>
        <w:gridCol w:w="3128"/>
        <w:gridCol w:w="1417"/>
      </w:tblGrid>
      <w:tr w:rsidR="001137E1" w:rsidRPr="009E1F28" w14:paraId="7CEF7D5D" w14:textId="77777777" w:rsidTr="00E35D58">
        <w:trPr>
          <w:trHeight w:val="609"/>
        </w:trPr>
        <w:tc>
          <w:tcPr>
            <w:tcW w:w="3288" w:type="dxa"/>
            <w:shd w:val="clear" w:color="auto" w:fill="auto"/>
            <w:noWrap/>
            <w:vAlign w:val="center"/>
            <w:hideMark/>
          </w:tcPr>
          <w:p w14:paraId="5183F23A" w14:textId="118669D9" w:rsidR="009E1F28" w:rsidRPr="009E1F28" w:rsidRDefault="00694CEC" w:rsidP="009E166E">
            <w:pPr>
              <w:spacing w:before="40" w:after="40"/>
              <w:jc w:val="center"/>
              <w:rPr>
                <w:rFonts w:ascii="Calibri" w:hAnsi="Calibri" w:cs="Calibri"/>
                <w:b/>
                <w:bCs/>
                <w:color w:val="000000"/>
                <w:szCs w:val="22"/>
              </w:rPr>
            </w:pPr>
            <w:r>
              <w:rPr>
                <w:rFonts w:ascii="Calibri" w:hAnsi="Calibri" w:cs="Calibri"/>
                <w:b/>
                <w:bCs/>
                <w:color w:val="000000"/>
                <w:szCs w:val="22"/>
              </w:rPr>
              <w:t>Jurisdiction</w:t>
            </w:r>
          </w:p>
        </w:tc>
        <w:tc>
          <w:tcPr>
            <w:tcW w:w="1417" w:type="dxa"/>
            <w:vAlign w:val="center"/>
          </w:tcPr>
          <w:p w14:paraId="63022731" w14:textId="3E26AE3B" w:rsidR="005F1D33" w:rsidRPr="009E1F28" w:rsidRDefault="005F1D33" w:rsidP="009E166E">
            <w:pPr>
              <w:spacing w:before="40" w:after="40"/>
              <w:jc w:val="center"/>
              <w:rPr>
                <w:rFonts w:ascii="Calibri" w:hAnsi="Calibri" w:cs="Calibri"/>
                <w:b/>
                <w:bCs/>
                <w:color w:val="000000"/>
                <w:szCs w:val="22"/>
              </w:rPr>
            </w:pPr>
            <w:r w:rsidRPr="009E1F28">
              <w:rPr>
                <w:rFonts w:ascii="Calibri" w:hAnsi="Calibri" w:cs="Calibri"/>
                <w:b/>
                <w:bCs/>
                <w:color w:val="000000"/>
                <w:szCs w:val="22"/>
              </w:rPr>
              <w:t xml:space="preserve">Royalties </w:t>
            </w:r>
            <w:r w:rsidR="009E166E">
              <w:rPr>
                <w:rFonts w:ascii="Calibri" w:hAnsi="Calibri" w:cs="Calibri"/>
                <w:b/>
                <w:bCs/>
                <w:color w:val="000000"/>
                <w:szCs w:val="22"/>
              </w:rPr>
              <w:t>Withholding Tax Rate</w:t>
            </w:r>
            <w:r w:rsidR="009E166E" w:rsidRPr="009E1F28">
              <w:rPr>
                <w:rFonts w:ascii="Calibri" w:hAnsi="Calibri" w:cs="Calibri"/>
                <w:b/>
                <w:bCs/>
                <w:color w:val="000000"/>
                <w:szCs w:val="22"/>
              </w:rPr>
              <w:t xml:space="preserve"> </w:t>
            </w:r>
            <w:r w:rsidRPr="009E1F28">
              <w:rPr>
                <w:rFonts w:ascii="Calibri" w:hAnsi="Calibri" w:cs="Calibri"/>
                <w:b/>
                <w:bCs/>
                <w:color w:val="000000"/>
                <w:szCs w:val="22"/>
              </w:rPr>
              <w:t>(outgoing)</w:t>
            </w:r>
            <w:r w:rsidR="009E166E">
              <w:rPr>
                <w:rFonts w:ascii="Calibri" w:hAnsi="Calibri" w:cs="Calibri"/>
                <w:b/>
                <w:bCs/>
                <w:color w:val="000000"/>
                <w:szCs w:val="22"/>
              </w:rPr>
              <w:t xml:space="preserve"> </w:t>
            </w:r>
            <w:r>
              <w:rPr>
                <w:rFonts w:ascii="Calibri" w:hAnsi="Calibri" w:cs="Calibri"/>
                <w:b/>
                <w:bCs/>
                <w:color w:val="000000"/>
                <w:szCs w:val="22"/>
              </w:rPr>
              <w:t>%</w:t>
            </w:r>
          </w:p>
        </w:tc>
        <w:tc>
          <w:tcPr>
            <w:tcW w:w="3128" w:type="dxa"/>
            <w:vAlign w:val="center"/>
          </w:tcPr>
          <w:p w14:paraId="66A33704" w14:textId="400B3E70" w:rsidR="005F1D33" w:rsidRDefault="005F1D33" w:rsidP="009E166E">
            <w:pPr>
              <w:spacing w:before="40" w:after="40"/>
              <w:jc w:val="center"/>
              <w:rPr>
                <w:rFonts w:ascii="Calibri" w:hAnsi="Calibri" w:cs="Calibri"/>
                <w:b/>
                <w:bCs/>
                <w:color w:val="000000"/>
                <w:szCs w:val="22"/>
              </w:rPr>
            </w:pPr>
            <w:r>
              <w:rPr>
                <w:rFonts w:ascii="Calibri" w:hAnsi="Calibri" w:cs="Calibri"/>
                <w:b/>
                <w:bCs/>
                <w:color w:val="000000"/>
                <w:szCs w:val="22"/>
              </w:rPr>
              <w:t>Jurisdiction</w:t>
            </w:r>
          </w:p>
        </w:tc>
        <w:tc>
          <w:tcPr>
            <w:tcW w:w="1417" w:type="dxa"/>
            <w:shd w:val="clear" w:color="auto" w:fill="auto"/>
            <w:vAlign w:val="center"/>
          </w:tcPr>
          <w:p w14:paraId="1A1876B2" w14:textId="10988CD9" w:rsidR="005F1D33" w:rsidRPr="009E1F28" w:rsidRDefault="005F1D33" w:rsidP="009E166E">
            <w:pPr>
              <w:spacing w:before="40" w:after="40"/>
              <w:jc w:val="center"/>
              <w:rPr>
                <w:rFonts w:ascii="Calibri" w:hAnsi="Calibri" w:cs="Calibri"/>
                <w:b/>
                <w:bCs/>
                <w:color w:val="000000"/>
                <w:szCs w:val="22"/>
              </w:rPr>
            </w:pPr>
            <w:r w:rsidRPr="009E1F28">
              <w:rPr>
                <w:rFonts w:ascii="Calibri" w:hAnsi="Calibri" w:cs="Calibri"/>
                <w:b/>
                <w:bCs/>
                <w:color w:val="000000"/>
                <w:szCs w:val="22"/>
              </w:rPr>
              <w:t xml:space="preserve">Royalties </w:t>
            </w:r>
            <w:r w:rsidR="009E166E">
              <w:rPr>
                <w:rFonts w:ascii="Calibri" w:hAnsi="Calibri" w:cs="Calibri"/>
                <w:b/>
                <w:bCs/>
                <w:color w:val="000000"/>
                <w:szCs w:val="22"/>
              </w:rPr>
              <w:t>Withholding Tax Rate</w:t>
            </w:r>
            <w:r w:rsidR="009E166E" w:rsidRPr="009E1F28">
              <w:rPr>
                <w:rFonts w:ascii="Calibri" w:hAnsi="Calibri" w:cs="Calibri"/>
                <w:b/>
                <w:bCs/>
                <w:color w:val="000000"/>
                <w:szCs w:val="22"/>
              </w:rPr>
              <w:t xml:space="preserve"> </w:t>
            </w:r>
            <w:r w:rsidRPr="009E1F28">
              <w:rPr>
                <w:rFonts w:ascii="Calibri" w:hAnsi="Calibri" w:cs="Calibri"/>
                <w:b/>
                <w:bCs/>
                <w:color w:val="000000"/>
                <w:szCs w:val="22"/>
              </w:rPr>
              <w:t>(outgoing)</w:t>
            </w:r>
            <w:r w:rsidR="009E166E">
              <w:rPr>
                <w:rFonts w:ascii="Calibri" w:hAnsi="Calibri" w:cs="Calibri"/>
                <w:b/>
                <w:bCs/>
                <w:color w:val="000000"/>
                <w:szCs w:val="22"/>
              </w:rPr>
              <w:t xml:space="preserve"> </w:t>
            </w:r>
            <w:r>
              <w:rPr>
                <w:rFonts w:ascii="Calibri" w:hAnsi="Calibri" w:cs="Calibri"/>
                <w:b/>
                <w:bCs/>
                <w:color w:val="000000"/>
                <w:szCs w:val="22"/>
              </w:rPr>
              <w:t>%</w:t>
            </w:r>
          </w:p>
        </w:tc>
      </w:tr>
      <w:tr w:rsidR="001137E1" w:rsidRPr="009E1F28" w14:paraId="29A02397" w14:textId="77777777" w:rsidTr="00E35D58">
        <w:trPr>
          <w:trHeight w:val="300"/>
        </w:trPr>
        <w:tc>
          <w:tcPr>
            <w:tcW w:w="3288" w:type="dxa"/>
            <w:shd w:val="clear" w:color="auto" w:fill="auto"/>
            <w:noWrap/>
            <w:vAlign w:val="bottom"/>
            <w:hideMark/>
          </w:tcPr>
          <w:p w14:paraId="0AA95E29"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Argentina</w:t>
            </w:r>
          </w:p>
        </w:tc>
        <w:tc>
          <w:tcPr>
            <w:tcW w:w="1417" w:type="dxa"/>
            <w:vAlign w:val="center"/>
          </w:tcPr>
          <w:p w14:paraId="7655D42F" w14:textId="2D702817"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15</w:t>
            </w:r>
            <w:r w:rsidRPr="009E1F28">
              <w:rPr>
                <w:rFonts w:ascii="Calibri" w:hAnsi="Calibri" w:cs="Calibri"/>
                <w:color w:val="000000"/>
                <w:szCs w:val="22"/>
              </w:rPr>
              <w:t xml:space="preserve"> </w:t>
            </w:r>
          </w:p>
        </w:tc>
        <w:tc>
          <w:tcPr>
            <w:tcW w:w="3128" w:type="dxa"/>
            <w:vAlign w:val="bottom"/>
          </w:tcPr>
          <w:p w14:paraId="02AB3F20" w14:textId="6B753FE7"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Mexico</w:t>
            </w:r>
          </w:p>
        </w:tc>
        <w:tc>
          <w:tcPr>
            <w:tcW w:w="1417" w:type="dxa"/>
            <w:shd w:val="clear" w:color="auto" w:fill="auto"/>
          </w:tcPr>
          <w:p w14:paraId="58332F8A" w14:textId="0C217EA7" w:rsidR="005F1D33" w:rsidRPr="00A11A0C" w:rsidRDefault="005F1D33" w:rsidP="009E166E">
            <w:pPr>
              <w:spacing w:before="40" w:after="40"/>
              <w:jc w:val="center"/>
              <w:rPr>
                <w:rFonts w:ascii="Calibri" w:hAnsi="Calibri" w:cs="Calibri"/>
                <w:color w:val="000000"/>
                <w:szCs w:val="22"/>
              </w:rPr>
            </w:pPr>
            <w:r w:rsidRPr="00A11A0C">
              <w:rPr>
                <w:rFonts w:ascii="Calibri" w:hAnsi="Calibri" w:cs="Calibri"/>
                <w:color w:val="000000"/>
                <w:szCs w:val="22"/>
              </w:rPr>
              <w:t>10</w:t>
            </w:r>
          </w:p>
        </w:tc>
      </w:tr>
      <w:tr w:rsidR="001137E1" w:rsidRPr="009E1F28" w14:paraId="7FC0D56B" w14:textId="77777777" w:rsidTr="00E35D58">
        <w:trPr>
          <w:trHeight w:val="300"/>
        </w:trPr>
        <w:tc>
          <w:tcPr>
            <w:tcW w:w="3288" w:type="dxa"/>
            <w:shd w:val="clear" w:color="auto" w:fill="auto"/>
            <w:noWrap/>
            <w:vAlign w:val="bottom"/>
            <w:hideMark/>
          </w:tcPr>
          <w:p w14:paraId="7F821D03"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Austria</w:t>
            </w:r>
          </w:p>
        </w:tc>
        <w:tc>
          <w:tcPr>
            <w:tcW w:w="1417" w:type="dxa"/>
            <w:vAlign w:val="center"/>
          </w:tcPr>
          <w:p w14:paraId="5F0D5FE1" w14:textId="42BEC50F"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10</w:t>
            </w:r>
          </w:p>
        </w:tc>
        <w:tc>
          <w:tcPr>
            <w:tcW w:w="3128" w:type="dxa"/>
            <w:vAlign w:val="bottom"/>
          </w:tcPr>
          <w:p w14:paraId="23DB3931" w14:textId="7C047859"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Netherlands</w:t>
            </w:r>
          </w:p>
        </w:tc>
        <w:tc>
          <w:tcPr>
            <w:tcW w:w="1417" w:type="dxa"/>
            <w:shd w:val="clear" w:color="auto" w:fill="auto"/>
          </w:tcPr>
          <w:p w14:paraId="30466123" w14:textId="5289EA90" w:rsidR="005F1D33" w:rsidRPr="00A11A0C" w:rsidRDefault="005F1D33" w:rsidP="009E166E">
            <w:pPr>
              <w:spacing w:before="40" w:after="40"/>
              <w:jc w:val="center"/>
              <w:rPr>
                <w:rFonts w:ascii="Calibri" w:hAnsi="Calibri" w:cs="Calibri"/>
                <w:color w:val="000000"/>
                <w:szCs w:val="22"/>
              </w:rPr>
            </w:pPr>
            <w:r w:rsidRPr="00A11A0C">
              <w:rPr>
                <w:rFonts w:ascii="Calibri" w:hAnsi="Calibri" w:cs="Calibri"/>
                <w:color w:val="000000"/>
                <w:szCs w:val="22"/>
              </w:rPr>
              <w:t>10</w:t>
            </w:r>
          </w:p>
        </w:tc>
      </w:tr>
      <w:tr w:rsidR="001137E1" w:rsidRPr="009E1F28" w14:paraId="09D3B6DE" w14:textId="77777777" w:rsidTr="00E35D58">
        <w:trPr>
          <w:trHeight w:val="300"/>
        </w:trPr>
        <w:tc>
          <w:tcPr>
            <w:tcW w:w="3288" w:type="dxa"/>
            <w:shd w:val="clear" w:color="auto" w:fill="auto"/>
            <w:noWrap/>
            <w:vAlign w:val="bottom"/>
            <w:hideMark/>
          </w:tcPr>
          <w:p w14:paraId="23C87910"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Belgium</w:t>
            </w:r>
          </w:p>
        </w:tc>
        <w:tc>
          <w:tcPr>
            <w:tcW w:w="1417" w:type="dxa"/>
          </w:tcPr>
          <w:p w14:paraId="5FBD4826" w14:textId="2B9AADF6"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5E1D7ECB" w14:textId="0FF87673"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New Zealand</w:t>
            </w:r>
          </w:p>
        </w:tc>
        <w:tc>
          <w:tcPr>
            <w:tcW w:w="1417" w:type="dxa"/>
            <w:shd w:val="clear" w:color="auto" w:fill="auto"/>
            <w:vAlign w:val="center"/>
          </w:tcPr>
          <w:p w14:paraId="4C2DA85E" w14:textId="49E4CEFA"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546C3366" w14:textId="77777777" w:rsidTr="00E35D58">
        <w:trPr>
          <w:trHeight w:val="300"/>
        </w:trPr>
        <w:tc>
          <w:tcPr>
            <w:tcW w:w="3288" w:type="dxa"/>
            <w:shd w:val="clear" w:color="auto" w:fill="auto"/>
            <w:noWrap/>
            <w:vAlign w:val="bottom"/>
            <w:hideMark/>
          </w:tcPr>
          <w:p w14:paraId="1A1B0CD6"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Canada</w:t>
            </w:r>
          </w:p>
        </w:tc>
        <w:tc>
          <w:tcPr>
            <w:tcW w:w="1417" w:type="dxa"/>
          </w:tcPr>
          <w:p w14:paraId="1422F658" w14:textId="68108437"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34181FE9" w14:textId="69E5254F"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Norway</w:t>
            </w:r>
          </w:p>
        </w:tc>
        <w:tc>
          <w:tcPr>
            <w:tcW w:w="1417" w:type="dxa"/>
            <w:shd w:val="clear" w:color="auto" w:fill="auto"/>
            <w:vAlign w:val="center"/>
          </w:tcPr>
          <w:p w14:paraId="719307BE" w14:textId="16D53566"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06532FCF" w14:textId="77777777" w:rsidTr="00E35D58">
        <w:trPr>
          <w:trHeight w:val="300"/>
        </w:trPr>
        <w:tc>
          <w:tcPr>
            <w:tcW w:w="3288" w:type="dxa"/>
            <w:shd w:val="clear" w:color="auto" w:fill="auto"/>
            <w:noWrap/>
            <w:vAlign w:val="bottom"/>
            <w:hideMark/>
          </w:tcPr>
          <w:p w14:paraId="55FCB7C1"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Chile</w:t>
            </w:r>
          </w:p>
        </w:tc>
        <w:tc>
          <w:tcPr>
            <w:tcW w:w="1417" w:type="dxa"/>
          </w:tcPr>
          <w:p w14:paraId="7B19D88A" w14:textId="5CAD279E"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689E97A3" w14:textId="599FA5C0" w:rsidR="005F1D33" w:rsidRPr="00C401F8" w:rsidRDefault="007B28D1" w:rsidP="003B30CA">
            <w:pPr>
              <w:spacing w:before="40" w:after="40"/>
              <w:rPr>
                <w:rFonts w:ascii="Calibri" w:hAnsi="Calibri" w:cs="Calibri"/>
                <w:color w:val="000000"/>
                <w:szCs w:val="22"/>
              </w:rPr>
            </w:pPr>
            <w:r>
              <w:rPr>
                <w:rFonts w:ascii="Calibri" w:hAnsi="Calibri" w:cs="Calibri"/>
                <w:color w:val="000000"/>
                <w:szCs w:val="22"/>
              </w:rPr>
              <w:t>Papua New Guinea</w:t>
            </w:r>
          </w:p>
        </w:tc>
        <w:tc>
          <w:tcPr>
            <w:tcW w:w="1417" w:type="dxa"/>
            <w:shd w:val="clear" w:color="auto" w:fill="auto"/>
            <w:vAlign w:val="center"/>
          </w:tcPr>
          <w:p w14:paraId="16CB434A" w14:textId="7BC8613F"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10</w:t>
            </w:r>
          </w:p>
        </w:tc>
      </w:tr>
      <w:tr w:rsidR="001137E1" w:rsidRPr="009E1F28" w14:paraId="643D6920" w14:textId="77777777" w:rsidTr="00E35D58">
        <w:trPr>
          <w:trHeight w:val="300"/>
        </w:trPr>
        <w:tc>
          <w:tcPr>
            <w:tcW w:w="3288" w:type="dxa"/>
            <w:shd w:val="clear" w:color="auto" w:fill="auto"/>
            <w:noWrap/>
            <w:vAlign w:val="bottom"/>
            <w:hideMark/>
          </w:tcPr>
          <w:p w14:paraId="405DBF89" w14:textId="13533874"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China</w:t>
            </w:r>
          </w:p>
        </w:tc>
        <w:tc>
          <w:tcPr>
            <w:tcW w:w="1417" w:type="dxa"/>
          </w:tcPr>
          <w:p w14:paraId="000494E9" w14:textId="79D5B8FA"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59C9358A" w14:textId="5147B907"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Philippines</w:t>
            </w:r>
          </w:p>
        </w:tc>
        <w:tc>
          <w:tcPr>
            <w:tcW w:w="1417" w:type="dxa"/>
            <w:shd w:val="clear" w:color="auto" w:fill="auto"/>
            <w:vAlign w:val="center"/>
          </w:tcPr>
          <w:p w14:paraId="4B53213C" w14:textId="47922738"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 xml:space="preserve">25 </w:t>
            </w:r>
          </w:p>
        </w:tc>
      </w:tr>
      <w:tr w:rsidR="001137E1" w:rsidRPr="009E1F28" w14:paraId="49EC16FD" w14:textId="77777777" w:rsidTr="00E35D58">
        <w:trPr>
          <w:trHeight w:val="300"/>
        </w:trPr>
        <w:tc>
          <w:tcPr>
            <w:tcW w:w="3288" w:type="dxa"/>
            <w:shd w:val="clear" w:color="auto" w:fill="auto"/>
            <w:noWrap/>
            <w:vAlign w:val="bottom"/>
            <w:hideMark/>
          </w:tcPr>
          <w:p w14:paraId="22F6DAE0"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Czech Republic</w:t>
            </w:r>
          </w:p>
        </w:tc>
        <w:tc>
          <w:tcPr>
            <w:tcW w:w="1417" w:type="dxa"/>
          </w:tcPr>
          <w:p w14:paraId="605801C3" w14:textId="17265432"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054B646A" w14:textId="4CF77BD7"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Poland</w:t>
            </w:r>
          </w:p>
        </w:tc>
        <w:tc>
          <w:tcPr>
            <w:tcW w:w="1417" w:type="dxa"/>
            <w:shd w:val="clear" w:color="auto" w:fill="auto"/>
          </w:tcPr>
          <w:p w14:paraId="3424A765" w14:textId="4D56C18B" w:rsidR="005F1D33" w:rsidRPr="00B515C3" w:rsidRDefault="005F1D33" w:rsidP="009E166E">
            <w:pPr>
              <w:spacing w:before="40" w:after="40"/>
              <w:jc w:val="center"/>
              <w:rPr>
                <w:rFonts w:ascii="Calibri" w:hAnsi="Calibri" w:cs="Calibri"/>
                <w:color w:val="000000"/>
                <w:szCs w:val="22"/>
              </w:rPr>
            </w:pPr>
            <w:r w:rsidRPr="00B515C3">
              <w:rPr>
                <w:rFonts w:ascii="Calibri" w:hAnsi="Calibri" w:cs="Calibri"/>
                <w:color w:val="000000"/>
                <w:szCs w:val="22"/>
              </w:rPr>
              <w:t>10</w:t>
            </w:r>
          </w:p>
        </w:tc>
      </w:tr>
      <w:tr w:rsidR="001137E1" w:rsidRPr="009E1F28" w14:paraId="1C7358AB" w14:textId="77777777" w:rsidTr="00E35D58">
        <w:trPr>
          <w:trHeight w:val="300"/>
        </w:trPr>
        <w:tc>
          <w:tcPr>
            <w:tcW w:w="3288" w:type="dxa"/>
            <w:shd w:val="clear" w:color="auto" w:fill="auto"/>
            <w:noWrap/>
            <w:vAlign w:val="bottom"/>
            <w:hideMark/>
          </w:tcPr>
          <w:p w14:paraId="013AC4E6"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Denmark</w:t>
            </w:r>
          </w:p>
        </w:tc>
        <w:tc>
          <w:tcPr>
            <w:tcW w:w="1417" w:type="dxa"/>
          </w:tcPr>
          <w:p w14:paraId="01EF3190" w14:textId="3478C1EE" w:rsidR="005F1D33" w:rsidRPr="00503F90" w:rsidRDefault="005F1D33" w:rsidP="009E166E">
            <w:pPr>
              <w:spacing w:before="40" w:after="40"/>
              <w:jc w:val="center"/>
              <w:rPr>
                <w:rFonts w:ascii="Calibri" w:hAnsi="Calibri" w:cs="Calibri"/>
                <w:color w:val="000000"/>
                <w:szCs w:val="22"/>
              </w:rPr>
            </w:pPr>
            <w:r w:rsidRPr="00503F90">
              <w:rPr>
                <w:rFonts w:ascii="Calibri" w:hAnsi="Calibri" w:cs="Calibri"/>
                <w:color w:val="000000"/>
                <w:szCs w:val="22"/>
              </w:rPr>
              <w:t>10</w:t>
            </w:r>
          </w:p>
        </w:tc>
        <w:tc>
          <w:tcPr>
            <w:tcW w:w="3128" w:type="dxa"/>
            <w:vAlign w:val="bottom"/>
          </w:tcPr>
          <w:p w14:paraId="56C226FF" w14:textId="144BD48E"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Romania</w:t>
            </w:r>
          </w:p>
        </w:tc>
        <w:tc>
          <w:tcPr>
            <w:tcW w:w="1417" w:type="dxa"/>
            <w:shd w:val="clear" w:color="auto" w:fill="auto"/>
          </w:tcPr>
          <w:p w14:paraId="3A64469A" w14:textId="3C260402" w:rsidR="005F1D33" w:rsidRPr="00B515C3" w:rsidRDefault="005F1D33" w:rsidP="009E166E">
            <w:pPr>
              <w:spacing w:before="40" w:after="40"/>
              <w:jc w:val="center"/>
              <w:rPr>
                <w:rFonts w:ascii="Calibri" w:hAnsi="Calibri" w:cs="Calibri"/>
                <w:color w:val="000000"/>
                <w:szCs w:val="22"/>
              </w:rPr>
            </w:pPr>
            <w:r w:rsidRPr="00B515C3">
              <w:rPr>
                <w:rFonts w:ascii="Calibri" w:hAnsi="Calibri" w:cs="Calibri"/>
                <w:color w:val="000000"/>
                <w:szCs w:val="22"/>
              </w:rPr>
              <w:t>10</w:t>
            </w:r>
          </w:p>
        </w:tc>
      </w:tr>
      <w:tr w:rsidR="001137E1" w:rsidRPr="009E1F28" w14:paraId="2E49B477" w14:textId="77777777" w:rsidTr="00E35D58">
        <w:trPr>
          <w:trHeight w:val="300"/>
        </w:trPr>
        <w:tc>
          <w:tcPr>
            <w:tcW w:w="3288" w:type="dxa"/>
            <w:shd w:val="clear" w:color="auto" w:fill="auto"/>
            <w:noWrap/>
            <w:vAlign w:val="bottom"/>
            <w:hideMark/>
          </w:tcPr>
          <w:p w14:paraId="101D51F8"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Fiji</w:t>
            </w:r>
          </w:p>
        </w:tc>
        <w:tc>
          <w:tcPr>
            <w:tcW w:w="1417" w:type="dxa"/>
            <w:vAlign w:val="center"/>
          </w:tcPr>
          <w:p w14:paraId="509195E8" w14:textId="17B4910B"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15</w:t>
            </w:r>
          </w:p>
        </w:tc>
        <w:tc>
          <w:tcPr>
            <w:tcW w:w="3128" w:type="dxa"/>
            <w:vAlign w:val="bottom"/>
          </w:tcPr>
          <w:p w14:paraId="3EB8CBB0" w14:textId="197491F4"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Russia</w:t>
            </w:r>
          </w:p>
        </w:tc>
        <w:tc>
          <w:tcPr>
            <w:tcW w:w="1417" w:type="dxa"/>
            <w:shd w:val="clear" w:color="auto" w:fill="auto"/>
          </w:tcPr>
          <w:p w14:paraId="2848DF86" w14:textId="280FED39" w:rsidR="005F1D33" w:rsidRPr="00B515C3" w:rsidRDefault="005F1D33" w:rsidP="009E166E">
            <w:pPr>
              <w:spacing w:before="40" w:after="40"/>
              <w:jc w:val="center"/>
              <w:rPr>
                <w:rFonts w:ascii="Calibri" w:hAnsi="Calibri" w:cs="Calibri"/>
                <w:color w:val="000000"/>
                <w:szCs w:val="22"/>
              </w:rPr>
            </w:pPr>
            <w:r w:rsidRPr="00B515C3">
              <w:rPr>
                <w:rFonts w:ascii="Calibri" w:hAnsi="Calibri" w:cs="Calibri"/>
                <w:color w:val="000000"/>
                <w:szCs w:val="22"/>
              </w:rPr>
              <w:t>10</w:t>
            </w:r>
          </w:p>
        </w:tc>
      </w:tr>
      <w:tr w:rsidR="001137E1" w:rsidRPr="009E1F28" w14:paraId="2E9A1C40" w14:textId="77777777" w:rsidTr="00E35D58">
        <w:trPr>
          <w:trHeight w:val="300"/>
        </w:trPr>
        <w:tc>
          <w:tcPr>
            <w:tcW w:w="3288" w:type="dxa"/>
            <w:shd w:val="clear" w:color="auto" w:fill="auto"/>
            <w:noWrap/>
            <w:vAlign w:val="bottom"/>
            <w:hideMark/>
          </w:tcPr>
          <w:p w14:paraId="5C9CFACB"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Finland</w:t>
            </w:r>
          </w:p>
        </w:tc>
        <w:tc>
          <w:tcPr>
            <w:tcW w:w="1417" w:type="dxa"/>
            <w:vAlign w:val="center"/>
          </w:tcPr>
          <w:p w14:paraId="4D08A6A7" w14:textId="052D14B6"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c>
          <w:tcPr>
            <w:tcW w:w="3128" w:type="dxa"/>
            <w:vAlign w:val="bottom"/>
          </w:tcPr>
          <w:p w14:paraId="58B3BE91" w14:textId="060C644D"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Singapore</w:t>
            </w:r>
          </w:p>
        </w:tc>
        <w:tc>
          <w:tcPr>
            <w:tcW w:w="1417" w:type="dxa"/>
            <w:shd w:val="clear" w:color="auto" w:fill="auto"/>
          </w:tcPr>
          <w:p w14:paraId="375BBF96" w14:textId="2470811E" w:rsidR="005F1D33" w:rsidRPr="00B515C3" w:rsidRDefault="005F1D33" w:rsidP="009E166E">
            <w:pPr>
              <w:spacing w:before="40" w:after="40"/>
              <w:jc w:val="center"/>
              <w:rPr>
                <w:rFonts w:ascii="Calibri" w:hAnsi="Calibri" w:cs="Calibri"/>
                <w:color w:val="000000"/>
                <w:szCs w:val="22"/>
              </w:rPr>
            </w:pPr>
            <w:r w:rsidRPr="00B515C3">
              <w:rPr>
                <w:rFonts w:ascii="Calibri" w:hAnsi="Calibri" w:cs="Calibri"/>
                <w:color w:val="000000"/>
                <w:szCs w:val="22"/>
              </w:rPr>
              <w:t>10</w:t>
            </w:r>
          </w:p>
        </w:tc>
      </w:tr>
      <w:tr w:rsidR="001137E1" w:rsidRPr="009E1F28" w14:paraId="47889084" w14:textId="77777777" w:rsidTr="00E35D58">
        <w:trPr>
          <w:trHeight w:val="300"/>
        </w:trPr>
        <w:tc>
          <w:tcPr>
            <w:tcW w:w="3288" w:type="dxa"/>
            <w:shd w:val="clear" w:color="auto" w:fill="auto"/>
            <w:noWrap/>
            <w:vAlign w:val="bottom"/>
            <w:hideMark/>
          </w:tcPr>
          <w:p w14:paraId="693A8A6E"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France</w:t>
            </w:r>
          </w:p>
        </w:tc>
        <w:tc>
          <w:tcPr>
            <w:tcW w:w="1417" w:type="dxa"/>
            <w:vAlign w:val="center"/>
          </w:tcPr>
          <w:p w14:paraId="4701D495" w14:textId="2D80490F"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c>
          <w:tcPr>
            <w:tcW w:w="3128" w:type="dxa"/>
            <w:vAlign w:val="bottom"/>
          </w:tcPr>
          <w:p w14:paraId="1B24E96A" w14:textId="65F1946B"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Slovak</w:t>
            </w:r>
            <w:r w:rsidR="00167F05">
              <w:rPr>
                <w:rFonts w:ascii="Calibri" w:hAnsi="Calibri" w:cs="Calibri"/>
                <w:color w:val="000000"/>
                <w:szCs w:val="22"/>
              </w:rPr>
              <w:t>ia</w:t>
            </w:r>
          </w:p>
        </w:tc>
        <w:tc>
          <w:tcPr>
            <w:tcW w:w="1417" w:type="dxa"/>
            <w:shd w:val="clear" w:color="auto" w:fill="auto"/>
          </w:tcPr>
          <w:p w14:paraId="71BA70EC" w14:textId="696F7B00" w:rsidR="005F1D33" w:rsidRPr="00B515C3" w:rsidRDefault="005F1D33" w:rsidP="009E166E">
            <w:pPr>
              <w:spacing w:before="40" w:after="40"/>
              <w:jc w:val="center"/>
              <w:rPr>
                <w:rFonts w:ascii="Calibri" w:hAnsi="Calibri" w:cs="Calibri"/>
                <w:color w:val="000000"/>
                <w:szCs w:val="22"/>
              </w:rPr>
            </w:pPr>
            <w:r w:rsidRPr="00B515C3">
              <w:rPr>
                <w:rFonts w:ascii="Calibri" w:hAnsi="Calibri" w:cs="Calibri"/>
                <w:color w:val="000000"/>
                <w:szCs w:val="22"/>
              </w:rPr>
              <w:t>10</w:t>
            </w:r>
          </w:p>
        </w:tc>
      </w:tr>
      <w:tr w:rsidR="001137E1" w:rsidRPr="009E1F28" w14:paraId="5F06D077" w14:textId="77777777" w:rsidTr="00E35D58">
        <w:trPr>
          <w:trHeight w:val="300"/>
        </w:trPr>
        <w:tc>
          <w:tcPr>
            <w:tcW w:w="3288" w:type="dxa"/>
            <w:shd w:val="clear" w:color="auto" w:fill="auto"/>
            <w:noWrap/>
            <w:vAlign w:val="bottom"/>
            <w:hideMark/>
          </w:tcPr>
          <w:p w14:paraId="5D1CE9C6"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Germany</w:t>
            </w:r>
          </w:p>
        </w:tc>
        <w:tc>
          <w:tcPr>
            <w:tcW w:w="1417" w:type="dxa"/>
            <w:vAlign w:val="center"/>
          </w:tcPr>
          <w:p w14:paraId="35A02FD8" w14:textId="2D7F8E1B"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c>
          <w:tcPr>
            <w:tcW w:w="3128" w:type="dxa"/>
            <w:vAlign w:val="bottom"/>
          </w:tcPr>
          <w:p w14:paraId="51844AAB" w14:textId="74CE9EA4"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South Africa</w:t>
            </w:r>
          </w:p>
        </w:tc>
        <w:tc>
          <w:tcPr>
            <w:tcW w:w="1417" w:type="dxa"/>
            <w:shd w:val="clear" w:color="auto" w:fill="auto"/>
            <w:vAlign w:val="center"/>
          </w:tcPr>
          <w:p w14:paraId="76357197" w14:textId="35A8EC25"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4D695FCA" w14:textId="77777777" w:rsidTr="00E35D58">
        <w:trPr>
          <w:trHeight w:val="300"/>
        </w:trPr>
        <w:tc>
          <w:tcPr>
            <w:tcW w:w="3288" w:type="dxa"/>
            <w:shd w:val="clear" w:color="auto" w:fill="auto"/>
            <w:noWrap/>
            <w:vAlign w:val="bottom"/>
            <w:hideMark/>
          </w:tcPr>
          <w:p w14:paraId="1630D4EE"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Hungary</w:t>
            </w:r>
          </w:p>
        </w:tc>
        <w:tc>
          <w:tcPr>
            <w:tcW w:w="1417" w:type="dxa"/>
            <w:vAlign w:val="center"/>
          </w:tcPr>
          <w:p w14:paraId="5AF2BC45" w14:textId="117B6A7E"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10</w:t>
            </w:r>
          </w:p>
        </w:tc>
        <w:tc>
          <w:tcPr>
            <w:tcW w:w="3128" w:type="dxa"/>
            <w:vAlign w:val="bottom"/>
          </w:tcPr>
          <w:p w14:paraId="057F86DB" w14:textId="2C7816F1"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Spain</w:t>
            </w:r>
          </w:p>
        </w:tc>
        <w:tc>
          <w:tcPr>
            <w:tcW w:w="1417" w:type="dxa"/>
            <w:shd w:val="clear" w:color="auto" w:fill="auto"/>
          </w:tcPr>
          <w:p w14:paraId="64592BF5" w14:textId="1614EAAE" w:rsidR="005F1D33" w:rsidRPr="000A7E2E" w:rsidRDefault="005F1D33" w:rsidP="009E166E">
            <w:pPr>
              <w:spacing w:before="40" w:after="40"/>
              <w:jc w:val="center"/>
              <w:rPr>
                <w:rFonts w:ascii="Calibri" w:hAnsi="Calibri" w:cs="Calibri"/>
                <w:color w:val="000000"/>
                <w:szCs w:val="22"/>
              </w:rPr>
            </w:pPr>
            <w:r w:rsidRPr="000A7E2E">
              <w:rPr>
                <w:rFonts w:ascii="Calibri" w:hAnsi="Calibri" w:cs="Calibri"/>
                <w:color w:val="000000"/>
                <w:szCs w:val="22"/>
              </w:rPr>
              <w:t>10</w:t>
            </w:r>
          </w:p>
        </w:tc>
      </w:tr>
      <w:tr w:rsidR="001137E1" w:rsidRPr="009E1F28" w14:paraId="604325F9" w14:textId="77777777" w:rsidTr="00E35D58">
        <w:trPr>
          <w:trHeight w:val="300"/>
        </w:trPr>
        <w:tc>
          <w:tcPr>
            <w:tcW w:w="3288" w:type="dxa"/>
            <w:shd w:val="clear" w:color="auto" w:fill="auto"/>
            <w:noWrap/>
            <w:vAlign w:val="bottom"/>
            <w:hideMark/>
          </w:tcPr>
          <w:p w14:paraId="5E8C999B"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India</w:t>
            </w:r>
          </w:p>
        </w:tc>
        <w:tc>
          <w:tcPr>
            <w:tcW w:w="1417" w:type="dxa"/>
            <w:vAlign w:val="center"/>
          </w:tcPr>
          <w:p w14:paraId="33A1F51C" w14:textId="46B11E98"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 xml:space="preserve">15 </w:t>
            </w:r>
          </w:p>
        </w:tc>
        <w:tc>
          <w:tcPr>
            <w:tcW w:w="3128" w:type="dxa"/>
            <w:vAlign w:val="bottom"/>
          </w:tcPr>
          <w:p w14:paraId="0DB1B298" w14:textId="3B7BC17F"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Sri Lanka</w:t>
            </w:r>
          </w:p>
        </w:tc>
        <w:tc>
          <w:tcPr>
            <w:tcW w:w="1417" w:type="dxa"/>
            <w:shd w:val="clear" w:color="auto" w:fill="auto"/>
          </w:tcPr>
          <w:p w14:paraId="676A0CD8" w14:textId="15BAE607" w:rsidR="005F1D33" w:rsidRPr="000A7E2E" w:rsidRDefault="005F1D33" w:rsidP="009E166E">
            <w:pPr>
              <w:spacing w:before="40" w:after="40"/>
              <w:jc w:val="center"/>
              <w:rPr>
                <w:rFonts w:ascii="Calibri" w:hAnsi="Calibri" w:cs="Calibri"/>
                <w:color w:val="000000"/>
                <w:szCs w:val="22"/>
              </w:rPr>
            </w:pPr>
            <w:r w:rsidRPr="000A7E2E">
              <w:rPr>
                <w:rFonts w:ascii="Calibri" w:hAnsi="Calibri" w:cs="Calibri"/>
                <w:color w:val="000000"/>
                <w:szCs w:val="22"/>
              </w:rPr>
              <w:t>10</w:t>
            </w:r>
          </w:p>
        </w:tc>
      </w:tr>
      <w:tr w:rsidR="00556A5A" w:rsidRPr="009E1F28" w14:paraId="6F1AF3ED" w14:textId="77777777" w:rsidTr="00E35D58">
        <w:trPr>
          <w:trHeight w:val="300"/>
        </w:trPr>
        <w:tc>
          <w:tcPr>
            <w:tcW w:w="3288" w:type="dxa"/>
            <w:shd w:val="clear" w:color="auto" w:fill="auto"/>
            <w:noWrap/>
            <w:vAlign w:val="bottom"/>
            <w:hideMark/>
          </w:tcPr>
          <w:p w14:paraId="0B14A57D"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Indonesia</w:t>
            </w:r>
          </w:p>
        </w:tc>
        <w:tc>
          <w:tcPr>
            <w:tcW w:w="1417" w:type="dxa"/>
            <w:vAlign w:val="center"/>
          </w:tcPr>
          <w:p w14:paraId="186BD3D5" w14:textId="13EF7740"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 xml:space="preserve">15 </w:t>
            </w:r>
          </w:p>
        </w:tc>
        <w:tc>
          <w:tcPr>
            <w:tcW w:w="3128" w:type="dxa"/>
            <w:vAlign w:val="bottom"/>
          </w:tcPr>
          <w:p w14:paraId="1FE2345F" w14:textId="3E17598F"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Sweden</w:t>
            </w:r>
          </w:p>
        </w:tc>
        <w:tc>
          <w:tcPr>
            <w:tcW w:w="1417" w:type="dxa"/>
          </w:tcPr>
          <w:p w14:paraId="254523C3" w14:textId="20D39393" w:rsidR="005F1D33" w:rsidRPr="000A7E2E" w:rsidRDefault="005F1D33" w:rsidP="009E166E">
            <w:pPr>
              <w:spacing w:before="40" w:after="40"/>
              <w:jc w:val="center"/>
              <w:rPr>
                <w:rFonts w:ascii="Calibri" w:hAnsi="Calibri" w:cs="Calibri"/>
                <w:color w:val="000000"/>
                <w:szCs w:val="22"/>
              </w:rPr>
            </w:pPr>
            <w:r w:rsidRPr="000A7E2E">
              <w:rPr>
                <w:rFonts w:ascii="Calibri" w:hAnsi="Calibri" w:cs="Calibri"/>
                <w:color w:val="000000"/>
                <w:szCs w:val="22"/>
              </w:rPr>
              <w:t>10</w:t>
            </w:r>
          </w:p>
        </w:tc>
      </w:tr>
      <w:tr w:rsidR="001137E1" w:rsidRPr="009E1F28" w14:paraId="3E49582C" w14:textId="77777777" w:rsidTr="00E35D58">
        <w:trPr>
          <w:trHeight w:val="300"/>
        </w:trPr>
        <w:tc>
          <w:tcPr>
            <w:tcW w:w="3288" w:type="dxa"/>
            <w:shd w:val="clear" w:color="auto" w:fill="auto"/>
            <w:noWrap/>
            <w:vAlign w:val="bottom"/>
            <w:hideMark/>
          </w:tcPr>
          <w:p w14:paraId="780CC0CF"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Ireland</w:t>
            </w:r>
          </w:p>
        </w:tc>
        <w:tc>
          <w:tcPr>
            <w:tcW w:w="1417" w:type="dxa"/>
            <w:vAlign w:val="center"/>
          </w:tcPr>
          <w:p w14:paraId="480BFAE8" w14:textId="64BE9768"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w:t>
            </w:r>
            <w:r>
              <w:rPr>
                <w:rFonts w:ascii="Calibri" w:hAnsi="Calibri" w:cs="Calibri"/>
                <w:color w:val="000000"/>
                <w:szCs w:val="22"/>
              </w:rPr>
              <w:t>0</w:t>
            </w:r>
          </w:p>
        </w:tc>
        <w:tc>
          <w:tcPr>
            <w:tcW w:w="3128" w:type="dxa"/>
            <w:vAlign w:val="bottom"/>
          </w:tcPr>
          <w:p w14:paraId="71054C6C" w14:textId="6FD132F6"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Switzerland</w:t>
            </w:r>
          </w:p>
        </w:tc>
        <w:tc>
          <w:tcPr>
            <w:tcW w:w="1417" w:type="dxa"/>
            <w:shd w:val="clear" w:color="auto" w:fill="auto"/>
            <w:vAlign w:val="center"/>
          </w:tcPr>
          <w:p w14:paraId="6DE04C96" w14:textId="479CE8EC"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43868747" w14:textId="77777777" w:rsidTr="00E35D58">
        <w:trPr>
          <w:trHeight w:val="300"/>
        </w:trPr>
        <w:tc>
          <w:tcPr>
            <w:tcW w:w="3288" w:type="dxa"/>
            <w:shd w:val="clear" w:color="auto" w:fill="auto"/>
            <w:noWrap/>
            <w:vAlign w:val="bottom"/>
            <w:hideMark/>
          </w:tcPr>
          <w:p w14:paraId="1EC86E9F"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Israel</w:t>
            </w:r>
          </w:p>
        </w:tc>
        <w:tc>
          <w:tcPr>
            <w:tcW w:w="1417" w:type="dxa"/>
            <w:vAlign w:val="center"/>
          </w:tcPr>
          <w:p w14:paraId="2642E36F" w14:textId="7EC363B8"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c>
          <w:tcPr>
            <w:tcW w:w="3128" w:type="dxa"/>
            <w:vAlign w:val="bottom"/>
          </w:tcPr>
          <w:p w14:paraId="73B5EAE3" w14:textId="69A092C1"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Taiwan</w:t>
            </w:r>
          </w:p>
        </w:tc>
        <w:tc>
          <w:tcPr>
            <w:tcW w:w="1417" w:type="dxa"/>
            <w:shd w:val="clear" w:color="auto" w:fill="auto"/>
            <w:vAlign w:val="center"/>
          </w:tcPr>
          <w:p w14:paraId="5BC97E6A" w14:textId="502ADAF7"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12</w:t>
            </w:r>
            <w:r>
              <w:rPr>
                <w:rFonts w:ascii="Calibri" w:hAnsi="Calibri" w:cs="Calibri"/>
                <w:color w:val="000000"/>
                <w:szCs w:val="22"/>
              </w:rPr>
              <w:t>.</w:t>
            </w:r>
            <w:r w:rsidRPr="009E1F28">
              <w:rPr>
                <w:rFonts w:ascii="Calibri" w:hAnsi="Calibri" w:cs="Calibri"/>
                <w:color w:val="000000"/>
                <w:szCs w:val="22"/>
              </w:rPr>
              <w:t>5</w:t>
            </w:r>
          </w:p>
        </w:tc>
      </w:tr>
      <w:tr w:rsidR="001137E1" w:rsidRPr="009E1F28" w14:paraId="47CD751D" w14:textId="77777777" w:rsidTr="00E35D58">
        <w:trPr>
          <w:trHeight w:val="300"/>
        </w:trPr>
        <w:tc>
          <w:tcPr>
            <w:tcW w:w="3288" w:type="dxa"/>
            <w:shd w:val="clear" w:color="auto" w:fill="auto"/>
            <w:noWrap/>
            <w:vAlign w:val="bottom"/>
            <w:hideMark/>
          </w:tcPr>
          <w:p w14:paraId="1B008EB4"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Italy</w:t>
            </w:r>
          </w:p>
        </w:tc>
        <w:tc>
          <w:tcPr>
            <w:tcW w:w="1417" w:type="dxa"/>
            <w:vAlign w:val="center"/>
          </w:tcPr>
          <w:p w14:paraId="2BA36AB9" w14:textId="28D57C1C"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w:t>
            </w:r>
            <w:r>
              <w:rPr>
                <w:rFonts w:ascii="Calibri" w:hAnsi="Calibri" w:cs="Calibri"/>
                <w:color w:val="000000"/>
                <w:szCs w:val="22"/>
              </w:rPr>
              <w:t>0</w:t>
            </w:r>
          </w:p>
        </w:tc>
        <w:tc>
          <w:tcPr>
            <w:tcW w:w="3128" w:type="dxa"/>
            <w:vAlign w:val="bottom"/>
          </w:tcPr>
          <w:p w14:paraId="176EB31C" w14:textId="171F224E"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Thailand</w:t>
            </w:r>
          </w:p>
        </w:tc>
        <w:tc>
          <w:tcPr>
            <w:tcW w:w="1417" w:type="dxa"/>
            <w:shd w:val="clear" w:color="auto" w:fill="auto"/>
            <w:vAlign w:val="center"/>
          </w:tcPr>
          <w:p w14:paraId="7EBB9F8A" w14:textId="2073C562"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15</w:t>
            </w:r>
          </w:p>
        </w:tc>
      </w:tr>
      <w:tr w:rsidR="001137E1" w:rsidRPr="009E1F28" w14:paraId="0C7422DB" w14:textId="77777777" w:rsidTr="00E35D58">
        <w:trPr>
          <w:trHeight w:val="300"/>
        </w:trPr>
        <w:tc>
          <w:tcPr>
            <w:tcW w:w="3288" w:type="dxa"/>
            <w:shd w:val="clear" w:color="auto" w:fill="auto"/>
            <w:noWrap/>
            <w:vAlign w:val="bottom"/>
            <w:hideMark/>
          </w:tcPr>
          <w:p w14:paraId="3012B181"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Japan</w:t>
            </w:r>
          </w:p>
        </w:tc>
        <w:tc>
          <w:tcPr>
            <w:tcW w:w="1417" w:type="dxa"/>
            <w:vAlign w:val="center"/>
          </w:tcPr>
          <w:p w14:paraId="0D45880C" w14:textId="2107182A"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c>
          <w:tcPr>
            <w:tcW w:w="3128" w:type="dxa"/>
            <w:vAlign w:val="bottom"/>
          </w:tcPr>
          <w:p w14:paraId="39C8CAE6" w14:textId="1467F92D"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Turkey</w:t>
            </w:r>
          </w:p>
        </w:tc>
        <w:tc>
          <w:tcPr>
            <w:tcW w:w="1417" w:type="dxa"/>
            <w:shd w:val="clear" w:color="auto" w:fill="auto"/>
            <w:vAlign w:val="center"/>
          </w:tcPr>
          <w:p w14:paraId="3405E280" w14:textId="73CEEC24"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10</w:t>
            </w:r>
          </w:p>
        </w:tc>
      </w:tr>
      <w:tr w:rsidR="001137E1" w:rsidRPr="009E1F28" w14:paraId="3306B010" w14:textId="77777777" w:rsidTr="00E35D58">
        <w:trPr>
          <w:trHeight w:val="300"/>
        </w:trPr>
        <w:tc>
          <w:tcPr>
            <w:tcW w:w="3288" w:type="dxa"/>
            <w:shd w:val="clear" w:color="auto" w:fill="auto"/>
            <w:noWrap/>
            <w:vAlign w:val="bottom"/>
            <w:hideMark/>
          </w:tcPr>
          <w:p w14:paraId="5E69F2AA"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Kiribati</w:t>
            </w:r>
          </w:p>
        </w:tc>
        <w:tc>
          <w:tcPr>
            <w:tcW w:w="1417" w:type="dxa"/>
            <w:vAlign w:val="center"/>
          </w:tcPr>
          <w:p w14:paraId="757013FA" w14:textId="2836BC81"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15</w:t>
            </w:r>
          </w:p>
        </w:tc>
        <w:tc>
          <w:tcPr>
            <w:tcW w:w="3128" w:type="dxa"/>
            <w:vAlign w:val="bottom"/>
          </w:tcPr>
          <w:p w14:paraId="0E5AE7CD" w14:textId="64461524"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United Kingdom</w:t>
            </w:r>
          </w:p>
        </w:tc>
        <w:tc>
          <w:tcPr>
            <w:tcW w:w="1417" w:type="dxa"/>
            <w:shd w:val="clear" w:color="auto" w:fill="auto"/>
            <w:vAlign w:val="center"/>
          </w:tcPr>
          <w:p w14:paraId="13A98971" w14:textId="6FA5EDDA"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63C98436" w14:textId="77777777" w:rsidTr="00E35D58">
        <w:trPr>
          <w:trHeight w:val="300"/>
        </w:trPr>
        <w:tc>
          <w:tcPr>
            <w:tcW w:w="3288" w:type="dxa"/>
            <w:shd w:val="clear" w:color="auto" w:fill="auto"/>
            <w:noWrap/>
            <w:vAlign w:val="bottom"/>
            <w:hideMark/>
          </w:tcPr>
          <w:p w14:paraId="229D2264" w14:textId="4CC6B371"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Korea</w:t>
            </w:r>
            <w:r w:rsidR="00167F05">
              <w:rPr>
                <w:rFonts w:ascii="Calibri" w:hAnsi="Calibri" w:cs="Calibri"/>
                <w:color w:val="000000"/>
                <w:szCs w:val="22"/>
              </w:rPr>
              <w:t xml:space="preserve"> (</w:t>
            </w:r>
            <w:r w:rsidRPr="00C401F8">
              <w:rPr>
                <w:rFonts w:ascii="Calibri" w:hAnsi="Calibri" w:cs="Calibri"/>
                <w:color w:val="000000"/>
                <w:szCs w:val="22"/>
              </w:rPr>
              <w:t>Republic of</w:t>
            </w:r>
            <w:r w:rsidR="00167F05">
              <w:rPr>
                <w:rFonts w:ascii="Calibri" w:hAnsi="Calibri" w:cs="Calibri"/>
                <w:color w:val="000000"/>
                <w:szCs w:val="22"/>
              </w:rPr>
              <w:t>)</w:t>
            </w:r>
          </w:p>
        </w:tc>
        <w:tc>
          <w:tcPr>
            <w:tcW w:w="1417" w:type="dxa"/>
            <w:vAlign w:val="center"/>
          </w:tcPr>
          <w:p w14:paraId="7D22C05A" w14:textId="56EA7202"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15</w:t>
            </w:r>
          </w:p>
        </w:tc>
        <w:tc>
          <w:tcPr>
            <w:tcW w:w="3128" w:type="dxa"/>
            <w:vAlign w:val="bottom"/>
          </w:tcPr>
          <w:p w14:paraId="114B818A" w14:textId="4BA2B3FD"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United States of America</w:t>
            </w:r>
          </w:p>
        </w:tc>
        <w:tc>
          <w:tcPr>
            <w:tcW w:w="1417" w:type="dxa"/>
            <w:shd w:val="clear" w:color="auto" w:fill="auto"/>
            <w:vAlign w:val="center"/>
          </w:tcPr>
          <w:p w14:paraId="7A169DB2" w14:textId="3BDFCB0D"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5</w:t>
            </w:r>
          </w:p>
        </w:tc>
      </w:tr>
      <w:tr w:rsidR="001137E1" w:rsidRPr="009E1F28" w14:paraId="4078F7A7" w14:textId="77777777" w:rsidTr="00E35D58">
        <w:trPr>
          <w:trHeight w:val="300"/>
        </w:trPr>
        <w:tc>
          <w:tcPr>
            <w:tcW w:w="3288" w:type="dxa"/>
            <w:shd w:val="clear" w:color="auto" w:fill="auto"/>
            <w:noWrap/>
            <w:vAlign w:val="bottom"/>
            <w:hideMark/>
          </w:tcPr>
          <w:p w14:paraId="44E1F784" w14:textId="77777777"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Malaysia</w:t>
            </w:r>
          </w:p>
        </w:tc>
        <w:tc>
          <w:tcPr>
            <w:tcW w:w="1417" w:type="dxa"/>
            <w:vAlign w:val="center"/>
          </w:tcPr>
          <w:p w14:paraId="132DA186" w14:textId="7B24AC10" w:rsidR="005F1D33" w:rsidRPr="009E1F28" w:rsidRDefault="005F1D33" w:rsidP="009E166E">
            <w:pPr>
              <w:spacing w:before="40" w:after="40"/>
              <w:jc w:val="center"/>
              <w:rPr>
                <w:rFonts w:ascii="Calibri" w:hAnsi="Calibri" w:cs="Calibri"/>
                <w:color w:val="000000"/>
                <w:szCs w:val="22"/>
              </w:rPr>
            </w:pPr>
            <w:r w:rsidRPr="009E1F28">
              <w:rPr>
                <w:rFonts w:ascii="Calibri" w:hAnsi="Calibri" w:cs="Calibri"/>
                <w:color w:val="000000"/>
                <w:szCs w:val="22"/>
              </w:rPr>
              <w:t>15</w:t>
            </w:r>
          </w:p>
        </w:tc>
        <w:tc>
          <w:tcPr>
            <w:tcW w:w="3128" w:type="dxa"/>
            <w:vAlign w:val="bottom"/>
          </w:tcPr>
          <w:p w14:paraId="5FBA7D3D" w14:textId="137D78E8" w:rsidR="005F1D33" w:rsidRPr="00C401F8" w:rsidRDefault="005F1D33" w:rsidP="003B30CA">
            <w:pPr>
              <w:spacing w:before="40" w:after="40"/>
              <w:rPr>
                <w:rFonts w:ascii="Calibri" w:hAnsi="Calibri" w:cs="Calibri"/>
                <w:color w:val="000000"/>
                <w:szCs w:val="22"/>
              </w:rPr>
            </w:pPr>
            <w:r w:rsidRPr="00C401F8">
              <w:rPr>
                <w:rFonts w:ascii="Calibri" w:hAnsi="Calibri" w:cs="Calibri"/>
                <w:color w:val="000000"/>
                <w:szCs w:val="22"/>
              </w:rPr>
              <w:t>Vietnam</w:t>
            </w:r>
          </w:p>
        </w:tc>
        <w:tc>
          <w:tcPr>
            <w:tcW w:w="1417" w:type="dxa"/>
            <w:shd w:val="clear" w:color="auto" w:fill="auto"/>
            <w:vAlign w:val="center"/>
          </w:tcPr>
          <w:p w14:paraId="06DC9AAF" w14:textId="4F942530" w:rsidR="005F1D33" w:rsidRDefault="005F1D33" w:rsidP="009E166E">
            <w:pPr>
              <w:spacing w:before="40" w:after="40"/>
              <w:jc w:val="center"/>
              <w:rPr>
                <w:rFonts w:ascii="Calibri" w:hAnsi="Calibri" w:cs="Calibri"/>
                <w:color w:val="000000"/>
                <w:szCs w:val="22"/>
              </w:rPr>
            </w:pPr>
            <w:r>
              <w:rPr>
                <w:rFonts w:ascii="Calibri" w:hAnsi="Calibri" w:cs="Calibri"/>
                <w:color w:val="000000"/>
                <w:szCs w:val="22"/>
              </w:rPr>
              <w:t>10</w:t>
            </w:r>
          </w:p>
        </w:tc>
      </w:tr>
      <w:tr w:rsidR="003C63DF" w:rsidRPr="009E1F28" w14:paraId="5CF116C4" w14:textId="77777777" w:rsidTr="00E35D58">
        <w:trPr>
          <w:trHeight w:val="300"/>
        </w:trPr>
        <w:tc>
          <w:tcPr>
            <w:tcW w:w="3288" w:type="dxa"/>
            <w:shd w:val="clear" w:color="auto" w:fill="auto"/>
            <w:noWrap/>
            <w:vAlign w:val="bottom"/>
          </w:tcPr>
          <w:p w14:paraId="7BC19848" w14:textId="11B53304" w:rsidR="009E1F28" w:rsidRPr="00C401F8" w:rsidRDefault="009E1F28" w:rsidP="009E166E">
            <w:pPr>
              <w:spacing w:before="40" w:after="40"/>
              <w:rPr>
                <w:rFonts w:ascii="Calibri" w:hAnsi="Calibri" w:cs="Calibri"/>
                <w:color w:val="000000"/>
                <w:szCs w:val="22"/>
              </w:rPr>
            </w:pPr>
            <w:r w:rsidRPr="00C401F8">
              <w:rPr>
                <w:rFonts w:ascii="Calibri" w:hAnsi="Calibri" w:cs="Calibri"/>
                <w:color w:val="000000"/>
                <w:szCs w:val="22"/>
              </w:rPr>
              <w:t>Malta</w:t>
            </w:r>
          </w:p>
        </w:tc>
        <w:tc>
          <w:tcPr>
            <w:tcW w:w="1417" w:type="dxa"/>
          </w:tcPr>
          <w:p w14:paraId="553E0A1E" w14:textId="6F72E456" w:rsidR="005F1D33" w:rsidRPr="00A11A0C" w:rsidRDefault="005F1D33" w:rsidP="009E166E">
            <w:pPr>
              <w:spacing w:before="40" w:after="40"/>
              <w:jc w:val="center"/>
              <w:rPr>
                <w:rFonts w:ascii="Calibri" w:hAnsi="Calibri" w:cs="Calibri"/>
                <w:color w:val="000000"/>
                <w:szCs w:val="22"/>
              </w:rPr>
            </w:pPr>
            <w:r w:rsidRPr="00A11A0C">
              <w:rPr>
                <w:rFonts w:ascii="Calibri" w:hAnsi="Calibri" w:cs="Calibri"/>
                <w:color w:val="000000"/>
                <w:szCs w:val="22"/>
              </w:rPr>
              <w:t>10</w:t>
            </w:r>
          </w:p>
        </w:tc>
        <w:tc>
          <w:tcPr>
            <w:tcW w:w="3128" w:type="dxa"/>
            <w:tcBorders>
              <w:bottom w:val="nil"/>
              <w:right w:val="nil"/>
            </w:tcBorders>
            <w:vAlign w:val="bottom"/>
          </w:tcPr>
          <w:p w14:paraId="7053AA57" w14:textId="248C8BDC" w:rsidR="005F1D33" w:rsidRPr="00A11A0C" w:rsidRDefault="005F1D33" w:rsidP="009E166E">
            <w:pPr>
              <w:spacing w:before="40" w:after="40"/>
              <w:jc w:val="center"/>
              <w:rPr>
                <w:rFonts w:ascii="Calibri" w:hAnsi="Calibri" w:cs="Calibri"/>
                <w:color w:val="000000"/>
                <w:szCs w:val="22"/>
              </w:rPr>
            </w:pPr>
          </w:p>
        </w:tc>
        <w:tc>
          <w:tcPr>
            <w:tcW w:w="1417" w:type="dxa"/>
            <w:tcBorders>
              <w:left w:val="nil"/>
              <w:bottom w:val="nil"/>
              <w:right w:val="nil"/>
            </w:tcBorders>
            <w:shd w:val="clear" w:color="auto" w:fill="auto"/>
            <w:vAlign w:val="center"/>
          </w:tcPr>
          <w:p w14:paraId="317BEC33" w14:textId="7323193F" w:rsidR="005F1D33" w:rsidRPr="00A11A0C" w:rsidRDefault="005F1D33" w:rsidP="009E166E">
            <w:pPr>
              <w:spacing w:before="40" w:after="40"/>
              <w:jc w:val="center"/>
              <w:rPr>
                <w:rFonts w:ascii="Calibri" w:hAnsi="Calibri" w:cs="Calibri"/>
                <w:color w:val="000000"/>
                <w:szCs w:val="22"/>
              </w:rPr>
            </w:pPr>
          </w:p>
        </w:tc>
      </w:tr>
    </w:tbl>
    <w:p w14:paraId="4F71A90D" w14:textId="78E1FC29" w:rsidR="00F06A0F" w:rsidRDefault="00F06A0F" w:rsidP="00166D83"/>
    <w:sectPr w:rsidR="00F06A0F" w:rsidSect="009927E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3510" w14:textId="77777777" w:rsidR="005D071F" w:rsidRDefault="005D071F">
      <w:pPr>
        <w:spacing w:before="0" w:after="0"/>
      </w:pPr>
      <w:r>
        <w:separator/>
      </w:r>
    </w:p>
  </w:endnote>
  <w:endnote w:type="continuationSeparator" w:id="0">
    <w:p w14:paraId="08E97227" w14:textId="77777777" w:rsidR="005D071F" w:rsidRDefault="005D071F">
      <w:pPr>
        <w:spacing w:before="0" w:after="0"/>
      </w:pPr>
      <w:r>
        <w:continuationSeparator/>
      </w:r>
    </w:p>
  </w:endnote>
  <w:endnote w:type="continuationNotice" w:id="1">
    <w:p w14:paraId="18040C19" w14:textId="77777777" w:rsidR="005D071F" w:rsidRDefault="005D07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ABCA" w14:textId="77777777" w:rsidR="00762FA3" w:rsidRPr="00E77C89" w:rsidRDefault="00762FA3"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8307" w14:textId="770E40F3" w:rsidR="00762FA3" w:rsidRPr="008043EA" w:rsidRDefault="00762FA3" w:rsidP="0009151A">
    <w:r w:rsidRPr="00742366">
      <w:rPr>
        <w:noProof/>
      </w:rPr>
      <w:drawing>
        <wp:anchor distT="0" distB="0" distL="114300" distR="114300" simplePos="0" relativeHeight="251658241" behindDoc="1" locked="1" layoutInCell="1" allowOverlap="1" wp14:anchorId="64850302" wp14:editId="5DD153E5">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428C4ECF" wp14:editId="1BB8342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8C351F">
        <w:rPr>
          <w:noProof/>
        </w:rPr>
        <w:t>Contents</w:t>
      </w:r>
    </w:fldSimple>
    <w:r>
      <w:t xml:space="preserve"> | </w:t>
    </w:r>
    <w:r>
      <w:fldChar w:fldCharType="begin"/>
    </w:r>
    <w:r>
      <w:instrText xml:space="preserve"> PAGE   \* MERGEFORMAT </w:instrText>
    </w:r>
    <w:r>
      <w:fldChar w:fldCharType="separate"/>
    </w:r>
    <w:r>
      <w:t>1</w:t>
    </w:r>
    <w:r>
      <w:fldChar w:fldCharType="end"/>
    </w:r>
  </w:p>
  <w:p w14:paraId="4BF36B2D" w14:textId="77777777" w:rsidR="00762FA3" w:rsidRPr="008043EA" w:rsidRDefault="00762FA3"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8148" w14:textId="77777777" w:rsidR="00762FA3" w:rsidRPr="00E77C89" w:rsidRDefault="00762FA3"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2E2E" w14:textId="557A134A" w:rsidR="00762FA3" w:rsidRPr="00E13E90" w:rsidRDefault="00762FA3" w:rsidP="00E13E90">
    <w:pPr>
      <w:pStyle w:val="Footer"/>
    </w:pPr>
    <w:r w:rsidRPr="00742366">
      <w:drawing>
        <wp:anchor distT="0" distB="0" distL="114300" distR="114300" simplePos="0" relativeHeight="251658243" behindDoc="1" locked="1" layoutInCell="1" allowOverlap="1" wp14:anchorId="51E0525D" wp14:editId="25C48970">
          <wp:simplePos x="0" y="0"/>
          <wp:positionH relativeFrom="margin">
            <wp:posOffset>5459095</wp:posOffset>
          </wp:positionH>
          <wp:positionV relativeFrom="page">
            <wp:posOffset>3280410</wp:posOffset>
          </wp:positionV>
          <wp:extent cx="7574280" cy="1043940"/>
          <wp:effectExtent l="762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FD94462" wp14:editId="4D21545E">
          <wp:extent cx="1324800" cy="201600"/>
          <wp:effectExtent l="0" t="0" r="0" b="825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D2292A">
        <w:t>Part 3: Multinational tax transparency</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DA38" w14:textId="77777777" w:rsidR="00762FA3" w:rsidRDefault="0076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A28A" w14:textId="77777777" w:rsidR="005D071F" w:rsidRDefault="005D071F">
      <w:pPr>
        <w:spacing w:before="0" w:after="0"/>
      </w:pPr>
      <w:r>
        <w:separator/>
      </w:r>
    </w:p>
  </w:footnote>
  <w:footnote w:type="continuationSeparator" w:id="0">
    <w:p w14:paraId="7106D240" w14:textId="77777777" w:rsidR="005D071F" w:rsidRDefault="005D071F">
      <w:pPr>
        <w:spacing w:before="0" w:after="0"/>
      </w:pPr>
      <w:r>
        <w:continuationSeparator/>
      </w:r>
    </w:p>
  </w:footnote>
  <w:footnote w:type="continuationNotice" w:id="1">
    <w:p w14:paraId="407B63D3" w14:textId="77777777" w:rsidR="005D071F" w:rsidRDefault="005D071F">
      <w:pPr>
        <w:spacing w:before="0" w:after="0"/>
      </w:pPr>
    </w:p>
  </w:footnote>
  <w:footnote w:id="2">
    <w:p w14:paraId="24087A29" w14:textId="206DECE6" w:rsidR="009E5599" w:rsidRPr="000B5893" w:rsidRDefault="009E5599">
      <w:pPr>
        <w:pStyle w:val="FootnoteText"/>
      </w:pPr>
      <w:r>
        <w:rPr>
          <w:rStyle w:val="FootnoteReference"/>
        </w:rPr>
        <w:footnoteRef/>
      </w:r>
      <w:r>
        <w:t xml:space="preserve"> </w:t>
      </w:r>
      <w:r w:rsidR="000B5893">
        <w:t xml:space="preserve">OECD report on </w:t>
      </w:r>
      <w:r w:rsidR="000B5893">
        <w:rPr>
          <w:i/>
          <w:iCs/>
        </w:rPr>
        <w:t>Limiting Base Erosion Involving Interest Deductions and Other Financial Payments Action 4 – 2016 Update</w:t>
      </w:r>
      <w:r w:rsidR="000B5893">
        <w:t>, pg. 19</w:t>
      </w:r>
    </w:p>
  </w:footnote>
  <w:footnote w:id="3">
    <w:p w14:paraId="6F4490B1" w14:textId="0831982C" w:rsidR="000B5893" w:rsidRDefault="000B5893">
      <w:pPr>
        <w:pStyle w:val="FootnoteText"/>
      </w:pPr>
      <w:r>
        <w:rPr>
          <w:rStyle w:val="FootnoteReference"/>
        </w:rPr>
        <w:footnoteRef/>
      </w:r>
      <w:r>
        <w:t xml:space="preserve"> OECD report on </w:t>
      </w:r>
      <w:r>
        <w:rPr>
          <w:i/>
          <w:iCs/>
        </w:rPr>
        <w:t>Limiting Base Erosion Involving Interest Deductions and Other Financial Payments Action 4 – 2016 Update</w:t>
      </w:r>
      <w:r>
        <w:t>, pg. 19</w:t>
      </w:r>
    </w:p>
  </w:footnote>
  <w:footnote w:id="4">
    <w:p w14:paraId="4F10C443" w14:textId="77777777" w:rsidR="00762FA3" w:rsidRDefault="00762FA3" w:rsidP="001C56A9">
      <w:pPr>
        <w:pStyle w:val="FootnoteText"/>
        <w:spacing w:before="120" w:after="120"/>
      </w:pPr>
      <w:r w:rsidRPr="001C56A9">
        <w:rPr>
          <w:rStyle w:val="FootnoteReference"/>
          <w:sz w:val="20"/>
        </w:rPr>
        <w:footnoteRef/>
      </w:r>
      <w:r>
        <w:t xml:space="preserve"> Australian Taxation Office Taxpayer Alert TA 2020/1, </w:t>
      </w:r>
      <w:r w:rsidRPr="000A2881">
        <w:rPr>
          <w:i/>
        </w:rPr>
        <w:t>‘Non-arm's length arrangements and schemes connected with the development, enhancement, maintenance, protection and exploitation of intangible assets’</w:t>
      </w:r>
    </w:p>
  </w:footnote>
  <w:footnote w:id="5">
    <w:p w14:paraId="0703B090" w14:textId="063F9EAD" w:rsidR="00762FA3" w:rsidRPr="002C365D" w:rsidRDefault="00762FA3" w:rsidP="001C56A9">
      <w:pPr>
        <w:pStyle w:val="FootnoteText"/>
        <w:spacing w:before="120" w:after="120"/>
      </w:pPr>
      <w:r w:rsidRPr="001C56A9">
        <w:rPr>
          <w:rStyle w:val="FootnoteReference"/>
          <w:sz w:val="20"/>
        </w:rPr>
        <w:footnoteRef/>
      </w:r>
      <w:r w:rsidRPr="00C401F8">
        <w:rPr>
          <w:rStyle w:val="FootnoteReference"/>
          <w:sz w:val="20"/>
        </w:rPr>
        <w:t xml:space="preserve"> </w:t>
      </w:r>
      <w:r>
        <w:t>Australian Taxation Office Taxpayer Alert TA 2018/2, ‘</w:t>
      </w:r>
      <w:r>
        <w:rPr>
          <w:i/>
          <w:iCs/>
        </w:rPr>
        <w:t>Mischaracterisation of activities or payments in connection with intangible assets</w:t>
      </w:r>
      <w:r>
        <w:t xml:space="preserve">’ </w:t>
      </w:r>
    </w:p>
  </w:footnote>
  <w:footnote w:id="6">
    <w:p w14:paraId="11B526BD" w14:textId="77777777" w:rsidR="00762FA3" w:rsidRPr="001C56A9" w:rsidRDefault="00762FA3" w:rsidP="00D85D6B">
      <w:pPr>
        <w:pStyle w:val="FootnoteText"/>
        <w:spacing w:before="120" w:after="120"/>
      </w:pPr>
      <w:r w:rsidRPr="001C56A9">
        <w:rPr>
          <w:rStyle w:val="FootnoteReference"/>
          <w:sz w:val="20"/>
        </w:rPr>
        <w:footnoteRef/>
      </w:r>
      <w:r w:rsidRPr="001C56A9">
        <w:t xml:space="preserve"> For further information on the concept GPEs, see </w:t>
      </w:r>
      <w:hyperlink r:id="rId1" w:anchor="Significantglobalentitydefinition" w:history="1">
        <w:r w:rsidRPr="001C56A9">
          <w:rPr>
            <w:rStyle w:val="Hyperlink"/>
          </w:rPr>
          <w:t>https://www.ato.gov.au/business/public-business-and-international/significant-global-entities/#Significantglobalentitydefinition</w:t>
        </w:r>
      </w:hyperlink>
      <w:r w:rsidRPr="001C56A9">
        <w:t xml:space="preserve">. </w:t>
      </w:r>
    </w:p>
  </w:footnote>
  <w:footnote w:id="7">
    <w:p w14:paraId="6D9BCEE3" w14:textId="77777777" w:rsidR="00762FA3" w:rsidRPr="001C56A9" w:rsidRDefault="00762FA3" w:rsidP="00D85D6B">
      <w:pPr>
        <w:pStyle w:val="FootnoteText"/>
        <w:spacing w:before="120" w:after="120"/>
      </w:pPr>
      <w:r w:rsidRPr="001C56A9">
        <w:rPr>
          <w:rStyle w:val="FootnoteReference"/>
          <w:sz w:val="20"/>
        </w:rPr>
        <w:footnoteRef/>
      </w:r>
      <w:r w:rsidRPr="001C56A9">
        <w:t xml:space="preserve"> The annual global income is the total of income that goes to the determination of profit or loss in accordance with Accounting Standard AASB 101 as shown on the global financial statements, or that would have been shown had such statements been prepared. While the definition of income also encompasses other comprehensive income, annual global income does not include other comprehensive income, as it does not go to the determination of profit or loss. For further information on annual global income, see </w:t>
      </w:r>
      <w:hyperlink r:id="rId2" w:anchor="Significantglobalentitydefinition" w:history="1">
        <w:r w:rsidRPr="001C56A9">
          <w:rPr>
            <w:rStyle w:val="Hyperlink"/>
          </w:rPr>
          <w:t>https://www.ato.gov.au/business/public-business-and-international/significant-global-entities/#Significantglobalentitydefinition</w:t>
        </w:r>
      </w:hyperlink>
      <w:r w:rsidRPr="001C56A9">
        <w:t xml:space="preserve"> </w:t>
      </w:r>
    </w:p>
  </w:footnote>
  <w:footnote w:id="8">
    <w:p w14:paraId="2428BBBB" w14:textId="77777777" w:rsidR="00762FA3" w:rsidRDefault="00762FA3" w:rsidP="004533C0">
      <w:pPr>
        <w:pStyle w:val="FootnoteText"/>
        <w:spacing w:before="120" w:after="120"/>
      </w:pPr>
      <w:r>
        <w:rPr>
          <w:rStyle w:val="FootnoteReference"/>
        </w:rPr>
        <w:footnoteRef/>
      </w:r>
      <w:r>
        <w:t xml:space="preserve"> </w:t>
      </w:r>
      <w:r w:rsidRPr="00090B73">
        <w:t>The D</w:t>
      </w:r>
      <w:r>
        <w:t>PT</w:t>
      </w:r>
      <w:r w:rsidRPr="00090B73">
        <w:t xml:space="preserve"> </w:t>
      </w:r>
      <w:r>
        <w:t>aims to ensure that tax paid by significant global entities (SGEs) reflects their activities in Australia and prevent the diversion of profits offshore.</w:t>
      </w:r>
    </w:p>
  </w:footnote>
  <w:footnote w:id="9">
    <w:p w14:paraId="18649CB5" w14:textId="4FD8F896" w:rsidR="00762FA3" w:rsidRDefault="00762FA3" w:rsidP="001C56A9">
      <w:pPr>
        <w:pStyle w:val="FootnoteText"/>
        <w:spacing w:before="120" w:after="120"/>
      </w:pPr>
      <w:r w:rsidRPr="001C56A9">
        <w:rPr>
          <w:rStyle w:val="FootnoteReference"/>
          <w:sz w:val="20"/>
        </w:rPr>
        <w:footnoteRef/>
      </w:r>
      <w:r>
        <w:t xml:space="preserve"> It is noted, however, that even though high-wealth individuals may be classified as SGEs, CbC reporting obligations do not apply to individuals, per sections 815-375 and 815-380 of the ITAA 1997.</w:t>
      </w:r>
    </w:p>
  </w:footnote>
  <w:footnote w:id="10">
    <w:p w14:paraId="3AFD3554" w14:textId="5A8D70BB" w:rsidR="00762FA3" w:rsidRPr="00E00E2D" w:rsidRDefault="00762FA3" w:rsidP="00FC4257">
      <w:pPr>
        <w:pStyle w:val="FootnoteText"/>
        <w:spacing w:before="120" w:after="120"/>
      </w:pPr>
      <w:r w:rsidRPr="00C401F8">
        <w:rPr>
          <w:rStyle w:val="FootnoteReference"/>
          <w:sz w:val="20"/>
        </w:rPr>
        <w:footnoteRef/>
      </w:r>
      <w:r>
        <w:t xml:space="preserve"> The hybrid mismatch targeted integrity rule intends to deter the use of certain hybrid arrangements that exploit differences in the tax treatment under the income tax laws of two or more countries.</w:t>
      </w:r>
    </w:p>
  </w:footnote>
  <w:footnote w:id="11">
    <w:p w14:paraId="2AC2B423" w14:textId="77777777" w:rsidR="00762FA3" w:rsidRDefault="00762FA3" w:rsidP="00262878">
      <w:pPr>
        <w:pStyle w:val="FootnoteText"/>
        <w:ind w:left="142" w:hanging="142"/>
      </w:pPr>
      <w:r>
        <w:rPr>
          <w:rStyle w:val="FootnoteReference"/>
        </w:rPr>
        <w:footnoteRef/>
      </w:r>
      <w:r>
        <w:t xml:space="preserve"> A CbC reporting entity is defined in </w:t>
      </w:r>
      <w:r w:rsidRPr="00C72980">
        <w:t xml:space="preserve">Subdivision 815-E of the </w:t>
      </w:r>
      <w:r w:rsidRPr="00FD05ED">
        <w:rPr>
          <w:i/>
          <w:iCs/>
        </w:rPr>
        <w:t>Income Tax Assessment Act 1997</w:t>
      </w:r>
      <w:r>
        <w:t xml:space="preserve">.  Further information on CbC reporting can be found at: </w:t>
      </w:r>
      <w:hyperlink r:id="rId3" w:history="1">
        <w:r w:rsidRPr="00C36D8D">
          <w:rPr>
            <w:rStyle w:val="Hyperlink"/>
          </w:rPr>
          <w:t>www.ato.gov.au/business/international-tax-for-business/in-detail/transfer-pricing/country-by-country-reporting/</w:t>
        </w:r>
      </w:hyperlink>
      <w:r>
        <w:t xml:space="preserve"> </w:t>
      </w:r>
    </w:p>
  </w:footnote>
  <w:footnote w:id="12">
    <w:p w14:paraId="0A856195" w14:textId="77777777" w:rsidR="00762FA3" w:rsidRDefault="00762FA3" w:rsidP="00262878">
      <w:pPr>
        <w:pStyle w:val="FootnoteText"/>
      </w:pPr>
      <w:r>
        <w:rPr>
          <w:rStyle w:val="FootnoteReference"/>
        </w:rPr>
        <w:footnoteRef/>
      </w:r>
      <w:r>
        <w:t xml:space="preserve"> DIRECTIVE (EU) 2021/2101 OF THE EUROPEAN PARLIAMENT AND OF THE COUNCIL of 24 November 2021 amending Directive 2013/34/EU as regards disclosure of income tax information by certain undertakings and branches - </w:t>
      </w:r>
      <w:hyperlink r:id="rId4" w:history="1">
        <w:r w:rsidRPr="00645A55">
          <w:rPr>
            <w:rStyle w:val="Hyperlink"/>
          </w:rPr>
          <w:t>https://eur-lex.europa.eu/legal-content/EN/TXT/PDF/?uri=OJ:L:2021:429:FULL&amp;from=EN</w:t>
        </w:r>
      </w:hyperlink>
    </w:p>
  </w:footnote>
  <w:footnote w:id="13">
    <w:p w14:paraId="39FD53D1" w14:textId="77777777" w:rsidR="00762FA3" w:rsidRDefault="00762FA3" w:rsidP="00262878">
      <w:pPr>
        <w:pStyle w:val="FootnoteText"/>
      </w:pPr>
      <w:r>
        <w:rPr>
          <w:rStyle w:val="FootnoteReference"/>
        </w:rPr>
        <w:footnoteRef/>
      </w:r>
      <w:r>
        <w:t xml:space="preserve"> See: </w:t>
      </w:r>
      <w:r w:rsidRPr="00CB43B9">
        <w:t>Corporate Tax Avoidance report</w:t>
      </w:r>
      <w:r>
        <w:t xml:space="preserve"> P</w:t>
      </w:r>
      <w:r w:rsidRPr="00C42A19">
        <w:t xml:space="preserve">art 1, </w:t>
      </w:r>
      <w:r>
        <w:t>R</w:t>
      </w:r>
      <w:r w:rsidRPr="00C42A19">
        <w:t xml:space="preserve">ec 6 </w:t>
      </w:r>
      <w:r>
        <w:t xml:space="preserve">- </w:t>
      </w:r>
      <w:hyperlink r:id="rId5" w:history="1">
        <w:r w:rsidRPr="00C07323">
          <w:rPr>
            <w:rStyle w:val="Hyperlink"/>
          </w:rPr>
          <w:t xml:space="preserve">https://www.aph.gov.au/Parliamentary_Business/Committees/Senate/Economics/Corporate_Tax_Avoidance/Report_part_1 </w:t>
        </w:r>
        <w:r w:rsidRPr="00E80F1B">
          <w:t>and Part 3</w:t>
        </w:r>
      </w:hyperlink>
      <w:r>
        <w:t xml:space="preserve">, Rec 7 - </w:t>
      </w:r>
      <w:hyperlink r:id="rId6" w:history="1">
        <w:r w:rsidRPr="00BD16D3">
          <w:rPr>
            <w:rStyle w:val="Hyperlink"/>
          </w:rPr>
          <w:t>https://www.aph.gov.au/Parliamentary_Business/Committees/Senate/Economics/Corporatetax45th/Report</w:t>
        </w:r>
      </w:hyperlink>
      <w:r>
        <w:t xml:space="preserve"> </w:t>
      </w:r>
    </w:p>
  </w:footnote>
  <w:footnote w:id="14">
    <w:p w14:paraId="468545BA" w14:textId="77777777" w:rsidR="00762FA3" w:rsidRDefault="00762FA3" w:rsidP="00262878">
      <w:pPr>
        <w:pStyle w:val="FootnoteText"/>
      </w:pPr>
      <w:r>
        <w:rPr>
          <w:rStyle w:val="FootnoteReference"/>
        </w:rPr>
        <w:footnoteRef/>
      </w:r>
      <w:r>
        <w:t xml:space="preserve"> See: </w:t>
      </w:r>
      <w:hyperlink r:id="rId7" w:history="1">
        <w:r w:rsidRPr="00C07323">
          <w:rPr>
            <w:rStyle w:val="Hyperlink"/>
          </w:rPr>
          <w:t>https://www.globalreporting.org/standards/standards-development/topic-standard-project-for-tax/</w:t>
        </w:r>
      </w:hyperlink>
    </w:p>
  </w:footnote>
  <w:footnote w:id="15">
    <w:p w14:paraId="42FD43CA" w14:textId="77777777" w:rsidR="00762FA3" w:rsidRDefault="00762FA3" w:rsidP="00262878">
      <w:pPr>
        <w:pStyle w:val="FootnoteText"/>
      </w:pPr>
      <w:r>
        <w:rPr>
          <w:rStyle w:val="FootnoteReference"/>
        </w:rPr>
        <w:footnoteRef/>
      </w:r>
      <w:r>
        <w:t xml:space="preserve"> See:  </w:t>
      </w:r>
      <w:hyperlink r:id="rId8" w:history="1">
        <w:r w:rsidRPr="00BD16D3">
          <w:rPr>
            <w:rStyle w:val="Hyperlink"/>
          </w:rPr>
          <w:t>https://www.ato.gov.au/law/view/document?DocID=COG/PCG20174/NAT/ATO/00001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42F3" w14:textId="77777777" w:rsidR="00762FA3" w:rsidRPr="001F3912" w:rsidRDefault="00762FA3"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37E1" w14:textId="77777777" w:rsidR="00762FA3" w:rsidRPr="001F3912" w:rsidRDefault="00762FA3"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D564" w14:textId="77777777" w:rsidR="00762FA3" w:rsidRPr="001F3912" w:rsidRDefault="00762FA3"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AB0A" w14:textId="77777777" w:rsidR="00762FA3" w:rsidRPr="00963E8D" w:rsidRDefault="00762FA3" w:rsidP="00963E8D">
    <w:pPr>
      <w:pStyle w:val="Header"/>
    </w:pPr>
    <w:r>
      <w:rPr>
        <w:noProof/>
      </w:rPr>
      <w:drawing>
        <wp:anchor distT="0" distB="0" distL="114300" distR="114300" simplePos="0" relativeHeight="251658242" behindDoc="1" locked="1" layoutInCell="1" allowOverlap="1" wp14:anchorId="04B513DC" wp14:editId="31C79D0A">
          <wp:simplePos x="0" y="0"/>
          <wp:positionH relativeFrom="page">
            <wp:align>center</wp:align>
          </wp:positionH>
          <wp:positionV relativeFrom="page">
            <wp:align>top</wp:align>
          </wp:positionV>
          <wp:extent cx="7570800" cy="1044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419D" w14:textId="77777777" w:rsidR="00762FA3" w:rsidRDefault="0076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A"/>
    <w:multiLevelType w:val="hybridMultilevel"/>
    <w:tmpl w:val="7D62AC84"/>
    <w:lvl w:ilvl="0" w:tplc="FFFFFFFF">
      <w:start w:val="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D5BFD"/>
    <w:multiLevelType w:val="hybridMultilevel"/>
    <w:tmpl w:val="7672825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F366AE"/>
    <w:multiLevelType w:val="hybridMultilevel"/>
    <w:tmpl w:val="0C3C9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40E50"/>
    <w:multiLevelType w:val="hybridMultilevel"/>
    <w:tmpl w:val="25DCAB98"/>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345E2"/>
    <w:multiLevelType w:val="hybridMultilevel"/>
    <w:tmpl w:val="6824A4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1E09700D"/>
    <w:multiLevelType w:val="hybridMultilevel"/>
    <w:tmpl w:val="DEE23070"/>
    <w:lvl w:ilvl="0" w:tplc="E4DA1B28">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6B6E4E"/>
    <w:multiLevelType w:val="hybridMultilevel"/>
    <w:tmpl w:val="AD589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C848A8"/>
    <w:multiLevelType w:val="hybridMultilevel"/>
    <w:tmpl w:val="2FA07C3C"/>
    <w:lvl w:ilvl="0" w:tplc="BF5473C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2F5F76"/>
    <w:multiLevelType w:val="hybridMultilevel"/>
    <w:tmpl w:val="0A76BADC"/>
    <w:lvl w:ilvl="0" w:tplc="4B0EE98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C461E7"/>
    <w:multiLevelType w:val="hybridMultilevel"/>
    <w:tmpl w:val="0C3C9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CA37E4"/>
    <w:multiLevelType w:val="hybridMultilevel"/>
    <w:tmpl w:val="AC78FCB4"/>
    <w:lvl w:ilvl="0" w:tplc="9BD4998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3D4B0C"/>
    <w:multiLevelType w:val="hybridMultilevel"/>
    <w:tmpl w:val="7D62AC84"/>
    <w:lvl w:ilvl="0" w:tplc="49DA824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A17791"/>
    <w:multiLevelType w:val="hybridMultilevel"/>
    <w:tmpl w:val="9C5610B4"/>
    <w:lvl w:ilvl="0" w:tplc="64B050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564FB1"/>
    <w:multiLevelType w:val="hybridMultilevel"/>
    <w:tmpl w:val="0FC8C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2D1DD7"/>
    <w:multiLevelType w:val="hybridMultilevel"/>
    <w:tmpl w:val="E60ACF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1C623A"/>
    <w:multiLevelType w:val="hybridMultilevel"/>
    <w:tmpl w:val="21B80BB8"/>
    <w:lvl w:ilvl="0" w:tplc="65000AB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1B0387"/>
    <w:multiLevelType w:val="multilevel"/>
    <w:tmpl w:val="9C1425F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A71DCC"/>
    <w:multiLevelType w:val="hybridMultilevel"/>
    <w:tmpl w:val="BD261352"/>
    <w:lvl w:ilvl="0" w:tplc="2114774A">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BF295E"/>
    <w:multiLevelType w:val="hybridMultilevel"/>
    <w:tmpl w:val="75861E22"/>
    <w:lvl w:ilvl="0" w:tplc="23F82C3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1902F1"/>
    <w:multiLevelType w:val="hybridMultilevel"/>
    <w:tmpl w:val="0C3C9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A70C13"/>
    <w:multiLevelType w:val="multilevel"/>
    <w:tmpl w:val="DDCEA912"/>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lowerRoman"/>
      <w:lvlText w:val="%2."/>
      <w:lvlJc w:val="right"/>
      <w:pPr>
        <w:tabs>
          <w:tab w:val="num" w:pos="1040"/>
        </w:tabs>
        <w:ind w:left="1040" w:hanging="520"/>
      </w:p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6B5224"/>
    <w:multiLevelType w:val="multilevel"/>
    <w:tmpl w:val="55807D72"/>
    <w:styleLink w:val="ChartandTableFootnoteAlphaList"/>
    <w:lvl w:ilvl="0">
      <w:start w:val="3"/>
      <w:numFmt w:val="bullet"/>
      <w:pStyle w:val="Bullet"/>
      <w:lvlText w:val="•"/>
      <w:lvlJc w:val="left"/>
      <w:pPr>
        <w:tabs>
          <w:tab w:val="num" w:pos="520"/>
        </w:tabs>
        <w:ind w:left="520" w:hanging="520"/>
      </w:pPr>
      <w:rPr>
        <w:rFonts w:ascii="Times New Roman" w:hAnsi="Times New Roman" w:cs="Times New Roman" w:hint="default"/>
        <w:color w:val="auto"/>
      </w:rPr>
    </w:lvl>
    <w:lvl w:ilvl="1">
      <w:numFmt w:val="bullet"/>
      <w:lvlText w:val="–"/>
      <w:lvlJc w:val="left"/>
      <w:pPr>
        <w:tabs>
          <w:tab w:val="num" w:pos="1040"/>
        </w:tabs>
        <w:ind w:left="1040" w:hanging="520"/>
      </w:pPr>
      <w:rPr>
        <w:rFonts w:ascii="Times New Roman" w:hAnsi="Times New Roman" w:cs="Times New Roman" w:hint="default"/>
      </w:rPr>
    </w:lvl>
    <w:lvl w:ilvl="2">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054740"/>
    <w:multiLevelType w:val="hybridMultilevel"/>
    <w:tmpl w:val="50CC31EC"/>
    <w:lvl w:ilvl="0" w:tplc="421CB0B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28"/>
  </w:num>
  <w:num w:numId="6">
    <w:abstractNumId w:val="13"/>
  </w:num>
  <w:num w:numId="7">
    <w:abstractNumId w:val="14"/>
  </w:num>
  <w:num w:numId="8">
    <w:abstractNumId w:val="7"/>
  </w:num>
  <w:num w:numId="9">
    <w:abstractNumId w:val="15"/>
  </w:num>
  <w:num w:numId="10">
    <w:abstractNumId w:val="4"/>
  </w:num>
  <w:num w:numId="11">
    <w:abstractNumId w:val="12"/>
  </w:num>
  <w:num w:numId="12">
    <w:abstractNumId w:val="6"/>
  </w:num>
  <w:num w:numId="13">
    <w:abstractNumId w:val="9"/>
  </w:num>
  <w:num w:numId="14">
    <w:abstractNumId w:val="28"/>
  </w:num>
  <w:num w:numId="15">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6">
    <w:abstractNumId w:val="11"/>
  </w:num>
  <w:num w:numId="17">
    <w:abstractNumId w:val="22"/>
  </w:num>
  <w:num w:numId="18">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9">
    <w:abstractNumId w:val="16"/>
  </w:num>
  <w:num w:numId="20">
    <w:abstractNumId w:val="26"/>
  </w:num>
  <w:num w:numId="21">
    <w:abstractNumId w:val="3"/>
  </w:num>
  <w:num w:numId="2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23">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24">
    <w:abstractNumId w:val="20"/>
  </w:num>
  <w:num w:numId="25">
    <w:abstractNumId w:val="1"/>
  </w:num>
  <w:num w:numId="26">
    <w:abstractNumId w:val="19"/>
  </w:num>
  <w:num w:numId="27">
    <w:abstractNumId w:val="29"/>
  </w:num>
  <w:num w:numId="28">
    <w:abstractNumId w:val="27"/>
  </w:num>
  <w:num w:numId="29">
    <w:abstractNumId w:val="10"/>
  </w:num>
  <w:num w:numId="30">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31">
    <w:abstractNumId w:val="18"/>
  </w:num>
  <w:num w:numId="32">
    <w:abstractNumId w:val="0"/>
  </w:num>
  <w:num w:numId="33">
    <w:abstractNumId w:val="28"/>
    <w:lvlOverride w:ilvl="0">
      <w:startOverride w:val="3"/>
      <w:lvl w:ilvl="0">
        <w:start w:val="3"/>
        <w:numFmt w:val="decimal"/>
        <w:pStyle w:val="Bullet"/>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7"/>
      <w:lvl w:ilvl="6">
        <w:start w:val="7"/>
        <w:numFmt w:val="decimal"/>
        <w:lvlText w:val="%7."/>
        <w:lvlJc w:val="left"/>
        <w:pPr>
          <w:ind w:left="2520" w:hanging="360"/>
        </w:pPr>
        <w:rPr>
          <w:rFonts w:hint="default"/>
        </w:rPr>
      </w:lvl>
    </w:lvlOverride>
  </w:num>
  <w:num w:numId="34">
    <w:abstractNumId w:val="21"/>
  </w:num>
  <w:num w:numId="35">
    <w:abstractNumId w:val="5"/>
  </w:num>
  <w:num w:numId="36">
    <w:abstractNumId w:val="25"/>
  </w:num>
  <w:num w:numId="37">
    <w:abstractNumId w:val="8"/>
  </w:num>
  <w:num w:numId="38">
    <w:abstractNumId w:val="24"/>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26"/>
    <w:rsid w:val="0000067E"/>
    <w:rsid w:val="00001549"/>
    <w:rsid w:val="000034DF"/>
    <w:rsid w:val="00004316"/>
    <w:rsid w:val="0000647C"/>
    <w:rsid w:val="00006EF5"/>
    <w:rsid w:val="00011111"/>
    <w:rsid w:val="00011725"/>
    <w:rsid w:val="0001219C"/>
    <w:rsid w:val="000129C6"/>
    <w:rsid w:val="00012C62"/>
    <w:rsid w:val="00013274"/>
    <w:rsid w:val="00013AB7"/>
    <w:rsid w:val="00013C29"/>
    <w:rsid w:val="00013C71"/>
    <w:rsid w:val="00017033"/>
    <w:rsid w:val="00017238"/>
    <w:rsid w:val="00017EA8"/>
    <w:rsid w:val="000205A3"/>
    <w:rsid w:val="00020E4E"/>
    <w:rsid w:val="00021765"/>
    <w:rsid w:val="00022373"/>
    <w:rsid w:val="00022906"/>
    <w:rsid w:val="0002290D"/>
    <w:rsid w:val="000238B1"/>
    <w:rsid w:val="00024281"/>
    <w:rsid w:val="00024ADF"/>
    <w:rsid w:val="00024E7B"/>
    <w:rsid w:val="0002544D"/>
    <w:rsid w:val="000255A5"/>
    <w:rsid w:val="00026005"/>
    <w:rsid w:val="00026787"/>
    <w:rsid w:val="00026A21"/>
    <w:rsid w:val="00026CEA"/>
    <w:rsid w:val="00027D02"/>
    <w:rsid w:val="0003297A"/>
    <w:rsid w:val="00032A05"/>
    <w:rsid w:val="00032B5B"/>
    <w:rsid w:val="000331B2"/>
    <w:rsid w:val="000332E4"/>
    <w:rsid w:val="00034F38"/>
    <w:rsid w:val="0003506F"/>
    <w:rsid w:val="00036510"/>
    <w:rsid w:val="0003662F"/>
    <w:rsid w:val="000370C0"/>
    <w:rsid w:val="00037A9B"/>
    <w:rsid w:val="00037B0C"/>
    <w:rsid w:val="00041230"/>
    <w:rsid w:val="00041A8B"/>
    <w:rsid w:val="00041D8E"/>
    <w:rsid w:val="000426D2"/>
    <w:rsid w:val="0004274D"/>
    <w:rsid w:val="00042BB0"/>
    <w:rsid w:val="0004425A"/>
    <w:rsid w:val="000444D0"/>
    <w:rsid w:val="00044C0A"/>
    <w:rsid w:val="00045AFE"/>
    <w:rsid w:val="00045DBE"/>
    <w:rsid w:val="00047038"/>
    <w:rsid w:val="00047407"/>
    <w:rsid w:val="00047E73"/>
    <w:rsid w:val="00050931"/>
    <w:rsid w:val="00051594"/>
    <w:rsid w:val="00051880"/>
    <w:rsid w:val="0005196F"/>
    <w:rsid w:val="00051D60"/>
    <w:rsid w:val="00051F61"/>
    <w:rsid w:val="00052786"/>
    <w:rsid w:val="0005414C"/>
    <w:rsid w:val="00054476"/>
    <w:rsid w:val="00054A4C"/>
    <w:rsid w:val="000563F1"/>
    <w:rsid w:val="000566BD"/>
    <w:rsid w:val="0005678F"/>
    <w:rsid w:val="00056880"/>
    <w:rsid w:val="000578EC"/>
    <w:rsid w:val="00057E44"/>
    <w:rsid w:val="000602E8"/>
    <w:rsid w:val="00060909"/>
    <w:rsid w:val="00060BA9"/>
    <w:rsid w:val="000614A4"/>
    <w:rsid w:val="00061A99"/>
    <w:rsid w:val="000620F3"/>
    <w:rsid w:val="00062103"/>
    <w:rsid w:val="000649CD"/>
    <w:rsid w:val="00064DB5"/>
    <w:rsid w:val="00064EC1"/>
    <w:rsid w:val="00065263"/>
    <w:rsid w:val="0006663F"/>
    <w:rsid w:val="000675D1"/>
    <w:rsid w:val="000679E9"/>
    <w:rsid w:val="0007102C"/>
    <w:rsid w:val="00072352"/>
    <w:rsid w:val="00073521"/>
    <w:rsid w:val="00073F49"/>
    <w:rsid w:val="00074D41"/>
    <w:rsid w:val="00076A3E"/>
    <w:rsid w:val="00076FB0"/>
    <w:rsid w:val="000775DE"/>
    <w:rsid w:val="000809C7"/>
    <w:rsid w:val="00080B59"/>
    <w:rsid w:val="00080D1F"/>
    <w:rsid w:val="00081B77"/>
    <w:rsid w:val="00081E08"/>
    <w:rsid w:val="000820A3"/>
    <w:rsid w:val="00082333"/>
    <w:rsid w:val="00082697"/>
    <w:rsid w:val="00082EF9"/>
    <w:rsid w:val="00082FC2"/>
    <w:rsid w:val="00084BE9"/>
    <w:rsid w:val="000852EF"/>
    <w:rsid w:val="000858F2"/>
    <w:rsid w:val="0008591C"/>
    <w:rsid w:val="00086F47"/>
    <w:rsid w:val="00087FAF"/>
    <w:rsid w:val="00090B73"/>
    <w:rsid w:val="00090D14"/>
    <w:rsid w:val="000911B5"/>
    <w:rsid w:val="0009151A"/>
    <w:rsid w:val="00093131"/>
    <w:rsid w:val="00093504"/>
    <w:rsid w:val="000939CE"/>
    <w:rsid w:val="00093B70"/>
    <w:rsid w:val="00093C7B"/>
    <w:rsid w:val="00094734"/>
    <w:rsid w:val="000951DF"/>
    <w:rsid w:val="000962F4"/>
    <w:rsid w:val="0009652A"/>
    <w:rsid w:val="00096F16"/>
    <w:rsid w:val="00096F70"/>
    <w:rsid w:val="00097EC0"/>
    <w:rsid w:val="000A1C95"/>
    <w:rsid w:val="000A24D6"/>
    <w:rsid w:val="000A2881"/>
    <w:rsid w:val="000A5588"/>
    <w:rsid w:val="000A56EB"/>
    <w:rsid w:val="000A58E1"/>
    <w:rsid w:val="000A7027"/>
    <w:rsid w:val="000A7C05"/>
    <w:rsid w:val="000B0055"/>
    <w:rsid w:val="000B0300"/>
    <w:rsid w:val="000B070C"/>
    <w:rsid w:val="000B0956"/>
    <w:rsid w:val="000B0F9C"/>
    <w:rsid w:val="000B1245"/>
    <w:rsid w:val="000B47C7"/>
    <w:rsid w:val="000B47CD"/>
    <w:rsid w:val="000B491B"/>
    <w:rsid w:val="000B5893"/>
    <w:rsid w:val="000B6636"/>
    <w:rsid w:val="000B6B3E"/>
    <w:rsid w:val="000B7D11"/>
    <w:rsid w:val="000C010E"/>
    <w:rsid w:val="000C03B4"/>
    <w:rsid w:val="000C04A3"/>
    <w:rsid w:val="000C059A"/>
    <w:rsid w:val="000C1284"/>
    <w:rsid w:val="000C3D13"/>
    <w:rsid w:val="000C3F24"/>
    <w:rsid w:val="000C58DD"/>
    <w:rsid w:val="000C5F40"/>
    <w:rsid w:val="000C6094"/>
    <w:rsid w:val="000C61EA"/>
    <w:rsid w:val="000C6439"/>
    <w:rsid w:val="000C6B89"/>
    <w:rsid w:val="000C6C25"/>
    <w:rsid w:val="000D0B9C"/>
    <w:rsid w:val="000D1284"/>
    <w:rsid w:val="000D1E64"/>
    <w:rsid w:val="000D20A0"/>
    <w:rsid w:val="000D2543"/>
    <w:rsid w:val="000D40FB"/>
    <w:rsid w:val="000D4BCF"/>
    <w:rsid w:val="000D5277"/>
    <w:rsid w:val="000D5351"/>
    <w:rsid w:val="000D613D"/>
    <w:rsid w:val="000D66EA"/>
    <w:rsid w:val="000D6F55"/>
    <w:rsid w:val="000E0A53"/>
    <w:rsid w:val="000E0B74"/>
    <w:rsid w:val="000E22DD"/>
    <w:rsid w:val="000E404F"/>
    <w:rsid w:val="000E41D5"/>
    <w:rsid w:val="000E4343"/>
    <w:rsid w:val="000E4D04"/>
    <w:rsid w:val="000E5112"/>
    <w:rsid w:val="000E51EC"/>
    <w:rsid w:val="000E5575"/>
    <w:rsid w:val="000E56AA"/>
    <w:rsid w:val="000E5A33"/>
    <w:rsid w:val="000F08FF"/>
    <w:rsid w:val="000F0B8E"/>
    <w:rsid w:val="000F0BF8"/>
    <w:rsid w:val="000F126C"/>
    <w:rsid w:val="000F1F71"/>
    <w:rsid w:val="000F2152"/>
    <w:rsid w:val="000F237F"/>
    <w:rsid w:val="000F24A6"/>
    <w:rsid w:val="000F374E"/>
    <w:rsid w:val="000F3FBA"/>
    <w:rsid w:val="000F408D"/>
    <w:rsid w:val="000F4474"/>
    <w:rsid w:val="000F5A51"/>
    <w:rsid w:val="000F634A"/>
    <w:rsid w:val="000F6A6A"/>
    <w:rsid w:val="000F6D72"/>
    <w:rsid w:val="000F7517"/>
    <w:rsid w:val="000F76EE"/>
    <w:rsid w:val="000F788C"/>
    <w:rsid w:val="00100CEC"/>
    <w:rsid w:val="0010102E"/>
    <w:rsid w:val="0010307F"/>
    <w:rsid w:val="00103AAE"/>
    <w:rsid w:val="0010553E"/>
    <w:rsid w:val="001069BC"/>
    <w:rsid w:val="001074BE"/>
    <w:rsid w:val="0010789B"/>
    <w:rsid w:val="00107BAF"/>
    <w:rsid w:val="00110187"/>
    <w:rsid w:val="00111394"/>
    <w:rsid w:val="00111B7D"/>
    <w:rsid w:val="0011250A"/>
    <w:rsid w:val="00112DCB"/>
    <w:rsid w:val="00113756"/>
    <w:rsid w:val="001137E1"/>
    <w:rsid w:val="00113F12"/>
    <w:rsid w:val="001142EB"/>
    <w:rsid w:val="00114B12"/>
    <w:rsid w:val="00114C32"/>
    <w:rsid w:val="00115A2E"/>
    <w:rsid w:val="0011690E"/>
    <w:rsid w:val="00116991"/>
    <w:rsid w:val="00117FA1"/>
    <w:rsid w:val="00120D5B"/>
    <w:rsid w:val="0012253C"/>
    <w:rsid w:val="00122DDD"/>
    <w:rsid w:val="00123B50"/>
    <w:rsid w:val="001242B0"/>
    <w:rsid w:val="00126EFD"/>
    <w:rsid w:val="001278B9"/>
    <w:rsid w:val="001278C5"/>
    <w:rsid w:val="00130481"/>
    <w:rsid w:val="00130E9E"/>
    <w:rsid w:val="00132305"/>
    <w:rsid w:val="00132819"/>
    <w:rsid w:val="00132C3E"/>
    <w:rsid w:val="00135A7C"/>
    <w:rsid w:val="00135E1C"/>
    <w:rsid w:val="00137B5E"/>
    <w:rsid w:val="00140059"/>
    <w:rsid w:val="0014091C"/>
    <w:rsid w:val="00141F17"/>
    <w:rsid w:val="001427B6"/>
    <w:rsid w:val="00142C63"/>
    <w:rsid w:val="001435F8"/>
    <w:rsid w:val="0014472F"/>
    <w:rsid w:val="00144E2F"/>
    <w:rsid w:val="0014547E"/>
    <w:rsid w:val="00147A27"/>
    <w:rsid w:val="00147C45"/>
    <w:rsid w:val="0015051D"/>
    <w:rsid w:val="00150B26"/>
    <w:rsid w:val="00150BF1"/>
    <w:rsid w:val="00151D81"/>
    <w:rsid w:val="00152159"/>
    <w:rsid w:val="00153293"/>
    <w:rsid w:val="00153344"/>
    <w:rsid w:val="00153369"/>
    <w:rsid w:val="0015375F"/>
    <w:rsid w:val="0015467E"/>
    <w:rsid w:val="00154F61"/>
    <w:rsid w:val="00155115"/>
    <w:rsid w:val="00155C15"/>
    <w:rsid w:val="001564F2"/>
    <w:rsid w:val="001576FE"/>
    <w:rsid w:val="00157D7C"/>
    <w:rsid w:val="001606CF"/>
    <w:rsid w:val="0016128D"/>
    <w:rsid w:val="001616DE"/>
    <w:rsid w:val="00161C8C"/>
    <w:rsid w:val="00161FFE"/>
    <w:rsid w:val="00163338"/>
    <w:rsid w:val="00163E1F"/>
    <w:rsid w:val="00164156"/>
    <w:rsid w:val="00164DC2"/>
    <w:rsid w:val="00166D83"/>
    <w:rsid w:val="00166E33"/>
    <w:rsid w:val="00167023"/>
    <w:rsid w:val="0016741F"/>
    <w:rsid w:val="00167F05"/>
    <w:rsid w:val="00170314"/>
    <w:rsid w:val="0017089D"/>
    <w:rsid w:val="001712DF"/>
    <w:rsid w:val="00172ACB"/>
    <w:rsid w:val="00172F7F"/>
    <w:rsid w:val="00172FC0"/>
    <w:rsid w:val="00172FC5"/>
    <w:rsid w:val="00173846"/>
    <w:rsid w:val="00173C41"/>
    <w:rsid w:val="00173ECA"/>
    <w:rsid w:val="001757D0"/>
    <w:rsid w:val="00175A56"/>
    <w:rsid w:val="00176FC2"/>
    <w:rsid w:val="001776D3"/>
    <w:rsid w:val="0018001A"/>
    <w:rsid w:val="00180190"/>
    <w:rsid w:val="0018073C"/>
    <w:rsid w:val="00180D5B"/>
    <w:rsid w:val="00180EAA"/>
    <w:rsid w:val="001835A9"/>
    <w:rsid w:val="00183D4A"/>
    <w:rsid w:val="00184965"/>
    <w:rsid w:val="00184FC4"/>
    <w:rsid w:val="001857B1"/>
    <w:rsid w:val="001872E4"/>
    <w:rsid w:val="0019101A"/>
    <w:rsid w:val="00191BA7"/>
    <w:rsid w:val="00191BD5"/>
    <w:rsid w:val="00194C24"/>
    <w:rsid w:val="001956F0"/>
    <w:rsid w:val="001959B7"/>
    <w:rsid w:val="00195E50"/>
    <w:rsid w:val="001974E7"/>
    <w:rsid w:val="001A0169"/>
    <w:rsid w:val="001A18EC"/>
    <w:rsid w:val="001A203E"/>
    <w:rsid w:val="001A3CE5"/>
    <w:rsid w:val="001A3D64"/>
    <w:rsid w:val="001A3DFE"/>
    <w:rsid w:val="001A4DF1"/>
    <w:rsid w:val="001A6861"/>
    <w:rsid w:val="001A6CAC"/>
    <w:rsid w:val="001A703B"/>
    <w:rsid w:val="001A7168"/>
    <w:rsid w:val="001A752A"/>
    <w:rsid w:val="001A7776"/>
    <w:rsid w:val="001B0362"/>
    <w:rsid w:val="001B0558"/>
    <w:rsid w:val="001B371C"/>
    <w:rsid w:val="001B4337"/>
    <w:rsid w:val="001B4DB6"/>
    <w:rsid w:val="001B5D10"/>
    <w:rsid w:val="001B692A"/>
    <w:rsid w:val="001B6E8C"/>
    <w:rsid w:val="001B71BE"/>
    <w:rsid w:val="001B7272"/>
    <w:rsid w:val="001B732C"/>
    <w:rsid w:val="001B764D"/>
    <w:rsid w:val="001B79F4"/>
    <w:rsid w:val="001B7ADB"/>
    <w:rsid w:val="001C016D"/>
    <w:rsid w:val="001C0226"/>
    <w:rsid w:val="001C2292"/>
    <w:rsid w:val="001C28F2"/>
    <w:rsid w:val="001C2D57"/>
    <w:rsid w:val="001C358D"/>
    <w:rsid w:val="001C3651"/>
    <w:rsid w:val="001C4138"/>
    <w:rsid w:val="001C4CFA"/>
    <w:rsid w:val="001C5019"/>
    <w:rsid w:val="001C56A9"/>
    <w:rsid w:val="001C5A1F"/>
    <w:rsid w:val="001C60EB"/>
    <w:rsid w:val="001C720D"/>
    <w:rsid w:val="001D040C"/>
    <w:rsid w:val="001D0B18"/>
    <w:rsid w:val="001D25E7"/>
    <w:rsid w:val="001D439A"/>
    <w:rsid w:val="001D4430"/>
    <w:rsid w:val="001D4A7F"/>
    <w:rsid w:val="001D4EAA"/>
    <w:rsid w:val="001D65E2"/>
    <w:rsid w:val="001D6631"/>
    <w:rsid w:val="001D7448"/>
    <w:rsid w:val="001E1763"/>
    <w:rsid w:val="001E1B31"/>
    <w:rsid w:val="001E2880"/>
    <w:rsid w:val="001E299B"/>
    <w:rsid w:val="001E4624"/>
    <w:rsid w:val="001E56CD"/>
    <w:rsid w:val="001E6175"/>
    <w:rsid w:val="001E72D2"/>
    <w:rsid w:val="001E7376"/>
    <w:rsid w:val="001F00F5"/>
    <w:rsid w:val="001F0590"/>
    <w:rsid w:val="001F05EA"/>
    <w:rsid w:val="001F121B"/>
    <w:rsid w:val="001F1D68"/>
    <w:rsid w:val="001F21F6"/>
    <w:rsid w:val="001F2D41"/>
    <w:rsid w:val="001F2D67"/>
    <w:rsid w:val="001F2D9B"/>
    <w:rsid w:val="001F3298"/>
    <w:rsid w:val="001F3F23"/>
    <w:rsid w:val="001F5B71"/>
    <w:rsid w:val="001F6597"/>
    <w:rsid w:val="001F69ED"/>
    <w:rsid w:val="001F6BB3"/>
    <w:rsid w:val="00200703"/>
    <w:rsid w:val="002008FF"/>
    <w:rsid w:val="00200AC7"/>
    <w:rsid w:val="00203B00"/>
    <w:rsid w:val="00205DCC"/>
    <w:rsid w:val="00206223"/>
    <w:rsid w:val="002077D7"/>
    <w:rsid w:val="00207F6B"/>
    <w:rsid w:val="002100E0"/>
    <w:rsid w:val="002105E7"/>
    <w:rsid w:val="00210D89"/>
    <w:rsid w:val="00211128"/>
    <w:rsid w:val="00211383"/>
    <w:rsid w:val="0021151D"/>
    <w:rsid w:val="002119A8"/>
    <w:rsid w:val="00211AAD"/>
    <w:rsid w:val="002124A0"/>
    <w:rsid w:val="0021375D"/>
    <w:rsid w:val="00213A23"/>
    <w:rsid w:val="00214316"/>
    <w:rsid w:val="00215131"/>
    <w:rsid w:val="00215E98"/>
    <w:rsid w:val="002160B8"/>
    <w:rsid w:val="0021626F"/>
    <w:rsid w:val="002162F5"/>
    <w:rsid w:val="0022023E"/>
    <w:rsid w:val="00220A29"/>
    <w:rsid w:val="0022159B"/>
    <w:rsid w:val="0022190E"/>
    <w:rsid w:val="00221C48"/>
    <w:rsid w:val="00221CF3"/>
    <w:rsid w:val="0022441F"/>
    <w:rsid w:val="00224536"/>
    <w:rsid w:val="00224CAC"/>
    <w:rsid w:val="00225C0E"/>
    <w:rsid w:val="002264DC"/>
    <w:rsid w:val="0022668B"/>
    <w:rsid w:val="00227D68"/>
    <w:rsid w:val="00230094"/>
    <w:rsid w:val="00230495"/>
    <w:rsid w:val="00230A0E"/>
    <w:rsid w:val="00231049"/>
    <w:rsid w:val="002314D2"/>
    <w:rsid w:val="00232576"/>
    <w:rsid w:val="002340AA"/>
    <w:rsid w:val="0023491D"/>
    <w:rsid w:val="00234BB1"/>
    <w:rsid w:val="00234F8D"/>
    <w:rsid w:val="002372A6"/>
    <w:rsid w:val="00237BA4"/>
    <w:rsid w:val="00237D94"/>
    <w:rsid w:val="0024080A"/>
    <w:rsid w:val="00241636"/>
    <w:rsid w:val="0024313A"/>
    <w:rsid w:val="0024324A"/>
    <w:rsid w:val="002436E6"/>
    <w:rsid w:val="00243F3B"/>
    <w:rsid w:val="00244327"/>
    <w:rsid w:val="002443C6"/>
    <w:rsid w:val="00244534"/>
    <w:rsid w:val="00244F63"/>
    <w:rsid w:val="00245605"/>
    <w:rsid w:val="002461C9"/>
    <w:rsid w:val="0024696F"/>
    <w:rsid w:val="0024742F"/>
    <w:rsid w:val="0025111D"/>
    <w:rsid w:val="00251323"/>
    <w:rsid w:val="00251537"/>
    <w:rsid w:val="0025179D"/>
    <w:rsid w:val="002523E1"/>
    <w:rsid w:val="00252AFB"/>
    <w:rsid w:val="0025303C"/>
    <w:rsid w:val="00255A11"/>
    <w:rsid w:val="00255DD4"/>
    <w:rsid w:val="00257AEE"/>
    <w:rsid w:val="00257CF1"/>
    <w:rsid w:val="002606B6"/>
    <w:rsid w:val="00261116"/>
    <w:rsid w:val="0026193C"/>
    <w:rsid w:val="00261ACB"/>
    <w:rsid w:val="00262570"/>
    <w:rsid w:val="00262878"/>
    <w:rsid w:val="00263B25"/>
    <w:rsid w:val="00263B6C"/>
    <w:rsid w:val="00263DA0"/>
    <w:rsid w:val="0026548F"/>
    <w:rsid w:val="00266473"/>
    <w:rsid w:val="0027259D"/>
    <w:rsid w:val="0027263D"/>
    <w:rsid w:val="00273EDE"/>
    <w:rsid w:val="002740CC"/>
    <w:rsid w:val="0027590B"/>
    <w:rsid w:val="00275CAF"/>
    <w:rsid w:val="00275E91"/>
    <w:rsid w:val="0027677D"/>
    <w:rsid w:val="00276EEA"/>
    <w:rsid w:val="002809AA"/>
    <w:rsid w:val="002809DE"/>
    <w:rsid w:val="00280A43"/>
    <w:rsid w:val="00280D46"/>
    <w:rsid w:val="0028264D"/>
    <w:rsid w:val="0028297F"/>
    <w:rsid w:val="00283158"/>
    <w:rsid w:val="00284B5C"/>
    <w:rsid w:val="00284E46"/>
    <w:rsid w:val="002857F6"/>
    <w:rsid w:val="00285969"/>
    <w:rsid w:val="00285BAA"/>
    <w:rsid w:val="00287D42"/>
    <w:rsid w:val="0029054A"/>
    <w:rsid w:val="00291A44"/>
    <w:rsid w:val="00291DCD"/>
    <w:rsid w:val="002928C2"/>
    <w:rsid w:val="00292B68"/>
    <w:rsid w:val="002931D7"/>
    <w:rsid w:val="002939ED"/>
    <w:rsid w:val="00293CD3"/>
    <w:rsid w:val="002940EC"/>
    <w:rsid w:val="0029464A"/>
    <w:rsid w:val="00294825"/>
    <w:rsid w:val="00294E1E"/>
    <w:rsid w:val="002958BE"/>
    <w:rsid w:val="00295C7A"/>
    <w:rsid w:val="002961E0"/>
    <w:rsid w:val="0029713A"/>
    <w:rsid w:val="002972CA"/>
    <w:rsid w:val="0029750D"/>
    <w:rsid w:val="002975E8"/>
    <w:rsid w:val="002A1349"/>
    <w:rsid w:val="002A1616"/>
    <w:rsid w:val="002A1F62"/>
    <w:rsid w:val="002A2634"/>
    <w:rsid w:val="002A2D86"/>
    <w:rsid w:val="002A2E17"/>
    <w:rsid w:val="002A3BFE"/>
    <w:rsid w:val="002A4502"/>
    <w:rsid w:val="002A4B2D"/>
    <w:rsid w:val="002A5C89"/>
    <w:rsid w:val="002A6C5B"/>
    <w:rsid w:val="002A73D9"/>
    <w:rsid w:val="002A7DC7"/>
    <w:rsid w:val="002A7E65"/>
    <w:rsid w:val="002B085F"/>
    <w:rsid w:val="002B1168"/>
    <w:rsid w:val="002B1B0F"/>
    <w:rsid w:val="002B2561"/>
    <w:rsid w:val="002B2E3F"/>
    <w:rsid w:val="002B3239"/>
    <w:rsid w:val="002B3829"/>
    <w:rsid w:val="002B4961"/>
    <w:rsid w:val="002B4D4D"/>
    <w:rsid w:val="002B4EE2"/>
    <w:rsid w:val="002B53DF"/>
    <w:rsid w:val="002B5A7F"/>
    <w:rsid w:val="002B5C39"/>
    <w:rsid w:val="002B5C3D"/>
    <w:rsid w:val="002B6184"/>
    <w:rsid w:val="002B7AAC"/>
    <w:rsid w:val="002C01FF"/>
    <w:rsid w:val="002C059B"/>
    <w:rsid w:val="002C0EA0"/>
    <w:rsid w:val="002C12B9"/>
    <w:rsid w:val="002C1D80"/>
    <w:rsid w:val="002C26F4"/>
    <w:rsid w:val="002C365D"/>
    <w:rsid w:val="002C38C2"/>
    <w:rsid w:val="002C3FAE"/>
    <w:rsid w:val="002C4955"/>
    <w:rsid w:val="002C58A5"/>
    <w:rsid w:val="002C6B7A"/>
    <w:rsid w:val="002D0FBC"/>
    <w:rsid w:val="002D1747"/>
    <w:rsid w:val="002D1868"/>
    <w:rsid w:val="002D1F90"/>
    <w:rsid w:val="002D2E3A"/>
    <w:rsid w:val="002D32D6"/>
    <w:rsid w:val="002D488F"/>
    <w:rsid w:val="002D4BC6"/>
    <w:rsid w:val="002D4C79"/>
    <w:rsid w:val="002D5122"/>
    <w:rsid w:val="002D5223"/>
    <w:rsid w:val="002D5A6A"/>
    <w:rsid w:val="002D6109"/>
    <w:rsid w:val="002D77C6"/>
    <w:rsid w:val="002E1280"/>
    <w:rsid w:val="002E14F3"/>
    <w:rsid w:val="002E2253"/>
    <w:rsid w:val="002E30C3"/>
    <w:rsid w:val="002E31BA"/>
    <w:rsid w:val="002E33E0"/>
    <w:rsid w:val="002E3781"/>
    <w:rsid w:val="002E3A03"/>
    <w:rsid w:val="002E4532"/>
    <w:rsid w:val="002E45EE"/>
    <w:rsid w:val="002E53A8"/>
    <w:rsid w:val="002E5712"/>
    <w:rsid w:val="002E77B3"/>
    <w:rsid w:val="002F0E72"/>
    <w:rsid w:val="002F1B8D"/>
    <w:rsid w:val="002F1F95"/>
    <w:rsid w:val="002F339B"/>
    <w:rsid w:val="002F39A0"/>
    <w:rsid w:val="002F4091"/>
    <w:rsid w:val="002F4B75"/>
    <w:rsid w:val="002F5731"/>
    <w:rsid w:val="002F617F"/>
    <w:rsid w:val="002F640A"/>
    <w:rsid w:val="002F699A"/>
    <w:rsid w:val="003011C8"/>
    <w:rsid w:val="0030138A"/>
    <w:rsid w:val="00301666"/>
    <w:rsid w:val="00301720"/>
    <w:rsid w:val="00301E0F"/>
    <w:rsid w:val="00302748"/>
    <w:rsid w:val="00302E5F"/>
    <w:rsid w:val="00303B8C"/>
    <w:rsid w:val="00305999"/>
    <w:rsid w:val="003060A6"/>
    <w:rsid w:val="00306216"/>
    <w:rsid w:val="003066F5"/>
    <w:rsid w:val="00307257"/>
    <w:rsid w:val="00311188"/>
    <w:rsid w:val="00311421"/>
    <w:rsid w:val="003118DE"/>
    <w:rsid w:val="003122F4"/>
    <w:rsid w:val="0031276E"/>
    <w:rsid w:val="00313D74"/>
    <w:rsid w:val="00314E29"/>
    <w:rsid w:val="003162DB"/>
    <w:rsid w:val="00317F58"/>
    <w:rsid w:val="00320B2F"/>
    <w:rsid w:val="003211C4"/>
    <w:rsid w:val="003218E1"/>
    <w:rsid w:val="00321E33"/>
    <w:rsid w:val="003222B0"/>
    <w:rsid w:val="00322C16"/>
    <w:rsid w:val="00322D56"/>
    <w:rsid w:val="00325017"/>
    <w:rsid w:val="003268D5"/>
    <w:rsid w:val="0032724A"/>
    <w:rsid w:val="00327E01"/>
    <w:rsid w:val="003306E7"/>
    <w:rsid w:val="00330861"/>
    <w:rsid w:val="00330A55"/>
    <w:rsid w:val="00331E67"/>
    <w:rsid w:val="00332143"/>
    <w:rsid w:val="00332CE0"/>
    <w:rsid w:val="00333AA7"/>
    <w:rsid w:val="00334B9E"/>
    <w:rsid w:val="00336606"/>
    <w:rsid w:val="00340B7B"/>
    <w:rsid w:val="00342273"/>
    <w:rsid w:val="00342576"/>
    <w:rsid w:val="00342F5A"/>
    <w:rsid w:val="003436D7"/>
    <w:rsid w:val="00344779"/>
    <w:rsid w:val="00345006"/>
    <w:rsid w:val="0034547F"/>
    <w:rsid w:val="003454C9"/>
    <w:rsid w:val="003458BF"/>
    <w:rsid w:val="00346615"/>
    <w:rsid w:val="00347075"/>
    <w:rsid w:val="0035021A"/>
    <w:rsid w:val="003513F5"/>
    <w:rsid w:val="00351D68"/>
    <w:rsid w:val="00351D9F"/>
    <w:rsid w:val="00351DD8"/>
    <w:rsid w:val="00351E86"/>
    <w:rsid w:val="00351F3B"/>
    <w:rsid w:val="00352965"/>
    <w:rsid w:val="0035334F"/>
    <w:rsid w:val="00354790"/>
    <w:rsid w:val="00354D27"/>
    <w:rsid w:val="00354FBB"/>
    <w:rsid w:val="00354FC9"/>
    <w:rsid w:val="003570DC"/>
    <w:rsid w:val="00360992"/>
    <w:rsid w:val="003617E4"/>
    <w:rsid w:val="003621FA"/>
    <w:rsid w:val="003623E4"/>
    <w:rsid w:val="00362816"/>
    <w:rsid w:val="00362960"/>
    <w:rsid w:val="00362ACA"/>
    <w:rsid w:val="00362FA9"/>
    <w:rsid w:val="003630EB"/>
    <w:rsid w:val="0036572A"/>
    <w:rsid w:val="00366802"/>
    <w:rsid w:val="003672DA"/>
    <w:rsid w:val="003674EA"/>
    <w:rsid w:val="00367EEC"/>
    <w:rsid w:val="00370677"/>
    <w:rsid w:val="00372086"/>
    <w:rsid w:val="00372616"/>
    <w:rsid w:val="00372657"/>
    <w:rsid w:val="00373584"/>
    <w:rsid w:val="00373786"/>
    <w:rsid w:val="0037425E"/>
    <w:rsid w:val="0037550F"/>
    <w:rsid w:val="003827FC"/>
    <w:rsid w:val="00383008"/>
    <w:rsid w:val="003839F0"/>
    <w:rsid w:val="0038505A"/>
    <w:rsid w:val="003858A6"/>
    <w:rsid w:val="0038672F"/>
    <w:rsid w:val="00387A16"/>
    <w:rsid w:val="00390AB5"/>
    <w:rsid w:val="00390B3E"/>
    <w:rsid w:val="003913E8"/>
    <w:rsid w:val="00391BC2"/>
    <w:rsid w:val="00391EE5"/>
    <w:rsid w:val="00392A03"/>
    <w:rsid w:val="00392DCC"/>
    <w:rsid w:val="0039363B"/>
    <w:rsid w:val="00393787"/>
    <w:rsid w:val="003948B3"/>
    <w:rsid w:val="00394E75"/>
    <w:rsid w:val="00396DD6"/>
    <w:rsid w:val="00397170"/>
    <w:rsid w:val="00397BDB"/>
    <w:rsid w:val="00397CC6"/>
    <w:rsid w:val="003A0A63"/>
    <w:rsid w:val="003A0EB4"/>
    <w:rsid w:val="003A1626"/>
    <w:rsid w:val="003A16CF"/>
    <w:rsid w:val="003A199F"/>
    <w:rsid w:val="003A1A04"/>
    <w:rsid w:val="003A1D99"/>
    <w:rsid w:val="003A3880"/>
    <w:rsid w:val="003A3DEB"/>
    <w:rsid w:val="003A562C"/>
    <w:rsid w:val="003A6F22"/>
    <w:rsid w:val="003A77CB"/>
    <w:rsid w:val="003A7C21"/>
    <w:rsid w:val="003A7C9C"/>
    <w:rsid w:val="003B0F0C"/>
    <w:rsid w:val="003B0F90"/>
    <w:rsid w:val="003B2CAB"/>
    <w:rsid w:val="003B30CA"/>
    <w:rsid w:val="003B3661"/>
    <w:rsid w:val="003B3DCE"/>
    <w:rsid w:val="003B4EA0"/>
    <w:rsid w:val="003B4F08"/>
    <w:rsid w:val="003B5BAA"/>
    <w:rsid w:val="003B5E54"/>
    <w:rsid w:val="003B5E80"/>
    <w:rsid w:val="003B65D4"/>
    <w:rsid w:val="003B6713"/>
    <w:rsid w:val="003B694A"/>
    <w:rsid w:val="003B7EAE"/>
    <w:rsid w:val="003C0880"/>
    <w:rsid w:val="003C0A1A"/>
    <w:rsid w:val="003C0F72"/>
    <w:rsid w:val="003C1157"/>
    <w:rsid w:val="003C1AEA"/>
    <w:rsid w:val="003C228B"/>
    <w:rsid w:val="003C3233"/>
    <w:rsid w:val="003C3816"/>
    <w:rsid w:val="003C435F"/>
    <w:rsid w:val="003C5D68"/>
    <w:rsid w:val="003C605D"/>
    <w:rsid w:val="003C63DF"/>
    <w:rsid w:val="003C69BC"/>
    <w:rsid w:val="003C6A8C"/>
    <w:rsid w:val="003D0EA3"/>
    <w:rsid w:val="003D14AD"/>
    <w:rsid w:val="003D200D"/>
    <w:rsid w:val="003D254C"/>
    <w:rsid w:val="003D2E5D"/>
    <w:rsid w:val="003D6884"/>
    <w:rsid w:val="003D7489"/>
    <w:rsid w:val="003E1FBD"/>
    <w:rsid w:val="003E2356"/>
    <w:rsid w:val="003E316E"/>
    <w:rsid w:val="003E38B0"/>
    <w:rsid w:val="003E3CBE"/>
    <w:rsid w:val="003E44D9"/>
    <w:rsid w:val="003E4D87"/>
    <w:rsid w:val="003E5BD8"/>
    <w:rsid w:val="003E5BE1"/>
    <w:rsid w:val="003E5DCF"/>
    <w:rsid w:val="003E6543"/>
    <w:rsid w:val="003E692D"/>
    <w:rsid w:val="003E7320"/>
    <w:rsid w:val="003F01F2"/>
    <w:rsid w:val="003F06EE"/>
    <w:rsid w:val="003F1EA3"/>
    <w:rsid w:val="003F30B0"/>
    <w:rsid w:val="003F3FB6"/>
    <w:rsid w:val="003F46D5"/>
    <w:rsid w:val="003F559D"/>
    <w:rsid w:val="003F55A6"/>
    <w:rsid w:val="003F6631"/>
    <w:rsid w:val="003F71F2"/>
    <w:rsid w:val="003F7361"/>
    <w:rsid w:val="00400E68"/>
    <w:rsid w:val="00402152"/>
    <w:rsid w:val="00402DE5"/>
    <w:rsid w:val="00404092"/>
    <w:rsid w:val="004058F3"/>
    <w:rsid w:val="00405F29"/>
    <w:rsid w:val="00406005"/>
    <w:rsid w:val="0040792E"/>
    <w:rsid w:val="00407B96"/>
    <w:rsid w:val="00410E14"/>
    <w:rsid w:val="004115B1"/>
    <w:rsid w:val="004118D8"/>
    <w:rsid w:val="00411D6D"/>
    <w:rsid w:val="00411E8C"/>
    <w:rsid w:val="0041222B"/>
    <w:rsid w:val="004128E6"/>
    <w:rsid w:val="00412B8D"/>
    <w:rsid w:val="00413D08"/>
    <w:rsid w:val="00414477"/>
    <w:rsid w:val="00414E06"/>
    <w:rsid w:val="00415F77"/>
    <w:rsid w:val="0041666F"/>
    <w:rsid w:val="00416762"/>
    <w:rsid w:val="00416B42"/>
    <w:rsid w:val="00416C1E"/>
    <w:rsid w:val="004201AD"/>
    <w:rsid w:val="00421351"/>
    <w:rsid w:val="00421587"/>
    <w:rsid w:val="0042167F"/>
    <w:rsid w:val="00423113"/>
    <w:rsid w:val="004237C0"/>
    <w:rsid w:val="004238BB"/>
    <w:rsid w:val="00423F80"/>
    <w:rsid w:val="004247DD"/>
    <w:rsid w:val="004249DC"/>
    <w:rsid w:val="004253D5"/>
    <w:rsid w:val="004256A5"/>
    <w:rsid w:val="00425802"/>
    <w:rsid w:val="004258C5"/>
    <w:rsid w:val="00425ECC"/>
    <w:rsid w:val="004273D9"/>
    <w:rsid w:val="004309F7"/>
    <w:rsid w:val="00430F27"/>
    <w:rsid w:val="00430F2F"/>
    <w:rsid w:val="0043163D"/>
    <w:rsid w:val="004321DF"/>
    <w:rsid w:val="00432B29"/>
    <w:rsid w:val="00433164"/>
    <w:rsid w:val="00433484"/>
    <w:rsid w:val="004338B7"/>
    <w:rsid w:val="00433BDC"/>
    <w:rsid w:val="00434241"/>
    <w:rsid w:val="0043586F"/>
    <w:rsid w:val="0043622B"/>
    <w:rsid w:val="00436E73"/>
    <w:rsid w:val="00437C95"/>
    <w:rsid w:val="00437EDA"/>
    <w:rsid w:val="0044140F"/>
    <w:rsid w:val="0044146E"/>
    <w:rsid w:val="004414B7"/>
    <w:rsid w:val="00442AD8"/>
    <w:rsid w:val="00443859"/>
    <w:rsid w:val="004445B2"/>
    <w:rsid w:val="00444DC9"/>
    <w:rsid w:val="00445265"/>
    <w:rsid w:val="00445CFD"/>
    <w:rsid w:val="00446279"/>
    <w:rsid w:val="00446EA4"/>
    <w:rsid w:val="004500CB"/>
    <w:rsid w:val="00451592"/>
    <w:rsid w:val="004519AD"/>
    <w:rsid w:val="00452101"/>
    <w:rsid w:val="0045286D"/>
    <w:rsid w:val="004533C0"/>
    <w:rsid w:val="0045375F"/>
    <w:rsid w:val="00454F2D"/>
    <w:rsid w:val="00454F69"/>
    <w:rsid w:val="0045570E"/>
    <w:rsid w:val="004559CE"/>
    <w:rsid w:val="00455CCA"/>
    <w:rsid w:val="004563F0"/>
    <w:rsid w:val="00456521"/>
    <w:rsid w:val="0045658A"/>
    <w:rsid w:val="004570B3"/>
    <w:rsid w:val="0046048D"/>
    <w:rsid w:val="004609B1"/>
    <w:rsid w:val="00460D1F"/>
    <w:rsid w:val="00461E49"/>
    <w:rsid w:val="00462436"/>
    <w:rsid w:val="00462A27"/>
    <w:rsid w:val="004639BF"/>
    <w:rsid w:val="00465436"/>
    <w:rsid w:val="0046550F"/>
    <w:rsid w:val="004659EE"/>
    <w:rsid w:val="0046721F"/>
    <w:rsid w:val="004674CA"/>
    <w:rsid w:val="004677DA"/>
    <w:rsid w:val="00467A9A"/>
    <w:rsid w:val="00471488"/>
    <w:rsid w:val="0047208C"/>
    <w:rsid w:val="004724F6"/>
    <w:rsid w:val="0047278A"/>
    <w:rsid w:val="004739F3"/>
    <w:rsid w:val="004744C5"/>
    <w:rsid w:val="00474C98"/>
    <w:rsid w:val="00475B7B"/>
    <w:rsid w:val="00475F4D"/>
    <w:rsid w:val="0047656C"/>
    <w:rsid w:val="00480556"/>
    <w:rsid w:val="00480D13"/>
    <w:rsid w:val="00481071"/>
    <w:rsid w:val="00482AD1"/>
    <w:rsid w:val="00483049"/>
    <w:rsid w:val="0048304B"/>
    <w:rsid w:val="004834E4"/>
    <w:rsid w:val="004844F4"/>
    <w:rsid w:val="00485943"/>
    <w:rsid w:val="0048596C"/>
    <w:rsid w:val="00485FB5"/>
    <w:rsid w:val="00486069"/>
    <w:rsid w:val="00486A8B"/>
    <w:rsid w:val="004872CC"/>
    <w:rsid w:val="00487AE1"/>
    <w:rsid w:val="00490DC4"/>
    <w:rsid w:val="004911B4"/>
    <w:rsid w:val="00492C5C"/>
    <w:rsid w:val="00492FCB"/>
    <w:rsid w:val="004935ED"/>
    <w:rsid w:val="004938D1"/>
    <w:rsid w:val="00493FBD"/>
    <w:rsid w:val="004940A1"/>
    <w:rsid w:val="0049461C"/>
    <w:rsid w:val="004947E5"/>
    <w:rsid w:val="004951A8"/>
    <w:rsid w:val="004954ED"/>
    <w:rsid w:val="00495A80"/>
    <w:rsid w:val="004960FE"/>
    <w:rsid w:val="00496BF7"/>
    <w:rsid w:val="0049706B"/>
    <w:rsid w:val="00497A11"/>
    <w:rsid w:val="004A036F"/>
    <w:rsid w:val="004A077D"/>
    <w:rsid w:val="004A1AC1"/>
    <w:rsid w:val="004A2417"/>
    <w:rsid w:val="004A303C"/>
    <w:rsid w:val="004A440B"/>
    <w:rsid w:val="004A6334"/>
    <w:rsid w:val="004A741F"/>
    <w:rsid w:val="004A7BC2"/>
    <w:rsid w:val="004A7EF1"/>
    <w:rsid w:val="004B03D5"/>
    <w:rsid w:val="004B0737"/>
    <w:rsid w:val="004B1D2F"/>
    <w:rsid w:val="004B1E29"/>
    <w:rsid w:val="004B30D7"/>
    <w:rsid w:val="004B65F5"/>
    <w:rsid w:val="004B683C"/>
    <w:rsid w:val="004B6BD6"/>
    <w:rsid w:val="004B7470"/>
    <w:rsid w:val="004B799D"/>
    <w:rsid w:val="004B7A1A"/>
    <w:rsid w:val="004C0869"/>
    <w:rsid w:val="004C1DBE"/>
    <w:rsid w:val="004C2AF5"/>
    <w:rsid w:val="004C2EAF"/>
    <w:rsid w:val="004C38DB"/>
    <w:rsid w:val="004C3C92"/>
    <w:rsid w:val="004C449A"/>
    <w:rsid w:val="004C4D75"/>
    <w:rsid w:val="004C5621"/>
    <w:rsid w:val="004C5E4C"/>
    <w:rsid w:val="004C6253"/>
    <w:rsid w:val="004C6AE0"/>
    <w:rsid w:val="004C72A2"/>
    <w:rsid w:val="004C795E"/>
    <w:rsid w:val="004C7B5B"/>
    <w:rsid w:val="004D25AC"/>
    <w:rsid w:val="004D274A"/>
    <w:rsid w:val="004D3C27"/>
    <w:rsid w:val="004D48A4"/>
    <w:rsid w:val="004D5897"/>
    <w:rsid w:val="004D62A1"/>
    <w:rsid w:val="004D73A5"/>
    <w:rsid w:val="004D73A7"/>
    <w:rsid w:val="004D7FEA"/>
    <w:rsid w:val="004E08EB"/>
    <w:rsid w:val="004E0A21"/>
    <w:rsid w:val="004E219F"/>
    <w:rsid w:val="004E2CC9"/>
    <w:rsid w:val="004E3CED"/>
    <w:rsid w:val="004E457B"/>
    <w:rsid w:val="004E6F34"/>
    <w:rsid w:val="004E7FF6"/>
    <w:rsid w:val="004F1164"/>
    <w:rsid w:val="004F1A1C"/>
    <w:rsid w:val="004F2526"/>
    <w:rsid w:val="004F2E22"/>
    <w:rsid w:val="004F3819"/>
    <w:rsid w:val="004F5C18"/>
    <w:rsid w:val="004F602A"/>
    <w:rsid w:val="004F62A3"/>
    <w:rsid w:val="004F65A4"/>
    <w:rsid w:val="004F6B75"/>
    <w:rsid w:val="004F7EA6"/>
    <w:rsid w:val="005003F5"/>
    <w:rsid w:val="00500A9D"/>
    <w:rsid w:val="00500C13"/>
    <w:rsid w:val="00501E4E"/>
    <w:rsid w:val="005038A9"/>
    <w:rsid w:val="00503C98"/>
    <w:rsid w:val="00503E88"/>
    <w:rsid w:val="00504DD5"/>
    <w:rsid w:val="00506810"/>
    <w:rsid w:val="0050732E"/>
    <w:rsid w:val="00507F16"/>
    <w:rsid w:val="0051013E"/>
    <w:rsid w:val="005102F5"/>
    <w:rsid w:val="00510537"/>
    <w:rsid w:val="00510BB3"/>
    <w:rsid w:val="005113B6"/>
    <w:rsid w:val="005115EC"/>
    <w:rsid w:val="00511B74"/>
    <w:rsid w:val="00512BF6"/>
    <w:rsid w:val="00512D90"/>
    <w:rsid w:val="005139C1"/>
    <w:rsid w:val="00513FEC"/>
    <w:rsid w:val="005149AE"/>
    <w:rsid w:val="00514A28"/>
    <w:rsid w:val="00514EDC"/>
    <w:rsid w:val="00514F35"/>
    <w:rsid w:val="00515689"/>
    <w:rsid w:val="00516785"/>
    <w:rsid w:val="00516830"/>
    <w:rsid w:val="00516F36"/>
    <w:rsid w:val="005171FA"/>
    <w:rsid w:val="0052008C"/>
    <w:rsid w:val="0052077F"/>
    <w:rsid w:val="00520BDA"/>
    <w:rsid w:val="00520EB1"/>
    <w:rsid w:val="005214B6"/>
    <w:rsid w:val="00521525"/>
    <w:rsid w:val="0052409B"/>
    <w:rsid w:val="0052419D"/>
    <w:rsid w:val="00526677"/>
    <w:rsid w:val="005301F8"/>
    <w:rsid w:val="0053077C"/>
    <w:rsid w:val="00530B4F"/>
    <w:rsid w:val="005312FC"/>
    <w:rsid w:val="0053187E"/>
    <w:rsid w:val="005320B5"/>
    <w:rsid w:val="0053321B"/>
    <w:rsid w:val="0053332E"/>
    <w:rsid w:val="00533647"/>
    <w:rsid w:val="0053521E"/>
    <w:rsid w:val="00535551"/>
    <w:rsid w:val="00535B0E"/>
    <w:rsid w:val="0053603D"/>
    <w:rsid w:val="00536116"/>
    <w:rsid w:val="0053705D"/>
    <w:rsid w:val="005378AD"/>
    <w:rsid w:val="00540481"/>
    <w:rsid w:val="005410D2"/>
    <w:rsid w:val="005412A4"/>
    <w:rsid w:val="00543C3C"/>
    <w:rsid w:val="00544E67"/>
    <w:rsid w:val="00545595"/>
    <w:rsid w:val="00546F5C"/>
    <w:rsid w:val="00550C13"/>
    <w:rsid w:val="00550F1D"/>
    <w:rsid w:val="005514FC"/>
    <w:rsid w:val="00551B96"/>
    <w:rsid w:val="00551E4E"/>
    <w:rsid w:val="00552073"/>
    <w:rsid w:val="0055253D"/>
    <w:rsid w:val="00552E2B"/>
    <w:rsid w:val="00552F46"/>
    <w:rsid w:val="0055302E"/>
    <w:rsid w:val="0055338F"/>
    <w:rsid w:val="00553744"/>
    <w:rsid w:val="0055393F"/>
    <w:rsid w:val="00553AF4"/>
    <w:rsid w:val="00553E93"/>
    <w:rsid w:val="00554134"/>
    <w:rsid w:val="00554402"/>
    <w:rsid w:val="00555663"/>
    <w:rsid w:val="00555D14"/>
    <w:rsid w:val="00556A5A"/>
    <w:rsid w:val="00557E3C"/>
    <w:rsid w:val="0056028B"/>
    <w:rsid w:val="0056127A"/>
    <w:rsid w:val="005617E5"/>
    <w:rsid w:val="00562F33"/>
    <w:rsid w:val="00565B6B"/>
    <w:rsid w:val="0056683A"/>
    <w:rsid w:val="00566BF6"/>
    <w:rsid w:val="00566CE6"/>
    <w:rsid w:val="00566DEF"/>
    <w:rsid w:val="00567453"/>
    <w:rsid w:val="00567595"/>
    <w:rsid w:val="005678B6"/>
    <w:rsid w:val="00570187"/>
    <w:rsid w:val="005710B1"/>
    <w:rsid w:val="0057209D"/>
    <w:rsid w:val="00573508"/>
    <w:rsid w:val="00573BC9"/>
    <w:rsid w:val="005741DB"/>
    <w:rsid w:val="00574CA2"/>
    <w:rsid w:val="005750A9"/>
    <w:rsid w:val="0057516C"/>
    <w:rsid w:val="00576ADA"/>
    <w:rsid w:val="00577760"/>
    <w:rsid w:val="00577DBF"/>
    <w:rsid w:val="00580676"/>
    <w:rsid w:val="005808CD"/>
    <w:rsid w:val="005812FC"/>
    <w:rsid w:val="00581E71"/>
    <w:rsid w:val="0058229A"/>
    <w:rsid w:val="005833D0"/>
    <w:rsid w:val="0058343F"/>
    <w:rsid w:val="005834A5"/>
    <w:rsid w:val="005838D0"/>
    <w:rsid w:val="005848AB"/>
    <w:rsid w:val="00585429"/>
    <w:rsid w:val="00585C22"/>
    <w:rsid w:val="00585F86"/>
    <w:rsid w:val="005868DE"/>
    <w:rsid w:val="00586AEE"/>
    <w:rsid w:val="00586DD0"/>
    <w:rsid w:val="005873B5"/>
    <w:rsid w:val="00587E16"/>
    <w:rsid w:val="00590FA6"/>
    <w:rsid w:val="00591834"/>
    <w:rsid w:val="005919D5"/>
    <w:rsid w:val="00591ACB"/>
    <w:rsid w:val="00591C20"/>
    <w:rsid w:val="0059223F"/>
    <w:rsid w:val="0059253F"/>
    <w:rsid w:val="00593931"/>
    <w:rsid w:val="00593C6D"/>
    <w:rsid w:val="005942DB"/>
    <w:rsid w:val="00595073"/>
    <w:rsid w:val="0059731F"/>
    <w:rsid w:val="005973FD"/>
    <w:rsid w:val="005A0745"/>
    <w:rsid w:val="005A0BAE"/>
    <w:rsid w:val="005A14AB"/>
    <w:rsid w:val="005A1C17"/>
    <w:rsid w:val="005A275B"/>
    <w:rsid w:val="005A4112"/>
    <w:rsid w:val="005A4B0A"/>
    <w:rsid w:val="005A4E46"/>
    <w:rsid w:val="005A4F37"/>
    <w:rsid w:val="005A5905"/>
    <w:rsid w:val="005A6370"/>
    <w:rsid w:val="005A6D01"/>
    <w:rsid w:val="005A756F"/>
    <w:rsid w:val="005A75F3"/>
    <w:rsid w:val="005B01A7"/>
    <w:rsid w:val="005B0D46"/>
    <w:rsid w:val="005B0D84"/>
    <w:rsid w:val="005B183C"/>
    <w:rsid w:val="005B2215"/>
    <w:rsid w:val="005B54A5"/>
    <w:rsid w:val="005B5547"/>
    <w:rsid w:val="005B651B"/>
    <w:rsid w:val="005B6698"/>
    <w:rsid w:val="005C03FB"/>
    <w:rsid w:val="005C0979"/>
    <w:rsid w:val="005C1619"/>
    <w:rsid w:val="005C1725"/>
    <w:rsid w:val="005C1824"/>
    <w:rsid w:val="005C33DB"/>
    <w:rsid w:val="005C3694"/>
    <w:rsid w:val="005C36A3"/>
    <w:rsid w:val="005C3DDC"/>
    <w:rsid w:val="005C454B"/>
    <w:rsid w:val="005C567F"/>
    <w:rsid w:val="005C5FE9"/>
    <w:rsid w:val="005D071F"/>
    <w:rsid w:val="005D0969"/>
    <w:rsid w:val="005D0BC9"/>
    <w:rsid w:val="005D2141"/>
    <w:rsid w:val="005D31E6"/>
    <w:rsid w:val="005D3E12"/>
    <w:rsid w:val="005D5146"/>
    <w:rsid w:val="005D53F4"/>
    <w:rsid w:val="005D5C14"/>
    <w:rsid w:val="005D698E"/>
    <w:rsid w:val="005D73D1"/>
    <w:rsid w:val="005D76E2"/>
    <w:rsid w:val="005E076A"/>
    <w:rsid w:val="005E0BA3"/>
    <w:rsid w:val="005E1874"/>
    <w:rsid w:val="005E2756"/>
    <w:rsid w:val="005E366D"/>
    <w:rsid w:val="005E3F8B"/>
    <w:rsid w:val="005E47E8"/>
    <w:rsid w:val="005E57C8"/>
    <w:rsid w:val="005E5CA5"/>
    <w:rsid w:val="005E5CE2"/>
    <w:rsid w:val="005E6A5A"/>
    <w:rsid w:val="005E722C"/>
    <w:rsid w:val="005F036A"/>
    <w:rsid w:val="005F0A49"/>
    <w:rsid w:val="005F1D33"/>
    <w:rsid w:val="005F26DF"/>
    <w:rsid w:val="005F3934"/>
    <w:rsid w:val="005F4328"/>
    <w:rsid w:val="005F4BD1"/>
    <w:rsid w:val="005F51B2"/>
    <w:rsid w:val="005F6BA8"/>
    <w:rsid w:val="006003A6"/>
    <w:rsid w:val="00600E70"/>
    <w:rsid w:val="006013E9"/>
    <w:rsid w:val="006016A6"/>
    <w:rsid w:val="006016F8"/>
    <w:rsid w:val="006018E4"/>
    <w:rsid w:val="006021B8"/>
    <w:rsid w:val="00602B73"/>
    <w:rsid w:val="00602C4B"/>
    <w:rsid w:val="00602D7B"/>
    <w:rsid w:val="00603766"/>
    <w:rsid w:val="00603C27"/>
    <w:rsid w:val="0060452D"/>
    <w:rsid w:val="006048DC"/>
    <w:rsid w:val="0060595B"/>
    <w:rsid w:val="00605AFD"/>
    <w:rsid w:val="00605D45"/>
    <w:rsid w:val="00606639"/>
    <w:rsid w:val="00606EFA"/>
    <w:rsid w:val="00607C7C"/>
    <w:rsid w:val="006102B3"/>
    <w:rsid w:val="0061061A"/>
    <w:rsid w:val="006110E0"/>
    <w:rsid w:val="006111F9"/>
    <w:rsid w:val="00611679"/>
    <w:rsid w:val="00611CC8"/>
    <w:rsid w:val="006123D4"/>
    <w:rsid w:val="006139DE"/>
    <w:rsid w:val="00614B69"/>
    <w:rsid w:val="00615223"/>
    <w:rsid w:val="0061558D"/>
    <w:rsid w:val="006155C9"/>
    <w:rsid w:val="00615BB3"/>
    <w:rsid w:val="006160BF"/>
    <w:rsid w:val="00616D15"/>
    <w:rsid w:val="00616FCC"/>
    <w:rsid w:val="0062043B"/>
    <w:rsid w:val="006204CC"/>
    <w:rsid w:val="00620941"/>
    <w:rsid w:val="00620B10"/>
    <w:rsid w:val="006212E2"/>
    <w:rsid w:val="00621321"/>
    <w:rsid w:val="00621714"/>
    <w:rsid w:val="006220DE"/>
    <w:rsid w:val="006245F6"/>
    <w:rsid w:val="006248D6"/>
    <w:rsid w:val="00624A9C"/>
    <w:rsid w:val="00624BE8"/>
    <w:rsid w:val="00624CED"/>
    <w:rsid w:val="00625E43"/>
    <w:rsid w:val="00630208"/>
    <w:rsid w:val="00630885"/>
    <w:rsid w:val="00631C56"/>
    <w:rsid w:val="00633400"/>
    <w:rsid w:val="00633D5E"/>
    <w:rsid w:val="00634351"/>
    <w:rsid w:val="006345A9"/>
    <w:rsid w:val="006347D1"/>
    <w:rsid w:val="00636EE9"/>
    <w:rsid w:val="00637BAB"/>
    <w:rsid w:val="00637BC0"/>
    <w:rsid w:val="00637C14"/>
    <w:rsid w:val="00640795"/>
    <w:rsid w:val="00640EEC"/>
    <w:rsid w:val="00640FE6"/>
    <w:rsid w:val="00643272"/>
    <w:rsid w:val="00643DD4"/>
    <w:rsid w:val="00644667"/>
    <w:rsid w:val="00645F54"/>
    <w:rsid w:val="006469A5"/>
    <w:rsid w:val="006475A2"/>
    <w:rsid w:val="006478E1"/>
    <w:rsid w:val="00647C4A"/>
    <w:rsid w:val="00647DE9"/>
    <w:rsid w:val="00647F1C"/>
    <w:rsid w:val="006502D3"/>
    <w:rsid w:val="00651033"/>
    <w:rsid w:val="00651FCC"/>
    <w:rsid w:val="00653D4D"/>
    <w:rsid w:val="006545F7"/>
    <w:rsid w:val="006547C0"/>
    <w:rsid w:val="00654CF1"/>
    <w:rsid w:val="00655E78"/>
    <w:rsid w:val="00656356"/>
    <w:rsid w:val="006563BA"/>
    <w:rsid w:val="00657B0E"/>
    <w:rsid w:val="00660AC6"/>
    <w:rsid w:val="00660BA0"/>
    <w:rsid w:val="00660D50"/>
    <w:rsid w:val="00661933"/>
    <w:rsid w:val="00662D4F"/>
    <w:rsid w:val="0066390E"/>
    <w:rsid w:val="00663C02"/>
    <w:rsid w:val="0066407F"/>
    <w:rsid w:val="006658E6"/>
    <w:rsid w:val="006660B1"/>
    <w:rsid w:val="00666249"/>
    <w:rsid w:val="00666573"/>
    <w:rsid w:val="0066786E"/>
    <w:rsid w:val="00667DB3"/>
    <w:rsid w:val="0067079B"/>
    <w:rsid w:val="00670F81"/>
    <w:rsid w:val="00671120"/>
    <w:rsid w:val="00671C38"/>
    <w:rsid w:val="006728A6"/>
    <w:rsid w:val="00674555"/>
    <w:rsid w:val="006745E2"/>
    <w:rsid w:val="0067463A"/>
    <w:rsid w:val="00674C7D"/>
    <w:rsid w:val="00674D92"/>
    <w:rsid w:val="00675030"/>
    <w:rsid w:val="006755BF"/>
    <w:rsid w:val="00675653"/>
    <w:rsid w:val="00677183"/>
    <w:rsid w:val="00677F19"/>
    <w:rsid w:val="0068125A"/>
    <w:rsid w:val="006826C0"/>
    <w:rsid w:val="00682B16"/>
    <w:rsid w:val="00683979"/>
    <w:rsid w:val="00683AE0"/>
    <w:rsid w:val="00684CF9"/>
    <w:rsid w:val="0068504B"/>
    <w:rsid w:val="00686165"/>
    <w:rsid w:val="00686407"/>
    <w:rsid w:val="00687A3B"/>
    <w:rsid w:val="006900E7"/>
    <w:rsid w:val="006905A7"/>
    <w:rsid w:val="006906A6"/>
    <w:rsid w:val="00690C5B"/>
    <w:rsid w:val="0069180F"/>
    <w:rsid w:val="00691CB5"/>
    <w:rsid w:val="00692728"/>
    <w:rsid w:val="0069350F"/>
    <w:rsid w:val="00693553"/>
    <w:rsid w:val="006941AB"/>
    <w:rsid w:val="00694387"/>
    <w:rsid w:val="00694CEC"/>
    <w:rsid w:val="00695189"/>
    <w:rsid w:val="00695A70"/>
    <w:rsid w:val="00695E71"/>
    <w:rsid w:val="00697024"/>
    <w:rsid w:val="00697FAC"/>
    <w:rsid w:val="006A1303"/>
    <w:rsid w:val="006A3B19"/>
    <w:rsid w:val="006A4A3D"/>
    <w:rsid w:val="006A5682"/>
    <w:rsid w:val="006A5A04"/>
    <w:rsid w:val="006A631B"/>
    <w:rsid w:val="006A68AC"/>
    <w:rsid w:val="006A6908"/>
    <w:rsid w:val="006A69A8"/>
    <w:rsid w:val="006A6C0D"/>
    <w:rsid w:val="006A6EE1"/>
    <w:rsid w:val="006A6F4C"/>
    <w:rsid w:val="006A771C"/>
    <w:rsid w:val="006A7E85"/>
    <w:rsid w:val="006B223D"/>
    <w:rsid w:val="006B2C3B"/>
    <w:rsid w:val="006B4B82"/>
    <w:rsid w:val="006B53AB"/>
    <w:rsid w:val="006B5660"/>
    <w:rsid w:val="006B5A61"/>
    <w:rsid w:val="006B5E7C"/>
    <w:rsid w:val="006B64F0"/>
    <w:rsid w:val="006B6751"/>
    <w:rsid w:val="006B67DC"/>
    <w:rsid w:val="006B7D2F"/>
    <w:rsid w:val="006C0CC6"/>
    <w:rsid w:val="006C16C7"/>
    <w:rsid w:val="006C2496"/>
    <w:rsid w:val="006C2A82"/>
    <w:rsid w:val="006C4189"/>
    <w:rsid w:val="006C49BA"/>
    <w:rsid w:val="006C55B2"/>
    <w:rsid w:val="006C5A75"/>
    <w:rsid w:val="006C645D"/>
    <w:rsid w:val="006C65E0"/>
    <w:rsid w:val="006C6C4C"/>
    <w:rsid w:val="006C7B0D"/>
    <w:rsid w:val="006C7E78"/>
    <w:rsid w:val="006D12CF"/>
    <w:rsid w:val="006D1451"/>
    <w:rsid w:val="006D269C"/>
    <w:rsid w:val="006D3D5C"/>
    <w:rsid w:val="006D4094"/>
    <w:rsid w:val="006D42C7"/>
    <w:rsid w:val="006D48B8"/>
    <w:rsid w:val="006D4BA9"/>
    <w:rsid w:val="006D62B0"/>
    <w:rsid w:val="006D7468"/>
    <w:rsid w:val="006E0E3C"/>
    <w:rsid w:val="006E2184"/>
    <w:rsid w:val="006E308D"/>
    <w:rsid w:val="006E3CC3"/>
    <w:rsid w:val="006E3D45"/>
    <w:rsid w:val="006E4254"/>
    <w:rsid w:val="006E4605"/>
    <w:rsid w:val="006E5524"/>
    <w:rsid w:val="006E63A9"/>
    <w:rsid w:val="006E72AC"/>
    <w:rsid w:val="006F1393"/>
    <w:rsid w:val="006F1639"/>
    <w:rsid w:val="006F2A31"/>
    <w:rsid w:val="006F35AE"/>
    <w:rsid w:val="006F3F07"/>
    <w:rsid w:val="006F4F59"/>
    <w:rsid w:val="006F656C"/>
    <w:rsid w:val="006F7161"/>
    <w:rsid w:val="006F7262"/>
    <w:rsid w:val="006F7EF3"/>
    <w:rsid w:val="0070045F"/>
    <w:rsid w:val="007011F0"/>
    <w:rsid w:val="0070299A"/>
    <w:rsid w:val="00702D6F"/>
    <w:rsid w:val="00704E6A"/>
    <w:rsid w:val="00706A17"/>
    <w:rsid w:val="00706CEA"/>
    <w:rsid w:val="00706DB2"/>
    <w:rsid w:val="00707014"/>
    <w:rsid w:val="0070752C"/>
    <w:rsid w:val="00707B2A"/>
    <w:rsid w:val="007106A1"/>
    <w:rsid w:val="00710E13"/>
    <w:rsid w:val="00711696"/>
    <w:rsid w:val="00711AF1"/>
    <w:rsid w:val="0071267E"/>
    <w:rsid w:val="00712E82"/>
    <w:rsid w:val="00713E78"/>
    <w:rsid w:val="00713F72"/>
    <w:rsid w:val="00714038"/>
    <w:rsid w:val="00714361"/>
    <w:rsid w:val="00714538"/>
    <w:rsid w:val="0071481B"/>
    <w:rsid w:val="00714A5A"/>
    <w:rsid w:val="00715D71"/>
    <w:rsid w:val="0071635B"/>
    <w:rsid w:val="0071751E"/>
    <w:rsid w:val="00717DAC"/>
    <w:rsid w:val="00717F0E"/>
    <w:rsid w:val="00720126"/>
    <w:rsid w:val="00720428"/>
    <w:rsid w:val="00720BF2"/>
    <w:rsid w:val="00720C6C"/>
    <w:rsid w:val="00722DCF"/>
    <w:rsid w:val="00723875"/>
    <w:rsid w:val="00724D08"/>
    <w:rsid w:val="00726CB1"/>
    <w:rsid w:val="00727315"/>
    <w:rsid w:val="00730AF3"/>
    <w:rsid w:val="00730BB5"/>
    <w:rsid w:val="00731A57"/>
    <w:rsid w:val="007331D1"/>
    <w:rsid w:val="00733268"/>
    <w:rsid w:val="00733F00"/>
    <w:rsid w:val="007340FE"/>
    <w:rsid w:val="007348DF"/>
    <w:rsid w:val="00734AA8"/>
    <w:rsid w:val="007352FE"/>
    <w:rsid w:val="00735602"/>
    <w:rsid w:val="0073560E"/>
    <w:rsid w:val="00736829"/>
    <w:rsid w:val="007370D2"/>
    <w:rsid w:val="00737B4A"/>
    <w:rsid w:val="00740CD0"/>
    <w:rsid w:val="00741F76"/>
    <w:rsid w:val="00742073"/>
    <w:rsid w:val="0074284F"/>
    <w:rsid w:val="007430D5"/>
    <w:rsid w:val="007444B0"/>
    <w:rsid w:val="00744750"/>
    <w:rsid w:val="0074527E"/>
    <w:rsid w:val="007454B0"/>
    <w:rsid w:val="007454E7"/>
    <w:rsid w:val="00745645"/>
    <w:rsid w:val="00745A87"/>
    <w:rsid w:val="00746230"/>
    <w:rsid w:val="007462B4"/>
    <w:rsid w:val="0074670F"/>
    <w:rsid w:val="00746AFF"/>
    <w:rsid w:val="00746CBE"/>
    <w:rsid w:val="00747EAC"/>
    <w:rsid w:val="00750FAA"/>
    <w:rsid w:val="0075127C"/>
    <w:rsid w:val="00751EEF"/>
    <w:rsid w:val="00754E8A"/>
    <w:rsid w:val="00755B20"/>
    <w:rsid w:val="007562A6"/>
    <w:rsid w:val="00757816"/>
    <w:rsid w:val="00757A47"/>
    <w:rsid w:val="00760DCA"/>
    <w:rsid w:val="00762723"/>
    <w:rsid w:val="00762C58"/>
    <w:rsid w:val="00762FA3"/>
    <w:rsid w:val="007641C6"/>
    <w:rsid w:val="00764591"/>
    <w:rsid w:val="007649C8"/>
    <w:rsid w:val="00764F3B"/>
    <w:rsid w:val="00765BF0"/>
    <w:rsid w:val="00765E14"/>
    <w:rsid w:val="0076665F"/>
    <w:rsid w:val="00767222"/>
    <w:rsid w:val="007673A9"/>
    <w:rsid w:val="00770A2F"/>
    <w:rsid w:val="00770B3C"/>
    <w:rsid w:val="00770DCD"/>
    <w:rsid w:val="00770F0A"/>
    <w:rsid w:val="00771102"/>
    <w:rsid w:val="007711CE"/>
    <w:rsid w:val="00772A45"/>
    <w:rsid w:val="0077369C"/>
    <w:rsid w:val="007736FC"/>
    <w:rsid w:val="007737A1"/>
    <w:rsid w:val="0077399B"/>
    <w:rsid w:val="007739DC"/>
    <w:rsid w:val="007756D0"/>
    <w:rsid w:val="00775702"/>
    <w:rsid w:val="00776192"/>
    <w:rsid w:val="0077635B"/>
    <w:rsid w:val="00777FE9"/>
    <w:rsid w:val="0078069D"/>
    <w:rsid w:val="00780889"/>
    <w:rsid w:val="00780C78"/>
    <w:rsid w:val="007825EA"/>
    <w:rsid w:val="00782C18"/>
    <w:rsid w:val="0078347F"/>
    <w:rsid w:val="00783644"/>
    <w:rsid w:val="007836C0"/>
    <w:rsid w:val="00784138"/>
    <w:rsid w:val="00784974"/>
    <w:rsid w:val="0078509F"/>
    <w:rsid w:val="0078583F"/>
    <w:rsid w:val="007873E5"/>
    <w:rsid w:val="0079003D"/>
    <w:rsid w:val="00790458"/>
    <w:rsid w:val="007908AB"/>
    <w:rsid w:val="0079177F"/>
    <w:rsid w:val="00791E86"/>
    <w:rsid w:val="00792344"/>
    <w:rsid w:val="007926BD"/>
    <w:rsid w:val="00793BDD"/>
    <w:rsid w:val="00794499"/>
    <w:rsid w:val="007944E2"/>
    <w:rsid w:val="007950A5"/>
    <w:rsid w:val="00795757"/>
    <w:rsid w:val="0079698C"/>
    <w:rsid w:val="007972EC"/>
    <w:rsid w:val="007A12E2"/>
    <w:rsid w:val="007A2CC1"/>
    <w:rsid w:val="007A3CD3"/>
    <w:rsid w:val="007A5951"/>
    <w:rsid w:val="007A616C"/>
    <w:rsid w:val="007A6A2A"/>
    <w:rsid w:val="007A760A"/>
    <w:rsid w:val="007B1ACE"/>
    <w:rsid w:val="007B28D1"/>
    <w:rsid w:val="007B2BB2"/>
    <w:rsid w:val="007B434A"/>
    <w:rsid w:val="007B47C7"/>
    <w:rsid w:val="007B49E0"/>
    <w:rsid w:val="007B53B0"/>
    <w:rsid w:val="007B57AD"/>
    <w:rsid w:val="007B5FF6"/>
    <w:rsid w:val="007B67BD"/>
    <w:rsid w:val="007B7821"/>
    <w:rsid w:val="007C02A0"/>
    <w:rsid w:val="007C0401"/>
    <w:rsid w:val="007C1B5C"/>
    <w:rsid w:val="007C2616"/>
    <w:rsid w:val="007C3732"/>
    <w:rsid w:val="007C3EB2"/>
    <w:rsid w:val="007C4527"/>
    <w:rsid w:val="007C679C"/>
    <w:rsid w:val="007C7181"/>
    <w:rsid w:val="007D037B"/>
    <w:rsid w:val="007D0DBC"/>
    <w:rsid w:val="007D1685"/>
    <w:rsid w:val="007D174E"/>
    <w:rsid w:val="007D1808"/>
    <w:rsid w:val="007D1A37"/>
    <w:rsid w:val="007D2C19"/>
    <w:rsid w:val="007D2F89"/>
    <w:rsid w:val="007D4C3D"/>
    <w:rsid w:val="007D50B4"/>
    <w:rsid w:val="007D50C3"/>
    <w:rsid w:val="007D5AA6"/>
    <w:rsid w:val="007E040F"/>
    <w:rsid w:val="007E0886"/>
    <w:rsid w:val="007E1617"/>
    <w:rsid w:val="007E18D7"/>
    <w:rsid w:val="007E2555"/>
    <w:rsid w:val="007E2621"/>
    <w:rsid w:val="007E2AB9"/>
    <w:rsid w:val="007E3058"/>
    <w:rsid w:val="007E3322"/>
    <w:rsid w:val="007E3534"/>
    <w:rsid w:val="007E37DA"/>
    <w:rsid w:val="007E3E1F"/>
    <w:rsid w:val="007E4F23"/>
    <w:rsid w:val="007E513B"/>
    <w:rsid w:val="007E523D"/>
    <w:rsid w:val="007E55A2"/>
    <w:rsid w:val="007E570A"/>
    <w:rsid w:val="007E5AFD"/>
    <w:rsid w:val="007E6456"/>
    <w:rsid w:val="007E75BD"/>
    <w:rsid w:val="007E7936"/>
    <w:rsid w:val="007E798E"/>
    <w:rsid w:val="007E79A0"/>
    <w:rsid w:val="007F189F"/>
    <w:rsid w:val="007F1D80"/>
    <w:rsid w:val="007F1E8E"/>
    <w:rsid w:val="007F3EBF"/>
    <w:rsid w:val="007F4005"/>
    <w:rsid w:val="007F45DC"/>
    <w:rsid w:val="007F520C"/>
    <w:rsid w:val="007F52D3"/>
    <w:rsid w:val="007F5F3B"/>
    <w:rsid w:val="007F7034"/>
    <w:rsid w:val="0080087A"/>
    <w:rsid w:val="00801005"/>
    <w:rsid w:val="00801DF5"/>
    <w:rsid w:val="00802577"/>
    <w:rsid w:val="00802B0F"/>
    <w:rsid w:val="00803687"/>
    <w:rsid w:val="0080372A"/>
    <w:rsid w:val="0080398A"/>
    <w:rsid w:val="00803FE9"/>
    <w:rsid w:val="008043EA"/>
    <w:rsid w:val="0080499A"/>
    <w:rsid w:val="00804CCE"/>
    <w:rsid w:val="00805803"/>
    <w:rsid w:val="00805CBA"/>
    <w:rsid w:val="00805DD2"/>
    <w:rsid w:val="00806304"/>
    <w:rsid w:val="0080656F"/>
    <w:rsid w:val="00806847"/>
    <w:rsid w:val="00807AA9"/>
    <w:rsid w:val="008103C9"/>
    <w:rsid w:val="0081111E"/>
    <w:rsid w:val="008113FB"/>
    <w:rsid w:val="00814009"/>
    <w:rsid w:val="008153CE"/>
    <w:rsid w:val="00817C3C"/>
    <w:rsid w:val="00820A49"/>
    <w:rsid w:val="00821053"/>
    <w:rsid w:val="00821840"/>
    <w:rsid w:val="0082285B"/>
    <w:rsid w:val="00823A66"/>
    <w:rsid w:val="00824E02"/>
    <w:rsid w:val="00827B89"/>
    <w:rsid w:val="00827BDC"/>
    <w:rsid w:val="00827EF4"/>
    <w:rsid w:val="00830E92"/>
    <w:rsid w:val="00831C51"/>
    <w:rsid w:val="008321AB"/>
    <w:rsid w:val="0083241A"/>
    <w:rsid w:val="008332B8"/>
    <w:rsid w:val="008337B7"/>
    <w:rsid w:val="00833984"/>
    <w:rsid w:val="00834243"/>
    <w:rsid w:val="00834CA8"/>
    <w:rsid w:val="008361B4"/>
    <w:rsid w:val="0083691D"/>
    <w:rsid w:val="008370AD"/>
    <w:rsid w:val="0084051B"/>
    <w:rsid w:val="00840B72"/>
    <w:rsid w:val="0084204B"/>
    <w:rsid w:val="008438D9"/>
    <w:rsid w:val="00843C33"/>
    <w:rsid w:val="00845F2F"/>
    <w:rsid w:val="00846AE7"/>
    <w:rsid w:val="00847256"/>
    <w:rsid w:val="008473C5"/>
    <w:rsid w:val="00847AF1"/>
    <w:rsid w:val="00847F4D"/>
    <w:rsid w:val="008500A8"/>
    <w:rsid w:val="0085023A"/>
    <w:rsid w:val="00850769"/>
    <w:rsid w:val="0085099B"/>
    <w:rsid w:val="00850D0D"/>
    <w:rsid w:val="00851880"/>
    <w:rsid w:val="00851ABA"/>
    <w:rsid w:val="00851EB4"/>
    <w:rsid w:val="00852AF2"/>
    <w:rsid w:val="00852B72"/>
    <w:rsid w:val="00853409"/>
    <w:rsid w:val="00853785"/>
    <w:rsid w:val="00854789"/>
    <w:rsid w:val="0085486B"/>
    <w:rsid w:val="00855618"/>
    <w:rsid w:val="00855B6D"/>
    <w:rsid w:val="00856890"/>
    <w:rsid w:val="008572AB"/>
    <w:rsid w:val="0085785B"/>
    <w:rsid w:val="00857969"/>
    <w:rsid w:val="008605E5"/>
    <w:rsid w:val="008609BF"/>
    <w:rsid w:val="00860E21"/>
    <w:rsid w:val="008619CA"/>
    <w:rsid w:val="00861AA9"/>
    <w:rsid w:val="00861C7E"/>
    <w:rsid w:val="00862690"/>
    <w:rsid w:val="0086361B"/>
    <w:rsid w:val="00865358"/>
    <w:rsid w:val="008665AA"/>
    <w:rsid w:val="00866614"/>
    <w:rsid w:val="0086695B"/>
    <w:rsid w:val="008710EC"/>
    <w:rsid w:val="008719EA"/>
    <w:rsid w:val="0087220C"/>
    <w:rsid w:val="0087241A"/>
    <w:rsid w:val="008730C0"/>
    <w:rsid w:val="0087456D"/>
    <w:rsid w:val="00880D77"/>
    <w:rsid w:val="0088164B"/>
    <w:rsid w:val="00881AB2"/>
    <w:rsid w:val="00883066"/>
    <w:rsid w:val="008831D7"/>
    <w:rsid w:val="00883D1C"/>
    <w:rsid w:val="00883FE2"/>
    <w:rsid w:val="00884133"/>
    <w:rsid w:val="008845ED"/>
    <w:rsid w:val="008854A6"/>
    <w:rsid w:val="0088570A"/>
    <w:rsid w:val="00885E2F"/>
    <w:rsid w:val="0088637D"/>
    <w:rsid w:val="00887EB0"/>
    <w:rsid w:val="00887F74"/>
    <w:rsid w:val="00887F78"/>
    <w:rsid w:val="00890668"/>
    <w:rsid w:val="00891352"/>
    <w:rsid w:val="00891833"/>
    <w:rsid w:val="008919B3"/>
    <w:rsid w:val="00891BDE"/>
    <w:rsid w:val="0089373C"/>
    <w:rsid w:val="008937E5"/>
    <w:rsid w:val="00893A0C"/>
    <w:rsid w:val="008940FD"/>
    <w:rsid w:val="008949CF"/>
    <w:rsid w:val="00895309"/>
    <w:rsid w:val="00895E3B"/>
    <w:rsid w:val="008963CB"/>
    <w:rsid w:val="008967E1"/>
    <w:rsid w:val="00896E90"/>
    <w:rsid w:val="00897611"/>
    <w:rsid w:val="00897CDA"/>
    <w:rsid w:val="008A1187"/>
    <w:rsid w:val="008A1381"/>
    <w:rsid w:val="008A1B67"/>
    <w:rsid w:val="008A346F"/>
    <w:rsid w:val="008A45A2"/>
    <w:rsid w:val="008A5D19"/>
    <w:rsid w:val="008A62E8"/>
    <w:rsid w:val="008A694A"/>
    <w:rsid w:val="008A79D7"/>
    <w:rsid w:val="008A7CE2"/>
    <w:rsid w:val="008B0778"/>
    <w:rsid w:val="008B0878"/>
    <w:rsid w:val="008B0993"/>
    <w:rsid w:val="008B1499"/>
    <w:rsid w:val="008B18D4"/>
    <w:rsid w:val="008B2A9A"/>
    <w:rsid w:val="008B322A"/>
    <w:rsid w:val="008B4070"/>
    <w:rsid w:val="008B430F"/>
    <w:rsid w:val="008B4867"/>
    <w:rsid w:val="008B519E"/>
    <w:rsid w:val="008B51C5"/>
    <w:rsid w:val="008B5252"/>
    <w:rsid w:val="008B530E"/>
    <w:rsid w:val="008B59F7"/>
    <w:rsid w:val="008B66E2"/>
    <w:rsid w:val="008B677B"/>
    <w:rsid w:val="008B6B5E"/>
    <w:rsid w:val="008B7D8B"/>
    <w:rsid w:val="008B7F76"/>
    <w:rsid w:val="008C0CC0"/>
    <w:rsid w:val="008C1553"/>
    <w:rsid w:val="008C1961"/>
    <w:rsid w:val="008C228F"/>
    <w:rsid w:val="008C248C"/>
    <w:rsid w:val="008C2EA7"/>
    <w:rsid w:val="008C323A"/>
    <w:rsid w:val="008C351F"/>
    <w:rsid w:val="008C78C9"/>
    <w:rsid w:val="008D0963"/>
    <w:rsid w:val="008D13E7"/>
    <w:rsid w:val="008D1705"/>
    <w:rsid w:val="008D1E97"/>
    <w:rsid w:val="008D339F"/>
    <w:rsid w:val="008D7760"/>
    <w:rsid w:val="008D7F38"/>
    <w:rsid w:val="008E004D"/>
    <w:rsid w:val="008E0996"/>
    <w:rsid w:val="008E164D"/>
    <w:rsid w:val="008E2FDA"/>
    <w:rsid w:val="008E3A38"/>
    <w:rsid w:val="008E3E6F"/>
    <w:rsid w:val="008E60F9"/>
    <w:rsid w:val="008E6152"/>
    <w:rsid w:val="008E6292"/>
    <w:rsid w:val="008E6379"/>
    <w:rsid w:val="008E65C8"/>
    <w:rsid w:val="008F01F9"/>
    <w:rsid w:val="008F0F17"/>
    <w:rsid w:val="008F2106"/>
    <w:rsid w:val="008F2426"/>
    <w:rsid w:val="008F2EE8"/>
    <w:rsid w:val="008F2F37"/>
    <w:rsid w:val="008F36E6"/>
    <w:rsid w:val="008F3C67"/>
    <w:rsid w:val="008F5C16"/>
    <w:rsid w:val="008F5F84"/>
    <w:rsid w:val="008F613B"/>
    <w:rsid w:val="008F6921"/>
    <w:rsid w:val="008F6CEF"/>
    <w:rsid w:val="008F7A7B"/>
    <w:rsid w:val="00900221"/>
    <w:rsid w:val="00903240"/>
    <w:rsid w:val="00903C0D"/>
    <w:rsid w:val="00903C7B"/>
    <w:rsid w:val="009048BD"/>
    <w:rsid w:val="00906364"/>
    <w:rsid w:val="00906827"/>
    <w:rsid w:val="009069C7"/>
    <w:rsid w:val="00907126"/>
    <w:rsid w:val="0090792B"/>
    <w:rsid w:val="00907AD4"/>
    <w:rsid w:val="00907DBC"/>
    <w:rsid w:val="009105DC"/>
    <w:rsid w:val="00910DB5"/>
    <w:rsid w:val="009117E1"/>
    <w:rsid w:val="00911CD2"/>
    <w:rsid w:val="00912B0B"/>
    <w:rsid w:val="009134E3"/>
    <w:rsid w:val="00913575"/>
    <w:rsid w:val="0091398F"/>
    <w:rsid w:val="00913AEC"/>
    <w:rsid w:val="00914230"/>
    <w:rsid w:val="00914F40"/>
    <w:rsid w:val="0091546B"/>
    <w:rsid w:val="00915652"/>
    <w:rsid w:val="009159EC"/>
    <w:rsid w:val="00916E7F"/>
    <w:rsid w:val="0091753E"/>
    <w:rsid w:val="009177C1"/>
    <w:rsid w:val="00917C29"/>
    <w:rsid w:val="00920199"/>
    <w:rsid w:val="009246FE"/>
    <w:rsid w:val="00924AA7"/>
    <w:rsid w:val="00924AF1"/>
    <w:rsid w:val="0092518A"/>
    <w:rsid w:val="00925AA5"/>
    <w:rsid w:val="00926599"/>
    <w:rsid w:val="00926A89"/>
    <w:rsid w:val="00927FD0"/>
    <w:rsid w:val="00930CB6"/>
    <w:rsid w:val="009312E8"/>
    <w:rsid w:val="00931377"/>
    <w:rsid w:val="009315C7"/>
    <w:rsid w:val="00931795"/>
    <w:rsid w:val="00933713"/>
    <w:rsid w:val="009337DC"/>
    <w:rsid w:val="00934109"/>
    <w:rsid w:val="0093482D"/>
    <w:rsid w:val="00934B54"/>
    <w:rsid w:val="00934FBD"/>
    <w:rsid w:val="00937BBB"/>
    <w:rsid w:val="0094019D"/>
    <w:rsid w:val="00941428"/>
    <w:rsid w:val="00942054"/>
    <w:rsid w:val="00942C11"/>
    <w:rsid w:val="00944EA4"/>
    <w:rsid w:val="0094526F"/>
    <w:rsid w:val="0094527F"/>
    <w:rsid w:val="00945354"/>
    <w:rsid w:val="00945723"/>
    <w:rsid w:val="00946029"/>
    <w:rsid w:val="0094613E"/>
    <w:rsid w:val="00946C38"/>
    <w:rsid w:val="00947F1F"/>
    <w:rsid w:val="009501F9"/>
    <w:rsid w:val="009510A0"/>
    <w:rsid w:val="00951EF8"/>
    <w:rsid w:val="00952115"/>
    <w:rsid w:val="00952B79"/>
    <w:rsid w:val="00953819"/>
    <w:rsid w:val="00954AC4"/>
    <w:rsid w:val="00955532"/>
    <w:rsid w:val="00956B99"/>
    <w:rsid w:val="0095776E"/>
    <w:rsid w:val="0096038F"/>
    <w:rsid w:val="009608C4"/>
    <w:rsid w:val="009622E6"/>
    <w:rsid w:val="0096260A"/>
    <w:rsid w:val="00962A03"/>
    <w:rsid w:val="00963705"/>
    <w:rsid w:val="009638E9"/>
    <w:rsid w:val="00963E8D"/>
    <w:rsid w:val="00964327"/>
    <w:rsid w:val="00964A46"/>
    <w:rsid w:val="0096602F"/>
    <w:rsid w:val="0096696E"/>
    <w:rsid w:val="0096743B"/>
    <w:rsid w:val="00967675"/>
    <w:rsid w:val="00970D81"/>
    <w:rsid w:val="00970FCE"/>
    <w:rsid w:val="00971223"/>
    <w:rsid w:val="00972A4D"/>
    <w:rsid w:val="009732EC"/>
    <w:rsid w:val="0097382E"/>
    <w:rsid w:val="00973E98"/>
    <w:rsid w:val="00973F4B"/>
    <w:rsid w:val="00975133"/>
    <w:rsid w:val="009755BB"/>
    <w:rsid w:val="00976301"/>
    <w:rsid w:val="00980ABD"/>
    <w:rsid w:val="00980FFC"/>
    <w:rsid w:val="009821CE"/>
    <w:rsid w:val="00982542"/>
    <w:rsid w:val="00982D7C"/>
    <w:rsid w:val="009838B0"/>
    <w:rsid w:val="00984AF7"/>
    <w:rsid w:val="009852CF"/>
    <w:rsid w:val="00985FC0"/>
    <w:rsid w:val="00986089"/>
    <w:rsid w:val="00986AE0"/>
    <w:rsid w:val="00990CEB"/>
    <w:rsid w:val="0099243B"/>
    <w:rsid w:val="009927E5"/>
    <w:rsid w:val="00992828"/>
    <w:rsid w:val="00992C23"/>
    <w:rsid w:val="00993CFE"/>
    <w:rsid w:val="00994544"/>
    <w:rsid w:val="0099496D"/>
    <w:rsid w:val="0099585C"/>
    <w:rsid w:val="009959A9"/>
    <w:rsid w:val="009959D0"/>
    <w:rsid w:val="0099607D"/>
    <w:rsid w:val="00996D0C"/>
    <w:rsid w:val="00996EBA"/>
    <w:rsid w:val="0099748A"/>
    <w:rsid w:val="009A05D4"/>
    <w:rsid w:val="009A071B"/>
    <w:rsid w:val="009A100F"/>
    <w:rsid w:val="009A17E4"/>
    <w:rsid w:val="009A25AB"/>
    <w:rsid w:val="009A2D91"/>
    <w:rsid w:val="009A3132"/>
    <w:rsid w:val="009A375B"/>
    <w:rsid w:val="009A3E51"/>
    <w:rsid w:val="009A4206"/>
    <w:rsid w:val="009A51A9"/>
    <w:rsid w:val="009A64E1"/>
    <w:rsid w:val="009A658F"/>
    <w:rsid w:val="009A668A"/>
    <w:rsid w:val="009A7F7B"/>
    <w:rsid w:val="009B0581"/>
    <w:rsid w:val="009B0847"/>
    <w:rsid w:val="009B12A0"/>
    <w:rsid w:val="009B1363"/>
    <w:rsid w:val="009B1A65"/>
    <w:rsid w:val="009B1C34"/>
    <w:rsid w:val="009B2142"/>
    <w:rsid w:val="009B3AEF"/>
    <w:rsid w:val="009B45D2"/>
    <w:rsid w:val="009B4A33"/>
    <w:rsid w:val="009B4DE8"/>
    <w:rsid w:val="009B5419"/>
    <w:rsid w:val="009B58EA"/>
    <w:rsid w:val="009B5ABB"/>
    <w:rsid w:val="009B6648"/>
    <w:rsid w:val="009B6BA5"/>
    <w:rsid w:val="009B6FBA"/>
    <w:rsid w:val="009B7077"/>
    <w:rsid w:val="009C0689"/>
    <w:rsid w:val="009C1639"/>
    <w:rsid w:val="009C18DC"/>
    <w:rsid w:val="009C3477"/>
    <w:rsid w:val="009C355A"/>
    <w:rsid w:val="009C3F26"/>
    <w:rsid w:val="009C4325"/>
    <w:rsid w:val="009C4603"/>
    <w:rsid w:val="009C60D5"/>
    <w:rsid w:val="009C61C2"/>
    <w:rsid w:val="009C680D"/>
    <w:rsid w:val="009C6EC3"/>
    <w:rsid w:val="009D08D8"/>
    <w:rsid w:val="009D2AFC"/>
    <w:rsid w:val="009D31B2"/>
    <w:rsid w:val="009D545E"/>
    <w:rsid w:val="009D5682"/>
    <w:rsid w:val="009D5687"/>
    <w:rsid w:val="009D5869"/>
    <w:rsid w:val="009D5C13"/>
    <w:rsid w:val="009D752B"/>
    <w:rsid w:val="009D7C0B"/>
    <w:rsid w:val="009E0ED8"/>
    <w:rsid w:val="009E1311"/>
    <w:rsid w:val="009E166E"/>
    <w:rsid w:val="009E1F28"/>
    <w:rsid w:val="009E224A"/>
    <w:rsid w:val="009E3014"/>
    <w:rsid w:val="009E5599"/>
    <w:rsid w:val="009E6E0E"/>
    <w:rsid w:val="009E71C6"/>
    <w:rsid w:val="009E7AA9"/>
    <w:rsid w:val="009F1336"/>
    <w:rsid w:val="009F14CE"/>
    <w:rsid w:val="009F2CBA"/>
    <w:rsid w:val="009F2CD4"/>
    <w:rsid w:val="009F3172"/>
    <w:rsid w:val="009F38F2"/>
    <w:rsid w:val="009F4235"/>
    <w:rsid w:val="009F4704"/>
    <w:rsid w:val="009F510D"/>
    <w:rsid w:val="009F54F1"/>
    <w:rsid w:val="009F5550"/>
    <w:rsid w:val="009F5CB9"/>
    <w:rsid w:val="009F6559"/>
    <w:rsid w:val="009F7A30"/>
    <w:rsid w:val="009F7EF1"/>
    <w:rsid w:val="00A00E18"/>
    <w:rsid w:val="00A01366"/>
    <w:rsid w:val="00A031B9"/>
    <w:rsid w:val="00A03684"/>
    <w:rsid w:val="00A03AD3"/>
    <w:rsid w:val="00A03B28"/>
    <w:rsid w:val="00A04BAE"/>
    <w:rsid w:val="00A05339"/>
    <w:rsid w:val="00A0566D"/>
    <w:rsid w:val="00A05E34"/>
    <w:rsid w:val="00A10537"/>
    <w:rsid w:val="00A10552"/>
    <w:rsid w:val="00A107E0"/>
    <w:rsid w:val="00A10AF4"/>
    <w:rsid w:val="00A10D24"/>
    <w:rsid w:val="00A115DE"/>
    <w:rsid w:val="00A143CD"/>
    <w:rsid w:val="00A1447D"/>
    <w:rsid w:val="00A14BF1"/>
    <w:rsid w:val="00A16140"/>
    <w:rsid w:val="00A167CA"/>
    <w:rsid w:val="00A16A87"/>
    <w:rsid w:val="00A16E03"/>
    <w:rsid w:val="00A17054"/>
    <w:rsid w:val="00A17A4B"/>
    <w:rsid w:val="00A21792"/>
    <w:rsid w:val="00A228F7"/>
    <w:rsid w:val="00A23539"/>
    <w:rsid w:val="00A23679"/>
    <w:rsid w:val="00A2418D"/>
    <w:rsid w:val="00A260CD"/>
    <w:rsid w:val="00A27CFB"/>
    <w:rsid w:val="00A27F8F"/>
    <w:rsid w:val="00A30B98"/>
    <w:rsid w:val="00A31053"/>
    <w:rsid w:val="00A3155B"/>
    <w:rsid w:val="00A31B70"/>
    <w:rsid w:val="00A31E71"/>
    <w:rsid w:val="00A34DAA"/>
    <w:rsid w:val="00A35093"/>
    <w:rsid w:val="00A35C8C"/>
    <w:rsid w:val="00A35F84"/>
    <w:rsid w:val="00A36C10"/>
    <w:rsid w:val="00A36DFE"/>
    <w:rsid w:val="00A3749B"/>
    <w:rsid w:val="00A411EA"/>
    <w:rsid w:val="00A416AC"/>
    <w:rsid w:val="00A41F71"/>
    <w:rsid w:val="00A4221A"/>
    <w:rsid w:val="00A42B2F"/>
    <w:rsid w:val="00A4309C"/>
    <w:rsid w:val="00A43EE5"/>
    <w:rsid w:val="00A46668"/>
    <w:rsid w:val="00A46F53"/>
    <w:rsid w:val="00A4782F"/>
    <w:rsid w:val="00A507D8"/>
    <w:rsid w:val="00A50975"/>
    <w:rsid w:val="00A50A52"/>
    <w:rsid w:val="00A5215D"/>
    <w:rsid w:val="00A539C5"/>
    <w:rsid w:val="00A55EE6"/>
    <w:rsid w:val="00A5638E"/>
    <w:rsid w:val="00A5683F"/>
    <w:rsid w:val="00A56970"/>
    <w:rsid w:val="00A57062"/>
    <w:rsid w:val="00A571AA"/>
    <w:rsid w:val="00A57706"/>
    <w:rsid w:val="00A6006C"/>
    <w:rsid w:val="00A603E8"/>
    <w:rsid w:val="00A606B2"/>
    <w:rsid w:val="00A6199A"/>
    <w:rsid w:val="00A61A2E"/>
    <w:rsid w:val="00A61D0E"/>
    <w:rsid w:val="00A62428"/>
    <w:rsid w:val="00A62E42"/>
    <w:rsid w:val="00A6379C"/>
    <w:rsid w:val="00A64A71"/>
    <w:rsid w:val="00A6510A"/>
    <w:rsid w:val="00A652B8"/>
    <w:rsid w:val="00A65379"/>
    <w:rsid w:val="00A65D4C"/>
    <w:rsid w:val="00A66034"/>
    <w:rsid w:val="00A66271"/>
    <w:rsid w:val="00A663CA"/>
    <w:rsid w:val="00A66D1E"/>
    <w:rsid w:val="00A67527"/>
    <w:rsid w:val="00A701FF"/>
    <w:rsid w:val="00A70CAF"/>
    <w:rsid w:val="00A71713"/>
    <w:rsid w:val="00A72114"/>
    <w:rsid w:val="00A725B4"/>
    <w:rsid w:val="00A72CDD"/>
    <w:rsid w:val="00A740DB"/>
    <w:rsid w:val="00A74E8C"/>
    <w:rsid w:val="00A758CF"/>
    <w:rsid w:val="00A772C9"/>
    <w:rsid w:val="00A80E76"/>
    <w:rsid w:val="00A8127E"/>
    <w:rsid w:val="00A81DEA"/>
    <w:rsid w:val="00A82014"/>
    <w:rsid w:val="00A83C78"/>
    <w:rsid w:val="00A849F8"/>
    <w:rsid w:val="00A84A3F"/>
    <w:rsid w:val="00A84BEF"/>
    <w:rsid w:val="00A8574C"/>
    <w:rsid w:val="00A86190"/>
    <w:rsid w:val="00A86929"/>
    <w:rsid w:val="00A870CC"/>
    <w:rsid w:val="00A907D4"/>
    <w:rsid w:val="00A908D3"/>
    <w:rsid w:val="00A91069"/>
    <w:rsid w:val="00A91A38"/>
    <w:rsid w:val="00A92637"/>
    <w:rsid w:val="00A926A9"/>
    <w:rsid w:val="00A93283"/>
    <w:rsid w:val="00A93B12"/>
    <w:rsid w:val="00A94CE5"/>
    <w:rsid w:val="00A97740"/>
    <w:rsid w:val="00AA029F"/>
    <w:rsid w:val="00AA19C5"/>
    <w:rsid w:val="00AA204E"/>
    <w:rsid w:val="00AA2775"/>
    <w:rsid w:val="00AA2CB2"/>
    <w:rsid w:val="00AA3768"/>
    <w:rsid w:val="00AA5E4C"/>
    <w:rsid w:val="00AA6F62"/>
    <w:rsid w:val="00AA7855"/>
    <w:rsid w:val="00AB0189"/>
    <w:rsid w:val="00AB0CE7"/>
    <w:rsid w:val="00AB1B49"/>
    <w:rsid w:val="00AB20C1"/>
    <w:rsid w:val="00AB21FE"/>
    <w:rsid w:val="00AB3F42"/>
    <w:rsid w:val="00AB61F7"/>
    <w:rsid w:val="00AB6697"/>
    <w:rsid w:val="00AB6791"/>
    <w:rsid w:val="00AB7402"/>
    <w:rsid w:val="00AB7BA0"/>
    <w:rsid w:val="00AB7D63"/>
    <w:rsid w:val="00AC2E34"/>
    <w:rsid w:val="00AC33EB"/>
    <w:rsid w:val="00AC3D24"/>
    <w:rsid w:val="00AC4932"/>
    <w:rsid w:val="00AC5051"/>
    <w:rsid w:val="00AC5EF8"/>
    <w:rsid w:val="00AC6B1F"/>
    <w:rsid w:val="00AC72D3"/>
    <w:rsid w:val="00AD0C0A"/>
    <w:rsid w:val="00AD0EC5"/>
    <w:rsid w:val="00AD2121"/>
    <w:rsid w:val="00AD2B20"/>
    <w:rsid w:val="00AD44E4"/>
    <w:rsid w:val="00AD453D"/>
    <w:rsid w:val="00AD47A1"/>
    <w:rsid w:val="00AD4891"/>
    <w:rsid w:val="00AD4CAE"/>
    <w:rsid w:val="00AD723E"/>
    <w:rsid w:val="00AD73FB"/>
    <w:rsid w:val="00AE0E35"/>
    <w:rsid w:val="00AE201C"/>
    <w:rsid w:val="00AE20CE"/>
    <w:rsid w:val="00AE2F90"/>
    <w:rsid w:val="00AE3862"/>
    <w:rsid w:val="00AE4828"/>
    <w:rsid w:val="00AE5A3B"/>
    <w:rsid w:val="00AE703B"/>
    <w:rsid w:val="00AE7183"/>
    <w:rsid w:val="00AE7B68"/>
    <w:rsid w:val="00AF0973"/>
    <w:rsid w:val="00AF0E20"/>
    <w:rsid w:val="00AF2131"/>
    <w:rsid w:val="00AF229B"/>
    <w:rsid w:val="00AF26C4"/>
    <w:rsid w:val="00AF3C8B"/>
    <w:rsid w:val="00AF479D"/>
    <w:rsid w:val="00AF4CD6"/>
    <w:rsid w:val="00AF5442"/>
    <w:rsid w:val="00AF59FC"/>
    <w:rsid w:val="00AF5A1D"/>
    <w:rsid w:val="00AF5AF9"/>
    <w:rsid w:val="00AF6009"/>
    <w:rsid w:val="00AF60FB"/>
    <w:rsid w:val="00AF6CB5"/>
    <w:rsid w:val="00B01FDF"/>
    <w:rsid w:val="00B02612"/>
    <w:rsid w:val="00B02B9A"/>
    <w:rsid w:val="00B02C3D"/>
    <w:rsid w:val="00B02E97"/>
    <w:rsid w:val="00B03B03"/>
    <w:rsid w:val="00B0403E"/>
    <w:rsid w:val="00B046CF"/>
    <w:rsid w:val="00B054B1"/>
    <w:rsid w:val="00B05D60"/>
    <w:rsid w:val="00B0616A"/>
    <w:rsid w:val="00B0665C"/>
    <w:rsid w:val="00B0715A"/>
    <w:rsid w:val="00B07229"/>
    <w:rsid w:val="00B073DA"/>
    <w:rsid w:val="00B1032A"/>
    <w:rsid w:val="00B1095F"/>
    <w:rsid w:val="00B13466"/>
    <w:rsid w:val="00B14702"/>
    <w:rsid w:val="00B1474C"/>
    <w:rsid w:val="00B157FD"/>
    <w:rsid w:val="00B15ED7"/>
    <w:rsid w:val="00B166A5"/>
    <w:rsid w:val="00B16C52"/>
    <w:rsid w:val="00B17139"/>
    <w:rsid w:val="00B17BDB"/>
    <w:rsid w:val="00B17DCA"/>
    <w:rsid w:val="00B17F6C"/>
    <w:rsid w:val="00B20397"/>
    <w:rsid w:val="00B20CFB"/>
    <w:rsid w:val="00B20EA8"/>
    <w:rsid w:val="00B21352"/>
    <w:rsid w:val="00B21D4D"/>
    <w:rsid w:val="00B24025"/>
    <w:rsid w:val="00B241E1"/>
    <w:rsid w:val="00B25143"/>
    <w:rsid w:val="00B25E1A"/>
    <w:rsid w:val="00B26271"/>
    <w:rsid w:val="00B265EC"/>
    <w:rsid w:val="00B26620"/>
    <w:rsid w:val="00B26741"/>
    <w:rsid w:val="00B26AE7"/>
    <w:rsid w:val="00B26AFF"/>
    <w:rsid w:val="00B273F1"/>
    <w:rsid w:val="00B30CBE"/>
    <w:rsid w:val="00B30D19"/>
    <w:rsid w:val="00B3149D"/>
    <w:rsid w:val="00B324CA"/>
    <w:rsid w:val="00B326AA"/>
    <w:rsid w:val="00B32F9F"/>
    <w:rsid w:val="00B33263"/>
    <w:rsid w:val="00B33472"/>
    <w:rsid w:val="00B34261"/>
    <w:rsid w:val="00B348C8"/>
    <w:rsid w:val="00B34A3F"/>
    <w:rsid w:val="00B34A63"/>
    <w:rsid w:val="00B35735"/>
    <w:rsid w:val="00B36DC0"/>
    <w:rsid w:val="00B370E7"/>
    <w:rsid w:val="00B40A1B"/>
    <w:rsid w:val="00B40C59"/>
    <w:rsid w:val="00B411FE"/>
    <w:rsid w:val="00B41755"/>
    <w:rsid w:val="00B417E5"/>
    <w:rsid w:val="00B41B37"/>
    <w:rsid w:val="00B4206D"/>
    <w:rsid w:val="00B4314B"/>
    <w:rsid w:val="00B43195"/>
    <w:rsid w:val="00B43FAE"/>
    <w:rsid w:val="00B440DC"/>
    <w:rsid w:val="00B441A5"/>
    <w:rsid w:val="00B445E8"/>
    <w:rsid w:val="00B45A58"/>
    <w:rsid w:val="00B47692"/>
    <w:rsid w:val="00B47A74"/>
    <w:rsid w:val="00B47E19"/>
    <w:rsid w:val="00B503AD"/>
    <w:rsid w:val="00B504C1"/>
    <w:rsid w:val="00B5063E"/>
    <w:rsid w:val="00B5072A"/>
    <w:rsid w:val="00B50B6F"/>
    <w:rsid w:val="00B51987"/>
    <w:rsid w:val="00B51BB8"/>
    <w:rsid w:val="00B52340"/>
    <w:rsid w:val="00B5240A"/>
    <w:rsid w:val="00B5247A"/>
    <w:rsid w:val="00B5282F"/>
    <w:rsid w:val="00B52939"/>
    <w:rsid w:val="00B52B5A"/>
    <w:rsid w:val="00B5321B"/>
    <w:rsid w:val="00B53A8D"/>
    <w:rsid w:val="00B53F60"/>
    <w:rsid w:val="00B53FF6"/>
    <w:rsid w:val="00B54D0A"/>
    <w:rsid w:val="00B554FA"/>
    <w:rsid w:val="00B55A23"/>
    <w:rsid w:val="00B55D1B"/>
    <w:rsid w:val="00B5750B"/>
    <w:rsid w:val="00B57D2E"/>
    <w:rsid w:val="00B60595"/>
    <w:rsid w:val="00B60679"/>
    <w:rsid w:val="00B6073A"/>
    <w:rsid w:val="00B616AC"/>
    <w:rsid w:val="00B644CF"/>
    <w:rsid w:val="00B648EE"/>
    <w:rsid w:val="00B66B19"/>
    <w:rsid w:val="00B66D74"/>
    <w:rsid w:val="00B677DD"/>
    <w:rsid w:val="00B67A3A"/>
    <w:rsid w:val="00B67E8D"/>
    <w:rsid w:val="00B70745"/>
    <w:rsid w:val="00B70746"/>
    <w:rsid w:val="00B708FB"/>
    <w:rsid w:val="00B710E1"/>
    <w:rsid w:val="00B72A9E"/>
    <w:rsid w:val="00B73889"/>
    <w:rsid w:val="00B73C22"/>
    <w:rsid w:val="00B75F3B"/>
    <w:rsid w:val="00B76072"/>
    <w:rsid w:val="00B770FF"/>
    <w:rsid w:val="00B80313"/>
    <w:rsid w:val="00B81A55"/>
    <w:rsid w:val="00B82EBF"/>
    <w:rsid w:val="00B82EF9"/>
    <w:rsid w:val="00B833B6"/>
    <w:rsid w:val="00B8345D"/>
    <w:rsid w:val="00B85F47"/>
    <w:rsid w:val="00B867EC"/>
    <w:rsid w:val="00B87927"/>
    <w:rsid w:val="00B87BC9"/>
    <w:rsid w:val="00B90232"/>
    <w:rsid w:val="00B90C16"/>
    <w:rsid w:val="00B91692"/>
    <w:rsid w:val="00B92619"/>
    <w:rsid w:val="00B92A0D"/>
    <w:rsid w:val="00B92E22"/>
    <w:rsid w:val="00B9338B"/>
    <w:rsid w:val="00B93B7A"/>
    <w:rsid w:val="00B94F4B"/>
    <w:rsid w:val="00B96441"/>
    <w:rsid w:val="00B966DC"/>
    <w:rsid w:val="00B967DC"/>
    <w:rsid w:val="00B971E9"/>
    <w:rsid w:val="00B974EB"/>
    <w:rsid w:val="00BA0318"/>
    <w:rsid w:val="00BA0ED3"/>
    <w:rsid w:val="00BA1499"/>
    <w:rsid w:val="00BA2A80"/>
    <w:rsid w:val="00BA2B1B"/>
    <w:rsid w:val="00BA450C"/>
    <w:rsid w:val="00BA499F"/>
    <w:rsid w:val="00BA4A48"/>
    <w:rsid w:val="00BA508C"/>
    <w:rsid w:val="00BA6F35"/>
    <w:rsid w:val="00BB0CCE"/>
    <w:rsid w:val="00BB2364"/>
    <w:rsid w:val="00BB26D9"/>
    <w:rsid w:val="00BB27E4"/>
    <w:rsid w:val="00BB4FFC"/>
    <w:rsid w:val="00BB54B2"/>
    <w:rsid w:val="00BB699B"/>
    <w:rsid w:val="00BB7201"/>
    <w:rsid w:val="00BC026B"/>
    <w:rsid w:val="00BC0B32"/>
    <w:rsid w:val="00BC1705"/>
    <w:rsid w:val="00BC1908"/>
    <w:rsid w:val="00BC1910"/>
    <w:rsid w:val="00BC28D2"/>
    <w:rsid w:val="00BC2B77"/>
    <w:rsid w:val="00BC33E6"/>
    <w:rsid w:val="00BC3E0B"/>
    <w:rsid w:val="00BC3FE6"/>
    <w:rsid w:val="00BC5420"/>
    <w:rsid w:val="00BC70FD"/>
    <w:rsid w:val="00BC711E"/>
    <w:rsid w:val="00BD0AEA"/>
    <w:rsid w:val="00BD0B41"/>
    <w:rsid w:val="00BD0CFD"/>
    <w:rsid w:val="00BD1928"/>
    <w:rsid w:val="00BD1C53"/>
    <w:rsid w:val="00BD2AAC"/>
    <w:rsid w:val="00BD5072"/>
    <w:rsid w:val="00BD5650"/>
    <w:rsid w:val="00BD57B2"/>
    <w:rsid w:val="00BD5A9E"/>
    <w:rsid w:val="00BD5EB5"/>
    <w:rsid w:val="00BD726C"/>
    <w:rsid w:val="00BD7870"/>
    <w:rsid w:val="00BE260A"/>
    <w:rsid w:val="00BE286B"/>
    <w:rsid w:val="00BE2ADE"/>
    <w:rsid w:val="00BE377D"/>
    <w:rsid w:val="00BE3C68"/>
    <w:rsid w:val="00BE42B9"/>
    <w:rsid w:val="00BE57EC"/>
    <w:rsid w:val="00BE5EA1"/>
    <w:rsid w:val="00BE63A9"/>
    <w:rsid w:val="00BE6522"/>
    <w:rsid w:val="00BE6C63"/>
    <w:rsid w:val="00BE766B"/>
    <w:rsid w:val="00BE7B09"/>
    <w:rsid w:val="00BF0640"/>
    <w:rsid w:val="00BF0816"/>
    <w:rsid w:val="00BF084A"/>
    <w:rsid w:val="00BF1778"/>
    <w:rsid w:val="00BF1DF7"/>
    <w:rsid w:val="00BF2642"/>
    <w:rsid w:val="00BF3EAF"/>
    <w:rsid w:val="00BF4E75"/>
    <w:rsid w:val="00BF63FD"/>
    <w:rsid w:val="00BF748C"/>
    <w:rsid w:val="00BF74AA"/>
    <w:rsid w:val="00BF74AF"/>
    <w:rsid w:val="00BF7E43"/>
    <w:rsid w:val="00C00323"/>
    <w:rsid w:val="00C01135"/>
    <w:rsid w:val="00C011F9"/>
    <w:rsid w:val="00C012CB"/>
    <w:rsid w:val="00C01677"/>
    <w:rsid w:val="00C01DB3"/>
    <w:rsid w:val="00C02520"/>
    <w:rsid w:val="00C0280D"/>
    <w:rsid w:val="00C02BB0"/>
    <w:rsid w:val="00C035F8"/>
    <w:rsid w:val="00C037B4"/>
    <w:rsid w:val="00C04076"/>
    <w:rsid w:val="00C04AA8"/>
    <w:rsid w:val="00C0500A"/>
    <w:rsid w:val="00C052C6"/>
    <w:rsid w:val="00C05574"/>
    <w:rsid w:val="00C05DE7"/>
    <w:rsid w:val="00C06A0D"/>
    <w:rsid w:val="00C07425"/>
    <w:rsid w:val="00C07527"/>
    <w:rsid w:val="00C07F78"/>
    <w:rsid w:val="00C1094C"/>
    <w:rsid w:val="00C10DD0"/>
    <w:rsid w:val="00C10FF3"/>
    <w:rsid w:val="00C1107B"/>
    <w:rsid w:val="00C118CF"/>
    <w:rsid w:val="00C11AD7"/>
    <w:rsid w:val="00C140EB"/>
    <w:rsid w:val="00C142F1"/>
    <w:rsid w:val="00C1456D"/>
    <w:rsid w:val="00C14D1A"/>
    <w:rsid w:val="00C15FA5"/>
    <w:rsid w:val="00C214EA"/>
    <w:rsid w:val="00C21D8A"/>
    <w:rsid w:val="00C23EC5"/>
    <w:rsid w:val="00C253A8"/>
    <w:rsid w:val="00C25F6E"/>
    <w:rsid w:val="00C265B9"/>
    <w:rsid w:val="00C26989"/>
    <w:rsid w:val="00C30297"/>
    <w:rsid w:val="00C30BD0"/>
    <w:rsid w:val="00C31B6A"/>
    <w:rsid w:val="00C31CFB"/>
    <w:rsid w:val="00C31F16"/>
    <w:rsid w:val="00C3539F"/>
    <w:rsid w:val="00C3544E"/>
    <w:rsid w:val="00C3552C"/>
    <w:rsid w:val="00C35974"/>
    <w:rsid w:val="00C35CDB"/>
    <w:rsid w:val="00C36A0B"/>
    <w:rsid w:val="00C401F8"/>
    <w:rsid w:val="00C40DE4"/>
    <w:rsid w:val="00C40FC9"/>
    <w:rsid w:val="00C41158"/>
    <w:rsid w:val="00C41C20"/>
    <w:rsid w:val="00C427A2"/>
    <w:rsid w:val="00C445FE"/>
    <w:rsid w:val="00C47175"/>
    <w:rsid w:val="00C47276"/>
    <w:rsid w:val="00C47E09"/>
    <w:rsid w:val="00C518BB"/>
    <w:rsid w:val="00C51FFA"/>
    <w:rsid w:val="00C52C44"/>
    <w:rsid w:val="00C53C38"/>
    <w:rsid w:val="00C54484"/>
    <w:rsid w:val="00C54789"/>
    <w:rsid w:val="00C54862"/>
    <w:rsid w:val="00C54880"/>
    <w:rsid w:val="00C54E4E"/>
    <w:rsid w:val="00C54EA5"/>
    <w:rsid w:val="00C55061"/>
    <w:rsid w:val="00C5661A"/>
    <w:rsid w:val="00C56680"/>
    <w:rsid w:val="00C56908"/>
    <w:rsid w:val="00C5714C"/>
    <w:rsid w:val="00C573D3"/>
    <w:rsid w:val="00C60300"/>
    <w:rsid w:val="00C6127B"/>
    <w:rsid w:val="00C615A1"/>
    <w:rsid w:val="00C62243"/>
    <w:rsid w:val="00C623C5"/>
    <w:rsid w:val="00C6309A"/>
    <w:rsid w:val="00C63256"/>
    <w:rsid w:val="00C6326A"/>
    <w:rsid w:val="00C641B4"/>
    <w:rsid w:val="00C657AE"/>
    <w:rsid w:val="00C663AB"/>
    <w:rsid w:val="00C66637"/>
    <w:rsid w:val="00C67404"/>
    <w:rsid w:val="00C73809"/>
    <w:rsid w:val="00C73952"/>
    <w:rsid w:val="00C751D8"/>
    <w:rsid w:val="00C752DD"/>
    <w:rsid w:val="00C762FC"/>
    <w:rsid w:val="00C775AE"/>
    <w:rsid w:val="00C8046F"/>
    <w:rsid w:val="00C8077F"/>
    <w:rsid w:val="00C811AA"/>
    <w:rsid w:val="00C829C4"/>
    <w:rsid w:val="00C838C7"/>
    <w:rsid w:val="00C84258"/>
    <w:rsid w:val="00C84CAD"/>
    <w:rsid w:val="00C85284"/>
    <w:rsid w:val="00C85314"/>
    <w:rsid w:val="00C85862"/>
    <w:rsid w:val="00C85E9C"/>
    <w:rsid w:val="00C86518"/>
    <w:rsid w:val="00C86525"/>
    <w:rsid w:val="00C86BB1"/>
    <w:rsid w:val="00C86C97"/>
    <w:rsid w:val="00C87159"/>
    <w:rsid w:val="00C87702"/>
    <w:rsid w:val="00C87B1A"/>
    <w:rsid w:val="00C903BF"/>
    <w:rsid w:val="00C905C4"/>
    <w:rsid w:val="00C91416"/>
    <w:rsid w:val="00C91D76"/>
    <w:rsid w:val="00C92808"/>
    <w:rsid w:val="00C92B81"/>
    <w:rsid w:val="00C930E4"/>
    <w:rsid w:val="00C93223"/>
    <w:rsid w:val="00C93A2A"/>
    <w:rsid w:val="00C95407"/>
    <w:rsid w:val="00C976A2"/>
    <w:rsid w:val="00C97945"/>
    <w:rsid w:val="00C97A9A"/>
    <w:rsid w:val="00CA0D43"/>
    <w:rsid w:val="00CA131C"/>
    <w:rsid w:val="00CA263E"/>
    <w:rsid w:val="00CA2D19"/>
    <w:rsid w:val="00CA3150"/>
    <w:rsid w:val="00CA444F"/>
    <w:rsid w:val="00CA46D6"/>
    <w:rsid w:val="00CA4914"/>
    <w:rsid w:val="00CA4BC0"/>
    <w:rsid w:val="00CA67E4"/>
    <w:rsid w:val="00CA714A"/>
    <w:rsid w:val="00CA714E"/>
    <w:rsid w:val="00CA7CA9"/>
    <w:rsid w:val="00CB03E6"/>
    <w:rsid w:val="00CB0C48"/>
    <w:rsid w:val="00CB1A22"/>
    <w:rsid w:val="00CB28A7"/>
    <w:rsid w:val="00CB3BFC"/>
    <w:rsid w:val="00CB4D19"/>
    <w:rsid w:val="00CB4D20"/>
    <w:rsid w:val="00CB59AA"/>
    <w:rsid w:val="00CB70D5"/>
    <w:rsid w:val="00CC0E4B"/>
    <w:rsid w:val="00CC1CF3"/>
    <w:rsid w:val="00CC223D"/>
    <w:rsid w:val="00CC2CAE"/>
    <w:rsid w:val="00CC4376"/>
    <w:rsid w:val="00CC4F71"/>
    <w:rsid w:val="00CC559D"/>
    <w:rsid w:val="00CC5A44"/>
    <w:rsid w:val="00CD032F"/>
    <w:rsid w:val="00CD0415"/>
    <w:rsid w:val="00CD2E45"/>
    <w:rsid w:val="00CD4A54"/>
    <w:rsid w:val="00CD4EE0"/>
    <w:rsid w:val="00CD654B"/>
    <w:rsid w:val="00CD6BD4"/>
    <w:rsid w:val="00CD779D"/>
    <w:rsid w:val="00CE05A6"/>
    <w:rsid w:val="00CE223E"/>
    <w:rsid w:val="00CE2528"/>
    <w:rsid w:val="00CE28D4"/>
    <w:rsid w:val="00CE2C02"/>
    <w:rsid w:val="00CE2E05"/>
    <w:rsid w:val="00CE3559"/>
    <w:rsid w:val="00CE372E"/>
    <w:rsid w:val="00CE4011"/>
    <w:rsid w:val="00CE562C"/>
    <w:rsid w:val="00CE5B0C"/>
    <w:rsid w:val="00CE61BF"/>
    <w:rsid w:val="00CE6F50"/>
    <w:rsid w:val="00CE7911"/>
    <w:rsid w:val="00CE7A85"/>
    <w:rsid w:val="00CF0FA8"/>
    <w:rsid w:val="00CF1398"/>
    <w:rsid w:val="00CF18C2"/>
    <w:rsid w:val="00CF19E2"/>
    <w:rsid w:val="00CF2835"/>
    <w:rsid w:val="00CF283A"/>
    <w:rsid w:val="00CF2E04"/>
    <w:rsid w:val="00CF4EDE"/>
    <w:rsid w:val="00CF6104"/>
    <w:rsid w:val="00CF6153"/>
    <w:rsid w:val="00CF6A30"/>
    <w:rsid w:val="00CF6CA9"/>
    <w:rsid w:val="00D00E99"/>
    <w:rsid w:val="00D012E3"/>
    <w:rsid w:val="00D01C50"/>
    <w:rsid w:val="00D01F77"/>
    <w:rsid w:val="00D02F6F"/>
    <w:rsid w:val="00D04523"/>
    <w:rsid w:val="00D0537F"/>
    <w:rsid w:val="00D057FC"/>
    <w:rsid w:val="00D060AF"/>
    <w:rsid w:val="00D0732B"/>
    <w:rsid w:val="00D10B85"/>
    <w:rsid w:val="00D11213"/>
    <w:rsid w:val="00D131C2"/>
    <w:rsid w:val="00D145F5"/>
    <w:rsid w:val="00D14AAA"/>
    <w:rsid w:val="00D2019A"/>
    <w:rsid w:val="00D203AA"/>
    <w:rsid w:val="00D219E4"/>
    <w:rsid w:val="00D22597"/>
    <w:rsid w:val="00D2292A"/>
    <w:rsid w:val="00D2512D"/>
    <w:rsid w:val="00D2532B"/>
    <w:rsid w:val="00D27C6D"/>
    <w:rsid w:val="00D27F74"/>
    <w:rsid w:val="00D3108C"/>
    <w:rsid w:val="00D31775"/>
    <w:rsid w:val="00D334E6"/>
    <w:rsid w:val="00D348C2"/>
    <w:rsid w:val="00D3490E"/>
    <w:rsid w:val="00D355F0"/>
    <w:rsid w:val="00D35A20"/>
    <w:rsid w:val="00D362A7"/>
    <w:rsid w:val="00D36C0A"/>
    <w:rsid w:val="00D36D70"/>
    <w:rsid w:val="00D36E0F"/>
    <w:rsid w:val="00D36E67"/>
    <w:rsid w:val="00D3703F"/>
    <w:rsid w:val="00D3728C"/>
    <w:rsid w:val="00D37964"/>
    <w:rsid w:val="00D37BC3"/>
    <w:rsid w:val="00D40656"/>
    <w:rsid w:val="00D40774"/>
    <w:rsid w:val="00D409B2"/>
    <w:rsid w:val="00D40C19"/>
    <w:rsid w:val="00D41750"/>
    <w:rsid w:val="00D419B4"/>
    <w:rsid w:val="00D42779"/>
    <w:rsid w:val="00D43135"/>
    <w:rsid w:val="00D436AB"/>
    <w:rsid w:val="00D44597"/>
    <w:rsid w:val="00D455CE"/>
    <w:rsid w:val="00D45AF8"/>
    <w:rsid w:val="00D46E3E"/>
    <w:rsid w:val="00D4769D"/>
    <w:rsid w:val="00D47C5D"/>
    <w:rsid w:val="00D50384"/>
    <w:rsid w:val="00D5081B"/>
    <w:rsid w:val="00D51C05"/>
    <w:rsid w:val="00D52D8B"/>
    <w:rsid w:val="00D5622D"/>
    <w:rsid w:val="00D56F22"/>
    <w:rsid w:val="00D57BFC"/>
    <w:rsid w:val="00D57EBC"/>
    <w:rsid w:val="00D601C3"/>
    <w:rsid w:val="00D6020B"/>
    <w:rsid w:val="00D60415"/>
    <w:rsid w:val="00D60847"/>
    <w:rsid w:val="00D60958"/>
    <w:rsid w:val="00D60B6A"/>
    <w:rsid w:val="00D611BA"/>
    <w:rsid w:val="00D6290E"/>
    <w:rsid w:val="00D6396C"/>
    <w:rsid w:val="00D63B18"/>
    <w:rsid w:val="00D63C5B"/>
    <w:rsid w:val="00D64759"/>
    <w:rsid w:val="00D64D00"/>
    <w:rsid w:val="00D653E5"/>
    <w:rsid w:val="00D66510"/>
    <w:rsid w:val="00D66BDD"/>
    <w:rsid w:val="00D71073"/>
    <w:rsid w:val="00D71335"/>
    <w:rsid w:val="00D71587"/>
    <w:rsid w:val="00D725A2"/>
    <w:rsid w:val="00D730D6"/>
    <w:rsid w:val="00D74386"/>
    <w:rsid w:val="00D744C0"/>
    <w:rsid w:val="00D7460C"/>
    <w:rsid w:val="00D761D1"/>
    <w:rsid w:val="00D762C8"/>
    <w:rsid w:val="00D76E28"/>
    <w:rsid w:val="00D77254"/>
    <w:rsid w:val="00D77FFB"/>
    <w:rsid w:val="00D81254"/>
    <w:rsid w:val="00D819A2"/>
    <w:rsid w:val="00D819B4"/>
    <w:rsid w:val="00D82017"/>
    <w:rsid w:val="00D82564"/>
    <w:rsid w:val="00D8309A"/>
    <w:rsid w:val="00D83936"/>
    <w:rsid w:val="00D83BD9"/>
    <w:rsid w:val="00D844C0"/>
    <w:rsid w:val="00D8455B"/>
    <w:rsid w:val="00D85D6B"/>
    <w:rsid w:val="00D8642F"/>
    <w:rsid w:val="00D86836"/>
    <w:rsid w:val="00D87112"/>
    <w:rsid w:val="00D873BE"/>
    <w:rsid w:val="00D90042"/>
    <w:rsid w:val="00D9071C"/>
    <w:rsid w:val="00D90A7F"/>
    <w:rsid w:val="00D90B78"/>
    <w:rsid w:val="00D91786"/>
    <w:rsid w:val="00D92CB5"/>
    <w:rsid w:val="00D9366F"/>
    <w:rsid w:val="00D93DAB"/>
    <w:rsid w:val="00D94A8D"/>
    <w:rsid w:val="00D94D5C"/>
    <w:rsid w:val="00D95FB9"/>
    <w:rsid w:val="00DA01FF"/>
    <w:rsid w:val="00DA0F23"/>
    <w:rsid w:val="00DA17C2"/>
    <w:rsid w:val="00DA232A"/>
    <w:rsid w:val="00DA325F"/>
    <w:rsid w:val="00DA412E"/>
    <w:rsid w:val="00DA4BDC"/>
    <w:rsid w:val="00DA4CAD"/>
    <w:rsid w:val="00DA528D"/>
    <w:rsid w:val="00DA675D"/>
    <w:rsid w:val="00DA686B"/>
    <w:rsid w:val="00DA6DD8"/>
    <w:rsid w:val="00DA6E32"/>
    <w:rsid w:val="00DA7B8B"/>
    <w:rsid w:val="00DA7C60"/>
    <w:rsid w:val="00DA7E57"/>
    <w:rsid w:val="00DB0172"/>
    <w:rsid w:val="00DB0E05"/>
    <w:rsid w:val="00DB25CE"/>
    <w:rsid w:val="00DB2923"/>
    <w:rsid w:val="00DB3980"/>
    <w:rsid w:val="00DB3FF5"/>
    <w:rsid w:val="00DB432D"/>
    <w:rsid w:val="00DB4BEC"/>
    <w:rsid w:val="00DB554A"/>
    <w:rsid w:val="00DB6949"/>
    <w:rsid w:val="00DB732B"/>
    <w:rsid w:val="00DB791D"/>
    <w:rsid w:val="00DB7ECA"/>
    <w:rsid w:val="00DB7F09"/>
    <w:rsid w:val="00DC00E8"/>
    <w:rsid w:val="00DC0526"/>
    <w:rsid w:val="00DC09E5"/>
    <w:rsid w:val="00DC1A31"/>
    <w:rsid w:val="00DC1F31"/>
    <w:rsid w:val="00DC28F7"/>
    <w:rsid w:val="00DC389C"/>
    <w:rsid w:val="00DC3E3D"/>
    <w:rsid w:val="00DC4339"/>
    <w:rsid w:val="00DC44BC"/>
    <w:rsid w:val="00DC45A6"/>
    <w:rsid w:val="00DC4FA7"/>
    <w:rsid w:val="00DC50B1"/>
    <w:rsid w:val="00DC5200"/>
    <w:rsid w:val="00DC5844"/>
    <w:rsid w:val="00DC5A74"/>
    <w:rsid w:val="00DC5B2B"/>
    <w:rsid w:val="00DC7086"/>
    <w:rsid w:val="00DC7375"/>
    <w:rsid w:val="00DC7949"/>
    <w:rsid w:val="00DC7A00"/>
    <w:rsid w:val="00DC7AC3"/>
    <w:rsid w:val="00DC7BC1"/>
    <w:rsid w:val="00DD0E95"/>
    <w:rsid w:val="00DD111C"/>
    <w:rsid w:val="00DD2400"/>
    <w:rsid w:val="00DD2FF0"/>
    <w:rsid w:val="00DD322A"/>
    <w:rsid w:val="00DD3823"/>
    <w:rsid w:val="00DD3AF3"/>
    <w:rsid w:val="00DD3B09"/>
    <w:rsid w:val="00DD46FE"/>
    <w:rsid w:val="00DD4F76"/>
    <w:rsid w:val="00DD6155"/>
    <w:rsid w:val="00DD7876"/>
    <w:rsid w:val="00DD7BCF"/>
    <w:rsid w:val="00DE09E5"/>
    <w:rsid w:val="00DE0D30"/>
    <w:rsid w:val="00DE1172"/>
    <w:rsid w:val="00DE1CA7"/>
    <w:rsid w:val="00DE28CC"/>
    <w:rsid w:val="00DE2F4C"/>
    <w:rsid w:val="00DE3290"/>
    <w:rsid w:val="00DE37BA"/>
    <w:rsid w:val="00DE45BF"/>
    <w:rsid w:val="00DE4712"/>
    <w:rsid w:val="00DE497B"/>
    <w:rsid w:val="00DE4C22"/>
    <w:rsid w:val="00DE526B"/>
    <w:rsid w:val="00DE610A"/>
    <w:rsid w:val="00DE7E20"/>
    <w:rsid w:val="00DE7F0A"/>
    <w:rsid w:val="00DE7F72"/>
    <w:rsid w:val="00DF1575"/>
    <w:rsid w:val="00DF1AE8"/>
    <w:rsid w:val="00DF242A"/>
    <w:rsid w:val="00DF2549"/>
    <w:rsid w:val="00DF4167"/>
    <w:rsid w:val="00DF498F"/>
    <w:rsid w:val="00DF60B2"/>
    <w:rsid w:val="00DF64B8"/>
    <w:rsid w:val="00DF65A2"/>
    <w:rsid w:val="00DF6E51"/>
    <w:rsid w:val="00DF7E1D"/>
    <w:rsid w:val="00DF7F17"/>
    <w:rsid w:val="00E00B76"/>
    <w:rsid w:val="00E00E2D"/>
    <w:rsid w:val="00E01C81"/>
    <w:rsid w:val="00E02769"/>
    <w:rsid w:val="00E058F3"/>
    <w:rsid w:val="00E05F28"/>
    <w:rsid w:val="00E10D39"/>
    <w:rsid w:val="00E1136B"/>
    <w:rsid w:val="00E11EBF"/>
    <w:rsid w:val="00E13DCA"/>
    <w:rsid w:val="00E13E90"/>
    <w:rsid w:val="00E14082"/>
    <w:rsid w:val="00E14110"/>
    <w:rsid w:val="00E14694"/>
    <w:rsid w:val="00E148B4"/>
    <w:rsid w:val="00E14B33"/>
    <w:rsid w:val="00E15384"/>
    <w:rsid w:val="00E16435"/>
    <w:rsid w:val="00E17604"/>
    <w:rsid w:val="00E17801"/>
    <w:rsid w:val="00E17A44"/>
    <w:rsid w:val="00E17F9C"/>
    <w:rsid w:val="00E229C2"/>
    <w:rsid w:val="00E22B68"/>
    <w:rsid w:val="00E22D51"/>
    <w:rsid w:val="00E236E8"/>
    <w:rsid w:val="00E23EA9"/>
    <w:rsid w:val="00E26C72"/>
    <w:rsid w:val="00E27C85"/>
    <w:rsid w:val="00E329D9"/>
    <w:rsid w:val="00E34182"/>
    <w:rsid w:val="00E34C92"/>
    <w:rsid w:val="00E35819"/>
    <w:rsid w:val="00E359E8"/>
    <w:rsid w:val="00E35D58"/>
    <w:rsid w:val="00E35FA1"/>
    <w:rsid w:val="00E378B0"/>
    <w:rsid w:val="00E379D0"/>
    <w:rsid w:val="00E400B6"/>
    <w:rsid w:val="00E42187"/>
    <w:rsid w:val="00E42E29"/>
    <w:rsid w:val="00E4304D"/>
    <w:rsid w:val="00E4484B"/>
    <w:rsid w:val="00E454E7"/>
    <w:rsid w:val="00E4591B"/>
    <w:rsid w:val="00E4622F"/>
    <w:rsid w:val="00E46AF0"/>
    <w:rsid w:val="00E46D5E"/>
    <w:rsid w:val="00E47103"/>
    <w:rsid w:val="00E47607"/>
    <w:rsid w:val="00E507C7"/>
    <w:rsid w:val="00E50E7C"/>
    <w:rsid w:val="00E51545"/>
    <w:rsid w:val="00E55326"/>
    <w:rsid w:val="00E56702"/>
    <w:rsid w:val="00E56CF4"/>
    <w:rsid w:val="00E57E1D"/>
    <w:rsid w:val="00E6099E"/>
    <w:rsid w:val="00E60D88"/>
    <w:rsid w:val="00E60F40"/>
    <w:rsid w:val="00E62670"/>
    <w:rsid w:val="00E626CF"/>
    <w:rsid w:val="00E62C51"/>
    <w:rsid w:val="00E62ED3"/>
    <w:rsid w:val="00E63FD4"/>
    <w:rsid w:val="00E64069"/>
    <w:rsid w:val="00E64796"/>
    <w:rsid w:val="00E64D76"/>
    <w:rsid w:val="00E6605E"/>
    <w:rsid w:val="00E67206"/>
    <w:rsid w:val="00E67AC9"/>
    <w:rsid w:val="00E67D6D"/>
    <w:rsid w:val="00E711D7"/>
    <w:rsid w:val="00E75C51"/>
    <w:rsid w:val="00E75E5C"/>
    <w:rsid w:val="00E763FD"/>
    <w:rsid w:val="00E76443"/>
    <w:rsid w:val="00E764E2"/>
    <w:rsid w:val="00E77C3B"/>
    <w:rsid w:val="00E77F12"/>
    <w:rsid w:val="00E8018C"/>
    <w:rsid w:val="00E816ED"/>
    <w:rsid w:val="00E819E8"/>
    <w:rsid w:val="00E81A09"/>
    <w:rsid w:val="00E81A40"/>
    <w:rsid w:val="00E824D3"/>
    <w:rsid w:val="00E831FF"/>
    <w:rsid w:val="00E84459"/>
    <w:rsid w:val="00E84C9A"/>
    <w:rsid w:val="00E84E6C"/>
    <w:rsid w:val="00E85764"/>
    <w:rsid w:val="00E85A10"/>
    <w:rsid w:val="00E86C73"/>
    <w:rsid w:val="00E86D78"/>
    <w:rsid w:val="00E87471"/>
    <w:rsid w:val="00E87895"/>
    <w:rsid w:val="00E90271"/>
    <w:rsid w:val="00E902B0"/>
    <w:rsid w:val="00E902E8"/>
    <w:rsid w:val="00E908EC"/>
    <w:rsid w:val="00E9159C"/>
    <w:rsid w:val="00E91FB0"/>
    <w:rsid w:val="00E922A8"/>
    <w:rsid w:val="00E926D9"/>
    <w:rsid w:val="00E92E0D"/>
    <w:rsid w:val="00E938C4"/>
    <w:rsid w:val="00E95B2E"/>
    <w:rsid w:val="00E96961"/>
    <w:rsid w:val="00E96F77"/>
    <w:rsid w:val="00EA13D9"/>
    <w:rsid w:val="00EA1F81"/>
    <w:rsid w:val="00EA2A49"/>
    <w:rsid w:val="00EA3E3B"/>
    <w:rsid w:val="00EA49DF"/>
    <w:rsid w:val="00EA5CC8"/>
    <w:rsid w:val="00EB030F"/>
    <w:rsid w:val="00EB0444"/>
    <w:rsid w:val="00EB1644"/>
    <w:rsid w:val="00EB2BB9"/>
    <w:rsid w:val="00EB348C"/>
    <w:rsid w:val="00EB3F08"/>
    <w:rsid w:val="00EC022A"/>
    <w:rsid w:val="00EC02AA"/>
    <w:rsid w:val="00EC05E3"/>
    <w:rsid w:val="00EC0BFB"/>
    <w:rsid w:val="00EC113C"/>
    <w:rsid w:val="00EC1ABE"/>
    <w:rsid w:val="00EC39DB"/>
    <w:rsid w:val="00EC3D48"/>
    <w:rsid w:val="00EC45B1"/>
    <w:rsid w:val="00EC5626"/>
    <w:rsid w:val="00EC56A7"/>
    <w:rsid w:val="00EC5775"/>
    <w:rsid w:val="00EC5A8F"/>
    <w:rsid w:val="00EC68FF"/>
    <w:rsid w:val="00EC6B16"/>
    <w:rsid w:val="00EC7433"/>
    <w:rsid w:val="00EC75E2"/>
    <w:rsid w:val="00ED0A3B"/>
    <w:rsid w:val="00ED14FB"/>
    <w:rsid w:val="00ED171F"/>
    <w:rsid w:val="00ED215D"/>
    <w:rsid w:val="00ED243A"/>
    <w:rsid w:val="00ED7337"/>
    <w:rsid w:val="00ED756C"/>
    <w:rsid w:val="00ED77FF"/>
    <w:rsid w:val="00EE2F8A"/>
    <w:rsid w:val="00EE3BD9"/>
    <w:rsid w:val="00EE3F7D"/>
    <w:rsid w:val="00EE677F"/>
    <w:rsid w:val="00EE687A"/>
    <w:rsid w:val="00EE7BF2"/>
    <w:rsid w:val="00EF0365"/>
    <w:rsid w:val="00EF05D5"/>
    <w:rsid w:val="00EF0689"/>
    <w:rsid w:val="00EF0BDE"/>
    <w:rsid w:val="00EF0F71"/>
    <w:rsid w:val="00EF2C69"/>
    <w:rsid w:val="00EF2FBF"/>
    <w:rsid w:val="00EF352D"/>
    <w:rsid w:val="00EF4A8E"/>
    <w:rsid w:val="00EF4AA5"/>
    <w:rsid w:val="00EF5965"/>
    <w:rsid w:val="00EF5D43"/>
    <w:rsid w:val="00EF74A9"/>
    <w:rsid w:val="00F00347"/>
    <w:rsid w:val="00F005A2"/>
    <w:rsid w:val="00F0082D"/>
    <w:rsid w:val="00F00B67"/>
    <w:rsid w:val="00F00FF9"/>
    <w:rsid w:val="00F0180A"/>
    <w:rsid w:val="00F027C2"/>
    <w:rsid w:val="00F03405"/>
    <w:rsid w:val="00F037F8"/>
    <w:rsid w:val="00F055C5"/>
    <w:rsid w:val="00F065E8"/>
    <w:rsid w:val="00F067CF"/>
    <w:rsid w:val="00F06896"/>
    <w:rsid w:val="00F06A0F"/>
    <w:rsid w:val="00F075D7"/>
    <w:rsid w:val="00F0788F"/>
    <w:rsid w:val="00F07C90"/>
    <w:rsid w:val="00F07FE7"/>
    <w:rsid w:val="00F102A7"/>
    <w:rsid w:val="00F10F77"/>
    <w:rsid w:val="00F113B6"/>
    <w:rsid w:val="00F11628"/>
    <w:rsid w:val="00F1181B"/>
    <w:rsid w:val="00F11AA3"/>
    <w:rsid w:val="00F1283F"/>
    <w:rsid w:val="00F13E27"/>
    <w:rsid w:val="00F14337"/>
    <w:rsid w:val="00F15D5E"/>
    <w:rsid w:val="00F17FD7"/>
    <w:rsid w:val="00F20469"/>
    <w:rsid w:val="00F208E1"/>
    <w:rsid w:val="00F2182A"/>
    <w:rsid w:val="00F21DAD"/>
    <w:rsid w:val="00F22A42"/>
    <w:rsid w:val="00F22B8C"/>
    <w:rsid w:val="00F22C9E"/>
    <w:rsid w:val="00F23A92"/>
    <w:rsid w:val="00F23FE5"/>
    <w:rsid w:val="00F24CB5"/>
    <w:rsid w:val="00F25181"/>
    <w:rsid w:val="00F268BE"/>
    <w:rsid w:val="00F26CA5"/>
    <w:rsid w:val="00F27E0D"/>
    <w:rsid w:val="00F30D86"/>
    <w:rsid w:val="00F31496"/>
    <w:rsid w:val="00F31BEE"/>
    <w:rsid w:val="00F33721"/>
    <w:rsid w:val="00F34679"/>
    <w:rsid w:val="00F347A4"/>
    <w:rsid w:val="00F349CE"/>
    <w:rsid w:val="00F350E1"/>
    <w:rsid w:val="00F350F8"/>
    <w:rsid w:val="00F35382"/>
    <w:rsid w:val="00F35445"/>
    <w:rsid w:val="00F356CB"/>
    <w:rsid w:val="00F360BD"/>
    <w:rsid w:val="00F36DF7"/>
    <w:rsid w:val="00F370D8"/>
    <w:rsid w:val="00F3754C"/>
    <w:rsid w:val="00F37655"/>
    <w:rsid w:val="00F40B52"/>
    <w:rsid w:val="00F41085"/>
    <w:rsid w:val="00F4143D"/>
    <w:rsid w:val="00F41F4D"/>
    <w:rsid w:val="00F42452"/>
    <w:rsid w:val="00F43990"/>
    <w:rsid w:val="00F4574C"/>
    <w:rsid w:val="00F4610B"/>
    <w:rsid w:val="00F462AB"/>
    <w:rsid w:val="00F465C8"/>
    <w:rsid w:val="00F468A7"/>
    <w:rsid w:val="00F5175D"/>
    <w:rsid w:val="00F5313C"/>
    <w:rsid w:val="00F535E1"/>
    <w:rsid w:val="00F5363E"/>
    <w:rsid w:val="00F53872"/>
    <w:rsid w:val="00F53A40"/>
    <w:rsid w:val="00F54319"/>
    <w:rsid w:val="00F55CBC"/>
    <w:rsid w:val="00F55FDB"/>
    <w:rsid w:val="00F562C6"/>
    <w:rsid w:val="00F56A9D"/>
    <w:rsid w:val="00F56E9A"/>
    <w:rsid w:val="00F57102"/>
    <w:rsid w:val="00F57C52"/>
    <w:rsid w:val="00F600E5"/>
    <w:rsid w:val="00F60EDA"/>
    <w:rsid w:val="00F60F68"/>
    <w:rsid w:val="00F61EB1"/>
    <w:rsid w:val="00F61FFD"/>
    <w:rsid w:val="00F62CF6"/>
    <w:rsid w:val="00F6305D"/>
    <w:rsid w:val="00F64130"/>
    <w:rsid w:val="00F641D6"/>
    <w:rsid w:val="00F64774"/>
    <w:rsid w:val="00F64B4B"/>
    <w:rsid w:val="00F65447"/>
    <w:rsid w:val="00F65D6F"/>
    <w:rsid w:val="00F669B5"/>
    <w:rsid w:val="00F66B9F"/>
    <w:rsid w:val="00F670F7"/>
    <w:rsid w:val="00F67C5D"/>
    <w:rsid w:val="00F67EEA"/>
    <w:rsid w:val="00F70BD1"/>
    <w:rsid w:val="00F70E81"/>
    <w:rsid w:val="00F71107"/>
    <w:rsid w:val="00F71885"/>
    <w:rsid w:val="00F71A0E"/>
    <w:rsid w:val="00F72A2E"/>
    <w:rsid w:val="00F73644"/>
    <w:rsid w:val="00F740D8"/>
    <w:rsid w:val="00F74C83"/>
    <w:rsid w:val="00F7526E"/>
    <w:rsid w:val="00F76DE6"/>
    <w:rsid w:val="00F773A8"/>
    <w:rsid w:val="00F777EB"/>
    <w:rsid w:val="00F80575"/>
    <w:rsid w:val="00F808BE"/>
    <w:rsid w:val="00F80C28"/>
    <w:rsid w:val="00F81061"/>
    <w:rsid w:val="00F81067"/>
    <w:rsid w:val="00F817A8"/>
    <w:rsid w:val="00F829ED"/>
    <w:rsid w:val="00F832F1"/>
    <w:rsid w:val="00F8369D"/>
    <w:rsid w:val="00F83955"/>
    <w:rsid w:val="00F83A95"/>
    <w:rsid w:val="00F84562"/>
    <w:rsid w:val="00F86A66"/>
    <w:rsid w:val="00F86AFE"/>
    <w:rsid w:val="00F871DB"/>
    <w:rsid w:val="00F8737A"/>
    <w:rsid w:val="00F8784E"/>
    <w:rsid w:val="00F87A60"/>
    <w:rsid w:val="00F906C5"/>
    <w:rsid w:val="00F92279"/>
    <w:rsid w:val="00F92883"/>
    <w:rsid w:val="00F958F9"/>
    <w:rsid w:val="00F95DCA"/>
    <w:rsid w:val="00F96E45"/>
    <w:rsid w:val="00F97291"/>
    <w:rsid w:val="00F97A12"/>
    <w:rsid w:val="00F97DB8"/>
    <w:rsid w:val="00FA04A9"/>
    <w:rsid w:val="00FA0E9B"/>
    <w:rsid w:val="00FA1802"/>
    <w:rsid w:val="00FA222C"/>
    <w:rsid w:val="00FA2BD0"/>
    <w:rsid w:val="00FA34EF"/>
    <w:rsid w:val="00FA3AC8"/>
    <w:rsid w:val="00FA6473"/>
    <w:rsid w:val="00FB081B"/>
    <w:rsid w:val="00FB1167"/>
    <w:rsid w:val="00FB1CDC"/>
    <w:rsid w:val="00FB37B8"/>
    <w:rsid w:val="00FB4159"/>
    <w:rsid w:val="00FB4417"/>
    <w:rsid w:val="00FB4AB6"/>
    <w:rsid w:val="00FB64AA"/>
    <w:rsid w:val="00FB6854"/>
    <w:rsid w:val="00FC1F57"/>
    <w:rsid w:val="00FC1FC9"/>
    <w:rsid w:val="00FC29A4"/>
    <w:rsid w:val="00FC2ED5"/>
    <w:rsid w:val="00FC340E"/>
    <w:rsid w:val="00FC35F1"/>
    <w:rsid w:val="00FC3DED"/>
    <w:rsid w:val="00FC3EE9"/>
    <w:rsid w:val="00FC3F3D"/>
    <w:rsid w:val="00FC4257"/>
    <w:rsid w:val="00FC55DD"/>
    <w:rsid w:val="00FC674A"/>
    <w:rsid w:val="00FC6ADA"/>
    <w:rsid w:val="00FC72FA"/>
    <w:rsid w:val="00FD0927"/>
    <w:rsid w:val="00FD1096"/>
    <w:rsid w:val="00FD1A02"/>
    <w:rsid w:val="00FD1D8A"/>
    <w:rsid w:val="00FD2340"/>
    <w:rsid w:val="00FD2ED7"/>
    <w:rsid w:val="00FD341E"/>
    <w:rsid w:val="00FD3662"/>
    <w:rsid w:val="00FD3A39"/>
    <w:rsid w:val="00FD4512"/>
    <w:rsid w:val="00FD49C4"/>
    <w:rsid w:val="00FD52A0"/>
    <w:rsid w:val="00FD7256"/>
    <w:rsid w:val="00FD7A79"/>
    <w:rsid w:val="00FD7A8C"/>
    <w:rsid w:val="00FE02DD"/>
    <w:rsid w:val="00FE1250"/>
    <w:rsid w:val="00FE218B"/>
    <w:rsid w:val="00FE2278"/>
    <w:rsid w:val="00FE24A0"/>
    <w:rsid w:val="00FE27B6"/>
    <w:rsid w:val="00FE2F23"/>
    <w:rsid w:val="00FE47B3"/>
    <w:rsid w:val="00FE55B3"/>
    <w:rsid w:val="00FE64A5"/>
    <w:rsid w:val="00FE6DF4"/>
    <w:rsid w:val="00FF09BC"/>
    <w:rsid w:val="00FF1092"/>
    <w:rsid w:val="00FF1615"/>
    <w:rsid w:val="00FF17D6"/>
    <w:rsid w:val="00FF1926"/>
    <w:rsid w:val="00FF1AA4"/>
    <w:rsid w:val="00FF2292"/>
    <w:rsid w:val="00FF25E7"/>
    <w:rsid w:val="00FF374D"/>
    <w:rsid w:val="00FF3900"/>
    <w:rsid w:val="00FF43CF"/>
    <w:rsid w:val="00FF456E"/>
    <w:rsid w:val="00FF654E"/>
    <w:rsid w:val="00FF7215"/>
    <w:rsid w:val="00FF7318"/>
    <w:rsid w:val="00FF73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6AA02"/>
  <w15:docId w15:val="{2C2CFC1F-DFB5-442C-A86A-0F8F5F0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1"/>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b + line,b1,level 1"/>
    <w:basedOn w:val="Normal"/>
    <w:link w:val="BulletChar"/>
    <w:qFormat/>
    <w:rsid w:val="008043EA"/>
    <w:pPr>
      <w:numPr>
        <w:numId w:val="15"/>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6"/>
      </w:numPr>
      <w:spacing w:before="0"/>
    </w:pPr>
  </w:style>
  <w:style w:type="paragraph" w:customStyle="1" w:styleId="DoubleDot">
    <w:name w:val="Double Dot"/>
    <w:basedOn w:val="Normal"/>
    <w:link w:val="DoubleDotChar"/>
    <w:qFormat/>
    <w:rsid w:val="008043EA"/>
    <w:pPr>
      <w:numPr>
        <w:ilvl w:val="2"/>
        <w:numId w:val="6"/>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4"/>
      </w:numPr>
      <w:spacing w:before="0"/>
    </w:pPr>
  </w:style>
  <w:style w:type="paragraph" w:customStyle="1" w:styleId="OneLevelNumberedParagraph">
    <w:name w:val="One Level Numbered Paragraph"/>
    <w:basedOn w:val="Normal"/>
    <w:rsid w:val="008043EA"/>
    <w:pPr>
      <w:numPr>
        <w:numId w:val="3"/>
      </w:numPr>
      <w:tabs>
        <w:tab w:val="num" w:pos="360"/>
      </w:tabs>
      <w:spacing w:before="0"/>
      <w:ind w:left="0" w:firstLine="0"/>
    </w:pPr>
  </w:style>
  <w:style w:type="paragraph" w:customStyle="1" w:styleId="OutlineNumbered2">
    <w:name w:val="Outline Numbered 2"/>
    <w:basedOn w:val="Normal"/>
    <w:rsid w:val="008043EA"/>
    <w:pPr>
      <w:numPr>
        <w:ilvl w:val="1"/>
        <w:numId w:val="10"/>
      </w:numPr>
      <w:spacing w:before="0"/>
    </w:pPr>
  </w:style>
  <w:style w:type="paragraph" w:customStyle="1" w:styleId="OutlineNumbered3">
    <w:name w:val="Outline Numbered 3"/>
    <w:basedOn w:val="Normal"/>
    <w:rsid w:val="008043EA"/>
    <w:pPr>
      <w:numPr>
        <w:ilvl w:val="2"/>
        <w:numId w:val="10"/>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8"/>
      </w:numPr>
    </w:pPr>
  </w:style>
  <w:style w:type="paragraph" w:customStyle="1" w:styleId="Heading3Numbered">
    <w:name w:val="Heading 3 Numbered"/>
    <w:basedOn w:val="Heading3"/>
    <w:rsid w:val="008043EA"/>
    <w:pPr>
      <w:numPr>
        <w:ilvl w:val="2"/>
        <w:numId w:val="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0F4474"/>
    <w:pPr>
      <w:ind w:left="720"/>
      <w:contextualSpacing/>
    </w:pPr>
  </w:style>
  <w:style w:type="paragraph" w:customStyle="1" w:styleId="Default">
    <w:name w:val="Default"/>
    <w:rsid w:val="00D562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2A03"/>
    <w:rPr>
      <w:sz w:val="16"/>
      <w:szCs w:val="16"/>
    </w:rPr>
  </w:style>
  <w:style w:type="paragraph" w:styleId="CommentText">
    <w:name w:val="annotation text"/>
    <w:basedOn w:val="Normal"/>
    <w:link w:val="CommentTextChar"/>
    <w:uiPriority w:val="99"/>
    <w:unhideWhenUsed/>
    <w:rsid w:val="00392A03"/>
    <w:rPr>
      <w:sz w:val="20"/>
    </w:rPr>
  </w:style>
  <w:style w:type="character" w:customStyle="1" w:styleId="CommentTextChar">
    <w:name w:val="Comment Text Char"/>
    <w:basedOn w:val="DefaultParagraphFont"/>
    <w:link w:val="CommentText"/>
    <w:uiPriority w:val="99"/>
    <w:rsid w:val="00392A03"/>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92A03"/>
    <w:rPr>
      <w:b/>
      <w:bCs/>
    </w:rPr>
  </w:style>
  <w:style w:type="character" w:customStyle="1" w:styleId="CommentSubjectChar">
    <w:name w:val="Comment Subject Char"/>
    <w:basedOn w:val="CommentTextChar"/>
    <w:link w:val="CommentSubject"/>
    <w:uiPriority w:val="99"/>
    <w:semiHidden/>
    <w:rsid w:val="00392A03"/>
    <w:rPr>
      <w:rFonts w:ascii="Calibri Light" w:eastAsia="Times New Roman" w:hAnsi="Calibri Light" w:cs="Times New Roman"/>
      <w:b/>
      <w:bCs/>
      <w:sz w:val="20"/>
      <w:szCs w:val="20"/>
      <w:lang w:eastAsia="en-AU"/>
    </w:rPr>
  </w:style>
  <w:style w:type="table" w:styleId="GridTable4-Accent5">
    <w:name w:val="Grid Table 4 Accent 5"/>
    <w:basedOn w:val="TableNormal"/>
    <w:uiPriority w:val="49"/>
    <w:rsid w:val="00777FE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styleId="NormalWeb">
    <w:name w:val="Normal (Web)"/>
    <w:basedOn w:val="Normal"/>
    <w:uiPriority w:val="99"/>
    <w:semiHidden/>
    <w:unhideWhenUsed/>
    <w:rsid w:val="005873B5"/>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873B5"/>
    <w:rPr>
      <w:i/>
      <w:iCs/>
    </w:rPr>
  </w:style>
  <w:style w:type="paragraph" w:customStyle="1" w:styleId="indentlevel0">
    <w:name w:val="indentlevel0"/>
    <w:basedOn w:val="Normal"/>
    <w:rsid w:val="005873B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116991"/>
    <w:pPr>
      <w:spacing w:after="0" w:line="240" w:lineRule="auto"/>
    </w:pPr>
    <w:rPr>
      <w:rFonts w:ascii="Calibri Light" w:eastAsia="Times New Roman" w:hAnsi="Calibri Light" w:cs="Times New Roman"/>
      <w:szCs w:val="20"/>
      <w:lang w:eastAsia="en-AU"/>
    </w:rPr>
  </w:style>
  <w:style w:type="table" w:styleId="GridTable1Light-Accent5">
    <w:name w:val="Grid Table 1 Light Accent 5"/>
    <w:basedOn w:val="TableNormal"/>
    <w:uiPriority w:val="46"/>
    <w:rsid w:val="008B4867"/>
    <w:pPr>
      <w:spacing w:after="0" w:line="240" w:lineRule="auto"/>
    </w:p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0F408D"/>
  </w:style>
  <w:style w:type="character" w:styleId="FollowedHyperlink">
    <w:name w:val="FollowedHyperlink"/>
    <w:basedOn w:val="DefaultParagraphFont"/>
    <w:uiPriority w:val="99"/>
    <w:semiHidden/>
    <w:unhideWhenUsed/>
    <w:rsid w:val="006F7EF3"/>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3921">
      <w:bodyDiv w:val="1"/>
      <w:marLeft w:val="0"/>
      <w:marRight w:val="0"/>
      <w:marTop w:val="0"/>
      <w:marBottom w:val="0"/>
      <w:divBdr>
        <w:top w:val="none" w:sz="0" w:space="0" w:color="auto"/>
        <w:left w:val="none" w:sz="0" w:space="0" w:color="auto"/>
        <w:bottom w:val="none" w:sz="0" w:space="0" w:color="auto"/>
        <w:right w:val="none" w:sz="0" w:space="0" w:color="auto"/>
      </w:divBdr>
    </w:div>
    <w:div w:id="321473612">
      <w:bodyDiv w:val="1"/>
      <w:marLeft w:val="0"/>
      <w:marRight w:val="0"/>
      <w:marTop w:val="0"/>
      <w:marBottom w:val="0"/>
      <w:divBdr>
        <w:top w:val="none" w:sz="0" w:space="0" w:color="auto"/>
        <w:left w:val="none" w:sz="0" w:space="0" w:color="auto"/>
        <w:bottom w:val="none" w:sz="0" w:space="0" w:color="auto"/>
        <w:right w:val="none" w:sz="0" w:space="0" w:color="auto"/>
      </w:divBdr>
    </w:div>
    <w:div w:id="511341805">
      <w:bodyDiv w:val="1"/>
      <w:marLeft w:val="0"/>
      <w:marRight w:val="0"/>
      <w:marTop w:val="0"/>
      <w:marBottom w:val="0"/>
      <w:divBdr>
        <w:top w:val="none" w:sz="0" w:space="0" w:color="auto"/>
        <w:left w:val="none" w:sz="0" w:space="0" w:color="auto"/>
        <w:bottom w:val="none" w:sz="0" w:space="0" w:color="auto"/>
        <w:right w:val="none" w:sz="0" w:space="0" w:color="auto"/>
      </w:divBdr>
    </w:div>
    <w:div w:id="541752516">
      <w:bodyDiv w:val="1"/>
      <w:marLeft w:val="0"/>
      <w:marRight w:val="0"/>
      <w:marTop w:val="0"/>
      <w:marBottom w:val="0"/>
      <w:divBdr>
        <w:top w:val="none" w:sz="0" w:space="0" w:color="auto"/>
        <w:left w:val="none" w:sz="0" w:space="0" w:color="auto"/>
        <w:bottom w:val="none" w:sz="0" w:space="0" w:color="auto"/>
        <w:right w:val="none" w:sz="0" w:space="0" w:color="auto"/>
      </w:divBdr>
    </w:div>
    <w:div w:id="765229486">
      <w:bodyDiv w:val="1"/>
      <w:marLeft w:val="0"/>
      <w:marRight w:val="0"/>
      <w:marTop w:val="0"/>
      <w:marBottom w:val="0"/>
      <w:divBdr>
        <w:top w:val="none" w:sz="0" w:space="0" w:color="auto"/>
        <w:left w:val="none" w:sz="0" w:space="0" w:color="auto"/>
        <w:bottom w:val="none" w:sz="0" w:space="0" w:color="auto"/>
        <w:right w:val="none" w:sz="0" w:space="0" w:color="auto"/>
      </w:divBdr>
    </w:div>
    <w:div w:id="931475119">
      <w:bodyDiv w:val="1"/>
      <w:marLeft w:val="0"/>
      <w:marRight w:val="0"/>
      <w:marTop w:val="0"/>
      <w:marBottom w:val="0"/>
      <w:divBdr>
        <w:top w:val="none" w:sz="0" w:space="0" w:color="auto"/>
        <w:left w:val="none" w:sz="0" w:space="0" w:color="auto"/>
        <w:bottom w:val="none" w:sz="0" w:space="0" w:color="auto"/>
        <w:right w:val="none" w:sz="0" w:space="0" w:color="auto"/>
      </w:divBdr>
    </w:div>
    <w:div w:id="957107778">
      <w:bodyDiv w:val="1"/>
      <w:marLeft w:val="0"/>
      <w:marRight w:val="0"/>
      <w:marTop w:val="0"/>
      <w:marBottom w:val="0"/>
      <w:divBdr>
        <w:top w:val="none" w:sz="0" w:space="0" w:color="auto"/>
        <w:left w:val="none" w:sz="0" w:space="0" w:color="auto"/>
        <w:bottom w:val="none" w:sz="0" w:space="0" w:color="auto"/>
        <w:right w:val="none" w:sz="0" w:space="0" w:color="auto"/>
      </w:divBdr>
    </w:div>
    <w:div w:id="1036924895">
      <w:bodyDiv w:val="1"/>
      <w:marLeft w:val="0"/>
      <w:marRight w:val="0"/>
      <w:marTop w:val="0"/>
      <w:marBottom w:val="0"/>
      <w:divBdr>
        <w:top w:val="none" w:sz="0" w:space="0" w:color="auto"/>
        <w:left w:val="none" w:sz="0" w:space="0" w:color="auto"/>
        <w:bottom w:val="none" w:sz="0" w:space="0" w:color="auto"/>
        <w:right w:val="none" w:sz="0" w:space="0" w:color="auto"/>
      </w:divBdr>
    </w:div>
    <w:div w:id="1228033196">
      <w:bodyDiv w:val="1"/>
      <w:marLeft w:val="0"/>
      <w:marRight w:val="0"/>
      <w:marTop w:val="0"/>
      <w:marBottom w:val="0"/>
      <w:divBdr>
        <w:top w:val="none" w:sz="0" w:space="0" w:color="auto"/>
        <w:left w:val="none" w:sz="0" w:space="0" w:color="auto"/>
        <w:bottom w:val="none" w:sz="0" w:space="0" w:color="auto"/>
        <w:right w:val="none" w:sz="0" w:space="0" w:color="auto"/>
      </w:divBdr>
    </w:div>
    <w:div w:id="1350255249">
      <w:bodyDiv w:val="1"/>
      <w:marLeft w:val="0"/>
      <w:marRight w:val="0"/>
      <w:marTop w:val="0"/>
      <w:marBottom w:val="0"/>
      <w:divBdr>
        <w:top w:val="none" w:sz="0" w:space="0" w:color="auto"/>
        <w:left w:val="none" w:sz="0" w:space="0" w:color="auto"/>
        <w:bottom w:val="none" w:sz="0" w:space="0" w:color="auto"/>
        <w:right w:val="none" w:sz="0" w:space="0" w:color="auto"/>
      </w:divBdr>
    </w:div>
    <w:div w:id="1391881021">
      <w:bodyDiv w:val="1"/>
      <w:marLeft w:val="0"/>
      <w:marRight w:val="0"/>
      <w:marTop w:val="0"/>
      <w:marBottom w:val="0"/>
      <w:divBdr>
        <w:top w:val="none" w:sz="0" w:space="0" w:color="auto"/>
        <w:left w:val="none" w:sz="0" w:space="0" w:color="auto"/>
        <w:bottom w:val="none" w:sz="0" w:space="0" w:color="auto"/>
        <w:right w:val="none" w:sz="0" w:space="0" w:color="auto"/>
      </w:divBdr>
    </w:div>
    <w:div w:id="1758476047">
      <w:bodyDiv w:val="1"/>
      <w:marLeft w:val="0"/>
      <w:marRight w:val="0"/>
      <w:marTop w:val="0"/>
      <w:marBottom w:val="0"/>
      <w:divBdr>
        <w:top w:val="none" w:sz="0" w:space="0" w:color="auto"/>
        <w:left w:val="none" w:sz="0" w:space="0" w:color="auto"/>
        <w:bottom w:val="none" w:sz="0" w:space="0" w:color="auto"/>
        <w:right w:val="none" w:sz="0" w:space="0" w:color="auto"/>
      </w:divBdr>
    </w:div>
    <w:div w:id="1795371857">
      <w:bodyDiv w:val="1"/>
      <w:marLeft w:val="0"/>
      <w:marRight w:val="0"/>
      <w:marTop w:val="0"/>
      <w:marBottom w:val="0"/>
      <w:divBdr>
        <w:top w:val="none" w:sz="0" w:space="0" w:color="auto"/>
        <w:left w:val="none" w:sz="0" w:space="0" w:color="auto"/>
        <w:bottom w:val="none" w:sz="0" w:space="0" w:color="auto"/>
        <w:right w:val="none" w:sz="0" w:space="0" w:color="auto"/>
      </w:divBdr>
    </w:div>
    <w:div w:id="1835953443">
      <w:bodyDiv w:val="1"/>
      <w:marLeft w:val="0"/>
      <w:marRight w:val="0"/>
      <w:marTop w:val="0"/>
      <w:marBottom w:val="0"/>
      <w:divBdr>
        <w:top w:val="none" w:sz="0" w:space="0" w:color="auto"/>
        <w:left w:val="none" w:sz="0" w:space="0" w:color="auto"/>
        <w:bottom w:val="none" w:sz="0" w:space="0" w:color="auto"/>
        <w:right w:val="none" w:sz="0" w:space="0" w:color="auto"/>
      </w:divBdr>
    </w:div>
    <w:div w:id="2008940725">
      <w:bodyDiv w:val="1"/>
      <w:marLeft w:val="0"/>
      <w:marRight w:val="0"/>
      <w:marTop w:val="0"/>
      <w:marBottom w:val="0"/>
      <w:divBdr>
        <w:top w:val="none" w:sz="0" w:space="0" w:color="auto"/>
        <w:left w:val="none" w:sz="0" w:space="0" w:color="auto"/>
        <w:bottom w:val="none" w:sz="0" w:space="0" w:color="auto"/>
        <w:right w:val="none" w:sz="0" w:space="0" w:color="auto"/>
      </w:divBdr>
    </w:div>
    <w:div w:id="2115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pmc.gov.au/government/commonwealth-coat-ar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media@treasury.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s://taxboard.gov.au/sites/taxboard.gov.au/files/migrated/tax-transparency-code.rt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to.gov.au/law/view/document?DocID=COG/PCG20174/NAT/ATO/00001" TargetMode="External"/><Relationship Id="rId3" Type="http://schemas.openxmlformats.org/officeDocument/2006/relationships/hyperlink" Target="http://www.ato.gov.au/business/international-tax-for-business/in-detail/transfer-pricing/country-by-country-reporting/" TargetMode="External"/><Relationship Id="rId7" Type="http://schemas.openxmlformats.org/officeDocument/2006/relationships/hyperlink" Target="https://www.globalreporting.org/standards/standards-development/topic-standard-project-for-tax/" TargetMode="External"/><Relationship Id="rId2" Type="http://schemas.openxmlformats.org/officeDocument/2006/relationships/hyperlink" Target="https://www.ato.gov.au/business/public-business-and-international/significant-global-entities/" TargetMode="External"/><Relationship Id="rId1" Type="http://schemas.openxmlformats.org/officeDocument/2006/relationships/hyperlink" Target="https://www.ato.gov.au/business/public-business-and-international/significant-global-entities/" TargetMode="External"/><Relationship Id="rId6" Type="http://schemas.openxmlformats.org/officeDocument/2006/relationships/hyperlink" Target="https://www.aph.gov.au/Parliamentary_Business/Committees/Senate/Economics/Corporatetax45th/Report" TargetMode="External"/><Relationship Id="rId5" Type="http://schemas.openxmlformats.org/officeDocument/2006/relationships/hyperlink" Target="https://www.aph.gov.au/Parliamentary_Business/Committees/Senate/Economics/Corporate_Tax_Avoidance/Report_part_1%20and%20Part%203" TargetMode="External"/><Relationship Id="rId4" Type="http://schemas.openxmlformats.org/officeDocument/2006/relationships/hyperlink" Target="https://eur-lex.europa.eu/legal-content/EN/TXT/PDF/?uri=OJ:L:2021:429:FULL&amp;from=E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7b7a547-5880-464f-83f8-cefe583c3af4" ContentTypeId="0x01010029B4945EA9C4354CA006D2DED771F1A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0adeebb38644e3a8c7de3f8fea0418e xmlns="0f563589-9cf9-4143-b1eb-fb0534803d38">
      <Terms xmlns="http://schemas.microsoft.com/office/infopath/2007/PartnerControls">
        <TermInfo xmlns="http://schemas.microsoft.com/office/infopath/2007/PartnerControls">
          <TermName xmlns="http://schemas.microsoft.com/office/infopath/2007/PartnerControls">Paper (Consultation or Discussion or Issues)</TermName>
          <TermId xmlns="http://schemas.microsoft.com/office/infopath/2007/PartnerControls">ed639160-ffef-47c5-861c-2e9391a33d9a</TermId>
        </TermInfo>
      </Terms>
    </n0adeebb38644e3a8c7de3f8fea0418e>
    <aec7340661804c61a5c6d3d18e9a3b44 xmlns="0f563589-9cf9-4143-b1eb-fb0534803d38">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bb3d897a-a591-44aa-a11f-66787f262232</TermId>
        </TermInfo>
        <TermInfo xmlns="http://schemas.microsoft.com/office/infopath/2007/PartnerControls">
          <TermName xmlns="http://schemas.microsoft.com/office/infopath/2007/PartnerControls">Thin Capitalisation</TermName>
          <TermId xmlns="http://schemas.microsoft.com/office/infopath/2007/PartnerControls">f58168a4-6001-441a-8f11-6a9b68858eff</TermId>
        </TermInfo>
      </Terms>
    </aec7340661804c61a5c6d3d18e9a3b44>
    <TaxCatchAll xmlns="0f563589-9cf9-4143-b1eb-fb0534803d38">
      <Value>1024</Value>
      <Value>31</Value>
      <Value>163</Value>
      <Value>1037</Value>
    </TaxCatchAll>
    <ceb8c4f4647046198a38a633d14483c1 xmlns="0f563589-9cf9-4143-b1eb-fb0534803d38">
      <Terms xmlns="http://schemas.microsoft.com/office/infopath/2007/PartnerControls">
        <TermInfo xmlns="http://schemas.microsoft.com/office/infopath/2007/PartnerControls">
          <TermName xmlns="http://schemas.microsoft.com/office/infopath/2007/PartnerControls">Taxation</TermName>
          <TermId xmlns="http://schemas.microsoft.com/office/infopath/2007/PartnerControls">e53aff8a-4a1a-4486-a4fc-f40489d68897</TermId>
        </TermInfo>
      </Terms>
    </ceb8c4f4647046198a38a633d14483c1>
    <n5b5f1cefb2e4f15823921d1c3115a95 xmlns="0f563589-9cf9-4143-b1eb-fb0534803d38">
      <Terms xmlns="http://schemas.microsoft.com/office/infopath/2007/PartnerControls"/>
    </n5b5f1cefb2e4f15823921d1c3115a95>
    <_dlc_DocId xmlns="0f563589-9cf9-4143-b1eb-fb0534803d38">20222K2D7WFA-320273182-651</_dlc_DocId>
    <_dlc_DocIdUrl xmlns="0f563589-9cf9-4143-b1eb-fb0534803d38">
      <Url>http://tweb/sites/lbtax/_layouts/15/DocIdRedir.aspx?ID=20222K2D7WFA-320273182-651</Url>
      <Description>20222K2D7WFA-320273182-651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Enterprise Terms" ma:contentTypeID="0x01010029B4945EA9C4354CA006D2DED771F1A1007F6A73BE33FEC74EA1DE76F3394F8D79" ma:contentTypeVersion="4" ma:contentTypeDescription="This is an optional content type that simply adds the refinter terms (Theme, Activity, Document Type and Topic) to the library. If you do not use this content type you will have to add the refiner site columns one by one to the library. " ma:contentTypeScope="" ma:versionID="4e102c88b5010435d7106d23db6a3bf8">
  <xsd:schema xmlns:xsd="http://www.w3.org/2001/XMLSchema" xmlns:xs="http://www.w3.org/2001/XMLSchema" xmlns:p="http://schemas.microsoft.com/office/2006/metadata/properties" xmlns:ns2="0f563589-9cf9-4143-b1eb-fb0534803d38" targetNamespace="http://schemas.microsoft.com/office/2006/metadata/properties" ma:root="true" ma:fieldsID="d014423aff63588ea8e10fa06b10e274" ns2:_="">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ceb8c4f4647046198a38a633d14483c1" minOccurs="0"/>
                <xsd:element ref="ns2:TaxCatchAll" minOccurs="0"/>
                <xsd:element ref="ns2:TaxCatchAllLabel" minOccurs="0"/>
                <xsd:element ref="ns2:n0adeebb38644e3a8c7de3f8fea0418e" minOccurs="0"/>
                <xsd:element ref="ns2:aec7340661804c61a5c6d3d18e9a3b44" minOccurs="0"/>
                <xsd:element ref="ns2:n5b5f1cefb2e4f15823921d1c3115a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b8c4f4647046198a38a633d14483c1" ma:index="11" nillable="true" ma:taxonomy="true" ma:internalName="ceb8c4f4647046198a38a633d14483c1" ma:taxonomyFieldName="eTheme" ma:displayName="Theme" ma:readOnly="false" ma:default="" ma:fieldId="{ceb8c4f4-6470-4619-8a38-a633d14483c1}" ma:sspId="77b7a547-5880-464f-83f8-cefe583c3af4" ma:termSetId="8e821040-f1a6-4dbe-a897-c33883d56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89fe055-ab3c-4a02-8ca9-781ec1a47357}" ma:internalName="TaxCatchAll" ma:showField="CatchAllData" ma:web="23908122-21e5-4849-9a84-a6d940efecb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89fe055-ab3c-4a02-8ca9-781ec1a47357}" ma:internalName="TaxCatchAllLabel" ma:readOnly="true" ma:showField="CatchAllDataLabel" ma:web="23908122-21e5-4849-9a84-a6d940efecb9">
      <xsd:complexType>
        <xsd:complexContent>
          <xsd:extension base="dms:MultiChoiceLookup">
            <xsd:sequence>
              <xsd:element name="Value" type="dms:Lookup" maxOccurs="unbounded" minOccurs="0" nillable="true"/>
            </xsd:sequence>
          </xsd:extension>
        </xsd:complexContent>
      </xsd:complexType>
    </xsd:element>
    <xsd:element name="n0adeebb38644e3a8c7de3f8fea0418e" ma:index="15" nillable="true" ma:taxonomy="true" ma:internalName="n0adeebb38644e3a8c7de3f8fea0418e" ma:taxonomyFieldName="eDocument_x0020_Type" ma:displayName="Document Type" ma:indexed="true" ma:readOnly="false" ma:default="" ma:fieldId="{70adeebb-3864-4e3a-8c7d-e3f8fea0418e}" ma:sspId="77b7a547-5880-464f-83f8-cefe583c3af4" ma:termSetId="b38273d8-f349-4175-b1b0-ee67dc19adcc" ma:anchorId="00000000-0000-0000-0000-000000000000" ma:open="false" ma:isKeyword="false">
      <xsd:complexType>
        <xsd:sequence>
          <xsd:element ref="pc:Terms" minOccurs="0" maxOccurs="1"/>
        </xsd:sequence>
      </xsd:complexType>
    </xsd:element>
    <xsd:element name="aec7340661804c61a5c6d3d18e9a3b44" ma:index="17" nillable="true" ma:taxonomy="true" ma:internalName="aec7340661804c61a5c6d3d18e9a3b44" ma:taxonomyFieldName="eTopic" ma:displayName="Topic" ma:readOnly="false" ma:default="" ma:fieldId="{aec73406-6180-4c61-a5c6-d3d18e9a3b44}" ma:taxonomyMulti="true" ma:sspId="77b7a547-5880-464f-83f8-cefe583c3af4" ma:termSetId="0584b66e-a988-4e7c-8ad6-c29e6cbda699" ma:anchorId="00000000-0000-0000-0000-000000000000" ma:open="false" ma:isKeyword="false">
      <xsd:complexType>
        <xsd:sequence>
          <xsd:element ref="pc:Terms" minOccurs="0" maxOccurs="1"/>
        </xsd:sequence>
      </xsd:complexType>
    </xsd:element>
    <xsd:element name="n5b5f1cefb2e4f15823921d1c3115a95" ma:index="19" nillable="true" ma:taxonomy="true" ma:internalName="n5b5f1cefb2e4f15823921d1c3115a95" ma:taxonomyFieldName="eActivity" ma:displayName="Activity" ma:indexed="true" ma:default="" ma:fieldId="{75b5f1ce-fb2e-4f15-8239-21d1c3115a95}" ma:sspId="77b7a547-5880-464f-83f8-cefe583c3af4" ma:termSetId="9305b40a-f8f0-4ebf-9b7d-191d7aeb310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973DD-C58C-4F95-9D49-426B9DA572E5}">
  <ds:schemaRefs>
    <ds:schemaRef ds:uri="Microsoft.SharePoint.Taxonomy.ContentTypeSync"/>
  </ds:schemaRefs>
</ds:datastoreItem>
</file>

<file path=customXml/itemProps2.xml><?xml version="1.0" encoding="utf-8"?>
<ds:datastoreItem xmlns:ds="http://schemas.openxmlformats.org/officeDocument/2006/customXml" ds:itemID="{93D5AA50-62E0-4A74-8CD9-B4F54E9A4812}">
  <ds:schemaRefs>
    <ds:schemaRef ds:uri="http://schemas.openxmlformats.org/officeDocument/2006/bibliography"/>
  </ds:schemaRefs>
</ds:datastoreItem>
</file>

<file path=customXml/itemProps3.xml><?xml version="1.0" encoding="utf-8"?>
<ds:datastoreItem xmlns:ds="http://schemas.openxmlformats.org/officeDocument/2006/customXml" ds:itemID="{9DBBA7E2-57CC-4FEC-862F-98A23A9E2271}">
  <ds:schemaRefs>
    <ds:schemaRef ds:uri="http://schemas.microsoft.com/sharepoint/events"/>
  </ds:schemaRefs>
</ds:datastoreItem>
</file>

<file path=customXml/itemProps4.xml><?xml version="1.0" encoding="utf-8"?>
<ds:datastoreItem xmlns:ds="http://schemas.openxmlformats.org/officeDocument/2006/customXml" ds:itemID="{4150DA9D-D4A6-4BCF-9DCC-8E9B2D348B11}">
  <ds:schemaRefs>
    <ds:schemaRef ds:uri="http://schemas.microsoft.com/office/2006/metadata/properties"/>
    <ds:schemaRef ds:uri="http://schemas.microsoft.com/office/infopath/2007/PartnerControls"/>
    <ds:schemaRef ds:uri="0f563589-9cf9-4143-b1eb-fb0534803d38"/>
  </ds:schemaRefs>
</ds:datastoreItem>
</file>

<file path=customXml/itemProps5.xml><?xml version="1.0" encoding="utf-8"?>
<ds:datastoreItem xmlns:ds="http://schemas.openxmlformats.org/officeDocument/2006/customXml" ds:itemID="{CFE5A99E-237C-423D-81CE-5C1AA243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6D216D-ABFD-47AA-8F90-2CE28CE85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45</TotalTime>
  <Pages>31</Pages>
  <Words>11102</Words>
  <Characters>62062</Characters>
  <Application>Microsoft Office Word</Application>
  <DocSecurity>0</DocSecurity>
  <Lines>1149</Lines>
  <Paragraphs>599</Paragraphs>
  <ScaleCrop>false</ScaleCrop>
  <HeadingPairs>
    <vt:vector size="2" baseType="variant">
      <vt:variant>
        <vt:lpstr>Title</vt:lpstr>
      </vt:variant>
      <vt:variant>
        <vt:i4>1</vt:i4>
      </vt:variant>
    </vt:vector>
  </HeadingPairs>
  <TitlesOfParts>
    <vt:vector size="1" baseType="lpstr">
      <vt:lpstr>Government election commitments: Multinational tax integrity and enhanced tax transparency</vt:lpstr>
    </vt:vector>
  </TitlesOfParts>
  <Company>Australian Government - The Treasury</Company>
  <LinksUpToDate>false</LinksUpToDate>
  <CharactersWithSpaces>72565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election commitments: Multinational tax integrity and enhanced tax transparency</dc:title>
  <dc:subject/>
  <dc:creator>The Treasury</dc:creator>
  <cp:keywords/>
  <dc:description/>
  <cp:lastModifiedBy>Smith, Matthew</cp:lastModifiedBy>
  <cp:revision>10</cp:revision>
  <cp:lastPrinted>2022-01-25T01:38:00Z</cp:lastPrinted>
  <dcterms:created xsi:type="dcterms:W3CDTF">2022-08-04T23:11:00Z</dcterms:created>
  <dcterms:modified xsi:type="dcterms:W3CDTF">2022-08-05T00:28:00Z</dcterms:modified>
  <cp:category/>
</cp:coreProperties>
</file>