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E662" w14:textId="77777777" w:rsidR="00E24AA1" w:rsidRDefault="00CE6F44"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39C32168" w14:textId="77777777" w:rsidR="00E24AA1" w:rsidRDefault="00E24AA1" w:rsidP="00E24AA1">
      <w:pPr>
        <w:pStyle w:val="Baseparagraphcentred"/>
      </w:pPr>
    </w:p>
    <w:p w14:paraId="0DE56A87" w14:textId="77777777" w:rsidR="00E24AA1" w:rsidRDefault="00E24AA1" w:rsidP="00E24AA1">
      <w:pPr>
        <w:pStyle w:val="Baseparagraphcentred"/>
      </w:pPr>
      <w:r>
        <w:t>THE PARLIAMENT OF THE COMMONWEALTH OF AUSTRALIA</w:t>
      </w:r>
    </w:p>
    <w:p w14:paraId="3534650E" w14:textId="77777777" w:rsidR="00E24AA1" w:rsidRDefault="00E24AA1" w:rsidP="00E24AA1">
      <w:pPr>
        <w:pStyle w:val="Baseparagraphcentred"/>
      </w:pPr>
    </w:p>
    <w:p w14:paraId="3615A3C7" w14:textId="77777777" w:rsidR="00E24AA1" w:rsidRDefault="00E24AA1" w:rsidP="00E24AA1">
      <w:pPr>
        <w:pStyle w:val="Baseparagraphcentred"/>
      </w:pPr>
    </w:p>
    <w:p w14:paraId="7738CD06" w14:textId="77777777" w:rsidR="00E24AA1" w:rsidRDefault="00E24AA1" w:rsidP="00E24AA1">
      <w:pPr>
        <w:pStyle w:val="Baseparagraphcentred"/>
      </w:pPr>
    </w:p>
    <w:p w14:paraId="591E672C" w14:textId="61D72027" w:rsidR="00E24AA1" w:rsidRDefault="00EF0FC6" w:rsidP="00E24AA1">
      <w:pPr>
        <w:pStyle w:val="Baseparagraphcentred"/>
      </w:pPr>
      <w:r>
        <w:t>[</w:t>
      </w:r>
      <w:r w:rsidR="00A01427">
        <w:t>HOUSE OF REPRESENTATIVES</w:t>
      </w:r>
      <w:r>
        <w:t>/SENATE]</w:t>
      </w:r>
    </w:p>
    <w:p w14:paraId="7E68F6E5" w14:textId="77777777" w:rsidR="00E24AA1" w:rsidRDefault="00E24AA1" w:rsidP="00E24AA1">
      <w:pPr>
        <w:pStyle w:val="Baseparagraphcentred"/>
      </w:pPr>
    </w:p>
    <w:p w14:paraId="1BD4AF52" w14:textId="77777777" w:rsidR="00E24AA1" w:rsidRDefault="00E24AA1" w:rsidP="00E24AA1">
      <w:pPr>
        <w:pStyle w:val="Baseparagraphcentred"/>
      </w:pPr>
    </w:p>
    <w:p w14:paraId="4956A7A4" w14:textId="77777777" w:rsidR="00E24AA1" w:rsidRDefault="00E24AA1" w:rsidP="00E24AA1">
      <w:pPr>
        <w:pStyle w:val="Baseparagraphcentred"/>
        <w:pBdr>
          <w:bottom w:val="single" w:sz="4" w:space="1" w:color="auto"/>
        </w:pBdr>
      </w:pPr>
    </w:p>
    <w:p w14:paraId="1C6A2A07" w14:textId="76E2D64C" w:rsidR="00E24AA1" w:rsidRPr="00E24AA1" w:rsidRDefault="00052106" w:rsidP="00052106">
      <w:pPr>
        <w:pStyle w:val="BillName"/>
      </w:pPr>
      <w:bookmarkStart w:id="6" w:name="BillName"/>
      <w:bookmarkEnd w:id="6"/>
      <w:r w:rsidRPr="00447526">
        <w:t>Treasury Laws Amendment (Modernising Business Communications) Bill 2022</w:t>
      </w:r>
    </w:p>
    <w:p w14:paraId="2FDB1427" w14:textId="77777777" w:rsidR="00E24AA1" w:rsidRDefault="00E24AA1" w:rsidP="00E24AA1">
      <w:pPr>
        <w:pStyle w:val="Baseparagraphcentred"/>
        <w:pBdr>
          <w:top w:val="single" w:sz="4" w:space="1" w:color="auto"/>
        </w:pBdr>
      </w:pPr>
    </w:p>
    <w:p w14:paraId="02A0EC32" w14:textId="77777777" w:rsidR="00E24AA1" w:rsidRDefault="00E24AA1" w:rsidP="00E24AA1">
      <w:pPr>
        <w:pStyle w:val="Baseparagraphcentred"/>
      </w:pPr>
    </w:p>
    <w:p w14:paraId="7291ED56" w14:textId="77777777" w:rsidR="00E24AA1" w:rsidRDefault="00E24AA1" w:rsidP="00E24AA1">
      <w:pPr>
        <w:pStyle w:val="Baseparagraphcentred"/>
      </w:pPr>
    </w:p>
    <w:p w14:paraId="634AFEC5" w14:textId="77777777" w:rsidR="00E24AA1" w:rsidRDefault="00E24AA1" w:rsidP="00E24AA1">
      <w:pPr>
        <w:pStyle w:val="Baseparagraphcentred"/>
      </w:pPr>
    </w:p>
    <w:p w14:paraId="4F1CA627" w14:textId="35A87B0E" w:rsidR="00E24AA1" w:rsidRDefault="009214FF" w:rsidP="00E24AA1">
      <w:pPr>
        <w:pStyle w:val="Baseparagraphcentred"/>
      </w:pPr>
      <w:r>
        <w:t xml:space="preserve">EXPOSURE DRAFT </w:t>
      </w:r>
      <w:r w:rsidR="00E24AA1">
        <w:t>EXPLANATORY MEMORANDUM</w:t>
      </w:r>
    </w:p>
    <w:p w14:paraId="191F172A" w14:textId="77777777" w:rsidR="00E24AA1" w:rsidRDefault="00E24AA1" w:rsidP="00E24AA1">
      <w:pPr>
        <w:pStyle w:val="Baseparagraphcentred"/>
      </w:pPr>
    </w:p>
    <w:p w14:paraId="58C8566F" w14:textId="77777777" w:rsidR="00E24AA1" w:rsidRDefault="00E24AA1" w:rsidP="00E24AA1">
      <w:pPr>
        <w:pStyle w:val="Baseparagraphcentred"/>
      </w:pPr>
    </w:p>
    <w:p w14:paraId="18A8D8A9" w14:textId="77777777" w:rsidR="00E24AA1" w:rsidRDefault="00E24AA1" w:rsidP="00E24AA1">
      <w:pPr>
        <w:pStyle w:val="ParaCentredNoSpacing"/>
      </w:pPr>
    </w:p>
    <w:p w14:paraId="208C9A4C" w14:textId="77777777" w:rsidR="00E24AA1" w:rsidRPr="00967273" w:rsidRDefault="00E24AA1" w:rsidP="00E24AA1">
      <w:pPr>
        <w:pStyle w:val="Normalparatextnonumbers"/>
        <w:jc w:val="center"/>
        <w:rPr>
          <w:rFonts w:cs="Calibri"/>
          <w:color w:val="000000" w:themeColor="text1"/>
        </w:rPr>
      </w:pPr>
    </w:p>
    <w:p w14:paraId="49DB30F2" w14:textId="77777777" w:rsidR="00873094" w:rsidRDefault="00873094" w:rsidP="00873094">
      <w:pPr>
        <w:pStyle w:val="Normalparatextnonumbers"/>
      </w:pPr>
    </w:p>
    <w:p w14:paraId="78F1982A" w14:textId="77777777" w:rsidR="00E24AA1" w:rsidRPr="00020288" w:rsidRDefault="00E24AA1" w:rsidP="00873094">
      <w:pPr>
        <w:pStyle w:val="Normalparatextnonumbers"/>
      </w:pPr>
    </w:p>
    <w:p w14:paraId="676784CF" w14:textId="77777777" w:rsidR="00873094" w:rsidRPr="00020288" w:rsidRDefault="00873094" w:rsidP="00873094">
      <w:pPr>
        <w:pStyle w:val="TOC1"/>
        <w:sectPr w:rsidR="00873094" w:rsidRPr="00020288" w:rsidSect="00000BFC">
          <w:headerReference w:type="even" r:id="rId14"/>
          <w:headerReference w:type="default" r:id="rId15"/>
          <w:footerReference w:type="even" r:id="rId16"/>
          <w:footerReference w:type="default" r:id="rId17"/>
          <w:headerReference w:type="first" r:id="rId18"/>
          <w:footerReference w:type="first" r:id="rId19"/>
          <w:type w:val="oddPage"/>
          <w:pgSz w:w="9979" w:h="14175" w:code="138"/>
          <w:pgMar w:top="567" w:right="1134" w:bottom="567" w:left="1134" w:header="709" w:footer="709" w:gutter="0"/>
          <w:cols w:space="708"/>
          <w:titlePg/>
          <w:docGrid w:linePitch="360"/>
        </w:sectPr>
      </w:pPr>
    </w:p>
    <w:p w14:paraId="095ED54A"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52F47C6" w14:textId="4FB317E1" w:rsidR="002572DB" w:rsidRPr="002572DB" w:rsidRDefault="00873094">
      <w:pPr>
        <w:pStyle w:val="TOC1"/>
        <w:rPr>
          <w:noProof/>
          <w14:scene3d>
            <w14:camera w14:prst="orthographicFront"/>
            <w14:lightRig w14:rig="threePt" w14:dir="t">
              <w14:rot w14:lat="0" w14:lon="0" w14:rev="0"/>
            </w14:lightRig>
          </w14:scene3d>
        </w:rPr>
      </w:pPr>
      <w:r w:rsidRPr="002572DB">
        <w:rPr>
          <w:noProof/>
          <w14:scene3d>
            <w14:camera w14:prst="orthographicFront"/>
            <w14:lightRig w14:rig="threePt" w14:dir="t">
              <w14:rot w14:lat="0" w14:lon="0" w14:rev="0"/>
            </w14:lightRig>
          </w14:scene3d>
        </w:rPr>
        <w:fldChar w:fldCharType="begin"/>
      </w:r>
      <w:r w:rsidRPr="002572DB">
        <w:rPr>
          <w:noProof/>
          <w14:scene3d>
            <w14:camera w14:prst="orthographicFront"/>
            <w14:lightRig w14:rig="threePt" w14:dir="t">
              <w14:rot w14:lat="0" w14:lon="0" w14:rev="0"/>
            </w14:lightRig>
          </w14:scene3d>
        </w:rPr>
        <w:instrText xml:space="preserve"> TOC \o "1-1" \u </w:instrText>
      </w:r>
      <w:r w:rsidRPr="002572DB">
        <w:rPr>
          <w:noProof/>
          <w14:scene3d>
            <w14:camera w14:prst="orthographicFront"/>
            <w14:lightRig w14:rig="threePt" w14:dir="t">
              <w14:rot w14:lat="0" w14:lon="0" w14:rev="0"/>
            </w14:lightRig>
          </w14:scene3d>
        </w:rPr>
        <w:fldChar w:fldCharType="separate"/>
      </w:r>
      <w:r w:rsidR="002572DB" w:rsidRPr="002572DB">
        <w:rPr>
          <w:noProof/>
          <w14:scene3d>
            <w14:camera w14:prst="orthographicFront"/>
            <w14:lightRig w14:rig="threePt" w14:dir="t">
              <w14:rot w14:lat="0" w14:lon="0" w14:rev="0"/>
            </w14:lightRig>
          </w14:scene3d>
        </w:rPr>
        <w:t>Glossary</w:t>
      </w:r>
      <w:r w:rsidR="002572DB" w:rsidRPr="002572DB">
        <w:rPr>
          <w:noProof/>
          <w14:scene3d>
            <w14:camera w14:prst="orthographicFront"/>
            <w14:lightRig w14:rig="threePt" w14:dir="t">
              <w14:rot w14:lat="0" w14:lon="0" w14:rev="0"/>
            </w14:lightRig>
          </w14:scene3d>
        </w:rPr>
        <w:tab/>
      </w:r>
      <w:r w:rsidR="002572DB">
        <w:rPr>
          <w:noProof/>
          <w14:scene3d>
            <w14:camera w14:prst="orthographicFront"/>
            <w14:lightRig w14:rig="threePt" w14:dir="t">
              <w14:rot w14:lat="0" w14:lon="0" w14:rev="0"/>
            </w14:lightRig>
          </w14:scene3d>
        </w:rPr>
        <w:tab/>
      </w:r>
      <w:r w:rsidR="002572DB" w:rsidRPr="002572DB">
        <w:rPr>
          <w:noProof/>
          <w14:scene3d>
            <w14:camera w14:prst="orthographicFront"/>
            <w14:lightRig w14:rig="threePt" w14:dir="t">
              <w14:rot w14:lat="0" w14:lon="0" w14:rev="0"/>
            </w14:lightRig>
          </w14:scene3d>
        </w:rPr>
        <w:fldChar w:fldCharType="begin"/>
      </w:r>
      <w:r w:rsidR="002572DB" w:rsidRPr="002572DB">
        <w:rPr>
          <w:noProof/>
          <w14:scene3d>
            <w14:camera w14:prst="orthographicFront"/>
            <w14:lightRig w14:rig="threePt" w14:dir="t">
              <w14:rot w14:lat="0" w14:lon="0" w14:rev="0"/>
            </w14:lightRig>
          </w14:scene3d>
        </w:rPr>
        <w:instrText xml:space="preserve"> PAGEREF _Toc112418064 \h </w:instrText>
      </w:r>
      <w:r w:rsidR="002572DB" w:rsidRPr="002572DB">
        <w:rPr>
          <w:noProof/>
          <w14:scene3d>
            <w14:camera w14:prst="orthographicFront"/>
            <w14:lightRig w14:rig="threePt" w14:dir="t">
              <w14:rot w14:lat="0" w14:lon="0" w14:rev="0"/>
            </w14:lightRig>
          </w14:scene3d>
        </w:rPr>
      </w:r>
      <w:r w:rsidR="002572DB" w:rsidRPr="002572DB">
        <w:rPr>
          <w:noProof/>
          <w14:scene3d>
            <w14:camera w14:prst="orthographicFront"/>
            <w14:lightRig w14:rig="threePt" w14:dir="t">
              <w14:rot w14:lat="0" w14:lon="0" w14:rev="0"/>
            </w14:lightRig>
          </w14:scene3d>
        </w:rPr>
        <w:fldChar w:fldCharType="separate"/>
      </w:r>
      <w:r w:rsidR="00C450DB">
        <w:rPr>
          <w:noProof/>
          <w14:scene3d>
            <w14:camera w14:prst="orthographicFront"/>
            <w14:lightRig w14:rig="threePt" w14:dir="t">
              <w14:rot w14:lat="0" w14:lon="0" w14:rev="0"/>
            </w14:lightRig>
          </w14:scene3d>
        </w:rPr>
        <w:t>iii</w:t>
      </w:r>
      <w:r w:rsidR="002572DB" w:rsidRPr="002572DB">
        <w:rPr>
          <w:noProof/>
          <w14:scene3d>
            <w14:camera w14:prst="orthographicFront"/>
            <w14:lightRig w14:rig="threePt" w14:dir="t">
              <w14:rot w14:lat="0" w14:lon="0" w14:rev="0"/>
            </w14:lightRig>
          </w14:scene3d>
        </w:rPr>
        <w:fldChar w:fldCharType="end"/>
      </w:r>
    </w:p>
    <w:p w14:paraId="31E16227" w14:textId="5C5EF694" w:rsidR="002572DB" w:rsidRPr="002572DB" w:rsidRDefault="002572DB">
      <w:pPr>
        <w:pStyle w:val="TOC1"/>
        <w:rPr>
          <w:noProof/>
          <w14:scene3d>
            <w14:camera w14:prst="orthographicFront"/>
            <w14:lightRig w14:rig="threePt" w14:dir="t">
              <w14:rot w14:lat="0" w14:lon="0" w14:rev="0"/>
            </w14:lightRig>
          </w14:scene3d>
        </w:rPr>
      </w:pPr>
      <w:r w:rsidRPr="00864DE4">
        <w:rPr>
          <w:noProof/>
          <w14:scene3d>
            <w14:camera w14:prst="orthographicFront"/>
            <w14:lightRig w14:rig="threePt" w14:dir="t">
              <w14:rot w14:lat="0" w14:lon="0" w14:rev="0"/>
            </w14:lightRig>
          </w14:scene3d>
        </w:rPr>
        <w:t>Chapter 1:</w:t>
      </w:r>
      <w:r w:rsidRPr="002572DB">
        <w:rPr>
          <w:noProof/>
          <w14:scene3d>
            <w14:camera w14:prst="orthographicFront"/>
            <w14:lightRig w14:rig="threePt" w14:dir="t">
              <w14:rot w14:lat="0" w14:lon="0" w14:rev="0"/>
            </w14:lightRig>
          </w14:scene3d>
        </w:rPr>
        <w:tab/>
        <w:t>Virtual hearings and examinations</w:t>
      </w:r>
      <w:r w:rsidRPr="002572DB">
        <w:rPr>
          <w:noProof/>
          <w14:scene3d>
            <w14:camera w14:prst="orthographicFront"/>
            <w14:lightRig w14:rig="threePt" w14:dir="t">
              <w14:rot w14:lat="0" w14:lon="0" w14:rev="0"/>
            </w14:lightRig>
          </w14:scene3d>
        </w:rPr>
        <w:tab/>
      </w:r>
      <w:r w:rsidRPr="002572DB">
        <w:rPr>
          <w:noProof/>
          <w14:scene3d>
            <w14:camera w14:prst="orthographicFront"/>
            <w14:lightRig w14:rig="threePt" w14:dir="t">
              <w14:rot w14:lat="0" w14:lon="0" w14:rev="0"/>
            </w14:lightRig>
          </w14:scene3d>
        </w:rPr>
        <w:fldChar w:fldCharType="begin"/>
      </w:r>
      <w:r w:rsidRPr="002572DB">
        <w:rPr>
          <w:noProof/>
          <w14:scene3d>
            <w14:camera w14:prst="orthographicFront"/>
            <w14:lightRig w14:rig="threePt" w14:dir="t">
              <w14:rot w14:lat="0" w14:lon="0" w14:rev="0"/>
            </w14:lightRig>
          </w14:scene3d>
        </w:rPr>
        <w:instrText xml:space="preserve"> PAGEREF _Toc112418065 \h </w:instrText>
      </w:r>
      <w:r w:rsidRPr="002572DB">
        <w:rPr>
          <w:noProof/>
          <w14:scene3d>
            <w14:camera w14:prst="orthographicFront"/>
            <w14:lightRig w14:rig="threePt" w14:dir="t">
              <w14:rot w14:lat="0" w14:lon="0" w14:rev="0"/>
            </w14:lightRig>
          </w14:scene3d>
        </w:rPr>
      </w:r>
      <w:r w:rsidRPr="002572DB">
        <w:rPr>
          <w:noProof/>
          <w14:scene3d>
            <w14:camera w14:prst="orthographicFront"/>
            <w14:lightRig w14:rig="threePt" w14:dir="t">
              <w14:rot w14:lat="0" w14:lon="0" w14:rev="0"/>
            </w14:lightRig>
          </w14:scene3d>
        </w:rPr>
        <w:fldChar w:fldCharType="separate"/>
      </w:r>
      <w:r w:rsidR="00C450DB">
        <w:rPr>
          <w:noProof/>
          <w14:scene3d>
            <w14:camera w14:prst="orthographicFront"/>
            <w14:lightRig w14:rig="threePt" w14:dir="t">
              <w14:rot w14:lat="0" w14:lon="0" w14:rev="0"/>
            </w14:lightRig>
          </w14:scene3d>
        </w:rPr>
        <w:t>5</w:t>
      </w:r>
      <w:r w:rsidRPr="002572DB">
        <w:rPr>
          <w:noProof/>
          <w14:scene3d>
            <w14:camera w14:prst="orthographicFront"/>
            <w14:lightRig w14:rig="threePt" w14:dir="t">
              <w14:rot w14:lat="0" w14:lon="0" w14:rev="0"/>
            </w14:lightRig>
          </w14:scene3d>
        </w:rPr>
        <w:fldChar w:fldCharType="end"/>
      </w:r>
    </w:p>
    <w:p w14:paraId="4CADD6EB" w14:textId="2E7F4950" w:rsidR="00873094" w:rsidRPr="00020288" w:rsidRDefault="00873094" w:rsidP="00BC2E4A">
      <w:pPr>
        <w:pStyle w:val="TOC1"/>
      </w:pPr>
      <w:r w:rsidRPr="002572DB">
        <w:rPr>
          <w:noProof/>
          <w14:scene3d>
            <w14:camera w14:prst="orthographicFront"/>
            <w14:lightRig w14:rig="threePt" w14:dir="t">
              <w14:rot w14:lat="0" w14:lon="0" w14:rev="0"/>
            </w14:lightRig>
          </w14:scene3d>
        </w:rPr>
        <w:fldChar w:fldCharType="end"/>
      </w:r>
    </w:p>
    <w:p w14:paraId="4BAE4101" w14:textId="77777777" w:rsidR="00873094" w:rsidRPr="00020288" w:rsidRDefault="00873094" w:rsidP="00873094"/>
    <w:p w14:paraId="7700A2E5" w14:textId="77777777" w:rsidR="00873094" w:rsidRPr="00020288" w:rsidRDefault="00873094" w:rsidP="00873094"/>
    <w:p w14:paraId="6E761BBB" w14:textId="77777777" w:rsidR="00873094" w:rsidRPr="00020288" w:rsidRDefault="00873094" w:rsidP="00873094">
      <w:pPr>
        <w:sectPr w:rsidR="00873094" w:rsidRPr="00020288" w:rsidSect="00000BFC">
          <w:headerReference w:type="even" r:id="rId20"/>
          <w:headerReference w:type="default" r:id="rId21"/>
          <w:headerReference w:type="first" r:id="rId22"/>
          <w:footerReference w:type="first" r:id="rId23"/>
          <w:type w:val="oddPage"/>
          <w:pgSz w:w="9979" w:h="14175" w:code="9"/>
          <w:pgMar w:top="567" w:right="1134" w:bottom="567" w:left="1134" w:header="709" w:footer="709" w:gutter="0"/>
          <w:pgNumType w:start="1"/>
          <w:cols w:space="708"/>
          <w:titlePg/>
          <w:docGrid w:linePitch="360"/>
        </w:sectPr>
      </w:pPr>
    </w:p>
    <w:p w14:paraId="4412CE8B"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12418064"/>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08A7CD8"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157AD15" w14:textId="77777777" w:rsidTr="002425D9">
        <w:tc>
          <w:tcPr>
            <w:tcW w:w="3776" w:type="dxa"/>
            <w:shd w:val="clear" w:color="auto" w:fill="auto"/>
          </w:tcPr>
          <w:p w14:paraId="7BE435D8"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7CF29554" w14:textId="77777777" w:rsidR="00873094" w:rsidRPr="002E7A73" w:rsidRDefault="00873094" w:rsidP="00B7393A">
            <w:pPr>
              <w:pStyle w:val="Tableheaderrowtext"/>
            </w:pPr>
            <w:r w:rsidRPr="002E7A73">
              <w:t>Definition</w:t>
            </w:r>
          </w:p>
        </w:tc>
      </w:tr>
      <w:tr w:rsidR="004A0280" w:rsidRPr="00020288" w14:paraId="6E7CF4FC" w14:textId="77777777" w:rsidTr="002425D9">
        <w:tc>
          <w:tcPr>
            <w:tcW w:w="3776" w:type="dxa"/>
          </w:tcPr>
          <w:p w14:paraId="7E4D7A1E" w14:textId="7691F038" w:rsidR="004A0280" w:rsidRDefault="004A0280" w:rsidP="002425D9">
            <w:pPr>
              <w:pStyle w:val="Normalparatextnonumbers"/>
            </w:pPr>
            <w:r>
              <w:t>ACCC</w:t>
            </w:r>
          </w:p>
        </w:tc>
        <w:tc>
          <w:tcPr>
            <w:tcW w:w="3874" w:type="dxa"/>
          </w:tcPr>
          <w:p w14:paraId="7D52D9DD" w14:textId="3EBB3D4F" w:rsidR="004A0280" w:rsidRDefault="004A0280" w:rsidP="002425D9">
            <w:pPr>
              <w:pStyle w:val="Normalparatextnonumbers"/>
            </w:pPr>
            <w:r>
              <w:t>Australian Competition and Consumer Commission</w:t>
            </w:r>
          </w:p>
        </w:tc>
      </w:tr>
      <w:tr w:rsidR="005466B5" w:rsidRPr="00020288" w14:paraId="5F02402E" w14:textId="77777777" w:rsidTr="002425D9">
        <w:tc>
          <w:tcPr>
            <w:tcW w:w="3776" w:type="dxa"/>
          </w:tcPr>
          <w:p w14:paraId="2DFB4C36" w14:textId="093184D8" w:rsidR="005466B5" w:rsidRDefault="005466B5" w:rsidP="002425D9">
            <w:pPr>
              <w:pStyle w:val="Normalparatextnonumbers"/>
            </w:pPr>
            <w:r>
              <w:t>AER</w:t>
            </w:r>
          </w:p>
        </w:tc>
        <w:tc>
          <w:tcPr>
            <w:tcW w:w="3874" w:type="dxa"/>
          </w:tcPr>
          <w:p w14:paraId="1CA77362" w14:textId="07880179" w:rsidR="005466B5" w:rsidRDefault="005466B5" w:rsidP="002425D9">
            <w:pPr>
              <w:pStyle w:val="Normalparatextnonumbers"/>
            </w:pPr>
            <w:r>
              <w:t>Australian Energy Regulator</w:t>
            </w:r>
          </w:p>
        </w:tc>
      </w:tr>
      <w:tr w:rsidR="004A0280" w:rsidRPr="00020288" w14:paraId="0E3580DE" w14:textId="77777777" w:rsidTr="002425D9">
        <w:tc>
          <w:tcPr>
            <w:tcW w:w="3776" w:type="dxa"/>
          </w:tcPr>
          <w:p w14:paraId="638E119B" w14:textId="029FA2F1" w:rsidR="004A0280" w:rsidRDefault="004A0280" w:rsidP="002425D9">
            <w:pPr>
              <w:pStyle w:val="Normalparatextnonumbers"/>
            </w:pPr>
            <w:r>
              <w:t>APRA</w:t>
            </w:r>
          </w:p>
        </w:tc>
        <w:tc>
          <w:tcPr>
            <w:tcW w:w="3874" w:type="dxa"/>
          </w:tcPr>
          <w:p w14:paraId="5C4640EC" w14:textId="78961FA0" w:rsidR="004A0280" w:rsidRPr="004A0280" w:rsidRDefault="004A0280" w:rsidP="002425D9">
            <w:pPr>
              <w:pStyle w:val="Normalparatextnonumbers"/>
            </w:pPr>
            <w:r>
              <w:t>Australian Prudential Regulation Authority</w:t>
            </w:r>
          </w:p>
        </w:tc>
      </w:tr>
      <w:tr w:rsidR="008F1641" w:rsidRPr="00020288" w14:paraId="346BD900" w14:textId="77777777" w:rsidTr="002425D9">
        <w:tc>
          <w:tcPr>
            <w:tcW w:w="3776" w:type="dxa"/>
          </w:tcPr>
          <w:p w14:paraId="588C64CC" w14:textId="576F6ADB" w:rsidR="008F1641" w:rsidRDefault="00991283" w:rsidP="002425D9">
            <w:pPr>
              <w:pStyle w:val="Normalparatextnonumbers"/>
            </w:pPr>
            <w:r>
              <w:t>APRA Act</w:t>
            </w:r>
          </w:p>
        </w:tc>
        <w:tc>
          <w:tcPr>
            <w:tcW w:w="3874" w:type="dxa"/>
          </w:tcPr>
          <w:p w14:paraId="1D03C366" w14:textId="4E457AC6" w:rsidR="008F1641" w:rsidRDefault="008F1641" w:rsidP="002425D9">
            <w:pPr>
              <w:pStyle w:val="Normalparatextnonumbers"/>
              <w:rPr>
                <w:i/>
                <w:iCs/>
              </w:rPr>
            </w:pPr>
            <w:r>
              <w:rPr>
                <w:i/>
                <w:iCs/>
              </w:rPr>
              <w:t xml:space="preserve">Australian Prudential Regulation Authority Act </w:t>
            </w:r>
            <w:r w:rsidR="00991283">
              <w:rPr>
                <w:i/>
                <w:iCs/>
              </w:rPr>
              <w:t>1998</w:t>
            </w:r>
          </w:p>
        </w:tc>
      </w:tr>
      <w:tr w:rsidR="004A0280" w:rsidRPr="00020288" w14:paraId="5C7D5C03" w14:textId="77777777" w:rsidTr="002425D9">
        <w:tc>
          <w:tcPr>
            <w:tcW w:w="3776" w:type="dxa"/>
          </w:tcPr>
          <w:p w14:paraId="7E12F458" w14:textId="1838DAE1" w:rsidR="004A0280" w:rsidRDefault="004A0280" w:rsidP="002425D9">
            <w:pPr>
              <w:pStyle w:val="Normalparatextnonumbers"/>
            </w:pPr>
            <w:r>
              <w:t>ASIC</w:t>
            </w:r>
          </w:p>
        </w:tc>
        <w:tc>
          <w:tcPr>
            <w:tcW w:w="3874" w:type="dxa"/>
          </w:tcPr>
          <w:p w14:paraId="3834CBDB" w14:textId="5A3FBF2E" w:rsidR="004A0280" w:rsidRPr="004A0280" w:rsidRDefault="004A0280" w:rsidP="002425D9">
            <w:pPr>
              <w:pStyle w:val="Normalparatextnonumbers"/>
            </w:pPr>
            <w:r>
              <w:t>Australian Securities and Investments Commission</w:t>
            </w:r>
          </w:p>
        </w:tc>
      </w:tr>
      <w:tr w:rsidR="008F1641" w:rsidRPr="00020288" w14:paraId="1371AE64" w14:textId="77777777" w:rsidTr="009117E0">
        <w:tc>
          <w:tcPr>
            <w:tcW w:w="3776" w:type="dxa"/>
          </w:tcPr>
          <w:p w14:paraId="213D88BD" w14:textId="77777777" w:rsidR="008F1641" w:rsidRDefault="008F1641" w:rsidP="009117E0">
            <w:pPr>
              <w:pStyle w:val="Normalparatextnonumbers"/>
            </w:pPr>
            <w:r>
              <w:t>ASIC Act</w:t>
            </w:r>
          </w:p>
        </w:tc>
        <w:tc>
          <w:tcPr>
            <w:tcW w:w="3874" w:type="dxa"/>
          </w:tcPr>
          <w:p w14:paraId="50B38E94" w14:textId="77777777" w:rsidR="008F1641" w:rsidRPr="008F1641" w:rsidRDefault="008F1641" w:rsidP="009117E0">
            <w:pPr>
              <w:pStyle w:val="Normalparatextnonumbers"/>
              <w:rPr>
                <w:i/>
                <w:iCs/>
              </w:rPr>
            </w:pPr>
            <w:r>
              <w:rPr>
                <w:i/>
                <w:iCs/>
              </w:rPr>
              <w:t>Australian Securities and Investments Commission Act 2001</w:t>
            </w:r>
          </w:p>
        </w:tc>
      </w:tr>
      <w:tr w:rsidR="004A0280" w:rsidRPr="00020288" w14:paraId="07AAADFE" w14:textId="77777777" w:rsidTr="002425D9">
        <w:tc>
          <w:tcPr>
            <w:tcW w:w="3776" w:type="dxa"/>
          </w:tcPr>
          <w:p w14:paraId="7399322D" w14:textId="5A94C725" w:rsidR="004A0280" w:rsidRDefault="004A0280" w:rsidP="002425D9">
            <w:pPr>
              <w:pStyle w:val="Normalparatextnonumbers"/>
            </w:pPr>
            <w:r>
              <w:t>Bill</w:t>
            </w:r>
          </w:p>
        </w:tc>
        <w:tc>
          <w:tcPr>
            <w:tcW w:w="3874" w:type="dxa"/>
          </w:tcPr>
          <w:p w14:paraId="5726D448" w14:textId="2A7DC570" w:rsidR="004A0280" w:rsidRPr="004A0280" w:rsidRDefault="004A0280" w:rsidP="002425D9">
            <w:pPr>
              <w:pStyle w:val="Normalparatextnonumbers"/>
              <w:rPr>
                <w:i/>
                <w:iCs/>
              </w:rPr>
            </w:pPr>
            <w:r>
              <w:rPr>
                <w:i/>
                <w:iCs/>
              </w:rPr>
              <w:t>Treasury Laws Amendment (Modernising Business Communications) Bill 2022</w:t>
            </w:r>
          </w:p>
        </w:tc>
      </w:tr>
      <w:tr w:rsidR="00244856" w:rsidRPr="00020288" w14:paraId="0005DED3" w14:textId="77777777" w:rsidTr="009715A1">
        <w:tc>
          <w:tcPr>
            <w:tcW w:w="3776" w:type="dxa"/>
          </w:tcPr>
          <w:p w14:paraId="66B587A8" w14:textId="77777777" w:rsidR="00244856" w:rsidRDefault="00244856" w:rsidP="009715A1">
            <w:pPr>
              <w:pStyle w:val="Normalparatextnonumbers"/>
            </w:pPr>
            <w:r>
              <w:t>CADB</w:t>
            </w:r>
          </w:p>
        </w:tc>
        <w:tc>
          <w:tcPr>
            <w:tcW w:w="3874" w:type="dxa"/>
          </w:tcPr>
          <w:p w14:paraId="5D22182A" w14:textId="77777777" w:rsidR="00244856" w:rsidRPr="00FD5962" w:rsidRDefault="00244856" w:rsidP="009715A1">
            <w:pPr>
              <w:pStyle w:val="Normalparatextnonumbers"/>
            </w:pPr>
            <w:r>
              <w:t>Companies Auditors Disciplinary Board</w:t>
            </w:r>
          </w:p>
        </w:tc>
      </w:tr>
      <w:tr w:rsidR="00873094" w:rsidRPr="00020288" w14:paraId="62673D6C" w14:textId="77777777" w:rsidTr="002425D9">
        <w:tc>
          <w:tcPr>
            <w:tcW w:w="3776" w:type="dxa"/>
          </w:tcPr>
          <w:p w14:paraId="6EAA69DE" w14:textId="0E26F485" w:rsidR="00873094" w:rsidRPr="00020288" w:rsidRDefault="008F1641" w:rsidP="002425D9">
            <w:pPr>
              <w:pStyle w:val="Normalparatextnonumbers"/>
            </w:pPr>
            <w:r>
              <w:t>CCA</w:t>
            </w:r>
          </w:p>
        </w:tc>
        <w:tc>
          <w:tcPr>
            <w:tcW w:w="3874" w:type="dxa"/>
          </w:tcPr>
          <w:p w14:paraId="1AAC6339" w14:textId="059592A6" w:rsidR="00873094" w:rsidRPr="008F1641" w:rsidRDefault="008F1641" w:rsidP="002425D9">
            <w:pPr>
              <w:pStyle w:val="Normalparatextnonumbers"/>
              <w:rPr>
                <w:i/>
                <w:iCs/>
              </w:rPr>
            </w:pPr>
            <w:r>
              <w:rPr>
                <w:i/>
                <w:iCs/>
              </w:rPr>
              <w:t>Competition and Consumer Act 2010</w:t>
            </w:r>
          </w:p>
        </w:tc>
      </w:tr>
      <w:tr w:rsidR="00754DAD" w:rsidRPr="00020288" w14:paraId="4E58C76A" w14:textId="77777777" w:rsidTr="002425D9">
        <w:tc>
          <w:tcPr>
            <w:tcW w:w="3776" w:type="dxa"/>
          </w:tcPr>
          <w:p w14:paraId="7DEBFB73" w14:textId="252615AC" w:rsidR="00754DAD" w:rsidRDefault="00754DAD" w:rsidP="002425D9">
            <w:pPr>
              <w:pStyle w:val="Normalparatextnonumbers"/>
            </w:pPr>
            <w:r>
              <w:t>FSCP</w:t>
            </w:r>
          </w:p>
        </w:tc>
        <w:tc>
          <w:tcPr>
            <w:tcW w:w="3874" w:type="dxa"/>
          </w:tcPr>
          <w:p w14:paraId="611A7073" w14:textId="1FBC943B" w:rsidR="00754DAD" w:rsidRPr="00754DAD" w:rsidRDefault="00754DAD" w:rsidP="002425D9">
            <w:pPr>
              <w:pStyle w:val="Normalparatextnonumbers"/>
            </w:pPr>
            <w:r>
              <w:t>Financial Services and Credit Panel</w:t>
            </w:r>
            <w:r w:rsidR="0053227F">
              <w:t>s</w:t>
            </w:r>
          </w:p>
        </w:tc>
      </w:tr>
      <w:tr w:rsidR="00873094" w:rsidRPr="00020288" w14:paraId="584573D2" w14:textId="77777777" w:rsidTr="002425D9">
        <w:tc>
          <w:tcPr>
            <w:tcW w:w="3776" w:type="dxa"/>
          </w:tcPr>
          <w:p w14:paraId="2DAC4F86" w14:textId="0BF3DF7A" w:rsidR="00873094" w:rsidRPr="00020288" w:rsidRDefault="008F1641" w:rsidP="002425D9">
            <w:pPr>
              <w:pStyle w:val="Normalparatextnonumbers"/>
            </w:pPr>
            <w:r>
              <w:t>NCCPA</w:t>
            </w:r>
          </w:p>
        </w:tc>
        <w:tc>
          <w:tcPr>
            <w:tcW w:w="3874" w:type="dxa"/>
          </w:tcPr>
          <w:p w14:paraId="467381C0" w14:textId="7BF10E76" w:rsidR="00873094" w:rsidRPr="008F1641" w:rsidRDefault="008F1641" w:rsidP="002425D9">
            <w:pPr>
              <w:pStyle w:val="Normalparatextnonumbers"/>
              <w:rPr>
                <w:i/>
                <w:iCs/>
              </w:rPr>
            </w:pPr>
            <w:r>
              <w:rPr>
                <w:i/>
                <w:iCs/>
              </w:rPr>
              <w:t>National Consumer Credit Protection Act 2009</w:t>
            </w:r>
          </w:p>
        </w:tc>
      </w:tr>
      <w:tr w:rsidR="00873094" w:rsidRPr="00020288" w14:paraId="1B72FAD4" w14:textId="77777777" w:rsidTr="002425D9">
        <w:tc>
          <w:tcPr>
            <w:tcW w:w="3776" w:type="dxa"/>
          </w:tcPr>
          <w:p w14:paraId="7B792DA8" w14:textId="50C1D2DA" w:rsidR="00873094" w:rsidRPr="00020288" w:rsidRDefault="00991283" w:rsidP="002425D9">
            <w:pPr>
              <w:pStyle w:val="Normalparatextnonumbers"/>
            </w:pPr>
            <w:r>
              <w:t>TASA</w:t>
            </w:r>
          </w:p>
        </w:tc>
        <w:tc>
          <w:tcPr>
            <w:tcW w:w="3874" w:type="dxa"/>
          </w:tcPr>
          <w:p w14:paraId="72D97539" w14:textId="6A4A6EFD" w:rsidR="00873094" w:rsidRPr="00991283" w:rsidRDefault="00991283" w:rsidP="002425D9">
            <w:pPr>
              <w:pStyle w:val="Normalparatextnonumbers"/>
              <w:rPr>
                <w:i/>
                <w:iCs/>
              </w:rPr>
            </w:pPr>
            <w:r>
              <w:rPr>
                <w:i/>
                <w:iCs/>
              </w:rPr>
              <w:t>Tax Agent Services Act 2009</w:t>
            </w:r>
          </w:p>
        </w:tc>
      </w:tr>
      <w:tr w:rsidR="00873094" w:rsidRPr="00020288" w14:paraId="7C147ACF" w14:textId="77777777" w:rsidTr="002425D9">
        <w:tc>
          <w:tcPr>
            <w:tcW w:w="3776" w:type="dxa"/>
          </w:tcPr>
          <w:p w14:paraId="250D58E1" w14:textId="01A448EA" w:rsidR="00873094" w:rsidRPr="00020288" w:rsidRDefault="004A0280" w:rsidP="002425D9">
            <w:pPr>
              <w:pStyle w:val="Normalparatextnonumbers"/>
            </w:pPr>
            <w:r>
              <w:t>TPB</w:t>
            </w:r>
          </w:p>
        </w:tc>
        <w:tc>
          <w:tcPr>
            <w:tcW w:w="3874" w:type="dxa"/>
          </w:tcPr>
          <w:p w14:paraId="0C177C9E" w14:textId="2AFC6C1E" w:rsidR="00873094" w:rsidRPr="00020288" w:rsidRDefault="004A0280" w:rsidP="002425D9">
            <w:pPr>
              <w:pStyle w:val="Normalparatextnonumbers"/>
            </w:pPr>
            <w:r>
              <w:t>Tax Practitioners Board</w:t>
            </w:r>
          </w:p>
        </w:tc>
      </w:tr>
    </w:tbl>
    <w:p w14:paraId="01ABCC36" w14:textId="77777777" w:rsidR="00873094" w:rsidRPr="00020288" w:rsidRDefault="00873094" w:rsidP="00873094"/>
    <w:p w14:paraId="5BBA9B3A" w14:textId="77777777" w:rsidR="00873094" w:rsidRPr="00020288" w:rsidRDefault="00873094" w:rsidP="00873094"/>
    <w:p w14:paraId="20E1F69C" w14:textId="77777777" w:rsidR="00873094" w:rsidRPr="00020288" w:rsidRDefault="00873094" w:rsidP="00873094">
      <w:pPr>
        <w:pStyle w:val="Heading1"/>
        <w:sectPr w:rsidR="00873094" w:rsidRPr="00020288" w:rsidSect="00000BFC">
          <w:headerReference w:type="even" r:id="rId24"/>
          <w:headerReference w:type="default" r:id="rId25"/>
          <w:headerReference w:type="first" r:id="rId26"/>
          <w:footerReference w:type="first" r:id="rId27"/>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797FEDE3" w14:textId="1CB4B5F3" w:rsidR="00873094" w:rsidRPr="0073326A" w:rsidRDefault="00471C24" w:rsidP="00777A92">
      <w:pPr>
        <w:pStyle w:val="Chapterheading"/>
      </w:pPr>
      <w:bookmarkStart w:id="40" w:name="GeneralOutline"/>
      <w:bookmarkStart w:id="41" w:name="_Toc112418065"/>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 xml:space="preserve">Virtual </w:t>
      </w:r>
      <w:r w:rsidR="00281C28">
        <w:t>h</w:t>
      </w:r>
      <w:r>
        <w:t>earings</w:t>
      </w:r>
      <w:r w:rsidR="00281C28">
        <w:t xml:space="preserve"> and examinations</w:t>
      </w:r>
      <w:bookmarkEnd w:id="41"/>
    </w:p>
    <w:p w14:paraId="1DD5D68C" w14:textId="1FB2B6F0" w:rsidR="00873094" w:rsidRDefault="002F7754" w:rsidP="00873094">
      <w:pPr>
        <w:rPr>
          <w:rFonts w:ascii="Helvitica" w:hAnsi="Helvitica"/>
          <w:sz w:val="40"/>
        </w:rPr>
      </w:pPr>
      <w:bookmarkStart w:id="42" w:name="Chapter1"/>
      <w:r>
        <w:rPr>
          <w:rFonts w:ascii="Helvitica" w:hAnsi="Helvitica"/>
          <w:sz w:val="40"/>
        </w:rPr>
        <w:t xml:space="preserve">Table of Contents: </w:t>
      </w:r>
    </w:p>
    <w:p w14:paraId="37119A2C" w14:textId="41A35C6F" w:rsidR="00455DDC" w:rsidRDefault="002F7754">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455DDC">
        <w:t>Outline of chapter</w:t>
      </w:r>
      <w:r w:rsidR="00455DDC">
        <w:rPr>
          <w:webHidden/>
        </w:rPr>
        <w:tab/>
      </w:r>
      <w:r w:rsidR="00455DDC">
        <w:rPr>
          <w:webHidden/>
        </w:rPr>
        <w:fldChar w:fldCharType="begin"/>
      </w:r>
      <w:r w:rsidR="00455DDC">
        <w:rPr>
          <w:webHidden/>
        </w:rPr>
        <w:instrText xml:space="preserve"> PAGEREF _Toc109749727 \h </w:instrText>
      </w:r>
      <w:r w:rsidR="00455DDC">
        <w:rPr>
          <w:webHidden/>
        </w:rPr>
      </w:r>
      <w:r w:rsidR="00455DDC">
        <w:rPr>
          <w:webHidden/>
        </w:rPr>
        <w:fldChar w:fldCharType="separate"/>
      </w:r>
      <w:r w:rsidR="00C450DB">
        <w:rPr>
          <w:webHidden/>
        </w:rPr>
        <w:t>5</w:t>
      </w:r>
      <w:r w:rsidR="00455DDC">
        <w:rPr>
          <w:webHidden/>
        </w:rPr>
        <w:fldChar w:fldCharType="end"/>
      </w:r>
    </w:p>
    <w:p w14:paraId="39546207" w14:textId="1D1B6809" w:rsidR="00455DDC" w:rsidRDefault="00455DDC">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_Toc109749728 \h </w:instrText>
      </w:r>
      <w:r>
        <w:rPr>
          <w:webHidden/>
        </w:rPr>
      </w:r>
      <w:r>
        <w:rPr>
          <w:webHidden/>
        </w:rPr>
        <w:fldChar w:fldCharType="separate"/>
      </w:r>
      <w:r w:rsidR="00C450DB">
        <w:rPr>
          <w:webHidden/>
        </w:rPr>
        <w:t>5</w:t>
      </w:r>
      <w:r>
        <w:rPr>
          <w:webHidden/>
        </w:rPr>
        <w:fldChar w:fldCharType="end"/>
      </w:r>
    </w:p>
    <w:p w14:paraId="75416A6D" w14:textId="369A0F8E" w:rsidR="00455DDC" w:rsidRDefault="00455DDC">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_Toc109749729 \h </w:instrText>
      </w:r>
      <w:r>
        <w:rPr>
          <w:webHidden/>
        </w:rPr>
      </w:r>
      <w:r>
        <w:rPr>
          <w:webHidden/>
        </w:rPr>
        <w:fldChar w:fldCharType="separate"/>
      </w:r>
      <w:r w:rsidR="00C450DB">
        <w:rPr>
          <w:webHidden/>
        </w:rPr>
        <w:t>6</w:t>
      </w:r>
      <w:r>
        <w:rPr>
          <w:webHidden/>
        </w:rPr>
        <w:fldChar w:fldCharType="end"/>
      </w:r>
    </w:p>
    <w:p w14:paraId="699CC72A" w14:textId="53807622" w:rsidR="00455DDC" w:rsidRDefault="00455DDC">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_Toc109749730 \h </w:instrText>
      </w:r>
      <w:r>
        <w:rPr>
          <w:webHidden/>
        </w:rPr>
      </w:r>
      <w:r>
        <w:rPr>
          <w:webHidden/>
        </w:rPr>
        <w:fldChar w:fldCharType="separate"/>
      </w:r>
      <w:r w:rsidR="00C450DB">
        <w:rPr>
          <w:webHidden/>
        </w:rPr>
        <w:t>6</w:t>
      </w:r>
      <w:r>
        <w:rPr>
          <w:webHidden/>
        </w:rPr>
        <w:fldChar w:fldCharType="end"/>
      </w:r>
    </w:p>
    <w:p w14:paraId="2620CE6F" w14:textId="3E9181EE" w:rsidR="002F7754" w:rsidRPr="00020288" w:rsidRDefault="002F7754" w:rsidP="002F7754">
      <w:r>
        <w:fldChar w:fldCharType="end"/>
      </w:r>
    </w:p>
    <w:p w14:paraId="322EE990" w14:textId="77777777" w:rsidR="00873094" w:rsidRPr="00020288" w:rsidRDefault="00873094" w:rsidP="005D0844">
      <w:pPr>
        <w:pStyle w:val="Heading2"/>
      </w:pPr>
      <w:bookmarkStart w:id="43" w:name="_Toc109749727"/>
      <w:r w:rsidRPr="00020288">
        <w:t xml:space="preserve">Outline </w:t>
      </w:r>
      <w:r w:rsidRPr="005D0844">
        <w:t>of</w:t>
      </w:r>
      <w:r w:rsidRPr="00020288">
        <w:t xml:space="preserve"> chapter</w:t>
      </w:r>
      <w:bookmarkEnd w:id="43"/>
    </w:p>
    <w:p w14:paraId="07E42B41" w14:textId="6FFA0BC4" w:rsidR="0025262D" w:rsidRDefault="00281C28" w:rsidP="00281C28">
      <w:pPr>
        <w:pStyle w:val="Normalparatextwithnumbers"/>
      </w:pPr>
      <w:r>
        <w:t xml:space="preserve">Schedule 1 to the Bill amends the APRA Act, ASIC Act, CCA, NCCPA and TASA to </w:t>
      </w:r>
      <w:r w:rsidR="00B3610D">
        <w:t>clarify that</w:t>
      </w:r>
      <w:r>
        <w:t xml:space="preserve"> </w:t>
      </w:r>
      <w:r w:rsidR="00FF6B28">
        <w:t xml:space="preserve">bodies established under these Acts (the </w:t>
      </w:r>
      <w:r w:rsidR="00FF6B28">
        <w:rPr>
          <w:b/>
          <w:bCs/>
          <w:i/>
          <w:iCs/>
        </w:rPr>
        <w:t>regulator</w:t>
      </w:r>
      <w:r w:rsidR="00FF6B28">
        <w:t>)</w:t>
      </w:r>
      <w:r>
        <w:t xml:space="preserve"> </w:t>
      </w:r>
      <w:r w:rsidR="00B3610D">
        <w:t>can</w:t>
      </w:r>
      <w:r>
        <w:t xml:space="preserve"> use technology for hearings and examinations.</w:t>
      </w:r>
      <w:r w:rsidR="00FD5962">
        <w:t xml:space="preserve"> The </w:t>
      </w:r>
      <w:r w:rsidR="00485D6F">
        <w:t>amendments</w:t>
      </w:r>
      <w:r w:rsidR="0025262D">
        <w:t xml:space="preserve"> are technology neutral</w:t>
      </w:r>
      <w:r w:rsidR="00C65119">
        <w:t xml:space="preserve"> and </w:t>
      </w:r>
      <w:r w:rsidR="00485D6F">
        <w:t>ensure that hearings and examinations can</w:t>
      </w:r>
      <w:r w:rsidR="00244856">
        <w:t xml:space="preserve"> continue to</w:t>
      </w:r>
      <w:r w:rsidR="00485D6F">
        <w:t xml:space="preserve"> be </w:t>
      </w:r>
      <w:r w:rsidR="00316A06">
        <w:t>conducted</w:t>
      </w:r>
      <w:r w:rsidR="00485D6F">
        <w:t xml:space="preserve"> in an efficient and expeditious manner.</w:t>
      </w:r>
    </w:p>
    <w:p w14:paraId="224DB3A9" w14:textId="77777777" w:rsidR="00873094" w:rsidRPr="00020288" w:rsidRDefault="00873094" w:rsidP="005D0844">
      <w:pPr>
        <w:pStyle w:val="Heading2"/>
      </w:pPr>
      <w:bookmarkStart w:id="44" w:name="_Toc109749728"/>
      <w:r w:rsidRPr="00020288">
        <w:t xml:space="preserve">Context of </w:t>
      </w:r>
      <w:r w:rsidRPr="005D0844">
        <w:t>amendments</w:t>
      </w:r>
      <w:bookmarkEnd w:id="44"/>
    </w:p>
    <w:p w14:paraId="7AF9A12C" w14:textId="53D72959" w:rsidR="0031412F" w:rsidRDefault="006C4FC3" w:rsidP="006272FD">
      <w:pPr>
        <w:pStyle w:val="Normalparatextwithnumbers"/>
        <w:numPr>
          <w:ilvl w:val="1"/>
          <w:numId w:val="3"/>
        </w:numPr>
      </w:pPr>
      <w:r>
        <w:t>Regulators</w:t>
      </w:r>
      <w:r w:rsidR="00492870">
        <w:t xml:space="preserve"> </w:t>
      </w:r>
      <w:r>
        <w:t>are</w:t>
      </w:r>
      <w:r w:rsidR="00C728B3">
        <w:t xml:space="preserve"> empowe</w:t>
      </w:r>
      <w:r w:rsidR="001F6C1D">
        <w:t xml:space="preserve">red under </w:t>
      </w:r>
      <w:r w:rsidR="00CD647A">
        <w:t xml:space="preserve">the APRA Act, ASIC Act, CCA, NCCPA </w:t>
      </w:r>
      <w:r>
        <w:t>and</w:t>
      </w:r>
      <w:r w:rsidR="00CD647A">
        <w:t xml:space="preserve"> TASA</w:t>
      </w:r>
      <w:r w:rsidR="001F6C1D">
        <w:t xml:space="preserve"> to </w:t>
      </w:r>
      <w:r w:rsidR="00693A6F">
        <w:t>hold</w:t>
      </w:r>
      <w:r w:rsidR="001F6C1D">
        <w:t xml:space="preserve"> hearings</w:t>
      </w:r>
      <w:r w:rsidR="00B3610D">
        <w:t xml:space="preserve"> or examinations</w:t>
      </w:r>
      <w:r w:rsidR="001F6C1D">
        <w:t xml:space="preserve">. </w:t>
      </w:r>
      <w:r w:rsidR="00200AD8">
        <w:t>These</w:t>
      </w:r>
      <w:r w:rsidR="009F7836">
        <w:t xml:space="preserve"> Acts</w:t>
      </w:r>
      <w:r w:rsidR="001F6C1D">
        <w:t>, however, are</w:t>
      </w:r>
      <w:r w:rsidR="008A4852">
        <w:t xml:space="preserve"> largely</w:t>
      </w:r>
      <w:r w:rsidR="001F6C1D">
        <w:t xml:space="preserve"> silent on whether</w:t>
      </w:r>
      <w:r>
        <w:t xml:space="preserve"> the regulator can use</w:t>
      </w:r>
      <w:r w:rsidR="001F6C1D">
        <w:t xml:space="preserve"> </w:t>
      </w:r>
      <w:r w:rsidR="00316A06">
        <w:t xml:space="preserve">technology for all or part of a hearing or examination. </w:t>
      </w:r>
    </w:p>
    <w:p w14:paraId="6C8FFDF9" w14:textId="6DC6468B" w:rsidR="00145444" w:rsidRDefault="00145444" w:rsidP="006272FD">
      <w:pPr>
        <w:pStyle w:val="Normalparatextwithnumbers"/>
        <w:numPr>
          <w:ilvl w:val="1"/>
          <w:numId w:val="3"/>
        </w:numPr>
      </w:pPr>
      <w:r>
        <w:t xml:space="preserve">This issue </w:t>
      </w:r>
      <w:r w:rsidR="00103F08">
        <w:t>was highlighted</w:t>
      </w:r>
      <w:r>
        <w:t xml:space="preserve"> during the COVID-19 pandemic, when regulators were unable to hold in-person hearings or examinations due to </w:t>
      </w:r>
      <w:r w:rsidR="007C7171">
        <w:t>public health orders and restrictions.</w:t>
      </w:r>
      <w:r w:rsidR="0031412F">
        <w:t xml:space="preserve"> </w:t>
      </w:r>
      <w:r w:rsidR="00103F08">
        <w:t>Uncertainty caused by the</w:t>
      </w:r>
      <w:r w:rsidR="00200AD8">
        <w:t xml:space="preserve"> absence of express provision</w:t>
      </w:r>
      <w:r w:rsidR="007D336B">
        <w:t>s</w:t>
      </w:r>
      <w:r w:rsidR="00200AD8">
        <w:t xml:space="preserve"> in the relevant legislation allowing for</w:t>
      </w:r>
      <w:r w:rsidR="0031412F">
        <w:t xml:space="preserve"> the use of technology at hearings and examinations</w:t>
      </w:r>
      <w:r w:rsidR="00103F08">
        <w:t xml:space="preserve"> resulted in </w:t>
      </w:r>
      <w:r w:rsidR="0031412F">
        <w:t xml:space="preserve">regulators </w:t>
      </w:r>
      <w:r w:rsidR="00103F08">
        <w:t>first obtaining consent from participants before holding</w:t>
      </w:r>
      <w:r w:rsidR="00693A6F">
        <w:t xml:space="preserve"> virtual hearings</w:t>
      </w:r>
      <w:r w:rsidR="0031412F">
        <w:t>.</w:t>
      </w:r>
    </w:p>
    <w:p w14:paraId="546ED6E1" w14:textId="3C3AE413" w:rsidR="00FB52DE" w:rsidRDefault="00103F08" w:rsidP="001F6C1D">
      <w:pPr>
        <w:pStyle w:val="Normalparatextwithnumbers"/>
        <w:numPr>
          <w:ilvl w:val="1"/>
          <w:numId w:val="3"/>
        </w:numPr>
      </w:pPr>
      <w:r>
        <w:t>T</w:t>
      </w:r>
      <w:r w:rsidR="007C7171">
        <w:t>his Schedule amends</w:t>
      </w:r>
      <w:r w:rsidR="00601B52">
        <w:t xml:space="preserve"> the relevant </w:t>
      </w:r>
      <w:r w:rsidR="00190D55">
        <w:t>legislation</w:t>
      </w:r>
      <w:r w:rsidR="007C7171">
        <w:t xml:space="preserve"> by inserting express provisions </w:t>
      </w:r>
      <w:r>
        <w:t>clarifying that regulators can hold hearings or examinations using technology</w:t>
      </w:r>
      <w:r w:rsidR="00547732">
        <w:t xml:space="preserve">. </w:t>
      </w:r>
      <w:r w:rsidR="007C7171">
        <w:t>The amendments</w:t>
      </w:r>
      <w:r w:rsidR="00547732">
        <w:t xml:space="preserve"> provide legal certainty</w:t>
      </w:r>
      <w:r w:rsidR="008A4852">
        <w:t xml:space="preserve"> for regulators that </w:t>
      </w:r>
      <w:r w:rsidR="006272FD">
        <w:t>decide</w:t>
      </w:r>
      <w:r w:rsidR="008A4852">
        <w:t xml:space="preserve"> to </w:t>
      </w:r>
      <w:r w:rsidR="00693A6F">
        <w:t>hold</w:t>
      </w:r>
      <w:r w:rsidR="00547732">
        <w:t xml:space="preserve"> </w:t>
      </w:r>
      <w:r w:rsidR="00466213">
        <w:t xml:space="preserve">a </w:t>
      </w:r>
      <w:r w:rsidR="00547732">
        <w:t xml:space="preserve">hearing </w:t>
      </w:r>
      <w:r w:rsidR="00316A06">
        <w:t>or</w:t>
      </w:r>
      <w:r w:rsidR="00547732">
        <w:t xml:space="preserve"> examination </w:t>
      </w:r>
      <w:r w:rsidR="00D941CA">
        <w:t xml:space="preserve">using technology so that </w:t>
      </w:r>
      <w:r w:rsidR="006272FD">
        <w:t>participants</w:t>
      </w:r>
      <w:r w:rsidR="00D941CA">
        <w:t xml:space="preserve"> can appear at </w:t>
      </w:r>
      <w:r w:rsidR="00492870">
        <w:t>all or part of a</w:t>
      </w:r>
      <w:r w:rsidR="00D941CA">
        <w:t xml:space="preserve"> hearing or examination without being physically present</w:t>
      </w:r>
      <w:r w:rsidR="00547732">
        <w:t xml:space="preserve">. </w:t>
      </w:r>
    </w:p>
    <w:p w14:paraId="167BBEC0" w14:textId="77777777" w:rsidR="00873094" w:rsidRPr="00020288" w:rsidRDefault="00873094" w:rsidP="005D0844">
      <w:pPr>
        <w:pStyle w:val="Heading2"/>
      </w:pPr>
      <w:bookmarkStart w:id="45" w:name="_Toc109749729"/>
      <w:r w:rsidRPr="00020288">
        <w:lastRenderedPageBreak/>
        <w:t xml:space="preserve">Summary of </w:t>
      </w:r>
      <w:r w:rsidRPr="005D0844">
        <w:t>new</w:t>
      </w:r>
      <w:r w:rsidRPr="00020288">
        <w:t xml:space="preserve"> law</w:t>
      </w:r>
      <w:bookmarkEnd w:id="45"/>
    </w:p>
    <w:p w14:paraId="08017DD2" w14:textId="32603C17" w:rsidR="00E757AC" w:rsidRDefault="003B7978" w:rsidP="00064EF3">
      <w:pPr>
        <w:pStyle w:val="Normalparatextwithnumbers"/>
        <w:numPr>
          <w:ilvl w:val="1"/>
          <w:numId w:val="3"/>
        </w:numPr>
      </w:pPr>
      <w:r>
        <w:t xml:space="preserve">Schedule </w:t>
      </w:r>
      <w:r w:rsidR="00AC11AD">
        <w:t>1</w:t>
      </w:r>
      <w:r>
        <w:t xml:space="preserve"> to the Bill </w:t>
      </w:r>
      <w:r w:rsidR="00E757AC">
        <w:t xml:space="preserve">amends the APRA Act, ASIC Act, CCA, NCCPA and TASA </w:t>
      </w:r>
      <w:r w:rsidR="00F01B64">
        <w:t xml:space="preserve">by inserting provisions </w:t>
      </w:r>
      <w:r w:rsidR="00693A6F">
        <w:t>to clarify that the</w:t>
      </w:r>
      <w:r w:rsidR="00FF6B28">
        <w:t xml:space="preserve"> regulator</w:t>
      </w:r>
      <w:r w:rsidR="00E757AC">
        <w:t xml:space="preserve"> </w:t>
      </w:r>
      <w:r w:rsidR="00693A6F">
        <w:t>can hold</w:t>
      </w:r>
      <w:r w:rsidR="00E757AC">
        <w:t xml:space="preserve"> </w:t>
      </w:r>
      <w:r w:rsidR="00C2781D">
        <w:t>a hearing or examination:</w:t>
      </w:r>
    </w:p>
    <w:p w14:paraId="6C1C24F2" w14:textId="35CB89A0" w:rsidR="00E757AC" w:rsidRDefault="00E757AC" w:rsidP="00E757AC">
      <w:pPr>
        <w:pStyle w:val="Normalparatextwithnumbers"/>
        <w:numPr>
          <w:ilvl w:val="1"/>
          <w:numId w:val="24"/>
        </w:numPr>
      </w:pPr>
      <w:r>
        <w:t>at one or more physical venues (a physical hearing</w:t>
      </w:r>
      <w:r w:rsidR="000D2B38">
        <w:t xml:space="preserve"> or examination</w:t>
      </w:r>
      <w:r>
        <w:t>); or</w:t>
      </w:r>
    </w:p>
    <w:p w14:paraId="0EC23C3F" w14:textId="542443C4" w:rsidR="00E757AC" w:rsidRDefault="00E757AC" w:rsidP="00E757AC">
      <w:pPr>
        <w:pStyle w:val="Normalparatextwithnumbers"/>
        <w:numPr>
          <w:ilvl w:val="1"/>
          <w:numId w:val="24"/>
        </w:numPr>
      </w:pPr>
      <w:r>
        <w:t xml:space="preserve">at one or more physical venues and using virtual enquiry technology (a hybrid </w:t>
      </w:r>
      <w:r w:rsidR="000D2B38">
        <w:t>hearing or examination</w:t>
      </w:r>
      <w:r>
        <w:t>); or</w:t>
      </w:r>
    </w:p>
    <w:p w14:paraId="272526BA" w14:textId="4397DFEC" w:rsidR="00E757AC" w:rsidRDefault="00E757AC" w:rsidP="00E757AC">
      <w:pPr>
        <w:pStyle w:val="Normalparatextwithnumbers"/>
        <w:numPr>
          <w:ilvl w:val="1"/>
          <w:numId w:val="24"/>
        </w:numPr>
      </w:pPr>
      <w:r>
        <w:t xml:space="preserve">using virtual enquiry technology only (a virtual </w:t>
      </w:r>
      <w:r w:rsidR="000D2B38">
        <w:t>hearing or examination</w:t>
      </w:r>
      <w:r>
        <w:t>).</w:t>
      </w:r>
    </w:p>
    <w:p w14:paraId="07FBBEAE" w14:textId="4D88547C" w:rsidR="00F01B64" w:rsidRDefault="0053227F" w:rsidP="00492870">
      <w:pPr>
        <w:pStyle w:val="Normalparatextwithnumbers"/>
      </w:pPr>
      <w:r>
        <w:t xml:space="preserve">The relevant regulators are </w:t>
      </w:r>
      <w:r w:rsidR="00FD7864">
        <w:t>APRA, ASIC</w:t>
      </w:r>
      <w:r>
        <w:t>,</w:t>
      </w:r>
      <w:r w:rsidR="00CB7357">
        <w:t xml:space="preserve"> </w:t>
      </w:r>
      <w:r w:rsidR="00FD7864">
        <w:t>FSCP,</w:t>
      </w:r>
      <w:r w:rsidR="006272FD">
        <w:t xml:space="preserve"> CADB,</w:t>
      </w:r>
      <w:r w:rsidR="00FD7864">
        <w:t xml:space="preserve"> ACCC,</w:t>
      </w:r>
      <w:r>
        <w:t xml:space="preserve"> AER</w:t>
      </w:r>
      <w:r w:rsidR="00FD7864">
        <w:t xml:space="preserve"> </w:t>
      </w:r>
      <w:r w:rsidR="00C2781D">
        <w:t>and TPB</w:t>
      </w:r>
      <w:r w:rsidR="00A403D6">
        <w:t>, which</w:t>
      </w:r>
      <w:r w:rsidR="000D2B38">
        <w:t xml:space="preserve"> </w:t>
      </w:r>
      <w:r w:rsidR="0010689F">
        <w:t>hold</w:t>
      </w:r>
      <w:r w:rsidR="00FD7864">
        <w:t xml:space="preserve"> </w:t>
      </w:r>
      <w:r w:rsidR="00C2781D">
        <w:t>hearings or examinations</w:t>
      </w:r>
      <w:r w:rsidR="00FD7864">
        <w:t xml:space="preserve"> under the </w:t>
      </w:r>
      <w:r w:rsidR="00190D55">
        <w:t>relevant legislation</w:t>
      </w:r>
      <w:r w:rsidR="00FD7864">
        <w:t>.</w:t>
      </w:r>
      <w:r w:rsidR="00F01B64">
        <w:t xml:space="preserve"> The regulator has the discretion whether to hold a </w:t>
      </w:r>
      <w:r w:rsidR="00C2781D">
        <w:t>hearing or examination</w:t>
      </w:r>
      <w:r w:rsidR="00F01B64">
        <w:t xml:space="preserve"> in a physical, hybrid or virtual form. </w:t>
      </w:r>
    </w:p>
    <w:p w14:paraId="333F2474" w14:textId="61D2BB2F" w:rsidR="003916CF" w:rsidRDefault="00F01B64" w:rsidP="00FD7864">
      <w:pPr>
        <w:pStyle w:val="Normalparatextwithnumbers"/>
      </w:pPr>
      <w:r>
        <w:t xml:space="preserve">If </w:t>
      </w:r>
      <w:r w:rsidR="00E71F2E">
        <w:t>the</w:t>
      </w:r>
      <w:r>
        <w:t xml:space="preserve"> regulator decides to </w:t>
      </w:r>
      <w:r w:rsidR="0010689F">
        <w:t>hold</w:t>
      </w:r>
      <w:r>
        <w:t xml:space="preserve"> a hearing</w:t>
      </w:r>
      <w:r w:rsidR="007D336B">
        <w:t xml:space="preserve"> or examination</w:t>
      </w:r>
      <w:r>
        <w:t xml:space="preserve"> using virtual enquiry technology, </w:t>
      </w:r>
      <w:r w:rsidR="00752DE0">
        <w:t>the regulator must ensure that the technology provides</w:t>
      </w:r>
      <w:r w:rsidR="00D06EB2">
        <w:t xml:space="preserve"> each participant in the hearing or examination with a reasonable opportunity to participate in or be represented at the hearing or examination.</w:t>
      </w:r>
    </w:p>
    <w:p w14:paraId="175617F2" w14:textId="4E276FBD" w:rsidR="00D06EB2" w:rsidRDefault="00D06EB2" w:rsidP="00FD7864">
      <w:pPr>
        <w:pStyle w:val="Normalparatextwithnumbers"/>
      </w:pPr>
      <w:r>
        <w:t xml:space="preserve">If </w:t>
      </w:r>
      <w:r w:rsidR="003916CF">
        <w:t>a</w:t>
      </w:r>
      <w:r>
        <w:t xml:space="preserve"> hearing is to take place in public using </w:t>
      </w:r>
      <w:r w:rsidR="003916CF">
        <w:t xml:space="preserve">virtual enquiry </w:t>
      </w:r>
      <w:r>
        <w:t xml:space="preserve">technology, the regulator must ensure that members of the public </w:t>
      </w:r>
      <w:r w:rsidR="003916CF">
        <w:t>are provided with a reasonable opportunity to observe the hearing</w:t>
      </w:r>
      <w:r w:rsidR="00E71F2E">
        <w:t xml:space="preserve"> using the technology.</w:t>
      </w:r>
    </w:p>
    <w:p w14:paraId="09A668D5" w14:textId="2B360EEA" w:rsidR="001C765F" w:rsidRPr="001C765F" w:rsidRDefault="00873094" w:rsidP="001C765F">
      <w:pPr>
        <w:pStyle w:val="Heading2"/>
        <w:numPr>
          <w:ilvl w:val="1"/>
          <w:numId w:val="2"/>
        </w:numPr>
        <w:tabs>
          <w:tab w:val="num" w:pos="567"/>
        </w:tabs>
        <w:ind w:left="567" w:hanging="567"/>
      </w:pPr>
      <w:bookmarkStart w:id="46" w:name="_Toc109749730"/>
      <w:r w:rsidRPr="00020288">
        <w:t>Detailed explanation of new law</w:t>
      </w:r>
      <w:bookmarkEnd w:id="46"/>
    </w:p>
    <w:p w14:paraId="5C5979DF" w14:textId="62C89DDD" w:rsidR="00755FB9" w:rsidRPr="00AD44C6" w:rsidRDefault="00457960" w:rsidP="00457960">
      <w:pPr>
        <w:pStyle w:val="Normalparatextwithnumbers"/>
        <w:numPr>
          <w:ilvl w:val="1"/>
          <w:numId w:val="3"/>
        </w:numPr>
        <w:rPr>
          <w:rStyle w:val="References"/>
          <w:b w:val="0"/>
          <w:bCs w:val="0"/>
          <w:i w:val="0"/>
          <w:iCs w:val="0"/>
        </w:rPr>
      </w:pPr>
      <w:r>
        <w:t xml:space="preserve">The definition of </w:t>
      </w:r>
      <w:r w:rsidR="00755FB9">
        <w:t>‘</w:t>
      </w:r>
      <w:r>
        <w:t>v</w:t>
      </w:r>
      <w:r w:rsidR="00755FB9">
        <w:t xml:space="preserve">irtual enquiry technology’ is </w:t>
      </w:r>
      <w:r>
        <w:t xml:space="preserve">not prescriptive and does not limit the regulator to using a single type of technology. The only requirement is that the technology </w:t>
      </w:r>
      <w:r w:rsidR="005F5FEF">
        <w:t xml:space="preserve">allows a person to participate in or be represented at all or part of a hearing, </w:t>
      </w:r>
      <w:proofErr w:type="gramStart"/>
      <w:r w:rsidR="005F5FEF">
        <w:t>examination</w:t>
      </w:r>
      <w:proofErr w:type="gramEnd"/>
      <w:r w:rsidR="005F5FEF">
        <w:t xml:space="preserve"> or other enquiry without being physically present at the hearing, examination or other enquiry. </w:t>
      </w:r>
      <w:r w:rsidR="00755FB9">
        <w:br/>
      </w:r>
      <w:r w:rsidR="00755FB9" w:rsidRPr="00755FB9">
        <w:rPr>
          <w:rStyle w:val="References"/>
        </w:rPr>
        <w:t xml:space="preserve">[Schedule </w:t>
      </w:r>
      <w:r w:rsidR="00755FB9">
        <w:rPr>
          <w:rStyle w:val="References"/>
        </w:rPr>
        <w:t>1</w:t>
      </w:r>
      <w:r w:rsidR="00755FB9" w:rsidRPr="00755FB9">
        <w:rPr>
          <w:rStyle w:val="References"/>
        </w:rPr>
        <w:t>, item</w:t>
      </w:r>
      <w:r w:rsidR="00755FB9">
        <w:rPr>
          <w:rStyle w:val="References"/>
        </w:rPr>
        <w:t>s 1, 3</w:t>
      </w:r>
      <w:r w:rsidR="00755FB9" w:rsidRPr="00755FB9">
        <w:rPr>
          <w:rStyle w:val="References"/>
        </w:rPr>
        <w:t>,</w:t>
      </w:r>
      <w:r w:rsidR="00755FB9">
        <w:rPr>
          <w:rStyle w:val="References"/>
        </w:rPr>
        <w:t xml:space="preserve"> 9</w:t>
      </w:r>
      <w:r w:rsidR="0097461E">
        <w:rPr>
          <w:rStyle w:val="References"/>
        </w:rPr>
        <w:t>,</w:t>
      </w:r>
      <w:r w:rsidR="00755FB9">
        <w:rPr>
          <w:rStyle w:val="References"/>
        </w:rPr>
        <w:t xml:space="preserve"> 1</w:t>
      </w:r>
      <w:r w:rsidR="0097461E">
        <w:rPr>
          <w:rStyle w:val="References"/>
        </w:rPr>
        <w:t>2</w:t>
      </w:r>
      <w:r w:rsidR="00755FB9">
        <w:rPr>
          <w:rStyle w:val="References"/>
        </w:rPr>
        <w:t>,</w:t>
      </w:r>
      <w:r w:rsidR="0097461E">
        <w:rPr>
          <w:rStyle w:val="References"/>
        </w:rPr>
        <w:t xml:space="preserve"> and 16,</w:t>
      </w:r>
      <w:r w:rsidR="00755FB9" w:rsidRPr="00755FB9">
        <w:rPr>
          <w:rStyle w:val="References"/>
        </w:rPr>
        <w:t xml:space="preserve"> </w:t>
      </w:r>
      <w:r w:rsidR="00755FB9">
        <w:rPr>
          <w:rStyle w:val="References"/>
        </w:rPr>
        <w:t>subsection 3(1) of the APRA Act, subsection 5(1) of the ASIC Act, subsection 4(1) of the CCA, subsection 5(1) of the NCCPA and subsection 90-1(1) of the TASA</w:t>
      </w:r>
      <w:r w:rsidR="00755FB9" w:rsidRPr="00755FB9">
        <w:rPr>
          <w:rStyle w:val="References"/>
        </w:rPr>
        <w:t xml:space="preserve">] </w:t>
      </w:r>
    </w:p>
    <w:p w14:paraId="18975D94" w14:textId="1F17343F" w:rsidR="00AD44C6" w:rsidRPr="00457960" w:rsidRDefault="00AD44C6" w:rsidP="00AD44C6">
      <w:pPr>
        <w:pStyle w:val="Normalparatextwithnumbers"/>
        <w:numPr>
          <w:ilvl w:val="0"/>
          <w:numId w:val="0"/>
        </w:numPr>
        <w:rPr>
          <w:rStyle w:val="References"/>
          <w:b w:val="0"/>
          <w:bCs w:val="0"/>
          <w:i w:val="0"/>
          <w:iCs w:val="0"/>
        </w:rPr>
      </w:pPr>
      <w:r w:rsidRPr="00020288">
        <w:rPr>
          <w:rFonts w:ascii="Helvetica" w:hAnsi="Helvetica" w:cs="Helvetica"/>
          <w:iCs/>
          <w:sz w:val="28"/>
          <w:szCs w:val="28"/>
        </w:rPr>
        <w:t>H</w:t>
      </w:r>
      <w:r>
        <w:rPr>
          <w:rFonts w:ascii="Helvetica" w:hAnsi="Helvetica" w:cs="Helvetica"/>
          <w:iCs/>
          <w:sz w:val="28"/>
          <w:szCs w:val="28"/>
        </w:rPr>
        <w:t xml:space="preserve">ow hearings and examinations may be held </w:t>
      </w:r>
    </w:p>
    <w:p w14:paraId="55A3D31F" w14:textId="0C86BC3A" w:rsidR="00717CF4" w:rsidRDefault="008E247E" w:rsidP="00435177">
      <w:pPr>
        <w:pStyle w:val="Normalparatextwithnumbers"/>
        <w:numPr>
          <w:ilvl w:val="1"/>
          <w:numId w:val="3"/>
        </w:numPr>
      </w:pPr>
      <w:r>
        <w:t>If the hearing or examination is held</w:t>
      </w:r>
      <w:r w:rsidR="00717CF4">
        <w:t>:</w:t>
      </w:r>
    </w:p>
    <w:p w14:paraId="49BCF0E8" w14:textId="449134F7" w:rsidR="00717CF4" w:rsidRDefault="00717CF4" w:rsidP="00717CF4">
      <w:pPr>
        <w:pStyle w:val="Normalparatextwithnumbers"/>
        <w:numPr>
          <w:ilvl w:val="1"/>
          <w:numId w:val="26"/>
        </w:numPr>
      </w:pPr>
      <w:r>
        <w:t>at more than one physical venue; or</w:t>
      </w:r>
    </w:p>
    <w:p w14:paraId="7072C6B3" w14:textId="77777777" w:rsidR="00717CF4" w:rsidRDefault="00717CF4" w:rsidP="00717CF4">
      <w:pPr>
        <w:pStyle w:val="Normalparatextwithnumbers"/>
        <w:numPr>
          <w:ilvl w:val="1"/>
          <w:numId w:val="26"/>
        </w:numPr>
      </w:pPr>
      <w:r>
        <w:t>at one or more physical venues and using virtual enquiry technology; or</w:t>
      </w:r>
    </w:p>
    <w:p w14:paraId="006B4F4B" w14:textId="79B01319" w:rsidR="00717CF4" w:rsidRDefault="00717CF4" w:rsidP="00717CF4">
      <w:pPr>
        <w:pStyle w:val="Normalparatextwithnumbers"/>
        <w:numPr>
          <w:ilvl w:val="1"/>
          <w:numId w:val="26"/>
        </w:numPr>
      </w:pPr>
      <w:r>
        <w:t xml:space="preserve">using virtual enquiry technology </w:t>
      </w:r>
      <w:proofErr w:type="gramStart"/>
      <w:r>
        <w:t>only;</w:t>
      </w:r>
      <w:proofErr w:type="gramEnd"/>
    </w:p>
    <w:p w14:paraId="6CA7EDE9" w14:textId="285682DF" w:rsidR="00B84227" w:rsidRDefault="005F5FEF" w:rsidP="00717CF4">
      <w:pPr>
        <w:pStyle w:val="Normalparatextwithnumbers"/>
        <w:numPr>
          <w:ilvl w:val="0"/>
          <w:numId w:val="0"/>
        </w:numPr>
        <w:ind w:left="709"/>
      </w:pPr>
      <w:r>
        <w:lastRenderedPageBreak/>
        <w:t>t</w:t>
      </w:r>
      <w:r w:rsidR="00435177">
        <w:t xml:space="preserve">he regulator may </w:t>
      </w:r>
      <w:r w:rsidR="00B84227">
        <w:t xml:space="preserve">appoint </w:t>
      </w:r>
      <w:r w:rsidR="00435177">
        <w:t xml:space="preserve">a single place and time for the </w:t>
      </w:r>
      <w:r w:rsidR="007523C9">
        <w:t>hearing or examination</w:t>
      </w:r>
      <w:r w:rsidR="00435177">
        <w:t xml:space="preserve">. </w:t>
      </w:r>
      <w:r>
        <w:t xml:space="preserve">This </w:t>
      </w:r>
      <w:r w:rsidR="008E247E">
        <w:t>ensures</w:t>
      </w:r>
      <w:r w:rsidR="00435177">
        <w:t xml:space="preserve"> that </w:t>
      </w:r>
      <w:r>
        <w:t>a</w:t>
      </w:r>
      <w:r w:rsidR="00435177">
        <w:t xml:space="preserve"> single place and time </w:t>
      </w:r>
      <w:r>
        <w:t xml:space="preserve">for the hearing or examination </w:t>
      </w:r>
      <w:r w:rsidR="00435177">
        <w:t xml:space="preserve">can be determined for legal purposes, such as dispute resolution, even if participants are attending from </w:t>
      </w:r>
      <w:r w:rsidR="0095027B">
        <w:t>multiple</w:t>
      </w:r>
      <w:r w:rsidR="00435177">
        <w:t xml:space="preserve"> locations </w:t>
      </w:r>
      <w:r w:rsidR="00D06EB2">
        <w:t>in</w:t>
      </w:r>
      <w:r w:rsidR="00435177">
        <w:t xml:space="preserve"> different time zones.</w:t>
      </w:r>
      <w:r w:rsidR="008E247E">
        <w:t xml:space="preserve"> </w:t>
      </w:r>
    </w:p>
    <w:p w14:paraId="324238B2" w14:textId="1AABA9EC" w:rsidR="008717FC" w:rsidRPr="005C757A" w:rsidRDefault="008717FC" w:rsidP="006006CD">
      <w:pPr>
        <w:pStyle w:val="Normalparatextwithnumbers"/>
        <w:numPr>
          <w:ilvl w:val="1"/>
          <w:numId w:val="3"/>
        </w:numPr>
        <w:rPr>
          <w:rStyle w:val="References"/>
          <w:b w:val="0"/>
          <w:bCs w:val="0"/>
          <w:i w:val="0"/>
          <w:iCs w:val="0"/>
        </w:rPr>
      </w:pPr>
      <w:r>
        <w:t>Under the APRA Act, ASIC Act, NCCPA and TASA, t</w:t>
      </w:r>
      <w:r w:rsidR="00B84227">
        <w:t xml:space="preserve">he regulator </w:t>
      </w:r>
      <w:r w:rsidR="00A25A9A">
        <w:t>may appoint</w:t>
      </w:r>
      <w:r w:rsidR="00B84227">
        <w:t xml:space="preserve"> a single place and time for the hearing or examination after the hearing or examination has been held</w:t>
      </w:r>
      <w:r w:rsidR="007B392A">
        <w:t>. This avoids interaction</w:t>
      </w:r>
      <w:r w:rsidR="00B84227">
        <w:t xml:space="preserve"> with any notice provisions </w:t>
      </w:r>
      <w:r w:rsidR="007B392A">
        <w:t xml:space="preserve">that </w:t>
      </w:r>
      <w:r w:rsidR="00B84227">
        <w:t>operate before the hearing or examination is held.</w:t>
      </w:r>
      <w:r w:rsidR="00DC72CC">
        <w:t xml:space="preserve"> </w:t>
      </w:r>
      <w:r>
        <w:t xml:space="preserve">The rules to determine the </w:t>
      </w:r>
      <w:r w:rsidR="00755F62">
        <w:t xml:space="preserve">single </w:t>
      </w:r>
      <w:r>
        <w:t>place and time for hearings and examinations under these Acts are summarised in Table 1.1.</w:t>
      </w:r>
      <w:r>
        <w:br/>
      </w:r>
      <w:r w:rsidRPr="005C757A">
        <w:rPr>
          <w:rStyle w:val="References"/>
        </w:rPr>
        <w:t xml:space="preserve">[Schedule </w:t>
      </w:r>
      <w:r>
        <w:rPr>
          <w:rStyle w:val="References"/>
        </w:rPr>
        <w:t>1</w:t>
      </w:r>
      <w:r w:rsidRPr="00253AB3">
        <w:rPr>
          <w:rStyle w:val="References"/>
        </w:rPr>
        <w:t xml:space="preserve">, </w:t>
      </w:r>
      <w:r>
        <w:rPr>
          <w:rStyle w:val="References"/>
        </w:rPr>
        <w:t>items 2</w:t>
      </w:r>
      <w:r w:rsidRPr="00253AB3">
        <w:rPr>
          <w:rStyle w:val="References"/>
        </w:rPr>
        <w:t>,</w:t>
      </w:r>
      <w:r>
        <w:rPr>
          <w:rStyle w:val="References"/>
        </w:rPr>
        <w:t xml:space="preserve"> 4, 5, 7, 8</w:t>
      </w:r>
      <w:r w:rsidR="006006CD">
        <w:rPr>
          <w:rStyle w:val="References"/>
        </w:rPr>
        <w:t>,</w:t>
      </w:r>
      <w:r>
        <w:rPr>
          <w:rStyle w:val="References"/>
        </w:rPr>
        <w:t xml:space="preserve"> 13, 14 and 15,</w:t>
      </w:r>
      <w:r w:rsidRPr="00253AB3">
        <w:rPr>
          <w:rStyle w:val="References"/>
        </w:rPr>
        <w:t xml:space="preserve"> </w:t>
      </w:r>
      <w:r>
        <w:rPr>
          <w:rStyle w:val="References"/>
        </w:rPr>
        <w:t>subsection 58A(</w:t>
      </w:r>
      <w:r w:rsidR="00CB4F44">
        <w:rPr>
          <w:rStyle w:val="References"/>
        </w:rPr>
        <w:t>6</w:t>
      </w:r>
      <w:r>
        <w:rPr>
          <w:rStyle w:val="References"/>
        </w:rPr>
        <w:t>) of the APRA Act, subsections 22A(4), 59A(5), 159A(5) and 218A(5) of the ASIC Act, subsections 256A(4) and 285A(5) of the NCCPA and subsection 60-105(7) of the TASA</w:t>
      </w:r>
      <w:r w:rsidRPr="005C757A">
        <w:rPr>
          <w:rStyle w:val="References"/>
        </w:rPr>
        <w:t xml:space="preserve">] </w:t>
      </w:r>
    </w:p>
    <w:p w14:paraId="4ED59F37" w14:textId="453C51DB" w:rsidR="005F5FEF" w:rsidRPr="002D3B91" w:rsidRDefault="005F5FEF" w:rsidP="006006CD">
      <w:pPr>
        <w:pStyle w:val="TableHeading"/>
        <w:numPr>
          <w:ilvl w:val="0"/>
          <w:numId w:val="0"/>
        </w:numPr>
      </w:pPr>
      <w:bookmarkStart w:id="47" w:name="_Hlk109731216"/>
      <w:r>
        <w:t>Table 1.1</w:t>
      </w:r>
      <w:r w:rsidR="006006CD">
        <w:t>:</w:t>
      </w:r>
      <w:r>
        <w:t xml:space="preserve"> Place and time of different types of </w:t>
      </w:r>
      <w:r w:rsidR="000A4775">
        <w:t xml:space="preserve">hearings, </w:t>
      </w:r>
      <w:proofErr w:type="gramStart"/>
      <w:r w:rsidR="000A4775">
        <w:t>examinations</w:t>
      </w:r>
      <w:proofErr w:type="gramEnd"/>
      <w:r w:rsidR="000A4775">
        <w:t xml:space="preserve"> or other enquiries</w:t>
      </w:r>
    </w:p>
    <w:tbl>
      <w:tblPr>
        <w:tblStyle w:val="Treasurytable"/>
        <w:tblW w:w="0" w:type="auto"/>
        <w:tblLayout w:type="fixed"/>
        <w:tblLook w:val="01E0" w:firstRow="1" w:lastRow="1" w:firstColumn="1" w:lastColumn="1" w:noHBand="0" w:noVBand="0"/>
      </w:tblPr>
      <w:tblGrid>
        <w:gridCol w:w="2405"/>
        <w:gridCol w:w="2693"/>
        <w:gridCol w:w="2603"/>
      </w:tblGrid>
      <w:tr w:rsidR="005F5FEF" w:rsidRPr="00020288" w14:paraId="788F11A9" w14:textId="77777777" w:rsidTr="009D7856">
        <w:trPr>
          <w:cnfStyle w:val="100000000000" w:firstRow="1" w:lastRow="0" w:firstColumn="0" w:lastColumn="0" w:oddVBand="0" w:evenVBand="0" w:oddHBand="0" w:evenHBand="0" w:firstRowFirstColumn="0" w:firstRowLastColumn="0" w:lastRowFirstColumn="0" w:lastRowLastColumn="0"/>
          <w:cantSplit w:val="0"/>
        </w:trPr>
        <w:tc>
          <w:tcPr>
            <w:tcW w:w="2405" w:type="dxa"/>
            <w:shd w:val="clear" w:color="auto" w:fill="auto"/>
            <w:vAlign w:val="center"/>
          </w:tcPr>
          <w:p w14:paraId="7449CEFA" w14:textId="6EB72EF3" w:rsidR="005F5FEF" w:rsidRPr="00A61FE9" w:rsidRDefault="005F5FEF" w:rsidP="00F54E79">
            <w:pPr>
              <w:pStyle w:val="Tableheaderrowtext"/>
              <w:numPr>
                <w:ilvl w:val="0"/>
                <w:numId w:val="0"/>
              </w:numPr>
            </w:pPr>
            <w:r>
              <w:t>Type of hearing</w:t>
            </w:r>
            <w:r w:rsidR="000A4775">
              <w:t xml:space="preserve">, </w:t>
            </w:r>
            <w:r>
              <w:t>examination</w:t>
            </w:r>
            <w:r w:rsidR="000A4775">
              <w:t xml:space="preserve"> or </w:t>
            </w:r>
            <w:proofErr w:type="gramStart"/>
            <w:r w:rsidR="000A4775">
              <w:t>other</w:t>
            </w:r>
            <w:proofErr w:type="gramEnd"/>
            <w:r w:rsidR="000A4775">
              <w:t xml:space="preserve"> enquiry</w:t>
            </w:r>
            <w:r>
              <w:t xml:space="preserve"> </w:t>
            </w:r>
          </w:p>
        </w:tc>
        <w:tc>
          <w:tcPr>
            <w:tcW w:w="2693" w:type="dxa"/>
            <w:shd w:val="clear" w:color="auto" w:fill="auto"/>
            <w:vAlign w:val="center"/>
          </w:tcPr>
          <w:p w14:paraId="4E965065" w14:textId="40BC9F10" w:rsidR="005F5FEF" w:rsidRPr="00A61FE9" w:rsidRDefault="005F5FEF" w:rsidP="00F54E79">
            <w:pPr>
              <w:pStyle w:val="Tableheaderrowtext"/>
              <w:numPr>
                <w:ilvl w:val="0"/>
                <w:numId w:val="0"/>
              </w:numPr>
            </w:pPr>
            <w:r>
              <w:t>Place of hearing</w:t>
            </w:r>
            <w:r w:rsidR="000A4775">
              <w:t xml:space="preserve">, </w:t>
            </w:r>
            <w:r>
              <w:t>examination</w:t>
            </w:r>
            <w:r w:rsidR="000A4775">
              <w:t xml:space="preserve"> or </w:t>
            </w:r>
            <w:proofErr w:type="gramStart"/>
            <w:r w:rsidR="000A4775">
              <w:t>other</w:t>
            </w:r>
            <w:proofErr w:type="gramEnd"/>
            <w:r w:rsidR="000A4775">
              <w:t xml:space="preserve"> enquiry</w:t>
            </w:r>
          </w:p>
        </w:tc>
        <w:tc>
          <w:tcPr>
            <w:tcW w:w="2603" w:type="dxa"/>
            <w:shd w:val="clear" w:color="auto" w:fill="auto"/>
            <w:vAlign w:val="center"/>
          </w:tcPr>
          <w:p w14:paraId="77970B07" w14:textId="33A64EF3" w:rsidR="005F5FEF" w:rsidRDefault="005F5FEF" w:rsidP="00F54E79">
            <w:pPr>
              <w:pStyle w:val="Tableheaderrowtext"/>
              <w:numPr>
                <w:ilvl w:val="0"/>
                <w:numId w:val="0"/>
              </w:numPr>
            </w:pPr>
            <w:r>
              <w:t>Time of hearing</w:t>
            </w:r>
            <w:r w:rsidR="000A4775">
              <w:t xml:space="preserve">, </w:t>
            </w:r>
            <w:r>
              <w:t>examination</w:t>
            </w:r>
            <w:r w:rsidR="000A4775">
              <w:t xml:space="preserve"> or </w:t>
            </w:r>
            <w:proofErr w:type="gramStart"/>
            <w:r w:rsidR="000A4775">
              <w:t>other</w:t>
            </w:r>
            <w:proofErr w:type="gramEnd"/>
            <w:r w:rsidR="000A4775">
              <w:t xml:space="preserve"> enquiry</w:t>
            </w:r>
          </w:p>
        </w:tc>
      </w:tr>
      <w:tr w:rsidR="005F5FEF" w:rsidRPr="00020288" w14:paraId="5AB83F14" w14:textId="77777777" w:rsidTr="009D7856">
        <w:tc>
          <w:tcPr>
            <w:tcW w:w="2405" w:type="dxa"/>
            <w:shd w:val="clear" w:color="auto" w:fill="auto"/>
            <w:vAlign w:val="center"/>
          </w:tcPr>
          <w:p w14:paraId="23A585FE" w14:textId="1EB2EAC6" w:rsidR="005F5FEF" w:rsidRPr="007410A9" w:rsidRDefault="005F5FEF" w:rsidP="00F54E79">
            <w:pPr>
              <w:pStyle w:val="Tabletext"/>
              <w:rPr>
                <w:sz w:val="22"/>
                <w:szCs w:val="22"/>
              </w:rPr>
            </w:pPr>
            <w:r w:rsidRPr="007410A9">
              <w:rPr>
                <w:sz w:val="22"/>
                <w:szCs w:val="22"/>
              </w:rPr>
              <w:t>Physical hearing</w:t>
            </w:r>
            <w:r w:rsidR="000A4775" w:rsidRPr="007410A9">
              <w:rPr>
                <w:sz w:val="22"/>
                <w:szCs w:val="22"/>
              </w:rPr>
              <w:t>,</w:t>
            </w:r>
            <w:r w:rsidRPr="007410A9">
              <w:rPr>
                <w:sz w:val="22"/>
                <w:szCs w:val="22"/>
              </w:rPr>
              <w:t xml:space="preserve"> examination</w:t>
            </w:r>
            <w:r w:rsidR="000A4775" w:rsidRPr="007410A9">
              <w:rPr>
                <w:sz w:val="22"/>
                <w:szCs w:val="22"/>
              </w:rPr>
              <w:t xml:space="preserve"> or </w:t>
            </w:r>
            <w:proofErr w:type="gramStart"/>
            <w:r w:rsidR="000A4775" w:rsidRPr="007410A9">
              <w:rPr>
                <w:sz w:val="22"/>
                <w:szCs w:val="22"/>
              </w:rPr>
              <w:t>other</w:t>
            </w:r>
            <w:proofErr w:type="gramEnd"/>
            <w:r w:rsidR="000A4775" w:rsidRPr="007410A9">
              <w:rPr>
                <w:sz w:val="22"/>
                <w:szCs w:val="22"/>
              </w:rPr>
              <w:t xml:space="preserve"> enquiry</w:t>
            </w:r>
            <w:r w:rsidRPr="007410A9">
              <w:rPr>
                <w:sz w:val="22"/>
                <w:szCs w:val="22"/>
              </w:rPr>
              <w:t xml:space="preserve"> (one location)</w:t>
            </w:r>
          </w:p>
        </w:tc>
        <w:tc>
          <w:tcPr>
            <w:tcW w:w="2693" w:type="dxa"/>
            <w:shd w:val="clear" w:color="auto" w:fill="auto"/>
            <w:vAlign w:val="center"/>
          </w:tcPr>
          <w:p w14:paraId="20123605" w14:textId="0ED4C3C8" w:rsidR="005F5FEF" w:rsidRPr="007410A9" w:rsidRDefault="005F5FEF" w:rsidP="00F54E79">
            <w:pPr>
              <w:pStyle w:val="Tabletext"/>
              <w:rPr>
                <w:sz w:val="22"/>
                <w:szCs w:val="22"/>
              </w:rPr>
            </w:pPr>
            <w:r w:rsidRPr="007410A9">
              <w:rPr>
                <w:sz w:val="22"/>
                <w:szCs w:val="22"/>
              </w:rPr>
              <w:t>Physical venue for the hearing</w:t>
            </w:r>
            <w:r w:rsidR="000A4775" w:rsidRPr="007410A9">
              <w:rPr>
                <w:sz w:val="22"/>
                <w:szCs w:val="22"/>
              </w:rPr>
              <w:t xml:space="preserve">, </w:t>
            </w:r>
            <w:proofErr w:type="gramStart"/>
            <w:r w:rsidRPr="007410A9">
              <w:rPr>
                <w:sz w:val="22"/>
                <w:szCs w:val="22"/>
              </w:rPr>
              <w:t>examination</w:t>
            </w:r>
            <w:proofErr w:type="gramEnd"/>
            <w:r w:rsidRPr="007410A9">
              <w:rPr>
                <w:sz w:val="22"/>
                <w:szCs w:val="22"/>
              </w:rPr>
              <w:t xml:space="preserve"> </w:t>
            </w:r>
            <w:r w:rsidR="000A4775" w:rsidRPr="007410A9">
              <w:rPr>
                <w:sz w:val="22"/>
                <w:szCs w:val="22"/>
              </w:rPr>
              <w:t>or other enquiry</w:t>
            </w:r>
          </w:p>
        </w:tc>
        <w:tc>
          <w:tcPr>
            <w:tcW w:w="2603" w:type="dxa"/>
            <w:shd w:val="clear" w:color="auto" w:fill="auto"/>
            <w:vAlign w:val="center"/>
          </w:tcPr>
          <w:p w14:paraId="75AF2200" w14:textId="77777777" w:rsidR="005F5FEF" w:rsidRPr="007410A9" w:rsidRDefault="005F5FEF" w:rsidP="00F54E79">
            <w:pPr>
              <w:pStyle w:val="Tabletext"/>
              <w:rPr>
                <w:sz w:val="22"/>
                <w:szCs w:val="22"/>
              </w:rPr>
            </w:pPr>
            <w:r w:rsidRPr="007410A9">
              <w:rPr>
                <w:sz w:val="22"/>
                <w:szCs w:val="22"/>
              </w:rPr>
              <w:t>Time at the physical venue</w:t>
            </w:r>
          </w:p>
        </w:tc>
      </w:tr>
      <w:tr w:rsidR="009D7856" w:rsidRPr="00020288" w14:paraId="417CA3C7" w14:textId="77777777" w:rsidTr="009D7856">
        <w:tc>
          <w:tcPr>
            <w:tcW w:w="2405" w:type="dxa"/>
            <w:shd w:val="clear" w:color="auto" w:fill="auto"/>
            <w:vAlign w:val="center"/>
          </w:tcPr>
          <w:p w14:paraId="6958BD73" w14:textId="67499101" w:rsidR="009D7856" w:rsidRPr="007410A9" w:rsidRDefault="009D7856" w:rsidP="00F54E79">
            <w:pPr>
              <w:pStyle w:val="Tabletext"/>
              <w:rPr>
                <w:sz w:val="22"/>
                <w:szCs w:val="22"/>
              </w:rPr>
            </w:pPr>
            <w:r w:rsidRPr="007410A9">
              <w:rPr>
                <w:sz w:val="22"/>
                <w:szCs w:val="22"/>
              </w:rPr>
              <w:t xml:space="preserve">Physical hearing, examination or </w:t>
            </w:r>
            <w:proofErr w:type="gramStart"/>
            <w:r w:rsidRPr="007410A9">
              <w:rPr>
                <w:sz w:val="22"/>
                <w:szCs w:val="22"/>
              </w:rPr>
              <w:t>other</w:t>
            </w:r>
            <w:proofErr w:type="gramEnd"/>
            <w:r w:rsidRPr="007410A9">
              <w:rPr>
                <w:sz w:val="22"/>
                <w:szCs w:val="22"/>
              </w:rPr>
              <w:t xml:space="preserve"> enquiry (more than one location)</w:t>
            </w:r>
          </w:p>
        </w:tc>
        <w:tc>
          <w:tcPr>
            <w:tcW w:w="2693" w:type="dxa"/>
            <w:vMerge w:val="restart"/>
            <w:shd w:val="clear" w:color="auto" w:fill="auto"/>
            <w:vAlign w:val="center"/>
          </w:tcPr>
          <w:p w14:paraId="0C68E728" w14:textId="583676E3" w:rsidR="009D7856" w:rsidRPr="007410A9" w:rsidRDefault="009D7856" w:rsidP="009D7856">
            <w:pPr>
              <w:pStyle w:val="Tabletext"/>
              <w:ind w:left="0"/>
              <w:rPr>
                <w:sz w:val="22"/>
                <w:szCs w:val="22"/>
              </w:rPr>
            </w:pPr>
            <w:r w:rsidRPr="007410A9">
              <w:rPr>
                <w:sz w:val="22"/>
                <w:szCs w:val="22"/>
              </w:rPr>
              <w:t>Place appointed by the regulator</w:t>
            </w:r>
          </w:p>
        </w:tc>
        <w:tc>
          <w:tcPr>
            <w:tcW w:w="2603" w:type="dxa"/>
            <w:vMerge w:val="restart"/>
            <w:shd w:val="clear" w:color="auto" w:fill="auto"/>
            <w:vAlign w:val="center"/>
          </w:tcPr>
          <w:p w14:paraId="2F789F1B" w14:textId="6DAA10E0" w:rsidR="009D7856" w:rsidRPr="007410A9" w:rsidRDefault="009D7856" w:rsidP="009D7856">
            <w:pPr>
              <w:pStyle w:val="Tabletext"/>
              <w:rPr>
                <w:sz w:val="22"/>
                <w:szCs w:val="22"/>
              </w:rPr>
            </w:pPr>
            <w:r w:rsidRPr="007410A9">
              <w:rPr>
                <w:sz w:val="22"/>
                <w:szCs w:val="22"/>
              </w:rPr>
              <w:t>Time at the place appointed by the regulator</w:t>
            </w:r>
          </w:p>
        </w:tc>
      </w:tr>
      <w:tr w:rsidR="009D7856" w:rsidRPr="00020288" w14:paraId="07DE193E" w14:textId="77777777" w:rsidTr="009D7856">
        <w:tc>
          <w:tcPr>
            <w:tcW w:w="2405" w:type="dxa"/>
            <w:shd w:val="clear" w:color="auto" w:fill="auto"/>
            <w:vAlign w:val="center"/>
          </w:tcPr>
          <w:p w14:paraId="65A3E261" w14:textId="1052EB95" w:rsidR="009D7856" w:rsidRPr="007410A9" w:rsidRDefault="009D7856" w:rsidP="00F54E79">
            <w:pPr>
              <w:pStyle w:val="Tabletext"/>
              <w:rPr>
                <w:sz w:val="22"/>
                <w:szCs w:val="22"/>
              </w:rPr>
            </w:pPr>
            <w:r w:rsidRPr="007410A9">
              <w:rPr>
                <w:sz w:val="22"/>
                <w:szCs w:val="22"/>
              </w:rPr>
              <w:t xml:space="preserve">Hybrid hearing, examination or </w:t>
            </w:r>
            <w:proofErr w:type="gramStart"/>
            <w:r w:rsidRPr="007410A9">
              <w:rPr>
                <w:sz w:val="22"/>
                <w:szCs w:val="22"/>
              </w:rPr>
              <w:t>other</w:t>
            </w:r>
            <w:proofErr w:type="gramEnd"/>
            <w:r w:rsidRPr="007410A9">
              <w:rPr>
                <w:sz w:val="22"/>
                <w:szCs w:val="22"/>
              </w:rPr>
              <w:t xml:space="preserve"> enquiry (one location at which to physically attend) </w:t>
            </w:r>
          </w:p>
        </w:tc>
        <w:tc>
          <w:tcPr>
            <w:tcW w:w="2693" w:type="dxa"/>
            <w:vMerge/>
            <w:shd w:val="clear" w:color="auto" w:fill="auto"/>
            <w:vAlign w:val="center"/>
          </w:tcPr>
          <w:p w14:paraId="5B30A251" w14:textId="41B4FEA8" w:rsidR="009D7856" w:rsidRPr="007410A9" w:rsidRDefault="009D7856" w:rsidP="00F54E79">
            <w:pPr>
              <w:pStyle w:val="Tabletext"/>
              <w:rPr>
                <w:sz w:val="22"/>
                <w:szCs w:val="22"/>
              </w:rPr>
            </w:pPr>
          </w:p>
        </w:tc>
        <w:tc>
          <w:tcPr>
            <w:tcW w:w="2603" w:type="dxa"/>
            <w:vMerge/>
            <w:shd w:val="clear" w:color="auto" w:fill="auto"/>
            <w:vAlign w:val="center"/>
          </w:tcPr>
          <w:p w14:paraId="73CFD9A9" w14:textId="1A433D9F" w:rsidR="009D7856" w:rsidRPr="007410A9" w:rsidRDefault="009D7856" w:rsidP="00F54E79">
            <w:pPr>
              <w:pStyle w:val="Tabletext"/>
              <w:rPr>
                <w:sz w:val="22"/>
                <w:szCs w:val="22"/>
              </w:rPr>
            </w:pPr>
          </w:p>
        </w:tc>
      </w:tr>
      <w:tr w:rsidR="009D7856" w:rsidRPr="00020288" w14:paraId="5E7AEC1C" w14:textId="77777777" w:rsidTr="009D7856">
        <w:tc>
          <w:tcPr>
            <w:tcW w:w="2405" w:type="dxa"/>
            <w:shd w:val="clear" w:color="auto" w:fill="auto"/>
            <w:vAlign w:val="center"/>
          </w:tcPr>
          <w:p w14:paraId="6E7B01EA" w14:textId="09B93E2B" w:rsidR="009D7856" w:rsidRPr="007410A9" w:rsidRDefault="009D7856" w:rsidP="00F54E79">
            <w:pPr>
              <w:pStyle w:val="Tabletext"/>
              <w:rPr>
                <w:sz w:val="22"/>
                <w:szCs w:val="22"/>
              </w:rPr>
            </w:pPr>
            <w:r w:rsidRPr="007410A9">
              <w:rPr>
                <w:sz w:val="22"/>
                <w:szCs w:val="22"/>
              </w:rPr>
              <w:t xml:space="preserve">Hybrid hearing, examination or </w:t>
            </w:r>
            <w:proofErr w:type="gramStart"/>
            <w:r w:rsidRPr="007410A9">
              <w:rPr>
                <w:sz w:val="22"/>
                <w:szCs w:val="22"/>
              </w:rPr>
              <w:t>other</w:t>
            </w:r>
            <w:proofErr w:type="gramEnd"/>
            <w:r w:rsidRPr="007410A9">
              <w:rPr>
                <w:sz w:val="22"/>
                <w:szCs w:val="22"/>
              </w:rPr>
              <w:t xml:space="preserve"> enquiry (more than one location at which to physically attend) </w:t>
            </w:r>
          </w:p>
        </w:tc>
        <w:tc>
          <w:tcPr>
            <w:tcW w:w="2693" w:type="dxa"/>
            <w:vMerge/>
            <w:shd w:val="clear" w:color="auto" w:fill="auto"/>
            <w:vAlign w:val="center"/>
          </w:tcPr>
          <w:p w14:paraId="0005562A" w14:textId="624E805E" w:rsidR="009D7856" w:rsidRPr="007410A9" w:rsidRDefault="009D7856" w:rsidP="00F54E79">
            <w:pPr>
              <w:pStyle w:val="Tabletext"/>
              <w:rPr>
                <w:sz w:val="22"/>
                <w:szCs w:val="22"/>
              </w:rPr>
            </w:pPr>
          </w:p>
        </w:tc>
        <w:tc>
          <w:tcPr>
            <w:tcW w:w="2603" w:type="dxa"/>
            <w:vMerge/>
            <w:shd w:val="clear" w:color="auto" w:fill="auto"/>
            <w:vAlign w:val="center"/>
          </w:tcPr>
          <w:p w14:paraId="67C728F3" w14:textId="60F55459" w:rsidR="009D7856" w:rsidRPr="007410A9" w:rsidRDefault="009D7856" w:rsidP="00F54E79">
            <w:pPr>
              <w:pStyle w:val="Tabletext"/>
              <w:rPr>
                <w:sz w:val="22"/>
                <w:szCs w:val="22"/>
              </w:rPr>
            </w:pPr>
          </w:p>
        </w:tc>
      </w:tr>
      <w:tr w:rsidR="009D7856" w:rsidRPr="00020288" w14:paraId="7DE23542" w14:textId="77777777" w:rsidTr="009D7856">
        <w:tc>
          <w:tcPr>
            <w:tcW w:w="2405" w:type="dxa"/>
            <w:shd w:val="clear" w:color="auto" w:fill="auto"/>
            <w:vAlign w:val="center"/>
          </w:tcPr>
          <w:p w14:paraId="2CC0E336" w14:textId="21446A54" w:rsidR="009D7856" w:rsidRPr="007410A9" w:rsidRDefault="009D7856" w:rsidP="00F54E79">
            <w:pPr>
              <w:pStyle w:val="Tabletext"/>
              <w:rPr>
                <w:sz w:val="22"/>
                <w:szCs w:val="22"/>
              </w:rPr>
            </w:pPr>
            <w:r w:rsidRPr="007410A9">
              <w:rPr>
                <w:sz w:val="22"/>
                <w:szCs w:val="22"/>
              </w:rPr>
              <w:t xml:space="preserve">Wholly virtual hearing, examination or </w:t>
            </w:r>
            <w:proofErr w:type="gramStart"/>
            <w:r w:rsidRPr="007410A9">
              <w:rPr>
                <w:sz w:val="22"/>
                <w:szCs w:val="22"/>
              </w:rPr>
              <w:t>other</w:t>
            </w:r>
            <w:proofErr w:type="gramEnd"/>
            <w:r w:rsidRPr="007410A9">
              <w:rPr>
                <w:sz w:val="22"/>
                <w:szCs w:val="22"/>
              </w:rPr>
              <w:t xml:space="preserve"> enquiry</w:t>
            </w:r>
          </w:p>
        </w:tc>
        <w:tc>
          <w:tcPr>
            <w:tcW w:w="2693" w:type="dxa"/>
            <w:vMerge/>
            <w:shd w:val="clear" w:color="auto" w:fill="auto"/>
            <w:vAlign w:val="center"/>
          </w:tcPr>
          <w:p w14:paraId="7ED95DD0" w14:textId="2EB7AEA5" w:rsidR="009D7856" w:rsidRPr="007410A9" w:rsidRDefault="009D7856" w:rsidP="00F54E79">
            <w:pPr>
              <w:pStyle w:val="Tabletext"/>
              <w:rPr>
                <w:sz w:val="22"/>
                <w:szCs w:val="22"/>
              </w:rPr>
            </w:pPr>
          </w:p>
        </w:tc>
        <w:tc>
          <w:tcPr>
            <w:tcW w:w="2603" w:type="dxa"/>
            <w:vMerge/>
            <w:shd w:val="clear" w:color="auto" w:fill="auto"/>
            <w:vAlign w:val="center"/>
          </w:tcPr>
          <w:p w14:paraId="73F0F48A" w14:textId="3A9D1E77" w:rsidR="009D7856" w:rsidRPr="007410A9" w:rsidRDefault="009D7856" w:rsidP="00F54E79">
            <w:pPr>
              <w:pStyle w:val="Tabletext"/>
              <w:rPr>
                <w:sz w:val="22"/>
                <w:szCs w:val="22"/>
              </w:rPr>
            </w:pPr>
          </w:p>
        </w:tc>
      </w:tr>
    </w:tbl>
    <w:p w14:paraId="32015CEA" w14:textId="389EAD12" w:rsidR="00634BA4" w:rsidRDefault="00634BA4" w:rsidP="005C757A">
      <w:pPr>
        <w:pStyle w:val="Normalparatextwithnumbers"/>
        <w:numPr>
          <w:ilvl w:val="1"/>
          <w:numId w:val="3"/>
        </w:numPr>
      </w:pPr>
      <w:bookmarkStart w:id="48" w:name="_Ref109543938"/>
      <w:bookmarkEnd w:id="47"/>
      <w:r>
        <w:rPr>
          <w:rStyle w:val="References"/>
          <w:b w:val="0"/>
          <w:bCs w:val="0"/>
          <w:i w:val="0"/>
          <w:iCs w:val="0"/>
        </w:rPr>
        <w:lastRenderedPageBreak/>
        <w:t>The rules to determine the single place and time for proceedings under the CCA are covered in paragraphs 1.27 to 1.29.</w:t>
      </w:r>
    </w:p>
    <w:p w14:paraId="02218D47" w14:textId="1318E2B2" w:rsidR="00F152E7" w:rsidRDefault="00F152E7" w:rsidP="00F152E7">
      <w:pPr>
        <w:pStyle w:val="Normalparatextwithnumbers"/>
        <w:numPr>
          <w:ilvl w:val="1"/>
          <w:numId w:val="3"/>
        </w:numPr>
      </w:pPr>
      <w:r>
        <w:t xml:space="preserve">When appointing a single place for a wholly virtual </w:t>
      </w:r>
      <w:r w:rsidR="007C4187">
        <w:t xml:space="preserve">hearing or </w:t>
      </w:r>
      <w:r>
        <w:t>examination, the regulator should appoint the regulator’s closest office (whether the virtual enquiry technology is being used at that office or another location, such as a home address).</w:t>
      </w:r>
    </w:p>
    <w:bookmarkEnd w:id="48"/>
    <w:p w14:paraId="64A4014C" w14:textId="70D52E87" w:rsidR="00163A06" w:rsidRDefault="00163A06" w:rsidP="00163A06">
      <w:pPr>
        <w:pStyle w:val="Normalparatextwithnumbers"/>
        <w:numPr>
          <w:ilvl w:val="0"/>
          <w:numId w:val="0"/>
        </w:numPr>
        <w:rPr>
          <w:rFonts w:ascii="Helvetica" w:hAnsi="Helvetica" w:cs="Helvetica"/>
          <w:iCs/>
          <w:sz w:val="28"/>
          <w:szCs w:val="28"/>
        </w:rPr>
      </w:pPr>
      <w:r>
        <w:rPr>
          <w:rFonts w:ascii="Helvetica" w:hAnsi="Helvetica" w:cs="Helvetica"/>
          <w:iCs/>
          <w:sz w:val="28"/>
          <w:szCs w:val="28"/>
        </w:rPr>
        <w:t>Reasonable opportunity to participate</w:t>
      </w:r>
    </w:p>
    <w:p w14:paraId="5BB541D3" w14:textId="21131087" w:rsidR="00D50020" w:rsidRPr="00D50020" w:rsidRDefault="00D50020" w:rsidP="005F5FEF">
      <w:pPr>
        <w:pStyle w:val="Normalparatextwithnumbers"/>
        <w:numPr>
          <w:ilvl w:val="1"/>
          <w:numId w:val="3"/>
        </w:numPr>
      </w:pPr>
      <w:r>
        <w:rPr>
          <w:rFonts w:eastAsia="Times New Roman"/>
        </w:rPr>
        <w:t>If the regulator decides to use virtual enquiry technology at a hearing or examination, the technology must provide each participant in the hearing or examination with a reasonabl</w:t>
      </w:r>
      <w:r w:rsidR="00634BA4">
        <w:rPr>
          <w:rFonts w:eastAsia="Times New Roman"/>
        </w:rPr>
        <w:t>e</w:t>
      </w:r>
      <w:r>
        <w:rPr>
          <w:rFonts w:eastAsia="Times New Roman"/>
        </w:rPr>
        <w:t xml:space="preserve"> opportunity to participate in or be represented in the hearing or examination.</w:t>
      </w:r>
      <w:r w:rsidR="00842DFF">
        <w:rPr>
          <w:rFonts w:eastAsia="Times New Roman"/>
        </w:rPr>
        <w:t xml:space="preserve"> </w:t>
      </w:r>
      <w:r>
        <w:rPr>
          <w:rFonts w:eastAsia="Times New Roman"/>
        </w:rPr>
        <w:br/>
      </w:r>
      <w:r w:rsidRPr="00D50020">
        <w:rPr>
          <w:rStyle w:val="References"/>
        </w:rPr>
        <w:t xml:space="preserve">[Schedule </w:t>
      </w:r>
      <w:r w:rsidR="0070256C">
        <w:rPr>
          <w:rStyle w:val="References"/>
        </w:rPr>
        <w:t>1</w:t>
      </w:r>
      <w:r w:rsidRPr="00D50020">
        <w:rPr>
          <w:rStyle w:val="References"/>
        </w:rPr>
        <w:t xml:space="preserve">, </w:t>
      </w:r>
      <w:r w:rsidR="00FA1881">
        <w:rPr>
          <w:rStyle w:val="References"/>
        </w:rPr>
        <w:t>items 2</w:t>
      </w:r>
      <w:r w:rsidR="00FA1881" w:rsidRPr="00253AB3">
        <w:rPr>
          <w:rStyle w:val="References"/>
        </w:rPr>
        <w:t>,</w:t>
      </w:r>
      <w:r w:rsidR="00FA1881">
        <w:rPr>
          <w:rStyle w:val="References"/>
        </w:rPr>
        <w:t xml:space="preserve"> 4, 5, 7, 8,</w:t>
      </w:r>
      <w:r w:rsidR="00233768">
        <w:rPr>
          <w:rStyle w:val="References"/>
        </w:rPr>
        <w:t xml:space="preserve"> 11,</w:t>
      </w:r>
      <w:r w:rsidR="00FA1881">
        <w:rPr>
          <w:rStyle w:val="References"/>
        </w:rPr>
        <w:t xml:space="preserve"> 13, 14 and 15</w:t>
      </w:r>
      <w:r w:rsidR="001D52D5">
        <w:rPr>
          <w:rStyle w:val="References"/>
        </w:rPr>
        <w:t>,</w:t>
      </w:r>
      <w:r w:rsidRPr="00D50020">
        <w:rPr>
          <w:rStyle w:val="References"/>
        </w:rPr>
        <w:t xml:space="preserve"> </w:t>
      </w:r>
      <w:r w:rsidR="0070256C">
        <w:rPr>
          <w:rStyle w:val="References"/>
        </w:rPr>
        <w:t>subsections 58A</w:t>
      </w:r>
      <w:r w:rsidR="00634BA4">
        <w:rPr>
          <w:rStyle w:val="References"/>
        </w:rPr>
        <w:t xml:space="preserve">(4) and </w:t>
      </w:r>
      <w:r w:rsidR="0070256C">
        <w:rPr>
          <w:rStyle w:val="References"/>
        </w:rPr>
        <w:t>(</w:t>
      </w:r>
      <w:r w:rsidR="00661A38">
        <w:rPr>
          <w:rStyle w:val="References"/>
        </w:rPr>
        <w:t>5</w:t>
      </w:r>
      <w:r w:rsidR="0070256C">
        <w:rPr>
          <w:rStyle w:val="References"/>
        </w:rPr>
        <w:t>) of the APRA Act, subsections 22A</w:t>
      </w:r>
      <w:r w:rsidR="00D02DA6">
        <w:rPr>
          <w:rStyle w:val="References"/>
        </w:rPr>
        <w:t>(2), 22A</w:t>
      </w:r>
      <w:r w:rsidR="0070256C">
        <w:rPr>
          <w:rStyle w:val="References"/>
        </w:rPr>
        <w:t>(3),</w:t>
      </w:r>
      <w:r w:rsidR="00D02DA6">
        <w:rPr>
          <w:rStyle w:val="References"/>
        </w:rPr>
        <w:t xml:space="preserve"> 59A(2),</w:t>
      </w:r>
      <w:r w:rsidR="0070256C">
        <w:rPr>
          <w:rStyle w:val="References"/>
        </w:rPr>
        <w:t xml:space="preserve"> 59A(3), </w:t>
      </w:r>
      <w:r w:rsidR="00D02DA6">
        <w:rPr>
          <w:rStyle w:val="References"/>
        </w:rPr>
        <w:t xml:space="preserve">159A(2), </w:t>
      </w:r>
      <w:r w:rsidR="0070256C">
        <w:rPr>
          <w:rStyle w:val="References"/>
        </w:rPr>
        <w:t xml:space="preserve">159A(3), </w:t>
      </w:r>
      <w:r w:rsidR="00D02DA6">
        <w:rPr>
          <w:rStyle w:val="References"/>
        </w:rPr>
        <w:t xml:space="preserve">218A(2) and </w:t>
      </w:r>
      <w:r w:rsidR="0070256C">
        <w:rPr>
          <w:rStyle w:val="References"/>
        </w:rPr>
        <w:t>218A(3) of the ASIC Act, subsections 158A</w:t>
      </w:r>
      <w:r w:rsidR="00D02DA6">
        <w:rPr>
          <w:rStyle w:val="References"/>
        </w:rPr>
        <w:t>(3), 158A</w:t>
      </w:r>
      <w:r w:rsidR="0070256C">
        <w:rPr>
          <w:rStyle w:val="References"/>
        </w:rPr>
        <w:t>(</w:t>
      </w:r>
      <w:r w:rsidR="00661A38">
        <w:rPr>
          <w:rStyle w:val="References"/>
        </w:rPr>
        <w:t>4</w:t>
      </w:r>
      <w:r w:rsidR="0070256C">
        <w:rPr>
          <w:rStyle w:val="References"/>
        </w:rPr>
        <w:t>)</w:t>
      </w:r>
      <w:r w:rsidR="00661A38">
        <w:rPr>
          <w:rStyle w:val="References"/>
        </w:rPr>
        <w:t>,</w:t>
      </w:r>
      <w:r w:rsidR="00D02DA6">
        <w:rPr>
          <w:rStyle w:val="References"/>
        </w:rPr>
        <w:t xml:space="preserve"> 158B(4) and</w:t>
      </w:r>
      <w:r w:rsidR="00661A38">
        <w:rPr>
          <w:rStyle w:val="References"/>
        </w:rPr>
        <w:t xml:space="preserve"> 158B(5)</w:t>
      </w:r>
      <w:r w:rsidR="0070256C">
        <w:rPr>
          <w:rStyle w:val="References"/>
        </w:rPr>
        <w:t xml:space="preserve"> of the</w:t>
      </w:r>
      <w:r w:rsidR="001D52D5">
        <w:rPr>
          <w:rStyle w:val="References"/>
        </w:rPr>
        <w:t xml:space="preserve"> CCA, subsection</w:t>
      </w:r>
      <w:r w:rsidR="00D02DA6">
        <w:rPr>
          <w:rStyle w:val="References"/>
        </w:rPr>
        <w:t>s</w:t>
      </w:r>
      <w:r w:rsidR="001D52D5">
        <w:rPr>
          <w:rStyle w:val="References"/>
        </w:rPr>
        <w:t xml:space="preserve"> 256A</w:t>
      </w:r>
      <w:r w:rsidR="00D02DA6">
        <w:rPr>
          <w:rStyle w:val="References"/>
        </w:rPr>
        <w:t>(2), 256A</w:t>
      </w:r>
      <w:r w:rsidR="001D52D5">
        <w:rPr>
          <w:rStyle w:val="References"/>
        </w:rPr>
        <w:t xml:space="preserve">(3), </w:t>
      </w:r>
      <w:r w:rsidR="00D02DA6">
        <w:rPr>
          <w:rStyle w:val="References"/>
        </w:rPr>
        <w:t xml:space="preserve">285A(2) and </w:t>
      </w:r>
      <w:r w:rsidR="001D52D5">
        <w:rPr>
          <w:rStyle w:val="References"/>
        </w:rPr>
        <w:t>285A(3) of the NCCPA and subsections 60-105</w:t>
      </w:r>
      <w:r w:rsidR="00D02DA6">
        <w:rPr>
          <w:rStyle w:val="References"/>
        </w:rPr>
        <w:t xml:space="preserve">(5) and </w:t>
      </w:r>
      <w:r w:rsidR="001D52D5">
        <w:rPr>
          <w:rStyle w:val="References"/>
        </w:rPr>
        <w:t>(6) of the TASA</w:t>
      </w:r>
      <w:r w:rsidRPr="00D50020">
        <w:rPr>
          <w:rStyle w:val="References"/>
        </w:rPr>
        <w:t xml:space="preserve">] </w:t>
      </w:r>
    </w:p>
    <w:p w14:paraId="401855A0" w14:textId="736DDF69" w:rsidR="00490F2C" w:rsidRDefault="00490F2C" w:rsidP="00E82578">
      <w:pPr>
        <w:pStyle w:val="Normalparatextwithnumbers"/>
        <w:numPr>
          <w:ilvl w:val="1"/>
          <w:numId w:val="3"/>
        </w:numPr>
      </w:pPr>
      <w:r>
        <w:t xml:space="preserve">This requirement </w:t>
      </w:r>
      <w:r w:rsidR="00357B43">
        <w:t xml:space="preserve">is </w:t>
      </w:r>
      <w:r w:rsidR="008D5512">
        <w:t>not intended to limit the application of procedural fairness to virtual hearings only. Rather, the requirement ensures that the</w:t>
      </w:r>
      <w:r w:rsidR="00D06EB2">
        <w:t xml:space="preserve"> regulator’s</w:t>
      </w:r>
      <w:r w:rsidR="008D5512">
        <w:t xml:space="preserve"> </w:t>
      </w:r>
      <w:r>
        <w:t xml:space="preserve">use of virtual enquiry technology does not impair the </w:t>
      </w:r>
      <w:r w:rsidR="00FA1881">
        <w:t>abilit</w:t>
      </w:r>
      <w:r>
        <w:t xml:space="preserve">y of a person to participate in or be represented at a hearing or examination in comparison to physically attending the hearing or examination. </w:t>
      </w:r>
    </w:p>
    <w:p w14:paraId="505C93CB" w14:textId="28E4E3D2" w:rsidR="00CF1AF0" w:rsidRPr="00D50020" w:rsidRDefault="00CF1AF0" w:rsidP="00CF1AF0">
      <w:pPr>
        <w:pStyle w:val="Normalparatextwithnumbers"/>
        <w:numPr>
          <w:ilvl w:val="1"/>
          <w:numId w:val="3"/>
        </w:numPr>
      </w:pPr>
      <w:r>
        <w:t xml:space="preserve">The standard of reasonableness protects the right of a person to participate in or be represented at a hearing or examination using technology, while giving the regulator the flexibility as to the form of the hearing or examination. In some circumstances, it may be inappropriate for the regulator to hold a virtual hearing or examination if doing so would not give </w:t>
      </w:r>
      <w:r w:rsidR="00DB5798">
        <w:t>the</w:t>
      </w:r>
      <w:r>
        <w:t xml:space="preserve"> participant a reasonable opportunity to participate</w:t>
      </w:r>
      <w:r w:rsidR="00DB5798">
        <w:t xml:space="preserve"> in</w:t>
      </w:r>
      <w:r>
        <w:t xml:space="preserve"> or be represented </w:t>
      </w:r>
      <w:r w:rsidR="00DB5798">
        <w:t>at</w:t>
      </w:r>
      <w:r>
        <w:t xml:space="preserve"> the hearing or examination. In these cases, the regulator should consider holding all or part of the hearing or examination at a physical venue (</w:t>
      </w:r>
      <w:proofErr w:type="gramStart"/>
      <w:r>
        <w:t>i.e.</w:t>
      </w:r>
      <w:proofErr w:type="gramEnd"/>
      <w:r>
        <w:t xml:space="preserve"> a physical or hybrid hearing or examination).</w:t>
      </w:r>
    </w:p>
    <w:p w14:paraId="448BB443" w14:textId="75D5B4BC" w:rsidR="003916CF" w:rsidRPr="00455DDC" w:rsidRDefault="003916CF" w:rsidP="003916CF">
      <w:pPr>
        <w:pStyle w:val="Normalparatextwithnumbers"/>
        <w:rPr>
          <w:rStyle w:val="References"/>
          <w:b w:val="0"/>
          <w:bCs w:val="0"/>
          <w:i w:val="0"/>
          <w:iCs w:val="0"/>
        </w:rPr>
      </w:pPr>
      <w:r>
        <w:t xml:space="preserve">If the regulator holds hearings in public </w:t>
      </w:r>
      <w:r w:rsidR="009456BD">
        <w:t>and uses</w:t>
      </w:r>
      <w:r>
        <w:t xml:space="preserve"> virtual enquiry technology</w:t>
      </w:r>
      <w:r w:rsidR="009456BD">
        <w:t xml:space="preserve"> for such hearings</w:t>
      </w:r>
      <w:r>
        <w:t>, the regulator must ensure that the technology provides the public with a reasonabl</w:t>
      </w:r>
      <w:r w:rsidR="00FE2F40">
        <w:t>e</w:t>
      </w:r>
      <w:r>
        <w:t xml:space="preserve"> opportunity to observe the hearing</w:t>
      </w:r>
      <w:r w:rsidR="009456BD">
        <w:t>.</w:t>
      </w:r>
      <w:r>
        <w:t xml:space="preserve"> </w:t>
      </w:r>
      <w:r w:rsidR="009456BD">
        <w:t>The regulator must also ensure that</w:t>
      </w:r>
      <w:r>
        <w:t xml:space="preserve"> information sufficient to allow the public to observe the hearing using the technology is made publicly available in a reasonabl</w:t>
      </w:r>
      <w:r w:rsidR="00807071">
        <w:t>e</w:t>
      </w:r>
      <w:r>
        <w:t xml:space="preserve"> way.</w:t>
      </w:r>
      <w:r w:rsidR="009456BD">
        <w:br/>
      </w:r>
      <w:r w:rsidR="009456BD" w:rsidRPr="009456BD">
        <w:rPr>
          <w:rStyle w:val="References"/>
        </w:rPr>
        <w:t xml:space="preserve">[Schedule </w:t>
      </w:r>
      <w:r w:rsidR="00F726B8">
        <w:rPr>
          <w:rStyle w:val="References"/>
        </w:rPr>
        <w:t>1, items 5, 7, 8,</w:t>
      </w:r>
      <w:r w:rsidR="008F1F34">
        <w:rPr>
          <w:rStyle w:val="References"/>
        </w:rPr>
        <w:t xml:space="preserve"> 11</w:t>
      </w:r>
      <w:r w:rsidR="000048C4">
        <w:rPr>
          <w:rStyle w:val="References"/>
        </w:rPr>
        <w:t xml:space="preserve"> and</w:t>
      </w:r>
      <w:r w:rsidR="008F1F34">
        <w:rPr>
          <w:rStyle w:val="References"/>
        </w:rPr>
        <w:t xml:space="preserve"> 14,</w:t>
      </w:r>
      <w:r w:rsidR="00F726B8">
        <w:rPr>
          <w:rStyle w:val="References"/>
        </w:rPr>
        <w:t xml:space="preserve"> subsections 59A</w:t>
      </w:r>
      <w:r w:rsidR="000048C4">
        <w:rPr>
          <w:rStyle w:val="References"/>
        </w:rPr>
        <w:t>(2), 59A</w:t>
      </w:r>
      <w:r w:rsidR="00F726B8">
        <w:rPr>
          <w:rStyle w:val="References"/>
        </w:rPr>
        <w:t>(4), 159A</w:t>
      </w:r>
      <w:r w:rsidR="00D549F5">
        <w:rPr>
          <w:rStyle w:val="References"/>
        </w:rPr>
        <w:t>(2), 159A</w:t>
      </w:r>
      <w:r w:rsidR="00F726B8">
        <w:rPr>
          <w:rStyle w:val="References"/>
        </w:rPr>
        <w:t>(4</w:t>
      </w:r>
      <w:r w:rsidR="00D549F5">
        <w:rPr>
          <w:rStyle w:val="References"/>
        </w:rPr>
        <w:t>)</w:t>
      </w:r>
      <w:r w:rsidR="000048C4">
        <w:rPr>
          <w:rStyle w:val="References"/>
        </w:rPr>
        <w:t xml:space="preserve">, </w:t>
      </w:r>
      <w:r w:rsidR="00F726B8">
        <w:rPr>
          <w:rStyle w:val="References"/>
        </w:rPr>
        <w:t>218A</w:t>
      </w:r>
      <w:r w:rsidR="00D549F5">
        <w:rPr>
          <w:rStyle w:val="References"/>
        </w:rPr>
        <w:t>(2) and 218A</w:t>
      </w:r>
      <w:r w:rsidR="00F726B8">
        <w:rPr>
          <w:rStyle w:val="References"/>
        </w:rPr>
        <w:t>(4) of the ASIC Act, subsection</w:t>
      </w:r>
      <w:r w:rsidR="008F1F34">
        <w:rPr>
          <w:rStyle w:val="References"/>
        </w:rPr>
        <w:t>s</w:t>
      </w:r>
      <w:r w:rsidR="00F726B8">
        <w:rPr>
          <w:rStyle w:val="References"/>
        </w:rPr>
        <w:t xml:space="preserve"> 158A</w:t>
      </w:r>
      <w:r w:rsidR="00D549F5">
        <w:rPr>
          <w:rStyle w:val="References"/>
        </w:rPr>
        <w:t>(3), 158A</w:t>
      </w:r>
      <w:r w:rsidR="00F726B8">
        <w:rPr>
          <w:rStyle w:val="References"/>
        </w:rPr>
        <w:t>(</w:t>
      </w:r>
      <w:r w:rsidR="008F1F34">
        <w:rPr>
          <w:rStyle w:val="References"/>
        </w:rPr>
        <w:t>5</w:t>
      </w:r>
      <w:r w:rsidR="00F726B8">
        <w:rPr>
          <w:rStyle w:val="References"/>
        </w:rPr>
        <w:t>)</w:t>
      </w:r>
      <w:r w:rsidR="00D549F5">
        <w:rPr>
          <w:rStyle w:val="References"/>
        </w:rPr>
        <w:t xml:space="preserve">, </w:t>
      </w:r>
      <w:r w:rsidR="00F726B8">
        <w:rPr>
          <w:rStyle w:val="References"/>
        </w:rPr>
        <w:t>158</w:t>
      </w:r>
      <w:r w:rsidR="008F1F34">
        <w:rPr>
          <w:rStyle w:val="References"/>
        </w:rPr>
        <w:t>B</w:t>
      </w:r>
      <w:r w:rsidR="00D549F5">
        <w:rPr>
          <w:rStyle w:val="References"/>
        </w:rPr>
        <w:t>(4) and 158B</w:t>
      </w:r>
      <w:r w:rsidR="00F726B8">
        <w:rPr>
          <w:rStyle w:val="References"/>
        </w:rPr>
        <w:t>(</w:t>
      </w:r>
      <w:r w:rsidR="008F1F34">
        <w:rPr>
          <w:rStyle w:val="References"/>
        </w:rPr>
        <w:t>6</w:t>
      </w:r>
      <w:r w:rsidR="00F726B8">
        <w:rPr>
          <w:rStyle w:val="References"/>
        </w:rPr>
        <w:t>) of the CCA and subsectio</w:t>
      </w:r>
      <w:r w:rsidR="008F1F34">
        <w:rPr>
          <w:rStyle w:val="References"/>
        </w:rPr>
        <w:t>n</w:t>
      </w:r>
      <w:r w:rsidR="00F726B8">
        <w:rPr>
          <w:rStyle w:val="References"/>
        </w:rPr>
        <w:t>s</w:t>
      </w:r>
      <w:r w:rsidR="00D549F5">
        <w:rPr>
          <w:rStyle w:val="References"/>
        </w:rPr>
        <w:t xml:space="preserve"> 285A(2)</w:t>
      </w:r>
      <w:r w:rsidR="00F726B8">
        <w:rPr>
          <w:rStyle w:val="References"/>
        </w:rPr>
        <w:t xml:space="preserve"> </w:t>
      </w:r>
      <w:r w:rsidR="00D549F5">
        <w:rPr>
          <w:rStyle w:val="References"/>
        </w:rPr>
        <w:t xml:space="preserve">and </w:t>
      </w:r>
      <w:r w:rsidR="00F726B8">
        <w:rPr>
          <w:rStyle w:val="References"/>
        </w:rPr>
        <w:t>(4) of the NCCPA</w:t>
      </w:r>
      <w:r w:rsidR="009456BD" w:rsidRPr="009456BD">
        <w:rPr>
          <w:rStyle w:val="References"/>
        </w:rPr>
        <w:t xml:space="preserve">] </w:t>
      </w:r>
    </w:p>
    <w:p w14:paraId="2283741A" w14:textId="77777777" w:rsidR="00455DDC" w:rsidRDefault="00455DDC" w:rsidP="00455DDC">
      <w:pPr>
        <w:pStyle w:val="Normalparatextwithnumbers"/>
        <w:numPr>
          <w:ilvl w:val="0"/>
          <w:numId w:val="0"/>
        </w:numPr>
        <w:ind w:left="709"/>
      </w:pPr>
    </w:p>
    <w:p w14:paraId="15DDDD2D" w14:textId="08AD9EA3" w:rsidR="00B55575" w:rsidRDefault="00220E32" w:rsidP="00B55575">
      <w:pPr>
        <w:pStyle w:val="Normalparatextwithnumbers"/>
        <w:numPr>
          <w:ilvl w:val="0"/>
          <w:numId w:val="0"/>
        </w:numPr>
        <w:ind w:left="709" w:hanging="709"/>
        <w:rPr>
          <w:rFonts w:ascii="Helvetica" w:hAnsi="Helvetica" w:cs="Helvetica"/>
          <w:sz w:val="32"/>
          <w:szCs w:val="32"/>
        </w:rPr>
      </w:pPr>
      <w:r>
        <w:rPr>
          <w:rFonts w:ascii="Helvetica" w:hAnsi="Helvetica" w:cs="Helvetica"/>
          <w:sz w:val="32"/>
          <w:szCs w:val="32"/>
        </w:rPr>
        <w:lastRenderedPageBreak/>
        <w:t>E</w:t>
      </w:r>
      <w:r w:rsidR="00912F4C">
        <w:rPr>
          <w:rFonts w:ascii="Helvetica" w:hAnsi="Helvetica" w:cs="Helvetica"/>
          <w:sz w:val="32"/>
          <w:szCs w:val="32"/>
        </w:rPr>
        <w:t>xaminations</w:t>
      </w:r>
      <w:r w:rsidR="00EC3553">
        <w:rPr>
          <w:rFonts w:ascii="Helvetica" w:hAnsi="Helvetica" w:cs="Helvetica"/>
          <w:sz w:val="32"/>
          <w:szCs w:val="32"/>
        </w:rPr>
        <w:t xml:space="preserve"> and</w:t>
      </w:r>
      <w:r w:rsidR="00EC3553" w:rsidRPr="00EC3553">
        <w:rPr>
          <w:rFonts w:ascii="Helvetica" w:hAnsi="Helvetica" w:cs="Helvetica"/>
          <w:sz w:val="32"/>
          <w:szCs w:val="32"/>
        </w:rPr>
        <w:t xml:space="preserve"> </w:t>
      </w:r>
      <w:r w:rsidR="00912F4C">
        <w:rPr>
          <w:rFonts w:ascii="Helvetica" w:hAnsi="Helvetica" w:cs="Helvetica"/>
          <w:sz w:val="32"/>
          <w:szCs w:val="32"/>
        </w:rPr>
        <w:t>investigations</w:t>
      </w:r>
      <w:r>
        <w:rPr>
          <w:rFonts w:ascii="Helvetica" w:hAnsi="Helvetica" w:cs="Helvetica"/>
          <w:sz w:val="32"/>
          <w:szCs w:val="32"/>
        </w:rPr>
        <w:t xml:space="preserve"> under the APRA Act</w:t>
      </w:r>
    </w:p>
    <w:p w14:paraId="17B6EDE2" w14:textId="333CA87D" w:rsidR="002A6BBF" w:rsidRDefault="00B55575" w:rsidP="00B55575">
      <w:pPr>
        <w:pStyle w:val="Normalparatextwithnumbers"/>
        <w:numPr>
          <w:ilvl w:val="1"/>
          <w:numId w:val="3"/>
        </w:numPr>
      </w:pPr>
      <w:r>
        <w:t xml:space="preserve">Schedule </w:t>
      </w:r>
      <w:r w:rsidR="00C77CC0">
        <w:t>1</w:t>
      </w:r>
      <w:r>
        <w:t xml:space="preserve"> to </w:t>
      </w:r>
      <w:r w:rsidR="002D0AC4">
        <w:t>the</w:t>
      </w:r>
      <w:r>
        <w:t xml:space="preserve"> Bill </w:t>
      </w:r>
      <w:r w:rsidR="002A6BBF">
        <w:t xml:space="preserve">allows APRA, or an investigator or inspector appointed by APRA, to </w:t>
      </w:r>
      <w:r w:rsidR="00912F4C">
        <w:t xml:space="preserve">conduct </w:t>
      </w:r>
      <w:r w:rsidR="00C5592F">
        <w:t xml:space="preserve">all or part of </w:t>
      </w:r>
      <w:r w:rsidR="00912F4C">
        <w:t>the following examinations or investigations in a physical, hybrid or virtual form:</w:t>
      </w:r>
    </w:p>
    <w:p w14:paraId="739A81F5" w14:textId="54014B88" w:rsidR="00652597" w:rsidRDefault="00912F4C" w:rsidP="00652597">
      <w:pPr>
        <w:pStyle w:val="Normalparatextwithnumbers"/>
        <w:numPr>
          <w:ilvl w:val="1"/>
          <w:numId w:val="26"/>
        </w:numPr>
      </w:pPr>
      <w:bookmarkStart w:id="49" w:name="_Hlk109295391"/>
      <w:r>
        <w:t xml:space="preserve">an examination under </w:t>
      </w:r>
      <w:r w:rsidR="00652597">
        <w:t xml:space="preserve">Division 2 of Part VIII of the </w:t>
      </w:r>
      <w:r w:rsidR="00652597">
        <w:rPr>
          <w:i/>
          <w:iCs/>
        </w:rPr>
        <w:t xml:space="preserve">Banking Act </w:t>
      </w:r>
      <w:proofErr w:type="gramStart"/>
      <w:r w:rsidR="00652597">
        <w:rPr>
          <w:i/>
          <w:iCs/>
        </w:rPr>
        <w:t>1959</w:t>
      </w:r>
      <w:r w:rsidR="00652597">
        <w:t>;</w:t>
      </w:r>
      <w:proofErr w:type="gramEnd"/>
    </w:p>
    <w:p w14:paraId="09788F6A" w14:textId="665204F3" w:rsidR="00652597" w:rsidRPr="000D01AB" w:rsidRDefault="00912F4C" w:rsidP="00652597">
      <w:pPr>
        <w:pStyle w:val="Normalparatextwithnumbers"/>
        <w:numPr>
          <w:ilvl w:val="1"/>
          <w:numId w:val="26"/>
        </w:numPr>
      </w:pPr>
      <w:r w:rsidRPr="000D01AB">
        <w:t xml:space="preserve">an examination under </w:t>
      </w:r>
      <w:r w:rsidR="00652597" w:rsidRPr="000D01AB">
        <w:t>subsection</w:t>
      </w:r>
      <w:r w:rsidR="000D01AB" w:rsidRPr="000D01AB">
        <w:t>s</w:t>
      </w:r>
      <w:r w:rsidR="00652597" w:rsidRPr="000D01AB">
        <w:t xml:space="preserve"> 55(1)</w:t>
      </w:r>
      <w:r w:rsidR="000D01AB" w:rsidRPr="000D01AB">
        <w:t>, 62</w:t>
      </w:r>
      <w:proofErr w:type="gramStart"/>
      <w:r w:rsidR="000D01AB" w:rsidRPr="000D01AB">
        <w:t>A(</w:t>
      </w:r>
      <w:proofErr w:type="gramEnd"/>
      <w:r w:rsidR="000D01AB" w:rsidRPr="000D01AB">
        <w:t xml:space="preserve">1) </w:t>
      </w:r>
      <w:r w:rsidR="00B47520">
        <w:t>or</w:t>
      </w:r>
      <w:r w:rsidR="000D01AB" w:rsidRPr="000D01AB">
        <w:t xml:space="preserve"> 79(3)</w:t>
      </w:r>
      <w:r w:rsidR="00652597" w:rsidRPr="000D01AB">
        <w:t xml:space="preserve"> of the </w:t>
      </w:r>
      <w:r w:rsidR="000D01AB" w:rsidRPr="000D01AB">
        <w:rPr>
          <w:i/>
          <w:iCs/>
        </w:rPr>
        <w:t>Insurance Act 1973</w:t>
      </w:r>
      <w:r w:rsidR="00652597" w:rsidRPr="000D01AB">
        <w:t xml:space="preserve">; </w:t>
      </w:r>
    </w:p>
    <w:bookmarkEnd w:id="49"/>
    <w:p w14:paraId="3FB89A4B" w14:textId="3B51581C" w:rsidR="00CC21F4" w:rsidRDefault="00912F4C" w:rsidP="00652597">
      <w:pPr>
        <w:pStyle w:val="Normalparatextwithnumbers"/>
        <w:numPr>
          <w:ilvl w:val="1"/>
          <w:numId w:val="26"/>
        </w:numPr>
      </w:pPr>
      <w:r>
        <w:t>an investigation</w:t>
      </w:r>
      <w:r w:rsidR="00DF57F4">
        <w:t xml:space="preserve"> under</w:t>
      </w:r>
      <w:r>
        <w:t xml:space="preserve"> </w:t>
      </w:r>
      <w:r w:rsidR="002A6BBF">
        <w:t xml:space="preserve">Division 3 of Part 7 of the </w:t>
      </w:r>
      <w:r w:rsidR="002A6BBF">
        <w:rPr>
          <w:i/>
          <w:iCs/>
        </w:rPr>
        <w:t xml:space="preserve">Life Insurance Act </w:t>
      </w:r>
      <w:proofErr w:type="gramStart"/>
      <w:r w:rsidR="002A6BBF">
        <w:rPr>
          <w:i/>
          <w:iCs/>
        </w:rPr>
        <w:t>1995</w:t>
      </w:r>
      <w:r w:rsidR="002A6BBF">
        <w:t>;</w:t>
      </w:r>
      <w:proofErr w:type="gramEnd"/>
    </w:p>
    <w:p w14:paraId="1E1CCF0F" w14:textId="26724DF5" w:rsidR="008F1F34" w:rsidRDefault="008F1F34" w:rsidP="00652597">
      <w:pPr>
        <w:pStyle w:val="Normalparatextwithnumbers"/>
        <w:numPr>
          <w:ilvl w:val="1"/>
          <w:numId w:val="26"/>
        </w:numPr>
      </w:pPr>
      <w:r>
        <w:t xml:space="preserve">an examination under Division 3 of Part 6 of the </w:t>
      </w:r>
      <w:r w:rsidRPr="00D455B5">
        <w:rPr>
          <w:i/>
        </w:rPr>
        <w:t xml:space="preserve">Private Health Insurance (Prudential Supervision) Act </w:t>
      </w:r>
      <w:proofErr w:type="gramStart"/>
      <w:r w:rsidRPr="00D455B5">
        <w:rPr>
          <w:i/>
        </w:rPr>
        <w:t>2015</w:t>
      </w:r>
      <w:r>
        <w:t>;</w:t>
      </w:r>
      <w:proofErr w:type="gramEnd"/>
    </w:p>
    <w:p w14:paraId="3319BA92" w14:textId="199F60B9" w:rsidR="002A6BBF" w:rsidRDefault="00912F4C" w:rsidP="00652597">
      <w:pPr>
        <w:pStyle w:val="Normalparatextwithnumbers"/>
        <w:numPr>
          <w:ilvl w:val="1"/>
          <w:numId w:val="26"/>
        </w:numPr>
      </w:pPr>
      <w:r>
        <w:t>an examination</w:t>
      </w:r>
      <w:r w:rsidR="00DF57F4">
        <w:t xml:space="preserve"> under</w:t>
      </w:r>
      <w:r>
        <w:t xml:space="preserve"> </w:t>
      </w:r>
      <w:r w:rsidR="002A6BBF">
        <w:t xml:space="preserve">Division 5 of Part 25 of the </w:t>
      </w:r>
      <w:r w:rsidR="002A6BBF">
        <w:rPr>
          <w:i/>
          <w:iCs/>
        </w:rPr>
        <w:t xml:space="preserve">Superannuation Industry (Supervision) Act </w:t>
      </w:r>
      <w:proofErr w:type="gramStart"/>
      <w:r w:rsidR="002A6BBF">
        <w:rPr>
          <w:i/>
          <w:iCs/>
        </w:rPr>
        <w:t>1993</w:t>
      </w:r>
      <w:r w:rsidR="002A6BBF">
        <w:t>;</w:t>
      </w:r>
      <w:proofErr w:type="gramEnd"/>
    </w:p>
    <w:p w14:paraId="315503D8" w14:textId="349E06D4" w:rsidR="002A6BBF" w:rsidRDefault="00912F4C" w:rsidP="00652597">
      <w:pPr>
        <w:pStyle w:val="Normalparatextwithnumbers"/>
        <w:numPr>
          <w:ilvl w:val="1"/>
          <w:numId w:val="26"/>
        </w:numPr>
      </w:pPr>
      <w:r>
        <w:t xml:space="preserve">an examination </w:t>
      </w:r>
      <w:r w:rsidR="00DF57F4">
        <w:t xml:space="preserve">under </w:t>
      </w:r>
      <w:r w:rsidR="002A6BBF">
        <w:t xml:space="preserve">Division 4 of Part 10 of the </w:t>
      </w:r>
      <w:r w:rsidR="002A6BBF">
        <w:rPr>
          <w:i/>
          <w:iCs/>
        </w:rPr>
        <w:t>Retirement Savings Accounts Act 1997</w:t>
      </w:r>
      <w:r w:rsidR="002A6BBF">
        <w:t>.</w:t>
      </w:r>
    </w:p>
    <w:p w14:paraId="7A5E5525" w14:textId="568D39EF" w:rsidR="00652597" w:rsidRPr="00912F4C" w:rsidRDefault="002A6BBF" w:rsidP="00912F4C">
      <w:pPr>
        <w:pStyle w:val="Normalparatextwithnumbers"/>
        <w:numPr>
          <w:ilvl w:val="0"/>
          <w:numId w:val="0"/>
        </w:numPr>
        <w:ind w:left="709"/>
        <w:rPr>
          <w:b/>
          <w:bCs/>
          <w:i/>
          <w:iCs/>
        </w:rPr>
      </w:pPr>
      <w:r w:rsidRPr="002A6BBF">
        <w:rPr>
          <w:rStyle w:val="References"/>
        </w:rPr>
        <w:t xml:space="preserve">[Schedule </w:t>
      </w:r>
      <w:r>
        <w:rPr>
          <w:rStyle w:val="References"/>
        </w:rPr>
        <w:t>1</w:t>
      </w:r>
      <w:r w:rsidRPr="002A6BBF">
        <w:rPr>
          <w:rStyle w:val="References"/>
        </w:rPr>
        <w:t xml:space="preserve">, </w:t>
      </w:r>
      <w:r>
        <w:rPr>
          <w:rStyle w:val="References"/>
        </w:rPr>
        <w:t>item 2</w:t>
      </w:r>
      <w:r w:rsidRPr="002A6BBF">
        <w:rPr>
          <w:rStyle w:val="References"/>
        </w:rPr>
        <w:t xml:space="preserve">, </w:t>
      </w:r>
      <w:r>
        <w:rPr>
          <w:rStyle w:val="References"/>
        </w:rPr>
        <w:t>subsection</w:t>
      </w:r>
      <w:r w:rsidR="00912F4C">
        <w:rPr>
          <w:rStyle w:val="References"/>
        </w:rPr>
        <w:t>s</w:t>
      </w:r>
      <w:r>
        <w:rPr>
          <w:rStyle w:val="References"/>
        </w:rPr>
        <w:t xml:space="preserve"> </w:t>
      </w:r>
      <w:r w:rsidR="000D01AB">
        <w:rPr>
          <w:rStyle w:val="References"/>
        </w:rPr>
        <w:t>58</w:t>
      </w:r>
      <w:proofErr w:type="gramStart"/>
      <w:r w:rsidR="000D01AB">
        <w:rPr>
          <w:rStyle w:val="References"/>
        </w:rPr>
        <w:t>A</w:t>
      </w:r>
      <w:r w:rsidR="00912F4C">
        <w:rPr>
          <w:rStyle w:val="References"/>
        </w:rPr>
        <w:t>(</w:t>
      </w:r>
      <w:proofErr w:type="gramEnd"/>
      <w:r w:rsidR="00912F4C">
        <w:rPr>
          <w:rStyle w:val="References"/>
        </w:rPr>
        <w:t>1)</w:t>
      </w:r>
      <w:r w:rsidR="000048C4">
        <w:rPr>
          <w:rStyle w:val="References"/>
        </w:rPr>
        <w:t>, (3)</w:t>
      </w:r>
      <w:r w:rsidR="00C5592F">
        <w:rPr>
          <w:rStyle w:val="References"/>
        </w:rPr>
        <w:t xml:space="preserve"> and</w:t>
      </w:r>
      <w:r w:rsidR="000D01AB">
        <w:rPr>
          <w:rStyle w:val="References"/>
        </w:rPr>
        <w:t xml:space="preserve"> </w:t>
      </w:r>
      <w:r w:rsidR="000048C4">
        <w:rPr>
          <w:rStyle w:val="References"/>
        </w:rPr>
        <w:t>(7</w:t>
      </w:r>
      <w:r w:rsidR="00C5592F">
        <w:rPr>
          <w:rStyle w:val="References"/>
        </w:rPr>
        <w:t>)</w:t>
      </w:r>
      <w:r>
        <w:rPr>
          <w:rStyle w:val="References"/>
        </w:rPr>
        <w:t xml:space="preserve"> of the APRA Act</w:t>
      </w:r>
      <w:r w:rsidRPr="002A6BBF">
        <w:rPr>
          <w:rStyle w:val="References"/>
        </w:rPr>
        <w:t xml:space="preserve">] </w:t>
      </w:r>
    </w:p>
    <w:p w14:paraId="56CA73D9" w14:textId="0EF2B789" w:rsidR="00473316" w:rsidRDefault="00473316" w:rsidP="00B55575">
      <w:pPr>
        <w:pStyle w:val="Normalparatextwithnumbers"/>
        <w:numPr>
          <w:ilvl w:val="1"/>
          <w:numId w:val="3"/>
        </w:numPr>
      </w:pPr>
      <w:r>
        <w:t xml:space="preserve">A reference to an examination in the </w:t>
      </w:r>
      <w:r w:rsidR="003220F9">
        <w:t>new</w:t>
      </w:r>
      <w:r w:rsidR="00606C79">
        <w:t xml:space="preserve"> provisions</w:t>
      </w:r>
      <w:r>
        <w:t xml:space="preserve"> </w:t>
      </w:r>
      <w:r w:rsidR="00B47520">
        <w:t>is taken to include</w:t>
      </w:r>
      <w:r>
        <w:t xml:space="preserve"> an investigation under Division 3 of Part 7 of the </w:t>
      </w:r>
      <w:r>
        <w:rPr>
          <w:i/>
          <w:iCs/>
        </w:rPr>
        <w:t>Life Insurance Act 1995</w:t>
      </w:r>
      <w:r>
        <w:t>.</w:t>
      </w:r>
      <w:r>
        <w:br/>
      </w:r>
      <w:r w:rsidRPr="00473316">
        <w:rPr>
          <w:rStyle w:val="References"/>
        </w:rPr>
        <w:t xml:space="preserve">[Schedule </w:t>
      </w:r>
      <w:r>
        <w:rPr>
          <w:rStyle w:val="References"/>
        </w:rPr>
        <w:t xml:space="preserve">1, item 2, </w:t>
      </w:r>
      <w:r w:rsidR="000048C4">
        <w:rPr>
          <w:rStyle w:val="References"/>
        </w:rPr>
        <w:t>subsection</w:t>
      </w:r>
      <w:r>
        <w:rPr>
          <w:rStyle w:val="References"/>
        </w:rPr>
        <w:t xml:space="preserve"> 58</w:t>
      </w:r>
      <w:proofErr w:type="gramStart"/>
      <w:r>
        <w:rPr>
          <w:rStyle w:val="References"/>
        </w:rPr>
        <w:t>A</w:t>
      </w:r>
      <w:r w:rsidR="000048C4">
        <w:rPr>
          <w:rStyle w:val="References"/>
        </w:rPr>
        <w:t>(</w:t>
      </w:r>
      <w:proofErr w:type="gramEnd"/>
      <w:r w:rsidR="000048C4">
        <w:rPr>
          <w:rStyle w:val="References"/>
        </w:rPr>
        <w:t>2)</w:t>
      </w:r>
      <w:r>
        <w:rPr>
          <w:rStyle w:val="References"/>
        </w:rPr>
        <w:t xml:space="preserve"> of the APRA Act</w:t>
      </w:r>
      <w:r w:rsidRPr="00473316">
        <w:rPr>
          <w:rStyle w:val="References"/>
        </w:rPr>
        <w:t xml:space="preserve">] </w:t>
      </w:r>
    </w:p>
    <w:p w14:paraId="362947C1" w14:textId="46F61AE1" w:rsidR="002D0AC4" w:rsidRDefault="002D0AC4" w:rsidP="00B55575">
      <w:pPr>
        <w:pStyle w:val="Normalparatextwithnumbers"/>
        <w:numPr>
          <w:ilvl w:val="1"/>
          <w:numId w:val="3"/>
        </w:numPr>
      </w:pPr>
      <w:r>
        <w:t xml:space="preserve">The rules to determine the place and time of an examination or investigation </w:t>
      </w:r>
      <w:r w:rsidR="0031412F">
        <w:t xml:space="preserve">under the APRA Act </w:t>
      </w:r>
      <w:r>
        <w:t xml:space="preserve">are summarised in Table 1.1. </w:t>
      </w:r>
      <w:r w:rsidR="003916CF">
        <w:br/>
      </w:r>
      <w:r w:rsidR="003916CF" w:rsidRPr="003916CF">
        <w:rPr>
          <w:rStyle w:val="References"/>
        </w:rPr>
        <w:t xml:space="preserve">[Schedule </w:t>
      </w:r>
      <w:r w:rsidR="00446D09">
        <w:rPr>
          <w:rStyle w:val="References"/>
        </w:rPr>
        <w:t>1, item 2, subsection 58</w:t>
      </w:r>
      <w:proofErr w:type="gramStart"/>
      <w:r w:rsidR="00446D09">
        <w:rPr>
          <w:rStyle w:val="References"/>
        </w:rPr>
        <w:t>A(</w:t>
      </w:r>
      <w:proofErr w:type="gramEnd"/>
      <w:r w:rsidR="000048C4">
        <w:rPr>
          <w:rStyle w:val="References"/>
        </w:rPr>
        <w:t>6</w:t>
      </w:r>
      <w:r w:rsidR="00446D09">
        <w:rPr>
          <w:rStyle w:val="References"/>
        </w:rPr>
        <w:t>) of the APRA Act</w:t>
      </w:r>
      <w:r w:rsidR="003916CF" w:rsidRPr="003916CF">
        <w:rPr>
          <w:rStyle w:val="References"/>
        </w:rPr>
        <w:t xml:space="preserve">] </w:t>
      </w:r>
    </w:p>
    <w:p w14:paraId="5F3FCE1D" w14:textId="408C34F0" w:rsidR="00EA01E8" w:rsidRDefault="00220E32" w:rsidP="00EA01E8">
      <w:pPr>
        <w:pStyle w:val="Normalparatextwithnumbers"/>
        <w:numPr>
          <w:ilvl w:val="0"/>
          <w:numId w:val="0"/>
        </w:numPr>
        <w:ind w:left="709" w:hanging="709"/>
        <w:rPr>
          <w:rFonts w:ascii="Helvetica" w:hAnsi="Helvetica" w:cs="Helvetica"/>
          <w:sz w:val="32"/>
          <w:szCs w:val="32"/>
        </w:rPr>
      </w:pPr>
      <w:r>
        <w:rPr>
          <w:rFonts w:ascii="Helvetica" w:hAnsi="Helvetica" w:cs="Helvetica"/>
          <w:sz w:val="32"/>
          <w:szCs w:val="32"/>
        </w:rPr>
        <w:t>Hearings and examinations under the ASIC Act</w:t>
      </w:r>
    </w:p>
    <w:p w14:paraId="018CF5ED" w14:textId="6B8C6992" w:rsidR="0053227F" w:rsidRDefault="00EA01E8" w:rsidP="00BC5D27">
      <w:pPr>
        <w:pStyle w:val="Normalparatextwithnumbers"/>
        <w:numPr>
          <w:ilvl w:val="1"/>
          <w:numId w:val="3"/>
        </w:numPr>
        <w:contextualSpacing/>
      </w:pPr>
      <w:r>
        <w:t xml:space="preserve">Schedule </w:t>
      </w:r>
      <w:r w:rsidR="00CE0041">
        <w:t>1</w:t>
      </w:r>
      <w:r>
        <w:t xml:space="preserve"> to </w:t>
      </w:r>
      <w:r w:rsidR="005A1944">
        <w:t>the</w:t>
      </w:r>
      <w:r>
        <w:t xml:space="preserve"> Bill allows </w:t>
      </w:r>
      <w:r w:rsidR="00220E32">
        <w:t>bodies established under the ASIC Act</w:t>
      </w:r>
      <w:r w:rsidR="002314E9">
        <w:t xml:space="preserve"> </w:t>
      </w:r>
      <w:r w:rsidR="00330447">
        <w:t>to conduct</w:t>
      </w:r>
      <w:r w:rsidR="007E4AEA">
        <w:t xml:space="preserve"> all or part of a </w:t>
      </w:r>
      <w:r w:rsidR="00330447">
        <w:t>hearing or examination in a physical, hybrid or virtual form</w:t>
      </w:r>
      <w:r w:rsidR="007E4AEA">
        <w:t>.</w:t>
      </w:r>
      <w:r w:rsidR="00220E32">
        <w:t xml:space="preserve"> The</w:t>
      </w:r>
      <w:r w:rsidR="00CA1038">
        <w:t xml:space="preserve"> relevant bodies are</w:t>
      </w:r>
      <w:r w:rsidR="00BC5D27">
        <w:t xml:space="preserve"> ASIC, FSCP and CADB.</w:t>
      </w:r>
    </w:p>
    <w:p w14:paraId="0138E8C0" w14:textId="6A71F603" w:rsidR="005A1944" w:rsidRPr="0053227F" w:rsidRDefault="00330447" w:rsidP="0053227F">
      <w:pPr>
        <w:pStyle w:val="Normalparatextwithnumbers"/>
        <w:numPr>
          <w:ilvl w:val="0"/>
          <w:numId w:val="0"/>
        </w:numPr>
        <w:ind w:left="709"/>
        <w:rPr>
          <w:rStyle w:val="References"/>
          <w:b w:val="0"/>
          <w:bCs w:val="0"/>
          <w:i w:val="0"/>
          <w:iCs w:val="0"/>
        </w:rPr>
      </w:pPr>
      <w:r w:rsidRPr="00330447">
        <w:rPr>
          <w:rStyle w:val="References"/>
        </w:rPr>
        <w:t xml:space="preserve">[Schedule </w:t>
      </w:r>
      <w:r>
        <w:rPr>
          <w:rStyle w:val="References"/>
        </w:rPr>
        <w:t>1</w:t>
      </w:r>
      <w:r w:rsidRPr="00330447">
        <w:rPr>
          <w:rStyle w:val="References"/>
        </w:rPr>
        <w:t xml:space="preserve">, </w:t>
      </w:r>
      <w:r>
        <w:rPr>
          <w:rStyle w:val="References"/>
        </w:rPr>
        <w:t>items 4</w:t>
      </w:r>
      <w:r w:rsidR="00C10137">
        <w:rPr>
          <w:rStyle w:val="References"/>
        </w:rPr>
        <w:t xml:space="preserve">, </w:t>
      </w:r>
      <w:r>
        <w:rPr>
          <w:rStyle w:val="References"/>
        </w:rPr>
        <w:t>5</w:t>
      </w:r>
      <w:r w:rsidR="00A15143">
        <w:rPr>
          <w:rStyle w:val="References"/>
        </w:rPr>
        <w:t xml:space="preserve">, </w:t>
      </w:r>
      <w:r w:rsidR="00C10137">
        <w:rPr>
          <w:rStyle w:val="References"/>
        </w:rPr>
        <w:t>7</w:t>
      </w:r>
      <w:r w:rsidR="00A15143">
        <w:rPr>
          <w:rStyle w:val="References"/>
        </w:rPr>
        <w:t xml:space="preserve"> and 8</w:t>
      </w:r>
      <w:r>
        <w:rPr>
          <w:rStyle w:val="References"/>
        </w:rPr>
        <w:t>, subsections 22</w:t>
      </w:r>
      <w:proofErr w:type="gramStart"/>
      <w:r>
        <w:rPr>
          <w:rStyle w:val="References"/>
        </w:rPr>
        <w:t>A(</w:t>
      </w:r>
      <w:proofErr w:type="gramEnd"/>
      <w:r>
        <w:rPr>
          <w:rStyle w:val="References"/>
        </w:rPr>
        <w:t>1)</w:t>
      </w:r>
      <w:r w:rsidR="00C10137">
        <w:rPr>
          <w:rStyle w:val="References"/>
        </w:rPr>
        <w:t>,</w:t>
      </w:r>
      <w:r w:rsidR="00A15143">
        <w:rPr>
          <w:rStyle w:val="References"/>
        </w:rPr>
        <w:t xml:space="preserve"> 22A(</w:t>
      </w:r>
      <w:r w:rsidR="00EF12E7">
        <w:rPr>
          <w:rStyle w:val="References"/>
        </w:rPr>
        <w:t>5</w:t>
      </w:r>
      <w:r w:rsidR="00A15143">
        <w:rPr>
          <w:rStyle w:val="References"/>
        </w:rPr>
        <w:t>),</w:t>
      </w:r>
      <w:r w:rsidR="00C10137">
        <w:rPr>
          <w:rStyle w:val="References"/>
        </w:rPr>
        <w:t xml:space="preserve"> </w:t>
      </w:r>
      <w:r>
        <w:rPr>
          <w:rStyle w:val="References"/>
        </w:rPr>
        <w:t>59A(1)</w:t>
      </w:r>
      <w:r w:rsidR="00A15143">
        <w:rPr>
          <w:rStyle w:val="References"/>
        </w:rPr>
        <w:t xml:space="preserve">, 59A(6), 159A(1), 159A(6), 218A(1) and 218A(6) </w:t>
      </w:r>
      <w:r>
        <w:rPr>
          <w:rStyle w:val="References"/>
        </w:rPr>
        <w:t>of the ASIC Act</w:t>
      </w:r>
      <w:r w:rsidRPr="00330447">
        <w:rPr>
          <w:rStyle w:val="References"/>
        </w:rPr>
        <w:t xml:space="preserve">] </w:t>
      </w:r>
    </w:p>
    <w:p w14:paraId="5EE8EAA4" w14:textId="1A2B9ADC" w:rsidR="00865384" w:rsidRDefault="00865384" w:rsidP="007E4AEA">
      <w:pPr>
        <w:pStyle w:val="Normalparatextwithnumbers"/>
        <w:numPr>
          <w:ilvl w:val="1"/>
          <w:numId w:val="3"/>
        </w:numPr>
        <w:rPr>
          <w:rStyle w:val="References"/>
          <w:b w:val="0"/>
          <w:bCs w:val="0"/>
          <w:i w:val="0"/>
          <w:iCs w:val="0"/>
        </w:rPr>
      </w:pPr>
      <w:r>
        <w:rPr>
          <w:rStyle w:val="References"/>
          <w:b w:val="0"/>
          <w:bCs w:val="0"/>
          <w:i w:val="0"/>
          <w:iCs w:val="0"/>
        </w:rPr>
        <w:t>For the purposes of an examination</w:t>
      </w:r>
      <w:r w:rsidR="000742D6">
        <w:rPr>
          <w:rStyle w:val="References"/>
          <w:b w:val="0"/>
          <w:bCs w:val="0"/>
          <w:i w:val="0"/>
          <w:iCs w:val="0"/>
        </w:rPr>
        <w:t xml:space="preserve"> under Division </w:t>
      </w:r>
      <w:r w:rsidR="00BE14FC">
        <w:rPr>
          <w:rStyle w:val="References"/>
          <w:b w:val="0"/>
          <w:bCs w:val="0"/>
          <w:i w:val="0"/>
          <w:iCs w:val="0"/>
        </w:rPr>
        <w:t>2 of Part 3 of the ASIC Act</w:t>
      </w:r>
      <w:r>
        <w:rPr>
          <w:rStyle w:val="References"/>
          <w:b w:val="0"/>
          <w:bCs w:val="0"/>
          <w:i w:val="0"/>
          <w:iCs w:val="0"/>
        </w:rPr>
        <w:t xml:space="preserve">, </w:t>
      </w:r>
      <w:r w:rsidR="00BE14FC">
        <w:rPr>
          <w:rStyle w:val="References"/>
          <w:b w:val="0"/>
          <w:bCs w:val="0"/>
          <w:i w:val="0"/>
          <w:iCs w:val="0"/>
        </w:rPr>
        <w:t>the examinee appears before the inspecto</w:t>
      </w:r>
      <w:r w:rsidR="00D74EA1">
        <w:rPr>
          <w:rStyle w:val="References"/>
          <w:b w:val="0"/>
          <w:bCs w:val="0"/>
          <w:i w:val="0"/>
          <w:iCs w:val="0"/>
        </w:rPr>
        <w:t>r</w:t>
      </w:r>
      <w:r w:rsidR="00BE14FC">
        <w:rPr>
          <w:rStyle w:val="References"/>
          <w:b w:val="0"/>
          <w:bCs w:val="0"/>
          <w:i w:val="0"/>
          <w:iCs w:val="0"/>
        </w:rPr>
        <w:t>, who is a specified member or staff member of ASIC</w:t>
      </w:r>
      <w:r w:rsidR="00D74EA1">
        <w:rPr>
          <w:rStyle w:val="References"/>
          <w:b w:val="0"/>
          <w:bCs w:val="0"/>
          <w:i w:val="0"/>
          <w:iCs w:val="0"/>
        </w:rPr>
        <w:t xml:space="preserve"> (see sections 19 and 20 of the ASIC Act)</w:t>
      </w:r>
      <w:r w:rsidR="000742D6">
        <w:rPr>
          <w:rStyle w:val="References"/>
          <w:b w:val="0"/>
          <w:bCs w:val="0"/>
          <w:i w:val="0"/>
          <w:iCs w:val="0"/>
        </w:rPr>
        <w:t>.</w:t>
      </w:r>
    </w:p>
    <w:p w14:paraId="3158B8EF" w14:textId="08487624" w:rsidR="005159C3" w:rsidRPr="0031412F" w:rsidRDefault="00143656" w:rsidP="007E4AEA">
      <w:pPr>
        <w:pStyle w:val="Normalparatextwithnumbers"/>
        <w:numPr>
          <w:ilvl w:val="1"/>
          <w:numId w:val="3"/>
        </w:numPr>
        <w:rPr>
          <w:rStyle w:val="References"/>
          <w:b w:val="0"/>
          <w:bCs w:val="0"/>
          <w:i w:val="0"/>
          <w:iCs w:val="0"/>
        </w:rPr>
      </w:pPr>
      <w:r>
        <w:rPr>
          <w:rStyle w:val="References"/>
          <w:b w:val="0"/>
          <w:bCs w:val="0"/>
          <w:i w:val="0"/>
          <w:iCs w:val="0"/>
        </w:rPr>
        <w:t xml:space="preserve">The ASIC Act contains some existing provisions that permit the use of </w:t>
      </w:r>
      <w:r w:rsidRPr="00174B9F">
        <w:rPr>
          <w:rStyle w:val="References"/>
          <w:b w:val="0"/>
          <w:bCs w:val="0"/>
          <w:i w:val="0"/>
          <w:iCs w:val="0"/>
        </w:rPr>
        <w:t>technology</w:t>
      </w:r>
      <w:r w:rsidR="00174B9F">
        <w:rPr>
          <w:rStyle w:val="References"/>
          <w:b w:val="0"/>
          <w:bCs w:val="0"/>
          <w:i w:val="0"/>
          <w:iCs w:val="0"/>
        </w:rPr>
        <w:t xml:space="preserve"> by </w:t>
      </w:r>
      <w:r w:rsidR="00DF3ACA">
        <w:rPr>
          <w:rStyle w:val="References"/>
          <w:b w:val="0"/>
          <w:bCs w:val="0"/>
          <w:i w:val="0"/>
          <w:iCs w:val="0"/>
        </w:rPr>
        <w:t>ASIC at a hearing</w:t>
      </w:r>
      <w:r w:rsidRPr="00174B9F">
        <w:rPr>
          <w:rStyle w:val="References"/>
          <w:b w:val="0"/>
          <w:bCs w:val="0"/>
          <w:i w:val="0"/>
          <w:iCs w:val="0"/>
        </w:rPr>
        <w:t xml:space="preserve">. </w:t>
      </w:r>
      <w:r w:rsidR="00174B9F">
        <w:rPr>
          <w:rStyle w:val="References"/>
          <w:b w:val="0"/>
          <w:bCs w:val="0"/>
          <w:i w:val="0"/>
          <w:iCs w:val="0"/>
        </w:rPr>
        <w:t>This Schedule repeals those</w:t>
      </w:r>
      <w:r w:rsidR="004E07ED" w:rsidRPr="00174B9F">
        <w:rPr>
          <w:rStyle w:val="References"/>
          <w:b w:val="0"/>
          <w:bCs w:val="0"/>
          <w:i w:val="0"/>
          <w:iCs w:val="0"/>
        </w:rPr>
        <w:t xml:space="preserve"> provisions </w:t>
      </w:r>
      <w:r w:rsidR="00174B9F">
        <w:rPr>
          <w:rStyle w:val="References"/>
          <w:b w:val="0"/>
          <w:bCs w:val="0"/>
          <w:i w:val="0"/>
          <w:iCs w:val="0"/>
        </w:rPr>
        <w:t>so that the new provisions apply</w:t>
      </w:r>
      <w:r w:rsidRPr="00174B9F">
        <w:rPr>
          <w:rStyle w:val="References"/>
          <w:b w:val="0"/>
          <w:bCs w:val="0"/>
          <w:i w:val="0"/>
          <w:iCs w:val="0"/>
        </w:rPr>
        <w:t>.</w:t>
      </w:r>
      <w:r w:rsidR="00246BBA">
        <w:rPr>
          <w:rStyle w:val="References"/>
          <w:b w:val="0"/>
          <w:bCs w:val="0"/>
          <w:i w:val="0"/>
          <w:iCs w:val="0"/>
        </w:rPr>
        <w:br/>
      </w:r>
      <w:r w:rsidR="00246BBA" w:rsidRPr="00246BBA">
        <w:rPr>
          <w:rStyle w:val="References"/>
        </w:rPr>
        <w:t xml:space="preserve">[Schedule </w:t>
      </w:r>
      <w:r w:rsidR="00246BBA">
        <w:rPr>
          <w:rStyle w:val="References"/>
        </w:rPr>
        <w:t>1, item 6</w:t>
      </w:r>
      <w:r w:rsidR="00995ECB">
        <w:rPr>
          <w:rStyle w:val="References"/>
        </w:rPr>
        <w:t>, subsections 159(3) and 159(4) of the ASIC Act</w:t>
      </w:r>
      <w:r w:rsidR="00246BBA" w:rsidRPr="00246BBA">
        <w:rPr>
          <w:rStyle w:val="References"/>
        </w:rPr>
        <w:t xml:space="preserve">] </w:t>
      </w:r>
    </w:p>
    <w:p w14:paraId="7806C9A4" w14:textId="7A15C5BD" w:rsidR="0031412F" w:rsidRPr="0031412F" w:rsidRDefault="0031412F" w:rsidP="0031412F">
      <w:pPr>
        <w:pStyle w:val="Normalparatextwithnumbers"/>
        <w:numPr>
          <w:ilvl w:val="1"/>
          <w:numId w:val="3"/>
        </w:numPr>
        <w:rPr>
          <w:rStyle w:val="References"/>
          <w:b w:val="0"/>
          <w:bCs w:val="0"/>
          <w:i w:val="0"/>
          <w:iCs w:val="0"/>
        </w:rPr>
      </w:pPr>
      <w:r>
        <w:t xml:space="preserve">The rules to determine the place and time of a hearing or examination under the ASIC Act are summarised in Table 1.1. </w:t>
      </w:r>
      <w:r>
        <w:br/>
      </w:r>
      <w:r w:rsidRPr="003916CF">
        <w:rPr>
          <w:rStyle w:val="References"/>
        </w:rPr>
        <w:t>[</w:t>
      </w:r>
      <w:r>
        <w:rPr>
          <w:rStyle w:val="References"/>
        </w:rPr>
        <w:t xml:space="preserve">Schedule 1, items 4, 5, 7 and 8, </w:t>
      </w:r>
      <w:r w:rsidR="00993AB1">
        <w:rPr>
          <w:rStyle w:val="References"/>
        </w:rPr>
        <w:t>subsections 22</w:t>
      </w:r>
      <w:proofErr w:type="gramStart"/>
      <w:r w:rsidR="00993AB1">
        <w:rPr>
          <w:rStyle w:val="References"/>
        </w:rPr>
        <w:t>A(</w:t>
      </w:r>
      <w:proofErr w:type="gramEnd"/>
      <w:r w:rsidR="00993AB1">
        <w:rPr>
          <w:rStyle w:val="References"/>
        </w:rPr>
        <w:t>4), 59A(5), 159A(5) and 218A(5) of the ASIC Act</w:t>
      </w:r>
      <w:r w:rsidRPr="003916CF">
        <w:rPr>
          <w:rStyle w:val="References"/>
        </w:rPr>
        <w:t xml:space="preserve">] </w:t>
      </w:r>
    </w:p>
    <w:p w14:paraId="2D6063E7" w14:textId="144C6A19" w:rsidR="00995ECB" w:rsidRDefault="00995ECB" w:rsidP="00995ECB">
      <w:pPr>
        <w:pStyle w:val="Normalparatextwithnumbers"/>
        <w:numPr>
          <w:ilvl w:val="0"/>
          <w:numId w:val="0"/>
        </w:numPr>
        <w:ind w:left="709" w:hanging="709"/>
        <w:rPr>
          <w:rFonts w:ascii="Helvetica" w:hAnsi="Helvetica" w:cs="Helvetica"/>
          <w:sz w:val="32"/>
          <w:szCs w:val="32"/>
        </w:rPr>
      </w:pPr>
      <w:bookmarkStart w:id="50" w:name="_Toc78193246"/>
      <w:bookmarkStart w:id="51" w:name="_Toc78193403"/>
      <w:bookmarkStart w:id="52" w:name="_Toc78548476"/>
      <w:bookmarkStart w:id="53" w:name="_Toc78549747"/>
      <w:bookmarkStart w:id="54" w:name="_Toc78549791"/>
      <w:r>
        <w:rPr>
          <w:rFonts w:ascii="Helvetica" w:hAnsi="Helvetica" w:cs="Helvetica"/>
          <w:sz w:val="32"/>
          <w:szCs w:val="32"/>
        </w:rPr>
        <w:lastRenderedPageBreak/>
        <w:t>Proceedings under the CCA</w:t>
      </w:r>
    </w:p>
    <w:p w14:paraId="23294739" w14:textId="6AF4D2BA" w:rsidR="00993AB1" w:rsidRDefault="00995ECB" w:rsidP="003220F9">
      <w:pPr>
        <w:pStyle w:val="Normalparatextwithnumbers"/>
        <w:numPr>
          <w:ilvl w:val="1"/>
          <w:numId w:val="3"/>
        </w:numPr>
      </w:pPr>
      <w:r>
        <w:t xml:space="preserve">Schedule 1 to the Bill allows bodies established under the CCA to conduct all or part of </w:t>
      </w:r>
      <w:r w:rsidR="00A9680B">
        <w:t>the following</w:t>
      </w:r>
      <w:r>
        <w:t xml:space="preserve"> proceeding in a physical, hybrid or virtual form</w:t>
      </w:r>
      <w:r w:rsidR="00A9680B">
        <w:t>:</w:t>
      </w:r>
      <w:r>
        <w:t xml:space="preserve"> </w:t>
      </w:r>
    </w:p>
    <w:p w14:paraId="31D1C4D6" w14:textId="77777777" w:rsidR="00993AB1" w:rsidRPr="000D01AB" w:rsidRDefault="00993AB1" w:rsidP="00993AB1">
      <w:pPr>
        <w:pStyle w:val="Normalparatextwithnumbers"/>
        <w:numPr>
          <w:ilvl w:val="1"/>
          <w:numId w:val="26"/>
        </w:numPr>
      </w:pPr>
      <w:r>
        <w:t xml:space="preserve">an arbitration of an access dispute under Part IIIA by the ACCC as constituted by members of the ACCC under section 44Z of the </w:t>
      </w:r>
      <w:proofErr w:type="gramStart"/>
      <w:r>
        <w:t>CCA</w:t>
      </w:r>
      <w:r w:rsidRPr="000D01AB">
        <w:t>;</w:t>
      </w:r>
      <w:proofErr w:type="gramEnd"/>
      <w:r w:rsidRPr="000D01AB">
        <w:t xml:space="preserve"> </w:t>
      </w:r>
    </w:p>
    <w:p w14:paraId="3F74D9A9" w14:textId="77777777" w:rsidR="00993AB1" w:rsidRDefault="00993AB1" w:rsidP="00993AB1">
      <w:pPr>
        <w:pStyle w:val="Normalparatextwithnumbers"/>
        <w:numPr>
          <w:ilvl w:val="1"/>
          <w:numId w:val="26"/>
        </w:numPr>
      </w:pPr>
      <w:r>
        <w:t xml:space="preserve">an inquiry under Part VIIA of the CCA by an inquiry body before an inquiry </w:t>
      </w:r>
      <w:proofErr w:type="gramStart"/>
      <w:r>
        <w:t>Chair;</w:t>
      </w:r>
      <w:proofErr w:type="gramEnd"/>
    </w:p>
    <w:p w14:paraId="5AF239DD" w14:textId="72D37DCD" w:rsidR="00993AB1" w:rsidRDefault="00993AB1" w:rsidP="005C757A">
      <w:pPr>
        <w:pStyle w:val="Normalparatextwithnumbers"/>
        <w:numPr>
          <w:ilvl w:val="1"/>
          <w:numId w:val="26"/>
        </w:numPr>
      </w:pPr>
      <w:r>
        <w:t>a conference convened under subsection 151</w:t>
      </w:r>
      <w:proofErr w:type="gramStart"/>
      <w:r>
        <w:t>AZ(</w:t>
      </w:r>
      <w:proofErr w:type="gramEnd"/>
      <w:r>
        <w:t>1) of the CCA by the ACCC;</w:t>
      </w:r>
    </w:p>
    <w:p w14:paraId="08BE0949" w14:textId="10C7C58C" w:rsidR="00A9680B" w:rsidRDefault="00BC5D27" w:rsidP="00A9680B">
      <w:pPr>
        <w:pStyle w:val="Normalparatextwithnumbers"/>
        <w:numPr>
          <w:ilvl w:val="1"/>
          <w:numId w:val="26"/>
        </w:numPr>
      </w:pPr>
      <w:r>
        <w:t>a</w:t>
      </w:r>
      <w:r w:rsidR="00A9680B">
        <w:t xml:space="preserve">n appearance to give evidence or produce documents </w:t>
      </w:r>
      <w:r>
        <w:t xml:space="preserve">under section 44AAFA of the CCA before the AER or a person assisting the </w:t>
      </w:r>
      <w:proofErr w:type="gramStart"/>
      <w:r>
        <w:t>AER</w:t>
      </w:r>
      <w:r w:rsidR="00A9680B">
        <w:t>;</w:t>
      </w:r>
      <w:proofErr w:type="gramEnd"/>
    </w:p>
    <w:p w14:paraId="564E0AE0" w14:textId="27BD4817" w:rsidR="00A9680B" w:rsidRDefault="00BC5D27" w:rsidP="00A9680B">
      <w:pPr>
        <w:pStyle w:val="Normalparatextwithnumbers"/>
        <w:numPr>
          <w:ilvl w:val="1"/>
          <w:numId w:val="26"/>
        </w:numPr>
      </w:pPr>
      <w:r>
        <w:t>a conference held under subsection 90</w:t>
      </w:r>
      <w:proofErr w:type="gramStart"/>
      <w:r>
        <w:t>A(</w:t>
      </w:r>
      <w:proofErr w:type="gramEnd"/>
      <w:r>
        <w:t>6) of the CCA by the ACCC as represented by a member or members of the ACCC under paragraph 90A(7)(a) of the CCA;</w:t>
      </w:r>
    </w:p>
    <w:p w14:paraId="0B041F80" w14:textId="4296EE1E" w:rsidR="00A9680B" w:rsidRDefault="00BC5D27" w:rsidP="00A9680B">
      <w:pPr>
        <w:pStyle w:val="Normalparatextwithnumbers"/>
        <w:numPr>
          <w:ilvl w:val="1"/>
          <w:numId w:val="26"/>
        </w:numPr>
      </w:pPr>
      <w:r>
        <w:t>a conference held under subsection 93</w:t>
      </w:r>
      <w:proofErr w:type="gramStart"/>
      <w:r>
        <w:t>A(</w:t>
      </w:r>
      <w:proofErr w:type="gramEnd"/>
      <w:r>
        <w:t xml:space="preserve">5) of the CCA by the ACCC as represented by a member or members of the </w:t>
      </w:r>
      <w:r w:rsidR="00B47520">
        <w:t>ACCC</w:t>
      </w:r>
      <w:r>
        <w:t xml:space="preserve"> under paragraph 93A(6)(a) of the CCA;</w:t>
      </w:r>
    </w:p>
    <w:p w14:paraId="6E6B91D8" w14:textId="3B8A74FD" w:rsidR="00BC5D27" w:rsidRDefault="00BC5D27" w:rsidP="00A9680B">
      <w:pPr>
        <w:pStyle w:val="Normalparatextwithnumbers"/>
        <w:numPr>
          <w:ilvl w:val="1"/>
          <w:numId w:val="26"/>
        </w:numPr>
      </w:pPr>
      <w:bookmarkStart w:id="55" w:name="_Hlk109736173"/>
      <w:r>
        <w:t xml:space="preserve">a conference held under Subdivision A or B of Division 3 of Part XI by the </w:t>
      </w:r>
      <w:r w:rsidR="00B47520">
        <w:t>ACCC</w:t>
      </w:r>
      <w:r>
        <w:t xml:space="preserve"> as represented by a member or members of the ACCC under paragraph 132H(1)(a) of the </w:t>
      </w:r>
      <w:proofErr w:type="gramStart"/>
      <w:r>
        <w:t>CCA;</w:t>
      </w:r>
      <w:proofErr w:type="gramEnd"/>
    </w:p>
    <w:p w14:paraId="0C9E2DC5" w14:textId="435E2AF9" w:rsidR="001956C5" w:rsidRDefault="00BC5D27" w:rsidP="00A9680B">
      <w:pPr>
        <w:pStyle w:val="Normalparatextwithnumbers"/>
        <w:numPr>
          <w:ilvl w:val="1"/>
          <w:numId w:val="26"/>
        </w:numPr>
      </w:pPr>
      <w:r>
        <w:t>an appearance to give evidence</w:t>
      </w:r>
      <w:r w:rsidR="001956C5">
        <w:t xml:space="preserve"> or produce documents under paragraph 155(1)(c) of the CCA before the ACCC, an associate member of the ACCC who </w:t>
      </w:r>
      <w:proofErr w:type="gramStart"/>
      <w:r w:rsidR="001956C5">
        <w:t>is an AER member or a member of the staff</w:t>
      </w:r>
      <w:proofErr w:type="gramEnd"/>
      <w:r w:rsidR="001956C5">
        <w:t xml:space="preserve"> assisting the ACCC.</w:t>
      </w:r>
    </w:p>
    <w:bookmarkEnd w:id="55"/>
    <w:p w14:paraId="4720D049" w14:textId="0EDD93CC" w:rsidR="00A9680B" w:rsidRDefault="001956C5" w:rsidP="00174B9F">
      <w:pPr>
        <w:pStyle w:val="Normalparatextwithnumbers"/>
        <w:numPr>
          <w:ilvl w:val="0"/>
          <w:numId w:val="0"/>
        </w:numPr>
        <w:ind w:left="1080"/>
      </w:pPr>
      <w:r w:rsidRPr="001956C5">
        <w:rPr>
          <w:rStyle w:val="References"/>
        </w:rPr>
        <w:t>[</w:t>
      </w:r>
      <w:r>
        <w:rPr>
          <w:rStyle w:val="References"/>
        </w:rPr>
        <w:t xml:space="preserve">Schedule 1, item </w:t>
      </w:r>
      <w:r w:rsidR="00993AB1">
        <w:rPr>
          <w:rStyle w:val="References"/>
        </w:rPr>
        <w:t>11</w:t>
      </w:r>
      <w:r>
        <w:rPr>
          <w:rStyle w:val="References"/>
        </w:rPr>
        <w:t>, subsection</w:t>
      </w:r>
      <w:r w:rsidR="009E53F6">
        <w:rPr>
          <w:rStyle w:val="References"/>
        </w:rPr>
        <w:t>s</w:t>
      </w:r>
      <w:r>
        <w:rPr>
          <w:rStyle w:val="References"/>
        </w:rPr>
        <w:t xml:space="preserve"> 158</w:t>
      </w:r>
      <w:proofErr w:type="gramStart"/>
      <w:r>
        <w:rPr>
          <w:rStyle w:val="References"/>
        </w:rPr>
        <w:t>A</w:t>
      </w:r>
      <w:r w:rsidR="009E53F6">
        <w:rPr>
          <w:rStyle w:val="References"/>
        </w:rPr>
        <w:t>(</w:t>
      </w:r>
      <w:proofErr w:type="gramEnd"/>
      <w:r w:rsidR="009E53F6">
        <w:rPr>
          <w:rStyle w:val="References"/>
        </w:rPr>
        <w:t>1)</w:t>
      </w:r>
      <w:r w:rsidR="00993AB1">
        <w:rPr>
          <w:rStyle w:val="References"/>
        </w:rPr>
        <w:t>, 158A(2), 158A(7), 158B(1), 158B(2) and 158B</w:t>
      </w:r>
      <w:r w:rsidR="005E0412">
        <w:rPr>
          <w:rStyle w:val="References"/>
        </w:rPr>
        <w:t>(</w:t>
      </w:r>
      <w:r w:rsidR="00993AB1">
        <w:rPr>
          <w:rStyle w:val="References"/>
        </w:rPr>
        <w:t>7</w:t>
      </w:r>
      <w:r w:rsidR="005E0412">
        <w:rPr>
          <w:rStyle w:val="References"/>
        </w:rPr>
        <w:t>)</w:t>
      </w:r>
      <w:r>
        <w:rPr>
          <w:rStyle w:val="References"/>
        </w:rPr>
        <w:t xml:space="preserve"> of the CCA</w:t>
      </w:r>
      <w:r w:rsidRPr="001956C5">
        <w:rPr>
          <w:rStyle w:val="References"/>
        </w:rPr>
        <w:t xml:space="preserve">] </w:t>
      </w:r>
    </w:p>
    <w:p w14:paraId="312EB04E" w14:textId="657BAF35" w:rsidR="00A9680B" w:rsidRPr="005C757A" w:rsidRDefault="00174B9F" w:rsidP="00A9680B">
      <w:pPr>
        <w:pStyle w:val="Normalparatextwithnumbers"/>
        <w:numPr>
          <w:ilvl w:val="1"/>
          <w:numId w:val="3"/>
        </w:numPr>
        <w:rPr>
          <w:rStyle w:val="References"/>
          <w:b w:val="0"/>
          <w:bCs w:val="0"/>
          <w:i w:val="0"/>
          <w:iCs w:val="0"/>
        </w:rPr>
      </w:pPr>
      <w:r>
        <w:rPr>
          <w:rStyle w:val="References"/>
          <w:b w:val="0"/>
          <w:bCs w:val="0"/>
          <w:i w:val="0"/>
          <w:iCs w:val="0"/>
        </w:rPr>
        <w:t xml:space="preserve">The CCA contains </w:t>
      </w:r>
      <w:r w:rsidR="00DF3ACA">
        <w:rPr>
          <w:rStyle w:val="References"/>
          <w:b w:val="0"/>
          <w:bCs w:val="0"/>
          <w:i w:val="0"/>
          <w:iCs w:val="0"/>
        </w:rPr>
        <w:t>an existing</w:t>
      </w:r>
      <w:r>
        <w:rPr>
          <w:rStyle w:val="References"/>
          <w:b w:val="0"/>
          <w:bCs w:val="0"/>
          <w:i w:val="0"/>
          <w:iCs w:val="0"/>
        </w:rPr>
        <w:t xml:space="preserve"> provision that permit</w:t>
      </w:r>
      <w:r w:rsidR="00DF3ACA">
        <w:rPr>
          <w:rStyle w:val="References"/>
          <w:b w:val="0"/>
          <w:bCs w:val="0"/>
          <w:i w:val="0"/>
          <w:iCs w:val="0"/>
        </w:rPr>
        <w:t>s the ACCC</w:t>
      </w:r>
      <w:r>
        <w:rPr>
          <w:rStyle w:val="References"/>
          <w:b w:val="0"/>
          <w:bCs w:val="0"/>
          <w:i w:val="0"/>
          <w:iCs w:val="0"/>
        </w:rPr>
        <w:t xml:space="preserve"> </w:t>
      </w:r>
      <w:r w:rsidR="00DF3ACA">
        <w:rPr>
          <w:rStyle w:val="References"/>
          <w:b w:val="0"/>
          <w:bCs w:val="0"/>
          <w:i w:val="0"/>
          <w:iCs w:val="0"/>
        </w:rPr>
        <w:t>to</w:t>
      </w:r>
      <w:r>
        <w:rPr>
          <w:rStyle w:val="References"/>
          <w:b w:val="0"/>
          <w:bCs w:val="0"/>
          <w:i w:val="0"/>
          <w:iCs w:val="0"/>
        </w:rPr>
        <w:t xml:space="preserve"> use </w:t>
      </w:r>
      <w:r w:rsidR="00DF3ACA">
        <w:rPr>
          <w:rStyle w:val="References"/>
          <w:b w:val="0"/>
          <w:bCs w:val="0"/>
          <w:i w:val="0"/>
          <w:iCs w:val="0"/>
        </w:rPr>
        <w:t>telephone, closed circuit television or any other means of communication in an arbitration hearing about an access dispute</w:t>
      </w:r>
      <w:r w:rsidRPr="00174B9F">
        <w:rPr>
          <w:rStyle w:val="References"/>
          <w:b w:val="0"/>
          <w:bCs w:val="0"/>
          <w:i w:val="0"/>
          <w:iCs w:val="0"/>
        </w:rPr>
        <w:t xml:space="preserve">. </w:t>
      </w:r>
      <w:r>
        <w:rPr>
          <w:rStyle w:val="References"/>
          <w:b w:val="0"/>
          <w:bCs w:val="0"/>
          <w:i w:val="0"/>
          <w:iCs w:val="0"/>
        </w:rPr>
        <w:t xml:space="preserve">This Schedule repeals </w:t>
      </w:r>
      <w:r w:rsidR="00B47520">
        <w:rPr>
          <w:rStyle w:val="References"/>
          <w:b w:val="0"/>
          <w:bCs w:val="0"/>
          <w:i w:val="0"/>
          <w:iCs w:val="0"/>
        </w:rPr>
        <w:t>that</w:t>
      </w:r>
      <w:r w:rsidRPr="00174B9F">
        <w:rPr>
          <w:rStyle w:val="References"/>
          <w:b w:val="0"/>
          <w:bCs w:val="0"/>
          <w:i w:val="0"/>
          <w:iCs w:val="0"/>
        </w:rPr>
        <w:t xml:space="preserve"> provision </w:t>
      </w:r>
      <w:r>
        <w:rPr>
          <w:rStyle w:val="References"/>
          <w:b w:val="0"/>
          <w:bCs w:val="0"/>
          <w:i w:val="0"/>
          <w:iCs w:val="0"/>
        </w:rPr>
        <w:t>so that the new provisions apply</w:t>
      </w:r>
      <w:r w:rsidRPr="00174B9F">
        <w:rPr>
          <w:rStyle w:val="References"/>
          <w:b w:val="0"/>
          <w:bCs w:val="0"/>
          <w:i w:val="0"/>
          <w:iCs w:val="0"/>
        </w:rPr>
        <w:t>.</w:t>
      </w:r>
      <w:r w:rsidR="00DF3ACA">
        <w:rPr>
          <w:rStyle w:val="References"/>
          <w:b w:val="0"/>
          <w:bCs w:val="0"/>
          <w:i w:val="0"/>
          <w:iCs w:val="0"/>
        </w:rPr>
        <w:br/>
      </w:r>
      <w:r w:rsidR="00DF3ACA" w:rsidRPr="00DF3ACA">
        <w:rPr>
          <w:rStyle w:val="References"/>
        </w:rPr>
        <w:t xml:space="preserve">[Schedule </w:t>
      </w:r>
      <w:r w:rsidR="00DF3ACA">
        <w:rPr>
          <w:rStyle w:val="References"/>
        </w:rPr>
        <w:t xml:space="preserve">1, item </w:t>
      </w:r>
      <w:r w:rsidR="001A61C8">
        <w:rPr>
          <w:rStyle w:val="References"/>
        </w:rPr>
        <w:t>10</w:t>
      </w:r>
      <w:r w:rsidR="00DF3ACA">
        <w:rPr>
          <w:rStyle w:val="References"/>
        </w:rPr>
        <w:t>, subsection 44</w:t>
      </w:r>
      <w:proofErr w:type="gramStart"/>
      <w:r w:rsidR="00DF3ACA">
        <w:rPr>
          <w:rStyle w:val="References"/>
        </w:rPr>
        <w:t>ZF(</w:t>
      </w:r>
      <w:proofErr w:type="gramEnd"/>
      <w:r w:rsidR="00DF3ACA">
        <w:rPr>
          <w:rStyle w:val="References"/>
        </w:rPr>
        <w:t>4) of the CCA</w:t>
      </w:r>
      <w:r w:rsidR="00DF3ACA" w:rsidRPr="00DF3ACA">
        <w:rPr>
          <w:rStyle w:val="References"/>
        </w:rPr>
        <w:t xml:space="preserve">] </w:t>
      </w:r>
    </w:p>
    <w:p w14:paraId="1882C4AE" w14:textId="62D296B6" w:rsidR="003220F9" w:rsidRDefault="00F152E7" w:rsidP="005C757A">
      <w:pPr>
        <w:pStyle w:val="Normalparatextwithnumbers"/>
        <w:numPr>
          <w:ilvl w:val="1"/>
          <w:numId w:val="3"/>
        </w:numPr>
      </w:pPr>
      <w:r>
        <w:t>For proceedings under the CCA</w:t>
      </w:r>
      <w:r w:rsidR="00172DA6">
        <w:t xml:space="preserve"> </w:t>
      </w:r>
      <w:r w:rsidR="00717CF4">
        <w:t>that are or will be held</w:t>
      </w:r>
      <w:r w:rsidR="003220F9">
        <w:t>:</w:t>
      </w:r>
    </w:p>
    <w:p w14:paraId="5D01CCE9" w14:textId="411D3866" w:rsidR="003220F9" w:rsidRDefault="00717CF4" w:rsidP="003220F9">
      <w:pPr>
        <w:pStyle w:val="Normalparatextwithnumbers"/>
        <w:numPr>
          <w:ilvl w:val="1"/>
          <w:numId w:val="26"/>
        </w:numPr>
      </w:pPr>
      <w:r>
        <w:t xml:space="preserve">at </w:t>
      </w:r>
      <w:r w:rsidR="003220F9">
        <w:t>more than one physical venue; or</w:t>
      </w:r>
    </w:p>
    <w:p w14:paraId="291EF012" w14:textId="3AF32A8D" w:rsidR="003220F9" w:rsidRDefault="003220F9" w:rsidP="003220F9">
      <w:pPr>
        <w:pStyle w:val="Normalparatextwithnumbers"/>
        <w:numPr>
          <w:ilvl w:val="1"/>
          <w:numId w:val="26"/>
        </w:numPr>
      </w:pPr>
      <w:r>
        <w:t>at one or more physical venues and using virtual enquiry technology; or</w:t>
      </w:r>
    </w:p>
    <w:p w14:paraId="1DB43D10" w14:textId="2DC26D76" w:rsidR="003220F9" w:rsidRDefault="003220F9" w:rsidP="003220F9">
      <w:pPr>
        <w:pStyle w:val="Normalparatextwithnumbers"/>
        <w:numPr>
          <w:ilvl w:val="1"/>
          <w:numId w:val="26"/>
        </w:numPr>
      </w:pPr>
      <w:r>
        <w:t xml:space="preserve">using virtual enquiry technology </w:t>
      </w:r>
      <w:proofErr w:type="gramStart"/>
      <w:r>
        <w:t>only;</w:t>
      </w:r>
      <w:proofErr w:type="gramEnd"/>
    </w:p>
    <w:p w14:paraId="0F78D758" w14:textId="24483177" w:rsidR="003220F9" w:rsidRDefault="003220F9" w:rsidP="003220F9">
      <w:pPr>
        <w:pStyle w:val="Normalparatextwithnumbers"/>
        <w:numPr>
          <w:ilvl w:val="0"/>
          <w:numId w:val="0"/>
        </w:numPr>
        <w:ind w:left="709"/>
      </w:pPr>
      <w:r>
        <w:lastRenderedPageBreak/>
        <w:t xml:space="preserve">the new provisions provide rules to determine the single place and time of a proceeding. </w:t>
      </w:r>
      <w:r w:rsidR="00717CF4">
        <w:t>Different rules apply</w:t>
      </w:r>
      <w:r>
        <w:t xml:space="preserve"> depending on whether the proceedings are initiated by a </w:t>
      </w:r>
      <w:r w:rsidR="00717CF4">
        <w:t xml:space="preserve">notice. The rules </w:t>
      </w:r>
      <w:r>
        <w:t>are summarised in Table 1.2.</w:t>
      </w:r>
    </w:p>
    <w:p w14:paraId="05FF694D" w14:textId="5F499EFB" w:rsidR="00172DA6" w:rsidRDefault="00172DA6" w:rsidP="00172DA6">
      <w:pPr>
        <w:pStyle w:val="Normalparatextwithnumbers"/>
        <w:numPr>
          <w:ilvl w:val="1"/>
          <w:numId w:val="3"/>
        </w:numPr>
        <w:rPr>
          <w:rStyle w:val="References"/>
          <w:b w:val="0"/>
          <w:bCs w:val="0"/>
          <w:i w:val="0"/>
          <w:iCs w:val="0"/>
        </w:rPr>
      </w:pPr>
      <w:r>
        <w:rPr>
          <w:rStyle w:val="References"/>
          <w:b w:val="0"/>
          <w:bCs w:val="0"/>
          <w:i w:val="0"/>
          <w:iCs w:val="0"/>
        </w:rPr>
        <w:t>For proceedings without an initiation notice, the regulator may, before or after the proceeding</w:t>
      </w:r>
      <w:r w:rsidR="001A61C8">
        <w:rPr>
          <w:rStyle w:val="References"/>
          <w:b w:val="0"/>
          <w:bCs w:val="0"/>
          <w:i w:val="0"/>
          <w:iCs w:val="0"/>
        </w:rPr>
        <w:t>s</w:t>
      </w:r>
      <w:r>
        <w:rPr>
          <w:rStyle w:val="References"/>
          <w:b w:val="0"/>
          <w:bCs w:val="0"/>
          <w:i w:val="0"/>
          <w:iCs w:val="0"/>
        </w:rPr>
        <w:t>, appoint a single place and time for the proceeding</w:t>
      </w:r>
      <w:r w:rsidR="001A61C8">
        <w:rPr>
          <w:rStyle w:val="References"/>
          <w:b w:val="0"/>
          <w:bCs w:val="0"/>
          <w:i w:val="0"/>
          <w:iCs w:val="0"/>
        </w:rPr>
        <w:t>s</w:t>
      </w:r>
      <w:r>
        <w:rPr>
          <w:rStyle w:val="References"/>
          <w:b w:val="0"/>
          <w:bCs w:val="0"/>
          <w:i w:val="0"/>
          <w:iCs w:val="0"/>
        </w:rPr>
        <w:t xml:space="preserve">. </w:t>
      </w:r>
      <w:r w:rsidR="00634BA4">
        <w:rPr>
          <w:rStyle w:val="References"/>
          <w:b w:val="0"/>
          <w:bCs w:val="0"/>
          <w:i w:val="0"/>
          <w:iCs w:val="0"/>
        </w:rPr>
        <w:br/>
      </w:r>
      <w:r w:rsidR="00634BA4" w:rsidRPr="005C757A">
        <w:rPr>
          <w:rStyle w:val="References"/>
        </w:rPr>
        <w:t xml:space="preserve">[Schedule </w:t>
      </w:r>
      <w:r w:rsidR="00634BA4">
        <w:rPr>
          <w:rStyle w:val="References"/>
        </w:rPr>
        <w:t>1, item 11, subsections 158</w:t>
      </w:r>
      <w:proofErr w:type="gramStart"/>
      <w:r w:rsidR="00634BA4">
        <w:rPr>
          <w:rStyle w:val="References"/>
        </w:rPr>
        <w:t>A(</w:t>
      </w:r>
      <w:proofErr w:type="gramEnd"/>
      <w:r w:rsidR="00634BA4">
        <w:rPr>
          <w:rStyle w:val="References"/>
        </w:rPr>
        <w:t>1) and (</w:t>
      </w:r>
      <w:r w:rsidR="001A61C8">
        <w:rPr>
          <w:rStyle w:val="References"/>
        </w:rPr>
        <w:t>6</w:t>
      </w:r>
      <w:r w:rsidR="00634BA4">
        <w:rPr>
          <w:rStyle w:val="References"/>
        </w:rPr>
        <w:t>) of the CCA</w:t>
      </w:r>
      <w:r w:rsidR="00634BA4" w:rsidRPr="005C757A">
        <w:rPr>
          <w:rStyle w:val="References"/>
        </w:rPr>
        <w:t xml:space="preserve">] </w:t>
      </w:r>
    </w:p>
    <w:p w14:paraId="0A43F8AD" w14:textId="1BC6629E" w:rsidR="00172DA6" w:rsidRDefault="00172DA6" w:rsidP="005C757A">
      <w:pPr>
        <w:pStyle w:val="Normalparatextwithnumbers"/>
        <w:numPr>
          <w:ilvl w:val="1"/>
          <w:numId w:val="3"/>
        </w:numPr>
      </w:pPr>
      <w:r>
        <w:rPr>
          <w:rStyle w:val="References"/>
          <w:b w:val="0"/>
          <w:bCs w:val="0"/>
          <w:i w:val="0"/>
          <w:iCs w:val="0"/>
        </w:rPr>
        <w:t xml:space="preserve">For proceedings with an initiation notice, </w:t>
      </w:r>
      <w:r w:rsidRPr="006F125F">
        <w:rPr>
          <w:rStyle w:val="References"/>
          <w:b w:val="0"/>
          <w:bCs w:val="0"/>
          <w:i w:val="0"/>
          <w:iCs w:val="0"/>
        </w:rPr>
        <w:t>the single place and time at which the proceeding</w:t>
      </w:r>
      <w:r w:rsidR="001A61C8">
        <w:rPr>
          <w:rStyle w:val="References"/>
          <w:b w:val="0"/>
          <w:bCs w:val="0"/>
          <w:i w:val="0"/>
          <w:iCs w:val="0"/>
        </w:rPr>
        <w:t>s</w:t>
      </w:r>
      <w:r w:rsidRPr="006F125F">
        <w:rPr>
          <w:rStyle w:val="References"/>
          <w:b w:val="0"/>
          <w:bCs w:val="0"/>
          <w:i w:val="0"/>
          <w:iCs w:val="0"/>
        </w:rPr>
        <w:t xml:space="preserve"> </w:t>
      </w:r>
      <w:r w:rsidR="001A61C8">
        <w:rPr>
          <w:rStyle w:val="References"/>
          <w:b w:val="0"/>
          <w:bCs w:val="0"/>
          <w:i w:val="0"/>
          <w:iCs w:val="0"/>
        </w:rPr>
        <w:t>are</w:t>
      </w:r>
      <w:r w:rsidRPr="006F125F">
        <w:rPr>
          <w:rStyle w:val="References"/>
          <w:b w:val="0"/>
          <w:bCs w:val="0"/>
          <w:i w:val="0"/>
          <w:iCs w:val="0"/>
        </w:rPr>
        <w:t xml:space="preserve"> taken to be held is that specified in the notice for the proceeding</w:t>
      </w:r>
      <w:r w:rsidR="001A61C8">
        <w:rPr>
          <w:rStyle w:val="References"/>
          <w:b w:val="0"/>
          <w:bCs w:val="0"/>
          <w:i w:val="0"/>
          <w:iCs w:val="0"/>
        </w:rPr>
        <w:t>s</w:t>
      </w:r>
      <w:r w:rsidRPr="006F125F">
        <w:rPr>
          <w:rStyle w:val="References"/>
          <w:b w:val="0"/>
          <w:bCs w:val="0"/>
          <w:i w:val="0"/>
          <w:iCs w:val="0"/>
        </w:rPr>
        <w:t>.</w:t>
      </w:r>
      <w:r>
        <w:t xml:space="preserve"> </w:t>
      </w:r>
      <w:r>
        <w:br/>
      </w:r>
      <w:r w:rsidRPr="00C5592F">
        <w:rPr>
          <w:rStyle w:val="References"/>
        </w:rPr>
        <w:t>[</w:t>
      </w:r>
      <w:r w:rsidRPr="00253AB3">
        <w:rPr>
          <w:rStyle w:val="References"/>
        </w:rPr>
        <w:t xml:space="preserve">Schedule </w:t>
      </w:r>
      <w:r>
        <w:rPr>
          <w:rStyle w:val="References"/>
        </w:rPr>
        <w:t>1</w:t>
      </w:r>
      <w:r w:rsidRPr="00253AB3">
        <w:rPr>
          <w:rStyle w:val="References"/>
        </w:rPr>
        <w:t xml:space="preserve">, </w:t>
      </w:r>
      <w:r>
        <w:rPr>
          <w:rStyle w:val="References"/>
        </w:rPr>
        <w:t xml:space="preserve">item 11, subsections </w:t>
      </w:r>
      <w:r w:rsidR="00634BA4">
        <w:rPr>
          <w:rStyle w:val="References"/>
        </w:rPr>
        <w:t>158</w:t>
      </w:r>
      <w:proofErr w:type="gramStart"/>
      <w:r w:rsidR="00634BA4">
        <w:rPr>
          <w:rStyle w:val="References"/>
        </w:rPr>
        <w:t>B(</w:t>
      </w:r>
      <w:proofErr w:type="gramEnd"/>
      <w:r w:rsidR="00634BA4">
        <w:rPr>
          <w:rStyle w:val="References"/>
        </w:rPr>
        <w:t>1) and (3)</w:t>
      </w:r>
      <w:r>
        <w:rPr>
          <w:rStyle w:val="References"/>
        </w:rPr>
        <w:t xml:space="preserve"> of the CCA</w:t>
      </w:r>
      <w:r w:rsidR="00DD6241">
        <w:rPr>
          <w:rStyle w:val="References"/>
        </w:rPr>
        <w:t>]</w:t>
      </w:r>
    </w:p>
    <w:p w14:paraId="05A9C946" w14:textId="50C55C9B" w:rsidR="00F152E7" w:rsidRPr="002D3B91" w:rsidRDefault="00F152E7" w:rsidP="00F152E7">
      <w:pPr>
        <w:pStyle w:val="TableHeading"/>
        <w:numPr>
          <w:ilvl w:val="0"/>
          <w:numId w:val="0"/>
        </w:numPr>
      </w:pPr>
      <w:r>
        <w:t>Table 1.2: Place and time of proceedings under the CCA</w:t>
      </w:r>
    </w:p>
    <w:tbl>
      <w:tblPr>
        <w:tblStyle w:val="Treasurytable"/>
        <w:tblW w:w="0" w:type="auto"/>
        <w:tblLayout w:type="fixed"/>
        <w:tblLook w:val="01E0" w:firstRow="1" w:lastRow="1" w:firstColumn="1" w:lastColumn="1" w:noHBand="0" w:noVBand="0"/>
      </w:tblPr>
      <w:tblGrid>
        <w:gridCol w:w="2405"/>
        <w:gridCol w:w="2693"/>
        <w:gridCol w:w="2603"/>
      </w:tblGrid>
      <w:tr w:rsidR="00F152E7" w:rsidRPr="00020288" w14:paraId="2C3C4BDD" w14:textId="77777777" w:rsidTr="009715A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auto"/>
          </w:tcPr>
          <w:p w14:paraId="5D9B3FC2" w14:textId="7D734DA6" w:rsidR="00F152E7" w:rsidRPr="00A61FE9" w:rsidRDefault="00F152E7" w:rsidP="009715A1">
            <w:pPr>
              <w:pStyle w:val="Tableheaderrowtext"/>
              <w:numPr>
                <w:ilvl w:val="0"/>
                <w:numId w:val="0"/>
              </w:numPr>
            </w:pPr>
            <w:r>
              <w:t xml:space="preserve">Type of proceeding </w:t>
            </w:r>
          </w:p>
        </w:tc>
        <w:tc>
          <w:tcPr>
            <w:tcW w:w="2693" w:type="dxa"/>
            <w:shd w:val="clear" w:color="auto" w:fill="auto"/>
          </w:tcPr>
          <w:p w14:paraId="27E9D5F3" w14:textId="6D91CA76" w:rsidR="00F152E7" w:rsidRPr="00A61FE9" w:rsidRDefault="00F152E7" w:rsidP="009715A1">
            <w:pPr>
              <w:pStyle w:val="Tableheaderrowtext"/>
              <w:numPr>
                <w:ilvl w:val="0"/>
                <w:numId w:val="0"/>
              </w:numPr>
            </w:pPr>
            <w:r>
              <w:t>Place of proceeding</w:t>
            </w:r>
          </w:p>
        </w:tc>
        <w:tc>
          <w:tcPr>
            <w:tcW w:w="2603" w:type="dxa"/>
            <w:shd w:val="clear" w:color="auto" w:fill="auto"/>
          </w:tcPr>
          <w:p w14:paraId="50C18C9D" w14:textId="6789A985" w:rsidR="00F152E7" w:rsidRDefault="00F152E7" w:rsidP="009715A1">
            <w:pPr>
              <w:pStyle w:val="Tableheaderrowtext"/>
              <w:numPr>
                <w:ilvl w:val="0"/>
                <w:numId w:val="0"/>
              </w:numPr>
            </w:pPr>
            <w:r>
              <w:t>Time of proceeding</w:t>
            </w:r>
          </w:p>
        </w:tc>
      </w:tr>
      <w:tr w:rsidR="00F152E7" w:rsidRPr="00020288" w14:paraId="33A8635F" w14:textId="77777777" w:rsidTr="009715A1">
        <w:tc>
          <w:tcPr>
            <w:tcW w:w="2405" w:type="dxa"/>
            <w:shd w:val="clear" w:color="auto" w:fill="auto"/>
          </w:tcPr>
          <w:p w14:paraId="2037152F" w14:textId="13922335" w:rsidR="00F152E7" w:rsidRPr="007410A9" w:rsidRDefault="00F152E7" w:rsidP="009715A1">
            <w:pPr>
              <w:pStyle w:val="Tabletext"/>
              <w:rPr>
                <w:sz w:val="22"/>
                <w:szCs w:val="22"/>
              </w:rPr>
            </w:pPr>
            <w:r>
              <w:rPr>
                <w:sz w:val="22"/>
                <w:szCs w:val="22"/>
              </w:rPr>
              <w:t>Proceeding with</w:t>
            </w:r>
            <w:r w:rsidR="00BA68F5">
              <w:rPr>
                <w:sz w:val="22"/>
                <w:szCs w:val="22"/>
              </w:rPr>
              <w:t>out</w:t>
            </w:r>
            <w:r>
              <w:rPr>
                <w:sz w:val="22"/>
                <w:szCs w:val="22"/>
              </w:rPr>
              <w:t xml:space="preserve"> initiation notice</w:t>
            </w:r>
          </w:p>
        </w:tc>
        <w:tc>
          <w:tcPr>
            <w:tcW w:w="2693" w:type="dxa"/>
            <w:shd w:val="clear" w:color="auto" w:fill="auto"/>
          </w:tcPr>
          <w:p w14:paraId="7C3472E1" w14:textId="2F1ED54E" w:rsidR="00F152E7" w:rsidRPr="007410A9" w:rsidRDefault="00BA68F5" w:rsidP="009715A1">
            <w:pPr>
              <w:pStyle w:val="Tabletext"/>
              <w:rPr>
                <w:sz w:val="22"/>
                <w:szCs w:val="22"/>
              </w:rPr>
            </w:pPr>
            <w:r>
              <w:rPr>
                <w:sz w:val="22"/>
                <w:szCs w:val="22"/>
              </w:rPr>
              <w:t>Place appointed by the regulator</w:t>
            </w:r>
          </w:p>
        </w:tc>
        <w:tc>
          <w:tcPr>
            <w:tcW w:w="2603" w:type="dxa"/>
            <w:shd w:val="clear" w:color="auto" w:fill="auto"/>
          </w:tcPr>
          <w:p w14:paraId="03281488" w14:textId="7D670FE4" w:rsidR="00F152E7" w:rsidRPr="007410A9" w:rsidRDefault="00BA68F5" w:rsidP="009715A1">
            <w:pPr>
              <w:pStyle w:val="Tabletext"/>
              <w:rPr>
                <w:sz w:val="22"/>
                <w:szCs w:val="22"/>
              </w:rPr>
            </w:pPr>
            <w:r>
              <w:rPr>
                <w:sz w:val="22"/>
                <w:szCs w:val="22"/>
              </w:rPr>
              <w:t>Time at the place appointed by the regulator</w:t>
            </w:r>
          </w:p>
        </w:tc>
      </w:tr>
      <w:tr w:rsidR="00F152E7" w:rsidRPr="00020288" w14:paraId="242E914D" w14:textId="77777777" w:rsidTr="009715A1">
        <w:tc>
          <w:tcPr>
            <w:tcW w:w="2405" w:type="dxa"/>
            <w:shd w:val="clear" w:color="auto" w:fill="auto"/>
          </w:tcPr>
          <w:p w14:paraId="5DF915AB" w14:textId="1162C01A" w:rsidR="00F152E7" w:rsidRPr="007410A9" w:rsidRDefault="00BA68F5" w:rsidP="009715A1">
            <w:pPr>
              <w:pStyle w:val="Tabletext"/>
              <w:rPr>
                <w:sz w:val="22"/>
                <w:szCs w:val="22"/>
              </w:rPr>
            </w:pPr>
            <w:r>
              <w:rPr>
                <w:sz w:val="22"/>
                <w:szCs w:val="22"/>
              </w:rPr>
              <w:t>Proceeding with initiation notice</w:t>
            </w:r>
          </w:p>
        </w:tc>
        <w:tc>
          <w:tcPr>
            <w:tcW w:w="2693" w:type="dxa"/>
            <w:shd w:val="clear" w:color="auto" w:fill="auto"/>
          </w:tcPr>
          <w:p w14:paraId="37C13004" w14:textId="655ECFF2" w:rsidR="00F152E7" w:rsidRPr="007410A9" w:rsidRDefault="00BA68F5" w:rsidP="009715A1">
            <w:pPr>
              <w:pStyle w:val="Tabletext"/>
              <w:ind w:left="0"/>
              <w:rPr>
                <w:sz w:val="22"/>
                <w:szCs w:val="22"/>
              </w:rPr>
            </w:pPr>
            <w:r>
              <w:rPr>
                <w:sz w:val="22"/>
                <w:szCs w:val="22"/>
              </w:rPr>
              <w:t>Place specified in the notice for the proceedings</w:t>
            </w:r>
          </w:p>
        </w:tc>
        <w:tc>
          <w:tcPr>
            <w:tcW w:w="2603" w:type="dxa"/>
            <w:shd w:val="clear" w:color="auto" w:fill="auto"/>
          </w:tcPr>
          <w:p w14:paraId="095BDCB4" w14:textId="777E3793" w:rsidR="00F152E7" w:rsidRPr="007410A9" w:rsidRDefault="00BA68F5" w:rsidP="009715A1">
            <w:pPr>
              <w:pStyle w:val="Tabletext"/>
              <w:rPr>
                <w:sz w:val="22"/>
                <w:szCs w:val="22"/>
              </w:rPr>
            </w:pPr>
            <w:r>
              <w:rPr>
                <w:sz w:val="22"/>
                <w:szCs w:val="22"/>
              </w:rPr>
              <w:t>Time at the place specified in the notice for the proceedings</w:t>
            </w:r>
          </w:p>
        </w:tc>
      </w:tr>
    </w:tbl>
    <w:p w14:paraId="1945C096" w14:textId="63807953" w:rsidR="00B27A50" w:rsidRDefault="00B27A50" w:rsidP="00B27A50">
      <w:pPr>
        <w:pStyle w:val="Normalparatextwithnumbers"/>
        <w:numPr>
          <w:ilvl w:val="0"/>
          <w:numId w:val="0"/>
        </w:numPr>
        <w:ind w:left="709" w:hanging="709"/>
        <w:rPr>
          <w:rFonts w:ascii="Helvetica" w:hAnsi="Helvetica" w:cs="Helvetica"/>
          <w:sz w:val="32"/>
          <w:szCs w:val="32"/>
        </w:rPr>
      </w:pPr>
      <w:r>
        <w:rPr>
          <w:rFonts w:ascii="Helvetica" w:hAnsi="Helvetica" w:cs="Helvetica"/>
          <w:sz w:val="32"/>
          <w:szCs w:val="32"/>
        </w:rPr>
        <w:t>Proceedings under the NCCPA</w:t>
      </w:r>
    </w:p>
    <w:p w14:paraId="23F9FC8C" w14:textId="2674FE94" w:rsidR="00B27A50" w:rsidRPr="00B27A50" w:rsidRDefault="00B27A50" w:rsidP="00B27A50">
      <w:pPr>
        <w:pStyle w:val="Normalparatextwithnumbers"/>
        <w:numPr>
          <w:ilvl w:val="1"/>
          <w:numId w:val="3"/>
        </w:numPr>
        <w:rPr>
          <w:rStyle w:val="References"/>
          <w:b w:val="0"/>
          <w:bCs w:val="0"/>
          <w:i w:val="0"/>
          <w:iCs w:val="0"/>
        </w:rPr>
      </w:pPr>
      <w:r>
        <w:t>Schedule 1 to the Bill allows ASIC to conduct all or part of a hearing or examination under the NCCPA in a physical, hybrid or virtual form.</w:t>
      </w:r>
      <w:r>
        <w:br/>
      </w:r>
      <w:r w:rsidRPr="00B27A50">
        <w:rPr>
          <w:rStyle w:val="References"/>
        </w:rPr>
        <w:t xml:space="preserve">[Schedule </w:t>
      </w:r>
      <w:r>
        <w:rPr>
          <w:rStyle w:val="References"/>
        </w:rPr>
        <w:t xml:space="preserve">1, items </w:t>
      </w:r>
      <w:r w:rsidR="001A61C8">
        <w:rPr>
          <w:rStyle w:val="References"/>
        </w:rPr>
        <w:t xml:space="preserve">13 </w:t>
      </w:r>
      <w:r>
        <w:rPr>
          <w:rStyle w:val="References"/>
        </w:rPr>
        <w:t xml:space="preserve">and </w:t>
      </w:r>
      <w:r w:rsidR="001A61C8">
        <w:rPr>
          <w:rStyle w:val="References"/>
        </w:rPr>
        <w:t>14</w:t>
      </w:r>
      <w:r>
        <w:rPr>
          <w:rStyle w:val="References"/>
        </w:rPr>
        <w:t>, subsections 256</w:t>
      </w:r>
      <w:proofErr w:type="gramStart"/>
      <w:r>
        <w:rPr>
          <w:rStyle w:val="References"/>
        </w:rPr>
        <w:t>A(</w:t>
      </w:r>
      <w:proofErr w:type="gramEnd"/>
      <w:r>
        <w:rPr>
          <w:rStyle w:val="References"/>
        </w:rPr>
        <w:t>1)</w:t>
      </w:r>
      <w:r w:rsidR="005E0412">
        <w:rPr>
          <w:rStyle w:val="References"/>
        </w:rPr>
        <w:t>, 256A(</w:t>
      </w:r>
      <w:r w:rsidR="001A61C8">
        <w:rPr>
          <w:rStyle w:val="References"/>
        </w:rPr>
        <w:t>5</w:t>
      </w:r>
      <w:r w:rsidR="005E0412">
        <w:rPr>
          <w:rStyle w:val="References"/>
        </w:rPr>
        <w:t xml:space="preserve">), </w:t>
      </w:r>
      <w:r>
        <w:rPr>
          <w:rStyle w:val="References"/>
        </w:rPr>
        <w:t>285A(1)</w:t>
      </w:r>
      <w:r w:rsidR="005E0412">
        <w:rPr>
          <w:rStyle w:val="References"/>
        </w:rPr>
        <w:t xml:space="preserve"> and 285A(6)</w:t>
      </w:r>
      <w:r>
        <w:rPr>
          <w:rStyle w:val="References"/>
        </w:rPr>
        <w:t xml:space="preserve"> of the NCCPA</w:t>
      </w:r>
      <w:r w:rsidRPr="00B27A50">
        <w:rPr>
          <w:rStyle w:val="References"/>
        </w:rPr>
        <w:t xml:space="preserve">] </w:t>
      </w:r>
    </w:p>
    <w:p w14:paraId="34B54EC4" w14:textId="2CB91067" w:rsidR="007F1B54" w:rsidRDefault="007F1B54" w:rsidP="007F1B54">
      <w:pPr>
        <w:pStyle w:val="Normalparatextwithnumbers"/>
        <w:numPr>
          <w:ilvl w:val="1"/>
          <w:numId w:val="3"/>
        </w:numPr>
        <w:rPr>
          <w:rStyle w:val="References"/>
          <w:b w:val="0"/>
          <w:bCs w:val="0"/>
          <w:i w:val="0"/>
          <w:iCs w:val="0"/>
        </w:rPr>
      </w:pPr>
      <w:r>
        <w:rPr>
          <w:rStyle w:val="References"/>
          <w:b w:val="0"/>
          <w:bCs w:val="0"/>
          <w:i w:val="0"/>
          <w:iCs w:val="0"/>
        </w:rPr>
        <w:t>For the purposes of an examination under Part 6-2 of the NCCPA, the examinee appears before the inspector, who is a</w:t>
      </w:r>
      <w:r w:rsidR="00D74EA1">
        <w:rPr>
          <w:rStyle w:val="References"/>
          <w:b w:val="0"/>
          <w:bCs w:val="0"/>
          <w:i w:val="0"/>
          <w:iCs w:val="0"/>
        </w:rPr>
        <w:t>n</w:t>
      </w:r>
      <w:r>
        <w:rPr>
          <w:rStyle w:val="References"/>
          <w:b w:val="0"/>
          <w:bCs w:val="0"/>
          <w:i w:val="0"/>
          <w:iCs w:val="0"/>
        </w:rPr>
        <w:t xml:space="preserve"> </w:t>
      </w:r>
      <w:r w:rsidR="00D74EA1">
        <w:rPr>
          <w:rStyle w:val="References"/>
          <w:b w:val="0"/>
          <w:bCs w:val="0"/>
          <w:i w:val="0"/>
          <w:iCs w:val="0"/>
        </w:rPr>
        <w:t>ASIC member or ASIC staff member (see sections 253 and 254 of the NCCPA)</w:t>
      </w:r>
      <w:r>
        <w:rPr>
          <w:rStyle w:val="References"/>
          <w:b w:val="0"/>
          <w:bCs w:val="0"/>
          <w:i w:val="0"/>
          <w:iCs w:val="0"/>
        </w:rPr>
        <w:t>.</w:t>
      </w:r>
    </w:p>
    <w:p w14:paraId="691420BC" w14:textId="3D37C5C2" w:rsidR="00B27A50" w:rsidRDefault="0031412F" w:rsidP="0031412F">
      <w:pPr>
        <w:pStyle w:val="Normalparatextwithnumbers"/>
        <w:numPr>
          <w:ilvl w:val="1"/>
          <w:numId w:val="3"/>
        </w:numPr>
      </w:pPr>
      <w:r>
        <w:t>The rules to determine the place and time of proceeding</w:t>
      </w:r>
      <w:r w:rsidR="001A61C8">
        <w:t>s</w:t>
      </w:r>
      <w:r>
        <w:t xml:space="preserve"> under the NCCPA are summarised in Table 1.1. </w:t>
      </w:r>
      <w:r>
        <w:br/>
      </w:r>
      <w:r w:rsidRPr="003916CF">
        <w:rPr>
          <w:rStyle w:val="References"/>
        </w:rPr>
        <w:t>[</w:t>
      </w:r>
      <w:r>
        <w:rPr>
          <w:rStyle w:val="References"/>
        </w:rPr>
        <w:t>Schedule 1, items 10 and 11, subsections 256</w:t>
      </w:r>
      <w:proofErr w:type="gramStart"/>
      <w:r>
        <w:rPr>
          <w:rStyle w:val="References"/>
        </w:rPr>
        <w:t>A(</w:t>
      </w:r>
      <w:proofErr w:type="gramEnd"/>
      <w:r w:rsidR="001A61C8">
        <w:rPr>
          <w:rStyle w:val="References"/>
        </w:rPr>
        <w:t>4</w:t>
      </w:r>
      <w:r>
        <w:rPr>
          <w:rStyle w:val="References"/>
        </w:rPr>
        <w:t>) and 285A(5) of the NCCPA</w:t>
      </w:r>
      <w:r w:rsidRPr="003916CF">
        <w:rPr>
          <w:rStyle w:val="References"/>
        </w:rPr>
        <w:t xml:space="preserve">] </w:t>
      </w:r>
    </w:p>
    <w:p w14:paraId="7290EBFB" w14:textId="575E972C" w:rsidR="00B27A50" w:rsidRDefault="00B27A50" w:rsidP="00B27A50">
      <w:pPr>
        <w:pStyle w:val="Normalparatextwithnumbers"/>
        <w:numPr>
          <w:ilvl w:val="0"/>
          <w:numId w:val="0"/>
        </w:numPr>
        <w:ind w:left="709" w:hanging="709"/>
        <w:rPr>
          <w:rFonts w:ascii="Helvetica" w:hAnsi="Helvetica" w:cs="Helvetica"/>
          <w:sz w:val="32"/>
          <w:szCs w:val="32"/>
        </w:rPr>
      </w:pPr>
      <w:r>
        <w:rPr>
          <w:rFonts w:ascii="Helvetica" w:hAnsi="Helvetica" w:cs="Helvetica"/>
          <w:sz w:val="32"/>
          <w:szCs w:val="32"/>
        </w:rPr>
        <w:t xml:space="preserve">Appearances before the </w:t>
      </w:r>
      <w:r w:rsidR="003921E4">
        <w:rPr>
          <w:rFonts w:ascii="Helvetica" w:hAnsi="Helvetica" w:cs="Helvetica"/>
          <w:sz w:val="32"/>
          <w:szCs w:val="32"/>
        </w:rPr>
        <w:t>TPB</w:t>
      </w:r>
      <w:r>
        <w:rPr>
          <w:rFonts w:ascii="Helvetica" w:hAnsi="Helvetica" w:cs="Helvetica"/>
          <w:sz w:val="32"/>
          <w:szCs w:val="32"/>
        </w:rPr>
        <w:t xml:space="preserve"> under the TASA</w:t>
      </w:r>
    </w:p>
    <w:p w14:paraId="445EBDCB" w14:textId="4EA26887" w:rsidR="003E264F" w:rsidRDefault="00B27A50" w:rsidP="003E264F">
      <w:pPr>
        <w:pStyle w:val="Normalparatextwithnumbers"/>
        <w:numPr>
          <w:ilvl w:val="1"/>
          <w:numId w:val="3"/>
        </w:numPr>
        <w:contextualSpacing/>
      </w:pPr>
      <w:r>
        <w:t xml:space="preserve">Schedule 1 to the Bill allows the TPB to </w:t>
      </w:r>
      <w:r w:rsidR="003E264F">
        <w:t>hold all or part of a proceeding at which a person is to appear before the TPB in a physical, hybrid or virtual form.</w:t>
      </w:r>
    </w:p>
    <w:p w14:paraId="3CB9EDC7" w14:textId="1FAA6F3B" w:rsidR="00B27A50" w:rsidRPr="00B27A50" w:rsidRDefault="00B27A50" w:rsidP="003E264F">
      <w:pPr>
        <w:pStyle w:val="Normalparatextwithnumbers"/>
        <w:numPr>
          <w:ilvl w:val="0"/>
          <w:numId w:val="0"/>
        </w:numPr>
        <w:ind w:left="709"/>
        <w:rPr>
          <w:rStyle w:val="References"/>
          <w:b w:val="0"/>
          <w:bCs w:val="0"/>
          <w:i w:val="0"/>
          <w:iCs w:val="0"/>
        </w:rPr>
      </w:pPr>
      <w:r w:rsidRPr="00B27A50">
        <w:rPr>
          <w:rStyle w:val="References"/>
        </w:rPr>
        <w:t xml:space="preserve">[Schedule </w:t>
      </w:r>
      <w:r>
        <w:rPr>
          <w:rStyle w:val="References"/>
        </w:rPr>
        <w:t xml:space="preserve">1, </w:t>
      </w:r>
      <w:r w:rsidR="003E264F">
        <w:rPr>
          <w:rStyle w:val="References"/>
        </w:rPr>
        <w:t>item 1</w:t>
      </w:r>
      <w:r w:rsidR="00531D89">
        <w:rPr>
          <w:rStyle w:val="References"/>
        </w:rPr>
        <w:t>5</w:t>
      </w:r>
      <w:r w:rsidR="003E264F">
        <w:rPr>
          <w:rStyle w:val="References"/>
        </w:rPr>
        <w:t>, subsections 60-105(4) and (</w:t>
      </w:r>
      <w:r w:rsidR="005E0412">
        <w:rPr>
          <w:rStyle w:val="References"/>
        </w:rPr>
        <w:t>8</w:t>
      </w:r>
      <w:r w:rsidR="003E264F">
        <w:rPr>
          <w:rStyle w:val="References"/>
        </w:rPr>
        <w:t>) of the TASA</w:t>
      </w:r>
      <w:r w:rsidRPr="00B27A50">
        <w:rPr>
          <w:rStyle w:val="References"/>
        </w:rPr>
        <w:t xml:space="preserve">] </w:t>
      </w:r>
    </w:p>
    <w:p w14:paraId="1CF07E81" w14:textId="6879F669" w:rsidR="00174B9F" w:rsidRDefault="0031412F" w:rsidP="00715CBA">
      <w:pPr>
        <w:pStyle w:val="Normalparatextwithnumbers"/>
        <w:numPr>
          <w:ilvl w:val="1"/>
          <w:numId w:val="3"/>
        </w:numPr>
      </w:pPr>
      <w:r>
        <w:t xml:space="preserve">The rules to determine the place and time of an appearance before the TPB under the TASA are summarised in Table 1.1. </w:t>
      </w:r>
      <w:r>
        <w:br/>
      </w:r>
      <w:r w:rsidRPr="003916CF">
        <w:rPr>
          <w:rStyle w:val="References"/>
        </w:rPr>
        <w:t>[</w:t>
      </w:r>
      <w:r>
        <w:rPr>
          <w:rStyle w:val="References"/>
        </w:rPr>
        <w:t>Schedule 1, item 1</w:t>
      </w:r>
      <w:r w:rsidR="00531D89">
        <w:rPr>
          <w:rStyle w:val="References"/>
        </w:rPr>
        <w:t>5</w:t>
      </w:r>
      <w:r>
        <w:rPr>
          <w:rStyle w:val="References"/>
        </w:rPr>
        <w:t>, subsection 60-105(7) of the TASA</w:t>
      </w:r>
      <w:r w:rsidRPr="003916CF">
        <w:rPr>
          <w:rStyle w:val="References"/>
        </w:rPr>
        <w:t xml:space="preserve">] </w:t>
      </w:r>
    </w:p>
    <w:p w14:paraId="0F7505A9" w14:textId="2F321677" w:rsidR="00873094" w:rsidRPr="000F3E37" w:rsidRDefault="00873094" w:rsidP="000F3E37">
      <w:pPr>
        <w:pStyle w:val="Normalparatextwithnumbers"/>
        <w:numPr>
          <w:ilvl w:val="0"/>
          <w:numId w:val="0"/>
        </w:numPr>
        <w:ind w:left="709" w:hanging="709"/>
        <w:rPr>
          <w:rFonts w:ascii="Helvetica" w:hAnsi="Helvetica" w:cs="Helvetica"/>
          <w:sz w:val="32"/>
          <w:szCs w:val="32"/>
        </w:rPr>
      </w:pPr>
      <w:r w:rsidRPr="000F3E37">
        <w:rPr>
          <w:rFonts w:ascii="Helvetica" w:hAnsi="Helvetica" w:cs="Helvetica"/>
          <w:sz w:val="32"/>
          <w:szCs w:val="32"/>
        </w:rPr>
        <w:lastRenderedPageBreak/>
        <w:t>Commencement</w:t>
      </w:r>
      <w:r w:rsidR="00CF7D55" w:rsidRPr="000F3E37">
        <w:rPr>
          <w:rFonts w:ascii="Helvetica" w:hAnsi="Helvetica" w:cs="Helvetica"/>
          <w:sz w:val="32"/>
          <w:szCs w:val="32"/>
        </w:rPr>
        <w:t xml:space="preserve"> </w:t>
      </w:r>
      <w:r w:rsidRPr="000F3E37">
        <w:rPr>
          <w:rFonts w:ascii="Helvetica" w:hAnsi="Helvetica" w:cs="Helvetica"/>
          <w:sz w:val="32"/>
          <w:szCs w:val="32"/>
        </w:rPr>
        <w:t>provisions</w:t>
      </w:r>
    </w:p>
    <w:p w14:paraId="076FB1CA" w14:textId="772967A4" w:rsidR="00455DDC" w:rsidRPr="00020288" w:rsidRDefault="00EB42C4" w:rsidP="00F94CB9">
      <w:pPr>
        <w:pStyle w:val="Normalparatextwithnumbers"/>
        <w:numPr>
          <w:ilvl w:val="1"/>
          <w:numId w:val="3"/>
        </w:numPr>
        <w:sectPr w:rsidR="00455DDC" w:rsidRPr="00020288" w:rsidSect="00455DDC">
          <w:headerReference w:type="even" r:id="rId28"/>
          <w:headerReference w:type="default" r:id="rId29"/>
          <w:footerReference w:type="even" r:id="rId30"/>
          <w:footerReference w:type="default" r:id="rId31"/>
          <w:headerReference w:type="first" r:id="rId32"/>
          <w:footerReference w:type="first" r:id="rId33"/>
          <w:type w:val="oddPage"/>
          <w:pgSz w:w="9979" w:h="14175" w:code="9"/>
          <w:pgMar w:top="567" w:right="1134" w:bottom="567" w:left="1134" w:header="709" w:footer="709" w:gutter="0"/>
          <w:cols w:space="708"/>
          <w:titlePg/>
          <w:docGrid w:linePitch="360"/>
        </w:sectPr>
      </w:pPr>
      <w:r>
        <w:t>The amendments commence on the day after Royal Assent</w:t>
      </w:r>
      <w:bookmarkEnd w:id="42"/>
      <w:bookmarkEnd w:id="50"/>
      <w:bookmarkEnd w:id="51"/>
      <w:bookmarkEnd w:id="52"/>
      <w:bookmarkEnd w:id="53"/>
      <w:bookmarkEnd w:id="54"/>
      <w:r w:rsidR="0044213D">
        <w:t>.</w:t>
      </w:r>
    </w:p>
    <w:bookmarkEnd w:id="5"/>
    <w:p w14:paraId="48443D3E" w14:textId="475E5C87" w:rsidR="00873094" w:rsidRPr="00020288" w:rsidRDefault="00873094" w:rsidP="00B210BC">
      <w:pPr>
        <w:pStyle w:val="Normalparatextwithnumbers"/>
        <w:numPr>
          <w:ilvl w:val="0"/>
          <w:numId w:val="0"/>
        </w:numPr>
      </w:pPr>
    </w:p>
    <w:sectPr w:rsidR="00873094" w:rsidRPr="00020288" w:rsidSect="00000BFC">
      <w:headerReference w:type="even" r:id="rId34"/>
      <w:headerReference w:type="default" r:id="rId35"/>
      <w:footerReference w:type="even" r:id="rId36"/>
      <w:footerReference w:type="default" r:id="rId37"/>
      <w:headerReference w:type="first" r:id="rId38"/>
      <w:footerReference w:type="first" r:id="rId39"/>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09C9" w14:textId="77777777" w:rsidR="0018145A" w:rsidRDefault="0018145A">
      <w:pPr>
        <w:spacing w:before="0" w:after="0"/>
      </w:pPr>
      <w:r>
        <w:separator/>
      </w:r>
    </w:p>
  </w:endnote>
  <w:endnote w:type="continuationSeparator" w:id="0">
    <w:p w14:paraId="4999F6BB" w14:textId="77777777" w:rsidR="0018145A" w:rsidRDefault="0018145A">
      <w:pPr>
        <w:spacing w:before="0" w:after="0"/>
      </w:pPr>
      <w:r>
        <w:continuationSeparator/>
      </w:r>
    </w:p>
  </w:endnote>
  <w:endnote w:type="continuationNotice" w:id="1">
    <w:p w14:paraId="0B104A69" w14:textId="77777777" w:rsidR="0018145A" w:rsidRDefault="001814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D2CA" w14:textId="77777777" w:rsidR="00455DDC" w:rsidRDefault="00455D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CDB0" w14:textId="3D2DC967" w:rsidR="00455DDC" w:rsidRDefault="00455DDC" w:rsidP="00455DDC">
    <w:pPr>
      <w:pStyle w:val="rightfooter"/>
    </w:pPr>
    <w:r>
      <w:fldChar w:fldCharType="begin"/>
    </w:r>
    <w:r>
      <w:instrText xml:space="preserve"> PAGE   \* MERGEFORMAT </w:instrText>
    </w:r>
    <w:r>
      <w:fldChar w:fldCharType="separate"/>
    </w:r>
    <w:r>
      <w:rPr>
        <w:noProof/>
      </w:rPr>
      <w:t>1</w:t>
    </w:r>
    <w:r>
      <w:rPr>
        <w:noProof/>
      </w:rPr>
      <w:fldChar w:fldCharType="end"/>
    </w:r>
  </w:p>
  <w:p w14:paraId="61129939" w14:textId="77777777" w:rsidR="00455DDC" w:rsidRDefault="00455DDC" w:rsidP="00455DDC">
    <w:pPr>
      <w:pStyle w:val="right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2714" w14:textId="0401E5DF" w:rsidR="00455DDC" w:rsidRPr="00091474" w:rsidRDefault="00455DDC" w:rsidP="00455DDC">
    <w:pPr>
      <w:pStyle w:val="rightfooter"/>
    </w:pPr>
    <w:r>
      <w:fldChar w:fldCharType="begin"/>
    </w:r>
    <w:r>
      <w:instrText xml:space="preserve"> PAGE   \* MERGEFORMAT </w:instrText>
    </w:r>
    <w:r>
      <w:fldChar w:fldCharType="separate"/>
    </w:r>
    <w:r>
      <w:rPr>
        <w:noProof/>
      </w:rPr>
      <w:t>1</w:t>
    </w:r>
    <w:r>
      <w:rPr>
        <w:noProof/>
      </w:rPr>
      <w:fldChar w:fldCharType="end"/>
    </w:r>
  </w:p>
  <w:p w14:paraId="2A0C1C3C" w14:textId="77777777" w:rsidR="00455DDC" w:rsidRDefault="00455DDC" w:rsidP="00455DDC">
    <w:pPr>
      <w:pStyle w:val="right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414F" w14:textId="77777777" w:rsidR="00455DDC" w:rsidRDefault="00455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CBC2"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7F23"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ADB"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5494" w14:textId="77777777" w:rsidR="00455DDC" w:rsidRPr="006208CF" w:rsidRDefault="00455DDC" w:rsidP="00455DDC">
    <w:pPr>
      <w:pStyle w:val="leftfoo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2DB3" w14:textId="77777777" w:rsidR="00455DDC" w:rsidRDefault="00455DDC" w:rsidP="00455DDC">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8A78" w14:textId="77777777" w:rsidR="00455DDC" w:rsidRPr="00091474" w:rsidRDefault="00455DDC" w:rsidP="00455DDC">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7C24" w14:textId="7C5C6C68" w:rsidR="00455DDC" w:rsidRPr="006208CF" w:rsidRDefault="00455DDC" w:rsidP="00455DDC">
    <w:pPr>
      <w:pStyle w:val="leftfooter"/>
    </w:pPr>
    <w:r>
      <w:fldChar w:fldCharType="begin"/>
    </w:r>
    <w:r>
      <w:instrText xml:space="preserve"> PAGE   \* MERGEFORMAT </w:instrText>
    </w:r>
    <w:r>
      <w:fldChar w:fldCharType="separate"/>
    </w:r>
    <w:r>
      <w:rPr>
        <w:noProof/>
      </w:rPr>
      <w:t>1</w:t>
    </w:r>
    <w:r>
      <w:rPr>
        <w:noProof/>
      </w:rPr>
      <w:fldChar w:fldCharType="end"/>
    </w:r>
  </w:p>
  <w:p w14:paraId="5AA73915" w14:textId="77777777" w:rsidR="00455DDC" w:rsidRDefault="00455DDC" w:rsidP="00455DDC">
    <w:pPr>
      <w:pStyle w:val="lef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F608" w14:textId="77777777" w:rsidR="0018145A" w:rsidRPr="008204F5" w:rsidRDefault="0018145A" w:rsidP="008204F5">
      <w:pPr>
        <w:pStyle w:val="leftheader"/>
      </w:pPr>
      <w:fldSimple w:instr=" STYLEREF &quot;Chapter heading&quot; \* MERGEFORMAT ">
        <w:r>
          <w:rPr>
            <w:noProof/>
          </w:rPr>
          <w:t>Virtual hearings and examinations</w:t>
        </w:r>
      </w:fldSimple>
    </w:p>
    <w:p w14:paraId="63497B3A" w14:textId="77777777" w:rsidR="0018145A" w:rsidRDefault="0018145A">
      <w:pPr>
        <w:spacing w:before="0" w:after="0"/>
      </w:pPr>
      <w:r>
        <w:separator/>
      </w:r>
    </w:p>
  </w:footnote>
  <w:footnote w:type="continuationSeparator" w:id="0">
    <w:p w14:paraId="224F3FA8" w14:textId="77777777" w:rsidR="0018145A" w:rsidRDefault="0018145A">
      <w:pPr>
        <w:spacing w:before="0" w:after="0"/>
      </w:pPr>
      <w:r>
        <w:continuationSeparator/>
      </w:r>
    </w:p>
  </w:footnote>
  <w:footnote w:type="continuationNotice" w:id="1">
    <w:p w14:paraId="0E1CB304" w14:textId="77777777" w:rsidR="0018145A" w:rsidRDefault="001814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78E4" w14:textId="77777777" w:rsidR="00455DDC" w:rsidRDefault="00455D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6113" w14:textId="22D4AB91" w:rsidR="00455DDC" w:rsidRPr="00455DDC" w:rsidRDefault="0018145A" w:rsidP="00455DDC">
    <w:pPr>
      <w:pStyle w:val="leftheader"/>
    </w:pPr>
    <w:r>
      <w:fldChar w:fldCharType="begin"/>
    </w:r>
    <w:r>
      <w:instrText xml:space="preserve"> STYLEREF "Chapter heading" \* MERGEFORMAT </w:instrText>
    </w:r>
    <w:r>
      <w:fldChar w:fldCharType="separate"/>
    </w:r>
    <w:r w:rsidR="00066B1B">
      <w:rPr>
        <w:noProof/>
      </w:rPr>
      <w:t>Virtual hearings and examinations</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5FF8" w14:textId="50D9C14E" w:rsidR="00455DDC" w:rsidRPr="001227A2" w:rsidRDefault="0018145A" w:rsidP="00F062A1">
    <w:pPr>
      <w:pStyle w:val="rightheader"/>
    </w:pPr>
    <w:r>
      <w:fldChar w:fldCharType="begin"/>
    </w:r>
    <w:r>
      <w:instrText xml:space="preserve"> STYLEREF  "Bill Name"  \* MERGEFORMAT </w:instrText>
    </w:r>
    <w:r>
      <w:fldChar w:fldCharType="separate"/>
    </w:r>
    <w:r w:rsidR="00066B1B">
      <w:rPr>
        <w:noProof/>
      </w:rPr>
      <w:t>Treasury Laws Amendment (Modernising Business Communications) Bill 2022</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795F" w14:textId="4F43AF0D" w:rsidR="00455DDC" w:rsidRPr="001227A2" w:rsidRDefault="00455DDC" w:rsidP="00F062A1">
    <w:pPr>
      <w:pStyle w:val="right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7FC8" w14:textId="4E55FA73" w:rsidR="00455DDC" w:rsidRPr="00455DDC" w:rsidRDefault="0018145A" w:rsidP="00455DDC">
    <w:pPr>
      <w:pStyle w:val="leftheader"/>
    </w:pPr>
    <w:r>
      <w:fldChar w:fldCharType="begin"/>
    </w:r>
    <w:r>
      <w:instrText xml:space="preserve"> STYLEREF "Chapter heading" \* </w:instrText>
    </w:r>
    <w:r>
      <w:instrText xml:space="preserve">MERGEFORMAT </w:instrText>
    </w:r>
    <w:r>
      <w:fldChar w:fldCharType="separate"/>
    </w:r>
    <w:r w:rsidR="00C450DB">
      <w:rPr>
        <w:noProof/>
      </w:rPr>
      <w:t>Virtual hearings and examinations</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7092" w14:textId="6F5FD1C1" w:rsidR="00455DDC" w:rsidRPr="001227A2" w:rsidRDefault="0018145A" w:rsidP="00F062A1">
    <w:pPr>
      <w:pStyle w:val="ExampleHeading"/>
    </w:pPr>
    <w:r>
      <w:fldChar w:fldCharType="begin"/>
    </w:r>
    <w:r>
      <w:instrText xml:space="preserve"> STYLEREF  "Bill Name"  \* MERGEFORMAT </w:instrText>
    </w:r>
    <w:r>
      <w:fldChar w:fldCharType="separate"/>
    </w:r>
    <w:r w:rsidR="00C450DB">
      <w:rPr>
        <w:noProof/>
      </w:rPr>
      <w:t>Treasury Laws Amendment (Modernising Business Communications) Bill 2022</w:t>
    </w:r>
    <w:r>
      <w:rPr>
        <w:noProof/>
      </w:rPr>
      <w:fldChar w:fldCharType="end"/>
    </w:r>
  </w:p>
  <w:p w14:paraId="126183B8" w14:textId="77777777" w:rsidR="00455DDC" w:rsidRDefault="00455DD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109F" w14:textId="77777777" w:rsidR="00455DDC" w:rsidRDefault="00455D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7F46" w14:textId="77777777" w:rsidR="00455DDC" w:rsidRDefault="00455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3DCCC1F3" w14:textId="77777777" w:rsidR="007A2DBD" w:rsidRDefault="0018145A">
        <w:pPr>
          <w:pStyle w:val="Header"/>
        </w:pPr>
        <w:r>
          <w:rPr>
            <w:noProof/>
          </w:rPr>
          <w:pict w14:anchorId="65281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41A"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F85C" w14:textId="559552FC"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C450DB">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B32A"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DB23" w14:textId="3CD0A1DD" w:rsidR="007A2DBD" w:rsidRPr="00816825" w:rsidRDefault="0018145A" w:rsidP="002425D9">
    <w:pPr>
      <w:pStyle w:val="leftheader"/>
    </w:pPr>
    <w:r>
      <w:fldChar w:fldCharType="begin"/>
    </w:r>
    <w:r>
      <w:instrText xml:space="preserve"> STYLEREF  "Heading 1"  \* MERGEFORMAT </w:instrText>
    </w:r>
    <w:r>
      <w:fldChar w:fldCharType="separate"/>
    </w:r>
    <w:r w:rsidR="00066B1B" w:rsidRPr="00066B1B">
      <w:rPr>
        <w:noProof/>
        <w:lang w:val="en-US"/>
      </w:rPr>
      <w:t>Glossary</w:t>
    </w:r>
    <w:r>
      <w:rPr>
        <w:noProof/>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97D8" w14:textId="77777777" w:rsidR="007A2DBD" w:rsidRPr="00091474" w:rsidRDefault="007A2DBD" w:rsidP="002425D9">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80E4"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AD0BB0"/>
    <w:multiLevelType w:val="multilevel"/>
    <w:tmpl w:val="239C8188"/>
    <w:name w:val="StandardBulletedList"/>
    <w:lvl w:ilvl="0">
      <w:start w:val="1"/>
      <w:numFmt w:val="bullet"/>
      <w:pStyle w:val="Bullet"/>
      <w:lvlText w:val="•"/>
      <w:lvlJc w:val="left"/>
      <w:pPr>
        <w:tabs>
          <w:tab w:val="num" w:pos="945"/>
        </w:tabs>
        <w:ind w:left="945" w:hanging="945"/>
      </w:pPr>
      <w:rPr>
        <w:rFonts w:ascii="Times New Roman" w:hAnsi="Times New Roman" w:cs="Times New Roman"/>
      </w:rPr>
    </w:lvl>
    <w:lvl w:ilvl="1">
      <w:start w:val="1"/>
      <w:numFmt w:val="bullet"/>
      <w:pStyle w:val="Dash"/>
      <w:lvlText w:val="–"/>
      <w:lvlJc w:val="left"/>
      <w:pPr>
        <w:tabs>
          <w:tab w:val="num" w:pos="1465"/>
        </w:tabs>
        <w:ind w:left="1465" w:hanging="520"/>
      </w:pPr>
      <w:rPr>
        <w:rFonts w:ascii="Times New Roman" w:hAnsi="Times New Roman" w:cs="Times New Roman"/>
      </w:rPr>
    </w:lvl>
    <w:lvl w:ilvl="2">
      <w:start w:val="1"/>
      <w:numFmt w:val="bullet"/>
      <w:pStyle w:val="DoubleDot"/>
      <w:lvlText w:val=":"/>
      <w:lvlJc w:val="left"/>
      <w:pPr>
        <w:tabs>
          <w:tab w:val="num" w:pos="2410"/>
        </w:tabs>
        <w:ind w:left="2410" w:hanging="94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2F286DA4"/>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bullet"/>
      <w:lvlText w:val=""/>
      <w:lvlJc w:val="left"/>
      <w:pPr>
        <w:ind w:left="0" w:firstLine="0"/>
      </w:pPr>
      <w:rPr>
        <w:rFonts w:ascii="Symbol" w:hAnsi="Symbol"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5FBC7E8D"/>
    <w:multiLevelType w:val="singleLevel"/>
    <w:tmpl w:val="56EE607A"/>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0"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57FBA"/>
    <w:multiLevelType w:val="hybridMultilevel"/>
    <w:tmpl w:val="E6C6BF5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33657A"/>
    <w:multiLevelType w:val="hybridMultilevel"/>
    <w:tmpl w:val="3E80223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4"/>
  </w:num>
  <w:num w:numId="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5"/>
  </w:num>
  <w:num w:numId="9">
    <w:abstractNumId w:val="15"/>
  </w:num>
  <w:num w:numId="10">
    <w:abstractNumId w:val="7"/>
  </w:num>
  <w:num w:numId="11">
    <w:abstractNumId w:val="6"/>
  </w:num>
  <w:num w:numId="1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3"/>
  </w:num>
  <w:num w:numId="14">
    <w:abstractNumId w:val="10"/>
  </w:num>
  <w:num w:numId="15">
    <w:abstractNumId w:val="12"/>
  </w:num>
  <w:num w:numId="1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5"/>
  </w:num>
  <w:num w:numId="18">
    <w:abstractNumId w:val="3"/>
  </w:num>
  <w:num w:numId="19">
    <w:abstractNumId w:val="8"/>
  </w:num>
  <w:num w:numId="20">
    <w:abstractNumId w:val="14"/>
  </w:num>
  <w:num w:numId="21">
    <w:abstractNumId w:val="13"/>
  </w:num>
  <w:num w:numId="22">
    <w:abstractNumId w:val="2"/>
  </w:num>
  <w:num w:numId="23">
    <w:abstractNumId w:val="4"/>
  </w:num>
  <w:num w:numId="24">
    <w:abstractNumId w:val="11"/>
  </w:num>
  <w:num w:numId="25">
    <w:abstractNumId w:val="4"/>
  </w:num>
  <w:num w:numId="26">
    <w:abstractNumId w:val="16"/>
  </w:num>
  <w:num w:numId="27">
    <w:abstractNumId w:val="4"/>
  </w:num>
  <w:num w:numId="28">
    <w:abstractNumId w:val="4"/>
  </w:num>
  <w:num w:numId="29">
    <w:abstractNumId w:val="4"/>
  </w:num>
  <w:num w:numId="30">
    <w:abstractNumId w:val="4"/>
  </w:num>
  <w:num w:numId="31">
    <w:abstractNumId w:val="4"/>
  </w:num>
  <w:num w:numId="32">
    <w:abstractNumId w:val="9"/>
  </w:num>
  <w:num w:numId="33">
    <w:abstractNumId w:val="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57"/>
    <w:rsid w:val="00000BFC"/>
    <w:rsid w:val="000048C4"/>
    <w:rsid w:val="000054D5"/>
    <w:rsid w:val="00006A26"/>
    <w:rsid w:val="000124E7"/>
    <w:rsid w:val="00015EB8"/>
    <w:rsid w:val="00017B8A"/>
    <w:rsid w:val="000202D7"/>
    <w:rsid w:val="00021ACB"/>
    <w:rsid w:val="00021DAA"/>
    <w:rsid w:val="00022965"/>
    <w:rsid w:val="00026F28"/>
    <w:rsid w:val="00040058"/>
    <w:rsid w:val="00046CBC"/>
    <w:rsid w:val="00047FF2"/>
    <w:rsid w:val="00050BB6"/>
    <w:rsid w:val="00052106"/>
    <w:rsid w:val="00054A9F"/>
    <w:rsid w:val="00064469"/>
    <w:rsid w:val="00064EF3"/>
    <w:rsid w:val="00066B1B"/>
    <w:rsid w:val="000676E6"/>
    <w:rsid w:val="00071262"/>
    <w:rsid w:val="000742D6"/>
    <w:rsid w:val="00074804"/>
    <w:rsid w:val="00076776"/>
    <w:rsid w:val="00087F47"/>
    <w:rsid w:val="00087FE9"/>
    <w:rsid w:val="00090104"/>
    <w:rsid w:val="00090A2C"/>
    <w:rsid w:val="00091191"/>
    <w:rsid w:val="00093702"/>
    <w:rsid w:val="00094E1E"/>
    <w:rsid w:val="000A3230"/>
    <w:rsid w:val="000A4775"/>
    <w:rsid w:val="000B3687"/>
    <w:rsid w:val="000B6B3E"/>
    <w:rsid w:val="000B7D6E"/>
    <w:rsid w:val="000C33DB"/>
    <w:rsid w:val="000C6580"/>
    <w:rsid w:val="000D01AB"/>
    <w:rsid w:val="000D2B38"/>
    <w:rsid w:val="000D423C"/>
    <w:rsid w:val="000D4CC3"/>
    <w:rsid w:val="000D51F5"/>
    <w:rsid w:val="000E48B1"/>
    <w:rsid w:val="000E4969"/>
    <w:rsid w:val="000E4D39"/>
    <w:rsid w:val="000E521B"/>
    <w:rsid w:val="000E7443"/>
    <w:rsid w:val="000F3E37"/>
    <w:rsid w:val="001003B5"/>
    <w:rsid w:val="00102F71"/>
    <w:rsid w:val="00103F08"/>
    <w:rsid w:val="00105E85"/>
    <w:rsid w:val="0010689F"/>
    <w:rsid w:val="00106FDC"/>
    <w:rsid w:val="00115509"/>
    <w:rsid w:val="001157BC"/>
    <w:rsid w:val="00115F0A"/>
    <w:rsid w:val="001218B1"/>
    <w:rsid w:val="001227A2"/>
    <w:rsid w:val="00126237"/>
    <w:rsid w:val="00127A10"/>
    <w:rsid w:val="00141701"/>
    <w:rsid w:val="00143656"/>
    <w:rsid w:val="001441F0"/>
    <w:rsid w:val="00145444"/>
    <w:rsid w:val="00157FCF"/>
    <w:rsid w:val="00162214"/>
    <w:rsid w:val="00163457"/>
    <w:rsid w:val="00163A06"/>
    <w:rsid w:val="00163C39"/>
    <w:rsid w:val="00164F75"/>
    <w:rsid w:val="00170C78"/>
    <w:rsid w:val="00172DA6"/>
    <w:rsid w:val="001741A2"/>
    <w:rsid w:val="00174B9F"/>
    <w:rsid w:val="0018145A"/>
    <w:rsid w:val="00190D55"/>
    <w:rsid w:val="00194DC5"/>
    <w:rsid w:val="00194F9E"/>
    <w:rsid w:val="001956C5"/>
    <w:rsid w:val="00195CEE"/>
    <w:rsid w:val="00195D1C"/>
    <w:rsid w:val="00197EE3"/>
    <w:rsid w:val="001A03CA"/>
    <w:rsid w:val="001A11BF"/>
    <w:rsid w:val="001A305D"/>
    <w:rsid w:val="001A5296"/>
    <w:rsid w:val="001A61C8"/>
    <w:rsid w:val="001A7483"/>
    <w:rsid w:val="001B05C1"/>
    <w:rsid w:val="001B07FA"/>
    <w:rsid w:val="001B1306"/>
    <w:rsid w:val="001C4FF6"/>
    <w:rsid w:val="001C5134"/>
    <w:rsid w:val="001C5CBF"/>
    <w:rsid w:val="001C765F"/>
    <w:rsid w:val="001D3194"/>
    <w:rsid w:val="001D52D5"/>
    <w:rsid w:val="001D7215"/>
    <w:rsid w:val="001E01BF"/>
    <w:rsid w:val="001F6167"/>
    <w:rsid w:val="001F6C1D"/>
    <w:rsid w:val="00200041"/>
    <w:rsid w:val="00200AD8"/>
    <w:rsid w:val="00206161"/>
    <w:rsid w:val="00206365"/>
    <w:rsid w:val="002163B6"/>
    <w:rsid w:val="00220E32"/>
    <w:rsid w:val="00230C17"/>
    <w:rsid w:val="002314E9"/>
    <w:rsid w:val="00231BF7"/>
    <w:rsid w:val="00233768"/>
    <w:rsid w:val="0023409D"/>
    <w:rsid w:val="002349A4"/>
    <w:rsid w:val="002425D9"/>
    <w:rsid w:val="00242B2A"/>
    <w:rsid w:val="00242D58"/>
    <w:rsid w:val="00244856"/>
    <w:rsid w:val="00246BBA"/>
    <w:rsid w:val="0024784F"/>
    <w:rsid w:val="00250844"/>
    <w:rsid w:val="0025262D"/>
    <w:rsid w:val="00253AB3"/>
    <w:rsid w:val="00256348"/>
    <w:rsid w:val="002572DB"/>
    <w:rsid w:val="00260B8B"/>
    <w:rsid w:val="00261C2E"/>
    <w:rsid w:val="00267C3F"/>
    <w:rsid w:val="002704BC"/>
    <w:rsid w:val="00274D5C"/>
    <w:rsid w:val="00276753"/>
    <w:rsid w:val="00280F90"/>
    <w:rsid w:val="00280FA9"/>
    <w:rsid w:val="00281C28"/>
    <w:rsid w:val="00282A93"/>
    <w:rsid w:val="00283423"/>
    <w:rsid w:val="002872AB"/>
    <w:rsid w:val="00291451"/>
    <w:rsid w:val="00291A24"/>
    <w:rsid w:val="002935AC"/>
    <w:rsid w:val="00297081"/>
    <w:rsid w:val="002A2137"/>
    <w:rsid w:val="002A52E5"/>
    <w:rsid w:val="002A6BBF"/>
    <w:rsid w:val="002B0B67"/>
    <w:rsid w:val="002B13DC"/>
    <w:rsid w:val="002B1D9E"/>
    <w:rsid w:val="002B3399"/>
    <w:rsid w:val="002B623C"/>
    <w:rsid w:val="002B6F60"/>
    <w:rsid w:val="002C3FC6"/>
    <w:rsid w:val="002C6ACE"/>
    <w:rsid w:val="002C6D86"/>
    <w:rsid w:val="002C71DB"/>
    <w:rsid w:val="002C78D6"/>
    <w:rsid w:val="002C7CBC"/>
    <w:rsid w:val="002D080A"/>
    <w:rsid w:val="002D0AC4"/>
    <w:rsid w:val="002D0ACE"/>
    <w:rsid w:val="002F04A4"/>
    <w:rsid w:val="002F1CB0"/>
    <w:rsid w:val="002F4B60"/>
    <w:rsid w:val="002F6372"/>
    <w:rsid w:val="002F7754"/>
    <w:rsid w:val="00300BD0"/>
    <w:rsid w:val="00302F67"/>
    <w:rsid w:val="003057F8"/>
    <w:rsid w:val="00305D82"/>
    <w:rsid w:val="0031121A"/>
    <w:rsid w:val="00311AA8"/>
    <w:rsid w:val="0031412F"/>
    <w:rsid w:val="00315D81"/>
    <w:rsid w:val="003168B2"/>
    <w:rsid w:val="00316A06"/>
    <w:rsid w:val="003220F9"/>
    <w:rsid w:val="00322E8C"/>
    <w:rsid w:val="00330447"/>
    <w:rsid w:val="0034384C"/>
    <w:rsid w:val="00351274"/>
    <w:rsid w:val="00351C32"/>
    <w:rsid w:val="00351D4D"/>
    <w:rsid w:val="00352B68"/>
    <w:rsid w:val="00353FC8"/>
    <w:rsid w:val="00354BC3"/>
    <w:rsid w:val="003556BF"/>
    <w:rsid w:val="00357B43"/>
    <w:rsid w:val="00361BBE"/>
    <w:rsid w:val="0036790F"/>
    <w:rsid w:val="00367FCC"/>
    <w:rsid w:val="0037056A"/>
    <w:rsid w:val="0037615C"/>
    <w:rsid w:val="00382C5B"/>
    <w:rsid w:val="00387402"/>
    <w:rsid w:val="003916CF"/>
    <w:rsid w:val="003921E4"/>
    <w:rsid w:val="0039391C"/>
    <w:rsid w:val="003971ED"/>
    <w:rsid w:val="003A0372"/>
    <w:rsid w:val="003B0C82"/>
    <w:rsid w:val="003B7978"/>
    <w:rsid w:val="003D0D76"/>
    <w:rsid w:val="003E01B5"/>
    <w:rsid w:val="003E09A5"/>
    <w:rsid w:val="003E264F"/>
    <w:rsid w:val="003E6279"/>
    <w:rsid w:val="003F1AD7"/>
    <w:rsid w:val="003F2C80"/>
    <w:rsid w:val="003F34BD"/>
    <w:rsid w:val="003F6768"/>
    <w:rsid w:val="003F6A24"/>
    <w:rsid w:val="004040AE"/>
    <w:rsid w:val="00405A3D"/>
    <w:rsid w:val="00405C18"/>
    <w:rsid w:val="0041236D"/>
    <w:rsid w:val="00414017"/>
    <w:rsid w:val="0042057D"/>
    <w:rsid w:val="00423FA1"/>
    <w:rsid w:val="00426E2A"/>
    <w:rsid w:val="00427EDF"/>
    <w:rsid w:val="004303C5"/>
    <w:rsid w:val="004307C3"/>
    <w:rsid w:val="00430A32"/>
    <w:rsid w:val="00431AE2"/>
    <w:rsid w:val="004320FA"/>
    <w:rsid w:val="00435177"/>
    <w:rsid w:val="0044213D"/>
    <w:rsid w:val="00445D08"/>
    <w:rsid w:val="00446D09"/>
    <w:rsid w:val="0045216B"/>
    <w:rsid w:val="00455DDC"/>
    <w:rsid w:val="00457551"/>
    <w:rsid w:val="00457960"/>
    <w:rsid w:val="004603EF"/>
    <w:rsid w:val="00461B58"/>
    <w:rsid w:val="00461CC8"/>
    <w:rsid w:val="00463D6F"/>
    <w:rsid w:val="00466213"/>
    <w:rsid w:val="00471C24"/>
    <w:rsid w:val="00472CF4"/>
    <w:rsid w:val="00473316"/>
    <w:rsid w:val="0047593B"/>
    <w:rsid w:val="00477C04"/>
    <w:rsid w:val="0048196C"/>
    <w:rsid w:val="0048292C"/>
    <w:rsid w:val="0048470A"/>
    <w:rsid w:val="00485D6F"/>
    <w:rsid w:val="00485FD0"/>
    <w:rsid w:val="00487069"/>
    <w:rsid w:val="00487532"/>
    <w:rsid w:val="00490F2C"/>
    <w:rsid w:val="004914DB"/>
    <w:rsid w:val="00491F6C"/>
    <w:rsid w:val="00492729"/>
    <w:rsid w:val="00492870"/>
    <w:rsid w:val="00492C17"/>
    <w:rsid w:val="00496642"/>
    <w:rsid w:val="00496C21"/>
    <w:rsid w:val="00496C4D"/>
    <w:rsid w:val="004971E2"/>
    <w:rsid w:val="0049738C"/>
    <w:rsid w:val="0049798E"/>
    <w:rsid w:val="004A0280"/>
    <w:rsid w:val="004A2371"/>
    <w:rsid w:val="004A3D34"/>
    <w:rsid w:val="004B1C70"/>
    <w:rsid w:val="004B1F33"/>
    <w:rsid w:val="004C21FF"/>
    <w:rsid w:val="004C3979"/>
    <w:rsid w:val="004C3EF6"/>
    <w:rsid w:val="004C7742"/>
    <w:rsid w:val="004D6DC3"/>
    <w:rsid w:val="004E07ED"/>
    <w:rsid w:val="004F22F2"/>
    <w:rsid w:val="004F23C3"/>
    <w:rsid w:val="004F2AA8"/>
    <w:rsid w:val="004F7C15"/>
    <w:rsid w:val="00502BFB"/>
    <w:rsid w:val="00505347"/>
    <w:rsid w:val="005066F5"/>
    <w:rsid w:val="005159C3"/>
    <w:rsid w:val="00517D6E"/>
    <w:rsid w:val="00522981"/>
    <w:rsid w:val="00525E9B"/>
    <w:rsid w:val="00527145"/>
    <w:rsid w:val="005301F4"/>
    <w:rsid w:val="00530F39"/>
    <w:rsid w:val="00531C67"/>
    <w:rsid w:val="00531D89"/>
    <w:rsid w:val="0053227F"/>
    <w:rsid w:val="00535685"/>
    <w:rsid w:val="005356CB"/>
    <w:rsid w:val="00537731"/>
    <w:rsid w:val="0054149A"/>
    <w:rsid w:val="005440E5"/>
    <w:rsid w:val="005466B5"/>
    <w:rsid w:val="005473D8"/>
    <w:rsid w:val="00547732"/>
    <w:rsid w:val="00550924"/>
    <w:rsid w:val="005515C0"/>
    <w:rsid w:val="00556969"/>
    <w:rsid w:val="00560720"/>
    <w:rsid w:val="0056675C"/>
    <w:rsid w:val="00582D7C"/>
    <w:rsid w:val="00591097"/>
    <w:rsid w:val="0059200B"/>
    <w:rsid w:val="00596F16"/>
    <w:rsid w:val="005A1944"/>
    <w:rsid w:val="005A3AA3"/>
    <w:rsid w:val="005B289A"/>
    <w:rsid w:val="005C0076"/>
    <w:rsid w:val="005C2BD1"/>
    <w:rsid w:val="005C757A"/>
    <w:rsid w:val="005D0844"/>
    <w:rsid w:val="005D169F"/>
    <w:rsid w:val="005D5F12"/>
    <w:rsid w:val="005E0412"/>
    <w:rsid w:val="005E1542"/>
    <w:rsid w:val="005E30BF"/>
    <w:rsid w:val="005F2640"/>
    <w:rsid w:val="005F3B57"/>
    <w:rsid w:val="005F5FEF"/>
    <w:rsid w:val="006006CD"/>
    <w:rsid w:val="00601B52"/>
    <w:rsid w:val="00603932"/>
    <w:rsid w:val="0060398A"/>
    <w:rsid w:val="006042C2"/>
    <w:rsid w:val="00606C79"/>
    <w:rsid w:val="00621B28"/>
    <w:rsid w:val="00622763"/>
    <w:rsid w:val="006235C8"/>
    <w:rsid w:val="00623E08"/>
    <w:rsid w:val="00624726"/>
    <w:rsid w:val="00624905"/>
    <w:rsid w:val="006272FD"/>
    <w:rsid w:val="00630725"/>
    <w:rsid w:val="006335F0"/>
    <w:rsid w:val="00634BA4"/>
    <w:rsid w:val="00642420"/>
    <w:rsid w:val="006479AC"/>
    <w:rsid w:val="00652597"/>
    <w:rsid w:val="00652A36"/>
    <w:rsid w:val="00661959"/>
    <w:rsid w:val="00661A38"/>
    <w:rsid w:val="00672AC5"/>
    <w:rsid w:val="006745A3"/>
    <w:rsid w:val="0068231E"/>
    <w:rsid w:val="00683847"/>
    <w:rsid w:val="006847A0"/>
    <w:rsid w:val="00693A6F"/>
    <w:rsid w:val="00694C50"/>
    <w:rsid w:val="00696A20"/>
    <w:rsid w:val="0069730E"/>
    <w:rsid w:val="006A2AE7"/>
    <w:rsid w:val="006A2BC6"/>
    <w:rsid w:val="006B5236"/>
    <w:rsid w:val="006C160E"/>
    <w:rsid w:val="006C192F"/>
    <w:rsid w:val="006C40A4"/>
    <w:rsid w:val="006C4FC3"/>
    <w:rsid w:val="006C5E7C"/>
    <w:rsid w:val="006D09D6"/>
    <w:rsid w:val="006E0237"/>
    <w:rsid w:val="006E1A85"/>
    <w:rsid w:val="006E699E"/>
    <w:rsid w:val="006F125F"/>
    <w:rsid w:val="006F1E2B"/>
    <w:rsid w:val="0070256C"/>
    <w:rsid w:val="00702F0D"/>
    <w:rsid w:val="00703A17"/>
    <w:rsid w:val="00704DFF"/>
    <w:rsid w:val="00707E7B"/>
    <w:rsid w:val="00713588"/>
    <w:rsid w:val="007145E8"/>
    <w:rsid w:val="00715CBA"/>
    <w:rsid w:val="00717736"/>
    <w:rsid w:val="00717BA3"/>
    <w:rsid w:val="00717CF4"/>
    <w:rsid w:val="00722425"/>
    <w:rsid w:val="007316F6"/>
    <w:rsid w:val="00731BE4"/>
    <w:rsid w:val="0073326A"/>
    <w:rsid w:val="00733EAF"/>
    <w:rsid w:val="00734238"/>
    <w:rsid w:val="007342F6"/>
    <w:rsid w:val="00737708"/>
    <w:rsid w:val="00740FC6"/>
    <w:rsid w:val="007410A9"/>
    <w:rsid w:val="007426A8"/>
    <w:rsid w:val="007479A1"/>
    <w:rsid w:val="00747DB4"/>
    <w:rsid w:val="007509B3"/>
    <w:rsid w:val="00752137"/>
    <w:rsid w:val="00752190"/>
    <w:rsid w:val="007523C9"/>
    <w:rsid w:val="00752DE0"/>
    <w:rsid w:val="00754DAD"/>
    <w:rsid w:val="00755F62"/>
    <w:rsid w:val="00755FB9"/>
    <w:rsid w:val="00757B1B"/>
    <w:rsid w:val="00763484"/>
    <w:rsid w:val="0076660E"/>
    <w:rsid w:val="00766AE2"/>
    <w:rsid w:val="00766B37"/>
    <w:rsid w:val="00774D12"/>
    <w:rsid w:val="00777A92"/>
    <w:rsid w:val="007850A3"/>
    <w:rsid w:val="007878E8"/>
    <w:rsid w:val="00790DFA"/>
    <w:rsid w:val="007A2DBD"/>
    <w:rsid w:val="007B1509"/>
    <w:rsid w:val="007B2892"/>
    <w:rsid w:val="007B392A"/>
    <w:rsid w:val="007B6304"/>
    <w:rsid w:val="007C1F94"/>
    <w:rsid w:val="007C4187"/>
    <w:rsid w:val="007C6087"/>
    <w:rsid w:val="007C6371"/>
    <w:rsid w:val="007C7171"/>
    <w:rsid w:val="007D0737"/>
    <w:rsid w:val="007D25AF"/>
    <w:rsid w:val="007D336B"/>
    <w:rsid w:val="007D4315"/>
    <w:rsid w:val="007E1505"/>
    <w:rsid w:val="007E1ED8"/>
    <w:rsid w:val="007E4AEA"/>
    <w:rsid w:val="007E5527"/>
    <w:rsid w:val="007E62B0"/>
    <w:rsid w:val="007E7D0D"/>
    <w:rsid w:val="007F1B54"/>
    <w:rsid w:val="007F2436"/>
    <w:rsid w:val="007F3B53"/>
    <w:rsid w:val="007F3BAE"/>
    <w:rsid w:val="00806DC6"/>
    <w:rsid w:val="00807071"/>
    <w:rsid w:val="008111C7"/>
    <w:rsid w:val="00811BDD"/>
    <w:rsid w:val="00811C80"/>
    <w:rsid w:val="008132B7"/>
    <w:rsid w:val="00816739"/>
    <w:rsid w:val="008175BB"/>
    <w:rsid w:val="00817CCD"/>
    <w:rsid w:val="008204F5"/>
    <w:rsid w:val="0082113A"/>
    <w:rsid w:val="0082284C"/>
    <w:rsid w:val="00824AA2"/>
    <w:rsid w:val="00824C09"/>
    <w:rsid w:val="00840882"/>
    <w:rsid w:val="00840FCA"/>
    <w:rsid w:val="00842DFF"/>
    <w:rsid w:val="00850559"/>
    <w:rsid w:val="00865384"/>
    <w:rsid w:val="00870071"/>
    <w:rsid w:val="008717FC"/>
    <w:rsid w:val="00873094"/>
    <w:rsid w:val="008807B9"/>
    <w:rsid w:val="008816B5"/>
    <w:rsid w:val="0088206A"/>
    <w:rsid w:val="008822E4"/>
    <w:rsid w:val="00883A1C"/>
    <w:rsid w:val="008917F1"/>
    <w:rsid w:val="008A0599"/>
    <w:rsid w:val="008A127B"/>
    <w:rsid w:val="008A3F0D"/>
    <w:rsid w:val="008A4177"/>
    <w:rsid w:val="008A4852"/>
    <w:rsid w:val="008A5A27"/>
    <w:rsid w:val="008B22D7"/>
    <w:rsid w:val="008C4A40"/>
    <w:rsid w:val="008C5717"/>
    <w:rsid w:val="008C6035"/>
    <w:rsid w:val="008D27E0"/>
    <w:rsid w:val="008D5512"/>
    <w:rsid w:val="008D62E0"/>
    <w:rsid w:val="008D70BE"/>
    <w:rsid w:val="008E247E"/>
    <w:rsid w:val="008E2893"/>
    <w:rsid w:val="008E28E5"/>
    <w:rsid w:val="008E3DC9"/>
    <w:rsid w:val="008E6E69"/>
    <w:rsid w:val="008F1641"/>
    <w:rsid w:val="008F1F34"/>
    <w:rsid w:val="008F3246"/>
    <w:rsid w:val="008F4F14"/>
    <w:rsid w:val="00907EB9"/>
    <w:rsid w:val="00912A4F"/>
    <w:rsid w:val="00912F4C"/>
    <w:rsid w:val="0091793E"/>
    <w:rsid w:val="00920E47"/>
    <w:rsid w:val="009214FF"/>
    <w:rsid w:val="009275EE"/>
    <w:rsid w:val="009456BD"/>
    <w:rsid w:val="00945DEC"/>
    <w:rsid w:val="0095027B"/>
    <w:rsid w:val="0095376F"/>
    <w:rsid w:val="00953ABA"/>
    <w:rsid w:val="00954FE3"/>
    <w:rsid w:val="00955FF3"/>
    <w:rsid w:val="009571B2"/>
    <w:rsid w:val="00966650"/>
    <w:rsid w:val="009673E0"/>
    <w:rsid w:val="009732E4"/>
    <w:rsid w:val="0097461E"/>
    <w:rsid w:val="009747C3"/>
    <w:rsid w:val="00975A9E"/>
    <w:rsid w:val="00985B5C"/>
    <w:rsid w:val="00985F4C"/>
    <w:rsid w:val="00987935"/>
    <w:rsid w:val="00990641"/>
    <w:rsid w:val="00990E12"/>
    <w:rsid w:val="00991283"/>
    <w:rsid w:val="00993AB1"/>
    <w:rsid w:val="00995ECB"/>
    <w:rsid w:val="009B1C8F"/>
    <w:rsid w:val="009B2E27"/>
    <w:rsid w:val="009C5A45"/>
    <w:rsid w:val="009C632B"/>
    <w:rsid w:val="009D095E"/>
    <w:rsid w:val="009D7856"/>
    <w:rsid w:val="009E53F6"/>
    <w:rsid w:val="009E5D38"/>
    <w:rsid w:val="009F00B8"/>
    <w:rsid w:val="009F22C2"/>
    <w:rsid w:val="009F364A"/>
    <w:rsid w:val="009F3FA5"/>
    <w:rsid w:val="009F5D01"/>
    <w:rsid w:val="009F7836"/>
    <w:rsid w:val="00A01427"/>
    <w:rsid w:val="00A04BF2"/>
    <w:rsid w:val="00A07C8D"/>
    <w:rsid w:val="00A11824"/>
    <w:rsid w:val="00A13BEA"/>
    <w:rsid w:val="00A15143"/>
    <w:rsid w:val="00A16CE5"/>
    <w:rsid w:val="00A176E5"/>
    <w:rsid w:val="00A20203"/>
    <w:rsid w:val="00A25208"/>
    <w:rsid w:val="00A25A9A"/>
    <w:rsid w:val="00A26709"/>
    <w:rsid w:val="00A26C75"/>
    <w:rsid w:val="00A26F6C"/>
    <w:rsid w:val="00A403D6"/>
    <w:rsid w:val="00A41FD5"/>
    <w:rsid w:val="00A43081"/>
    <w:rsid w:val="00A43318"/>
    <w:rsid w:val="00A444AF"/>
    <w:rsid w:val="00A50270"/>
    <w:rsid w:val="00A63A51"/>
    <w:rsid w:val="00A653A3"/>
    <w:rsid w:val="00A70F09"/>
    <w:rsid w:val="00A7111A"/>
    <w:rsid w:val="00A73660"/>
    <w:rsid w:val="00A74654"/>
    <w:rsid w:val="00A74B1A"/>
    <w:rsid w:val="00A75AD4"/>
    <w:rsid w:val="00A8540C"/>
    <w:rsid w:val="00A855B9"/>
    <w:rsid w:val="00A85CDE"/>
    <w:rsid w:val="00A86EF7"/>
    <w:rsid w:val="00A9031D"/>
    <w:rsid w:val="00A93EF1"/>
    <w:rsid w:val="00A9588A"/>
    <w:rsid w:val="00A9680B"/>
    <w:rsid w:val="00AA2654"/>
    <w:rsid w:val="00AC11AD"/>
    <w:rsid w:val="00AC3AD8"/>
    <w:rsid w:val="00AC48F8"/>
    <w:rsid w:val="00AC650E"/>
    <w:rsid w:val="00AD00A8"/>
    <w:rsid w:val="00AD0ACA"/>
    <w:rsid w:val="00AD2CA5"/>
    <w:rsid w:val="00AD44C6"/>
    <w:rsid w:val="00AE5766"/>
    <w:rsid w:val="00AE7DCA"/>
    <w:rsid w:val="00AF05CF"/>
    <w:rsid w:val="00AF50CE"/>
    <w:rsid w:val="00AF5BF3"/>
    <w:rsid w:val="00AF698F"/>
    <w:rsid w:val="00AF7CC4"/>
    <w:rsid w:val="00B018DC"/>
    <w:rsid w:val="00B06C7A"/>
    <w:rsid w:val="00B07271"/>
    <w:rsid w:val="00B11D1A"/>
    <w:rsid w:val="00B13506"/>
    <w:rsid w:val="00B15C27"/>
    <w:rsid w:val="00B210BC"/>
    <w:rsid w:val="00B2245D"/>
    <w:rsid w:val="00B237A6"/>
    <w:rsid w:val="00B255C5"/>
    <w:rsid w:val="00B27A50"/>
    <w:rsid w:val="00B32F2A"/>
    <w:rsid w:val="00B3610D"/>
    <w:rsid w:val="00B36649"/>
    <w:rsid w:val="00B4479B"/>
    <w:rsid w:val="00B47520"/>
    <w:rsid w:val="00B527DF"/>
    <w:rsid w:val="00B55575"/>
    <w:rsid w:val="00B56482"/>
    <w:rsid w:val="00B56829"/>
    <w:rsid w:val="00B60BCB"/>
    <w:rsid w:val="00B61EF2"/>
    <w:rsid w:val="00B65CF9"/>
    <w:rsid w:val="00B7393A"/>
    <w:rsid w:val="00B77D03"/>
    <w:rsid w:val="00B8187E"/>
    <w:rsid w:val="00B822AD"/>
    <w:rsid w:val="00B84227"/>
    <w:rsid w:val="00B84FD9"/>
    <w:rsid w:val="00B95C25"/>
    <w:rsid w:val="00B96479"/>
    <w:rsid w:val="00BA54C2"/>
    <w:rsid w:val="00BA58A2"/>
    <w:rsid w:val="00BA68F5"/>
    <w:rsid w:val="00BB0F90"/>
    <w:rsid w:val="00BB1F84"/>
    <w:rsid w:val="00BB2A5B"/>
    <w:rsid w:val="00BB32D9"/>
    <w:rsid w:val="00BC2E4A"/>
    <w:rsid w:val="00BC3F1E"/>
    <w:rsid w:val="00BC5D27"/>
    <w:rsid w:val="00BD0751"/>
    <w:rsid w:val="00BD0FD6"/>
    <w:rsid w:val="00BD38FF"/>
    <w:rsid w:val="00BD53BF"/>
    <w:rsid w:val="00BE0433"/>
    <w:rsid w:val="00BE14FC"/>
    <w:rsid w:val="00BE5BC9"/>
    <w:rsid w:val="00BE6A29"/>
    <w:rsid w:val="00BF59BC"/>
    <w:rsid w:val="00BF6C59"/>
    <w:rsid w:val="00C056A2"/>
    <w:rsid w:val="00C07844"/>
    <w:rsid w:val="00C10137"/>
    <w:rsid w:val="00C128EE"/>
    <w:rsid w:val="00C2087B"/>
    <w:rsid w:val="00C235DF"/>
    <w:rsid w:val="00C2649F"/>
    <w:rsid w:val="00C26C5C"/>
    <w:rsid w:val="00C2781D"/>
    <w:rsid w:val="00C35F24"/>
    <w:rsid w:val="00C437A4"/>
    <w:rsid w:val="00C43C38"/>
    <w:rsid w:val="00C450DB"/>
    <w:rsid w:val="00C50B11"/>
    <w:rsid w:val="00C5592F"/>
    <w:rsid w:val="00C57052"/>
    <w:rsid w:val="00C577C8"/>
    <w:rsid w:val="00C65119"/>
    <w:rsid w:val="00C67086"/>
    <w:rsid w:val="00C71F72"/>
    <w:rsid w:val="00C728B3"/>
    <w:rsid w:val="00C77CC0"/>
    <w:rsid w:val="00C84B62"/>
    <w:rsid w:val="00C90207"/>
    <w:rsid w:val="00C9097F"/>
    <w:rsid w:val="00C93E28"/>
    <w:rsid w:val="00C945D6"/>
    <w:rsid w:val="00CA1038"/>
    <w:rsid w:val="00CB0131"/>
    <w:rsid w:val="00CB3CB6"/>
    <w:rsid w:val="00CB4F44"/>
    <w:rsid w:val="00CB4F57"/>
    <w:rsid w:val="00CB50A2"/>
    <w:rsid w:val="00CB7357"/>
    <w:rsid w:val="00CC0025"/>
    <w:rsid w:val="00CC21F4"/>
    <w:rsid w:val="00CC2731"/>
    <w:rsid w:val="00CC70A3"/>
    <w:rsid w:val="00CC7882"/>
    <w:rsid w:val="00CD123F"/>
    <w:rsid w:val="00CD2228"/>
    <w:rsid w:val="00CD31E1"/>
    <w:rsid w:val="00CD647A"/>
    <w:rsid w:val="00CE0041"/>
    <w:rsid w:val="00CE2639"/>
    <w:rsid w:val="00CE45A6"/>
    <w:rsid w:val="00CE5B6B"/>
    <w:rsid w:val="00CE6F44"/>
    <w:rsid w:val="00CE701B"/>
    <w:rsid w:val="00CF04CD"/>
    <w:rsid w:val="00CF1577"/>
    <w:rsid w:val="00CF16E1"/>
    <w:rsid w:val="00CF1AF0"/>
    <w:rsid w:val="00CF5D28"/>
    <w:rsid w:val="00CF62F0"/>
    <w:rsid w:val="00CF6524"/>
    <w:rsid w:val="00CF7011"/>
    <w:rsid w:val="00CF7D55"/>
    <w:rsid w:val="00D02601"/>
    <w:rsid w:val="00D02DA6"/>
    <w:rsid w:val="00D040C0"/>
    <w:rsid w:val="00D04320"/>
    <w:rsid w:val="00D04933"/>
    <w:rsid w:val="00D06EB2"/>
    <w:rsid w:val="00D116F2"/>
    <w:rsid w:val="00D21B7A"/>
    <w:rsid w:val="00D23522"/>
    <w:rsid w:val="00D30EC3"/>
    <w:rsid w:val="00D30ED2"/>
    <w:rsid w:val="00D32849"/>
    <w:rsid w:val="00D33AF3"/>
    <w:rsid w:val="00D349BD"/>
    <w:rsid w:val="00D349CF"/>
    <w:rsid w:val="00D34E72"/>
    <w:rsid w:val="00D366DF"/>
    <w:rsid w:val="00D4083B"/>
    <w:rsid w:val="00D50020"/>
    <w:rsid w:val="00D5119D"/>
    <w:rsid w:val="00D549F5"/>
    <w:rsid w:val="00D62D5A"/>
    <w:rsid w:val="00D65B9C"/>
    <w:rsid w:val="00D7166A"/>
    <w:rsid w:val="00D71A86"/>
    <w:rsid w:val="00D7335B"/>
    <w:rsid w:val="00D74EA1"/>
    <w:rsid w:val="00D750C3"/>
    <w:rsid w:val="00D775F7"/>
    <w:rsid w:val="00D8076F"/>
    <w:rsid w:val="00D85918"/>
    <w:rsid w:val="00D85956"/>
    <w:rsid w:val="00D85D04"/>
    <w:rsid w:val="00D92922"/>
    <w:rsid w:val="00D92D54"/>
    <w:rsid w:val="00D941CA"/>
    <w:rsid w:val="00DA3496"/>
    <w:rsid w:val="00DA428F"/>
    <w:rsid w:val="00DA5DD3"/>
    <w:rsid w:val="00DB0A95"/>
    <w:rsid w:val="00DB51FF"/>
    <w:rsid w:val="00DB5555"/>
    <w:rsid w:val="00DB5798"/>
    <w:rsid w:val="00DC4BAF"/>
    <w:rsid w:val="00DC72CC"/>
    <w:rsid w:val="00DD2E57"/>
    <w:rsid w:val="00DD6241"/>
    <w:rsid w:val="00DD6655"/>
    <w:rsid w:val="00DD6CB7"/>
    <w:rsid w:val="00DE6EBD"/>
    <w:rsid w:val="00DF3ACA"/>
    <w:rsid w:val="00DF57F4"/>
    <w:rsid w:val="00DF5D0C"/>
    <w:rsid w:val="00DF647C"/>
    <w:rsid w:val="00E01A16"/>
    <w:rsid w:val="00E020D6"/>
    <w:rsid w:val="00E02FE1"/>
    <w:rsid w:val="00E06705"/>
    <w:rsid w:val="00E1142A"/>
    <w:rsid w:val="00E13428"/>
    <w:rsid w:val="00E17D90"/>
    <w:rsid w:val="00E2336E"/>
    <w:rsid w:val="00E23602"/>
    <w:rsid w:val="00E24AA1"/>
    <w:rsid w:val="00E258D1"/>
    <w:rsid w:val="00E26B56"/>
    <w:rsid w:val="00E27C80"/>
    <w:rsid w:val="00E27D54"/>
    <w:rsid w:val="00E326A8"/>
    <w:rsid w:val="00E33012"/>
    <w:rsid w:val="00E376E2"/>
    <w:rsid w:val="00E44F4B"/>
    <w:rsid w:val="00E46B70"/>
    <w:rsid w:val="00E50554"/>
    <w:rsid w:val="00E52645"/>
    <w:rsid w:val="00E57971"/>
    <w:rsid w:val="00E61EDA"/>
    <w:rsid w:val="00E63180"/>
    <w:rsid w:val="00E70180"/>
    <w:rsid w:val="00E71F2E"/>
    <w:rsid w:val="00E72862"/>
    <w:rsid w:val="00E74C4C"/>
    <w:rsid w:val="00E757AC"/>
    <w:rsid w:val="00E758BB"/>
    <w:rsid w:val="00E7751B"/>
    <w:rsid w:val="00E81A4E"/>
    <w:rsid w:val="00E91AE3"/>
    <w:rsid w:val="00E924E5"/>
    <w:rsid w:val="00E92BD8"/>
    <w:rsid w:val="00E92E7C"/>
    <w:rsid w:val="00E93DEB"/>
    <w:rsid w:val="00E94D51"/>
    <w:rsid w:val="00E95EB2"/>
    <w:rsid w:val="00EA01E8"/>
    <w:rsid w:val="00EA0B18"/>
    <w:rsid w:val="00EB3C17"/>
    <w:rsid w:val="00EB42C4"/>
    <w:rsid w:val="00EC3553"/>
    <w:rsid w:val="00EC5E71"/>
    <w:rsid w:val="00ED3E8D"/>
    <w:rsid w:val="00ED5E39"/>
    <w:rsid w:val="00EE428B"/>
    <w:rsid w:val="00EE556E"/>
    <w:rsid w:val="00EF0DC9"/>
    <w:rsid w:val="00EF0FC6"/>
    <w:rsid w:val="00EF12E7"/>
    <w:rsid w:val="00EF6DB8"/>
    <w:rsid w:val="00F01B64"/>
    <w:rsid w:val="00F0213F"/>
    <w:rsid w:val="00F04C67"/>
    <w:rsid w:val="00F050BB"/>
    <w:rsid w:val="00F073D8"/>
    <w:rsid w:val="00F079FD"/>
    <w:rsid w:val="00F1073E"/>
    <w:rsid w:val="00F152E7"/>
    <w:rsid w:val="00F16C15"/>
    <w:rsid w:val="00F209F8"/>
    <w:rsid w:val="00F22083"/>
    <w:rsid w:val="00F22F58"/>
    <w:rsid w:val="00F24EDD"/>
    <w:rsid w:val="00F254C2"/>
    <w:rsid w:val="00F3044D"/>
    <w:rsid w:val="00F426D8"/>
    <w:rsid w:val="00F45D7B"/>
    <w:rsid w:val="00F50F44"/>
    <w:rsid w:val="00F55452"/>
    <w:rsid w:val="00F554CF"/>
    <w:rsid w:val="00F62519"/>
    <w:rsid w:val="00F6496D"/>
    <w:rsid w:val="00F71310"/>
    <w:rsid w:val="00F71F11"/>
    <w:rsid w:val="00F723B0"/>
    <w:rsid w:val="00F726B8"/>
    <w:rsid w:val="00F72AEE"/>
    <w:rsid w:val="00F76029"/>
    <w:rsid w:val="00F861CC"/>
    <w:rsid w:val="00F8625E"/>
    <w:rsid w:val="00F86654"/>
    <w:rsid w:val="00F91DEB"/>
    <w:rsid w:val="00F94CB9"/>
    <w:rsid w:val="00F97188"/>
    <w:rsid w:val="00FA1881"/>
    <w:rsid w:val="00FA18C4"/>
    <w:rsid w:val="00FA6A55"/>
    <w:rsid w:val="00FA7530"/>
    <w:rsid w:val="00FB52DE"/>
    <w:rsid w:val="00FD17A6"/>
    <w:rsid w:val="00FD49AE"/>
    <w:rsid w:val="00FD5962"/>
    <w:rsid w:val="00FD7864"/>
    <w:rsid w:val="00FE2322"/>
    <w:rsid w:val="00FE2F40"/>
    <w:rsid w:val="00FF29D5"/>
    <w:rsid w:val="00FF3EC5"/>
    <w:rsid w:val="00FF40FD"/>
    <w:rsid w:val="00FF6B28"/>
    <w:rsid w:val="00FF7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A256C"/>
  <w15:chartTrackingRefBased/>
  <w15:docId w15:val="{01D4E4AB-B494-41C3-BE6A-56FF0023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link w:val="ChapterheadingChar"/>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3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824AA2"/>
    <w:rPr>
      <w:color w:val="808080"/>
    </w:rPr>
  </w:style>
  <w:style w:type="character" w:styleId="FollowedHyperlink">
    <w:name w:val="FollowedHyperlink"/>
    <w:basedOn w:val="DefaultParagraphFont"/>
    <w:uiPriority w:val="99"/>
    <w:semiHidden/>
    <w:unhideWhenUsed/>
    <w:rsid w:val="00A01427"/>
    <w:rPr>
      <w:color w:val="954F72" w:themeColor="followedHyperlink"/>
      <w:u w:val="single"/>
    </w:rPr>
  </w:style>
  <w:style w:type="character" w:styleId="CommentReference">
    <w:name w:val="annotation reference"/>
    <w:basedOn w:val="DefaultParagraphFont"/>
    <w:uiPriority w:val="99"/>
    <w:semiHidden/>
    <w:unhideWhenUsed/>
    <w:rsid w:val="00E92BD8"/>
    <w:rPr>
      <w:sz w:val="16"/>
      <w:szCs w:val="16"/>
    </w:rPr>
  </w:style>
  <w:style w:type="paragraph" w:styleId="CommentText">
    <w:name w:val="annotation text"/>
    <w:basedOn w:val="Normal"/>
    <w:link w:val="CommentTextChar"/>
    <w:uiPriority w:val="99"/>
    <w:unhideWhenUsed/>
    <w:rsid w:val="00E92BD8"/>
    <w:rPr>
      <w:sz w:val="20"/>
      <w:szCs w:val="20"/>
    </w:rPr>
  </w:style>
  <w:style w:type="character" w:customStyle="1" w:styleId="CommentTextChar">
    <w:name w:val="Comment Text Char"/>
    <w:basedOn w:val="DefaultParagraphFont"/>
    <w:link w:val="CommentText"/>
    <w:uiPriority w:val="99"/>
    <w:rsid w:val="00E92B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2BD8"/>
    <w:rPr>
      <w:b/>
      <w:bCs/>
    </w:rPr>
  </w:style>
  <w:style w:type="character" w:customStyle="1" w:styleId="CommentSubjectChar">
    <w:name w:val="Comment Subject Char"/>
    <w:basedOn w:val="CommentTextChar"/>
    <w:link w:val="CommentSubject"/>
    <w:uiPriority w:val="99"/>
    <w:semiHidden/>
    <w:rsid w:val="00E92BD8"/>
    <w:rPr>
      <w:rFonts w:ascii="Times New Roman" w:hAnsi="Times New Roman"/>
      <w:b/>
      <w:bCs/>
      <w:sz w:val="20"/>
      <w:szCs w:val="20"/>
    </w:rPr>
  </w:style>
  <w:style w:type="character" w:styleId="Emphasis">
    <w:name w:val="Emphasis"/>
    <w:basedOn w:val="DefaultParagraphFont"/>
    <w:uiPriority w:val="20"/>
    <w:qFormat/>
    <w:rsid w:val="001A11BF"/>
    <w:rPr>
      <w:i/>
      <w:iCs/>
    </w:rPr>
  </w:style>
  <w:style w:type="paragraph" w:styleId="TOC4">
    <w:name w:val="toc 4"/>
    <w:basedOn w:val="Normal"/>
    <w:next w:val="Normal"/>
    <w:autoRedefine/>
    <w:uiPriority w:val="39"/>
    <w:semiHidden/>
    <w:unhideWhenUsed/>
    <w:rsid w:val="002F7754"/>
    <w:pPr>
      <w:spacing w:after="100"/>
      <w:ind w:left="660"/>
    </w:pPr>
  </w:style>
  <w:style w:type="paragraph" w:styleId="TOC5">
    <w:name w:val="toc 5"/>
    <w:basedOn w:val="Normal"/>
    <w:next w:val="Normal"/>
    <w:autoRedefine/>
    <w:uiPriority w:val="39"/>
    <w:semiHidden/>
    <w:unhideWhenUsed/>
    <w:rsid w:val="002F7754"/>
    <w:pPr>
      <w:spacing w:after="100"/>
      <w:ind w:left="880"/>
    </w:pPr>
  </w:style>
  <w:style w:type="paragraph" w:styleId="TOC6">
    <w:name w:val="toc 6"/>
    <w:basedOn w:val="Normal"/>
    <w:next w:val="Normal"/>
    <w:autoRedefine/>
    <w:uiPriority w:val="39"/>
    <w:semiHidden/>
    <w:unhideWhenUsed/>
    <w:rsid w:val="002F7754"/>
    <w:pPr>
      <w:spacing w:after="100"/>
      <w:ind w:left="1100"/>
    </w:pPr>
  </w:style>
  <w:style w:type="paragraph" w:styleId="TOC7">
    <w:name w:val="toc 7"/>
    <w:basedOn w:val="Normal"/>
    <w:next w:val="Normal"/>
    <w:autoRedefine/>
    <w:uiPriority w:val="39"/>
    <w:semiHidden/>
    <w:unhideWhenUsed/>
    <w:rsid w:val="002F7754"/>
    <w:pPr>
      <w:spacing w:after="100"/>
      <w:ind w:left="1320"/>
    </w:pPr>
  </w:style>
  <w:style w:type="paragraph" w:styleId="TOC8">
    <w:name w:val="toc 8"/>
    <w:basedOn w:val="Normal"/>
    <w:next w:val="Normal"/>
    <w:autoRedefine/>
    <w:uiPriority w:val="39"/>
    <w:semiHidden/>
    <w:unhideWhenUsed/>
    <w:rsid w:val="002F7754"/>
    <w:pPr>
      <w:spacing w:after="100"/>
      <w:ind w:left="1540"/>
    </w:pPr>
  </w:style>
  <w:style w:type="paragraph" w:styleId="TOC9">
    <w:name w:val="toc 9"/>
    <w:basedOn w:val="Normal"/>
    <w:next w:val="Normal"/>
    <w:autoRedefine/>
    <w:uiPriority w:val="39"/>
    <w:semiHidden/>
    <w:unhideWhenUsed/>
    <w:rsid w:val="002F7754"/>
    <w:pPr>
      <w:spacing w:after="100"/>
      <w:ind w:left="1760"/>
    </w:pPr>
  </w:style>
  <w:style w:type="paragraph" w:customStyle="1" w:styleId="subsection">
    <w:name w:val="subsection"/>
    <w:aliases w:val="ss"/>
    <w:basedOn w:val="Normal"/>
    <w:rsid w:val="0076660E"/>
    <w:pPr>
      <w:tabs>
        <w:tab w:val="right" w:pos="1021"/>
      </w:tabs>
      <w:spacing w:before="180" w:after="0"/>
      <w:ind w:left="1134" w:hanging="1134"/>
    </w:pPr>
    <w:rPr>
      <w:rFonts w:eastAsia="Times New Roman" w:cs="Times New Roman"/>
      <w:szCs w:val="20"/>
      <w:lang w:eastAsia="en-AU"/>
    </w:rPr>
  </w:style>
  <w:style w:type="paragraph" w:customStyle="1" w:styleId="paragraph">
    <w:name w:val="paragraph"/>
    <w:aliases w:val="a"/>
    <w:basedOn w:val="Normal"/>
    <w:rsid w:val="0076660E"/>
    <w:pPr>
      <w:tabs>
        <w:tab w:val="right" w:pos="1531"/>
      </w:tabs>
      <w:spacing w:before="40" w:after="0"/>
      <w:ind w:left="1644" w:hanging="1644"/>
    </w:pPr>
    <w:rPr>
      <w:rFonts w:eastAsia="Times New Roman" w:cs="Times New Roman"/>
      <w:szCs w:val="20"/>
      <w:lang w:eastAsia="en-AU"/>
    </w:rPr>
  </w:style>
  <w:style w:type="paragraph" w:customStyle="1" w:styleId="base-text-paragraph">
    <w:name w:val="base-text-paragraph"/>
    <w:link w:val="base-text-paragraphChar"/>
    <w:rsid w:val="005159C3"/>
    <w:pPr>
      <w:numPr>
        <w:numId w:val="32"/>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5159C3"/>
    <w:rPr>
      <w:rFonts w:ascii="Times New Roman" w:eastAsia="Times New Roman" w:hAnsi="Times New Roman" w:cs="Times New Roman"/>
      <w:szCs w:val="20"/>
      <w:lang w:eastAsia="en-AU"/>
    </w:rPr>
  </w:style>
  <w:style w:type="paragraph" w:customStyle="1" w:styleId="Bullet">
    <w:name w:val="Bullet"/>
    <w:basedOn w:val="Normal"/>
    <w:link w:val="BulletChar"/>
    <w:rsid w:val="00EB42C4"/>
    <w:pPr>
      <w:numPr>
        <w:numId w:val="33"/>
      </w:numPr>
    </w:pPr>
    <w:rPr>
      <w:rFonts w:eastAsiaTheme="majorEastAsia" w:cstheme="majorBidi"/>
      <w:sz w:val="40"/>
      <w:szCs w:val="32"/>
    </w:rPr>
  </w:style>
  <w:style w:type="character" w:customStyle="1" w:styleId="ChapterheadingChar">
    <w:name w:val="Chapter heading Char"/>
    <w:basedOn w:val="Heading1Char"/>
    <w:link w:val="Chapterheading"/>
    <w:rsid w:val="00EB42C4"/>
    <w:rPr>
      <w:rFonts w:ascii="Helvitica" w:eastAsiaTheme="majorEastAsia" w:hAnsi="Helvitica" w:cstheme="majorBidi"/>
      <w:b/>
      <w:i/>
      <w:sz w:val="40"/>
      <w:szCs w:val="32"/>
    </w:rPr>
  </w:style>
  <w:style w:type="character" w:customStyle="1" w:styleId="BulletChar">
    <w:name w:val="Bullet Char"/>
    <w:basedOn w:val="ChapterheadingChar"/>
    <w:link w:val="Bullet"/>
    <w:rsid w:val="00EB42C4"/>
    <w:rPr>
      <w:rFonts w:ascii="Times New Roman" w:eastAsiaTheme="majorEastAsia" w:hAnsi="Times New Roman" w:cstheme="majorBidi"/>
      <w:b w:val="0"/>
      <w:i w:val="0"/>
      <w:sz w:val="40"/>
      <w:szCs w:val="32"/>
    </w:rPr>
  </w:style>
  <w:style w:type="paragraph" w:customStyle="1" w:styleId="DoubleDot">
    <w:name w:val="Double Dot"/>
    <w:basedOn w:val="Normal"/>
    <w:link w:val="DoubleDotChar"/>
    <w:rsid w:val="00EB42C4"/>
    <w:pPr>
      <w:numPr>
        <w:ilvl w:val="2"/>
        <w:numId w:val="33"/>
      </w:numPr>
    </w:pPr>
    <w:rPr>
      <w:rFonts w:eastAsiaTheme="majorEastAsia" w:cstheme="majorBidi"/>
      <w:sz w:val="40"/>
      <w:szCs w:val="32"/>
    </w:rPr>
  </w:style>
  <w:style w:type="character" w:customStyle="1" w:styleId="DoubleDotChar">
    <w:name w:val="Double Dot Char"/>
    <w:basedOn w:val="ChapterheadingChar"/>
    <w:link w:val="DoubleDot"/>
    <w:rsid w:val="00EB42C4"/>
    <w:rPr>
      <w:rFonts w:ascii="Times New Roman" w:eastAsiaTheme="majorEastAsia" w:hAnsi="Times New Roman" w:cstheme="majorBidi"/>
      <w:b w:val="0"/>
      <w:i w:val="0"/>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106">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050306991">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21448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2022MG-90-37270</_dlc_DocId>
    <_dlc_DocIdUrl xmlns="0f563589-9cf9-4143-b1eb-fb0534803d38">
      <Url>http://tweb/sites/mg/fsd/_layouts/15/DocIdRedir.aspx?ID=2022MG-90-37270</Url>
      <Description>2022MG-90-37270</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9178" ma:contentTypeDescription=" " ma:contentTypeScope="" ma:versionID="cf9e19fb207a34ac71cb05c4fa549fed">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c8535b94b0076d8c56fa48f59093e42"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3:SecurityClassification"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vti_ItemDeclaredRecord" ma:index="18"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7"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2.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3.xml><?xml version="1.0" encoding="utf-8"?>
<ds:datastoreItem xmlns:ds="http://schemas.openxmlformats.org/officeDocument/2006/customXml" ds:itemID="{0796CE6D-735F-4EB4-89EE-47D41B09EA6E}">
  <ds:schemaRefs>
    <ds:schemaRef ds:uri="office.server.policy"/>
  </ds:schemaRefs>
</ds:datastoreItem>
</file>

<file path=customXml/itemProps4.xml><?xml version="1.0" encoding="utf-8"?>
<ds:datastoreItem xmlns:ds="http://schemas.openxmlformats.org/officeDocument/2006/customXml" ds:itemID="{32A0E298-0C5F-4E9B-BA59-9B9F740468F9}">
  <ds:schemaRefs>
    <ds:schemaRef ds:uri="http://schemas.microsoft.com/sharepoint/events"/>
  </ds:schemaRefs>
</ds:datastoreItem>
</file>

<file path=customXml/itemProps5.xml><?xml version="1.0" encoding="utf-8"?>
<ds:datastoreItem xmlns:ds="http://schemas.openxmlformats.org/officeDocument/2006/customXml" ds:itemID="{5DB6B90A-3490-44CD-B523-A6D77BD6A515}">
  <ds:schemaRefs>
    <ds:schemaRef ds:uri="http://schemas.microsoft.com/sharepoint/events"/>
  </ds:schemaRefs>
</ds:datastoreItem>
</file>

<file path=customXml/itemProps6.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7.xml><?xml version="1.0" encoding="utf-8"?>
<ds:datastoreItem xmlns:ds="http://schemas.openxmlformats.org/officeDocument/2006/customXml" ds:itemID="{D12DB4F1-A620-42F2-B66F-FDC7FC88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Pri-EM.dotx</Template>
  <TotalTime>20</TotalTime>
  <Pages>1</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Exposure Draft Explanatory Memorandum: Treasury Laws Amendment (Modernising Business Communications) Bill 2022</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Memorandum: Treasury Laws Amendment (Modernising Business Communications) Bill 2022</dc:title>
  <dc:subject/>
  <dc:creator>Australian Government</dc:creator>
  <cp:keywords/>
  <dc:description/>
  <cp:lastModifiedBy>Smith, Matthew</cp:lastModifiedBy>
  <cp:revision>23</cp:revision>
  <cp:lastPrinted>2022-08-26T05:46:00Z</cp:lastPrinted>
  <dcterms:created xsi:type="dcterms:W3CDTF">2022-08-26T04:53:00Z</dcterms:created>
  <dcterms:modified xsi:type="dcterms:W3CDTF">2022-08-26T08:19:00Z</dcterms:modified>
</cp:coreProperties>
</file>