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7077C" w14:textId="1D0725D2" w:rsidR="00E24AA1" w:rsidRDefault="00E24AA1" w:rsidP="00E24AA1">
      <w:pPr>
        <w:pStyle w:val="Baseparagraphcentred"/>
      </w:pPr>
      <w:bookmarkStart w:id="0" w:name="_Toc78548463"/>
      <w:bookmarkStart w:id="1" w:name="_Toc78549734"/>
      <w:bookmarkStart w:id="2" w:name="_Toc78549779"/>
      <w:bookmarkStart w:id="3" w:name="_Toc80097481"/>
      <w:bookmarkStart w:id="4" w:name="_Toc80097775"/>
      <w:bookmarkStart w:id="5" w:name="_Hlk81640909"/>
    </w:p>
    <w:p w14:paraId="3642AE39" w14:textId="68D8E5EC" w:rsidR="004C63E3" w:rsidRDefault="004C63E3" w:rsidP="00E24AA1">
      <w:pPr>
        <w:pStyle w:val="Baseparagraphcentred"/>
      </w:pPr>
    </w:p>
    <w:p w14:paraId="63F983C5" w14:textId="77777777" w:rsidR="004C63E3" w:rsidRDefault="004C63E3" w:rsidP="00E24AA1">
      <w:pPr>
        <w:pStyle w:val="Baseparagraphcentred"/>
      </w:pPr>
    </w:p>
    <w:p w14:paraId="4037196E" w14:textId="77777777" w:rsidR="00E24AA1" w:rsidRDefault="00E24AA1" w:rsidP="00E24AA1">
      <w:pPr>
        <w:pStyle w:val="Baseparagraphcentred"/>
      </w:pPr>
    </w:p>
    <w:p w14:paraId="1CD774B1" w14:textId="77777777" w:rsidR="00E24AA1" w:rsidRDefault="00E24AA1" w:rsidP="00E24AA1">
      <w:pPr>
        <w:pStyle w:val="Baseparagraphcentred"/>
        <w:pBdr>
          <w:bottom w:val="single" w:sz="4" w:space="1" w:color="auto"/>
        </w:pBdr>
      </w:pPr>
    </w:p>
    <w:p w14:paraId="10A47B14" w14:textId="0AAE0676" w:rsidR="00E24AA1" w:rsidRPr="00E24AA1" w:rsidRDefault="00126524" w:rsidP="00E24AA1">
      <w:pPr>
        <w:pStyle w:val="BillName"/>
      </w:pPr>
      <w:bookmarkStart w:id="6" w:name="BillName"/>
      <w:bookmarkEnd w:id="6"/>
      <w:r>
        <w:t>Treasury Laws Amendment (Measures for consultation) Bill 2022: Technology investment boost</w:t>
      </w:r>
    </w:p>
    <w:p w14:paraId="11125A67" w14:textId="77777777" w:rsidR="00E24AA1" w:rsidRDefault="00E24AA1" w:rsidP="00E24AA1">
      <w:pPr>
        <w:pStyle w:val="Baseparagraphcentred"/>
        <w:pBdr>
          <w:top w:val="single" w:sz="4" w:space="1" w:color="auto"/>
        </w:pBdr>
      </w:pPr>
    </w:p>
    <w:p w14:paraId="0822D45F" w14:textId="77777777" w:rsidR="00E24AA1" w:rsidRDefault="00E24AA1" w:rsidP="00E24AA1">
      <w:pPr>
        <w:pStyle w:val="Baseparagraphcentred"/>
      </w:pPr>
    </w:p>
    <w:p w14:paraId="3B3A07C5" w14:textId="77777777" w:rsidR="00E24AA1" w:rsidRDefault="00E24AA1" w:rsidP="00E24AA1">
      <w:pPr>
        <w:pStyle w:val="Baseparagraphcentred"/>
      </w:pPr>
    </w:p>
    <w:p w14:paraId="3C48E071" w14:textId="77777777" w:rsidR="00E24AA1" w:rsidRDefault="00E24AA1" w:rsidP="00E24AA1">
      <w:pPr>
        <w:pStyle w:val="Baseparagraphcentred"/>
      </w:pPr>
    </w:p>
    <w:p w14:paraId="2D550CBA" w14:textId="77777777" w:rsidR="001A480C" w:rsidRDefault="001A480C" w:rsidP="00E24AA1">
      <w:pPr>
        <w:pStyle w:val="Baseparagraphcentred"/>
      </w:pPr>
      <w:r>
        <w:t>EXPOSURE DRAFT EXPLANATORY MATERIALS</w:t>
      </w:r>
    </w:p>
    <w:p w14:paraId="21265D13" w14:textId="64B921DD" w:rsidR="00E24AA1" w:rsidRDefault="00E24AA1" w:rsidP="00E24AA1">
      <w:pPr>
        <w:pStyle w:val="Baseparagraphcentred"/>
      </w:pPr>
    </w:p>
    <w:p w14:paraId="57CD64AA" w14:textId="77777777" w:rsidR="00E24AA1" w:rsidRDefault="00E24AA1" w:rsidP="00E24AA1">
      <w:pPr>
        <w:pStyle w:val="Baseparagraphcentred"/>
      </w:pPr>
    </w:p>
    <w:p w14:paraId="7D9BA186" w14:textId="77777777" w:rsidR="00E24AA1" w:rsidRDefault="00E24AA1" w:rsidP="00E24AA1">
      <w:pPr>
        <w:pStyle w:val="ParaCentredNoSpacing"/>
      </w:pPr>
    </w:p>
    <w:p w14:paraId="569094BA" w14:textId="77777777" w:rsidR="00E24AA1" w:rsidRPr="00967273" w:rsidRDefault="00E24AA1" w:rsidP="00E24AA1">
      <w:pPr>
        <w:pStyle w:val="Normalparatextnonumbers"/>
        <w:jc w:val="center"/>
        <w:rPr>
          <w:rFonts w:cs="Calibri"/>
          <w:color w:val="000000" w:themeColor="text1"/>
        </w:rPr>
      </w:pPr>
    </w:p>
    <w:p w14:paraId="291F8909" w14:textId="77777777" w:rsidR="00873094" w:rsidRDefault="00873094" w:rsidP="00873094">
      <w:pPr>
        <w:pStyle w:val="Normalparatextnonumbers"/>
      </w:pPr>
    </w:p>
    <w:p w14:paraId="39D8F69C" w14:textId="77777777" w:rsidR="00E24AA1" w:rsidRPr="00020288" w:rsidRDefault="00E24AA1" w:rsidP="00873094">
      <w:pPr>
        <w:pStyle w:val="Normalparatextnonumbers"/>
      </w:pPr>
    </w:p>
    <w:p w14:paraId="53799E6E" w14:textId="77777777" w:rsidR="00873094" w:rsidRPr="00020288" w:rsidRDefault="00873094" w:rsidP="00873094">
      <w:pPr>
        <w:pStyle w:val="TOC1"/>
        <w:sectPr w:rsidR="00873094" w:rsidRPr="00020288" w:rsidSect="00000BFC">
          <w:headerReference w:type="first" r:id="rId13"/>
          <w:footerReference w:type="first" r:id="rId14"/>
          <w:type w:val="oddPage"/>
          <w:pgSz w:w="9979" w:h="14175" w:code="138"/>
          <w:pgMar w:top="567" w:right="1134" w:bottom="567" w:left="1134" w:header="709" w:footer="709" w:gutter="0"/>
          <w:cols w:space="708"/>
          <w:titlePg/>
          <w:docGrid w:linePitch="360"/>
        </w:sectPr>
      </w:pPr>
    </w:p>
    <w:p w14:paraId="7BBFC10B" w14:textId="77777777" w:rsidR="00873094" w:rsidRPr="00020288" w:rsidRDefault="00873094" w:rsidP="00873094">
      <w:pPr>
        <w:pStyle w:val="TOCHeading"/>
      </w:pPr>
      <w:bookmarkStart w:id="7" w:name="_Toc80172450"/>
      <w:bookmarkStart w:id="8" w:name="_Toc80197114"/>
      <w:bookmarkStart w:id="9" w:name="_Toc81852681"/>
      <w:bookmarkEnd w:id="0"/>
      <w:bookmarkEnd w:id="1"/>
      <w:bookmarkEnd w:id="2"/>
      <w:bookmarkEnd w:id="3"/>
      <w:bookmarkEnd w:id="4"/>
      <w:r w:rsidRPr="00020288">
        <w:lastRenderedPageBreak/>
        <w:t>Table of Contents</w:t>
      </w:r>
      <w:bookmarkStart w:id="10" w:name="_Toc78549733"/>
      <w:bookmarkStart w:id="11" w:name="_Toc78549778"/>
      <w:bookmarkStart w:id="12" w:name="_Toc80097483"/>
      <w:bookmarkStart w:id="13" w:name="_Toc80097777"/>
      <w:bookmarkStart w:id="14" w:name="_Toc80115276"/>
      <w:bookmarkStart w:id="15" w:name="_Toc80172451"/>
      <w:bookmarkStart w:id="16" w:name="_Toc80197115"/>
      <w:bookmarkStart w:id="17" w:name="_Toc81852682"/>
      <w:bookmarkStart w:id="18" w:name="_Toc81852727"/>
      <w:bookmarkEnd w:id="7"/>
      <w:bookmarkEnd w:id="8"/>
      <w:bookmarkEnd w:id="9"/>
    </w:p>
    <w:p w14:paraId="02C09472" w14:textId="5A1D2204" w:rsidR="001A480C" w:rsidRDefault="00873094" w:rsidP="001A480C">
      <w:pPr>
        <w:pStyle w:val="TOC1"/>
        <w:tabs>
          <w:tab w:val="clear" w:pos="7655"/>
          <w:tab w:val="right" w:leader="dot" w:pos="7654"/>
        </w:tabs>
        <w:ind w:left="0" w:firstLine="0"/>
        <w:rPr>
          <w:rFonts w:asciiTheme="minorHAnsi" w:eastAsiaTheme="minorEastAsia" w:hAnsiTheme="minorHAnsi" w:cstheme="minorBidi"/>
          <w:bCs w:val="0"/>
          <w:noProof/>
          <w:sz w:val="22"/>
          <w:szCs w:val="22"/>
          <w:lang w:eastAsia="en-AU"/>
        </w:rPr>
      </w:pPr>
      <w:r w:rsidRPr="00BC2E4A">
        <w:fldChar w:fldCharType="begin"/>
      </w:r>
      <w:r w:rsidRPr="00BC2E4A">
        <w:instrText xml:space="preserve"> TOC \o "1-1" \u </w:instrText>
      </w:r>
      <w:r w:rsidRPr="00BC2E4A">
        <w:fldChar w:fldCharType="separate"/>
      </w:r>
      <w:r w:rsidR="001A480C">
        <w:rPr>
          <w:noProof/>
        </w:rPr>
        <w:t>Glossary</w:t>
      </w:r>
      <w:r w:rsidR="001A480C">
        <w:rPr>
          <w:noProof/>
        </w:rPr>
        <w:tab/>
      </w:r>
      <w:r w:rsidR="001A480C">
        <w:rPr>
          <w:noProof/>
        </w:rPr>
        <w:fldChar w:fldCharType="begin"/>
      </w:r>
      <w:r w:rsidR="001A480C">
        <w:rPr>
          <w:noProof/>
        </w:rPr>
        <w:instrText xml:space="preserve"> PAGEREF _Toc110870567 \h </w:instrText>
      </w:r>
      <w:r w:rsidR="001A480C">
        <w:rPr>
          <w:noProof/>
        </w:rPr>
      </w:r>
      <w:r w:rsidR="001A480C">
        <w:rPr>
          <w:noProof/>
        </w:rPr>
        <w:fldChar w:fldCharType="separate"/>
      </w:r>
      <w:r w:rsidR="00511BC0">
        <w:rPr>
          <w:noProof/>
        </w:rPr>
        <w:t>iii</w:t>
      </w:r>
      <w:r w:rsidR="001A480C">
        <w:rPr>
          <w:noProof/>
        </w:rPr>
        <w:fldChar w:fldCharType="end"/>
      </w:r>
    </w:p>
    <w:p w14:paraId="310B9894" w14:textId="10E69253" w:rsidR="001A480C" w:rsidRDefault="001A480C" w:rsidP="001A480C">
      <w:pPr>
        <w:pStyle w:val="TOC1"/>
        <w:tabs>
          <w:tab w:val="clear" w:pos="7655"/>
          <w:tab w:val="left" w:pos="1757"/>
          <w:tab w:val="right" w:leader="dot" w:pos="7654"/>
        </w:tabs>
        <w:rPr>
          <w:rFonts w:asciiTheme="minorHAnsi" w:eastAsiaTheme="minorEastAsia" w:hAnsiTheme="minorHAnsi" w:cstheme="minorBidi"/>
          <w:bCs w:val="0"/>
          <w:noProof/>
          <w:sz w:val="22"/>
          <w:szCs w:val="22"/>
          <w:lang w:eastAsia="en-AU"/>
        </w:rPr>
      </w:pPr>
      <w:r w:rsidRPr="00454C02">
        <w:rPr>
          <w:noProof/>
          <w14:scene3d>
            <w14:camera w14:prst="orthographicFront"/>
            <w14:lightRig w14:rig="threePt" w14:dir="t">
              <w14:rot w14:lat="0" w14:lon="0" w14:rev="0"/>
            </w14:lightRig>
          </w14:scene3d>
        </w:rPr>
        <w:t>Chapter 1:</w:t>
      </w:r>
      <w:r>
        <w:rPr>
          <w:rFonts w:asciiTheme="minorHAnsi" w:eastAsiaTheme="minorEastAsia" w:hAnsiTheme="minorHAnsi" w:cstheme="minorBidi"/>
          <w:bCs w:val="0"/>
          <w:noProof/>
          <w:sz w:val="22"/>
          <w:szCs w:val="22"/>
          <w:lang w:eastAsia="en-AU"/>
        </w:rPr>
        <w:tab/>
      </w:r>
      <w:r>
        <w:rPr>
          <w:noProof/>
        </w:rPr>
        <w:t>Technology Investment Boost</w:t>
      </w:r>
      <w:r>
        <w:rPr>
          <w:noProof/>
        </w:rPr>
        <w:tab/>
      </w:r>
      <w:r>
        <w:rPr>
          <w:noProof/>
        </w:rPr>
        <w:fldChar w:fldCharType="begin"/>
      </w:r>
      <w:r>
        <w:rPr>
          <w:noProof/>
        </w:rPr>
        <w:instrText xml:space="preserve"> PAGEREF _Toc110870568 \h </w:instrText>
      </w:r>
      <w:r>
        <w:rPr>
          <w:noProof/>
        </w:rPr>
      </w:r>
      <w:r>
        <w:rPr>
          <w:noProof/>
        </w:rPr>
        <w:fldChar w:fldCharType="separate"/>
      </w:r>
      <w:r w:rsidR="00511BC0">
        <w:rPr>
          <w:noProof/>
        </w:rPr>
        <w:t>5</w:t>
      </w:r>
      <w:r>
        <w:rPr>
          <w:noProof/>
        </w:rPr>
        <w:fldChar w:fldCharType="end"/>
      </w:r>
    </w:p>
    <w:p w14:paraId="6D6820D6" w14:textId="744610A4" w:rsidR="00873094" w:rsidRPr="00020288" w:rsidRDefault="00873094" w:rsidP="00BC2E4A">
      <w:pPr>
        <w:pStyle w:val="TOC1"/>
      </w:pPr>
      <w:r w:rsidRPr="00BC2E4A">
        <w:fldChar w:fldCharType="end"/>
      </w:r>
    </w:p>
    <w:p w14:paraId="225FD128" w14:textId="77777777" w:rsidR="00873094" w:rsidRPr="00020288" w:rsidRDefault="00873094" w:rsidP="00873094"/>
    <w:p w14:paraId="50E7A8AC" w14:textId="77777777" w:rsidR="00873094" w:rsidRPr="00020288" w:rsidRDefault="00873094" w:rsidP="00873094"/>
    <w:p w14:paraId="623EB0B7" w14:textId="77777777" w:rsidR="00873094" w:rsidRPr="00020288" w:rsidRDefault="00873094" w:rsidP="00873094">
      <w:pPr>
        <w:sectPr w:rsidR="00873094" w:rsidRPr="00020288" w:rsidSect="00000BFC">
          <w:headerReference w:type="even" r:id="rId15"/>
          <w:headerReference w:type="default" r:id="rId16"/>
          <w:headerReference w:type="first" r:id="rId17"/>
          <w:footerReference w:type="first" r:id="rId18"/>
          <w:type w:val="oddPage"/>
          <w:pgSz w:w="9979" w:h="14175" w:code="9"/>
          <w:pgMar w:top="567" w:right="1134" w:bottom="567" w:left="1134" w:header="709" w:footer="709" w:gutter="0"/>
          <w:pgNumType w:start="1"/>
          <w:cols w:space="708"/>
          <w:titlePg/>
          <w:docGrid w:linePitch="360"/>
        </w:sectPr>
      </w:pPr>
    </w:p>
    <w:p w14:paraId="1A0E3B58" w14:textId="77777777" w:rsidR="00873094" w:rsidRPr="00020288" w:rsidRDefault="00873094" w:rsidP="00873094">
      <w:pPr>
        <w:pStyle w:val="Heading1"/>
      </w:pPr>
      <w:bookmarkStart w:id="19" w:name="_Toc82021619"/>
      <w:bookmarkStart w:id="20" w:name="_Toc82067318"/>
      <w:bookmarkStart w:id="21" w:name="_Toc82072959"/>
      <w:bookmarkStart w:id="22" w:name="_Toc82073275"/>
      <w:bookmarkStart w:id="23" w:name="_Toc82073912"/>
      <w:bookmarkStart w:id="24" w:name="_Toc82074016"/>
      <w:bookmarkStart w:id="25" w:name="_Toc110870567"/>
      <w:r w:rsidRPr="00020288">
        <w:lastRenderedPageBreak/>
        <w:t>Glossary</w:t>
      </w:r>
      <w:bookmarkStart w:id="26" w:name="_Toc485286223"/>
      <w:bookmarkStart w:id="27" w:name="_Toc78193244"/>
      <w:bookmarkStart w:id="28" w:name="_Toc78193401"/>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2F0750CC" w14:textId="77777777" w:rsidR="00873094" w:rsidRPr="00020288" w:rsidRDefault="00873094" w:rsidP="00873094">
      <w:pPr>
        <w:pStyle w:val="Normalparatextnonumbers"/>
      </w:pPr>
      <w:r w:rsidRPr="00020288">
        <w:t>This Explanatory Memorand</w:t>
      </w:r>
      <w:r>
        <w:t>um</w:t>
      </w:r>
      <w:r w:rsidRPr="00020288">
        <w:t xml:space="preserve"> uses the following abbreviations and acronyms.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6"/>
        <w:gridCol w:w="3874"/>
      </w:tblGrid>
      <w:tr w:rsidR="00873094" w:rsidRPr="002E7A73" w14:paraId="7D22035D" w14:textId="77777777" w:rsidTr="002425D9">
        <w:tc>
          <w:tcPr>
            <w:tcW w:w="3776" w:type="dxa"/>
            <w:shd w:val="clear" w:color="auto" w:fill="auto"/>
          </w:tcPr>
          <w:p w14:paraId="46B373EE" w14:textId="77777777" w:rsidR="00873094" w:rsidRPr="002E7A73" w:rsidRDefault="00873094" w:rsidP="00B7393A">
            <w:pPr>
              <w:pStyle w:val="Tableheaderrowtext"/>
            </w:pPr>
            <w:bookmarkStart w:id="29" w:name="GlossaryTableStart"/>
            <w:bookmarkEnd w:id="29"/>
            <w:r w:rsidRPr="002E7A73">
              <w:t>Abbreviation</w:t>
            </w:r>
          </w:p>
        </w:tc>
        <w:tc>
          <w:tcPr>
            <w:tcW w:w="3874" w:type="dxa"/>
            <w:shd w:val="clear" w:color="auto" w:fill="auto"/>
          </w:tcPr>
          <w:p w14:paraId="6D7358C9" w14:textId="77777777" w:rsidR="00873094" w:rsidRPr="002E7A73" w:rsidRDefault="00873094" w:rsidP="00B7393A">
            <w:pPr>
              <w:pStyle w:val="Tableheaderrowtext"/>
            </w:pPr>
            <w:r w:rsidRPr="002E7A73">
              <w:t>Definition</w:t>
            </w:r>
          </w:p>
        </w:tc>
      </w:tr>
      <w:tr w:rsidR="00873094" w:rsidRPr="00020288" w14:paraId="2C87E5A2" w14:textId="77777777" w:rsidTr="002425D9">
        <w:tc>
          <w:tcPr>
            <w:tcW w:w="3776" w:type="dxa"/>
          </w:tcPr>
          <w:p w14:paraId="1CE7F9CD" w14:textId="1891A75D" w:rsidR="00873094" w:rsidRPr="00020288" w:rsidRDefault="00E52A1E" w:rsidP="002425D9">
            <w:pPr>
              <w:pStyle w:val="Normalparatextnonumbers"/>
            </w:pPr>
            <w:r>
              <w:t>ATO</w:t>
            </w:r>
          </w:p>
        </w:tc>
        <w:tc>
          <w:tcPr>
            <w:tcW w:w="3874" w:type="dxa"/>
          </w:tcPr>
          <w:p w14:paraId="0A67006C" w14:textId="67DBB61E" w:rsidR="00873094" w:rsidRPr="00020288" w:rsidRDefault="00E52A1E" w:rsidP="002425D9">
            <w:pPr>
              <w:pStyle w:val="Normalparatextnonumbers"/>
            </w:pPr>
            <w:r>
              <w:t>Australian Taxation Office</w:t>
            </w:r>
          </w:p>
        </w:tc>
      </w:tr>
      <w:tr w:rsidR="00873094" w:rsidRPr="00020288" w14:paraId="42951110" w14:textId="77777777" w:rsidTr="002425D9">
        <w:tc>
          <w:tcPr>
            <w:tcW w:w="3776" w:type="dxa"/>
          </w:tcPr>
          <w:p w14:paraId="74814CBE" w14:textId="5399F9DB" w:rsidR="00873094" w:rsidRPr="00020288" w:rsidRDefault="00E52A1E" w:rsidP="002425D9">
            <w:pPr>
              <w:pStyle w:val="Normalparatextnonumbers"/>
            </w:pPr>
            <w:r>
              <w:t>ITAA 1997</w:t>
            </w:r>
          </w:p>
        </w:tc>
        <w:tc>
          <w:tcPr>
            <w:tcW w:w="3874" w:type="dxa"/>
          </w:tcPr>
          <w:p w14:paraId="1F6A0D83" w14:textId="4B7DAF0B" w:rsidR="00873094" w:rsidRPr="00E52A1E" w:rsidRDefault="00E52A1E" w:rsidP="002425D9">
            <w:pPr>
              <w:pStyle w:val="Normalparatextnonumbers"/>
              <w:rPr>
                <w:i/>
                <w:iCs/>
              </w:rPr>
            </w:pPr>
            <w:r>
              <w:rPr>
                <w:i/>
                <w:iCs/>
              </w:rPr>
              <w:t>Income Tax Assessment Act 1997</w:t>
            </w:r>
          </w:p>
        </w:tc>
      </w:tr>
      <w:tr w:rsidR="00873094" w:rsidRPr="00020288" w14:paraId="7E03521D" w14:textId="77777777" w:rsidTr="002425D9">
        <w:tc>
          <w:tcPr>
            <w:tcW w:w="3776" w:type="dxa"/>
          </w:tcPr>
          <w:p w14:paraId="6BBC6EAC" w14:textId="4C73A7B2" w:rsidR="00873094" w:rsidRPr="00020288" w:rsidRDefault="003F5652" w:rsidP="002425D9">
            <w:pPr>
              <w:pStyle w:val="Normalparatextnonumbers"/>
            </w:pPr>
            <w:r>
              <w:t>IT</w:t>
            </w:r>
            <w:r w:rsidR="00C4642A">
              <w:t>(</w:t>
            </w:r>
            <w:r>
              <w:t>TP</w:t>
            </w:r>
            <w:r w:rsidR="00C4642A">
              <w:t>)</w:t>
            </w:r>
            <w:r w:rsidR="009C30D0">
              <w:t xml:space="preserve"> </w:t>
            </w:r>
            <w:r w:rsidR="00C4642A">
              <w:t>A</w:t>
            </w:r>
            <w:r w:rsidR="009C30D0">
              <w:t>ct</w:t>
            </w:r>
          </w:p>
        </w:tc>
        <w:tc>
          <w:tcPr>
            <w:tcW w:w="3874" w:type="dxa"/>
          </w:tcPr>
          <w:p w14:paraId="36EEB0D9" w14:textId="1DD9866C" w:rsidR="00873094" w:rsidRPr="00020288" w:rsidRDefault="003F5652" w:rsidP="002425D9">
            <w:pPr>
              <w:pStyle w:val="Normalparatextnonumbers"/>
            </w:pPr>
            <w:r>
              <w:rPr>
                <w:i/>
                <w:iCs/>
              </w:rPr>
              <w:t>Income Tax (Transitional Provisions) Act 1997</w:t>
            </w:r>
          </w:p>
        </w:tc>
      </w:tr>
      <w:tr w:rsidR="00876C37" w:rsidRPr="00020288" w14:paraId="26723E60" w14:textId="77777777" w:rsidTr="002425D9">
        <w:tc>
          <w:tcPr>
            <w:tcW w:w="3776" w:type="dxa"/>
          </w:tcPr>
          <w:p w14:paraId="421D761B" w14:textId="5EC280F4" w:rsidR="00876C37" w:rsidRDefault="00876C37" w:rsidP="002425D9">
            <w:pPr>
              <w:pStyle w:val="Normalparatextnonumbers"/>
            </w:pPr>
            <w:r>
              <w:t>GST</w:t>
            </w:r>
          </w:p>
        </w:tc>
        <w:tc>
          <w:tcPr>
            <w:tcW w:w="3874" w:type="dxa"/>
          </w:tcPr>
          <w:p w14:paraId="7F48C9CA" w14:textId="7E0B6D21" w:rsidR="00876C37" w:rsidRPr="00397600" w:rsidRDefault="00876C37" w:rsidP="002425D9">
            <w:pPr>
              <w:pStyle w:val="Normalparatextnonumbers"/>
            </w:pPr>
            <w:r>
              <w:t>Goods and Services Tax</w:t>
            </w:r>
          </w:p>
        </w:tc>
      </w:tr>
    </w:tbl>
    <w:p w14:paraId="6505D1AA" w14:textId="77777777" w:rsidR="00873094" w:rsidRPr="00020288" w:rsidRDefault="00873094" w:rsidP="00873094"/>
    <w:p w14:paraId="06DBA7D2" w14:textId="77777777" w:rsidR="00873094" w:rsidRPr="00020288" w:rsidRDefault="00873094" w:rsidP="00873094"/>
    <w:p w14:paraId="33C1CDED" w14:textId="77777777" w:rsidR="00873094" w:rsidRPr="00020288" w:rsidRDefault="00873094" w:rsidP="00873094">
      <w:pPr>
        <w:pStyle w:val="Heading1"/>
        <w:sectPr w:rsidR="00873094" w:rsidRPr="00020288" w:rsidSect="00000BFC">
          <w:headerReference w:type="even" r:id="rId19"/>
          <w:headerReference w:type="default" r:id="rId20"/>
          <w:headerReference w:type="first" r:id="rId21"/>
          <w:footerReference w:type="first" r:id="rId22"/>
          <w:type w:val="oddPage"/>
          <w:pgSz w:w="9979" w:h="14175" w:code="9"/>
          <w:pgMar w:top="567" w:right="1134" w:bottom="567" w:left="1134" w:header="709" w:footer="709" w:gutter="0"/>
          <w:pgNumType w:fmt="lowerRoman"/>
          <w:cols w:space="708"/>
          <w:docGrid w:linePitch="360"/>
        </w:sectPr>
      </w:pPr>
      <w:bookmarkStart w:id="30" w:name="_Toc78548464"/>
      <w:bookmarkStart w:id="31" w:name="_Toc78549735"/>
      <w:bookmarkStart w:id="32" w:name="_Toc78549780"/>
      <w:bookmarkStart w:id="33" w:name="_Toc80097484"/>
      <w:bookmarkStart w:id="34" w:name="_Toc80097778"/>
      <w:bookmarkStart w:id="35" w:name="_Toc80115277"/>
      <w:bookmarkStart w:id="36" w:name="_Toc80172452"/>
      <w:bookmarkStart w:id="37" w:name="_Toc80197116"/>
      <w:bookmarkStart w:id="38" w:name="_Toc81852683"/>
      <w:bookmarkStart w:id="39" w:name="_Toc81852728"/>
    </w:p>
    <w:p w14:paraId="675D4851" w14:textId="7EE96822" w:rsidR="00873094" w:rsidRPr="0073326A" w:rsidRDefault="007E0018" w:rsidP="00777A92">
      <w:pPr>
        <w:pStyle w:val="Chapterheading"/>
      </w:pPr>
      <w:bookmarkStart w:id="40" w:name="GeneralOutline"/>
      <w:bookmarkStart w:id="41" w:name="_Toc110870568"/>
      <w:bookmarkEnd w:id="26"/>
      <w:bookmarkEnd w:id="27"/>
      <w:bookmarkEnd w:id="28"/>
      <w:bookmarkEnd w:id="30"/>
      <w:bookmarkEnd w:id="31"/>
      <w:bookmarkEnd w:id="32"/>
      <w:bookmarkEnd w:id="33"/>
      <w:bookmarkEnd w:id="34"/>
      <w:bookmarkEnd w:id="35"/>
      <w:bookmarkEnd w:id="36"/>
      <w:bookmarkEnd w:id="37"/>
      <w:bookmarkEnd w:id="38"/>
      <w:bookmarkEnd w:id="39"/>
      <w:bookmarkEnd w:id="40"/>
      <w:r>
        <w:lastRenderedPageBreak/>
        <w:t>Technology Investment Boost</w:t>
      </w:r>
      <w:bookmarkEnd w:id="41"/>
    </w:p>
    <w:p w14:paraId="697CF816" w14:textId="65C91F5F" w:rsidR="00873094" w:rsidRDefault="00405AD6" w:rsidP="00873094">
      <w:pPr>
        <w:rPr>
          <w:rFonts w:ascii="Helvitica" w:hAnsi="Helvitica"/>
          <w:sz w:val="40"/>
        </w:rPr>
      </w:pPr>
      <w:bookmarkStart w:id="42" w:name="Chapter1"/>
      <w:r>
        <w:rPr>
          <w:rFonts w:ascii="Helvitica" w:hAnsi="Helvitica"/>
          <w:sz w:val="40"/>
        </w:rPr>
        <w:t xml:space="preserve">Table of Contents: </w:t>
      </w:r>
    </w:p>
    <w:p w14:paraId="53601AC5" w14:textId="4F13D3F7" w:rsidR="00511BC0" w:rsidRDefault="00405AD6">
      <w:pPr>
        <w:pStyle w:val="TOC2"/>
        <w:rPr>
          <w:rFonts w:asciiTheme="minorHAnsi" w:eastAsiaTheme="minorEastAsia" w:hAnsiTheme="minorHAnsi"/>
          <w:sz w:val="22"/>
          <w:lang w:eastAsia="en-AU"/>
        </w:rPr>
      </w:pPr>
      <w:r>
        <w:fldChar w:fldCharType="begin"/>
      </w:r>
      <w:r>
        <w:instrText xml:space="preserve"> TOC \o "1-3" \z  \B Chapter1</w:instrText>
      </w:r>
      <w:r>
        <w:fldChar w:fldCharType="separate"/>
      </w:r>
      <w:r w:rsidR="00511BC0">
        <w:t>Outline of chapter</w:t>
      </w:r>
      <w:r w:rsidR="00511BC0">
        <w:rPr>
          <w:webHidden/>
        </w:rPr>
        <w:tab/>
      </w:r>
      <w:r w:rsidR="00511BC0">
        <w:rPr>
          <w:webHidden/>
        </w:rPr>
        <w:fldChar w:fldCharType="begin"/>
      </w:r>
      <w:r w:rsidR="00511BC0">
        <w:rPr>
          <w:webHidden/>
        </w:rPr>
        <w:instrText xml:space="preserve"> PAGEREF _Toc111127948 \h </w:instrText>
      </w:r>
      <w:r w:rsidR="00511BC0">
        <w:rPr>
          <w:webHidden/>
        </w:rPr>
      </w:r>
      <w:r w:rsidR="00511BC0">
        <w:rPr>
          <w:webHidden/>
        </w:rPr>
        <w:fldChar w:fldCharType="separate"/>
      </w:r>
      <w:r w:rsidR="00511BC0">
        <w:rPr>
          <w:webHidden/>
        </w:rPr>
        <w:t>5</w:t>
      </w:r>
      <w:r w:rsidR="00511BC0">
        <w:rPr>
          <w:webHidden/>
        </w:rPr>
        <w:fldChar w:fldCharType="end"/>
      </w:r>
    </w:p>
    <w:p w14:paraId="28EFE4E3" w14:textId="455DBA58" w:rsidR="00511BC0" w:rsidRDefault="00511BC0">
      <w:pPr>
        <w:pStyle w:val="TOC2"/>
        <w:rPr>
          <w:rFonts w:asciiTheme="minorHAnsi" w:eastAsiaTheme="minorEastAsia" w:hAnsiTheme="minorHAnsi"/>
          <w:sz w:val="22"/>
          <w:lang w:eastAsia="en-AU"/>
        </w:rPr>
      </w:pPr>
      <w:r>
        <w:t>Context of amendments</w:t>
      </w:r>
      <w:r>
        <w:rPr>
          <w:webHidden/>
        </w:rPr>
        <w:tab/>
      </w:r>
      <w:r>
        <w:rPr>
          <w:webHidden/>
        </w:rPr>
        <w:fldChar w:fldCharType="begin"/>
      </w:r>
      <w:r>
        <w:rPr>
          <w:webHidden/>
        </w:rPr>
        <w:instrText xml:space="preserve"> PAGEREF _Toc111127949 \h </w:instrText>
      </w:r>
      <w:r>
        <w:rPr>
          <w:webHidden/>
        </w:rPr>
      </w:r>
      <w:r>
        <w:rPr>
          <w:webHidden/>
        </w:rPr>
        <w:fldChar w:fldCharType="separate"/>
      </w:r>
      <w:r>
        <w:rPr>
          <w:webHidden/>
        </w:rPr>
        <w:t>5</w:t>
      </w:r>
      <w:r>
        <w:rPr>
          <w:webHidden/>
        </w:rPr>
        <w:fldChar w:fldCharType="end"/>
      </w:r>
    </w:p>
    <w:p w14:paraId="162CB2D5" w14:textId="3A54A894" w:rsidR="00511BC0" w:rsidRDefault="00511BC0">
      <w:pPr>
        <w:pStyle w:val="TOC2"/>
        <w:rPr>
          <w:rFonts w:asciiTheme="minorHAnsi" w:eastAsiaTheme="minorEastAsia" w:hAnsiTheme="minorHAnsi"/>
          <w:sz w:val="22"/>
          <w:lang w:eastAsia="en-AU"/>
        </w:rPr>
      </w:pPr>
      <w:r>
        <w:t>Summary of new law</w:t>
      </w:r>
      <w:r>
        <w:rPr>
          <w:webHidden/>
        </w:rPr>
        <w:tab/>
      </w:r>
      <w:r>
        <w:rPr>
          <w:webHidden/>
        </w:rPr>
        <w:fldChar w:fldCharType="begin"/>
      </w:r>
      <w:r>
        <w:rPr>
          <w:webHidden/>
        </w:rPr>
        <w:instrText xml:space="preserve"> PAGEREF _Toc111127950 \h </w:instrText>
      </w:r>
      <w:r>
        <w:rPr>
          <w:webHidden/>
        </w:rPr>
      </w:r>
      <w:r>
        <w:rPr>
          <w:webHidden/>
        </w:rPr>
        <w:fldChar w:fldCharType="separate"/>
      </w:r>
      <w:r>
        <w:rPr>
          <w:webHidden/>
        </w:rPr>
        <w:t>6</w:t>
      </w:r>
      <w:r>
        <w:rPr>
          <w:webHidden/>
        </w:rPr>
        <w:fldChar w:fldCharType="end"/>
      </w:r>
    </w:p>
    <w:p w14:paraId="4BD54B1A" w14:textId="5C301761" w:rsidR="00511BC0" w:rsidRDefault="00511BC0">
      <w:pPr>
        <w:pStyle w:val="TOC2"/>
        <w:rPr>
          <w:rFonts w:asciiTheme="minorHAnsi" w:eastAsiaTheme="minorEastAsia" w:hAnsiTheme="minorHAnsi"/>
          <w:sz w:val="22"/>
          <w:lang w:eastAsia="en-AU"/>
        </w:rPr>
      </w:pPr>
      <w:r>
        <w:t>Detailed explanation of new law</w:t>
      </w:r>
      <w:r>
        <w:rPr>
          <w:webHidden/>
        </w:rPr>
        <w:tab/>
      </w:r>
      <w:r>
        <w:rPr>
          <w:webHidden/>
        </w:rPr>
        <w:fldChar w:fldCharType="begin"/>
      </w:r>
      <w:r>
        <w:rPr>
          <w:webHidden/>
        </w:rPr>
        <w:instrText xml:space="preserve"> PAGEREF _Toc111127951 \h </w:instrText>
      </w:r>
      <w:r>
        <w:rPr>
          <w:webHidden/>
        </w:rPr>
      </w:r>
      <w:r>
        <w:rPr>
          <w:webHidden/>
        </w:rPr>
        <w:fldChar w:fldCharType="separate"/>
      </w:r>
      <w:r>
        <w:rPr>
          <w:webHidden/>
        </w:rPr>
        <w:t>6</w:t>
      </w:r>
      <w:r>
        <w:rPr>
          <w:webHidden/>
        </w:rPr>
        <w:fldChar w:fldCharType="end"/>
      </w:r>
    </w:p>
    <w:p w14:paraId="50AF075A" w14:textId="5AC94797" w:rsidR="00511BC0" w:rsidRDefault="00511BC0">
      <w:pPr>
        <w:pStyle w:val="TOC2"/>
        <w:rPr>
          <w:rFonts w:asciiTheme="minorHAnsi" w:eastAsiaTheme="minorEastAsia" w:hAnsiTheme="minorHAnsi"/>
          <w:sz w:val="22"/>
          <w:lang w:eastAsia="en-AU"/>
        </w:rPr>
      </w:pPr>
      <w:r>
        <w:t>Commencement, application, and transitional provisions</w:t>
      </w:r>
      <w:r>
        <w:rPr>
          <w:webHidden/>
        </w:rPr>
        <w:tab/>
      </w:r>
      <w:r>
        <w:rPr>
          <w:webHidden/>
        </w:rPr>
        <w:fldChar w:fldCharType="begin"/>
      </w:r>
      <w:r>
        <w:rPr>
          <w:webHidden/>
        </w:rPr>
        <w:instrText xml:space="preserve"> PAGEREF _Toc111127952 \h </w:instrText>
      </w:r>
      <w:r>
        <w:rPr>
          <w:webHidden/>
        </w:rPr>
      </w:r>
      <w:r>
        <w:rPr>
          <w:webHidden/>
        </w:rPr>
        <w:fldChar w:fldCharType="separate"/>
      </w:r>
      <w:r>
        <w:rPr>
          <w:webHidden/>
        </w:rPr>
        <w:t>13</w:t>
      </w:r>
      <w:r>
        <w:rPr>
          <w:webHidden/>
        </w:rPr>
        <w:fldChar w:fldCharType="end"/>
      </w:r>
    </w:p>
    <w:p w14:paraId="6FC57D9D" w14:textId="65B9D88A" w:rsidR="00405AD6" w:rsidRPr="00020288" w:rsidRDefault="00405AD6" w:rsidP="00405AD6">
      <w:r>
        <w:fldChar w:fldCharType="end"/>
      </w:r>
    </w:p>
    <w:p w14:paraId="275F486C" w14:textId="77777777" w:rsidR="00873094" w:rsidRPr="00020288" w:rsidRDefault="00873094" w:rsidP="005D0844">
      <w:pPr>
        <w:pStyle w:val="Heading2"/>
      </w:pPr>
      <w:bookmarkStart w:id="43" w:name="_Toc111127948"/>
      <w:r w:rsidRPr="00020288">
        <w:t xml:space="preserve">Outline </w:t>
      </w:r>
      <w:r w:rsidRPr="005D0844">
        <w:t>of</w:t>
      </w:r>
      <w:r w:rsidRPr="00020288">
        <w:t xml:space="preserve"> chapter</w:t>
      </w:r>
      <w:bookmarkEnd w:id="43"/>
    </w:p>
    <w:p w14:paraId="31A51D70" w14:textId="0D1D9A9B" w:rsidR="00E379E7" w:rsidRDefault="00BA4197" w:rsidP="000E521B">
      <w:pPr>
        <w:pStyle w:val="Normalparatextwithnumbers"/>
      </w:pPr>
      <w:r w:rsidRPr="00BA4197">
        <w:t xml:space="preserve">Schedule xx to the Bill amends the </w:t>
      </w:r>
      <w:r w:rsidR="004A3702">
        <w:t>IT(T</w:t>
      </w:r>
      <w:r w:rsidR="009C30D0">
        <w:t>P) Act</w:t>
      </w:r>
      <w:r w:rsidRPr="00DB1CB6">
        <w:t xml:space="preserve"> </w:t>
      </w:r>
      <w:r w:rsidRPr="00BA4197">
        <w:t xml:space="preserve">to provide small businesses (with aggregated annual turnover of less than $50 million) with a bonus deduction equal to 20 per cent of their </w:t>
      </w:r>
      <w:r w:rsidR="008315FA">
        <w:t xml:space="preserve">eligible </w:t>
      </w:r>
      <w:r w:rsidRPr="00BA4197">
        <w:t xml:space="preserve">expenditure </w:t>
      </w:r>
      <w:r w:rsidR="009B1373">
        <w:t xml:space="preserve">incurred </w:t>
      </w:r>
      <w:r w:rsidRPr="00BA4197">
        <w:t>on expenses and depreciating assets</w:t>
      </w:r>
      <w:r w:rsidR="00EF0884">
        <w:t xml:space="preserve"> </w:t>
      </w:r>
      <w:r w:rsidRPr="00BA4197">
        <w:t xml:space="preserve">for the purposes of their digital operations or digitising their operations. </w:t>
      </w:r>
    </w:p>
    <w:p w14:paraId="0D6A1E32" w14:textId="58CB58AB" w:rsidR="00873094" w:rsidRDefault="00BA4197" w:rsidP="000E521B">
      <w:pPr>
        <w:pStyle w:val="Normalparatextwithnumbers"/>
      </w:pPr>
      <w:r w:rsidRPr="00BA4197">
        <w:t xml:space="preserve">The bonus deduction </w:t>
      </w:r>
      <w:r w:rsidR="00DB1CB6">
        <w:t>applies</w:t>
      </w:r>
      <w:r w:rsidRPr="00BA4197">
        <w:t xml:space="preserve"> to eligible expenditure incurred between </w:t>
      </w:r>
      <w:r w:rsidR="00E379E7" w:rsidRPr="00DC6350">
        <w:t>7:30pm (</w:t>
      </w:r>
      <w:r w:rsidR="00E379E7">
        <w:t>by legal time in the Australian Capital Territory)</w:t>
      </w:r>
      <w:r w:rsidR="00BF3484">
        <w:t xml:space="preserve"> on</w:t>
      </w:r>
      <w:r w:rsidR="00E379E7" w:rsidRPr="00DC6350">
        <w:t xml:space="preserve"> 29 March 2022</w:t>
      </w:r>
      <w:r w:rsidR="00E379E7">
        <w:t xml:space="preserve"> </w:t>
      </w:r>
      <w:r w:rsidRPr="00BA4197">
        <w:t>and 30</w:t>
      </w:r>
      <w:r w:rsidR="000441BD">
        <w:t> </w:t>
      </w:r>
      <w:r w:rsidRPr="00BA4197">
        <w:t>June 2023</w:t>
      </w:r>
      <w:r w:rsidR="00AA135D">
        <w:t xml:space="preserve">. It applies to </w:t>
      </w:r>
      <w:r w:rsidR="00EF0884">
        <w:t xml:space="preserve">the total of </w:t>
      </w:r>
      <w:r w:rsidR="00AA135D">
        <w:t>eligible expenditure of up to $100,000 per income year or specified time period,</w:t>
      </w:r>
      <w:r w:rsidRPr="00BA4197">
        <w:t xml:space="preserve"> up to a maximum bonus deduction of $20,000 per income year</w:t>
      </w:r>
      <w:r w:rsidR="0004217D">
        <w:t xml:space="preserve"> or specified time period</w:t>
      </w:r>
      <w:r w:rsidRPr="00BA4197">
        <w:t>.</w:t>
      </w:r>
    </w:p>
    <w:p w14:paraId="69DCD857" w14:textId="77777777" w:rsidR="00873094" w:rsidRPr="00020288" w:rsidRDefault="00873094" w:rsidP="005D0844">
      <w:pPr>
        <w:pStyle w:val="Heading2"/>
      </w:pPr>
      <w:bookmarkStart w:id="44" w:name="_Toc111127949"/>
      <w:r w:rsidRPr="00020288">
        <w:t xml:space="preserve">Context of </w:t>
      </w:r>
      <w:r w:rsidRPr="005D0844">
        <w:t>amendments</w:t>
      </w:r>
      <w:bookmarkEnd w:id="44"/>
    </w:p>
    <w:p w14:paraId="3AE34F13" w14:textId="5BDF9676" w:rsidR="00B17099" w:rsidRDefault="00B17099" w:rsidP="00B17099">
      <w:pPr>
        <w:pStyle w:val="Normalparatextwithnumbers"/>
      </w:pPr>
      <w:r>
        <w:t xml:space="preserve">The </w:t>
      </w:r>
      <w:r w:rsidR="000E00BC">
        <w:t>measure supports</w:t>
      </w:r>
      <w:r>
        <w:t xml:space="preserve"> small businesses to </w:t>
      </w:r>
      <w:r w:rsidR="004024FC">
        <w:t xml:space="preserve">take advantage of digital technologies, which are key to a stronger, </w:t>
      </w:r>
      <w:r w:rsidR="009B3BDC">
        <w:t>productive and resilient economy</w:t>
      </w:r>
      <w:r>
        <w:t>.</w:t>
      </w:r>
    </w:p>
    <w:p w14:paraId="3D5D6691" w14:textId="2E59CA15" w:rsidR="00B17099" w:rsidRDefault="00B17099" w:rsidP="00B17099">
      <w:pPr>
        <w:pStyle w:val="Normalparatextwithnumbers"/>
      </w:pPr>
      <w:r>
        <w:t xml:space="preserve">Small businesses will have access to a 20 per cent bonus deduction for </w:t>
      </w:r>
      <w:r w:rsidR="009B3BDC">
        <w:t xml:space="preserve">eligible </w:t>
      </w:r>
      <w:r>
        <w:t xml:space="preserve">expenditure </w:t>
      </w:r>
      <w:r w:rsidR="009B3BDC" w:rsidRPr="009B3BDC">
        <w:t xml:space="preserve">incurred on business expenses and depreciating assets, to </w:t>
      </w:r>
      <w:r w:rsidR="00663C8B">
        <w:t>support</w:t>
      </w:r>
      <w:r w:rsidR="009B3BDC" w:rsidRPr="009B3BDC">
        <w:t xml:space="preserve"> their digital </w:t>
      </w:r>
      <w:r w:rsidR="00F324B3">
        <w:t>operations</w:t>
      </w:r>
      <w:r w:rsidR="00601EF7">
        <w:t>, up to</w:t>
      </w:r>
      <w:r w:rsidR="009B3BDC">
        <w:t xml:space="preserve"> a maximum bonus deduction of</w:t>
      </w:r>
      <w:r w:rsidR="00601EF7">
        <w:t xml:space="preserve"> $20,000 per </w:t>
      </w:r>
      <w:r w:rsidR="00150795">
        <w:t xml:space="preserve">income </w:t>
      </w:r>
      <w:r w:rsidR="00601EF7">
        <w:t>year</w:t>
      </w:r>
      <w:r w:rsidR="0004217D">
        <w:t xml:space="preserve"> or specified time period</w:t>
      </w:r>
      <w:r w:rsidR="00601EF7">
        <w:t>.</w:t>
      </w:r>
    </w:p>
    <w:p w14:paraId="43349A46" w14:textId="1FD0705A" w:rsidR="00B17099" w:rsidRDefault="00B17099" w:rsidP="00B17099">
      <w:pPr>
        <w:pStyle w:val="Normalparatextwithnumbers"/>
      </w:pPr>
      <w:r>
        <w:t xml:space="preserve">The new tax incentive, which is available until 30 June 2023, will </w:t>
      </w:r>
      <w:r w:rsidR="009B3BDC" w:rsidRPr="009B3BDC">
        <w:t xml:space="preserve">assist small businesses to adopt new technologies to operate more efficiently and grow. </w:t>
      </w:r>
      <w:r w:rsidR="009B3BDC" w:rsidRPr="009B3BDC">
        <w:lastRenderedPageBreak/>
        <w:t>Digitisation can also assist small businesses to respond to customer demands, remain competitive and build resilience to changes in economic conditions.</w:t>
      </w:r>
    </w:p>
    <w:p w14:paraId="1AE52347" w14:textId="77777777" w:rsidR="00873094" w:rsidRPr="00020288" w:rsidRDefault="00873094" w:rsidP="005D0844">
      <w:pPr>
        <w:pStyle w:val="Heading2"/>
      </w:pPr>
      <w:bookmarkStart w:id="45" w:name="_Toc111127950"/>
      <w:r w:rsidRPr="00020288">
        <w:t xml:space="preserve">Summary of </w:t>
      </w:r>
      <w:r w:rsidRPr="005D0844">
        <w:t>new</w:t>
      </w:r>
      <w:r w:rsidRPr="00020288">
        <w:t xml:space="preserve"> law</w:t>
      </w:r>
      <w:bookmarkEnd w:id="45"/>
    </w:p>
    <w:p w14:paraId="63871A8E" w14:textId="0C1582F9" w:rsidR="00873094" w:rsidRDefault="00DB1CB6" w:rsidP="00873094">
      <w:pPr>
        <w:pStyle w:val="Normalparatextwithnumbers"/>
        <w:numPr>
          <w:ilvl w:val="1"/>
          <w:numId w:val="3"/>
        </w:numPr>
      </w:pPr>
      <w:r>
        <w:t xml:space="preserve">Schedule xx to the Bill amends the </w:t>
      </w:r>
      <w:r w:rsidR="00564A39">
        <w:t xml:space="preserve">IT(TP) </w:t>
      </w:r>
      <w:r>
        <w:t>Act to allow</w:t>
      </w:r>
      <w:r w:rsidR="00BF3484">
        <w:t xml:space="preserve"> small</w:t>
      </w:r>
      <w:r>
        <w:t xml:space="preserve"> businesses </w:t>
      </w:r>
      <w:r w:rsidR="00BF3484">
        <w:t>(</w:t>
      </w:r>
      <w:r>
        <w:t>with aggregated annual turnover of less than $50 million</w:t>
      </w:r>
      <w:r w:rsidR="00BF3484">
        <w:t>)</w:t>
      </w:r>
      <w:r>
        <w:t xml:space="preserve"> to claim a bonus deduction equal to 20 per cent of their </w:t>
      </w:r>
      <w:r w:rsidR="008315FA">
        <w:t xml:space="preserve">eligible </w:t>
      </w:r>
      <w:r>
        <w:t>expenditure</w:t>
      </w:r>
      <w:r w:rsidR="00F2641F">
        <w:t xml:space="preserve"> incurred</w:t>
      </w:r>
      <w:r>
        <w:t xml:space="preserve"> </w:t>
      </w:r>
      <w:r w:rsidRPr="00BA4197">
        <w:t>on expenses</w:t>
      </w:r>
      <w:r w:rsidR="0004217D">
        <w:t xml:space="preserve"> and</w:t>
      </w:r>
      <w:r w:rsidRPr="00BA4197">
        <w:t xml:space="preserve"> depreciating assets</w:t>
      </w:r>
      <w:r w:rsidR="0004217D">
        <w:t xml:space="preserve"> </w:t>
      </w:r>
      <w:r w:rsidRPr="00BA4197">
        <w:t>for the purposes of their digital operations or digitising their operations</w:t>
      </w:r>
      <w:r>
        <w:t>.</w:t>
      </w:r>
    </w:p>
    <w:p w14:paraId="63A00979" w14:textId="115EBA3C" w:rsidR="00E8754A" w:rsidRDefault="004328B7" w:rsidP="00873094">
      <w:pPr>
        <w:pStyle w:val="Normalparatextwithnumbers"/>
        <w:numPr>
          <w:ilvl w:val="1"/>
          <w:numId w:val="3"/>
        </w:numPr>
      </w:pPr>
      <w:r>
        <w:t xml:space="preserve">To </w:t>
      </w:r>
      <w:r w:rsidR="00E8754A">
        <w:t>be eligible for the bonus deduction:</w:t>
      </w:r>
    </w:p>
    <w:p w14:paraId="13AB3465" w14:textId="06BFBD06" w:rsidR="00E8754A" w:rsidRDefault="006A5DFA" w:rsidP="00E8754A">
      <w:pPr>
        <w:pStyle w:val="Dotpoint1"/>
      </w:pPr>
      <w:r>
        <w:t xml:space="preserve">the expenditure must </w:t>
      </w:r>
      <w:r w:rsidR="00E8754A">
        <w:t>be eligible for a deduction under another provision of the tax</w:t>
      </w:r>
      <w:r w:rsidR="009B3BDC">
        <w:t>ation</w:t>
      </w:r>
      <w:r w:rsidR="00E8754A">
        <w:t xml:space="preserve"> law</w:t>
      </w:r>
      <w:r w:rsidR="001506E4">
        <w:t>;</w:t>
      </w:r>
    </w:p>
    <w:p w14:paraId="11CC75F7" w14:textId="25987544" w:rsidR="00E8754A" w:rsidRDefault="006A5DFA" w:rsidP="00E8754A">
      <w:pPr>
        <w:pStyle w:val="Dotpoint1"/>
      </w:pPr>
      <w:r>
        <w:t>t</w:t>
      </w:r>
      <w:r w:rsidR="00E8754A">
        <w:t>he</w:t>
      </w:r>
      <w:r w:rsidR="00DB1CB6">
        <w:t xml:space="preserve"> expenditure must be</w:t>
      </w:r>
      <w:r w:rsidR="00DB1CB6" w:rsidRPr="00DB1CB6">
        <w:t xml:space="preserve"> incurred between 7:30pm </w:t>
      </w:r>
      <w:r w:rsidR="009B3BDC" w:rsidRPr="00DB1CB6">
        <w:t>(</w:t>
      </w:r>
      <w:r w:rsidR="009B3BDC">
        <w:t>by legal time in the Australian Capital Territory</w:t>
      </w:r>
      <w:r w:rsidR="009B3BDC" w:rsidRPr="00DB1CB6">
        <w:t>)</w:t>
      </w:r>
      <w:r w:rsidR="009B3BDC">
        <w:t xml:space="preserve"> on</w:t>
      </w:r>
      <w:r w:rsidR="009B3BDC" w:rsidRPr="00DB1CB6">
        <w:t xml:space="preserve"> </w:t>
      </w:r>
      <w:r w:rsidR="00DB1CB6" w:rsidRPr="00DB1CB6">
        <w:t>29 March 2022 and 30</w:t>
      </w:r>
      <w:r w:rsidR="00DB1CB6">
        <w:t> </w:t>
      </w:r>
      <w:r w:rsidR="00DB1CB6" w:rsidRPr="00DB1CB6">
        <w:t>June 2023</w:t>
      </w:r>
      <w:r w:rsidR="001506E4">
        <w:t>; and</w:t>
      </w:r>
      <w:r w:rsidR="00DB1CB6">
        <w:t xml:space="preserve"> </w:t>
      </w:r>
    </w:p>
    <w:p w14:paraId="48670EB6" w14:textId="055B78CD" w:rsidR="00DB1CB6" w:rsidRDefault="006A5DFA" w:rsidP="00E8754A">
      <w:pPr>
        <w:pStyle w:val="Dotpoint1"/>
      </w:pPr>
      <w:r>
        <w:t>i</w:t>
      </w:r>
      <w:r w:rsidR="00E8754A">
        <w:t>f the</w:t>
      </w:r>
      <w:r w:rsidR="00E47B03">
        <w:t xml:space="preserve"> expenditure is on a depreciating asset</w:t>
      </w:r>
      <w:r w:rsidR="00E8754A">
        <w:t xml:space="preserve"> –</w:t>
      </w:r>
      <w:r w:rsidR="00E47B03">
        <w:t xml:space="preserve"> th</w:t>
      </w:r>
      <w:r w:rsidR="00E8754A">
        <w:t>e</w:t>
      </w:r>
      <w:r w:rsidR="00E47B03">
        <w:t xml:space="preserve"> asset must be first used or installed ready for use by 30 June 2023.</w:t>
      </w:r>
    </w:p>
    <w:p w14:paraId="2104B5E7" w14:textId="12C8E0BC" w:rsidR="00DB1CB6" w:rsidRDefault="00394192" w:rsidP="00873094">
      <w:pPr>
        <w:pStyle w:val="Normalparatextwithnumbers"/>
        <w:numPr>
          <w:ilvl w:val="1"/>
          <w:numId w:val="3"/>
        </w:numPr>
      </w:pPr>
      <w:r>
        <w:t xml:space="preserve">Generally, </w:t>
      </w:r>
      <w:r w:rsidR="00BF3484">
        <w:t xml:space="preserve">small </w:t>
      </w:r>
      <w:r>
        <w:t>b</w:t>
      </w:r>
      <w:r w:rsidR="00DB1CB6">
        <w:t>usinesses may claim a maximum bonus deduction of $20,000 per income year.</w:t>
      </w:r>
      <w:r w:rsidR="003110C8">
        <w:t xml:space="preserve"> </w:t>
      </w:r>
    </w:p>
    <w:p w14:paraId="5E5EDE20" w14:textId="15EECB39" w:rsidR="00E8754A" w:rsidRPr="00020288" w:rsidRDefault="00E8754A" w:rsidP="00873094">
      <w:pPr>
        <w:pStyle w:val="Normalparatextwithnumbers"/>
        <w:numPr>
          <w:ilvl w:val="1"/>
          <w:numId w:val="3"/>
        </w:numPr>
      </w:pPr>
      <w:r>
        <w:t>Certain kinds of expenditure, such as salary and wage costs, are not eligible for the bonus deduction.</w:t>
      </w:r>
    </w:p>
    <w:p w14:paraId="3DC5A32C" w14:textId="77777777" w:rsidR="00873094" w:rsidRPr="00020288" w:rsidRDefault="00873094" w:rsidP="00873094">
      <w:pPr>
        <w:pStyle w:val="Heading2"/>
        <w:numPr>
          <w:ilvl w:val="1"/>
          <w:numId w:val="2"/>
        </w:numPr>
        <w:tabs>
          <w:tab w:val="num" w:pos="567"/>
        </w:tabs>
        <w:ind w:left="567" w:hanging="567"/>
      </w:pPr>
      <w:bookmarkStart w:id="46" w:name="_Toc111127951"/>
      <w:r w:rsidRPr="00020288">
        <w:t>Detailed explanation of new law</w:t>
      </w:r>
      <w:bookmarkEnd w:id="46"/>
    </w:p>
    <w:p w14:paraId="6035B1FC" w14:textId="1758A762" w:rsidR="00A27EDE" w:rsidRDefault="00A27EDE" w:rsidP="00A27EDE">
      <w:pPr>
        <w:pStyle w:val="Heading4"/>
      </w:pPr>
      <w:r>
        <w:t>Entities eligible for the bonus deduction</w:t>
      </w:r>
    </w:p>
    <w:p w14:paraId="531F9BBB" w14:textId="64D772AA" w:rsidR="00C47C6D" w:rsidRDefault="00C47C6D" w:rsidP="001376D5">
      <w:pPr>
        <w:pStyle w:val="Normalparatextwithnumbers"/>
      </w:pPr>
      <w:r>
        <w:t xml:space="preserve">The bonus deduction is available to </w:t>
      </w:r>
      <w:r w:rsidR="009131E5">
        <w:t xml:space="preserve">entities </w:t>
      </w:r>
      <w:r>
        <w:t>that meet the definition of a small business entity under section 328-110 of the ITAA 1997. Section 328</w:t>
      </w:r>
      <w:r>
        <w:noBreakHyphen/>
        <w:t>110 defines a small business entity as an entity that carries on business with an aggregated annual turnover of less than $10 million.</w:t>
      </w:r>
      <w:r>
        <w:br/>
      </w:r>
      <w:r w:rsidRPr="00397600">
        <w:rPr>
          <w:rStyle w:val="References"/>
        </w:rPr>
        <w:t>[Schedule xx, item</w:t>
      </w:r>
      <w:r>
        <w:rPr>
          <w:rStyle w:val="References"/>
        </w:rPr>
        <w:t xml:space="preserve"> 1</w:t>
      </w:r>
      <w:r w:rsidRPr="00397600">
        <w:rPr>
          <w:rStyle w:val="References"/>
        </w:rPr>
        <w:t xml:space="preserve">, </w:t>
      </w:r>
      <w:r>
        <w:rPr>
          <w:rStyle w:val="References"/>
        </w:rPr>
        <w:t>paragraphs 328-460(1)(a)</w:t>
      </w:r>
      <w:r w:rsidR="001E3BB9">
        <w:rPr>
          <w:rStyle w:val="References"/>
        </w:rPr>
        <w:t xml:space="preserve"> </w:t>
      </w:r>
      <w:r>
        <w:rPr>
          <w:rStyle w:val="References"/>
        </w:rPr>
        <w:t>and (</w:t>
      </w:r>
      <w:r w:rsidR="001E3BB9">
        <w:rPr>
          <w:rStyle w:val="References"/>
        </w:rPr>
        <w:t>2</w:t>
      </w:r>
      <w:r>
        <w:rPr>
          <w:rStyle w:val="References"/>
        </w:rPr>
        <w:t>)(a) of the IT(TP) Act</w:t>
      </w:r>
      <w:r w:rsidRPr="00397600">
        <w:rPr>
          <w:rStyle w:val="References"/>
        </w:rPr>
        <w:t xml:space="preserve">] </w:t>
      </w:r>
    </w:p>
    <w:p w14:paraId="572F8D23" w14:textId="757A684F" w:rsidR="00C47C6D" w:rsidRDefault="00C47C6D" w:rsidP="001376D5">
      <w:pPr>
        <w:pStyle w:val="Normalparatextwithnumbers"/>
      </w:pPr>
      <w:r>
        <w:t xml:space="preserve">The bonus deduction is also available to </w:t>
      </w:r>
      <w:r w:rsidR="00BA63D1">
        <w:t xml:space="preserve">entities </w:t>
      </w:r>
      <w:r>
        <w:t>that would meet the definition of a small business entity under section 328-110</w:t>
      </w:r>
      <w:r w:rsidR="006D068F">
        <w:t xml:space="preserve"> of the</w:t>
      </w:r>
      <w:r>
        <w:t xml:space="preserve"> ITAA 1997 if the reference to $10 million was replaced by a reference to $50 million.</w:t>
      </w:r>
      <w:r>
        <w:br/>
      </w:r>
      <w:r w:rsidRPr="00397600">
        <w:rPr>
          <w:rStyle w:val="References"/>
        </w:rPr>
        <w:t>[Schedule xx, item</w:t>
      </w:r>
      <w:r>
        <w:rPr>
          <w:rStyle w:val="References"/>
        </w:rPr>
        <w:t xml:space="preserve"> 1</w:t>
      </w:r>
      <w:r w:rsidRPr="00397600">
        <w:rPr>
          <w:rStyle w:val="References"/>
        </w:rPr>
        <w:t xml:space="preserve">, </w:t>
      </w:r>
      <w:r>
        <w:rPr>
          <w:rStyle w:val="References"/>
        </w:rPr>
        <w:t>paragraphs 328-460(1)(a)</w:t>
      </w:r>
      <w:r w:rsidR="001E3BB9">
        <w:rPr>
          <w:rStyle w:val="References"/>
        </w:rPr>
        <w:t xml:space="preserve"> </w:t>
      </w:r>
      <w:r>
        <w:rPr>
          <w:rStyle w:val="References"/>
        </w:rPr>
        <w:t>and (</w:t>
      </w:r>
      <w:r w:rsidR="001E3BB9">
        <w:rPr>
          <w:rStyle w:val="References"/>
        </w:rPr>
        <w:t>2</w:t>
      </w:r>
      <w:r>
        <w:rPr>
          <w:rStyle w:val="References"/>
        </w:rPr>
        <w:t>)(a) and subsection 328</w:t>
      </w:r>
      <w:r>
        <w:rPr>
          <w:rStyle w:val="References"/>
        </w:rPr>
        <w:noBreakHyphen/>
        <w:t>460(</w:t>
      </w:r>
      <w:r w:rsidR="001E3BB9">
        <w:rPr>
          <w:rStyle w:val="References"/>
        </w:rPr>
        <w:t>3</w:t>
      </w:r>
      <w:r>
        <w:rPr>
          <w:rStyle w:val="References"/>
        </w:rPr>
        <w:t>)</w:t>
      </w:r>
      <w:r w:rsidRPr="001376D5">
        <w:rPr>
          <w:rStyle w:val="References"/>
        </w:rPr>
        <w:t xml:space="preserve"> </w:t>
      </w:r>
      <w:r>
        <w:rPr>
          <w:rStyle w:val="References"/>
        </w:rPr>
        <w:t>of the IT(TP) Act</w:t>
      </w:r>
      <w:r w:rsidRPr="00397600">
        <w:rPr>
          <w:rStyle w:val="References"/>
        </w:rPr>
        <w:t xml:space="preserve">] </w:t>
      </w:r>
    </w:p>
    <w:p w14:paraId="2B6BE294" w14:textId="0649B730" w:rsidR="00C47C6D" w:rsidRDefault="00C47C6D" w:rsidP="001376D5">
      <w:pPr>
        <w:pStyle w:val="Normalparatextwithnumbers"/>
      </w:pPr>
      <w:r>
        <w:t>Small businesses are eligible for the bonus deduction if they meet these requirements in the income year in which the expenditure is incurred.</w:t>
      </w:r>
      <w:r>
        <w:br/>
      </w:r>
      <w:r w:rsidRPr="00397600">
        <w:rPr>
          <w:rStyle w:val="References"/>
        </w:rPr>
        <w:t xml:space="preserve">[Schedule xx, </w:t>
      </w:r>
      <w:r w:rsidRPr="0004015A">
        <w:rPr>
          <w:rStyle w:val="References"/>
        </w:rPr>
        <w:t>item</w:t>
      </w:r>
      <w:r>
        <w:rPr>
          <w:rStyle w:val="References"/>
        </w:rPr>
        <w:t xml:space="preserve"> 1</w:t>
      </w:r>
      <w:r w:rsidRPr="0004015A">
        <w:rPr>
          <w:rStyle w:val="References"/>
        </w:rPr>
        <w:t xml:space="preserve">, </w:t>
      </w:r>
      <w:r>
        <w:rPr>
          <w:rStyle w:val="References"/>
        </w:rPr>
        <w:t>paragraphs 328-460(1)(a)</w:t>
      </w:r>
      <w:r w:rsidR="001E3BB9">
        <w:rPr>
          <w:rStyle w:val="References"/>
        </w:rPr>
        <w:t xml:space="preserve"> </w:t>
      </w:r>
      <w:r>
        <w:rPr>
          <w:rStyle w:val="References"/>
        </w:rPr>
        <w:t>and (</w:t>
      </w:r>
      <w:r w:rsidR="001E3BB9">
        <w:rPr>
          <w:rStyle w:val="References"/>
        </w:rPr>
        <w:t>2</w:t>
      </w:r>
      <w:r>
        <w:rPr>
          <w:rStyle w:val="References"/>
        </w:rPr>
        <w:t>)(a) of the IT(TP) Act</w:t>
      </w:r>
      <w:r w:rsidRPr="00397600">
        <w:rPr>
          <w:rStyle w:val="References"/>
        </w:rPr>
        <w:t xml:space="preserve">] </w:t>
      </w:r>
    </w:p>
    <w:p w14:paraId="0CAC8948" w14:textId="63CEF5DA" w:rsidR="00A27EDE" w:rsidRDefault="0022427B" w:rsidP="00A27EDE">
      <w:pPr>
        <w:pStyle w:val="Heading4"/>
      </w:pPr>
      <w:r>
        <w:lastRenderedPageBreak/>
        <w:t>E</w:t>
      </w:r>
      <w:r w:rsidR="00A27EDE">
        <w:t>xpenditure</w:t>
      </w:r>
      <w:r>
        <w:t xml:space="preserve"> eligible for the bonus deduction</w:t>
      </w:r>
    </w:p>
    <w:p w14:paraId="09FEEE1F" w14:textId="4CB6B7D8" w:rsidR="001A78D4" w:rsidRDefault="001A78D4" w:rsidP="001A78D4">
      <w:pPr>
        <w:pStyle w:val="Heading5"/>
      </w:pPr>
      <w:r>
        <w:t>Digital operations</w:t>
      </w:r>
    </w:p>
    <w:p w14:paraId="55EF0740" w14:textId="3458203E" w:rsidR="001376D5" w:rsidRPr="004262E6" w:rsidRDefault="00F63CB1" w:rsidP="001376D5">
      <w:pPr>
        <w:pStyle w:val="Normalparatextwithnumbers"/>
        <w:rPr>
          <w:rStyle w:val="References"/>
          <w:b w:val="0"/>
          <w:bCs w:val="0"/>
          <w:i w:val="0"/>
          <w:iCs w:val="0"/>
        </w:rPr>
      </w:pPr>
      <w:r>
        <w:t xml:space="preserve">To </w:t>
      </w:r>
      <w:r w:rsidR="00733E1F">
        <w:t xml:space="preserve">be eligible for </w:t>
      </w:r>
      <w:r>
        <w:t xml:space="preserve">the bonus deduction, expenditure </w:t>
      </w:r>
      <w:r w:rsidR="004D39F0">
        <w:t>must be</w:t>
      </w:r>
      <w:r w:rsidR="00CE4BC2">
        <w:t xml:space="preserve"> incurred wholly or </w:t>
      </w:r>
      <w:r w:rsidR="00F74F54">
        <w:t>sub</w:t>
      </w:r>
      <w:r w:rsidR="00A653C4">
        <w:t>s</w:t>
      </w:r>
      <w:r w:rsidR="00F74F54">
        <w:t>tantially</w:t>
      </w:r>
      <w:r w:rsidR="00CE4BC2">
        <w:t xml:space="preserve"> for the purposes of an entity’s digital operations or </w:t>
      </w:r>
      <w:r w:rsidR="00BA63D1">
        <w:t>digitising</w:t>
      </w:r>
      <w:r w:rsidR="00CE4BC2">
        <w:t xml:space="preserve"> the entity’s operations.</w:t>
      </w:r>
      <w:r w:rsidR="00BF3484">
        <w:t xml:space="preserve"> </w:t>
      </w:r>
      <w:r w:rsidR="00BF3484" w:rsidRPr="003224FB">
        <w:rPr>
          <w:rStyle w:val="References"/>
          <w:b w:val="0"/>
          <w:bCs w:val="0"/>
          <w:i w:val="0"/>
          <w:iCs w:val="0"/>
        </w:rPr>
        <w:t>That is, the eligible expenditure must have a direct link to the entity’s digital operations for its business</w:t>
      </w:r>
      <w:r w:rsidR="00BF3484">
        <w:rPr>
          <w:rStyle w:val="References"/>
          <w:b w:val="0"/>
          <w:bCs w:val="0"/>
          <w:i w:val="0"/>
          <w:iCs w:val="0"/>
        </w:rPr>
        <w:t>.</w:t>
      </w:r>
      <w:r w:rsidR="00CE4BC2">
        <w:br/>
      </w:r>
      <w:r w:rsidR="00CE4BC2" w:rsidRPr="00CE4BC2">
        <w:rPr>
          <w:rStyle w:val="References"/>
        </w:rPr>
        <w:t>[Schedule xx, item</w:t>
      </w:r>
      <w:r w:rsidR="00733E1F">
        <w:rPr>
          <w:rStyle w:val="References"/>
        </w:rPr>
        <w:t xml:space="preserve"> 1</w:t>
      </w:r>
      <w:r w:rsidR="00CE4BC2" w:rsidRPr="00CE4BC2">
        <w:rPr>
          <w:rStyle w:val="References"/>
        </w:rPr>
        <w:t xml:space="preserve">, </w:t>
      </w:r>
      <w:r w:rsidR="00733E1F">
        <w:rPr>
          <w:rStyle w:val="References"/>
        </w:rPr>
        <w:t xml:space="preserve">paragraphs </w:t>
      </w:r>
      <w:r w:rsidR="00A96D8F">
        <w:rPr>
          <w:rStyle w:val="References"/>
        </w:rPr>
        <w:t>328-4</w:t>
      </w:r>
      <w:r w:rsidR="00733E1F">
        <w:rPr>
          <w:rStyle w:val="References"/>
        </w:rPr>
        <w:t>6</w:t>
      </w:r>
      <w:r w:rsidR="00A96D8F">
        <w:rPr>
          <w:rStyle w:val="References"/>
        </w:rPr>
        <w:t>0(1)(d)</w:t>
      </w:r>
      <w:r w:rsidR="001E3BB9">
        <w:rPr>
          <w:rStyle w:val="References"/>
        </w:rPr>
        <w:t xml:space="preserve"> </w:t>
      </w:r>
      <w:r w:rsidR="00733E1F">
        <w:rPr>
          <w:rStyle w:val="References"/>
        </w:rPr>
        <w:t>and (</w:t>
      </w:r>
      <w:r w:rsidR="00C72380">
        <w:rPr>
          <w:rStyle w:val="References"/>
        </w:rPr>
        <w:t>2</w:t>
      </w:r>
      <w:r w:rsidR="00733E1F">
        <w:rPr>
          <w:rStyle w:val="References"/>
        </w:rPr>
        <w:t>)(d)</w:t>
      </w:r>
      <w:r w:rsidR="00CE4BC2" w:rsidRPr="00CE4BC2">
        <w:rPr>
          <w:rStyle w:val="References"/>
        </w:rPr>
        <w:t xml:space="preserve"> </w:t>
      </w:r>
      <w:r w:rsidR="00F75794">
        <w:rPr>
          <w:rStyle w:val="References"/>
        </w:rPr>
        <w:t>of the IT(TP) Act</w:t>
      </w:r>
      <w:r w:rsidR="00CE4BC2" w:rsidRPr="00CE4BC2">
        <w:rPr>
          <w:rStyle w:val="References"/>
        </w:rPr>
        <w:t xml:space="preserve">] </w:t>
      </w:r>
    </w:p>
    <w:p w14:paraId="432B69F3" w14:textId="15BAA894" w:rsidR="00141B13" w:rsidRDefault="00141B13" w:rsidP="001376D5">
      <w:pPr>
        <w:pStyle w:val="Normalparatextwithnumbers"/>
        <w:rPr>
          <w:rStyle w:val="References"/>
          <w:b w:val="0"/>
          <w:bCs w:val="0"/>
          <w:i w:val="0"/>
          <w:iCs w:val="0"/>
        </w:rPr>
      </w:pPr>
      <w:r>
        <w:rPr>
          <w:rStyle w:val="References"/>
          <w:b w:val="0"/>
          <w:bCs w:val="0"/>
          <w:i w:val="0"/>
          <w:iCs w:val="0"/>
        </w:rPr>
        <w:t>Expenditure on digital operations</w:t>
      </w:r>
      <w:r w:rsidR="00D90487">
        <w:rPr>
          <w:rStyle w:val="References"/>
          <w:b w:val="0"/>
          <w:bCs w:val="0"/>
          <w:i w:val="0"/>
          <w:iCs w:val="0"/>
        </w:rPr>
        <w:t xml:space="preserve"> or digitising operations</w:t>
      </w:r>
      <w:r>
        <w:rPr>
          <w:rStyle w:val="References"/>
          <w:b w:val="0"/>
          <w:bCs w:val="0"/>
          <w:i w:val="0"/>
          <w:iCs w:val="0"/>
        </w:rPr>
        <w:t xml:space="preserve"> </w:t>
      </w:r>
      <w:r w:rsidR="0022427B">
        <w:rPr>
          <w:rStyle w:val="References"/>
          <w:b w:val="0"/>
          <w:bCs w:val="0"/>
          <w:i w:val="0"/>
          <w:iCs w:val="0"/>
        </w:rPr>
        <w:t>may include, but is not limited to,</w:t>
      </w:r>
      <w:r>
        <w:rPr>
          <w:rStyle w:val="References"/>
          <w:b w:val="0"/>
          <w:bCs w:val="0"/>
          <w:i w:val="0"/>
          <w:iCs w:val="0"/>
        </w:rPr>
        <w:t xml:space="preserve"> </w:t>
      </w:r>
      <w:r w:rsidR="00D90487">
        <w:rPr>
          <w:rStyle w:val="References"/>
          <w:b w:val="0"/>
          <w:bCs w:val="0"/>
          <w:i w:val="0"/>
          <w:iCs w:val="0"/>
        </w:rPr>
        <w:t xml:space="preserve">business </w:t>
      </w:r>
      <w:r>
        <w:rPr>
          <w:rStyle w:val="References"/>
          <w:b w:val="0"/>
          <w:bCs w:val="0"/>
          <w:i w:val="0"/>
          <w:iCs w:val="0"/>
        </w:rPr>
        <w:t>expenditure on:</w:t>
      </w:r>
    </w:p>
    <w:p w14:paraId="087F1DED" w14:textId="4CDDE896" w:rsidR="00141B13" w:rsidRPr="00141B13" w:rsidRDefault="00F63CB1" w:rsidP="00141B13">
      <w:pPr>
        <w:pStyle w:val="Dotpoint1"/>
        <w:rPr>
          <w:rStyle w:val="References"/>
          <w:b w:val="0"/>
          <w:bCs w:val="0"/>
          <w:i w:val="0"/>
          <w:iCs w:val="0"/>
        </w:rPr>
      </w:pPr>
      <w:r>
        <w:rPr>
          <w:rStyle w:val="References"/>
          <w:b w:val="0"/>
          <w:bCs w:val="0"/>
          <w:i w:val="0"/>
          <w:iCs w:val="0"/>
        </w:rPr>
        <w:t>d</w:t>
      </w:r>
      <w:r w:rsidRPr="00141B13">
        <w:rPr>
          <w:rStyle w:val="References"/>
          <w:b w:val="0"/>
          <w:bCs w:val="0"/>
          <w:i w:val="0"/>
          <w:iCs w:val="0"/>
        </w:rPr>
        <w:t xml:space="preserve">igital </w:t>
      </w:r>
      <w:r w:rsidR="00141B13" w:rsidRPr="00141B13">
        <w:rPr>
          <w:rStyle w:val="References"/>
          <w:b w:val="0"/>
          <w:bCs w:val="0"/>
          <w:i w:val="0"/>
          <w:iCs w:val="0"/>
        </w:rPr>
        <w:t xml:space="preserve">enabling </w:t>
      </w:r>
      <w:r w:rsidR="0022427B" w:rsidRPr="00141B13">
        <w:rPr>
          <w:rStyle w:val="References"/>
          <w:b w:val="0"/>
          <w:bCs w:val="0"/>
          <w:i w:val="0"/>
          <w:iCs w:val="0"/>
        </w:rPr>
        <w:t>i</w:t>
      </w:r>
      <w:r w:rsidR="0022427B">
        <w:rPr>
          <w:rStyle w:val="References"/>
          <w:b w:val="0"/>
          <w:bCs w:val="0"/>
          <w:i w:val="0"/>
          <w:iCs w:val="0"/>
        </w:rPr>
        <w:t xml:space="preserve">tems </w:t>
      </w:r>
      <w:r w:rsidR="00141B13">
        <w:rPr>
          <w:rStyle w:val="References"/>
          <w:b w:val="0"/>
          <w:bCs w:val="0"/>
          <w:i w:val="0"/>
          <w:iCs w:val="0"/>
        </w:rPr>
        <w:t>–</w:t>
      </w:r>
      <w:r w:rsidR="00141B13" w:rsidRPr="00141B13">
        <w:rPr>
          <w:rStyle w:val="References"/>
          <w:b w:val="0"/>
          <w:bCs w:val="0"/>
          <w:i w:val="0"/>
          <w:iCs w:val="0"/>
        </w:rPr>
        <w:t xml:space="preserve"> computer</w:t>
      </w:r>
      <w:r w:rsidR="0022427B">
        <w:rPr>
          <w:rStyle w:val="References"/>
          <w:b w:val="0"/>
          <w:bCs w:val="0"/>
          <w:i w:val="0"/>
          <w:iCs w:val="0"/>
        </w:rPr>
        <w:t xml:space="preserve"> and telecom</w:t>
      </w:r>
      <w:r w:rsidR="00C72380">
        <w:rPr>
          <w:rStyle w:val="References"/>
          <w:b w:val="0"/>
          <w:bCs w:val="0"/>
          <w:i w:val="0"/>
          <w:iCs w:val="0"/>
        </w:rPr>
        <w:t>m</w:t>
      </w:r>
      <w:r w:rsidR="0022427B">
        <w:rPr>
          <w:rStyle w:val="References"/>
          <w:b w:val="0"/>
          <w:bCs w:val="0"/>
          <w:i w:val="0"/>
          <w:iCs w:val="0"/>
        </w:rPr>
        <w:t>unications</w:t>
      </w:r>
      <w:r w:rsidR="00141B13" w:rsidRPr="00141B13">
        <w:rPr>
          <w:rStyle w:val="References"/>
          <w:b w:val="0"/>
          <w:bCs w:val="0"/>
          <w:i w:val="0"/>
          <w:iCs w:val="0"/>
        </w:rPr>
        <w:t xml:space="preserve"> hardware</w:t>
      </w:r>
      <w:r w:rsidR="0022427B">
        <w:rPr>
          <w:rStyle w:val="References"/>
          <w:b w:val="0"/>
          <w:bCs w:val="0"/>
          <w:i w:val="0"/>
          <w:iCs w:val="0"/>
        </w:rPr>
        <w:t xml:space="preserve"> and equipment</w:t>
      </w:r>
      <w:r w:rsidR="00141B13" w:rsidRPr="00141B13">
        <w:rPr>
          <w:rStyle w:val="References"/>
          <w:b w:val="0"/>
          <w:bCs w:val="0"/>
          <w:i w:val="0"/>
          <w:iCs w:val="0"/>
        </w:rPr>
        <w:t xml:space="preserve">, software, </w:t>
      </w:r>
      <w:r w:rsidR="0022427B">
        <w:rPr>
          <w:rStyle w:val="References"/>
          <w:b w:val="0"/>
          <w:bCs w:val="0"/>
          <w:i w:val="0"/>
          <w:iCs w:val="0"/>
        </w:rPr>
        <w:t xml:space="preserve">systems and services </w:t>
      </w:r>
      <w:r w:rsidR="00141B13" w:rsidRPr="00141B13">
        <w:rPr>
          <w:rStyle w:val="References"/>
          <w:b w:val="0"/>
          <w:bCs w:val="0"/>
          <w:i w:val="0"/>
          <w:iCs w:val="0"/>
        </w:rPr>
        <w:t>that form and facilitate the use of computer networks;</w:t>
      </w:r>
    </w:p>
    <w:p w14:paraId="0FABD3FC" w14:textId="096DFD68" w:rsidR="00141B13" w:rsidRPr="00141B13" w:rsidRDefault="00F63CB1" w:rsidP="00141B13">
      <w:pPr>
        <w:pStyle w:val="Dotpoint1"/>
        <w:rPr>
          <w:rStyle w:val="References"/>
          <w:b w:val="0"/>
          <w:bCs w:val="0"/>
          <w:i w:val="0"/>
          <w:iCs w:val="0"/>
        </w:rPr>
      </w:pPr>
      <w:r>
        <w:rPr>
          <w:rStyle w:val="References"/>
          <w:b w:val="0"/>
          <w:bCs w:val="0"/>
          <w:i w:val="0"/>
          <w:iCs w:val="0"/>
        </w:rPr>
        <w:t>d</w:t>
      </w:r>
      <w:r w:rsidRPr="00141B13">
        <w:rPr>
          <w:rStyle w:val="References"/>
          <w:b w:val="0"/>
          <w:bCs w:val="0"/>
          <w:i w:val="0"/>
          <w:iCs w:val="0"/>
        </w:rPr>
        <w:t xml:space="preserve">igital </w:t>
      </w:r>
      <w:r w:rsidR="00141B13" w:rsidRPr="00141B13">
        <w:rPr>
          <w:rStyle w:val="References"/>
          <w:b w:val="0"/>
          <w:bCs w:val="0"/>
          <w:i w:val="0"/>
          <w:iCs w:val="0"/>
        </w:rPr>
        <w:t>media</w:t>
      </w:r>
      <w:r w:rsidR="0022427B">
        <w:rPr>
          <w:rStyle w:val="References"/>
          <w:b w:val="0"/>
          <w:bCs w:val="0"/>
          <w:i w:val="0"/>
          <w:iCs w:val="0"/>
        </w:rPr>
        <w:t xml:space="preserve"> and marketing</w:t>
      </w:r>
      <w:r w:rsidR="00141B13">
        <w:rPr>
          <w:rStyle w:val="References"/>
          <w:b w:val="0"/>
          <w:bCs w:val="0"/>
          <w:i w:val="0"/>
          <w:iCs w:val="0"/>
        </w:rPr>
        <w:t xml:space="preserve"> –</w:t>
      </w:r>
      <w:r w:rsidR="00141B13" w:rsidRPr="00141B13">
        <w:rPr>
          <w:rStyle w:val="References"/>
          <w:b w:val="0"/>
          <w:bCs w:val="0"/>
          <w:i w:val="0"/>
          <w:iCs w:val="0"/>
        </w:rPr>
        <w:t xml:space="preserve"> </w:t>
      </w:r>
      <w:r w:rsidR="000368C7">
        <w:rPr>
          <w:rStyle w:val="References"/>
          <w:b w:val="0"/>
          <w:bCs w:val="0"/>
          <w:i w:val="0"/>
          <w:iCs w:val="0"/>
        </w:rPr>
        <w:t>audio and visual content</w:t>
      </w:r>
      <w:r w:rsidR="00141B13" w:rsidRPr="00141B13">
        <w:rPr>
          <w:rStyle w:val="References"/>
          <w:b w:val="0"/>
          <w:bCs w:val="0"/>
          <w:i w:val="0"/>
          <w:iCs w:val="0"/>
        </w:rPr>
        <w:t xml:space="preserve"> that can be created, accessed, stored or viewed on digital devices; and</w:t>
      </w:r>
    </w:p>
    <w:p w14:paraId="1A0F589A" w14:textId="53BAD9AC" w:rsidR="00CB1B77" w:rsidRPr="00912262" w:rsidRDefault="00BA63D1" w:rsidP="00912262">
      <w:pPr>
        <w:pStyle w:val="Dotpoint1"/>
        <w:rPr>
          <w:rStyle w:val="References"/>
          <w:b w:val="0"/>
          <w:bCs w:val="0"/>
          <w:i w:val="0"/>
          <w:iCs w:val="0"/>
        </w:rPr>
      </w:pPr>
      <w:r>
        <w:rPr>
          <w:rStyle w:val="References"/>
          <w:b w:val="0"/>
          <w:bCs w:val="0"/>
          <w:i w:val="0"/>
          <w:iCs w:val="0"/>
        </w:rPr>
        <w:t>e</w:t>
      </w:r>
      <w:r w:rsidR="00141B13" w:rsidRPr="006F6A9A">
        <w:rPr>
          <w:rStyle w:val="References"/>
          <w:b w:val="0"/>
          <w:bCs w:val="0"/>
          <w:i w:val="0"/>
          <w:iCs w:val="0"/>
        </w:rPr>
        <w:t xml:space="preserve">-commerce – </w:t>
      </w:r>
      <w:r w:rsidR="00EC5692" w:rsidRPr="006F6A9A">
        <w:rPr>
          <w:rStyle w:val="References"/>
          <w:b w:val="0"/>
          <w:bCs w:val="0"/>
          <w:i w:val="0"/>
          <w:iCs w:val="0"/>
        </w:rPr>
        <w:t>supporting</w:t>
      </w:r>
      <w:r w:rsidR="00141B13" w:rsidRPr="006F6A9A">
        <w:rPr>
          <w:rStyle w:val="References"/>
          <w:b w:val="0"/>
          <w:bCs w:val="0"/>
          <w:i w:val="0"/>
          <w:iCs w:val="0"/>
        </w:rPr>
        <w:t xml:space="preserve"> digitally ordered or platform enabled online transactions</w:t>
      </w:r>
      <w:r w:rsidR="00D90487" w:rsidRPr="006F6A9A">
        <w:rPr>
          <w:rStyle w:val="References"/>
          <w:b w:val="0"/>
          <w:bCs w:val="0"/>
          <w:i w:val="0"/>
          <w:iCs w:val="0"/>
        </w:rPr>
        <w:t>.</w:t>
      </w:r>
      <w:bookmarkStart w:id="47" w:name="tempbookmark"/>
      <w:bookmarkEnd w:id="47"/>
      <w:r w:rsidR="000727D8" w:rsidRPr="006F6A9A">
        <w:rPr>
          <w:rStyle w:val="References"/>
          <w:b w:val="0"/>
          <w:bCs w:val="0"/>
          <w:i w:val="0"/>
          <w:iCs w:val="0"/>
        </w:rPr>
        <w:t xml:space="preserve"> </w:t>
      </w:r>
    </w:p>
    <w:p w14:paraId="16B071AE" w14:textId="6AEFC936" w:rsidR="001A78D4" w:rsidRDefault="00065416" w:rsidP="004F33B8">
      <w:pPr>
        <w:pStyle w:val="Heading5"/>
      </w:pPr>
      <w:r>
        <w:t>Relevant t</w:t>
      </w:r>
      <w:r w:rsidR="001A78D4">
        <w:t>ime period for eligible expenditure</w:t>
      </w:r>
    </w:p>
    <w:p w14:paraId="07AF2464" w14:textId="5E0224A4" w:rsidR="00A52615" w:rsidRDefault="001A78D4" w:rsidP="001A78D4">
      <w:pPr>
        <w:pStyle w:val="Normalparatextwithnumbers"/>
        <w:rPr>
          <w:rStyle w:val="References"/>
          <w:b w:val="0"/>
          <w:bCs w:val="0"/>
          <w:i w:val="0"/>
          <w:iCs w:val="0"/>
        </w:rPr>
      </w:pPr>
      <w:r>
        <w:rPr>
          <w:rStyle w:val="References"/>
          <w:b w:val="0"/>
          <w:bCs w:val="0"/>
          <w:i w:val="0"/>
          <w:iCs w:val="0"/>
        </w:rPr>
        <w:t xml:space="preserve">An entity can only claim the bonus deduction for expenditure incurred from 7:30pm </w:t>
      </w:r>
      <w:r w:rsidR="00A1517C">
        <w:rPr>
          <w:rStyle w:val="References"/>
          <w:b w:val="0"/>
          <w:bCs w:val="0"/>
          <w:i w:val="0"/>
          <w:iCs w:val="0"/>
        </w:rPr>
        <w:t xml:space="preserve">(by legal time in the Australian Capital Territory) </w:t>
      </w:r>
      <w:r>
        <w:rPr>
          <w:rStyle w:val="References"/>
          <w:b w:val="0"/>
          <w:bCs w:val="0"/>
          <w:i w:val="0"/>
          <w:iCs w:val="0"/>
        </w:rPr>
        <w:t>on 29 March 2022 to 30 June 2023</w:t>
      </w:r>
      <w:r w:rsidR="00A1517C">
        <w:rPr>
          <w:rStyle w:val="References"/>
          <w:b w:val="0"/>
          <w:bCs w:val="0"/>
          <w:i w:val="0"/>
          <w:iCs w:val="0"/>
        </w:rPr>
        <w:t>.</w:t>
      </w:r>
      <w:r w:rsidR="00C67969">
        <w:rPr>
          <w:rStyle w:val="References"/>
          <w:b w:val="0"/>
          <w:bCs w:val="0"/>
          <w:i w:val="0"/>
          <w:iCs w:val="0"/>
        </w:rPr>
        <w:t xml:space="preserve"> </w:t>
      </w:r>
    </w:p>
    <w:p w14:paraId="7D186FEB" w14:textId="7E461731" w:rsidR="008312F0" w:rsidRDefault="00C67969" w:rsidP="001A78D4">
      <w:pPr>
        <w:pStyle w:val="Normalparatextwithnumbers"/>
        <w:rPr>
          <w:rStyle w:val="References"/>
          <w:b w:val="0"/>
          <w:bCs w:val="0"/>
          <w:i w:val="0"/>
          <w:iCs w:val="0"/>
        </w:rPr>
      </w:pPr>
      <w:r>
        <w:rPr>
          <w:rStyle w:val="References"/>
          <w:b w:val="0"/>
          <w:bCs w:val="0"/>
          <w:i w:val="0"/>
          <w:iCs w:val="0"/>
        </w:rPr>
        <w:t xml:space="preserve">For </w:t>
      </w:r>
      <w:r w:rsidR="004101B3">
        <w:rPr>
          <w:rStyle w:val="References"/>
          <w:b w:val="0"/>
          <w:bCs w:val="0"/>
          <w:i w:val="0"/>
          <w:iCs w:val="0"/>
        </w:rPr>
        <w:t xml:space="preserve">the purposes of </w:t>
      </w:r>
      <w:r>
        <w:rPr>
          <w:rStyle w:val="References"/>
          <w:b w:val="0"/>
          <w:bCs w:val="0"/>
          <w:i w:val="0"/>
          <w:iCs w:val="0"/>
        </w:rPr>
        <w:t>calculat</w:t>
      </w:r>
      <w:r w:rsidR="004101B3">
        <w:rPr>
          <w:rStyle w:val="References"/>
          <w:b w:val="0"/>
          <w:bCs w:val="0"/>
          <w:i w:val="0"/>
          <w:iCs w:val="0"/>
        </w:rPr>
        <w:t>ing and claiming the bonus deduction</w:t>
      </w:r>
      <w:r w:rsidR="00271907">
        <w:rPr>
          <w:rStyle w:val="References"/>
          <w:b w:val="0"/>
          <w:bCs w:val="0"/>
          <w:i w:val="0"/>
          <w:iCs w:val="0"/>
        </w:rPr>
        <w:t xml:space="preserve"> for normal or late balancers</w:t>
      </w:r>
      <w:r w:rsidR="004101B3">
        <w:rPr>
          <w:rStyle w:val="References"/>
          <w:b w:val="0"/>
          <w:bCs w:val="0"/>
          <w:i w:val="0"/>
          <w:iCs w:val="0"/>
        </w:rPr>
        <w:t xml:space="preserve">, </w:t>
      </w:r>
      <w:r>
        <w:rPr>
          <w:rStyle w:val="References"/>
          <w:b w:val="0"/>
          <w:bCs w:val="0"/>
          <w:i w:val="0"/>
          <w:iCs w:val="0"/>
        </w:rPr>
        <w:t xml:space="preserve">this </w:t>
      </w:r>
      <w:r w:rsidR="004101B3">
        <w:rPr>
          <w:rStyle w:val="References"/>
          <w:b w:val="0"/>
          <w:bCs w:val="0"/>
          <w:i w:val="0"/>
          <w:iCs w:val="0"/>
        </w:rPr>
        <w:t xml:space="preserve">timing </w:t>
      </w:r>
      <w:r>
        <w:rPr>
          <w:rStyle w:val="References"/>
          <w:b w:val="0"/>
          <w:bCs w:val="0"/>
          <w:i w:val="0"/>
          <w:iCs w:val="0"/>
        </w:rPr>
        <w:t>is expressed as two time periods (‘</w:t>
      </w:r>
      <w:r w:rsidR="00C47A7B">
        <w:rPr>
          <w:rStyle w:val="References"/>
          <w:b w:val="0"/>
          <w:bCs w:val="0"/>
          <w:i w:val="0"/>
          <w:iCs w:val="0"/>
        </w:rPr>
        <w:t xml:space="preserve">the </w:t>
      </w:r>
      <w:r>
        <w:rPr>
          <w:rStyle w:val="References"/>
          <w:b w:val="0"/>
          <w:bCs w:val="0"/>
          <w:i w:val="0"/>
          <w:iCs w:val="0"/>
        </w:rPr>
        <w:t xml:space="preserve">relevant time periods’): </w:t>
      </w:r>
    </w:p>
    <w:p w14:paraId="5707448B" w14:textId="7BD74CCA" w:rsidR="003F67BE" w:rsidRDefault="00C67969" w:rsidP="00397600">
      <w:pPr>
        <w:pStyle w:val="Dotpoint1"/>
        <w:rPr>
          <w:rStyle w:val="References"/>
          <w:b w:val="0"/>
          <w:bCs w:val="0"/>
          <w:i w:val="0"/>
          <w:iCs w:val="0"/>
        </w:rPr>
      </w:pPr>
      <w:r>
        <w:rPr>
          <w:rStyle w:val="References"/>
          <w:b w:val="0"/>
          <w:bCs w:val="0"/>
          <w:i w:val="0"/>
          <w:iCs w:val="0"/>
        </w:rPr>
        <w:t>from 7:30pm (by legal time in the Australian Capital Territory) on 29</w:t>
      </w:r>
      <w:r w:rsidR="00CD61BC">
        <w:rPr>
          <w:rStyle w:val="References"/>
          <w:b w:val="0"/>
          <w:bCs w:val="0"/>
          <w:i w:val="0"/>
          <w:iCs w:val="0"/>
        </w:rPr>
        <w:t> </w:t>
      </w:r>
      <w:r>
        <w:rPr>
          <w:rStyle w:val="References"/>
          <w:b w:val="0"/>
          <w:bCs w:val="0"/>
          <w:i w:val="0"/>
          <w:iCs w:val="0"/>
        </w:rPr>
        <w:t>March 2022 until the end of the entity’s 2021-22 income year</w:t>
      </w:r>
      <w:r w:rsidR="003F67BE">
        <w:rPr>
          <w:rStyle w:val="References"/>
          <w:b w:val="0"/>
          <w:bCs w:val="0"/>
          <w:i w:val="0"/>
          <w:iCs w:val="0"/>
        </w:rPr>
        <w:t xml:space="preserve"> </w:t>
      </w:r>
      <w:r>
        <w:rPr>
          <w:rStyle w:val="References"/>
          <w:b w:val="0"/>
          <w:bCs w:val="0"/>
          <w:i w:val="0"/>
          <w:iCs w:val="0"/>
        </w:rPr>
        <w:t>(‘the first time period’)</w:t>
      </w:r>
      <w:r w:rsidR="00B24762">
        <w:rPr>
          <w:rStyle w:val="References"/>
          <w:b w:val="0"/>
          <w:bCs w:val="0"/>
          <w:i w:val="0"/>
          <w:iCs w:val="0"/>
        </w:rPr>
        <w:t>;</w:t>
      </w:r>
      <w:r>
        <w:rPr>
          <w:rStyle w:val="References"/>
          <w:b w:val="0"/>
          <w:bCs w:val="0"/>
          <w:i w:val="0"/>
          <w:iCs w:val="0"/>
        </w:rPr>
        <w:t xml:space="preserve"> </w:t>
      </w:r>
      <w:r w:rsidR="00A52615">
        <w:rPr>
          <w:rStyle w:val="References"/>
          <w:b w:val="0"/>
          <w:bCs w:val="0"/>
          <w:i w:val="0"/>
          <w:iCs w:val="0"/>
        </w:rPr>
        <w:t>and</w:t>
      </w:r>
    </w:p>
    <w:p w14:paraId="44A98435" w14:textId="45BC51CB" w:rsidR="001A78D4" w:rsidRPr="00702028" w:rsidRDefault="00C67969" w:rsidP="00397600">
      <w:pPr>
        <w:pStyle w:val="Dotpoint1"/>
        <w:rPr>
          <w:rStyle w:val="References"/>
          <w:b w:val="0"/>
          <w:i w:val="0"/>
        </w:rPr>
      </w:pPr>
      <w:r w:rsidRPr="00A52615">
        <w:rPr>
          <w:rStyle w:val="References"/>
          <w:b w:val="0"/>
          <w:i w:val="0"/>
        </w:rPr>
        <w:t>from the start of the entity’s 2022-23 income year to 30 June 2023 (‘the second time period’)</w:t>
      </w:r>
      <w:r w:rsidR="00A52615" w:rsidRPr="00A52615">
        <w:rPr>
          <w:rStyle w:val="References"/>
          <w:b w:val="0"/>
          <w:i w:val="0"/>
        </w:rPr>
        <w:t>.</w:t>
      </w:r>
      <w:r w:rsidR="001A78D4" w:rsidRPr="00A52615">
        <w:rPr>
          <w:rStyle w:val="References"/>
          <w:b w:val="0"/>
          <w:i w:val="0"/>
        </w:rPr>
        <w:br/>
      </w:r>
      <w:r w:rsidR="001A78D4" w:rsidRPr="004D39F0">
        <w:rPr>
          <w:rStyle w:val="References"/>
        </w:rPr>
        <w:t xml:space="preserve">[Schedule xx, </w:t>
      </w:r>
      <w:r w:rsidR="00500BE2">
        <w:rPr>
          <w:rStyle w:val="References"/>
        </w:rPr>
        <w:t>item 1</w:t>
      </w:r>
      <w:r w:rsidR="001A78D4" w:rsidRPr="004D39F0">
        <w:rPr>
          <w:rStyle w:val="References"/>
        </w:rPr>
        <w:t xml:space="preserve">, </w:t>
      </w:r>
      <w:r w:rsidR="00C72380">
        <w:rPr>
          <w:rStyle w:val="References"/>
        </w:rPr>
        <w:t>sub</w:t>
      </w:r>
      <w:r w:rsidR="00500BE2">
        <w:rPr>
          <w:rStyle w:val="References"/>
        </w:rPr>
        <w:t xml:space="preserve">paragraphs </w:t>
      </w:r>
      <w:r w:rsidR="00C0780A">
        <w:rPr>
          <w:rStyle w:val="References"/>
        </w:rPr>
        <w:t>328-4</w:t>
      </w:r>
      <w:r w:rsidR="00500BE2">
        <w:rPr>
          <w:rStyle w:val="References"/>
        </w:rPr>
        <w:t>6</w:t>
      </w:r>
      <w:r w:rsidR="00C0780A">
        <w:rPr>
          <w:rStyle w:val="References"/>
        </w:rPr>
        <w:t>0(1)(b)</w:t>
      </w:r>
      <w:r w:rsidR="00C72380">
        <w:rPr>
          <w:rStyle w:val="References"/>
        </w:rPr>
        <w:t>(i)</w:t>
      </w:r>
      <w:r w:rsidR="00500BE2">
        <w:rPr>
          <w:rStyle w:val="References"/>
        </w:rPr>
        <w:t xml:space="preserve"> and (</w:t>
      </w:r>
      <w:r w:rsidR="00C72380">
        <w:rPr>
          <w:rStyle w:val="References"/>
        </w:rPr>
        <w:t>2</w:t>
      </w:r>
      <w:r w:rsidR="00500BE2">
        <w:rPr>
          <w:rStyle w:val="References"/>
        </w:rPr>
        <w:t>)(b)</w:t>
      </w:r>
      <w:r w:rsidR="00C72380">
        <w:rPr>
          <w:rStyle w:val="References"/>
        </w:rPr>
        <w:t>(i)</w:t>
      </w:r>
      <w:r w:rsidR="001A78D4" w:rsidRPr="004D39F0">
        <w:rPr>
          <w:rStyle w:val="References"/>
        </w:rPr>
        <w:t xml:space="preserve"> </w:t>
      </w:r>
      <w:r w:rsidR="00F75794">
        <w:rPr>
          <w:rStyle w:val="References"/>
        </w:rPr>
        <w:t>of the IT(TP) Act</w:t>
      </w:r>
      <w:r w:rsidR="001A78D4" w:rsidRPr="004D39F0">
        <w:rPr>
          <w:rStyle w:val="References"/>
        </w:rPr>
        <w:t xml:space="preserve">] </w:t>
      </w:r>
    </w:p>
    <w:p w14:paraId="35051F37" w14:textId="0B178387" w:rsidR="00A52615" w:rsidRDefault="005A180D" w:rsidP="00A52615">
      <w:pPr>
        <w:pStyle w:val="Normalparatextwithnumbers"/>
        <w:rPr>
          <w:rStyle w:val="References"/>
          <w:b w:val="0"/>
          <w:bCs w:val="0"/>
          <w:i w:val="0"/>
          <w:iCs w:val="0"/>
        </w:rPr>
      </w:pPr>
      <w:r>
        <w:rPr>
          <w:rStyle w:val="References"/>
          <w:b w:val="0"/>
          <w:bCs w:val="0"/>
          <w:i w:val="0"/>
          <w:iCs w:val="0"/>
        </w:rPr>
        <w:t>Early balancers have different relevant time periods, which are as follows:</w:t>
      </w:r>
    </w:p>
    <w:p w14:paraId="51376B56" w14:textId="1D9C97D9" w:rsidR="00A52615" w:rsidRPr="00A52615" w:rsidRDefault="00A52615" w:rsidP="00A52615">
      <w:pPr>
        <w:pStyle w:val="Dotpoint1"/>
        <w:rPr>
          <w:rStyle w:val="References"/>
          <w:b w:val="0"/>
          <w:bCs w:val="0"/>
          <w:i w:val="0"/>
          <w:iCs w:val="0"/>
        </w:rPr>
      </w:pPr>
      <w:r w:rsidRPr="00A52615">
        <w:rPr>
          <w:rStyle w:val="References"/>
          <w:b w:val="0"/>
          <w:bCs w:val="0"/>
          <w:i w:val="0"/>
          <w:iCs w:val="0"/>
        </w:rPr>
        <w:t>from 7:30pm (by legal time in the Australian Capital Territory) on 29</w:t>
      </w:r>
      <w:r w:rsidR="00CD61BC">
        <w:rPr>
          <w:rStyle w:val="References"/>
          <w:b w:val="0"/>
          <w:bCs w:val="0"/>
          <w:i w:val="0"/>
          <w:iCs w:val="0"/>
        </w:rPr>
        <w:t> </w:t>
      </w:r>
      <w:r w:rsidRPr="00A52615">
        <w:rPr>
          <w:rStyle w:val="References"/>
          <w:b w:val="0"/>
          <w:bCs w:val="0"/>
          <w:i w:val="0"/>
          <w:iCs w:val="0"/>
        </w:rPr>
        <w:t>March 2022 until the end of the entity’s 2022-23 income year (‘the early balancer first time period’); and</w:t>
      </w:r>
    </w:p>
    <w:p w14:paraId="0F50331F" w14:textId="580F855C" w:rsidR="00A52615" w:rsidRDefault="00A52615" w:rsidP="00397600">
      <w:pPr>
        <w:pStyle w:val="Dotpoint1"/>
        <w:rPr>
          <w:rStyle w:val="References"/>
          <w:b w:val="0"/>
          <w:bCs w:val="0"/>
          <w:i w:val="0"/>
          <w:iCs w:val="0"/>
        </w:rPr>
      </w:pPr>
      <w:r w:rsidRPr="00A52615">
        <w:rPr>
          <w:rStyle w:val="References"/>
          <w:b w:val="0"/>
          <w:bCs w:val="0"/>
          <w:i w:val="0"/>
          <w:iCs w:val="0"/>
        </w:rPr>
        <w:t>from the start of the entity’s 2023-24 income year</w:t>
      </w:r>
      <w:r w:rsidR="0004217D">
        <w:rPr>
          <w:rStyle w:val="References"/>
          <w:b w:val="0"/>
          <w:bCs w:val="0"/>
          <w:i w:val="0"/>
          <w:iCs w:val="0"/>
        </w:rPr>
        <w:t xml:space="preserve"> </w:t>
      </w:r>
      <w:r w:rsidR="0004217D" w:rsidRPr="00A52615">
        <w:rPr>
          <w:rStyle w:val="References"/>
          <w:b w:val="0"/>
          <w:bCs w:val="0"/>
          <w:i w:val="0"/>
          <w:iCs w:val="0"/>
        </w:rPr>
        <w:t>to 30 June 2023</w:t>
      </w:r>
      <w:r w:rsidRPr="00A52615">
        <w:rPr>
          <w:rStyle w:val="References"/>
          <w:b w:val="0"/>
          <w:bCs w:val="0"/>
          <w:i w:val="0"/>
          <w:iCs w:val="0"/>
        </w:rPr>
        <w:t xml:space="preserve"> (‘the early balancer second time period’)</w:t>
      </w:r>
      <w:r>
        <w:rPr>
          <w:rStyle w:val="References"/>
          <w:b w:val="0"/>
          <w:bCs w:val="0"/>
          <w:i w:val="0"/>
          <w:iCs w:val="0"/>
        </w:rPr>
        <w:t>.</w:t>
      </w:r>
      <w:r w:rsidR="005A180D">
        <w:rPr>
          <w:rStyle w:val="References"/>
          <w:b w:val="0"/>
          <w:bCs w:val="0"/>
          <w:i w:val="0"/>
          <w:iCs w:val="0"/>
        </w:rPr>
        <w:br/>
      </w:r>
      <w:r w:rsidR="005A180D" w:rsidRPr="00702028">
        <w:rPr>
          <w:rStyle w:val="References"/>
        </w:rPr>
        <w:t>[Schedule xx, item</w:t>
      </w:r>
      <w:r w:rsidR="00427DCD">
        <w:rPr>
          <w:rStyle w:val="References"/>
        </w:rPr>
        <w:t xml:space="preserve"> 1</w:t>
      </w:r>
      <w:r w:rsidR="005A180D" w:rsidRPr="00702028">
        <w:rPr>
          <w:rStyle w:val="References"/>
        </w:rPr>
        <w:t xml:space="preserve">, </w:t>
      </w:r>
      <w:r w:rsidR="00C72380">
        <w:rPr>
          <w:rStyle w:val="References"/>
        </w:rPr>
        <w:t>sub</w:t>
      </w:r>
      <w:r w:rsidR="002C06A9">
        <w:rPr>
          <w:rStyle w:val="References"/>
        </w:rPr>
        <w:t>paragraphs 328-460(1)(b)</w:t>
      </w:r>
      <w:r w:rsidR="00C72380">
        <w:rPr>
          <w:rStyle w:val="References"/>
        </w:rPr>
        <w:t>(ii) and (2)(b)(ii)</w:t>
      </w:r>
      <w:r w:rsidR="002C06A9">
        <w:rPr>
          <w:rStyle w:val="References"/>
        </w:rPr>
        <w:t xml:space="preserve"> </w:t>
      </w:r>
      <w:r w:rsidR="00427DCD">
        <w:rPr>
          <w:rStyle w:val="References"/>
        </w:rPr>
        <w:t>of the IT(TP) Act</w:t>
      </w:r>
      <w:r w:rsidR="005A180D" w:rsidRPr="00702028">
        <w:rPr>
          <w:rStyle w:val="References"/>
        </w:rPr>
        <w:t xml:space="preserve">] </w:t>
      </w:r>
    </w:p>
    <w:p w14:paraId="06477C8B" w14:textId="3938AA54" w:rsidR="003C2501" w:rsidRDefault="00C332EB" w:rsidP="004F33B8">
      <w:pPr>
        <w:pStyle w:val="Heading5"/>
      </w:pPr>
      <w:r>
        <w:lastRenderedPageBreak/>
        <w:t>Expe</w:t>
      </w:r>
      <w:r w:rsidR="009B4225">
        <w:t>nditure must be able to be deducted</w:t>
      </w:r>
    </w:p>
    <w:p w14:paraId="0824DB5D" w14:textId="6323CB84" w:rsidR="003C2501" w:rsidRDefault="003C2501" w:rsidP="003C2501">
      <w:pPr>
        <w:pStyle w:val="Normalparatextwithnumbers"/>
        <w:rPr>
          <w:rStyle w:val="References"/>
          <w:b w:val="0"/>
          <w:bCs w:val="0"/>
          <w:i w:val="0"/>
          <w:iCs w:val="0"/>
        </w:rPr>
      </w:pPr>
      <w:r>
        <w:rPr>
          <w:rStyle w:val="References"/>
          <w:b w:val="0"/>
          <w:bCs w:val="0"/>
          <w:i w:val="0"/>
          <w:iCs w:val="0"/>
        </w:rPr>
        <w:t xml:space="preserve">In order to claim the bonus deduction for an amount of expenditure, the entity must be able to deduct </w:t>
      </w:r>
      <w:r w:rsidR="001E1716">
        <w:rPr>
          <w:rStyle w:val="References"/>
          <w:b w:val="0"/>
          <w:bCs w:val="0"/>
          <w:i w:val="0"/>
          <w:iCs w:val="0"/>
        </w:rPr>
        <w:t xml:space="preserve">the eligible expenditure </w:t>
      </w:r>
      <w:r>
        <w:rPr>
          <w:rStyle w:val="References"/>
          <w:b w:val="0"/>
          <w:bCs w:val="0"/>
          <w:i w:val="0"/>
          <w:iCs w:val="0"/>
        </w:rPr>
        <w:t>under another provision of the tax</w:t>
      </w:r>
      <w:r w:rsidR="00A1517C">
        <w:rPr>
          <w:rStyle w:val="References"/>
          <w:b w:val="0"/>
          <w:bCs w:val="0"/>
          <w:i w:val="0"/>
          <w:iCs w:val="0"/>
        </w:rPr>
        <w:t>ation</w:t>
      </w:r>
      <w:r>
        <w:rPr>
          <w:rStyle w:val="References"/>
          <w:b w:val="0"/>
          <w:bCs w:val="0"/>
          <w:i w:val="0"/>
          <w:iCs w:val="0"/>
        </w:rPr>
        <w:t xml:space="preserve"> law</w:t>
      </w:r>
      <w:r w:rsidR="007E5AEC">
        <w:rPr>
          <w:rStyle w:val="References"/>
          <w:b w:val="0"/>
          <w:bCs w:val="0"/>
          <w:i w:val="0"/>
          <w:iCs w:val="0"/>
        </w:rPr>
        <w:t>,</w:t>
      </w:r>
      <w:r w:rsidR="001E1716">
        <w:rPr>
          <w:rStyle w:val="References"/>
          <w:b w:val="0"/>
          <w:bCs w:val="0"/>
          <w:i w:val="0"/>
          <w:iCs w:val="0"/>
        </w:rPr>
        <w:t xml:space="preserve"> </w:t>
      </w:r>
      <w:r w:rsidR="00E66C4C">
        <w:rPr>
          <w:rStyle w:val="References"/>
          <w:b w:val="0"/>
          <w:bCs w:val="0"/>
          <w:i w:val="0"/>
          <w:iCs w:val="0"/>
        </w:rPr>
        <w:t xml:space="preserve">regardless of </w:t>
      </w:r>
      <w:r w:rsidR="007E5AEC">
        <w:rPr>
          <w:rStyle w:val="References"/>
          <w:b w:val="0"/>
          <w:bCs w:val="0"/>
          <w:i w:val="0"/>
          <w:iCs w:val="0"/>
        </w:rPr>
        <w:t xml:space="preserve">which </w:t>
      </w:r>
      <w:r w:rsidR="00E66C4C">
        <w:rPr>
          <w:rStyle w:val="References"/>
          <w:b w:val="0"/>
          <w:bCs w:val="0"/>
          <w:i w:val="0"/>
          <w:iCs w:val="0"/>
        </w:rPr>
        <w:t>income year they claim the deduction</w:t>
      </w:r>
      <w:r>
        <w:rPr>
          <w:rStyle w:val="References"/>
          <w:b w:val="0"/>
          <w:bCs w:val="0"/>
          <w:i w:val="0"/>
          <w:iCs w:val="0"/>
        </w:rPr>
        <w:t xml:space="preserve">. </w:t>
      </w:r>
      <w:r>
        <w:rPr>
          <w:rStyle w:val="References"/>
          <w:b w:val="0"/>
          <w:bCs w:val="0"/>
          <w:i w:val="0"/>
          <w:iCs w:val="0"/>
        </w:rPr>
        <w:br/>
      </w:r>
      <w:r w:rsidRPr="00FE06D4">
        <w:rPr>
          <w:rStyle w:val="References"/>
        </w:rPr>
        <w:t xml:space="preserve">[Schedule xx, </w:t>
      </w:r>
      <w:r w:rsidR="00500BE2">
        <w:rPr>
          <w:rStyle w:val="References"/>
        </w:rPr>
        <w:t>item 1</w:t>
      </w:r>
      <w:r w:rsidRPr="00FE06D4">
        <w:rPr>
          <w:rStyle w:val="References"/>
        </w:rPr>
        <w:t>,</w:t>
      </w:r>
      <w:r w:rsidR="00500BE2">
        <w:rPr>
          <w:rStyle w:val="References"/>
        </w:rPr>
        <w:t xml:space="preserve"> paragraphs</w:t>
      </w:r>
      <w:r w:rsidRPr="00FE06D4">
        <w:rPr>
          <w:rStyle w:val="References"/>
        </w:rPr>
        <w:t xml:space="preserve"> </w:t>
      </w:r>
      <w:r w:rsidR="007E5AEC">
        <w:rPr>
          <w:rStyle w:val="References"/>
        </w:rPr>
        <w:t>328-</w:t>
      </w:r>
      <w:r w:rsidR="00500BE2">
        <w:rPr>
          <w:rStyle w:val="References"/>
        </w:rPr>
        <w:t>460</w:t>
      </w:r>
      <w:r w:rsidR="007E5AEC">
        <w:rPr>
          <w:rStyle w:val="References"/>
        </w:rPr>
        <w:t>(1)(c)</w:t>
      </w:r>
      <w:r w:rsidR="00FF1643">
        <w:rPr>
          <w:rStyle w:val="References"/>
        </w:rPr>
        <w:t xml:space="preserve"> </w:t>
      </w:r>
      <w:r w:rsidR="00500BE2">
        <w:rPr>
          <w:rStyle w:val="References"/>
        </w:rPr>
        <w:t>and (</w:t>
      </w:r>
      <w:r w:rsidR="00C72380">
        <w:rPr>
          <w:rStyle w:val="References"/>
        </w:rPr>
        <w:t>2</w:t>
      </w:r>
      <w:r w:rsidR="00500BE2">
        <w:rPr>
          <w:rStyle w:val="References"/>
        </w:rPr>
        <w:t>)(c)</w:t>
      </w:r>
      <w:r w:rsidRPr="00FE06D4">
        <w:rPr>
          <w:rStyle w:val="References"/>
        </w:rPr>
        <w:t xml:space="preserve"> </w:t>
      </w:r>
      <w:r w:rsidR="00F75794">
        <w:rPr>
          <w:rStyle w:val="References"/>
        </w:rPr>
        <w:t>of the IT(TP) Act</w:t>
      </w:r>
      <w:r w:rsidRPr="00FE06D4">
        <w:rPr>
          <w:rStyle w:val="References"/>
        </w:rPr>
        <w:t xml:space="preserve">] </w:t>
      </w:r>
    </w:p>
    <w:p w14:paraId="17DCBE79" w14:textId="667C0C16" w:rsidR="003C2501" w:rsidRDefault="003C2501" w:rsidP="003C2501">
      <w:pPr>
        <w:pStyle w:val="Normalparatextwithnumbers"/>
        <w:rPr>
          <w:rStyle w:val="References"/>
          <w:b w:val="0"/>
          <w:bCs w:val="0"/>
          <w:i w:val="0"/>
          <w:iCs w:val="0"/>
        </w:rPr>
      </w:pPr>
      <w:r>
        <w:rPr>
          <w:rStyle w:val="References"/>
          <w:b w:val="0"/>
          <w:bCs w:val="0"/>
          <w:i w:val="0"/>
          <w:iCs w:val="0"/>
        </w:rPr>
        <w:t>Because of this, expenditure must</w:t>
      </w:r>
      <w:r w:rsidR="0041182E">
        <w:rPr>
          <w:rStyle w:val="References"/>
          <w:b w:val="0"/>
          <w:bCs w:val="0"/>
          <w:i w:val="0"/>
          <w:iCs w:val="0"/>
        </w:rPr>
        <w:t xml:space="preserve"> necessarily</w:t>
      </w:r>
      <w:r>
        <w:rPr>
          <w:rStyle w:val="References"/>
          <w:b w:val="0"/>
          <w:bCs w:val="0"/>
          <w:i w:val="0"/>
          <w:iCs w:val="0"/>
        </w:rPr>
        <w:t xml:space="preserve"> be incurred </w:t>
      </w:r>
      <w:r w:rsidR="0041182E">
        <w:rPr>
          <w:rStyle w:val="References"/>
          <w:b w:val="0"/>
          <w:bCs w:val="0"/>
          <w:i w:val="0"/>
          <w:iCs w:val="0"/>
        </w:rPr>
        <w:t>in carrying on a business for the purpose of gaining or producing</w:t>
      </w:r>
      <w:r w:rsidR="00CD61BC">
        <w:rPr>
          <w:rStyle w:val="References"/>
          <w:b w:val="0"/>
          <w:bCs w:val="0"/>
          <w:i w:val="0"/>
          <w:iCs w:val="0"/>
        </w:rPr>
        <w:t xml:space="preserve"> assessable</w:t>
      </w:r>
      <w:r w:rsidR="0041182E">
        <w:rPr>
          <w:rStyle w:val="References"/>
          <w:b w:val="0"/>
          <w:bCs w:val="0"/>
          <w:i w:val="0"/>
          <w:iCs w:val="0"/>
        </w:rPr>
        <w:t xml:space="preserve"> income</w:t>
      </w:r>
      <w:r>
        <w:rPr>
          <w:rStyle w:val="References"/>
          <w:b w:val="0"/>
          <w:bCs w:val="0"/>
          <w:i w:val="0"/>
          <w:iCs w:val="0"/>
        </w:rPr>
        <w:t xml:space="preserve"> in order to be eligible for the bonus deduction. If expenditure is for multiple purposes (e.g. a mix of p</w:t>
      </w:r>
      <w:r w:rsidR="0041182E">
        <w:rPr>
          <w:rStyle w:val="References"/>
          <w:b w:val="0"/>
          <w:bCs w:val="0"/>
          <w:i w:val="0"/>
          <w:iCs w:val="0"/>
        </w:rPr>
        <w:t>rivate</w:t>
      </w:r>
      <w:r>
        <w:rPr>
          <w:rStyle w:val="References"/>
          <w:b w:val="0"/>
          <w:bCs w:val="0"/>
          <w:i w:val="0"/>
          <w:iCs w:val="0"/>
        </w:rPr>
        <w:t xml:space="preserve"> and business use)</w:t>
      </w:r>
      <w:r w:rsidR="00004ABD">
        <w:rPr>
          <w:rStyle w:val="References"/>
          <w:b w:val="0"/>
          <w:bCs w:val="0"/>
          <w:i w:val="0"/>
          <w:iCs w:val="0"/>
        </w:rPr>
        <w:t xml:space="preserve">, the bonus deduction will apply to the proportion of the expenditure </w:t>
      </w:r>
      <w:r w:rsidR="0020009C">
        <w:rPr>
          <w:rStyle w:val="References"/>
          <w:b w:val="0"/>
          <w:bCs w:val="0"/>
          <w:i w:val="0"/>
          <w:iCs w:val="0"/>
        </w:rPr>
        <w:t xml:space="preserve">that </w:t>
      </w:r>
      <w:r w:rsidR="00004ABD">
        <w:rPr>
          <w:rStyle w:val="References"/>
          <w:b w:val="0"/>
          <w:bCs w:val="0"/>
          <w:i w:val="0"/>
          <w:iCs w:val="0"/>
        </w:rPr>
        <w:t xml:space="preserve">is for an </w:t>
      </w:r>
      <w:r w:rsidR="00CD61BC">
        <w:rPr>
          <w:rStyle w:val="References"/>
          <w:b w:val="0"/>
          <w:bCs w:val="0"/>
          <w:i w:val="0"/>
          <w:iCs w:val="0"/>
        </w:rPr>
        <w:t xml:space="preserve">assessable </w:t>
      </w:r>
      <w:r w:rsidR="00004ABD">
        <w:rPr>
          <w:rStyle w:val="References"/>
          <w:b w:val="0"/>
          <w:bCs w:val="0"/>
          <w:i w:val="0"/>
          <w:iCs w:val="0"/>
        </w:rPr>
        <w:t>income-</w:t>
      </w:r>
      <w:r w:rsidR="0041182E">
        <w:rPr>
          <w:rStyle w:val="References"/>
          <w:b w:val="0"/>
          <w:bCs w:val="0"/>
          <w:i w:val="0"/>
          <w:iCs w:val="0"/>
        </w:rPr>
        <w:t>producin</w:t>
      </w:r>
      <w:r w:rsidR="00004ABD">
        <w:rPr>
          <w:rStyle w:val="References"/>
          <w:b w:val="0"/>
          <w:bCs w:val="0"/>
          <w:i w:val="0"/>
          <w:iCs w:val="0"/>
        </w:rPr>
        <w:t>g purpose.</w:t>
      </w:r>
    </w:p>
    <w:p w14:paraId="7BD4D44C" w14:textId="329E3789" w:rsidR="004D39F0" w:rsidRDefault="00041839" w:rsidP="004F33B8">
      <w:pPr>
        <w:pStyle w:val="Heading5"/>
      </w:pPr>
      <w:r>
        <w:t>Eligibility of d</w:t>
      </w:r>
      <w:r w:rsidR="004D39F0">
        <w:t>epreciating assets</w:t>
      </w:r>
    </w:p>
    <w:p w14:paraId="29051B23" w14:textId="6F438056" w:rsidR="006C4762" w:rsidRPr="00944C42" w:rsidRDefault="006C4762" w:rsidP="004D39F0">
      <w:pPr>
        <w:pStyle w:val="Normalparatextwithnumbers"/>
        <w:rPr>
          <w:rStyle w:val="References"/>
          <w:b w:val="0"/>
          <w:bCs w:val="0"/>
          <w:i w:val="0"/>
          <w:iCs w:val="0"/>
        </w:rPr>
      </w:pPr>
      <w:r>
        <w:t xml:space="preserve">An entity can claim the bonus deduction for expenditure on a depreciating asset only if the asset is first used, or installed ready for use, before 1 July 2023. This rule does not apply to </w:t>
      </w:r>
      <w:r w:rsidR="00A1517C">
        <w:t>expenses incurred in the development of</w:t>
      </w:r>
      <w:r>
        <w:t xml:space="preserve"> in-house software allocated to a software development pool</w:t>
      </w:r>
      <w:r w:rsidR="00A1517C">
        <w:t>, consistent with current pooling rules</w:t>
      </w:r>
      <w:r>
        <w:t>.</w:t>
      </w:r>
      <w:r>
        <w:br/>
      </w:r>
      <w:r w:rsidRPr="006C4762">
        <w:rPr>
          <w:rStyle w:val="References"/>
        </w:rPr>
        <w:t xml:space="preserve">[Schedule xx, </w:t>
      </w:r>
      <w:r w:rsidR="00500BE2">
        <w:rPr>
          <w:rStyle w:val="References"/>
        </w:rPr>
        <w:t>item 1</w:t>
      </w:r>
      <w:r w:rsidRPr="006C4762">
        <w:rPr>
          <w:rStyle w:val="References"/>
        </w:rPr>
        <w:t xml:space="preserve">, </w:t>
      </w:r>
      <w:r w:rsidR="00FF1643">
        <w:rPr>
          <w:rStyle w:val="References"/>
        </w:rPr>
        <w:t xml:space="preserve">paragraphs </w:t>
      </w:r>
      <w:r w:rsidR="004E3428">
        <w:rPr>
          <w:rStyle w:val="References"/>
        </w:rPr>
        <w:t>328-</w:t>
      </w:r>
      <w:r w:rsidR="00500BE2">
        <w:rPr>
          <w:rStyle w:val="References"/>
        </w:rPr>
        <w:t>460</w:t>
      </w:r>
      <w:r w:rsidR="004E3428">
        <w:rPr>
          <w:rStyle w:val="References"/>
        </w:rPr>
        <w:t>(1)(g)</w:t>
      </w:r>
      <w:r w:rsidR="00FF1643">
        <w:rPr>
          <w:rStyle w:val="References"/>
        </w:rPr>
        <w:t xml:space="preserve"> and (</w:t>
      </w:r>
      <w:r w:rsidR="00C72380">
        <w:rPr>
          <w:rStyle w:val="References"/>
        </w:rPr>
        <w:t>2</w:t>
      </w:r>
      <w:r w:rsidR="00FF1643">
        <w:rPr>
          <w:rStyle w:val="References"/>
        </w:rPr>
        <w:t>)(g)</w:t>
      </w:r>
      <w:r w:rsidRPr="006C4762">
        <w:rPr>
          <w:rStyle w:val="References"/>
        </w:rPr>
        <w:t xml:space="preserve"> </w:t>
      </w:r>
      <w:r w:rsidR="00F75794">
        <w:rPr>
          <w:rStyle w:val="References"/>
        </w:rPr>
        <w:t>of the IT(TP) Act</w:t>
      </w:r>
      <w:r w:rsidRPr="006C4762">
        <w:rPr>
          <w:rStyle w:val="References"/>
        </w:rPr>
        <w:t xml:space="preserve">] </w:t>
      </w:r>
    </w:p>
    <w:p w14:paraId="28D8BFF5" w14:textId="0B9F46FA" w:rsidR="004D39F0" w:rsidRPr="00944C42" w:rsidRDefault="0087158E" w:rsidP="004D39F0">
      <w:pPr>
        <w:pStyle w:val="Normalparatextwithnumbers"/>
        <w:rPr>
          <w:rStyle w:val="References"/>
          <w:b w:val="0"/>
          <w:bCs w:val="0"/>
          <w:i w:val="0"/>
          <w:iCs w:val="0"/>
        </w:rPr>
      </w:pPr>
      <w:r>
        <w:t>An entity cannot claim the bonus deduction for expenditure on a depreciating asset if a</w:t>
      </w:r>
      <w:r w:rsidR="00A4458E">
        <w:t>ny</w:t>
      </w:r>
      <w:r>
        <w:t xml:space="preserve"> balancing adjustment event occurs to the asset while the entity holds it</w:t>
      </w:r>
      <w:r w:rsidR="00EA58E7">
        <w:t xml:space="preserve"> </w:t>
      </w:r>
      <w:r w:rsidR="00065416">
        <w:t>during the relevant time period</w:t>
      </w:r>
      <w:r>
        <w:t>, unless the balancing adjustment event is an involuntary disposal. This means, for example, that an entity cannot claim the bonus deduction if it sells the asset</w:t>
      </w:r>
      <w:r w:rsidR="00A1517C">
        <w:t xml:space="preserve"> within the relevant time period</w:t>
      </w:r>
      <w:r>
        <w:t>.</w:t>
      </w:r>
      <w:r>
        <w:br/>
      </w:r>
      <w:r w:rsidRPr="0087158E">
        <w:rPr>
          <w:rStyle w:val="References"/>
        </w:rPr>
        <w:t xml:space="preserve">[Schedule xx, </w:t>
      </w:r>
      <w:r w:rsidR="00500BE2">
        <w:rPr>
          <w:rStyle w:val="References"/>
        </w:rPr>
        <w:t>item 1</w:t>
      </w:r>
      <w:r w:rsidRPr="0087158E">
        <w:rPr>
          <w:rStyle w:val="References"/>
        </w:rPr>
        <w:t>,</w:t>
      </w:r>
      <w:r w:rsidR="00FF1643">
        <w:rPr>
          <w:rStyle w:val="References"/>
        </w:rPr>
        <w:t xml:space="preserve"> paragraphs</w:t>
      </w:r>
      <w:r w:rsidRPr="0087158E">
        <w:rPr>
          <w:rStyle w:val="References"/>
        </w:rPr>
        <w:t xml:space="preserve"> </w:t>
      </w:r>
      <w:r w:rsidR="004E3428">
        <w:rPr>
          <w:rStyle w:val="References"/>
        </w:rPr>
        <w:t>328-</w:t>
      </w:r>
      <w:r w:rsidR="00500BE2">
        <w:rPr>
          <w:rStyle w:val="References"/>
        </w:rPr>
        <w:t>460</w:t>
      </w:r>
      <w:r w:rsidR="004E3428">
        <w:rPr>
          <w:rStyle w:val="References"/>
        </w:rPr>
        <w:t>(1)(f)</w:t>
      </w:r>
      <w:r w:rsidR="00FF1643">
        <w:rPr>
          <w:rStyle w:val="References"/>
        </w:rPr>
        <w:t xml:space="preserve"> and (</w:t>
      </w:r>
      <w:r w:rsidR="00C72380">
        <w:rPr>
          <w:rStyle w:val="References"/>
        </w:rPr>
        <w:t>2</w:t>
      </w:r>
      <w:r w:rsidR="00FF1643">
        <w:rPr>
          <w:rStyle w:val="References"/>
        </w:rPr>
        <w:t>)(f) of the IT(TP) Act</w:t>
      </w:r>
      <w:r w:rsidRPr="0087158E">
        <w:rPr>
          <w:rStyle w:val="References"/>
        </w:rPr>
        <w:t xml:space="preserve">] </w:t>
      </w:r>
    </w:p>
    <w:p w14:paraId="7D4B590A" w14:textId="160022EF" w:rsidR="0069459C" w:rsidRPr="004D39F0" w:rsidRDefault="0069459C" w:rsidP="00912262">
      <w:pPr>
        <w:pStyle w:val="Normalparatextwithnumbers"/>
      </w:pPr>
      <w:r>
        <w:rPr>
          <w:rStyle w:val="References"/>
          <w:b w:val="0"/>
          <w:bCs w:val="0"/>
          <w:i w:val="0"/>
          <w:iCs w:val="0"/>
        </w:rPr>
        <w:t>R</w:t>
      </w:r>
      <w:r w:rsidRPr="00D90487">
        <w:rPr>
          <w:rStyle w:val="References"/>
          <w:b w:val="0"/>
          <w:bCs w:val="0"/>
          <w:i w:val="0"/>
          <w:iCs w:val="0"/>
        </w:rPr>
        <w:t xml:space="preserve">epair </w:t>
      </w:r>
      <w:r w:rsidR="005652A1">
        <w:rPr>
          <w:rStyle w:val="References"/>
          <w:b w:val="0"/>
          <w:bCs w:val="0"/>
          <w:i w:val="0"/>
          <w:iCs w:val="0"/>
        </w:rPr>
        <w:t xml:space="preserve">and </w:t>
      </w:r>
      <w:r w:rsidR="00E812BC">
        <w:rPr>
          <w:rStyle w:val="References"/>
          <w:b w:val="0"/>
          <w:bCs w:val="0"/>
          <w:i w:val="0"/>
          <w:iCs w:val="0"/>
        </w:rPr>
        <w:t xml:space="preserve">improvement </w:t>
      </w:r>
      <w:r w:rsidRPr="00D90487">
        <w:rPr>
          <w:rStyle w:val="References"/>
          <w:b w:val="0"/>
          <w:bCs w:val="0"/>
          <w:i w:val="0"/>
          <w:iCs w:val="0"/>
        </w:rPr>
        <w:t xml:space="preserve">costs for </w:t>
      </w:r>
      <w:r w:rsidR="00FE4E37">
        <w:rPr>
          <w:rStyle w:val="References"/>
          <w:b w:val="0"/>
          <w:bCs w:val="0"/>
          <w:i w:val="0"/>
          <w:iCs w:val="0"/>
        </w:rPr>
        <w:t xml:space="preserve">depreciating </w:t>
      </w:r>
      <w:r w:rsidRPr="00D90487">
        <w:rPr>
          <w:rStyle w:val="References"/>
          <w:b w:val="0"/>
          <w:bCs w:val="0"/>
          <w:i w:val="0"/>
          <w:iCs w:val="0"/>
        </w:rPr>
        <w:t>assets</w:t>
      </w:r>
      <w:r w:rsidR="007A15EE">
        <w:rPr>
          <w:rStyle w:val="References"/>
          <w:b w:val="0"/>
          <w:bCs w:val="0"/>
          <w:i w:val="0"/>
          <w:iCs w:val="0"/>
        </w:rPr>
        <w:t xml:space="preserve"> are</w:t>
      </w:r>
      <w:r w:rsidR="00FE4E37">
        <w:rPr>
          <w:rStyle w:val="References"/>
          <w:b w:val="0"/>
          <w:bCs w:val="0"/>
          <w:i w:val="0"/>
          <w:iCs w:val="0"/>
        </w:rPr>
        <w:t xml:space="preserve"> </w:t>
      </w:r>
      <w:r w:rsidRPr="00D90487">
        <w:rPr>
          <w:rStyle w:val="References"/>
          <w:b w:val="0"/>
          <w:bCs w:val="0"/>
          <w:i w:val="0"/>
          <w:iCs w:val="0"/>
        </w:rPr>
        <w:t>eligible for the boost</w:t>
      </w:r>
      <w:r w:rsidR="005652A1">
        <w:rPr>
          <w:rStyle w:val="References"/>
          <w:b w:val="0"/>
          <w:bCs w:val="0"/>
          <w:i w:val="0"/>
          <w:iCs w:val="0"/>
        </w:rPr>
        <w:t xml:space="preserve"> provided that th</w:t>
      </w:r>
      <w:r w:rsidR="00282067">
        <w:rPr>
          <w:rStyle w:val="References"/>
          <w:b w:val="0"/>
          <w:bCs w:val="0"/>
          <w:i w:val="0"/>
          <w:iCs w:val="0"/>
        </w:rPr>
        <w:t>ese</w:t>
      </w:r>
      <w:r w:rsidR="005652A1">
        <w:rPr>
          <w:rStyle w:val="References"/>
          <w:b w:val="0"/>
          <w:bCs w:val="0"/>
          <w:i w:val="0"/>
          <w:iCs w:val="0"/>
        </w:rPr>
        <w:t xml:space="preserve"> cost</w:t>
      </w:r>
      <w:r w:rsidR="00282067">
        <w:rPr>
          <w:rStyle w:val="References"/>
          <w:b w:val="0"/>
          <w:bCs w:val="0"/>
          <w:i w:val="0"/>
          <w:iCs w:val="0"/>
        </w:rPr>
        <w:t>s</w:t>
      </w:r>
      <w:r w:rsidR="005652A1">
        <w:rPr>
          <w:rStyle w:val="References"/>
          <w:b w:val="0"/>
          <w:bCs w:val="0"/>
          <w:i w:val="0"/>
          <w:iCs w:val="0"/>
        </w:rPr>
        <w:t xml:space="preserve"> are incurred duri</w:t>
      </w:r>
      <w:r w:rsidR="00AA166F">
        <w:rPr>
          <w:rStyle w:val="References"/>
          <w:b w:val="0"/>
          <w:bCs w:val="0"/>
          <w:i w:val="0"/>
          <w:iCs w:val="0"/>
        </w:rPr>
        <w:t>ng the relevant time period</w:t>
      </w:r>
      <w:r w:rsidR="0071194D">
        <w:rPr>
          <w:rStyle w:val="References"/>
          <w:b w:val="0"/>
          <w:bCs w:val="0"/>
          <w:i w:val="0"/>
          <w:iCs w:val="0"/>
        </w:rPr>
        <w:t xml:space="preserve">. </w:t>
      </w:r>
    </w:p>
    <w:p w14:paraId="67F550FF" w14:textId="619DBFD2" w:rsidR="004F33B8" w:rsidRDefault="004F33B8" w:rsidP="004F33B8">
      <w:pPr>
        <w:pStyle w:val="Heading5"/>
      </w:pPr>
      <w:r>
        <w:t>Exclusions</w:t>
      </w:r>
    </w:p>
    <w:p w14:paraId="5C0BBD66" w14:textId="25905EE5" w:rsidR="00597EE2" w:rsidRDefault="00597EE2" w:rsidP="00597EE2">
      <w:pPr>
        <w:pStyle w:val="Normalparatextwithnumbers"/>
      </w:pPr>
      <w:r>
        <w:t xml:space="preserve">Some </w:t>
      </w:r>
      <w:r w:rsidR="00EF209F">
        <w:t xml:space="preserve">types </w:t>
      </w:r>
      <w:r>
        <w:t>of expenditure are ineligible for the bonus deduction even where they would otherwise meet the requirements. These are:</w:t>
      </w:r>
    </w:p>
    <w:p w14:paraId="431B62BA" w14:textId="07911218" w:rsidR="00597EE2" w:rsidRDefault="00597EE2" w:rsidP="00597EE2">
      <w:pPr>
        <w:pStyle w:val="Dotpoint1"/>
      </w:pPr>
      <w:r>
        <w:t>salary and wage costs;</w:t>
      </w:r>
    </w:p>
    <w:p w14:paraId="636FCF99" w14:textId="223CF2BD" w:rsidR="00597EE2" w:rsidRDefault="00597EE2" w:rsidP="00597EE2">
      <w:pPr>
        <w:pStyle w:val="Dotpoint1"/>
      </w:pPr>
      <w:r>
        <w:t>capital works costs which can be deducted under Division 43 of the ITAA 1997;</w:t>
      </w:r>
    </w:p>
    <w:p w14:paraId="1738F861" w14:textId="1AF0C9D2" w:rsidR="00597EE2" w:rsidRDefault="00597EE2" w:rsidP="00597EE2">
      <w:pPr>
        <w:pStyle w:val="Dotpoint1"/>
      </w:pPr>
      <w:r>
        <w:t>financing costs;</w:t>
      </w:r>
    </w:p>
    <w:p w14:paraId="227B3ACF" w14:textId="2A10B84C" w:rsidR="00597EE2" w:rsidRDefault="00597EE2" w:rsidP="00597EE2">
      <w:pPr>
        <w:pStyle w:val="Dotpoint1"/>
      </w:pPr>
      <w:r>
        <w:t>training and education costs; and</w:t>
      </w:r>
    </w:p>
    <w:p w14:paraId="0F0C7940" w14:textId="458A92A1" w:rsidR="00597EE2" w:rsidRDefault="00597EE2" w:rsidP="00597EE2">
      <w:pPr>
        <w:pStyle w:val="Dotpoint1"/>
      </w:pPr>
      <w:r>
        <w:t xml:space="preserve">expenditure </w:t>
      </w:r>
      <w:r w:rsidR="00C67969">
        <w:t>that forms part of</w:t>
      </w:r>
      <w:r w:rsidR="00570AB7">
        <w:t>, or is included in,</w:t>
      </w:r>
      <w:r w:rsidR="00C67969">
        <w:t xml:space="preserve"> the cost of</w:t>
      </w:r>
      <w:r>
        <w:t xml:space="preserve"> trading stock.</w:t>
      </w:r>
    </w:p>
    <w:p w14:paraId="09A4034B" w14:textId="5DF07CCD" w:rsidR="00597EE2" w:rsidRDefault="00597EE2" w:rsidP="00597EE2">
      <w:pPr>
        <w:pStyle w:val="Referenceafterdotpoint"/>
      </w:pPr>
      <w:r>
        <w:t xml:space="preserve">[Schedule xx, </w:t>
      </w:r>
      <w:r w:rsidR="00500BE2">
        <w:t>item 1</w:t>
      </w:r>
      <w:r>
        <w:t>,</w:t>
      </w:r>
      <w:r w:rsidR="00FF1643">
        <w:t xml:space="preserve"> paragraphs</w:t>
      </w:r>
      <w:r>
        <w:t xml:space="preserve"> </w:t>
      </w:r>
      <w:r w:rsidR="006C7F6F">
        <w:t>328-</w:t>
      </w:r>
      <w:r w:rsidR="00500BE2">
        <w:t>460</w:t>
      </w:r>
      <w:r w:rsidR="006C7F6F">
        <w:t xml:space="preserve">(1)(e) </w:t>
      </w:r>
      <w:r w:rsidR="00FF1643">
        <w:t>and (</w:t>
      </w:r>
      <w:r w:rsidR="00C72380">
        <w:t>2</w:t>
      </w:r>
      <w:r w:rsidR="00FF1643">
        <w:t xml:space="preserve">)(e) </w:t>
      </w:r>
      <w:r w:rsidR="006C7F6F">
        <w:t xml:space="preserve">and </w:t>
      </w:r>
      <w:r w:rsidR="00FF1643">
        <w:t>subsection </w:t>
      </w:r>
      <w:r w:rsidR="006C7F6F">
        <w:t>328-</w:t>
      </w:r>
      <w:r w:rsidR="00500BE2">
        <w:t>460</w:t>
      </w:r>
      <w:r w:rsidR="006C7F6F">
        <w:t>(</w:t>
      </w:r>
      <w:r w:rsidR="00C72380">
        <w:t>5</w:t>
      </w:r>
      <w:r w:rsidR="006C7F6F">
        <w:t>)</w:t>
      </w:r>
      <w:r w:rsidR="00FF1643">
        <w:t xml:space="preserve"> of the IT(TP) Act</w:t>
      </w:r>
      <w:r>
        <w:t xml:space="preserve">] </w:t>
      </w:r>
    </w:p>
    <w:p w14:paraId="0A429854" w14:textId="72933181" w:rsidR="00C67969" w:rsidRDefault="00C67969" w:rsidP="00C10980">
      <w:pPr>
        <w:pStyle w:val="Normalparatextwithnumbers"/>
      </w:pPr>
      <w:r w:rsidRPr="00C67969">
        <w:lastRenderedPageBreak/>
        <w:t>These types of expenditure are not directly related to digital operations or digitising operations. The bonus deduction is not intended to cover general operating costs relating to employing staff, raising capital, the construction of the business premises, and the cost of goods and services the business sells</w:t>
      </w:r>
      <w:r>
        <w:t>.</w:t>
      </w:r>
    </w:p>
    <w:p w14:paraId="536C65B8" w14:textId="6519C4B0" w:rsidR="00370AE4" w:rsidRPr="00370AE4" w:rsidRDefault="00C67969" w:rsidP="00C10980">
      <w:pPr>
        <w:pStyle w:val="Normalparatextwithnumbers"/>
      </w:pPr>
      <w:r>
        <w:t>T</w:t>
      </w:r>
      <w:r w:rsidR="00370AE4">
        <w:t xml:space="preserve">raining and education costs are </w:t>
      </w:r>
      <w:r>
        <w:t xml:space="preserve">excluded as </w:t>
      </w:r>
      <w:r w:rsidR="00876C37">
        <w:t>these costs may</w:t>
      </w:r>
      <w:r w:rsidR="00A52615">
        <w:t xml:space="preserve"> be</w:t>
      </w:r>
      <w:r w:rsidR="00876C37">
        <w:t xml:space="preserve"> </w:t>
      </w:r>
      <w:r w:rsidR="00370AE4">
        <w:t xml:space="preserve">eligible for the </w:t>
      </w:r>
      <w:r>
        <w:t>S</w:t>
      </w:r>
      <w:r w:rsidR="00370AE4">
        <w:t xml:space="preserve">kills and </w:t>
      </w:r>
      <w:r>
        <w:t>T</w:t>
      </w:r>
      <w:r w:rsidR="00370AE4">
        <w:t>raining</w:t>
      </w:r>
      <w:r>
        <w:t xml:space="preserve"> Boost, which also provides a 20 per cent</w:t>
      </w:r>
      <w:r w:rsidR="00370AE4">
        <w:t xml:space="preserve"> bonus deduction</w:t>
      </w:r>
      <w:r>
        <w:t>.</w:t>
      </w:r>
    </w:p>
    <w:p w14:paraId="02E9C7EB" w14:textId="00EB5A03" w:rsidR="00A27EDE" w:rsidRDefault="00A27EDE" w:rsidP="00A27EDE">
      <w:pPr>
        <w:pStyle w:val="Heading4"/>
      </w:pPr>
      <w:r>
        <w:t>Calculating and claiming the bonus deduction</w:t>
      </w:r>
    </w:p>
    <w:p w14:paraId="0EBFAA6D" w14:textId="616530C7" w:rsidR="00A27EDE" w:rsidRDefault="00A27EDE" w:rsidP="00A27EDE">
      <w:pPr>
        <w:pStyle w:val="Heading5"/>
      </w:pPr>
      <w:r>
        <w:t>20 per cent of expenditure</w:t>
      </w:r>
    </w:p>
    <w:p w14:paraId="418084D7" w14:textId="084FE198" w:rsidR="006C47ED" w:rsidRPr="003F7D50" w:rsidRDefault="003F7D50" w:rsidP="006C47ED">
      <w:pPr>
        <w:pStyle w:val="Normalparatextwithnumbers"/>
        <w:rPr>
          <w:rStyle w:val="References"/>
          <w:b w:val="0"/>
          <w:bCs w:val="0"/>
          <w:i w:val="0"/>
          <w:iCs w:val="0"/>
        </w:rPr>
      </w:pPr>
      <w:r>
        <w:t xml:space="preserve">The amount of the bonus deduction is </w:t>
      </w:r>
      <w:r w:rsidR="00B30761">
        <w:t>calculated as</w:t>
      </w:r>
      <w:r>
        <w:t xml:space="preserve"> 20 per cent of </w:t>
      </w:r>
      <w:r w:rsidR="00B30761">
        <w:t>the</w:t>
      </w:r>
      <w:r w:rsidR="00F96926">
        <w:t xml:space="preserve"> total</w:t>
      </w:r>
      <w:r w:rsidR="00B30761">
        <w:t xml:space="preserve"> amount of </w:t>
      </w:r>
      <w:r>
        <w:t>eligible expenditure</w:t>
      </w:r>
      <w:r w:rsidR="006E5AD6">
        <w:t xml:space="preserve">, </w:t>
      </w:r>
      <w:r w:rsidR="006E5AD6" w:rsidRPr="000A2DE0">
        <w:t>up to a maximum bonus deduction of $20,000</w:t>
      </w:r>
      <w:r w:rsidR="00BF3484">
        <w:t> </w:t>
      </w:r>
      <w:r w:rsidR="006E5AD6" w:rsidRPr="000A2DE0">
        <w:t xml:space="preserve">per </w:t>
      </w:r>
      <w:r w:rsidR="006E5AD6">
        <w:t>income year or specified time period</w:t>
      </w:r>
      <w:r>
        <w:t>.</w:t>
      </w:r>
      <w:r>
        <w:br/>
      </w:r>
      <w:r w:rsidRPr="003F7D50">
        <w:rPr>
          <w:rStyle w:val="References"/>
        </w:rPr>
        <w:t xml:space="preserve">[Schedule xx, </w:t>
      </w:r>
      <w:r w:rsidR="00500BE2">
        <w:rPr>
          <w:rStyle w:val="References"/>
        </w:rPr>
        <w:t>item 1</w:t>
      </w:r>
      <w:r w:rsidRPr="003F7D50">
        <w:rPr>
          <w:rStyle w:val="References"/>
        </w:rPr>
        <w:t xml:space="preserve">, </w:t>
      </w:r>
      <w:r w:rsidR="00FF1643">
        <w:rPr>
          <w:rStyle w:val="References"/>
        </w:rPr>
        <w:t xml:space="preserve">sections </w:t>
      </w:r>
      <w:r w:rsidR="00AA6494">
        <w:rPr>
          <w:rStyle w:val="References"/>
        </w:rPr>
        <w:t>328-4</w:t>
      </w:r>
      <w:r w:rsidR="00FF1643">
        <w:rPr>
          <w:rStyle w:val="References"/>
        </w:rPr>
        <w:t>5</w:t>
      </w:r>
      <w:r w:rsidR="00AA6494">
        <w:rPr>
          <w:rStyle w:val="References"/>
        </w:rPr>
        <w:t>5</w:t>
      </w:r>
      <w:r w:rsidR="00FF1643">
        <w:rPr>
          <w:rStyle w:val="References"/>
        </w:rPr>
        <w:t xml:space="preserve"> </w:t>
      </w:r>
      <w:r w:rsidR="00AA6494">
        <w:rPr>
          <w:rStyle w:val="References"/>
        </w:rPr>
        <w:t>and 328-</w:t>
      </w:r>
      <w:r w:rsidR="00500BE2">
        <w:rPr>
          <w:rStyle w:val="References"/>
        </w:rPr>
        <w:t>4</w:t>
      </w:r>
      <w:r w:rsidR="00FF1643">
        <w:rPr>
          <w:rStyle w:val="References"/>
        </w:rPr>
        <w:t>6</w:t>
      </w:r>
      <w:r w:rsidR="00500BE2">
        <w:rPr>
          <w:rStyle w:val="References"/>
        </w:rPr>
        <w:t>0</w:t>
      </w:r>
      <w:r w:rsidR="00FF1643">
        <w:rPr>
          <w:rStyle w:val="References"/>
        </w:rPr>
        <w:t xml:space="preserve"> of the IT(TP) Act</w:t>
      </w:r>
      <w:r w:rsidRPr="003F7D50">
        <w:rPr>
          <w:rStyle w:val="References"/>
        </w:rPr>
        <w:t xml:space="preserve">] </w:t>
      </w:r>
    </w:p>
    <w:p w14:paraId="72C27AA0" w14:textId="338F7AF7" w:rsidR="003F7D50" w:rsidRDefault="00F25EAB" w:rsidP="006C47ED">
      <w:pPr>
        <w:pStyle w:val="Normalparatextwithnumbers"/>
        <w:rPr>
          <w:rStyle w:val="References"/>
          <w:b w:val="0"/>
          <w:bCs w:val="0"/>
          <w:i w:val="0"/>
          <w:iCs w:val="0"/>
        </w:rPr>
      </w:pPr>
      <w:r>
        <w:rPr>
          <w:rStyle w:val="References"/>
          <w:b w:val="0"/>
          <w:bCs w:val="0"/>
          <w:i w:val="0"/>
          <w:iCs w:val="0"/>
        </w:rPr>
        <w:t>This applies regardless of how the entity calculates any other deductions in respect of the expenditure.</w:t>
      </w:r>
    </w:p>
    <w:p w14:paraId="226D22AF" w14:textId="0078A76A" w:rsidR="00FF1643" w:rsidRDefault="00FF1643" w:rsidP="006F6A9A">
      <w:pPr>
        <w:pStyle w:val="Normalparatextwithnumbers"/>
        <w:rPr>
          <w:rStyle w:val="References"/>
          <w:b w:val="0"/>
          <w:bCs w:val="0"/>
          <w:i w:val="0"/>
          <w:iCs w:val="0"/>
        </w:rPr>
      </w:pPr>
      <w:r>
        <w:rPr>
          <w:rStyle w:val="References"/>
          <w:b w:val="0"/>
          <w:bCs w:val="0"/>
          <w:i w:val="0"/>
          <w:iCs w:val="0"/>
        </w:rPr>
        <w:t>The bonus deduction is intended to be a one-off bonus deduction that does not affect any other deductions in the tax</w:t>
      </w:r>
      <w:r w:rsidR="00F96926">
        <w:rPr>
          <w:rStyle w:val="References"/>
          <w:b w:val="0"/>
          <w:bCs w:val="0"/>
          <w:i w:val="0"/>
          <w:iCs w:val="0"/>
        </w:rPr>
        <w:t>ation</w:t>
      </w:r>
      <w:r>
        <w:rPr>
          <w:rStyle w:val="References"/>
          <w:b w:val="0"/>
          <w:bCs w:val="0"/>
          <w:i w:val="0"/>
          <w:iCs w:val="0"/>
        </w:rPr>
        <w:t xml:space="preserve"> law. </w:t>
      </w:r>
    </w:p>
    <w:p w14:paraId="0E23AF8C" w14:textId="6DF099D0" w:rsidR="00B30761" w:rsidRPr="006F6A9A" w:rsidRDefault="00B30761" w:rsidP="006F6A9A">
      <w:pPr>
        <w:pStyle w:val="Normalparatextwithnumbers"/>
        <w:rPr>
          <w:rStyle w:val="References"/>
          <w:b w:val="0"/>
          <w:bCs w:val="0"/>
          <w:i w:val="0"/>
          <w:iCs w:val="0"/>
        </w:rPr>
      </w:pPr>
      <w:r w:rsidRPr="00B30761">
        <w:rPr>
          <w:rStyle w:val="References"/>
          <w:b w:val="0"/>
          <w:bCs w:val="0"/>
          <w:i w:val="0"/>
          <w:iCs w:val="0"/>
        </w:rPr>
        <w:t>The requirement that expenditure is deductible under a taxation provision means that there are certain exclusions to eligible expenditure. For example, if a business is registered for GST, the bonus deduction is generally calculated on the GST-exclusive amount of expenditure, as generally the GST component of expenditure is not deductible in accordance with section 27-5 of the ITAA</w:t>
      </w:r>
      <w:r w:rsidR="007352D8">
        <w:rPr>
          <w:rStyle w:val="References"/>
          <w:b w:val="0"/>
          <w:bCs w:val="0"/>
          <w:i w:val="0"/>
          <w:iCs w:val="0"/>
        </w:rPr>
        <w:t> </w:t>
      </w:r>
      <w:r w:rsidRPr="00B30761">
        <w:rPr>
          <w:rStyle w:val="References"/>
          <w:b w:val="0"/>
          <w:bCs w:val="0"/>
          <w:i w:val="0"/>
          <w:iCs w:val="0"/>
        </w:rPr>
        <w:t>1997.</w:t>
      </w:r>
    </w:p>
    <w:p w14:paraId="7AC06C62" w14:textId="7916313C" w:rsidR="00041839" w:rsidRPr="006F6A9A" w:rsidRDefault="00041839" w:rsidP="00041839">
      <w:pPr>
        <w:pStyle w:val="Heading6"/>
      </w:pPr>
      <w:r w:rsidRPr="006F6A9A">
        <w:t>Calculating the bonus deduction for depreciating assets</w:t>
      </w:r>
    </w:p>
    <w:p w14:paraId="3BB8650F" w14:textId="7FC0CFD4" w:rsidR="005D0B9F" w:rsidRDefault="005D0B9F" w:rsidP="00041839">
      <w:pPr>
        <w:pStyle w:val="Normalparatextwithnumbers"/>
      </w:pPr>
      <w:r>
        <w:t>Under the existing tax</w:t>
      </w:r>
      <w:r w:rsidR="00F96926">
        <w:t>ation</w:t>
      </w:r>
      <w:r>
        <w:t xml:space="preserve"> law, for depreciating assets, small business entities generally either </w:t>
      </w:r>
      <w:r w:rsidRPr="005D0B9F">
        <w:t xml:space="preserve">deduct the cost of </w:t>
      </w:r>
      <w:r>
        <w:t xml:space="preserve">a </w:t>
      </w:r>
      <w:r w:rsidRPr="005D0B9F">
        <w:t>depreciating asset</w:t>
      </w:r>
      <w:r w:rsidR="00D93277">
        <w:t xml:space="preserve"> in one income year</w:t>
      </w:r>
      <w:r w:rsidRPr="005D0B9F">
        <w:t xml:space="preserve"> (for example, under </w:t>
      </w:r>
      <w:r w:rsidR="0041182E">
        <w:t xml:space="preserve">the </w:t>
      </w:r>
      <w:r w:rsidRPr="005D0B9F">
        <w:t xml:space="preserve">Temporary Full Expensing </w:t>
      </w:r>
      <w:r w:rsidR="009C4B92">
        <w:t xml:space="preserve">regime </w:t>
      </w:r>
      <w:r w:rsidR="0041182E">
        <w:t>in</w:t>
      </w:r>
      <w:r w:rsidR="0041182E" w:rsidRPr="005D0B9F">
        <w:t xml:space="preserve"> </w:t>
      </w:r>
      <w:r w:rsidRPr="005D0B9F">
        <w:t>Subdivision 40-BB</w:t>
      </w:r>
      <w:r w:rsidR="00E379E7">
        <w:t xml:space="preserve"> of the IT(TP) Act</w:t>
      </w:r>
      <w:r w:rsidRPr="005D0B9F">
        <w:t xml:space="preserve">) or deduct the decline in value of the asset </w:t>
      </w:r>
      <w:r w:rsidR="00ED52D1">
        <w:t xml:space="preserve">over its effective life </w:t>
      </w:r>
      <w:r w:rsidRPr="005D0B9F">
        <w:t xml:space="preserve">(for example, under </w:t>
      </w:r>
      <w:r w:rsidR="009C4B92">
        <w:t>the</w:t>
      </w:r>
      <w:r w:rsidR="001677B1">
        <w:t xml:space="preserve"> </w:t>
      </w:r>
      <w:r w:rsidR="003C70FD">
        <w:t>uniform</w:t>
      </w:r>
      <w:r w:rsidR="009C4B92">
        <w:t xml:space="preserve"> capital allowance regime in </w:t>
      </w:r>
      <w:r w:rsidRPr="005D0B9F">
        <w:t>Division</w:t>
      </w:r>
      <w:r w:rsidR="00ED52D1">
        <w:t> </w:t>
      </w:r>
      <w:r w:rsidRPr="005D0B9F">
        <w:t>40 of the ITAA 1997).</w:t>
      </w:r>
    </w:p>
    <w:p w14:paraId="0894949F" w14:textId="55D22FBC" w:rsidR="00041839" w:rsidRPr="00912262" w:rsidRDefault="00041839" w:rsidP="00041839">
      <w:pPr>
        <w:pStyle w:val="Normalparatextwithnumbers"/>
      </w:pPr>
      <w:r w:rsidRPr="00912262">
        <w:t xml:space="preserve">The bonus deduction is equal to 20 per cent of </w:t>
      </w:r>
      <w:r w:rsidR="00875B0E">
        <w:t xml:space="preserve">the cost (within the meaning of Division 40 of the ITAA 1997) </w:t>
      </w:r>
      <w:r w:rsidR="009C4B92" w:rsidRPr="001F0CA8">
        <w:t>o</w:t>
      </w:r>
      <w:r w:rsidR="009C4B92">
        <w:t>f</w:t>
      </w:r>
      <w:r w:rsidR="009C4B92" w:rsidRPr="001F0CA8">
        <w:t xml:space="preserve"> an eligible </w:t>
      </w:r>
      <w:r w:rsidR="009C4B92">
        <w:t xml:space="preserve">depreciating </w:t>
      </w:r>
      <w:r w:rsidR="009C4B92" w:rsidRPr="001F0CA8">
        <w:t>asset</w:t>
      </w:r>
      <w:r w:rsidR="009C4B92">
        <w:t xml:space="preserve"> </w:t>
      </w:r>
      <w:r w:rsidR="00875B0E">
        <w:t>that is used for a taxable purpose</w:t>
      </w:r>
      <w:r w:rsidR="00ED52D1">
        <w:t>. This means that regardless of the method of deduction that the entity takes (i.e. whether immediate or over time), the bonus deduction in respect of a depreciating asset is calculated</w:t>
      </w:r>
      <w:r w:rsidR="00D5026A">
        <w:t xml:space="preserve"> based on the asset’s cost.</w:t>
      </w:r>
      <w:r w:rsidRPr="00912262">
        <w:t xml:space="preserve"> </w:t>
      </w:r>
    </w:p>
    <w:p w14:paraId="5173ECDD" w14:textId="77777777" w:rsidR="00C01DED" w:rsidRDefault="00C01DED">
      <w:pPr>
        <w:spacing w:before="0" w:after="160" w:line="259" w:lineRule="auto"/>
      </w:pPr>
      <w:r>
        <w:br w:type="page"/>
      </w:r>
    </w:p>
    <w:p w14:paraId="0809FC53" w14:textId="41BB81EB" w:rsidR="002A1FDD" w:rsidRPr="00912262" w:rsidRDefault="002A1FDD" w:rsidP="00041839">
      <w:pPr>
        <w:pStyle w:val="Normalparatextwithnumbers"/>
      </w:pPr>
      <w:r w:rsidRPr="00912262">
        <w:lastRenderedPageBreak/>
        <w:t>When calculating the bonus deduction for expenditure on a depreciating asset, it is assumed that:</w:t>
      </w:r>
    </w:p>
    <w:p w14:paraId="60385AB8" w14:textId="77777777" w:rsidR="002A1FDD" w:rsidRPr="00912262" w:rsidRDefault="002A1FDD" w:rsidP="00912262">
      <w:pPr>
        <w:pStyle w:val="Dotpoint1"/>
      </w:pPr>
      <w:r w:rsidRPr="00912262">
        <w:t>the entity will continue to hold the asset throughout its effective life; and</w:t>
      </w:r>
    </w:p>
    <w:p w14:paraId="471649F7" w14:textId="58AA4531" w:rsidR="00041839" w:rsidRPr="00912262" w:rsidRDefault="002A1FDD" w:rsidP="00912262">
      <w:pPr>
        <w:pStyle w:val="Dotpoint1"/>
      </w:pPr>
      <w:r w:rsidRPr="00912262">
        <w:t>the entity will use the asset for a taxable purpose to the same extent that it does in the income year it first uses or installs the asset.</w:t>
      </w:r>
    </w:p>
    <w:p w14:paraId="4B9A0858" w14:textId="4249BC7E" w:rsidR="00041839" w:rsidRPr="00912262" w:rsidRDefault="00041839" w:rsidP="00912262">
      <w:pPr>
        <w:pStyle w:val="Normalparatextwithnumbers"/>
        <w:numPr>
          <w:ilvl w:val="0"/>
          <w:numId w:val="0"/>
        </w:numPr>
        <w:ind w:left="709"/>
      </w:pPr>
      <w:r w:rsidRPr="005F630F">
        <w:rPr>
          <w:rStyle w:val="References"/>
        </w:rPr>
        <w:t xml:space="preserve">[Schedule xx, </w:t>
      </w:r>
      <w:r w:rsidR="00500BE2">
        <w:rPr>
          <w:rStyle w:val="References"/>
        </w:rPr>
        <w:t>item 1</w:t>
      </w:r>
      <w:r w:rsidRPr="005F630F">
        <w:rPr>
          <w:rStyle w:val="References"/>
        </w:rPr>
        <w:t xml:space="preserve">, </w:t>
      </w:r>
      <w:r w:rsidR="002C6DBE">
        <w:rPr>
          <w:rStyle w:val="References"/>
        </w:rPr>
        <w:t xml:space="preserve">subsection </w:t>
      </w:r>
      <w:r w:rsidRPr="005F630F">
        <w:rPr>
          <w:rStyle w:val="References"/>
        </w:rPr>
        <w:t>328-</w:t>
      </w:r>
      <w:r w:rsidR="00500BE2">
        <w:rPr>
          <w:rStyle w:val="References"/>
        </w:rPr>
        <w:t>460</w:t>
      </w:r>
      <w:r w:rsidRPr="005F630F">
        <w:rPr>
          <w:rStyle w:val="References"/>
        </w:rPr>
        <w:t>(</w:t>
      </w:r>
      <w:r w:rsidR="007352D8">
        <w:rPr>
          <w:rStyle w:val="References"/>
        </w:rPr>
        <w:t>4</w:t>
      </w:r>
      <w:r w:rsidRPr="005F630F">
        <w:rPr>
          <w:rStyle w:val="References"/>
        </w:rPr>
        <w:t>) of the IT(TP) Act]</w:t>
      </w:r>
    </w:p>
    <w:p w14:paraId="4FE8AFE9" w14:textId="2EC54ED4" w:rsidR="00874C83" w:rsidRDefault="00874C83" w:rsidP="00977D2A">
      <w:pPr>
        <w:pStyle w:val="ExampleHeading"/>
      </w:pPr>
      <w:r w:rsidRPr="00874C83">
        <w:t xml:space="preserve">Claiming the bonus deduction for a depreciating asset where </w:t>
      </w:r>
      <w:r w:rsidR="001677B1">
        <w:t>Temporary Full Expensing applies</w:t>
      </w:r>
    </w:p>
    <w:p w14:paraId="25BCB08D" w14:textId="7B8E3990" w:rsidR="00874C83" w:rsidRDefault="00C95780" w:rsidP="00874C83">
      <w:pPr>
        <w:pStyle w:val="Exampletext"/>
      </w:pPr>
      <w:r>
        <w:t>A</w:t>
      </w:r>
      <w:r w:rsidR="00874C83">
        <w:t xml:space="preserve"> Co Pty Ltd (</w:t>
      </w:r>
      <w:r>
        <w:t>A</w:t>
      </w:r>
      <w:r w:rsidR="00874C83">
        <w:t xml:space="preserve"> Co) is a small business entity. On 15 July 2022, </w:t>
      </w:r>
      <w:r>
        <w:t>A</w:t>
      </w:r>
      <w:r w:rsidR="00BF3484">
        <w:t> </w:t>
      </w:r>
      <w:r w:rsidR="00874C83">
        <w:t xml:space="preserve">Co purchased multiple laptops to allow its </w:t>
      </w:r>
      <w:r w:rsidR="00F96926">
        <w:t xml:space="preserve">employees </w:t>
      </w:r>
      <w:r w:rsidR="00874C83">
        <w:t>to work from home. The total cost was $1</w:t>
      </w:r>
      <w:r w:rsidR="005F630F">
        <w:t>0</w:t>
      </w:r>
      <w:r w:rsidR="00874C83">
        <w:t xml:space="preserve">0,000 (GST-exclusive). The laptops were delivered on 19 July 2022 and immediately issued to staff </w:t>
      </w:r>
      <w:r w:rsidR="001677B1">
        <w:t xml:space="preserve">entirely </w:t>
      </w:r>
      <w:r w:rsidR="00874C83">
        <w:t xml:space="preserve">for business use. As the holder of the assets, </w:t>
      </w:r>
      <w:r>
        <w:t>A</w:t>
      </w:r>
      <w:r w:rsidR="00874C83">
        <w:t xml:space="preserve"> Co is entitled to claim a deduction for the depreciation of a capital expense. </w:t>
      </w:r>
    </w:p>
    <w:p w14:paraId="0A70BAED" w14:textId="64BFC17F" w:rsidR="000C0CF6" w:rsidRDefault="00C95780" w:rsidP="00977D2A">
      <w:pPr>
        <w:pStyle w:val="Exampletext"/>
      </w:pPr>
      <w:r>
        <w:t>A</w:t>
      </w:r>
      <w:r w:rsidR="00874C83">
        <w:t xml:space="preserve"> Co can claim the full purchase price of the laptops ($1</w:t>
      </w:r>
      <w:r w:rsidR="005F630F">
        <w:t>0</w:t>
      </w:r>
      <w:r w:rsidR="00874C83">
        <w:t>0,000) as a deduction under temporary full expensing in its 2022-23 income tax return. It can also claim the maximum $20,000 bonus deduction</w:t>
      </w:r>
      <w:r w:rsidR="005F630F">
        <w:t xml:space="preserve"> </w:t>
      </w:r>
      <w:r w:rsidR="00874C83">
        <w:t>in its 2022-23 income tax return.</w:t>
      </w:r>
    </w:p>
    <w:p w14:paraId="7B398718" w14:textId="5AF55827" w:rsidR="00874C83" w:rsidRDefault="00874C83" w:rsidP="00874C83">
      <w:pPr>
        <w:pStyle w:val="ExampleHeading"/>
      </w:pPr>
      <w:r w:rsidRPr="00874C83">
        <w:t>Claiming the bonus deduction for a depreciating asset where the entity claims depreciation deductions over a number of years</w:t>
      </w:r>
    </w:p>
    <w:p w14:paraId="3225AA68" w14:textId="1A43561B" w:rsidR="00874C83" w:rsidRDefault="00C95780" w:rsidP="00874C83">
      <w:pPr>
        <w:pStyle w:val="Exampletext"/>
      </w:pPr>
      <w:r>
        <w:t>B</w:t>
      </w:r>
      <w:r w:rsidR="00874C83">
        <w:t xml:space="preserve"> Co Pty Ltd (</w:t>
      </w:r>
      <w:r>
        <w:t>B</w:t>
      </w:r>
      <w:r w:rsidR="00874C83">
        <w:t xml:space="preserve"> Co) is a small business entity. On 15 July 2022, </w:t>
      </w:r>
      <w:r w:rsidR="008555AF">
        <w:t>B</w:t>
      </w:r>
      <w:r w:rsidR="00BF3484">
        <w:t> </w:t>
      </w:r>
      <w:r w:rsidR="00874C83">
        <w:t>Co purchased multiple laptops to allow its staff to work from home. The total cost was $1</w:t>
      </w:r>
      <w:r w:rsidR="005F630F">
        <w:t>0</w:t>
      </w:r>
      <w:r w:rsidR="00874C83">
        <w:t>0,000 (GST</w:t>
      </w:r>
      <w:r w:rsidR="00FD3779">
        <w:noBreakHyphen/>
      </w:r>
      <w:r w:rsidR="00874C83">
        <w:t xml:space="preserve">exclusive). The laptops were delivered on 19 July 2022 and immediately issued to staff for business use. As the holder of the assets, </w:t>
      </w:r>
      <w:r>
        <w:t>B</w:t>
      </w:r>
      <w:r w:rsidR="00874C83">
        <w:t xml:space="preserve"> Co is entitled to claim deductions for the depreciation of a capital expense. </w:t>
      </w:r>
      <w:r>
        <w:t>B</w:t>
      </w:r>
      <w:r w:rsidR="00874C83">
        <w:t xml:space="preserve"> Co has made the choice to opt out of temporary full expensing and instead will claim depreciation deductions for the decline in value of the laptops over their effective life under the uniform capital allowance rules in Division 40 of the ITAA 1997.</w:t>
      </w:r>
    </w:p>
    <w:p w14:paraId="1143AC42" w14:textId="36ACE93A" w:rsidR="00874C83" w:rsidRDefault="00874C83" w:rsidP="00912262">
      <w:pPr>
        <w:pStyle w:val="Exampletext"/>
      </w:pPr>
      <w:r>
        <w:t xml:space="preserve">In its 2022-23 income tax return, </w:t>
      </w:r>
      <w:r w:rsidR="00C95780">
        <w:t>B</w:t>
      </w:r>
      <w:r>
        <w:t xml:space="preserve"> Co can claim a depreciation deduction for the decline in value of the laptops between 19 July 2022 and 30 June 2023. It can also claim the bonus deduction calculated on the entire amount of eligible expenditure ($1</w:t>
      </w:r>
      <w:r w:rsidR="005F630F">
        <w:t>0</w:t>
      </w:r>
      <w:r>
        <w:t xml:space="preserve">0,000). This results in the maximum $20,000 bonus deduction. Depreciation deductions that </w:t>
      </w:r>
      <w:r w:rsidR="008555AF">
        <w:t>B</w:t>
      </w:r>
      <w:r>
        <w:t xml:space="preserve"> Co may be able to claim in 2022-23 and later income years are not altered by the bonus deduction.</w:t>
      </w:r>
    </w:p>
    <w:p w14:paraId="79D47F33" w14:textId="14EA475D" w:rsidR="00CB1B77" w:rsidRDefault="00CB1B77" w:rsidP="00A27EDE">
      <w:pPr>
        <w:pStyle w:val="Heading5"/>
      </w:pPr>
      <w:r>
        <w:lastRenderedPageBreak/>
        <w:t>Cap on bonus deduction</w:t>
      </w:r>
    </w:p>
    <w:p w14:paraId="5528FBF7" w14:textId="720864FF" w:rsidR="00CB1B77" w:rsidRPr="007B31F6" w:rsidRDefault="001677B1" w:rsidP="00CB1B77">
      <w:pPr>
        <w:pStyle w:val="Normalparatextwithnumbers"/>
        <w:rPr>
          <w:rStyle w:val="References"/>
          <w:b w:val="0"/>
          <w:bCs w:val="0"/>
          <w:i w:val="0"/>
          <w:iCs w:val="0"/>
        </w:rPr>
      </w:pPr>
      <w:r w:rsidRPr="001677B1">
        <w:t xml:space="preserve">The total expenditure eligible for the </w:t>
      </w:r>
      <w:r w:rsidR="00095872">
        <w:t>bonus deduction</w:t>
      </w:r>
      <w:r w:rsidRPr="001677B1">
        <w:t xml:space="preserve"> is effectively $100,000</w:t>
      </w:r>
      <w:r w:rsidR="00A71BA8">
        <w:t xml:space="preserve"> over the relevant time period</w:t>
      </w:r>
      <w:r w:rsidRPr="001677B1">
        <w:t xml:space="preserve"> such that</w:t>
      </w:r>
      <w:r>
        <w:t xml:space="preserve"> </w:t>
      </w:r>
      <w:r w:rsidR="007B31F6">
        <w:t>entities can</w:t>
      </w:r>
      <w:r>
        <w:t xml:space="preserve"> generally</w:t>
      </w:r>
      <w:r w:rsidR="007B31F6">
        <w:t xml:space="preserve"> claim a maximum bonus deduction of $20,000 per</w:t>
      </w:r>
      <w:r w:rsidR="00191C8C" w:rsidRPr="001677B1">
        <w:t xml:space="preserve"> </w:t>
      </w:r>
      <w:r w:rsidR="00191C8C">
        <w:t>relevant time period</w:t>
      </w:r>
      <w:r w:rsidR="000177AA">
        <w:t>.</w:t>
      </w:r>
      <w:r w:rsidR="007B31F6">
        <w:br/>
      </w:r>
      <w:r w:rsidR="007B31F6" w:rsidRPr="007B31F6">
        <w:rPr>
          <w:rStyle w:val="References"/>
        </w:rPr>
        <w:t xml:space="preserve">[Schedule xx, </w:t>
      </w:r>
      <w:r w:rsidR="00500BE2">
        <w:rPr>
          <w:rStyle w:val="References"/>
        </w:rPr>
        <w:t>item 1</w:t>
      </w:r>
      <w:r w:rsidR="007B31F6" w:rsidRPr="007B31F6">
        <w:rPr>
          <w:rStyle w:val="References"/>
        </w:rPr>
        <w:t xml:space="preserve">, </w:t>
      </w:r>
      <w:r w:rsidR="002C6DBE">
        <w:rPr>
          <w:rStyle w:val="References"/>
        </w:rPr>
        <w:t xml:space="preserve">section </w:t>
      </w:r>
      <w:r w:rsidR="002A5525">
        <w:rPr>
          <w:rStyle w:val="References"/>
        </w:rPr>
        <w:t>328-4</w:t>
      </w:r>
      <w:r w:rsidR="007352D8">
        <w:rPr>
          <w:rStyle w:val="References"/>
        </w:rPr>
        <w:t>55</w:t>
      </w:r>
      <w:r w:rsidR="002C6DBE">
        <w:rPr>
          <w:rStyle w:val="References"/>
        </w:rPr>
        <w:t xml:space="preserve"> of the IT(TP) Act</w:t>
      </w:r>
      <w:r w:rsidR="007B31F6" w:rsidRPr="007B31F6">
        <w:rPr>
          <w:rStyle w:val="References"/>
        </w:rPr>
        <w:t xml:space="preserve">] </w:t>
      </w:r>
    </w:p>
    <w:p w14:paraId="4DD169B7" w14:textId="171E8452" w:rsidR="005652A1" w:rsidRDefault="00D169C0" w:rsidP="000C0512">
      <w:pPr>
        <w:pStyle w:val="Normalparatextwithnumbers"/>
      </w:pPr>
      <w:r>
        <w:t>The cap on the bonus deduction works on a cumulative basis</w:t>
      </w:r>
      <w:r w:rsidR="001713BC">
        <w:t xml:space="preserve"> in respect of the eligible expenditure</w:t>
      </w:r>
      <w:r>
        <w:t xml:space="preserve">. </w:t>
      </w:r>
      <w:r w:rsidRPr="00D169C0">
        <w:t>An entity</w:t>
      </w:r>
      <w:r w:rsidR="001713BC">
        <w:t xml:space="preserve"> may incur expenditure for its </w:t>
      </w:r>
      <w:r>
        <w:t>digital operations</w:t>
      </w:r>
      <w:r w:rsidRPr="00D169C0">
        <w:t xml:space="preserve"> </w:t>
      </w:r>
      <w:r w:rsidR="005436FC">
        <w:t>across</w:t>
      </w:r>
      <w:r w:rsidRPr="00D169C0">
        <w:t xml:space="preserve"> various items</w:t>
      </w:r>
      <w:r w:rsidR="001713BC">
        <w:t xml:space="preserve">. </w:t>
      </w:r>
      <w:r w:rsidR="005436FC">
        <w:t>T</w:t>
      </w:r>
      <w:r w:rsidR="001713BC">
        <w:t>he cap operates to limit the</w:t>
      </w:r>
      <w:r w:rsidRPr="00D169C0">
        <w:t xml:space="preserve"> bonus deduction</w:t>
      </w:r>
      <w:r w:rsidR="001713BC">
        <w:t xml:space="preserve"> to </w:t>
      </w:r>
      <w:r w:rsidR="001677B1">
        <w:t xml:space="preserve">a maximum </w:t>
      </w:r>
      <w:r w:rsidR="001713BC">
        <w:t>$20,000 per income year</w:t>
      </w:r>
      <w:r w:rsidR="00B62C96">
        <w:t xml:space="preserve"> or specified time period</w:t>
      </w:r>
      <w:r w:rsidRPr="00D169C0">
        <w:t xml:space="preserve">. </w:t>
      </w:r>
    </w:p>
    <w:p w14:paraId="2B36C9B4" w14:textId="78F08DE6" w:rsidR="00BE1C77" w:rsidRDefault="007B31F6" w:rsidP="007B31F6">
      <w:pPr>
        <w:pStyle w:val="Normalparatextwithnumbers"/>
      </w:pPr>
      <w:r>
        <w:t xml:space="preserve">Different cap rules apply if an entity’s 2022-23 income year begins before 1 July 2022 (i.e. it is an ‘early balancer’). Early balancers can claim a maximum bonus deduction of $20,000 for the </w:t>
      </w:r>
      <w:r w:rsidR="00C47A7B">
        <w:t xml:space="preserve">early balancer first time </w:t>
      </w:r>
      <w:r>
        <w:t xml:space="preserve">period </w:t>
      </w:r>
      <w:r w:rsidR="00C47A7B">
        <w:t xml:space="preserve">(i.e. </w:t>
      </w:r>
      <w:r>
        <w:t xml:space="preserve">from </w:t>
      </w:r>
      <w:r w:rsidR="001677B1">
        <w:t>7:30pm (by legal time in the Australian Capital Territory) on 29 March 2022</w:t>
      </w:r>
      <w:r>
        <w:t xml:space="preserve"> to the end of their 2022-23 income year</w:t>
      </w:r>
      <w:r w:rsidR="00C47A7B">
        <w:t>)</w:t>
      </w:r>
      <w:r>
        <w:t>.</w:t>
      </w:r>
      <w:r w:rsidR="00BE1C77">
        <w:t xml:space="preserve"> </w:t>
      </w:r>
    </w:p>
    <w:p w14:paraId="4CA4941B" w14:textId="47178EF6" w:rsidR="00CA382F" w:rsidRDefault="00BE1C77" w:rsidP="007B31F6">
      <w:pPr>
        <w:pStyle w:val="Normalparatextwithnumbers"/>
      </w:pPr>
      <w:r>
        <w:t xml:space="preserve">This means that for early balancers, the first $20,000 cap </w:t>
      </w:r>
      <w:r w:rsidR="00CA382F">
        <w:t>may be</w:t>
      </w:r>
      <w:r>
        <w:t xml:space="preserve"> spread over two income years (i.e.</w:t>
      </w:r>
      <w:r w:rsidR="00CA382F">
        <w:t xml:space="preserve"> 7:30pm (by legal time in the Australian Capital Territory) on</w:t>
      </w:r>
      <w:r>
        <w:t xml:space="preserve"> 29 March 2022 to the end of the 2021-22 income year and also the 2022-23 income year</w:t>
      </w:r>
      <w:r w:rsidR="00CA382F">
        <w:t>)</w:t>
      </w:r>
      <w:r>
        <w:t>.</w:t>
      </w:r>
      <w:r w:rsidR="007B31F6">
        <w:t xml:space="preserve"> </w:t>
      </w:r>
      <w:r w:rsidR="00CA382F">
        <w:br/>
      </w:r>
      <w:r w:rsidR="00CA382F" w:rsidRPr="007B31F6">
        <w:rPr>
          <w:rStyle w:val="References"/>
        </w:rPr>
        <w:t xml:space="preserve">[Schedule xx, </w:t>
      </w:r>
      <w:r w:rsidR="00CA382F">
        <w:rPr>
          <w:rStyle w:val="References"/>
        </w:rPr>
        <w:t>item 1</w:t>
      </w:r>
      <w:r w:rsidR="00CA382F" w:rsidRPr="007B31F6">
        <w:rPr>
          <w:rStyle w:val="References"/>
        </w:rPr>
        <w:t>,</w:t>
      </w:r>
      <w:r w:rsidR="00CA382F">
        <w:rPr>
          <w:rStyle w:val="References"/>
        </w:rPr>
        <w:t xml:space="preserve"> paragraph</w:t>
      </w:r>
      <w:r w:rsidR="00CA382F" w:rsidRPr="007B31F6">
        <w:rPr>
          <w:rStyle w:val="References"/>
        </w:rPr>
        <w:t xml:space="preserve"> </w:t>
      </w:r>
      <w:r w:rsidR="00CA382F">
        <w:rPr>
          <w:rStyle w:val="References"/>
        </w:rPr>
        <w:t>328-455(2)(a) and subsection 328-460(1) of the IT(TP) Act</w:t>
      </w:r>
      <w:r w:rsidR="00CA382F" w:rsidRPr="000A25B0">
        <w:rPr>
          <w:rStyle w:val="References"/>
        </w:rPr>
        <w:t xml:space="preserve">] </w:t>
      </w:r>
    </w:p>
    <w:p w14:paraId="7D0032E7" w14:textId="04F5CEAC" w:rsidR="007B31F6" w:rsidRPr="007B31F6" w:rsidRDefault="00CA382F" w:rsidP="007B31F6">
      <w:pPr>
        <w:pStyle w:val="Normalparatextwithnumbers"/>
        <w:rPr>
          <w:rStyle w:val="References"/>
          <w:b w:val="0"/>
          <w:bCs w:val="0"/>
          <w:i w:val="0"/>
          <w:iCs w:val="0"/>
        </w:rPr>
      </w:pPr>
      <w:r>
        <w:t>Early balancers</w:t>
      </w:r>
      <w:r w:rsidR="007B31F6">
        <w:t xml:space="preserve"> can then claim</w:t>
      </w:r>
      <w:r>
        <w:t xml:space="preserve"> up to</w:t>
      </w:r>
      <w:r w:rsidR="007B31F6">
        <w:t xml:space="preserve"> a maximum bonus deduction of $20,000 for </w:t>
      </w:r>
      <w:r>
        <w:t xml:space="preserve">eligible expenditure during </w:t>
      </w:r>
      <w:r w:rsidR="007B31F6">
        <w:t>the period from the start of their 2023-24 income year to 30 June 2023.</w:t>
      </w:r>
      <w:r w:rsidR="007B31F6">
        <w:br/>
      </w:r>
      <w:r w:rsidR="007B31F6" w:rsidRPr="007B31F6">
        <w:rPr>
          <w:rStyle w:val="References"/>
        </w:rPr>
        <w:t xml:space="preserve">[Schedule xx, </w:t>
      </w:r>
      <w:r w:rsidR="00500BE2">
        <w:rPr>
          <w:rStyle w:val="References"/>
        </w:rPr>
        <w:t>item 1</w:t>
      </w:r>
      <w:r w:rsidR="007B31F6" w:rsidRPr="007B31F6">
        <w:rPr>
          <w:rStyle w:val="References"/>
        </w:rPr>
        <w:t>,</w:t>
      </w:r>
      <w:r w:rsidR="002C6DBE">
        <w:rPr>
          <w:rStyle w:val="References"/>
        </w:rPr>
        <w:t xml:space="preserve"> </w:t>
      </w:r>
      <w:r>
        <w:rPr>
          <w:rStyle w:val="References"/>
        </w:rPr>
        <w:t>paragraph</w:t>
      </w:r>
      <w:r w:rsidRPr="007B31F6">
        <w:rPr>
          <w:rStyle w:val="References"/>
        </w:rPr>
        <w:t xml:space="preserve"> </w:t>
      </w:r>
      <w:r w:rsidR="002A5525">
        <w:rPr>
          <w:rStyle w:val="References"/>
        </w:rPr>
        <w:t>328-4</w:t>
      </w:r>
      <w:r w:rsidR="007352D8">
        <w:rPr>
          <w:rStyle w:val="References"/>
        </w:rPr>
        <w:t>55</w:t>
      </w:r>
      <w:r>
        <w:rPr>
          <w:rStyle w:val="References"/>
        </w:rPr>
        <w:t>(2)(b) and subsection 328-460(2)</w:t>
      </w:r>
      <w:r w:rsidR="002C6DBE">
        <w:rPr>
          <w:rStyle w:val="References"/>
        </w:rPr>
        <w:t xml:space="preserve"> of the IT(TP) Act</w:t>
      </w:r>
      <w:r w:rsidR="007B31F6" w:rsidRPr="007B31F6">
        <w:rPr>
          <w:rStyle w:val="References"/>
        </w:rPr>
        <w:t xml:space="preserve">] </w:t>
      </w:r>
    </w:p>
    <w:p w14:paraId="3DD868B2" w14:textId="6506446B" w:rsidR="007B31F6" w:rsidRDefault="007B31F6" w:rsidP="007B31F6">
      <w:pPr>
        <w:pStyle w:val="Normalparatextwithnumbers"/>
        <w:rPr>
          <w:rStyle w:val="References"/>
          <w:b w:val="0"/>
          <w:bCs w:val="0"/>
          <w:i w:val="0"/>
          <w:iCs w:val="0"/>
        </w:rPr>
      </w:pPr>
      <w:r>
        <w:rPr>
          <w:rStyle w:val="References"/>
          <w:b w:val="0"/>
          <w:bCs w:val="0"/>
          <w:i w:val="0"/>
          <w:iCs w:val="0"/>
        </w:rPr>
        <w:t xml:space="preserve">This </w:t>
      </w:r>
      <w:r w:rsidR="009475E9">
        <w:rPr>
          <w:rStyle w:val="References"/>
          <w:b w:val="0"/>
          <w:bCs w:val="0"/>
          <w:i w:val="0"/>
          <w:iCs w:val="0"/>
        </w:rPr>
        <w:t xml:space="preserve">ensures </w:t>
      </w:r>
      <w:r>
        <w:rPr>
          <w:rStyle w:val="References"/>
          <w:b w:val="0"/>
          <w:bCs w:val="0"/>
          <w:i w:val="0"/>
          <w:iCs w:val="0"/>
        </w:rPr>
        <w:t>that all entities can claim</w:t>
      </w:r>
      <w:r w:rsidR="009475E9">
        <w:rPr>
          <w:rStyle w:val="References"/>
          <w:b w:val="0"/>
          <w:bCs w:val="0"/>
          <w:i w:val="0"/>
          <w:iCs w:val="0"/>
        </w:rPr>
        <w:t xml:space="preserve"> up to</w:t>
      </w:r>
      <w:r>
        <w:rPr>
          <w:rStyle w:val="References"/>
          <w:b w:val="0"/>
          <w:bCs w:val="0"/>
          <w:i w:val="0"/>
          <w:iCs w:val="0"/>
        </w:rPr>
        <w:t xml:space="preserve"> a maximum bonus deduction of $40,000 for the period </w:t>
      </w:r>
      <w:r w:rsidR="004A534F">
        <w:rPr>
          <w:rStyle w:val="References"/>
          <w:b w:val="0"/>
          <w:bCs w:val="0"/>
          <w:i w:val="0"/>
          <w:iCs w:val="0"/>
        </w:rPr>
        <w:t xml:space="preserve">from </w:t>
      </w:r>
      <w:r w:rsidR="00443BC8">
        <w:t xml:space="preserve">7:30pm (by legal time in the Australian Capital Territory) on 29 March 2022 </w:t>
      </w:r>
      <w:r w:rsidR="004A534F">
        <w:rPr>
          <w:rStyle w:val="References"/>
          <w:b w:val="0"/>
          <w:bCs w:val="0"/>
          <w:i w:val="0"/>
          <w:iCs w:val="0"/>
        </w:rPr>
        <w:t>to</w:t>
      </w:r>
      <w:r>
        <w:rPr>
          <w:rStyle w:val="References"/>
          <w:b w:val="0"/>
          <w:bCs w:val="0"/>
          <w:i w:val="0"/>
          <w:iCs w:val="0"/>
        </w:rPr>
        <w:t xml:space="preserve"> 30 June 2023.</w:t>
      </w:r>
    </w:p>
    <w:p w14:paraId="51483177" w14:textId="28DB22D8" w:rsidR="00A27EDE" w:rsidRDefault="00A27EDE" w:rsidP="00A27EDE">
      <w:pPr>
        <w:pStyle w:val="Heading5"/>
      </w:pPr>
      <w:r>
        <w:t>Timing for claiming the bonus deduction</w:t>
      </w:r>
    </w:p>
    <w:p w14:paraId="5F335DE9" w14:textId="71003FDC" w:rsidR="00366C8D" w:rsidRDefault="00366C8D" w:rsidP="00366C8D">
      <w:pPr>
        <w:pStyle w:val="Normalparatextwithnumbers"/>
      </w:pPr>
      <w:r>
        <w:t xml:space="preserve">Generally, entities must claim the bonus deduction for expenditure incurred </w:t>
      </w:r>
      <w:r w:rsidR="00394192">
        <w:t xml:space="preserve">in their 2021-22 income year in their 2022-23 return. </w:t>
      </w:r>
      <w:r w:rsidR="00A40C91" w:rsidRPr="00A40C91">
        <w:t>This is to allow additional time for administrative and legislative arrangements to be put in place before the bonus deduction may be claimed.</w:t>
      </w:r>
      <w:r w:rsidR="00A40C91">
        <w:t xml:space="preserve"> The bonus deduction for expenditure incurred in an entity’s 2022-23 income year will also be claimed in its 2022-23 return.</w:t>
      </w:r>
      <w:r w:rsidR="002F6BFD">
        <w:br/>
      </w:r>
      <w:r w:rsidR="002F6BFD" w:rsidRPr="002F6BFD">
        <w:rPr>
          <w:rStyle w:val="References"/>
        </w:rPr>
        <w:t xml:space="preserve">[Schedule xx, </w:t>
      </w:r>
      <w:r w:rsidR="00500BE2">
        <w:rPr>
          <w:rStyle w:val="References"/>
        </w:rPr>
        <w:t>item 1</w:t>
      </w:r>
      <w:r w:rsidR="002F6BFD" w:rsidRPr="002F6BFD">
        <w:rPr>
          <w:rStyle w:val="References"/>
        </w:rPr>
        <w:t xml:space="preserve">, </w:t>
      </w:r>
      <w:r w:rsidR="002C6DBE">
        <w:rPr>
          <w:rStyle w:val="References"/>
        </w:rPr>
        <w:t>subsection 328-455(1) and</w:t>
      </w:r>
      <w:r w:rsidR="00B96822">
        <w:rPr>
          <w:rStyle w:val="References"/>
        </w:rPr>
        <w:t xml:space="preserve"> subparagraphs</w:t>
      </w:r>
      <w:r w:rsidR="002C6DBE">
        <w:rPr>
          <w:rStyle w:val="References"/>
        </w:rPr>
        <w:t xml:space="preserve"> 328</w:t>
      </w:r>
      <w:r w:rsidR="00592C79">
        <w:rPr>
          <w:rStyle w:val="References"/>
        </w:rPr>
        <w:noBreakHyphen/>
      </w:r>
      <w:r w:rsidR="002C6DBE">
        <w:rPr>
          <w:rStyle w:val="References"/>
        </w:rPr>
        <w:t>460(1)</w:t>
      </w:r>
      <w:r w:rsidR="00B96822">
        <w:rPr>
          <w:rStyle w:val="References"/>
        </w:rPr>
        <w:t>(b)(i) and (2)(b)(i)</w:t>
      </w:r>
      <w:r w:rsidR="002F6BFD" w:rsidRPr="002F6BFD">
        <w:rPr>
          <w:rStyle w:val="References"/>
        </w:rPr>
        <w:t xml:space="preserve"> </w:t>
      </w:r>
      <w:r w:rsidR="00F75794">
        <w:rPr>
          <w:rStyle w:val="References"/>
        </w:rPr>
        <w:t>of the IT(TP)</w:t>
      </w:r>
      <w:r w:rsidR="002C6DBE">
        <w:rPr>
          <w:rStyle w:val="References"/>
        </w:rPr>
        <w:t> </w:t>
      </w:r>
      <w:r w:rsidR="00F75794">
        <w:rPr>
          <w:rStyle w:val="References"/>
        </w:rPr>
        <w:t>Act</w:t>
      </w:r>
      <w:r w:rsidR="002F6BFD" w:rsidRPr="002F6BFD">
        <w:rPr>
          <w:rStyle w:val="References"/>
        </w:rPr>
        <w:t xml:space="preserve">] </w:t>
      </w:r>
    </w:p>
    <w:p w14:paraId="00945B79" w14:textId="2AD46792" w:rsidR="00366C8D" w:rsidRDefault="007B31F6" w:rsidP="00366C8D">
      <w:pPr>
        <w:pStyle w:val="Normalparatextwithnumbers"/>
      </w:pPr>
      <w:r>
        <w:t>However, i</w:t>
      </w:r>
      <w:r w:rsidR="00366C8D">
        <w:t xml:space="preserve">f an entity’s 2022-23 income year begins before 1 July 2022 (i.e. it is an ‘early balancer’), the entity must claim the bonus deduction for </w:t>
      </w:r>
      <w:r w:rsidR="00487DCD">
        <w:t>2021-22</w:t>
      </w:r>
      <w:r w:rsidR="009475E9">
        <w:t xml:space="preserve"> (if applicable)</w:t>
      </w:r>
      <w:r w:rsidR="00A40C91">
        <w:t>,</w:t>
      </w:r>
      <w:r w:rsidR="00487DCD">
        <w:t xml:space="preserve"> 2022-23</w:t>
      </w:r>
      <w:r w:rsidR="00A40C91">
        <w:t xml:space="preserve"> and</w:t>
      </w:r>
      <w:r w:rsidR="00B62C96">
        <w:t xml:space="preserve"> 2023-24</w:t>
      </w:r>
      <w:r w:rsidR="00487DCD">
        <w:t xml:space="preserve"> in </w:t>
      </w:r>
      <w:r w:rsidR="00366C8D">
        <w:t xml:space="preserve">its 2023-24 </w:t>
      </w:r>
      <w:r w:rsidR="00487DCD">
        <w:t>return</w:t>
      </w:r>
      <w:r w:rsidR="00366C8D">
        <w:t>.</w:t>
      </w:r>
      <w:r w:rsidR="002F6BFD">
        <w:br/>
      </w:r>
      <w:r w:rsidR="002F6BFD" w:rsidRPr="002F6BFD">
        <w:rPr>
          <w:rStyle w:val="References"/>
        </w:rPr>
        <w:t xml:space="preserve">[Schedule xx, </w:t>
      </w:r>
      <w:r w:rsidR="00500BE2">
        <w:rPr>
          <w:rStyle w:val="References"/>
        </w:rPr>
        <w:t>item 1</w:t>
      </w:r>
      <w:r w:rsidR="002C6DBE">
        <w:rPr>
          <w:rStyle w:val="References"/>
        </w:rPr>
        <w:t>, subsection 328-455(2)</w:t>
      </w:r>
      <w:r w:rsidR="003117BE">
        <w:rPr>
          <w:rStyle w:val="References"/>
        </w:rPr>
        <w:t xml:space="preserve"> and subparagraphs</w:t>
      </w:r>
      <w:r w:rsidR="002C6DBE">
        <w:rPr>
          <w:rStyle w:val="References"/>
        </w:rPr>
        <w:t xml:space="preserve"> 328-460(1)</w:t>
      </w:r>
      <w:r w:rsidR="003117BE">
        <w:rPr>
          <w:rStyle w:val="References"/>
        </w:rPr>
        <w:t>(b)(ii) and (2)(b)(ii)</w:t>
      </w:r>
      <w:r w:rsidR="002C6DBE">
        <w:rPr>
          <w:rStyle w:val="References"/>
        </w:rPr>
        <w:t xml:space="preserve"> </w:t>
      </w:r>
      <w:r w:rsidR="00F75794">
        <w:rPr>
          <w:rStyle w:val="References"/>
        </w:rPr>
        <w:t>of the IT(TP)</w:t>
      </w:r>
      <w:r w:rsidR="002C6DBE">
        <w:rPr>
          <w:rStyle w:val="References"/>
        </w:rPr>
        <w:t> </w:t>
      </w:r>
      <w:r w:rsidR="00F75794">
        <w:rPr>
          <w:rStyle w:val="References"/>
        </w:rPr>
        <w:t>Act</w:t>
      </w:r>
      <w:r w:rsidR="002F6BFD" w:rsidRPr="002F6BFD">
        <w:rPr>
          <w:rStyle w:val="References"/>
        </w:rPr>
        <w:t xml:space="preserve">] </w:t>
      </w:r>
    </w:p>
    <w:p w14:paraId="319B4858" w14:textId="0AAE4945" w:rsidR="00366C8D" w:rsidRDefault="00366C8D" w:rsidP="00366C8D">
      <w:pPr>
        <w:pStyle w:val="Normalparatextwithnumbers"/>
      </w:pPr>
      <w:r>
        <w:lastRenderedPageBreak/>
        <w:t xml:space="preserve">This timing applies only to the bonus deduction amount. Entities must </w:t>
      </w:r>
      <w:r w:rsidR="002F6BFD">
        <w:t xml:space="preserve">deduct </w:t>
      </w:r>
      <w:r w:rsidR="00487DCD">
        <w:t>any other amounts according to the relevant provisions of the tax</w:t>
      </w:r>
      <w:r w:rsidR="00A40C91">
        <w:t>ation</w:t>
      </w:r>
      <w:r w:rsidR="00487DCD">
        <w:t xml:space="preserve"> law.</w:t>
      </w:r>
    </w:p>
    <w:p w14:paraId="08DE83FA" w14:textId="4C9C986D" w:rsidR="00E3743F" w:rsidRDefault="000B72B7" w:rsidP="00E3743F">
      <w:pPr>
        <w:pStyle w:val="ExampleHeading"/>
      </w:pPr>
      <w:r w:rsidRPr="000B72B7">
        <w:t>Claiming the bonus deduction for 2021-22 and 2022-23 in an entity’s 2022-23 income tax return</w:t>
      </w:r>
      <w:r w:rsidR="00765350">
        <w:t xml:space="preserve"> (normal balancer)</w:t>
      </w:r>
    </w:p>
    <w:p w14:paraId="7B693B57" w14:textId="5FA7DBA3" w:rsidR="000A6FD4" w:rsidRDefault="00992E7D" w:rsidP="000A6FD4">
      <w:pPr>
        <w:pStyle w:val="Exampletext"/>
      </w:pPr>
      <w:r>
        <w:t>C</w:t>
      </w:r>
      <w:r w:rsidR="00913EB8">
        <w:t xml:space="preserve"> </w:t>
      </w:r>
      <w:r w:rsidR="000A6FD4">
        <w:t>Co Pty Ltd (</w:t>
      </w:r>
      <w:r>
        <w:t>C</w:t>
      </w:r>
      <w:r w:rsidR="000A6FD4">
        <w:t xml:space="preserve"> Co) is a small business entity</w:t>
      </w:r>
      <w:r w:rsidR="00765350">
        <w:t xml:space="preserve"> with a normal accounting period (1 July to 30 June)</w:t>
      </w:r>
      <w:r w:rsidR="000A6FD4">
        <w:t xml:space="preserve">. On 23 April 2022, </w:t>
      </w:r>
      <w:r>
        <w:t>C</w:t>
      </w:r>
      <w:r w:rsidR="000A6FD4">
        <w:t xml:space="preserve"> Co set up an annual $2,000 subscription (GST-exclusive) to a cloud service to store client and sales data. In its 2021-22 income tax return, </w:t>
      </w:r>
      <w:r>
        <w:t>C</w:t>
      </w:r>
      <w:r w:rsidR="000A6FD4">
        <w:t xml:space="preserve"> Co can claim a deduction for $2,000 under the general deduction provision</w:t>
      </w:r>
      <w:r w:rsidR="00A40C91">
        <w:t>s</w:t>
      </w:r>
      <w:r w:rsidR="000A6FD4">
        <w:t xml:space="preserve"> as the cloud subscription is a business operating expense. It can also claim a bonus deduction of $400 (20</w:t>
      </w:r>
      <w:r w:rsidR="00AE5743">
        <w:t xml:space="preserve"> per cent of </w:t>
      </w:r>
      <w:r w:rsidR="000A6FD4">
        <w:t>$2,000) in its 2022-23 income tax return.</w:t>
      </w:r>
    </w:p>
    <w:p w14:paraId="0F166E52" w14:textId="357C7079" w:rsidR="000A6FD4" w:rsidRDefault="00992E7D" w:rsidP="000A6FD4">
      <w:pPr>
        <w:pStyle w:val="Exampletext"/>
      </w:pPr>
      <w:r>
        <w:t>C</w:t>
      </w:r>
      <w:r w:rsidR="000A6FD4">
        <w:t xml:space="preserve"> Co renews the subscription on 23 April 2023 at the discounted price of $1,900. Therefore, in its 2022-23 income tax return </w:t>
      </w:r>
      <w:r>
        <w:t>C</w:t>
      </w:r>
      <w:r w:rsidR="000A6FD4">
        <w:t xml:space="preserve"> Co can claim a deduction for $1,900 under the general deduction provision</w:t>
      </w:r>
      <w:r w:rsidR="00A40C91">
        <w:t>s</w:t>
      </w:r>
      <w:r w:rsidR="000A6FD4">
        <w:t>, and another bonus deduction of $380 (2</w:t>
      </w:r>
      <w:r w:rsidR="00AE5743">
        <w:t xml:space="preserve">0 per cent of </w:t>
      </w:r>
      <w:r w:rsidR="000A6FD4">
        <w:t>$1,900).</w:t>
      </w:r>
    </w:p>
    <w:p w14:paraId="05019E08" w14:textId="39B25F6F" w:rsidR="00E3743F" w:rsidRPr="00875B0E" w:rsidRDefault="000A6FD4" w:rsidP="00912262">
      <w:pPr>
        <w:pStyle w:val="Exampletext"/>
      </w:pPr>
      <w:r>
        <w:t xml:space="preserve">In summary, </w:t>
      </w:r>
      <w:r w:rsidR="00992E7D">
        <w:t>C</w:t>
      </w:r>
      <w:r>
        <w:t xml:space="preserve"> Co can claim a deduction for $2,000 in its 2021-22 income tax return and $2,680 in its 2022-23 income tax return</w:t>
      </w:r>
      <w:r w:rsidR="00A40C91">
        <w:t>,</w:t>
      </w:r>
      <w:r>
        <w:t xml:space="preserve"> comprising a general deduction of $1,900 and two bonus deductions of $400 </w:t>
      </w:r>
      <w:r w:rsidR="00A40C91">
        <w:t>(</w:t>
      </w:r>
      <w:r>
        <w:t>relating to eligible expenditure in 2021-22</w:t>
      </w:r>
      <w:r w:rsidR="00A40C91">
        <w:t>)</w:t>
      </w:r>
      <w:r>
        <w:t xml:space="preserve"> and $380 </w:t>
      </w:r>
      <w:r w:rsidR="00A40C91">
        <w:t>(</w:t>
      </w:r>
      <w:r>
        <w:t>relating to eligible expenditure in 2022-23).</w:t>
      </w:r>
    </w:p>
    <w:p w14:paraId="13CADDB4" w14:textId="6BD5F2DC" w:rsidR="00C332EB" w:rsidRDefault="000B72B7" w:rsidP="00E3743F">
      <w:pPr>
        <w:pStyle w:val="ExampleHeading"/>
      </w:pPr>
      <w:r w:rsidRPr="000B72B7">
        <w:t>Claiming the bonus deduction for 2022-23 and 2023-24 in an entity’s 2023-24 income tax return (early balancer)</w:t>
      </w:r>
      <w:r w:rsidRPr="000B72B7" w:rsidDel="00E3743F">
        <w:t xml:space="preserve"> </w:t>
      </w:r>
      <w:r w:rsidR="00487DCD">
        <w:t xml:space="preserve"> </w:t>
      </w:r>
    </w:p>
    <w:p w14:paraId="22E18247" w14:textId="12DCEE17" w:rsidR="000A6FD4" w:rsidRDefault="00992E7D" w:rsidP="000A6FD4">
      <w:pPr>
        <w:pStyle w:val="Exampletext"/>
      </w:pPr>
      <w:r>
        <w:t>D</w:t>
      </w:r>
      <w:r w:rsidR="00AE5743">
        <w:t xml:space="preserve"> </w:t>
      </w:r>
      <w:r w:rsidR="000A6FD4">
        <w:t>Co Pty Ltd (</w:t>
      </w:r>
      <w:r>
        <w:t>D</w:t>
      </w:r>
      <w:r w:rsidR="000A6FD4">
        <w:t xml:space="preserve"> Co) is a small business entity and has a substituted accounting period of 1 January to 31 December. From April 2022, </w:t>
      </w:r>
      <w:r>
        <w:t>D</w:t>
      </w:r>
      <w:r w:rsidR="000A6FD4">
        <w:t xml:space="preserve"> Co pays monthly software subscription fees of $5,000 (GST</w:t>
      </w:r>
      <w:r w:rsidR="006277EB">
        <w:noBreakHyphen/>
      </w:r>
      <w:r w:rsidR="000A6FD4">
        <w:t>exclusive). These fees are incurred on the first day of each month.</w:t>
      </w:r>
    </w:p>
    <w:p w14:paraId="49733F7E" w14:textId="1B06C3BD" w:rsidR="000A6FD4" w:rsidRDefault="00992E7D" w:rsidP="000A6FD4">
      <w:pPr>
        <w:pStyle w:val="Exampletext"/>
      </w:pPr>
      <w:r>
        <w:t>D</w:t>
      </w:r>
      <w:r w:rsidR="000A6FD4">
        <w:t xml:space="preserve"> Co’s software subscription fees for its 2022-23 income year (the period 1 January 2022 to 31 December 2022) are $45,000 ($5,000 </w:t>
      </w:r>
      <w:r w:rsidR="00880163">
        <w:t>for</w:t>
      </w:r>
      <w:r w:rsidR="000A6FD4">
        <w:t xml:space="preserve"> 9 months). This amount is a business operating expense and deductible in </w:t>
      </w:r>
      <w:r>
        <w:t>D</w:t>
      </w:r>
      <w:r w:rsidR="000A6FD4">
        <w:t xml:space="preserve"> Co’s 2022-23 income tax return. The</w:t>
      </w:r>
      <w:r w:rsidR="00880163">
        <w:t>se</w:t>
      </w:r>
      <w:r w:rsidR="000A6FD4">
        <w:t xml:space="preserve"> fees will also be eligible expenditure for the purposes of the Technology Investment Boost. However, because of the delayed claim rule</w:t>
      </w:r>
      <w:r w:rsidR="00880163">
        <w:t>,</w:t>
      </w:r>
      <w:r w:rsidR="000A6FD4">
        <w:t xml:space="preserve"> the bonus deduction of $9,000 (20</w:t>
      </w:r>
      <w:r w:rsidR="00FD3779">
        <w:t xml:space="preserve"> per cent of</w:t>
      </w:r>
      <w:r w:rsidR="000A6FD4">
        <w:t xml:space="preserve"> $45,000) must be claimed in </w:t>
      </w:r>
      <w:r>
        <w:t>D</w:t>
      </w:r>
      <w:r w:rsidR="000A6FD4">
        <w:t xml:space="preserve"> Co’s 2023-24 income tax return.</w:t>
      </w:r>
    </w:p>
    <w:p w14:paraId="6557B23E" w14:textId="17A396C1" w:rsidR="000A6FD4" w:rsidRDefault="00992E7D" w:rsidP="000A6FD4">
      <w:pPr>
        <w:pStyle w:val="Exampletext"/>
      </w:pPr>
      <w:r>
        <w:t>D</w:t>
      </w:r>
      <w:r w:rsidR="000A6FD4">
        <w:t xml:space="preserve"> Co will also be able to claim 12 months’ worth of the software subscription fees under the general deduction provision in its 2023</w:t>
      </w:r>
      <w:r w:rsidR="003A4252">
        <w:noBreakHyphen/>
      </w:r>
      <w:r w:rsidR="000A6FD4">
        <w:t xml:space="preserve">24 income tax return ($60,000). However, only $30,000 will be eligible expenditure for the purposes of the Technology Investment Boost ($5,000 </w:t>
      </w:r>
      <w:r w:rsidR="00967A81">
        <w:t>for</w:t>
      </w:r>
      <w:r w:rsidR="000A6FD4">
        <w:t xml:space="preserve"> 6 months from January to June 2023). Accordingly, </w:t>
      </w:r>
      <w:r>
        <w:t>D</w:t>
      </w:r>
      <w:r w:rsidR="000A6FD4">
        <w:t xml:space="preserve"> Co can claim a bonus deduction of $6,000 (20</w:t>
      </w:r>
      <w:r w:rsidR="00AE5743">
        <w:t> per cent</w:t>
      </w:r>
      <w:r w:rsidR="000A6FD4">
        <w:t xml:space="preserve"> of $30,000) for 2023-24.</w:t>
      </w:r>
    </w:p>
    <w:p w14:paraId="26A1BF8B" w14:textId="75BE98B9" w:rsidR="00E3743F" w:rsidRPr="000B72B7" w:rsidRDefault="000A6FD4" w:rsidP="00912262">
      <w:pPr>
        <w:pStyle w:val="Exampletext"/>
      </w:pPr>
      <w:r>
        <w:lastRenderedPageBreak/>
        <w:t xml:space="preserve">In total, </w:t>
      </w:r>
      <w:r w:rsidR="00992E7D">
        <w:t>D</w:t>
      </w:r>
      <w:r>
        <w:t xml:space="preserve"> Co can claim $15,000 in bonus deductions in its 2023-24 income tax return.</w:t>
      </w:r>
    </w:p>
    <w:p w14:paraId="4297D45F" w14:textId="77777777" w:rsidR="00873094" w:rsidRPr="00020288" w:rsidRDefault="00873094" w:rsidP="00AF50CE">
      <w:pPr>
        <w:pStyle w:val="Heading2"/>
      </w:pPr>
      <w:bookmarkStart w:id="48" w:name="_Toc111127952"/>
      <w:bookmarkStart w:id="49" w:name="_Toc78193246"/>
      <w:bookmarkStart w:id="50" w:name="_Toc78193403"/>
      <w:bookmarkStart w:id="51" w:name="_Toc78548476"/>
      <w:bookmarkStart w:id="52" w:name="_Toc78549747"/>
      <w:bookmarkStart w:id="53" w:name="_Toc78549791"/>
      <w:r w:rsidRPr="00020288">
        <w:t xml:space="preserve">Commencement, </w:t>
      </w:r>
      <w:r w:rsidRPr="00AF50CE">
        <w:t>application</w:t>
      </w:r>
      <w:r w:rsidRPr="00020288">
        <w:t>, and transitional provisions</w:t>
      </w:r>
      <w:bookmarkEnd w:id="48"/>
    </w:p>
    <w:p w14:paraId="5F08737F" w14:textId="6AF129DE" w:rsidR="006C47ED" w:rsidRDefault="006C47ED" w:rsidP="006C47ED">
      <w:pPr>
        <w:pStyle w:val="Normalparatextwithnumbers"/>
        <w:numPr>
          <w:ilvl w:val="1"/>
          <w:numId w:val="3"/>
        </w:numPr>
      </w:pPr>
      <w:r>
        <w:t>The amendments commence on the first 1 January, 1 April, 1 July or 1 October to occur after the day the Act receives Royal Assent.</w:t>
      </w:r>
      <w:r w:rsidR="00371BCE">
        <w:br/>
      </w:r>
      <w:r w:rsidR="00371BCE" w:rsidRPr="000A25B0">
        <w:rPr>
          <w:rStyle w:val="References"/>
        </w:rPr>
        <w:t>[Schedule xx, item</w:t>
      </w:r>
      <w:r w:rsidR="00371BCE">
        <w:rPr>
          <w:rStyle w:val="References"/>
        </w:rPr>
        <w:t xml:space="preserve"> 1 of commencement table</w:t>
      </w:r>
      <w:r w:rsidR="00371BCE" w:rsidRPr="000A25B0">
        <w:rPr>
          <w:rStyle w:val="References"/>
        </w:rPr>
        <w:t xml:space="preserve">] </w:t>
      </w:r>
    </w:p>
    <w:p w14:paraId="78E569C9" w14:textId="0B81DF79" w:rsidR="004C158F" w:rsidRDefault="004C158F" w:rsidP="006C47ED">
      <w:pPr>
        <w:pStyle w:val="Normalparatextwithnumbers"/>
        <w:numPr>
          <w:ilvl w:val="1"/>
          <w:numId w:val="3"/>
        </w:numPr>
      </w:pPr>
      <w:r>
        <w:t>The amendments apply to eligible expenditure incurred between 7:30pm (by legal time in the Australian Capital Territory) on 29 March 2022 and 30 June 2023.</w:t>
      </w:r>
      <w:r w:rsidR="00371BCE">
        <w:br/>
      </w:r>
      <w:r w:rsidR="00371BCE" w:rsidRPr="000A25B0">
        <w:rPr>
          <w:rStyle w:val="References"/>
        </w:rPr>
        <w:t>[Schedule xx, item</w:t>
      </w:r>
      <w:r w:rsidR="00371BCE">
        <w:rPr>
          <w:rStyle w:val="References"/>
        </w:rPr>
        <w:t xml:space="preserve"> 1</w:t>
      </w:r>
      <w:r w:rsidR="00371BCE" w:rsidRPr="000A25B0">
        <w:rPr>
          <w:rStyle w:val="References"/>
        </w:rPr>
        <w:t xml:space="preserve">, </w:t>
      </w:r>
      <w:r w:rsidR="00FE0360">
        <w:rPr>
          <w:rStyle w:val="References"/>
        </w:rPr>
        <w:t>paragraph</w:t>
      </w:r>
      <w:r w:rsidR="00371BCE">
        <w:rPr>
          <w:rStyle w:val="References"/>
        </w:rPr>
        <w:t>s 328-460(1)(b) and (2)(b) of the IT(TP) Act</w:t>
      </w:r>
      <w:r w:rsidR="00371BCE" w:rsidRPr="000A25B0">
        <w:rPr>
          <w:rStyle w:val="References"/>
        </w:rPr>
        <w:t xml:space="preserve">] </w:t>
      </w:r>
    </w:p>
    <w:p w14:paraId="53412230" w14:textId="5C0A9382" w:rsidR="004C158F" w:rsidRDefault="004C158F" w:rsidP="006C47ED">
      <w:pPr>
        <w:pStyle w:val="Normalparatextwithnumbers"/>
        <w:numPr>
          <w:ilvl w:val="1"/>
          <w:numId w:val="3"/>
        </w:numPr>
      </w:pPr>
      <w:r>
        <w:t>The amendments apply retrospectively from 7.30pm (by legal time in the Australian Capital Territory) on 29 March 2022. This ensures that entities qualify for the bonus deduction retrospectively from the announcement o</w:t>
      </w:r>
      <w:r w:rsidR="00AE4201">
        <w:t>f the measure</w:t>
      </w:r>
      <w:r>
        <w:t>. The changes are wholly beneficial to entities incurring expenditure affected by these amendments.</w:t>
      </w:r>
    </w:p>
    <w:p w14:paraId="0B1B524C" w14:textId="77777777" w:rsidR="006479AC" w:rsidRPr="006479AC" w:rsidRDefault="006479AC" w:rsidP="006479AC">
      <w:pPr>
        <w:pStyle w:val="Normalparatextnonumbers"/>
      </w:pPr>
    </w:p>
    <w:p w14:paraId="3230E356" w14:textId="341C3586" w:rsidR="00873094" w:rsidRDefault="00873094" w:rsidP="006479AC">
      <w:pPr>
        <w:pStyle w:val="Normalparatextnonumbers"/>
      </w:pPr>
    </w:p>
    <w:p w14:paraId="44AED9AA" w14:textId="77777777" w:rsidR="00B77D03" w:rsidRDefault="00B77D03" w:rsidP="001A480C">
      <w:pPr>
        <w:pStyle w:val="Normalparatextnonumbers"/>
      </w:pPr>
      <w:bookmarkStart w:id="54" w:name="RISGoesHere"/>
      <w:bookmarkEnd w:id="5"/>
      <w:bookmarkEnd w:id="42"/>
      <w:bookmarkEnd w:id="49"/>
      <w:bookmarkEnd w:id="50"/>
      <w:bookmarkEnd w:id="51"/>
      <w:bookmarkEnd w:id="52"/>
      <w:bookmarkEnd w:id="53"/>
      <w:bookmarkEnd w:id="54"/>
    </w:p>
    <w:sectPr w:rsidR="00B77D03" w:rsidSect="00000BFC">
      <w:headerReference w:type="first" r:id="rId23"/>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0ECE9" w14:textId="77777777" w:rsidR="00CB097B" w:rsidRDefault="00CB097B">
      <w:pPr>
        <w:spacing w:before="0" w:after="0"/>
      </w:pPr>
      <w:r>
        <w:separator/>
      </w:r>
    </w:p>
  </w:endnote>
  <w:endnote w:type="continuationSeparator" w:id="0">
    <w:p w14:paraId="10EC3663" w14:textId="77777777" w:rsidR="00CB097B" w:rsidRDefault="00CB097B">
      <w:pPr>
        <w:spacing w:before="0" w:after="0"/>
      </w:pPr>
      <w:r>
        <w:continuationSeparator/>
      </w:r>
    </w:p>
  </w:endnote>
  <w:endnote w:type="continuationNotice" w:id="1">
    <w:p w14:paraId="02B4A11F" w14:textId="77777777" w:rsidR="00CB097B" w:rsidRDefault="00CB097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itica">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F1FC9" w14:textId="77777777" w:rsidR="007A2DBD" w:rsidRDefault="007A2DBD" w:rsidP="002425D9">
    <w:pPr>
      <w:pStyle w:val="Footer"/>
      <w:ind w:right="360" w:firstLine="36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04B12" w14:textId="77777777" w:rsidR="007A2DBD" w:rsidRPr="004D61CF" w:rsidRDefault="007A2DBD" w:rsidP="002425D9">
    <w:pPr>
      <w:pStyle w:val="right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C4ACB" w14:textId="77777777" w:rsidR="007A2DBD" w:rsidRPr="00091474" w:rsidRDefault="007A2DBD" w:rsidP="001A480C">
    <w:pPr>
      <w:pStyle w:val="right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41008" w14:textId="77777777" w:rsidR="00CB097B" w:rsidRDefault="00CB097B">
      <w:pPr>
        <w:spacing w:before="0" w:after="0"/>
      </w:pPr>
      <w:r>
        <w:separator/>
      </w:r>
    </w:p>
  </w:footnote>
  <w:footnote w:type="continuationSeparator" w:id="0">
    <w:p w14:paraId="3131137D" w14:textId="77777777" w:rsidR="00CB097B" w:rsidRDefault="00CB097B">
      <w:pPr>
        <w:spacing w:before="0" w:after="0"/>
      </w:pPr>
      <w:r>
        <w:continuationSeparator/>
      </w:r>
    </w:p>
  </w:footnote>
  <w:footnote w:type="continuationNotice" w:id="1">
    <w:p w14:paraId="2D75F256" w14:textId="77777777" w:rsidR="00CB097B" w:rsidRDefault="00CB097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1182601"/>
      <w:docPartObj>
        <w:docPartGallery w:val="Watermarks"/>
      </w:docPartObj>
    </w:sdtPr>
    <w:sdtEndPr/>
    <w:sdtContent>
      <w:p w14:paraId="7D2D4726" w14:textId="77777777" w:rsidR="007A2DBD" w:rsidRDefault="00CB097B">
        <w:pPr>
          <w:pStyle w:val="Header"/>
        </w:pPr>
        <w:r>
          <w:rPr>
            <w:noProof/>
          </w:rPr>
          <w:pict w14:anchorId="6AB98A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C06A" w14:textId="77777777" w:rsidR="007A2DBD" w:rsidRPr="009106AC" w:rsidRDefault="007A2DBD" w:rsidP="002425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3DCD0" w14:textId="00296025" w:rsidR="007A2DBD" w:rsidRPr="0070093E" w:rsidRDefault="007A2DBD" w:rsidP="002425D9">
    <w:pPr>
      <w:pStyle w:val="rightheader"/>
      <w:ind w:firstLine="720"/>
      <w:rPr>
        <w:lang w:val="en-US"/>
      </w:rPr>
    </w:pPr>
    <w:r>
      <w:rPr>
        <w:lang w:val="en-US"/>
      </w:rPr>
      <w:t>(</w:t>
    </w:r>
    <w:r>
      <w:rPr>
        <w:lang w:val="en-US"/>
      </w:rPr>
      <w:fldChar w:fldCharType="begin"/>
    </w:r>
    <w:r>
      <w:rPr>
        <w:lang w:val="en-US"/>
      </w:rPr>
      <w:instrText xml:space="preserve"> STYLEREF  ChapterNameOnly  \* MERGEFORMAT </w:instrText>
    </w:r>
    <w:r>
      <w:rPr>
        <w:lang w:val="en-US"/>
      </w:rPr>
      <w:fldChar w:fldCharType="separate"/>
    </w:r>
    <w:r w:rsidR="00511BC0">
      <w:rPr>
        <w:b/>
        <w:bCs/>
        <w:noProof/>
        <w:lang w:val="en-US"/>
      </w:rPr>
      <w:t>Error! Use the Home tab to apply ChapterNameOnly to the text that you want to appear here.</w:t>
    </w:r>
    <w:r>
      <w:rPr>
        <w:lang w:val="en-U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ACF2F" w14:textId="77777777" w:rsidR="007A2DBD" w:rsidRDefault="007A2D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F8BFF" w14:textId="02832C0B" w:rsidR="007A2DBD" w:rsidRPr="001A480C" w:rsidRDefault="00CB097B" w:rsidP="001A480C">
    <w:pPr>
      <w:pStyle w:val="leftheader"/>
    </w:pPr>
    <w:r>
      <w:fldChar w:fldCharType="begin"/>
    </w:r>
    <w:r>
      <w:instrText xml:space="preserve"> STYLEREF "Chapter heading" \* MERGEFORMAT </w:instrText>
    </w:r>
    <w:r>
      <w:fldChar w:fldCharType="separate"/>
    </w:r>
    <w:r w:rsidR="003722FE">
      <w:rPr>
        <w:noProof/>
      </w:rPr>
      <w:t>Technology Investment Boost</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73479" w14:textId="70979EC7" w:rsidR="007A2DBD" w:rsidRPr="001A480C" w:rsidRDefault="00CB097B" w:rsidP="001A480C">
    <w:pPr>
      <w:pStyle w:val="rightheader"/>
    </w:pPr>
    <w:r>
      <w:fldChar w:fldCharType="begin"/>
    </w:r>
    <w:r>
      <w:instrText xml:space="preserve"> STYLEREF "Bill Name" \* MERGEFORMAT </w:instrText>
    </w:r>
    <w:r>
      <w:fldChar w:fldCharType="separate"/>
    </w:r>
    <w:r w:rsidR="003722FE">
      <w:rPr>
        <w:noProof/>
      </w:rPr>
      <w:t>Treasury Laws Amendment (Measures for consultation) Bill 2022: Technology investment boost</w: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41BD" w14:textId="77777777" w:rsidR="007A2DBD" w:rsidRDefault="007A2DB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229C9" w14:textId="77777777" w:rsidR="001A480C" w:rsidRDefault="001A48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543A0"/>
    <w:multiLevelType w:val="multilevel"/>
    <w:tmpl w:val="4F888F1E"/>
    <w:lvl w:ilvl="0">
      <w:start w:val="1"/>
      <w:numFmt w:val="decimal"/>
      <w:pStyle w:val="AttachmentHeading"/>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0676E74"/>
    <w:multiLevelType w:val="hybridMultilevel"/>
    <w:tmpl w:val="5A7CC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A91E88"/>
    <w:multiLevelType w:val="hybridMultilevel"/>
    <w:tmpl w:val="1DE8CBA4"/>
    <w:lvl w:ilvl="0" w:tplc="D84EA11C">
      <w:start w:val="1"/>
      <w:numFmt w:val="bullet"/>
      <w:pStyle w:val="RISbullet2"/>
      <w:lvlText w:val="‒"/>
      <w:lvlJc w:val="left"/>
      <w:pPr>
        <w:ind w:left="1571" w:hanging="360"/>
      </w:pPr>
      <w:rPr>
        <w:rFonts w:ascii="Times New Roman" w:hAnsi="Times New Roman" w:cs="Times New Roman" w:hint="default"/>
        <w:b w:val="0"/>
        <w:i w:val="0"/>
        <w:sz w:val="22"/>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 w15:restartNumberingAfterBreak="0">
    <w:nsid w:val="29170CA0"/>
    <w:multiLevelType w:val="multilevel"/>
    <w:tmpl w:val="5A9C7CB0"/>
    <w:styleLink w:val="Chapternumbering"/>
    <w:lvl w:ilvl="0">
      <w:start w:val="1"/>
      <w:numFmt w:val="decimal"/>
      <w:pStyle w:val="Chapterheading"/>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ormalparatextwithnumbers"/>
      <w:lvlText w:val="%1.%2"/>
      <w:lvlJc w:val="left"/>
      <w:pPr>
        <w:tabs>
          <w:tab w:val="num" w:pos="709"/>
        </w:tabs>
        <w:ind w:left="709" w:hanging="709"/>
      </w:pPr>
      <w:rPr>
        <w:rFonts w:hint="default"/>
      </w:rPr>
    </w:lvl>
    <w:lvl w:ilvl="2">
      <w:start w:val="1"/>
      <w:numFmt w:val="decimal"/>
      <w:lvlRestart w:val="1"/>
      <w:pStyle w:val="DiagramHeading"/>
      <w:suff w:val="space"/>
      <w:lvlText w:val="Diagram %1.%3"/>
      <w:lvlJc w:val="left"/>
      <w:pPr>
        <w:ind w:left="1701" w:hanging="1701"/>
      </w:pPr>
      <w:rPr>
        <w:rFonts w:hint="default"/>
      </w:rPr>
    </w:lvl>
    <w:lvl w:ilvl="3">
      <w:start w:val="1"/>
      <w:numFmt w:val="decimal"/>
      <w:lvlRestart w:val="1"/>
      <w:pStyle w:val="ExampleHeading"/>
      <w:suff w:val="space"/>
      <w:lvlText w:val="Example %1.%4"/>
      <w:lvlJc w:val="left"/>
      <w:pPr>
        <w:ind w:left="1701" w:hanging="1701"/>
      </w:pPr>
      <w:rPr>
        <w:rFonts w:hint="default"/>
      </w:rPr>
    </w:lvl>
    <w:lvl w:ilvl="4">
      <w:start w:val="1"/>
      <w:numFmt w:val="decimal"/>
      <w:lvlRestart w:val="1"/>
      <w:pStyle w:val="TableHeading"/>
      <w:suff w:val="space"/>
      <w:lvlText w:val="Table %1.%5"/>
      <w:lvlJc w:val="left"/>
      <w:pPr>
        <w:ind w:left="1701" w:hanging="1701"/>
      </w:pPr>
      <w:rPr>
        <w:rFonts w:hint="default"/>
      </w:rPr>
    </w:lvl>
    <w:lvl w:ilvl="5">
      <w:start w:val="1"/>
      <w:numFmt w:val="none"/>
      <w:lvlRestart w:val="0"/>
      <w:suff w:val="nothing"/>
      <w:lvlText w:val=""/>
      <w:lvlJc w:val="left"/>
      <w:pPr>
        <w:ind w:left="0" w:firstLine="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D2B7E2A"/>
    <w:multiLevelType w:val="hybridMultilevel"/>
    <w:tmpl w:val="BBD8CBD2"/>
    <w:lvl w:ilvl="0" w:tplc="F154CDD8">
      <w:start w:val="1"/>
      <w:numFmt w:val="bullet"/>
      <w:pStyle w:val="Dotpoin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3832D47"/>
    <w:multiLevelType w:val="hybridMultilevel"/>
    <w:tmpl w:val="6F7A201E"/>
    <w:lvl w:ilvl="0" w:tplc="6440602C">
      <w:start w:val="1"/>
      <w:numFmt w:val="bullet"/>
      <w:pStyle w:val="Exampledotpoint2"/>
      <w:lvlText w:val="‒"/>
      <w:lvlJc w:val="left"/>
      <w:pPr>
        <w:ind w:left="1928" w:hanging="360"/>
      </w:pPr>
      <w:rPr>
        <w:rFonts w:ascii="Times New Roman" w:hAnsi="Times New Roman" w:cs="Times New Roman" w:hint="default"/>
        <w:b w:val="0"/>
        <w:i w:val="0"/>
        <w:sz w:val="22"/>
      </w:rPr>
    </w:lvl>
    <w:lvl w:ilvl="1" w:tplc="0C090003" w:tentative="1">
      <w:start w:val="1"/>
      <w:numFmt w:val="bullet"/>
      <w:lvlText w:val="o"/>
      <w:lvlJc w:val="left"/>
      <w:pPr>
        <w:ind w:left="2648" w:hanging="360"/>
      </w:pPr>
      <w:rPr>
        <w:rFonts w:ascii="Courier New" w:hAnsi="Courier New" w:cs="Courier New" w:hint="default"/>
      </w:rPr>
    </w:lvl>
    <w:lvl w:ilvl="2" w:tplc="0C090005" w:tentative="1">
      <w:start w:val="1"/>
      <w:numFmt w:val="bullet"/>
      <w:lvlText w:val=""/>
      <w:lvlJc w:val="left"/>
      <w:pPr>
        <w:ind w:left="3368" w:hanging="360"/>
      </w:pPr>
      <w:rPr>
        <w:rFonts w:ascii="Wingdings" w:hAnsi="Wingdings" w:hint="default"/>
      </w:rPr>
    </w:lvl>
    <w:lvl w:ilvl="3" w:tplc="0C090001" w:tentative="1">
      <w:start w:val="1"/>
      <w:numFmt w:val="bullet"/>
      <w:lvlText w:val=""/>
      <w:lvlJc w:val="left"/>
      <w:pPr>
        <w:ind w:left="4088" w:hanging="360"/>
      </w:pPr>
      <w:rPr>
        <w:rFonts w:ascii="Symbol" w:hAnsi="Symbol" w:hint="default"/>
      </w:rPr>
    </w:lvl>
    <w:lvl w:ilvl="4" w:tplc="0C090003" w:tentative="1">
      <w:start w:val="1"/>
      <w:numFmt w:val="bullet"/>
      <w:lvlText w:val="o"/>
      <w:lvlJc w:val="left"/>
      <w:pPr>
        <w:ind w:left="4808" w:hanging="360"/>
      </w:pPr>
      <w:rPr>
        <w:rFonts w:ascii="Courier New" w:hAnsi="Courier New" w:cs="Courier New" w:hint="default"/>
      </w:rPr>
    </w:lvl>
    <w:lvl w:ilvl="5" w:tplc="0C090005" w:tentative="1">
      <w:start w:val="1"/>
      <w:numFmt w:val="bullet"/>
      <w:lvlText w:val=""/>
      <w:lvlJc w:val="left"/>
      <w:pPr>
        <w:ind w:left="5528" w:hanging="360"/>
      </w:pPr>
      <w:rPr>
        <w:rFonts w:ascii="Wingdings" w:hAnsi="Wingdings" w:hint="default"/>
      </w:rPr>
    </w:lvl>
    <w:lvl w:ilvl="6" w:tplc="0C090001" w:tentative="1">
      <w:start w:val="1"/>
      <w:numFmt w:val="bullet"/>
      <w:lvlText w:val=""/>
      <w:lvlJc w:val="left"/>
      <w:pPr>
        <w:ind w:left="6248" w:hanging="360"/>
      </w:pPr>
      <w:rPr>
        <w:rFonts w:ascii="Symbol" w:hAnsi="Symbol" w:hint="default"/>
      </w:rPr>
    </w:lvl>
    <w:lvl w:ilvl="7" w:tplc="0C090003" w:tentative="1">
      <w:start w:val="1"/>
      <w:numFmt w:val="bullet"/>
      <w:lvlText w:val="o"/>
      <w:lvlJc w:val="left"/>
      <w:pPr>
        <w:ind w:left="6968" w:hanging="360"/>
      </w:pPr>
      <w:rPr>
        <w:rFonts w:ascii="Courier New" w:hAnsi="Courier New" w:cs="Courier New" w:hint="default"/>
      </w:rPr>
    </w:lvl>
    <w:lvl w:ilvl="8" w:tplc="0C090005" w:tentative="1">
      <w:start w:val="1"/>
      <w:numFmt w:val="bullet"/>
      <w:lvlText w:val=""/>
      <w:lvlJc w:val="left"/>
      <w:pPr>
        <w:ind w:left="7688" w:hanging="360"/>
      </w:pPr>
      <w:rPr>
        <w:rFonts w:ascii="Wingdings" w:hAnsi="Wingdings" w:hint="default"/>
      </w:rPr>
    </w:lvl>
  </w:abstractNum>
  <w:abstractNum w:abstractNumId="6" w15:restartNumberingAfterBreak="0">
    <w:nsid w:val="5D393011"/>
    <w:multiLevelType w:val="hybridMultilevel"/>
    <w:tmpl w:val="11FA1D2A"/>
    <w:lvl w:ilvl="0" w:tplc="35E2AAE4">
      <w:start w:val="1"/>
      <w:numFmt w:val="bullet"/>
      <w:pStyle w:val="Exampledotpoin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DE3293"/>
    <w:multiLevelType w:val="hybridMultilevel"/>
    <w:tmpl w:val="DACEC83A"/>
    <w:lvl w:ilvl="0" w:tplc="055A8A32">
      <w:start w:val="1"/>
      <w:numFmt w:val="bullet"/>
      <w:pStyle w:val="Tabledotpoint1"/>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8" w15:restartNumberingAfterBreak="0">
    <w:nsid w:val="60490B74"/>
    <w:multiLevelType w:val="hybridMultilevel"/>
    <w:tmpl w:val="EC7866F8"/>
    <w:lvl w:ilvl="0" w:tplc="A588DE40">
      <w:start w:val="1"/>
      <w:numFmt w:val="bullet"/>
      <w:pStyle w:val="Instructionalguidancedo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E97FDF"/>
    <w:multiLevelType w:val="hybridMultilevel"/>
    <w:tmpl w:val="543E5738"/>
    <w:lvl w:ilvl="0" w:tplc="0AFCCC26">
      <w:start w:val="1"/>
      <w:numFmt w:val="decimal"/>
      <w:pStyle w:val="Instructionalguidancenumbered"/>
      <w:lvlText w:val="%1."/>
      <w:lvlJc w:val="left"/>
      <w:pPr>
        <w:ind w:left="108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D15922"/>
    <w:multiLevelType w:val="multilevel"/>
    <w:tmpl w:val="82DE186C"/>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A80645C"/>
    <w:multiLevelType w:val="multilevel"/>
    <w:tmpl w:val="51D49B14"/>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7AF255FB"/>
    <w:multiLevelType w:val="hybridMultilevel"/>
    <w:tmpl w:val="954AB974"/>
    <w:lvl w:ilvl="0" w:tplc="088E8732">
      <w:start w:val="1"/>
      <w:numFmt w:val="bullet"/>
      <w:pStyle w:val="Tabledotpoint2"/>
      <w:lvlText w:val="‒"/>
      <w:lvlJc w:val="left"/>
      <w:pPr>
        <w:ind w:left="786" w:hanging="360"/>
      </w:pPr>
      <w:rPr>
        <w:rFonts w:ascii="Times New Roman" w:hAnsi="Times New Roman" w:cs="Times New Roman" w:hint="default"/>
        <w:b w:val="0"/>
        <w:i w:val="0"/>
        <w:sz w:val="22"/>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3" w15:restartNumberingAfterBreak="0">
    <w:nsid w:val="7B891783"/>
    <w:multiLevelType w:val="hybridMultilevel"/>
    <w:tmpl w:val="0CCE9FEC"/>
    <w:lvl w:ilvl="0" w:tplc="0B52848A">
      <w:start w:val="1"/>
      <w:numFmt w:val="bullet"/>
      <w:pStyle w:val="Dotpoint2"/>
      <w:lvlText w:val="‒"/>
      <w:lvlJc w:val="left"/>
      <w:pPr>
        <w:ind w:left="720" w:hanging="360"/>
      </w:pPr>
      <w:rPr>
        <w:rFonts w:ascii="Times New Roman" w:hAnsi="Times New Roman" w:cs="Times New Roman" w:hint="default"/>
        <w:b w:val="0"/>
        <w:i w:val="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
    <w:abstractNumId w:val="3"/>
  </w:num>
  <w:num w:numId="7">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8">
    <w:abstractNumId w:val="4"/>
  </w:num>
  <w:num w:numId="9">
    <w:abstractNumId w:val="13"/>
  </w:num>
  <w:num w:numId="10">
    <w:abstractNumId w:val="6"/>
  </w:num>
  <w:num w:numId="11">
    <w:abstractNumId w:val="5"/>
  </w:num>
  <w:num w:numId="12">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3">
    <w:abstractNumId w:val="11"/>
  </w:num>
  <w:num w:numId="14">
    <w:abstractNumId w:val="8"/>
  </w:num>
  <w:num w:numId="15">
    <w:abstractNumId w:val="9"/>
  </w:num>
  <w:num w:numId="16">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7">
    <w:abstractNumId w:val="4"/>
  </w:num>
  <w:num w:numId="18">
    <w:abstractNumId w:val="2"/>
  </w:num>
  <w:num w:numId="19">
    <w:abstractNumId w:val="7"/>
  </w:num>
  <w:num w:numId="20">
    <w:abstractNumId w:val="12"/>
  </w:num>
  <w:num w:numId="21">
    <w:abstractNumId w:val="11"/>
  </w:num>
  <w:num w:numId="22">
    <w:abstractNumId w:val="1"/>
  </w:num>
  <w:num w:numId="23">
    <w:abstractNumId w:val="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evenAndOddHeader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DCE"/>
    <w:rsid w:val="00000BFC"/>
    <w:rsid w:val="00002621"/>
    <w:rsid w:val="00004ABD"/>
    <w:rsid w:val="0000694C"/>
    <w:rsid w:val="00012688"/>
    <w:rsid w:val="000141D2"/>
    <w:rsid w:val="00016CCE"/>
    <w:rsid w:val="000177AA"/>
    <w:rsid w:val="00017B8A"/>
    <w:rsid w:val="0002078D"/>
    <w:rsid w:val="00021DAA"/>
    <w:rsid w:val="0002254B"/>
    <w:rsid w:val="000360BC"/>
    <w:rsid w:val="000368C7"/>
    <w:rsid w:val="00040058"/>
    <w:rsid w:val="00041839"/>
    <w:rsid w:val="0004217D"/>
    <w:rsid w:val="000441BD"/>
    <w:rsid w:val="00047FF2"/>
    <w:rsid w:val="00054491"/>
    <w:rsid w:val="00065416"/>
    <w:rsid w:val="00067FB7"/>
    <w:rsid w:val="000727D8"/>
    <w:rsid w:val="0007380A"/>
    <w:rsid w:val="000767C1"/>
    <w:rsid w:val="000802F9"/>
    <w:rsid w:val="00083D83"/>
    <w:rsid w:val="00087F47"/>
    <w:rsid w:val="00087FE9"/>
    <w:rsid w:val="00090A2C"/>
    <w:rsid w:val="00094DF1"/>
    <w:rsid w:val="00095872"/>
    <w:rsid w:val="000A25B0"/>
    <w:rsid w:val="000A3230"/>
    <w:rsid w:val="000A36E3"/>
    <w:rsid w:val="000A6FD4"/>
    <w:rsid w:val="000B5A27"/>
    <w:rsid w:val="000B6B3E"/>
    <w:rsid w:val="000B72B7"/>
    <w:rsid w:val="000B7D6E"/>
    <w:rsid w:val="000C0512"/>
    <w:rsid w:val="000C0CF6"/>
    <w:rsid w:val="000D4CC3"/>
    <w:rsid w:val="000D6C86"/>
    <w:rsid w:val="000D74BC"/>
    <w:rsid w:val="000E00BC"/>
    <w:rsid w:val="000E4D39"/>
    <w:rsid w:val="000E521B"/>
    <w:rsid w:val="000E7CAE"/>
    <w:rsid w:val="000F2BDE"/>
    <w:rsid w:val="000F53E4"/>
    <w:rsid w:val="00101B48"/>
    <w:rsid w:val="00105E85"/>
    <w:rsid w:val="00106FDC"/>
    <w:rsid w:val="001122D8"/>
    <w:rsid w:val="00115509"/>
    <w:rsid w:val="001227A2"/>
    <w:rsid w:val="00123627"/>
    <w:rsid w:val="001255DC"/>
    <w:rsid w:val="00126524"/>
    <w:rsid w:val="00134236"/>
    <w:rsid w:val="001376D5"/>
    <w:rsid w:val="00141701"/>
    <w:rsid w:val="00141B13"/>
    <w:rsid w:val="0014448A"/>
    <w:rsid w:val="00146346"/>
    <w:rsid w:val="001506E4"/>
    <w:rsid w:val="00150795"/>
    <w:rsid w:val="00157FCF"/>
    <w:rsid w:val="00163457"/>
    <w:rsid w:val="001677B1"/>
    <w:rsid w:val="00170C78"/>
    <w:rsid w:val="001713BC"/>
    <w:rsid w:val="00171D5F"/>
    <w:rsid w:val="0017338D"/>
    <w:rsid w:val="001741A2"/>
    <w:rsid w:val="00177067"/>
    <w:rsid w:val="001822C1"/>
    <w:rsid w:val="00185E06"/>
    <w:rsid w:val="001877F5"/>
    <w:rsid w:val="00191C8C"/>
    <w:rsid w:val="00195D1C"/>
    <w:rsid w:val="001A0037"/>
    <w:rsid w:val="001A1B3C"/>
    <w:rsid w:val="001A480C"/>
    <w:rsid w:val="001A78D4"/>
    <w:rsid w:val="001B07FA"/>
    <w:rsid w:val="001B1306"/>
    <w:rsid w:val="001B66C6"/>
    <w:rsid w:val="001C3C55"/>
    <w:rsid w:val="001C5CBF"/>
    <w:rsid w:val="001C7432"/>
    <w:rsid w:val="001D5F3B"/>
    <w:rsid w:val="001D7D98"/>
    <w:rsid w:val="001E01BF"/>
    <w:rsid w:val="001E1716"/>
    <w:rsid w:val="001E3BB9"/>
    <w:rsid w:val="001F4EBD"/>
    <w:rsid w:val="001F7C4B"/>
    <w:rsid w:val="0020009C"/>
    <w:rsid w:val="00203207"/>
    <w:rsid w:val="0020753E"/>
    <w:rsid w:val="002111D2"/>
    <w:rsid w:val="0022427B"/>
    <w:rsid w:val="00230C17"/>
    <w:rsid w:val="0023409D"/>
    <w:rsid w:val="002378B3"/>
    <w:rsid w:val="002425D9"/>
    <w:rsid w:val="00242B2A"/>
    <w:rsid w:val="00245C80"/>
    <w:rsid w:val="0024784F"/>
    <w:rsid w:val="00250844"/>
    <w:rsid w:val="00250A6F"/>
    <w:rsid w:val="002538DF"/>
    <w:rsid w:val="0025453A"/>
    <w:rsid w:val="00260B8B"/>
    <w:rsid w:val="002704BC"/>
    <w:rsid w:val="00271907"/>
    <w:rsid w:val="00272796"/>
    <w:rsid w:val="00274D5C"/>
    <w:rsid w:val="00276753"/>
    <w:rsid w:val="00280FA9"/>
    <w:rsid w:val="00282067"/>
    <w:rsid w:val="002872AB"/>
    <w:rsid w:val="00287352"/>
    <w:rsid w:val="002935AC"/>
    <w:rsid w:val="002939C0"/>
    <w:rsid w:val="00297081"/>
    <w:rsid w:val="002A1972"/>
    <w:rsid w:val="002A1FDD"/>
    <w:rsid w:val="002A2137"/>
    <w:rsid w:val="002A52E5"/>
    <w:rsid w:val="002A5525"/>
    <w:rsid w:val="002A7583"/>
    <w:rsid w:val="002B0B67"/>
    <w:rsid w:val="002B13DC"/>
    <w:rsid w:val="002B1D9E"/>
    <w:rsid w:val="002B623C"/>
    <w:rsid w:val="002B6F60"/>
    <w:rsid w:val="002C06A9"/>
    <w:rsid w:val="002C6DBE"/>
    <w:rsid w:val="002C78D6"/>
    <w:rsid w:val="002D080A"/>
    <w:rsid w:val="002D2ADC"/>
    <w:rsid w:val="002D2F02"/>
    <w:rsid w:val="002F1CB0"/>
    <w:rsid w:val="002F4B60"/>
    <w:rsid w:val="002F6BE8"/>
    <w:rsid w:val="002F6BFD"/>
    <w:rsid w:val="00306A7B"/>
    <w:rsid w:val="003110C8"/>
    <w:rsid w:val="003117BE"/>
    <w:rsid w:val="00315D81"/>
    <w:rsid w:val="00320844"/>
    <w:rsid w:val="0032236E"/>
    <w:rsid w:val="00333BB4"/>
    <w:rsid w:val="00344985"/>
    <w:rsid w:val="00351274"/>
    <w:rsid w:val="00351D4D"/>
    <w:rsid w:val="003556BF"/>
    <w:rsid w:val="00363E2F"/>
    <w:rsid w:val="00366C8D"/>
    <w:rsid w:val="0036790F"/>
    <w:rsid w:val="00367913"/>
    <w:rsid w:val="00370AE4"/>
    <w:rsid w:val="00371BCE"/>
    <w:rsid w:val="003722FE"/>
    <w:rsid w:val="003776BE"/>
    <w:rsid w:val="00381294"/>
    <w:rsid w:val="00382F65"/>
    <w:rsid w:val="003872B3"/>
    <w:rsid w:val="00387402"/>
    <w:rsid w:val="0039391C"/>
    <w:rsid w:val="00394192"/>
    <w:rsid w:val="00395AA6"/>
    <w:rsid w:val="003971ED"/>
    <w:rsid w:val="00397600"/>
    <w:rsid w:val="003A0372"/>
    <w:rsid w:val="003A227C"/>
    <w:rsid w:val="003A4252"/>
    <w:rsid w:val="003B3EBC"/>
    <w:rsid w:val="003B5E54"/>
    <w:rsid w:val="003C2501"/>
    <w:rsid w:val="003C70FD"/>
    <w:rsid w:val="003F1AD7"/>
    <w:rsid w:val="003F2FEF"/>
    <w:rsid w:val="003F4AD4"/>
    <w:rsid w:val="003F5652"/>
    <w:rsid w:val="003F67BE"/>
    <w:rsid w:val="003F7D50"/>
    <w:rsid w:val="004024FC"/>
    <w:rsid w:val="00405AD6"/>
    <w:rsid w:val="00405F30"/>
    <w:rsid w:val="004101B3"/>
    <w:rsid w:val="0041182E"/>
    <w:rsid w:val="00413328"/>
    <w:rsid w:val="00414017"/>
    <w:rsid w:val="0041681D"/>
    <w:rsid w:val="00424482"/>
    <w:rsid w:val="004262E6"/>
    <w:rsid w:val="00427DCD"/>
    <w:rsid w:val="00427EDF"/>
    <w:rsid w:val="00430A32"/>
    <w:rsid w:val="004328B7"/>
    <w:rsid w:val="004355E2"/>
    <w:rsid w:val="00442574"/>
    <w:rsid w:val="00443BC8"/>
    <w:rsid w:val="004603EF"/>
    <w:rsid w:val="004619CF"/>
    <w:rsid w:val="00466644"/>
    <w:rsid w:val="004733E2"/>
    <w:rsid w:val="0047593B"/>
    <w:rsid w:val="00477C04"/>
    <w:rsid w:val="004837C4"/>
    <w:rsid w:val="00485FD0"/>
    <w:rsid w:val="00487DCD"/>
    <w:rsid w:val="00491861"/>
    <w:rsid w:val="00492729"/>
    <w:rsid w:val="00496642"/>
    <w:rsid w:val="00496C21"/>
    <w:rsid w:val="004971E2"/>
    <w:rsid w:val="004A23ED"/>
    <w:rsid w:val="004A3702"/>
    <w:rsid w:val="004A4B39"/>
    <w:rsid w:val="004A534F"/>
    <w:rsid w:val="004A689D"/>
    <w:rsid w:val="004B1C70"/>
    <w:rsid w:val="004B1F33"/>
    <w:rsid w:val="004C03C7"/>
    <w:rsid w:val="004C158F"/>
    <w:rsid w:val="004C63E3"/>
    <w:rsid w:val="004D39F0"/>
    <w:rsid w:val="004E3428"/>
    <w:rsid w:val="004E5494"/>
    <w:rsid w:val="004F23C3"/>
    <w:rsid w:val="004F33B8"/>
    <w:rsid w:val="004F722F"/>
    <w:rsid w:val="004F7C15"/>
    <w:rsid w:val="00500BE2"/>
    <w:rsid w:val="00503F70"/>
    <w:rsid w:val="00505347"/>
    <w:rsid w:val="005066F5"/>
    <w:rsid w:val="005074E1"/>
    <w:rsid w:val="00511BC0"/>
    <w:rsid w:val="00517D6E"/>
    <w:rsid w:val="00520F1B"/>
    <w:rsid w:val="00531C67"/>
    <w:rsid w:val="005356CB"/>
    <w:rsid w:val="005436FC"/>
    <w:rsid w:val="005515C0"/>
    <w:rsid w:val="00551AB1"/>
    <w:rsid w:val="00564A39"/>
    <w:rsid w:val="005652A1"/>
    <w:rsid w:val="0056675C"/>
    <w:rsid w:val="00570AB7"/>
    <w:rsid w:val="005741EF"/>
    <w:rsid w:val="005824C7"/>
    <w:rsid w:val="0059200B"/>
    <w:rsid w:val="00592C79"/>
    <w:rsid w:val="00597EE2"/>
    <w:rsid w:val="005A180D"/>
    <w:rsid w:val="005A3AA3"/>
    <w:rsid w:val="005A6131"/>
    <w:rsid w:val="005A670A"/>
    <w:rsid w:val="005A7A50"/>
    <w:rsid w:val="005C2BD1"/>
    <w:rsid w:val="005D0844"/>
    <w:rsid w:val="005D0B9F"/>
    <w:rsid w:val="005D169F"/>
    <w:rsid w:val="005D5F12"/>
    <w:rsid w:val="005D6142"/>
    <w:rsid w:val="005E1542"/>
    <w:rsid w:val="005E30D3"/>
    <w:rsid w:val="005E518B"/>
    <w:rsid w:val="005F630F"/>
    <w:rsid w:val="00601EF7"/>
    <w:rsid w:val="006042C2"/>
    <w:rsid w:val="006135E0"/>
    <w:rsid w:val="00620E44"/>
    <w:rsid w:val="00622763"/>
    <w:rsid w:val="006235C8"/>
    <w:rsid w:val="00624905"/>
    <w:rsid w:val="006277EB"/>
    <w:rsid w:val="00630254"/>
    <w:rsid w:val="00630725"/>
    <w:rsid w:val="00642420"/>
    <w:rsid w:val="006479AC"/>
    <w:rsid w:val="00660BE4"/>
    <w:rsid w:val="0066347A"/>
    <w:rsid w:val="00663C8B"/>
    <w:rsid w:val="00683847"/>
    <w:rsid w:val="0069459C"/>
    <w:rsid w:val="006A2BC6"/>
    <w:rsid w:val="006A5DFA"/>
    <w:rsid w:val="006B09B6"/>
    <w:rsid w:val="006B200B"/>
    <w:rsid w:val="006B29E7"/>
    <w:rsid w:val="006B4545"/>
    <w:rsid w:val="006C192F"/>
    <w:rsid w:val="006C3CBF"/>
    <w:rsid w:val="006C40A4"/>
    <w:rsid w:val="006C4762"/>
    <w:rsid w:val="006C47ED"/>
    <w:rsid w:val="006C64D7"/>
    <w:rsid w:val="006C7F6F"/>
    <w:rsid w:val="006D068F"/>
    <w:rsid w:val="006D42BA"/>
    <w:rsid w:val="006E0237"/>
    <w:rsid w:val="006E5AD6"/>
    <w:rsid w:val="006E699E"/>
    <w:rsid w:val="006E7A3D"/>
    <w:rsid w:val="006F6A9A"/>
    <w:rsid w:val="00700DF5"/>
    <w:rsid w:val="00702028"/>
    <w:rsid w:val="0071194D"/>
    <w:rsid w:val="007145E8"/>
    <w:rsid w:val="00725F6D"/>
    <w:rsid w:val="007316F6"/>
    <w:rsid w:val="00731BE4"/>
    <w:rsid w:val="0073326A"/>
    <w:rsid w:val="00733E1F"/>
    <w:rsid w:val="00734238"/>
    <w:rsid w:val="007352D8"/>
    <w:rsid w:val="00735769"/>
    <w:rsid w:val="00736632"/>
    <w:rsid w:val="00740BF9"/>
    <w:rsid w:val="007426A8"/>
    <w:rsid w:val="00744483"/>
    <w:rsid w:val="00744F7B"/>
    <w:rsid w:val="007479A1"/>
    <w:rsid w:val="007501A3"/>
    <w:rsid w:val="00752137"/>
    <w:rsid w:val="00752190"/>
    <w:rsid w:val="00754DAF"/>
    <w:rsid w:val="0076118B"/>
    <w:rsid w:val="00763484"/>
    <w:rsid w:val="00765350"/>
    <w:rsid w:val="00766AE2"/>
    <w:rsid w:val="00766B37"/>
    <w:rsid w:val="00776E1A"/>
    <w:rsid w:val="0077761F"/>
    <w:rsid w:val="00777A92"/>
    <w:rsid w:val="00781840"/>
    <w:rsid w:val="007850A3"/>
    <w:rsid w:val="007A15EE"/>
    <w:rsid w:val="007A2DBD"/>
    <w:rsid w:val="007B1509"/>
    <w:rsid w:val="007B31F6"/>
    <w:rsid w:val="007B6304"/>
    <w:rsid w:val="007C1F94"/>
    <w:rsid w:val="007C5185"/>
    <w:rsid w:val="007C6371"/>
    <w:rsid w:val="007D0737"/>
    <w:rsid w:val="007E0018"/>
    <w:rsid w:val="007E1ED8"/>
    <w:rsid w:val="007E3BBC"/>
    <w:rsid w:val="007E5AEC"/>
    <w:rsid w:val="007E62B0"/>
    <w:rsid w:val="007F3B53"/>
    <w:rsid w:val="007F5BAC"/>
    <w:rsid w:val="00806DC6"/>
    <w:rsid w:val="008111C7"/>
    <w:rsid w:val="008132B7"/>
    <w:rsid w:val="0082284C"/>
    <w:rsid w:val="00825851"/>
    <w:rsid w:val="008312F0"/>
    <w:rsid w:val="008315FA"/>
    <w:rsid w:val="00840882"/>
    <w:rsid w:val="00842D02"/>
    <w:rsid w:val="00844DB2"/>
    <w:rsid w:val="008555AF"/>
    <w:rsid w:val="00870071"/>
    <w:rsid w:val="0087158E"/>
    <w:rsid w:val="00873094"/>
    <w:rsid w:val="00874C83"/>
    <w:rsid w:val="00875B0E"/>
    <w:rsid w:val="00876C37"/>
    <w:rsid w:val="00880163"/>
    <w:rsid w:val="00883A1C"/>
    <w:rsid w:val="00891FA5"/>
    <w:rsid w:val="008A5A27"/>
    <w:rsid w:val="008A79F2"/>
    <w:rsid w:val="008B25CB"/>
    <w:rsid w:val="008B40FA"/>
    <w:rsid w:val="008C1239"/>
    <w:rsid w:val="008C5717"/>
    <w:rsid w:val="008D569F"/>
    <w:rsid w:val="008D6726"/>
    <w:rsid w:val="008E01DF"/>
    <w:rsid w:val="008E3DC9"/>
    <w:rsid w:val="008E57FA"/>
    <w:rsid w:val="008F08B6"/>
    <w:rsid w:val="008F5136"/>
    <w:rsid w:val="009014BA"/>
    <w:rsid w:val="00902819"/>
    <w:rsid w:val="00907EB9"/>
    <w:rsid w:val="00912262"/>
    <w:rsid w:val="009131E5"/>
    <w:rsid w:val="00913EB8"/>
    <w:rsid w:val="009223C7"/>
    <w:rsid w:val="009275EE"/>
    <w:rsid w:val="00944C42"/>
    <w:rsid w:val="00945DEC"/>
    <w:rsid w:val="009475E9"/>
    <w:rsid w:val="00950B21"/>
    <w:rsid w:val="00964436"/>
    <w:rsid w:val="00966650"/>
    <w:rsid w:val="009673E0"/>
    <w:rsid w:val="00967A81"/>
    <w:rsid w:val="009732E4"/>
    <w:rsid w:val="009747C3"/>
    <w:rsid w:val="00977D2A"/>
    <w:rsid w:val="00992E7D"/>
    <w:rsid w:val="00997A63"/>
    <w:rsid w:val="009A2CFA"/>
    <w:rsid w:val="009B1373"/>
    <w:rsid w:val="009B3BDC"/>
    <w:rsid w:val="009B4225"/>
    <w:rsid w:val="009C1314"/>
    <w:rsid w:val="009C30D0"/>
    <w:rsid w:val="009C4B92"/>
    <w:rsid w:val="009D095E"/>
    <w:rsid w:val="009F3FA5"/>
    <w:rsid w:val="00A01D0A"/>
    <w:rsid w:val="00A04BF2"/>
    <w:rsid w:val="00A07C8D"/>
    <w:rsid w:val="00A12877"/>
    <w:rsid w:val="00A12DF9"/>
    <w:rsid w:val="00A13BEA"/>
    <w:rsid w:val="00A1517C"/>
    <w:rsid w:val="00A15C8F"/>
    <w:rsid w:val="00A23E29"/>
    <w:rsid w:val="00A26C75"/>
    <w:rsid w:val="00A27EDE"/>
    <w:rsid w:val="00A30546"/>
    <w:rsid w:val="00A35D5E"/>
    <w:rsid w:val="00A40C91"/>
    <w:rsid w:val="00A44422"/>
    <w:rsid w:val="00A444AF"/>
    <w:rsid w:val="00A4458E"/>
    <w:rsid w:val="00A50270"/>
    <w:rsid w:val="00A52132"/>
    <w:rsid w:val="00A52615"/>
    <w:rsid w:val="00A607D9"/>
    <w:rsid w:val="00A632F6"/>
    <w:rsid w:val="00A63A51"/>
    <w:rsid w:val="00A653C4"/>
    <w:rsid w:val="00A65E26"/>
    <w:rsid w:val="00A70141"/>
    <w:rsid w:val="00A701D1"/>
    <w:rsid w:val="00A70F09"/>
    <w:rsid w:val="00A7111A"/>
    <w:rsid w:val="00A71BA8"/>
    <w:rsid w:val="00A7422C"/>
    <w:rsid w:val="00A74B1A"/>
    <w:rsid w:val="00A855B9"/>
    <w:rsid w:val="00A85CDE"/>
    <w:rsid w:val="00A86169"/>
    <w:rsid w:val="00A951E2"/>
    <w:rsid w:val="00A9588A"/>
    <w:rsid w:val="00A96D8F"/>
    <w:rsid w:val="00A976D0"/>
    <w:rsid w:val="00AA135D"/>
    <w:rsid w:val="00AA166F"/>
    <w:rsid w:val="00AA1DC0"/>
    <w:rsid w:val="00AA2654"/>
    <w:rsid w:val="00AA4BED"/>
    <w:rsid w:val="00AA6494"/>
    <w:rsid w:val="00AB0DA6"/>
    <w:rsid w:val="00AC3AD8"/>
    <w:rsid w:val="00AC44B4"/>
    <w:rsid w:val="00AE4201"/>
    <w:rsid w:val="00AE5743"/>
    <w:rsid w:val="00AF50CE"/>
    <w:rsid w:val="00AF7CC4"/>
    <w:rsid w:val="00B00BB4"/>
    <w:rsid w:val="00B06C7A"/>
    <w:rsid w:val="00B07271"/>
    <w:rsid w:val="00B161B9"/>
    <w:rsid w:val="00B17099"/>
    <w:rsid w:val="00B24762"/>
    <w:rsid w:val="00B255C5"/>
    <w:rsid w:val="00B30761"/>
    <w:rsid w:val="00B36649"/>
    <w:rsid w:val="00B375FC"/>
    <w:rsid w:val="00B37F17"/>
    <w:rsid w:val="00B53DFE"/>
    <w:rsid w:val="00B61EF2"/>
    <w:rsid w:val="00B62C96"/>
    <w:rsid w:val="00B64D84"/>
    <w:rsid w:val="00B65CF9"/>
    <w:rsid w:val="00B7393A"/>
    <w:rsid w:val="00B77D03"/>
    <w:rsid w:val="00B8187E"/>
    <w:rsid w:val="00B82747"/>
    <w:rsid w:val="00B92E15"/>
    <w:rsid w:val="00B93826"/>
    <w:rsid w:val="00B96479"/>
    <w:rsid w:val="00B96822"/>
    <w:rsid w:val="00BA2669"/>
    <w:rsid w:val="00BA4197"/>
    <w:rsid w:val="00BA54C2"/>
    <w:rsid w:val="00BA63D1"/>
    <w:rsid w:val="00BC18BB"/>
    <w:rsid w:val="00BC20CD"/>
    <w:rsid w:val="00BC2E4A"/>
    <w:rsid w:val="00BC3F1E"/>
    <w:rsid w:val="00BD0751"/>
    <w:rsid w:val="00BD0DCE"/>
    <w:rsid w:val="00BD22B2"/>
    <w:rsid w:val="00BD38FF"/>
    <w:rsid w:val="00BD7782"/>
    <w:rsid w:val="00BE0AE8"/>
    <w:rsid w:val="00BE1C77"/>
    <w:rsid w:val="00BE4A50"/>
    <w:rsid w:val="00BE5BC9"/>
    <w:rsid w:val="00BE7674"/>
    <w:rsid w:val="00BE7B23"/>
    <w:rsid w:val="00BF1DF3"/>
    <w:rsid w:val="00BF2334"/>
    <w:rsid w:val="00BF3484"/>
    <w:rsid w:val="00C01DED"/>
    <w:rsid w:val="00C03DF4"/>
    <w:rsid w:val="00C0780A"/>
    <w:rsid w:val="00C10980"/>
    <w:rsid w:val="00C10D41"/>
    <w:rsid w:val="00C2087B"/>
    <w:rsid w:val="00C22735"/>
    <w:rsid w:val="00C2649F"/>
    <w:rsid w:val="00C332EB"/>
    <w:rsid w:val="00C33459"/>
    <w:rsid w:val="00C40880"/>
    <w:rsid w:val="00C4642A"/>
    <w:rsid w:val="00C47A7B"/>
    <w:rsid w:val="00C47C6D"/>
    <w:rsid w:val="00C5254F"/>
    <w:rsid w:val="00C57052"/>
    <w:rsid w:val="00C67969"/>
    <w:rsid w:val="00C72380"/>
    <w:rsid w:val="00C93E28"/>
    <w:rsid w:val="00C95780"/>
    <w:rsid w:val="00C96C38"/>
    <w:rsid w:val="00CA382F"/>
    <w:rsid w:val="00CB097B"/>
    <w:rsid w:val="00CB1B77"/>
    <w:rsid w:val="00CB3CB6"/>
    <w:rsid w:val="00CB4F57"/>
    <w:rsid w:val="00CC0025"/>
    <w:rsid w:val="00CC06C9"/>
    <w:rsid w:val="00CC40B6"/>
    <w:rsid w:val="00CD61BC"/>
    <w:rsid w:val="00CE2639"/>
    <w:rsid w:val="00CE4BC2"/>
    <w:rsid w:val="00CE5B6B"/>
    <w:rsid w:val="00CE7242"/>
    <w:rsid w:val="00CF04CD"/>
    <w:rsid w:val="00CF16E1"/>
    <w:rsid w:val="00CF63F3"/>
    <w:rsid w:val="00CF6524"/>
    <w:rsid w:val="00D02601"/>
    <w:rsid w:val="00D04320"/>
    <w:rsid w:val="00D04933"/>
    <w:rsid w:val="00D07CAB"/>
    <w:rsid w:val="00D15B3A"/>
    <w:rsid w:val="00D169C0"/>
    <w:rsid w:val="00D21B7A"/>
    <w:rsid w:val="00D23D2B"/>
    <w:rsid w:val="00D26053"/>
    <w:rsid w:val="00D33AF3"/>
    <w:rsid w:val="00D34E72"/>
    <w:rsid w:val="00D366DF"/>
    <w:rsid w:val="00D4083B"/>
    <w:rsid w:val="00D5026A"/>
    <w:rsid w:val="00D50D5E"/>
    <w:rsid w:val="00D52F89"/>
    <w:rsid w:val="00D62D5A"/>
    <w:rsid w:val="00D7166A"/>
    <w:rsid w:val="00D71A86"/>
    <w:rsid w:val="00D750C3"/>
    <w:rsid w:val="00D84B6D"/>
    <w:rsid w:val="00D85918"/>
    <w:rsid w:val="00D85956"/>
    <w:rsid w:val="00D85D04"/>
    <w:rsid w:val="00D86D6A"/>
    <w:rsid w:val="00D90487"/>
    <w:rsid w:val="00D91AB2"/>
    <w:rsid w:val="00D92D54"/>
    <w:rsid w:val="00D93277"/>
    <w:rsid w:val="00DA3496"/>
    <w:rsid w:val="00DA7E28"/>
    <w:rsid w:val="00DB0A95"/>
    <w:rsid w:val="00DB1CB6"/>
    <w:rsid w:val="00DB7DB8"/>
    <w:rsid w:val="00DC6350"/>
    <w:rsid w:val="00DD6655"/>
    <w:rsid w:val="00DD6CB7"/>
    <w:rsid w:val="00DE56D0"/>
    <w:rsid w:val="00DE6EBD"/>
    <w:rsid w:val="00DF1729"/>
    <w:rsid w:val="00DF3A4B"/>
    <w:rsid w:val="00DF5D0C"/>
    <w:rsid w:val="00DF647C"/>
    <w:rsid w:val="00E012A5"/>
    <w:rsid w:val="00E020D6"/>
    <w:rsid w:val="00E1142A"/>
    <w:rsid w:val="00E17D90"/>
    <w:rsid w:val="00E20A83"/>
    <w:rsid w:val="00E2336E"/>
    <w:rsid w:val="00E233A4"/>
    <w:rsid w:val="00E24AA1"/>
    <w:rsid w:val="00E259ED"/>
    <w:rsid w:val="00E26B56"/>
    <w:rsid w:val="00E27D54"/>
    <w:rsid w:val="00E27FE9"/>
    <w:rsid w:val="00E3046F"/>
    <w:rsid w:val="00E326A8"/>
    <w:rsid w:val="00E3743F"/>
    <w:rsid w:val="00E379E7"/>
    <w:rsid w:val="00E47B03"/>
    <w:rsid w:val="00E50554"/>
    <w:rsid w:val="00E52A1E"/>
    <w:rsid w:val="00E52E9A"/>
    <w:rsid w:val="00E558A8"/>
    <w:rsid w:val="00E5650D"/>
    <w:rsid w:val="00E5780C"/>
    <w:rsid w:val="00E57971"/>
    <w:rsid w:val="00E57EF1"/>
    <w:rsid w:val="00E64EFB"/>
    <w:rsid w:val="00E66C4C"/>
    <w:rsid w:val="00E72862"/>
    <w:rsid w:val="00E752FA"/>
    <w:rsid w:val="00E7584F"/>
    <w:rsid w:val="00E7751B"/>
    <w:rsid w:val="00E812BC"/>
    <w:rsid w:val="00E8754A"/>
    <w:rsid w:val="00E924CB"/>
    <w:rsid w:val="00E92E7C"/>
    <w:rsid w:val="00E93DEB"/>
    <w:rsid w:val="00E95EB2"/>
    <w:rsid w:val="00EA58E7"/>
    <w:rsid w:val="00EA5E46"/>
    <w:rsid w:val="00EB23F8"/>
    <w:rsid w:val="00EB7718"/>
    <w:rsid w:val="00EC5692"/>
    <w:rsid w:val="00ED4BAE"/>
    <w:rsid w:val="00ED52D1"/>
    <w:rsid w:val="00ED5E39"/>
    <w:rsid w:val="00EE5619"/>
    <w:rsid w:val="00EE6853"/>
    <w:rsid w:val="00EF0884"/>
    <w:rsid w:val="00EF209F"/>
    <w:rsid w:val="00EF6DB8"/>
    <w:rsid w:val="00F04C67"/>
    <w:rsid w:val="00F06C70"/>
    <w:rsid w:val="00F129F5"/>
    <w:rsid w:val="00F12B6A"/>
    <w:rsid w:val="00F16C15"/>
    <w:rsid w:val="00F209F8"/>
    <w:rsid w:val="00F22F58"/>
    <w:rsid w:val="00F254C2"/>
    <w:rsid w:val="00F25EAB"/>
    <w:rsid w:val="00F2641F"/>
    <w:rsid w:val="00F324B3"/>
    <w:rsid w:val="00F35627"/>
    <w:rsid w:val="00F373C4"/>
    <w:rsid w:val="00F40302"/>
    <w:rsid w:val="00F426D8"/>
    <w:rsid w:val="00F4469B"/>
    <w:rsid w:val="00F47BB1"/>
    <w:rsid w:val="00F548D0"/>
    <w:rsid w:val="00F554CF"/>
    <w:rsid w:val="00F57377"/>
    <w:rsid w:val="00F61F68"/>
    <w:rsid w:val="00F62519"/>
    <w:rsid w:val="00F63CB1"/>
    <w:rsid w:val="00F71310"/>
    <w:rsid w:val="00F72AEE"/>
    <w:rsid w:val="00F74F54"/>
    <w:rsid w:val="00F75794"/>
    <w:rsid w:val="00F76029"/>
    <w:rsid w:val="00F7730D"/>
    <w:rsid w:val="00F77BF6"/>
    <w:rsid w:val="00F8259E"/>
    <w:rsid w:val="00F82F44"/>
    <w:rsid w:val="00F85294"/>
    <w:rsid w:val="00F92E6A"/>
    <w:rsid w:val="00F96926"/>
    <w:rsid w:val="00FA0814"/>
    <w:rsid w:val="00FA3E0B"/>
    <w:rsid w:val="00FB1107"/>
    <w:rsid w:val="00FD3779"/>
    <w:rsid w:val="00FD7A6E"/>
    <w:rsid w:val="00FE0360"/>
    <w:rsid w:val="00FE06D4"/>
    <w:rsid w:val="00FE2322"/>
    <w:rsid w:val="00FE4E37"/>
    <w:rsid w:val="00FE6928"/>
    <w:rsid w:val="00FF16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04683"/>
  <w15:chartTrackingRefBased/>
  <w15:docId w15:val="{8F63C62B-D097-4C2B-AAC6-ADE99EFC0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3"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21B7A"/>
    <w:pPr>
      <w:spacing w:before="120" w:after="120" w:line="240" w:lineRule="auto"/>
    </w:pPr>
    <w:rPr>
      <w:rFonts w:ascii="Times New Roman" w:hAnsi="Times New Roman"/>
    </w:rPr>
  </w:style>
  <w:style w:type="paragraph" w:styleId="Heading1">
    <w:name w:val="heading 1"/>
    <w:basedOn w:val="Normal"/>
    <w:next w:val="Normalparatextnonumbers"/>
    <w:link w:val="Heading1Char"/>
    <w:qFormat/>
    <w:rsid w:val="00E24AA1"/>
    <w:pPr>
      <w:keepNext/>
      <w:keepLines/>
      <w:pBdr>
        <w:bottom w:val="single" w:sz="4" w:space="1" w:color="auto"/>
      </w:pBdr>
      <w:spacing w:after="480"/>
      <w:outlineLvl w:val="0"/>
    </w:pPr>
    <w:rPr>
      <w:rFonts w:ascii="Helvitica" w:eastAsiaTheme="majorEastAsia" w:hAnsi="Helvitica" w:cstheme="majorBidi"/>
      <w:b/>
      <w:i/>
      <w:sz w:val="40"/>
      <w:szCs w:val="32"/>
    </w:rPr>
  </w:style>
  <w:style w:type="paragraph" w:styleId="Heading2">
    <w:name w:val="heading 2"/>
    <w:basedOn w:val="Heading1"/>
    <w:next w:val="Normalparatextnonumbers"/>
    <w:link w:val="Heading2Char"/>
    <w:qFormat/>
    <w:rsid w:val="003F1AD7"/>
    <w:pPr>
      <w:pBdr>
        <w:bottom w:val="none" w:sz="0" w:space="0" w:color="auto"/>
      </w:pBdr>
      <w:spacing w:before="360" w:after="360"/>
      <w:outlineLvl w:val="1"/>
    </w:pPr>
    <w:rPr>
      <w:b w:val="0"/>
      <w:i w:val="0"/>
      <w:sz w:val="36"/>
      <w:szCs w:val="26"/>
    </w:rPr>
  </w:style>
  <w:style w:type="paragraph" w:styleId="Heading3">
    <w:name w:val="heading 3"/>
    <w:basedOn w:val="Normal"/>
    <w:next w:val="Normalparatextnonumbers"/>
    <w:link w:val="Heading3Char"/>
    <w:qFormat/>
    <w:rsid w:val="003F1AD7"/>
    <w:pPr>
      <w:keepNext/>
      <w:keepLines/>
      <w:spacing w:before="240" w:after="360"/>
      <w:outlineLvl w:val="2"/>
    </w:pPr>
    <w:rPr>
      <w:rFonts w:ascii="Helvitica" w:eastAsiaTheme="majorEastAsia" w:hAnsi="Helvitica" w:cstheme="majorBidi"/>
      <w:sz w:val="32"/>
      <w:szCs w:val="24"/>
    </w:rPr>
  </w:style>
  <w:style w:type="paragraph" w:styleId="Heading4">
    <w:name w:val="heading 4"/>
    <w:basedOn w:val="Normal"/>
    <w:next w:val="Normalparatextnonumbers"/>
    <w:link w:val="Heading4Char"/>
    <w:uiPriority w:val="9"/>
    <w:unhideWhenUsed/>
    <w:qFormat/>
    <w:rsid w:val="003F1AD7"/>
    <w:pPr>
      <w:keepNext/>
      <w:keepLines/>
      <w:numPr>
        <w:ilvl w:val="3"/>
        <w:numId w:val="21"/>
      </w:numPr>
      <w:spacing w:before="280" w:after="240"/>
      <w:outlineLvl w:val="3"/>
    </w:pPr>
    <w:rPr>
      <w:rFonts w:ascii="Helvetica" w:eastAsiaTheme="majorEastAsia" w:hAnsi="Helvetica" w:cstheme="majorBidi"/>
      <w:iCs/>
      <w:sz w:val="28"/>
    </w:rPr>
  </w:style>
  <w:style w:type="paragraph" w:styleId="Heading5">
    <w:name w:val="heading 5"/>
    <w:basedOn w:val="Normal"/>
    <w:next w:val="Normalparatextnonumbers"/>
    <w:link w:val="Heading5Char"/>
    <w:uiPriority w:val="9"/>
    <w:unhideWhenUsed/>
    <w:qFormat/>
    <w:rsid w:val="00F22F58"/>
    <w:pPr>
      <w:keepNext/>
      <w:keepLines/>
      <w:numPr>
        <w:ilvl w:val="4"/>
        <w:numId w:val="21"/>
      </w:numPr>
      <w:spacing w:before="240" w:after="240"/>
      <w:contextualSpacing/>
      <w:outlineLvl w:val="4"/>
    </w:pPr>
    <w:rPr>
      <w:rFonts w:ascii="Helvetica" w:eastAsiaTheme="majorEastAsia" w:hAnsi="Helvetica" w:cstheme="majorBidi"/>
      <w:b/>
      <w:spacing w:val="-10"/>
      <w:kern w:val="28"/>
      <w:sz w:val="24"/>
      <w:szCs w:val="56"/>
    </w:rPr>
  </w:style>
  <w:style w:type="paragraph" w:styleId="Heading6">
    <w:name w:val="heading 6"/>
    <w:basedOn w:val="Normal"/>
    <w:next w:val="Normal"/>
    <w:link w:val="Heading6Char"/>
    <w:uiPriority w:val="9"/>
    <w:unhideWhenUsed/>
    <w:qFormat/>
    <w:rsid w:val="002A2137"/>
    <w:pPr>
      <w:keepNext/>
      <w:keepLines/>
      <w:spacing w:before="240"/>
      <w:outlineLvl w:val="5"/>
    </w:pPr>
    <w:rPr>
      <w:rFonts w:ascii="Helvitica" w:eastAsiaTheme="majorEastAsia" w:hAnsi="Helvitic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4AA1"/>
    <w:rPr>
      <w:rFonts w:ascii="Helvitica" w:eastAsiaTheme="majorEastAsia" w:hAnsi="Helvitica" w:cstheme="majorBidi"/>
      <w:b/>
      <w:i/>
      <w:sz w:val="40"/>
      <w:szCs w:val="32"/>
    </w:rPr>
  </w:style>
  <w:style w:type="paragraph" w:customStyle="1" w:styleId="AttachmentHeading">
    <w:name w:val="AttachmentHeading"/>
    <w:basedOn w:val="Heading1"/>
    <w:next w:val="Normalparatextnonumbers"/>
    <w:uiPriority w:val="1"/>
    <w:rsid w:val="00777A92"/>
    <w:pPr>
      <w:numPr>
        <w:numId w:val="1"/>
      </w:numPr>
      <w:pBdr>
        <w:bottom w:val="single" w:sz="4" w:space="8" w:color="auto"/>
      </w:pBdr>
      <w:ind w:left="0" w:firstLine="0"/>
    </w:pPr>
  </w:style>
  <w:style w:type="paragraph" w:customStyle="1" w:styleId="Normalparatextnonumbers">
    <w:name w:val="Normal para text (no numbers)"/>
    <w:basedOn w:val="Normal"/>
    <w:link w:val="NormalparatextnonumbersChar"/>
    <w:qFormat/>
    <w:rsid w:val="00F22F58"/>
  </w:style>
  <w:style w:type="paragraph" w:customStyle="1" w:styleId="BillName">
    <w:name w:val="Bill Name"/>
    <w:basedOn w:val="Normalparatextnonumbers"/>
    <w:next w:val="Normalparatextnonumbers"/>
    <w:qFormat/>
    <w:rsid w:val="00DB0A95"/>
    <w:pPr>
      <w:spacing w:before="200" w:after="200"/>
      <w:jc w:val="center"/>
    </w:pPr>
    <w:rPr>
      <w:rFonts w:cs="Times New Roman"/>
      <w:caps/>
    </w:rPr>
  </w:style>
  <w:style w:type="character" w:customStyle="1" w:styleId="Heading4Char">
    <w:name w:val="Heading 4 Char"/>
    <w:basedOn w:val="DefaultParagraphFont"/>
    <w:link w:val="Heading4"/>
    <w:uiPriority w:val="9"/>
    <w:rsid w:val="003F1AD7"/>
    <w:rPr>
      <w:rFonts w:ascii="Helvetica" w:eastAsiaTheme="majorEastAsia" w:hAnsi="Helvetica" w:cstheme="majorBidi"/>
      <w:iCs/>
      <w:sz w:val="28"/>
    </w:rPr>
  </w:style>
  <w:style w:type="paragraph" w:customStyle="1" w:styleId="TableHeading">
    <w:name w:val="Table Heading"/>
    <w:basedOn w:val="Heading4"/>
    <w:next w:val="Normalparatextnonumbers"/>
    <w:uiPriority w:val="1"/>
    <w:rsid w:val="00492729"/>
    <w:pPr>
      <w:keepLines w:val="0"/>
      <w:numPr>
        <w:ilvl w:val="4"/>
        <w:numId w:val="6"/>
      </w:numPr>
      <w:spacing w:before="240" w:after="200"/>
      <w:ind w:left="0" w:firstLine="0"/>
    </w:pPr>
    <w:rPr>
      <w:rFonts w:eastAsia="Times New Roman" w:cs="Helvetica"/>
      <w:b/>
      <w:i/>
      <w:sz w:val="22"/>
    </w:rPr>
  </w:style>
  <w:style w:type="paragraph" w:styleId="Caption">
    <w:name w:val="caption"/>
    <w:basedOn w:val="TableHeading"/>
    <w:next w:val="Normal"/>
    <w:uiPriority w:val="35"/>
    <w:unhideWhenUsed/>
    <w:qFormat/>
    <w:rsid w:val="00BD0751"/>
    <w:pPr>
      <w:numPr>
        <w:ilvl w:val="0"/>
        <w:numId w:val="0"/>
      </w:numPr>
    </w:pPr>
    <w:rPr>
      <w:iCs w:val="0"/>
      <w:color w:val="44546A" w:themeColor="text2"/>
      <w:szCs w:val="18"/>
    </w:rPr>
  </w:style>
  <w:style w:type="paragraph" w:customStyle="1" w:styleId="Chapterheading">
    <w:name w:val="Chapter heading"/>
    <w:basedOn w:val="Heading1"/>
    <w:next w:val="Normalparatextnonumbers"/>
    <w:rsid w:val="00777A92"/>
    <w:pPr>
      <w:numPr>
        <w:numId w:val="6"/>
      </w:numPr>
      <w:pBdr>
        <w:bottom w:val="single" w:sz="4" w:space="8" w:color="auto"/>
      </w:pBdr>
      <w:spacing w:before="0"/>
    </w:pPr>
  </w:style>
  <w:style w:type="numbering" w:customStyle="1" w:styleId="Chapternumbering">
    <w:name w:val="Chapter numbering"/>
    <w:uiPriority w:val="99"/>
    <w:rsid w:val="005D0844"/>
    <w:pPr>
      <w:numPr>
        <w:numId w:val="6"/>
      </w:numPr>
    </w:pPr>
  </w:style>
  <w:style w:type="paragraph" w:customStyle="1" w:styleId="ChartandTableFootnoteAlpha">
    <w:name w:val="Chart and Table Footnote Alpha"/>
    <w:uiPriority w:val="1"/>
    <w:rsid w:val="00F22F58"/>
    <w:pPr>
      <w:tabs>
        <w:tab w:val="num" w:pos="284"/>
      </w:tabs>
      <w:spacing w:after="0" w:line="240" w:lineRule="auto"/>
      <w:ind w:left="284" w:hanging="284"/>
      <w:jc w:val="both"/>
    </w:pPr>
    <w:rPr>
      <w:rFonts w:ascii="Times New Roman" w:eastAsia="Times New Roman" w:hAnsi="Times New Roman" w:cs="Times New Roman"/>
      <w:color w:val="000000"/>
      <w:sz w:val="20"/>
      <w:szCs w:val="16"/>
      <w:lang w:eastAsia="en-AU"/>
    </w:rPr>
  </w:style>
  <w:style w:type="paragraph" w:customStyle="1" w:styleId="Dash">
    <w:name w:val="Dash"/>
    <w:basedOn w:val="Normal"/>
    <w:semiHidden/>
    <w:rsid w:val="00F22F58"/>
    <w:pPr>
      <w:numPr>
        <w:ilvl w:val="1"/>
        <w:numId w:val="24"/>
      </w:numPr>
      <w:tabs>
        <w:tab w:val="num" w:pos="532"/>
      </w:tabs>
      <w:spacing w:before="0" w:after="240" w:line="260" w:lineRule="exact"/>
    </w:pPr>
  </w:style>
  <w:style w:type="paragraph" w:customStyle="1" w:styleId="DiagramHeading">
    <w:name w:val="Diagram Heading"/>
    <w:basedOn w:val="TableHeading"/>
    <w:next w:val="Normalparatextnonumbers"/>
    <w:uiPriority w:val="1"/>
    <w:rsid w:val="00CB4F57"/>
    <w:pPr>
      <w:numPr>
        <w:ilvl w:val="2"/>
      </w:numPr>
      <w:ind w:left="0" w:firstLine="0"/>
    </w:pPr>
  </w:style>
  <w:style w:type="paragraph" w:customStyle="1" w:styleId="Dotpoint1">
    <w:name w:val="Dot point 1"/>
    <w:basedOn w:val="Normal"/>
    <w:link w:val="Dotpoint1Char"/>
    <w:uiPriority w:val="1"/>
    <w:qFormat/>
    <w:rsid w:val="000E521B"/>
    <w:pPr>
      <w:numPr>
        <w:numId w:val="17"/>
      </w:numPr>
      <w:ind w:left="1418" w:hanging="709"/>
    </w:pPr>
  </w:style>
  <w:style w:type="character" w:customStyle="1" w:styleId="Dotpoint1Char">
    <w:name w:val="Dot point 1 Char"/>
    <w:basedOn w:val="DefaultParagraphFont"/>
    <w:link w:val="Dotpoint1"/>
    <w:uiPriority w:val="1"/>
    <w:rsid w:val="000E521B"/>
    <w:rPr>
      <w:rFonts w:ascii="Times New Roman" w:hAnsi="Times New Roman"/>
    </w:rPr>
  </w:style>
  <w:style w:type="paragraph" w:customStyle="1" w:styleId="Dotpoint2">
    <w:name w:val="Dot point 2"/>
    <w:basedOn w:val="Dotpoint1"/>
    <w:uiPriority w:val="1"/>
    <w:rsid w:val="000E521B"/>
    <w:pPr>
      <w:numPr>
        <w:numId w:val="9"/>
      </w:numPr>
      <w:ind w:left="2127" w:hanging="709"/>
    </w:pPr>
  </w:style>
  <w:style w:type="paragraph" w:customStyle="1" w:styleId="Exampletext">
    <w:name w:val="Example text"/>
    <w:basedOn w:val="Normal"/>
    <w:uiPriority w:val="1"/>
    <w:qFormat/>
    <w:rsid w:val="00F22F58"/>
    <w:pPr>
      <w:spacing w:before="200" w:after="160"/>
      <w:ind w:left="1134" w:right="864"/>
    </w:pPr>
    <w:rPr>
      <w:iCs/>
      <w:color w:val="000000" w:themeColor="text1"/>
      <w:sz w:val="21"/>
    </w:rPr>
  </w:style>
  <w:style w:type="paragraph" w:customStyle="1" w:styleId="Exampledotpoint1">
    <w:name w:val="Example dot point 1"/>
    <w:basedOn w:val="Exampletext"/>
    <w:uiPriority w:val="1"/>
    <w:qFormat/>
    <w:rsid w:val="000E521B"/>
    <w:pPr>
      <w:numPr>
        <w:numId w:val="10"/>
      </w:numPr>
      <w:spacing w:before="120" w:after="120"/>
      <w:ind w:left="1843" w:right="862" w:hanging="709"/>
    </w:pPr>
  </w:style>
  <w:style w:type="paragraph" w:customStyle="1" w:styleId="Exampledotpoint2">
    <w:name w:val="Example dot point 2"/>
    <w:basedOn w:val="Exampledotpoint1"/>
    <w:uiPriority w:val="1"/>
    <w:rsid w:val="000E521B"/>
    <w:pPr>
      <w:numPr>
        <w:numId w:val="11"/>
      </w:numPr>
      <w:ind w:left="2552" w:hanging="709"/>
    </w:pPr>
  </w:style>
  <w:style w:type="paragraph" w:customStyle="1" w:styleId="ExampleHeading">
    <w:name w:val="Example Heading"/>
    <w:basedOn w:val="TableHeading"/>
    <w:next w:val="Exampletext"/>
    <w:uiPriority w:val="1"/>
    <w:rsid w:val="00492729"/>
    <w:pPr>
      <w:numPr>
        <w:ilvl w:val="3"/>
      </w:numPr>
      <w:ind w:left="0" w:firstLine="0"/>
    </w:pPr>
  </w:style>
  <w:style w:type="paragraph" w:customStyle="1" w:styleId="Exampleindent">
    <w:name w:val="Example indent"/>
    <w:basedOn w:val="Exampletext"/>
    <w:uiPriority w:val="1"/>
    <w:rsid w:val="00F22F58"/>
    <w:pPr>
      <w:ind w:left="1560"/>
    </w:pPr>
  </w:style>
  <w:style w:type="paragraph" w:customStyle="1" w:styleId="Baseparagraphcentred">
    <w:name w:val="Base paragraph centred"/>
    <w:basedOn w:val="Normal"/>
    <w:rsid w:val="00E24AA1"/>
    <w:pPr>
      <w:spacing w:before="200" w:after="200"/>
      <w:jc w:val="center"/>
    </w:pPr>
    <w:rPr>
      <w:rFonts w:eastAsia="Times New Roman" w:cs="Times New Roman"/>
      <w:szCs w:val="20"/>
      <w:lang w:eastAsia="en-AU"/>
    </w:rPr>
  </w:style>
  <w:style w:type="paragraph" w:styleId="Footer">
    <w:name w:val="footer"/>
    <w:basedOn w:val="Normal"/>
    <w:link w:val="FooterChar"/>
    <w:semiHidden/>
    <w:rsid w:val="00F22F58"/>
    <w:pPr>
      <w:tabs>
        <w:tab w:val="center" w:pos="4153"/>
        <w:tab w:val="right" w:pos="8306"/>
      </w:tabs>
    </w:pPr>
  </w:style>
  <w:style w:type="character" w:customStyle="1" w:styleId="FooterChar">
    <w:name w:val="Footer Char"/>
    <w:basedOn w:val="DefaultParagraphFont"/>
    <w:link w:val="Footer"/>
    <w:semiHidden/>
    <w:rsid w:val="00F22F58"/>
    <w:rPr>
      <w:rFonts w:ascii="Times New Roman" w:hAnsi="Times New Roman"/>
    </w:rPr>
  </w:style>
  <w:style w:type="character" w:styleId="FootnoteReference">
    <w:name w:val="footnote reference"/>
    <w:basedOn w:val="DefaultParagraphFont"/>
    <w:uiPriority w:val="3"/>
    <w:rsid w:val="00F22F58"/>
    <w:rPr>
      <w:vertAlign w:val="superscript"/>
    </w:rPr>
  </w:style>
  <w:style w:type="paragraph" w:styleId="FootnoteText">
    <w:name w:val="footnote text"/>
    <w:basedOn w:val="Normal"/>
    <w:link w:val="FootnoteTextChar"/>
    <w:uiPriority w:val="3"/>
    <w:rsid w:val="00F22F58"/>
    <w:pPr>
      <w:spacing w:before="0" w:after="0"/>
    </w:pPr>
    <w:rPr>
      <w:sz w:val="20"/>
      <w:szCs w:val="20"/>
    </w:rPr>
  </w:style>
  <w:style w:type="character" w:customStyle="1" w:styleId="FootnoteTextChar">
    <w:name w:val="Footnote Text Char"/>
    <w:basedOn w:val="DefaultParagraphFont"/>
    <w:link w:val="FootnoteText"/>
    <w:uiPriority w:val="3"/>
    <w:rsid w:val="00F22F58"/>
    <w:rPr>
      <w:rFonts w:ascii="Times New Roman" w:hAnsi="Times New Roman"/>
      <w:sz w:val="20"/>
      <w:szCs w:val="20"/>
    </w:rPr>
  </w:style>
  <w:style w:type="paragraph" w:customStyle="1" w:styleId="Glossarytabletext">
    <w:name w:val="Glossary table text"/>
    <w:basedOn w:val="Normal"/>
    <w:uiPriority w:val="2"/>
    <w:rsid w:val="002D080A"/>
    <w:pPr>
      <w:spacing w:before="60" w:after="60"/>
    </w:pPr>
    <w:rPr>
      <w:sz w:val="20"/>
    </w:rPr>
  </w:style>
  <w:style w:type="paragraph" w:styleId="Header">
    <w:name w:val="header"/>
    <w:basedOn w:val="Normal"/>
    <w:link w:val="HeaderChar"/>
    <w:semiHidden/>
    <w:rsid w:val="00F22F58"/>
    <w:pPr>
      <w:tabs>
        <w:tab w:val="center" w:pos="4153"/>
        <w:tab w:val="right" w:pos="8306"/>
      </w:tabs>
    </w:pPr>
  </w:style>
  <w:style w:type="character" w:customStyle="1" w:styleId="HeaderChar">
    <w:name w:val="Header Char"/>
    <w:basedOn w:val="DefaultParagraphFont"/>
    <w:link w:val="Header"/>
    <w:semiHidden/>
    <w:rsid w:val="00F22F58"/>
    <w:rPr>
      <w:rFonts w:ascii="Times New Roman" w:hAnsi="Times New Roman"/>
    </w:rPr>
  </w:style>
  <w:style w:type="character" w:customStyle="1" w:styleId="Heading2Char">
    <w:name w:val="Heading 2 Char"/>
    <w:basedOn w:val="DefaultParagraphFont"/>
    <w:link w:val="Heading2"/>
    <w:rsid w:val="003F1AD7"/>
    <w:rPr>
      <w:rFonts w:ascii="Helvitica" w:eastAsiaTheme="majorEastAsia" w:hAnsi="Helvitica" w:cstheme="majorBidi"/>
      <w:sz w:val="36"/>
      <w:szCs w:val="26"/>
    </w:rPr>
  </w:style>
  <w:style w:type="character" w:customStyle="1" w:styleId="Heading3Char">
    <w:name w:val="Heading 3 Char"/>
    <w:basedOn w:val="DefaultParagraphFont"/>
    <w:link w:val="Heading3"/>
    <w:rsid w:val="003F1AD7"/>
    <w:rPr>
      <w:rFonts w:ascii="Helvitica" w:eastAsiaTheme="majorEastAsia" w:hAnsi="Helvitica" w:cstheme="majorBidi"/>
      <w:sz w:val="32"/>
      <w:szCs w:val="24"/>
    </w:rPr>
  </w:style>
  <w:style w:type="character" w:customStyle="1" w:styleId="Heading5Char">
    <w:name w:val="Heading 5 Char"/>
    <w:basedOn w:val="DefaultParagraphFont"/>
    <w:link w:val="Heading5"/>
    <w:uiPriority w:val="9"/>
    <w:rsid w:val="00F22F58"/>
    <w:rPr>
      <w:rFonts w:ascii="Helvetica" w:eastAsiaTheme="majorEastAsia" w:hAnsi="Helvetica" w:cstheme="majorBidi"/>
      <w:b/>
      <w:spacing w:val="-10"/>
      <w:kern w:val="28"/>
      <w:sz w:val="24"/>
      <w:szCs w:val="56"/>
    </w:rPr>
  </w:style>
  <w:style w:type="table" w:customStyle="1" w:styleId="InstructionTable">
    <w:name w:val="Instruction Table"/>
    <w:basedOn w:val="TableNormal"/>
    <w:uiPriority w:val="99"/>
    <w:rsid w:val="00F22F58"/>
    <w:pPr>
      <w:spacing w:after="0" w:line="240" w:lineRule="auto"/>
    </w:pPr>
    <w:tblPr>
      <w:tblBorders>
        <w:top w:val="single" w:sz="12" w:space="0" w:color="2F528F"/>
        <w:left w:val="single" w:sz="12" w:space="0" w:color="2F528F"/>
        <w:bottom w:val="single" w:sz="12" w:space="0" w:color="2F528F"/>
        <w:right w:val="single" w:sz="12" w:space="0" w:color="2F528F"/>
      </w:tblBorders>
    </w:tblPr>
    <w:tcPr>
      <w:shd w:val="clear" w:color="auto" w:fill="E7E6E6"/>
    </w:tcPr>
  </w:style>
  <w:style w:type="paragraph" w:customStyle="1" w:styleId="Instructionalguidance">
    <w:name w:val="Instructional guidance"/>
    <w:basedOn w:val="Normal"/>
    <w:link w:val="InstructionalguidanceChar"/>
    <w:uiPriority w:val="99"/>
    <w:rsid w:val="00090A2C"/>
    <w:rPr>
      <w:rFonts w:ascii="Calibri" w:hAnsi="Calibri"/>
      <w:color w:val="2F5496" w:themeColor="accent1" w:themeShade="BF"/>
    </w:rPr>
  </w:style>
  <w:style w:type="character" w:customStyle="1" w:styleId="InstructionalguidanceChar">
    <w:name w:val="Instructional guidance Char"/>
    <w:basedOn w:val="DefaultParagraphFont"/>
    <w:link w:val="Instructionalguidance"/>
    <w:uiPriority w:val="99"/>
    <w:rsid w:val="005515C0"/>
    <w:rPr>
      <w:rFonts w:ascii="Calibri" w:hAnsi="Calibri"/>
      <w:color w:val="2F5496" w:themeColor="accent1" w:themeShade="BF"/>
    </w:rPr>
  </w:style>
  <w:style w:type="paragraph" w:customStyle="1" w:styleId="Instructionalguidancebold">
    <w:name w:val="Instructional guidance bold"/>
    <w:basedOn w:val="Instructionalguidance"/>
    <w:next w:val="Instructionalguidance"/>
    <w:link w:val="InstructionalguidanceboldChar"/>
    <w:uiPriority w:val="99"/>
    <w:rsid w:val="00F22F58"/>
    <w:pPr>
      <w:keepNext/>
    </w:pPr>
    <w:rPr>
      <w:b/>
      <w:bCs/>
    </w:rPr>
  </w:style>
  <w:style w:type="character" w:customStyle="1" w:styleId="InstructionalguidanceboldChar">
    <w:name w:val="Instructional guidance bold Char"/>
    <w:basedOn w:val="InstructionalguidanceChar"/>
    <w:link w:val="Instructionalguidancebold"/>
    <w:uiPriority w:val="99"/>
    <w:rsid w:val="00F22F58"/>
    <w:rPr>
      <w:rFonts w:ascii="Calibri" w:hAnsi="Calibri"/>
      <w:b/>
      <w:bCs/>
      <w:color w:val="2F5496" w:themeColor="accent1" w:themeShade="BF"/>
    </w:rPr>
  </w:style>
  <w:style w:type="paragraph" w:customStyle="1" w:styleId="Instructionalguidancedotpoint">
    <w:name w:val="Instructional guidance dot point"/>
    <w:basedOn w:val="Instructionalguidance"/>
    <w:uiPriority w:val="99"/>
    <w:qFormat/>
    <w:rsid w:val="00F22F58"/>
    <w:pPr>
      <w:numPr>
        <w:numId w:val="14"/>
      </w:numPr>
    </w:pPr>
    <w:rPr>
      <w:rFonts w:eastAsia="Calibri"/>
      <w:lang w:eastAsia="en-GB"/>
    </w:rPr>
  </w:style>
  <w:style w:type="paragraph" w:customStyle="1" w:styleId="Instructionalguidancenumbered">
    <w:name w:val="Instructional guidance numbered"/>
    <w:basedOn w:val="Normal"/>
    <w:uiPriority w:val="99"/>
    <w:semiHidden/>
    <w:rsid w:val="00F22F58"/>
    <w:pPr>
      <w:numPr>
        <w:numId w:val="15"/>
      </w:numPr>
    </w:pPr>
    <w:rPr>
      <w:rFonts w:eastAsia="Calibri"/>
      <w:color w:val="2F5496" w:themeColor="accent1" w:themeShade="BF"/>
      <w:lang w:val="en-US" w:eastAsia="en-GB"/>
    </w:rPr>
  </w:style>
  <w:style w:type="character" w:customStyle="1" w:styleId="Instructuralguidancebold">
    <w:name w:val="Instructural guidance bold"/>
    <w:basedOn w:val="DefaultParagraphFont"/>
    <w:uiPriority w:val="99"/>
    <w:semiHidden/>
    <w:rsid w:val="00F22F58"/>
    <w:rPr>
      <w:rFonts w:ascii="Calibri" w:hAnsi="Calibri"/>
      <w:b/>
      <w:color w:val="2F528F"/>
      <w:sz w:val="22"/>
      <w:u w:color="2F528F"/>
    </w:rPr>
  </w:style>
  <w:style w:type="paragraph" w:customStyle="1" w:styleId="leftfooter">
    <w:name w:val="left footer"/>
    <w:basedOn w:val="Normal"/>
    <w:uiPriority w:val="1"/>
    <w:rsid w:val="00F22F58"/>
    <w:pPr>
      <w:pBdr>
        <w:top w:val="single" w:sz="4" w:space="1" w:color="auto"/>
      </w:pBdr>
      <w:spacing w:before="240" w:after="0"/>
    </w:pPr>
    <w:rPr>
      <w:i/>
      <w:sz w:val="20"/>
    </w:rPr>
  </w:style>
  <w:style w:type="paragraph" w:customStyle="1" w:styleId="leftheader">
    <w:name w:val="left header"/>
    <w:basedOn w:val="Normal"/>
    <w:uiPriority w:val="1"/>
    <w:rsid w:val="00D04933"/>
    <w:pPr>
      <w:pBdr>
        <w:bottom w:val="single" w:sz="4" w:space="1" w:color="auto"/>
      </w:pBdr>
    </w:pPr>
    <w:rPr>
      <w:i/>
      <w:sz w:val="20"/>
    </w:rPr>
  </w:style>
  <w:style w:type="paragraph" w:customStyle="1" w:styleId="Normalparatextwithnumbers">
    <w:name w:val="Normal para text (with numbers)"/>
    <w:basedOn w:val="Normalparatextnonumbers"/>
    <w:link w:val="NormalparatextwithnumbersChar"/>
    <w:qFormat/>
    <w:rsid w:val="005D0844"/>
    <w:pPr>
      <w:numPr>
        <w:ilvl w:val="1"/>
        <w:numId w:val="6"/>
      </w:numPr>
    </w:pPr>
  </w:style>
  <w:style w:type="paragraph" w:customStyle="1" w:styleId="PurposeheadingnoTOC">
    <w:name w:val="Purpose heading (no TOC)"/>
    <w:basedOn w:val="Normal"/>
    <w:next w:val="Normalparatextnonumbers"/>
    <w:rsid w:val="00F22F58"/>
    <w:pPr>
      <w:spacing w:before="480" w:after="480"/>
    </w:pPr>
    <w:rPr>
      <w:rFonts w:ascii="Helvitica" w:hAnsi="Helvitica"/>
      <w:sz w:val="48"/>
    </w:rPr>
  </w:style>
  <w:style w:type="paragraph" w:styleId="Quote">
    <w:name w:val="Quote"/>
    <w:basedOn w:val="Normal"/>
    <w:next w:val="Normal"/>
    <w:link w:val="QuoteChar"/>
    <w:uiPriority w:val="29"/>
    <w:semiHidden/>
    <w:rsid w:val="00F22F5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21B7A"/>
    <w:rPr>
      <w:rFonts w:ascii="Times New Roman" w:hAnsi="Times New Roman"/>
      <w:i/>
      <w:iCs/>
      <w:color w:val="404040" w:themeColor="text1" w:themeTint="BF"/>
    </w:rPr>
  </w:style>
  <w:style w:type="paragraph" w:styleId="EndnoteText">
    <w:name w:val="endnote text"/>
    <w:basedOn w:val="Normal"/>
    <w:link w:val="EndnoteTextChar"/>
    <w:uiPriority w:val="3"/>
    <w:rsid w:val="002D080A"/>
    <w:pPr>
      <w:spacing w:before="0" w:after="0"/>
    </w:pPr>
    <w:rPr>
      <w:sz w:val="20"/>
      <w:szCs w:val="20"/>
    </w:rPr>
  </w:style>
  <w:style w:type="character" w:customStyle="1" w:styleId="References">
    <w:name w:val="References"/>
    <w:basedOn w:val="DefaultParagraphFont"/>
    <w:uiPriority w:val="1"/>
    <w:rsid w:val="00F22F58"/>
    <w:rPr>
      <w:rFonts w:ascii="Times New Roman" w:hAnsi="Times New Roman"/>
      <w:b/>
      <w:bCs/>
      <w:i/>
      <w:iCs/>
      <w:sz w:val="22"/>
    </w:rPr>
  </w:style>
  <w:style w:type="paragraph" w:customStyle="1" w:styleId="rightfooter">
    <w:name w:val="right footer"/>
    <w:basedOn w:val="Normal"/>
    <w:uiPriority w:val="1"/>
    <w:rsid w:val="00F22F58"/>
    <w:pPr>
      <w:pBdr>
        <w:top w:val="single" w:sz="4" w:space="1" w:color="auto"/>
      </w:pBdr>
      <w:spacing w:before="60" w:after="60"/>
      <w:ind w:left="34"/>
      <w:jc w:val="right"/>
    </w:pPr>
    <w:rPr>
      <w:rFonts w:eastAsia="Times New Roman" w:cs="Times New Roman"/>
      <w:i/>
      <w:sz w:val="20"/>
      <w:szCs w:val="20"/>
      <w:lang w:eastAsia="en-AU"/>
    </w:rPr>
  </w:style>
  <w:style w:type="paragraph" w:customStyle="1" w:styleId="rightheader">
    <w:name w:val="right header"/>
    <w:basedOn w:val="Normal"/>
    <w:uiPriority w:val="1"/>
    <w:rsid w:val="00D04933"/>
    <w:pPr>
      <w:pBdr>
        <w:bottom w:val="single" w:sz="4" w:space="1" w:color="auto"/>
      </w:pBdr>
      <w:jc w:val="right"/>
    </w:pPr>
    <w:rPr>
      <w:i/>
      <w:sz w:val="20"/>
    </w:rPr>
  </w:style>
  <w:style w:type="paragraph" w:customStyle="1" w:styleId="RISbullet">
    <w:name w:val="RIS bullet"/>
    <w:basedOn w:val="Dotpoint1"/>
    <w:uiPriority w:val="2"/>
    <w:rsid w:val="00F22F58"/>
    <w:pPr>
      <w:tabs>
        <w:tab w:val="left" w:pos="567"/>
      </w:tabs>
      <w:ind w:left="851" w:hanging="284"/>
    </w:pPr>
  </w:style>
  <w:style w:type="paragraph" w:customStyle="1" w:styleId="RISbullet2">
    <w:name w:val="RIS bullet 2"/>
    <w:basedOn w:val="RISbullet"/>
    <w:uiPriority w:val="2"/>
    <w:rsid w:val="00F22F58"/>
    <w:pPr>
      <w:numPr>
        <w:numId w:val="18"/>
      </w:numPr>
      <w:tabs>
        <w:tab w:val="clear" w:pos="567"/>
      </w:tabs>
    </w:pPr>
  </w:style>
  <w:style w:type="paragraph" w:customStyle="1" w:styleId="Tabledotpoint1">
    <w:name w:val="Table dot point 1"/>
    <w:basedOn w:val="Normalparatextnonumbers"/>
    <w:uiPriority w:val="1"/>
    <w:rsid w:val="000E521B"/>
    <w:pPr>
      <w:numPr>
        <w:numId w:val="19"/>
      </w:numPr>
      <w:ind w:left="425" w:hanging="425"/>
    </w:pPr>
    <w:rPr>
      <w:sz w:val="20"/>
    </w:rPr>
  </w:style>
  <w:style w:type="paragraph" w:customStyle="1" w:styleId="Tabledotpoint2">
    <w:name w:val="Table dot point 2"/>
    <w:basedOn w:val="Tabledotpoint1"/>
    <w:uiPriority w:val="1"/>
    <w:rsid w:val="000E521B"/>
    <w:pPr>
      <w:numPr>
        <w:numId w:val="20"/>
      </w:numPr>
      <w:ind w:left="850" w:hanging="425"/>
    </w:pPr>
  </w:style>
  <w:style w:type="paragraph" w:customStyle="1" w:styleId="Tableheaderrowtext">
    <w:name w:val="Table header row text"/>
    <w:basedOn w:val="Heading4"/>
    <w:uiPriority w:val="1"/>
    <w:rsid w:val="005D0844"/>
    <w:pPr>
      <w:keepLines w:val="0"/>
      <w:spacing w:before="120" w:after="120"/>
    </w:pPr>
    <w:rPr>
      <w:rFonts w:eastAsia="Times New Roman" w:cs="Helvetica"/>
      <w:b/>
      <w:i/>
      <w:sz w:val="22"/>
    </w:rPr>
  </w:style>
  <w:style w:type="paragraph" w:styleId="TOC1">
    <w:name w:val="toc 1"/>
    <w:basedOn w:val="Normal"/>
    <w:next w:val="TOC2"/>
    <w:uiPriority w:val="39"/>
    <w:rsid w:val="00170C78"/>
    <w:pPr>
      <w:tabs>
        <w:tab w:val="right" w:leader="dot" w:pos="7655"/>
      </w:tabs>
      <w:ind w:left="1758" w:hanging="1758"/>
    </w:pPr>
    <w:rPr>
      <w:rFonts w:ascii="Helvitica" w:hAnsi="Helvitica" w:cstheme="minorHAnsi"/>
      <w:bCs/>
      <w:sz w:val="24"/>
      <w:szCs w:val="20"/>
    </w:rPr>
  </w:style>
  <w:style w:type="paragraph" w:styleId="TOC2">
    <w:name w:val="toc 2"/>
    <w:basedOn w:val="Normal"/>
    <w:next w:val="Normal"/>
    <w:uiPriority w:val="39"/>
    <w:rsid w:val="00683847"/>
    <w:pPr>
      <w:tabs>
        <w:tab w:val="right" w:leader="dot" w:pos="7655"/>
      </w:tabs>
    </w:pPr>
    <w:rPr>
      <w:rFonts w:ascii="Helvetica" w:hAnsi="Helvetica"/>
      <w:noProof/>
      <w:sz w:val="24"/>
    </w:rPr>
  </w:style>
  <w:style w:type="paragraph" w:styleId="TOC3">
    <w:name w:val="toc 3"/>
    <w:basedOn w:val="Normal"/>
    <w:next w:val="Normal"/>
    <w:uiPriority w:val="39"/>
    <w:unhideWhenUsed/>
    <w:rsid w:val="00414017"/>
    <w:pPr>
      <w:tabs>
        <w:tab w:val="right" w:leader="dot" w:pos="7655"/>
      </w:tabs>
      <w:ind w:left="442"/>
    </w:pPr>
    <w:rPr>
      <w:rFonts w:ascii="Helvitica" w:hAnsi="Helvitica" w:cstheme="minorHAnsi"/>
      <w:iCs/>
      <w:sz w:val="24"/>
      <w:szCs w:val="20"/>
    </w:rPr>
  </w:style>
  <w:style w:type="paragraph" w:customStyle="1" w:styleId="Tabletext">
    <w:name w:val="Table text"/>
    <w:basedOn w:val="Normal"/>
    <w:uiPriority w:val="1"/>
    <w:rsid w:val="00F22F58"/>
    <w:pPr>
      <w:spacing w:before="60" w:after="60"/>
      <w:ind w:left="34"/>
    </w:pPr>
    <w:rPr>
      <w:rFonts w:eastAsia="Times New Roman" w:cs="Times New Roman"/>
      <w:sz w:val="20"/>
      <w:szCs w:val="20"/>
      <w:lang w:eastAsia="en-AU"/>
    </w:rPr>
  </w:style>
  <w:style w:type="paragraph" w:customStyle="1" w:styleId="TOCHeading">
    <w:name w:val="TOCHeading"/>
    <w:basedOn w:val="Normal"/>
    <w:next w:val="Normalparatextnonumbers"/>
    <w:qFormat/>
    <w:rsid w:val="00F22F58"/>
    <w:pPr>
      <w:spacing w:before="360" w:after="360"/>
    </w:pPr>
    <w:rPr>
      <w:rFonts w:ascii="Helvitica" w:hAnsi="Helvitica"/>
      <w:sz w:val="40"/>
    </w:rPr>
  </w:style>
  <w:style w:type="character" w:customStyle="1" w:styleId="EndnoteTextChar">
    <w:name w:val="Endnote Text Char"/>
    <w:basedOn w:val="DefaultParagraphFont"/>
    <w:link w:val="EndnoteText"/>
    <w:uiPriority w:val="3"/>
    <w:rsid w:val="002D080A"/>
    <w:rPr>
      <w:rFonts w:ascii="Times New Roman" w:hAnsi="Times New Roman"/>
      <w:sz w:val="20"/>
      <w:szCs w:val="20"/>
    </w:rPr>
  </w:style>
  <w:style w:type="paragraph" w:customStyle="1" w:styleId="Coverpageheading">
    <w:name w:val="Cover page heading"/>
    <w:basedOn w:val="Normalparatextnonumbers"/>
    <w:next w:val="Normalparatextnonumbers"/>
    <w:uiPriority w:val="1"/>
    <w:qFormat/>
    <w:rsid w:val="002D080A"/>
    <w:pPr>
      <w:spacing w:after="480"/>
      <w:jc w:val="center"/>
    </w:pPr>
    <w:rPr>
      <w:rFonts w:ascii="Helvitica" w:hAnsi="Helvitica"/>
      <w:sz w:val="36"/>
    </w:rPr>
  </w:style>
  <w:style w:type="paragraph" w:styleId="NoSpacing">
    <w:name w:val="No Spacing"/>
    <w:uiPriority w:val="3"/>
    <w:rsid w:val="002D080A"/>
    <w:pPr>
      <w:spacing w:after="0" w:line="240" w:lineRule="auto"/>
    </w:pPr>
  </w:style>
  <w:style w:type="character" w:styleId="Hyperlink">
    <w:name w:val="Hyperlink"/>
    <w:basedOn w:val="DefaultParagraphFont"/>
    <w:uiPriority w:val="99"/>
    <w:rsid w:val="00873094"/>
    <w:rPr>
      <w:color w:val="0563C1" w:themeColor="hyperlink"/>
      <w:u w:val="single"/>
    </w:rPr>
  </w:style>
  <w:style w:type="table" w:styleId="TableGrid">
    <w:name w:val="Table Grid"/>
    <w:basedOn w:val="TableNormal"/>
    <w:rsid w:val="00873094"/>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easurytable">
    <w:name w:val="Treasury table"/>
    <w:basedOn w:val="TableNormal"/>
    <w:uiPriority w:val="99"/>
    <w:rsid w:val="00873094"/>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280" w:beforeAutospacing="0" w:afterLines="0" w:after="240" w:afterAutospacing="0" w:line="240" w:lineRule="auto"/>
      </w:pPr>
      <w:rPr>
        <w:rFonts w:ascii="Helvetica" w:hAnsi="Helvetica"/>
        <w:sz w:val="28"/>
      </w:rPr>
      <w:tblPr/>
      <w:trPr>
        <w:cantSplit/>
        <w:tblHeader/>
      </w:trPr>
    </w:tblStylePr>
  </w:style>
  <w:style w:type="paragraph" w:customStyle="1" w:styleId="ParaCentredNoSpacing">
    <w:name w:val="ParaCentredNoSpacing"/>
    <w:basedOn w:val="Baseparagraphcentred"/>
    <w:qFormat/>
    <w:rsid w:val="00E24AA1"/>
    <w:pPr>
      <w:spacing w:before="0" w:after="0"/>
    </w:pPr>
  </w:style>
  <w:style w:type="paragraph" w:customStyle="1" w:styleId="Referenceafterdotpoint">
    <w:name w:val="Reference after dot point"/>
    <w:basedOn w:val="Normalparatextnonumbers"/>
    <w:next w:val="Dotpoint1"/>
    <w:rsid w:val="00DF5D0C"/>
    <w:pPr>
      <w:spacing w:before="0" w:after="0"/>
      <w:ind w:left="709"/>
    </w:pPr>
    <w:rPr>
      <w:b/>
      <w:i/>
      <w:noProof/>
    </w:rPr>
  </w:style>
  <w:style w:type="character" w:customStyle="1" w:styleId="Heading6Char">
    <w:name w:val="Heading 6 Char"/>
    <w:basedOn w:val="DefaultParagraphFont"/>
    <w:link w:val="Heading6"/>
    <w:uiPriority w:val="9"/>
    <w:rsid w:val="002A2137"/>
    <w:rPr>
      <w:rFonts w:ascii="Helvitica" w:eastAsiaTheme="majorEastAsia" w:hAnsi="Helvitica" w:cstheme="majorBidi"/>
      <w:i/>
    </w:rPr>
  </w:style>
  <w:style w:type="paragraph" w:customStyle="1" w:styleId="Scheduleheading">
    <w:name w:val="Schedule heading"/>
    <w:basedOn w:val="Heading2"/>
    <w:next w:val="Normalparatextnonumbers"/>
    <w:link w:val="ScheduleheadingChar"/>
    <w:rsid w:val="003556BF"/>
  </w:style>
  <w:style w:type="character" w:customStyle="1" w:styleId="ScheduleheadingChar">
    <w:name w:val="Schedule heading Char"/>
    <w:basedOn w:val="Heading2Char"/>
    <w:link w:val="Scheduleheading"/>
    <w:rsid w:val="003556BF"/>
    <w:rPr>
      <w:rFonts w:ascii="Helvitica" w:eastAsiaTheme="majorEastAsia" w:hAnsi="Helvitica" w:cstheme="majorBidi"/>
      <w:sz w:val="36"/>
      <w:szCs w:val="26"/>
    </w:rPr>
  </w:style>
  <w:style w:type="character" w:styleId="UnresolvedMention">
    <w:name w:val="Unresolved Mention"/>
    <w:basedOn w:val="DefaultParagraphFont"/>
    <w:uiPriority w:val="99"/>
    <w:semiHidden/>
    <w:unhideWhenUsed/>
    <w:rsid w:val="007A2DBD"/>
    <w:rPr>
      <w:color w:val="605E5C"/>
      <w:shd w:val="clear" w:color="auto" w:fill="E1DFDD"/>
    </w:rPr>
  </w:style>
  <w:style w:type="paragraph" w:styleId="Revision">
    <w:name w:val="Revision"/>
    <w:hidden/>
    <w:uiPriority w:val="99"/>
    <w:semiHidden/>
    <w:rsid w:val="009732E4"/>
    <w:pPr>
      <w:spacing w:after="0" w:line="240" w:lineRule="auto"/>
    </w:pPr>
    <w:rPr>
      <w:rFonts w:ascii="Times New Roman" w:hAnsi="Times New Roman"/>
    </w:rPr>
  </w:style>
  <w:style w:type="paragraph" w:styleId="TOC4">
    <w:name w:val="toc 4"/>
    <w:basedOn w:val="Normal"/>
    <w:next w:val="Normal"/>
    <w:autoRedefine/>
    <w:uiPriority w:val="39"/>
    <w:semiHidden/>
    <w:unhideWhenUsed/>
    <w:rsid w:val="00405AD6"/>
    <w:pPr>
      <w:spacing w:after="100"/>
      <w:ind w:left="660"/>
    </w:pPr>
  </w:style>
  <w:style w:type="paragraph" w:styleId="TOC5">
    <w:name w:val="toc 5"/>
    <w:basedOn w:val="Normal"/>
    <w:next w:val="Normal"/>
    <w:autoRedefine/>
    <w:uiPriority w:val="39"/>
    <w:semiHidden/>
    <w:unhideWhenUsed/>
    <w:rsid w:val="00405AD6"/>
    <w:pPr>
      <w:spacing w:after="100"/>
      <w:ind w:left="880"/>
    </w:pPr>
  </w:style>
  <w:style w:type="paragraph" w:styleId="TOC6">
    <w:name w:val="toc 6"/>
    <w:basedOn w:val="Normal"/>
    <w:next w:val="Normal"/>
    <w:autoRedefine/>
    <w:uiPriority w:val="39"/>
    <w:semiHidden/>
    <w:unhideWhenUsed/>
    <w:rsid w:val="00405AD6"/>
    <w:pPr>
      <w:spacing w:after="100"/>
      <w:ind w:left="1100"/>
    </w:pPr>
  </w:style>
  <w:style w:type="paragraph" w:styleId="TOC7">
    <w:name w:val="toc 7"/>
    <w:basedOn w:val="Normal"/>
    <w:next w:val="Normal"/>
    <w:autoRedefine/>
    <w:uiPriority w:val="39"/>
    <w:semiHidden/>
    <w:unhideWhenUsed/>
    <w:rsid w:val="00405AD6"/>
    <w:pPr>
      <w:spacing w:after="100"/>
      <w:ind w:left="1320"/>
    </w:pPr>
  </w:style>
  <w:style w:type="paragraph" w:styleId="TOC8">
    <w:name w:val="toc 8"/>
    <w:basedOn w:val="Normal"/>
    <w:next w:val="Normal"/>
    <w:autoRedefine/>
    <w:uiPriority w:val="39"/>
    <w:semiHidden/>
    <w:unhideWhenUsed/>
    <w:rsid w:val="00405AD6"/>
    <w:pPr>
      <w:spacing w:after="100"/>
      <w:ind w:left="1540"/>
    </w:pPr>
  </w:style>
  <w:style w:type="paragraph" w:styleId="TOC9">
    <w:name w:val="toc 9"/>
    <w:basedOn w:val="Normal"/>
    <w:next w:val="Normal"/>
    <w:autoRedefine/>
    <w:uiPriority w:val="39"/>
    <w:semiHidden/>
    <w:unhideWhenUsed/>
    <w:rsid w:val="00405AD6"/>
    <w:pPr>
      <w:spacing w:after="100"/>
      <w:ind w:left="1760"/>
    </w:pPr>
  </w:style>
  <w:style w:type="character" w:styleId="CommentReference">
    <w:name w:val="annotation reference"/>
    <w:basedOn w:val="DefaultParagraphFont"/>
    <w:uiPriority w:val="99"/>
    <w:semiHidden/>
    <w:unhideWhenUsed/>
    <w:rsid w:val="00E57EF1"/>
    <w:rPr>
      <w:sz w:val="16"/>
      <w:szCs w:val="16"/>
    </w:rPr>
  </w:style>
  <w:style w:type="paragraph" w:styleId="CommentText">
    <w:name w:val="annotation text"/>
    <w:basedOn w:val="Normal"/>
    <w:link w:val="CommentTextChar"/>
    <w:uiPriority w:val="99"/>
    <w:unhideWhenUsed/>
    <w:rsid w:val="00E57EF1"/>
    <w:rPr>
      <w:sz w:val="20"/>
      <w:szCs w:val="20"/>
    </w:rPr>
  </w:style>
  <w:style w:type="character" w:customStyle="1" w:styleId="CommentTextChar">
    <w:name w:val="Comment Text Char"/>
    <w:basedOn w:val="DefaultParagraphFont"/>
    <w:link w:val="CommentText"/>
    <w:uiPriority w:val="99"/>
    <w:rsid w:val="00E57EF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B200B"/>
    <w:rPr>
      <w:b/>
      <w:bCs/>
    </w:rPr>
  </w:style>
  <w:style w:type="character" w:customStyle="1" w:styleId="CommentSubjectChar">
    <w:name w:val="Comment Subject Char"/>
    <w:basedOn w:val="CommentTextChar"/>
    <w:link w:val="CommentSubject"/>
    <w:uiPriority w:val="99"/>
    <w:semiHidden/>
    <w:rsid w:val="006B200B"/>
    <w:rPr>
      <w:rFonts w:ascii="Times New Roman" w:hAnsi="Times New Roman"/>
      <w:b/>
      <w:bCs/>
      <w:sz w:val="20"/>
      <w:szCs w:val="20"/>
    </w:rPr>
  </w:style>
  <w:style w:type="paragraph" w:customStyle="1" w:styleId="Bullet">
    <w:name w:val="Bullet"/>
    <w:basedOn w:val="Normal"/>
    <w:link w:val="BulletChar"/>
    <w:rsid w:val="000727D8"/>
    <w:pPr>
      <w:numPr>
        <w:numId w:val="24"/>
      </w:numPr>
    </w:pPr>
  </w:style>
  <w:style w:type="character" w:customStyle="1" w:styleId="NormalparatextnonumbersChar">
    <w:name w:val="Normal para text (no numbers) Char"/>
    <w:basedOn w:val="DefaultParagraphFont"/>
    <w:link w:val="Normalparatextnonumbers"/>
    <w:rsid w:val="000727D8"/>
    <w:rPr>
      <w:rFonts w:ascii="Times New Roman" w:hAnsi="Times New Roman"/>
    </w:rPr>
  </w:style>
  <w:style w:type="character" w:customStyle="1" w:styleId="NormalparatextwithnumbersChar">
    <w:name w:val="Normal para text (with numbers) Char"/>
    <w:basedOn w:val="NormalparatextnonumbersChar"/>
    <w:link w:val="Normalparatextwithnumbers"/>
    <w:rsid w:val="000727D8"/>
    <w:rPr>
      <w:rFonts w:ascii="Times New Roman" w:hAnsi="Times New Roman"/>
    </w:rPr>
  </w:style>
  <w:style w:type="character" w:customStyle="1" w:styleId="BulletChar">
    <w:name w:val="Bullet Char"/>
    <w:basedOn w:val="NormalparatextwithnumbersChar"/>
    <w:link w:val="Bullet"/>
    <w:rsid w:val="000727D8"/>
    <w:rPr>
      <w:rFonts w:ascii="Times New Roman" w:hAnsi="Times New Roman"/>
    </w:rPr>
  </w:style>
  <w:style w:type="paragraph" w:customStyle="1" w:styleId="DoubleDot">
    <w:name w:val="Double Dot"/>
    <w:basedOn w:val="Normal"/>
    <w:link w:val="DoubleDotChar"/>
    <w:rsid w:val="000727D8"/>
    <w:pPr>
      <w:numPr>
        <w:ilvl w:val="2"/>
        <w:numId w:val="24"/>
      </w:numPr>
    </w:pPr>
  </w:style>
  <w:style w:type="character" w:customStyle="1" w:styleId="DoubleDotChar">
    <w:name w:val="Double Dot Char"/>
    <w:basedOn w:val="NormalparatextwithnumbersChar"/>
    <w:link w:val="DoubleDot"/>
    <w:rsid w:val="000727D8"/>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469127">
      <w:bodyDiv w:val="1"/>
      <w:marLeft w:val="0"/>
      <w:marRight w:val="0"/>
      <w:marTop w:val="0"/>
      <w:marBottom w:val="0"/>
      <w:divBdr>
        <w:top w:val="none" w:sz="0" w:space="0" w:color="auto"/>
        <w:left w:val="none" w:sz="0" w:space="0" w:color="auto"/>
        <w:bottom w:val="none" w:sz="0" w:space="0" w:color="auto"/>
        <w:right w:val="none" w:sz="0" w:space="0" w:color="auto"/>
      </w:divBdr>
    </w:div>
    <w:div w:id="1118992316">
      <w:bodyDiv w:val="1"/>
      <w:marLeft w:val="0"/>
      <w:marRight w:val="0"/>
      <w:marTop w:val="0"/>
      <w:marBottom w:val="0"/>
      <w:divBdr>
        <w:top w:val="none" w:sz="0" w:space="0" w:color="auto"/>
        <w:left w:val="none" w:sz="0" w:space="0" w:color="auto"/>
        <w:bottom w:val="none" w:sz="0" w:space="0" w:color="auto"/>
        <w:right w:val="none" w:sz="0" w:space="0" w:color="auto"/>
      </w:divBdr>
    </w:div>
    <w:div w:id="153080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8.xml"/><Relationship Id="rId10" Type="http://schemas.openxmlformats.org/officeDocument/2006/relationships/webSettings" Target="webSetting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Pri-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AE-20260-Destroy 7 years after action completed</TermName>
          <TermId xmlns="http://schemas.microsoft.com/office/infopath/2007/PartnerControls">623f5ec9-ec5d-4824-8e13-9c9bfc51fe7e</TermId>
        </TermInfo>
      </Terms>
    </lb508a4dc5e84436a0fe496b536466aa>
    <_dlc_DocId xmlns="0f563589-9cf9-4143-b1eb-fb0534803d38">2022RG-308-707</_dlc_DocId>
    <TaxCatchAll xmlns="0f563589-9cf9-4143-b1eb-fb0534803d38">
      <Value>1</Value>
    </TaxCatchAll>
    <_dlc_DocIdUrl xmlns="0f563589-9cf9-4143-b1eb-fb0534803d38">
      <Url>http://tweb/sites/rg/iitd/bi/_layouts/15/DocIdRedir.aspx?ID=2022RG-308-707</Url>
      <Description>2022RG-308-707</Description>
    </_dlc_DocIdUrl>
    <IconOverlay xmlns="http://schemas.microsoft.com/sharepoint/v4" xsi:nil="true"/>
  </documentManagement>
</p:properties>
</file>

<file path=customXml/item2.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5A104E566229064FBF3B94A508EE4F70" ma:contentTypeVersion="48928" ma:contentTypeDescription="" ma:contentTypeScope="" ma:versionID="4d68c2d6a0f4aab30ac3e38035244e86">
  <xsd:schema xmlns:xsd="http://www.w3.org/2001/XMLSchema" xmlns:xs="http://www.w3.org/2001/XMLSchema" xmlns:p="http://schemas.microsoft.com/office/2006/metadata/properties" xmlns:ns1="http://schemas.microsoft.com/sharepoint/v3" xmlns:ns2="0f563589-9cf9-4143-b1eb-fb0534803d38" xmlns:ns3="9f7bc583-7cbe-45b9-a2bd-8bbb6543b37e" xmlns:ns4="http://schemas.microsoft.com/sharepoint/v4" targetNamespace="http://schemas.microsoft.com/office/2006/metadata/properties" ma:root="true" ma:fieldsID="40f6309a43308d9fbdf8d881c82eb625" ns1:_="" ns2:_="" ns3:_="" ns4: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365E2-A817-49FA-9295-CAB62986032D}">
  <ds:schemaRefs>
    <ds:schemaRef ds:uri="http://schemas.microsoft.com/office/2006/metadata/properties"/>
    <ds:schemaRef ds:uri="http://schemas.microsoft.com/office/infopath/2007/PartnerControls"/>
    <ds:schemaRef ds:uri="9f7bc583-7cbe-45b9-a2bd-8bbb6543b37e"/>
    <ds:schemaRef ds:uri="0f563589-9cf9-4143-b1eb-fb0534803d38"/>
    <ds:schemaRef ds:uri="http://schemas.microsoft.com/sharepoint/v4"/>
  </ds:schemaRefs>
</ds:datastoreItem>
</file>

<file path=customXml/itemProps2.xml><?xml version="1.0" encoding="utf-8"?>
<ds:datastoreItem xmlns:ds="http://schemas.openxmlformats.org/officeDocument/2006/customXml" ds:itemID="{053F917A-5910-49D6-ACB2-C89ED82D310E}">
  <ds:schemaRefs>
    <ds:schemaRef ds:uri="office.server.policy"/>
  </ds:schemaRefs>
</ds:datastoreItem>
</file>

<file path=customXml/itemProps3.xml><?xml version="1.0" encoding="utf-8"?>
<ds:datastoreItem xmlns:ds="http://schemas.openxmlformats.org/officeDocument/2006/customXml" ds:itemID="{466923F5-2C3A-4884-9281-238330888898}">
  <ds:schemaRefs>
    <ds:schemaRef ds:uri="http://schemas.microsoft.com/sharepoint/v3/contenttype/forms"/>
  </ds:schemaRefs>
</ds:datastoreItem>
</file>

<file path=customXml/itemProps4.xml><?xml version="1.0" encoding="utf-8"?>
<ds:datastoreItem xmlns:ds="http://schemas.openxmlformats.org/officeDocument/2006/customXml" ds:itemID="{0337DAFF-294B-4BB4-B368-DEA8D1C2D3AF}">
  <ds:schemaRefs>
    <ds:schemaRef ds:uri="http://schemas.microsoft.com/sharepoint/events"/>
  </ds:schemaRefs>
</ds:datastoreItem>
</file>

<file path=customXml/itemProps5.xml><?xml version="1.0" encoding="utf-8"?>
<ds:datastoreItem xmlns:ds="http://schemas.openxmlformats.org/officeDocument/2006/customXml" ds:itemID="{B25EF7BE-B4F3-4F76-810A-086A90C6ED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24B7E0D-E4BB-4C42-AF48-BF023295B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Pri-EM.dotx</Template>
  <TotalTime>3</TotalTime>
  <Pages>15</Pages>
  <Words>3157</Words>
  <Characters>16245</Characters>
  <Application>Microsoft Office Word</Application>
  <DocSecurity>0</DocSecurity>
  <Lines>359</Lines>
  <Paragraphs>119</Paragraphs>
  <ScaleCrop>false</ScaleCrop>
  <HeadingPairs>
    <vt:vector size="2" baseType="variant">
      <vt:variant>
        <vt:lpstr>Title</vt:lpstr>
      </vt:variant>
      <vt:variant>
        <vt:i4>1</vt:i4>
      </vt:variant>
    </vt:vector>
  </HeadingPairs>
  <TitlesOfParts>
    <vt:vector size="1" baseType="lpstr">
      <vt:lpstr>Exposure Draft Explanatory Materials: Treasury Laws Amendment (Measures for consultation) Bill 2022: Technology investment boost</vt:lpstr>
    </vt:vector>
  </TitlesOfParts>
  <Company/>
  <LinksUpToDate>false</LinksUpToDate>
  <CharactersWithSpaces>19336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Explanatory Materials: Treasury Laws Amendment (Measures for consultation) Bill 2022: Technology investment boost</dc:title>
  <dc:subject/>
  <dc:creator>Australian Government</dc:creator>
  <cp:keywords/>
  <dc:description/>
  <cp:lastModifiedBy>Smith, Matthew</cp:lastModifiedBy>
  <cp:revision>3</cp:revision>
  <cp:lastPrinted>2022-08-11T06:32:00Z</cp:lastPrinted>
  <dcterms:created xsi:type="dcterms:W3CDTF">2022-08-11T06:39:00Z</dcterms:created>
  <dcterms:modified xsi:type="dcterms:W3CDTF">2022-08-18T00:17:00Z</dcterms:modified>
</cp:coreProperties>
</file>