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noProof/>
        </w:rPr>
        <w:id w:val="-33892015"/>
        <w:docPartObj>
          <w:docPartGallery w:val="Cover Pages"/>
          <w:docPartUnique/>
        </w:docPartObj>
      </w:sdtPr>
      <w:sdtEndPr/>
      <w:sdtContent>
        <w:p w14:paraId="4D5040E7" w14:textId="77777777" w:rsidR="00E370FD" w:rsidRPr="00D93DA9" w:rsidRDefault="00E370FD" w:rsidP="00D93DA9"/>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E370FD" w:rsidRPr="00F353FD" w14:paraId="744F590B" w14:textId="77777777" w:rsidTr="001825D0">
            <w:trPr>
              <w:trHeight w:val="4227"/>
            </w:trPr>
            <w:tc>
              <w:tcPr>
                <w:tcW w:w="9242" w:type="dxa"/>
              </w:tcPr>
              <w:p w14:paraId="1AD6CA92" w14:textId="77777777" w:rsidR="00E370FD" w:rsidRPr="00D93DA9" w:rsidRDefault="00EF303B" w:rsidP="00D93DA9">
                <w:r>
                  <w:rPr>
                    <w:noProof/>
                    <w:lang w:eastAsia="en-AU"/>
                  </w:rPr>
                  <w:drawing>
                    <wp:inline distT="0" distB="0" distL="0" distR="0" wp14:anchorId="538AE206" wp14:editId="120DE8B5">
                      <wp:extent cx="4229100" cy="838200"/>
                      <wp:effectExtent l="0" t="0" r="0" b="0"/>
                      <wp:docPr id="1" name="Picture 1" descr="GOV CDR RG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CDR RGB 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0" cy="838200"/>
                              </a:xfrm>
                              <a:prstGeom prst="rect">
                                <a:avLst/>
                              </a:prstGeom>
                              <a:noFill/>
                              <a:ln>
                                <a:noFill/>
                              </a:ln>
                            </pic:spPr>
                          </pic:pic>
                        </a:graphicData>
                      </a:graphic>
                    </wp:inline>
                  </w:drawing>
                </w:r>
              </w:p>
              <w:p w14:paraId="3D25F5B1" w14:textId="77777777" w:rsidR="00E370FD" w:rsidRPr="00E27642" w:rsidRDefault="00E370FD" w:rsidP="001825D0"/>
            </w:tc>
          </w:tr>
          <w:tr w:rsidR="00E370FD" w:rsidRPr="00C755AD" w14:paraId="6B06BA18" w14:textId="77777777" w:rsidTr="001825D0">
            <w:tc>
              <w:tcPr>
                <w:tcW w:w="9242" w:type="dxa"/>
              </w:tcPr>
              <w:p w14:paraId="4C499095" w14:textId="6BFA55C8" w:rsidR="004F1594" w:rsidRPr="004F1594" w:rsidRDefault="004F1594" w:rsidP="004F1594">
                <w:pPr>
                  <w:pStyle w:val="Title"/>
                  <w:rPr>
                    <w:color w:val="00518E"/>
                  </w:rPr>
                </w:pPr>
                <w:bookmarkStart w:id="1" w:name="_Toc108794095"/>
                <w:r w:rsidRPr="004F1594">
                  <w:rPr>
                    <w:color w:val="00518E"/>
                  </w:rPr>
                  <w:t>C</w:t>
                </w:r>
                <w:r>
                  <w:rPr>
                    <w:color w:val="00518E"/>
                  </w:rPr>
                  <w:t>o</w:t>
                </w:r>
                <w:r w:rsidRPr="004F1594">
                  <w:rPr>
                    <w:color w:val="00518E"/>
                  </w:rPr>
                  <w:t>nsumer data right: Non</w:t>
                </w:r>
                <w:r w:rsidRPr="004F1594">
                  <w:rPr>
                    <w:color w:val="00518E"/>
                  </w:rPr>
                  <w:noBreakHyphen/>
                  <w:t>bank lending sectoral assessment</w:t>
                </w:r>
                <w:bookmarkEnd w:id="1"/>
              </w:p>
              <w:p w14:paraId="231801B8" w14:textId="034A1663" w:rsidR="00E370FD" w:rsidRPr="00C755AD" w:rsidRDefault="00E370FD" w:rsidP="001825D0">
                <w:pPr>
                  <w:pStyle w:val="Title"/>
                </w:pPr>
              </w:p>
            </w:tc>
          </w:tr>
          <w:tr w:rsidR="00E370FD" w:rsidRPr="00C755AD" w14:paraId="2C6A112B" w14:textId="77777777" w:rsidTr="001825D0">
            <w:tc>
              <w:tcPr>
                <w:tcW w:w="9242" w:type="dxa"/>
              </w:tcPr>
              <w:p w14:paraId="7C1E2B24" w14:textId="3944C571" w:rsidR="00E370FD" w:rsidRPr="00B325AF" w:rsidRDefault="004F1594" w:rsidP="00B325AF">
                <w:pPr>
                  <w:pStyle w:val="Subtitle"/>
                </w:pPr>
                <w:r>
                  <w:t xml:space="preserve">Final </w:t>
                </w:r>
                <w:r w:rsidR="007B3EDA">
                  <w:t>report</w:t>
                </w:r>
              </w:p>
            </w:tc>
          </w:tr>
          <w:tr w:rsidR="00E370FD" w:rsidRPr="00C755AD" w14:paraId="147BDDED" w14:textId="77777777" w:rsidTr="001825D0">
            <w:tc>
              <w:tcPr>
                <w:tcW w:w="9242" w:type="dxa"/>
              </w:tcPr>
              <w:p w14:paraId="7C2179A8" w14:textId="77777777" w:rsidR="00E370FD" w:rsidRPr="00D93DA9" w:rsidRDefault="00E370FD" w:rsidP="00D93DA9"/>
              <w:p w14:paraId="2B451679" w14:textId="49F3AF6C" w:rsidR="00E370FD" w:rsidRPr="00B325AF" w:rsidRDefault="00F659A3" w:rsidP="00B325AF">
                <w:pPr>
                  <w:pStyle w:val="CoverDate"/>
                </w:pPr>
                <w:r>
                  <w:t>August</w:t>
                </w:r>
                <w:r w:rsidR="0051024D">
                  <w:t xml:space="preserve"> </w:t>
                </w:r>
                <w:r w:rsidR="007B3EDA">
                  <w:t>2022</w:t>
                </w:r>
              </w:p>
            </w:tc>
          </w:tr>
        </w:tbl>
        <w:p w14:paraId="0F796AB9" w14:textId="77777777" w:rsidR="00E370FD" w:rsidRPr="00D93DA9" w:rsidRDefault="00E370FD" w:rsidP="00D93DA9"/>
        <w:p w14:paraId="6924FA04" w14:textId="77777777" w:rsidR="00E47844" w:rsidRDefault="00E47844" w:rsidP="009A7C76">
          <w:pPr>
            <w:spacing w:before="0" w:after="160" w:line="259" w:lineRule="auto"/>
          </w:pPr>
        </w:p>
        <w:p w14:paraId="534D2A60" w14:textId="77777777" w:rsidR="00E47844" w:rsidRDefault="00E47844" w:rsidP="009A7C76">
          <w:pPr>
            <w:spacing w:before="0" w:after="160" w:line="259" w:lineRule="auto"/>
          </w:pPr>
        </w:p>
        <w:p w14:paraId="3783E203" w14:textId="77777777" w:rsidR="00E47844" w:rsidRDefault="00E47844" w:rsidP="009A7C76">
          <w:pPr>
            <w:spacing w:before="0" w:after="160" w:line="259" w:lineRule="auto"/>
          </w:pPr>
        </w:p>
        <w:p w14:paraId="789162B4" w14:textId="77777777" w:rsidR="00E47844" w:rsidRDefault="00E47844" w:rsidP="009A7C76">
          <w:pPr>
            <w:spacing w:before="0" w:after="160" w:line="259" w:lineRule="auto"/>
          </w:pPr>
        </w:p>
        <w:p w14:paraId="01A9A7CD" w14:textId="77777777" w:rsidR="00E47844" w:rsidRDefault="00E47844" w:rsidP="009A7C76">
          <w:pPr>
            <w:spacing w:before="0" w:after="160" w:line="259" w:lineRule="auto"/>
          </w:pPr>
        </w:p>
        <w:p w14:paraId="5B5EF1E3" w14:textId="77777777" w:rsidR="00685927" w:rsidRDefault="00685927" w:rsidP="009A7C76">
          <w:pPr>
            <w:spacing w:before="0" w:after="160" w:line="259" w:lineRule="auto"/>
          </w:pPr>
        </w:p>
        <w:p w14:paraId="13DEE8C5" w14:textId="77777777" w:rsidR="00685927" w:rsidRDefault="00685927" w:rsidP="009A7C76">
          <w:pPr>
            <w:spacing w:before="0" w:after="160" w:line="259" w:lineRule="auto"/>
          </w:pPr>
        </w:p>
        <w:p w14:paraId="485815CC" w14:textId="647266CE" w:rsidR="009A7C76" w:rsidRDefault="009A7C76" w:rsidP="009A7C76">
          <w:pPr>
            <w:spacing w:before="0" w:after="160" w:line="259" w:lineRule="auto"/>
          </w:pPr>
          <w:r w:rsidRPr="00661BF0">
            <w:lastRenderedPageBreak/>
            <w:t xml:space="preserve">© Commonwealth of Australia </w:t>
          </w:r>
          <w:r w:rsidRPr="00CC779E">
            <w:t>20</w:t>
          </w:r>
          <w:r w:rsidR="00CC779E" w:rsidRPr="00CC779E">
            <w:t>22</w:t>
          </w:r>
        </w:p>
        <w:p w14:paraId="6DE11CA9" w14:textId="53E4E736" w:rsidR="009A7C76" w:rsidRPr="00086F82" w:rsidRDefault="009A7C76" w:rsidP="009A7C76">
          <w:pPr>
            <w:tabs>
              <w:tab w:val="left" w:pos="1650"/>
            </w:tabs>
            <w:spacing w:before="240"/>
            <w:rPr>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w:t>
          </w:r>
          <w:r w:rsidR="00CC779E">
            <w:t>d</w:t>
          </w:r>
          <w:r w:rsidRPr="002F1BC2">
            <w:t>. The full licence terms are available from</w:t>
          </w:r>
          <w:r w:rsidRPr="00476F09">
            <w:rPr>
              <w:rFonts w:cstheme="minorHAnsi"/>
              <w:sz w:val="24"/>
              <w:szCs w:val="24"/>
            </w:rPr>
            <w:t xml:space="preserve"> </w:t>
          </w:r>
          <w:hyperlink r:id="rId16"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701565AB" w14:textId="77777777" w:rsidR="009A7C76" w:rsidRDefault="009A7C76" w:rsidP="009A7C76">
          <w:pPr>
            <w:pStyle w:val="ChartGraphic"/>
            <w:jc w:val="left"/>
          </w:pPr>
          <w:r w:rsidRPr="00E56DFB">
            <w:rPr>
              <w:noProof/>
            </w:rPr>
            <w:drawing>
              <wp:inline distT="0" distB="0" distL="0" distR="0" wp14:anchorId="142DBFE6" wp14:editId="3A278BB5">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FEA4F12" w14:textId="77777777" w:rsidR="009A7C76" w:rsidRPr="006627B4" w:rsidRDefault="009A7C76" w:rsidP="009A7C76">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5AE872C7" w14:textId="77777777" w:rsidR="009A7C76" w:rsidRPr="006469CC" w:rsidRDefault="009A7C76" w:rsidP="009A7C76">
          <w:pPr>
            <w:spacing w:before="240"/>
            <w:rPr>
              <w:b/>
            </w:rPr>
          </w:pPr>
          <w:r w:rsidRPr="006469CC">
            <w:rPr>
              <w:b/>
            </w:rPr>
            <w:t>Treasury material used ‘as supplied’.</w:t>
          </w:r>
        </w:p>
        <w:p w14:paraId="22882545" w14:textId="370B6848" w:rsidR="009A7C76" w:rsidRPr="00476F09" w:rsidRDefault="009A7C76" w:rsidP="009A7C76">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06128E">
            <w:t>-</w:t>
          </w:r>
          <w:r>
            <w:t xml:space="preserve"> then Treasury prefers t</w:t>
          </w:r>
          <w:r w:rsidRPr="00476F09">
            <w:t xml:space="preserve">he following attribution: </w:t>
          </w:r>
        </w:p>
        <w:p w14:paraId="5C0A8DE6" w14:textId="2DEA22AF" w:rsidR="009A7C76" w:rsidRPr="00A13A11" w:rsidRDefault="009A7C76" w:rsidP="009A7C76">
          <w:pPr>
            <w:ind w:firstLine="720"/>
          </w:pPr>
          <w:r w:rsidRPr="002F1BC2">
            <w:rPr>
              <w:i/>
            </w:rPr>
            <w:t xml:space="preserve">Source: The </w:t>
          </w:r>
          <w:r w:rsidRPr="002F1BC2">
            <w:rPr>
              <w:i/>
              <w:iCs/>
            </w:rPr>
            <w:t>Australian Government the Treasury</w:t>
          </w:r>
          <w:r>
            <w:t>.</w:t>
          </w:r>
        </w:p>
        <w:p w14:paraId="1BF2957C" w14:textId="77777777" w:rsidR="009A7C76" w:rsidRPr="006627B4" w:rsidRDefault="009A7C76" w:rsidP="009A7C76">
          <w:pPr>
            <w:spacing w:before="240"/>
          </w:pPr>
          <w:r w:rsidRPr="00CC63CC">
            <w:rPr>
              <w:b/>
            </w:rPr>
            <w:t>Derivative</w:t>
          </w:r>
          <w:r w:rsidRPr="006627B4">
            <w:t xml:space="preserve"> </w:t>
          </w:r>
          <w:r w:rsidRPr="00CC63CC">
            <w:rPr>
              <w:b/>
            </w:rPr>
            <w:t>material</w:t>
          </w:r>
        </w:p>
        <w:p w14:paraId="445D8339" w14:textId="77777777" w:rsidR="009A7C76" w:rsidRPr="006627B4" w:rsidRDefault="009A7C76" w:rsidP="009A7C76">
          <w:r w:rsidRPr="006627B4">
            <w:t xml:space="preserve">If you have modified or transformed Treasury material, or derived new material from those of the Treasury in any way, then Treasury prefers the following attribution: </w:t>
          </w:r>
        </w:p>
        <w:p w14:paraId="527FFEFE" w14:textId="53B00F2C" w:rsidR="009A7C76" w:rsidRPr="006627B4" w:rsidRDefault="009A7C76" w:rsidP="009A7C76">
          <w:pPr>
            <w:ind w:firstLine="720"/>
          </w:pPr>
          <w:r w:rsidRPr="002F1BC2">
            <w:rPr>
              <w:i/>
            </w:rPr>
            <w:t>Based on The Australian Government the Treasury data</w:t>
          </w:r>
          <w:r>
            <w:t>.</w:t>
          </w:r>
        </w:p>
        <w:p w14:paraId="13663596" w14:textId="77777777" w:rsidR="009A7C76" w:rsidRPr="006627B4" w:rsidRDefault="009A7C76" w:rsidP="009A7C76">
          <w:pPr>
            <w:spacing w:before="240"/>
            <w:rPr>
              <w:b/>
            </w:rPr>
          </w:pPr>
          <w:r w:rsidRPr="006627B4">
            <w:rPr>
              <w:b/>
            </w:rPr>
            <w:t>Use of the Coat of Arms</w:t>
          </w:r>
        </w:p>
        <w:p w14:paraId="532270C4" w14:textId="77777777" w:rsidR="009A7C76" w:rsidRPr="005C503A" w:rsidRDefault="009A7C76" w:rsidP="009A7C76">
          <w:pPr>
            <w:spacing w:before="240"/>
          </w:pPr>
          <w:r w:rsidRPr="005C503A">
            <w:t xml:space="preserve">The terms under which the Coat of Arms can be used are set out on the Department of the Prime Minister and Cabinet website (see </w:t>
          </w:r>
          <w:hyperlink r:id="rId19" w:history="1">
            <w:r>
              <w:rPr>
                <w:rStyle w:val="Hyperlink"/>
              </w:rPr>
              <w:t>http://www.pmc.gov.au/government/commonwealth-coat-arms</w:t>
            </w:r>
          </w:hyperlink>
          <w:r w:rsidRPr="005C503A">
            <w:t>).</w:t>
          </w:r>
        </w:p>
        <w:p w14:paraId="6B4CEEA9" w14:textId="77777777" w:rsidR="009A7C76" w:rsidRPr="006627B4" w:rsidRDefault="009A7C76" w:rsidP="009A7C76">
          <w:pPr>
            <w:spacing w:before="240"/>
            <w:rPr>
              <w:b/>
            </w:rPr>
          </w:pPr>
          <w:r>
            <w:rPr>
              <w:b/>
            </w:rPr>
            <w:t>Other u</w:t>
          </w:r>
          <w:r w:rsidRPr="006627B4">
            <w:rPr>
              <w:b/>
            </w:rPr>
            <w:t>ses</w:t>
          </w:r>
        </w:p>
        <w:p w14:paraId="016CB2F9" w14:textId="77777777" w:rsidR="009A7C76" w:rsidRPr="006627B4" w:rsidRDefault="009A7C76" w:rsidP="009A7C76">
          <w:r>
            <w:t>E</w:t>
          </w:r>
          <w:r w:rsidRPr="006627B4">
            <w:t>nquiries regarding this licence and any other use of this document are welcome at:</w:t>
          </w:r>
        </w:p>
        <w:p w14:paraId="421AAB63" w14:textId="56B29DB5" w:rsidR="009A7C76" w:rsidRPr="002F1BC2" w:rsidRDefault="009A7C76" w:rsidP="009A7C76">
          <w:pPr>
            <w:ind w:left="720"/>
            <w:rPr>
              <w:rStyle w:val="Hyperlink"/>
            </w:rPr>
          </w:pPr>
          <w:r w:rsidRPr="006627B4">
            <w:t>Manager</w:t>
          </w:r>
          <w:r>
            <w:b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0" w:history="1">
            <w:r w:rsidR="0006128E" w:rsidRPr="0025268D">
              <w:rPr>
                <w:rStyle w:val="Hyperlink"/>
              </w:rPr>
              <w:t>media@treasury.gov.au</w:t>
            </w:r>
          </w:hyperlink>
        </w:p>
        <w:p w14:paraId="7F2A6631" w14:textId="77777777" w:rsidR="00865585" w:rsidRDefault="00865585" w:rsidP="00D93DA9">
          <w:pPr>
            <w:sectPr w:rsidR="00865585" w:rsidSect="00C06739">
              <w:footerReference w:type="default" r:id="rId21"/>
              <w:footerReference w:type="first" r:id="rId22"/>
              <w:pgSz w:w="11906" w:h="16838"/>
              <w:pgMar w:top="1276" w:right="1440" w:bottom="1440" w:left="1440" w:header="708" w:footer="708" w:gutter="0"/>
              <w:pgNumType w:start="0"/>
              <w:cols w:space="708"/>
              <w:titlePg/>
              <w:docGrid w:linePitch="360"/>
            </w:sectPr>
          </w:pPr>
        </w:p>
        <w:sdt>
          <w:sdtPr>
            <w:rPr>
              <w:rFonts w:eastAsiaTheme="minorHAnsi" w:cstheme="minorBidi"/>
              <w:bCs w:val="0"/>
              <w:noProof/>
              <w:color w:val="auto"/>
              <w:sz w:val="22"/>
              <w:szCs w:val="22"/>
              <w:lang w:val="en-AU" w:eastAsia="en-US"/>
            </w:rPr>
            <w:id w:val="617881006"/>
            <w:docPartObj>
              <w:docPartGallery w:val="Table of Contents"/>
              <w:docPartUnique/>
            </w:docPartObj>
          </w:sdtPr>
          <w:sdtEndPr>
            <w:rPr>
              <w:b/>
            </w:rPr>
          </w:sdtEndPr>
          <w:sdtContent>
            <w:p w14:paraId="55F00442" w14:textId="77777777" w:rsidR="00905892" w:rsidRDefault="00905892" w:rsidP="005B0D13">
              <w:pPr>
                <w:pStyle w:val="TOCHeading"/>
                <w:spacing w:before="0"/>
              </w:pPr>
              <w:r>
                <w:t>Table of Contents</w:t>
              </w:r>
            </w:p>
            <w:p w14:paraId="2D33114C" w14:textId="758FDA24" w:rsidR="00AB2D14" w:rsidRDefault="00905892">
              <w:pPr>
                <w:pStyle w:val="TOC1"/>
                <w:rPr>
                  <w:rFonts w:asciiTheme="minorHAnsi" w:eastAsiaTheme="minorEastAsia" w:hAnsiTheme="minorHAnsi"/>
                  <w:lang w:val="en-AU" w:eastAsia="en-AU"/>
                </w:rPr>
              </w:pPr>
              <w:r>
                <w:fldChar w:fldCharType="begin"/>
              </w:r>
              <w:r>
                <w:instrText xml:space="preserve"> TOC \o "1-3" \h \z \u </w:instrText>
              </w:r>
              <w:r>
                <w:fldChar w:fldCharType="separate"/>
              </w:r>
            </w:p>
            <w:p w14:paraId="1B2B5C24" w14:textId="7EB00A16" w:rsidR="00AB2D14" w:rsidRDefault="00A229D1">
              <w:pPr>
                <w:pStyle w:val="TOC1"/>
                <w:rPr>
                  <w:rFonts w:asciiTheme="minorHAnsi" w:eastAsiaTheme="minorEastAsia" w:hAnsiTheme="minorHAnsi"/>
                  <w:lang w:val="en-AU" w:eastAsia="en-AU"/>
                </w:rPr>
              </w:pPr>
              <w:hyperlink w:anchor="_Toc108794096" w:history="1">
                <w:r w:rsidR="00AB2D14" w:rsidRPr="006945B3">
                  <w:rPr>
                    <w:rStyle w:val="Hyperlink"/>
                  </w:rPr>
                  <w:t>1.</w:t>
                </w:r>
                <w:r w:rsidR="00AB2D14">
                  <w:rPr>
                    <w:rFonts w:asciiTheme="minorHAnsi" w:eastAsiaTheme="minorEastAsia" w:hAnsiTheme="minorHAnsi"/>
                    <w:lang w:val="en-AU" w:eastAsia="en-AU"/>
                  </w:rPr>
                  <w:tab/>
                </w:r>
                <w:r w:rsidR="00AB2D14" w:rsidRPr="006945B3">
                  <w:rPr>
                    <w:rStyle w:val="Hyperlink"/>
                  </w:rPr>
                  <w:t>Executive summary</w:t>
                </w:r>
                <w:r w:rsidR="00AB2D14">
                  <w:rPr>
                    <w:webHidden/>
                  </w:rPr>
                  <w:tab/>
                </w:r>
                <w:r w:rsidR="00AB2D14">
                  <w:rPr>
                    <w:webHidden/>
                  </w:rPr>
                  <w:fldChar w:fldCharType="begin"/>
                </w:r>
                <w:r w:rsidR="00AB2D14">
                  <w:rPr>
                    <w:webHidden/>
                  </w:rPr>
                  <w:instrText xml:space="preserve"> PAGEREF _Toc108794096 \h </w:instrText>
                </w:r>
                <w:r w:rsidR="00AB2D14">
                  <w:rPr>
                    <w:webHidden/>
                  </w:rPr>
                </w:r>
                <w:r w:rsidR="00AB2D14">
                  <w:rPr>
                    <w:webHidden/>
                  </w:rPr>
                  <w:fldChar w:fldCharType="separate"/>
                </w:r>
                <w:r w:rsidR="00C44655">
                  <w:rPr>
                    <w:webHidden/>
                  </w:rPr>
                  <w:t>3</w:t>
                </w:r>
                <w:r w:rsidR="00AB2D14">
                  <w:rPr>
                    <w:webHidden/>
                  </w:rPr>
                  <w:fldChar w:fldCharType="end"/>
                </w:r>
              </w:hyperlink>
            </w:p>
            <w:p w14:paraId="697A8826" w14:textId="0300470A" w:rsidR="00AB2D14" w:rsidRDefault="00A229D1">
              <w:pPr>
                <w:pStyle w:val="TOC1"/>
                <w:rPr>
                  <w:rFonts w:asciiTheme="minorHAnsi" w:eastAsiaTheme="minorEastAsia" w:hAnsiTheme="minorHAnsi"/>
                  <w:lang w:val="en-AU" w:eastAsia="en-AU"/>
                </w:rPr>
              </w:pPr>
              <w:hyperlink w:anchor="_Toc108794097" w:history="1">
                <w:r w:rsidR="00AB2D14" w:rsidRPr="006945B3">
                  <w:rPr>
                    <w:rStyle w:val="Hyperlink"/>
                  </w:rPr>
                  <w:t>2.</w:t>
                </w:r>
                <w:r w:rsidR="00AB2D14">
                  <w:rPr>
                    <w:rFonts w:asciiTheme="minorHAnsi" w:eastAsiaTheme="minorEastAsia" w:hAnsiTheme="minorHAnsi"/>
                    <w:lang w:val="en-AU" w:eastAsia="en-AU"/>
                  </w:rPr>
                  <w:tab/>
                </w:r>
                <w:r w:rsidR="00AB2D14" w:rsidRPr="006945B3">
                  <w:rPr>
                    <w:rStyle w:val="Hyperlink"/>
                  </w:rPr>
                  <w:t>Designating a sector under the CDR</w:t>
                </w:r>
                <w:r w:rsidR="00AB2D14">
                  <w:rPr>
                    <w:webHidden/>
                  </w:rPr>
                  <w:tab/>
                </w:r>
                <w:r w:rsidR="00AB2D14">
                  <w:rPr>
                    <w:webHidden/>
                  </w:rPr>
                  <w:fldChar w:fldCharType="begin"/>
                </w:r>
                <w:r w:rsidR="00AB2D14">
                  <w:rPr>
                    <w:webHidden/>
                  </w:rPr>
                  <w:instrText xml:space="preserve"> PAGEREF _Toc108794097 \h </w:instrText>
                </w:r>
                <w:r w:rsidR="00AB2D14">
                  <w:rPr>
                    <w:webHidden/>
                  </w:rPr>
                </w:r>
                <w:r w:rsidR="00AB2D14">
                  <w:rPr>
                    <w:webHidden/>
                  </w:rPr>
                  <w:fldChar w:fldCharType="separate"/>
                </w:r>
                <w:r w:rsidR="00C44655">
                  <w:rPr>
                    <w:webHidden/>
                  </w:rPr>
                  <w:t>4</w:t>
                </w:r>
                <w:r w:rsidR="00AB2D14">
                  <w:rPr>
                    <w:webHidden/>
                  </w:rPr>
                  <w:fldChar w:fldCharType="end"/>
                </w:r>
              </w:hyperlink>
            </w:p>
            <w:p w14:paraId="1CC6070D" w14:textId="30168DFF" w:rsidR="00AB2D14" w:rsidRDefault="00A229D1">
              <w:pPr>
                <w:pStyle w:val="TOC2"/>
                <w:rPr>
                  <w:rFonts w:asciiTheme="minorHAnsi" w:eastAsiaTheme="minorEastAsia" w:hAnsiTheme="minorHAnsi"/>
                  <w:lang w:eastAsia="en-AU"/>
                </w:rPr>
              </w:pPr>
              <w:hyperlink w:anchor="_Toc108794098" w:history="1">
                <w:r w:rsidR="00AB2D14" w:rsidRPr="006945B3">
                  <w:rPr>
                    <w:rStyle w:val="Hyperlink"/>
                  </w:rPr>
                  <w:t>2.1.</w:t>
                </w:r>
                <w:r w:rsidR="00AB2D14">
                  <w:rPr>
                    <w:rFonts w:asciiTheme="minorHAnsi" w:eastAsiaTheme="minorEastAsia" w:hAnsiTheme="minorHAnsi"/>
                    <w:lang w:eastAsia="en-AU"/>
                  </w:rPr>
                  <w:tab/>
                </w:r>
                <w:r w:rsidR="00AB2D14" w:rsidRPr="006945B3">
                  <w:rPr>
                    <w:rStyle w:val="Hyperlink"/>
                  </w:rPr>
                  <w:t>The Consumer Data Right</w:t>
                </w:r>
                <w:r w:rsidR="00AB2D14">
                  <w:rPr>
                    <w:webHidden/>
                  </w:rPr>
                  <w:tab/>
                </w:r>
                <w:r w:rsidR="00AB2D14">
                  <w:rPr>
                    <w:webHidden/>
                  </w:rPr>
                  <w:fldChar w:fldCharType="begin"/>
                </w:r>
                <w:r w:rsidR="00AB2D14">
                  <w:rPr>
                    <w:webHidden/>
                  </w:rPr>
                  <w:instrText xml:space="preserve"> PAGEREF _Toc108794098 \h </w:instrText>
                </w:r>
                <w:r w:rsidR="00AB2D14">
                  <w:rPr>
                    <w:webHidden/>
                  </w:rPr>
                </w:r>
                <w:r w:rsidR="00AB2D14">
                  <w:rPr>
                    <w:webHidden/>
                  </w:rPr>
                  <w:fldChar w:fldCharType="separate"/>
                </w:r>
                <w:r w:rsidR="00C44655">
                  <w:rPr>
                    <w:webHidden/>
                  </w:rPr>
                  <w:t>4</w:t>
                </w:r>
                <w:r w:rsidR="00AB2D14">
                  <w:rPr>
                    <w:webHidden/>
                  </w:rPr>
                  <w:fldChar w:fldCharType="end"/>
                </w:r>
              </w:hyperlink>
            </w:p>
            <w:p w14:paraId="7409511D" w14:textId="1C31389E" w:rsidR="00AB2D14" w:rsidRDefault="00A229D1">
              <w:pPr>
                <w:pStyle w:val="TOC2"/>
                <w:rPr>
                  <w:rFonts w:asciiTheme="minorHAnsi" w:eastAsiaTheme="minorEastAsia" w:hAnsiTheme="minorHAnsi"/>
                  <w:lang w:eastAsia="en-AU"/>
                </w:rPr>
              </w:pPr>
              <w:hyperlink w:anchor="_Toc108794099" w:history="1">
                <w:r w:rsidR="00AB2D14" w:rsidRPr="006945B3">
                  <w:rPr>
                    <w:rStyle w:val="Hyperlink"/>
                  </w:rPr>
                  <w:t>2.2.</w:t>
                </w:r>
                <w:r w:rsidR="00AB2D14">
                  <w:rPr>
                    <w:rFonts w:asciiTheme="minorHAnsi" w:eastAsiaTheme="minorEastAsia" w:hAnsiTheme="minorHAnsi"/>
                    <w:lang w:eastAsia="en-AU"/>
                  </w:rPr>
                  <w:tab/>
                </w:r>
                <w:r w:rsidR="00AB2D14" w:rsidRPr="006945B3">
                  <w:rPr>
                    <w:rStyle w:val="Hyperlink"/>
                  </w:rPr>
                  <w:t>The CDR sectoral designation process</w:t>
                </w:r>
                <w:r w:rsidR="00AB2D14">
                  <w:rPr>
                    <w:webHidden/>
                  </w:rPr>
                  <w:tab/>
                </w:r>
                <w:r w:rsidR="00AB2D14">
                  <w:rPr>
                    <w:webHidden/>
                  </w:rPr>
                  <w:fldChar w:fldCharType="begin"/>
                </w:r>
                <w:r w:rsidR="00AB2D14">
                  <w:rPr>
                    <w:webHidden/>
                  </w:rPr>
                  <w:instrText xml:space="preserve"> PAGEREF _Toc108794099 \h </w:instrText>
                </w:r>
                <w:r w:rsidR="00AB2D14">
                  <w:rPr>
                    <w:webHidden/>
                  </w:rPr>
                </w:r>
                <w:r w:rsidR="00AB2D14">
                  <w:rPr>
                    <w:webHidden/>
                  </w:rPr>
                  <w:fldChar w:fldCharType="separate"/>
                </w:r>
                <w:r w:rsidR="00C44655">
                  <w:rPr>
                    <w:webHidden/>
                  </w:rPr>
                  <w:t>4</w:t>
                </w:r>
                <w:r w:rsidR="00AB2D14">
                  <w:rPr>
                    <w:webHidden/>
                  </w:rPr>
                  <w:fldChar w:fldCharType="end"/>
                </w:r>
              </w:hyperlink>
            </w:p>
            <w:p w14:paraId="2479CC1C" w14:textId="2D2DCB6D" w:rsidR="00AB2D14" w:rsidRDefault="00A229D1">
              <w:pPr>
                <w:pStyle w:val="TOC2"/>
                <w:rPr>
                  <w:rFonts w:asciiTheme="minorHAnsi" w:eastAsiaTheme="minorEastAsia" w:hAnsiTheme="minorHAnsi"/>
                  <w:lang w:eastAsia="en-AU"/>
                </w:rPr>
              </w:pPr>
              <w:hyperlink w:anchor="_Toc108794100" w:history="1">
                <w:r w:rsidR="00AB2D14" w:rsidRPr="006945B3">
                  <w:rPr>
                    <w:rStyle w:val="Hyperlink"/>
                  </w:rPr>
                  <w:t>2.3.</w:t>
                </w:r>
                <w:r w:rsidR="00AB2D14">
                  <w:rPr>
                    <w:rFonts w:asciiTheme="minorHAnsi" w:eastAsiaTheme="minorEastAsia" w:hAnsiTheme="minorHAnsi"/>
                    <w:lang w:eastAsia="en-AU"/>
                  </w:rPr>
                  <w:tab/>
                </w:r>
                <w:r w:rsidR="00AB2D14" w:rsidRPr="006945B3">
                  <w:rPr>
                    <w:rStyle w:val="Hyperlink"/>
                  </w:rPr>
                  <w:t>Effect of designation</w:t>
                </w:r>
                <w:r w:rsidR="00AB2D14">
                  <w:rPr>
                    <w:webHidden/>
                  </w:rPr>
                  <w:tab/>
                </w:r>
                <w:r w:rsidR="00AB2D14">
                  <w:rPr>
                    <w:webHidden/>
                  </w:rPr>
                  <w:fldChar w:fldCharType="begin"/>
                </w:r>
                <w:r w:rsidR="00AB2D14">
                  <w:rPr>
                    <w:webHidden/>
                  </w:rPr>
                  <w:instrText xml:space="preserve"> PAGEREF _Toc108794100 \h </w:instrText>
                </w:r>
                <w:r w:rsidR="00AB2D14">
                  <w:rPr>
                    <w:webHidden/>
                  </w:rPr>
                </w:r>
                <w:r w:rsidR="00AB2D14">
                  <w:rPr>
                    <w:webHidden/>
                  </w:rPr>
                  <w:fldChar w:fldCharType="separate"/>
                </w:r>
                <w:r w:rsidR="00C44655">
                  <w:rPr>
                    <w:webHidden/>
                  </w:rPr>
                  <w:t>5</w:t>
                </w:r>
                <w:r w:rsidR="00AB2D14">
                  <w:rPr>
                    <w:webHidden/>
                  </w:rPr>
                  <w:fldChar w:fldCharType="end"/>
                </w:r>
              </w:hyperlink>
            </w:p>
            <w:p w14:paraId="6F980A56" w14:textId="36801F1D" w:rsidR="00AB2D14" w:rsidRDefault="00A229D1">
              <w:pPr>
                <w:pStyle w:val="TOC1"/>
                <w:rPr>
                  <w:rFonts w:asciiTheme="minorHAnsi" w:eastAsiaTheme="minorEastAsia" w:hAnsiTheme="minorHAnsi"/>
                  <w:lang w:val="en-AU" w:eastAsia="en-AU"/>
                </w:rPr>
              </w:pPr>
              <w:hyperlink w:anchor="_Toc108794101" w:history="1">
                <w:r w:rsidR="00AB2D14" w:rsidRPr="006945B3">
                  <w:rPr>
                    <w:rStyle w:val="Hyperlink"/>
                  </w:rPr>
                  <w:t>3.</w:t>
                </w:r>
                <w:r w:rsidR="00AB2D14">
                  <w:rPr>
                    <w:rFonts w:asciiTheme="minorHAnsi" w:eastAsiaTheme="minorEastAsia" w:hAnsiTheme="minorHAnsi"/>
                    <w:lang w:val="en-AU" w:eastAsia="en-AU"/>
                  </w:rPr>
                  <w:tab/>
                </w:r>
                <w:r w:rsidR="00AB2D14" w:rsidRPr="006945B3">
                  <w:rPr>
                    <w:rStyle w:val="Hyperlink"/>
                  </w:rPr>
                  <w:t>Non-bank lending sectoral assessment</w:t>
                </w:r>
                <w:r w:rsidR="00AB2D14">
                  <w:rPr>
                    <w:webHidden/>
                  </w:rPr>
                  <w:tab/>
                </w:r>
                <w:r w:rsidR="00AB2D14">
                  <w:rPr>
                    <w:webHidden/>
                  </w:rPr>
                  <w:fldChar w:fldCharType="begin"/>
                </w:r>
                <w:r w:rsidR="00AB2D14">
                  <w:rPr>
                    <w:webHidden/>
                  </w:rPr>
                  <w:instrText xml:space="preserve"> PAGEREF _Toc108794101 \h </w:instrText>
                </w:r>
                <w:r w:rsidR="00AB2D14">
                  <w:rPr>
                    <w:webHidden/>
                  </w:rPr>
                </w:r>
                <w:r w:rsidR="00AB2D14">
                  <w:rPr>
                    <w:webHidden/>
                  </w:rPr>
                  <w:fldChar w:fldCharType="separate"/>
                </w:r>
                <w:r w:rsidR="00C44655">
                  <w:rPr>
                    <w:webHidden/>
                  </w:rPr>
                  <w:t>5</w:t>
                </w:r>
                <w:r w:rsidR="00AB2D14">
                  <w:rPr>
                    <w:webHidden/>
                  </w:rPr>
                  <w:fldChar w:fldCharType="end"/>
                </w:r>
              </w:hyperlink>
            </w:p>
            <w:p w14:paraId="36D17FFA" w14:textId="4893A633" w:rsidR="00AB2D14" w:rsidRDefault="00A229D1">
              <w:pPr>
                <w:pStyle w:val="TOC2"/>
                <w:rPr>
                  <w:rFonts w:asciiTheme="minorHAnsi" w:eastAsiaTheme="minorEastAsia" w:hAnsiTheme="minorHAnsi"/>
                  <w:lang w:eastAsia="en-AU"/>
                </w:rPr>
              </w:pPr>
              <w:hyperlink w:anchor="_Toc108794102" w:history="1">
                <w:r w:rsidR="00AB2D14" w:rsidRPr="006945B3">
                  <w:rPr>
                    <w:rStyle w:val="Hyperlink"/>
                  </w:rPr>
                  <w:t>3.1.</w:t>
                </w:r>
                <w:r w:rsidR="00AB2D14">
                  <w:rPr>
                    <w:rFonts w:asciiTheme="minorHAnsi" w:eastAsiaTheme="minorEastAsia" w:hAnsiTheme="minorHAnsi"/>
                    <w:lang w:eastAsia="en-AU"/>
                  </w:rPr>
                  <w:tab/>
                </w:r>
                <w:r w:rsidR="00AB2D14" w:rsidRPr="006945B3">
                  <w:rPr>
                    <w:rStyle w:val="Hyperlink"/>
                  </w:rPr>
                  <w:t>Open Finance</w:t>
                </w:r>
                <w:r w:rsidR="00AB2D14">
                  <w:rPr>
                    <w:webHidden/>
                  </w:rPr>
                  <w:tab/>
                </w:r>
                <w:r w:rsidR="00AB2D14">
                  <w:rPr>
                    <w:webHidden/>
                  </w:rPr>
                  <w:fldChar w:fldCharType="begin"/>
                </w:r>
                <w:r w:rsidR="00AB2D14">
                  <w:rPr>
                    <w:webHidden/>
                  </w:rPr>
                  <w:instrText xml:space="preserve"> PAGEREF _Toc108794102 \h </w:instrText>
                </w:r>
                <w:r w:rsidR="00AB2D14">
                  <w:rPr>
                    <w:webHidden/>
                  </w:rPr>
                </w:r>
                <w:r w:rsidR="00AB2D14">
                  <w:rPr>
                    <w:webHidden/>
                  </w:rPr>
                  <w:fldChar w:fldCharType="separate"/>
                </w:r>
                <w:r w:rsidR="00C44655">
                  <w:rPr>
                    <w:webHidden/>
                  </w:rPr>
                  <w:t>5</w:t>
                </w:r>
                <w:r w:rsidR="00AB2D14">
                  <w:rPr>
                    <w:webHidden/>
                  </w:rPr>
                  <w:fldChar w:fldCharType="end"/>
                </w:r>
              </w:hyperlink>
            </w:p>
            <w:p w14:paraId="1E2761AE" w14:textId="31878490" w:rsidR="00AB2D14" w:rsidRDefault="00A229D1">
              <w:pPr>
                <w:pStyle w:val="TOC2"/>
                <w:rPr>
                  <w:rFonts w:asciiTheme="minorHAnsi" w:eastAsiaTheme="minorEastAsia" w:hAnsiTheme="minorHAnsi"/>
                  <w:lang w:eastAsia="en-AU"/>
                </w:rPr>
              </w:pPr>
              <w:hyperlink w:anchor="_Toc108794103" w:history="1">
                <w:r w:rsidR="00AB2D14" w:rsidRPr="006945B3">
                  <w:rPr>
                    <w:rStyle w:val="Hyperlink"/>
                  </w:rPr>
                  <w:t>3.2.</w:t>
                </w:r>
                <w:r w:rsidR="00AB2D14">
                  <w:rPr>
                    <w:rFonts w:asciiTheme="minorHAnsi" w:eastAsiaTheme="minorEastAsia" w:hAnsiTheme="minorHAnsi"/>
                    <w:lang w:eastAsia="en-AU"/>
                  </w:rPr>
                  <w:tab/>
                </w:r>
                <w:r w:rsidR="00AB2D14" w:rsidRPr="006945B3">
                  <w:rPr>
                    <w:rStyle w:val="Hyperlink"/>
                  </w:rPr>
                  <w:t>Consultation</w:t>
                </w:r>
                <w:r w:rsidR="00AB2D14">
                  <w:rPr>
                    <w:webHidden/>
                  </w:rPr>
                  <w:tab/>
                </w:r>
                <w:r w:rsidR="00AB2D14">
                  <w:rPr>
                    <w:webHidden/>
                  </w:rPr>
                  <w:fldChar w:fldCharType="begin"/>
                </w:r>
                <w:r w:rsidR="00AB2D14">
                  <w:rPr>
                    <w:webHidden/>
                  </w:rPr>
                  <w:instrText xml:space="preserve"> PAGEREF _Toc108794103 \h </w:instrText>
                </w:r>
                <w:r w:rsidR="00AB2D14">
                  <w:rPr>
                    <w:webHidden/>
                  </w:rPr>
                </w:r>
                <w:r w:rsidR="00AB2D14">
                  <w:rPr>
                    <w:webHidden/>
                  </w:rPr>
                  <w:fldChar w:fldCharType="separate"/>
                </w:r>
                <w:r w:rsidR="00C44655">
                  <w:rPr>
                    <w:webHidden/>
                  </w:rPr>
                  <w:t>6</w:t>
                </w:r>
                <w:r w:rsidR="00AB2D14">
                  <w:rPr>
                    <w:webHidden/>
                  </w:rPr>
                  <w:fldChar w:fldCharType="end"/>
                </w:r>
              </w:hyperlink>
            </w:p>
            <w:p w14:paraId="67DB0B1A" w14:textId="12D146D1" w:rsidR="00AB2D14" w:rsidRDefault="00A229D1">
              <w:pPr>
                <w:pStyle w:val="TOC2"/>
                <w:rPr>
                  <w:rFonts w:asciiTheme="minorHAnsi" w:eastAsiaTheme="minorEastAsia" w:hAnsiTheme="minorHAnsi"/>
                  <w:lang w:eastAsia="en-AU"/>
                </w:rPr>
              </w:pPr>
              <w:hyperlink w:anchor="_Toc108794104" w:history="1">
                <w:r w:rsidR="00AB2D14" w:rsidRPr="006945B3">
                  <w:rPr>
                    <w:rStyle w:val="Hyperlink"/>
                  </w:rPr>
                  <w:t>3.3.</w:t>
                </w:r>
                <w:r w:rsidR="00AB2D14">
                  <w:rPr>
                    <w:rFonts w:asciiTheme="minorHAnsi" w:eastAsiaTheme="minorEastAsia" w:hAnsiTheme="minorHAnsi"/>
                    <w:lang w:eastAsia="en-AU"/>
                  </w:rPr>
                  <w:tab/>
                </w:r>
                <w:r w:rsidR="00AB2D14" w:rsidRPr="006945B3">
                  <w:rPr>
                    <w:rStyle w:val="Hyperlink"/>
                  </w:rPr>
                  <w:t>Overview of stakeholder views</w:t>
                </w:r>
                <w:r w:rsidR="00AB2D14">
                  <w:rPr>
                    <w:webHidden/>
                  </w:rPr>
                  <w:tab/>
                </w:r>
                <w:r w:rsidR="00AB2D14">
                  <w:rPr>
                    <w:webHidden/>
                  </w:rPr>
                  <w:fldChar w:fldCharType="begin"/>
                </w:r>
                <w:r w:rsidR="00AB2D14">
                  <w:rPr>
                    <w:webHidden/>
                  </w:rPr>
                  <w:instrText xml:space="preserve"> PAGEREF _Toc108794104 \h </w:instrText>
                </w:r>
                <w:r w:rsidR="00AB2D14">
                  <w:rPr>
                    <w:webHidden/>
                  </w:rPr>
                </w:r>
                <w:r w:rsidR="00AB2D14">
                  <w:rPr>
                    <w:webHidden/>
                  </w:rPr>
                  <w:fldChar w:fldCharType="separate"/>
                </w:r>
                <w:r w:rsidR="00C44655">
                  <w:rPr>
                    <w:webHidden/>
                  </w:rPr>
                  <w:t>6</w:t>
                </w:r>
                <w:r w:rsidR="00AB2D14">
                  <w:rPr>
                    <w:webHidden/>
                  </w:rPr>
                  <w:fldChar w:fldCharType="end"/>
                </w:r>
              </w:hyperlink>
            </w:p>
            <w:p w14:paraId="5945DBCE" w14:textId="2D359A20" w:rsidR="00AB2D14" w:rsidRDefault="00A229D1">
              <w:pPr>
                <w:pStyle w:val="TOC1"/>
                <w:rPr>
                  <w:rFonts w:asciiTheme="minorHAnsi" w:eastAsiaTheme="minorEastAsia" w:hAnsiTheme="minorHAnsi"/>
                  <w:lang w:val="en-AU" w:eastAsia="en-AU"/>
                </w:rPr>
              </w:pPr>
              <w:hyperlink w:anchor="_Toc108794105" w:history="1">
                <w:r w:rsidR="00AB2D14" w:rsidRPr="006945B3">
                  <w:rPr>
                    <w:rStyle w:val="Hyperlink"/>
                  </w:rPr>
                  <w:t>4.</w:t>
                </w:r>
                <w:r w:rsidR="00AB2D14">
                  <w:rPr>
                    <w:rFonts w:asciiTheme="minorHAnsi" w:eastAsiaTheme="minorEastAsia" w:hAnsiTheme="minorHAnsi"/>
                    <w:lang w:val="en-AU" w:eastAsia="en-AU"/>
                  </w:rPr>
                  <w:tab/>
                </w:r>
                <w:r w:rsidR="00AB2D14" w:rsidRPr="006945B3">
                  <w:rPr>
                    <w:rStyle w:val="Hyperlink"/>
                  </w:rPr>
                  <w:t>Impact of designating non-bank lending data for individual and business consumers</w:t>
                </w:r>
                <w:r w:rsidR="00AB2D14">
                  <w:rPr>
                    <w:webHidden/>
                  </w:rPr>
                  <w:tab/>
                </w:r>
                <w:r w:rsidR="00AB2D14">
                  <w:rPr>
                    <w:webHidden/>
                  </w:rPr>
                  <w:fldChar w:fldCharType="begin"/>
                </w:r>
                <w:r w:rsidR="00AB2D14">
                  <w:rPr>
                    <w:webHidden/>
                  </w:rPr>
                  <w:instrText xml:space="preserve"> PAGEREF _Toc108794105 \h </w:instrText>
                </w:r>
                <w:r w:rsidR="00AB2D14">
                  <w:rPr>
                    <w:webHidden/>
                  </w:rPr>
                </w:r>
                <w:r w:rsidR="00AB2D14">
                  <w:rPr>
                    <w:webHidden/>
                  </w:rPr>
                  <w:fldChar w:fldCharType="separate"/>
                </w:r>
                <w:r w:rsidR="00C44655">
                  <w:rPr>
                    <w:webHidden/>
                  </w:rPr>
                  <w:t>7</w:t>
                </w:r>
                <w:r w:rsidR="00AB2D14">
                  <w:rPr>
                    <w:webHidden/>
                  </w:rPr>
                  <w:fldChar w:fldCharType="end"/>
                </w:r>
              </w:hyperlink>
            </w:p>
            <w:p w14:paraId="680E553C" w14:textId="64E0FCDC" w:rsidR="00AB2D14" w:rsidRDefault="00A229D1">
              <w:pPr>
                <w:pStyle w:val="TOC2"/>
                <w:rPr>
                  <w:rFonts w:asciiTheme="minorHAnsi" w:eastAsiaTheme="minorEastAsia" w:hAnsiTheme="minorHAnsi"/>
                  <w:lang w:eastAsia="en-AU"/>
                </w:rPr>
              </w:pPr>
              <w:hyperlink w:anchor="_Toc108794106" w:history="1">
                <w:r w:rsidR="00AB2D14" w:rsidRPr="006945B3">
                  <w:rPr>
                    <w:rStyle w:val="Hyperlink"/>
                  </w:rPr>
                  <w:t>4.1.</w:t>
                </w:r>
                <w:r w:rsidR="00AB2D14">
                  <w:rPr>
                    <w:rFonts w:asciiTheme="minorHAnsi" w:eastAsiaTheme="minorEastAsia" w:hAnsiTheme="minorHAnsi"/>
                    <w:lang w:eastAsia="en-AU"/>
                  </w:rPr>
                  <w:tab/>
                </w:r>
                <w:r w:rsidR="00AB2D14" w:rsidRPr="006945B3">
                  <w:rPr>
                    <w:rStyle w:val="Hyperlink"/>
                  </w:rPr>
                  <w:t>Benefits of designation</w:t>
                </w:r>
                <w:r w:rsidR="00AB2D14">
                  <w:rPr>
                    <w:webHidden/>
                  </w:rPr>
                  <w:tab/>
                </w:r>
                <w:r w:rsidR="00AB2D14">
                  <w:rPr>
                    <w:webHidden/>
                  </w:rPr>
                  <w:fldChar w:fldCharType="begin"/>
                </w:r>
                <w:r w:rsidR="00AB2D14">
                  <w:rPr>
                    <w:webHidden/>
                  </w:rPr>
                  <w:instrText xml:space="preserve"> PAGEREF _Toc108794106 \h </w:instrText>
                </w:r>
                <w:r w:rsidR="00AB2D14">
                  <w:rPr>
                    <w:webHidden/>
                  </w:rPr>
                </w:r>
                <w:r w:rsidR="00AB2D14">
                  <w:rPr>
                    <w:webHidden/>
                  </w:rPr>
                  <w:fldChar w:fldCharType="separate"/>
                </w:r>
                <w:r w:rsidR="00C44655">
                  <w:rPr>
                    <w:webHidden/>
                  </w:rPr>
                  <w:t>7</w:t>
                </w:r>
                <w:r w:rsidR="00AB2D14">
                  <w:rPr>
                    <w:webHidden/>
                  </w:rPr>
                  <w:fldChar w:fldCharType="end"/>
                </w:r>
              </w:hyperlink>
            </w:p>
            <w:p w14:paraId="08E8D21D" w14:textId="1F45484B" w:rsidR="00AB2D14" w:rsidRDefault="00A229D1">
              <w:pPr>
                <w:pStyle w:val="TOC1"/>
                <w:rPr>
                  <w:rFonts w:asciiTheme="minorHAnsi" w:eastAsiaTheme="minorEastAsia" w:hAnsiTheme="minorHAnsi"/>
                  <w:lang w:val="en-AU" w:eastAsia="en-AU"/>
                </w:rPr>
              </w:pPr>
              <w:hyperlink w:anchor="_Toc108794107" w:history="1">
                <w:r w:rsidR="00AB2D14" w:rsidRPr="006945B3">
                  <w:rPr>
                    <w:rStyle w:val="Hyperlink"/>
                  </w:rPr>
                  <w:t>5.</w:t>
                </w:r>
                <w:r w:rsidR="00AB2D14">
                  <w:rPr>
                    <w:rFonts w:asciiTheme="minorHAnsi" w:eastAsiaTheme="minorEastAsia" w:hAnsiTheme="minorHAnsi"/>
                    <w:lang w:val="en-AU" w:eastAsia="en-AU"/>
                  </w:rPr>
                  <w:tab/>
                </w:r>
                <w:r w:rsidR="00AB2D14" w:rsidRPr="006945B3">
                  <w:rPr>
                    <w:rStyle w:val="Hyperlink"/>
                  </w:rPr>
                  <w:t>Approach to designation</w:t>
                </w:r>
                <w:r w:rsidR="00AB2D14">
                  <w:rPr>
                    <w:webHidden/>
                  </w:rPr>
                  <w:tab/>
                </w:r>
                <w:r w:rsidR="00AB2D14">
                  <w:rPr>
                    <w:webHidden/>
                  </w:rPr>
                  <w:fldChar w:fldCharType="begin"/>
                </w:r>
                <w:r w:rsidR="00AB2D14">
                  <w:rPr>
                    <w:webHidden/>
                  </w:rPr>
                  <w:instrText xml:space="preserve"> PAGEREF _Toc108794107 \h </w:instrText>
                </w:r>
                <w:r w:rsidR="00AB2D14">
                  <w:rPr>
                    <w:webHidden/>
                  </w:rPr>
                </w:r>
                <w:r w:rsidR="00AB2D14">
                  <w:rPr>
                    <w:webHidden/>
                  </w:rPr>
                  <w:fldChar w:fldCharType="separate"/>
                </w:r>
                <w:r w:rsidR="00C44655">
                  <w:rPr>
                    <w:webHidden/>
                  </w:rPr>
                  <w:t>16</w:t>
                </w:r>
                <w:r w:rsidR="00AB2D14">
                  <w:rPr>
                    <w:webHidden/>
                  </w:rPr>
                  <w:fldChar w:fldCharType="end"/>
                </w:r>
              </w:hyperlink>
            </w:p>
            <w:p w14:paraId="66D16AEA" w14:textId="7E15D591" w:rsidR="00AB2D14" w:rsidRDefault="00A229D1">
              <w:pPr>
                <w:pStyle w:val="TOC2"/>
                <w:rPr>
                  <w:rFonts w:asciiTheme="minorHAnsi" w:eastAsiaTheme="minorEastAsia" w:hAnsiTheme="minorHAnsi"/>
                  <w:lang w:eastAsia="en-AU"/>
                </w:rPr>
              </w:pPr>
              <w:hyperlink w:anchor="_Toc108794108" w:history="1">
                <w:r w:rsidR="00AB2D14" w:rsidRPr="006945B3">
                  <w:rPr>
                    <w:rStyle w:val="Hyperlink"/>
                  </w:rPr>
                  <w:t>5.1.</w:t>
                </w:r>
                <w:r w:rsidR="00AB2D14">
                  <w:rPr>
                    <w:rFonts w:asciiTheme="minorHAnsi" w:eastAsiaTheme="minorEastAsia" w:hAnsiTheme="minorHAnsi"/>
                    <w:lang w:eastAsia="en-AU"/>
                  </w:rPr>
                  <w:tab/>
                </w:r>
                <w:r w:rsidR="00AB2D14" w:rsidRPr="006945B3">
                  <w:rPr>
                    <w:rStyle w:val="Hyperlink"/>
                  </w:rPr>
                  <w:t>Recommended datasets</w:t>
                </w:r>
                <w:r w:rsidR="00AB2D14">
                  <w:rPr>
                    <w:webHidden/>
                  </w:rPr>
                  <w:tab/>
                </w:r>
                <w:r w:rsidR="00AB2D14">
                  <w:rPr>
                    <w:webHidden/>
                  </w:rPr>
                  <w:fldChar w:fldCharType="begin"/>
                </w:r>
                <w:r w:rsidR="00AB2D14">
                  <w:rPr>
                    <w:webHidden/>
                  </w:rPr>
                  <w:instrText xml:space="preserve"> PAGEREF _Toc108794108 \h </w:instrText>
                </w:r>
                <w:r w:rsidR="00AB2D14">
                  <w:rPr>
                    <w:webHidden/>
                  </w:rPr>
                </w:r>
                <w:r w:rsidR="00AB2D14">
                  <w:rPr>
                    <w:webHidden/>
                  </w:rPr>
                  <w:fldChar w:fldCharType="separate"/>
                </w:r>
                <w:r w:rsidR="00C44655">
                  <w:rPr>
                    <w:webHidden/>
                  </w:rPr>
                  <w:t>16</w:t>
                </w:r>
                <w:r w:rsidR="00AB2D14">
                  <w:rPr>
                    <w:webHidden/>
                  </w:rPr>
                  <w:fldChar w:fldCharType="end"/>
                </w:r>
              </w:hyperlink>
            </w:p>
            <w:p w14:paraId="0AFF7EAF" w14:textId="5E21666F" w:rsidR="00AB2D14" w:rsidRDefault="00A229D1">
              <w:pPr>
                <w:pStyle w:val="TOC2"/>
                <w:rPr>
                  <w:rFonts w:asciiTheme="minorHAnsi" w:eastAsiaTheme="minorEastAsia" w:hAnsiTheme="minorHAnsi"/>
                  <w:lang w:eastAsia="en-AU"/>
                </w:rPr>
              </w:pPr>
              <w:hyperlink w:anchor="_Toc108794109" w:history="1">
                <w:r w:rsidR="00AB2D14" w:rsidRPr="006945B3">
                  <w:rPr>
                    <w:rStyle w:val="Hyperlink"/>
                  </w:rPr>
                  <w:t>5.2.</w:t>
                </w:r>
                <w:r w:rsidR="00AB2D14">
                  <w:rPr>
                    <w:rFonts w:asciiTheme="minorHAnsi" w:eastAsiaTheme="minorEastAsia" w:hAnsiTheme="minorHAnsi"/>
                    <w:lang w:eastAsia="en-AU"/>
                  </w:rPr>
                  <w:tab/>
                </w:r>
                <w:r w:rsidR="00AB2D14" w:rsidRPr="006945B3">
                  <w:rPr>
                    <w:rStyle w:val="Hyperlink"/>
                  </w:rPr>
                  <w:t>Data not recommended for designation</w:t>
                </w:r>
                <w:r w:rsidR="00AB2D14">
                  <w:rPr>
                    <w:webHidden/>
                  </w:rPr>
                  <w:tab/>
                </w:r>
                <w:r w:rsidR="00AB2D14">
                  <w:rPr>
                    <w:webHidden/>
                  </w:rPr>
                  <w:fldChar w:fldCharType="begin"/>
                </w:r>
                <w:r w:rsidR="00AB2D14">
                  <w:rPr>
                    <w:webHidden/>
                  </w:rPr>
                  <w:instrText xml:space="preserve"> PAGEREF _Toc108794109 \h </w:instrText>
                </w:r>
                <w:r w:rsidR="00AB2D14">
                  <w:rPr>
                    <w:webHidden/>
                  </w:rPr>
                </w:r>
                <w:r w:rsidR="00AB2D14">
                  <w:rPr>
                    <w:webHidden/>
                  </w:rPr>
                  <w:fldChar w:fldCharType="separate"/>
                </w:r>
                <w:r w:rsidR="00C44655">
                  <w:rPr>
                    <w:webHidden/>
                  </w:rPr>
                  <w:t>18</w:t>
                </w:r>
                <w:r w:rsidR="00AB2D14">
                  <w:rPr>
                    <w:webHidden/>
                  </w:rPr>
                  <w:fldChar w:fldCharType="end"/>
                </w:r>
              </w:hyperlink>
            </w:p>
            <w:p w14:paraId="06ABB3BA" w14:textId="5E20D1FA" w:rsidR="00AB2D14" w:rsidRDefault="00A229D1">
              <w:pPr>
                <w:pStyle w:val="TOC2"/>
                <w:rPr>
                  <w:rFonts w:asciiTheme="minorHAnsi" w:eastAsiaTheme="minorEastAsia" w:hAnsiTheme="minorHAnsi"/>
                  <w:lang w:eastAsia="en-AU"/>
                </w:rPr>
              </w:pPr>
              <w:hyperlink w:anchor="_Toc108794110" w:history="1">
                <w:r w:rsidR="00AB2D14" w:rsidRPr="006945B3">
                  <w:rPr>
                    <w:rStyle w:val="Hyperlink"/>
                  </w:rPr>
                  <w:t>5.3.</w:t>
                </w:r>
                <w:r w:rsidR="00AB2D14">
                  <w:rPr>
                    <w:rFonts w:asciiTheme="minorHAnsi" w:eastAsiaTheme="minorEastAsia" w:hAnsiTheme="minorHAnsi"/>
                    <w:lang w:eastAsia="en-AU"/>
                  </w:rPr>
                  <w:tab/>
                </w:r>
                <w:r w:rsidR="00AB2D14" w:rsidRPr="006945B3">
                  <w:rPr>
                    <w:rStyle w:val="Hyperlink"/>
                  </w:rPr>
                  <w:t>Intellectual property</w:t>
                </w:r>
                <w:r w:rsidR="00AB2D14">
                  <w:rPr>
                    <w:webHidden/>
                  </w:rPr>
                  <w:tab/>
                </w:r>
                <w:r w:rsidR="00AB2D14">
                  <w:rPr>
                    <w:webHidden/>
                  </w:rPr>
                  <w:fldChar w:fldCharType="begin"/>
                </w:r>
                <w:r w:rsidR="00AB2D14">
                  <w:rPr>
                    <w:webHidden/>
                  </w:rPr>
                  <w:instrText xml:space="preserve"> PAGEREF _Toc108794110 \h </w:instrText>
                </w:r>
                <w:r w:rsidR="00AB2D14">
                  <w:rPr>
                    <w:webHidden/>
                  </w:rPr>
                </w:r>
                <w:r w:rsidR="00AB2D14">
                  <w:rPr>
                    <w:webHidden/>
                  </w:rPr>
                  <w:fldChar w:fldCharType="separate"/>
                </w:r>
                <w:r w:rsidR="00C44655">
                  <w:rPr>
                    <w:webHidden/>
                  </w:rPr>
                  <w:t>18</w:t>
                </w:r>
                <w:r w:rsidR="00AB2D14">
                  <w:rPr>
                    <w:webHidden/>
                  </w:rPr>
                  <w:fldChar w:fldCharType="end"/>
                </w:r>
              </w:hyperlink>
            </w:p>
            <w:p w14:paraId="041AAA3C" w14:textId="5E00535D" w:rsidR="00AB2D14" w:rsidRDefault="00A229D1">
              <w:pPr>
                <w:pStyle w:val="TOC2"/>
                <w:rPr>
                  <w:rFonts w:asciiTheme="minorHAnsi" w:eastAsiaTheme="minorEastAsia" w:hAnsiTheme="minorHAnsi"/>
                  <w:lang w:eastAsia="en-AU"/>
                </w:rPr>
              </w:pPr>
              <w:hyperlink w:anchor="_Toc108794111" w:history="1">
                <w:r w:rsidR="00AB2D14" w:rsidRPr="006945B3">
                  <w:rPr>
                    <w:rStyle w:val="Hyperlink"/>
                  </w:rPr>
                  <w:t>5.4.</w:t>
                </w:r>
                <w:r w:rsidR="00AB2D14">
                  <w:rPr>
                    <w:rFonts w:asciiTheme="minorHAnsi" w:eastAsiaTheme="minorEastAsia" w:hAnsiTheme="minorHAnsi"/>
                    <w:lang w:eastAsia="en-AU"/>
                  </w:rPr>
                  <w:tab/>
                </w:r>
                <w:r w:rsidR="00AB2D14" w:rsidRPr="006945B3">
                  <w:rPr>
                    <w:rStyle w:val="Hyperlink"/>
                  </w:rPr>
                  <w:t>Defining data holders</w:t>
                </w:r>
                <w:r w:rsidR="00AB2D14">
                  <w:rPr>
                    <w:webHidden/>
                  </w:rPr>
                  <w:tab/>
                </w:r>
                <w:r w:rsidR="00AB2D14">
                  <w:rPr>
                    <w:webHidden/>
                  </w:rPr>
                  <w:fldChar w:fldCharType="begin"/>
                </w:r>
                <w:r w:rsidR="00AB2D14">
                  <w:rPr>
                    <w:webHidden/>
                  </w:rPr>
                  <w:instrText xml:space="preserve"> PAGEREF _Toc108794111 \h </w:instrText>
                </w:r>
                <w:r w:rsidR="00AB2D14">
                  <w:rPr>
                    <w:webHidden/>
                  </w:rPr>
                </w:r>
                <w:r w:rsidR="00AB2D14">
                  <w:rPr>
                    <w:webHidden/>
                  </w:rPr>
                  <w:fldChar w:fldCharType="separate"/>
                </w:r>
                <w:r w:rsidR="00C44655">
                  <w:rPr>
                    <w:webHidden/>
                  </w:rPr>
                  <w:t>19</w:t>
                </w:r>
                <w:r w:rsidR="00AB2D14">
                  <w:rPr>
                    <w:webHidden/>
                  </w:rPr>
                  <w:fldChar w:fldCharType="end"/>
                </w:r>
              </w:hyperlink>
            </w:p>
            <w:p w14:paraId="0E01741A" w14:textId="1A1371BE" w:rsidR="00AB2D14" w:rsidRDefault="00A229D1">
              <w:pPr>
                <w:pStyle w:val="TOC2"/>
                <w:rPr>
                  <w:rFonts w:asciiTheme="minorHAnsi" w:eastAsiaTheme="minorEastAsia" w:hAnsiTheme="minorHAnsi"/>
                  <w:lang w:eastAsia="en-AU"/>
                </w:rPr>
              </w:pPr>
              <w:hyperlink w:anchor="_Toc108794112" w:history="1">
                <w:r w:rsidR="00AB2D14" w:rsidRPr="006945B3">
                  <w:rPr>
                    <w:rStyle w:val="Hyperlink"/>
                  </w:rPr>
                  <w:t>5.5.</w:t>
                </w:r>
                <w:r w:rsidR="00AB2D14">
                  <w:rPr>
                    <w:rFonts w:asciiTheme="minorHAnsi" w:eastAsiaTheme="minorEastAsia" w:hAnsiTheme="minorHAnsi"/>
                    <w:lang w:eastAsia="en-AU"/>
                  </w:rPr>
                  <w:tab/>
                </w:r>
                <w:r w:rsidR="00AB2D14" w:rsidRPr="006945B3">
                  <w:rPr>
                    <w:rStyle w:val="Hyperlink"/>
                  </w:rPr>
                  <w:t>Application of a de minimis threshold</w:t>
                </w:r>
                <w:r w:rsidR="00AB2D14">
                  <w:rPr>
                    <w:webHidden/>
                  </w:rPr>
                  <w:tab/>
                </w:r>
                <w:r w:rsidR="00AB2D14">
                  <w:rPr>
                    <w:webHidden/>
                  </w:rPr>
                  <w:fldChar w:fldCharType="begin"/>
                </w:r>
                <w:r w:rsidR="00AB2D14">
                  <w:rPr>
                    <w:webHidden/>
                  </w:rPr>
                  <w:instrText xml:space="preserve"> PAGEREF _Toc108794112 \h </w:instrText>
                </w:r>
                <w:r w:rsidR="00AB2D14">
                  <w:rPr>
                    <w:webHidden/>
                  </w:rPr>
                </w:r>
                <w:r w:rsidR="00AB2D14">
                  <w:rPr>
                    <w:webHidden/>
                  </w:rPr>
                  <w:fldChar w:fldCharType="separate"/>
                </w:r>
                <w:r w:rsidR="00C44655">
                  <w:rPr>
                    <w:webHidden/>
                  </w:rPr>
                  <w:t>20</w:t>
                </w:r>
                <w:r w:rsidR="00AB2D14">
                  <w:rPr>
                    <w:webHidden/>
                  </w:rPr>
                  <w:fldChar w:fldCharType="end"/>
                </w:r>
              </w:hyperlink>
            </w:p>
            <w:p w14:paraId="68CFB4AD" w14:textId="0A5F81A7" w:rsidR="00AB2D14" w:rsidRDefault="00A229D1">
              <w:pPr>
                <w:pStyle w:val="TOC2"/>
                <w:rPr>
                  <w:rFonts w:asciiTheme="minorHAnsi" w:eastAsiaTheme="minorEastAsia" w:hAnsiTheme="minorHAnsi"/>
                  <w:lang w:eastAsia="en-AU"/>
                </w:rPr>
              </w:pPr>
              <w:hyperlink w:anchor="_Toc108794113" w:history="1">
                <w:r w:rsidR="00AB2D14" w:rsidRPr="006945B3">
                  <w:rPr>
                    <w:rStyle w:val="Hyperlink"/>
                  </w:rPr>
                  <w:t>5.6.</w:t>
                </w:r>
                <w:r w:rsidR="00AB2D14">
                  <w:rPr>
                    <w:rFonts w:asciiTheme="minorHAnsi" w:eastAsiaTheme="minorEastAsia" w:hAnsiTheme="minorHAnsi"/>
                    <w:lang w:eastAsia="en-AU"/>
                  </w:rPr>
                  <w:tab/>
                </w:r>
                <w:r w:rsidR="00AB2D14" w:rsidRPr="006945B3">
                  <w:rPr>
                    <w:rStyle w:val="Hyperlink"/>
                  </w:rPr>
                  <w:t>Securitisation models and special purpose funding entities</w:t>
                </w:r>
                <w:r w:rsidR="00AB2D14">
                  <w:rPr>
                    <w:webHidden/>
                  </w:rPr>
                  <w:tab/>
                </w:r>
                <w:r w:rsidR="00AB2D14">
                  <w:rPr>
                    <w:webHidden/>
                  </w:rPr>
                  <w:fldChar w:fldCharType="begin"/>
                </w:r>
                <w:r w:rsidR="00AB2D14">
                  <w:rPr>
                    <w:webHidden/>
                  </w:rPr>
                  <w:instrText xml:space="preserve"> PAGEREF _Toc108794113 \h </w:instrText>
                </w:r>
                <w:r w:rsidR="00AB2D14">
                  <w:rPr>
                    <w:webHidden/>
                  </w:rPr>
                </w:r>
                <w:r w:rsidR="00AB2D14">
                  <w:rPr>
                    <w:webHidden/>
                  </w:rPr>
                  <w:fldChar w:fldCharType="separate"/>
                </w:r>
                <w:r w:rsidR="00C44655">
                  <w:rPr>
                    <w:webHidden/>
                  </w:rPr>
                  <w:t>21</w:t>
                </w:r>
                <w:r w:rsidR="00AB2D14">
                  <w:rPr>
                    <w:webHidden/>
                  </w:rPr>
                  <w:fldChar w:fldCharType="end"/>
                </w:r>
              </w:hyperlink>
            </w:p>
            <w:p w14:paraId="035349A3" w14:textId="54A8E829" w:rsidR="00AB2D14" w:rsidRDefault="00A229D1">
              <w:pPr>
                <w:pStyle w:val="TOC1"/>
                <w:rPr>
                  <w:rFonts w:asciiTheme="minorHAnsi" w:eastAsiaTheme="minorEastAsia" w:hAnsiTheme="minorHAnsi"/>
                  <w:lang w:val="en-AU" w:eastAsia="en-AU"/>
                </w:rPr>
              </w:pPr>
              <w:hyperlink w:anchor="_Toc108794114" w:history="1">
                <w:r w:rsidR="00AB2D14" w:rsidRPr="006945B3">
                  <w:rPr>
                    <w:rStyle w:val="Hyperlink"/>
                  </w:rPr>
                  <w:t>6.</w:t>
                </w:r>
                <w:r w:rsidR="00AB2D14">
                  <w:rPr>
                    <w:rFonts w:asciiTheme="minorHAnsi" w:eastAsiaTheme="minorEastAsia" w:hAnsiTheme="minorHAnsi"/>
                    <w:lang w:val="en-AU" w:eastAsia="en-AU"/>
                  </w:rPr>
                  <w:tab/>
                </w:r>
                <w:r w:rsidR="00AB2D14" w:rsidRPr="006945B3">
                  <w:rPr>
                    <w:rStyle w:val="Hyperlink"/>
                  </w:rPr>
                  <w:t>Privacy and confidentiality</w:t>
                </w:r>
                <w:r w:rsidR="00AB2D14">
                  <w:rPr>
                    <w:webHidden/>
                  </w:rPr>
                  <w:tab/>
                </w:r>
                <w:r w:rsidR="00AB2D14">
                  <w:rPr>
                    <w:webHidden/>
                  </w:rPr>
                  <w:fldChar w:fldCharType="begin"/>
                </w:r>
                <w:r w:rsidR="00AB2D14">
                  <w:rPr>
                    <w:webHidden/>
                  </w:rPr>
                  <w:instrText xml:space="preserve"> PAGEREF _Toc108794114 \h </w:instrText>
                </w:r>
                <w:r w:rsidR="00AB2D14">
                  <w:rPr>
                    <w:webHidden/>
                  </w:rPr>
                </w:r>
                <w:r w:rsidR="00AB2D14">
                  <w:rPr>
                    <w:webHidden/>
                  </w:rPr>
                  <w:fldChar w:fldCharType="separate"/>
                </w:r>
                <w:r w:rsidR="00C44655">
                  <w:rPr>
                    <w:webHidden/>
                  </w:rPr>
                  <w:t>22</w:t>
                </w:r>
                <w:r w:rsidR="00AB2D14">
                  <w:rPr>
                    <w:webHidden/>
                  </w:rPr>
                  <w:fldChar w:fldCharType="end"/>
                </w:r>
              </w:hyperlink>
            </w:p>
            <w:p w14:paraId="2D3C9E33" w14:textId="53A29CC4" w:rsidR="00AB2D14" w:rsidRDefault="00A229D1">
              <w:pPr>
                <w:pStyle w:val="TOC2"/>
                <w:rPr>
                  <w:rFonts w:asciiTheme="minorHAnsi" w:eastAsiaTheme="minorEastAsia" w:hAnsiTheme="minorHAnsi"/>
                  <w:lang w:eastAsia="en-AU"/>
                </w:rPr>
              </w:pPr>
              <w:hyperlink w:anchor="_Toc108794115" w:history="1">
                <w:r w:rsidR="00AB2D14" w:rsidRPr="006945B3">
                  <w:rPr>
                    <w:rStyle w:val="Hyperlink"/>
                  </w:rPr>
                  <w:t>6.1.</w:t>
                </w:r>
                <w:r w:rsidR="00AB2D14">
                  <w:rPr>
                    <w:rFonts w:asciiTheme="minorHAnsi" w:eastAsiaTheme="minorEastAsia" w:hAnsiTheme="minorHAnsi"/>
                    <w:lang w:eastAsia="en-AU"/>
                  </w:rPr>
                  <w:tab/>
                </w:r>
                <w:r w:rsidR="00AB2D14" w:rsidRPr="006945B3">
                  <w:rPr>
                    <w:rStyle w:val="Hyperlink"/>
                  </w:rPr>
                  <w:t>Impact of non-bank lending designation on privacy and confidentiality</w:t>
                </w:r>
                <w:r w:rsidR="00AB2D14">
                  <w:rPr>
                    <w:webHidden/>
                  </w:rPr>
                  <w:tab/>
                </w:r>
                <w:r w:rsidR="00AB2D14">
                  <w:rPr>
                    <w:webHidden/>
                  </w:rPr>
                  <w:fldChar w:fldCharType="begin"/>
                </w:r>
                <w:r w:rsidR="00AB2D14">
                  <w:rPr>
                    <w:webHidden/>
                  </w:rPr>
                  <w:instrText xml:space="preserve"> PAGEREF _Toc108794115 \h </w:instrText>
                </w:r>
                <w:r w:rsidR="00AB2D14">
                  <w:rPr>
                    <w:webHidden/>
                  </w:rPr>
                </w:r>
                <w:r w:rsidR="00AB2D14">
                  <w:rPr>
                    <w:webHidden/>
                  </w:rPr>
                  <w:fldChar w:fldCharType="separate"/>
                </w:r>
                <w:r w:rsidR="00C44655">
                  <w:rPr>
                    <w:webHidden/>
                  </w:rPr>
                  <w:t>22</w:t>
                </w:r>
                <w:r w:rsidR="00AB2D14">
                  <w:rPr>
                    <w:webHidden/>
                  </w:rPr>
                  <w:fldChar w:fldCharType="end"/>
                </w:r>
              </w:hyperlink>
            </w:p>
            <w:p w14:paraId="098DD5E9" w14:textId="604766BE" w:rsidR="00AB2D14" w:rsidRDefault="00A229D1">
              <w:pPr>
                <w:pStyle w:val="TOC1"/>
                <w:rPr>
                  <w:rFonts w:asciiTheme="minorHAnsi" w:eastAsiaTheme="minorEastAsia" w:hAnsiTheme="minorHAnsi"/>
                  <w:lang w:val="en-AU" w:eastAsia="en-AU"/>
                </w:rPr>
              </w:pPr>
              <w:hyperlink w:anchor="_Toc108794116" w:history="1">
                <w:r w:rsidR="00AB2D14" w:rsidRPr="006945B3">
                  <w:rPr>
                    <w:rStyle w:val="Hyperlink"/>
                  </w:rPr>
                  <w:t>7.</w:t>
                </w:r>
                <w:r w:rsidR="00AB2D14">
                  <w:rPr>
                    <w:rFonts w:asciiTheme="minorHAnsi" w:eastAsiaTheme="minorEastAsia" w:hAnsiTheme="minorHAnsi"/>
                    <w:lang w:val="en-AU" w:eastAsia="en-AU"/>
                  </w:rPr>
                  <w:tab/>
                </w:r>
                <w:r w:rsidR="00AB2D14" w:rsidRPr="006945B3">
                  <w:rPr>
                    <w:rStyle w:val="Hyperlink"/>
                  </w:rPr>
                  <w:t>Regulatory impact assessment</w:t>
                </w:r>
                <w:r w:rsidR="00AB2D14">
                  <w:rPr>
                    <w:webHidden/>
                  </w:rPr>
                  <w:tab/>
                </w:r>
                <w:r w:rsidR="00AB2D14">
                  <w:rPr>
                    <w:webHidden/>
                  </w:rPr>
                  <w:fldChar w:fldCharType="begin"/>
                </w:r>
                <w:r w:rsidR="00AB2D14">
                  <w:rPr>
                    <w:webHidden/>
                  </w:rPr>
                  <w:instrText xml:space="preserve"> PAGEREF _Toc108794116 \h </w:instrText>
                </w:r>
                <w:r w:rsidR="00AB2D14">
                  <w:rPr>
                    <w:webHidden/>
                  </w:rPr>
                </w:r>
                <w:r w:rsidR="00AB2D14">
                  <w:rPr>
                    <w:webHidden/>
                  </w:rPr>
                  <w:fldChar w:fldCharType="separate"/>
                </w:r>
                <w:r w:rsidR="00C44655">
                  <w:rPr>
                    <w:webHidden/>
                  </w:rPr>
                  <w:t>23</w:t>
                </w:r>
                <w:r w:rsidR="00AB2D14">
                  <w:rPr>
                    <w:webHidden/>
                  </w:rPr>
                  <w:fldChar w:fldCharType="end"/>
                </w:r>
              </w:hyperlink>
            </w:p>
            <w:p w14:paraId="21540BC9" w14:textId="663DE888" w:rsidR="00AB2D14" w:rsidRDefault="00A229D1">
              <w:pPr>
                <w:pStyle w:val="TOC2"/>
                <w:rPr>
                  <w:rFonts w:asciiTheme="minorHAnsi" w:eastAsiaTheme="minorEastAsia" w:hAnsiTheme="minorHAnsi"/>
                  <w:lang w:eastAsia="en-AU"/>
                </w:rPr>
              </w:pPr>
              <w:hyperlink w:anchor="_Toc108794117" w:history="1">
                <w:r w:rsidR="00AB2D14" w:rsidRPr="006945B3">
                  <w:rPr>
                    <w:rStyle w:val="Hyperlink"/>
                  </w:rPr>
                  <w:t>7.1.</w:t>
                </w:r>
                <w:r w:rsidR="00AB2D14">
                  <w:rPr>
                    <w:rFonts w:asciiTheme="minorHAnsi" w:eastAsiaTheme="minorEastAsia" w:hAnsiTheme="minorHAnsi"/>
                    <w:lang w:eastAsia="en-AU"/>
                  </w:rPr>
                  <w:tab/>
                </w:r>
                <w:r w:rsidR="00AB2D14" w:rsidRPr="006945B3">
                  <w:rPr>
                    <w:rStyle w:val="Hyperlink"/>
                  </w:rPr>
                  <w:t>Estimate of regulatory impact</w:t>
                </w:r>
                <w:r w:rsidR="00AB2D14">
                  <w:rPr>
                    <w:webHidden/>
                  </w:rPr>
                  <w:tab/>
                </w:r>
                <w:r w:rsidR="00AB2D14">
                  <w:rPr>
                    <w:webHidden/>
                  </w:rPr>
                  <w:fldChar w:fldCharType="begin"/>
                </w:r>
                <w:r w:rsidR="00AB2D14">
                  <w:rPr>
                    <w:webHidden/>
                  </w:rPr>
                  <w:instrText xml:space="preserve"> PAGEREF _Toc108794117 \h </w:instrText>
                </w:r>
                <w:r w:rsidR="00AB2D14">
                  <w:rPr>
                    <w:webHidden/>
                  </w:rPr>
                </w:r>
                <w:r w:rsidR="00AB2D14">
                  <w:rPr>
                    <w:webHidden/>
                  </w:rPr>
                  <w:fldChar w:fldCharType="separate"/>
                </w:r>
                <w:r w:rsidR="00C44655">
                  <w:rPr>
                    <w:webHidden/>
                  </w:rPr>
                  <w:t>24</w:t>
                </w:r>
                <w:r w:rsidR="00AB2D14">
                  <w:rPr>
                    <w:webHidden/>
                  </w:rPr>
                  <w:fldChar w:fldCharType="end"/>
                </w:r>
              </w:hyperlink>
            </w:p>
            <w:p w14:paraId="3054E414" w14:textId="0F1D6101" w:rsidR="00AB2D14" w:rsidRDefault="00A229D1">
              <w:pPr>
                <w:pStyle w:val="TOC2"/>
                <w:rPr>
                  <w:rFonts w:asciiTheme="minorHAnsi" w:eastAsiaTheme="minorEastAsia" w:hAnsiTheme="minorHAnsi"/>
                  <w:lang w:eastAsia="en-AU"/>
                </w:rPr>
              </w:pPr>
              <w:hyperlink w:anchor="_Toc108794118" w:history="1">
                <w:r w:rsidR="00AB2D14" w:rsidRPr="006945B3">
                  <w:rPr>
                    <w:rStyle w:val="Hyperlink"/>
                  </w:rPr>
                  <w:t>7.2.</w:t>
                </w:r>
                <w:r w:rsidR="00AB2D14">
                  <w:rPr>
                    <w:rFonts w:asciiTheme="minorHAnsi" w:eastAsiaTheme="minorEastAsia" w:hAnsiTheme="minorHAnsi"/>
                    <w:lang w:eastAsia="en-AU"/>
                  </w:rPr>
                  <w:tab/>
                </w:r>
                <w:r w:rsidR="00AB2D14" w:rsidRPr="006945B3">
                  <w:rPr>
                    <w:rStyle w:val="Hyperlink"/>
                  </w:rPr>
                  <w:t>Other regulatory costs</w:t>
                </w:r>
                <w:r w:rsidR="00AB2D14">
                  <w:rPr>
                    <w:webHidden/>
                  </w:rPr>
                  <w:tab/>
                </w:r>
                <w:r w:rsidR="00AB2D14">
                  <w:rPr>
                    <w:webHidden/>
                  </w:rPr>
                  <w:fldChar w:fldCharType="begin"/>
                </w:r>
                <w:r w:rsidR="00AB2D14">
                  <w:rPr>
                    <w:webHidden/>
                  </w:rPr>
                  <w:instrText xml:space="preserve"> PAGEREF _Toc108794118 \h </w:instrText>
                </w:r>
                <w:r w:rsidR="00AB2D14">
                  <w:rPr>
                    <w:webHidden/>
                  </w:rPr>
                </w:r>
                <w:r w:rsidR="00AB2D14">
                  <w:rPr>
                    <w:webHidden/>
                  </w:rPr>
                  <w:fldChar w:fldCharType="separate"/>
                </w:r>
                <w:r w:rsidR="00C44655">
                  <w:rPr>
                    <w:webHidden/>
                  </w:rPr>
                  <w:t>26</w:t>
                </w:r>
                <w:r w:rsidR="00AB2D14">
                  <w:rPr>
                    <w:webHidden/>
                  </w:rPr>
                  <w:fldChar w:fldCharType="end"/>
                </w:r>
              </w:hyperlink>
            </w:p>
            <w:p w14:paraId="43BEA6BC" w14:textId="7C06C267" w:rsidR="00AB2D14" w:rsidRDefault="00A229D1">
              <w:pPr>
                <w:pStyle w:val="TOC1"/>
                <w:rPr>
                  <w:rFonts w:asciiTheme="minorHAnsi" w:eastAsiaTheme="minorEastAsia" w:hAnsiTheme="minorHAnsi"/>
                  <w:lang w:val="en-AU" w:eastAsia="en-AU"/>
                </w:rPr>
              </w:pPr>
              <w:hyperlink w:anchor="_Toc108794119" w:history="1">
                <w:r w:rsidR="00AB2D14" w:rsidRPr="006945B3">
                  <w:rPr>
                    <w:rStyle w:val="Hyperlink"/>
                  </w:rPr>
                  <w:t>8.</w:t>
                </w:r>
                <w:r w:rsidR="00AB2D14">
                  <w:rPr>
                    <w:rFonts w:asciiTheme="minorHAnsi" w:eastAsiaTheme="minorEastAsia" w:hAnsiTheme="minorHAnsi"/>
                    <w:lang w:val="en-AU" w:eastAsia="en-AU"/>
                  </w:rPr>
                  <w:tab/>
                </w:r>
                <w:r w:rsidR="00AB2D14" w:rsidRPr="006945B3">
                  <w:rPr>
                    <w:rStyle w:val="Hyperlink"/>
                  </w:rPr>
                  <w:t>The public interest</w:t>
                </w:r>
                <w:r w:rsidR="00AB2D14">
                  <w:rPr>
                    <w:webHidden/>
                  </w:rPr>
                  <w:tab/>
                </w:r>
                <w:r w:rsidR="00AB2D14">
                  <w:rPr>
                    <w:webHidden/>
                  </w:rPr>
                  <w:fldChar w:fldCharType="begin"/>
                </w:r>
                <w:r w:rsidR="00AB2D14">
                  <w:rPr>
                    <w:webHidden/>
                  </w:rPr>
                  <w:instrText xml:space="preserve"> PAGEREF _Toc108794119 \h </w:instrText>
                </w:r>
                <w:r w:rsidR="00AB2D14">
                  <w:rPr>
                    <w:webHidden/>
                  </w:rPr>
                </w:r>
                <w:r w:rsidR="00AB2D14">
                  <w:rPr>
                    <w:webHidden/>
                  </w:rPr>
                  <w:fldChar w:fldCharType="separate"/>
                </w:r>
                <w:r w:rsidR="00C44655">
                  <w:rPr>
                    <w:webHidden/>
                  </w:rPr>
                  <w:t>27</w:t>
                </w:r>
                <w:r w:rsidR="00AB2D14">
                  <w:rPr>
                    <w:webHidden/>
                  </w:rPr>
                  <w:fldChar w:fldCharType="end"/>
                </w:r>
              </w:hyperlink>
            </w:p>
            <w:p w14:paraId="040F617A" w14:textId="4B8651DE" w:rsidR="00AB2D14" w:rsidRDefault="00A229D1">
              <w:pPr>
                <w:pStyle w:val="TOC1"/>
                <w:rPr>
                  <w:rFonts w:asciiTheme="minorHAnsi" w:eastAsiaTheme="minorEastAsia" w:hAnsiTheme="minorHAnsi"/>
                  <w:lang w:val="en-AU" w:eastAsia="en-AU"/>
                </w:rPr>
              </w:pPr>
              <w:hyperlink w:anchor="_Toc108794120" w:history="1">
                <w:r w:rsidR="00AB2D14" w:rsidRPr="006945B3">
                  <w:rPr>
                    <w:rStyle w:val="Hyperlink"/>
                  </w:rPr>
                  <w:t>9.</w:t>
                </w:r>
                <w:r w:rsidR="00AB2D14">
                  <w:rPr>
                    <w:rFonts w:asciiTheme="minorHAnsi" w:eastAsiaTheme="minorEastAsia" w:hAnsiTheme="minorHAnsi"/>
                    <w:lang w:val="en-AU" w:eastAsia="en-AU"/>
                  </w:rPr>
                  <w:tab/>
                </w:r>
                <w:r w:rsidR="00AB2D14" w:rsidRPr="006945B3">
                  <w:rPr>
                    <w:rStyle w:val="Hyperlink"/>
                  </w:rPr>
                  <w:t>Matters recommended for consideration relating to the CDR rules</w:t>
                </w:r>
                <w:r w:rsidR="00AB2D14">
                  <w:rPr>
                    <w:webHidden/>
                  </w:rPr>
                  <w:tab/>
                </w:r>
                <w:r w:rsidR="00AB2D14">
                  <w:rPr>
                    <w:webHidden/>
                  </w:rPr>
                  <w:fldChar w:fldCharType="begin"/>
                </w:r>
                <w:r w:rsidR="00AB2D14">
                  <w:rPr>
                    <w:webHidden/>
                  </w:rPr>
                  <w:instrText xml:space="preserve"> PAGEREF _Toc108794120 \h </w:instrText>
                </w:r>
                <w:r w:rsidR="00AB2D14">
                  <w:rPr>
                    <w:webHidden/>
                  </w:rPr>
                </w:r>
                <w:r w:rsidR="00AB2D14">
                  <w:rPr>
                    <w:webHidden/>
                  </w:rPr>
                  <w:fldChar w:fldCharType="separate"/>
                </w:r>
                <w:r w:rsidR="00C44655">
                  <w:rPr>
                    <w:webHidden/>
                  </w:rPr>
                  <w:t>27</w:t>
                </w:r>
                <w:r w:rsidR="00AB2D14">
                  <w:rPr>
                    <w:webHidden/>
                  </w:rPr>
                  <w:fldChar w:fldCharType="end"/>
                </w:r>
              </w:hyperlink>
            </w:p>
            <w:p w14:paraId="5D1B3D5D" w14:textId="0D611C20" w:rsidR="00AB2D14" w:rsidRDefault="00A229D1">
              <w:pPr>
                <w:pStyle w:val="TOC2"/>
                <w:rPr>
                  <w:rFonts w:asciiTheme="minorHAnsi" w:eastAsiaTheme="minorEastAsia" w:hAnsiTheme="minorHAnsi"/>
                  <w:lang w:eastAsia="en-AU"/>
                </w:rPr>
              </w:pPr>
              <w:hyperlink w:anchor="_Toc108794121" w:history="1">
                <w:r w:rsidR="00AB2D14" w:rsidRPr="006945B3">
                  <w:rPr>
                    <w:rStyle w:val="Hyperlink"/>
                  </w:rPr>
                  <w:t>9.1.</w:t>
                </w:r>
                <w:r w:rsidR="00AB2D14">
                  <w:rPr>
                    <w:rFonts w:asciiTheme="minorHAnsi" w:eastAsiaTheme="minorEastAsia" w:hAnsiTheme="minorHAnsi"/>
                    <w:lang w:eastAsia="en-AU"/>
                  </w:rPr>
                  <w:tab/>
                </w:r>
                <w:r w:rsidR="00AB2D14" w:rsidRPr="006945B3">
                  <w:rPr>
                    <w:rStyle w:val="Hyperlink"/>
                  </w:rPr>
                  <w:t>Eligible CDR consumers</w:t>
                </w:r>
                <w:r w:rsidR="00AB2D14">
                  <w:rPr>
                    <w:webHidden/>
                  </w:rPr>
                  <w:tab/>
                </w:r>
                <w:r w:rsidR="00AB2D14">
                  <w:rPr>
                    <w:webHidden/>
                  </w:rPr>
                  <w:fldChar w:fldCharType="begin"/>
                </w:r>
                <w:r w:rsidR="00AB2D14">
                  <w:rPr>
                    <w:webHidden/>
                  </w:rPr>
                  <w:instrText xml:space="preserve"> PAGEREF _Toc108794121 \h </w:instrText>
                </w:r>
                <w:r w:rsidR="00AB2D14">
                  <w:rPr>
                    <w:webHidden/>
                  </w:rPr>
                </w:r>
                <w:r w:rsidR="00AB2D14">
                  <w:rPr>
                    <w:webHidden/>
                  </w:rPr>
                  <w:fldChar w:fldCharType="separate"/>
                </w:r>
                <w:r w:rsidR="00C44655">
                  <w:rPr>
                    <w:webHidden/>
                  </w:rPr>
                  <w:t>27</w:t>
                </w:r>
                <w:r w:rsidR="00AB2D14">
                  <w:rPr>
                    <w:webHidden/>
                  </w:rPr>
                  <w:fldChar w:fldCharType="end"/>
                </w:r>
              </w:hyperlink>
            </w:p>
            <w:p w14:paraId="790E13E4" w14:textId="049A2EB7" w:rsidR="00AB2D14" w:rsidRDefault="00A229D1">
              <w:pPr>
                <w:pStyle w:val="TOC2"/>
                <w:rPr>
                  <w:rFonts w:asciiTheme="minorHAnsi" w:eastAsiaTheme="minorEastAsia" w:hAnsiTheme="minorHAnsi"/>
                  <w:lang w:eastAsia="en-AU"/>
                </w:rPr>
              </w:pPr>
              <w:hyperlink w:anchor="_Toc108794122" w:history="1">
                <w:r w:rsidR="00AB2D14" w:rsidRPr="006945B3">
                  <w:rPr>
                    <w:rStyle w:val="Hyperlink"/>
                  </w:rPr>
                  <w:t>9.2.</w:t>
                </w:r>
                <w:r w:rsidR="00AB2D14">
                  <w:rPr>
                    <w:rFonts w:asciiTheme="minorHAnsi" w:eastAsiaTheme="minorEastAsia" w:hAnsiTheme="minorHAnsi"/>
                    <w:lang w:eastAsia="en-AU"/>
                  </w:rPr>
                  <w:tab/>
                </w:r>
                <w:r w:rsidR="00AB2D14" w:rsidRPr="006945B3">
                  <w:rPr>
                    <w:rStyle w:val="Hyperlink"/>
                  </w:rPr>
                  <w:t>Phasing of data sharing obligations</w:t>
                </w:r>
                <w:r w:rsidR="00AB2D14">
                  <w:rPr>
                    <w:webHidden/>
                  </w:rPr>
                  <w:tab/>
                </w:r>
                <w:r w:rsidR="00AB2D14">
                  <w:rPr>
                    <w:webHidden/>
                  </w:rPr>
                  <w:fldChar w:fldCharType="begin"/>
                </w:r>
                <w:r w:rsidR="00AB2D14">
                  <w:rPr>
                    <w:webHidden/>
                  </w:rPr>
                  <w:instrText xml:space="preserve"> PAGEREF _Toc108794122 \h </w:instrText>
                </w:r>
                <w:r w:rsidR="00AB2D14">
                  <w:rPr>
                    <w:webHidden/>
                  </w:rPr>
                </w:r>
                <w:r w:rsidR="00AB2D14">
                  <w:rPr>
                    <w:webHidden/>
                  </w:rPr>
                  <w:fldChar w:fldCharType="separate"/>
                </w:r>
                <w:r w:rsidR="00C44655">
                  <w:rPr>
                    <w:webHidden/>
                  </w:rPr>
                  <w:t>27</w:t>
                </w:r>
                <w:r w:rsidR="00AB2D14">
                  <w:rPr>
                    <w:webHidden/>
                  </w:rPr>
                  <w:fldChar w:fldCharType="end"/>
                </w:r>
              </w:hyperlink>
            </w:p>
            <w:p w14:paraId="2C1DFC61" w14:textId="712CC84D" w:rsidR="00AB2D14" w:rsidRDefault="00A229D1">
              <w:pPr>
                <w:pStyle w:val="TOC1"/>
                <w:rPr>
                  <w:rFonts w:asciiTheme="minorHAnsi" w:eastAsiaTheme="minorEastAsia" w:hAnsiTheme="minorHAnsi"/>
                  <w:lang w:val="en-AU" w:eastAsia="en-AU"/>
                </w:rPr>
              </w:pPr>
              <w:hyperlink w:anchor="_Toc108794123" w:history="1">
                <w:r w:rsidR="00AB2D14" w:rsidRPr="006945B3">
                  <w:rPr>
                    <w:rStyle w:val="Hyperlink"/>
                  </w:rPr>
                  <w:t>Glossary</w:t>
                </w:r>
                <w:r w:rsidR="00AB2D14">
                  <w:rPr>
                    <w:webHidden/>
                  </w:rPr>
                  <w:tab/>
                </w:r>
                <w:r w:rsidR="00AB2D14">
                  <w:rPr>
                    <w:webHidden/>
                  </w:rPr>
                  <w:fldChar w:fldCharType="begin"/>
                </w:r>
                <w:r w:rsidR="00AB2D14">
                  <w:rPr>
                    <w:webHidden/>
                  </w:rPr>
                  <w:instrText xml:space="preserve"> PAGEREF _Toc108794123 \h </w:instrText>
                </w:r>
                <w:r w:rsidR="00AB2D14">
                  <w:rPr>
                    <w:webHidden/>
                  </w:rPr>
                </w:r>
                <w:r w:rsidR="00AB2D14">
                  <w:rPr>
                    <w:webHidden/>
                  </w:rPr>
                  <w:fldChar w:fldCharType="separate"/>
                </w:r>
                <w:r w:rsidR="00C44655">
                  <w:rPr>
                    <w:webHidden/>
                  </w:rPr>
                  <w:t>29</w:t>
                </w:r>
                <w:r w:rsidR="00AB2D14">
                  <w:rPr>
                    <w:webHidden/>
                  </w:rPr>
                  <w:fldChar w:fldCharType="end"/>
                </w:r>
              </w:hyperlink>
            </w:p>
            <w:p w14:paraId="53F72B9C" w14:textId="4CE01777" w:rsidR="00480AFC" w:rsidRPr="00AB2D14" w:rsidRDefault="00A229D1" w:rsidP="00AB2D14">
              <w:pPr>
                <w:pStyle w:val="TOC3"/>
                <w:ind w:left="0"/>
                <w:rPr>
                  <w:rFonts w:asciiTheme="minorHAnsi" w:eastAsiaTheme="minorEastAsia" w:hAnsiTheme="minorHAnsi"/>
                  <w:lang w:eastAsia="en-AU"/>
                </w:rPr>
              </w:pPr>
              <w:hyperlink w:anchor="_Toc108794124" w:history="1">
                <w:r w:rsidR="00AB2D14" w:rsidRPr="006945B3">
                  <w:rPr>
                    <w:rStyle w:val="Hyperlink"/>
                  </w:rPr>
                  <w:t>Attachment A – Privacy Impact Assessment</w:t>
                </w:r>
                <w:r w:rsidR="00AB2D14">
                  <w:rPr>
                    <w:webHidden/>
                  </w:rPr>
                  <w:tab/>
                </w:r>
                <w:r w:rsidR="00AB2D14">
                  <w:rPr>
                    <w:webHidden/>
                  </w:rPr>
                  <w:fldChar w:fldCharType="begin"/>
                </w:r>
                <w:r w:rsidR="00AB2D14">
                  <w:rPr>
                    <w:webHidden/>
                  </w:rPr>
                  <w:instrText xml:space="preserve"> PAGEREF _Toc108794124 \h </w:instrText>
                </w:r>
                <w:r w:rsidR="00AB2D14">
                  <w:rPr>
                    <w:webHidden/>
                  </w:rPr>
                </w:r>
                <w:r w:rsidR="00AB2D14">
                  <w:rPr>
                    <w:webHidden/>
                  </w:rPr>
                  <w:fldChar w:fldCharType="separate"/>
                </w:r>
                <w:r w:rsidR="00C44655">
                  <w:rPr>
                    <w:webHidden/>
                  </w:rPr>
                  <w:t>31</w:t>
                </w:r>
                <w:r w:rsidR="00AB2D14">
                  <w:rPr>
                    <w:webHidden/>
                  </w:rPr>
                  <w:fldChar w:fldCharType="end"/>
                </w:r>
              </w:hyperlink>
              <w:r w:rsidR="00905892">
                <w:rPr>
                  <w:b/>
                  <w:bCs/>
                </w:rPr>
                <w:fldChar w:fldCharType="end"/>
              </w:r>
            </w:p>
          </w:sdtContent>
        </w:sdt>
      </w:sdtContent>
    </w:sdt>
    <w:p w14:paraId="48A3C687" w14:textId="21595C16" w:rsidR="00687F39" w:rsidRDefault="001F365E" w:rsidP="005B0D13">
      <w:pPr>
        <w:pStyle w:val="Numbered1"/>
        <w:spacing w:before="0"/>
        <w:ind w:left="680" w:hanging="680"/>
      </w:pPr>
      <w:bookmarkStart w:id="2" w:name="_Toc108794096"/>
      <w:r>
        <w:lastRenderedPageBreak/>
        <w:t xml:space="preserve">Executive </w:t>
      </w:r>
      <w:r w:rsidR="0006128E">
        <w:t>s</w:t>
      </w:r>
      <w:r>
        <w:t>ummary</w:t>
      </w:r>
      <w:bookmarkEnd w:id="2"/>
    </w:p>
    <w:p w14:paraId="7245C979" w14:textId="02121BC0" w:rsidR="00700D08" w:rsidRDefault="00416DC2">
      <w:bookmarkStart w:id="3" w:name="_Hlk105403782"/>
      <w:r>
        <w:t>Following the release of</w:t>
      </w:r>
      <w:r w:rsidR="00BA6313">
        <w:t xml:space="preserve"> the Strategic Assessment Outcomes report </w:t>
      </w:r>
      <w:r w:rsidR="00ED7185">
        <w:t xml:space="preserve">on 24 January 2022 (which </w:t>
      </w:r>
      <w:r w:rsidR="00BA6313">
        <w:t xml:space="preserve">identified </w:t>
      </w:r>
      <w:r w:rsidR="00ED7185">
        <w:t>the non-bank lending sector, merchant</w:t>
      </w:r>
      <w:r>
        <w:t>-</w:t>
      </w:r>
      <w:r w:rsidR="00ED7185">
        <w:t>acquiring services and key datasets in the general insurance and superannuation sectors</w:t>
      </w:r>
      <w:r w:rsidR="00BA6313">
        <w:t xml:space="preserve"> </w:t>
      </w:r>
      <w:r w:rsidR="000A2889">
        <w:t xml:space="preserve">as </w:t>
      </w:r>
      <w:r w:rsidR="00BA6313">
        <w:t>the next priority area</w:t>
      </w:r>
      <w:r>
        <w:t>s</w:t>
      </w:r>
      <w:r w:rsidR="00BA6313">
        <w:t xml:space="preserve"> to expand the consumer data right</w:t>
      </w:r>
      <w:r w:rsidR="007F2A88">
        <w:t xml:space="preserve"> (CDR)</w:t>
      </w:r>
      <w:r w:rsidR="00322CB5">
        <w:t>)</w:t>
      </w:r>
      <w:r w:rsidR="00ED7185">
        <w:t xml:space="preserve">, </w:t>
      </w:r>
      <w:bookmarkStart w:id="4" w:name="_Hlk105413670"/>
      <w:bookmarkEnd w:id="3"/>
      <w:r w:rsidR="0087083D">
        <w:t xml:space="preserve">Treasury </w:t>
      </w:r>
      <w:r w:rsidR="00B06287">
        <w:t>conducted a public consultation</w:t>
      </w:r>
      <w:r w:rsidR="00215BBC">
        <w:t xml:space="preserve"> to inform its </w:t>
      </w:r>
      <w:r w:rsidR="00B06287" w:rsidRPr="00215BBC">
        <w:t xml:space="preserve">sectoral assessment for applying the </w:t>
      </w:r>
      <w:r w:rsidR="00322CB5">
        <w:t>CDR</w:t>
      </w:r>
      <w:r w:rsidR="00B06287" w:rsidRPr="00215BBC">
        <w:t xml:space="preserve"> to </w:t>
      </w:r>
      <w:r w:rsidR="00215BBC">
        <w:t xml:space="preserve">the </w:t>
      </w:r>
      <w:r w:rsidR="00B06287" w:rsidRPr="00215BBC">
        <w:t>non-bank lending</w:t>
      </w:r>
      <w:r w:rsidR="00215BBC">
        <w:t xml:space="preserve"> sector</w:t>
      </w:r>
      <w:r w:rsidR="00B06287">
        <w:t>.</w:t>
      </w:r>
      <w:r w:rsidR="00215BBC" w:rsidDel="00215BBC">
        <w:t xml:space="preserve"> </w:t>
      </w:r>
      <w:bookmarkEnd w:id="4"/>
      <w:r w:rsidR="00B877B9">
        <w:t>Informed by stakeholder feedback, t</w:t>
      </w:r>
      <w:r w:rsidR="00A42FC5">
        <w:t>h</w:t>
      </w:r>
      <w:r>
        <w:t>is</w:t>
      </w:r>
      <w:r w:rsidR="00A42FC5">
        <w:t xml:space="preserve"> sectoral assessment </w:t>
      </w:r>
      <w:r w:rsidR="00B877B9">
        <w:t xml:space="preserve">report </w:t>
      </w:r>
      <w:r w:rsidR="00A42FC5">
        <w:t>outlines Treasury’s analysis</w:t>
      </w:r>
      <w:r w:rsidR="00B877B9">
        <w:t xml:space="preserve"> </w:t>
      </w:r>
      <w:r w:rsidR="00E419F7">
        <w:t xml:space="preserve">of the costs and benefits </w:t>
      </w:r>
      <w:r>
        <w:t xml:space="preserve">associated with </w:t>
      </w:r>
      <w:r w:rsidR="008116F6">
        <w:t xml:space="preserve">expanding the CDR to </w:t>
      </w:r>
      <w:r w:rsidR="00B34DA4">
        <w:t xml:space="preserve">non-bank lending </w:t>
      </w:r>
      <w:r w:rsidR="00A42FC5">
        <w:t xml:space="preserve">and </w:t>
      </w:r>
      <w:r>
        <w:t>serves</w:t>
      </w:r>
      <w:r w:rsidR="00A42FC5">
        <w:t xml:space="preserve"> to inform the Minister’s decision </w:t>
      </w:r>
      <w:r w:rsidR="00B34DA4">
        <w:t>on designating the sector</w:t>
      </w:r>
      <w:r w:rsidR="00A42FC5">
        <w:t>.</w:t>
      </w:r>
    </w:p>
    <w:p w14:paraId="5314C4B4" w14:textId="77777777" w:rsidR="00F8175E" w:rsidRDefault="007174A0">
      <w:pPr>
        <w:rPr>
          <w:rFonts w:asciiTheme="majorHAnsi" w:hAnsiTheme="majorHAnsi"/>
        </w:rPr>
      </w:pPr>
      <w:r>
        <w:t xml:space="preserve">Having regard to the statutory factors and feedback received during consultations, Treasury recommends the non-bank lending sector be designated. </w:t>
      </w:r>
      <w:r w:rsidR="00F8175E">
        <w:rPr>
          <w:rFonts w:asciiTheme="majorHAnsi" w:hAnsiTheme="majorHAnsi"/>
        </w:rPr>
        <w:t xml:space="preserve">Extending the CDR to non-bank lending is likely to result in significant benefits for individual and business consumers – namely better service and greater potential for innovation. </w:t>
      </w:r>
    </w:p>
    <w:p w14:paraId="58345138" w14:textId="1932F604" w:rsidR="00301081" w:rsidRDefault="007174A0">
      <w:r>
        <w:t>To maximise the benefits of data</w:t>
      </w:r>
      <w:r w:rsidR="00E24AFD">
        <w:t xml:space="preserve"> </w:t>
      </w:r>
      <w:r>
        <w:t xml:space="preserve">sharing and deliver the use cases identified </w:t>
      </w:r>
      <w:r w:rsidR="007F2A88">
        <w:t>during</w:t>
      </w:r>
      <w:r>
        <w:t xml:space="preserve"> consultation, Treasury proposes the designation support data</w:t>
      </w:r>
      <w:r w:rsidR="00E24AFD">
        <w:t xml:space="preserve"> </w:t>
      </w:r>
      <w:r>
        <w:t>sharing similar to that in the banking</w:t>
      </w:r>
      <w:r w:rsidR="00F8175E">
        <w:t>, energy and telecommunications</w:t>
      </w:r>
      <w:r>
        <w:t xml:space="preserve"> sector</w:t>
      </w:r>
      <w:r w:rsidR="00F8175E">
        <w:t>s</w:t>
      </w:r>
      <w:r>
        <w:t xml:space="preserve">. </w:t>
      </w:r>
    </w:p>
    <w:p w14:paraId="721F181F" w14:textId="786D9A81" w:rsidR="00301081" w:rsidRPr="00AB2D14" w:rsidRDefault="007174A0" w:rsidP="00700D08">
      <w:pPr>
        <w:rPr>
          <w:rFonts w:asciiTheme="minorHAnsi" w:hAnsiTheme="minorHAnsi"/>
        </w:rPr>
      </w:pPr>
      <w:r>
        <w:t>Accordingly, Treasury recommends designating g</w:t>
      </w:r>
      <w:r>
        <w:rPr>
          <w:rFonts w:asciiTheme="minorHAnsi" w:hAnsiTheme="minorHAnsi"/>
        </w:rPr>
        <w:t xml:space="preserve">eneric and publicly available </w:t>
      </w:r>
      <w:r w:rsidRPr="00F33CA0">
        <w:rPr>
          <w:rFonts w:asciiTheme="minorHAnsi" w:hAnsiTheme="minorHAnsi"/>
        </w:rPr>
        <w:t>information</w:t>
      </w:r>
      <w:r>
        <w:rPr>
          <w:rFonts w:asciiTheme="minorHAnsi" w:hAnsiTheme="minorHAnsi"/>
        </w:rPr>
        <w:t xml:space="preserve"> about non-bank lending products, information about a CDR customer (such as contact information) and information about the use of a non-bank lending product</w:t>
      </w:r>
      <w:r w:rsidR="00FF0266">
        <w:rPr>
          <w:rFonts w:asciiTheme="minorHAnsi" w:hAnsiTheme="minorHAnsi"/>
        </w:rPr>
        <w:t xml:space="preserve">. </w:t>
      </w:r>
    </w:p>
    <w:p w14:paraId="55FF41C5" w14:textId="42CCFB8F" w:rsidR="009E5FA8" w:rsidRDefault="00A42FC5" w:rsidP="00700D08">
      <w:pPr>
        <w:rPr>
          <w:rFonts w:asciiTheme="minorHAnsi" w:hAnsiTheme="minorHAnsi"/>
        </w:rPr>
      </w:pPr>
      <w:r>
        <w:rPr>
          <w:rFonts w:asciiTheme="majorHAnsi" w:hAnsiTheme="majorHAnsi"/>
        </w:rPr>
        <w:t xml:space="preserve">Combining non-bank lending datasets with </w:t>
      </w:r>
      <w:r w:rsidR="00416DC2">
        <w:rPr>
          <w:rFonts w:asciiTheme="majorHAnsi" w:hAnsiTheme="majorHAnsi"/>
        </w:rPr>
        <w:t xml:space="preserve">other </w:t>
      </w:r>
      <w:r w:rsidR="00BE065D">
        <w:rPr>
          <w:rFonts w:asciiTheme="majorHAnsi" w:hAnsiTheme="majorHAnsi"/>
        </w:rPr>
        <w:t>‘</w:t>
      </w:r>
      <w:r>
        <w:rPr>
          <w:rFonts w:asciiTheme="majorHAnsi" w:hAnsiTheme="majorHAnsi"/>
        </w:rPr>
        <w:t>Open Banking</w:t>
      </w:r>
      <w:r w:rsidR="00BE065D">
        <w:rPr>
          <w:rFonts w:asciiTheme="majorHAnsi" w:hAnsiTheme="majorHAnsi"/>
        </w:rPr>
        <w:t>’</w:t>
      </w:r>
      <w:r>
        <w:rPr>
          <w:rFonts w:asciiTheme="majorHAnsi" w:hAnsiTheme="majorHAnsi"/>
        </w:rPr>
        <w:t xml:space="preserve"> datasets already being shared</w:t>
      </w:r>
      <w:r w:rsidR="00216DFE">
        <w:rPr>
          <w:rFonts w:asciiTheme="majorHAnsi" w:hAnsiTheme="majorHAnsi"/>
        </w:rPr>
        <w:t xml:space="preserve"> through the CDR</w:t>
      </w:r>
      <w:r>
        <w:rPr>
          <w:rFonts w:asciiTheme="majorHAnsi" w:hAnsiTheme="majorHAnsi"/>
        </w:rPr>
        <w:t xml:space="preserve"> </w:t>
      </w:r>
      <w:r w:rsidR="00F5381E">
        <w:rPr>
          <w:rFonts w:asciiTheme="majorHAnsi" w:hAnsiTheme="majorHAnsi"/>
        </w:rPr>
        <w:t>will support</w:t>
      </w:r>
      <w:r w:rsidR="00700D08">
        <w:rPr>
          <w:rFonts w:asciiTheme="majorHAnsi" w:hAnsiTheme="majorHAnsi"/>
        </w:rPr>
        <w:t xml:space="preserve"> consumers to easily access and share a complete picture of their lending information</w:t>
      </w:r>
      <w:r w:rsidR="000C4B1F">
        <w:rPr>
          <w:rFonts w:asciiTheme="majorHAnsi" w:hAnsiTheme="majorHAnsi"/>
        </w:rPr>
        <w:t xml:space="preserve"> and</w:t>
      </w:r>
      <w:r w:rsidR="00700D08">
        <w:rPr>
          <w:rFonts w:asciiTheme="majorHAnsi" w:hAnsiTheme="majorHAnsi"/>
        </w:rPr>
        <w:t xml:space="preserve"> make more informed decisions abou</w:t>
      </w:r>
      <w:r w:rsidR="004B0737">
        <w:rPr>
          <w:rFonts w:asciiTheme="majorHAnsi" w:hAnsiTheme="majorHAnsi"/>
        </w:rPr>
        <w:t>t which products suit their needs</w:t>
      </w:r>
      <w:r w:rsidR="00700D08">
        <w:rPr>
          <w:rFonts w:asciiTheme="majorHAnsi" w:hAnsiTheme="majorHAnsi"/>
        </w:rPr>
        <w:t xml:space="preserve">. </w:t>
      </w:r>
      <w:r w:rsidR="00DC1674">
        <w:rPr>
          <w:rFonts w:asciiTheme="majorHAnsi" w:hAnsiTheme="majorHAnsi"/>
        </w:rPr>
        <w:t>By streamlining non-bank lending application processes, the CDR may also help lenders make more accurate and efficient lending decisions, while reducing</w:t>
      </w:r>
      <w:r w:rsidR="00DC1674">
        <w:rPr>
          <w:rFonts w:asciiTheme="minorHAnsi" w:hAnsiTheme="minorHAnsi"/>
        </w:rPr>
        <w:t xml:space="preserve"> the administrative burden of receiving consumers’ financial information.</w:t>
      </w:r>
    </w:p>
    <w:p w14:paraId="5BD53F7A" w14:textId="2E62E28C" w:rsidR="00700D08" w:rsidRPr="00820865" w:rsidRDefault="00497FF4" w:rsidP="00700D08">
      <w:pPr>
        <w:rPr>
          <w:rFonts w:asciiTheme="minorHAnsi" w:hAnsiTheme="minorHAnsi"/>
        </w:rPr>
      </w:pPr>
      <w:r>
        <w:rPr>
          <w:rFonts w:asciiTheme="minorHAnsi" w:hAnsiTheme="minorHAnsi"/>
        </w:rPr>
        <w:t xml:space="preserve">Further, </w:t>
      </w:r>
      <w:r w:rsidR="00DC1674">
        <w:rPr>
          <w:rFonts w:asciiTheme="minorHAnsi" w:hAnsiTheme="minorHAnsi"/>
        </w:rPr>
        <w:t>a cross-sectoral data pool that combines consumers’ datasets from non-bank lending, energy, telecommunications and other proposed Open Finance areas</w:t>
      </w:r>
      <w:r w:rsidR="00DC1674">
        <w:rPr>
          <w:rFonts w:asciiTheme="majorHAnsi" w:hAnsiTheme="majorHAnsi"/>
        </w:rPr>
        <w:t xml:space="preserve"> may </w:t>
      </w:r>
      <w:r w:rsidR="00DC1674">
        <w:rPr>
          <w:rFonts w:asciiTheme="minorHAnsi" w:hAnsiTheme="minorHAnsi"/>
        </w:rPr>
        <w:t>encourage industry to develop innovative products and services. For example, entities could use cross-sectoral data to help consumers make informed decisions during significant life events such as buying</w:t>
      </w:r>
      <w:r w:rsidR="002B0117">
        <w:rPr>
          <w:rFonts w:asciiTheme="minorHAnsi" w:hAnsiTheme="minorHAnsi"/>
        </w:rPr>
        <w:t xml:space="preserve"> and setting up services to</w:t>
      </w:r>
      <w:r w:rsidR="00DC1674">
        <w:rPr>
          <w:rFonts w:asciiTheme="minorHAnsi" w:hAnsiTheme="minorHAnsi"/>
        </w:rPr>
        <w:t xml:space="preserve"> a house. They could also use cross-sectoral data to provide advice on sound financial management so consumers can plan for their future.</w:t>
      </w:r>
    </w:p>
    <w:p w14:paraId="7B5BB861" w14:textId="0918E852" w:rsidR="005A4BF9" w:rsidRPr="0029477D" w:rsidRDefault="00294B9E" w:rsidP="00700D08">
      <w:pPr>
        <w:rPr>
          <w:rFonts w:asciiTheme="minorHAnsi" w:hAnsiTheme="minorHAnsi"/>
        </w:rPr>
      </w:pPr>
      <w:r>
        <w:rPr>
          <w:rFonts w:asciiTheme="majorHAnsi" w:hAnsiTheme="majorHAnsi"/>
        </w:rPr>
        <w:t>S</w:t>
      </w:r>
      <w:r w:rsidR="009E5FA8">
        <w:rPr>
          <w:rFonts w:asciiTheme="majorHAnsi" w:hAnsiTheme="majorHAnsi"/>
        </w:rPr>
        <w:t>takeholders</w:t>
      </w:r>
      <w:r>
        <w:rPr>
          <w:rFonts w:asciiTheme="majorHAnsi" w:hAnsiTheme="majorHAnsi"/>
        </w:rPr>
        <w:t xml:space="preserve"> </w:t>
      </w:r>
      <w:r w:rsidR="009E5FA8">
        <w:rPr>
          <w:rFonts w:asciiTheme="majorHAnsi" w:hAnsiTheme="majorHAnsi"/>
        </w:rPr>
        <w:t>note</w:t>
      </w:r>
      <w:r w:rsidR="008C1B76">
        <w:rPr>
          <w:rFonts w:asciiTheme="majorHAnsi" w:hAnsiTheme="majorHAnsi"/>
        </w:rPr>
        <w:t>d</w:t>
      </w:r>
      <w:r w:rsidR="000643FD">
        <w:rPr>
          <w:rFonts w:asciiTheme="majorHAnsi" w:hAnsiTheme="majorHAnsi"/>
        </w:rPr>
        <w:t xml:space="preserve"> </w:t>
      </w:r>
      <w:r w:rsidR="0031329D">
        <w:rPr>
          <w:rFonts w:asciiTheme="majorHAnsi" w:hAnsiTheme="majorHAnsi"/>
        </w:rPr>
        <w:t>the</w:t>
      </w:r>
      <w:r w:rsidR="003B4CAF">
        <w:rPr>
          <w:rFonts w:asciiTheme="majorHAnsi" w:hAnsiTheme="majorHAnsi"/>
        </w:rPr>
        <w:t xml:space="preserve"> potential</w:t>
      </w:r>
      <w:r w:rsidR="0031329D">
        <w:rPr>
          <w:rFonts w:asciiTheme="majorHAnsi" w:hAnsiTheme="majorHAnsi"/>
        </w:rPr>
        <w:t xml:space="preserve"> regulatory impacts</w:t>
      </w:r>
      <w:r w:rsidR="0020406C">
        <w:rPr>
          <w:rFonts w:asciiTheme="majorHAnsi" w:hAnsiTheme="majorHAnsi"/>
        </w:rPr>
        <w:t xml:space="preserve"> </w:t>
      </w:r>
      <w:r w:rsidR="00820865">
        <w:rPr>
          <w:rFonts w:asciiTheme="majorHAnsi" w:hAnsiTheme="majorHAnsi"/>
        </w:rPr>
        <w:t>on non-bank lenders</w:t>
      </w:r>
      <w:r w:rsidR="0020406C">
        <w:rPr>
          <w:rFonts w:asciiTheme="majorHAnsi" w:hAnsiTheme="majorHAnsi"/>
        </w:rPr>
        <w:t xml:space="preserve"> of implementing and complying with the CDR</w:t>
      </w:r>
      <w:r w:rsidR="008C1B76">
        <w:rPr>
          <w:rFonts w:asciiTheme="majorHAnsi" w:hAnsiTheme="majorHAnsi"/>
        </w:rPr>
        <w:t xml:space="preserve">, </w:t>
      </w:r>
      <w:r w:rsidR="000643FD">
        <w:rPr>
          <w:rFonts w:asciiTheme="majorHAnsi" w:hAnsiTheme="majorHAnsi"/>
        </w:rPr>
        <w:t>particular</w:t>
      </w:r>
      <w:r w:rsidR="008C1B76">
        <w:rPr>
          <w:rFonts w:asciiTheme="majorHAnsi" w:hAnsiTheme="majorHAnsi"/>
        </w:rPr>
        <w:t>ly</w:t>
      </w:r>
      <w:r w:rsidR="0020406C">
        <w:rPr>
          <w:rFonts w:asciiTheme="majorHAnsi" w:hAnsiTheme="majorHAnsi"/>
        </w:rPr>
        <w:t xml:space="preserve"> the cost of compliance</w:t>
      </w:r>
      <w:r w:rsidR="003B4CAF">
        <w:rPr>
          <w:rFonts w:asciiTheme="majorHAnsi" w:hAnsiTheme="majorHAnsi"/>
        </w:rPr>
        <w:t xml:space="preserve"> </w:t>
      </w:r>
      <w:r w:rsidR="005375A1">
        <w:rPr>
          <w:rFonts w:asciiTheme="majorHAnsi" w:hAnsiTheme="majorHAnsi"/>
        </w:rPr>
        <w:t>on smaller</w:t>
      </w:r>
      <w:r>
        <w:rPr>
          <w:rFonts w:asciiTheme="majorHAnsi" w:hAnsiTheme="majorHAnsi"/>
        </w:rPr>
        <w:t>,</w:t>
      </w:r>
      <w:r w:rsidR="001C0FC4">
        <w:rPr>
          <w:rFonts w:asciiTheme="majorHAnsi" w:hAnsiTheme="majorHAnsi"/>
        </w:rPr>
        <w:t xml:space="preserve"> less resourced</w:t>
      </w:r>
      <w:r w:rsidR="005375A1">
        <w:rPr>
          <w:rFonts w:asciiTheme="majorHAnsi" w:hAnsiTheme="majorHAnsi"/>
        </w:rPr>
        <w:t xml:space="preserve"> lenders, </w:t>
      </w:r>
      <w:r w:rsidR="00CB02A0">
        <w:rPr>
          <w:rFonts w:asciiTheme="majorHAnsi" w:hAnsiTheme="majorHAnsi"/>
        </w:rPr>
        <w:t>which could have adverse flow</w:t>
      </w:r>
      <w:r>
        <w:rPr>
          <w:rFonts w:asciiTheme="majorHAnsi" w:hAnsiTheme="majorHAnsi"/>
        </w:rPr>
        <w:t>-</w:t>
      </w:r>
      <w:r w:rsidR="00CB02A0">
        <w:rPr>
          <w:rFonts w:asciiTheme="majorHAnsi" w:hAnsiTheme="majorHAnsi"/>
        </w:rPr>
        <w:t xml:space="preserve">on effects for </w:t>
      </w:r>
      <w:r w:rsidR="005375A1">
        <w:rPr>
          <w:rFonts w:asciiTheme="majorHAnsi" w:hAnsiTheme="majorHAnsi"/>
        </w:rPr>
        <w:t>innovation and competition in the sector.</w:t>
      </w:r>
      <w:r w:rsidR="00F23667">
        <w:rPr>
          <w:rFonts w:asciiTheme="majorHAnsi" w:hAnsiTheme="majorHAnsi"/>
        </w:rPr>
        <w:t xml:space="preserve"> </w:t>
      </w:r>
      <w:r w:rsidR="002565B5">
        <w:rPr>
          <w:rFonts w:asciiTheme="majorHAnsi" w:hAnsiTheme="majorHAnsi"/>
        </w:rPr>
        <w:t>Treasury is also aware</w:t>
      </w:r>
      <w:r w:rsidR="00C5621D">
        <w:rPr>
          <w:rFonts w:asciiTheme="majorHAnsi" w:hAnsiTheme="majorHAnsi"/>
        </w:rPr>
        <w:t xml:space="preserve"> there may be</w:t>
      </w:r>
      <w:r w:rsidR="0031329D">
        <w:rPr>
          <w:rFonts w:asciiTheme="majorHAnsi" w:hAnsiTheme="majorHAnsi"/>
        </w:rPr>
        <w:t xml:space="preserve"> enhanced </w:t>
      </w:r>
      <w:r w:rsidR="008E66C5">
        <w:rPr>
          <w:rFonts w:asciiTheme="majorHAnsi" w:hAnsiTheme="majorHAnsi"/>
        </w:rPr>
        <w:t>privacy</w:t>
      </w:r>
      <w:r w:rsidR="0031329D">
        <w:rPr>
          <w:rFonts w:asciiTheme="majorHAnsi" w:hAnsiTheme="majorHAnsi"/>
        </w:rPr>
        <w:t xml:space="preserve"> risks for vulnerable consumers sharing </w:t>
      </w:r>
      <w:r w:rsidR="00CB02A0">
        <w:rPr>
          <w:rFonts w:asciiTheme="majorHAnsi" w:hAnsiTheme="majorHAnsi"/>
        </w:rPr>
        <w:t>their financial information through the CDR</w:t>
      </w:r>
      <w:r w:rsidR="008C1B76">
        <w:rPr>
          <w:rFonts w:asciiTheme="majorHAnsi" w:hAnsiTheme="majorHAnsi"/>
        </w:rPr>
        <w:t>,</w:t>
      </w:r>
      <w:r>
        <w:rPr>
          <w:rFonts w:asciiTheme="majorHAnsi" w:hAnsiTheme="majorHAnsi"/>
        </w:rPr>
        <w:t xml:space="preserve"> given </w:t>
      </w:r>
      <w:r w:rsidR="000643FD">
        <w:rPr>
          <w:rFonts w:asciiTheme="minorHAnsi" w:hAnsiTheme="minorHAnsi"/>
        </w:rPr>
        <w:t>the non</w:t>
      </w:r>
      <w:r w:rsidR="000643FD">
        <w:rPr>
          <w:rFonts w:asciiTheme="minorHAnsi" w:hAnsiTheme="minorHAnsi"/>
        </w:rPr>
        <w:noBreakHyphen/>
      </w:r>
      <w:r w:rsidR="000643FD" w:rsidRPr="00FC4B83">
        <w:rPr>
          <w:rFonts w:asciiTheme="minorHAnsi" w:hAnsiTheme="minorHAnsi"/>
        </w:rPr>
        <w:t>bank</w:t>
      </w:r>
      <w:r w:rsidR="00995191">
        <w:rPr>
          <w:rFonts w:asciiTheme="minorHAnsi" w:hAnsiTheme="minorHAnsi"/>
        </w:rPr>
        <w:t>ing</w:t>
      </w:r>
      <w:r w:rsidR="000643FD" w:rsidRPr="00FC4B83">
        <w:rPr>
          <w:rFonts w:asciiTheme="minorHAnsi" w:hAnsiTheme="minorHAnsi"/>
        </w:rPr>
        <w:t xml:space="preserve"> sector serves different demographics, functions and purposes </w:t>
      </w:r>
      <w:r>
        <w:rPr>
          <w:rFonts w:asciiTheme="minorHAnsi" w:hAnsiTheme="minorHAnsi"/>
        </w:rPr>
        <w:t>to</w:t>
      </w:r>
      <w:r w:rsidRPr="00FC4B83">
        <w:rPr>
          <w:rFonts w:asciiTheme="minorHAnsi" w:hAnsiTheme="minorHAnsi"/>
        </w:rPr>
        <w:t xml:space="preserve"> </w:t>
      </w:r>
      <w:r w:rsidR="000643FD" w:rsidRPr="00FC4B83">
        <w:rPr>
          <w:rFonts w:asciiTheme="minorHAnsi" w:hAnsiTheme="minorHAnsi"/>
        </w:rPr>
        <w:t>the banking sector</w:t>
      </w:r>
      <w:r w:rsidR="00384B64">
        <w:rPr>
          <w:rStyle w:val="FootnoteReference"/>
          <w:rFonts w:asciiTheme="minorHAnsi" w:hAnsiTheme="minorHAnsi"/>
        </w:rPr>
        <w:footnoteReference w:id="2"/>
      </w:r>
      <w:r w:rsidR="0048576B">
        <w:rPr>
          <w:rFonts w:asciiTheme="minorHAnsi" w:hAnsiTheme="minorHAnsi"/>
        </w:rPr>
        <w:t xml:space="preserve"> </w:t>
      </w:r>
      <w:r w:rsidR="000A06BF">
        <w:rPr>
          <w:rFonts w:asciiTheme="minorHAnsi" w:hAnsiTheme="minorHAnsi"/>
        </w:rPr>
        <w:t>H</w:t>
      </w:r>
      <w:r w:rsidR="00F23FF3">
        <w:rPr>
          <w:rFonts w:asciiTheme="minorHAnsi" w:hAnsiTheme="minorHAnsi"/>
        </w:rPr>
        <w:t>owever</w:t>
      </w:r>
      <w:r w:rsidR="000A06BF">
        <w:rPr>
          <w:rFonts w:asciiTheme="minorHAnsi" w:hAnsiTheme="minorHAnsi"/>
        </w:rPr>
        <w:t xml:space="preserve"> Treasury</w:t>
      </w:r>
      <w:r w:rsidR="00F23FF3">
        <w:rPr>
          <w:rFonts w:asciiTheme="minorHAnsi" w:hAnsiTheme="minorHAnsi"/>
        </w:rPr>
        <w:t xml:space="preserve"> notes the CDR is </w:t>
      </w:r>
      <w:r w:rsidR="00203707">
        <w:rPr>
          <w:rFonts w:asciiTheme="minorHAnsi" w:hAnsiTheme="minorHAnsi"/>
        </w:rPr>
        <w:t>a</w:t>
      </w:r>
      <w:r w:rsidR="00F23FF3">
        <w:rPr>
          <w:rFonts w:asciiTheme="minorHAnsi" w:hAnsiTheme="minorHAnsi"/>
        </w:rPr>
        <w:t xml:space="preserve"> safer </w:t>
      </w:r>
      <w:r w:rsidR="00203707">
        <w:rPr>
          <w:rFonts w:asciiTheme="minorHAnsi" w:hAnsiTheme="minorHAnsi"/>
        </w:rPr>
        <w:t>alternative to</w:t>
      </w:r>
      <w:r w:rsidR="00F23FF3">
        <w:rPr>
          <w:rFonts w:asciiTheme="minorHAnsi" w:hAnsiTheme="minorHAnsi"/>
        </w:rPr>
        <w:t xml:space="preserve"> other data sharing mechanisms</w:t>
      </w:r>
      <w:r w:rsidR="00384B64">
        <w:rPr>
          <w:rFonts w:asciiTheme="minorHAnsi" w:hAnsiTheme="minorHAnsi"/>
        </w:rPr>
        <w:t xml:space="preserve"> currently</w:t>
      </w:r>
      <w:r w:rsidR="00F23FF3">
        <w:rPr>
          <w:rFonts w:asciiTheme="minorHAnsi" w:hAnsiTheme="minorHAnsi"/>
        </w:rPr>
        <w:t xml:space="preserve"> being used outside of the CDR, such as email and screen scraping</w:t>
      </w:r>
      <w:r w:rsidR="0033492F">
        <w:rPr>
          <w:rFonts w:asciiTheme="minorHAnsi" w:hAnsiTheme="minorHAnsi"/>
        </w:rPr>
        <w:t>,</w:t>
      </w:r>
      <w:r w:rsidR="00203707">
        <w:rPr>
          <w:rFonts w:asciiTheme="minorHAnsi" w:hAnsiTheme="minorHAnsi"/>
        </w:rPr>
        <w:t xml:space="preserve"> because of its increased privacy protections and data security requirements. </w:t>
      </w:r>
      <w:r w:rsidR="00F23FF3">
        <w:rPr>
          <w:rFonts w:asciiTheme="minorHAnsi" w:hAnsiTheme="minorHAnsi"/>
        </w:rPr>
        <w:t xml:space="preserve"> </w:t>
      </w:r>
    </w:p>
    <w:p w14:paraId="2B5E7143" w14:textId="33533674" w:rsidR="00403472" w:rsidRDefault="008E66C5">
      <w:r>
        <w:t xml:space="preserve">Treasury considers the privacy and </w:t>
      </w:r>
      <w:r w:rsidR="007119D5">
        <w:t xml:space="preserve">adverse </w:t>
      </w:r>
      <w:r>
        <w:t>regulatory impact</w:t>
      </w:r>
      <w:r w:rsidR="00995191">
        <w:t xml:space="preserve">s </w:t>
      </w:r>
      <w:r>
        <w:t>raised during consultation</w:t>
      </w:r>
      <w:r w:rsidR="00995191">
        <w:t>s</w:t>
      </w:r>
      <w:r>
        <w:t xml:space="preserve"> can be appropriately </w:t>
      </w:r>
      <w:r w:rsidR="00F23FF3">
        <w:t xml:space="preserve">mitigated </w:t>
      </w:r>
      <w:r>
        <w:t xml:space="preserve">by the rules and standards, which are likely to closely mirror those currently in operation in the banking sector. </w:t>
      </w:r>
      <w:r w:rsidR="00730341">
        <w:t>Treasury recommend</w:t>
      </w:r>
      <w:r w:rsidR="00475555">
        <w:t>s</w:t>
      </w:r>
      <w:r w:rsidR="00730341">
        <w:t xml:space="preserve"> the rules</w:t>
      </w:r>
      <w:r w:rsidR="00403472">
        <w:t>:</w:t>
      </w:r>
    </w:p>
    <w:p w14:paraId="4D0FF51B" w14:textId="5F3EB203" w:rsidR="00403472" w:rsidRPr="00A969D1" w:rsidRDefault="00730341" w:rsidP="00403472">
      <w:pPr>
        <w:pStyle w:val="Bullet"/>
      </w:pPr>
      <w:r w:rsidRPr="00357035">
        <w:rPr>
          <w:rFonts w:asciiTheme="minorHAnsi" w:hAnsiTheme="minorHAnsi"/>
          <w:color w:val="auto"/>
          <w:sz w:val="22"/>
          <w:szCs w:val="22"/>
        </w:rPr>
        <w:lastRenderedPageBreak/>
        <w:t>apply a</w:t>
      </w:r>
      <w:r w:rsidR="00B36839" w:rsidRPr="00357035">
        <w:rPr>
          <w:rFonts w:asciiTheme="minorHAnsi" w:hAnsiTheme="minorHAnsi"/>
          <w:color w:val="auto"/>
          <w:sz w:val="22"/>
          <w:szCs w:val="22"/>
        </w:rPr>
        <w:t xml:space="preserve"> </w:t>
      </w:r>
      <w:r w:rsidR="00B36839" w:rsidRPr="00357035">
        <w:rPr>
          <w:rFonts w:asciiTheme="minorHAnsi" w:hAnsiTheme="minorHAnsi"/>
          <w:i/>
          <w:color w:val="auto"/>
          <w:sz w:val="22"/>
          <w:szCs w:val="22"/>
        </w:rPr>
        <w:t>de minimis</w:t>
      </w:r>
      <w:r w:rsidR="00B36839" w:rsidRPr="00357035">
        <w:rPr>
          <w:rFonts w:asciiTheme="minorHAnsi" w:hAnsiTheme="minorHAnsi"/>
          <w:color w:val="auto"/>
          <w:sz w:val="22"/>
          <w:szCs w:val="22"/>
        </w:rPr>
        <w:t xml:space="preserve"> threshold, which would have the effect of excluding non-bank lenders below a certain threshold from mandatory data</w:t>
      </w:r>
      <w:r w:rsidR="00E24AFD" w:rsidRPr="00357035">
        <w:rPr>
          <w:rFonts w:asciiTheme="minorHAnsi" w:hAnsiTheme="minorHAnsi"/>
          <w:color w:val="auto"/>
          <w:sz w:val="22"/>
          <w:szCs w:val="22"/>
        </w:rPr>
        <w:t xml:space="preserve"> </w:t>
      </w:r>
      <w:r w:rsidR="00B36839" w:rsidRPr="00357035">
        <w:rPr>
          <w:rFonts w:asciiTheme="minorHAnsi" w:hAnsiTheme="minorHAnsi"/>
          <w:color w:val="auto"/>
          <w:sz w:val="22"/>
          <w:szCs w:val="22"/>
        </w:rPr>
        <w:t>sharing obligations</w:t>
      </w:r>
    </w:p>
    <w:p w14:paraId="704B441B" w14:textId="1A5CD509" w:rsidR="00403472" w:rsidRPr="00F70917" w:rsidRDefault="00403472" w:rsidP="00F70917">
      <w:pPr>
        <w:pStyle w:val="Bullet"/>
        <w:rPr>
          <w:rFonts w:asciiTheme="minorHAnsi" w:hAnsiTheme="minorHAnsi"/>
          <w:color w:val="auto"/>
          <w:sz w:val="22"/>
          <w:szCs w:val="22"/>
        </w:rPr>
      </w:pPr>
      <w:r w:rsidRPr="00A969D1">
        <w:rPr>
          <w:rFonts w:asciiTheme="minorHAnsi" w:hAnsiTheme="minorHAnsi"/>
          <w:color w:val="auto"/>
          <w:sz w:val="22"/>
          <w:szCs w:val="22"/>
        </w:rPr>
        <w:t xml:space="preserve">consider whether there are additional consent </w:t>
      </w:r>
      <w:r w:rsidR="007119D5">
        <w:rPr>
          <w:rFonts w:asciiTheme="minorHAnsi" w:hAnsiTheme="minorHAnsi"/>
          <w:color w:val="auto"/>
          <w:sz w:val="22"/>
          <w:szCs w:val="22"/>
        </w:rPr>
        <w:t xml:space="preserve">protection </w:t>
      </w:r>
      <w:r w:rsidRPr="00A969D1">
        <w:rPr>
          <w:rFonts w:asciiTheme="minorHAnsi" w:hAnsiTheme="minorHAnsi"/>
          <w:color w:val="auto"/>
          <w:sz w:val="22"/>
          <w:szCs w:val="22"/>
        </w:rPr>
        <w:t>mechanisms that could apply to high</w:t>
      </w:r>
      <w:r w:rsidR="007119D5">
        <w:rPr>
          <w:rFonts w:asciiTheme="minorHAnsi" w:hAnsiTheme="minorHAnsi"/>
          <w:color w:val="auto"/>
          <w:sz w:val="22"/>
          <w:szCs w:val="22"/>
        </w:rPr>
        <w:noBreakHyphen/>
      </w:r>
      <w:r w:rsidRPr="00A969D1">
        <w:rPr>
          <w:rFonts w:asciiTheme="minorHAnsi" w:hAnsiTheme="minorHAnsi"/>
          <w:color w:val="auto"/>
          <w:sz w:val="22"/>
          <w:szCs w:val="22"/>
        </w:rPr>
        <w:t>cost products</w:t>
      </w:r>
      <w:r w:rsidR="00AC0982">
        <w:rPr>
          <w:rFonts w:asciiTheme="minorHAnsi" w:hAnsiTheme="minorHAnsi"/>
          <w:color w:val="auto"/>
          <w:sz w:val="22"/>
          <w:szCs w:val="22"/>
        </w:rPr>
        <w:t>, such as further direct marketing restrictions.</w:t>
      </w:r>
    </w:p>
    <w:p w14:paraId="318A2E21" w14:textId="2E74ACA5" w:rsidR="008E66C5" w:rsidRPr="0048576B" w:rsidRDefault="00995191" w:rsidP="0048576B">
      <w:pPr>
        <w:rPr>
          <w:rFonts w:asciiTheme="minorHAnsi" w:hAnsiTheme="minorHAnsi"/>
        </w:rPr>
      </w:pPr>
      <w:r w:rsidRPr="00A969D1">
        <w:rPr>
          <w:rFonts w:asciiTheme="minorHAnsi" w:hAnsiTheme="minorHAnsi"/>
        </w:rPr>
        <w:t>Further c</w:t>
      </w:r>
      <w:r w:rsidR="00730341" w:rsidRPr="00A969D1">
        <w:rPr>
          <w:rFonts w:asciiTheme="minorHAnsi" w:hAnsiTheme="minorHAnsi"/>
        </w:rPr>
        <w:t>onsultation will inform design and implementation decisions</w:t>
      </w:r>
      <w:r w:rsidR="00CD4FBE" w:rsidRPr="00A969D1">
        <w:rPr>
          <w:rFonts w:asciiTheme="minorHAnsi" w:hAnsiTheme="minorHAnsi"/>
        </w:rPr>
        <w:t>,</w:t>
      </w:r>
      <w:r w:rsidR="00730341" w:rsidRPr="00A969D1">
        <w:rPr>
          <w:rFonts w:asciiTheme="minorHAnsi" w:hAnsiTheme="minorHAnsi"/>
        </w:rPr>
        <w:t xml:space="preserve"> such as the phased commencement </w:t>
      </w:r>
      <w:r w:rsidR="00475555" w:rsidRPr="00A969D1">
        <w:rPr>
          <w:rFonts w:asciiTheme="minorHAnsi" w:hAnsiTheme="minorHAnsi"/>
        </w:rPr>
        <w:t>of data</w:t>
      </w:r>
      <w:r w:rsidR="00E24AFD" w:rsidRPr="00A969D1">
        <w:rPr>
          <w:rFonts w:asciiTheme="minorHAnsi" w:hAnsiTheme="minorHAnsi"/>
        </w:rPr>
        <w:t xml:space="preserve"> </w:t>
      </w:r>
      <w:r w:rsidR="00475555" w:rsidRPr="00A969D1">
        <w:rPr>
          <w:rFonts w:asciiTheme="minorHAnsi" w:hAnsiTheme="minorHAnsi"/>
        </w:rPr>
        <w:t>sharing obligations</w:t>
      </w:r>
      <w:r w:rsidR="00CB142F" w:rsidRPr="00A969D1">
        <w:rPr>
          <w:rFonts w:asciiTheme="minorHAnsi" w:hAnsiTheme="minorHAnsi"/>
        </w:rPr>
        <w:t xml:space="preserve"> and</w:t>
      </w:r>
      <w:r w:rsidR="0016452A" w:rsidRPr="00A969D1">
        <w:rPr>
          <w:rFonts w:asciiTheme="minorHAnsi" w:hAnsiTheme="minorHAnsi"/>
        </w:rPr>
        <w:t xml:space="preserve"> the prescribed list of products within scope of mandatory sharing obligations</w:t>
      </w:r>
      <w:r w:rsidR="008A54BA" w:rsidRPr="00A969D1">
        <w:rPr>
          <w:rFonts w:asciiTheme="minorHAnsi" w:hAnsiTheme="minorHAnsi"/>
        </w:rPr>
        <w:t>. Consultation will also occur on c</w:t>
      </w:r>
      <w:r w:rsidR="00465F0A" w:rsidRPr="00A969D1">
        <w:rPr>
          <w:rFonts w:asciiTheme="minorHAnsi" w:hAnsiTheme="minorHAnsi"/>
        </w:rPr>
        <w:t xml:space="preserve">hanges to the Banking Rules </w:t>
      </w:r>
      <w:r w:rsidR="008A54BA" w:rsidRPr="00A969D1">
        <w:rPr>
          <w:rFonts w:asciiTheme="minorHAnsi" w:hAnsiTheme="minorHAnsi"/>
        </w:rPr>
        <w:t>which will be</w:t>
      </w:r>
      <w:r w:rsidR="00465F0A" w:rsidRPr="00A969D1">
        <w:rPr>
          <w:rFonts w:asciiTheme="minorHAnsi" w:hAnsiTheme="minorHAnsi"/>
        </w:rPr>
        <w:t xml:space="preserve"> required to facilitate the sharing of </w:t>
      </w:r>
      <w:r w:rsidR="008A54BA" w:rsidRPr="00A969D1">
        <w:rPr>
          <w:rFonts w:asciiTheme="minorHAnsi" w:hAnsiTheme="minorHAnsi"/>
        </w:rPr>
        <w:t>information relating to buy now, pay later products</w:t>
      </w:r>
      <w:r w:rsidR="008A54BA" w:rsidRPr="0048576B">
        <w:rPr>
          <w:rFonts w:asciiTheme="minorHAnsi" w:hAnsiTheme="minorHAnsi"/>
        </w:rPr>
        <w:t>.</w:t>
      </w:r>
    </w:p>
    <w:p w14:paraId="212A8987" w14:textId="025ACBFA" w:rsidR="00687F39" w:rsidRDefault="001F365E" w:rsidP="001D640E">
      <w:pPr>
        <w:pStyle w:val="Numbered1"/>
        <w:ind w:left="680" w:hanging="680"/>
      </w:pPr>
      <w:bookmarkStart w:id="5" w:name="_Toc108794097"/>
      <w:r>
        <w:t>Designating a sector under the CDR</w:t>
      </w:r>
      <w:bookmarkEnd w:id="5"/>
    </w:p>
    <w:p w14:paraId="3B49EC80" w14:textId="44974940" w:rsidR="001F365E" w:rsidRDefault="001F365E" w:rsidP="00C5056D">
      <w:pPr>
        <w:pStyle w:val="Numbered11"/>
        <w:keepNext/>
        <w:ind w:left="431" w:hanging="431"/>
      </w:pPr>
      <w:bookmarkStart w:id="6" w:name="_Toc108794098"/>
      <w:r>
        <w:t>The Consumer Data Right</w:t>
      </w:r>
      <w:bookmarkEnd w:id="6"/>
    </w:p>
    <w:p w14:paraId="7902771F" w14:textId="4687A763" w:rsidR="0071589D" w:rsidRDefault="0071589D" w:rsidP="0071589D">
      <w:r>
        <w:t>The Consumer Data Right is a pioneering economic reform that gives consumers the right to use the data businesses hold about them for their own benefit. It is a foundation stone of the digital economy, designed to allow Australians to safely and securely unlock the value of information held about them by businesses. It is also the first of its kind in the world.</w:t>
      </w:r>
    </w:p>
    <w:p w14:paraId="104389E3" w14:textId="4A055BFE" w:rsidR="0071589D" w:rsidRDefault="0071589D" w:rsidP="0071589D">
      <w:r>
        <w:t>CDR places consumers at the centre of a data</w:t>
      </w:r>
      <w:r w:rsidR="00E24AFD">
        <w:t xml:space="preserve"> </w:t>
      </w:r>
      <w:r>
        <w:t>sharing system that protects their privacy and gives them the ability to opt in and determine when and how they share their data with other businesses and professionals of their choosing.</w:t>
      </w:r>
    </w:p>
    <w:p w14:paraId="0A0D74C7" w14:textId="5BFD0A76" w:rsidR="0071589D" w:rsidRDefault="0071589D" w:rsidP="0071589D">
      <w:r>
        <w:t>CDR is an interoperable online system governed by rules, standards and protocols to protect privacy and data security and allow different IT systems to communicate seamlessly.</w:t>
      </w:r>
    </w:p>
    <w:p w14:paraId="6EBE4509" w14:textId="5A8E6027" w:rsidR="0071589D" w:rsidRDefault="0071589D" w:rsidP="0071589D">
      <w:r>
        <w:t>Businesses</w:t>
      </w:r>
      <w:r w:rsidR="002200F0">
        <w:t xml:space="preserve"> who want to receive and use a consumer’s information must </w:t>
      </w:r>
      <w:r>
        <w:t xml:space="preserve">be accredited. Accreditation is a rigorous process that ensures businesses in the CDR system can meet the strict legal, technical and compliance </w:t>
      </w:r>
      <w:r w:rsidR="00713EE6">
        <w:t>obligations</w:t>
      </w:r>
      <w:r w:rsidR="009D2A8F">
        <w:t>.</w:t>
      </w:r>
      <w:r>
        <w:t xml:space="preserve"> There are penalties that apply to any participant who does not meet the </w:t>
      </w:r>
      <w:r w:rsidR="00713EE6">
        <w:t>obligations</w:t>
      </w:r>
      <w:r w:rsidDel="00713EE6">
        <w:t xml:space="preserve"> </w:t>
      </w:r>
      <w:r>
        <w:t>set or who mishandles a consumer’s data.</w:t>
      </w:r>
    </w:p>
    <w:p w14:paraId="35AC2889" w14:textId="54FA54B9" w:rsidR="0071589D" w:rsidRPr="0087083D" w:rsidRDefault="0071589D" w:rsidP="0087083D">
      <w:r>
        <w:t xml:space="preserve">Over time, we expect more and more accredited participants will begin to offer </w:t>
      </w:r>
      <w:r w:rsidR="00995191">
        <w:t xml:space="preserve">CDR-powered </w:t>
      </w:r>
      <w:r>
        <w:t xml:space="preserve">products and services that will help consumers extract value from their information by offering entirely new ways of doing things, solving problems, making administration more convenient or simplifying complex decisions. </w:t>
      </w:r>
    </w:p>
    <w:p w14:paraId="4DA9339F" w14:textId="58096E7A" w:rsidR="001F365E" w:rsidRDefault="001F365E" w:rsidP="00C5056D">
      <w:pPr>
        <w:pStyle w:val="Numbered11"/>
        <w:keepNext/>
        <w:ind w:left="431" w:hanging="431"/>
      </w:pPr>
      <w:bookmarkStart w:id="7" w:name="_Toc108794099"/>
      <w:r>
        <w:t>The CDR sectoral designation process</w:t>
      </w:r>
      <w:bookmarkEnd w:id="7"/>
    </w:p>
    <w:p w14:paraId="7F51EB37" w14:textId="16964F1F" w:rsidR="0071589D" w:rsidRDefault="001F365E" w:rsidP="00626036">
      <w:bookmarkStart w:id="8" w:name="_Hlk87602064"/>
      <w:r w:rsidRPr="00626036">
        <w:t xml:space="preserve">The Minister may designate a sector of the Australian economy to be subject to the CDR under section 56AC of the Competition and Consumer Act 2010 (the Act). A sector is designated by legislative instrument, which specifies the </w:t>
      </w:r>
      <w:r w:rsidR="00A92A1D">
        <w:t xml:space="preserve">broad </w:t>
      </w:r>
      <w:r w:rsidRPr="00626036">
        <w:t xml:space="preserve">classes of information (or data) </w:t>
      </w:r>
      <w:r w:rsidR="00A92A1D">
        <w:t>subject to</w:t>
      </w:r>
      <w:r w:rsidRPr="00626036">
        <w:t xml:space="preserve"> the CDR and the class or classes of persons who hold the designated information (data holders). </w:t>
      </w:r>
      <w:bookmarkEnd w:id="8"/>
      <w:r w:rsidRPr="00626036">
        <w:t>The Act provides that before a sector can be designated, certain matters under section 56AD(1) (collectively, the statutory factors) must be considered by the Minister. These</w:t>
      </w:r>
      <w:r w:rsidR="001D640E" w:rsidRPr="00626036">
        <w:t xml:space="preserve"> statutory factors</w:t>
      </w:r>
      <w:r w:rsidRPr="00626036">
        <w:t xml:space="preserve"> include:</w:t>
      </w:r>
      <w:bookmarkStart w:id="9" w:name="_Hlk73092094"/>
    </w:p>
    <w:p w14:paraId="1F6602F9" w14:textId="77777777" w:rsidR="00F70917" w:rsidRPr="00626036" w:rsidRDefault="00F70917" w:rsidP="0050561D">
      <w:pPr>
        <w:spacing w:before="0"/>
      </w:pPr>
    </w:p>
    <w:p w14:paraId="49D20CE4" w14:textId="229111F4" w:rsidR="001F365E" w:rsidRPr="00A2256E" w:rsidRDefault="001F365E" w:rsidP="0050561D">
      <w:pPr>
        <w:pStyle w:val="Bullet"/>
      </w:pPr>
      <w:r w:rsidRPr="0050561D">
        <w:rPr>
          <w:color w:val="auto"/>
          <w:sz w:val="22"/>
          <w:szCs w:val="22"/>
        </w:rPr>
        <w:t xml:space="preserve">the interests of consumers </w:t>
      </w:r>
    </w:p>
    <w:p w14:paraId="1A455B33" w14:textId="326A81D4" w:rsidR="001F365E" w:rsidRPr="00A2256E" w:rsidRDefault="001F365E" w:rsidP="0050561D">
      <w:pPr>
        <w:pStyle w:val="Bullet"/>
      </w:pPr>
      <w:r w:rsidRPr="0050561D">
        <w:rPr>
          <w:color w:val="auto"/>
          <w:sz w:val="22"/>
          <w:szCs w:val="22"/>
        </w:rPr>
        <w:t>promoting competition</w:t>
      </w:r>
    </w:p>
    <w:p w14:paraId="71C87B3B" w14:textId="3B0360BB" w:rsidR="001F365E" w:rsidRPr="00A2256E" w:rsidRDefault="001F365E" w:rsidP="0050561D">
      <w:pPr>
        <w:pStyle w:val="Bullet"/>
      </w:pPr>
      <w:r w:rsidRPr="0050561D">
        <w:rPr>
          <w:color w:val="auto"/>
          <w:sz w:val="22"/>
          <w:szCs w:val="22"/>
        </w:rPr>
        <w:t>the efficiency of relevant markets</w:t>
      </w:r>
    </w:p>
    <w:p w14:paraId="332C801E" w14:textId="0BA2C10D" w:rsidR="001F365E" w:rsidRPr="00A2256E" w:rsidRDefault="001F365E" w:rsidP="0050561D">
      <w:pPr>
        <w:pStyle w:val="Bullet"/>
      </w:pPr>
      <w:r w:rsidRPr="0050561D">
        <w:rPr>
          <w:color w:val="auto"/>
          <w:sz w:val="22"/>
          <w:szCs w:val="22"/>
        </w:rPr>
        <w:lastRenderedPageBreak/>
        <w:t>promoting data-driven innovation</w:t>
      </w:r>
    </w:p>
    <w:p w14:paraId="4D3BD823" w14:textId="7DD4BE66" w:rsidR="001F365E" w:rsidRPr="00A2256E" w:rsidRDefault="001F365E" w:rsidP="0050561D">
      <w:pPr>
        <w:pStyle w:val="Bullet"/>
      </w:pPr>
      <w:r w:rsidRPr="0050561D">
        <w:rPr>
          <w:color w:val="auto"/>
          <w:sz w:val="22"/>
          <w:szCs w:val="22"/>
        </w:rPr>
        <w:t>the privacy or confidentiality of consumers’ information</w:t>
      </w:r>
    </w:p>
    <w:p w14:paraId="0BDF9D5F" w14:textId="65995579" w:rsidR="001F365E" w:rsidRPr="00A2256E" w:rsidRDefault="001F365E" w:rsidP="0050561D">
      <w:pPr>
        <w:pStyle w:val="Bullet"/>
      </w:pPr>
      <w:r w:rsidRPr="0050561D">
        <w:rPr>
          <w:color w:val="auto"/>
          <w:sz w:val="22"/>
          <w:szCs w:val="22"/>
        </w:rPr>
        <w:t xml:space="preserve">any intellectual property in the information </w:t>
      </w:r>
    </w:p>
    <w:p w14:paraId="1CA4F325" w14:textId="7DA8B3A9" w:rsidR="001F365E" w:rsidRPr="00A2256E" w:rsidRDefault="001F365E" w:rsidP="0050561D">
      <w:pPr>
        <w:pStyle w:val="Bullet"/>
      </w:pPr>
      <w:r w:rsidRPr="0050561D">
        <w:rPr>
          <w:color w:val="auto"/>
          <w:sz w:val="22"/>
          <w:szCs w:val="22"/>
        </w:rPr>
        <w:t>the public interest</w:t>
      </w:r>
      <w:bookmarkEnd w:id="9"/>
    </w:p>
    <w:p w14:paraId="7F109DAA" w14:textId="77777777" w:rsidR="001F365E" w:rsidRPr="00A2256E" w:rsidRDefault="001F365E" w:rsidP="0050561D">
      <w:pPr>
        <w:pStyle w:val="Bullet"/>
      </w:pPr>
      <w:r w:rsidRPr="0050561D">
        <w:rPr>
          <w:color w:val="auto"/>
          <w:sz w:val="22"/>
          <w:szCs w:val="22"/>
        </w:rPr>
        <w:t xml:space="preserve">the likely regulatory impact of designation. </w:t>
      </w:r>
    </w:p>
    <w:p w14:paraId="0CD48F29" w14:textId="798A5720" w:rsidR="002779EB" w:rsidRPr="001F365E" w:rsidRDefault="00345EAD" w:rsidP="00626036">
      <w:pPr>
        <w:pStyle w:val="Bullet"/>
        <w:numPr>
          <w:ilvl w:val="0"/>
          <w:numId w:val="0"/>
        </w:numPr>
        <w:spacing w:before="160"/>
        <w:rPr>
          <w:rFonts w:asciiTheme="minorHAnsi" w:eastAsia="Calibri" w:hAnsiTheme="minorHAnsi" w:cstheme="minorBidi"/>
          <w:color w:val="auto"/>
          <w:sz w:val="22"/>
          <w:szCs w:val="22"/>
        </w:rPr>
      </w:pPr>
      <w:r>
        <w:rPr>
          <w:rFonts w:asciiTheme="minorHAnsi" w:eastAsia="Calibri" w:hAnsiTheme="minorHAnsi" w:cstheme="minorBidi"/>
          <w:color w:val="auto"/>
          <w:sz w:val="22"/>
          <w:szCs w:val="22"/>
        </w:rPr>
        <w:t>B</w:t>
      </w:r>
      <w:r w:rsidR="001F365E">
        <w:rPr>
          <w:rFonts w:asciiTheme="minorHAnsi" w:eastAsia="Calibri" w:hAnsiTheme="minorHAnsi" w:cstheme="minorBidi"/>
          <w:color w:val="auto"/>
          <w:sz w:val="22"/>
          <w:szCs w:val="22"/>
        </w:rPr>
        <w:t>efore designating a sector, the Minister must be satisfied that the Secretary of the Department (Treasury) has arranged for consultation and analysis about designation and published a report about that analysis and consultation</w:t>
      </w:r>
      <w:r w:rsidR="009E34BF">
        <w:rPr>
          <w:rStyle w:val="FootnoteReference"/>
          <w:rFonts w:asciiTheme="minorHAnsi" w:eastAsia="Calibri" w:hAnsiTheme="minorHAnsi" w:cstheme="minorBidi"/>
          <w:color w:val="auto"/>
          <w:sz w:val="22"/>
          <w:szCs w:val="22"/>
        </w:rPr>
        <w:footnoteReference w:id="3"/>
      </w:r>
      <w:r w:rsidR="008859FA">
        <w:rPr>
          <w:rFonts w:asciiTheme="minorHAnsi" w:eastAsia="Calibri" w:hAnsiTheme="minorHAnsi" w:cstheme="minorBidi"/>
          <w:color w:val="auto"/>
          <w:sz w:val="22"/>
          <w:szCs w:val="22"/>
        </w:rPr>
        <w:t xml:space="preserve"> – this report meet</w:t>
      </w:r>
      <w:r w:rsidR="00EA24B1">
        <w:rPr>
          <w:rFonts w:asciiTheme="minorHAnsi" w:eastAsia="Calibri" w:hAnsiTheme="minorHAnsi" w:cstheme="minorBidi"/>
          <w:color w:val="auto"/>
          <w:sz w:val="22"/>
          <w:szCs w:val="22"/>
        </w:rPr>
        <w:t>s</w:t>
      </w:r>
      <w:r w:rsidR="008859FA">
        <w:rPr>
          <w:rFonts w:asciiTheme="minorHAnsi" w:eastAsia="Calibri" w:hAnsiTheme="minorHAnsi" w:cstheme="minorBidi"/>
          <w:color w:val="auto"/>
          <w:sz w:val="22"/>
          <w:szCs w:val="22"/>
        </w:rPr>
        <w:t xml:space="preserve"> that requirement for the proposed designation of the non-bank lending sector</w:t>
      </w:r>
      <w:r w:rsidR="001F365E">
        <w:rPr>
          <w:rFonts w:asciiTheme="minorHAnsi" w:eastAsia="Calibri" w:hAnsiTheme="minorHAnsi" w:cstheme="minorBidi"/>
          <w:color w:val="auto"/>
          <w:sz w:val="22"/>
          <w:szCs w:val="22"/>
        </w:rPr>
        <w:t>. As part of its consultation</w:t>
      </w:r>
      <w:r w:rsidR="00F91555">
        <w:rPr>
          <w:rFonts w:asciiTheme="minorHAnsi" w:eastAsia="Calibri" w:hAnsiTheme="minorHAnsi" w:cstheme="minorBidi"/>
          <w:color w:val="auto"/>
          <w:sz w:val="22"/>
          <w:szCs w:val="22"/>
        </w:rPr>
        <w:t xml:space="preserve"> on the non-bank lending sector</w:t>
      </w:r>
      <w:r w:rsidR="001F365E">
        <w:rPr>
          <w:rFonts w:asciiTheme="minorHAnsi" w:eastAsia="Calibri" w:hAnsiTheme="minorHAnsi" w:cstheme="minorBidi"/>
          <w:color w:val="auto"/>
          <w:sz w:val="22"/>
          <w:szCs w:val="22"/>
        </w:rPr>
        <w:t>,</w:t>
      </w:r>
      <w:r w:rsidR="001F365E">
        <w:rPr>
          <w:rFonts w:asciiTheme="minorHAnsi" w:eastAsia="Calibri" w:hAnsiTheme="minorHAnsi"/>
        </w:rPr>
        <w:t xml:space="preserve"> </w:t>
      </w:r>
      <w:r w:rsidR="001F365E">
        <w:rPr>
          <w:rFonts w:asciiTheme="minorHAnsi" w:eastAsia="Calibri" w:hAnsiTheme="minorHAnsi" w:cstheme="minorBidi"/>
          <w:color w:val="auto"/>
          <w:sz w:val="22"/>
          <w:szCs w:val="22"/>
        </w:rPr>
        <w:t>Treasury</w:t>
      </w:r>
      <w:r w:rsidR="001F365E" w:rsidDel="00345EAD">
        <w:rPr>
          <w:rFonts w:asciiTheme="minorHAnsi" w:eastAsia="Calibri" w:hAnsiTheme="minorHAnsi" w:cstheme="minorBidi"/>
          <w:color w:val="auto"/>
          <w:sz w:val="22"/>
          <w:szCs w:val="22"/>
        </w:rPr>
        <w:t xml:space="preserve"> </w:t>
      </w:r>
      <w:r w:rsidR="001F365E">
        <w:rPr>
          <w:rFonts w:asciiTheme="minorHAnsi" w:eastAsia="Calibri" w:hAnsiTheme="minorHAnsi" w:cstheme="minorBidi"/>
          <w:color w:val="auto"/>
          <w:sz w:val="22"/>
          <w:szCs w:val="22"/>
        </w:rPr>
        <w:t>consult</w:t>
      </w:r>
      <w:r>
        <w:rPr>
          <w:rFonts w:asciiTheme="minorHAnsi" w:eastAsia="Calibri" w:hAnsiTheme="minorHAnsi" w:cstheme="minorBidi"/>
          <w:color w:val="auto"/>
          <w:sz w:val="22"/>
          <w:szCs w:val="22"/>
        </w:rPr>
        <w:t>ed with</w:t>
      </w:r>
      <w:r w:rsidR="001F365E">
        <w:rPr>
          <w:rFonts w:asciiTheme="minorHAnsi" w:eastAsia="Calibri" w:hAnsiTheme="minorHAnsi" w:cstheme="minorBidi"/>
          <w:color w:val="auto"/>
          <w:sz w:val="22"/>
          <w:szCs w:val="22"/>
        </w:rPr>
        <w:t xml:space="preserve"> the Australian Competition and Consumer Commission (ACCC), Office of the Australian Information Commissioner (OAIC), and the </w:t>
      </w:r>
      <w:r>
        <w:rPr>
          <w:rFonts w:asciiTheme="minorHAnsi" w:eastAsia="Calibri" w:hAnsiTheme="minorHAnsi" w:cstheme="minorBidi"/>
          <w:color w:val="auto"/>
          <w:sz w:val="22"/>
          <w:szCs w:val="22"/>
        </w:rPr>
        <w:t>Australian Securities and Investments Commission</w:t>
      </w:r>
      <w:r w:rsidR="002779EB">
        <w:rPr>
          <w:rFonts w:asciiTheme="minorHAnsi" w:eastAsia="Calibri" w:hAnsiTheme="minorHAnsi" w:cstheme="minorBidi"/>
          <w:color w:val="auto"/>
          <w:sz w:val="22"/>
          <w:szCs w:val="22"/>
        </w:rPr>
        <w:t>.</w:t>
      </w:r>
      <w:r w:rsidR="00713EE6">
        <w:rPr>
          <w:rStyle w:val="FootnoteReference"/>
          <w:rFonts w:asciiTheme="minorHAnsi" w:eastAsia="Calibri" w:hAnsiTheme="minorHAnsi" w:cstheme="minorBidi"/>
          <w:color w:val="auto"/>
          <w:sz w:val="22"/>
          <w:szCs w:val="22"/>
        </w:rPr>
        <w:footnoteReference w:id="4"/>
      </w:r>
      <w:r w:rsidDel="00345EAD">
        <w:rPr>
          <w:rFonts w:asciiTheme="minorHAnsi" w:eastAsia="Calibri" w:hAnsiTheme="minorHAnsi" w:cstheme="minorBidi"/>
          <w:color w:val="auto"/>
          <w:sz w:val="22"/>
          <w:szCs w:val="22"/>
        </w:rPr>
        <w:t xml:space="preserve"> </w:t>
      </w:r>
      <w:r w:rsidR="001F365E">
        <w:rPr>
          <w:rFonts w:asciiTheme="minorHAnsi" w:eastAsia="Calibri" w:hAnsiTheme="minorHAnsi" w:cstheme="minorBidi"/>
          <w:color w:val="auto"/>
          <w:sz w:val="22"/>
          <w:szCs w:val="22"/>
        </w:rPr>
        <w:t xml:space="preserve">The </w:t>
      </w:r>
      <w:r w:rsidR="00A52D24">
        <w:rPr>
          <w:rFonts w:asciiTheme="minorHAnsi" w:eastAsia="Calibri" w:hAnsiTheme="minorHAnsi" w:cstheme="minorBidi"/>
          <w:color w:val="auto"/>
          <w:sz w:val="22"/>
          <w:szCs w:val="22"/>
        </w:rPr>
        <w:t xml:space="preserve">Minister cannot designate the non-bank lending sector </w:t>
      </w:r>
      <w:r w:rsidR="001F365E">
        <w:rPr>
          <w:rFonts w:asciiTheme="minorHAnsi" w:eastAsia="Calibri" w:hAnsiTheme="minorHAnsi" w:cstheme="minorBidi"/>
          <w:color w:val="auto"/>
          <w:sz w:val="22"/>
          <w:szCs w:val="22"/>
        </w:rPr>
        <w:t xml:space="preserve">until 60 days after </w:t>
      </w:r>
      <w:r w:rsidR="00A52D24">
        <w:rPr>
          <w:rFonts w:asciiTheme="minorHAnsi" w:eastAsia="Calibri" w:hAnsiTheme="minorHAnsi" w:cstheme="minorBidi"/>
          <w:color w:val="auto"/>
          <w:sz w:val="22"/>
          <w:szCs w:val="22"/>
        </w:rPr>
        <w:t>Treasury publishes</w:t>
      </w:r>
      <w:r w:rsidR="001F365E">
        <w:rPr>
          <w:rFonts w:asciiTheme="minorHAnsi" w:eastAsia="Calibri" w:hAnsiTheme="minorHAnsi" w:cstheme="minorBidi"/>
          <w:color w:val="auto"/>
          <w:sz w:val="22"/>
          <w:szCs w:val="22"/>
        </w:rPr>
        <w:t xml:space="preserve"> th</w:t>
      </w:r>
      <w:r w:rsidR="00A52D24">
        <w:rPr>
          <w:rFonts w:asciiTheme="minorHAnsi" w:eastAsia="Calibri" w:hAnsiTheme="minorHAnsi" w:cstheme="minorBidi"/>
          <w:color w:val="auto"/>
          <w:sz w:val="22"/>
          <w:szCs w:val="22"/>
        </w:rPr>
        <w:t xml:space="preserve">is </w:t>
      </w:r>
      <w:r w:rsidR="001F365E">
        <w:rPr>
          <w:rFonts w:asciiTheme="minorHAnsi" w:eastAsia="Calibri" w:hAnsiTheme="minorHAnsi" w:cstheme="minorBidi"/>
          <w:color w:val="auto"/>
          <w:sz w:val="22"/>
          <w:szCs w:val="22"/>
        </w:rPr>
        <w:t xml:space="preserve">report. </w:t>
      </w:r>
      <w:r w:rsidR="00A52D24">
        <w:rPr>
          <w:rFonts w:asciiTheme="minorHAnsi" w:eastAsia="Calibri" w:hAnsiTheme="minorHAnsi" w:cstheme="minorBidi"/>
          <w:color w:val="auto"/>
          <w:sz w:val="22"/>
          <w:szCs w:val="22"/>
        </w:rPr>
        <w:t xml:space="preserve">Prior to designating the non-bank lending sector, </w:t>
      </w:r>
      <w:r>
        <w:rPr>
          <w:rFonts w:asciiTheme="minorHAnsi" w:eastAsia="Calibri" w:hAnsiTheme="minorHAnsi" w:cstheme="minorBidi"/>
          <w:color w:val="auto"/>
          <w:sz w:val="22"/>
          <w:szCs w:val="22"/>
        </w:rPr>
        <w:t>t</w:t>
      </w:r>
      <w:r w:rsidR="001F365E">
        <w:rPr>
          <w:rFonts w:asciiTheme="minorHAnsi" w:eastAsia="Calibri" w:hAnsiTheme="minorHAnsi" w:cstheme="minorBidi"/>
          <w:color w:val="auto"/>
          <w:sz w:val="22"/>
          <w:szCs w:val="22"/>
        </w:rPr>
        <w:t>he Minister must also consult the OAIC about the likely effect</w:t>
      </w:r>
      <w:r w:rsidR="00A52D24">
        <w:rPr>
          <w:rFonts w:asciiTheme="minorHAnsi" w:eastAsia="Calibri" w:hAnsiTheme="minorHAnsi" w:cstheme="minorBidi"/>
          <w:color w:val="auto"/>
          <w:sz w:val="22"/>
          <w:szCs w:val="22"/>
        </w:rPr>
        <w:t xml:space="preserve"> </w:t>
      </w:r>
      <w:r w:rsidR="002700FC">
        <w:rPr>
          <w:rFonts w:asciiTheme="minorHAnsi" w:eastAsia="Calibri" w:hAnsiTheme="minorHAnsi" w:cstheme="minorBidi"/>
          <w:color w:val="auto"/>
          <w:sz w:val="22"/>
          <w:szCs w:val="22"/>
        </w:rPr>
        <w:t xml:space="preserve">of the designation </w:t>
      </w:r>
      <w:r w:rsidR="001F365E">
        <w:rPr>
          <w:rFonts w:asciiTheme="minorHAnsi" w:eastAsia="Calibri" w:hAnsiTheme="minorHAnsi" w:cstheme="minorBidi"/>
          <w:color w:val="auto"/>
          <w:sz w:val="22"/>
          <w:szCs w:val="22"/>
        </w:rPr>
        <w:t>on the privacy and confidentiality of consumers’ information</w:t>
      </w:r>
      <w:r w:rsidR="008517A4">
        <w:rPr>
          <w:rFonts w:asciiTheme="minorHAnsi" w:eastAsia="Calibri" w:hAnsiTheme="minorHAnsi" w:cstheme="minorBidi"/>
          <w:color w:val="auto"/>
          <w:sz w:val="22"/>
          <w:szCs w:val="22"/>
        </w:rPr>
        <w:t>.</w:t>
      </w:r>
      <w:r w:rsidR="008517A4">
        <w:rPr>
          <w:rStyle w:val="FootnoteReference"/>
          <w:rFonts w:asciiTheme="minorHAnsi" w:eastAsia="Calibri" w:hAnsiTheme="minorHAnsi" w:cstheme="minorBidi"/>
          <w:color w:val="auto"/>
          <w:sz w:val="22"/>
          <w:szCs w:val="22"/>
        </w:rPr>
        <w:footnoteReference w:id="5"/>
      </w:r>
      <w:r w:rsidR="001F365E">
        <w:rPr>
          <w:rFonts w:asciiTheme="minorHAnsi" w:eastAsia="Calibri" w:hAnsiTheme="minorHAnsi" w:cstheme="minorBidi"/>
          <w:color w:val="auto"/>
          <w:sz w:val="22"/>
          <w:szCs w:val="22"/>
        </w:rPr>
        <w:t xml:space="preserve"> </w:t>
      </w:r>
    </w:p>
    <w:p w14:paraId="1FFB0326" w14:textId="3821D037" w:rsidR="001F365E" w:rsidRDefault="001F365E" w:rsidP="00C5056D">
      <w:pPr>
        <w:pStyle w:val="Numbered11"/>
        <w:keepNext/>
        <w:ind w:left="431" w:hanging="431"/>
      </w:pPr>
      <w:bookmarkStart w:id="10" w:name="_Toc108794100"/>
      <w:r>
        <w:t>Effect of designation</w:t>
      </w:r>
      <w:bookmarkEnd w:id="10"/>
      <w:r>
        <w:t xml:space="preserve"> </w:t>
      </w:r>
    </w:p>
    <w:p w14:paraId="7D37A059" w14:textId="7752AF1C" w:rsidR="001F365E" w:rsidRDefault="001F365E" w:rsidP="00EF66D0">
      <w:pPr>
        <w:pStyle w:val="Bullet"/>
        <w:numPr>
          <w:ilvl w:val="0"/>
          <w:numId w:val="0"/>
        </w:numPr>
        <w:spacing w:before="200"/>
        <w:rPr>
          <w:rFonts w:asciiTheme="minorHAnsi" w:eastAsia="Calibri" w:hAnsiTheme="minorHAnsi" w:cstheme="minorBidi"/>
          <w:color w:val="auto"/>
          <w:sz w:val="22"/>
          <w:szCs w:val="22"/>
        </w:rPr>
      </w:pPr>
      <w:bookmarkStart w:id="11" w:name="_Hlk87601709"/>
      <w:r w:rsidRPr="002E2CBB">
        <w:rPr>
          <w:rFonts w:asciiTheme="minorHAnsi" w:eastAsia="Calibri" w:hAnsiTheme="minorHAnsi" w:cstheme="minorBidi"/>
          <w:color w:val="auto"/>
          <w:sz w:val="22"/>
          <w:szCs w:val="22"/>
        </w:rPr>
        <w:t>Once a sector</w:t>
      </w:r>
      <w:r>
        <w:rPr>
          <w:rFonts w:asciiTheme="minorHAnsi" w:eastAsia="Calibri" w:hAnsiTheme="minorHAnsi" w:cstheme="minorBidi"/>
          <w:color w:val="auto"/>
          <w:sz w:val="22"/>
          <w:szCs w:val="22"/>
        </w:rPr>
        <w:t xml:space="preserve"> </w:t>
      </w:r>
      <w:r w:rsidRPr="002E2CBB">
        <w:rPr>
          <w:rFonts w:asciiTheme="minorHAnsi" w:eastAsia="Calibri" w:hAnsiTheme="minorHAnsi" w:cstheme="minorBidi"/>
          <w:color w:val="auto"/>
          <w:sz w:val="22"/>
          <w:szCs w:val="22"/>
        </w:rPr>
        <w:t>has been designated</w:t>
      </w:r>
      <w:r>
        <w:rPr>
          <w:rFonts w:asciiTheme="minorHAnsi" w:eastAsia="Calibri" w:hAnsiTheme="minorHAnsi" w:cstheme="minorBidi"/>
          <w:color w:val="auto"/>
          <w:sz w:val="22"/>
          <w:szCs w:val="22"/>
        </w:rPr>
        <w:t>,</w:t>
      </w:r>
      <w:r w:rsidRPr="002E2CBB">
        <w:rPr>
          <w:rFonts w:asciiTheme="minorHAnsi" w:eastAsia="Calibri" w:hAnsiTheme="minorHAnsi" w:cstheme="minorBidi"/>
          <w:color w:val="auto"/>
          <w:sz w:val="22"/>
          <w:szCs w:val="22"/>
        </w:rPr>
        <w:t xml:space="preserve"> CDR rules and standards </w:t>
      </w:r>
      <w:r>
        <w:rPr>
          <w:rFonts w:asciiTheme="minorHAnsi" w:eastAsia="Calibri" w:hAnsiTheme="minorHAnsi" w:cstheme="minorBidi"/>
          <w:color w:val="auto"/>
          <w:sz w:val="22"/>
          <w:szCs w:val="22"/>
        </w:rPr>
        <w:t>for that sector can be made in accordance with statutory processes</w:t>
      </w:r>
      <w:r w:rsidR="00057988">
        <w:rPr>
          <w:rFonts w:asciiTheme="minorHAnsi" w:eastAsia="Calibri" w:hAnsiTheme="minorHAnsi" w:cstheme="minorBidi"/>
          <w:color w:val="auto"/>
          <w:sz w:val="22"/>
          <w:szCs w:val="22"/>
        </w:rPr>
        <w:t xml:space="preserve"> and</w:t>
      </w:r>
      <w:r>
        <w:rPr>
          <w:rFonts w:asciiTheme="minorHAnsi" w:eastAsia="Calibri" w:hAnsiTheme="minorHAnsi" w:cstheme="minorBidi"/>
          <w:color w:val="auto"/>
          <w:sz w:val="22"/>
          <w:szCs w:val="22"/>
        </w:rPr>
        <w:t xml:space="preserve"> consultation requirements</w:t>
      </w:r>
      <w:r w:rsidRPr="002E2CBB">
        <w:rPr>
          <w:rFonts w:asciiTheme="minorHAnsi" w:eastAsia="Calibri" w:hAnsiTheme="minorHAnsi" w:cstheme="minorBidi"/>
          <w:color w:val="auto"/>
          <w:sz w:val="22"/>
          <w:szCs w:val="22"/>
        </w:rPr>
        <w:t>.</w:t>
      </w:r>
      <w:r>
        <w:rPr>
          <w:rFonts w:asciiTheme="minorHAnsi" w:eastAsia="Calibri" w:hAnsiTheme="minorHAnsi" w:cstheme="minorBidi"/>
          <w:color w:val="auto"/>
          <w:sz w:val="22"/>
          <w:szCs w:val="22"/>
        </w:rPr>
        <w:t xml:space="preserve"> </w:t>
      </w:r>
      <w:bookmarkEnd w:id="11"/>
    </w:p>
    <w:p w14:paraId="5A0F8333" w14:textId="019D39E1" w:rsidR="001F365E" w:rsidRDefault="00D74402" w:rsidP="001F365E">
      <w:pPr>
        <w:pStyle w:val="Bullet"/>
        <w:numPr>
          <w:ilvl w:val="0"/>
          <w:numId w:val="0"/>
        </w:numPr>
        <w:rPr>
          <w:rFonts w:asciiTheme="minorHAnsi" w:eastAsia="Calibri" w:hAnsiTheme="minorHAnsi" w:cstheme="minorBidi"/>
          <w:color w:val="auto"/>
          <w:sz w:val="22"/>
          <w:szCs w:val="22"/>
        </w:rPr>
      </w:pPr>
      <w:r>
        <w:rPr>
          <w:rFonts w:asciiTheme="minorHAnsi" w:eastAsia="Calibri" w:hAnsiTheme="minorHAnsi" w:cstheme="minorBidi"/>
          <w:color w:val="auto"/>
          <w:sz w:val="22"/>
          <w:szCs w:val="22"/>
        </w:rPr>
        <w:t>The d</w:t>
      </w:r>
      <w:r w:rsidR="001F365E">
        <w:rPr>
          <w:rFonts w:asciiTheme="minorHAnsi" w:eastAsia="Calibri" w:hAnsiTheme="minorHAnsi" w:cstheme="minorBidi"/>
          <w:color w:val="auto"/>
          <w:sz w:val="22"/>
          <w:szCs w:val="22"/>
        </w:rPr>
        <w:t xml:space="preserve">esignation </w:t>
      </w:r>
      <w:r>
        <w:rPr>
          <w:rFonts w:asciiTheme="minorHAnsi" w:eastAsia="Calibri" w:hAnsiTheme="minorHAnsi" w:cstheme="minorBidi"/>
          <w:color w:val="auto"/>
          <w:sz w:val="22"/>
          <w:szCs w:val="22"/>
        </w:rPr>
        <w:t xml:space="preserve">instrument </w:t>
      </w:r>
      <w:r w:rsidR="001F365E">
        <w:rPr>
          <w:rFonts w:asciiTheme="minorHAnsi" w:eastAsia="Calibri" w:hAnsiTheme="minorHAnsi" w:cstheme="minorBidi"/>
          <w:color w:val="auto"/>
          <w:sz w:val="22"/>
          <w:szCs w:val="22"/>
        </w:rPr>
        <w:t>specif</w:t>
      </w:r>
      <w:r>
        <w:rPr>
          <w:rFonts w:asciiTheme="minorHAnsi" w:eastAsia="Calibri" w:hAnsiTheme="minorHAnsi" w:cstheme="minorBidi"/>
          <w:color w:val="auto"/>
          <w:sz w:val="22"/>
          <w:szCs w:val="22"/>
        </w:rPr>
        <w:t xml:space="preserve">ies </w:t>
      </w:r>
      <w:r w:rsidR="00F91555">
        <w:rPr>
          <w:rFonts w:asciiTheme="minorHAnsi" w:eastAsia="Calibri" w:hAnsiTheme="minorHAnsi" w:cstheme="minorBidi"/>
          <w:color w:val="auto"/>
          <w:sz w:val="22"/>
          <w:szCs w:val="22"/>
        </w:rPr>
        <w:t xml:space="preserve">broad </w:t>
      </w:r>
      <w:r w:rsidR="001F365E">
        <w:rPr>
          <w:rFonts w:asciiTheme="minorHAnsi" w:eastAsia="Calibri" w:hAnsiTheme="minorHAnsi" w:cstheme="minorBidi"/>
          <w:color w:val="auto"/>
          <w:sz w:val="22"/>
          <w:szCs w:val="22"/>
        </w:rPr>
        <w:t xml:space="preserve">‘classes of information’ or data </w:t>
      </w:r>
      <w:r w:rsidR="00B42B7B">
        <w:rPr>
          <w:rFonts w:asciiTheme="minorHAnsi" w:eastAsia="Calibri" w:hAnsiTheme="minorHAnsi" w:cstheme="minorBidi"/>
          <w:color w:val="auto"/>
          <w:sz w:val="22"/>
          <w:szCs w:val="22"/>
        </w:rPr>
        <w:t xml:space="preserve">that </w:t>
      </w:r>
      <w:r>
        <w:rPr>
          <w:rFonts w:asciiTheme="minorHAnsi" w:eastAsia="Calibri" w:hAnsiTheme="minorHAnsi" w:cstheme="minorBidi"/>
          <w:color w:val="auto"/>
          <w:sz w:val="22"/>
          <w:szCs w:val="22"/>
        </w:rPr>
        <w:t xml:space="preserve">may be subject to CDR data sharing obligations. </w:t>
      </w:r>
      <w:r w:rsidR="00B42B7B">
        <w:rPr>
          <w:rFonts w:asciiTheme="minorHAnsi" w:eastAsia="Calibri" w:hAnsiTheme="minorHAnsi" w:cstheme="minorBidi"/>
          <w:color w:val="auto"/>
          <w:sz w:val="22"/>
          <w:szCs w:val="22"/>
        </w:rPr>
        <w:t xml:space="preserve">The </w:t>
      </w:r>
      <w:r w:rsidR="001F365E">
        <w:rPr>
          <w:rFonts w:asciiTheme="minorHAnsi" w:eastAsia="Calibri" w:hAnsiTheme="minorHAnsi" w:cstheme="minorBidi"/>
          <w:color w:val="auto"/>
          <w:sz w:val="22"/>
          <w:szCs w:val="22"/>
        </w:rPr>
        <w:t xml:space="preserve">designation of a sector does not itself impose substantive obligations. </w:t>
      </w:r>
      <w:bookmarkStart w:id="12" w:name="_Hlk87603866"/>
      <w:r>
        <w:rPr>
          <w:rFonts w:asciiTheme="minorHAnsi" w:eastAsia="Calibri" w:hAnsiTheme="minorHAnsi" w:cstheme="minorBidi"/>
          <w:color w:val="auto"/>
          <w:sz w:val="22"/>
          <w:szCs w:val="22"/>
        </w:rPr>
        <w:t>R</w:t>
      </w:r>
      <w:r w:rsidR="001F365E">
        <w:rPr>
          <w:rFonts w:asciiTheme="minorHAnsi" w:eastAsia="Calibri" w:hAnsiTheme="minorHAnsi" w:cstheme="minorBidi"/>
          <w:color w:val="auto"/>
          <w:sz w:val="22"/>
          <w:szCs w:val="22"/>
        </w:rPr>
        <w:t xml:space="preserve">equirement to </w:t>
      </w:r>
      <w:r>
        <w:rPr>
          <w:rFonts w:asciiTheme="minorHAnsi" w:eastAsia="Calibri" w:hAnsiTheme="minorHAnsi" w:cstheme="minorBidi"/>
          <w:color w:val="auto"/>
          <w:sz w:val="22"/>
          <w:szCs w:val="22"/>
        </w:rPr>
        <w:t xml:space="preserve">share </w:t>
      </w:r>
      <w:r w:rsidR="001F365E">
        <w:rPr>
          <w:rFonts w:asciiTheme="minorHAnsi" w:eastAsia="Calibri" w:hAnsiTheme="minorHAnsi" w:cstheme="minorBidi"/>
          <w:color w:val="auto"/>
          <w:sz w:val="22"/>
          <w:szCs w:val="22"/>
        </w:rPr>
        <w:t xml:space="preserve">data </w:t>
      </w:r>
      <w:r>
        <w:rPr>
          <w:rFonts w:asciiTheme="minorHAnsi" w:eastAsia="Calibri" w:hAnsiTheme="minorHAnsi" w:cstheme="minorBidi"/>
          <w:color w:val="auto"/>
          <w:sz w:val="22"/>
          <w:szCs w:val="22"/>
        </w:rPr>
        <w:t>sit</w:t>
      </w:r>
      <w:r w:rsidR="007D2ACF">
        <w:rPr>
          <w:rFonts w:asciiTheme="minorHAnsi" w:eastAsia="Calibri" w:hAnsiTheme="minorHAnsi" w:cstheme="minorBidi"/>
          <w:color w:val="auto"/>
          <w:sz w:val="22"/>
          <w:szCs w:val="22"/>
        </w:rPr>
        <w:t>s</w:t>
      </w:r>
      <w:r>
        <w:rPr>
          <w:rFonts w:asciiTheme="minorHAnsi" w:eastAsia="Calibri" w:hAnsiTheme="minorHAnsi" w:cstheme="minorBidi"/>
          <w:color w:val="auto"/>
          <w:sz w:val="22"/>
          <w:szCs w:val="22"/>
        </w:rPr>
        <w:t xml:space="preserve"> in</w:t>
      </w:r>
      <w:r w:rsidR="001F365E" w:rsidDel="00D74402">
        <w:rPr>
          <w:rFonts w:asciiTheme="minorHAnsi" w:eastAsia="Calibri" w:hAnsiTheme="minorHAnsi" w:cstheme="minorBidi"/>
          <w:color w:val="auto"/>
          <w:sz w:val="22"/>
          <w:szCs w:val="22"/>
        </w:rPr>
        <w:t xml:space="preserve"> </w:t>
      </w:r>
      <w:r w:rsidR="001F365E">
        <w:rPr>
          <w:rFonts w:asciiTheme="minorHAnsi" w:eastAsia="Calibri" w:hAnsiTheme="minorHAnsi" w:cstheme="minorBidi"/>
          <w:color w:val="auto"/>
          <w:sz w:val="22"/>
          <w:szCs w:val="22"/>
        </w:rPr>
        <w:t xml:space="preserve">the CDR rules, </w:t>
      </w:r>
      <w:bookmarkStart w:id="13" w:name="_Hlk87602639"/>
      <w:r w:rsidR="001F365E">
        <w:rPr>
          <w:rFonts w:asciiTheme="minorHAnsi" w:eastAsia="Calibri" w:hAnsiTheme="minorHAnsi" w:cstheme="minorBidi"/>
          <w:color w:val="auto"/>
          <w:sz w:val="22"/>
          <w:szCs w:val="22"/>
        </w:rPr>
        <w:t xml:space="preserve">which establish </w:t>
      </w:r>
      <w:r w:rsidR="00F91555">
        <w:rPr>
          <w:rFonts w:asciiTheme="minorHAnsi" w:eastAsia="Calibri" w:hAnsiTheme="minorHAnsi" w:cstheme="minorBidi"/>
          <w:color w:val="auto"/>
          <w:sz w:val="22"/>
          <w:szCs w:val="22"/>
        </w:rPr>
        <w:t xml:space="preserve">within the broad ‘classes of data’ </w:t>
      </w:r>
      <w:r w:rsidR="001F365E">
        <w:rPr>
          <w:rFonts w:asciiTheme="minorHAnsi" w:eastAsia="Calibri" w:hAnsiTheme="minorHAnsi" w:cstheme="minorBidi"/>
          <w:color w:val="auto"/>
          <w:sz w:val="22"/>
          <w:szCs w:val="22"/>
        </w:rPr>
        <w:t xml:space="preserve">what is ‘required’ CDR data that must be shared </w:t>
      </w:r>
      <w:bookmarkEnd w:id="12"/>
      <w:r w:rsidR="001F365E">
        <w:rPr>
          <w:rFonts w:asciiTheme="minorHAnsi" w:eastAsia="Calibri" w:hAnsiTheme="minorHAnsi" w:cstheme="minorBidi"/>
          <w:color w:val="auto"/>
          <w:sz w:val="22"/>
          <w:szCs w:val="22"/>
        </w:rPr>
        <w:t>in response to a valid request</w:t>
      </w:r>
      <w:bookmarkEnd w:id="13"/>
      <w:r w:rsidR="001F365E">
        <w:rPr>
          <w:rFonts w:asciiTheme="minorHAnsi" w:eastAsia="Calibri" w:hAnsiTheme="minorHAnsi" w:cstheme="minorBidi"/>
          <w:color w:val="auto"/>
          <w:sz w:val="22"/>
          <w:szCs w:val="22"/>
        </w:rPr>
        <w:t xml:space="preserve">, </w:t>
      </w:r>
      <w:bookmarkStart w:id="14" w:name="_Hlk87602705"/>
      <w:r w:rsidR="001F365E">
        <w:rPr>
          <w:rFonts w:asciiTheme="minorHAnsi" w:eastAsia="Calibri" w:hAnsiTheme="minorHAnsi" w:cstheme="minorBidi"/>
          <w:color w:val="auto"/>
          <w:sz w:val="22"/>
          <w:szCs w:val="22"/>
        </w:rPr>
        <w:t xml:space="preserve">as well as what information data holders </w:t>
      </w:r>
      <w:r>
        <w:rPr>
          <w:rFonts w:asciiTheme="minorHAnsi" w:eastAsia="Calibri" w:hAnsiTheme="minorHAnsi" w:cstheme="minorBidi"/>
          <w:color w:val="auto"/>
          <w:sz w:val="22"/>
          <w:szCs w:val="22"/>
        </w:rPr>
        <w:t xml:space="preserve">may </w:t>
      </w:r>
      <w:r w:rsidR="001F365E">
        <w:rPr>
          <w:rFonts w:asciiTheme="minorHAnsi" w:eastAsia="Calibri" w:hAnsiTheme="minorHAnsi" w:cstheme="minorBidi"/>
          <w:color w:val="auto"/>
          <w:sz w:val="22"/>
          <w:szCs w:val="22"/>
        </w:rPr>
        <w:t>share on a voluntary basis.</w:t>
      </w:r>
      <w:bookmarkEnd w:id="14"/>
      <w:r w:rsidR="001F365E">
        <w:rPr>
          <w:rFonts w:asciiTheme="minorHAnsi" w:eastAsia="Calibri" w:hAnsiTheme="minorHAnsi" w:cstheme="minorBidi"/>
          <w:color w:val="auto"/>
          <w:sz w:val="22"/>
          <w:szCs w:val="22"/>
        </w:rPr>
        <w:t xml:space="preserve"> </w:t>
      </w:r>
      <w:bookmarkStart w:id="15" w:name="_Hlk87602714"/>
      <w:r w:rsidR="001F365E">
        <w:rPr>
          <w:rFonts w:asciiTheme="minorHAnsi" w:eastAsia="Calibri" w:hAnsiTheme="minorHAnsi" w:cstheme="minorBidi"/>
          <w:color w:val="auto"/>
          <w:sz w:val="22"/>
          <w:szCs w:val="22"/>
        </w:rPr>
        <w:t xml:space="preserve">In turn, the </w:t>
      </w:r>
      <w:r w:rsidR="00057988">
        <w:rPr>
          <w:rFonts w:asciiTheme="minorHAnsi" w:eastAsia="Calibri" w:hAnsiTheme="minorHAnsi" w:cstheme="minorBidi"/>
          <w:color w:val="auto"/>
          <w:sz w:val="22"/>
          <w:szCs w:val="22"/>
        </w:rPr>
        <w:t xml:space="preserve">sector-specific </w:t>
      </w:r>
      <w:r w:rsidR="001F365E">
        <w:rPr>
          <w:rFonts w:asciiTheme="minorHAnsi" w:eastAsia="Calibri" w:hAnsiTheme="minorHAnsi" w:cstheme="minorBidi"/>
          <w:color w:val="auto"/>
          <w:sz w:val="22"/>
          <w:szCs w:val="22"/>
        </w:rPr>
        <w:t xml:space="preserve">data standards specify the technical fields and formats </w:t>
      </w:r>
      <w:r w:rsidR="00057988">
        <w:rPr>
          <w:rFonts w:asciiTheme="minorHAnsi" w:eastAsia="Calibri" w:hAnsiTheme="minorHAnsi" w:cstheme="minorBidi"/>
          <w:color w:val="auto"/>
          <w:sz w:val="22"/>
          <w:szCs w:val="22"/>
        </w:rPr>
        <w:t>for data sharing</w:t>
      </w:r>
      <w:r w:rsidR="001F365E">
        <w:rPr>
          <w:rFonts w:asciiTheme="minorHAnsi" w:eastAsia="Calibri" w:hAnsiTheme="minorHAnsi" w:cstheme="minorBidi"/>
          <w:color w:val="auto"/>
          <w:sz w:val="22"/>
          <w:szCs w:val="22"/>
        </w:rPr>
        <w:t xml:space="preserve">. </w:t>
      </w:r>
      <w:bookmarkEnd w:id="15"/>
    </w:p>
    <w:p w14:paraId="28B5ADF8" w14:textId="27B24CD2" w:rsidR="001F365E" w:rsidRPr="001F365E" w:rsidRDefault="001F365E" w:rsidP="001F365E">
      <w:pPr>
        <w:pStyle w:val="Bullet"/>
        <w:numPr>
          <w:ilvl w:val="0"/>
          <w:numId w:val="0"/>
        </w:numPr>
        <w:rPr>
          <w:rFonts w:asciiTheme="minorHAnsi" w:eastAsia="Calibri" w:hAnsiTheme="minorHAnsi" w:cstheme="minorBidi"/>
          <w:color w:val="auto"/>
          <w:sz w:val="22"/>
          <w:szCs w:val="22"/>
        </w:rPr>
      </w:pPr>
      <w:r>
        <w:rPr>
          <w:rFonts w:asciiTheme="minorHAnsi" w:eastAsia="Calibri" w:hAnsiTheme="minorHAnsi" w:cstheme="minorBidi"/>
          <w:color w:val="auto"/>
          <w:sz w:val="22"/>
          <w:szCs w:val="22"/>
        </w:rPr>
        <w:t>The</w:t>
      </w:r>
      <w:r w:rsidR="00057988">
        <w:rPr>
          <w:rFonts w:asciiTheme="minorHAnsi" w:eastAsia="Calibri" w:hAnsiTheme="minorHAnsi" w:cstheme="minorBidi"/>
          <w:color w:val="auto"/>
          <w:sz w:val="22"/>
          <w:szCs w:val="22"/>
        </w:rPr>
        <w:t xml:space="preserve"> CDR</w:t>
      </w:r>
      <w:r>
        <w:rPr>
          <w:rFonts w:asciiTheme="minorHAnsi" w:eastAsia="Calibri" w:hAnsiTheme="minorHAnsi" w:cstheme="minorBidi"/>
          <w:color w:val="auto"/>
          <w:sz w:val="22"/>
          <w:szCs w:val="22"/>
        </w:rPr>
        <w:t xml:space="preserve"> rules have been developed to apply universally across sectors to the extent possible</w:t>
      </w:r>
      <w:r w:rsidR="00057988">
        <w:rPr>
          <w:rFonts w:asciiTheme="minorHAnsi" w:eastAsia="Calibri" w:hAnsiTheme="minorHAnsi" w:cstheme="minorBidi"/>
          <w:color w:val="auto"/>
          <w:sz w:val="22"/>
          <w:szCs w:val="22"/>
        </w:rPr>
        <w:t>, with</w:t>
      </w:r>
      <w:r>
        <w:rPr>
          <w:rFonts w:asciiTheme="minorHAnsi" w:eastAsia="Calibri" w:hAnsiTheme="minorHAnsi" w:cstheme="minorBidi"/>
          <w:color w:val="auto"/>
          <w:sz w:val="22"/>
          <w:szCs w:val="22"/>
        </w:rPr>
        <w:t xml:space="preserve"> sector-specific provisions and modifications catered for </w:t>
      </w:r>
      <w:r w:rsidR="00057988">
        <w:rPr>
          <w:rFonts w:asciiTheme="minorHAnsi" w:eastAsia="Calibri" w:hAnsiTheme="minorHAnsi" w:cstheme="minorBidi"/>
          <w:color w:val="auto"/>
          <w:sz w:val="22"/>
          <w:szCs w:val="22"/>
        </w:rPr>
        <w:t>with</w:t>
      </w:r>
      <w:r>
        <w:rPr>
          <w:rFonts w:asciiTheme="minorHAnsi" w:eastAsia="Calibri" w:hAnsiTheme="minorHAnsi" w:cstheme="minorBidi"/>
          <w:color w:val="auto"/>
          <w:sz w:val="22"/>
          <w:szCs w:val="22"/>
        </w:rPr>
        <w:t>in sector-specific schedules. Once designation of a sector occurs, sector-</w:t>
      </w:r>
      <w:r w:rsidRPr="002E2CBB">
        <w:rPr>
          <w:rFonts w:asciiTheme="minorHAnsi" w:eastAsia="Calibri" w:hAnsiTheme="minorHAnsi" w:cstheme="minorBidi"/>
          <w:color w:val="auto"/>
          <w:sz w:val="22"/>
          <w:szCs w:val="22"/>
        </w:rPr>
        <w:t>specific issues (</w:t>
      </w:r>
      <w:r>
        <w:rPr>
          <w:rFonts w:asciiTheme="minorHAnsi" w:eastAsia="Calibri" w:hAnsiTheme="minorHAnsi" w:cstheme="minorBidi"/>
          <w:color w:val="auto"/>
          <w:sz w:val="22"/>
          <w:szCs w:val="22"/>
        </w:rPr>
        <w:t>for example, external dispute resolution arrangements specific to that sector</w:t>
      </w:r>
      <w:r w:rsidRPr="002E2CBB">
        <w:rPr>
          <w:rFonts w:asciiTheme="minorHAnsi" w:eastAsia="Calibri" w:hAnsiTheme="minorHAnsi" w:cstheme="minorBidi"/>
          <w:color w:val="auto"/>
          <w:sz w:val="22"/>
          <w:szCs w:val="22"/>
        </w:rPr>
        <w:t>)</w:t>
      </w:r>
      <w:r>
        <w:rPr>
          <w:rFonts w:asciiTheme="minorHAnsi" w:eastAsia="Calibri" w:hAnsiTheme="minorHAnsi" w:cstheme="minorBidi"/>
          <w:color w:val="auto"/>
          <w:sz w:val="22"/>
          <w:szCs w:val="22"/>
        </w:rPr>
        <w:t xml:space="preserve"> are considered, as well as the development of sector-specific data standards.</w:t>
      </w:r>
    </w:p>
    <w:p w14:paraId="57A771C9" w14:textId="127CA844" w:rsidR="000E3A2E" w:rsidRDefault="001F365E" w:rsidP="00C07191">
      <w:pPr>
        <w:pStyle w:val="Numbered1"/>
        <w:keepNext/>
        <w:ind w:left="680" w:hanging="680"/>
      </w:pPr>
      <w:bookmarkStart w:id="16" w:name="_Toc108794101"/>
      <w:r>
        <w:t>Non-bank lending sectoral assessment</w:t>
      </w:r>
      <w:bookmarkEnd w:id="16"/>
      <w:r>
        <w:t xml:space="preserve"> </w:t>
      </w:r>
    </w:p>
    <w:p w14:paraId="54E6C978" w14:textId="4B69586D" w:rsidR="001F365E" w:rsidRPr="001F365E" w:rsidRDefault="001F365E" w:rsidP="008D793D">
      <w:pPr>
        <w:pStyle w:val="Numbered11"/>
        <w:keepNext/>
        <w:ind w:left="431" w:hanging="431"/>
      </w:pPr>
      <w:bookmarkStart w:id="17" w:name="_Toc108794102"/>
      <w:r>
        <w:t>Open Finance</w:t>
      </w:r>
      <w:bookmarkEnd w:id="17"/>
    </w:p>
    <w:p w14:paraId="1F757258" w14:textId="77777777" w:rsidR="00804D72" w:rsidRDefault="009E567E" w:rsidP="009E567E">
      <w:r>
        <w:t>On 24 January 2022,</w:t>
      </w:r>
      <w:r w:rsidR="00DF1A18">
        <w:t xml:space="preserve"> </w:t>
      </w:r>
      <w:r w:rsidR="00C84BD2">
        <w:t xml:space="preserve">Treasury released </w:t>
      </w:r>
      <w:r w:rsidR="00BA6313">
        <w:t xml:space="preserve">the </w:t>
      </w:r>
      <w:r w:rsidR="00057988">
        <w:t xml:space="preserve">CDR </w:t>
      </w:r>
      <w:r w:rsidR="00BA6313">
        <w:t>Strategic Assessment Outcomes report</w:t>
      </w:r>
      <w:r w:rsidR="00804D72">
        <w:t xml:space="preserve">, </w:t>
      </w:r>
      <w:r w:rsidR="00C84BD2">
        <w:t>i</w:t>
      </w:r>
      <w:r w:rsidR="00BA6313">
        <w:t>dentif</w:t>
      </w:r>
      <w:r w:rsidR="00804D72">
        <w:t>ying</w:t>
      </w:r>
      <w:r w:rsidR="00BA6313">
        <w:t xml:space="preserve"> </w:t>
      </w:r>
      <w:r w:rsidR="00C84BD2">
        <w:t>‘</w:t>
      </w:r>
      <w:r w:rsidR="004A3226">
        <w:t>Open Finance</w:t>
      </w:r>
      <w:r w:rsidR="00C84BD2">
        <w:t>’</w:t>
      </w:r>
      <w:r w:rsidR="004A3226">
        <w:t xml:space="preserve"> </w:t>
      </w:r>
      <w:r w:rsidR="00E04768">
        <w:t xml:space="preserve">as </w:t>
      </w:r>
      <w:r>
        <w:t xml:space="preserve">the next priority area </w:t>
      </w:r>
      <w:r w:rsidR="00C84BD2">
        <w:t>to expand the CDR</w:t>
      </w:r>
      <w:r w:rsidR="004A3226">
        <w:t>.</w:t>
      </w:r>
      <w:r w:rsidR="00057988">
        <w:rPr>
          <w:rStyle w:val="FootnoteReference"/>
        </w:rPr>
        <w:footnoteReference w:id="6"/>
      </w:r>
      <w:r w:rsidR="004A3226">
        <w:t xml:space="preserve"> Open Finance</w:t>
      </w:r>
      <w:r>
        <w:t xml:space="preserve"> </w:t>
      </w:r>
      <w:r w:rsidR="00804D72">
        <w:t xml:space="preserve">will </w:t>
      </w:r>
      <w:r w:rsidR="00AD098F">
        <w:t>build upon</w:t>
      </w:r>
      <w:r>
        <w:t xml:space="preserve"> banking data that is already available, and energy and telecommunications data which is being brought into the CDR</w:t>
      </w:r>
      <w:r w:rsidR="004A3226">
        <w:t xml:space="preserve"> ecosystem</w:t>
      </w:r>
      <w:r>
        <w:t xml:space="preserve">. </w:t>
      </w:r>
    </w:p>
    <w:p w14:paraId="5198751E" w14:textId="60D1E3C7" w:rsidR="00804D72" w:rsidRDefault="00804D72" w:rsidP="00804D72">
      <w:r>
        <w:lastRenderedPageBreak/>
        <w:t>Open Finance includes the phased assessment and designation of sub-sectors including non-bank lending, merchant acquiring services, and key datasets in the general insurance and superannuation sectors. Taking a phased approach to Open Finance sub-sectors will enable Government to designate key datasets in a more rapid and targeted manner.</w:t>
      </w:r>
    </w:p>
    <w:p w14:paraId="55E9B843" w14:textId="4F5CEB88" w:rsidR="000059BD" w:rsidRPr="000059BD" w:rsidRDefault="009E567E" w:rsidP="00804D72">
      <w:r>
        <w:t>This sectoral assessment covers the proposal to expand CDR to non-bank lending, while considering the possibility of cross-sector use cases that may flow from the sharing of non-bank lending data.</w:t>
      </w:r>
      <w:r w:rsidR="001A2C2D">
        <w:t xml:space="preserve"> </w:t>
      </w:r>
      <w:r w:rsidR="00804D72">
        <w:t xml:space="preserve">Treasury will progressively assess the other sub-sectors </w:t>
      </w:r>
      <w:r w:rsidR="001A2C2D">
        <w:t>of Open Finance over the coming year, commencing with superannuation.</w:t>
      </w:r>
    </w:p>
    <w:p w14:paraId="2399822F" w14:textId="7ED36C19" w:rsidR="000E3A2E" w:rsidRDefault="001F365E" w:rsidP="003B441C">
      <w:pPr>
        <w:pStyle w:val="Numbered11"/>
        <w:keepNext/>
        <w:ind w:left="431" w:hanging="431"/>
      </w:pPr>
      <w:bookmarkStart w:id="18" w:name="_Toc108794103"/>
      <w:r>
        <w:t>Consultation</w:t>
      </w:r>
      <w:bookmarkEnd w:id="18"/>
      <w:r>
        <w:t xml:space="preserve"> </w:t>
      </w:r>
    </w:p>
    <w:p w14:paraId="567DC1D2" w14:textId="7393DF26" w:rsidR="007C231B" w:rsidRDefault="007C231B" w:rsidP="007C231B">
      <w:r>
        <w:t>On 15 March 2022, Treasury published a consultation paper as part of the Open Finance non-bank lending sectoral assessment</w:t>
      </w:r>
      <w:r w:rsidR="00586EDA">
        <w:t>.</w:t>
      </w:r>
      <w:r w:rsidR="00586EDA">
        <w:rPr>
          <w:rStyle w:val="FootnoteReference"/>
        </w:rPr>
        <w:footnoteReference w:id="7"/>
      </w:r>
      <w:r>
        <w:t xml:space="preserve"> </w:t>
      </w:r>
      <w:r w:rsidR="00586EDA">
        <w:t xml:space="preserve">The paper requested feedback and comments on </w:t>
      </w:r>
      <w:r>
        <w:t xml:space="preserve">the proposed designation of </w:t>
      </w:r>
      <w:r w:rsidR="006942F5">
        <w:t>non-bank lenders</w:t>
      </w:r>
      <w:r>
        <w:t xml:space="preserve"> including</w:t>
      </w:r>
      <w:r w:rsidR="00614459">
        <w:t>,</w:t>
      </w:r>
      <w:r>
        <w:t xml:space="preserve"> the </w:t>
      </w:r>
      <w:r w:rsidR="00614459">
        <w:t>potential</w:t>
      </w:r>
      <w:r>
        <w:t xml:space="preserve"> regulatory impacts.</w:t>
      </w:r>
    </w:p>
    <w:p w14:paraId="0FE6F1B2" w14:textId="142B15C5" w:rsidR="007C231B" w:rsidRPr="007C231B" w:rsidRDefault="007C231B" w:rsidP="007C231B">
      <w:r>
        <w:t>Consultation closed on 1</w:t>
      </w:r>
      <w:r w:rsidR="006942F5">
        <w:t>5</w:t>
      </w:r>
      <w:r>
        <w:t xml:space="preserve"> </w:t>
      </w:r>
      <w:r w:rsidR="006942F5">
        <w:t>April</w:t>
      </w:r>
      <w:r>
        <w:t xml:space="preserve"> </w:t>
      </w:r>
      <w:r w:rsidR="0018604F">
        <w:t xml:space="preserve">2022 </w:t>
      </w:r>
      <w:r>
        <w:t xml:space="preserve">and </w:t>
      </w:r>
      <w:r w:rsidR="00614459">
        <w:t xml:space="preserve">Treasury received </w:t>
      </w:r>
      <w:r w:rsidR="006942F5">
        <w:t>2</w:t>
      </w:r>
      <w:r w:rsidR="00886B1E">
        <w:t>9</w:t>
      </w:r>
      <w:r>
        <w:t xml:space="preserve"> submissions. </w:t>
      </w:r>
      <w:r w:rsidR="00614459">
        <w:t xml:space="preserve">The consultation process included </w:t>
      </w:r>
      <w:r w:rsidR="00984F84">
        <w:t xml:space="preserve">a roundtable and bilateral </w:t>
      </w:r>
      <w:r>
        <w:t xml:space="preserve">meetings with industry stakeholders, consumer groups and government departments. </w:t>
      </w:r>
    </w:p>
    <w:p w14:paraId="0446B151" w14:textId="4990E245" w:rsidR="001F365E" w:rsidRDefault="001F365E" w:rsidP="00C5056D">
      <w:pPr>
        <w:pStyle w:val="Numbered11"/>
        <w:keepNext/>
        <w:ind w:left="431" w:hanging="431"/>
      </w:pPr>
      <w:bookmarkStart w:id="19" w:name="_Toc108794104"/>
      <w:r>
        <w:t>Overview of stakeholder views</w:t>
      </w:r>
      <w:bookmarkEnd w:id="19"/>
    </w:p>
    <w:p w14:paraId="556F1363" w14:textId="77777777" w:rsidR="00614459" w:rsidRDefault="00614459" w:rsidP="00886B1E">
      <w:r>
        <w:t>Stakeholders’</w:t>
      </w:r>
      <w:r w:rsidR="00320D27">
        <w:t xml:space="preserve"> s</w:t>
      </w:r>
      <w:r w:rsidR="00003FE0">
        <w:t>ubmission</w:t>
      </w:r>
      <w:r w:rsidR="00986493">
        <w:t xml:space="preserve">s </w:t>
      </w:r>
      <w:r>
        <w:t>contained</w:t>
      </w:r>
      <w:r w:rsidR="00986493">
        <w:t xml:space="preserve"> different perspectives on the potential designation of non-bank lending</w:t>
      </w:r>
      <w:r>
        <w:t xml:space="preserve"> and</w:t>
      </w:r>
      <w:r w:rsidR="00907B1C">
        <w:t xml:space="preserve"> its role within the broader Open Finance </w:t>
      </w:r>
      <w:r w:rsidR="00907B1C" w:rsidRPr="00E00B8C">
        <w:t>sector</w:t>
      </w:r>
      <w:r w:rsidR="00907B1C">
        <w:t xml:space="preserve">. </w:t>
      </w:r>
      <w:r>
        <w:t>M</w:t>
      </w:r>
      <w:r w:rsidR="00907B1C">
        <w:t xml:space="preserve">ost stakeholders recognised the benefits that would come from designating the </w:t>
      </w:r>
      <w:r w:rsidR="00FC2AD9">
        <w:t>non-bank lending sector</w:t>
      </w:r>
      <w:r>
        <w:t>, namely that it would:</w:t>
      </w:r>
    </w:p>
    <w:p w14:paraId="26122C37" w14:textId="54E162FE" w:rsidR="00A045D0" w:rsidRPr="00626036" w:rsidRDefault="00FC2AD9" w:rsidP="00E15655">
      <w:pPr>
        <w:pStyle w:val="Bulletpoint"/>
        <w:numPr>
          <w:ilvl w:val="0"/>
          <w:numId w:val="29"/>
        </w:numPr>
        <w:ind w:left="340" w:hanging="340"/>
      </w:pPr>
      <w:r w:rsidRPr="00626036">
        <w:t xml:space="preserve">complement </w:t>
      </w:r>
      <w:r w:rsidR="007139E9" w:rsidRPr="00626036">
        <w:t xml:space="preserve">Open Banking </w:t>
      </w:r>
      <w:r w:rsidRPr="00626036">
        <w:t xml:space="preserve">data </w:t>
      </w:r>
      <w:r w:rsidR="007139E9" w:rsidRPr="00626036">
        <w:t xml:space="preserve">already </w:t>
      </w:r>
      <w:r w:rsidR="00A045D0" w:rsidRPr="00626036">
        <w:t xml:space="preserve">shared </w:t>
      </w:r>
      <w:r w:rsidR="007139E9" w:rsidRPr="00626036">
        <w:t>in the system</w:t>
      </w:r>
    </w:p>
    <w:p w14:paraId="328256A5" w14:textId="77777777" w:rsidR="00A045D0" w:rsidRPr="00626036" w:rsidRDefault="00A045D0" w:rsidP="00E15655">
      <w:pPr>
        <w:pStyle w:val="Bulletpoint"/>
        <w:numPr>
          <w:ilvl w:val="0"/>
          <w:numId w:val="29"/>
        </w:numPr>
        <w:ind w:left="340" w:hanging="340"/>
      </w:pPr>
      <w:r w:rsidRPr="00626036">
        <w:t xml:space="preserve">result in non-bank lending data being pooled with soon-to-be-added </w:t>
      </w:r>
      <w:r w:rsidR="007139E9" w:rsidRPr="00626036">
        <w:t>energy and telecommunications</w:t>
      </w:r>
      <w:r w:rsidRPr="00626036">
        <w:t xml:space="preserve"> data</w:t>
      </w:r>
    </w:p>
    <w:p w14:paraId="7D649F04" w14:textId="4D42BD1A" w:rsidR="00886B1E" w:rsidRPr="00614459" w:rsidRDefault="007139E9" w:rsidP="00E15655">
      <w:pPr>
        <w:pStyle w:val="Bulletpoint"/>
        <w:numPr>
          <w:ilvl w:val="0"/>
          <w:numId w:val="29"/>
        </w:numPr>
        <w:ind w:left="340" w:hanging="340"/>
      </w:pPr>
      <w:r w:rsidRPr="00626036">
        <w:t>provide valuable</w:t>
      </w:r>
      <w:r w:rsidRPr="00614459">
        <w:t xml:space="preserve"> use cases for both consumers and industry.</w:t>
      </w:r>
    </w:p>
    <w:p w14:paraId="29820E72" w14:textId="77777777" w:rsidR="00F04DE0" w:rsidRDefault="00D32D88" w:rsidP="00886B1E">
      <w:r>
        <w:t>Feedback supported taking a broad approach to designating non-bank lenders to ensure it capture</w:t>
      </w:r>
      <w:r w:rsidR="00F04DE0">
        <w:t>s</w:t>
      </w:r>
      <w:r>
        <w:t xml:space="preserve"> all entities provid</w:t>
      </w:r>
      <w:r w:rsidR="00F04DE0">
        <w:t>ing</w:t>
      </w:r>
      <w:r>
        <w:t xml:space="preserve"> lending products to consumers. </w:t>
      </w:r>
    </w:p>
    <w:p w14:paraId="679CBDC5" w14:textId="3BD4D384" w:rsidR="00003FE0" w:rsidRDefault="00F04DE0" w:rsidP="00886B1E">
      <w:r>
        <w:t>Numerous</w:t>
      </w:r>
      <w:r w:rsidR="00D32D88">
        <w:t xml:space="preserve"> </w:t>
      </w:r>
      <w:r w:rsidR="00AE6087">
        <w:t>stakeholders noted</w:t>
      </w:r>
      <w:r w:rsidR="00D32D88">
        <w:t xml:space="preserve"> that the non-bank lending sector </w:t>
      </w:r>
      <w:r>
        <w:t>includes many</w:t>
      </w:r>
      <w:r w:rsidR="00D32D88">
        <w:t xml:space="preserve"> small </w:t>
      </w:r>
      <w:r>
        <w:t>businesses,</w:t>
      </w:r>
      <w:r w:rsidR="00D32D88">
        <w:t xml:space="preserve"> </w:t>
      </w:r>
      <w:r>
        <w:t>which</w:t>
      </w:r>
      <w:r w:rsidR="00D32D88">
        <w:t xml:space="preserve"> </w:t>
      </w:r>
      <w:r>
        <w:t>play</w:t>
      </w:r>
      <w:r w:rsidR="00D32D88">
        <w:t xml:space="preserve"> a useful role in bringing innovation and competition to the lending market</w:t>
      </w:r>
      <w:r>
        <w:t>. These small businesses may not have the capacity to absorb CDR compliance costs</w:t>
      </w:r>
      <w:r w:rsidR="00D32D88">
        <w:t xml:space="preserve">. </w:t>
      </w:r>
      <w:r>
        <w:t>As such, stakeholders noted the importance of ensuring mandatory obligations target entities only to the extent to which they are capable of complying.</w:t>
      </w:r>
    </w:p>
    <w:p w14:paraId="71012D91" w14:textId="1968646D" w:rsidR="00F04DE0" w:rsidRDefault="00F04DE0" w:rsidP="00886B1E">
      <w:r>
        <w:t>Stakeholders that self-identified as a potential ‘data holder’ generally supported the datasets proposed by the consultation for designation – essentially those already being shared through Open Banking. However, they noted that the CDR would need to be adaptable via bespoke or tailored arrangements, particularly in the small business space.</w:t>
      </w:r>
    </w:p>
    <w:p w14:paraId="3084D4CE" w14:textId="704FDE94" w:rsidR="00003FE0" w:rsidRDefault="00E73529" w:rsidP="00886B1E">
      <w:r>
        <w:t xml:space="preserve">Regulators and consumer groups noted the non-bank lending sector typically has a higher proportion of </w:t>
      </w:r>
      <w:r w:rsidRPr="00E00B8C">
        <w:t>vulnerable consumers</w:t>
      </w:r>
      <w:r w:rsidR="0073583B">
        <w:t xml:space="preserve"> (people who are unable to access credit through banks). As such, they stated it was important for the CDR to meet vulnerable consumers’ needs.</w:t>
      </w:r>
    </w:p>
    <w:p w14:paraId="491FF9B4" w14:textId="77777777" w:rsidR="0073583B" w:rsidRDefault="0073583B" w:rsidP="0073583B">
      <w:r>
        <w:t>Submissions consistently mentioned:</w:t>
      </w:r>
    </w:p>
    <w:p w14:paraId="6ABB3D83" w14:textId="78795D60" w:rsidR="0073583B" w:rsidRPr="0073583B" w:rsidRDefault="0073583B" w:rsidP="00B255D3">
      <w:pPr>
        <w:pStyle w:val="Bulletpoint"/>
        <w:numPr>
          <w:ilvl w:val="0"/>
          <w:numId w:val="29"/>
        </w:numPr>
        <w:ind w:left="340" w:hanging="340"/>
      </w:pPr>
      <w:r w:rsidRPr="0073583B">
        <w:t xml:space="preserve">the </w:t>
      </w:r>
      <w:r w:rsidRPr="00626036">
        <w:t>importance</w:t>
      </w:r>
      <w:r w:rsidRPr="0073583B">
        <w:t xml:space="preserve"> of giving industry sufficient time to comply with the new obligations</w:t>
      </w:r>
    </w:p>
    <w:p w14:paraId="2C33C39A" w14:textId="293BBD09" w:rsidR="0073583B" w:rsidRPr="00626036" w:rsidRDefault="0073583B" w:rsidP="00B255D3">
      <w:pPr>
        <w:pStyle w:val="Bulletpoint"/>
        <w:numPr>
          <w:ilvl w:val="0"/>
          <w:numId w:val="29"/>
        </w:numPr>
        <w:ind w:left="340" w:hanging="340"/>
      </w:pPr>
      <w:r w:rsidRPr="00626036">
        <w:lastRenderedPageBreak/>
        <w:t xml:space="preserve">the need to balance the overall speed of rolling out the sub-sectors within Open Finance against other potential enhancements to the </w:t>
      </w:r>
      <w:r w:rsidR="003529E2">
        <w:t xml:space="preserve">framework </w:t>
      </w:r>
      <w:r w:rsidRPr="00626036">
        <w:t>that were recommended by stakeholders</w:t>
      </w:r>
    </w:p>
    <w:p w14:paraId="58E3ABD5" w14:textId="77777777" w:rsidR="0073583B" w:rsidRPr="0073583B" w:rsidRDefault="0073583B" w:rsidP="00B255D3">
      <w:pPr>
        <w:pStyle w:val="Bulletpoint"/>
        <w:numPr>
          <w:ilvl w:val="0"/>
          <w:numId w:val="29"/>
        </w:numPr>
        <w:ind w:left="340" w:hanging="340"/>
      </w:pPr>
      <w:r w:rsidRPr="00626036">
        <w:t>the need</w:t>
      </w:r>
      <w:r w:rsidRPr="0073583B">
        <w:t xml:space="preserve"> to ensure the quality of data being shared.  </w:t>
      </w:r>
    </w:p>
    <w:p w14:paraId="29797E66" w14:textId="6E52442A" w:rsidR="004B40C6" w:rsidRDefault="0058662C" w:rsidP="00626036">
      <w:pPr>
        <w:pStyle w:val="Numbered1"/>
        <w:ind w:left="680" w:hanging="680"/>
      </w:pPr>
      <w:bookmarkStart w:id="20" w:name="_Toc108794105"/>
      <w:r>
        <w:t>Impact</w:t>
      </w:r>
      <w:r w:rsidR="004B40C6">
        <w:t xml:space="preserve"> of designating non-bank lending data for individual and business consumers</w:t>
      </w:r>
      <w:bookmarkEnd w:id="20"/>
    </w:p>
    <w:p w14:paraId="57B5DA4C" w14:textId="1D87A95F" w:rsidR="00626036" w:rsidRDefault="005D3F3D" w:rsidP="00F04709">
      <w:pPr>
        <w:rPr>
          <w:rFonts w:asciiTheme="majorHAnsi" w:hAnsiTheme="majorHAnsi"/>
        </w:rPr>
      </w:pPr>
      <w:r>
        <w:rPr>
          <w:rFonts w:asciiTheme="majorHAnsi" w:hAnsiTheme="majorHAnsi"/>
        </w:rPr>
        <w:t>Th</w:t>
      </w:r>
      <w:r w:rsidR="005B5E80">
        <w:rPr>
          <w:rFonts w:asciiTheme="majorHAnsi" w:hAnsiTheme="majorHAnsi"/>
        </w:rPr>
        <w:t>is</w:t>
      </w:r>
      <w:r w:rsidR="00A67626">
        <w:rPr>
          <w:rFonts w:asciiTheme="majorHAnsi" w:hAnsiTheme="majorHAnsi"/>
        </w:rPr>
        <w:t xml:space="preserve"> section </w:t>
      </w:r>
      <w:r w:rsidR="00BE4963">
        <w:rPr>
          <w:rFonts w:asciiTheme="majorHAnsi" w:hAnsiTheme="majorHAnsi"/>
        </w:rPr>
        <w:t>analyses the</w:t>
      </w:r>
      <w:r w:rsidR="00A67626">
        <w:rPr>
          <w:rFonts w:asciiTheme="majorHAnsi" w:hAnsiTheme="majorHAnsi"/>
        </w:rPr>
        <w:t xml:space="preserve"> benefits of designating non-bank lending datasets</w:t>
      </w:r>
      <w:r w:rsidR="00DF5874">
        <w:rPr>
          <w:rFonts w:asciiTheme="majorHAnsi" w:hAnsiTheme="majorHAnsi"/>
        </w:rPr>
        <w:t>, informed by submissions received to the non-bank lending consultation.</w:t>
      </w:r>
      <w:r w:rsidR="00D25E69">
        <w:rPr>
          <w:rFonts w:asciiTheme="majorHAnsi" w:hAnsiTheme="majorHAnsi"/>
        </w:rPr>
        <w:t xml:space="preserve"> </w:t>
      </w:r>
      <w:r w:rsidR="00DF5874">
        <w:rPr>
          <w:rFonts w:asciiTheme="majorHAnsi" w:hAnsiTheme="majorHAnsi"/>
        </w:rPr>
        <w:t>It</w:t>
      </w:r>
      <w:r w:rsidR="00A67626">
        <w:rPr>
          <w:rFonts w:asciiTheme="majorHAnsi" w:hAnsiTheme="majorHAnsi"/>
        </w:rPr>
        <w:t xml:space="preserve"> combines the assessment of </w:t>
      </w:r>
      <w:r w:rsidR="00626036">
        <w:rPr>
          <w:rFonts w:asciiTheme="majorHAnsi" w:hAnsiTheme="majorHAnsi"/>
        </w:rPr>
        <w:t>4</w:t>
      </w:r>
      <w:r w:rsidR="00A67626">
        <w:rPr>
          <w:rFonts w:asciiTheme="majorHAnsi" w:hAnsiTheme="majorHAnsi"/>
        </w:rPr>
        <w:t xml:space="preserve"> separate but interrelated statutory factors:</w:t>
      </w:r>
    </w:p>
    <w:p w14:paraId="2BA6D0CF" w14:textId="6A8C2581" w:rsidR="00626036" w:rsidRDefault="005D3F3D" w:rsidP="00B255D3">
      <w:pPr>
        <w:pStyle w:val="Bulletpoint"/>
        <w:numPr>
          <w:ilvl w:val="0"/>
          <w:numId w:val="29"/>
        </w:numPr>
        <w:ind w:left="340" w:hanging="340"/>
      </w:pPr>
      <w:r w:rsidRPr="00626036">
        <w:t>the</w:t>
      </w:r>
      <w:r>
        <w:t xml:space="preserve"> interests of consumers</w:t>
      </w:r>
    </w:p>
    <w:p w14:paraId="18967BD8" w14:textId="488D29DF" w:rsidR="00626036" w:rsidRDefault="005D3F3D" w:rsidP="00B255D3">
      <w:pPr>
        <w:pStyle w:val="Bulletpoint"/>
        <w:numPr>
          <w:ilvl w:val="0"/>
          <w:numId w:val="29"/>
        </w:numPr>
        <w:ind w:left="340" w:hanging="340"/>
      </w:pPr>
      <w:r>
        <w:t xml:space="preserve">the efficiency of </w:t>
      </w:r>
      <w:r w:rsidR="00D25E69">
        <w:t>relevant markets</w:t>
      </w:r>
    </w:p>
    <w:p w14:paraId="5A2531E4" w14:textId="41467F44" w:rsidR="00626036" w:rsidRDefault="00D25E69" w:rsidP="00B255D3">
      <w:pPr>
        <w:pStyle w:val="Bulletpoint"/>
        <w:numPr>
          <w:ilvl w:val="0"/>
          <w:numId w:val="29"/>
        </w:numPr>
        <w:ind w:left="340" w:hanging="340"/>
      </w:pPr>
      <w:r>
        <w:t>promoting data-driven innovation</w:t>
      </w:r>
    </w:p>
    <w:p w14:paraId="4FB4B83A" w14:textId="529BE254" w:rsidR="005D3F3D" w:rsidRDefault="00D25E69" w:rsidP="00B255D3">
      <w:pPr>
        <w:pStyle w:val="Bulletpoint"/>
        <w:numPr>
          <w:ilvl w:val="0"/>
          <w:numId w:val="29"/>
        </w:numPr>
        <w:ind w:left="340" w:hanging="340"/>
      </w:pPr>
      <w:r>
        <w:t>promoting competition.</w:t>
      </w:r>
    </w:p>
    <w:p w14:paraId="02D9DDE9" w14:textId="79FA42DC" w:rsidR="000E5A4E" w:rsidRDefault="009150BC" w:rsidP="00F04709">
      <w:r>
        <w:rPr>
          <w:rFonts w:asciiTheme="majorHAnsi" w:hAnsiTheme="majorHAnsi"/>
        </w:rPr>
        <w:t xml:space="preserve">Treasury </w:t>
      </w:r>
      <w:r w:rsidR="0018604F">
        <w:rPr>
          <w:rFonts w:asciiTheme="majorHAnsi" w:hAnsiTheme="majorHAnsi"/>
        </w:rPr>
        <w:t>considers that</w:t>
      </w:r>
      <w:r w:rsidDel="0018604F">
        <w:rPr>
          <w:rFonts w:asciiTheme="majorHAnsi" w:hAnsiTheme="majorHAnsi"/>
        </w:rPr>
        <w:t xml:space="preserve"> </w:t>
      </w:r>
      <w:r>
        <w:rPr>
          <w:rFonts w:asciiTheme="majorHAnsi" w:hAnsiTheme="majorHAnsi"/>
        </w:rPr>
        <w:t xml:space="preserve">the designation of non-bank lenders to the CDR will result in significant benefits for individual and business customers. </w:t>
      </w:r>
      <w:r w:rsidR="00216DFE">
        <w:rPr>
          <w:rFonts w:asciiTheme="majorHAnsi" w:hAnsiTheme="majorHAnsi"/>
        </w:rPr>
        <w:t>The</w:t>
      </w:r>
      <w:r>
        <w:rPr>
          <w:rFonts w:asciiTheme="majorHAnsi" w:hAnsiTheme="majorHAnsi"/>
        </w:rPr>
        <w:t xml:space="preserve"> extension of the CDR to non</w:t>
      </w:r>
      <w:r>
        <w:rPr>
          <w:rFonts w:asciiTheme="majorHAnsi" w:hAnsiTheme="majorHAnsi"/>
        </w:rPr>
        <w:noBreakHyphen/>
        <w:t xml:space="preserve">bank lending </w:t>
      </w:r>
      <w:r w:rsidR="00216DFE">
        <w:rPr>
          <w:rFonts w:asciiTheme="majorHAnsi" w:hAnsiTheme="majorHAnsi"/>
        </w:rPr>
        <w:t>has the potential</w:t>
      </w:r>
      <w:r>
        <w:rPr>
          <w:rFonts w:asciiTheme="majorHAnsi" w:hAnsiTheme="majorHAnsi"/>
        </w:rPr>
        <w:t xml:space="preserve"> to improve outcomes for individual and business consumers by unlocking consumer-centric innovation, encouraging competition between lenders and giving consumers greater control over their financial lives. </w:t>
      </w:r>
      <w:r>
        <w:t>E</w:t>
      </w:r>
      <w:r w:rsidRPr="007D71F8">
        <w:t xml:space="preserve">xtending the CDR to non-bank lending would </w:t>
      </w:r>
      <w:r w:rsidR="008455FE">
        <w:t>complement</w:t>
      </w:r>
      <w:r w:rsidRPr="007D71F8">
        <w:t xml:space="preserve"> the CDR banking rollout</w:t>
      </w:r>
      <w:r>
        <w:t xml:space="preserve"> and allow consumers to easily access and share a complete picture of their lending information</w:t>
      </w:r>
      <w:r w:rsidR="00E07293">
        <w:t>.</w:t>
      </w:r>
    </w:p>
    <w:p w14:paraId="10E3EFBB" w14:textId="6DC8FD5E" w:rsidR="00C74B91" w:rsidRPr="00BB0856" w:rsidRDefault="00C74B91" w:rsidP="00C5056D">
      <w:pPr>
        <w:pStyle w:val="Numbered11"/>
        <w:keepNext/>
        <w:ind w:left="431" w:hanging="431"/>
      </w:pPr>
      <w:bookmarkStart w:id="21" w:name="_Toc108794106"/>
      <w:r>
        <w:t>Benefits of designation</w:t>
      </w:r>
      <w:bookmarkEnd w:id="21"/>
    </w:p>
    <w:p w14:paraId="46960579" w14:textId="69993B5A" w:rsidR="005D17CC" w:rsidRDefault="00F04709" w:rsidP="00C74B91">
      <w:pPr>
        <w:pStyle w:val="Heading4"/>
      </w:pPr>
      <w:bookmarkStart w:id="22" w:name="_Toc101261432"/>
      <w:r>
        <w:t xml:space="preserve">Empowering individual </w:t>
      </w:r>
      <w:r w:rsidR="0074516B">
        <w:t xml:space="preserve">and </w:t>
      </w:r>
      <w:r>
        <w:t>business</w:t>
      </w:r>
      <w:r w:rsidR="0074516B">
        <w:t xml:space="preserve"> consumers</w:t>
      </w:r>
      <w:r>
        <w:t xml:space="preserve"> to make more informed decisions about non-bank lending products</w:t>
      </w:r>
    </w:p>
    <w:p w14:paraId="694CD36B" w14:textId="5A6F77D4" w:rsidR="00DA1DA3" w:rsidRPr="00DA1DA3" w:rsidRDefault="00257E71" w:rsidP="00BA0D25">
      <w:pPr>
        <w:pStyle w:val="Bullet"/>
        <w:numPr>
          <w:ilvl w:val="0"/>
          <w:numId w:val="0"/>
        </w:numPr>
        <w:spacing w:before="200"/>
        <w:rPr>
          <w:rFonts w:eastAsiaTheme="minorHAnsi"/>
          <w:color w:val="auto"/>
          <w:sz w:val="22"/>
          <w:szCs w:val="22"/>
        </w:rPr>
      </w:pPr>
      <w:r>
        <w:rPr>
          <w:rFonts w:eastAsiaTheme="minorHAnsi" w:cstheme="minorBidi"/>
          <w:color w:val="auto"/>
          <w:sz w:val="22"/>
          <w:szCs w:val="22"/>
        </w:rPr>
        <w:t>By providing</w:t>
      </w:r>
      <w:r w:rsidRPr="007D71F8">
        <w:rPr>
          <w:rFonts w:eastAsiaTheme="minorHAnsi" w:cstheme="minorBidi"/>
          <w:color w:val="auto"/>
          <w:sz w:val="22"/>
          <w:szCs w:val="22"/>
        </w:rPr>
        <w:t xml:space="preserve"> access to consumer data held by non-bank lenders, as well as</w:t>
      </w:r>
      <w:r>
        <w:rPr>
          <w:rFonts w:eastAsiaTheme="minorHAnsi" w:cstheme="minorBidi"/>
          <w:color w:val="auto"/>
          <w:sz w:val="22"/>
          <w:szCs w:val="22"/>
        </w:rPr>
        <w:t xml:space="preserve"> digitalised and standardised</w:t>
      </w:r>
      <w:r w:rsidRPr="007D71F8">
        <w:rPr>
          <w:rFonts w:eastAsiaTheme="minorHAnsi" w:cstheme="minorBidi"/>
          <w:color w:val="auto"/>
          <w:sz w:val="22"/>
          <w:szCs w:val="22"/>
        </w:rPr>
        <w:t xml:space="preserve"> data about products offered by non-bank lenders</w:t>
      </w:r>
      <w:r>
        <w:rPr>
          <w:rFonts w:eastAsiaTheme="minorHAnsi" w:cstheme="minorBidi"/>
          <w:color w:val="auto"/>
          <w:sz w:val="22"/>
          <w:szCs w:val="22"/>
        </w:rPr>
        <w:t xml:space="preserve">, </w:t>
      </w:r>
      <w:r w:rsidR="0004708F">
        <w:rPr>
          <w:rFonts w:eastAsiaTheme="minorHAnsi" w:cstheme="minorBidi"/>
          <w:color w:val="auto"/>
          <w:sz w:val="22"/>
          <w:szCs w:val="22"/>
        </w:rPr>
        <w:t>the CDR</w:t>
      </w:r>
      <w:r w:rsidR="00CE4F13">
        <w:rPr>
          <w:rFonts w:eastAsiaTheme="minorHAnsi"/>
          <w:color w:val="auto"/>
          <w:sz w:val="22"/>
          <w:szCs w:val="22"/>
        </w:rPr>
        <w:t xml:space="preserve"> </w:t>
      </w:r>
      <w:r w:rsidR="00DA1DA3">
        <w:rPr>
          <w:rFonts w:eastAsiaTheme="minorHAnsi"/>
          <w:color w:val="auto"/>
          <w:sz w:val="22"/>
          <w:szCs w:val="22"/>
        </w:rPr>
        <w:t>can</w:t>
      </w:r>
      <w:r w:rsidR="00DA1DA3" w:rsidRPr="00122588">
        <w:rPr>
          <w:rFonts w:eastAsiaTheme="minorHAnsi"/>
          <w:color w:val="auto"/>
          <w:sz w:val="22"/>
          <w:szCs w:val="22"/>
        </w:rPr>
        <w:t xml:space="preserve"> reduce information asymmetries</w:t>
      </w:r>
      <w:r w:rsidR="001B1813">
        <w:rPr>
          <w:rFonts w:eastAsiaTheme="minorHAnsi"/>
          <w:color w:val="auto"/>
          <w:sz w:val="22"/>
          <w:szCs w:val="22"/>
        </w:rPr>
        <w:t>.</w:t>
      </w:r>
      <w:r w:rsidR="00DA1DA3">
        <w:rPr>
          <w:rStyle w:val="FootnoteReference"/>
          <w:rFonts w:eastAsiaTheme="minorHAnsi"/>
          <w:color w:val="auto"/>
          <w:sz w:val="22"/>
          <w:szCs w:val="22"/>
        </w:rPr>
        <w:footnoteReference w:id="8"/>
      </w:r>
      <w:r w:rsidR="001B1813">
        <w:rPr>
          <w:rFonts w:eastAsiaTheme="minorHAnsi"/>
          <w:color w:val="auto"/>
          <w:sz w:val="22"/>
          <w:szCs w:val="22"/>
        </w:rPr>
        <w:t xml:space="preserve"> It can also </w:t>
      </w:r>
      <w:r w:rsidR="00DA1DA3">
        <w:rPr>
          <w:rFonts w:eastAsiaTheme="minorHAnsi"/>
          <w:color w:val="auto"/>
          <w:sz w:val="22"/>
          <w:szCs w:val="22"/>
        </w:rPr>
        <w:t>facilitate more informed consumer participation</w:t>
      </w:r>
      <w:r w:rsidR="00974319">
        <w:rPr>
          <w:rFonts w:eastAsiaTheme="minorHAnsi"/>
          <w:color w:val="auto"/>
          <w:sz w:val="22"/>
          <w:szCs w:val="22"/>
        </w:rPr>
        <w:t xml:space="preserve"> in the lending sector</w:t>
      </w:r>
      <w:r w:rsidR="00DA1DA3">
        <w:rPr>
          <w:rFonts w:eastAsiaTheme="minorHAnsi"/>
          <w:color w:val="auto"/>
          <w:sz w:val="22"/>
          <w:szCs w:val="22"/>
        </w:rPr>
        <w:t xml:space="preserve">, leading to better outcomes for </w:t>
      </w:r>
      <w:r w:rsidR="005B00E1">
        <w:rPr>
          <w:rFonts w:eastAsiaTheme="minorHAnsi"/>
          <w:color w:val="auto"/>
          <w:sz w:val="22"/>
          <w:szCs w:val="22"/>
        </w:rPr>
        <w:t>individuals and businesses</w:t>
      </w:r>
      <w:r w:rsidR="00DA1DA3">
        <w:rPr>
          <w:rFonts w:eastAsiaTheme="minorHAnsi"/>
          <w:color w:val="auto"/>
          <w:sz w:val="22"/>
          <w:szCs w:val="22"/>
        </w:rPr>
        <w:t>.</w:t>
      </w:r>
    </w:p>
    <w:p w14:paraId="2192D0B4" w14:textId="3B1A6A76" w:rsidR="00C011F3" w:rsidRDefault="00C03824" w:rsidP="00895C07">
      <w:r>
        <w:t>Merging</w:t>
      </w:r>
      <w:r w:rsidR="005C45BC">
        <w:t xml:space="preserve"> </w:t>
      </w:r>
      <w:r w:rsidR="00376773">
        <w:t>non-bank</w:t>
      </w:r>
      <w:r w:rsidR="00F75FD5">
        <w:t xml:space="preserve"> lend</w:t>
      </w:r>
      <w:r w:rsidR="00376773">
        <w:t>ing data with banking data</w:t>
      </w:r>
      <w:r w:rsidR="005C45BC">
        <w:t xml:space="preserve"> already being shared through the CDR</w:t>
      </w:r>
      <w:r w:rsidR="00DA1DA3">
        <w:t xml:space="preserve"> can improve product</w:t>
      </w:r>
      <w:r w:rsidR="000E5A4E">
        <w:t xml:space="preserve"> comparison by </w:t>
      </w:r>
      <w:r w:rsidR="005B00E1">
        <w:t>enabling</w:t>
      </w:r>
      <w:r w:rsidR="000E5A4E">
        <w:t xml:space="preserve"> consumers to </w:t>
      </w:r>
      <w:r w:rsidR="00DA1DA3">
        <w:t xml:space="preserve">compare </w:t>
      </w:r>
      <w:r w:rsidR="000E5A4E">
        <w:t>a broader range of lending products and</w:t>
      </w:r>
      <w:r w:rsidR="00726D42">
        <w:t xml:space="preserve"> </w:t>
      </w:r>
      <w:r w:rsidR="007D71F8" w:rsidRPr="007D71F8">
        <w:t>obtain</w:t>
      </w:r>
      <w:r w:rsidR="009C6792">
        <w:t xml:space="preserve"> personalised</w:t>
      </w:r>
      <w:r w:rsidR="007D71F8" w:rsidRPr="007D71F8">
        <w:t xml:space="preserve"> product recommendations from accredited lenders and third parties. </w:t>
      </w:r>
      <w:r w:rsidR="003B0495">
        <w:t>For example,</w:t>
      </w:r>
      <w:r w:rsidR="00CE4F13">
        <w:t xml:space="preserve"> </w:t>
      </w:r>
      <w:r w:rsidR="003B0495">
        <w:t>an</w:t>
      </w:r>
      <w:r w:rsidR="000B19A0">
        <w:t xml:space="preserve"> accredited</w:t>
      </w:r>
      <w:r w:rsidR="00E774AE">
        <w:t xml:space="preserve"> lender could use a consumer’s data to assess whether they could provide </w:t>
      </w:r>
      <w:r w:rsidR="000B19A0">
        <w:t>a prospective</w:t>
      </w:r>
      <w:r w:rsidR="00E774AE">
        <w:t xml:space="preserve"> </w:t>
      </w:r>
      <w:r w:rsidR="003B0495">
        <w:t xml:space="preserve">borrower </w:t>
      </w:r>
      <w:r w:rsidR="00E774AE">
        <w:t>with a better product suited to their needs and/or for a lower cost.</w:t>
      </w:r>
      <w:r w:rsidR="00225936">
        <w:rPr>
          <w:rStyle w:val="FootnoteReference"/>
        </w:rPr>
        <w:footnoteReference w:id="9"/>
      </w:r>
      <w:r w:rsidR="00E774AE">
        <w:t xml:space="preserve"> </w:t>
      </w:r>
      <w:r w:rsidR="00D046A4">
        <w:t>Comparator</w:t>
      </w:r>
      <w:r w:rsidR="00305DD8">
        <w:t xml:space="preserve"> websites expressed a desire </w:t>
      </w:r>
      <w:r w:rsidR="00D046A4">
        <w:t>during consultation</w:t>
      </w:r>
      <w:r w:rsidR="00305DD8">
        <w:t xml:space="preserve"> to use CDR </w:t>
      </w:r>
      <w:r w:rsidR="00D046A4">
        <w:t xml:space="preserve">non-bank </w:t>
      </w:r>
      <w:r w:rsidR="009822A2">
        <w:t xml:space="preserve">lending </w:t>
      </w:r>
      <w:r w:rsidR="00D046A4">
        <w:t>data</w:t>
      </w:r>
      <w:r w:rsidR="00305DD8">
        <w:t xml:space="preserve"> to power lending product recommendations and noted this data could support a use case where </w:t>
      </w:r>
      <w:r w:rsidR="00462332">
        <w:t xml:space="preserve">an </w:t>
      </w:r>
      <w:r w:rsidR="001B1813">
        <w:t>accredited data recipient (</w:t>
      </w:r>
      <w:r w:rsidR="00462332">
        <w:t>ADR</w:t>
      </w:r>
      <w:r w:rsidR="001B1813">
        <w:t>)</w:t>
      </w:r>
      <w:r w:rsidR="00305DD8">
        <w:t xml:space="preserve"> </w:t>
      </w:r>
      <w:r w:rsidR="00E774AE" w:rsidRPr="00E774AE">
        <w:t>alert</w:t>
      </w:r>
      <w:r w:rsidR="004A78F4">
        <w:t>s</w:t>
      </w:r>
      <w:r w:rsidR="00E774AE" w:rsidRPr="00E774AE">
        <w:t xml:space="preserve"> the consumer to any suitable lower cost products on the market</w:t>
      </w:r>
      <w:r w:rsidR="004A78F4">
        <w:t xml:space="preserve"> via </w:t>
      </w:r>
      <w:r w:rsidR="005B3D6E">
        <w:t>its</w:t>
      </w:r>
      <w:r w:rsidR="004A78F4">
        <w:t xml:space="preserve"> website or app</w:t>
      </w:r>
      <w:r w:rsidR="00E774AE" w:rsidRPr="00E774AE">
        <w:t>.</w:t>
      </w:r>
      <w:r w:rsidR="00E33C5B">
        <w:rPr>
          <w:rStyle w:val="FootnoteReference"/>
        </w:rPr>
        <w:footnoteReference w:id="10"/>
      </w:r>
      <w:r w:rsidR="005A1874">
        <w:t xml:space="preserve"> </w:t>
      </w:r>
      <w:r w:rsidR="000579B6">
        <w:t xml:space="preserve">Better </w:t>
      </w:r>
      <w:r w:rsidR="007A7FD7">
        <w:t xml:space="preserve">product comparison can </w:t>
      </w:r>
      <w:r w:rsidR="000579B6">
        <w:t>encourage the development of more</w:t>
      </w:r>
      <w:r w:rsidR="003316F9">
        <w:t xml:space="preserve"> innovative and</w:t>
      </w:r>
      <w:r w:rsidR="000579B6">
        <w:t xml:space="preserve"> competitive lending products across both the bank and non-bank sectors.</w:t>
      </w:r>
      <w:r w:rsidR="003316F9">
        <w:rPr>
          <w:rStyle w:val="FootnoteReference"/>
        </w:rPr>
        <w:footnoteReference w:id="11"/>
      </w:r>
      <w:r w:rsidR="000579B6">
        <w:t xml:space="preserve">  </w:t>
      </w:r>
    </w:p>
    <w:p w14:paraId="42E3362C" w14:textId="07F860D0" w:rsidR="00E631CC" w:rsidRDefault="000F59BB" w:rsidP="00E631CC">
      <w:pPr>
        <w:pStyle w:val="Bullet"/>
        <w:numPr>
          <w:ilvl w:val="0"/>
          <w:numId w:val="0"/>
        </w:numPr>
        <w:rPr>
          <w:rFonts w:eastAsiaTheme="minorHAnsi" w:cstheme="minorBidi"/>
          <w:color w:val="auto"/>
          <w:sz w:val="22"/>
          <w:szCs w:val="22"/>
        </w:rPr>
      </w:pPr>
      <w:r>
        <w:rPr>
          <w:rFonts w:eastAsiaTheme="minorHAnsi" w:cstheme="minorBidi"/>
          <w:color w:val="auto"/>
          <w:sz w:val="22"/>
          <w:szCs w:val="22"/>
        </w:rPr>
        <w:lastRenderedPageBreak/>
        <w:t xml:space="preserve">The CDR </w:t>
      </w:r>
      <w:r w:rsidR="00DA1DA3">
        <w:rPr>
          <w:rFonts w:eastAsiaTheme="minorHAnsi" w:cstheme="minorBidi"/>
          <w:color w:val="auto"/>
          <w:sz w:val="22"/>
          <w:szCs w:val="22"/>
        </w:rPr>
        <w:t xml:space="preserve">can </w:t>
      </w:r>
      <w:r w:rsidR="00E06622">
        <w:rPr>
          <w:rFonts w:eastAsiaTheme="minorHAnsi" w:cstheme="minorBidi"/>
          <w:color w:val="auto"/>
          <w:sz w:val="22"/>
          <w:szCs w:val="22"/>
        </w:rPr>
        <w:t xml:space="preserve">improve the </w:t>
      </w:r>
      <w:r w:rsidR="0028193D">
        <w:rPr>
          <w:rFonts w:eastAsiaTheme="minorHAnsi" w:cstheme="minorBidi"/>
          <w:color w:val="auto"/>
          <w:sz w:val="22"/>
          <w:szCs w:val="22"/>
        </w:rPr>
        <w:t>utility</w:t>
      </w:r>
      <w:r w:rsidR="00E06622">
        <w:rPr>
          <w:rFonts w:eastAsiaTheme="minorHAnsi" w:cstheme="minorBidi"/>
          <w:color w:val="auto"/>
          <w:sz w:val="22"/>
          <w:szCs w:val="22"/>
        </w:rPr>
        <w:t xml:space="preserve"> of </w:t>
      </w:r>
      <w:r w:rsidR="00253161">
        <w:rPr>
          <w:rFonts w:eastAsiaTheme="minorHAnsi" w:cstheme="minorBidi"/>
          <w:color w:val="auto"/>
          <w:sz w:val="22"/>
          <w:szCs w:val="22"/>
        </w:rPr>
        <w:t>existing comparison websites in the market</w:t>
      </w:r>
      <w:r w:rsidR="00E06622">
        <w:rPr>
          <w:rFonts w:eastAsiaTheme="minorHAnsi" w:cstheme="minorBidi"/>
          <w:color w:val="auto"/>
          <w:sz w:val="22"/>
          <w:szCs w:val="22"/>
        </w:rPr>
        <w:t xml:space="preserve"> by eliminating the need for consumers to manually input their own data</w:t>
      </w:r>
      <w:r w:rsidR="00E10B5E">
        <w:rPr>
          <w:rFonts w:eastAsiaTheme="minorHAnsi" w:cstheme="minorBidi"/>
          <w:color w:val="auto"/>
          <w:sz w:val="22"/>
          <w:szCs w:val="22"/>
        </w:rPr>
        <w:t>, potentially risking errors,</w:t>
      </w:r>
      <w:r w:rsidR="00E06622">
        <w:rPr>
          <w:rFonts w:eastAsiaTheme="minorHAnsi" w:cstheme="minorBidi"/>
          <w:color w:val="auto"/>
          <w:sz w:val="22"/>
          <w:szCs w:val="22"/>
        </w:rPr>
        <w:t xml:space="preserve"> and by promoting greater standardisation and transparency </w:t>
      </w:r>
      <w:r w:rsidR="002A5A31">
        <w:rPr>
          <w:rFonts w:eastAsiaTheme="minorHAnsi" w:cstheme="minorBidi"/>
          <w:color w:val="auto"/>
          <w:sz w:val="22"/>
          <w:szCs w:val="22"/>
        </w:rPr>
        <w:t>around</w:t>
      </w:r>
      <w:r w:rsidR="00E06622">
        <w:rPr>
          <w:rFonts w:eastAsiaTheme="minorHAnsi" w:cstheme="minorBidi"/>
          <w:color w:val="auto"/>
          <w:sz w:val="22"/>
          <w:szCs w:val="22"/>
        </w:rPr>
        <w:t xml:space="preserve"> lenders</w:t>
      </w:r>
      <w:r w:rsidR="00871B60">
        <w:rPr>
          <w:rFonts w:eastAsiaTheme="minorHAnsi" w:cstheme="minorBidi"/>
          <w:color w:val="auto"/>
          <w:sz w:val="22"/>
          <w:szCs w:val="22"/>
        </w:rPr>
        <w:t>’</w:t>
      </w:r>
      <w:r w:rsidR="00E06622">
        <w:rPr>
          <w:rFonts w:eastAsiaTheme="minorHAnsi" w:cstheme="minorBidi"/>
          <w:color w:val="auto"/>
          <w:sz w:val="22"/>
          <w:szCs w:val="22"/>
        </w:rPr>
        <w:t xml:space="preserve"> product pricing. </w:t>
      </w:r>
      <w:r w:rsidR="00794FC2">
        <w:rPr>
          <w:rFonts w:eastAsiaTheme="minorHAnsi" w:cstheme="minorBidi"/>
          <w:color w:val="auto"/>
          <w:sz w:val="22"/>
          <w:szCs w:val="22"/>
        </w:rPr>
        <w:t xml:space="preserve">As product and consumer data from more sectors is added into the </w:t>
      </w:r>
      <w:r w:rsidR="000A6B08">
        <w:rPr>
          <w:rFonts w:eastAsiaTheme="minorHAnsi" w:cstheme="minorBidi"/>
          <w:color w:val="auto"/>
          <w:sz w:val="22"/>
          <w:szCs w:val="22"/>
        </w:rPr>
        <w:t>CDR</w:t>
      </w:r>
      <w:r w:rsidR="00794FC2">
        <w:rPr>
          <w:rFonts w:eastAsiaTheme="minorHAnsi" w:cstheme="minorBidi"/>
          <w:color w:val="auto"/>
          <w:sz w:val="22"/>
          <w:szCs w:val="22"/>
        </w:rPr>
        <w:t>, ADRs providing comparison tools will be able to recommend personalised bundles which bring together products and services that span multiple sectors.</w:t>
      </w:r>
      <w:r w:rsidR="00101270">
        <w:rPr>
          <w:rFonts w:eastAsiaTheme="minorHAnsi" w:cstheme="minorBidi"/>
          <w:color w:val="auto"/>
          <w:sz w:val="22"/>
          <w:szCs w:val="22"/>
        </w:rPr>
        <w:t xml:space="preserve"> This may be particularly beneficial for b</w:t>
      </w:r>
      <w:r w:rsidR="00101270" w:rsidRPr="00101270">
        <w:rPr>
          <w:rFonts w:eastAsiaTheme="minorHAnsi" w:cstheme="minorBidi"/>
          <w:color w:val="auto"/>
          <w:sz w:val="22"/>
          <w:szCs w:val="22"/>
        </w:rPr>
        <w:t>usiness</w:t>
      </w:r>
      <w:r w:rsidR="00FF55B1">
        <w:rPr>
          <w:rFonts w:eastAsiaTheme="minorHAnsi" w:cstheme="minorBidi"/>
          <w:color w:val="auto"/>
          <w:sz w:val="22"/>
          <w:szCs w:val="22"/>
        </w:rPr>
        <w:t xml:space="preserve"> consumers</w:t>
      </w:r>
      <w:r w:rsidR="00101270" w:rsidRPr="00101270">
        <w:rPr>
          <w:rFonts w:eastAsiaTheme="minorHAnsi" w:cstheme="minorBidi"/>
          <w:color w:val="auto"/>
          <w:sz w:val="22"/>
          <w:szCs w:val="22"/>
        </w:rPr>
        <w:t xml:space="preserve"> </w:t>
      </w:r>
      <w:r w:rsidR="00B81DF8">
        <w:rPr>
          <w:rFonts w:eastAsiaTheme="minorHAnsi" w:cstheme="minorBidi"/>
          <w:color w:val="auto"/>
          <w:sz w:val="22"/>
          <w:szCs w:val="22"/>
        </w:rPr>
        <w:t>that</w:t>
      </w:r>
      <w:r w:rsidR="00101270">
        <w:rPr>
          <w:rFonts w:eastAsiaTheme="minorHAnsi" w:cstheme="minorBidi"/>
          <w:color w:val="auto"/>
          <w:sz w:val="22"/>
          <w:szCs w:val="22"/>
        </w:rPr>
        <w:t xml:space="preserve"> </w:t>
      </w:r>
      <w:r w:rsidR="00101270" w:rsidRPr="00101270">
        <w:rPr>
          <w:rFonts w:eastAsiaTheme="minorHAnsi" w:cstheme="minorBidi"/>
          <w:color w:val="auto"/>
          <w:sz w:val="22"/>
          <w:szCs w:val="22"/>
        </w:rPr>
        <w:t xml:space="preserve">typically have more complex needs than individual consumers and </w:t>
      </w:r>
      <w:r w:rsidR="00101270">
        <w:rPr>
          <w:rFonts w:eastAsiaTheme="minorHAnsi" w:cstheme="minorBidi"/>
          <w:color w:val="auto"/>
          <w:sz w:val="22"/>
          <w:szCs w:val="22"/>
        </w:rPr>
        <w:t>can find it</w:t>
      </w:r>
      <w:r w:rsidR="00101270" w:rsidRPr="00101270">
        <w:rPr>
          <w:rFonts w:eastAsiaTheme="minorHAnsi" w:cstheme="minorBidi"/>
          <w:color w:val="auto"/>
          <w:sz w:val="22"/>
          <w:szCs w:val="22"/>
        </w:rPr>
        <w:t xml:space="preserve"> difficult to find products</w:t>
      </w:r>
      <w:r w:rsidR="008A33E6">
        <w:rPr>
          <w:rFonts w:eastAsiaTheme="minorHAnsi" w:cstheme="minorBidi"/>
          <w:color w:val="auto"/>
          <w:sz w:val="22"/>
          <w:szCs w:val="22"/>
        </w:rPr>
        <w:t xml:space="preserve"> and services</w:t>
      </w:r>
      <w:r w:rsidR="00101270" w:rsidRPr="00101270">
        <w:rPr>
          <w:rFonts w:eastAsiaTheme="minorHAnsi" w:cstheme="minorBidi"/>
          <w:color w:val="auto"/>
          <w:sz w:val="22"/>
          <w:szCs w:val="22"/>
        </w:rPr>
        <w:t xml:space="preserve"> tailored to their specific business needs and circumstances</w:t>
      </w:r>
      <w:r w:rsidR="00101270">
        <w:rPr>
          <w:rFonts w:eastAsiaTheme="minorHAnsi" w:cstheme="minorBidi"/>
          <w:color w:val="auto"/>
          <w:sz w:val="22"/>
          <w:szCs w:val="22"/>
        </w:rPr>
        <w:t>.</w:t>
      </w:r>
    </w:p>
    <w:p w14:paraId="33202436" w14:textId="1373B2B4" w:rsidR="005B00E1" w:rsidRDefault="00F04709" w:rsidP="00C74B91">
      <w:pPr>
        <w:pStyle w:val="Heading4"/>
      </w:pPr>
      <w:bookmarkStart w:id="23" w:name="_Hlk103603552"/>
      <w:r>
        <w:t xml:space="preserve">Reducing barriers to switching and </w:t>
      </w:r>
      <w:r w:rsidR="0074193B">
        <w:t>improving lending decisions</w:t>
      </w:r>
    </w:p>
    <w:p w14:paraId="4A9555B1" w14:textId="45362A57" w:rsidR="000B3111" w:rsidRDefault="00F47AE8" w:rsidP="00B27AF9">
      <w:pPr>
        <w:rPr>
          <w:b/>
          <w:bCs/>
          <w:i/>
          <w:iCs/>
        </w:rPr>
      </w:pPr>
      <w:r>
        <w:t>E</w:t>
      </w:r>
      <w:r w:rsidR="0016127F" w:rsidRPr="005B00E1">
        <w:t>xtending the CDR to non-bank lending could reduce the friction for consumers associated with</w:t>
      </w:r>
      <w:r w:rsidR="00D823DC" w:rsidRPr="005B00E1">
        <w:t xml:space="preserve"> switching</w:t>
      </w:r>
      <w:r w:rsidR="003B0495" w:rsidRPr="005B00E1">
        <w:t xml:space="preserve"> between</w:t>
      </w:r>
      <w:r w:rsidR="0016127F" w:rsidRPr="005B00E1">
        <w:t xml:space="preserve"> </w:t>
      </w:r>
      <w:r w:rsidR="00304293" w:rsidRPr="005B00E1">
        <w:t>lenders</w:t>
      </w:r>
      <w:r w:rsidR="00D823DC" w:rsidRPr="005B00E1">
        <w:t xml:space="preserve"> or applying for new lending products</w:t>
      </w:r>
      <w:r w:rsidR="0016127F" w:rsidRPr="005B00E1">
        <w:t>.</w:t>
      </w:r>
      <w:r w:rsidR="00C66919" w:rsidRPr="005B00E1">
        <w:t xml:space="preserve"> </w:t>
      </w:r>
      <w:r w:rsidR="002B3CA5">
        <w:t>S</w:t>
      </w:r>
      <w:r w:rsidR="008B187F" w:rsidRPr="005B00E1">
        <w:t>takeholders</w:t>
      </w:r>
      <w:r w:rsidR="00FC342B" w:rsidRPr="005B00E1">
        <w:t xml:space="preserve"> </w:t>
      </w:r>
      <w:r w:rsidR="00B84064">
        <w:t xml:space="preserve">emphasised </w:t>
      </w:r>
      <w:r w:rsidR="005222C2" w:rsidRPr="005B00E1">
        <w:t xml:space="preserve">the potential for the CDR </w:t>
      </w:r>
      <w:r w:rsidR="008B187F" w:rsidRPr="005B00E1">
        <w:t xml:space="preserve">to </w:t>
      </w:r>
      <w:r w:rsidR="00FC342B" w:rsidRPr="005B00E1">
        <w:t>streamline</w:t>
      </w:r>
      <w:r w:rsidR="005A76C8" w:rsidRPr="005B00E1">
        <w:t xml:space="preserve"> and improve</w:t>
      </w:r>
      <w:r w:rsidR="00FC342B" w:rsidRPr="005B00E1">
        <w:t xml:space="preserve"> the</w:t>
      </w:r>
      <w:r w:rsidR="008B187F" w:rsidRPr="005B00E1">
        <w:t xml:space="preserve"> lending </w:t>
      </w:r>
      <w:r w:rsidR="00FC342B" w:rsidRPr="005B00E1">
        <w:t>application</w:t>
      </w:r>
      <w:r w:rsidR="008B187F" w:rsidRPr="005B00E1">
        <w:t xml:space="preserve"> process</w:t>
      </w:r>
      <w:r w:rsidR="0009169F">
        <w:t>.</w:t>
      </w:r>
      <w:r w:rsidR="00FC342B" w:rsidRPr="0024221B">
        <w:rPr>
          <w:rStyle w:val="FootnoteReference"/>
          <w:rFonts w:asciiTheme="minorHAnsi" w:hAnsiTheme="minorHAnsi"/>
        </w:rPr>
        <w:footnoteReference w:id="12"/>
      </w:r>
      <w:r w:rsidR="008B187F" w:rsidRPr="0024221B">
        <w:t xml:space="preserve"> </w:t>
      </w:r>
    </w:p>
    <w:p w14:paraId="08885B3C" w14:textId="0529D5F1" w:rsidR="000B3111" w:rsidRPr="000B3111" w:rsidRDefault="000B3111" w:rsidP="00B27AF9">
      <w:pPr>
        <w:rPr>
          <w:b/>
          <w:bCs/>
          <w:i/>
          <w:iCs/>
        </w:rPr>
      </w:pPr>
      <w:r>
        <w:t xml:space="preserve">To obtain a new lending product or refinance a loan, customers are typically required to provide past transaction and savings account information and loan repayment data to a prospective lender. </w:t>
      </w:r>
      <w:r w:rsidRPr="009F63D3">
        <w:t xml:space="preserve">These documents are often manually provided by the consumer to the lender via unsecure methods </w:t>
      </w:r>
      <w:r w:rsidR="002B3CA5">
        <w:t xml:space="preserve">such as </w:t>
      </w:r>
      <w:r w:rsidRPr="009F63D3">
        <w:t>screen</w:t>
      </w:r>
      <w:r w:rsidR="002B3CA5">
        <w:t>-</w:t>
      </w:r>
      <w:r w:rsidRPr="009F63D3">
        <w:t>scraping or email.</w:t>
      </w:r>
    </w:p>
    <w:p w14:paraId="23986C7A" w14:textId="77777777" w:rsidR="002B3CA5" w:rsidRDefault="000337A5" w:rsidP="00B27AF9">
      <w:r>
        <w:t>Designating Open Finance</w:t>
      </w:r>
      <w:r w:rsidR="002B3CA5">
        <w:t xml:space="preserve"> datasets to the CDR</w:t>
      </w:r>
      <w:r w:rsidR="00E10B5E">
        <w:t>, including non-bank lending,</w:t>
      </w:r>
      <w:r>
        <w:t xml:space="preserve"> </w:t>
      </w:r>
      <w:r w:rsidR="009906D2">
        <w:t>would</w:t>
      </w:r>
      <w:r w:rsidR="00366CAD">
        <w:t xml:space="preserve"> </w:t>
      </w:r>
      <w:r w:rsidR="00EB0E60">
        <w:t>provid</w:t>
      </w:r>
      <w:r>
        <w:t>e</w:t>
      </w:r>
      <w:r w:rsidR="00304293">
        <w:t xml:space="preserve"> </w:t>
      </w:r>
      <w:r w:rsidR="001778CF">
        <w:t xml:space="preserve">consumers </w:t>
      </w:r>
      <w:r w:rsidR="007A7FD7">
        <w:t>with</w:t>
      </w:r>
      <w:r w:rsidR="001778CF">
        <w:t xml:space="preserve"> access</w:t>
      </w:r>
      <w:r w:rsidR="00983335">
        <w:t xml:space="preserve"> to a broader range of financial data</w:t>
      </w:r>
      <w:r w:rsidR="002B3CA5">
        <w:t>. It would</w:t>
      </w:r>
      <w:r>
        <w:t xml:space="preserve"> </w:t>
      </w:r>
      <w:r w:rsidR="00983335">
        <w:t>enable consumers to</w:t>
      </w:r>
      <w:r>
        <w:t xml:space="preserve"> </w:t>
      </w:r>
      <w:r w:rsidR="009906D2">
        <w:t>share their financial information safely and quickly</w:t>
      </w:r>
      <w:r>
        <w:t xml:space="preserve"> </w:t>
      </w:r>
      <w:r w:rsidR="00983335">
        <w:t>with a chosen</w:t>
      </w:r>
      <w:r>
        <w:t xml:space="preserve"> accredited lender, </w:t>
      </w:r>
      <w:r w:rsidR="00983335">
        <w:t xml:space="preserve">which </w:t>
      </w:r>
      <w:r w:rsidR="002B3CA5">
        <w:t>may</w:t>
      </w:r>
      <w:r w:rsidR="00D67EAC">
        <w:t xml:space="preserve"> </w:t>
      </w:r>
      <w:r w:rsidR="00983335">
        <w:t>result</w:t>
      </w:r>
      <w:r>
        <w:t xml:space="preserve"> in more</w:t>
      </w:r>
      <w:r w:rsidR="001778CF">
        <w:t xml:space="preserve"> </w:t>
      </w:r>
      <w:r>
        <w:t xml:space="preserve">efficient </w:t>
      </w:r>
      <w:r w:rsidR="00983335">
        <w:t xml:space="preserve">and accurate </w:t>
      </w:r>
      <w:r w:rsidR="007A7FD7">
        <w:t>credit assessments.</w:t>
      </w:r>
      <w:r w:rsidR="00A06041">
        <w:rPr>
          <w:rStyle w:val="FootnoteReference"/>
          <w:rFonts w:asciiTheme="minorHAnsi" w:hAnsiTheme="minorHAnsi"/>
        </w:rPr>
        <w:footnoteReference w:id="13"/>
      </w:r>
      <w:r w:rsidR="00D67EAC">
        <w:t xml:space="preserve"> </w:t>
      </w:r>
      <w:r w:rsidR="00784C92">
        <w:t xml:space="preserve">Extending the CDR to </w:t>
      </w:r>
      <w:r w:rsidR="001A0468">
        <w:t>the non-bank lending sector</w:t>
      </w:r>
      <w:r w:rsidR="00EE1951">
        <w:t xml:space="preserve"> </w:t>
      </w:r>
      <w:r w:rsidR="0028193D">
        <w:t xml:space="preserve">can </w:t>
      </w:r>
      <w:r w:rsidR="003D4D54">
        <w:t>help consumers</w:t>
      </w:r>
      <w:r w:rsidR="00EE1951" w:rsidRPr="00EE1951">
        <w:t xml:space="preserve"> to overcome the time and effort associated with manually transferring copies of documents, as well as limiting security concerns that can result from screen scraping</w:t>
      </w:r>
      <w:r w:rsidR="008B187F">
        <w:t>.</w:t>
      </w:r>
      <w:r w:rsidR="008B187F" w:rsidRPr="0034339B">
        <w:rPr>
          <w:rStyle w:val="FootnoteReference"/>
        </w:rPr>
        <w:footnoteReference w:id="14"/>
      </w:r>
      <w:r w:rsidR="008A33E6" w:rsidRPr="008A33E6">
        <w:t xml:space="preserve"> </w:t>
      </w:r>
    </w:p>
    <w:p w14:paraId="4F45220E" w14:textId="180C1BEF" w:rsidR="00A43059" w:rsidRDefault="008A33E6" w:rsidP="00B27AF9">
      <w:pPr>
        <w:rPr>
          <w:b/>
          <w:bCs/>
        </w:rPr>
      </w:pPr>
      <w:r w:rsidRPr="000A6941">
        <w:t xml:space="preserve">Smaller businesses typically also have less </w:t>
      </w:r>
      <w:r w:rsidR="00237F36">
        <w:t>evidence</w:t>
      </w:r>
      <w:r w:rsidRPr="000A6941">
        <w:t xml:space="preserve"> and shorter financial histories, which can make it harder and more costly for </w:t>
      </w:r>
      <w:r w:rsidR="002B3CA5">
        <w:t>authorised deposit-taking institutions (</w:t>
      </w:r>
      <w:r w:rsidRPr="000A6941">
        <w:t>ADIs</w:t>
      </w:r>
      <w:r w:rsidR="002B3CA5">
        <w:t>)</w:t>
      </w:r>
      <w:r w:rsidRPr="000A6941">
        <w:t xml:space="preserve"> and non-bank lenders to acquire the required information to make accurate assessments of small businesses’ creditworthiness. Improved access to small business data could support lenders with more streamlined and cost-effective loan assessment processes</w:t>
      </w:r>
      <w:r>
        <w:t>.</w:t>
      </w:r>
    </w:p>
    <w:p w14:paraId="7A9B5795" w14:textId="1B2EA015" w:rsidR="002A5A31" w:rsidRDefault="001D574E" w:rsidP="002A5A31">
      <w:pPr>
        <w:rPr>
          <w:rFonts w:asciiTheme="minorHAnsi" w:hAnsiTheme="minorHAnsi"/>
        </w:rPr>
      </w:pPr>
      <w:r>
        <w:rPr>
          <w:rFonts w:asciiTheme="minorHAnsi" w:hAnsiTheme="minorHAnsi"/>
        </w:rPr>
        <w:t>Stakeholders</w:t>
      </w:r>
      <w:r w:rsidR="00A43059">
        <w:rPr>
          <w:rFonts w:asciiTheme="minorHAnsi" w:hAnsiTheme="minorHAnsi"/>
        </w:rPr>
        <w:t xml:space="preserve"> also </w:t>
      </w:r>
      <w:r w:rsidR="002B3CA5">
        <w:rPr>
          <w:rFonts w:asciiTheme="minorHAnsi" w:hAnsiTheme="minorHAnsi"/>
        </w:rPr>
        <w:t>stated that</w:t>
      </w:r>
      <w:r w:rsidR="00AB3924">
        <w:rPr>
          <w:rFonts w:asciiTheme="minorHAnsi" w:hAnsiTheme="minorHAnsi"/>
        </w:rPr>
        <w:t xml:space="preserve"> </w:t>
      </w:r>
      <w:r w:rsidR="00376773">
        <w:rPr>
          <w:rFonts w:asciiTheme="minorHAnsi" w:hAnsiTheme="minorHAnsi"/>
        </w:rPr>
        <w:t>providing lenders with a</w:t>
      </w:r>
      <w:r w:rsidR="00A43059">
        <w:rPr>
          <w:rFonts w:asciiTheme="minorHAnsi" w:hAnsiTheme="minorHAnsi"/>
        </w:rPr>
        <w:t xml:space="preserve"> comprehensive view of </w:t>
      </w:r>
      <w:r w:rsidR="00376773">
        <w:rPr>
          <w:rFonts w:asciiTheme="minorHAnsi" w:hAnsiTheme="minorHAnsi"/>
        </w:rPr>
        <w:t xml:space="preserve">a consumer’s </w:t>
      </w:r>
      <w:r w:rsidR="00A43059">
        <w:rPr>
          <w:rFonts w:asciiTheme="minorHAnsi" w:hAnsiTheme="minorHAnsi"/>
        </w:rPr>
        <w:t>finances</w:t>
      </w:r>
      <w:r w:rsidR="00880115">
        <w:rPr>
          <w:rFonts w:asciiTheme="minorHAnsi" w:hAnsiTheme="minorHAnsi"/>
        </w:rPr>
        <w:t>, including all liabilities,</w:t>
      </w:r>
      <w:r w:rsidR="00A43059">
        <w:rPr>
          <w:rFonts w:asciiTheme="minorHAnsi" w:hAnsiTheme="minorHAnsi"/>
        </w:rPr>
        <w:t xml:space="preserve"> would support efficient lending decisions</w:t>
      </w:r>
      <w:r w:rsidR="002A5A31">
        <w:rPr>
          <w:rStyle w:val="FootnoteReference"/>
          <w:rFonts w:asciiTheme="minorHAnsi" w:hAnsiTheme="minorHAnsi"/>
        </w:rPr>
        <w:footnoteReference w:id="15"/>
      </w:r>
      <w:r w:rsidR="002A5A31">
        <w:rPr>
          <w:rFonts w:asciiTheme="minorHAnsi" w:hAnsiTheme="minorHAnsi"/>
        </w:rPr>
        <w:t xml:space="preserve"> and improve the accuracy of lender’s responsible lending decisions</w:t>
      </w:r>
      <w:r w:rsidR="00A43059">
        <w:rPr>
          <w:rFonts w:asciiTheme="minorHAnsi" w:hAnsiTheme="minorHAnsi"/>
        </w:rPr>
        <w:t>.</w:t>
      </w:r>
      <w:r w:rsidR="00784C92">
        <w:rPr>
          <w:rStyle w:val="FootnoteReference"/>
          <w:rFonts w:asciiTheme="minorHAnsi" w:hAnsiTheme="minorHAnsi"/>
        </w:rPr>
        <w:footnoteReference w:id="16"/>
      </w:r>
      <w:r w:rsidR="00A43059">
        <w:rPr>
          <w:rFonts w:asciiTheme="minorHAnsi" w:hAnsiTheme="minorHAnsi"/>
        </w:rPr>
        <w:t xml:space="preserve"> </w:t>
      </w:r>
      <w:r w:rsidR="002A5A31">
        <w:rPr>
          <w:rFonts w:asciiTheme="minorHAnsi" w:hAnsiTheme="minorHAnsi"/>
        </w:rPr>
        <w:t>FinTech Australia submitted:</w:t>
      </w:r>
    </w:p>
    <w:p w14:paraId="75A178AA" w14:textId="3BA860FB" w:rsidR="002C12EF" w:rsidRDefault="002A5A31" w:rsidP="002C12EF">
      <w:pPr>
        <w:ind w:left="340"/>
        <w:rPr>
          <w:rFonts w:asciiTheme="minorHAnsi" w:hAnsiTheme="minorHAnsi"/>
        </w:rPr>
      </w:pPr>
      <w:r>
        <w:rPr>
          <w:rFonts w:asciiTheme="minorHAnsi" w:hAnsiTheme="minorHAnsi"/>
        </w:rPr>
        <w:t>N</w:t>
      </w:r>
      <w:r w:rsidRPr="001E6079">
        <w:rPr>
          <w:rFonts w:asciiTheme="minorHAnsi" w:hAnsiTheme="minorHAnsi"/>
        </w:rPr>
        <w:t xml:space="preserve">on-bank lending information, combined with ADI information, enables a more comprehensive assessment of a consumer's credit profile and risk. Combining this data with </w:t>
      </w:r>
      <w:r>
        <w:rPr>
          <w:rFonts w:asciiTheme="minorHAnsi" w:hAnsiTheme="minorHAnsi"/>
        </w:rPr>
        <w:t>CDR data from other sectors, such as</w:t>
      </w:r>
      <w:r w:rsidRPr="001E6079">
        <w:rPr>
          <w:rFonts w:asciiTheme="minorHAnsi" w:hAnsiTheme="minorHAnsi"/>
        </w:rPr>
        <w:t xml:space="preserve"> telecommunications and </w:t>
      </w:r>
      <w:r>
        <w:rPr>
          <w:rFonts w:asciiTheme="minorHAnsi" w:hAnsiTheme="minorHAnsi"/>
        </w:rPr>
        <w:t>energy data,</w:t>
      </w:r>
      <w:r w:rsidRPr="001E6079">
        <w:rPr>
          <w:rFonts w:asciiTheme="minorHAnsi" w:hAnsiTheme="minorHAnsi"/>
        </w:rPr>
        <w:t xml:space="preserve"> provides further scope for building a well-rounded picture of a consumer's circumstances.</w:t>
      </w:r>
      <w:r>
        <w:rPr>
          <w:rStyle w:val="FootnoteReference"/>
          <w:rFonts w:asciiTheme="minorHAnsi" w:hAnsiTheme="minorHAnsi"/>
        </w:rPr>
        <w:footnoteReference w:id="17"/>
      </w:r>
      <w:r w:rsidRPr="006254DB">
        <w:rPr>
          <w:rFonts w:asciiTheme="minorHAnsi" w:hAnsiTheme="minorHAnsi"/>
        </w:rPr>
        <w:t xml:space="preserve"> </w:t>
      </w:r>
    </w:p>
    <w:p w14:paraId="6E2AFDB2" w14:textId="3C483488" w:rsidR="006A272E" w:rsidRDefault="008859FA" w:rsidP="002C12EF">
      <w:pPr>
        <w:rPr>
          <w:rFonts w:asciiTheme="minorHAnsi" w:hAnsiTheme="minorHAnsi"/>
        </w:rPr>
      </w:pPr>
      <w:r>
        <w:rPr>
          <w:rFonts w:asciiTheme="minorHAnsi" w:hAnsiTheme="minorHAnsi"/>
        </w:rPr>
        <w:lastRenderedPageBreak/>
        <w:t>M</w:t>
      </w:r>
      <w:r w:rsidR="00E55BE9">
        <w:rPr>
          <w:rFonts w:asciiTheme="minorHAnsi" w:hAnsiTheme="minorHAnsi"/>
        </w:rPr>
        <w:t>ost</w:t>
      </w:r>
      <w:r>
        <w:rPr>
          <w:rFonts w:asciiTheme="minorHAnsi" w:hAnsiTheme="minorHAnsi"/>
        </w:rPr>
        <w:t xml:space="preserve"> </w:t>
      </w:r>
      <w:r w:rsidR="00E55BE9">
        <w:rPr>
          <w:rFonts w:asciiTheme="minorHAnsi" w:hAnsiTheme="minorHAnsi"/>
        </w:rPr>
        <w:t>s</w:t>
      </w:r>
      <w:r w:rsidR="006A272E">
        <w:rPr>
          <w:rFonts w:asciiTheme="minorHAnsi" w:hAnsiTheme="minorHAnsi"/>
        </w:rPr>
        <w:t>takeholders</w:t>
      </w:r>
      <w:r w:rsidR="003D1F8F">
        <w:rPr>
          <w:rFonts w:asciiTheme="minorHAnsi" w:hAnsiTheme="minorHAnsi"/>
        </w:rPr>
        <w:t xml:space="preserve"> noted the importance of including buy now</w:t>
      </w:r>
      <w:r w:rsidR="00185C6E">
        <w:rPr>
          <w:rFonts w:asciiTheme="minorHAnsi" w:hAnsiTheme="minorHAnsi"/>
        </w:rPr>
        <w:t>,</w:t>
      </w:r>
      <w:r w:rsidR="003D1F8F">
        <w:rPr>
          <w:rFonts w:asciiTheme="minorHAnsi" w:hAnsiTheme="minorHAnsi"/>
        </w:rPr>
        <w:t xml:space="preserve"> pay later </w:t>
      </w:r>
      <w:r w:rsidR="005B29EA">
        <w:rPr>
          <w:rFonts w:asciiTheme="minorHAnsi" w:hAnsiTheme="minorHAnsi"/>
        </w:rPr>
        <w:t>(BNPL)</w:t>
      </w:r>
      <w:r w:rsidR="003D1F8F">
        <w:rPr>
          <w:rFonts w:asciiTheme="minorHAnsi" w:hAnsiTheme="minorHAnsi"/>
        </w:rPr>
        <w:t xml:space="preserve"> information in </w:t>
      </w:r>
      <w:r w:rsidR="002B3CA5">
        <w:rPr>
          <w:rFonts w:asciiTheme="minorHAnsi" w:hAnsiTheme="minorHAnsi"/>
        </w:rPr>
        <w:t xml:space="preserve">the </w:t>
      </w:r>
      <w:r w:rsidR="003D1F8F">
        <w:rPr>
          <w:rFonts w:asciiTheme="minorHAnsi" w:hAnsiTheme="minorHAnsi"/>
        </w:rPr>
        <w:t>CDR to ensure use cases requiring a comprehensive view of a consumer’s financial situation</w:t>
      </w:r>
      <w:r w:rsidR="00677792">
        <w:rPr>
          <w:rFonts w:asciiTheme="minorHAnsi" w:hAnsiTheme="minorHAnsi"/>
        </w:rPr>
        <w:t>, such as this,</w:t>
      </w:r>
      <w:r w:rsidR="003D1F8F">
        <w:rPr>
          <w:rFonts w:asciiTheme="minorHAnsi" w:hAnsiTheme="minorHAnsi"/>
        </w:rPr>
        <w:t xml:space="preserve"> could be fully realised. </w:t>
      </w:r>
      <w:r w:rsidR="006A272E">
        <w:rPr>
          <w:rFonts w:asciiTheme="minorHAnsi" w:hAnsiTheme="minorHAnsi"/>
        </w:rPr>
        <w:t>For example:</w:t>
      </w:r>
    </w:p>
    <w:p w14:paraId="69EB1D51" w14:textId="78DB46A8" w:rsidR="00AB503D" w:rsidRDefault="00AB503D" w:rsidP="006A272E">
      <w:pPr>
        <w:ind w:left="340"/>
        <w:rPr>
          <w:rFonts w:asciiTheme="minorHAnsi" w:hAnsiTheme="minorHAnsi"/>
        </w:rPr>
      </w:pPr>
      <w:r>
        <w:rPr>
          <w:rFonts w:asciiTheme="minorHAnsi" w:hAnsiTheme="minorHAnsi"/>
        </w:rPr>
        <w:t xml:space="preserve">The </w:t>
      </w:r>
      <w:r w:rsidR="00BC66B6">
        <w:rPr>
          <w:rFonts w:asciiTheme="minorHAnsi" w:hAnsiTheme="minorHAnsi"/>
        </w:rPr>
        <w:t>Mortgage &amp; Finance Association of Australia (</w:t>
      </w:r>
      <w:r>
        <w:rPr>
          <w:rFonts w:asciiTheme="minorHAnsi" w:hAnsiTheme="minorHAnsi"/>
        </w:rPr>
        <w:t>MFAA</w:t>
      </w:r>
      <w:r w:rsidR="00BC66B6">
        <w:rPr>
          <w:rFonts w:asciiTheme="minorHAnsi" w:hAnsiTheme="minorHAnsi"/>
        </w:rPr>
        <w:t>)</w:t>
      </w:r>
      <w:r>
        <w:rPr>
          <w:rFonts w:asciiTheme="minorHAnsi" w:hAnsiTheme="minorHAnsi"/>
        </w:rPr>
        <w:t xml:space="preserve"> states that </w:t>
      </w:r>
      <w:r w:rsidR="004D35A9">
        <w:rPr>
          <w:rFonts w:asciiTheme="minorHAnsi" w:hAnsiTheme="minorHAnsi"/>
        </w:rPr>
        <w:t>“</w:t>
      </w:r>
      <w:r w:rsidR="00A23E6E">
        <w:rPr>
          <w:rFonts w:asciiTheme="minorHAnsi" w:hAnsiTheme="minorHAnsi"/>
        </w:rPr>
        <w:t>as</w:t>
      </w:r>
      <w:r>
        <w:rPr>
          <w:rFonts w:asciiTheme="minorHAnsi" w:hAnsiTheme="minorHAnsi"/>
        </w:rPr>
        <w:t xml:space="preserve"> part of responsible lending obligations, lenders are increasingly requiring information from customers about their BNPL use and commitments to assess loan application</w:t>
      </w:r>
      <w:r w:rsidR="00C97D3F">
        <w:rPr>
          <w:rFonts w:asciiTheme="minorHAnsi" w:hAnsiTheme="minorHAnsi"/>
        </w:rPr>
        <w:t>s</w:t>
      </w:r>
      <w:r w:rsidR="002E2E4D">
        <w:rPr>
          <w:rFonts w:asciiTheme="minorHAnsi" w:hAnsiTheme="minorHAnsi"/>
        </w:rPr>
        <w:t xml:space="preserve">, and accordingly is of the view that </w:t>
      </w:r>
      <w:r>
        <w:rPr>
          <w:rFonts w:asciiTheme="minorHAnsi" w:hAnsiTheme="minorHAnsi"/>
        </w:rPr>
        <w:t xml:space="preserve">the true value of the CDR </w:t>
      </w:r>
      <w:r w:rsidR="002E2E4D">
        <w:rPr>
          <w:rFonts w:asciiTheme="minorHAnsi" w:hAnsiTheme="minorHAnsi"/>
        </w:rPr>
        <w:t>in Open Finance will only be realised when comprehensive datasets, including BNPL, are within the system that give a whole of finance view of the customer</w:t>
      </w:r>
      <w:r w:rsidR="004D35A9">
        <w:rPr>
          <w:rFonts w:asciiTheme="minorHAnsi" w:hAnsiTheme="minorHAnsi"/>
        </w:rPr>
        <w:t>”</w:t>
      </w:r>
      <w:r w:rsidR="002E2E4D">
        <w:rPr>
          <w:rFonts w:asciiTheme="minorHAnsi" w:hAnsiTheme="minorHAnsi"/>
        </w:rPr>
        <w:t>.</w:t>
      </w:r>
      <w:r w:rsidR="002E2E4D">
        <w:rPr>
          <w:rStyle w:val="FootnoteReference"/>
          <w:rFonts w:asciiTheme="minorHAnsi" w:hAnsiTheme="minorHAnsi"/>
        </w:rPr>
        <w:footnoteReference w:id="18"/>
      </w:r>
    </w:p>
    <w:p w14:paraId="6BCE7D19" w14:textId="0892A15D" w:rsidR="006A272E" w:rsidRDefault="006A272E" w:rsidP="006A272E">
      <w:pPr>
        <w:ind w:left="340"/>
      </w:pPr>
      <w:r>
        <w:rPr>
          <w:rFonts w:asciiTheme="minorHAnsi" w:hAnsiTheme="minorHAnsi"/>
        </w:rPr>
        <w:t xml:space="preserve">The </w:t>
      </w:r>
      <w:r w:rsidR="00C97D3F">
        <w:rPr>
          <w:rFonts w:asciiTheme="minorHAnsi" w:hAnsiTheme="minorHAnsi"/>
        </w:rPr>
        <w:t>Financial Data and Technology Association (</w:t>
      </w:r>
      <w:r>
        <w:rPr>
          <w:rFonts w:asciiTheme="minorHAnsi" w:hAnsiTheme="minorHAnsi"/>
        </w:rPr>
        <w:t>FDATA</w:t>
      </w:r>
      <w:r w:rsidR="00C97D3F">
        <w:rPr>
          <w:rFonts w:asciiTheme="minorHAnsi" w:hAnsiTheme="minorHAnsi"/>
        </w:rPr>
        <w:t>)</w:t>
      </w:r>
      <w:r>
        <w:rPr>
          <w:rFonts w:asciiTheme="minorHAnsi" w:hAnsiTheme="minorHAnsi"/>
        </w:rPr>
        <w:t xml:space="preserve"> noted </w:t>
      </w:r>
      <w:r w:rsidR="004D35A9">
        <w:rPr>
          <w:rFonts w:asciiTheme="minorHAnsi" w:hAnsiTheme="minorHAnsi"/>
        </w:rPr>
        <w:t>“</w:t>
      </w:r>
      <w:r w:rsidRPr="00B657D4">
        <w:t>their</w:t>
      </w:r>
      <w:r>
        <w:t xml:space="preserve"> [buy now pay later]</w:t>
      </w:r>
      <w:r w:rsidRPr="00B657D4">
        <w:t xml:space="preserve"> inclusion in Open Finance will be critical to enforcing responsible lending frameworks and creating enhanced use-cases for consumers across all market segments</w:t>
      </w:r>
      <w:r w:rsidR="004D35A9">
        <w:t>”</w:t>
      </w:r>
      <w:r w:rsidRPr="00B657D4">
        <w:t>.</w:t>
      </w:r>
      <w:r>
        <w:rPr>
          <w:rStyle w:val="FootnoteReference"/>
        </w:rPr>
        <w:footnoteReference w:id="19"/>
      </w:r>
    </w:p>
    <w:p w14:paraId="5FDF36E9" w14:textId="476AB6F7" w:rsidR="006A272E" w:rsidRDefault="006A272E" w:rsidP="00C97D3F">
      <w:pPr>
        <w:ind w:left="340"/>
        <w:rPr>
          <w:rFonts w:asciiTheme="minorHAnsi" w:hAnsiTheme="minorHAnsi"/>
        </w:rPr>
      </w:pPr>
      <w:r>
        <w:rPr>
          <w:rFonts w:asciiTheme="minorHAnsi" w:hAnsiTheme="minorHAnsi"/>
        </w:rPr>
        <w:t>Brighte sees the inclusion of BNPL consumer and product data as “instrumental from a consumer</w:t>
      </w:r>
      <w:r w:rsidRPr="006A272E">
        <w:rPr>
          <w:rFonts w:asciiTheme="minorHAnsi" w:hAnsiTheme="minorHAnsi"/>
        </w:rPr>
        <w:t xml:space="preserve"> </w:t>
      </w:r>
      <w:r w:rsidRPr="00D34D59">
        <w:rPr>
          <w:rFonts w:asciiTheme="minorHAnsi" w:hAnsiTheme="minorHAnsi"/>
        </w:rPr>
        <w:t>benefit perspective</w:t>
      </w:r>
      <w:r>
        <w:rPr>
          <w:rFonts w:asciiTheme="minorHAnsi" w:hAnsiTheme="minorHAnsi"/>
        </w:rPr>
        <w:t xml:space="preserve"> to b</w:t>
      </w:r>
      <w:r w:rsidRPr="00D34D59">
        <w:rPr>
          <w:rFonts w:asciiTheme="minorHAnsi" w:hAnsiTheme="minorHAnsi"/>
        </w:rPr>
        <w:t>oth facilitate the creation of new business models, and help existing businesses strengthen their own processes and procedures</w:t>
      </w:r>
      <w:r w:rsidR="004D35A9">
        <w:rPr>
          <w:rFonts w:asciiTheme="minorHAnsi" w:hAnsiTheme="minorHAnsi"/>
        </w:rPr>
        <w:t>”</w:t>
      </w:r>
      <w:r>
        <w:rPr>
          <w:rFonts w:asciiTheme="minorHAnsi" w:hAnsiTheme="minorHAnsi"/>
        </w:rPr>
        <w:t>.</w:t>
      </w:r>
      <w:r>
        <w:rPr>
          <w:rStyle w:val="FootnoteReference"/>
          <w:rFonts w:asciiTheme="minorHAnsi" w:hAnsiTheme="minorHAnsi"/>
        </w:rPr>
        <w:footnoteReference w:id="20"/>
      </w:r>
    </w:p>
    <w:p w14:paraId="72EF06D0" w14:textId="39FD0F7E" w:rsidR="003D1F8F" w:rsidRDefault="000C1E11" w:rsidP="003D1F8F">
      <w:r>
        <w:t xml:space="preserve">While </w:t>
      </w:r>
      <w:r w:rsidR="005110AA">
        <w:t>Afterpay owner</w:t>
      </w:r>
      <w:r>
        <w:t xml:space="preserve"> </w:t>
      </w:r>
      <w:r w:rsidR="003D1F8F">
        <w:t>Block note</w:t>
      </w:r>
      <w:r>
        <w:t>d</w:t>
      </w:r>
      <w:r w:rsidR="003D1F8F">
        <w:t xml:space="preserve"> that </w:t>
      </w:r>
      <w:r>
        <w:t>BNPL</w:t>
      </w:r>
      <w:r w:rsidR="003D1F8F">
        <w:t xml:space="preserve"> transaction data is largely visible in bank accounts that are already subject to the CDR</w:t>
      </w:r>
      <w:r w:rsidR="003D1F8F">
        <w:rPr>
          <w:rStyle w:val="FootnoteReference"/>
        </w:rPr>
        <w:footnoteReference w:id="21"/>
      </w:r>
      <w:r w:rsidR="003D1F8F">
        <w:t>, that visibility is limited</w:t>
      </w:r>
      <w:r w:rsidR="00185C6E">
        <w:t xml:space="preserve">. There is not the same </w:t>
      </w:r>
      <w:r w:rsidR="003D1F8F">
        <w:t>information</w:t>
      </w:r>
      <w:r w:rsidR="00185C6E">
        <w:t xml:space="preserve"> available if the purchase were made on a credit or debit card</w:t>
      </w:r>
      <w:r w:rsidR="00933391">
        <w:t xml:space="preserve">, such as the </w:t>
      </w:r>
      <w:r w:rsidR="00395357">
        <w:t xml:space="preserve">total </w:t>
      </w:r>
      <w:r w:rsidR="00933391">
        <w:t>amount</w:t>
      </w:r>
      <w:r w:rsidR="00395357">
        <w:t xml:space="preserve"> for the purchase (and therefore the term of the arrangement)</w:t>
      </w:r>
      <w:r w:rsidR="00933391">
        <w:t xml:space="preserve"> and source of individual purchases</w:t>
      </w:r>
      <w:r w:rsidR="003D1F8F">
        <w:t xml:space="preserve">. The additional information regarding the transaction or transactions behind the </w:t>
      </w:r>
      <w:r w:rsidR="00750E5E">
        <w:t xml:space="preserve">BNPL </w:t>
      </w:r>
      <w:r w:rsidR="003D1F8F">
        <w:t>amount could be of use to ADRs and not including this detail could create a hole in an ADR</w:t>
      </w:r>
      <w:r w:rsidR="001F6068">
        <w:t>’</w:t>
      </w:r>
      <w:r w:rsidR="003D1F8F">
        <w:t xml:space="preserve">s analysis of a consumer’s financial activity. </w:t>
      </w:r>
    </w:p>
    <w:p w14:paraId="5D34D807" w14:textId="7F91AF81" w:rsidR="003D1F8F" w:rsidRDefault="00185C6E" w:rsidP="002C12EF">
      <w:pPr>
        <w:rPr>
          <w:rFonts w:asciiTheme="minorHAnsi" w:hAnsiTheme="minorHAnsi"/>
        </w:rPr>
      </w:pPr>
      <w:r>
        <w:t>BNPL</w:t>
      </w:r>
      <w:r w:rsidR="003D1F8F" w:rsidRPr="00337B7F">
        <w:t xml:space="preserve"> products represent a growing way for consumers to finance their purchases in Australia</w:t>
      </w:r>
      <w:r w:rsidR="002E63A2">
        <w:t>,</w:t>
      </w:r>
      <w:r w:rsidR="003D1F8F" w:rsidRPr="00337B7F">
        <w:rPr>
          <w:rStyle w:val="FootnoteReference"/>
        </w:rPr>
        <w:footnoteReference w:id="22"/>
      </w:r>
      <w:r w:rsidR="003D1F8F" w:rsidRPr="00337B7F">
        <w:t xml:space="preserve"> therefore </w:t>
      </w:r>
      <w:r w:rsidR="000C1E11" w:rsidRPr="00337B7F">
        <w:t xml:space="preserve">including </w:t>
      </w:r>
      <w:r w:rsidR="0055496E">
        <w:t>BNPL</w:t>
      </w:r>
      <w:r w:rsidR="000C1E11" w:rsidRPr="00337B7F">
        <w:t xml:space="preserve"> products under the CDR </w:t>
      </w:r>
      <w:r w:rsidR="000C1E11">
        <w:t xml:space="preserve">is recommended as </w:t>
      </w:r>
      <w:r w:rsidR="003D1F8F" w:rsidRPr="00337B7F">
        <w:t>the relevance of such data will increase over time.</w:t>
      </w:r>
    </w:p>
    <w:bookmarkEnd w:id="23"/>
    <w:p w14:paraId="57A8F2CD" w14:textId="0FEEE7F1" w:rsidR="00880115" w:rsidRDefault="00921022" w:rsidP="002C12EF">
      <w:pPr>
        <w:rPr>
          <w:rFonts w:asciiTheme="minorHAnsi" w:hAnsiTheme="minorHAnsi"/>
        </w:rPr>
      </w:pPr>
      <w:r>
        <w:rPr>
          <w:rFonts w:asciiTheme="minorHAnsi" w:hAnsiTheme="minorHAnsi"/>
        </w:rPr>
        <w:t xml:space="preserve">Extending the CDR to </w:t>
      </w:r>
      <w:r w:rsidR="000F4B95">
        <w:rPr>
          <w:rFonts w:asciiTheme="minorHAnsi" w:hAnsiTheme="minorHAnsi"/>
        </w:rPr>
        <w:t>O</w:t>
      </w:r>
      <w:r>
        <w:rPr>
          <w:rFonts w:asciiTheme="minorHAnsi" w:hAnsiTheme="minorHAnsi"/>
        </w:rPr>
        <w:t xml:space="preserve">pen </w:t>
      </w:r>
      <w:r w:rsidR="000F4B95">
        <w:rPr>
          <w:rFonts w:asciiTheme="minorHAnsi" w:hAnsiTheme="minorHAnsi"/>
        </w:rPr>
        <w:t>F</w:t>
      </w:r>
      <w:r w:rsidR="000062EA">
        <w:rPr>
          <w:rFonts w:asciiTheme="minorHAnsi" w:hAnsiTheme="minorHAnsi"/>
        </w:rPr>
        <w:t>ina</w:t>
      </w:r>
      <w:r w:rsidR="002C12EF">
        <w:rPr>
          <w:rFonts w:asciiTheme="minorHAnsi" w:hAnsiTheme="minorHAnsi"/>
        </w:rPr>
        <w:t>nce</w:t>
      </w:r>
      <w:r>
        <w:rPr>
          <w:rFonts w:asciiTheme="minorHAnsi" w:hAnsiTheme="minorHAnsi"/>
        </w:rPr>
        <w:t xml:space="preserve"> c</w:t>
      </w:r>
      <w:r w:rsidR="0074193B">
        <w:rPr>
          <w:rFonts w:asciiTheme="minorHAnsi" w:hAnsiTheme="minorHAnsi"/>
        </w:rPr>
        <w:t xml:space="preserve">ould </w:t>
      </w:r>
      <w:r>
        <w:rPr>
          <w:rFonts w:asciiTheme="minorHAnsi" w:hAnsiTheme="minorHAnsi"/>
        </w:rPr>
        <w:t xml:space="preserve">also </w:t>
      </w:r>
      <w:r w:rsidR="0074193B">
        <w:rPr>
          <w:rFonts w:asciiTheme="minorHAnsi" w:hAnsiTheme="minorHAnsi"/>
        </w:rPr>
        <w:t>make it easier for</w:t>
      </w:r>
      <w:r>
        <w:rPr>
          <w:rFonts w:asciiTheme="minorHAnsi" w:hAnsiTheme="minorHAnsi"/>
        </w:rPr>
        <w:t xml:space="preserve"> certain cohorts of consumers, such as</w:t>
      </w:r>
      <w:r w:rsidR="0074193B">
        <w:rPr>
          <w:rFonts w:asciiTheme="minorHAnsi" w:hAnsiTheme="minorHAnsi"/>
        </w:rPr>
        <w:t xml:space="preserve"> </w:t>
      </w:r>
      <w:r w:rsidR="00332E97">
        <w:rPr>
          <w:rFonts w:asciiTheme="minorHAnsi" w:hAnsiTheme="minorHAnsi"/>
        </w:rPr>
        <w:t>consumers</w:t>
      </w:r>
      <w:r>
        <w:rPr>
          <w:rFonts w:asciiTheme="minorHAnsi" w:hAnsiTheme="minorHAnsi"/>
        </w:rPr>
        <w:t xml:space="preserve"> without</w:t>
      </w:r>
      <w:r w:rsidR="00B73121">
        <w:rPr>
          <w:rFonts w:asciiTheme="minorHAnsi" w:hAnsiTheme="minorHAnsi"/>
        </w:rPr>
        <w:t xml:space="preserve"> credit </w:t>
      </w:r>
      <w:r w:rsidR="002C12EF">
        <w:rPr>
          <w:rFonts w:asciiTheme="minorHAnsi" w:hAnsiTheme="minorHAnsi"/>
        </w:rPr>
        <w:t>histor</w:t>
      </w:r>
      <w:r w:rsidR="00332E97">
        <w:rPr>
          <w:rFonts w:asciiTheme="minorHAnsi" w:hAnsiTheme="minorHAnsi"/>
        </w:rPr>
        <w:t>y and</w:t>
      </w:r>
      <w:r w:rsidR="002C12EF">
        <w:rPr>
          <w:rFonts w:asciiTheme="minorHAnsi" w:hAnsiTheme="minorHAnsi"/>
        </w:rPr>
        <w:t xml:space="preserve"> consumers with </w:t>
      </w:r>
      <w:r w:rsidR="00B73121">
        <w:rPr>
          <w:rFonts w:asciiTheme="minorHAnsi" w:hAnsiTheme="minorHAnsi"/>
        </w:rPr>
        <w:t>unstable incomes</w:t>
      </w:r>
      <w:r w:rsidR="00FC4B83">
        <w:rPr>
          <w:rFonts w:asciiTheme="minorHAnsi" w:hAnsiTheme="minorHAnsi"/>
        </w:rPr>
        <w:t>,</w:t>
      </w:r>
      <w:r w:rsidR="00B73121">
        <w:rPr>
          <w:rFonts w:asciiTheme="minorHAnsi" w:hAnsiTheme="minorHAnsi"/>
        </w:rPr>
        <w:t xml:space="preserve"> to </w:t>
      </w:r>
      <w:r w:rsidR="00263EA5">
        <w:rPr>
          <w:rFonts w:asciiTheme="minorHAnsi" w:hAnsiTheme="minorHAnsi"/>
        </w:rPr>
        <w:t>demonstrate</w:t>
      </w:r>
      <w:r w:rsidR="00B73121">
        <w:rPr>
          <w:rFonts w:asciiTheme="minorHAnsi" w:hAnsiTheme="minorHAnsi"/>
        </w:rPr>
        <w:t xml:space="preserve"> their creditworthiness.</w:t>
      </w:r>
      <w:r w:rsidR="007463BC">
        <w:rPr>
          <w:rStyle w:val="FootnoteReference"/>
          <w:rFonts w:asciiTheme="minorHAnsi" w:hAnsiTheme="minorHAnsi"/>
        </w:rPr>
        <w:footnoteReference w:id="23"/>
      </w:r>
      <w:r w:rsidR="00B73121">
        <w:rPr>
          <w:rFonts w:asciiTheme="minorHAnsi" w:hAnsiTheme="minorHAnsi"/>
        </w:rPr>
        <w:t xml:space="preserve"> </w:t>
      </w:r>
      <w:r w:rsidR="0004708F">
        <w:rPr>
          <w:rFonts w:asciiTheme="minorHAnsi" w:hAnsiTheme="minorHAnsi"/>
        </w:rPr>
        <w:t xml:space="preserve">The </w:t>
      </w:r>
      <w:r w:rsidR="0004708F">
        <w:t>Australian Finance Industry Association</w:t>
      </w:r>
      <w:r w:rsidR="00784C92">
        <w:t xml:space="preserve"> </w:t>
      </w:r>
      <w:r w:rsidR="00BC66B6">
        <w:t>(AFIA)</w:t>
      </w:r>
      <w:r w:rsidR="00784C92">
        <w:rPr>
          <w:rFonts w:asciiTheme="minorHAnsi" w:hAnsiTheme="minorHAnsi"/>
        </w:rPr>
        <w:t xml:space="preserve"> stated</w:t>
      </w:r>
      <w:r w:rsidR="00880115">
        <w:rPr>
          <w:rFonts w:asciiTheme="minorHAnsi" w:hAnsiTheme="minorHAnsi"/>
        </w:rPr>
        <w:t>:</w:t>
      </w:r>
    </w:p>
    <w:p w14:paraId="451A266A" w14:textId="0EA2A764" w:rsidR="000C1E11" w:rsidRPr="00E334CF" w:rsidRDefault="0004708F" w:rsidP="00B27AF9">
      <w:pPr>
        <w:ind w:left="340"/>
        <w:rPr>
          <w:b/>
        </w:rPr>
      </w:pPr>
      <w:r w:rsidRPr="00E334CF">
        <w:t>A</w:t>
      </w:r>
      <w:r w:rsidR="00880115" w:rsidRPr="00E334CF">
        <w:t>n up-to-date view of a potential borrower</w:t>
      </w:r>
      <w:r w:rsidR="00B13392" w:rsidRPr="00E334CF">
        <w:t>’</w:t>
      </w:r>
      <w:r w:rsidR="00880115" w:rsidRPr="00E334CF">
        <w:t xml:space="preserve">s financial data would allow lenders the opportunity to make accurate, tailored </w:t>
      </w:r>
      <w:r w:rsidR="00D15209" w:rsidRPr="00E334CF">
        <w:t>decisions</w:t>
      </w:r>
      <w:r w:rsidR="00880115" w:rsidRPr="00E334CF">
        <w:t xml:space="preserve"> about a borrower’s suitability for a loan</w:t>
      </w:r>
      <w:r w:rsidRPr="00E334CF">
        <w:t xml:space="preserve">. </w:t>
      </w:r>
      <w:r w:rsidR="00BC66B6">
        <w:t>It</w:t>
      </w:r>
      <w:r w:rsidRPr="00E334CF">
        <w:t xml:space="preserve"> would mitigate against the negative impact of the traditional credit reporting regime on young consumers’ access to finance. It would allow them to demonstrate their financial suitability for credit despite lacking the opportunity to build credit history.</w:t>
      </w:r>
      <w:r w:rsidRPr="00E334CF">
        <w:rPr>
          <w:vertAlign w:val="superscript"/>
        </w:rPr>
        <w:footnoteReference w:id="24"/>
      </w:r>
      <w:r w:rsidRPr="00E334CF">
        <w:rPr>
          <w:vertAlign w:val="superscript"/>
        </w:rPr>
        <w:t xml:space="preserve"> </w:t>
      </w:r>
      <w:bookmarkEnd w:id="22"/>
    </w:p>
    <w:p w14:paraId="078FD876" w14:textId="3FC3A503" w:rsidR="00861FF6" w:rsidRPr="00861FF6" w:rsidRDefault="00BB2C82" w:rsidP="00C74B91">
      <w:pPr>
        <w:pStyle w:val="Heading4"/>
      </w:pPr>
      <w:bookmarkStart w:id="24" w:name="_Hlk103604179"/>
      <w:r>
        <w:t xml:space="preserve">Spurring innovation, </w:t>
      </w:r>
      <w:r w:rsidR="00BC66B6">
        <w:t>i</w:t>
      </w:r>
      <w:r w:rsidR="00D5694E">
        <w:t xml:space="preserve">mproving financial </w:t>
      </w:r>
      <w:r w:rsidR="00ED73C4">
        <w:t>planning and capability</w:t>
      </w:r>
      <w:r w:rsidR="00D5694E">
        <w:t xml:space="preserve"> </w:t>
      </w:r>
    </w:p>
    <w:p w14:paraId="18B609B9" w14:textId="589E1540" w:rsidR="00FA5D05" w:rsidRDefault="00FA5D05" w:rsidP="00BA0D25">
      <w:pPr>
        <w:pStyle w:val="Bullet"/>
        <w:numPr>
          <w:ilvl w:val="0"/>
          <w:numId w:val="0"/>
        </w:numPr>
        <w:spacing w:before="200"/>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The CDR ecosystem continues to grow, with new ADRs </w:t>
      </w:r>
      <w:r w:rsidR="00347D1B">
        <w:rPr>
          <w:rFonts w:asciiTheme="minorHAnsi" w:eastAsiaTheme="minorHAnsi" w:hAnsiTheme="minorHAnsi" w:cstheme="minorBidi"/>
          <w:color w:val="auto"/>
          <w:sz w:val="22"/>
          <w:szCs w:val="22"/>
        </w:rPr>
        <w:t xml:space="preserve">entering the system </w:t>
      </w:r>
      <w:r w:rsidR="00984F84">
        <w:rPr>
          <w:rFonts w:asciiTheme="minorHAnsi" w:eastAsiaTheme="minorHAnsi" w:hAnsiTheme="minorHAnsi" w:cstheme="minorBidi"/>
          <w:color w:val="auto"/>
          <w:sz w:val="22"/>
          <w:szCs w:val="22"/>
        </w:rPr>
        <w:t xml:space="preserve">and </w:t>
      </w:r>
      <w:r w:rsidR="00347D1B">
        <w:rPr>
          <w:rFonts w:asciiTheme="minorHAnsi" w:eastAsiaTheme="minorHAnsi" w:hAnsiTheme="minorHAnsi" w:cstheme="minorBidi"/>
          <w:color w:val="auto"/>
          <w:sz w:val="22"/>
          <w:szCs w:val="22"/>
        </w:rPr>
        <w:t xml:space="preserve">existing ADRs </w:t>
      </w:r>
      <w:r>
        <w:rPr>
          <w:rFonts w:asciiTheme="minorHAnsi" w:eastAsiaTheme="minorHAnsi" w:hAnsiTheme="minorHAnsi" w:cstheme="minorBidi"/>
          <w:color w:val="auto"/>
          <w:sz w:val="22"/>
          <w:szCs w:val="22"/>
        </w:rPr>
        <w:t xml:space="preserve">offering </w:t>
      </w:r>
      <w:r w:rsidR="002E6CFE">
        <w:rPr>
          <w:rFonts w:asciiTheme="minorHAnsi" w:eastAsiaTheme="minorHAnsi" w:hAnsiTheme="minorHAnsi" w:cstheme="minorBidi"/>
          <w:color w:val="auto"/>
          <w:sz w:val="22"/>
          <w:szCs w:val="22"/>
        </w:rPr>
        <w:t xml:space="preserve">innovative </w:t>
      </w:r>
      <w:r>
        <w:rPr>
          <w:rFonts w:asciiTheme="minorHAnsi" w:eastAsiaTheme="minorHAnsi" w:hAnsiTheme="minorHAnsi" w:cstheme="minorBidi"/>
          <w:color w:val="auto"/>
          <w:sz w:val="22"/>
          <w:szCs w:val="22"/>
        </w:rPr>
        <w:t xml:space="preserve">new services </w:t>
      </w:r>
      <w:r w:rsidR="002E6CFE">
        <w:rPr>
          <w:rFonts w:asciiTheme="minorHAnsi" w:eastAsiaTheme="minorHAnsi" w:hAnsiTheme="minorHAnsi" w:cstheme="minorBidi"/>
          <w:color w:val="auto"/>
          <w:sz w:val="22"/>
          <w:szCs w:val="22"/>
        </w:rPr>
        <w:t xml:space="preserve">to more participants under recently </w:t>
      </w:r>
      <w:r w:rsidR="003B7022">
        <w:rPr>
          <w:rFonts w:asciiTheme="minorHAnsi" w:eastAsiaTheme="minorHAnsi" w:hAnsiTheme="minorHAnsi" w:cstheme="minorBidi"/>
          <w:color w:val="auto"/>
          <w:sz w:val="22"/>
          <w:szCs w:val="22"/>
        </w:rPr>
        <w:t>introduced</w:t>
      </w:r>
      <w:r w:rsidR="002E6CFE">
        <w:rPr>
          <w:rFonts w:asciiTheme="minorHAnsi" w:eastAsiaTheme="minorHAnsi" w:hAnsiTheme="minorHAnsi" w:cstheme="minorBidi"/>
          <w:color w:val="auto"/>
          <w:sz w:val="22"/>
          <w:szCs w:val="22"/>
        </w:rPr>
        <w:t xml:space="preserve"> </w:t>
      </w:r>
      <w:r w:rsidR="00305591">
        <w:rPr>
          <w:rFonts w:asciiTheme="minorHAnsi" w:eastAsiaTheme="minorHAnsi" w:hAnsiTheme="minorHAnsi" w:cstheme="minorBidi"/>
          <w:color w:val="auto"/>
          <w:sz w:val="22"/>
          <w:szCs w:val="22"/>
        </w:rPr>
        <w:t xml:space="preserve">data </w:t>
      </w:r>
      <w:r w:rsidR="002E6CFE">
        <w:rPr>
          <w:rFonts w:asciiTheme="minorHAnsi" w:eastAsiaTheme="minorHAnsi" w:hAnsiTheme="minorHAnsi" w:cstheme="minorBidi"/>
          <w:color w:val="auto"/>
          <w:sz w:val="22"/>
          <w:szCs w:val="22"/>
        </w:rPr>
        <w:lastRenderedPageBreak/>
        <w:t>access models.</w:t>
      </w:r>
      <w:r w:rsidR="00305591">
        <w:rPr>
          <w:rStyle w:val="FootnoteReference"/>
          <w:rFonts w:asciiTheme="minorHAnsi" w:eastAsiaTheme="minorHAnsi" w:hAnsiTheme="minorHAnsi" w:cstheme="minorBidi"/>
          <w:color w:val="auto"/>
          <w:sz w:val="22"/>
          <w:szCs w:val="22"/>
        </w:rPr>
        <w:footnoteReference w:id="25"/>
      </w:r>
      <w:r w:rsidR="002E6CFE">
        <w:rPr>
          <w:rFonts w:asciiTheme="minorHAnsi" w:eastAsiaTheme="minorHAnsi" w:hAnsiTheme="minorHAnsi" w:cstheme="minorBidi"/>
          <w:color w:val="auto"/>
          <w:sz w:val="22"/>
          <w:szCs w:val="22"/>
        </w:rPr>
        <w:t xml:space="preserve"> These innovations are leveraging </w:t>
      </w:r>
      <w:r>
        <w:rPr>
          <w:rFonts w:asciiTheme="minorHAnsi" w:eastAsiaTheme="minorHAnsi" w:hAnsiTheme="minorHAnsi" w:cstheme="minorBidi"/>
          <w:color w:val="auto"/>
          <w:sz w:val="22"/>
          <w:szCs w:val="22"/>
        </w:rPr>
        <w:t>existing data and new data</w:t>
      </w:r>
      <w:r w:rsidR="00984F84">
        <w:rPr>
          <w:rFonts w:asciiTheme="minorHAnsi" w:eastAsiaTheme="minorHAnsi" w:hAnsiTheme="minorHAnsi" w:cstheme="minorBidi"/>
          <w:color w:val="auto"/>
          <w:sz w:val="22"/>
          <w:szCs w:val="22"/>
        </w:rPr>
        <w:t>sets</w:t>
      </w:r>
      <w:r>
        <w:rPr>
          <w:rFonts w:asciiTheme="minorHAnsi" w:eastAsiaTheme="minorHAnsi" w:hAnsiTheme="minorHAnsi" w:cstheme="minorBidi"/>
          <w:color w:val="auto"/>
          <w:sz w:val="22"/>
          <w:szCs w:val="22"/>
        </w:rPr>
        <w:t xml:space="preserve"> that </w:t>
      </w:r>
      <w:r w:rsidR="00984F84">
        <w:rPr>
          <w:rFonts w:asciiTheme="minorHAnsi" w:eastAsiaTheme="minorHAnsi" w:hAnsiTheme="minorHAnsi" w:cstheme="minorBidi"/>
          <w:color w:val="auto"/>
          <w:sz w:val="22"/>
          <w:szCs w:val="22"/>
        </w:rPr>
        <w:t>are</w:t>
      </w:r>
      <w:r w:rsidR="002E6CFE">
        <w:rPr>
          <w:rFonts w:asciiTheme="minorHAnsi" w:eastAsiaTheme="minorHAnsi" w:hAnsiTheme="minorHAnsi" w:cstheme="minorBidi"/>
          <w:color w:val="auto"/>
          <w:sz w:val="22"/>
          <w:szCs w:val="22"/>
        </w:rPr>
        <w:t xml:space="preserve"> planned for rollout under the CDR framework</w:t>
      </w:r>
      <w:r>
        <w:rPr>
          <w:rFonts w:asciiTheme="minorHAnsi" w:eastAsiaTheme="minorHAnsi" w:hAnsiTheme="minorHAnsi" w:cstheme="minorBidi"/>
          <w:color w:val="auto"/>
          <w:sz w:val="22"/>
          <w:szCs w:val="22"/>
        </w:rPr>
        <w:t>.</w:t>
      </w:r>
      <w:r w:rsidR="003B7022">
        <w:rPr>
          <w:rFonts w:asciiTheme="minorHAnsi" w:eastAsiaTheme="minorHAnsi" w:hAnsiTheme="minorHAnsi" w:cstheme="minorBidi"/>
          <w:color w:val="auto"/>
          <w:sz w:val="22"/>
          <w:szCs w:val="22"/>
        </w:rPr>
        <w:t xml:space="preserve"> CDR growth is facilitating new business models, with more data holders choosing to become ADRs and some expanding into new sectors in anticipation of their inclusion in the CDR framework. </w:t>
      </w:r>
    </w:p>
    <w:p w14:paraId="3128DC14" w14:textId="47F0F657" w:rsidR="001D6B78" w:rsidRDefault="000577C4" w:rsidP="001D6B78">
      <w:pPr>
        <w:pStyle w:val="Bulle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Access to non-bank lending data combined with data already being shared by banks could </w:t>
      </w:r>
      <w:r w:rsidR="00F309C6">
        <w:rPr>
          <w:rFonts w:asciiTheme="minorHAnsi" w:eastAsiaTheme="minorHAnsi" w:hAnsiTheme="minorHAnsi" w:cstheme="minorBidi"/>
          <w:color w:val="auto"/>
          <w:sz w:val="22"/>
          <w:szCs w:val="22"/>
        </w:rPr>
        <w:t>support</w:t>
      </w:r>
      <w:r>
        <w:rPr>
          <w:rFonts w:asciiTheme="minorHAnsi" w:eastAsiaTheme="minorHAnsi" w:hAnsiTheme="minorHAnsi" w:cstheme="minorBidi"/>
          <w:color w:val="auto"/>
          <w:sz w:val="22"/>
          <w:szCs w:val="22"/>
        </w:rPr>
        <w:t xml:space="preserve"> A</w:t>
      </w:r>
      <w:r w:rsidR="00C01235">
        <w:rPr>
          <w:rFonts w:asciiTheme="minorHAnsi" w:eastAsiaTheme="minorHAnsi" w:hAnsiTheme="minorHAnsi" w:cstheme="minorBidi"/>
          <w:color w:val="auto"/>
          <w:sz w:val="22"/>
          <w:szCs w:val="22"/>
        </w:rPr>
        <w:t>D</w:t>
      </w:r>
      <w:r>
        <w:rPr>
          <w:rFonts w:asciiTheme="minorHAnsi" w:eastAsiaTheme="minorHAnsi" w:hAnsiTheme="minorHAnsi" w:cstheme="minorBidi"/>
          <w:color w:val="auto"/>
          <w:sz w:val="22"/>
          <w:szCs w:val="22"/>
        </w:rPr>
        <w:t>R</w:t>
      </w:r>
      <w:r w:rsidR="001D6B78">
        <w:rPr>
          <w:rFonts w:asciiTheme="minorHAnsi" w:eastAsiaTheme="minorHAnsi" w:hAnsiTheme="minorHAnsi" w:cstheme="minorBidi"/>
          <w:color w:val="auto"/>
          <w:sz w:val="22"/>
          <w:szCs w:val="22"/>
        </w:rPr>
        <w:t>s</w:t>
      </w:r>
      <w:r>
        <w:rPr>
          <w:rFonts w:asciiTheme="minorHAnsi" w:eastAsiaTheme="minorHAnsi" w:hAnsiTheme="minorHAnsi" w:cstheme="minorBidi"/>
          <w:color w:val="auto"/>
          <w:sz w:val="22"/>
          <w:szCs w:val="22"/>
        </w:rPr>
        <w:t xml:space="preserve"> to provide a more complete view of consumers’ liabilities, borrowing and spending behaviour, </w:t>
      </w:r>
      <w:r w:rsidR="00263EA5">
        <w:rPr>
          <w:rFonts w:asciiTheme="minorHAnsi" w:eastAsiaTheme="minorHAnsi" w:hAnsiTheme="minorHAnsi" w:cstheme="minorBidi"/>
          <w:color w:val="auto"/>
          <w:sz w:val="22"/>
          <w:szCs w:val="22"/>
        </w:rPr>
        <w:t xml:space="preserve">which can assist consumers to make more financially capable decisions and </w:t>
      </w:r>
      <w:r w:rsidR="00BC66B6">
        <w:rPr>
          <w:rFonts w:asciiTheme="minorHAnsi" w:eastAsiaTheme="minorHAnsi" w:hAnsiTheme="minorHAnsi" w:cstheme="minorBidi"/>
          <w:color w:val="auto"/>
          <w:sz w:val="22"/>
          <w:szCs w:val="22"/>
        </w:rPr>
        <w:t>enable</w:t>
      </w:r>
      <w:r>
        <w:rPr>
          <w:rFonts w:asciiTheme="minorHAnsi" w:eastAsiaTheme="minorHAnsi" w:hAnsiTheme="minorHAnsi" w:cstheme="minorBidi"/>
          <w:color w:val="auto"/>
          <w:sz w:val="22"/>
          <w:szCs w:val="22"/>
        </w:rPr>
        <w:t xml:space="preserve"> further innovation.</w:t>
      </w:r>
      <w:r>
        <w:rPr>
          <w:rStyle w:val="FootnoteReference"/>
          <w:rFonts w:asciiTheme="minorHAnsi" w:eastAsiaTheme="minorHAnsi" w:hAnsiTheme="minorHAnsi" w:cstheme="minorBidi"/>
          <w:color w:val="auto"/>
          <w:sz w:val="22"/>
          <w:szCs w:val="22"/>
        </w:rPr>
        <w:footnoteReference w:id="26"/>
      </w:r>
      <w:r w:rsidR="00263EA5">
        <w:rPr>
          <w:rFonts w:asciiTheme="minorHAnsi" w:eastAsiaTheme="minorHAnsi" w:hAnsiTheme="minorHAnsi" w:cstheme="minorBidi"/>
          <w:color w:val="auto"/>
          <w:sz w:val="22"/>
          <w:szCs w:val="22"/>
        </w:rPr>
        <w:t xml:space="preserve"> </w:t>
      </w:r>
      <w:r w:rsidR="001D6B78">
        <w:rPr>
          <w:rFonts w:asciiTheme="minorHAnsi" w:eastAsiaTheme="minorHAnsi" w:hAnsiTheme="minorHAnsi" w:cstheme="minorBidi"/>
          <w:color w:val="auto"/>
          <w:sz w:val="22"/>
          <w:szCs w:val="22"/>
        </w:rPr>
        <w:t xml:space="preserve">Block </w:t>
      </w:r>
      <w:r w:rsidR="00BC66B6">
        <w:rPr>
          <w:rFonts w:asciiTheme="minorHAnsi" w:eastAsiaTheme="minorHAnsi" w:hAnsiTheme="minorHAnsi" w:cstheme="minorBidi"/>
          <w:color w:val="auto"/>
          <w:sz w:val="22"/>
          <w:szCs w:val="22"/>
        </w:rPr>
        <w:t>stated</w:t>
      </w:r>
      <w:r w:rsidR="001D6B78">
        <w:rPr>
          <w:rFonts w:asciiTheme="minorHAnsi" w:eastAsiaTheme="minorHAnsi" w:hAnsiTheme="minorHAnsi" w:cstheme="minorBidi"/>
          <w:color w:val="auto"/>
          <w:sz w:val="22"/>
          <w:szCs w:val="22"/>
        </w:rPr>
        <w:t>:</w:t>
      </w:r>
    </w:p>
    <w:p w14:paraId="223E787E" w14:textId="24F7D948" w:rsidR="00B15366" w:rsidRDefault="001D6B78" w:rsidP="00E441C2">
      <w:pPr>
        <w:spacing w:before="240"/>
        <w:ind w:left="340"/>
      </w:pPr>
      <w:r w:rsidRPr="001D6B78">
        <w:rPr>
          <w:rFonts w:asciiTheme="minorHAnsi" w:hAnsiTheme="minorHAnsi"/>
        </w:rPr>
        <w:t>Pooling financial information from multiple sources gives consumers - and accredited third parties - an enhanced understanding of individual financial circumstances in more detail – helping provide tailored solutions to empower consumers to take control of managing their money, such as by supporting better budgeting and financial literacy</w:t>
      </w:r>
      <w:r>
        <w:t>.</w:t>
      </w:r>
      <w:r>
        <w:rPr>
          <w:rStyle w:val="FootnoteReference"/>
        </w:rPr>
        <w:footnoteReference w:id="27"/>
      </w:r>
    </w:p>
    <w:p w14:paraId="195E681D" w14:textId="77777777" w:rsidR="00C838E6" w:rsidRPr="00E441C2" w:rsidRDefault="00C838E6" w:rsidP="00E441C2">
      <w:pPr>
        <w:spacing w:before="0"/>
        <w:ind w:left="340"/>
      </w:pPr>
    </w:p>
    <w:p w14:paraId="6B59BEAA" w14:textId="4BE1DB4F" w:rsidR="00060C84" w:rsidRDefault="005D07F2" w:rsidP="00F5422A">
      <w:pPr>
        <w:pStyle w:val="Bulle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As more sectors are designated </w:t>
      </w:r>
      <w:r w:rsidR="00A63360">
        <w:rPr>
          <w:rFonts w:asciiTheme="minorHAnsi" w:eastAsiaTheme="minorHAnsi" w:hAnsiTheme="minorHAnsi" w:cstheme="minorBidi"/>
          <w:color w:val="auto"/>
          <w:sz w:val="22"/>
          <w:szCs w:val="22"/>
        </w:rPr>
        <w:t>under</w:t>
      </w:r>
      <w:r>
        <w:rPr>
          <w:rFonts w:asciiTheme="minorHAnsi" w:eastAsiaTheme="minorHAnsi" w:hAnsiTheme="minorHAnsi" w:cstheme="minorBidi"/>
          <w:color w:val="auto"/>
          <w:sz w:val="22"/>
          <w:szCs w:val="22"/>
        </w:rPr>
        <w:t xml:space="preserve"> the CDR,</w:t>
      </w:r>
      <w:r w:rsidR="00E159B1">
        <w:rPr>
          <w:rFonts w:asciiTheme="minorHAnsi" w:eastAsiaTheme="minorHAnsi" w:hAnsiTheme="minorHAnsi" w:cstheme="minorBidi"/>
          <w:color w:val="auto"/>
          <w:sz w:val="22"/>
          <w:szCs w:val="22"/>
        </w:rPr>
        <w:t xml:space="preserve"> </w:t>
      </w:r>
      <w:r w:rsidR="00EB3F17">
        <w:rPr>
          <w:rFonts w:asciiTheme="minorHAnsi" w:eastAsiaTheme="minorHAnsi" w:hAnsiTheme="minorHAnsi" w:cstheme="minorBidi"/>
          <w:color w:val="auto"/>
          <w:sz w:val="22"/>
          <w:szCs w:val="22"/>
        </w:rPr>
        <w:t>the availability of cross</w:t>
      </w:r>
      <w:r w:rsidR="007D16D0">
        <w:rPr>
          <w:rFonts w:asciiTheme="minorHAnsi" w:eastAsiaTheme="minorHAnsi" w:hAnsiTheme="minorHAnsi" w:cstheme="minorBidi"/>
          <w:color w:val="auto"/>
          <w:sz w:val="22"/>
          <w:szCs w:val="22"/>
        </w:rPr>
        <w:t>-</w:t>
      </w:r>
      <w:r w:rsidR="00EB3F17">
        <w:rPr>
          <w:rFonts w:asciiTheme="minorHAnsi" w:eastAsiaTheme="minorHAnsi" w:hAnsiTheme="minorHAnsi" w:cstheme="minorBidi"/>
          <w:color w:val="auto"/>
          <w:sz w:val="22"/>
          <w:szCs w:val="22"/>
        </w:rPr>
        <w:t>sector data</w:t>
      </w:r>
      <w:r>
        <w:rPr>
          <w:rFonts w:asciiTheme="minorHAnsi" w:eastAsiaTheme="minorHAnsi" w:hAnsiTheme="minorHAnsi" w:cstheme="minorBidi"/>
          <w:color w:val="auto"/>
          <w:sz w:val="22"/>
          <w:szCs w:val="22"/>
        </w:rPr>
        <w:t xml:space="preserve"> </w:t>
      </w:r>
      <w:r w:rsidR="007D5B7A">
        <w:rPr>
          <w:rFonts w:asciiTheme="minorHAnsi" w:eastAsiaTheme="minorHAnsi" w:hAnsiTheme="minorHAnsi" w:cstheme="minorBidi"/>
          <w:color w:val="auto"/>
          <w:sz w:val="22"/>
          <w:szCs w:val="22"/>
        </w:rPr>
        <w:t>can encourage innovation in financial technology</w:t>
      </w:r>
      <w:r w:rsidR="00ED4D4A">
        <w:rPr>
          <w:rFonts w:asciiTheme="minorHAnsi" w:eastAsiaTheme="minorHAnsi" w:hAnsiTheme="minorHAnsi" w:cstheme="minorBidi"/>
          <w:color w:val="auto"/>
          <w:sz w:val="22"/>
          <w:szCs w:val="22"/>
        </w:rPr>
        <w:t>,</w:t>
      </w:r>
      <w:r w:rsidR="001D6B78">
        <w:rPr>
          <w:rFonts w:asciiTheme="minorHAnsi" w:eastAsiaTheme="minorHAnsi" w:hAnsiTheme="minorHAnsi" w:cstheme="minorBidi"/>
          <w:color w:val="auto"/>
          <w:sz w:val="22"/>
          <w:szCs w:val="22"/>
        </w:rPr>
        <w:t xml:space="preserve"> </w:t>
      </w:r>
      <w:r w:rsidR="007D5B7A">
        <w:rPr>
          <w:rFonts w:asciiTheme="minorHAnsi" w:eastAsiaTheme="minorHAnsi" w:hAnsiTheme="minorHAnsi" w:cstheme="minorBidi"/>
          <w:color w:val="auto"/>
          <w:sz w:val="22"/>
          <w:szCs w:val="22"/>
        </w:rPr>
        <w:t>which can help consumers plan for their future, prepare for life events and understand their finances.</w:t>
      </w:r>
      <w:r w:rsidR="007D5B7A">
        <w:rPr>
          <w:rStyle w:val="FootnoteReference"/>
          <w:rFonts w:asciiTheme="minorHAnsi" w:eastAsiaTheme="minorHAnsi" w:hAnsiTheme="minorHAnsi" w:cstheme="minorBidi"/>
          <w:color w:val="auto"/>
          <w:sz w:val="22"/>
          <w:szCs w:val="22"/>
        </w:rPr>
        <w:footnoteReference w:id="28"/>
      </w:r>
      <w:r w:rsidR="00113F15">
        <w:rPr>
          <w:rFonts w:asciiTheme="minorHAnsi" w:eastAsiaTheme="minorHAnsi" w:hAnsiTheme="minorHAnsi" w:cstheme="minorBidi"/>
          <w:color w:val="auto"/>
          <w:sz w:val="22"/>
          <w:szCs w:val="22"/>
        </w:rPr>
        <w:t xml:space="preserve"> For example, the CDR will support budgeting </w:t>
      </w:r>
      <w:r w:rsidR="004B21BB">
        <w:rPr>
          <w:rFonts w:asciiTheme="minorHAnsi" w:eastAsiaTheme="minorHAnsi" w:hAnsiTheme="minorHAnsi" w:cstheme="minorBidi"/>
          <w:color w:val="auto"/>
          <w:sz w:val="22"/>
          <w:szCs w:val="22"/>
        </w:rPr>
        <w:t>and personal finance</w:t>
      </w:r>
      <w:r w:rsidR="00113F15">
        <w:rPr>
          <w:rFonts w:asciiTheme="minorHAnsi" w:eastAsiaTheme="minorHAnsi" w:hAnsiTheme="minorHAnsi" w:cstheme="minorBidi"/>
          <w:color w:val="auto"/>
          <w:sz w:val="22"/>
          <w:szCs w:val="22"/>
        </w:rPr>
        <w:t xml:space="preserve"> tools that allow consumers to</w:t>
      </w:r>
      <w:r w:rsidR="00921022">
        <w:rPr>
          <w:rFonts w:asciiTheme="minorHAnsi" w:eastAsiaTheme="minorHAnsi" w:hAnsiTheme="minorHAnsi" w:cstheme="minorBidi"/>
          <w:color w:val="auto"/>
          <w:sz w:val="22"/>
          <w:szCs w:val="22"/>
        </w:rPr>
        <w:t xml:space="preserve"> bring together information about </w:t>
      </w:r>
      <w:r>
        <w:rPr>
          <w:rFonts w:asciiTheme="minorHAnsi" w:eastAsiaTheme="minorHAnsi" w:hAnsiTheme="minorHAnsi" w:cstheme="minorBidi"/>
          <w:color w:val="auto"/>
          <w:sz w:val="22"/>
          <w:szCs w:val="22"/>
        </w:rPr>
        <w:t xml:space="preserve">the </w:t>
      </w:r>
      <w:r w:rsidR="00921022">
        <w:rPr>
          <w:rFonts w:asciiTheme="minorHAnsi" w:eastAsiaTheme="minorHAnsi" w:hAnsiTheme="minorHAnsi" w:cstheme="minorBidi"/>
          <w:color w:val="auto"/>
          <w:sz w:val="22"/>
          <w:szCs w:val="22"/>
        </w:rPr>
        <w:t>energy, telecommunications and financial prod</w:t>
      </w:r>
      <w:r>
        <w:rPr>
          <w:rFonts w:asciiTheme="minorHAnsi" w:eastAsiaTheme="minorHAnsi" w:hAnsiTheme="minorHAnsi" w:cstheme="minorBidi"/>
          <w:color w:val="auto"/>
          <w:sz w:val="22"/>
          <w:szCs w:val="22"/>
        </w:rPr>
        <w:t xml:space="preserve">ucts </w:t>
      </w:r>
      <w:r w:rsidR="0017726F">
        <w:rPr>
          <w:rFonts w:asciiTheme="minorHAnsi" w:eastAsiaTheme="minorHAnsi" w:hAnsiTheme="minorHAnsi" w:cstheme="minorBidi"/>
          <w:color w:val="auto"/>
          <w:sz w:val="22"/>
          <w:szCs w:val="22"/>
        </w:rPr>
        <w:t xml:space="preserve">they </w:t>
      </w:r>
      <w:r>
        <w:rPr>
          <w:rFonts w:asciiTheme="minorHAnsi" w:eastAsiaTheme="minorHAnsi" w:hAnsiTheme="minorHAnsi" w:cstheme="minorBidi"/>
          <w:color w:val="auto"/>
          <w:sz w:val="22"/>
          <w:szCs w:val="22"/>
        </w:rPr>
        <w:t>hold with different providers, providing consumers with</w:t>
      </w:r>
      <w:r w:rsidR="00113F15">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a</w:t>
      </w:r>
      <w:r w:rsidR="00113F15">
        <w:rPr>
          <w:rFonts w:asciiTheme="minorHAnsi" w:eastAsiaTheme="minorHAnsi" w:hAnsiTheme="minorHAnsi" w:cstheme="minorBidi"/>
          <w:color w:val="auto"/>
          <w:sz w:val="22"/>
          <w:szCs w:val="22"/>
        </w:rPr>
        <w:t xml:space="preserve"> comprehensive picture of their day</w:t>
      </w:r>
      <w:r w:rsidR="00FB2882">
        <w:rPr>
          <w:rFonts w:asciiTheme="minorHAnsi" w:eastAsiaTheme="minorHAnsi" w:hAnsiTheme="minorHAnsi" w:cstheme="minorBidi"/>
          <w:color w:val="auto"/>
          <w:sz w:val="22"/>
          <w:szCs w:val="22"/>
        </w:rPr>
        <w:noBreakHyphen/>
      </w:r>
      <w:r w:rsidR="00113F15">
        <w:rPr>
          <w:rFonts w:asciiTheme="minorHAnsi" w:eastAsiaTheme="minorHAnsi" w:hAnsiTheme="minorHAnsi" w:cstheme="minorBidi"/>
          <w:color w:val="auto"/>
          <w:sz w:val="22"/>
          <w:szCs w:val="22"/>
        </w:rPr>
        <w:t>to</w:t>
      </w:r>
      <w:r w:rsidR="00FB2882">
        <w:rPr>
          <w:rFonts w:asciiTheme="minorHAnsi" w:eastAsiaTheme="minorHAnsi" w:hAnsiTheme="minorHAnsi" w:cstheme="minorBidi"/>
          <w:color w:val="auto"/>
          <w:sz w:val="22"/>
          <w:szCs w:val="22"/>
        </w:rPr>
        <w:noBreakHyphen/>
      </w:r>
      <w:r w:rsidR="00113F15">
        <w:rPr>
          <w:rFonts w:asciiTheme="minorHAnsi" w:eastAsiaTheme="minorHAnsi" w:hAnsiTheme="minorHAnsi" w:cstheme="minorBidi"/>
          <w:color w:val="auto"/>
          <w:sz w:val="22"/>
          <w:szCs w:val="22"/>
        </w:rPr>
        <w:t xml:space="preserve">day finances and </w:t>
      </w:r>
      <w:r>
        <w:rPr>
          <w:rFonts w:asciiTheme="minorHAnsi" w:eastAsiaTheme="minorHAnsi" w:hAnsiTheme="minorHAnsi" w:cstheme="minorBidi"/>
          <w:color w:val="auto"/>
          <w:sz w:val="22"/>
          <w:szCs w:val="22"/>
        </w:rPr>
        <w:t>enabling them to better manage their household services.</w:t>
      </w:r>
      <w:r w:rsidR="00B15366">
        <w:rPr>
          <w:rStyle w:val="FootnoteReference"/>
          <w:rFonts w:asciiTheme="minorHAnsi" w:eastAsiaTheme="minorHAnsi" w:hAnsiTheme="minorHAnsi" w:cstheme="minorBidi"/>
          <w:color w:val="auto"/>
          <w:sz w:val="22"/>
          <w:szCs w:val="22"/>
        </w:rPr>
        <w:footnoteReference w:id="29"/>
      </w:r>
      <w:r>
        <w:rPr>
          <w:rFonts w:asciiTheme="minorHAnsi" w:eastAsiaTheme="minorHAnsi" w:hAnsiTheme="minorHAnsi" w:cstheme="minorBidi"/>
          <w:color w:val="auto"/>
          <w:sz w:val="22"/>
          <w:szCs w:val="22"/>
        </w:rPr>
        <w:t xml:space="preserve"> </w:t>
      </w:r>
      <w:r w:rsidR="00AB5944">
        <w:rPr>
          <w:rFonts w:asciiTheme="minorHAnsi" w:eastAsiaTheme="minorHAnsi" w:hAnsiTheme="minorHAnsi" w:cstheme="minorBidi"/>
          <w:color w:val="auto"/>
          <w:sz w:val="22"/>
          <w:szCs w:val="22"/>
        </w:rPr>
        <w:t xml:space="preserve">As the range of CDR datasets expands, the associated CDR data standards will continue to provide flexibility so that they don’t restrict the range of products available in a particular sector, just as Open Banking data standards have not prevented new products </w:t>
      </w:r>
      <w:r w:rsidR="00BC66B6">
        <w:rPr>
          <w:rFonts w:asciiTheme="minorHAnsi" w:eastAsiaTheme="minorHAnsi" w:hAnsiTheme="minorHAnsi" w:cstheme="minorBidi"/>
          <w:color w:val="auto"/>
          <w:sz w:val="22"/>
          <w:szCs w:val="22"/>
        </w:rPr>
        <w:t>development</w:t>
      </w:r>
      <w:r w:rsidR="00AB5944">
        <w:rPr>
          <w:rFonts w:asciiTheme="minorHAnsi" w:eastAsiaTheme="minorHAnsi" w:hAnsiTheme="minorHAnsi" w:cstheme="minorBidi"/>
          <w:color w:val="auto"/>
          <w:sz w:val="22"/>
          <w:szCs w:val="22"/>
        </w:rPr>
        <w:t xml:space="preserve"> in the financial services sector. </w:t>
      </w:r>
    </w:p>
    <w:p w14:paraId="353B4345" w14:textId="691BEAB7" w:rsidR="00D34D59" w:rsidRDefault="00D34D59" w:rsidP="00F5422A">
      <w:pPr>
        <w:pStyle w:val="Bulle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Allowing new datasets to be combined with existing datasets also </w:t>
      </w:r>
      <w:r w:rsidR="00BC66B6">
        <w:rPr>
          <w:rFonts w:asciiTheme="minorHAnsi" w:eastAsiaTheme="minorHAnsi" w:hAnsiTheme="minorHAnsi" w:cstheme="minorBidi"/>
          <w:color w:val="auto"/>
          <w:sz w:val="22"/>
          <w:szCs w:val="22"/>
        </w:rPr>
        <w:t>creates</w:t>
      </w:r>
      <w:r>
        <w:rPr>
          <w:rFonts w:asciiTheme="minorHAnsi" w:eastAsiaTheme="minorHAnsi" w:hAnsiTheme="minorHAnsi" w:cstheme="minorBidi"/>
          <w:color w:val="auto"/>
          <w:sz w:val="22"/>
          <w:szCs w:val="22"/>
        </w:rPr>
        <w:t xml:space="preserve"> opportunities for further innovation as network effects take shape</w:t>
      </w:r>
      <w:r w:rsidR="006E5626">
        <w:rPr>
          <w:rFonts w:asciiTheme="minorHAnsi" w:eastAsiaTheme="minorHAnsi" w:hAnsiTheme="minorHAnsi" w:cstheme="minorBidi"/>
          <w:color w:val="auto"/>
          <w:sz w:val="22"/>
          <w:szCs w:val="22"/>
        </w:rPr>
        <w:t>.</w:t>
      </w:r>
      <w:r>
        <w:rPr>
          <w:rFonts w:asciiTheme="minorHAnsi" w:eastAsiaTheme="minorHAnsi" w:hAnsiTheme="minorHAnsi" w:cstheme="minorBidi"/>
          <w:color w:val="auto"/>
          <w:sz w:val="22"/>
          <w:szCs w:val="22"/>
        </w:rPr>
        <w:t xml:space="preserve"> Brighte stated</w:t>
      </w:r>
      <w:r w:rsidR="00C423FA">
        <w:rPr>
          <w:rFonts w:asciiTheme="minorHAnsi" w:eastAsiaTheme="minorHAnsi" w:hAnsiTheme="minorHAnsi" w:cstheme="minorBidi"/>
          <w:color w:val="auto"/>
          <w:sz w:val="22"/>
          <w:szCs w:val="22"/>
        </w:rPr>
        <w:t xml:space="preserve"> that access to </w:t>
      </w:r>
      <w:r w:rsidR="00BC66B6">
        <w:rPr>
          <w:rFonts w:asciiTheme="minorHAnsi" w:eastAsiaTheme="minorHAnsi" w:hAnsiTheme="minorHAnsi" w:cstheme="minorBidi"/>
          <w:color w:val="auto"/>
          <w:sz w:val="22"/>
          <w:szCs w:val="22"/>
        </w:rPr>
        <w:t>BNPL</w:t>
      </w:r>
      <w:r w:rsidR="00C423FA">
        <w:rPr>
          <w:rFonts w:asciiTheme="minorHAnsi" w:eastAsiaTheme="minorHAnsi" w:hAnsiTheme="minorHAnsi" w:cstheme="minorBidi"/>
          <w:color w:val="auto"/>
          <w:sz w:val="22"/>
          <w:szCs w:val="22"/>
        </w:rPr>
        <w:t xml:space="preserve"> data would</w:t>
      </w:r>
      <w:r>
        <w:rPr>
          <w:rFonts w:asciiTheme="minorHAnsi" w:eastAsiaTheme="minorHAnsi" w:hAnsiTheme="minorHAnsi" w:cstheme="minorBidi"/>
          <w:color w:val="auto"/>
          <w:sz w:val="22"/>
          <w:szCs w:val="22"/>
        </w:rPr>
        <w:t>:</w:t>
      </w:r>
    </w:p>
    <w:p w14:paraId="4746D338" w14:textId="6E4DD072" w:rsidR="00D34D59" w:rsidRDefault="00C423FA" w:rsidP="00C423FA">
      <w:pPr>
        <w:pStyle w:val="Bullet"/>
        <w:numPr>
          <w:ilvl w:val="0"/>
          <w:numId w:val="0"/>
        </w:numPr>
        <w:ind w:left="614"/>
        <w:rPr>
          <w:rFonts w:asciiTheme="minorHAnsi" w:eastAsiaTheme="minorHAnsi" w:hAnsiTheme="minorHAnsi" w:cstheme="minorBidi"/>
          <w:color w:val="auto"/>
          <w:sz w:val="22"/>
          <w:szCs w:val="22"/>
        </w:rPr>
      </w:pPr>
      <w:r w:rsidRPr="00C423FA">
        <w:rPr>
          <w:rFonts w:asciiTheme="minorHAnsi" w:eastAsiaTheme="minorHAnsi" w:hAnsiTheme="minorHAnsi" w:cstheme="minorBidi"/>
          <w:color w:val="auto"/>
          <w:sz w:val="22"/>
          <w:szCs w:val="22"/>
        </w:rPr>
        <w:t>facilitate the innovation of use cases that give customers greater oversight over their finances, thus preventing them from overextending themselves. For instance, a BNPL account aggregation platform that allows customers to see all their BNPL accounts in one place. This will become even more beneficial once ‘write-access’ is</w:t>
      </w:r>
      <w:r>
        <w:rPr>
          <w:rFonts w:asciiTheme="minorHAnsi" w:eastAsiaTheme="minorHAnsi" w:hAnsiTheme="minorHAnsi" w:cstheme="minorBidi"/>
          <w:color w:val="auto"/>
          <w:sz w:val="22"/>
          <w:szCs w:val="22"/>
        </w:rPr>
        <w:t xml:space="preserve"> </w:t>
      </w:r>
      <w:r w:rsidRPr="00C423FA">
        <w:rPr>
          <w:rFonts w:asciiTheme="minorHAnsi" w:eastAsiaTheme="minorHAnsi" w:hAnsiTheme="minorHAnsi" w:cstheme="minorBidi"/>
          <w:color w:val="auto"/>
          <w:sz w:val="22"/>
          <w:szCs w:val="22"/>
        </w:rPr>
        <w:t>implemented and said account aggregation apps are able to initiate payments</w:t>
      </w:r>
      <w:r w:rsidR="00F93E27">
        <w:rPr>
          <w:rFonts w:asciiTheme="minorHAnsi" w:eastAsiaTheme="minorHAnsi" w:hAnsiTheme="minorHAnsi" w:cstheme="minorBidi"/>
          <w:color w:val="auto"/>
          <w:sz w:val="22"/>
          <w:szCs w:val="22"/>
        </w:rPr>
        <w:t>.</w:t>
      </w:r>
      <w:r w:rsidR="00D34D59">
        <w:rPr>
          <w:rStyle w:val="FootnoteReference"/>
          <w:rFonts w:asciiTheme="minorHAnsi" w:eastAsiaTheme="minorHAnsi" w:hAnsiTheme="minorHAnsi" w:cstheme="minorBidi"/>
          <w:color w:val="auto"/>
          <w:sz w:val="22"/>
          <w:szCs w:val="22"/>
        </w:rPr>
        <w:footnoteReference w:id="30"/>
      </w:r>
    </w:p>
    <w:bookmarkEnd w:id="24"/>
    <w:p w14:paraId="36E80628" w14:textId="0178A7DB" w:rsidR="00D5694E" w:rsidRDefault="00335554" w:rsidP="00F5422A">
      <w:pPr>
        <w:pStyle w:val="Bulle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 CDR can</w:t>
      </w:r>
      <w:r w:rsidR="00B15366">
        <w:rPr>
          <w:rFonts w:asciiTheme="minorHAnsi" w:eastAsiaTheme="minorHAnsi" w:hAnsiTheme="minorHAnsi" w:cstheme="minorBidi"/>
          <w:color w:val="auto"/>
          <w:sz w:val="22"/>
          <w:szCs w:val="22"/>
        </w:rPr>
        <w:t xml:space="preserve"> also</w:t>
      </w:r>
      <w:r>
        <w:rPr>
          <w:rFonts w:asciiTheme="minorHAnsi" w:eastAsiaTheme="minorHAnsi" w:hAnsiTheme="minorHAnsi" w:cstheme="minorBidi"/>
          <w:color w:val="auto"/>
          <w:sz w:val="22"/>
          <w:szCs w:val="22"/>
        </w:rPr>
        <w:t xml:space="preserve"> </w:t>
      </w:r>
      <w:r w:rsidR="0049246B">
        <w:rPr>
          <w:rFonts w:asciiTheme="minorHAnsi" w:eastAsiaTheme="minorHAnsi" w:hAnsiTheme="minorHAnsi" w:cstheme="minorBidi"/>
          <w:color w:val="auto"/>
          <w:sz w:val="22"/>
          <w:szCs w:val="22"/>
        </w:rPr>
        <w:t xml:space="preserve">facilitate consumers </w:t>
      </w:r>
      <w:r>
        <w:rPr>
          <w:rFonts w:asciiTheme="minorHAnsi" w:eastAsiaTheme="minorHAnsi" w:hAnsiTheme="minorHAnsi" w:cstheme="minorBidi"/>
          <w:color w:val="auto"/>
          <w:sz w:val="22"/>
          <w:szCs w:val="22"/>
        </w:rPr>
        <w:t xml:space="preserve">to share their </w:t>
      </w:r>
      <w:r w:rsidR="00146353">
        <w:rPr>
          <w:rFonts w:asciiTheme="minorHAnsi" w:eastAsiaTheme="minorHAnsi" w:hAnsiTheme="minorHAnsi" w:cstheme="minorBidi"/>
          <w:color w:val="auto"/>
          <w:sz w:val="22"/>
          <w:szCs w:val="22"/>
        </w:rPr>
        <w:t xml:space="preserve">financial </w:t>
      </w:r>
      <w:r>
        <w:rPr>
          <w:rFonts w:asciiTheme="minorHAnsi" w:eastAsiaTheme="minorHAnsi" w:hAnsiTheme="minorHAnsi" w:cstheme="minorBidi"/>
          <w:color w:val="auto"/>
          <w:sz w:val="22"/>
          <w:szCs w:val="22"/>
        </w:rPr>
        <w:t xml:space="preserve">data with trusted </w:t>
      </w:r>
      <w:r w:rsidR="00146353">
        <w:rPr>
          <w:rFonts w:asciiTheme="minorHAnsi" w:eastAsiaTheme="minorHAnsi" w:hAnsiTheme="minorHAnsi" w:cstheme="minorBidi"/>
          <w:color w:val="auto"/>
          <w:sz w:val="22"/>
          <w:szCs w:val="22"/>
        </w:rPr>
        <w:t>advisers</w:t>
      </w:r>
      <w:r w:rsidR="008A5136">
        <w:rPr>
          <w:rFonts w:asciiTheme="minorHAnsi" w:eastAsiaTheme="minorHAnsi" w:hAnsiTheme="minorHAnsi" w:cstheme="minorBidi"/>
          <w:color w:val="auto"/>
          <w:sz w:val="22"/>
          <w:szCs w:val="22"/>
        </w:rPr>
        <w:t>,</w:t>
      </w:r>
      <w:r w:rsidR="00146353">
        <w:rPr>
          <w:rFonts w:asciiTheme="minorHAnsi" w:eastAsiaTheme="minorHAnsi" w:hAnsiTheme="minorHAnsi" w:cstheme="minorBidi"/>
          <w:color w:val="auto"/>
          <w:sz w:val="22"/>
          <w:szCs w:val="22"/>
        </w:rPr>
        <w:t xml:space="preserve"> such a</w:t>
      </w:r>
      <w:r w:rsidR="00A5316F">
        <w:rPr>
          <w:rFonts w:asciiTheme="minorHAnsi" w:eastAsiaTheme="minorHAnsi" w:hAnsiTheme="minorHAnsi" w:cstheme="minorBidi"/>
          <w:color w:val="auto"/>
          <w:sz w:val="22"/>
          <w:szCs w:val="22"/>
        </w:rPr>
        <w:t>s</w:t>
      </w:r>
      <w:r w:rsidR="00146353">
        <w:rPr>
          <w:rFonts w:asciiTheme="minorHAnsi" w:eastAsiaTheme="minorHAnsi" w:hAnsiTheme="minorHAnsi" w:cstheme="minorBidi"/>
          <w:color w:val="auto"/>
          <w:sz w:val="22"/>
          <w:szCs w:val="22"/>
        </w:rPr>
        <w:t xml:space="preserve"> financial </w:t>
      </w:r>
      <w:r w:rsidR="00A5316F">
        <w:rPr>
          <w:rFonts w:asciiTheme="minorHAnsi" w:eastAsiaTheme="minorHAnsi" w:hAnsiTheme="minorHAnsi" w:cstheme="minorBidi"/>
          <w:color w:val="auto"/>
          <w:sz w:val="22"/>
          <w:szCs w:val="22"/>
        </w:rPr>
        <w:t>advisers</w:t>
      </w:r>
      <w:r w:rsidR="00146353">
        <w:rPr>
          <w:rFonts w:asciiTheme="minorHAnsi" w:eastAsiaTheme="minorHAnsi" w:hAnsiTheme="minorHAnsi" w:cstheme="minorBidi"/>
          <w:color w:val="auto"/>
          <w:sz w:val="22"/>
          <w:szCs w:val="22"/>
        </w:rPr>
        <w:t xml:space="preserve"> and financial counsellors</w:t>
      </w:r>
      <w:r w:rsidR="00BC66B6">
        <w:rPr>
          <w:rFonts w:asciiTheme="minorHAnsi" w:eastAsiaTheme="minorHAnsi" w:hAnsiTheme="minorHAnsi" w:cstheme="minorBidi"/>
          <w:color w:val="auto"/>
          <w:sz w:val="22"/>
          <w:szCs w:val="22"/>
        </w:rPr>
        <w:t>. This</w:t>
      </w:r>
      <w:r w:rsidR="004B21BB" w:rsidRPr="004B21BB">
        <w:rPr>
          <w:rFonts w:asciiTheme="minorHAnsi" w:eastAsiaTheme="minorHAnsi" w:hAnsiTheme="minorHAnsi" w:cstheme="minorBidi"/>
          <w:color w:val="auto"/>
          <w:sz w:val="22"/>
          <w:szCs w:val="22"/>
        </w:rPr>
        <w:t xml:space="preserve"> could</w:t>
      </w:r>
      <w:r w:rsidR="00A7700F">
        <w:rPr>
          <w:rFonts w:asciiTheme="minorHAnsi" w:eastAsiaTheme="minorHAnsi" w:hAnsiTheme="minorHAnsi" w:cstheme="minorBidi"/>
          <w:color w:val="auto"/>
          <w:sz w:val="22"/>
          <w:szCs w:val="22"/>
        </w:rPr>
        <w:t xml:space="preserve"> reduce the administrative burden of receiving informed financial advice</w:t>
      </w:r>
      <w:r w:rsidR="004B21BB" w:rsidRPr="004B21BB">
        <w:rPr>
          <w:rFonts w:asciiTheme="minorHAnsi" w:eastAsiaTheme="minorHAnsi" w:hAnsiTheme="minorHAnsi" w:cstheme="minorBidi"/>
          <w:color w:val="auto"/>
          <w:sz w:val="22"/>
          <w:szCs w:val="22"/>
        </w:rPr>
        <w:t xml:space="preserve"> and assist consumers to make more financially capable decisions</w:t>
      </w:r>
      <w:r w:rsidR="00A7700F">
        <w:rPr>
          <w:rFonts w:asciiTheme="minorHAnsi" w:eastAsiaTheme="minorHAnsi" w:hAnsiTheme="minorHAnsi" w:cstheme="minorBidi"/>
          <w:color w:val="auto"/>
          <w:sz w:val="22"/>
          <w:szCs w:val="22"/>
        </w:rPr>
        <w:t xml:space="preserve">. </w:t>
      </w:r>
      <w:r w:rsidR="004C09C4">
        <w:rPr>
          <w:rFonts w:asciiTheme="minorHAnsi" w:eastAsiaTheme="minorHAnsi" w:hAnsiTheme="minorHAnsi" w:cstheme="minorBidi"/>
          <w:color w:val="auto"/>
          <w:sz w:val="22"/>
          <w:szCs w:val="22"/>
        </w:rPr>
        <w:t>The Association of Financial Advisers</w:t>
      </w:r>
      <w:r w:rsidR="00D13ACB">
        <w:rPr>
          <w:rFonts w:asciiTheme="minorHAnsi" w:eastAsiaTheme="minorHAnsi" w:hAnsiTheme="minorHAnsi" w:cstheme="minorBidi"/>
          <w:color w:val="auto"/>
          <w:sz w:val="22"/>
          <w:szCs w:val="22"/>
        </w:rPr>
        <w:t xml:space="preserve"> (AFA)</w:t>
      </w:r>
      <w:r w:rsidR="004C09C4">
        <w:rPr>
          <w:rFonts w:asciiTheme="minorHAnsi" w:eastAsiaTheme="minorHAnsi" w:hAnsiTheme="minorHAnsi" w:cstheme="minorBidi"/>
          <w:color w:val="auto"/>
          <w:sz w:val="22"/>
          <w:szCs w:val="22"/>
        </w:rPr>
        <w:t xml:space="preserve"> </w:t>
      </w:r>
      <w:r w:rsidR="00432C07">
        <w:rPr>
          <w:rFonts w:asciiTheme="minorHAnsi" w:eastAsiaTheme="minorHAnsi" w:hAnsiTheme="minorHAnsi" w:cstheme="minorBidi"/>
          <w:color w:val="auto"/>
          <w:sz w:val="22"/>
          <w:szCs w:val="22"/>
        </w:rPr>
        <w:t>state</w:t>
      </w:r>
      <w:r w:rsidR="00EB28BD">
        <w:rPr>
          <w:rFonts w:asciiTheme="minorHAnsi" w:eastAsiaTheme="minorHAnsi" w:hAnsiTheme="minorHAnsi" w:cstheme="minorBidi"/>
          <w:color w:val="auto"/>
          <w:sz w:val="22"/>
          <w:szCs w:val="22"/>
        </w:rPr>
        <w:t>d</w:t>
      </w:r>
      <w:r w:rsidR="00432C07">
        <w:rPr>
          <w:rFonts w:asciiTheme="minorHAnsi" w:eastAsiaTheme="minorHAnsi" w:hAnsiTheme="minorHAnsi" w:cstheme="minorBidi"/>
          <w:color w:val="auto"/>
          <w:sz w:val="22"/>
          <w:szCs w:val="22"/>
        </w:rPr>
        <w:t xml:space="preserve"> the</w:t>
      </w:r>
      <w:r w:rsidR="004C09C4">
        <w:rPr>
          <w:rFonts w:asciiTheme="minorHAnsi" w:eastAsiaTheme="minorHAnsi" w:hAnsiTheme="minorHAnsi" w:cstheme="minorBidi"/>
          <w:color w:val="auto"/>
          <w:sz w:val="22"/>
          <w:szCs w:val="22"/>
        </w:rPr>
        <w:t xml:space="preserve"> </w:t>
      </w:r>
      <w:r w:rsidR="002B0C56">
        <w:rPr>
          <w:rFonts w:asciiTheme="minorHAnsi" w:eastAsiaTheme="minorHAnsi" w:hAnsiTheme="minorHAnsi" w:cstheme="minorBidi"/>
          <w:color w:val="auto"/>
          <w:sz w:val="22"/>
          <w:szCs w:val="22"/>
        </w:rPr>
        <w:t>extension</w:t>
      </w:r>
      <w:r w:rsidR="004C09C4">
        <w:rPr>
          <w:rFonts w:asciiTheme="minorHAnsi" w:eastAsiaTheme="minorHAnsi" w:hAnsiTheme="minorHAnsi" w:cstheme="minorBidi"/>
          <w:color w:val="auto"/>
          <w:sz w:val="22"/>
          <w:szCs w:val="22"/>
        </w:rPr>
        <w:t xml:space="preserve"> of the CDR to Open </w:t>
      </w:r>
      <w:r w:rsidR="000B6813">
        <w:rPr>
          <w:rFonts w:asciiTheme="minorHAnsi" w:eastAsiaTheme="minorHAnsi" w:hAnsiTheme="minorHAnsi" w:cstheme="minorBidi"/>
          <w:color w:val="auto"/>
          <w:sz w:val="22"/>
          <w:szCs w:val="22"/>
        </w:rPr>
        <w:t>Fi</w:t>
      </w:r>
      <w:r w:rsidR="004C09C4">
        <w:rPr>
          <w:rFonts w:asciiTheme="minorHAnsi" w:eastAsiaTheme="minorHAnsi" w:hAnsiTheme="minorHAnsi" w:cstheme="minorBidi"/>
          <w:color w:val="auto"/>
          <w:sz w:val="22"/>
          <w:szCs w:val="22"/>
        </w:rPr>
        <w:t>nance</w:t>
      </w:r>
      <w:r w:rsidR="00397DFE">
        <w:rPr>
          <w:rFonts w:asciiTheme="minorHAnsi" w:eastAsiaTheme="minorHAnsi" w:hAnsiTheme="minorHAnsi" w:cstheme="minorBidi"/>
          <w:color w:val="auto"/>
          <w:sz w:val="22"/>
          <w:szCs w:val="22"/>
        </w:rPr>
        <w:t>, including non-bank lending,</w:t>
      </w:r>
      <w:r w:rsidR="004C09C4">
        <w:rPr>
          <w:rFonts w:asciiTheme="minorHAnsi" w:eastAsiaTheme="minorHAnsi" w:hAnsiTheme="minorHAnsi" w:cstheme="minorBidi"/>
          <w:color w:val="auto"/>
          <w:sz w:val="22"/>
          <w:szCs w:val="22"/>
        </w:rPr>
        <w:t xml:space="preserve"> will</w:t>
      </w:r>
      <w:r w:rsidR="008A5136">
        <w:rPr>
          <w:rFonts w:asciiTheme="minorHAnsi" w:eastAsiaTheme="minorHAnsi" w:hAnsiTheme="minorHAnsi" w:cstheme="minorBidi"/>
          <w:color w:val="auto"/>
          <w:sz w:val="22"/>
          <w:szCs w:val="22"/>
        </w:rPr>
        <w:t xml:space="preserve"> </w:t>
      </w:r>
      <w:r w:rsidR="004C09C4">
        <w:rPr>
          <w:rFonts w:asciiTheme="minorHAnsi" w:eastAsiaTheme="minorHAnsi" w:hAnsiTheme="minorHAnsi" w:cstheme="minorBidi"/>
          <w:color w:val="auto"/>
          <w:sz w:val="22"/>
          <w:szCs w:val="22"/>
        </w:rPr>
        <w:t>improve</w:t>
      </w:r>
      <w:r w:rsidR="004922DE">
        <w:rPr>
          <w:rFonts w:asciiTheme="minorHAnsi" w:eastAsiaTheme="minorHAnsi" w:hAnsiTheme="minorHAnsi" w:cstheme="minorBidi"/>
          <w:color w:val="auto"/>
          <w:sz w:val="22"/>
          <w:szCs w:val="22"/>
        </w:rPr>
        <w:t xml:space="preserve"> the efficiency of the</w:t>
      </w:r>
      <w:r w:rsidR="004C09C4">
        <w:rPr>
          <w:rFonts w:asciiTheme="minorHAnsi" w:eastAsiaTheme="minorHAnsi" w:hAnsiTheme="minorHAnsi" w:cstheme="minorBidi"/>
          <w:color w:val="auto"/>
          <w:sz w:val="22"/>
          <w:szCs w:val="22"/>
        </w:rPr>
        <w:t xml:space="preserve"> fact</w:t>
      </w:r>
      <w:r w:rsidR="00E159B1">
        <w:rPr>
          <w:rFonts w:asciiTheme="minorHAnsi" w:eastAsiaTheme="minorHAnsi" w:hAnsiTheme="minorHAnsi" w:cstheme="minorBidi"/>
          <w:color w:val="auto"/>
          <w:sz w:val="22"/>
          <w:szCs w:val="22"/>
        </w:rPr>
        <w:t>-</w:t>
      </w:r>
      <w:r w:rsidR="004C09C4">
        <w:rPr>
          <w:rFonts w:asciiTheme="minorHAnsi" w:eastAsiaTheme="minorHAnsi" w:hAnsiTheme="minorHAnsi" w:cstheme="minorBidi"/>
          <w:color w:val="auto"/>
          <w:sz w:val="22"/>
          <w:szCs w:val="22"/>
        </w:rPr>
        <w:t>finding</w:t>
      </w:r>
      <w:r w:rsidR="004922DE">
        <w:rPr>
          <w:rFonts w:asciiTheme="minorHAnsi" w:eastAsiaTheme="minorHAnsi" w:hAnsiTheme="minorHAnsi" w:cstheme="minorBidi"/>
          <w:color w:val="auto"/>
          <w:sz w:val="22"/>
          <w:szCs w:val="22"/>
        </w:rPr>
        <w:t xml:space="preserve"> process</w:t>
      </w:r>
      <w:r w:rsidR="004C09C4">
        <w:rPr>
          <w:rFonts w:asciiTheme="minorHAnsi" w:eastAsiaTheme="minorHAnsi" w:hAnsiTheme="minorHAnsi" w:cstheme="minorBidi"/>
          <w:color w:val="auto"/>
          <w:sz w:val="22"/>
          <w:szCs w:val="22"/>
        </w:rPr>
        <w:t xml:space="preserve"> for providers of financial advice, </w:t>
      </w:r>
      <w:r w:rsidR="008A5136">
        <w:rPr>
          <w:rFonts w:asciiTheme="minorHAnsi" w:eastAsiaTheme="minorHAnsi" w:hAnsiTheme="minorHAnsi" w:cstheme="minorBidi"/>
          <w:color w:val="auto"/>
          <w:sz w:val="22"/>
          <w:szCs w:val="22"/>
        </w:rPr>
        <w:t>noting:</w:t>
      </w:r>
    </w:p>
    <w:p w14:paraId="5E95D3E9" w14:textId="0D0F9C31" w:rsidR="00F5422A" w:rsidRDefault="002B0C56" w:rsidP="00F5422A">
      <w:pPr>
        <w:pStyle w:val="Dash"/>
        <w:numPr>
          <w:ilvl w:val="0"/>
          <w:numId w:val="0"/>
        </w:numPr>
        <w:ind w:left="614"/>
        <w:rPr>
          <w:rFonts w:eastAsiaTheme="minorHAnsi"/>
          <w:color w:val="auto"/>
          <w:sz w:val="22"/>
          <w:szCs w:val="22"/>
        </w:rPr>
      </w:pPr>
      <w:r>
        <w:rPr>
          <w:rFonts w:eastAsiaTheme="minorHAnsi"/>
          <w:color w:val="auto"/>
          <w:sz w:val="22"/>
          <w:szCs w:val="22"/>
        </w:rPr>
        <w:lastRenderedPageBreak/>
        <w:t>T</w:t>
      </w:r>
      <w:r w:rsidR="00861FF6" w:rsidRPr="00D5694E">
        <w:rPr>
          <w:rFonts w:eastAsiaTheme="minorHAnsi"/>
          <w:color w:val="auto"/>
          <w:sz w:val="22"/>
          <w:szCs w:val="22"/>
        </w:rPr>
        <w:t>he completion of the fact find process is typically a very challenging exercise as clients often do not have ready access to documentation on all their assets and liabilities. Often, they do not have a complete understanding of their sources of income and particularly their spending practices.</w:t>
      </w:r>
      <w:r w:rsidR="00C57FC6" w:rsidRPr="00C57FC6">
        <w:rPr>
          <w:rFonts w:eastAsiaTheme="minorHAnsi"/>
          <w:color w:val="auto"/>
          <w:sz w:val="22"/>
          <w:szCs w:val="22"/>
        </w:rPr>
        <w:t xml:space="preserve"> </w:t>
      </w:r>
      <w:r w:rsidR="00C57FC6" w:rsidRPr="00D5694E">
        <w:rPr>
          <w:rFonts w:eastAsiaTheme="minorHAnsi"/>
          <w:color w:val="auto"/>
          <w:sz w:val="22"/>
          <w:szCs w:val="22"/>
        </w:rPr>
        <w:t>Extracting information from product providers can also often be time consuming for financial advisers.</w:t>
      </w:r>
      <w:r w:rsidR="00E32958">
        <w:rPr>
          <w:rStyle w:val="FootnoteReference"/>
          <w:rFonts w:eastAsiaTheme="minorHAnsi"/>
          <w:color w:val="auto"/>
          <w:sz w:val="22"/>
          <w:szCs w:val="22"/>
        </w:rPr>
        <w:footnoteReference w:id="31"/>
      </w:r>
    </w:p>
    <w:p w14:paraId="088AAE77" w14:textId="20EEC149" w:rsidR="005F480D" w:rsidRPr="00EB28BD" w:rsidRDefault="00EB28BD" w:rsidP="00EB28BD">
      <w:pPr>
        <w:pStyle w:val="Dash"/>
        <w:numPr>
          <w:ilvl w:val="0"/>
          <w:numId w:val="0"/>
        </w:numPr>
        <w:rPr>
          <w:rFonts w:eastAsiaTheme="minorHAnsi"/>
          <w:color w:val="auto"/>
          <w:sz w:val="22"/>
          <w:szCs w:val="22"/>
        </w:rPr>
      </w:pPr>
      <w:r>
        <w:rPr>
          <w:rFonts w:asciiTheme="minorHAnsi" w:eastAsiaTheme="minorHAnsi" w:hAnsiTheme="minorHAnsi" w:cstheme="minorBidi"/>
          <w:color w:val="auto"/>
          <w:sz w:val="22"/>
          <w:szCs w:val="22"/>
        </w:rPr>
        <w:t xml:space="preserve">The AFA </w:t>
      </w:r>
      <w:r w:rsidR="00BC66B6">
        <w:rPr>
          <w:rFonts w:asciiTheme="minorHAnsi" w:eastAsiaTheme="minorHAnsi" w:hAnsiTheme="minorHAnsi" w:cstheme="minorBidi"/>
          <w:color w:val="auto"/>
          <w:sz w:val="22"/>
          <w:szCs w:val="22"/>
        </w:rPr>
        <w:t>added</w:t>
      </w:r>
      <w:r>
        <w:rPr>
          <w:rFonts w:asciiTheme="minorHAnsi" w:eastAsiaTheme="minorHAnsi" w:hAnsiTheme="minorHAnsi" w:cstheme="minorBidi"/>
          <w:color w:val="auto"/>
          <w:sz w:val="22"/>
          <w:szCs w:val="22"/>
        </w:rPr>
        <w:t xml:space="preserve"> that b</w:t>
      </w:r>
      <w:r w:rsidR="004922DE">
        <w:rPr>
          <w:rFonts w:asciiTheme="minorHAnsi" w:eastAsiaTheme="minorHAnsi" w:hAnsiTheme="minorHAnsi" w:cstheme="minorBidi"/>
          <w:color w:val="auto"/>
          <w:sz w:val="22"/>
          <w:szCs w:val="22"/>
        </w:rPr>
        <w:t>y providing access to real</w:t>
      </w:r>
      <w:r w:rsidR="00397DFE">
        <w:rPr>
          <w:rFonts w:asciiTheme="minorHAnsi" w:eastAsiaTheme="minorHAnsi" w:hAnsiTheme="minorHAnsi" w:cstheme="minorBidi"/>
          <w:color w:val="auto"/>
          <w:sz w:val="22"/>
          <w:szCs w:val="22"/>
        </w:rPr>
        <w:t>-time</w:t>
      </w:r>
      <w:r w:rsidR="004922DE">
        <w:rPr>
          <w:rFonts w:asciiTheme="minorHAnsi" w:eastAsiaTheme="minorHAnsi" w:hAnsiTheme="minorHAnsi" w:cstheme="minorBidi"/>
          <w:color w:val="auto"/>
          <w:sz w:val="22"/>
          <w:szCs w:val="22"/>
        </w:rPr>
        <w:t xml:space="preserve"> client specific data, the CDR</w:t>
      </w:r>
      <w:r w:rsidR="007D5B7A">
        <w:rPr>
          <w:rFonts w:asciiTheme="minorHAnsi" w:eastAsiaTheme="minorHAnsi" w:hAnsiTheme="minorHAnsi" w:cstheme="minorBidi"/>
          <w:color w:val="auto"/>
          <w:sz w:val="22"/>
          <w:szCs w:val="22"/>
        </w:rPr>
        <w:t xml:space="preserve"> can</w:t>
      </w:r>
      <w:r w:rsidR="008A5136">
        <w:rPr>
          <w:rFonts w:asciiTheme="minorHAnsi" w:eastAsiaTheme="minorHAnsi" w:hAnsiTheme="minorHAnsi" w:cstheme="minorBidi"/>
          <w:color w:val="auto"/>
          <w:sz w:val="22"/>
          <w:szCs w:val="22"/>
        </w:rPr>
        <w:t xml:space="preserve"> reduce the </w:t>
      </w:r>
      <w:r w:rsidR="00EF3412">
        <w:rPr>
          <w:rFonts w:asciiTheme="minorHAnsi" w:eastAsiaTheme="minorHAnsi" w:hAnsiTheme="minorHAnsi" w:cstheme="minorBidi"/>
          <w:color w:val="auto"/>
          <w:sz w:val="22"/>
          <w:szCs w:val="22"/>
        </w:rPr>
        <w:t xml:space="preserve">time and </w:t>
      </w:r>
      <w:r w:rsidR="008A5136">
        <w:rPr>
          <w:rFonts w:asciiTheme="minorHAnsi" w:eastAsiaTheme="minorHAnsi" w:hAnsiTheme="minorHAnsi" w:cstheme="minorBidi"/>
          <w:color w:val="auto"/>
          <w:sz w:val="22"/>
          <w:szCs w:val="22"/>
        </w:rPr>
        <w:t>cost to provide financial advice</w:t>
      </w:r>
      <w:r w:rsidR="0049246B">
        <w:rPr>
          <w:rFonts w:asciiTheme="minorHAnsi" w:eastAsiaTheme="minorHAnsi" w:hAnsiTheme="minorHAnsi" w:cstheme="minorBidi"/>
          <w:color w:val="auto"/>
          <w:sz w:val="22"/>
          <w:szCs w:val="22"/>
        </w:rPr>
        <w:t>, for both</w:t>
      </w:r>
      <w:r w:rsidR="00E0276A">
        <w:rPr>
          <w:rFonts w:asciiTheme="minorHAnsi" w:eastAsiaTheme="minorHAnsi" w:hAnsiTheme="minorHAnsi" w:cstheme="minorBidi"/>
          <w:color w:val="auto"/>
          <w:sz w:val="22"/>
          <w:szCs w:val="22"/>
        </w:rPr>
        <w:t xml:space="preserve"> the</w:t>
      </w:r>
      <w:r w:rsidR="0049246B">
        <w:rPr>
          <w:rFonts w:asciiTheme="minorHAnsi" w:eastAsiaTheme="minorHAnsi" w:hAnsiTheme="minorHAnsi" w:cstheme="minorBidi"/>
          <w:color w:val="auto"/>
          <w:sz w:val="22"/>
          <w:szCs w:val="22"/>
        </w:rPr>
        <w:t xml:space="preserve"> provider and client,</w:t>
      </w:r>
      <w:r w:rsidR="004922DE">
        <w:rPr>
          <w:rFonts w:asciiTheme="minorHAnsi" w:eastAsiaTheme="minorHAnsi" w:hAnsiTheme="minorHAnsi" w:cstheme="minorBidi"/>
          <w:color w:val="auto"/>
          <w:sz w:val="22"/>
          <w:szCs w:val="22"/>
        </w:rPr>
        <w:t xml:space="preserve"> </w:t>
      </w:r>
      <w:r w:rsidR="008A5136">
        <w:rPr>
          <w:rFonts w:asciiTheme="minorHAnsi" w:eastAsiaTheme="minorHAnsi" w:hAnsiTheme="minorHAnsi" w:cstheme="minorBidi"/>
          <w:color w:val="auto"/>
          <w:sz w:val="22"/>
          <w:szCs w:val="22"/>
        </w:rPr>
        <w:t xml:space="preserve">and </w:t>
      </w:r>
      <w:r w:rsidR="008A5136" w:rsidRPr="004C09C4">
        <w:rPr>
          <w:rFonts w:asciiTheme="minorHAnsi" w:eastAsiaTheme="minorHAnsi" w:hAnsiTheme="minorHAnsi" w:cstheme="minorBidi"/>
          <w:color w:val="auto"/>
          <w:sz w:val="22"/>
          <w:szCs w:val="22"/>
        </w:rPr>
        <w:t>enhance the value of financial advice services</w:t>
      </w:r>
      <w:r w:rsidR="00A205AD">
        <w:rPr>
          <w:rFonts w:asciiTheme="minorHAnsi" w:eastAsiaTheme="minorHAnsi" w:hAnsiTheme="minorHAnsi" w:cstheme="minorBidi"/>
          <w:color w:val="auto"/>
          <w:sz w:val="22"/>
          <w:szCs w:val="22"/>
        </w:rPr>
        <w:t>.</w:t>
      </w:r>
      <w:r w:rsidR="00662F2D">
        <w:rPr>
          <w:rStyle w:val="FootnoteReference"/>
          <w:rFonts w:eastAsiaTheme="minorHAnsi"/>
          <w:color w:val="auto"/>
          <w:sz w:val="22"/>
          <w:szCs w:val="22"/>
        </w:rPr>
        <w:footnoteReference w:id="32"/>
      </w:r>
    </w:p>
    <w:p w14:paraId="073FCBCC" w14:textId="32848999" w:rsidR="00AC46B3" w:rsidRDefault="0063462B" w:rsidP="00EB28BD">
      <w:pPr>
        <w:pStyle w:val="Dash"/>
        <w:numPr>
          <w:ilvl w:val="0"/>
          <w:numId w:val="0"/>
        </w:numPr>
        <w:rPr>
          <w:rFonts w:eastAsiaTheme="minorHAnsi"/>
          <w:color w:val="auto"/>
          <w:sz w:val="22"/>
          <w:szCs w:val="22"/>
        </w:rPr>
      </w:pPr>
      <w:r>
        <w:rPr>
          <w:rFonts w:eastAsiaTheme="minorHAnsi"/>
          <w:color w:val="auto"/>
          <w:sz w:val="22"/>
          <w:szCs w:val="22"/>
        </w:rPr>
        <w:t>As well as</w:t>
      </w:r>
      <w:r w:rsidR="004122CF">
        <w:rPr>
          <w:rFonts w:eastAsiaTheme="minorHAnsi"/>
          <w:color w:val="auto"/>
          <w:sz w:val="22"/>
          <w:szCs w:val="22"/>
        </w:rPr>
        <w:t xml:space="preserve"> making </w:t>
      </w:r>
      <w:r w:rsidR="00FC1057">
        <w:rPr>
          <w:rFonts w:eastAsiaTheme="minorHAnsi"/>
          <w:color w:val="auto"/>
          <w:sz w:val="22"/>
          <w:szCs w:val="22"/>
        </w:rPr>
        <w:t>existing processes</w:t>
      </w:r>
      <w:r w:rsidR="004122CF">
        <w:rPr>
          <w:rFonts w:eastAsiaTheme="minorHAnsi"/>
          <w:color w:val="auto"/>
          <w:sz w:val="22"/>
          <w:szCs w:val="22"/>
        </w:rPr>
        <w:t xml:space="preserve"> smoother, CDR data can be </w:t>
      </w:r>
      <w:r w:rsidR="00D8784E">
        <w:rPr>
          <w:rFonts w:eastAsiaTheme="minorHAnsi"/>
          <w:color w:val="auto"/>
          <w:sz w:val="22"/>
          <w:szCs w:val="22"/>
        </w:rPr>
        <w:t xml:space="preserve">used </w:t>
      </w:r>
      <w:r w:rsidR="004122CF">
        <w:rPr>
          <w:rFonts w:eastAsiaTheme="minorHAnsi"/>
          <w:color w:val="auto"/>
          <w:sz w:val="22"/>
          <w:szCs w:val="22"/>
        </w:rPr>
        <w:t xml:space="preserve">to </w:t>
      </w:r>
      <w:r>
        <w:rPr>
          <w:rFonts w:eastAsiaTheme="minorHAnsi"/>
          <w:color w:val="auto"/>
          <w:sz w:val="22"/>
          <w:szCs w:val="22"/>
        </w:rPr>
        <w:t>innovate</w:t>
      </w:r>
      <w:r w:rsidR="004122CF">
        <w:rPr>
          <w:rFonts w:eastAsiaTheme="minorHAnsi"/>
          <w:color w:val="auto"/>
          <w:sz w:val="22"/>
          <w:szCs w:val="22"/>
        </w:rPr>
        <w:t xml:space="preserve">. </w:t>
      </w:r>
      <w:r w:rsidR="00AC46B3">
        <w:rPr>
          <w:rFonts w:eastAsiaTheme="minorHAnsi"/>
          <w:color w:val="auto"/>
          <w:sz w:val="22"/>
          <w:szCs w:val="22"/>
        </w:rPr>
        <w:t xml:space="preserve">Further examples of </w:t>
      </w:r>
      <w:r w:rsidR="00162963">
        <w:rPr>
          <w:rFonts w:eastAsiaTheme="minorHAnsi"/>
          <w:color w:val="auto"/>
          <w:sz w:val="22"/>
          <w:szCs w:val="22"/>
        </w:rPr>
        <w:t xml:space="preserve">financial data </w:t>
      </w:r>
      <w:r w:rsidR="00AC46B3">
        <w:rPr>
          <w:rFonts w:eastAsiaTheme="minorHAnsi"/>
          <w:color w:val="auto"/>
          <w:sz w:val="22"/>
          <w:szCs w:val="22"/>
        </w:rPr>
        <w:t xml:space="preserve">innovations that </w:t>
      </w:r>
      <w:r w:rsidR="001858DC">
        <w:rPr>
          <w:rFonts w:eastAsiaTheme="minorHAnsi"/>
          <w:color w:val="auto"/>
          <w:sz w:val="22"/>
          <w:szCs w:val="22"/>
        </w:rPr>
        <w:t>c</w:t>
      </w:r>
      <w:r w:rsidR="004122CF">
        <w:rPr>
          <w:rFonts w:eastAsiaTheme="minorHAnsi"/>
          <w:color w:val="auto"/>
          <w:sz w:val="22"/>
          <w:szCs w:val="22"/>
        </w:rPr>
        <w:t>ould</w:t>
      </w:r>
      <w:r w:rsidR="001858DC">
        <w:rPr>
          <w:rFonts w:eastAsiaTheme="minorHAnsi"/>
          <w:color w:val="auto"/>
          <w:sz w:val="22"/>
          <w:szCs w:val="22"/>
        </w:rPr>
        <w:t xml:space="preserve"> </w:t>
      </w:r>
      <w:r w:rsidR="00AC46B3">
        <w:rPr>
          <w:rFonts w:eastAsiaTheme="minorHAnsi"/>
          <w:color w:val="auto"/>
          <w:sz w:val="22"/>
          <w:szCs w:val="22"/>
        </w:rPr>
        <w:t xml:space="preserve">leverage </w:t>
      </w:r>
      <w:r>
        <w:rPr>
          <w:rFonts w:eastAsiaTheme="minorHAnsi"/>
          <w:color w:val="auto"/>
          <w:sz w:val="22"/>
          <w:szCs w:val="22"/>
        </w:rPr>
        <w:t>O</w:t>
      </w:r>
      <w:r w:rsidR="00AC46B3">
        <w:rPr>
          <w:rFonts w:eastAsiaTheme="minorHAnsi"/>
          <w:color w:val="auto"/>
          <w:sz w:val="22"/>
          <w:szCs w:val="22"/>
        </w:rPr>
        <w:t xml:space="preserve">pen </w:t>
      </w:r>
      <w:r>
        <w:rPr>
          <w:rFonts w:eastAsiaTheme="minorHAnsi"/>
          <w:color w:val="auto"/>
          <w:sz w:val="22"/>
          <w:szCs w:val="22"/>
        </w:rPr>
        <w:t>B</w:t>
      </w:r>
      <w:r w:rsidR="00AC46B3">
        <w:rPr>
          <w:rFonts w:eastAsiaTheme="minorHAnsi"/>
          <w:color w:val="auto"/>
          <w:sz w:val="22"/>
          <w:szCs w:val="22"/>
        </w:rPr>
        <w:t>anking and non</w:t>
      </w:r>
      <w:r w:rsidR="00D15BCD">
        <w:rPr>
          <w:rFonts w:eastAsiaTheme="minorHAnsi"/>
          <w:color w:val="auto"/>
          <w:sz w:val="22"/>
          <w:szCs w:val="22"/>
        </w:rPr>
        <w:noBreakHyphen/>
      </w:r>
      <w:r w:rsidR="00AC46B3">
        <w:rPr>
          <w:rFonts w:eastAsiaTheme="minorHAnsi"/>
          <w:color w:val="auto"/>
          <w:sz w:val="22"/>
          <w:szCs w:val="22"/>
        </w:rPr>
        <w:t>bank lending data include:</w:t>
      </w:r>
    </w:p>
    <w:p w14:paraId="52DF8485" w14:textId="27C138F0" w:rsidR="00AC46B3" w:rsidRDefault="00AC46B3" w:rsidP="00AC46B3">
      <w:pPr>
        <w:pStyle w:val="Bullet"/>
        <w:rPr>
          <w:rFonts w:eastAsiaTheme="minorHAnsi"/>
          <w:color w:val="auto"/>
          <w:sz w:val="22"/>
          <w:szCs w:val="22"/>
        </w:rPr>
      </w:pPr>
      <w:r w:rsidRPr="00AC46B3">
        <w:rPr>
          <w:rFonts w:eastAsiaTheme="minorHAnsi"/>
          <w:color w:val="auto"/>
          <w:sz w:val="22"/>
          <w:szCs w:val="22"/>
        </w:rPr>
        <w:t>Financial wellbeing or financial health</w:t>
      </w:r>
      <w:r>
        <w:rPr>
          <w:rFonts w:eastAsiaTheme="minorHAnsi"/>
          <w:color w:val="auto"/>
          <w:sz w:val="22"/>
          <w:szCs w:val="22"/>
        </w:rPr>
        <w:t xml:space="preserve"> </w:t>
      </w:r>
      <w:r w:rsidRPr="00AC46B3">
        <w:rPr>
          <w:rFonts w:eastAsiaTheme="minorHAnsi"/>
          <w:color w:val="auto"/>
          <w:sz w:val="22"/>
          <w:szCs w:val="22"/>
        </w:rPr>
        <w:t>check tools</w:t>
      </w:r>
      <w:r>
        <w:rPr>
          <w:rFonts w:eastAsiaTheme="minorHAnsi"/>
          <w:color w:val="auto"/>
          <w:sz w:val="22"/>
          <w:szCs w:val="22"/>
        </w:rPr>
        <w:t xml:space="preserve"> that independently analyse a</w:t>
      </w:r>
      <w:r w:rsidR="00813D24">
        <w:rPr>
          <w:rFonts w:eastAsiaTheme="minorHAnsi"/>
          <w:color w:val="auto"/>
          <w:sz w:val="22"/>
          <w:szCs w:val="22"/>
        </w:rPr>
        <w:t>n individual’s or small business’</w:t>
      </w:r>
      <w:r>
        <w:rPr>
          <w:rFonts w:eastAsiaTheme="minorHAnsi"/>
          <w:color w:val="auto"/>
          <w:sz w:val="22"/>
          <w:szCs w:val="22"/>
        </w:rPr>
        <w:t xml:space="preserve"> available financial data to determine </w:t>
      </w:r>
      <w:r w:rsidR="00984F84">
        <w:rPr>
          <w:rFonts w:eastAsiaTheme="minorHAnsi"/>
          <w:color w:val="auto"/>
          <w:sz w:val="22"/>
          <w:szCs w:val="22"/>
        </w:rPr>
        <w:t xml:space="preserve">their </w:t>
      </w:r>
      <w:r w:rsidR="00600324">
        <w:rPr>
          <w:rFonts w:eastAsiaTheme="minorHAnsi"/>
          <w:color w:val="auto"/>
          <w:sz w:val="22"/>
          <w:szCs w:val="22"/>
        </w:rPr>
        <w:t>eligibility</w:t>
      </w:r>
      <w:r>
        <w:rPr>
          <w:rFonts w:eastAsiaTheme="minorHAnsi"/>
          <w:color w:val="auto"/>
          <w:sz w:val="22"/>
          <w:szCs w:val="22"/>
        </w:rPr>
        <w:t xml:space="preserve"> for further finance, </w:t>
      </w:r>
      <w:r w:rsidR="001858DC">
        <w:rPr>
          <w:rFonts w:eastAsiaTheme="minorHAnsi"/>
          <w:color w:val="auto"/>
          <w:sz w:val="22"/>
          <w:szCs w:val="22"/>
        </w:rPr>
        <w:t xml:space="preserve">providing useful information to inform decision making </w:t>
      </w:r>
      <w:r>
        <w:rPr>
          <w:rFonts w:eastAsiaTheme="minorHAnsi"/>
          <w:color w:val="auto"/>
          <w:sz w:val="22"/>
          <w:szCs w:val="22"/>
        </w:rPr>
        <w:t xml:space="preserve">before </w:t>
      </w:r>
      <w:r w:rsidR="0063462B">
        <w:rPr>
          <w:rFonts w:eastAsiaTheme="minorHAnsi"/>
          <w:color w:val="auto"/>
          <w:sz w:val="22"/>
          <w:szCs w:val="22"/>
        </w:rPr>
        <w:t>consumers</w:t>
      </w:r>
      <w:r w:rsidR="00600324">
        <w:rPr>
          <w:rFonts w:eastAsiaTheme="minorHAnsi"/>
          <w:color w:val="auto"/>
          <w:sz w:val="22"/>
          <w:szCs w:val="22"/>
        </w:rPr>
        <w:t>, including</w:t>
      </w:r>
      <w:r w:rsidR="004122CF">
        <w:rPr>
          <w:rFonts w:eastAsiaTheme="minorHAnsi"/>
          <w:color w:val="auto"/>
          <w:sz w:val="22"/>
          <w:szCs w:val="22"/>
        </w:rPr>
        <w:t xml:space="preserve"> vulnerable </w:t>
      </w:r>
      <w:r w:rsidR="0063462B">
        <w:rPr>
          <w:rFonts w:eastAsiaTheme="minorHAnsi"/>
          <w:color w:val="auto"/>
          <w:sz w:val="22"/>
          <w:szCs w:val="22"/>
        </w:rPr>
        <w:t>consumers</w:t>
      </w:r>
      <w:r w:rsidR="00600324">
        <w:rPr>
          <w:rFonts w:eastAsiaTheme="minorHAnsi"/>
          <w:color w:val="auto"/>
          <w:sz w:val="22"/>
          <w:szCs w:val="22"/>
        </w:rPr>
        <w:t>,</w:t>
      </w:r>
      <w:r w:rsidR="004122CF">
        <w:rPr>
          <w:rFonts w:eastAsiaTheme="minorHAnsi"/>
          <w:color w:val="auto"/>
          <w:sz w:val="22"/>
          <w:szCs w:val="22"/>
        </w:rPr>
        <w:t xml:space="preserve"> are</w:t>
      </w:r>
      <w:r>
        <w:rPr>
          <w:rFonts w:eastAsiaTheme="minorHAnsi"/>
          <w:color w:val="auto"/>
          <w:sz w:val="22"/>
          <w:szCs w:val="22"/>
        </w:rPr>
        <w:t xml:space="preserve"> offered additional credit</w:t>
      </w:r>
      <w:r w:rsidR="00813D24">
        <w:rPr>
          <w:rFonts w:eastAsiaTheme="minorHAnsi"/>
          <w:color w:val="auto"/>
          <w:sz w:val="22"/>
          <w:szCs w:val="22"/>
        </w:rPr>
        <w:t>.</w:t>
      </w:r>
    </w:p>
    <w:p w14:paraId="148501AF" w14:textId="1784D1FE" w:rsidR="001858DC" w:rsidRDefault="001858DC" w:rsidP="00AC46B3">
      <w:pPr>
        <w:pStyle w:val="Bullet"/>
        <w:rPr>
          <w:rFonts w:eastAsiaTheme="minorHAnsi"/>
          <w:color w:val="auto"/>
          <w:sz w:val="22"/>
          <w:szCs w:val="22"/>
        </w:rPr>
      </w:pPr>
      <w:r>
        <w:rPr>
          <w:rFonts w:eastAsiaTheme="minorHAnsi"/>
          <w:color w:val="auto"/>
          <w:sz w:val="22"/>
          <w:szCs w:val="22"/>
        </w:rPr>
        <w:t xml:space="preserve">Financial advisory tools that </w:t>
      </w:r>
      <w:r w:rsidR="00632A07">
        <w:rPr>
          <w:rFonts w:eastAsiaTheme="minorHAnsi"/>
          <w:color w:val="auto"/>
          <w:sz w:val="22"/>
          <w:szCs w:val="22"/>
        </w:rPr>
        <w:t>go beyond fact</w:t>
      </w:r>
      <w:r w:rsidR="008D0773">
        <w:rPr>
          <w:rFonts w:eastAsiaTheme="minorHAnsi"/>
          <w:color w:val="auto"/>
          <w:sz w:val="22"/>
          <w:szCs w:val="22"/>
        </w:rPr>
        <w:noBreakHyphen/>
      </w:r>
      <w:r w:rsidR="00632A07">
        <w:rPr>
          <w:rFonts w:eastAsiaTheme="minorHAnsi"/>
          <w:color w:val="auto"/>
          <w:sz w:val="22"/>
          <w:szCs w:val="22"/>
        </w:rPr>
        <w:t>finding</w:t>
      </w:r>
      <w:r>
        <w:rPr>
          <w:rFonts w:eastAsiaTheme="minorHAnsi"/>
          <w:color w:val="auto"/>
          <w:sz w:val="22"/>
          <w:szCs w:val="22"/>
        </w:rPr>
        <w:t xml:space="preserve"> to make </w:t>
      </w:r>
      <w:r w:rsidR="00775D13">
        <w:rPr>
          <w:rFonts w:eastAsiaTheme="minorHAnsi"/>
          <w:color w:val="auto"/>
          <w:sz w:val="22"/>
          <w:szCs w:val="22"/>
        </w:rPr>
        <w:t xml:space="preserve">comparisons and </w:t>
      </w:r>
      <w:r>
        <w:rPr>
          <w:rFonts w:eastAsiaTheme="minorHAnsi"/>
          <w:color w:val="auto"/>
          <w:sz w:val="22"/>
          <w:szCs w:val="22"/>
        </w:rPr>
        <w:t xml:space="preserve">recommendations on </w:t>
      </w:r>
      <w:r w:rsidR="00775D13">
        <w:rPr>
          <w:rFonts w:eastAsiaTheme="minorHAnsi"/>
          <w:color w:val="auto"/>
          <w:sz w:val="22"/>
          <w:szCs w:val="22"/>
        </w:rPr>
        <w:t xml:space="preserve">available </w:t>
      </w:r>
      <w:r>
        <w:rPr>
          <w:rFonts w:eastAsiaTheme="minorHAnsi"/>
          <w:color w:val="auto"/>
          <w:sz w:val="22"/>
          <w:szCs w:val="22"/>
        </w:rPr>
        <w:t>products</w:t>
      </w:r>
      <w:r w:rsidR="00775D13">
        <w:rPr>
          <w:rFonts w:eastAsiaTheme="minorHAnsi"/>
          <w:color w:val="auto"/>
          <w:sz w:val="22"/>
          <w:szCs w:val="22"/>
        </w:rPr>
        <w:t xml:space="preserve"> from the</w:t>
      </w:r>
      <w:r w:rsidR="0062486C">
        <w:rPr>
          <w:rFonts w:eastAsiaTheme="minorHAnsi"/>
          <w:color w:val="auto"/>
          <w:sz w:val="22"/>
          <w:szCs w:val="22"/>
        </w:rPr>
        <w:t xml:space="preserve"> financial and non-financial</w:t>
      </w:r>
      <w:r w:rsidR="00775D13">
        <w:rPr>
          <w:rFonts w:eastAsiaTheme="minorHAnsi"/>
          <w:color w:val="auto"/>
          <w:sz w:val="22"/>
          <w:szCs w:val="22"/>
        </w:rPr>
        <w:t xml:space="preserve"> sectors</w:t>
      </w:r>
      <w:r w:rsidR="00632A07">
        <w:rPr>
          <w:rFonts w:eastAsiaTheme="minorHAnsi"/>
          <w:color w:val="auto"/>
          <w:sz w:val="22"/>
          <w:szCs w:val="22"/>
        </w:rPr>
        <w:t>.</w:t>
      </w:r>
      <w:r w:rsidR="0062486C">
        <w:rPr>
          <w:rFonts w:eastAsiaTheme="minorHAnsi"/>
          <w:color w:val="auto"/>
          <w:sz w:val="22"/>
          <w:szCs w:val="22"/>
        </w:rPr>
        <w:t xml:space="preserve"> These advisory tools can also facilitate the</w:t>
      </w:r>
      <w:r>
        <w:rPr>
          <w:rFonts w:eastAsiaTheme="minorHAnsi"/>
          <w:color w:val="auto"/>
          <w:sz w:val="22"/>
          <w:szCs w:val="22"/>
        </w:rPr>
        <w:t xml:space="preserve"> </w:t>
      </w:r>
      <w:r w:rsidR="00632A07">
        <w:rPr>
          <w:rFonts w:eastAsiaTheme="minorHAnsi"/>
          <w:color w:val="auto"/>
          <w:sz w:val="22"/>
          <w:szCs w:val="22"/>
        </w:rPr>
        <w:t>transition into products offered later in the individual or business life cycle</w:t>
      </w:r>
      <w:r w:rsidR="00D11660">
        <w:rPr>
          <w:rFonts w:eastAsiaTheme="minorHAnsi"/>
          <w:color w:val="auto"/>
          <w:sz w:val="22"/>
          <w:szCs w:val="22"/>
        </w:rPr>
        <w:t>, such as retirement</w:t>
      </w:r>
      <w:r w:rsidR="00632A07">
        <w:rPr>
          <w:rFonts w:eastAsiaTheme="minorHAnsi"/>
          <w:color w:val="auto"/>
          <w:sz w:val="22"/>
          <w:szCs w:val="22"/>
        </w:rPr>
        <w:t xml:space="preserve"> annuities</w:t>
      </w:r>
      <w:r w:rsidR="00F074A1">
        <w:rPr>
          <w:rFonts w:eastAsiaTheme="minorHAnsi"/>
          <w:color w:val="auto"/>
          <w:sz w:val="22"/>
          <w:szCs w:val="22"/>
        </w:rPr>
        <w:t xml:space="preserve"> or </w:t>
      </w:r>
      <w:r w:rsidR="00632A07">
        <w:rPr>
          <w:rFonts w:eastAsiaTheme="minorHAnsi"/>
          <w:color w:val="auto"/>
          <w:sz w:val="22"/>
          <w:szCs w:val="22"/>
        </w:rPr>
        <w:t xml:space="preserve">loans for </w:t>
      </w:r>
      <w:r w:rsidR="00F074A1">
        <w:rPr>
          <w:rFonts w:eastAsiaTheme="minorHAnsi"/>
          <w:color w:val="auto"/>
          <w:sz w:val="22"/>
          <w:szCs w:val="22"/>
        </w:rPr>
        <w:t xml:space="preserve">business </w:t>
      </w:r>
      <w:r w:rsidR="00632A07">
        <w:rPr>
          <w:rFonts w:eastAsiaTheme="minorHAnsi"/>
          <w:color w:val="auto"/>
          <w:sz w:val="22"/>
          <w:szCs w:val="22"/>
        </w:rPr>
        <w:t>expansion</w:t>
      </w:r>
      <w:r w:rsidR="00813D24">
        <w:rPr>
          <w:rFonts w:eastAsiaTheme="minorHAnsi"/>
          <w:color w:val="auto"/>
          <w:sz w:val="22"/>
          <w:szCs w:val="22"/>
        </w:rPr>
        <w:t>.</w:t>
      </w:r>
    </w:p>
    <w:p w14:paraId="0BF534A8" w14:textId="3AB221FC" w:rsidR="00D11660" w:rsidRDefault="00D11660" w:rsidP="00AC46B3">
      <w:pPr>
        <w:pStyle w:val="Bullet"/>
        <w:rPr>
          <w:rFonts w:eastAsiaTheme="minorHAnsi"/>
          <w:color w:val="auto"/>
          <w:sz w:val="22"/>
          <w:szCs w:val="22"/>
        </w:rPr>
      </w:pPr>
      <w:r>
        <w:rPr>
          <w:rFonts w:eastAsiaTheme="minorHAnsi"/>
          <w:color w:val="auto"/>
          <w:sz w:val="22"/>
          <w:szCs w:val="22"/>
        </w:rPr>
        <w:t>Tools that allow lenders to bid for pricing on products, based on financial data shared with a third party that brings lenders and brokers together</w:t>
      </w:r>
      <w:r w:rsidR="00813D24">
        <w:rPr>
          <w:rFonts w:eastAsiaTheme="minorHAnsi"/>
          <w:color w:val="auto"/>
          <w:sz w:val="22"/>
          <w:szCs w:val="22"/>
        </w:rPr>
        <w:t>.</w:t>
      </w:r>
    </w:p>
    <w:p w14:paraId="5FE05F49" w14:textId="0A358E0B" w:rsidR="001858DC" w:rsidRDefault="001858DC" w:rsidP="00A9719D">
      <w:r>
        <w:t xml:space="preserve">To </w:t>
      </w:r>
      <w:r w:rsidR="00293FD5">
        <w:t>support</w:t>
      </w:r>
      <w:r>
        <w:t xml:space="preserve"> these </w:t>
      </w:r>
      <w:r w:rsidR="00293FD5">
        <w:t>innovations</w:t>
      </w:r>
      <w:r w:rsidR="0063462B">
        <w:t>, entities need</w:t>
      </w:r>
      <w:r>
        <w:t xml:space="preserve"> a comprehensive picture of a consumer’s </w:t>
      </w:r>
      <w:r w:rsidR="00A9719D">
        <w:t>financial situation</w:t>
      </w:r>
      <w:r w:rsidR="00CD615C">
        <w:t xml:space="preserve">. </w:t>
      </w:r>
      <w:r w:rsidR="0063462B">
        <w:t>Stakeholders noted t</w:t>
      </w:r>
      <w:r w:rsidR="00A9719D">
        <w:t xml:space="preserve">his </w:t>
      </w:r>
      <w:r w:rsidR="0063462B">
        <w:t>will not</w:t>
      </w:r>
      <w:r w:rsidR="00A9719D">
        <w:t xml:space="preserve"> be possible unless </w:t>
      </w:r>
      <w:r w:rsidR="007615F4">
        <w:t xml:space="preserve">the full range of </w:t>
      </w:r>
      <w:r w:rsidR="00A9719D">
        <w:t>non-bank lending data is available for analysis</w:t>
      </w:r>
      <w:r w:rsidR="007615F4">
        <w:t xml:space="preserve"> from non-bank lenders with the largest customer bases</w:t>
      </w:r>
      <w:r w:rsidR="00A9719D">
        <w:t xml:space="preserve">. </w:t>
      </w:r>
      <w:r w:rsidR="000A6B08">
        <w:t xml:space="preserve">Proposed enhancements to CDR will enable “action initiation”. Action initiation will allow consumers to instruct an accredited third party to initiate actions on their behalf and with their consent. Expanding the CDR to enable action initiation will increase opportunities for consumers using the CDR and for businesses offering innovative consumer services. Use cases could include making payments and switching products. Non-bank lending consumers will only benefit </w:t>
      </w:r>
      <w:r w:rsidR="00BF38BC">
        <w:t xml:space="preserve">from the potentially </w:t>
      </w:r>
      <w:r w:rsidR="0063462B">
        <w:t xml:space="preserve">new </w:t>
      </w:r>
      <w:r w:rsidR="00BF38BC">
        <w:t>services if their data is included in the system.</w:t>
      </w:r>
    </w:p>
    <w:p w14:paraId="30BFD22A" w14:textId="77777777" w:rsidR="006446EE" w:rsidRDefault="00DC5218" w:rsidP="00A9719D">
      <w:r>
        <w:t xml:space="preserve">While the inclusion of lenders in CDR is </w:t>
      </w:r>
      <w:r w:rsidR="00C667EF">
        <w:t xml:space="preserve">intended </w:t>
      </w:r>
      <w:r>
        <w:t xml:space="preserve">to support innovation, </w:t>
      </w:r>
      <w:r w:rsidR="00117896">
        <w:t>it is</w:t>
      </w:r>
      <w:r>
        <w:t xml:space="preserve"> recognise</w:t>
      </w:r>
      <w:r w:rsidR="00117896">
        <w:t>d</w:t>
      </w:r>
      <w:r>
        <w:t xml:space="preserve"> that some lenders are already innovating</w:t>
      </w:r>
      <w:r w:rsidR="00D40DC5">
        <w:t xml:space="preserve">. </w:t>
      </w:r>
      <w:r w:rsidR="003D6756">
        <w:t>I</w:t>
      </w:r>
      <w:r w:rsidR="00D40DC5">
        <w:t>ntroduc</w:t>
      </w:r>
      <w:r w:rsidR="003D6756">
        <w:t>ing</w:t>
      </w:r>
      <w:r w:rsidR="00D40DC5">
        <w:t xml:space="preserve"> CDR obligations, and associated compliance burden</w:t>
      </w:r>
      <w:r w:rsidR="003D6756">
        <w:t>s</w:t>
      </w:r>
      <w:r>
        <w:t xml:space="preserve">, </w:t>
      </w:r>
      <w:r w:rsidR="00D40DC5">
        <w:t xml:space="preserve">may have an impact on </w:t>
      </w:r>
      <w:r>
        <w:t xml:space="preserve">smaller </w:t>
      </w:r>
      <w:r w:rsidR="0063462B">
        <w:t>businesses</w:t>
      </w:r>
      <w:r>
        <w:t xml:space="preserve"> and start-ups as they attempt to</w:t>
      </w:r>
      <w:r w:rsidR="00D40DC5">
        <w:t xml:space="preserve"> bring innovative products and business models to market to disrupt the incumbents.</w:t>
      </w:r>
    </w:p>
    <w:p w14:paraId="22FD17D9" w14:textId="174F5A43" w:rsidR="006446EE" w:rsidRPr="00532FF8" w:rsidRDefault="0006170C" w:rsidP="00A9719D">
      <w:r>
        <w:t>It</w:t>
      </w:r>
      <w:r w:rsidR="000C5CF7">
        <w:t xml:space="preserve"> is</w:t>
      </w:r>
      <w:r>
        <w:t xml:space="preserve"> important to support innovation where possible, including through the operation of proportional or scaled regulatory arrangements, while still facilitating the objectives of the CDR. For this reason, Treasury will consider the application of </w:t>
      </w:r>
      <w:r>
        <w:rPr>
          <w:i/>
          <w:iCs/>
        </w:rPr>
        <w:t xml:space="preserve">de minimis </w:t>
      </w:r>
      <w:r>
        <w:t>thresholds at the rule making stage. Firstly,</w:t>
      </w:r>
      <w:r w:rsidR="000F0414" w:rsidRPr="000F0414">
        <w:t xml:space="preserve"> </w:t>
      </w:r>
      <w:r w:rsidR="00C82A26">
        <w:t>e</w:t>
      </w:r>
      <w:r w:rsidR="000F0414">
        <w:t xml:space="preserve">nsuring start-ups and small </w:t>
      </w:r>
      <w:r w:rsidR="0063462B">
        <w:t>businesses</w:t>
      </w:r>
      <w:r w:rsidR="000F0414">
        <w:t xml:space="preserve"> are still able to innovate will inform consideration of a </w:t>
      </w:r>
      <w:r w:rsidR="000F0414" w:rsidRPr="000F0414">
        <w:rPr>
          <w:i/>
          <w:iCs/>
        </w:rPr>
        <w:t>de minimi</w:t>
      </w:r>
      <w:r w:rsidR="000F0414">
        <w:t xml:space="preserve">s threshold </w:t>
      </w:r>
      <w:r w:rsidR="00263533">
        <w:t>to</w:t>
      </w:r>
      <w:r>
        <w:t xml:space="preserve"> exclude smaller players from mandatory </w:t>
      </w:r>
      <w:r w:rsidR="00263533">
        <w:t>obligations</w:t>
      </w:r>
      <w:r w:rsidR="000F0414">
        <w:t>.</w:t>
      </w:r>
      <w:r w:rsidR="00DC5218">
        <w:t xml:space="preserve"> </w:t>
      </w:r>
    </w:p>
    <w:p w14:paraId="5E17EE54" w14:textId="45B921BC" w:rsidR="004A4302" w:rsidRDefault="004A4302" w:rsidP="00A9719D">
      <w:r>
        <w:lastRenderedPageBreak/>
        <w:t xml:space="preserve">Block also noted the possibility of applying a </w:t>
      </w:r>
      <w:r w:rsidRPr="000F0414">
        <w:rPr>
          <w:i/>
          <w:iCs/>
        </w:rPr>
        <w:t>de minimis</w:t>
      </w:r>
      <w:r>
        <w:t xml:space="preserve"> threshold to specific products, regardless of entity size, allowing companies to:</w:t>
      </w:r>
    </w:p>
    <w:p w14:paraId="7C4D91C1" w14:textId="69069EB6" w:rsidR="004A4302" w:rsidRDefault="0063462B" w:rsidP="004A4302">
      <w:pPr>
        <w:ind w:left="340"/>
      </w:pPr>
      <w:r>
        <w:t>…</w:t>
      </w:r>
      <w:r w:rsidR="004A4302">
        <w:t>experiment and innovate in established product categories and build customer momentum, without the pressures of regulatory compliance where there is little consumer benefit. Incorporating such thresholds has the potential to mirror the success of ASIC’s enhanced regulatory sandbox, which allows businesses to test certain innovative financial services or credit activities without first obtaining an Australian financial services licence or Australian credit licence.</w:t>
      </w:r>
      <w:r w:rsidR="004A4302">
        <w:rPr>
          <w:rStyle w:val="FootnoteReference"/>
        </w:rPr>
        <w:footnoteReference w:id="33"/>
      </w:r>
    </w:p>
    <w:p w14:paraId="5C62979D" w14:textId="53D55048" w:rsidR="000F0414" w:rsidRDefault="00DE26EA" w:rsidP="00A9719D">
      <w:r>
        <w:t>T</w:t>
      </w:r>
      <w:r w:rsidR="000F0414" w:rsidDel="005B5125">
        <w:t>he</w:t>
      </w:r>
      <w:r w:rsidR="000F0414">
        <w:t xml:space="preserve"> </w:t>
      </w:r>
      <w:r w:rsidR="00D728E6">
        <w:t xml:space="preserve">concept of a </w:t>
      </w:r>
      <w:r w:rsidR="00D728E6" w:rsidRPr="00D728E6">
        <w:rPr>
          <w:i/>
          <w:iCs/>
        </w:rPr>
        <w:t>de minimis</w:t>
      </w:r>
      <w:r w:rsidR="00D728E6">
        <w:t xml:space="preserve"> threshold on new products, </w:t>
      </w:r>
      <w:bookmarkStart w:id="26" w:name="_Hlk105666352"/>
      <w:r w:rsidR="00D728E6">
        <w:t xml:space="preserve">essentially allowing lenders </w:t>
      </w:r>
      <w:r w:rsidR="000F0414">
        <w:t>some time to trial a new product prior to mandatory CDR obligations applying</w:t>
      </w:r>
      <w:bookmarkEnd w:id="26"/>
      <w:r w:rsidR="00D728E6">
        <w:t>,</w:t>
      </w:r>
      <w:r w:rsidR="00F736A6">
        <w:t xml:space="preserve"> </w:t>
      </w:r>
      <w:r w:rsidR="000F0414">
        <w:t>will also be considered further at the rules-stage.</w:t>
      </w:r>
      <w:r w:rsidR="003539FB">
        <w:t xml:space="preserve"> For example, a threshold could apply based on the number of customers </w:t>
      </w:r>
      <w:r w:rsidR="003F7F23">
        <w:t>on</w:t>
      </w:r>
      <w:r w:rsidR="003539FB">
        <w:t xml:space="preserve"> a product.</w:t>
      </w:r>
    </w:p>
    <w:p w14:paraId="1FDA60C3" w14:textId="62753D15" w:rsidR="001E6079" w:rsidRPr="008171D3" w:rsidRDefault="00544D4C" w:rsidP="00C74B91">
      <w:pPr>
        <w:pStyle w:val="Heading4"/>
      </w:pPr>
      <w:bookmarkStart w:id="27" w:name="_Toc101261434"/>
      <w:r>
        <w:t>P</w:t>
      </w:r>
      <w:r w:rsidR="001E6079">
        <w:t>romoting competition</w:t>
      </w:r>
    </w:p>
    <w:p w14:paraId="746D2824" w14:textId="68FA4DE0" w:rsidR="00B773C4" w:rsidRDefault="006E7F1D" w:rsidP="00BA0D25">
      <w:r>
        <w:t xml:space="preserve">The non-bank lending sector </w:t>
      </w:r>
      <w:r w:rsidR="007560F7">
        <w:t>can</w:t>
      </w:r>
      <w:r>
        <w:t xml:space="preserve"> support economic growth by providing an alternative form of </w:t>
      </w:r>
      <w:r w:rsidR="007560F7">
        <w:t xml:space="preserve">funding </w:t>
      </w:r>
      <w:r>
        <w:t xml:space="preserve">for individuals and businesses, </w:t>
      </w:r>
      <w:r w:rsidR="00354C7B">
        <w:t xml:space="preserve">thereby </w:t>
      </w:r>
      <w:r>
        <w:t>provid</w:t>
      </w:r>
      <w:r w:rsidR="00A9104A">
        <w:t xml:space="preserve">ing </w:t>
      </w:r>
      <w:r>
        <w:t>an important source of competition to the banking sector.</w:t>
      </w:r>
      <w:r>
        <w:rPr>
          <w:rStyle w:val="FootnoteReference"/>
        </w:rPr>
        <w:footnoteReference w:id="34"/>
      </w:r>
      <w:r w:rsidR="00584C01">
        <w:t xml:space="preserve"> </w:t>
      </w:r>
      <w:r w:rsidR="00B076FE">
        <w:t>True</w:t>
      </w:r>
      <w:r w:rsidR="00F736A6">
        <w:t>L</w:t>
      </w:r>
      <w:r w:rsidR="00B076FE">
        <w:t>ayer</w:t>
      </w:r>
      <w:r w:rsidR="003A0EF9">
        <w:t xml:space="preserve"> similarly </w:t>
      </w:r>
      <w:r w:rsidR="003B2C1B">
        <w:t>submitted</w:t>
      </w:r>
      <w:r w:rsidR="00B076FE">
        <w:t xml:space="preserve"> that non-bank lenders will play an important role in using the CDR to compete with banks in providing lending and credit products to consumers and doing so with innovative and differentiated offerings.</w:t>
      </w:r>
      <w:r w:rsidR="003B2C1B">
        <w:rPr>
          <w:rStyle w:val="FootnoteReference"/>
        </w:rPr>
        <w:footnoteReference w:id="35"/>
      </w:r>
      <w:r w:rsidR="00B076FE">
        <w:t xml:space="preserve"> </w:t>
      </w:r>
      <w:r w:rsidR="00252354">
        <w:t>The ACCC noted:</w:t>
      </w:r>
    </w:p>
    <w:p w14:paraId="33701CF2" w14:textId="63765D63" w:rsidR="00252354" w:rsidRDefault="00252354" w:rsidP="00252354">
      <w:pPr>
        <w:ind w:left="340"/>
      </w:pPr>
      <w:r>
        <w:t>Effective competition requires informed purchasing decisions by consumers. Extending the CDR to non-bank lenders would help overcome barriers to consumers’ access to information relevant to their purchasing decisions. At present, consumers can use the CDR to compare different loan products from banks. The inclusion of non-bank lenders in the CDR will improve consumers’ ability to assess whether a bank or non-bank loan would best suit their personal circumstances and broaden competition across providers.</w:t>
      </w:r>
    </w:p>
    <w:p w14:paraId="0BC7C477" w14:textId="57D564EE" w:rsidR="00C44A12" w:rsidRDefault="00252354" w:rsidP="00B773C4">
      <w:pPr>
        <w:keepNext/>
      </w:pPr>
      <w:r>
        <w:t xml:space="preserve">As outlined above, the extension of </w:t>
      </w:r>
      <w:r w:rsidR="00F736A6">
        <w:t xml:space="preserve">the </w:t>
      </w:r>
      <w:r>
        <w:t>CDR</w:t>
      </w:r>
      <w:r w:rsidR="00845416">
        <w:t xml:space="preserve"> to non-bank lending </w:t>
      </w:r>
      <w:r w:rsidR="00F736A6">
        <w:t>may</w:t>
      </w:r>
      <w:r w:rsidR="00845416">
        <w:t xml:space="preserve"> make it easier for consumers to identify and ultimately switch to better value lending products.</w:t>
      </w:r>
      <w:r w:rsidR="003A0EF9">
        <w:t xml:space="preserve"> The ACCC</w:t>
      </w:r>
      <w:r w:rsidR="003A0EF9" w:rsidDel="00322CB5">
        <w:t xml:space="preserve"> </w:t>
      </w:r>
      <w:r w:rsidR="00322CB5">
        <w:t>considers</w:t>
      </w:r>
      <w:r w:rsidR="003A0EF9">
        <w:t xml:space="preserve"> b</w:t>
      </w:r>
      <w:r w:rsidR="00C44A12">
        <w:t>orrowers in the non-bank lending market could benefit from easier switching due to the changing market dynamics that occur from having a credible threat of customers switching lenders</w:t>
      </w:r>
      <w:r w:rsidR="003A0EF9">
        <w:t>.</w:t>
      </w:r>
      <w:r w:rsidR="004203D1">
        <w:rPr>
          <w:rStyle w:val="FootnoteReference"/>
        </w:rPr>
        <w:footnoteReference w:id="36"/>
      </w:r>
    </w:p>
    <w:p w14:paraId="7EEA9F09" w14:textId="3FE92A30" w:rsidR="00862524" w:rsidRPr="00862524" w:rsidRDefault="009D5D18" w:rsidP="00862524">
      <w:pPr>
        <w:rPr>
          <w:rFonts w:asciiTheme="minorHAnsi" w:hAnsiTheme="minorHAnsi"/>
        </w:rPr>
      </w:pPr>
      <w:r>
        <w:t>Several submissions noted</w:t>
      </w:r>
      <w:r w:rsidR="00F156AF" w:rsidDel="009D5D18">
        <w:t xml:space="preserve"> </w:t>
      </w:r>
      <w:r w:rsidR="00F156AF">
        <w:t xml:space="preserve">that bringing non-bank lenders into the CDR would foster a more competitive environment, by levelling the regulatory playing field between banks and non-bank lenders </w:t>
      </w:r>
      <w:r w:rsidR="00F736A6">
        <w:t>that</w:t>
      </w:r>
      <w:r w:rsidR="00F156AF">
        <w:t xml:space="preserve"> provide similar products and hold similar data.</w:t>
      </w:r>
      <w:r w:rsidR="00F156AF">
        <w:rPr>
          <w:rStyle w:val="FootnoteReference"/>
        </w:rPr>
        <w:footnoteReference w:id="37"/>
      </w:r>
      <w:r w:rsidR="002276BC">
        <w:t xml:space="preserve"> </w:t>
      </w:r>
      <w:r w:rsidR="00862524">
        <w:rPr>
          <w:rFonts w:asciiTheme="minorHAnsi" w:hAnsiTheme="minorHAnsi"/>
        </w:rPr>
        <w:t xml:space="preserve">However, submissions also raised concerns </w:t>
      </w:r>
      <w:r w:rsidR="00A510D6">
        <w:rPr>
          <w:rFonts w:asciiTheme="minorHAnsi" w:hAnsiTheme="minorHAnsi"/>
        </w:rPr>
        <w:t>that the</w:t>
      </w:r>
      <w:r w:rsidR="00A31B26">
        <w:rPr>
          <w:rFonts w:asciiTheme="minorHAnsi" w:hAnsiTheme="minorHAnsi"/>
        </w:rPr>
        <w:t xml:space="preserve"> introduction of the CDR to non-bank lending could have an adverse impact on competition in the sector if small and less</w:t>
      </w:r>
      <w:r w:rsidR="007970A9">
        <w:rPr>
          <w:rFonts w:asciiTheme="minorHAnsi" w:hAnsiTheme="minorHAnsi"/>
        </w:rPr>
        <w:noBreakHyphen/>
      </w:r>
      <w:r w:rsidR="00A31B26">
        <w:rPr>
          <w:rFonts w:asciiTheme="minorHAnsi" w:hAnsiTheme="minorHAnsi"/>
        </w:rPr>
        <w:t xml:space="preserve">resourced lenders are required to </w:t>
      </w:r>
      <w:r w:rsidR="00F81FF7">
        <w:rPr>
          <w:rFonts w:asciiTheme="minorHAnsi" w:hAnsiTheme="minorHAnsi"/>
        </w:rPr>
        <w:t>participate as data</w:t>
      </w:r>
      <w:r w:rsidR="00286EA8">
        <w:rPr>
          <w:rFonts w:asciiTheme="minorHAnsi" w:hAnsiTheme="minorHAnsi"/>
        </w:rPr>
        <w:t xml:space="preserve"> </w:t>
      </w:r>
      <w:r w:rsidR="00F81FF7">
        <w:rPr>
          <w:rFonts w:asciiTheme="minorHAnsi" w:hAnsiTheme="minorHAnsi"/>
        </w:rPr>
        <w:t>holders</w:t>
      </w:r>
      <w:r w:rsidR="00862524">
        <w:rPr>
          <w:rFonts w:asciiTheme="minorHAnsi" w:hAnsiTheme="minorHAnsi"/>
        </w:rPr>
        <w:t>.</w:t>
      </w:r>
      <w:r w:rsidR="00A510D6">
        <w:rPr>
          <w:rStyle w:val="FootnoteReference"/>
          <w:rFonts w:asciiTheme="minorHAnsi" w:hAnsiTheme="minorHAnsi"/>
        </w:rPr>
        <w:footnoteReference w:id="38"/>
      </w:r>
      <w:r w:rsidR="00A510D6">
        <w:rPr>
          <w:rFonts w:asciiTheme="minorHAnsi" w:hAnsiTheme="minorHAnsi"/>
        </w:rPr>
        <w:t xml:space="preserve"> As noted by True</w:t>
      </w:r>
      <w:r w:rsidR="009655F5">
        <w:rPr>
          <w:rFonts w:asciiTheme="minorHAnsi" w:hAnsiTheme="minorHAnsi"/>
        </w:rPr>
        <w:t>L</w:t>
      </w:r>
      <w:r w:rsidR="00A510D6">
        <w:rPr>
          <w:rFonts w:asciiTheme="minorHAnsi" w:hAnsiTheme="minorHAnsi"/>
        </w:rPr>
        <w:t>ayer:</w:t>
      </w:r>
    </w:p>
    <w:p w14:paraId="6D3FFD02" w14:textId="33295203" w:rsidR="00B773C4" w:rsidRDefault="004224C4" w:rsidP="00584C01">
      <w:pPr>
        <w:ind w:left="340"/>
      </w:pPr>
      <w:r>
        <w:t xml:space="preserve">Determining the scope and timetable for extension of the CDR to non-bank lending will require an appropriate balance to be found between encouraging competition through </w:t>
      </w:r>
      <w:r>
        <w:lastRenderedPageBreak/>
        <w:t>mandatory provision of data by non-bank lenders, and ensuring that the ability of non</w:t>
      </w:r>
      <w:r w:rsidR="00B1078F">
        <w:noBreakHyphen/>
      </w:r>
      <w:r>
        <w:t>bank lenders to compete in the lending market is not unduly impaired by CDR compliance costs.</w:t>
      </w:r>
      <w:r w:rsidR="00A510D6">
        <w:rPr>
          <w:rStyle w:val="FootnoteReference"/>
        </w:rPr>
        <w:footnoteReference w:id="39"/>
      </w:r>
    </w:p>
    <w:p w14:paraId="1D646EE4" w14:textId="041F8EA8" w:rsidR="00A510D6" w:rsidRDefault="009655F5" w:rsidP="00A510D6">
      <w:r>
        <w:t>The impact of imposing data</w:t>
      </w:r>
      <w:r w:rsidR="00E24AFD">
        <w:t xml:space="preserve"> </w:t>
      </w:r>
      <w:r>
        <w:t>sharing obligations on smaller providers, and the possible implications for competition in the non-bank lending sector,</w:t>
      </w:r>
      <w:r w:rsidR="00A510D6">
        <w:t xml:space="preserve"> is discussed further in the Regulatory </w:t>
      </w:r>
      <w:r w:rsidR="00533115">
        <w:t>i</w:t>
      </w:r>
      <w:r w:rsidR="00A510D6">
        <w:t xml:space="preserve">mpacts section of the report. </w:t>
      </w:r>
    </w:p>
    <w:p w14:paraId="3E22645F" w14:textId="7BD2B2F6" w:rsidR="00F04709" w:rsidRPr="008A4BD1" w:rsidRDefault="00F04709" w:rsidP="00C74B91">
      <w:pPr>
        <w:pStyle w:val="Heading4"/>
      </w:pPr>
      <w:r w:rsidRPr="008A4BD1">
        <w:t>Supporting vulnerable consumers’ market participation</w:t>
      </w:r>
      <w:bookmarkEnd w:id="27"/>
    </w:p>
    <w:p w14:paraId="5A84B43F" w14:textId="48211A6F" w:rsidR="00B13FAA" w:rsidRDefault="00533115" w:rsidP="00BA0D25">
      <w:pPr>
        <w:pStyle w:val="Bullet"/>
        <w:numPr>
          <w:ilvl w:val="0"/>
          <w:numId w:val="0"/>
        </w:numPr>
        <w:spacing w:before="200"/>
        <w:rPr>
          <w:color w:val="auto"/>
          <w:sz w:val="22"/>
          <w:szCs w:val="22"/>
        </w:rPr>
      </w:pPr>
      <w:r>
        <w:rPr>
          <w:color w:val="auto"/>
          <w:sz w:val="22"/>
          <w:szCs w:val="22"/>
        </w:rPr>
        <w:t>Extending</w:t>
      </w:r>
      <w:r w:rsidR="00B13FAA">
        <w:rPr>
          <w:color w:val="auto"/>
          <w:sz w:val="22"/>
          <w:szCs w:val="22"/>
        </w:rPr>
        <w:t xml:space="preserve"> </w:t>
      </w:r>
      <w:r w:rsidR="004A4218">
        <w:rPr>
          <w:color w:val="auto"/>
          <w:sz w:val="22"/>
          <w:szCs w:val="22"/>
        </w:rPr>
        <w:t>the CDR</w:t>
      </w:r>
      <w:r w:rsidR="00B13FAA">
        <w:rPr>
          <w:color w:val="auto"/>
          <w:sz w:val="22"/>
          <w:szCs w:val="22"/>
        </w:rPr>
        <w:t xml:space="preserve"> </w:t>
      </w:r>
      <w:r w:rsidR="00813D24">
        <w:rPr>
          <w:color w:val="auto"/>
          <w:sz w:val="22"/>
          <w:szCs w:val="22"/>
        </w:rPr>
        <w:t xml:space="preserve">to non-bank lending has the potential </w:t>
      </w:r>
      <w:r w:rsidR="003437E5">
        <w:rPr>
          <w:color w:val="auto"/>
          <w:sz w:val="22"/>
          <w:szCs w:val="22"/>
        </w:rPr>
        <w:t xml:space="preserve">to </w:t>
      </w:r>
      <w:r w:rsidR="00B13FAA">
        <w:rPr>
          <w:color w:val="auto"/>
          <w:sz w:val="22"/>
          <w:szCs w:val="22"/>
        </w:rPr>
        <w:t xml:space="preserve">lead to the development of new financial products and services for vulnerable consumers experiencing financial hardship which are better tailored to their needs and circumstances and </w:t>
      </w:r>
      <w:r w:rsidR="006149AC">
        <w:rPr>
          <w:color w:val="auto"/>
          <w:sz w:val="22"/>
          <w:szCs w:val="22"/>
        </w:rPr>
        <w:t xml:space="preserve">support </w:t>
      </w:r>
      <w:r w:rsidR="003437E5">
        <w:rPr>
          <w:color w:val="auto"/>
          <w:sz w:val="22"/>
          <w:szCs w:val="22"/>
        </w:rPr>
        <w:t>these consumers to better manage their debt.</w:t>
      </w:r>
      <w:r w:rsidR="003437E5">
        <w:rPr>
          <w:rStyle w:val="FootnoteReference"/>
          <w:color w:val="auto"/>
          <w:sz w:val="22"/>
          <w:szCs w:val="22"/>
        </w:rPr>
        <w:footnoteReference w:id="40"/>
      </w:r>
      <w:r w:rsidR="003437E5">
        <w:rPr>
          <w:color w:val="auto"/>
          <w:sz w:val="22"/>
          <w:szCs w:val="22"/>
        </w:rPr>
        <w:t xml:space="preserve"> </w:t>
      </w:r>
      <w:r>
        <w:rPr>
          <w:color w:val="auto"/>
          <w:sz w:val="22"/>
          <w:szCs w:val="22"/>
        </w:rPr>
        <w:t>The ACCC noted:</w:t>
      </w:r>
    </w:p>
    <w:p w14:paraId="2BFBF719" w14:textId="7AAADC7F" w:rsidR="0028193D" w:rsidRPr="006379E8" w:rsidRDefault="0028193D" w:rsidP="00065F71">
      <w:pPr>
        <w:ind w:left="340"/>
        <w:rPr>
          <w:rFonts w:asciiTheme="minorHAnsi" w:hAnsiTheme="minorHAnsi"/>
        </w:rPr>
      </w:pPr>
      <w:r w:rsidRPr="004A4218">
        <w:t>The CDR could enable a consumer to consent to a third party</w:t>
      </w:r>
      <w:r w:rsidR="00C322D3">
        <w:t>,</w:t>
      </w:r>
      <w:r w:rsidRPr="004A4218">
        <w:t xml:space="preserve"> such as a financial counsellor</w:t>
      </w:r>
      <w:r w:rsidR="00C322D3">
        <w:t>,</w:t>
      </w:r>
      <w:r w:rsidRPr="004A4218">
        <w:t xml:space="preserve"> accessing their data from multiple different sectors where the CDR has been rolled out to get a more holistic picture of a </w:t>
      </w:r>
      <w:r w:rsidRPr="006379E8">
        <w:rPr>
          <w:rFonts w:asciiTheme="minorHAnsi" w:hAnsiTheme="minorHAnsi"/>
        </w:rPr>
        <w:t>consumer’s financial hardship and the support available to them. The financial counsellor could use this data to provide advice on options or liaise with providers on the consumer’s behalf to manage the debt.</w:t>
      </w:r>
      <w:r w:rsidRPr="00C66919">
        <w:rPr>
          <w:rStyle w:val="FootnoteReference"/>
          <w:rFonts w:asciiTheme="minorHAnsi" w:hAnsiTheme="minorHAnsi"/>
        </w:rPr>
        <w:t xml:space="preserve"> </w:t>
      </w:r>
      <w:r>
        <w:rPr>
          <w:rStyle w:val="FootnoteReference"/>
          <w:rFonts w:asciiTheme="minorHAnsi" w:hAnsiTheme="minorHAnsi"/>
        </w:rPr>
        <w:footnoteReference w:id="41"/>
      </w:r>
    </w:p>
    <w:p w14:paraId="380A0EBE" w14:textId="77777777" w:rsidR="00065F71" w:rsidRDefault="00065F71" w:rsidP="00080B9C">
      <w:pPr>
        <w:pStyle w:val="NoSpacing"/>
        <w:rPr>
          <w:rFonts w:asciiTheme="minorHAnsi" w:hAnsiTheme="minorHAnsi"/>
        </w:rPr>
      </w:pPr>
    </w:p>
    <w:p w14:paraId="113333C6" w14:textId="6C39E531" w:rsidR="00CB167B" w:rsidRDefault="00CB167B" w:rsidP="00C12B93">
      <w:pPr>
        <w:pStyle w:val="NoSpacing"/>
        <w:rPr>
          <w:rFonts w:asciiTheme="minorHAnsi" w:hAnsiTheme="minorHAnsi"/>
        </w:rPr>
      </w:pPr>
      <w:r>
        <w:rPr>
          <w:rFonts w:asciiTheme="minorHAnsi" w:hAnsiTheme="minorHAnsi"/>
        </w:rPr>
        <w:t xml:space="preserve">Not-for-profits are using CDR data to get a deeper understanding of a consumer’s financial situation to support those in financial hardship to manage their debt; they </w:t>
      </w:r>
      <w:r w:rsidR="008671D0">
        <w:rPr>
          <w:rFonts w:asciiTheme="minorHAnsi" w:hAnsiTheme="minorHAnsi"/>
        </w:rPr>
        <w:t>can</w:t>
      </w:r>
      <w:r>
        <w:rPr>
          <w:rFonts w:asciiTheme="minorHAnsi" w:hAnsiTheme="minorHAnsi"/>
        </w:rPr>
        <w:t xml:space="preserve"> access the CDR data under the new C</w:t>
      </w:r>
      <w:r w:rsidR="006D01C5">
        <w:rPr>
          <w:rFonts w:asciiTheme="minorHAnsi" w:hAnsiTheme="minorHAnsi"/>
        </w:rPr>
        <w:t>D</w:t>
      </w:r>
      <w:r>
        <w:rPr>
          <w:rFonts w:asciiTheme="minorHAnsi" w:hAnsiTheme="minorHAnsi"/>
        </w:rPr>
        <w:t>R representative model.</w:t>
      </w:r>
      <w:r>
        <w:rPr>
          <w:rStyle w:val="FootnoteReference"/>
          <w:rFonts w:asciiTheme="minorHAnsi" w:hAnsiTheme="minorHAnsi"/>
        </w:rPr>
        <w:footnoteReference w:id="42"/>
      </w:r>
    </w:p>
    <w:p w14:paraId="60189BC1" w14:textId="77777777" w:rsidR="00A055BB" w:rsidRDefault="00A055BB" w:rsidP="00C12B93">
      <w:pPr>
        <w:pStyle w:val="NoSpacing"/>
        <w:rPr>
          <w:rFonts w:asciiTheme="minorHAnsi" w:hAnsiTheme="minorHAnsi"/>
        </w:rPr>
      </w:pPr>
    </w:p>
    <w:p w14:paraId="04819678" w14:textId="77777777" w:rsidR="008671D0" w:rsidRPr="00080B9C" w:rsidRDefault="008671D0" w:rsidP="008671D0">
      <w:pPr>
        <w:pStyle w:val="NoSpacing"/>
        <w:rPr>
          <w:rFonts w:asciiTheme="minorHAnsi" w:hAnsiTheme="minorHAnsi"/>
        </w:rPr>
      </w:pPr>
      <w:r>
        <w:rPr>
          <w:rFonts w:asciiTheme="minorHAnsi" w:hAnsiTheme="minorHAnsi"/>
        </w:rPr>
        <w:t>Some stakeholders noted that a broad designation capturing all of a consumer’s financial commitments would help support these types of services. The Australian Banking Association (ABA)</w:t>
      </w:r>
      <w:r w:rsidRPr="005D653D">
        <w:rPr>
          <w:rFonts w:asciiTheme="minorHAnsi" w:hAnsiTheme="minorHAnsi"/>
        </w:rPr>
        <w:t xml:space="preserve"> support</w:t>
      </w:r>
      <w:r>
        <w:rPr>
          <w:rFonts w:asciiTheme="minorHAnsi" w:hAnsiTheme="minorHAnsi"/>
        </w:rPr>
        <w:t>ed</w:t>
      </w:r>
      <w:r w:rsidRPr="005D653D">
        <w:rPr>
          <w:rFonts w:asciiTheme="minorHAnsi" w:hAnsiTheme="minorHAnsi"/>
        </w:rPr>
        <w:t xml:space="preserve"> </w:t>
      </w:r>
      <w:r>
        <w:rPr>
          <w:rFonts w:asciiTheme="minorHAnsi" w:hAnsiTheme="minorHAnsi"/>
        </w:rPr>
        <w:t>‘…</w:t>
      </w:r>
      <w:r w:rsidRPr="005D653D">
        <w:rPr>
          <w:rFonts w:asciiTheme="minorHAnsi" w:hAnsiTheme="minorHAnsi"/>
        </w:rPr>
        <w:t>a broad approach to the non-bank lending designation that includes a wide source of datasets</w:t>
      </w:r>
      <w:r>
        <w:rPr>
          <w:rFonts w:asciiTheme="minorHAnsi" w:hAnsiTheme="minorHAnsi"/>
        </w:rPr>
        <w:t>, including data from BNPL lenders and fringe credit providers (also known as payday lenders)’.</w:t>
      </w:r>
      <w:r>
        <w:rPr>
          <w:rStyle w:val="FootnoteReference"/>
          <w:rFonts w:asciiTheme="minorHAnsi" w:hAnsiTheme="minorHAnsi"/>
        </w:rPr>
        <w:footnoteReference w:id="43"/>
      </w:r>
      <w:r>
        <w:rPr>
          <w:rFonts w:asciiTheme="minorHAnsi" w:hAnsiTheme="minorHAnsi"/>
        </w:rPr>
        <w:t xml:space="preserve"> It asserted that a broad designation </w:t>
      </w:r>
      <w:r w:rsidRPr="005D653D">
        <w:rPr>
          <w:rFonts w:asciiTheme="minorHAnsi" w:hAnsiTheme="minorHAnsi"/>
        </w:rPr>
        <w:t xml:space="preserve">could enable </w:t>
      </w:r>
      <w:r>
        <w:rPr>
          <w:rFonts w:asciiTheme="minorHAnsi" w:hAnsiTheme="minorHAnsi"/>
        </w:rPr>
        <w:t xml:space="preserve">industry to create </w:t>
      </w:r>
      <w:r w:rsidRPr="005D653D">
        <w:rPr>
          <w:rFonts w:asciiTheme="minorHAnsi" w:hAnsiTheme="minorHAnsi"/>
        </w:rPr>
        <w:t xml:space="preserve">additional tools that </w:t>
      </w:r>
      <w:r>
        <w:rPr>
          <w:rFonts w:asciiTheme="minorHAnsi" w:hAnsiTheme="minorHAnsi"/>
        </w:rPr>
        <w:t>help</w:t>
      </w:r>
      <w:r w:rsidRPr="005D653D">
        <w:rPr>
          <w:rFonts w:asciiTheme="minorHAnsi" w:hAnsiTheme="minorHAnsi"/>
        </w:rPr>
        <w:t xml:space="preserve"> educate and assist </w:t>
      </w:r>
      <w:r>
        <w:rPr>
          <w:rFonts w:asciiTheme="minorHAnsi" w:hAnsiTheme="minorHAnsi"/>
        </w:rPr>
        <w:t>individuals and consumers experiencing financial hardship, further noting G</w:t>
      </w:r>
      <w:r w:rsidRPr="005D653D">
        <w:rPr>
          <w:rFonts w:asciiTheme="minorHAnsi" w:hAnsiTheme="minorHAnsi"/>
        </w:rPr>
        <w:t xml:space="preserve">overnment </w:t>
      </w:r>
      <w:r>
        <w:rPr>
          <w:rFonts w:asciiTheme="minorHAnsi" w:hAnsiTheme="minorHAnsi"/>
        </w:rPr>
        <w:t>could be enabled ‘to</w:t>
      </w:r>
      <w:r w:rsidRPr="005D653D">
        <w:rPr>
          <w:rFonts w:asciiTheme="minorHAnsi" w:hAnsiTheme="minorHAnsi"/>
        </w:rPr>
        <w:t xml:space="preserve"> reach out to these </w:t>
      </w:r>
      <w:r>
        <w:rPr>
          <w:rFonts w:asciiTheme="minorHAnsi" w:hAnsiTheme="minorHAnsi"/>
        </w:rPr>
        <w:t>individuals</w:t>
      </w:r>
      <w:r w:rsidRPr="005D653D">
        <w:rPr>
          <w:rFonts w:asciiTheme="minorHAnsi" w:hAnsiTheme="minorHAnsi"/>
        </w:rPr>
        <w:t xml:space="preserve"> more effectively</w:t>
      </w:r>
      <w:r>
        <w:rPr>
          <w:rFonts w:asciiTheme="minorHAnsi" w:hAnsiTheme="minorHAnsi"/>
        </w:rPr>
        <w:t>’ to provide appropriate support.</w:t>
      </w:r>
      <w:r>
        <w:rPr>
          <w:rStyle w:val="FootnoteReference"/>
          <w:rFonts w:asciiTheme="minorHAnsi" w:hAnsiTheme="minorHAnsi"/>
        </w:rPr>
        <w:footnoteReference w:id="44"/>
      </w:r>
    </w:p>
    <w:p w14:paraId="148E1BD3" w14:textId="77777777" w:rsidR="00C12B93" w:rsidRDefault="00C12B93" w:rsidP="00080B9C">
      <w:pPr>
        <w:pStyle w:val="NoSpacing"/>
        <w:rPr>
          <w:rFonts w:asciiTheme="minorHAnsi" w:hAnsiTheme="minorHAnsi"/>
        </w:rPr>
      </w:pPr>
    </w:p>
    <w:p w14:paraId="66490966" w14:textId="01A1394E" w:rsidR="005D653D" w:rsidRDefault="00080B9C" w:rsidP="00080B9C">
      <w:pPr>
        <w:pStyle w:val="NoSpacing"/>
        <w:rPr>
          <w:rFonts w:asciiTheme="minorHAnsi" w:hAnsiTheme="minorHAnsi"/>
        </w:rPr>
      </w:pPr>
      <w:r w:rsidRPr="00080B9C">
        <w:rPr>
          <w:rFonts w:asciiTheme="minorHAnsi" w:hAnsiTheme="minorHAnsi"/>
        </w:rPr>
        <w:t xml:space="preserve">The CDR may </w:t>
      </w:r>
      <w:r w:rsidR="00065F71">
        <w:rPr>
          <w:rFonts w:asciiTheme="minorHAnsi" w:hAnsiTheme="minorHAnsi"/>
        </w:rPr>
        <w:t>also</w:t>
      </w:r>
      <w:r w:rsidRPr="00080B9C">
        <w:rPr>
          <w:rFonts w:asciiTheme="minorHAnsi" w:hAnsiTheme="minorHAnsi"/>
        </w:rPr>
        <w:t xml:space="preserve"> enable the lender to process hardship applications and aid customers more quickly. Data sharing may also benefit vulnerable consumers who cannot readily access documentation to support their hardship request.</w:t>
      </w:r>
      <w:r>
        <w:rPr>
          <w:rStyle w:val="FootnoteReference"/>
          <w:rFonts w:asciiTheme="minorHAnsi" w:hAnsiTheme="minorHAnsi"/>
        </w:rPr>
        <w:footnoteReference w:id="45"/>
      </w:r>
      <w:r w:rsidRPr="00080B9C">
        <w:rPr>
          <w:rFonts w:asciiTheme="minorHAnsi" w:hAnsiTheme="minorHAnsi"/>
        </w:rPr>
        <w:t xml:space="preserve"> </w:t>
      </w:r>
    </w:p>
    <w:p w14:paraId="49FEEA7D" w14:textId="77777777" w:rsidR="00080B9C" w:rsidRPr="00D823DC" w:rsidRDefault="00080B9C" w:rsidP="00080B9C">
      <w:pPr>
        <w:pStyle w:val="NoSpacing"/>
      </w:pPr>
    </w:p>
    <w:p w14:paraId="3B72FDB6" w14:textId="007D70AB" w:rsidR="008D4DC7" w:rsidRDefault="005C5E70" w:rsidP="00FC4B83">
      <w:pPr>
        <w:pStyle w:val="Bulle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However, </w:t>
      </w:r>
      <w:r w:rsidR="001213D8">
        <w:rPr>
          <w:rFonts w:asciiTheme="minorHAnsi" w:eastAsiaTheme="minorHAnsi" w:hAnsiTheme="minorHAnsi" w:cstheme="minorBidi"/>
          <w:color w:val="auto"/>
          <w:sz w:val="22"/>
          <w:szCs w:val="22"/>
        </w:rPr>
        <w:t xml:space="preserve">a few stakeholder </w:t>
      </w:r>
      <w:r>
        <w:rPr>
          <w:rFonts w:asciiTheme="minorHAnsi" w:eastAsiaTheme="minorHAnsi" w:hAnsiTheme="minorHAnsi" w:cstheme="minorBidi"/>
          <w:color w:val="auto"/>
          <w:sz w:val="22"/>
          <w:szCs w:val="22"/>
        </w:rPr>
        <w:t xml:space="preserve">submissions raised concerns </w:t>
      </w:r>
      <w:r w:rsidR="008D4DC7">
        <w:rPr>
          <w:rFonts w:asciiTheme="minorHAnsi" w:eastAsiaTheme="minorHAnsi" w:hAnsiTheme="minorHAnsi" w:cstheme="minorBidi"/>
          <w:color w:val="auto"/>
          <w:sz w:val="22"/>
          <w:szCs w:val="22"/>
        </w:rPr>
        <w:t xml:space="preserve">about the potential for </w:t>
      </w:r>
      <w:r w:rsidR="0068756B">
        <w:rPr>
          <w:rFonts w:asciiTheme="minorHAnsi" w:eastAsiaTheme="minorHAnsi" w:hAnsiTheme="minorHAnsi" w:cstheme="minorBidi"/>
          <w:color w:val="auto"/>
          <w:sz w:val="22"/>
          <w:szCs w:val="22"/>
        </w:rPr>
        <w:t>misuse of CDR data to contribute to harm for vulnerable consumers</w:t>
      </w:r>
      <w:r>
        <w:rPr>
          <w:rFonts w:asciiTheme="minorHAnsi" w:eastAsiaTheme="minorHAnsi" w:hAnsiTheme="minorHAnsi" w:cstheme="minorBidi"/>
          <w:color w:val="auto"/>
          <w:sz w:val="22"/>
          <w:szCs w:val="22"/>
        </w:rPr>
        <w:t>, because the non</w:t>
      </w:r>
      <w:r w:rsidR="00B1078F">
        <w:rPr>
          <w:rFonts w:asciiTheme="minorHAnsi" w:eastAsiaTheme="minorHAnsi" w:hAnsiTheme="minorHAnsi" w:cstheme="minorBidi"/>
          <w:color w:val="auto"/>
          <w:sz w:val="22"/>
          <w:szCs w:val="22"/>
        </w:rPr>
        <w:noBreakHyphen/>
      </w:r>
      <w:r w:rsidR="00757273" w:rsidRPr="00FC4B83">
        <w:rPr>
          <w:rFonts w:asciiTheme="minorHAnsi" w:eastAsiaTheme="minorHAnsi" w:hAnsiTheme="minorHAnsi" w:cstheme="minorBidi"/>
          <w:color w:val="auto"/>
          <w:sz w:val="22"/>
          <w:szCs w:val="22"/>
        </w:rPr>
        <w:t xml:space="preserve">banking sector serves different demographics, functions and purposes than the ADI banking sector, </w:t>
      </w:r>
      <w:r>
        <w:rPr>
          <w:rFonts w:asciiTheme="minorHAnsi" w:eastAsiaTheme="minorHAnsi" w:hAnsiTheme="minorHAnsi" w:cstheme="minorBidi"/>
          <w:color w:val="auto"/>
          <w:sz w:val="22"/>
          <w:szCs w:val="22"/>
        </w:rPr>
        <w:t>and specialise</w:t>
      </w:r>
      <w:r w:rsidR="008D4DC7">
        <w:rPr>
          <w:rFonts w:asciiTheme="minorHAnsi" w:eastAsiaTheme="minorHAnsi" w:hAnsiTheme="minorHAnsi" w:cstheme="minorBidi"/>
          <w:color w:val="auto"/>
          <w:sz w:val="22"/>
          <w:szCs w:val="22"/>
        </w:rPr>
        <w:t>s</w:t>
      </w:r>
      <w:r>
        <w:rPr>
          <w:rFonts w:asciiTheme="minorHAnsi" w:eastAsiaTheme="minorHAnsi" w:hAnsiTheme="minorHAnsi" w:cstheme="minorBidi"/>
          <w:color w:val="auto"/>
          <w:sz w:val="22"/>
          <w:szCs w:val="22"/>
        </w:rPr>
        <w:t xml:space="preserve"> in</w:t>
      </w:r>
      <w:r w:rsidR="00757273" w:rsidRPr="00FC4B83">
        <w:rPr>
          <w:rFonts w:asciiTheme="minorHAnsi" w:eastAsiaTheme="minorHAnsi" w:hAnsiTheme="minorHAnsi" w:cstheme="minorBidi"/>
          <w:color w:val="auto"/>
          <w:sz w:val="22"/>
          <w:szCs w:val="22"/>
        </w:rPr>
        <w:t xml:space="preserve"> providing loans for </w:t>
      </w:r>
      <w:r w:rsidR="008671D0">
        <w:rPr>
          <w:rFonts w:asciiTheme="minorHAnsi" w:eastAsiaTheme="minorHAnsi" w:hAnsiTheme="minorHAnsi" w:cstheme="minorBidi"/>
          <w:color w:val="auto"/>
          <w:sz w:val="22"/>
          <w:szCs w:val="22"/>
        </w:rPr>
        <w:t>‘</w:t>
      </w:r>
      <w:r w:rsidR="00757273" w:rsidRPr="00FC4B83">
        <w:rPr>
          <w:rFonts w:asciiTheme="minorHAnsi" w:eastAsiaTheme="minorHAnsi" w:hAnsiTheme="minorHAnsi" w:cstheme="minorBidi"/>
          <w:color w:val="auto"/>
          <w:sz w:val="22"/>
          <w:szCs w:val="22"/>
        </w:rPr>
        <w:t>non-conforming borrowers</w:t>
      </w:r>
      <w:r w:rsidR="008671D0">
        <w:rPr>
          <w:rFonts w:asciiTheme="minorHAnsi" w:eastAsiaTheme="minorHAnsi" w:hAnsiTheme="minorHAnsi" w:cstheme="minorBidi"/>
          <w:color w:val="auto"/>
          <w:sz w:val="22"/>
          <w:szCs w:val="22"/>
        </w:rPr>
        <w:t>’</w:t>
      </w:r>
      <w:r w:rsidR="00757273" w:rsidRPr="00FC4B83">
        <w:rPr>
          <w:rFonts w:asciiTheme="minorHAnsi" w:eastAsiaTheme="minorHAnsi" w:hAnsiTheme="minorHAnsi" w:cstheme="minorBidi"/>
          <w:color w:val="auto"/>
          <w:sz w:val="22"/>
          <w:szCs w:val="22"/>
        </w:rPr>
        <w:t>.</w:t>
      </w:r>
      <w:r w:rsidR="00995D53">
        <w:rPr>
          <w:rStyle w:val="FootnoteReference"/>
          <w:rFonts w:asciiTheme="minorHAnsi" w:eastAsiaTheme="minorHAnsi" w:hAnsiTheme="minorHAnsi" w:cstheme="minorBidi"/>
          <w:color w:val="auto"/>
          <w:sz w:val="22"/>
          <w:szCs w:val="22"/>
        </w:rPr>
        <w:footnoteReference w:id="46"/>
      </w:r>
      <w:r w:rsidR="00757273" w:rsidRPr="00FC4B83">
        <w:rPr>
          <w:rFonts w:asciiTheme="minorHAnsi" w:eastAsiaTheme="minorHAnsi" w:hAnsiTheme="minorHAnsi" w:cstheme="minorBidi"/>
          <w:color w:val="auto"/>
          <w:sz w:val="22"/>
          <w:szCs w:val="22"/>
        </w:rPr>
        <w:t xml:space="preserve"> </w:t>
      </w:r>
      <w:r w:rsidR="00DD50F3">
        <w:rPr>
          <w:rFonts w:asciiTheme="minorHAnsi" w:eastAsiaTheme="minorHAnsi" w:hAnsiTheme="minorHAnsi" w:cstheme="minorBidi"/>
          <w:color w:val="auto"/>
          <w:sz w:val="22"/>
          <w:szCs w:val="22"/>
        </w:rPr>
        <w:t>Non</w:t>
      </w:r>
      <w:r w:rsidR="007F07B8">
        <w:rPr>
          <w:rFonts w:asciiTheme="minorHAnsi" w:eastAsiaTheme="minorHAnsi" w:hAnsiTheme="minorHAnsi" w:cstheme="minorBidi"/>
          <w:color w:val="auto"/>
          <w:sz w:val="22"/>
          <w:szCs w:val="22"/>
        </w:rPr>
        <w:noBreakHyphen/>
      </w:r>
      <w:r w:rsidR="00DD50F3">
        <w:rPr>
          <w:rFonts w:asciiTheme="minorHAnsi" w:eastAsiaTheme="minorHAnsi" w:hAnsiTheme="minorHAnsi" w:cstheme="minorBidi"/>
          <w:color w:val="auto"/>
          <w:sz w:val="22"/>
          <w:szCs w:val="22"/>
        </w:rPr>
        <w:t>conf</w:t>
      </w:r>
      <w:r w:rsidR="007F07B8">
        <w:rPr>
          <w:rFonts w:asciiTheme="minorHAnsi" w:eastAsiaTheme="minorHAnsi" w:hAnsiTheme="minorHAnsi" w:cstheme="minorBidi"/>
          <w:color w:val="auto"/>
          <w:sz w:val="22"/>
          <w:szCs w:val="22"/>
        </w:rPr>
        <w:t>o</w:t>
      </w:r>
      <w:r w:rsidR="00DD50F3">
        <w:rPr>
          <w:rFonts w:asciiTheme="minorHAnsi" w:eastAsiaTheme="minorHAnsi" w:hAnsiTheme="minorHAnsi" w:cstheme="minorBidi"/>
          <w:color w:val="auto"/>
          <w:sz w:val="22"/>
          <w:szCs w:val="22"/>
        </w:rPr>
        <w:t>rming borrowers</w:t>
      </w:r>
      <w:r w:rsidR="00757273" w:rsidRPr="00FC4B83">
        <w:rPr>
          <w:rFonts w:asciiTheme="minorHAnsi" w:eastAsiaTheme="minorHAnsi" w:hAnsiTheme="minorHAnsi" w:cstheme="minorBidi"/>
          <w:color w:val="auto"/>
          <w:sz w:val="22"/>
          <w:szCs w:val="22"/>
        </w:rPr>
        <w:t xml:space="preserve"> </w:t>
      </w:r>
      <w:r w:rsidR="00DD50F3">
        <w:rPr>
          <w:rFonts w:asciiTheme="minorHAnsi" w:eastAsiaTheme="minorHAnsi" w:hAnsiTheme="minorHAnsi" w:cstheme="minorBidi"/>
          <w:color w:val="auto"/>
          <w:sz w:val="22"/>
          <w:szCs w:val="22"/>
        </w:rPr>
        <w:t>are</w:t>
      </w:r>
      <w:r w:rsidR="00757273" w:rsidRPr="00FC4B83">
        <w:rPr>
          <w:rFonts w:asciiTheme="minorHAnsi" w:eastAsiaTheme="minorHAnsi" w:hAnsiTheme="minorHAnsi" w:cstheme="minorBidi"/>
          <w:color w:val="auto"/>
          <w:sz w:val="22"/>
          <w:szCs w:val="22"/>
        </w:rPr>
        <w:t xml:space="preserve"> those with credit profiles </w:t>
      </w:r>
      <w:r w:rsidR="008671D0">
        <w:rPr>
          <w:rFonts w:asciiTheme="minorHAnsi" w:eastAsiaTheme="minorHAnsi" w:hAnsiTheme="minorHAnsi" w:cstheme="minorBidi"/>
          <w:color w:val="auto"/>
          <w:sz w:val="22"/>
          <w:szCs w:val="22"/>
        </w:rPr>
        <w:t>that</w:t>
      </w:r>
      <w:r w:rsidR="00757273" w:rsidRPr="00FC4B83">
        <w:rPr>
          <w:rFonts w:asciiTheme="minorHAnsi" w:eastAsiaTheme="minorHAnsi" w:hAnsiTheme="minorHAnsi" w:cstheme="minorBidi"/>
          <w:color w:val="auto"/>
          <w:sz w:val="22"/>
          <w:szCs w:val="22"/>
        </w:rPr>
        <w:t xml:space="preserve"> do not meet banking</w:t>
      </w:r>
      <w:r w:rsidR="008671D0">
        <w:rPr>
          <w:rFonts w:asciiTheme="minorHAnsi" w:eastAsiaTheme="minorHAnsi" w:hAnsiTheme="minorHAnsi" w:cstheme="minorBidi"/>
          <w:color w:val="auto"/>
          <w:sz w:val="22"/>
          <w:szCs w:val="22"/>
        </w:rPr>
        <w:t>-</w:t>
      </w:r>
      <w:r w:rsidR="00757273" w:rsidRPr="00FC4B83">
        <w:rPr>
          <w:rFonts w:asciiTheme="minorHAnsi" w:eastAsiaTheme="minorHAnsi" w:hAnsiTheme="minorHAnsi" w:cstheme="minorBidi"/>
          <w:color w:val="auto"/>
          <w:sz w:val="22"/>
          <w:szCs w:val="22"/>
        </w:rPr>
        <w:t>sector standards</w:t>
      </w:r>
      <w:r w:rsidR="008D4DC7">
        <w:rPr>
          <w:rFonts w:asciiTheme="minorHAnsi" w:eastAsiaTheme="minorHAnsi" w:hAnsiTheme="minorHAnsi" w:cstheme="minorBidi"/>
          <w:color w:val="auto"/>
          <w:sz w:val="22"/>
          <w:szCs w:val="22"/>
        </w:rPr>
        <w:t>, such as:</w:t>
      </w:r>
    </w:p>
    <w:p w14:paraId="0ABA2C25" w14:textId="198AA03D" w:rsidR="008D4DC7" w:rsidRDefault="008671D0" w:rsidP="008D4DC7">
      <w:pPr>
        <w:pStyle w:val="Bullet"/>
        <w:numPr>
          <w:ilvl w:val="0"/>
          <w:numId w:val="0"/>
        </w:numPr>
        <w:ind w:left="340"/>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lastRenderedPageBreak/>
        <w:t>…</w:t>
      </w:r>
      <w:r w:rsidR="008D4DC7" w:rsidRPr="008D4DC7">
        <w:rPr>
          <w:rFonts w:asciiTheme="minorHAnsi" w:eastAsiaTheme="minorHAnsi" w:hAnsiTheme="minorHAnsi" w:cstheme="minorBidi"/>
          <w:color w:val="auto"/>
          <w:sz w:val="22"/>
          <w:szCs w:val="22"/>
        </w:rPr>
        <w:t>those who may be self-employed, have a poor credit history or are experiencing financial hardship, and who struggle to obtain finance from the banking sector. Such consumers may also be more likely to obtain high interest, short term credit products, such as payday loans, which can trap them in difficult to escape debt cycles.</w:t>
      </w:r>
      <w:r w:rsidR="008D4DC7">
        <w:rPr>
          <w:rStyle w:val="FootnoteReference"/>
          <w:rFonts w:asciiTheme="minorHAnsi" w:eastAsiaTheme="minorHAnsi" w:hAnsiTheme="minorHAnsi" w:cstheme="minorBidi"/>
          <w:color w:val="auto"/>
          <w:sz w:val="22"/>
          <w:szCs w:val="22"/>
        </w:rPr>
        <w:footnoteReference w:id="47"/>
      </w:r>
      <w:r w:rsidR="00757273" w:rsidRPr="00FC4B83">
        <w:rPr>
          <w:rFonts w:asciiTheme="minorHAnsi" w:eastAsiaTheme="minorHAnsi" w:hAnsiTheme="minorHAnsi" w:cstheme="minorBidi"/>
          <w:color w:val="auto"/>
          <w:sz w:val="22"/>
          <w:szCs w:val="22"/>
        </w:rPr>
        <w:t xml:space="preserve"> </w:t>
      </w:r>
    </w:p>
    <w:p w14:paraId="49CD8798" w14:textId="22A8733D" w:rsidR="002F0A1A" w:rsidRDefault="008671D0" w:rsidP="006A190F">
      <w:pPr>
        <w:pStyle w:val="Bulle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C</w:t>
      </w:r>
      <w:r w:rsidR="008B2BBF">
        <w:rPr>
          <w:rFonts w:asciiTheme="minorHAnsi" w:eastAsiaTheme="minorHAnsi" w:hAnsiTheme="minorHAnsi" w:cstheme="minorBidi"/>
          <w:color w:val="auto"/>
          <w:sz w:val="22"/>
          <w:szCs w:val="22"/>
        </w:rPr>
        <w:t>onsumer group</w:t>
      </w:r>
      <w:r w:rsidR="00D728E6">
        <w:rPr>
          <w:rFonts w:asciiTheme="minorHAnsi" w:eastAsiaTheme="minorHAnsi" w:hAnsiTheme="minorHAnsi" w:cstheme="minorBidi"/>
          <w:color w:val="auto"/>
          <w:sz w:val="22"/>
          <w:szCs w:val="22"/>
        </w:rPr>
        <w:t>s</w:t>
      </w:r>
      <w:r w:rsidR="002F0A1A">
        <w:rPr>
          <w:rFonts w:asciiTheme="minorHAnsi" w:eastAsiaTheme="minorHAnsi" w:hAnsiTheme="minorHAnsi" w:cstheme="minorBidi"/>
          <w:color w:val="auto"/>
          <w:sz w:val="22"/>
          <w:szCs w:val="22"/>
        </w:rPr>
        <w:t xml:space="preserve"> raised concerns that including non-bank lending data was </w:t>
      </w:r>
      <w:r w:rsidR="002F0A1A" w:rsidRPr="002F0A1A">
        <w:rPr>
          <w:rFonts w:asciiTheme="minorHAnsi" w:eastAsiaTheme="minorHAnsi" w:hAnsiTheme="minorHAnsi" w:cstheme="minorBidi"/>
          <w:color w:val="auto"/>
          <w:sz w:val="22"/>
          <w:szCs w:val="22"/>
        </w:rPr>
        <w:t>likely to lead to high and untenable rates of credit for these types of consumers</w:t>
      </w:r>
      <w:r>
        <w:rPr>
          <w:rFonts w:asciiTheme="minorHAnsi" w:eastAsiaTheme="minorHAnsi" w:hAnsiTheme="minorHAnsi" w:cstheme="minorBidi"/>
          <w:color w:val="auto"/>
          <w:sz w:val="22"/>
          <w:szCs w:val="22"/>
        </w:rPr>
        <w:t>:</w:t>
      </w:r>
    </w:p>
    <w:p w14:paraId="76DDAE0B" w14:textId="01F9B578" w:rsidR="002F0A1A" w:rsidRDefault="002F0A1A" w:rsidP="008B2BBF">
      <w:pPr>
        <w:spacing w:after="160"/>
        <w:ind w:left="340"/>
      </w:pPr>
      <w:r>
        <w:t>The speed and analytical power that the CDR can bring to – and is core to mooted benefits of the regime - will concurrently play a central role in increasing risk segmentation and the targeting of financial hardship through inappropriate price discrimination and high-cost credit. The CDR has the potential to widen the gap between the credit-haves and the credit-have-not</w:t>
      </w:r>
      <w:r w:rsidR="008671D0">
        <w:t>s</w:t>
      </w:r>
      <w:r>
        <w:t>.</w:t>
      </w:r>
      <w:r>
        <w:rPr>
          <w:rStyle w:val="FootnoteReference"/>
        </w:rPr>
        <w:footnoteReference w:id="48"/>
      </w:r>
    </w:p>
    <w:p w14:paraId="3A7620A6" w14:textId="09DD7446" w:rsidR="00D45CD1" w:rsidRDefault="00A32FAA" w:rsidP="00B27AF9">
      <w:pPr>
        <w:rPr>
          <w:b/>
          <w:bCs/>
        </w:rPr>
      </w:pPr>
      <w:r>
        <w:t xml:space="preserve">Lenders will seek information from borrowers for a range of reasons, including to meet regulatory requirements such as responsible lending obligations or to assess the risk of the borrower. </w:t>
      </w:r>
      <w:r w:rsidR="004A080A">
        <w:t xml:space="preserve">This </w:t>
      </w:r>
      <w:r w:rsidR="008671D0">
        <w:t xml:space="preserve">may </w:t>
      </w:r>
      <w:r w:rsidR="004A080A">
        <w:t xml:space="preserve">happen currently, with information shared through less secure means, such as </w:t>
      </w:r>
      <w:r w:rsidR="00620C0B">
        <w:t xml:space="preserve">emails and </w:t>
      </w:r>
      <w:r w:rsidR="004A080A">
        <w:t>screen</w:t>
      </w:r>
      <w:r w:rsidR="008671D0">
        <w:t>-</w:t>
      </w:r>
      <w:r w:rsidR="004A080A">
        <w:t>scraping</w:t>
      </w:r>
      <w:r w:rsidR="0080208C">
        <w:t>. It may also mean</w:t>
      </w:r>
      <w:r w:rsidR="004A080A">
        <w:t xml:space="preserve"> lenders mak</w:t>
      </w:r>
      <w:r w:rsidR="0080208C">
        <w:t>e</w:t>
      </w:r>
      <w:r w:rsidR="004A080A">
        <w:t xml:space="preserve"> decisions o</w:t>
      </w:r>
      <w:r w:rsidR="00BE5863">
        <w:t>n</w:t>
      </w:r>
      <w:r w:rsidR="004A080A">
        <w:t xml:space="preserve"> less complete information, such as that contained in the credit reporting system, which makes it difficult for some </w:t>
      </w:r>
      <w:r w:rsidR="0080208C">
        <w:t>borrowers</w:t>
      </w:r>
      <w:r w:rsidR="004A080A">
        <w:t xml:space="preserve"> to demonstrate their creditworthiness.</w:t>
      </w:r>
      <w:r>
        <w:t xml:space="preserve"> </w:t>
      </w:r>
    </w:p>
    <w:p w14:paraId="2DC17423" w14:textId="77777777" w:rsidR="00620C0B" w:rsidRDefault="0080208C" w:rsidP="00F07CFD">
      <w:r>
        <w:t>As such</w:t>
      </w:r>
      <w:r w:rsidR="004A080A">
        <w:t>,</w:t>
      </w:r>
      <w:r w:rsidR="00B434BE" w:rsidRPr="00271A92">
        <w:t xml:space="preserve"> T</w:t>
      </w:r>
      <w:r w:rsidR="00B434BE">
        <w:t>reasury</w:t>
      </w:r>
      <w:r w:rsidR="00B434BE" w:rsidRPr="00271A92" w:rsidDel="00322CB5">
        <w:t xml:space="preserve"> </w:t>
      </w:r>
      <w:r w:rsidR="00322CB5">
        <w:t>considers</w:t>
      </w:r>
      <w:r w:rsidR="00B434BE" w:rsidRPr="00271A92">
        <w:t xml:space="preserve"> </w:t>
      </w:r>
      <w:r w:rsidR="00B434BE">
        <w:t>there is a role for the CDR in supporting</w:t>
      </w:r>
      <w:r w:rsidR="00B434BE" w:rsidRPr="00271A92">
        <w:t xml:space="preserve"> </w:t>
      </w:r>
      <w:r w:rsidR="00B434BE">
        <w:t>lenders to make</w:t>
      </w:r>
      <w:r w:rsidR="00B434BE" w:rsidRPr="00271A92">
        <w:t xml:space="preserve"> </w:t>
      </w:r>
      <w:r w:rsidR="00B434BE">
        <w:t xml:space="preserve">more </w:t>
      </w:r>
      <w:r w:rsidR="00B434BE" w:rsidRPr="00271A92">
        <w:t xml:space="preserve">informed lending </w:t>
      </w:r>
      <w:r w:rsidR="00B434BE">
        <w:t>decisions,</w:t>
      </w:r>
      <w:r w:rsidR="00B434BE" w:rsidRPr="00271A92">
        <w:t xml:space="preserve"> </w:t>
      </w:r>
      <w:r w:rsidR="00B434BE">
        <w:t xml:space="preserve">by providing easier </w:t>
      </w:r>
      <w:r w:rsidR="006D4357">
        <w:t xml:space="preserve">and secure </w:t>
      </w:r>
      <w:r w:rsidR="00B434BE">
        <w:t>access to the information needed to make accurate credit assessments</w:t>
      </w:r>
      <w:r w:rsidR="004A16B9">
        <w:t xml:space="preserve"> and ensure consumers are not accessing credit they cannot afford</w:t>
      </w:r>
      <w:r w:rsidR="00B434BE">
        <w:t>.</w:t>
      </w:r>
      <w:r w:rsidR="00985887">
        <w:t xml:space="preserve"> As noted by AFIA, it will also allow those who have had periods of hardship to demonstrate they are back on their feet </w:t>
      </w:r>
      <w:r w:rsidR="00D728E6">
        <w:t xml:space="preserve">more </w:t>
      </w:r>
      <w:r w:rsidR="00985887">
        <w:t>quick</w:t>
      </w:r>
      <w:r w:rsidR="00D728E6">
        <w:t>ly</w:t>
      </w:r>
      <w:r w:rsidR="00985887">
        <w:t>.</w:t>
      </w:r>
      <w:r w:rsidR="0095480E">
        <w:rPr>
          <w:rStyle w:val="FootnoteReference"/>
          <w:rFonts w:asciiTheme="minorHAnsi" w:hAnsiTheme="minorHAnsi"/>
        </w:rPr>
        <w:footnoteReference w:id="49"/>
      </w:r>
      <w:r w:rsidR="00985887">
        <w:t xml:space="preserve"> </w:t>
      </w:r>
      <w:bookmarkStart w:id="28" w:name="_Hlk105665693"/>
    </w:p>
    <w:p w14:paraId="2BF97537" w14:textId="0FC25848" w:rsidR="0062501C" w:rsidRDefault="0062501C" w:rsidP="00F07CFD">
      <w:r>
        <w:t xml:space="preserve">Some stakeholders also raised concerns about the possible interactions between CDR and comprehensive credit reporting (CCR), specifically that CDR will allow the sharing of information to entities </w:t>
      </w:r>
      <w:r w:rsidR="0080208C">
        <w:t>that</w:t>
      </w:r>
      <w:r>
        <w:t xml:space="preserve"> would not otherwise have received it through the CCR. </w:t>
      </w:r>
      <w:bookmarkEnd w:id="28"/>
      <w:r>
        <w:t>Stakeholders noted the potential for CDR data, namely transaction data, to indicate when a consumer is demonstrating signs of financial hardship.</w:t>
      </w:r>
      <w:r w:rsidR="0080208C">
        <w:rPr>
          <w:rStyle w:val="FootnoteReference"/>
          <w:rFonts w:asciiTheme="minorHAnsi" w:hAnsiTheme="minorHAnsi"/>
        </w:rPr>
        <w:footnoteReference w:id="50"/>
      </w:r>
      <w:r>
        <w:t xml:space="preserve"> However, Treasury considers there is overall benefit in this information being available in the system as consumers are in </w:t>
      </w:r>
      <w:r w:rsidR="00182BD8">
        <w:t xml:space="preserve">control </w:t>
      </w:r>
      <w:r>
        <w:t xml:space="preserve">of what data they share and for what purpose. For example, consumers </w:t>
      </w:r>
      <w:r w:rsidR="00182BD8">
        <w:t xml:space="preserve">experiencing </w:t>
      </w:r>
      <w:r>
        <w:t xml:space="preserve">financial hardship </w:t>
      </w:r>
      <w:r w:rsidR="00182BD8">
        <w:t>should be able</w:t>
      </w:r>
      <w:r>
        <w:t xml:space="preserve"> to </w:t>
      </w:r>
      <w:r w:rsidR="00182BD8">
        <w:t xml:space="preserve">opt-in </w:t>
      </w:r>
      <w:r>
        <w:t xml:space="preserve">to </w:t>
      </w:r>
      <w:r w:rsidR="00182BD8">
        <w:t>share</w:t>
      </w:r>
      <w:r>
        <w:t xml:space="preserve"> their information to support financial counselling or budgeting services.</w:t>
      </w:r>
      <w:r>
        <w:rPr>
          <w:rStyle w:val="FootnoteReference"/>
          <w:rFonts w:asciiTheme="minorHAnsi" w:hAnsiTheme="minorHAnsi"/>
        </w:rPr>
        <w:footnoteReference w:id="51"/>
      </w:r>
    </w:p>
    <w:p w14:paraId="704E02D1" w14:textId="77777777" w:rsidR="00457EFE" w:rsidRDefault="00457EFE" w:rsidP="00457EFE">
      <w:pPr>
        <w:spacing w:before="0"/>
      </w:pPr>
    </w:p>
    <w:p w14:paraId="03635AE8" w14:textId="6FCA54EE" w:rsidR="0096553C" w:rsidRDefault="0096553C" w:rsidP="0062501C">
      <w:pPr>
        <w:pStyle w:val="Bulle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For the reason</w:t>
      </w:r>
      <w:r w:rsidR="00DE2F57">
        <w:rPr>
          <w:rFonts w:asciiTheme="minorHAnsi" w:eastAsiaTheme="minorHAnsi" w:hAnsiTheme="minorHAnsi" w:cstheme="minorBidi"/>
          <w:color w:val="auto"/>
          <w:sz w:val="22"/>
          <w:szCs w:val="22"/>
        </w:rPr>
        <w:t>s</w:t>
      </w:r>
      <w:r>
        <w:rPr>
          <w:rFonts w:asciiTheme="minorHAnsi" w:eastAsiaTheme="minorHAnsi" w:hAnsiTheme="minorHAnsi" w:cstheme="minorBidi"/>
          <w:color w:val="auto"/>
          <w:sz w:val="22"/>
          <w:szCs w:val="22"/>
        </w:rPr>
        <w:t xml:space="preserve"> set out above, Treasury recommends </w:t>
      </w:r>
      <w:r w:rsidR="002329E0">
        <w:rPr>
          <w:rFonts w:asciiTheme="minorHAnsi" w:eastAsiaTheme="minorHAnsi" w:hAnsiTheme="minorHAnsi" w:cstheme="minorBidi"/>
          <w:color w:val="auto"/>
          <w:sz w:val="22"/>
          <w:szCs w:val="22"/>
        </w:rPr>
        <w:t>not explicitly excluding</w:t>
      </w:r>
      <w:r>
        <w:rPr>
          <w:rFonts w:asciiTheme="minorHAnsi" w:eastAsiaTheme="minorHAnsi" w:hAnsiTheme="minorHAnsi" w:cstheme="minorBidi"/>
          <w:color w:val="auto"/>
          <w:sz w:val="22"/>
          <w:szCs w:val="22"/>
        </w:rPr>
        <w:t xml:space="preserve"> financial hardship information</w:t>
      </w:r>
      <w:r w:rsidR="002329E0">
        <w:rPr>
          <w:rFonts w:asciiTheme="minorHAnsi" w:eastAsiaTheme="minorHAnsi" w:hAnsiTheme="minorHAnsi" w:cstheme="minorBidi"/>
          <w:color w:val="auto"/>
          <w:sz w:val="22"/>
          <w:szCs w:val="22"/>
        </w:rPr>
        <w:t xml:space="preserve"> in the designation instrument.</w:t>
      </w:r>
      <w:r>
        <w:rPr>
          <w:rFonts w:asciiTheme="minorHAnsi" w:eastAsiaTheme="minorHAnsi" w:hAnsiTheme="minorHAnsi" w:cstheme="minorBidi"/>
          <w:color w:val="auto"/>
          <w:sz w:val="22"/>
          <w:szCs w:val="22"/>
        </w:rPr>
        <w:t xml:space="preserve"> This recognises that as the CDR ecosystem evolves, there may be possible use cases to support these consumers where this information is valuable. However, at this time Treasury did not find sufficient use cases and therefore recommends this information, in particular financial hardship information as defined by the </w:t>
      </w:r>
      <w:r w:rsidR="00BA3579">
        <w:rPr>
          <w:rFonts w:asciiTheme="minorHAnsi" w:eastAsiaTheme="minorHAnsi" w:hAnsiTheme="minorHAnsi" w:cstheme="minorBidi"/>
          <w:color w:val="auto"/>
          <w:sz w:val="22"/>
          <w:szCs w:val="22"/>
        </w:rPr>
        <w:t xml:space="preserve">CCR regime, </w:t>
      </w:r>
      <w:r>
        <w:rPr>
          <w:rFonts w:asciiTheme="minorHAnsi" w:eastAsiaTheme="minorHAnsi" w:hAnsiTheme="minorHAnsi" w:cstheme="minorBidi"/>
          <w:color w:val="auto"/>
          <w:sz w:val="22"/>
          <w:szCs w:val="22"/>
        </w:rPr>
        <w:t xml:space="preserve">be excluded at the rule-making stage. This is consistent with the approach taken in Energy and </w:t>
      </w:r>
      <w:r w:rsidR="00822CCA">
        <w:rPr>
          <w:rFonts w:asciiTheme="minorHAnsi" w:eastAsiaTheme="minorHAnsi" w:hAnsiTheme="minorHAnsi" w:cstheme="minorBidi"/>
          <w:color w:val="auto"/>
          <w:sz w:val="22"/>
          <w:szCs w:val="22"/>
        </w:rPr>
        <w:t xml:space="preserve">the approach being consulted on </w:t>
      </w:r>
      <w:r>
        <w:rPr>
          <w:rFonts w:asciiTheme="minorHAnsi" w:eastAsiaTheme="minorHAnsi" w:hAnsiTheme="minorHAnsi" w:cstheme="minorBidi"/>
          <w:color w:val="auto"/>
          <w:sz w:val="22"/>
          <w:szCs w:val="22"/>
        </w:rPr>
        <w:t xml:space="preserve">in Telecommunications. </w:t>
      </w:r>
    </w:p>
    <w:p w14:paraId="2681C917" w14:textId="77777777" w:rsidR="00603462" w:rsidRDefault="00F15E90" w:rsidP="006A190F">
      <w:pPr>
        <w:pStyle w:val="Bulle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While not an issue </w:t>
      </w:r>
      <w:r w:rsidR="003F7F23">
        <w:rPr>
          <w:rFonts w:asciiTheme="minorHAnsi" w:eastAsiaTheme="minorHAnsi" w:hAnsiTheme="minorHAnsi" w:cstheme="minorBidi"/>
          <w:color w:val="auto"/>
          <w:sz w:val="22"/>
          <w:szCs w:val="22"/>
        </w:rPr>
        <w:t>specific to the</w:t>
      </w:r>
      <w:r>
        <w:rPr>
          <w:rFonts w:asciiTheme="minorHAnsi" w:eastAsiaTheme="minorHAnsi" w:hAnsiTheme="minorHAnsi" w:cstheme="minorBidi"/>
          <w:color w:val="auto"/>
          <w:sz w:val="22"/>
          <w:szCs w:val="22"/>
        </w:rPr>
        <w:t xml:space="preserve"> designation of non-bank lending sector, a couple </w:t>
      </w:r>
      <w:r w:rsidR="002F6C91">
        <w:rPr>
          <w:rFonts w:asciiTheme="minorHAnsi" w:eastAsiaTheme="minorHAnsi" w:hAnsiTheme="minorHAnsi" w:cstheme="minorBidi"/>
          <w:color w:val="auto"/>
          <w:sz w:val="22"/>
          <w:szCs w:val="22"/>
        </w:rPr>
        <w:t>of</w:t>
      </w:r>
      <w:r>
        <w:rPr>
          <w:rFonts w:asciiTheme="minorHAnsi" w:eastAsiaTheme="minorHAnsi" w:hAnsiTheme="minorHAnsi" w:cstheme="minorBidi"/>
          <w:color w:val="auto"/>
          <w:sz w:val="22"/>
          <w:szCs w:val="22"/>
        </w:rPr>
        <w:t xml:space="preserve"> stakeholders noted the potential for </w:t>
      </w:r>
      <w:r w:rsidR="005D326E">
        <w:rPr>
          <w:rFonts w:asciiTheme="minorHAnsi" w:eastAsiaTheme="minorHAnsi" w:hAnsiTheme="minorHAnsi" w:cstheme="minorBidi"/>
          <w:color w:val="auto"/>
          <w:sz w:val="22"/>
          <w:szCs w:val="22"/>
        </w:rPr>
        <w:t xml:space="preserve">ADRs to use information in </w:t>
      </w:r>
      <w:r w:rsidR="0044040C">
        <w:rPr>
          <w:rFonts w:asciiTheme="minorHAnsi" w:eastAsiaTheme="minorHAnsi" w:hAnsiTheme="minorHAnsi" w:cstheme="minorBidi"/>
          <w:color w:val="auto"/>
          <w:sz w:val="22"/>
          <w:szCs w:val="22"/>
        </w:rPr>
        <w:t xml:space="preserve">the </w:t>
      </w:r>
      <w:r w:rsidR="005D326E">
        <w:rPr>
          <w:rFonts w:asciiTheme="minorHAnsi" w:eastAsiaTheme="minorHAnsi" w:hAnsiTheme="minorHAnsi" w:cstheme="minorBidi"/>
          <w:color w:val="auto"/>
          <w:sz w:val="22"/>
          <w:szCs w:val="22"/>
        </w:rPr>
        <w:t xml:space="preserve">CDR to facilitate poor </w:t>
      </w:r>
      <w:r w:rsidR="005D326E">
        <w:rPr>
          <w:rFonts w:asciiTheme="minorHAnsi" w:eastAsiaTheme="minorHAnsi" w:hAnsiTheme="minorHAnsi" w:cstheme="minorBidi"/>
          <w:color w:val="auto"/>
          <w:sz w:val="22"/>
          <w:szCs w:val="22"/>
        </w:rPr>
        <w:lastRenderedPageBreak/>
        <w:t>lending practices and target those in financial hardship</w:t>
      </w:r>
      <w:r w:rsidR="0044040C">
        <w:rPr>
          <w:rFonts w:asciiTheme="minorHAnsi" w:eastAsiaTheme="minorHAnsi" w:hAnsiTheme="minorHAnsi" w:cstheme="minorBidi"/>
          <w:color w:val="auto"/>
          <w:sz w:val="22"/>
          <w:szCs w:val="22"/>
        </w:rPr>
        <w:t xml:space="preserve"> -</w:t>
      </w:r>
      <w:r w:rsidR="005D326E">
        <w:rPr>
          <w:rFonts w:asciiTheme="minorHAnsi" w:eastAsiaTheme="minorHAnsi" w:hAnsiTheme="minorHAnsi" w:cstheme="minorBidi"/>
          <w:color w:val="auto"/>
          <w:sz w:val="22"/>
          <w:szCs w:val="22"/>
        </w:rPr>
        <w:t xml:space="preserve"> behaviours seen by some predatory non-bank lenders.</w:t>
      </w:r>
      <w:r w:rsidR="005D326E">
        <w:rPr>
          <w:rStyle w:val="FootnoteReference"/>
          <w:rFonts w:asciiTheme="minorHAnsi" w:eastAsiaTheme="minorHAnsi" w:hAnsiTheme="minorHAnsi" w:cstheme="minorBidi"/>
          <w:color w:val="auto"/>
          <w:sz w:val="22"/>
          <w:szCs w:val="22"/>
        </w:rPr>
        <w:footnoteReference w:id="52"/>
      </w:r>
      <w:r w:rsidR="00B97D51">
        <w:rPr>
          <w:rFonts w:asciiTheme="minorHAnsi" w:eastAsiaTheme="minorHAnsi" w:hAnsiTheme="minorHAnsi" w:cstheme="minorBidi"/>
          <w:color w:val="auto"/>
          <w:sz w:val="22"/>
          <w:szCs w:val="22"/>
        </w:rPr>
        <w:t xml:space="preserve"> </w:t>
      </w:r>
      <w:r w:rsidR="005D326E">
        <w:rPr>
          <w:rFonts w:asciiTheme="minorHAnsi" w:eastAsiaTheme="minorHAnsi" w:hAnsiTheme="minorHAnsi" w:cstheme="minorBidi"/>
          <w:color w:val="auto"/>
          <w:sz w:val="22"/>
          <w:szCs w:val="22"/>
        </w:rPr>
        <w:t xml:space="preserve">For example, </w:t>
      </w:r>
      <w:r w:rsidR="00FE4BC1">
        <w:rPr>
          <w:rFonts w:asciiTheme="minorHAnsi" w:eastAsiaTheme="minorHAnsi" w:hAnsiTheme="minorHAnsi" w:cstheme="minorBidi"/>
          <w:color w:val="auto"/>
          <w:sz w:val="22"/>
          <w:szCs w:val="22"/>
        </w:rPr>
        <w:t>it was recommended</w:t>
      </w:r>
      <w:r w:rsidR="00995D53">
        <w:rPr>
          <w:rFonts w:asciiTheme="minorHAnsi" w:eastAsiaTheme="minorHAnsi" w:hAnsiTheme="minorHAnsi" w:cstheme="minorBidi"/>
          <w:color w:val="auto"/>
          <w:sz w:val="22"/>
          <w:szCs w:val="22"/>
        </w:rPr>
        <w:t xml:space="preserve"> Treasury give consideration at the rule</w:t>
      </w:r>
      <w:r w:rsidR="00F47D5A">
        <w:rPr>
          <w:rFonts w:asciiTheme="minorHAnsi" w:eastAsiaTheme="minorHAnsi" w:hAnsiTheme="minorHAnsi" w:cstheme="minorBidi"/>
          <w:color w:val="auto"/>
          <w:sz w:val="22"/>
          <w:szCs w:val="22"/>
        </w:rPr>
        <w:t>-</w:t>
      </w:r>
      <w:r w:rsidR="00995D53">
        <w:rPr>
          <w:rFonts w:asciiTheme="minorHAnsi" w:eastAsiaTheme="minorHAnsi" w:hAnsiTheme="minorHAnsi" w:cstheme="minorBidi"/>
          <w:color w:val="auto"/>
          <w:sz w:val="22"/>
          <w:szCs w:val="22"/>
        </w:rPr>
        <w:t>making stag</w:t>
      </w:r>
      <w:r w:rsidR="00286EA8">
        <w:rPr>
          <w:rFonts w:asciiTheme="minorHAnsi" w:eastAsiaTheme="minorHAnsi" w:hAnsiTheme="minorHAnsi" w:cstheme="minorBidi"/>
          <w:color w:val="auto"/>
          <w:sz w:val="22"/>
          <w:szCs w:val="22"/>
        </w:rPr>
        <w:t>e</w:t>
      </w:r>
      <w:r w:rsidR="00995D53">
        <w:rPr>
          <w:rFonts w:asciiTheme="minorHAnsi" w:eastAsiaTheme="minorHAnsi" w:hAnsiTheme="minorHAnsi" w:cstheme="minorBidi"/>
          <w:color w:val="auto"/>
          <w:sz w:val="22"/>
          <w:szCs w:val="22"/>
        </w:rPr>
        <w:t xml:space="preserve"> </w:t>
      </w:r>
      <w:r w:rsidR="00FE4BC1">
        <w:rPr>
          <w:rFonts w:asciiTheme="minorHAnsi" w:eastAsiaTheme="minorHAnsi" w:hAnsiTheme="minorHAnsi" w:cstheme="minorBidi"/>
          <w:color w:val="auto"/>
          <w:sz w:val="22"/>
          <w:szCs w:val="22"/>
        </w:rPr>
        <w:t xml:space="preserve">on </w:t>
      </w:r>
      <w:r w:rsidR="00995D53">
        <w:rPr>
          <w:rFonts w:asciiTheme="minorHAnsi" w:eastAsiaTheme="minorHAnsi" w:hAnsiTheme="minorHAnsi" w:cstheme="minorBidi"/>
          <w:color w:val="auto"/>
          <w:sz w:val="22"/>
          <w:szCs w:val="22"/>
        </w:rPr>
        <w:t xml:space="preserve">to how to mitigate the risk of vulnerable consumers being exploited by data recipients obtaining access to consumer data and </w:t>
      </w:r>
      <w:r w:rsidR="00286EA8">
        <w:rPr>
          <w:rFonts w:asciiTheme="minorHAnsi" w:eastAsiaTheme="minorHAnsi" w:hAnsiTheme="minorHAnsi" w:cstheme="minorBidi"/>
          <w:color w:val="auto"/>
          <w:sz w:val="22"/>
          <w:szCs w:val="22"/>
        </w:rPr>
        <w:t>misusing that data for their own benefit, for example to upsell inappropriate products or set discriminatory pricing or interest rates.</w:t>
      </w:r>
      <w:r w:rsidR="00286EA8">
        <w:rPr>
          <w:rStyle w:val="FootnoteReference"/>
          <w:rFonts w:asciiTheme="minorHAnsi" w:eastAsiaTheme="minorHAnsi" w:hAnsiTheme="minorHAnsi" w:cstheme="minorBidi"/>
          <w:color w:val="auto"/>
          <w:sz w:val="22"/>
          <w:szCs w:val="22"/>
        </w:rPr>
        <w:footnoteReference w:id="53"/>
      </w:r>
      <w:r w:rsidR="00FE4BC1">
        <w:rPr>
          <w:rFonts w:asciiTheme="minorHAnsi" w:eastAsiaTheme="minorHAnsi" w:hAnsiTheme="minorHAnsi" w:cstheme="minorBidi"/>
          <w:color w:val="auto"/>
          <w:sz w:val="22"/>
          <w:szCs w:val="22"/>
        </w:rPr>
        <w:t xml:space="preserve"> </w:t>
      </w:r>
    </w:p>
    <w:p w14:paraId="48B1C657" w14:textId="06A3CE80" w:rsidR="00995D53" w:rsidRDefault="003E5D40" w:rsidP="006A190F">
      <w:pPr>
        <w:pStyle w:val="Bulle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I</w:t>
      </w:r>
      <w:r w:rsidR="00603462">
        <w:rPr>
          <w:rFonts w:asciiTheme="minorHAnsi" w:eastAsiaTheme="minorHAnsi" w:hAnsiTheme="minorHAnsi" w:cstheme="minorBidi"/>
          <w:color w:val="auto"/>
          <w:sz w:val="22"/>
          <w:szCs w:val="22"/>
        </w:rPr>
        <w:t>n addition to regulatory obligations</w:t>
      </w:r>
      <w:r w:rsidR="009D39CB">
        <w:rPr>
          <w:rFonts w:asciiTheme="minorHAnsi" w:eastAsiaTheme="minorHAnsi" w:hAnsiTheme="minorHAnsi" w:cstheme="minorBidi"/>
          <w:color w:val="auto"/>
          <w:sz w:val="22"/>
          <w:szCs w:val="22"/>
        </w:rPr>
        <w:t xml:space="preserve"> on credit providers</w:t>
      </w:r>
      <w:r w:rsidR="00603462">
        <w:rPr>
          <w:rFonts w:asciiTheme="minorHAnsi" w:eastAsiaTheme="minorHAnsi" w:hAnsiTheme="minorHAnsi" w:cstheme="minorBidi"/>
          <w:color w:val="auto"/>
          <w:sz w:val="22"/>
          <w:szCs w:val="22"/>
        </w:rPr>
        <w:t xml:space="preserve"> under the </w:t>
      </w:r>
      <w:r w:rsidR="00603462" w:rsidRPr="005C7689">
        <w:rPr>
          <w:rFonts w:asciiTheme="minorHAnsi" w:eastAsiaTheme="minorHAnsi" w:hAnsiTheme="minorHAnsi" w:cstheme="minorBidi"/>
          <w:i/>
          <w:iCs/>
          <w:color w:val="auto"/>
          <w:sz w:val="22"/>
          <w:szCs w:val="22"/>
        </w:rPr>
        <w:t>National Consumer Credit Protection Act</w:t>
      </w:r>
      <w:r w:rsidR="00603462">
        <w:rPr>
          <w:rFonts w:asciiTheme="minorHAnsi" w:eastAsiaTheme="minorHAnsi" w:hAnsiTheme="minorHAnsi" w:cstheme="minorBidi"/>
          <w:i/>
          <w:iCs/>
          <w:color w:val="auto"/>
          <w:sz w:val="22"/>
          <w:szCs w:val="22"/>
        </w:rPr>
        <w:t> </w:t>
      </w:r>
      <w:r w:rsidR="00603462" w:rsidRPr="005C7689">
        <w:rPr>
          <w:rFonts w:asciiTheme="minorHAnsi" w:eastAsiaTheme="minorHAnsi" w:hAnsiTheme="minorHAnsi" w:cstheme="minorBidi"/>
          <w:i/>
          <w:iCs/>
          <w:color w:val="auto"/>
          <w:sz w:val="22"/>
          <w:szCs w:val="22"/>
        </w:rPr>
        <w:t>20</w:t>
      </w:r>
      <w:r w:rsidR="00603462">
        <w:rPr>
          <w:rFonts w:asciiTheme="minorHAnsi" w:eastAsiaTheme="minorHAnsi" w:hAnsiTheme="minorHAnsi" w:cstheme="minorBidi"/>
          <w:i/>
          <w:iCs/>
          <w:color w:val="auto"/>
          <w:sz w:val="22"/>
          <w:szCs w:val="22"/>
        </w:rPr>
        <w:t xml:space="preserve">10 </w:t>
      </w:r>
      <w:r w:rsidR="00603462" w:rsidRPr="003E5D40">
        <w:rPr>
          <w:rFonts w:asciiTheme="minorHAnsi" w:eastAsiaTheme="minorHAnsi" w:hAnsiTheme="minorHAnsi" w:cstheme="minorBidi"/>
          <w:color w:val="auto"/>
          <w:sz w:val="22"/>
          <w:szCs w:val="22"/>
        </w:rPr>
        <w:t>(</w:t>
      </w:r>
      <w:r w:rsidR="00603462" w:rsidRPr="0044040C">
        <w:rPr>
          <w:rFonts w:asciiTheme="minorHAnsi" w:eastAsiaTheme="minorHAnsi" w:hAnsiTheme="minorHAnsi" w:cstheme="minorBidi"/>
          <w:color w:val="auto"/>
          <w:sz w:val="22"/>
          <w:szCs w:val="22"/>
        </w:rPr>
        <w:t>the Credit Act</w:t>
      </w:r>
      <w:r w:rsidR="00603462" w:rsidRPr="003E5D40">
        <w:rPr>
          <w:rFonts w:asciiTheme="minorHAnsi" w:eastAsiaTheme="minorHAnsi" w:hAnsiTheme="minorHAnsi" w:cstheme="minorBidi"/>
          <w:color w:val="auto"/>
          <w:sz w:val="22"/>
          <w:szCs w:val="22"/>
        </w:rPr>
        <w:t>)</w:t>
      </w:r>
      <w:r w:rsidR="008D793D" w:rsidRPr="003E5D40">
        <w:rPr>
          <w:rFonts w:asciiTheme="minorHAnsi" w:eastAsiaTheme="minorHAnsi" w:hAnsiTheme="minorHAnsi" w:cstheme="minorBidi"/>
          <w:color w:val="auto"/>
          <w:sz w:val="22"/>
          <w:szCs w:val="22"/>
        </w:rPr>
        <w:t>,</w:t>
      </w:r>
      <w:r w:rsidR="008D793D">
        <w:rPr>
          <w:rFonts w:asciiTheme="minorHAnsi" w:eastAsiaTheme="minorHAnsi" w:hAnsiTheme="minorHAnsi" w:cstheme="minorBidi"/>
          <w:color w:val="auto"/>
          <w:sz w:val="22"/>
          <w:szCs w:val="22"/>
        </w:rPr>
        <w:t xml:space="preserve"> including recently announced Government reforms</w:t>
      </w:r>
      <w:r w:rsidR="007613E2">
        <w:rPr>
          <w:rFonts w:asciiTheme="minorHAnsi" w:eastAsiaTheme="minorHAnsi" w:hAnsiTheme="minorHAnsi" w:cstheme="minorBidi"/>
          <w:color w:val="auto"/>
          <w:sz w:val="22"/>
          <w:szCs w:val="22"/>
        </w:rPr>
        <w:t>,</w:t>
      </w:r>
      <w:r w:rsidR="008D793D">
        <w:rPr>
          <w:rStyle w:val="FootnoteReference"/>
          <w:rFonts w:asciiTheme="minorHAnsi" w:eastAsiaTheme="minorHAnsi" w:hAnsiTheme="minorHAnsi" w:cstheme="minorBidi"/>
          <w:color w:val="auto"/>
          <w:sz w:val="22"/>
          <w:szCs w:val="22"/>
        </w:rPr>
        <w:footnoteReference w:id="54"/>
      </w:r>
      <w:r w:rsidR="004C2A05">
        <w:t xml:space="preserve"> </w:t>
      </w:r>
      <w:r w:rsidR="004C2A05">
        <w:rPr>
          <w:rFonts w:asciiTheme="minorHAnsi" w:eastAsiaTheme="minorHAnsi" w:hAnsiTheme="minorHAnsi" w:cstheme="minorBidi"/>
          <w:color w:val="auto"/>
          <w:sz w:val="22"/>
          <w:szCs w:val="22"/>
        </w:rPr>
        <w:t xml:space="preserve">there are </w:t>
      </w:r>
      <w:r w:rsidR="009D39CB">
        <w:rPr>
          <w:rFonts w:asciiTheme="minorHAnsi" w:eastAsiaTheme="minorHAnsi" w:hAnsiTheme="minorHAnsi" w:cstheme="minorBidi"/>
          <w:color w:val="auto"/>
          <w:sz w:val="22"/>
          <w:szCs w:val="22"/>
        </w:rPr>
        <w:t xml:space="preserve">also other </w:t>
      </w:r>
      <w:r w:rsidR="004C2A05">
        <w:rPr>
          <w:rFonts w:asciiTheme="minorHAnsi" w:eastAsiaTheme="minorHAnsi" w:hAnsiTheme="minorHAnsi" w:cstheme="minorBidi"/>
          <w:color w:val="auto"/>
          <w:sz w:val="22"/>
          <w:szCs w:val="22"/>
        </w:rPr>
        <w:t xml:space="preserve">existing mechanisms within the </w:t>
      </w:r>
      <w:r w:rsidR="00603462">
        <w:rPr>
          <w:rFonts w:asciiTheme="minorHAnsi" w:eastAsiaTheme="minorHAnsi" w:hAnsiTheme="minorHAnsi" w:cstheme="minorBidi"/>
          <w:color w:val="auto"/>
          <w:sz w:val="22"/>
          <w:szCs w:val="22"/>
        </w:rPr>
        <w:t xml:space="preserve">broader </w:t>
      </w:r>
      <w:r w:rsidR="004C2A05">
        <w:rPr>
          <w:rFonts w:asciiTheme="minorHAnsi" w:eastAsiaTheme="minorHAnsi" w:hAnsiTheme="minorHAnsi" w:cstheme="minorBidi"/>
          <w:color w:val="auto"/>
          <w:sz w:val="22"/>
          <w:szCs w:val="22"/>
        </w:rPr>
        <w:t>regulatory framework which specifically seek to address these types of issues</w:t>
      </w:r>
      <w:r w:rsidR="009D39CB">
        <w:rPr>
          <w:rFonts w:asciiTheme="minorHAnsi" w:eastAsiaTheme="minorHAnsi" w:hAnsiTheme="minorHAnsi" w:cstheme="minorBidi"/>
          <w:color w:val="auto"/>
          <w:sz w:val="22"/>
          <w:szCs w:val="22"/>
        </w:rPr>
        <w:t>.</w:t>
      </w:r>
      <w:r w:rsidR="00C82A26">
        <w:rPr>
          <w:rFonts w:asciiTheme="minorHAnsi" w:eastAsiaTheme="minorHAnsi" w:hAnsiTheme="minorHAnsi" w:cstheme="minorBidi"/>
          <w:color w:val="auto"/>
          <w:sz w:val="22"/>
          <w:szCs w:val="22"/>
        </w:rPr>
        <w:t xml:space="preserve"> For</w:t>
      </w:r>
      <w:r w:rsidR="004C2A05">
        <w:rPr>
          <w:rFonts w:asciiTheme="minorHAnsi" w:eastAsiaTheme="minorHAnsi" w:hAnsiTheme="minorHAnsi" w:cstheme="minorBidi"/>
          <w:color w:val="auto"/>
          <w:sz w:val="22"/>
          <w:szCs w:val="22"/>
        </w:rPr>
        <w:t xml:space="preserve"> example</w:t>
      </w:r>
      <w:r w:rsidR="009D39CB">
        <w:rPr>
          <w:rFonts w:asciiTheme="minorHAnsi" w:eastAsiaTheme="minorHAnsi" w:hAnsiTheme="minorHAnsi" w:cstheme="minorBidi"/>
          <w:color w:val="auto"/>
          <w:sz w:val="22"/>
          <w:szCs w:val="22"/>
        </w:rPr>
        <w:t>,</w:t>
      </w:r>
      <w:r w:rsidR="00F55B84">
        <w:rPr>
          <w:rFonts w:asciiTheme="minorHAnsi" w:eastAsiaTheme="minorHAnsi" w:hAnsiTheme="minorHAnsi" w:cstheme="minorBidi"/>
          <w:color w:val="auto"/>
          <w:sz w:val="22"/>
          <w:szCs w:val="22"/>
        </w:rPr>
        <w:t xml:space="preserve"> </w:t>
      </w:r>
      <w:r w:rsidR="00C82A26">
        <w:rPr>
          <w:rFonts w:asciiTheme="minorHAnsi" w:eastAsiaTheme="minorHAnsi" w:hAnsiTheme="minorHAnsi" w:cstheme="minorBidi"/>
          <w:color w:val="auto"/>
          <w:sz w:val="22"/>
          <w:szCs w:val="22"/>
        </w:rPr>
        <w:t>ASIC’s</w:t>
      </w:r>
      <w:r w:rsidR="004C2A05">
        <w:rPr>
          <w:rFonts w:asciiTheme="minorHAnsi" w:eastAsiaTheme="minorHAnsi" w:hAnsiTheme="minorHAnsi" w:cstheme="minorBidi"/>
          <w:color w:val="auto"/>
          <w:sz w:val="22"/>
          <w:szCs w:val="22"/>
        </w:rPr>
        <w:t xml:space="preserve"> design and distribution obligations</w:t>
      </w:r>
      <w:r w:rsidR="00856322">
        <w:rPr>
          <w:rStyle w:val="FootnoteReference"/>
          <w:rFonts w:asciiTheme="minorHAnsi" w:eastAsiaTheme="minorHAnsi" w:hAnsiTheme="minorHAnsi" w:cstheme="minorBidi"/>
          <w:color w:val="auto"/>
          <w:sz w:val="22"/>
          <w:szCs w:val="22"/>
        </w:rPr>
        <w:footnoteReference w:id="55"/>
      </w:r>
      <w:r w:rsidR="00856322">
        <w:rPr>
          <w:rFonts w:asciiTheme="minorHAnsi" w:eastAsiaTheme="minorHAnsi" w:hAnsiTheme="minorHAnsi" w:cstheme="minorBidi"/>
          <w:color w:val="auto"/>
          <w:sz w:val="22"/>
          <w:szCs w:val="22"/>
        </w:rPr>
        <w:t xml:space="preserve"> </w:t>
      </w:r>
      <w:r w:rsidR="009D39CB">
        <w:rPr>
          <w:rFonts w:asciiTheme="minorHAnsi" w:eastAsiaTheme="minorHAnsi" w:hAnsiTheme="minorHAnsi" w:cstheme="minorBidi"/>
          <w:color w:val="auto"/>
          <w:sz w:val="22"/>
          <w:szCs w:val="22"/>
        </w:rPr>
        <w:t xml:space="preserve">or their </w:t>
      </w:r>
      <w:r w:rsidR="00856322">
        <w:rPr>
          <w:rFonts w:asciiTheme="minorHAnsi" w:eastAsiaTheme="minorHAnsi" w:hAnsiTheme="minorHAnsi" w:cstheme="minorBidi"/>
          <w:color w:val="auto"/>
          <w:sz w:val="22"/>
          <w:szCs w:val="22"/>
        </w:rPr>
        <w:t>product intervention power</w:t>
      </w:r>
      <w:r w:rsidR="00603462">
        <w:rPr>
          <w:rStyle w:val="FootnoteReference"/>
          <w:rFonts w:asciiTheme="minorHAnsi" w:eastAsiaTheme="minorHAnsi" w:hAnsiTheme="minorHAnsi" w:cstheme="minorBidi"/>
          <w:color w:val="auto"/>
          <w:sz w:val="22"/>
          <w:szCs w:val="22"/>
        </w:rPr>
        <w:footnoteReference w:id="56"/>
      </w:r>
      <w:r w:rsidR="00856322">
        <w:rPr>
          <w:rFonts w:asciiTheme="minorHAnsi" w:eastAsiaTheme="minorHAnsi" w:hAnsiTheme="minorHAnsi" w:cstheme="minorBidi"/>
          <w:color w:val="auto"/>
          <w:sz w:val="22"/>
          <w:szCs w:val="22"/>
        </w:rPr>
        <w:t xml:space="preserve">. However to the extent that any gaps remain, Treasury will consider at the rule making stage the need for additional consumer protection measures, </w:t>
      </w:r>
      <w:r w:rsidR="00FE4BC1">
        <w:rPr>
          <w:rFonts w:asciiTheme="minorHAnsi" w:eastAsiaTheme="minorHAnsi" w:hAnsiTheme="minorHAnsi" w:cstheme="minorBidi"/>
          <w:color w:val="auto"/>
          <w:sz w:val="22"/>
          <w:szCs w:val="22"/>
        </w:rPr>
        <w:t xml:space="preserve">such </w:t>
      </w:r>
      <w:r w:rsidR="00FF303D">
        <w:rPr>
          <w:rFonts w:asciiTheme="minorHAnsi" w:eastAsiaTheme="minorHAnsi" w:hAnsiTheme="minorHAnsi" w:cstheme="minorBidi"/>
          <w:color w:val="auto"/>
          <w:sz w:val="22"/>
          <w:szCs w:val="22"/>
        </w:rPr>
        <w:t xml:space="preserve">as considering options </w:t>
      </w:r>
      <w:r w:rsidR="0044040C">
        <w:rPr>
          <w:rFonts w:asciiTheme="minorHAnsi" w:eastAsiaTheme="minorHAnsi" w:hAnsiTheme="minorHAnsi" w:cstheme="minorBidi"/>
          <w:color w:val="auto"/>
          <w:sz w:val="22"/>
          <w:szCs w:val="22"/>
        </w:rPr>
        <w:t>for</w:t>
      </w:r>
      <w:r w:rsidR="00FF303D">
        <w:rPr>
          <w:rFonts w:asciiTheme="minorHAnsi" w:eastAsiaTheme="minorHAnsi" w:hAnsiTheme="minorHAnsi" w:cstheme="minorBidi"/>
          <w:color w:val="auto"/>
          <w:sz w:val="22"/>
          <w:szCs w:val="22"/>
        </w:rPr>
        <w:t xml:space="preserve"> direct marketing consents on certain high-cost products.</w:t>
      </w:r>
      <w:r w:rsidR="00EF0C18">
        <w:rPr>
          <w:rFonts w:asciiTheme="minorHAnsi" w:eastAsiaTheme="minorHAnsi" w:hAnsiTheme="minorHAnsi" w:cstheme="minorBidi"/>
          <w:color w:val="auto"/>
          <w:sz w:val="22"/>
          <w:szCs w:val="22"/>
        </w:rPr>
        <w:t xml:space="preserve"> </w:t>
      </w:r>
    </w:p>
    <w:p w14:paraId="042DBFB5" w14:textId="580DE876" w:rsidR="006F6046" w:rsidRDefault="00913F53" w:rsidP="006A190F">
      <w:pPr>
        <w:pStyle w:val="Bullet"/>
        <w:numPr>
          <w:ilvl w:val="0"/>
          <w:numId w:val="0"/>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Importantly</w:t>
      </w:r>
      <w:r w:rsidR="009F63CF">
        <w:rPr>
          <w:rFonts w:asciiTheme="minorHAnsi" w:eastAsiaTheme="minorHAnsi" w:hAnsiTheme="minorHAnsi" w:cstheme="minorBidi"/>
          <w:color w:val="auto"/>
          <w:sz w:val="22"/>
          <w:szCs w:val="22"/>
        </w:rPr>
        <w:t>, at a high</w:t>
      </w:r>
      <w:r w:rsidR="00BF234E">
        <w:rPr>
          <w:rFonts w:asciiTheme="minorHAnsi" w:eastAsiaTheme="minorHAnsi" w:hAnsiTheme="minorHAnsi" w:cstheme="minorBidi"/>
          <w:color w:val="auto"/>
          <w:sz w:val="22"/>
          <w:szCs w:val="22"/>
        </w:rPr>
        <w:t xml:space="preserve"> </w:t>
      </w:r>
      <w:r w:rsidR="009F63CF">
        <w:rPr>
          <w:rFonts w:asciiTheme="minorHAnsi" w:eastAsiaTheme="minorHAnsi" w:hAnsiTheme="minorHAnsi" w:cstheme="minorBidi"/>
          <w:color w:val="auto"/>
          <w:sz w:val="22"/>
          <w:szCs w:val="22"/>
        </w:rPr>
        <w:t>level, the CDR is an alternative</w:t>
      </w:r>
      <w:r w:rsidR="00DC0874">
        <w:rPr>
          <w:rFonts w:asciiTheme="minorHAnsi" w:eastAsiaTheme="minorHAnsi" w:hAnsiTheme="minorHAnsi" w:cstheme="minorBidi"/>
          <w:color w:val="auto"/>
          <w:sz w:val="22"/>
          <w:szCs w:val="22"/>
        </w:rPr>
        <w:t xml:space="preserve"> and</w:t>
      </w:r>
      <w:r w:rsidR="009F63CF">
        <w:rPr>
          <w:rFonts w:asciiTheme="minorHAnsi" w:eastAsiaTheme="minorHAnsi" w:hAnsiTheme="minorHAnsi" w:cstheme="minorBidi"/>
          <w:color w:val="auto"/>
          <w:sz w:val="22"/>
          <w:szCs w:val="22"/>
        </w:rPr>
        <w:t xml:space="preserve"> secure means for consumers to share their personal information for the purpose they intend, such as to support a loan application. </w:t>
      </w:r>
      <w:r w:rsidR="00BE6EA6">
        <w:rPr>
          <w:rFonts w:asciiTheme="minorHAnsi" w:eastAsiaTheme="minorHAnsi" w:hAnsiTheme="minorHAnsi" w:cstheme="minorBidi"/>
          <w:color w:val="auto"/>
          <w:sz w:val="22"/>
          <w:szCs w:val="22"/>
        </w:rPr>
        <w:t xml:space="preserve">The CDR </w:t>
      </w:r>
      <w:r w:rsidR="00A15F84">
        <w:rPr>
          <w:rFonts w:asciiTheme="minorHAnsi" w:eastAsiaTheme="minorHAnsi" w:hAnsiTheme="minorHAnsi" w:cstheme="minorBidi"/>
          <w:color w:val="auto"/>
          <w:sz w:val="22"/>
          <w:szCs w:val="22"/>
        </w:rPr>
        <w:t xml:space="preserve">seeks to operate alongside the applicable regulatory frameworks for the relevant sectors, such as the </w:t>
      </w:r>
      <w:r w:rsidR="0044040C" w:rsidRPr="0044040C">
        <w:rPr>
          <w:rFonts w:asciiTheme="minorHAnsi" w:eastAsiaTheme="minorHAnsi" w:hAnsiTheme="minorHAnsi" w:cstheme="minorBidi"/>
          <w:color w:val="auto"/>
          <w:sz w:val="22"/>
          <w:szCs w:val="22"/>
        </w:rPr>
        <w:t xml:space="preserve"> Credit Act</w:t>
      </w:r>
      <w:r w:rsidR="00A15F84">
        <w:rPr>
          <w:rFonts w:asciiTheme="minorHAnsi" w:eastAsiaTheme="minorHAnsi" w:hAnsiTheme="minorHAnsi" w:cstheme="minorBidi"/>
          <w:i/>
          <w:iCs/>
          <w:color w:val="auto"/>
          <w:sz w:val="22"/>
          <w:szCs w:val="22"/>
        </w:rPr>
        <w:t>,</w:t>
      </w:r>
      <w:r w:rsidR="00F15E90">
        <w:rPr>
          <w:rFonts w:asciiTheme="minorHAnsi" w:eastAsiaTheme="minorHAnsi" w:hAnsiTheme="minorHAnsi" w:cstheme="minorBidi"/>
          <w:i/>
          <w:iCs/>
          <w:color w:val="auto"/>
          <w:sz w:val="22"/>
          <w:szCs w:val="22"/>
        </w:rPr>
        <w:t xml:space="preserve"> </w:t>
      </w:r>
      <w:r w:rsidR="00F15E90">
        <w:rPr>
          <w:rFonts w:asciiTheme="minorHAnsi" w:eastAsiaTheme="minorHAnsi" w:hAnsiTheme="minorHAnsi" w:cstheme="minorBidi"/>
          <w:color w:val="auto"/>
          <w:sz w:val="22"/>
          <w:szCs w:val="22"/>
        </w:rPr>
        <w:t>but does not seek to impose additional regulatory obligations outside of those required to facilitate the CDR</w:t>
      </w:r>
      <w:r w:rsidR="003D2988">
        <w:rPr>
          <w:rFonts w:asciiTheme="minorHAnsi" w:eastAsiaTheme="minorHAnsi" w:hAnsiTheme="minorHAnsi" w:cstheme="minorBidi"/>
          <w:color w:val="auto"/>
          <w:sz w:val="22"/>
          <w:szCs w:val="22"/>
        </w:rPr>
        <w:t>. Treasury</w:t>
      </w:r>
      <w:r w:rsidR="003D2988" w:rsidDel="00322CB5">
        <w:rPr>
          <w:rFonts w:asciiTheme="minorHAnsi" w:eastAsiaTheme="minorHAnsi" w:hAnsiTheme="minorHAnsi" w:cstheme="minorBidi"/>
          <w:color w:val="auto"/>
          <w:sz w:val="22"/>
          <w:szCs w:val="22"/>
        </w:rPr>
        <w:t xml:space="preserve"> </w:t>
      </w:r>
      <w:r w:rsidR="00322CB5">
        <w:rPr>
          <w:rFonts w:asciiTheme="minorHAnsi" w:eastAsiaTheme="minorHAnsi" w:hAnsiTheme="minorHAnsi" w:cstheme="minorBidi"/>
          <w:color w:val="auto"/>
          <w:sz w:val="22"/>
          <w:szCs w:val="22"/>
        </w:rPr>
        <w:t>considers</w:t>
      </w:r>
      <w:r w:rsidR="003D2988">
        <w:rPr>
          <w:rFonts w:asciiTheme="minorHAnsi" w:eastAsiaTheme="minorHAnsi" w:hAnsiTheme="minorHAnsi" w:cstheme="minorBidi"/>
          <w:color w:val="auto"/>
          <w:sz w:val="22"/>
          <w:szCs w:val="22"/>
        </w:rPr>
        <w:t xml:space="preserve"> the CDR</w:t>
      </w:r>
      <w:r w:rsidR="00F15E90">
        <w:rPr>
          <w:rFonts w:asciiTheme="minorHAnsi" w:eastAsiaTheme="minorHAnsi" w:hAnsiTheme="minorHAnsi" w:cstheme="minorBidi"/>
          <w:color w:val="auto"/>
          <w:sz w:val="22"/>
          <w:szCs w:val="22"/>
        </w:rPr>
        <w:t xml:space="preserve"> should not be seen as a means of bringing about regulatory reform in a sector, where the sector’s regulatory framework is more appropriate</w:t>
      </w:r>
      <w:r w:rsidR="00D728E6">
        <w:rPr>
          <w:rFonts w:asciiTheme="minorHAnsi" w:eastAsiaTheme="minorHAnsi" w:hAnsiTheme="minorHAnsi" w:cstheme="minorBidi"/>
          <w:color w:val="auto"/>
          <w:sz w:val="22"/>
          <w:szCs w:val="22"/>
        </w:rPr>
        <w:t xml:space="preserve"> to give effect to reform</w:t>
      </w:r>
      <w:r w:rsidR="00BE6EA6">
        <w:rPr>
          <w:rFonts w:asciiTheme="minorHAnsi" w:eastAsiaTheme="minorHAnsi" w:hAnsiTheme="minorHAnsi" w:cstheme="minorBidi"/>
          <w:color w:val="auto"/>
          <w:sz w:val="22"/>
          <w:szCs w:val="22"/>
        </w:rPr>
        <w:t xml:space="preserve">. </w:t>
      </w:r>
      <w:r w:rsidR="006F6046">
        <w:rPr>
          <w:rFonts w:asciiTheme="minorHAnsi" w:eastAsiaTheme="minorHAnsi" w:hAnsiTheme="minorHAnsi" w:cstheme="minorBidi"/>
          <w:color w:val="auto"/>
          <w:sz w:val="22"/>
          <w:szCs w:val="22"/>
        </w:rPr>
        <w:t xml:space="preserve">Further </w:t>
      </w:r>
      <w:r w:rsidR="00FC46B4">
        <w:rPr>
          <w:rFonts w:asciiTheme="minorHAnsi" w:eastAsiaTheme="minorHAnsi" w:hAnsiTheme="minorHAnsi" w:cstheme="minorBidi"/>
          <w:color w:val="auto"/>
          <w:sz w:val="22"/>
          <w:szCs w:val="22"/>
        </w:rPr>
        <w:t xml:space="preserve">examination and Treasury’s response to this issue is outlined below in the Privacy section of the report. </w:t>
      </w:r>
    </w:p>
    <w:p w14:paraId="0110E1A1" w14:textId="735E72CC" w:rsidR="00C05656" w:rsidRDefault="00C05656" w:rsidP="00C74B91">
      <w:pPr>
        <w:pStyle w:val="Heading4"/>
      </w:pPr>
      <w:r>
        <w:t xml:space="preserve">Complementary </w:t>
      </w:r>
      <w:r w:rsidR="003D2988">
        <w:t>g</w:t>
      </w:r>
      <w:r>
        <w:t>overnment datasets</w:t>
      </w:r>
    </w:p>
    <w:p w14:paraId="46CE9B36" w14:textId="3B33BB9F" w:rsidR="0025314C" w:rsidRDefault="00564246" w:rsidP="009448E6">
      <w:pPr>
        <w:spacing w:after="160"/>
      </w:pPr>
      <w:bookmarkStart w:id="29" w:name="_Hlk106712842"/>
      <w:r>
        <w:t xml:space="preserve">Stakeholders noted the potential for </w:t>
      </w:r>
      <w:r w:rsidR="003D2988">
        <w:t>g</w:t>
      </w:r>
      <w:r>
        <w:t>overnment datasets</w:t>
      </w:r>
      <w:r w:rsidR="005A4597">
        <w:t xml:space="preserve"> t</w:t>
      </w:r>
      <w:r w:rsidR="00C05656">
        <w:t>o</w:t>
      </w:r>
      <w:r w:rsidR="005A4597">
        <w:t xml:space="preserve"> support </w:t>
      </w:r>
      <w:r w:rsidR="00BD15A1">
        <w:t>CDR</w:t>
      </w:r>
      <w:r w:rsidR="005A4597">
        <w:t xml:space="preserve"> use cases</w:t>
      </w:r>
      <w:r>
        <w:t>,</w:t>
      </w:r>
      <w:r w:rsidR="00BD15A1">
        <w:t xml:space="preserve"> such as streamlined applications </w:t>
      </w:r>
      <w:r>
        <w:t xml:space="preserve">for consumer and </w:t>
      </w:r>
      <w:r w:rsidR="003D2988">
        <w:t>small to medium-sized entity (</w:t>
      </w:r>
      <w:r w:rsidR="00BD15A1" w:rsidRPr="00C05656">
        <w:t>SME</w:t>
      </w:r>
      <w:r w:rsidR="003D2988">
        <w:t>)</w:t>
      </w:r>
      <w:r w:rsidR="00BD15A1" w:rsidRPr="00C05656">
        <w:t xml:space="preserve"> lending.</w:t>
      </w:r>
    </w:p>
    <w:p w14:paraId="6D601978" w14:textId="77777777" w:rsidR="0035239C" w:rsidRPr="00C05656" w:rsidRDefault="0035239C" w:rsidP="0035239C">
      <w:pPr>
        <w:pStyle w:val="Bullet"/>
        <w:numPr>
          <w:ilvl w:val="0"/>
          <w:numId w:val="0"/>
        </w:numPr>
        <w:ind w:left="340"/>
        <w:rPr>
          <w:rFonts w:eastAsiaTheme="minorHAnsi"/>
          <w:color w:val="auto"/>
          <w:sz w:val="22"/>
          <w:szCs w:val="22"/>
        </w:rPr>
      </w:pPr>
      <w:r w:rsidRPr="0035239C">
        <w:rPr>
          <w:color w:val="auto"/>
          <w:sz w:val="22"/>
          <w:szCs w:val="22"/>
        </w:rPr>
        <w:t>The other core financial data that would help unlock SME lending is tax data held by the Government (ATO tax debt, ATO notices of assessment, tax returns, tax statement of accounts and BAS returns). This would help streamline the application process with both bank and non-bank lenders.</w:t>
      </w:r>
      <w:r>
        <w:rPr>
          <w:rStyle w:val="FootnoteReference"/>
          <w:rFonts w:eastAsiaTheme="minorHAnsi"/>
          <w:color w:val="auto"/>
          <w:sz w:val="22"/>
          <w:szCs w:val="22"/>
        </w:rPr>
        <w:footnoteReference w:id="57"/>
      </w:r>
    </w:p>
    <w:p w14:paraId="377370D5" w14:textId="01A1B1CE" w:rsidR="00305238" w:rsidRDefault="00305238" w:rsidP="005A4597">
      <w:r>
        <w:t>To inform the rollout of the CDR to government datasets</w:t>
      </w:r>
      <w:r w:rsidR="00160D51">
        <w:t>, the</w:t>
      </w:r>
      <w:r>
        <w:t xml:space="preserve"> Treasury is considering the benefits and risks of including such government datasets in consultation with relevant agencies. This process will be informed by </w:t>
      </w:r>
      <w:r w:rsidR="004A3226">
        <w:t>alignment of</w:t>
      </w:r>
      <w:r>
        <w:t xml:space="preserve"> the potential use cases for individuals and SMEs including those raised during the non-bank lending sectoral assessment consultation</w:t>
      </w:r>
      <w:r w:rsidR="004A3226">
        <w:t xml:space="preserve"> with the objectives of the CDR</w:t>
      </w:r>
      <w:r>
        <w:t>.</w:t>
      </w:r>
      <w:r w:rsidR="004A3226">
        <w:t xml:space="preserve"> </w:t>
      </w:r>
    </w:p>
    <w:p w14:paraId="332ED3B3" w14:textId="77777777" w:rsidR="00895C07" w:rsidRDefault="00895C07" w:rsidP="005A4597"/>
    <w:p w14:paraId="0A3C49C3" w14:textId="044D1595" w:rsidR="000E3A2E" w:rsidRPr="000E3A2E" w:rsidRDefault="004B40C6" w:rsidP="00626036">
      <w:pPr>
        <w:pStyle w:val="Numbered1"/>
        <w:ind w:left="680" w:hanging="680"/>
      </w:pPr>
      <w:bookmarkStart w:id="30" w:name="_Toc108794107"/>
      <w:bookmarkEnd w:id="29"/>
      <w:r>
        <w:lastRenderedPageBreak/>
        <w:t>Approach to designation</w:t>
      </w:r>
      <w:bookmarkEnd w:id="30"/>
    </w:p>
    <w:p w14:paraId="48C44423" w14:textId="0E4B09C9" w:rsidR="00772DEE" w:rsidRDefault="00772DEE" w:rsidP="00C5056D">
      <w:pPr>
        <w:pStyle w:val="Numbered11"/>
        <w:keepNext/>
        <w:ind w:left="431" w:hanging="431"/>
      </w:pPr>
      <w:bookmarkStart w:id="31" w:name="_Toc108794108"/>
      <w:r>
        <w:t>Recommended datasets</w:t>
      </w:r>
      <w:bookmarkEnd w:id="31"/>
    </w:p>
    <w:p w14:paraId="389535CA" w14:textId="61BD4249" w:rsidR="00772DEE" w:rsidRDefault="004C4A39" w:rsidP="00772DEE">
      <w:pPr>
        <w:rPr>
          <w:rFonts w:cstheme="minorHAnsi"/>
        </w:rPr>
      </w:pPr>
      <w:r>
        <w:t>Consistent with banking, energy and telecommunications, d</w:t>
      </w:r>
      <w:r w:rsidR="00772DEE">
        <w:t xml:space="preserve">esignation of the </w:t>
      </w:r>
      <w:r w:rsidR="00FC5488">
        <w:t>non-bank lending</w:t>
      </w:r>
      <w:r w:rsidR="00772DEE">
        <w:t xml:space="preserve"> sector that would support data sharing is recommended with</w:t>
      </w:r>
      <w:r w:rsidR="00772DEE" w:rsidRPr="00F33CA0">
        <w:rPr>
          <w:rFonts w:cstheme="minorHAnsi"/>
        </w:rPr>
        <w:t xml:space="preserve">: </w:t>
      </w:r>
    </w:p>
    <w:p w14:paraId="41E29851" w14:textId="77777777" w:rsidR="00772DEE" w:rsidRPr="00AE16D8" w:rsidRDefault="00772DEE" w:rsidP="00471287">
      <w:pPr>
        <w:spacing w:before="0"/>
      </w:pPr>
    </w:p>
    <w:p w14:paraId="4F3D5043" w14:textId="3A4408FD" w:rsidR="00772DEE" w:rsidRDefault="00B91EE4" w:rsidP="00772DEE">
      <w:pPr>
        <w:pStyle w:val="Bulle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information about products</w:t>
      </w:r>
      <w:r w:rsidR="00772DEE" w:rsidRPr="00F33CA0">
        <w:rPr>
          <w:rFonts w:asciiTheme="minorHAnsi" w:eastAsiaTheme="minorHAnsi" w:hAnsiTheme="minorHAnsi" w:cstheme="minorBidi"/>
          <w:color w:val="auto"/>
          <w:sz w:val="22"/>
          <w:szCs w:val="22"/>
        </w:rPr>
        <w:t xml:space="preserve"> that is</w:t>
      </w:r>
      <w:r w:rsidR="00772DEE">
        <w:rPr>
          <w:rFonts w:asciiTheme="minorHAnsi" w:eastAsiaTheme="minorHAnsi" w:hAnsiTheme="minorHAnsi" w:cstheme="minorBidi"/>
          <w:color w:val="auto"/>
          <w:sz w:val="22"/>
          <w:szCs w:val="22"/>
        </w:rPr>
        <w:t xml:space="preserve"> already</w:t>
      </w:r>
      <w:r w:rsidR="00772DEE" w:rsidRPr="00F33CA0">
        <w:rPr>
          <w:rFonts w:asciiTheme="minorHAnsi" w:eastAsiaTheme="minorHAnsi" w:hAnsiTheme="minorHAnsi" w:cstheme="minorBidi"/>
          <w:color w:val="auto"/>
          <w:sz w:val="22"/>
          <w:szCs w:val="22"/>
        </w:rPr>
        <w:t xml:space="preserve"> publicly available</w:t>
      </w:r>
    </w:p>
    <w:p w14:paraId="19173633" w14:textId="77777777" w:rsidR="00B91EE4" w:rsidRPr="00B91EE4" w:rsidRDefault="00B91EE4" w:rsidP="00772DEE">
      <w:pPr>
        <w:pStyle w:val="Bullet"/>
      </w:pPr>
      <w:r>
        <w:rPr>
          <w:rFonts w:asciiTheme="minorHAnsi" w:eastAsiaTheme="minorHAnsi" w:hAnsiTheme="minorHAnsi" w:cstheme="minorBidi"/>
          <w:color w:val="auto"/>
          <w:sz w:val="22"/>
          <w:szCs w:val="22"/>
        </w:rPr>
        <w:t xml:space="preserve">information about the user of a product </w:t>
      </w:r>
    </w:p>
    <w:p w14:paraId="040013EC" w14:textId="11D28287" w:rsidR="00772DEE" w:rsidRPr="00F82E82" w:rsidRDefault="00B91EE4" w:rsidP="00772DEE">
      <w:pPr>
        <w:pStyle w:val="Bullet"/>
      </w:pPr>
      <w:r>
        <w:rPr>
          <w:rFonts w:asciiTheme="minorHAnsi" w:eastAsiaTheme="minorHAnsi" w:hAnsiTheme="minorHAnsi" w:cstheme="minorBidi"/>
          <w:color w:val="auto"/>
          <w:sz w:val="22"/>
          <w:szCs w:val="22"/>
        </w:rPr>
        <w:t>information about the use of a product</w:t>
      </w:r>
      <w:r w:rsidR="009B7E3E">
        <w:rPr>
          <w:rFonts w:asciiTheme="minorHAnsi" w:eastAsiaTheme="minorHAnsi" w:hAnsiTheme="minorHAnsi" w:cstheme="minorBidi"/>
          <w:color w:val="auto"/>
          <w:sz w:val="22"/>
          <w:szCs w:val="22"/>
        </w:rPr>
        <w:t>.</w:t>
      </w:r>
    </w:p>
    <w:p w14:paraId="4FA863FD" w14:textId="5D705CAB" w:rsidR="004C4A39" w:rsidRDefault="00B27FEA" w:rsidP="00772DEE">
      <w:r>
        <w:t xml:space="preserve">Treasury </w:t>
      </w:r>
      <w:r w:rsidR="004C4A39">
        <w:t>recommend</w:t>
      </w:r>
      <w:r>
        <w:t>s</w:t>
      </w:r>
      <w:r w:rsidR="004C4A39">
        <w:t xml:space="preserve"> that the designation instrument closely mirrors what occurred in banking, essentially a broad inclusion of datasets, given the expected similarities in data sharing between the two sectors and that consultation did not identify any unique arrangements to be supported. For example, the energy designation was required to facilitate a different model of data sharing arrangements, given a third party to the retailer holds some of the consumer information to be included in CDR. In telecommunications, while the three broad classes of information were included, </w:t>
      </w:r>
      <w:r w:rsidR="00520038">
        <w:t>the designation instrument explicitly excluded</w:t>
      </w:r>
      <w:r w:rsidR="004C4A39">
        <w:t xml:space="preserve"> particularly sensitive datasets in the sector which </w:t>
      </w:r>
      <w:r w:rsidR="00520038">
        <w:t>were considered not suitable</w:t>
      </w:r>
      <w:r w:rsidR="004C4A39">
        <w:t xml:space="preserve"> for CDR</w:t>
      </w:r>
      <w:r w:rsidR="00520038">
        <w:t xml:space="preserve"> at the time</w:t>
      </w:r>
      <w:r w:rsidR="004C4A39">
        <w:t>, for example location data.</w:t>
      </w:r>
    </w:p>
    <w:p w14:paraId="1208E987" w14:textId="2CD08A20" w:rsidR="00772DEE" w:rsidRDefault="004C4A39" w:rsidP="00772DEE">
      <w:r>
        <w:t xml:space="preserve">The recommended designation could support </w:t>
      </w:r>
      <w:r w:rsidR="00DA29A3">
        <w:t>I</w:t>
      </w:r>
      <w:r>
        <w:t xml:space="preserve"> the following </w:t>
      </w:r>
      <w:r w:rsidR="00772DEE">
        <w:t>data</w:t>
      </w:r>
      <w:r w:rsidR="00E24AFD">
        <w:t xml:space="preserve"> </w:t>
      </w:r>
      <w:r w:rsidR="00772DEE">
        <w:t xml:space="preserve">sharing </w:t>
      </w:r>
      <w:r w:rsidR="00DA29A3">
        <w:t xml:space="preserve">examples </w:t>
      </w:r>
      <w:r>
        <w:t xml:space="preserve">at the </w:t>
      </w:r>
      <w:r w:rsidR="00772DEE">
        <w:t>rule-making stage</w:t>
      </w:r>
      <w:r w:rsidR="0079058A">
        <w:t>:</w:t>
      </w:r>
      <w:r w:rsidR="009F4063">
        <w:t xml:space="preserve"> </w:t>
      </w:r>
    </w:p>
    <w:p w14:paraId="7A136406" w14:textId="63751715" w:rsidR="00772DEE" w:rsidRPr="00F82E82" w:rsidRDefault="0004584F" w:rsidP="0004584F">
      <w:pPr>
        <w:spacing w:after="200"/>
      </w:pPr>
      <w:r>
        <w:t xml:space="preserve">Table 1 </w:t>
      </w:r>
      <w:r w:rsidR="00B01B7D">
        <w:t>–</w:t>
      </w:r>
      <w:r>
        <w:t xml:space="preserve"> </w:t>
      </w:r>
      <w:r w:rsidR="00B01B7D">
        <w:t>Classes of information proposed for designation</w:t>
      </w:r>
    </w:p>
    <w:tbl>
      <w:tblPr>
        <w:tblStyle w:val="TableGrid"/>
        <w:tblW w:w="99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2"/>
        <w:gridCol w:w="1838"/>
        <w:gridCol w:w="2840"/>
      </w:tblGrid>
      <w:tr w:rsidR="00E459EC" w:rsidRPr="004A0176" w14:paraId="10A37719" w14:textId="77777777" w:rsidTr="00895C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shd w:val="clear" w:color="auto" w:fill="001330" w:themeFill="accent1" w:themeFillShade="80"/>
          </w:tcPr>
          <w:p w14:paraId="7AF39AA2" w14:textId="77777777" w:rsidR="00772DEE" w:rsidRPr="00F82E82" w:rsidRDefault="00772DEE" w:rsidP="00615F98">
            <w:pPr>
              <w:rPr>
                <w:b w:val="0"/>
              </w:rPr>
            </w:pPr>
            <w:r w:rsidRPr="00F82E82">
              <w:t xml:space="preserve">Class of information </w:t>
            </w:r>
          </w:p>
        </w:tc>
        <w:tc>
          <w:tcPr>
            <w:tcW w:w="3402" w:type="dxa"/>
            <w:shd w:val="clear" w:color="auto" w:fill="001330" w:themeFill="accent1" w:themeFillShade="80"/>
          </w:tcPr>
          <w:p w14:paraId="6E803AB3" w14:textId="77777777" w:rsidR="00772DEE" w:rsidRPr="00F82E82" w:rsidRDefault="00772DEE" w:rsidP="00615F98">
            <w:pPr>
              <w:cnfStyle w:val="100000000000" w:firstRow="1" w:lastRow="0" w:firstColumn="0" w:lastColumn="0" w:oddVBand="0" w:evenVBand="0" w:oddHBand="0" w:evenHBand="0" w:firstRowFirstColumn="0" w:firstRowLastColumn="0" w:lastRowFirstColumn="0" w:lastRowLastColumn="0"/>
              <w:rPr>
                <w:b w:val="0"/>
              </w:rPr>
            </w:pPr>
            <w:r w:rsidRPr="00F82E82">
              <w:t xml:space="preserve">Scope of class </w:t>
            </w:r>
          </w:p>
        </w:tc>
        <w:tc>
          <w:tcPr>
            <w:tcW w:w="1838" w:type="dxa"/>
            <w:shd w:val="clear" w:color="auto" w:fill="001330" w:themeFill="accent1" w:themeFillShade="80"/>
          </w:tcPr>
          <w:p w14:paraId="4858DCFD" w14:textId="77777777" w:rsidR="00772DEE" w:rsidRPr="00F82E82" w:rsidRDefault="00772DEE" w:rsidP="00615F98">
            <w:pPr>
              <w:cnfStyle w:val="100000000000" w:firstRow="1" w:lastRow="0" w:firstColumn="0" w:lastColumn="0" w:oddVBand="0" w:evenVBand="0" w:oddHBand="0" w:evenHBand="0" w:firstRowFirstColumn="0" w:firstRowLastColumn="0" w:lastRowFirstColumn="0" w:lastRowLastColumn="0"/>
              <w:rPr>
                <w:b w:val="0"/>
              </w:rPr>
            </w:pPr>
            <w:r w:rsidRPr="00F82E82">
              <w:t xml:space="preserve">Relevant data holder/s </w:t>
            </w:r>
            <w:r>
              <w:rPr>
                <w:bCs/>
              </w:rPr>
              <w:t xml:space="preserve">of the information </w:t>
            </w:r>
          </w:p>
        </w:tc>
        <w:tc>
          <w:tcPr>
            <w:tcW w:w="2840" w:type="dxa"/>
            <w:shd w:val="clear" w:color="auto" w:fill="001330" w:themeFill="accent1" w:themeFillShade="80"/>
          </w:tcPr>
          <w:p w14:paraId="1422A869" w14:textId="7434B9DA" w:rsidR="00772DEE" w:rsidRPr="00F82E82" w:rsidRDefault="00772DEE" w:rsidP="00615F98">
            <w:pP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Pr>
                <w:bCs/>
                <w:color w:val="FFFFFF" w:themeColor="background1"/>
              </w:rPr>
              <w:t xml:space="preserve">Potential required datasets in CDR rules for </w:t>
            </w:r>
            <w:r w:rsidR="00C92B87">
              <w:rPr>
                <w:bCs/>
                <w:color w:val="FFFFFF" w:themeColor="background1"/>
              </w:rPr>
              <w:t>non-bank lending</w:t>
            </w:r>
            <w:r w:rsidRPr="00F82E82">
              <w:rPr>
                <w:bCs/>
                <w:color w:val="FFFFFF" w:themeColor="background1"/>
              </w:rPr>
              <w:t xml:space="preserve"> </w:t>
            </w:r>
            <w:r>
              <w:rPr>
                <w:bCs/>
                <w:color w:val="FFFFFF" w:themeColor="background1"/>
              </w:rPr>
              <w:t>sector</w:t>
            </w:r>
          </w:p>
        </w:tc>
      </w:tr>
      <w:tr w:rsidR="00B96476" w:rsidRPr="004A0176" w14:paraId="6C31F67A" w14:textId="77777777" w:rsidTr="00895C07">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D4E5FF" w:themeFill="accent1" w:themeFillTint="1A"/>
          </w:tcPr>
          <w:p w14:paraId="6A1CC156" w14:textId="77777777" w:rsidR="00772DEE" w:rsidRPr="00F82E82" w:rsidRDefault="00772DEE" w:rsidP="00615F98">
            <w:pPr>
              <w:rPr>
                <w:b w:val="0"/>
                <w:bCs/>
              </w:rPr>
            </w:pPr>
            <w:r w:rsidRPr="00F82E82">
              <w:rPr>
                <w:bCs/>
              </w:rPr>
              <w:t xml:space="preserve">Product </w:t>
            </w:r>
            <w:r>
              <w:rPr>
                <w:bCs/>
              </w:rPr>
              <w:t>information</w:t>
            </w:r>
            <w:r>
              <w:rPr>
                <w:rStyle w:val="FootnoteReference"/>
                <w:bCs/>
              </w:rPr>
              <w:footnoteReference w:id="58"/>
            </w:r>
          </w:p>
        </w:tc>
      </w:tr>
      <w:tr w:rsidR="00B96476" w:rsidRPr="004A0176" w14:paraId="00C16683" w14:textId="77777777" w:rsidTr="00895C07">
        <w:tc>
          <w:tcPr>
            <w:cnfStyle w:val="001000000000" w:firstRow="0" w:lastRow="0" w:firstColumn="1" w:lastColumn="0" w:oddVBand="0" w:evenVBand="0" w:oddHBand="0" w:evenHBand="0" w:firstRowFirstColumn="0" w:firstRowLastColumn="0" w:lastRowFirstColumn="0" w:lastRowLastColumn="0"/>
            <w:tcW w:w="1838" w:type="dxa"/>
          </w:tcPr>
          <w:p w14:paraId="53C99849" w14:textId="112BBDAE" w:rsidR="00772DEE" w:rsidRPr="0088533A" w:rsidRDefault="00772DEE" w:rsidP="00615F98">
            <w:pPr>
              <w:rPr>
                <w:rFonts w:ascii="Times New Roman" w:hAnsi="Times New Roman" w:cs="Times New Roman"/>
                <w:szCs w:val="20"/>
                <w:lang w:eastAsia="en-AU"/>
              </w:rPr>
            </w:pPr>
            <w:r w:rsidRPr="00660F70">
              <w:t>Information about</w:t>
            </w:r>
            <w:r w:rsidRPr="00660F70" w:rsidDel="00A277CC">
              <w:t xml:space="preserve"> </w:t>
            </w:r>
            <w:r w:rsidRPr="00660F70">
              <w:t xml:space="preserve">products </w:t>
            </w:r>
          </w:p>
        </w:tc>
        <w:tc>
          <w:tcPr>
            <w:tcW w:w="3402" w:type="dxa"/>
          </w:tcPr>
          <w:p w14:paraId="77E40CFF" w14:textId="77777777" w:rsidR="00772DEE" w:rsidRPr="0088533A" w:rsidRDefault="00772DEE" w:rsidP="00615F98">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r w:rsidRPr="0088533A">
              <w:rPr>
                <w:rFonts w:asciiTheme="minorHAnsi" w:eastAsiaTheme="minorHAnsi" w:hAnsiTheme="minorHAnsi" w:cstheme="minorBidi"/>
                <w:color w:val="auto"/>
                <w:sz w:val="20"/>
                <w:szCs w:val="20"/>
              </w:rPr>
              <w:t>Information about products including information that:</w:t>
            </w:r>
          </w:p>
          <w:p w14:paraId="02D382BC" w14:textId="77777777" w:rsidR="00772DEE" w:rsidRPr="0088533A" w:rsidRDefault="00772DEE" w:rsidP="00B6460B">
            <w:pPr>
              <w:pStyle w:val="Bullet"/>
              <w:spacing w:before="240"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88533A">
              <w:rPr>
                <w:rFonts w:asciiTheme="minorHAnsi" w:eastAsiaTheme="minorHAnsi" w:hAnsiTheme="minorHAnsi" w:cstheme="minorBidi"/>
                <w:color w:val="auto"/>
                <w:sz w:val="20"/>
                <w:szCs w:val="20"/>
              </w:rPr>
              <w:t>identifies or describes such products</w:t>
            </w:r>
          </w:p>
          <w:p w14:paraId="074B0F96" w14:textId="633C3AA7" w:rsidR="00772DEE" w:rsidRPr="0088533A" w:rsidRDefault="00772DEE" w:rsidP="00B6460B">
            <w:pPr>
              <w:pStyle w:val="Bullet"/>
              <w:spacing w:before="240"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88533A">
              <w:rPr>
                <w:rFonts w:asciiTheme="minorHAnsi" w:eastAsiaTheme="minorHAnsi" w:hAnsiTheme="minorHAnsi" w:cstheme="minorBidi"/>
                <w:color w:val="auto"/>
                <w:sz w:val="20"/>
                <w:szCs w:val="20"/>
              </w:rPr>
              <w:t xml:space="preserve">is about the price of, </w:t>
            </w:r>
            <w:r w:rsidR="005755D9" w:rsidRPr="0088533A">
              <w:rPr>
                <w:rFonts w:asciiTheme="minorHAnsi" w:eastAsiaTheme="minorHAnsi" w:hAnsiTheme="minorHAnsi" w:cstheme="minorBidi"/>
                <w:color w:val="auto"/>
                <w:sz w:val="20"/>
                <w:szCs w:val="20"/>
              </w:rPr>
              <w:t xml:space="preserve">including a fee, charge </w:t>
            </w:r>
            <w:r w:rsidRPr="0088533A">
              <w:rPr>
                <w:rFonts w:asciiTheme="minorHAnsi" w:eastAsiaTheme="minorHAnsi" w:hAnsiTheme="minorHAnsi" w:cstheme="minorBidi"/>
                <w:color w:val="auto"/>
                <w:sz w:val="20"/>
                <w:szCs w:val="20"/>
              </w:rPr>
              <w:t xml:space="preserve">or </w:t>
            </w:r>
            <w:r w:rsidR="005755D9" w:rsidRPr="0088533A">
              <w:rPr>
                <w:rFonts w:asciiTheme="minorHAnsi" w:eastAsiaTheme="minorHAnsi" w:hAnsiTheme="minorHAnsi" w:cstheme="minorBidi"/>
                <w:color w:val="auto"/>
                <w:sz w:val="20"/>
                <w:szCs w:val="20"/>
              </w:rPr>
              <w:t>interest rate</w:t>
            </w:r>
            <w:r w:rsidRPr="0088533A">
              <w:rPr>
                <w:rFonts w:asciiTheme="minorHAnsi" w:eastAsiaTheme="minorHAnsi" w:hAnsiTheme="minorHAnsi" w:cstheme="minorBidi"/>
                <w:color w:val="auto"/>
                <w:sz w:val="20"/>
                <w:szCs w:val="20"/>
              </w:rPr>
              <w:t xml:space="preserve"> associated with</w:t>
            </w:r>
            <w:r w:rsidR="005755D9" w:rsidRPr="0088533A">
              <w:rPr>
                <w:rFonts w:asciiTheme="minorHAnsi" w:eastAsiaTheme="minorHAnsi" w:hAnsiTheme="minorHAnsi" w:cstheme="minorBidi"/>
                <w:color w:val="auto"/>
                <w:sz w:val="20"/>
                <w:szCs w:val="20"/>
              </w:rPr>
              <w:t xml:space="preserve"> the product</w:t>
            </w:r>
          </w:p>
          <w:p w14:paraId="65A1A431" w14:textId="77777777" w:rsidR="00772DEE" w:rsidRPr="0088533A" w:rsidRDefault="00772DEE" w:rsidP="00B6460B">
            <w:pPr>
              <w:pStyle w:val="Bullet"/>
              <w:spacing w:before="24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r w:rsidRPr="0088533A">
              <w:rPr>
                <w:rFonts w:asciiTheme="minorHAnsi" w:eastAsiaTheme="minorHAnsi" w:hAnsiTheme="minorHAnsi" w:cstheme="minorBidi"/>
                <w:color w:val="auto"/>
                <w:sz w:val="20"/>
                <w:szCs w:val="20"/>
              </w:rPr>
              <w:t>is about the terms and conditions of such products</w:t>
            </w:r>
          </w:p>
          <w:p w14:paraId="0524CD34" w14:textId="77777777" w:rsidR="00772DEE" w:rsidRPr="0088533A" w:rsidRDefault="00772DEE" w:rsidP="00B6460B">
            <w:pPr>
              <w:pStyle w:val="Bullet"/>
              <w:spacing w:before="24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r w:rsidRPr="0088533A">
              <w:rPr>
                <w:rFonts w:asciiTheme="minorHAnsi" w:eastAsiaTheme="minorHAnsi" w:hAnsiTheme="minorHAnsi" w:cstheme="minorBidi"/>
                <w:color w:val="auto"/>
                <w:sz w:val="20"/>
                <w:szCs w:val="20"/>
              </w:rPr>
              <w:t>is about the term or duration of such products</w:t>
            </w:r>
          </w:p>
          <w:p w14:paraId="13D0EAB4" w14:textId="2A8BBD25" w:rsidR="00772DEE" w:rsidRPr="0088533A" w:rsidRDefault="00772DEE" w:rsidP="00B6460B">
            <w:pPr>
              <w:pStyle w:val="Bullet"/>
              <w:spacing w:before="24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r w:rsidRPr="0088533A">
              <w:rPr>
                <w:rFonts w:asciiTheme="minorHAnsi" w:eastAsiaTheme="minorHAnsi" w:hAnsiTheme="minorHAnsi" w:cstheme="minorBidi"/>
                <w:color w:val="auto"/>
                <w:sz w:val="20"/>
                <w:szCs w:val="20"/>
              </w:rPr>
              <w:lastRenderedPageBreak/>
              <w:t xml:space="preserve">is about </w:t>
            </w:r>
            <w:r w:rsidR="005755D9" w:rsidRPr="0088533A">
              <w:rPr>
                <w:rFonts w:asciiTheme="minorHAnsi" w:eastAsiaTheme="minorHAnsi" w:hAnsiTheme="minorHAnsi" w:cstheme="minorBidi"/>
                <w:color w:val="auto"/>
                <w:sz w:val="20"/>
                <w:szCs w:val="20"/>
              </w:rPr>
              <w:t>a feature or benefit of a product, e.g. a discount or bundle offered in connection with the product</w:t>
            </w:r>
          </w:p>
        </w:tc>
        <w:tc>
          <w:tcPr>
            <w:tcW w:w="1838" w:type="dxa"/>
          </w:tcPr>
          <w:p w14:paraId="3C5F7E0A" w14:textId="7F35D7EA" w:rsidR="00772DEE" w:rsidRDefault="00FC5488" w:rsidP="00615F98">
            <w:pPr>
              <w:cnfStyle w:val="000000000000" w:firstRow="0" w:lastRow="0" w:firstColumn="0" w:lastColumn="0" w:oddVBand="0" w:evenVBand="0" w:oddHBand="0" w:evenHBand="0" w:firstRowFirstColumn="0" w:firstRowLastColumn="0" w:lastRowFirstColumn="0" w:lastRowLastColumn="0"/>
            </w:pPr>
            <w:r>
              <w:lastRenderedPageBreak/>
              <w:t>provider of finance</w:t>
            </w:r>
            <w:r w:rsidR="00517487">
              <w:rPr>
                <w:rStyle w:val="FootnoteReference"/>
              </w:rPr>
              <w:footnoteReference w:id="59"/>
            </w:r>
          </w:p>
          <w:p w14:paraId="36731429" w14:textId="77777777" w:rsidR="00772DEE" w:rsidRPr="001942BE" w:rsidRDefault="00772DEE" w:rsidP="00615F98">
            <w:pPr>
              <w:cnfStyle w:val="000000000000" w:firstRow="0" w:lastRow="0" w:firstColumn="0" w:lastColumn="0" w:oddVBand="0" w:evenVBand="0" w:oddHBand="0" w:evenHBand="0" w:firstRowFirstColumn="0" w:firstRowLastColumn="0" w:lastRowFirstColumn="0" w:lastRowLastColumn="0"/>
              <w:rPr>
                <w:bCs/>
                <w:color w:val="FFFFFF" w:themeColor="background1"/>
              </w:rPr>
            </w:pPr>
          </w:p>
        </w:tc>
        <w:tc>
          <w:tcPr>
            <w:tcW w:w="2840" w:type="dxa"/>
          </w:tcPr>
          <w:p w14:paraId="77D92A27" w14:textId="342515C6" w:rsidR="00772DEE" w:rsidRDefault="00772DEE" w:rsidP="00615F98">
            <w:pPr>
              <w:cnfStyle w:val="000000000000" w:firstRow="0" w:lastRow="0" w:firstColumn="0" w:lastColumn="0" w:oddVBand="0" w:evenVBand="0" w:oddHBand="0" w:evenHBand="0" w:firstRowFirstColumn="0" w:firstRowLastColumn="0" w:lastRowFirstColumn="0" w:lastRowLastColumn="0"/>
            </w:pPr>
            <w:r>
              <w:t>Designating</w:t>
            </w:r>
            <w:r w:rsidRPr="00F82E82">
              <w:t xml:space="preserve"> this class of information</w:t>
            </w:r>
            <w:r>
              <w:t xml:space="preserve"> would enable the CDR rules to impose mandatory obligations for data holders to share </w:t>
            </w:r>
            <w:r w:rsidRPr="00F82E82">
              <w:t>what is commonly referred to</w:t>
            </w:r>
            <w:r>
              <w:t xml:space="preserve"> in the CDR </w:t>
            </w:r>
            <w:r w:rsidRPr="00F82E82">
              <w:t>as ‘</w:t>
            </w:r>
            <w:r>
              <w:t xml:space="preserve">generic </w:t>
            </w:r>
            <w:r w:rsidRPr="00F82E82">
              <w:t xml:space="preserve">product reference data’. </w:t>
            </w:r>
          </w:p>
          <w:p w14:paraId="61332263" w14:textId="77777777" w:rsidR="00772DEE" w:rsidRDefault="00772DEE" w:rsidP="00615F98">
            <w:pPr>
              <w:cnfStyle w:val="000000000000" w:firstRow="0" w:lastRow="0" w:firstColumn="0" w:lastColumn="0" w:oddVBand="0" w:evenVBand="0" w:oddHBand="0" w:evenHBand="0" w:firstRowFirstColumn="0" w:firstRowLastColumn="0" w:lastRowFirstColumn="0" w:lastRowLastColumn="0"/>
            </w:pPr>
          </w:p>
          <w:p w14:paraId="01BB1280" w14:textId="0AD16615" w:rsidR="00772DEE" w:rsidRPr="00F82E82" w:rsidRDefault="00772DEE" w:rsidP="00615F98">
            <w:pPr>
              <w:cnfStyle w:val="000000000000" w:firstRow="0" w:lastRow="0" w:firstColumn="0" w:lastColumn="0" w:oddVBand="0" w:evenVBand="0" w:oddHBand="0" w:evenHBand="0" w:firstRowFirstColumn="0" w:firstRowLastColumn="0" w:lastRowFirstColumn="0" w:lastRowLastColumn="0"/>
            </w:pPr>
            <w:r w:rsidRPr="00F82E82">
              <w:t xml:space="preserve">In the </w:t>
            </w:r>
            <w:r w:rsidR="00AE67BE">
              <w:t>non-bank lending</w:t>
            </w:r>
            <w:r w:rsidRPr="00F82E82">
              <w:t xml:space="preserve"> sector, product data </w:t>
            </w:r>
            <w:r>
              <w:t xml:space="preserve">is likely to include </w:t>
            </w:r>
            <w:r w:rsidRPr="00F82E82">
              <w:t xml:space="preserve">the type of information </w:t>
            </w:r>
            <w:r>
              <w:t>typically</w:t>
            </w:r>
            <w:r w:rsidRPr="00F82E82">
              <w:t xml:space="preserve"> included in a Key Facts Sheet</w:t>
            </w:r>
            <w:r>
              <w:rPr>
                <w:rStyle w:val="FootnoteReference"/>
              </w:rPr>
              <w:footnoteReference w:id="60"/>
            </w:r>
            <w:r w:rsidRPr="00F82E82">
              <w:t xml:space="preserve">. </w:t>
            </w:r>
          </w:p>
        </w:tc>
      </w:tr>
      <w:tr w:rsidR="00B96476" w14:paraId="39DBCB24" w14:textId="77777777" w:rsidTr="00895C07">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D4E5FF" w:themeFill="accent1" w:themeFillTint="1A"/>
          </w:tcPr>
          <w:p w14:paraId="168650F0" w14:textId="77777777" w:rsidR="00772DEE" w:rsidRDefault="00772DEE" w:rsidP="00615F98">
            <w:pPr>
              <w:rPr>
                <w:b w:val="0"/>
              </w:rPr>
            </w:pPr>
            <w:r>
              <w:t xml:space="preserve">Consumer information </w:t>
            </w:r>
          </w:p>
        </w:tc>
      </w:tr>
      <w:tr w:rsidR="00B96476" w14:paraId="64EC5476" w14:textId="77777777" w:rsidTr="00895C07">
        <w:tc>
          <w:tcPr>
            <w:cnfStyle w:val="001000000000" w:firstRow="0" w:lastRow="0" w:firstColumn="1" w:lastColumn="0" w:oddVBand="0" w:evenVBand="0" w:oddHBand="0" w:evenHBand="0" w:firstRowFirstColumn="0" w:firstRowLastColumn="0" w:lastRowFirstColumn="0" w:lastRowLastColumn="0"/>
            <w:tcW w:w="1838" w:type="dxa"/>
          </w:tcPr>
          <w:p w14:paraId="69E7C094" w14:textId="217EEDDD" w:rsidR="00772DEE" w:rsidRPr="00D358BF" w:rsidRDefault="00772DEE" w:rsidP="00615F98">
            <w:pPr>
              <w:rPr>
                <w:szCs w:val="20"/>
              </w:rPr>
            </w:pPr>
            <w:r>
              <w:t xml:space="preserve">Information about </w:t>
            </w:r>
            <w:r w:rsidR="00A55DFC">
              <w:t>the user of the product</w:t>
            </w:r>
          </w:p>
        </w:tc>
        <w:tc>
          <w:tcPr>
            <w:tcW w:w="3402" w:type="dxa"/>
          </w:tcPr>
          <w:p w14:paraId="7AD3D1B7" w14:textId="3C63D18D" w:rsidR="00772DEE" w:rsidRPr="0088533A" w:rsidRDefault="00772DEE" w:rsidP="00615F98">
            <w:pPr>
              <w:pStyle w:val="Bullet"/>
              <w:numPr>
                <w:ilvl w:val="0"/>
                <w:numId w:val="0"/>
              </w:num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r w:rsidRPr="0088533A">
              <w:rPr>
                <w:rFonts w:asciiTheme="minorHAnsi" w:eastAsiaTheme="minorHAnsi" w:hAnsiTheme="minorHAnsi" w:cstheme="minorBidi"/>
                <w:color w:val="auto"/>
                <w:sz w:val="20"/>
                <w:szCs w:val="20"/>
              </w:rPr>
              <w:t xml:space="preserve">Information about a customer or </w:t>
            </w:r>
            <w:r w:rsidR="00B12562" w:rsidRPr="0088533A">
              <w:rPr>
                <w:rFonts w:asciiTheme="minorHAnsi" w:eastAsiaTheme="minorHAnsi" w:hAnsiTheme="minorHAnsi" w:cstheme="minorBidi"/>
                <w:color w:val="auto"/>
                <w:sz w:val="20"/>
                <w:szCs w:val="20"/>
              </w:rPr>
              <w:t>borrower from</w:t>
            </w:r>
            <w:r w:rsidRPr="0088533A">
              <w:rPr>
                <w:rFonts w:asciiTheme="minorHAnsi" w:eastAsiaTheme="minorHAnsi" w:hAnsiTheme="minorHAnsi" w:cstheme="minorBidi"/>
                <w:color w:val="auto"/>
                <w:sz w:val="20"/>
                <w:szCs w:val="20"/>
              </w:rPr>
              <w:t xml:space="preserve"> a </w:t>
            </w:r>
            <w:r w:rsidR="00B12562" w:rsidRPr="0088533A">
              <w:rPr>
                <w:rFonts w:asciiTheme="minorHAnsi" w:eastAsiaTheme="minorHAnsi" w:hAnsiTheme="minorHAnsi" w:cstheme="minorBidi"/>
                <w:color w:val="auto"/>
                <w:sz w:val="20"/>
                <w:szCs w:val="20"/>
              </w:rPr>
              <w:t>non-bank lender</w:t>
            </w:r>
            <w:r w:rsidRPr="0088533A">
              <w:rPr>
                <w:rFonts w:asciiTheme="minorHAnsi" w:eastAsiaTheme="minorHAnsi" w:hAnsiTheme="minorHAnsi" w:cstheme="minorBidi"/>
                <w:color w:val="auto"/>
                <w:sz w:val="20"/>
                <w:szCs w:val="20"/>
              </w:rPr>
              <w:t xml:space="preserve">, including information that person has provided to the supplier of the </w:t>
            </w:r>
            <w:r w:rsidR="00B12562" w:rsidRPr="0088533A">
              <w:rPr>
                <w:rFonts w:asciiTheme="minorHAnsi" w:eastAsiaTheme="minorHAnsi" w:hAnsiTheme="minorHAnsi" w:cstheme="minorBidi"/>
                <w:color w:val="auto"/>
                <w:sz w:val="20"/>
                <w:szCs w:val="20"/>
              </w:rPr>
              <w:t>product</w:t>
            </w:r>
            <w:r w:rsidRPr="0088533A">
              <w:rPr>
                <w:rFonts w:asciiTheme="minorHAnsi" w:eastAsiaTheme="minorHAnsi" w:hAnsiTheme="minorHAnsi" w:cstheme="minorBidi"/>
                <w:color w:val="auto"/>
                <w:sz w:val="20"/>
                <w:szCs w:val="20"/>
              </w:rPr>
              <w:t xml:space="preserve"> (or </w:t>
            </w:r>
            <w:r w:rsidRPr="0088533A" w:rsidDel="007C1B77">
              <w:rPr>
                <w:rFonts w:asciiTheme="minorHAnsi" w:eastAsiaTheme="minorHAnsi" w:hAnsiTheme="minorHAnsi" w:cstheme="minorBidi"/>
                <w:color w:val="auto"/>
                <w:sz w:val="20"/>
                <w:szCs w:val="20"/>
              </w:rPr>
              <w:t>another person</w:t>
            </w:r>
            <w:r w:rsidRPr="0088533A">
              <w:rPr>
                <w:rFonts w:asciiTheme="minorHAnsi" w:eastAsiaTheme="minorHAnsi" w:hAnsiTheme="minorHAnsi" w:cstheme="minorBidi"/>
                <w:color w:val="auto"/>
                <w:sz w:val="20"/>
                <w:szCs w:val="20"/>
              </w:rPr>
              <w:t xml:space="preserve"> on behalf of the </w:t>
            </w:r>
            <w:r w:rsidRPr="0088533A" w:rsidDel="00331E26">
              <w:rPr>
                <w:rFonts w:asciiTheme="minorHAnsi" w:eastAsiaTheme="minorHAnsi" w:hAnsiTheme="minorHAnsi" w:cstheme="minorBidi"/>
                <w:color w:val="auto"/>
                <w:sz w:val="20"/>
                <w:szCs w:val="20"/>
              </w:rPr>
              <w:t>supplier</w:t>
            </w:r>
            <w:r w:rsidRPr="0088533A">
              <w:rPr>
                <w:rFonts w:asciiTheme="minorHAnsi" w:eastAsiaTheme="minorHAnsi" w:hAnsiTheme="minorHAnsi" w:cstheme="minorBidi"/>
                <w:color w:val="auto"/>
                <w:sz w:val="20"/>
                <w:szCs w:val="20"/>
              </w:rPr>
              <w:t xml:space="preserve">) in connection with the supply or use of the </w:t>
            </w:r>
            <w:r w:rsidR="00B12562" w:rsidRPr="0088533A">
              <w:rPr>
                <w:rFonts w:asciiTheme="minorHAnsi" w:eastAsiaTheme="minorHAnsi" w:hAnsiTheme="minorHAnsi" w:cstheme="minorBidi"/>
                <w:color w:val="auto"/>
                <w:sz w:val="20"/>
                <w:szCs w:val="20"/>
              </w:rPr>
              <w:t>product</w:t>
            </w:r>
            <w:r w:rsidRPr="0088533A">
              <w:rPr>
                <w:rFonts w:asciiTheme="minorHAnsi" w:eastAsiaTheme="minorHAnsi" w:hAnsiTheme="minorHAnsi" w:cstheme="minorBidi"/>
                <w:color w:val="auto"/>
                <w:sz w:val="20"/>
                <w:szCs w:val="20"/>
              </w:rPr>
              <w:t>.</w:t>
            </w:r>
          </w:p>
        </w:tc>
        <w:tc>
          <w:tcPr>
            <w:tcW w:w="1838" w:type="dxa"/>
          </w:tcPr>
          <w:p w14:paraId="364364DF" w14:textId="7B7E677A" w:rsidR="00772DEE" w:rsidRDefault="00C4064D" w:rsidP="00615F98">
            <w:pPr>
              <w:cnfStyle w:val="000000000000" w:firstRow="0" w:lastRow="0" w:firstColumn="0" w:lastColumn="0" w:oddVBand="0" w:evenVBand="0" w:oddHBand="0" w:evenHBand="0" w:firstRowFirstColumn="0" w:firstRowLastColumn="0" w:lastRowFirstColumn="0" w:lastRowLastColumn="0"/>
            </w:pPr>
            <w:r w:rsidRPr="00C4064D">
              <w:t xml:space="preserve">provider of finance  </w:t>
            </w:r>
          </w:p>
        </w:tc>
        <w:tc>
          <w:tcPr>
            <w:tcW w:w="2840" w:type="dxa"/>
          </w:tcPr>
          <w:p w14:paraId="52819DF2" w14:textId="0DC128B8" w:rsidR="00772DEE" w:rsidRDefault="00772DEE" w:rsidP="00615F98">
            <w:pPr>
              <w:cnfStyle w:val="000000000000" w:firstRow="0" w:lastRow="0" w:firstColumn="0" w:lastColumn="0" w:oddVBand="0" w:evenVBand="0" w:oddHBand="0" w:evenHBand="0" w:firstRowFirstColumn="0" w:firstRowLastColumn="0" w:lastRowFirstColumn="0" w:lastRowLastColumn="0"/>
            </w:pPr>
            <w:r>
              <w:t>Designating this class of information</w:t>
            </w:r>
            <w:r w:rsidRPr="000F2C02">
              <w:t xml:space="preserve"> </w:t>
            </w:r>
            <w:r>
              <w:t>would enable the CDR rules to impose mandatory obligations for data holders to share</w:t>
            </w:r>
            <w:r w:rsidRPr="000F2C02">
              <w:t xml:space="preserve"> what is </w:t>
            </w:r>
            <w:r>
              <w:t xml:space="preserve">commonly </w:t>
            </w:r>
            <w:r w:rsidRPr="000F2C02">
              <w:t xml:space="preserve">referred to </w:t>
            </w:r>
            <w:r>
              <w:t xml:space="preserve">in the CDR </w:t>
            </w:r>
            <w:r w:rsidRPr="000F2C02">
              <w:t xml:space="preserve">as ‘customer data’. </w:t>
            </w:r>
          </w:p>
          <w:p w14:paraId="51952C12" w14:textId="77777777" w:rsidR="00772DEE" w:rsidRDefault="00772DEE" w:rsidP="00615F98">
            <w:pPr>
              <w:cnfStyle w:val="000000000000" w:firstRow="0" w:lastRow="0" w:firstColumn="0" w:lastColumn="0" w:oddVBand="0" w:evenVBand="0" w:oddHBand="0" w:evenHBand="0" w:firstRowFirstColumn="0" w:firstRowLastColumn="0" w:lastRowFirstColumn="0" w:lastRowLastColumn="0"/>
            </w:pPr>
          </w:p>
          <w:p w14:paraId="62C8A29A" w14:textId="35ECE395" w:rsidR="00772DEE" w:rsidRDefault="00772DEE" w:rsidP="00615F98">
            <w:pPr>
              <w:cnfStyle w:val="000000000000" w:firstRow="0" w:lastRow="0" w:firstColumn="0" w:lastColumn="0" w:oddVBand="0" w:evenVBand="0" w:oddHBand="0" w:evenHBand="0" w:firstRowFirstColumn="0" w:firstRowLastColumn="0" w:lastRowFirstColumn="0" w:lastRowLastColumn="0"/>
            </w:pPr>
            <w:r>
              <w:t xml:space="preserve">In the </w:t>
            </w:r>
            <w:r w:rsidRPr="00FE2147">
              <w:t>banking and energy sectors, at the rule-making stage, this has included</w:t>
            </w:r>
            <w:r w:rsidRPr="000F2C02">
              <w:t xml:space="preserve"> basic contact details like name, address and phone number. </w:t>
            </w:r>
          </w:p>
          <w:p w14:paraId="4612D5A5" w14:textId="77777777" w:rsidR="00772DEE" w:rsidRDefault="00772DEE" w:rsidP="00615F98">
            <w:pPr>
              <w:cnfStyle w:val="000000000000" w:firstRow="0" w:lastRow="0" w:firstColumn="0" w:lastColumn="0" w:oddVBand="0" w:evenVBand="0" w:oddHBand="0" w:evenHBand="0" w:firstRowFirstColumn="0" w:firstRowLastColumn="0" w:lastRowFirstColumn="0" w:lastRowLastColumn="0"/>
            </w:pPr>
          </w:p>
          <w:p w14:paraId="5B9B03C4" w14:textId="77777777" w:rsidR="00772DEE" w:rsidRPr="000F2C02" w:rsidRDefault="00772DEE" w:rsidP="00615F98">
            <w:pPr>
              <w:cnfStyle w:val="000000000000" w:firstRow="0" w:lastRow="0" w:firstColumn="0" w:lastColumn="0" w:oddVBand="0" w:evenVBand="0" w:oddHBand="0" w:evenHBand="0" w:firstRowFirstColumn="0" w:firstRowLastColumn="0" w:lastRowFirstColumn="0" w:lastRowLastColumn="0"/>
            </w:pPr>
            <w:r w:rsidRPr="000F2C02">
              <w:t>Under the current CDR rules, date of birth has not been included.</w:t>
            </w:r>
          </w:p>
        </w:tc>
      </w:tr>
      <w:tr w:rsidR="00B96476" w14:paraId="6CB6F11B" w14:textId="77777777" w:rsidTr="00895C07">
        <w:tc>
          <w:tcPr>
            <w:cnfStyle w:val="001000000000" w:firstRow="0" w:lastRow="0" w:firstColumn="1" w:lastColumn="0" w:oddVBand="0" w:evenVBand="0" w:oddHBand="0" w:evenHBand="0" w:firstRowFirstColumn="0" w:firstRowLastColumn="0" w:lastRowFirstColumn="0" w:lastRowLastColumn="0"/>
            <w:tcW w:w="1838" w:type="dxa"/>
          </w:tcPr>
          <w:p w14:paraId="197C4526" w14:textId="677BB081" w:rsidR="00A55DFC" w:rsidRDefault="00A55DFC" w:rsidP="00A55DFC">
            <w:r>
              <w:t>Information about the use of the product</w:t>
            </w:r>
            <w:r w:rsidRPr="00D358BF">
              <w:rPr>
                <w:szCs w:val="20"/>
              </w:rPr>
              <w:t xml:space="preserve"> </w:t>
            </w:r>
          </w:p>
        </w:tc>
        <w:tc>
          <w:tcPr>
            <w:tcW w:w="3402" w:type="dxa"/>
          </w:tcPr>
          <w:p w14:paraId="56B40C09" w14:textId="6DFEF880" w:rsidR="00A55DFC" w:rsidRDefault="008924D5" w:rsidP="00A55DFC">
            <w:pPr>
              <w:pStyle w:val="Bullet"/>
              <w:numPr>
                <w:ilvl w:val="0"/>
                <w:numId w:val="0"/>
              </w:num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Information about a consumer’s use of a product including: </w:t>
            </w:r>
          </w:p>
          <w:p w14:paraId="793A8060" w14:textId="77777777" w:rsidR="008924D5" w:rsidRPr="0088533A" w:rsidRDefault="008924D5" w:rsidP="00B6460B">
            <w:pPr>
              <w:pStyle w:val="Bullet"/>
              <w:spacing w:before="24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r w:rsidRPr="0088533A">
              <w:rPr>
                <w:rFonts w:asciiTheme="minorHAnsi" w:eastAsiaTheme="minorHAnsi" w:hAnsiTheme="minorHAnsi" w:cstheme="minorBidi"/>
                <w:color w:val="auto"/>
                <w:sz w:val="20"/>
                <w:szCs w:val="20"/>
              </w:rPr>
              <w:t>information about accounts such as account numbers and product usage relating to the account</w:t>
            </w:r>
          </w:p>
          <w:p w14:paraId="545BD60A" w14:textId="77777777" w:rsidR="008924D5" w:rsidRPr="0088533A" w:rsidRDefault="008924D5" w:rsidP="00B6460B">
            <w:pPr>
              <w:pStyle w:val="Bullet"/>
              <w:spacing w:before="24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r w:rsidRPr="0088533A">
              <w:rPr>
                <w:rFonts w:asciiTheme="minorHAnsi" w:eastAsiaTheme="minorHAnsi" w:hAnsiTheme="minorHAnsi" w:cstheme="minorBidi"/>
                <w:color w:val="auto"/>
                <w:sz w:val="20"/>
                <w:szCs w:val="20"/>
              </w:rPr>
              <w:t>information about transactions, current and previous balances, due dates, and details of how to make payments</w:t>
            </w:r>
          </w:p>
          <w:p w14:paraId="6A618432" w14:textId="7B9D266E" w:rsidR="008924D5" w:rsidRDefault="008924D5" w:rsidP="00B6460B">
            <w:pPr>
              <w:pStyle w:val="Bullet"/>
              <w:spacing w:before="24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r w:rsidRPr="0088533A">
              <w:rPr>
                <w:rFonts w:asciiTheme="minorHAnsi" w:eastAsiaTheme="minorHAnsi" w:hAnsiTheme="minorHAnsi" w:cstheme="minorBidi"/>
                <w:color w:val="auto"/>
                <w:sz w:val="20"/>
                <w:szCs w:val="20"/>
              </w:rPr>
              <w:t>information about arrangements for payments to be made (such as direct debit details, details about online payments and BPAY details)</w:t>
            </w:r>
          </w:p>
          <w:p w14:paraId="56D8515B" w14:textId="43B5F297" w:rsidR="008924D5" w:rsidRDefault="008924D5" w:rsidP="008924D5">
            <w:pPr>
              <w:pStyle w:val="Bullet"/>
              <w:numPr>
                <w:ilvl w:val="0"/>
                <w:numId w:val="0"/>
              </w:numPr>
              <w:spacing w:after="0" w:line="240" w:lineRule="auto"/>
              <w:ind w:left="614" w:hanging="61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p>
          <w:p w14:paraId="36285F3A" w14:textId="70DF5B00" w:rsidR="008924D5" w:rsidRPr="0088533A" w:rsidRDefault="008924D5" w:rsidP="008924D5">
            <w:pPr>
              <w:pStyle w:val="Bullet"/>
              <w:numPr>
                <w:ilvl w:val="0"/>
                <w:numId w:val="0"/>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Also, bespoke product information described above relevant to the consumer.</w:t>
            </w:r>
          </w:p>
          <w:p w14:paraId="543EA357" w14:textId="77777777" w:rsidR="00A55DFC" w:rsidRPr="0088533A" w:rsidRDefault="00A55DFC" w:rsidP="00A55DFC">
            <w:pPr>
              <w:pStyle w:val="Bullet"/>
              <w:numPr>
                <w:ilvl w:val="0"/>
                <w:numId w:val="0"/>
              </w:num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p>
          <w:p w14:paraId="4F757E72" w14:textId="77777777" w:rsidR="00A55DFC" w:rsidRPr="0088533A" w:rsidRDefault="00A55DFC" w:rsidP="00A55DFC">
            <w:pPr>
              <w:pStyle w:val="Bullet"/>
              <w:numPr>
                <w:ilvl w:val="0"/>
                <w:numId w:val="0"/>
              </w:num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p>
        </w:tc>
        <w:tc>
          <w:tcPr>
            <w:tcW w:w="1838" w:type="dxa"/>
          </w:tcPr>
          <w:p w14:paraId="6980CBBB" w14:textId="020D13EE" w:rsidR="00A55DFC" w:rsidRPr="00C4064D" w:rsidRDefault="00A55DFC" w:rsidP="00A55DFC">
            <w:pPr>
              <w:cnfStyle w:val="000000000000" w:firstRow="0" w:lastRow="0" w:firstColumn="0" w:lastColumn="0" w:oddVBand="0" w:evenVBand="0" w:oddHBand="0" w:evenHBand="0" w:firstRowFirstColumn="0" w:firstRowLastColumn="0" w:lastRowFirstColumn="0" w:lastRowLastColumn="0"/>
            </w:pPr>
            <w:r w:rsidRPr="00C4064D">
              <w:t xml:space="preserve">provider of finance  </w:t>
            </w:r>
          </w:p>
        </w:tc>
        <w:tc>
          <w:tcPr>
            <w:tcW w:w="2840" w:type="dxa"/>
          </w:tcPr>
          <w:p w14:paraId="7E7CF078" w14:textId="77777777" w:rsidR="008924D5" w:rsidRDefault="008924D5" w:rsidP="00A55DFC">
            <w:pPr>
              <w:cnfStyle w:val="000000000000" w:firstRow="0" w:lastRow="0" w:firstColumn="0" w:lastColumn="0" w:oddVBand="0" w:evenVBand="0" w:oddHBand="0" w:evenHBand="0" w:firstRowFirstColumn="0" w:firstRowLastColumn="0" w:lastRowFirstColumn="0" w:lastRowLastColumn="0"/>
            </w:pPr>
            <w:r>
              <w:t>Designating this class of data</w:t>
            </w:r>
            <w:r w:rsidRPr="00897581">
              <w:t xml:space="preserve"> </w:t>
            </w:r>
            <w:r>
              <w:t xml:space="preserve">would enable the CDR rules to impose mandatory obligations for data holders to share </w:t>
            </w:r>
            <w:r w:rsidRPr="00897581">
              <w:t>information typically available to consumers</w:t>
            </w:r>
            <w:r>
              <w:t>.</w:t>
            </w:r>
          </w:p>
          <w:p w14:paraId="4A772D07" w14:textId="4643E1E0" w:rsidR="008924D5" w:rsidRDefault="008924D5" w:rsidP="00A55DFC">
            <w:pPr>
              <w:cnfStyle w:val="000000000000" w:firstRow="0" w:lastRow="0" w:firstColumn="0" w:lastColumn="0" w:oddVBand="0" w:evenVBand="0" w:oddHBand="0" w:evenHBand="0" w:firstRowFirstColumn="0" w:firstRowLastColumn="0" w:lastRowFirstColumn="0" w:lastRowLastColumn="0"/>
            </w:pPr>
            <w:r>
              <w:t>It also allows for the sharing of what is commonly referred to in the CDR as ‘product</w:t>
            </w:r>
            <w:r w:rsidR="00580347">
              <w:t>-</w:t>
            </w:r>
            <w:r>
              <w:t>specific data’</w:t>
            </w:r>
            <w:r w:rsidRPr="00897581">
              <w:t>.</w:t>
            </w:r>
          </w:p>
          <w:p w14:paraId="19C47DE6" w14:textId="7C9E7297" w:rsidR="00A55DFC" w:rsidRDefault="00A55DFC" w:rsidP="00A55DFC">
            <w:pPr>
              <w:cnfStyle w:val="000000000000" w:firstRow="0" w:lastRow="0" w:firstColumn="0" w:lastColumn="0" w:oddVBand="0" w:evenVBand="0" w:oddHBand="0" w:evenHBand="0" w:firstRowFirstColumn="0" w:firstRowLastColumn="0" w:lastRowFirstColumn="0" w:lastRowLastColumn="0"/>
            </w:pPr>
          </w:p>
          <w:p w14:paraId="0D14A97E" w14:textId="221EA531" w:rsidR="00A55DFC" w:rsidRDefault="00A55DFC" w:rsidP="00A55DFC">
            <w:pPr>
              <w:cnfStyle w:val="000000000000" w:firstRow="0" w:lastRow="0" w:firstColumn="0" w:lastColumn="0" w:oddVBand="0" w:evenVBand="0" w:oddHBand="0" w:evenHBand="0" w:firstRowFirstColumn="0" w:firstRowLastColumn="0" w:lastRowFirstColumn="0" w:lastRowLastColumn="0"/>
            </w:pPr>
            <w:r w:rsidRPr="00F82E82">
              <w:t>Product specific data enables product data to be shared as a type of consumer data</w:t>
            </w:r>
            <w:r>
              <w:t>.</w:t>
            </w:r>
            <w:r w:rsidRPr="00F82E82">
              <w:t xml:space="preserve"> </w:t>
            </w:r>
            <w:r>
              <w:t>F</w:t>
            </w:r>
            <w:r w:rsidRPr="00F82E82">
              <w:t xml:space="preserve">or example, if a consumer is on a particular </w:t>
            </w:r>
            <w:r>
              <w:t>rate</w:t>
            </w:r>
            <w:r w:rsidRPr="00F82E82">
              <w:t xml:space="preserve"> that differs from the advertised </w:t>
            </w:r>
            <w:r>
              <w:t>rate for</w:t>
            </w:r>
            <w:r w:rsidRPr="00F82E82">
              <w:t xml:space="preserve"> a product, or uses a product that is no longer publicly available, that specific product information </w:t>
            </w:r>
            <w:r>
              <w:t>that relates to the product a consumer uses</w:t>
            </w:r>
            <w:r w:rsidRPr="00F82E82">
              <w:t xml:space="preserve"> could be shared as consumer data.</w:t>
            </w:r>
          </w:p>
        </w:tc>
      </w:tr>
    </w:tbl>
    <w:p w14:paraId="672E090A" w14:textId="34DA4D62" w:rsidR="009B16D6" w:rsidRDefault="00580347" w:rsidP="00F07CFD">
      <w:r>
        <w:lastRenderedPageBreak/>
        <w:t>M</w:t>
      </w:r>
      <w:r w:rsidR="007633CC">
        <w:t xml:space="preserve">ost stakeholders </w:t>
      </w:r>
      <w:r w:rsidR="009B16D6">
        <w:t xml:space="preserve">agreed that </w:t>
      </w:r>
      <w:r w:rsidR="007633CC">
        <w:t>supporting a broad designation would capture all credit products, using a broad definition of credit, offered to both individuals and small business, and that would capture new credit offerings in the future.</w:t>
      </w:r>
      <w:r w:rsidR="007633CC">
        <w:rPr>
          <w:rStyle w:val="FootnoteReference"/>
        </w:rPr>
        <w:footnoteReference w:id="61"/>
      </w:r>
      <w:r w:rsidR="007633CC">
        <w:t xml:space="preserve"> </w:t>
      </w:r>
      <w:r w:rsidR="00201D50">
        <w:t xml:space="preserve">As such, Treasury recommends </w:t>
      </w:r>
      <w:r w:rsidR="00A86F4D">
        <w:t>using</w:t>
      </w:r>
      <w:r w:rsidR="00201D50">
        <w:t xml:space="preserve"> a </w:t>
      </w:r>
      <w:r w:rsidR="00A86F4D">
        <w:t xml:space="preserve">consistent </w:t>
      </w:r>
      <w:r w:rsidR="00201D50">
        <w:t xml:space="preserve">definition of </w:t>
      </w:r>
      <w:r w:rsidR="009B16D6">
        <w:t>‘</w:t>
      </w:r>
      <w:r w:rsidR="00201D50">
        <w:t>product</w:t>
      </w:r>
      <w:r w:rsidR="009B16D6">
        <w:t>’</w:t>
      </w:r>
      <w:r w:rsidR="00201D50">
        <w:t xml:space="preserve"> </w:t>
      </w:r>
      <w:r w:rsidR="00A86F4D">
        <w:t>in the banking and non-banking designations</w:t>
      </w:r>
      <w:r w:rsidR="00201D50">
        <w:t>, to ensure it covers the breadth of products needed</w:t>
      </w:r>
      <w:r w:rsidR="009B16D6">
        <w:t>. This will</w:t>
      </w:r>
      <w:r w:rsidR="00201D50">
        <w:t xml:space="preserve"> also </w:t>
      </w:r>
      <w:r w:rsidR="009B16D6">
        <w:t>help</w:t>
      </w:r>
      <w:r w:rsidR="00201D50">
        <w:t xml:space="preserve"> ensure consistency with </w:t>
      </w:r>
      <w:r w:rsidR="009B16D6">
        <w:t>data</w:t>
      </w:r>
      <w:r w:rsidR="00201D50">
        <w:t xml:space="preserve"> that is currently being, or may be, shared in banking. </w:t>
      </w:r>
    </w:p>
    <w:p w14:paraId="2E28286C" w14:textId="1F19DF5B" w:rsidR="00361ADC" w:rsidRDefault="00201D50" w:rsidP="00F07CFD">
      <w:r>
        <w:t xml:space="preserve">At a high-level, </w:t>
      </w:r>
      <w:r w:rsidR="009B16D6">
        <w:t>Treasury proposes</w:t>
      </w:r>
      <w:r>
        <w:t xml:space="preserve"> that </w:t>
      </w:r>
      <w:r w:rsidR="00900C3A">
        <w:t>the non-bank lending designation extend to</w:t>
      </w:r>
      <w:r>
        <w:t xml:space="preserve"> the ‘making of advances of money’</w:t>
      </w:r>
      <w:r w:rsidR="00A86F4D">
        <w:t xml:space="preserve"> and goods and services that have been supplied in connection with the letting on hire of goods (leases)</w:t>
      </w:r>
      <w:r w:rsidR="001831BC">
        <w:t>,</w:t>
      </w:r>
      <w:r w:rsidR="0066063B">
        <w:t xml:space="preserve"> </w:t>
      </w:r>
      <w:r w:rsidR="0066063B">
        <w:rPr>
          <w:bCs/>
        </w:rPr>
        <w:t>including on hire-purchase</w:t>
      </w:r>
      <w:r>
        <w:t>.</w:t>
      </w:r>
      <w:r w:rsidR="00C344CF">
        <w:t xml:space="preserve"> The rules-stage will consider the prescribed list of products within scope of mandatory sharing obligations, although it is expected to </w:t>
      </w:r>
      <w:r w:rsidR="00990B5C">
        <w:t>include the types of lending products being</w:t>
      </w:r>
      <w:r w:rsidR="00C344CF">
        <w:t xml:space="preserve"> shared through Open Banking. </w:t>
      </w:r>
    </w:p>
    <w:p w14:paraId="6A3C91C6" w14:textId="67294A6D" w:rsidR="00442052" w:rsidRDefault="00442052" w:rsidP="00C5056D">
      <w:pPr>
        <w:pStyle w:val="Numbered11"/>
        <w:keepNext/>
        <w:ind w:left="431" w:hanging="431"/>
      </w:pPr>
      <w:bookmarkStart w:id="32" w:name="_Toc108794109"/>
      <w:r>
        <w:t>Data not recommended for designation</w:t>
      </w:r>
      <w:bookmarkEnd w:id="32"/>
    </w:p>
    <w:p w14:paraId="39B01298" w14:textId="2F45CCE1" w:rsidR="00442052" w:rsidRPr="00B76910" w:rsidRDefault="00C82636" w:rsidP="00442052">
      <w:r>
        <w:t>Treasury</w:t>
      </w:r>
      <w:r w:rsidR="00442052" w:rsidRPr="00B76910" w:rsidDel="00322CB5">
        <w:t xml:space="preserve"> </w:t>
      </w:r>
      <w:r w:rsidR="00322CB5">
        <w:t>considers</w:t>
      </w:r>
      <w:r w:rsidR="00442052" w:rsidRPr="00B76910">
        <w:t xml:space="preserve"> </w:t>
      </w:r>
      <w:r w:rsidR="002050CD">
        <w:t>the same</w:t>
      </w:r>
      <w:r w:rsidR="00442052">
        <w:t xml:space="preserve"> datasets </w:t>
      </w:r>
      <w:r w:rsidR="002050CD">
        <w:t>designated for Open banking</w:t>
      </w:r>
      <w:r w:rsidR="00442052">
        <w:t xml:space="preserve"> should </w:t>
      </w:r>
      <w:r w:rsidR="002050CD">
        <w:t>apply to non-bank lenders</w:t>
      </w:r>
      <w:r w:rsidR="00E763B7">
        <w:t xml:space="preserve">. </w:t>
      </w:r>
      <w:r>
        <w:t>As</w:t>
      </w:r>
      <w:r w:rsidR="00E763B7">
        <w:t xml:space="preserve"> in Open Banking, there will be</w:t>
      </w:r>
      <w:r w:rsidR="002050CD">
        <w:t xml:space="preserve"> exclusions for materially enhanced data</w:t>
      </w:r>
      <w:r w:rsidR="00E763B7">
        <w:rPr>
          <w:rStyle w:val="FootnoteReference"/>
        </w:rPr>
        <w:footnoteReference w:id="62"/>
      </w:r>
      <w:r w:rsidR="002050CD">
        <w:t xml:space="preserve"> </w:t>
      </w:r>
      <w:r w:rsidR="00E763B7">
        <w:t xml:space="preserve">(discussed below) </w:t>
      </w:r>
      <w:r w:rsidR="002050CD">
        <w:t>and credit information</w:t>
      </w:r>
      <w:r w:rsidR="00E763B7">
        <w:rPr>
          <w:rStyle w:val="FootnoteReference"/>
        </w:rPr>
        <w:footnoteReference w:id="63"/>
      </w:r>
      <w:r w:rsidR="002050CD">
        <w:t xml:space="preserve"> </w:t>
      </w:r>
      <w:r w:rsidR="00E763B7">
        <w:t xml:space="preserve">where its disclosure is regulated by the </w:t>
      </w:r>
      <w:r w:rsidR="00E763B7" w:rsidRPr="00C82636">
        <w:rPr>
          <w:i/>
        </w:rPr>
        <w:t>Privacy Act 1988</w:t>
      </w:r>
      <w:r w:rsidR="00E763B7">
        <w:t xml:space="preserve">. The exclusion of specified types of credit information will reduce regulatory overlap between the </w:t>
      </w:r>
      <w:r>
        <w:t>CDR</w:t>
      </w:r>
      <w:r w:rsidR="00E763B7">
        <w:t xml:space="preserve"> and the Privacy Act.</w:t>
      </w:r>
      <w:r w:rsidR="00442052">
        <w:t xml:space="preserve"> </w:t>
      </w:r>
    </w:p>
    <w:p w14:paraId="67CB2DBA" w14:textId="77777777" w:rsidR="00442052" w:rsidRDefault="00442052" w:rsidP="00C5056D">
      <w:pPr>
        <w:pStyle w:val="Numbered11"/>
        <w:keepNext/>
        <w:ind w:left="431" w:hanging="431"/>
      </w:pPr>
      <w:bookmarkStart w:id="33" w:name="_Toc108794110"/>
      <w:r>
        <w:t>I</w:t>
      </w:r>
      <w:r w:rsidRPr="002E2CBB">
        <w:t>ntellectual property</w:t>
      </w:r>
      <w:bookmarkEnd w:id="33"/>
      <w:r>
        <w:t xml:space="preserve"> </w:t>
      </w:r>
    </w:p>
    <w:p w14:paraId="34E9E5B9" w14:textId="06A397D1" w:rsidR="00944499" w:rsidRDefault="00442052" w:rsidP="00442052">
      <w:r>
        <w:t xml:space="preserve">CDR data is </w:t>
      </w:r>
      <w:r w:rsidR="00C82636">
        <w:t>‘</w:t>
      </w:r>
      <w:r>
        <w:t>data outlined in the instrument designating a sector and any information that is derived (wholly or partly) from that data</w:t>
      </w:r>
      <w:r w:rsidR="00C82636">
        <w:t>’</w:t>
      </w:r>
      <w:r>
        <w:t>.</w:t>
      </w:r>
      <w:r w:rsidR="00C82636">
        <w:rPr>
          <w:rStyle w:val="FootnoteReference"/>
        </w:rPr>
        <w:footnoteReference w:id="64"/>
      </w:r>
      <w:r>
        <w:t xml:space="preserve"> The designation instrument for the banking sector excludes ‘materially enhanced information’ about the use of a banking product from the specified classes of information subject to required data sharing.</w:t>
      </w:r>
      <w:r w:rsidR="00551C39">
        <w:rPr>
          <w:rStyle w:val="FootnoteReference"/>
        </w:rPr>
        <w:footnoteReference w:id="65"/>
      </w:r>
      <w:r>
        <w:t xml:space="preserve"> The concept of </w:t>
      </w:r>
      <w:r w:rsidR="00551C39">
        <w:t>‘</w:t>
      </w:r>
      <w:r>
        <w:t>materially enhanced information</w:t>
      </w:r>
      <w:r w:rsidR="00551C39">
        <w:t>’</w:t>
      </w:r>
      <w:r>
        <w:t xml:space="preserve"> refers to data that is the result of the application of insight, analysis or transformation to significantly enhance its usability and value in comparison to its source material.</w:t>
      </w:r>
      <w:r w:rsidR="00551C39">
        <w:rPr>
          <w:rStyle w:val="FootnoteReference"/>
        </w:rPr>
        <w:footnoteReference w:id="66"/>
      </w:r>
      <w:r>
        <w:t xml:space="preserve"> Data holders cannot be required to disclose materially enhanced data about the use or sale/supply of products under the CDR but may be authorised to disclose it through the CDR on a voluntary basis. </w:t>
      </w:r>
    </w:p>
    <w:p w14:paraId="472C95BF" w14:textId="77E5414A" w:rsidR="00944499" w:rsidRDefault="008A4131" w:rsidP="00442052">
      <w:r>
        <w:t>The consultation paper outlined examples of materially enhanced information in the banking context</w:t>
      </w:r>
      <w:r>
        <w:rPr>
          <w:rStyle w:val="FootnoteReference"/>
        </w:rPr>
        <w:footnoteReference w:id="67"/>
      </w:r>
      <w:r w:rsidR="00D167E7">
        <w:t>,</w:t>
      </w:r>
      <w:r>
        <w:t xml:space="preserve"> and requested</w:t>
      </w:r>
      <w:r w:rsidR="007316B2">
        <w:t xml:space="preserve"> input</w:t>
      </w:r>
      <w:r>
        <w:t xml:space="preserve"> from stakeholders on </w:t>
      </w:r>
      <w:r w:rsidR="007316B2">
        <w:t xml:space="preserve">possible non-bank lending specific </w:t>
      </w:r>
      <w:r>
        <w:t xml:space="preserve">examples. </w:t>
      </w:r>
      <w:r w:rsidR="00944499">
        <w:t>The ACCC’s submission recognised that non-bank lenders may hold data that has been generated following a process of innovation or ‘value add’ by the lender themselves</w:t>
      </w:r>
      <w:r w:rsidR="00D167E7">
        <w:t>. It cited the</w:t>
      </w:r>
      <w:r w:rsidR="00944499">
        <w:t xml:space="preserve"> example</w:t>
      </w:r>
      <w:r w:rsidR="00D167E7">
        <w:t xml:space="preserve"> of</w:t>
      </w:r>
      <w:r w:rsidR="00944499">
        <w:t xml:space="preserve"> detailed customer and property data generated in the process of assessing a non-conforming borrower that reveals proprietary information about the lender’s credit risk assessment process and that this type of data may be subject to legitimate intellectual property rights.</w:t>
      </w:r>
      <w:r w:rsidR="00944499">
        <w:rPr>
          <w:rStyle w:val="FootnoteReference"/>
        </w:rPr>
        <w:footnoteReference w:id="68"/>
      </w:r>
    </w:p>
    <w:p w14:paraId="5676D766" w14:textId="60A71225" w:rsidR="00FB501A" w:rsidRPr="00442052" w:rsidRDefault="00CE59F9" w:rsidP="00442052">
      <w:r>
        <w:lastRenderedPageBreak/>
        <w:t>With the exception of those examples already contemplated by the banking designation instrument, n</w:t>
      </w:r>
      <w:r w:rsidR="008A4131">
        <w:t xml:space="preserve">o </w:t>
      </w:r>
      <w:r w:rsidR="00E31A0C">
        <w:t>additional</w:t>
      </w:r>
      <w:r w:rsidR="008A4131">
        <w:t xml:space="preserve"> examples of materially enhanced information</w:t>
      </w:r>
      <w:r w:rsidR="00D358BF">
        <w:t xml:space="preserve"> </w:t>
      </w:r>
      <w:r w:rsidR="008A4131">
        <w:t>were identified during consultation.</w:t>
      </w:r>
    </w:p>
    <w:p w14:paraId="37A7BE40" w14:textId="2F0CF541" w:rsidR="0048537A" w:rsidRDefault="0048537A" w:rsidP="006C25A1">
      <w:pPr>
        <w:pStyle w:val="Numbered11"/>
        <w:keepNext/>
        <w:ind w:left="431" w:hanging="431"/>
      </w:pPr>
      <w:bookmarkStart w:id="34" w:name="_Toc108794111"/>
      <w:r>
        <w:t>Defining data holders</w:t>
      </w:r>
      <w:bookmarkEnd w:id="34"/>
    </w:p>
    <w:p w14:paraId="64432DAA" w14:textId="402C0822" w:rsidR="00D806DF" w:rsidRDefault="00D806DF" w:rsidP="009620C3">
      <w:pPr>
        <w:pStyle w:val="Bullet"/>
        <w:numPr>
          <w:ilvl w:val="0"/>
          <w:numId w:val="0"/>
        </w:numPr>
        <w:spacing w:before="200"/>
        <w:rPr>
          <w:rFonts w:ascii="Trebuchet MS" w:eastAsiaTheme="minorHAnsi" w:hAnsi="Trebuchet MS" w:cstheme="minorBidi"/>
          <w:color w:val="auto"/>
          <w:sz w:val="22"/>
          <w:szCs w:val="22"/>
        </w:rPr>
      </w:pPr>
      <w:r w:rsidRPr="00D806DF">
        <w:rPr>
          <w:rFonts w:ascii="Trebuchet MS" w:eastAsiaTheme="minorHAnsi" w:hAnsi="Trebuchet MS" w:cstheme="minorBidi"/>
          <w:color w:val="auto"/>
          <w:sz w:val="22"/>
          <w:szCs w:val="22"/>
        </w:rPr>
        <w:t xml:space="preserve">Open Banking identified ADIs as data holders. There is </w:t>
      </w:r>
      <w:r w:rsidR="003A1006">
        <w:rPr>
          <w:rFonts w:ascii="Trebuchet MS" w:eastAsiaTheme="minorHAnsi" w:hAnsi="Trebuchet MS" w:cstheme="minorBidi"/>
          <w:color w:val="auto"/>
          <w:sz w:val="22"/>
          <w:szCs w:val="22"/>
        </w:rPr>
        <w:t xml:space="preserve">currently </w:t>
      </w:r>
      <w:r w:rsidRPr="00D806DF">
        <w:rPr>
          <w:rFonts w:ascii="Trebuchet MS" w:eastAsiaTheme="minorHAnsi" w:hAnsi="Trebuchet MS" w:cstheme="minorBidi"/>
          <w:color w:val="auto"/>
          <w:sz w:val="22"/>
          <w:szCs w:val="22"/>
        </w:rPr>
        <w:t>no such equivalent for no</w:t>
      </w:r>
      <w:r>
        <w:rPr>
          <w:rFonts w:ascii="Trebuchet MS" w:eastAsiaTheme="minorHAnsi" w:hAnsi="Trebuchet MS" w:cstheme="minorBidi"/>
          <w:color w:val="auto"/>
          <w:sz w:val="22"/>
          <w:szCs w:val="22"/>
        </w:rPr>
        <w:t>n</w:t>
      </w:r>
      <w:r>
        <w:rPr>
          <w:rFonts w:ascii="Trebuchet MS" w:eastAsiaTheme="minorHAnsi" w:hAnsi="Trebuchet MS" w:cstheme="minorBidi"/>
          <w:color w:val="auto"/>
          <w:sz w:val="22"/>
          <w:szCs w:val="22"/>
        </w:rPr>
        <w:noBreakHyphen/>
      </w:r>
      <w:r w:rsidRPr="00D806DF">
        <w:rPr>
          <w:rFonts w:ascii="Trebuchet MS" w:eastAsiaTheme="minorHAnsi" w:hAnsi="Trebuchet MS" w:cstheme="minorBidi"/>
          <w:color w:val="auto"/>
          <w:sz w:val="22"/>
          <w:szCs w:val="22"/>
        </w:rPr>
        <w:t>bank</w:t>
      </w:r>
      <w:r>
        <w:rPr>
          <w:rFonts w:ascii="Trebuchet MS" w:eastAsiaTheme="minorHAnsi" w:hAnsi="Trebuchet MS" w:cstheme="minorBidi"/>
          <w:color w:val="auto"/>
          <w:sz w:val="22"/>
          <w:szCs w:val="22"/>
        </w:rPr>
        <w:t xml:space="preserve"> lender</w:t>
      </w:r>
      <w:r w:rsidRPr="00D806DF">
        <w:rPr>
          <w:rFonts w:ascii="Trebuchet MS" w:eastAsiaTheme="minorHAnsi" w:hAnsi="Trebuchet MS" w:cstheme="minorBidi"/>
          <w:color w:val="auto"/>
          <w:sz w:val="22"/>
          <w:szCs w:val="22"/>
        </w:rPr>
        <w:t>s that neatly captures the relevant entities, therefore</w:t>
      </w:r>
      <w:r>
        <w:rPr>
          <w:rFonts w:ascii="Trebuchet MS" w:eastAsiaTheme="minorHAnsi" w:hAnsi="Trebuchet MS" w:cstheme="minorBidi"/>
          <w:color w:val="auto"/>
          <w:sz w:val="22"/>
          <w:szCs w:val="22"/>
        </w:rPr>
        <w:t xml:space="preserve"> existing </w:t>
      </w:r>
      <w:r w:rsidRPr="00D806DF">
        <w:rPr>
          <w:rFonts w:ascii="Trebuchet MS" w:eastAsiaTheme="minorHAnsi" w:hAnsi="Trebuchet MS" w:cstheme="minorBidi"/>
          <w:color w:val="auto"/>
          <w:sz w:val="22"/>
          <w:szCs w:val="22"/>
        </w:rPr>
        <w:t>statutory definitions</w:t>
      </w:r>
      <w:r>
        <w:rPr>
          <w:rFonts w:ascii="Trebuchet MS" w:eastAsiaTheme="minorHAnsi" w:hAnsi="Trebuchet MS" w:cstheme="minorBidi"/>
          <w:color w:val="auto"/>
          <w:sz w:val="22"/>
          <w:szCs w:val="22"/>
        </w:rPr>
        <w:t xml:space="preserve"> need to be leveraged to identify non-bank lender data holders</w:t>
      </w:r>
      <w:r w:rsidRPr="00D806DF">
        <w:rPr>
          <w:rFonts w:ascii="Trebuchet MS" w:eastAsiaTheme="minorHAnsi" w:hAnsi="Trebuchet MS" w:cstheme="minorBidi"/>
          <w:color w:val="auto"/>
          <w:sz w:val="22"/>
          <w:szCs w:val="22"/>
        </w:rPr>
        <w:t xml:space="preserve">. </w:t>
      </w:r>
    </w:p>
    <w:p w14:paraId="61C21F2B" w14:textId="5FD6297B" w:rsidR="00E37B35" w:rsidRDefault="00E37B35" w:rsidP="00D806DF">
      <w:pPr>
        <w:pStyle w:val="Bullet"/>
        <w:numPr>
          <w:ilvl w:val="0"/>
          <w:numId w:val="0"/>
        </w:numPr>
        <w:rPr>
          <w:rFonts w:ascii="Trebuchet MS" w:eastAsiaTheme="minorHAnsi" w:hAnsi="Trebuchet MS" w:cstheme="minorBidi"/>
          <w:color w:val="auto"/>
          <w:sz w:val="22"/>
          <w:szCs w:val="22"/>
        </w:rPr>
      </w:pPr>
      <w:r>
        <w:rPr>
          <w:rFonts w:ascii="Trebuchet MS" w:eastAsiaTheme="minorHAnsi" w:hAnsi="Trebuchet MS" w:cstheme="minorBidi"/>
          <w:color w:val="auto"/>
          <w:sz w:val="22"/>
          <w:szCs w:val="22"/>
        </w:rPr>
        <w:t xml:space="preserve">Through </w:t>
      </w:r>
      <w:r w:rsidR="009620C3">
        <w:rPr>
          <w:rFonts w:ascii="Trebuchet MS" w:eastAsiaTheme="minorHAnsi" w:hAnsi="Trebuchet MS" w:cstheme="minorBidi"/>
          <w:color w:val="auto"/>
          <w:sz w:val="22"/>
          <w:szCs w:val="22"/>
        </w:rPr>
        <w:t xml:space="preserve">consultation </w:t>
      </w:r>
      <w:r>
        <w:rPr>
          <w:rFonts w:ascii="Trebuchet MS" w:eastAsiaTheme="minorHAnsi" w:hAnsi="Trebuchet MS" w:cstheme="minorBidi"/>
          <w:color w:val="auto"/>
          <w:sz w:val="22"/>
          <w:szCs w:val="22"/>
        </w:rPr>
        <w:t>stakeholder</w:t>
      </w:r>
      <w:r w:rsidR="00772ACD">
        <w:rPr>
          <w:rFonts w:ascii="Trebuchet MS" w:eastAsiaTheme="minorHAnsi" w:hAnsi="Trebuchet MS" w:cstheme="minorBidi"/>
          <w:color w:val="auto"/>
          <w:sz w:val="22"/>
          <w:szCs w:val="22"/>
        </w:rPr>
        <w:t>s</w:t>
      </w:r>
      <w:r>
        <w:rPr>
          <w:rFonts w:ascii="Trebuchet MS" w:eastAsiaTheme="minorHAnsi" w:hAnsi="Trebuchet MS" w:cstheme="minorBidi"/>
          <w:color w:val="auto"/>
          <w:sz w:val="22"/>
          <w:szCs w:val="22"/>
        </w:rPr>
        <w:t xml:space="preserve"> </w:t>
      </w:r>
      <w:r w:rsidR="006C25A1">
        <w:rPr>
          <w:rFonts w:ascii="Trebuchet MS" w:eastAsiaTheme="minorHAnsi" w:hAnsi="Trebuchet MS" w:cstheme="minorBidi"/>
          <w:color w:val="auto"/>
          <w:sz w:val="22"/>
          <w:szCs w:val="22"/>
        </w:rPr>
        <w:t xml:space="preserve">were asked to provide </w:t>
      </w:r>
      <w:r>
        <w:rPr>
          <w:rFonts w:ascii="Trebuchet MS" w:eastAsiaTheme="minorHAnsi" w:hAnsi="Trebuchet MS" w:cstheme="minorBidi"/>
          <w:color w:val="auto"/>
          <w:sz w:val="22"/>
          <w:szCs w:val="22"/>
        </w:rPr>
        <w:t>views on two ex</w:t>
      </w:r>
      <w:r w:rsidR="009620C3">
        <w:rPr>
          <w:rFonts w:ascii="Trebuchet MS" w:eastAsiaTheme="minorHAnsi" w:hAnsi="Trebuchet MS" w:cstheme="minorBidi"/>
          <w:color w:val="auto"/>
          <w:sz w:val="22"/>
          <w:szCs w:val="22"/>
        </w:rPr>
        <w:t>isting definitions that could be drawn on to define data holders</w:t>
      </w:r>
      <w:r>
        <w:rPr>
          <w:rFonts w:ascii="Trebuchet MS" w:eastAsiaTheme="minorHAnsi" w:hAnsi="Trebuchet MS" w:cstheme="minorBidi"/>
          <w:color w:val="auto"/>
          <w:sz w:val="22"/>
          <w:szCs w:val="22"/>
        </w:rPr>
        <w:t xml:space="preserve"> or</w:t>
      </w:r>
      <w:r w:rsidDel="00B55010">
        <w:rPr>
          <w:rFonts w:ascii="Trebuchet MS" w:eastAsiaTheme="minorHAnsi" w:hAnsi="Trebuchet MS" w:cstheme="minorBidi"/>
          <w:color w:val="auto"/>
          <w:sz w:val="22"/>
          <w:szCs w:val="22"/>
        </w:rPr>
        <w:t xml:space="preserve"> </w:t>
      </w:r>
      <w:r>
        <w:rPr>
          <w:rFonts w:ascii="Trebuchet MS" w:eastAsiaTheme="minorHAnsi" w:hAnsi="Trebuchet MS" w:cstheme="minorBidi"/>
          <w:color w:val="auto"/>
          <w:sz w:val="22"/>
          <w:szCs w:val="22"/>
        </w:rPr>
        <w:t>to identify a suitable alternative</w:t>
      </w:r>
      <w:r w:rsidR="009620C3">
        <w:rPr>
          <w:rFonts w:ascii="Trebuchet MS" w:eastAsiaTheme="minorHAnsi" w:hAnsi="Trebuchet MS" w:cstheme="minorBidi"/>
          <w:color w:val="auto"/>
          <w:sz w:val="22"/>
          <w:szCs w:val="22"/>
        </w:rPr>
        <w:t xml:space="preserve">: </w:t>
      </w:r>
      <w:r w:rsidR="00D806DF" w:rsidRPr="00D806DF">
        <w:rPr>
          <w:rFonts w:ascii="Trebuchet MS" w:eastAsiaTheme="minorHAnsi" w:hAnsi="Trebuchet MS" w:cstheme="minorBidi"/>
          <w:color w:val="auto"/>
          <w:sz w:val="22"/>
          <w:szCs w:val="22"/>
        </w:rPr>
        <w:t xml:space="preserve">‘credit facility’ </w:t>
      </w:r>
      <w:r w:rsidR="00D806DF">
        <w:rPr>
          <w:rFonts w:ascii="Trebuchet MS" w:eastAsiaTheme="minorHAnsi" w:hAnsi="Trebuchet MS" w:cstheme="minorBidi"/>
          <w:color w:val="auto"/>
          <w:sz w:val="22"/>
          <w:szCs w:val="22"/>
        </w:rPr>
        <w:t xml:space="preserve">found </w:t>
      </w:r>
      <w:r w:rsidR="00D806DF" w:rsidRPr="00D806DF">
        <w:rPr>
          <w:rFonts w:ascii="Trebuchet MS" w:eastAsiaTheme="minorHAnsi" w:hAnsi="Trebuchet MS" w:cstheme="minorBidi"/>
          <w:color w:val="auto"/>
          <w:sz w:val="22"/>
          <w:szCs w:val="22"/>
        </w:rPr>
        <w:t xml:space="preserve">in the </w:t>
      </w:r>
      <w:r w:rsidR="00D806DF" w:rsidRPr="00D806DF">
        <w:rPr>
          <w:rFonts w:ascii="Trebuchet MS" w:eastAsiaTheme="minorHAnsi" w:hAnsi="Trebuchet MS" w:cstheme="minorBidi"/>
          <w:i/>
          <w:iCs/>
          <w:color w:val="auto"/>
          <w:sz w:val="22"/>
          <w:szCs w:val="22"/>
        </w:rPr>
        <w:t xml:space="preserve">Australian Securities and Investments Commission Act 2001 </w:t>
      </w:r>
      <w:r w:rsidR="00D806DF" w:rsidRPr="00D806DF">
        <w:rPr>
          <w:rFonts w:ascii="Trebuchet MS" w:eastAsiaTheme="minorHAnsi" w:hAnsi="Trebuchet MS" w:cstheme="minorBidi"/>
          <w:color w:val="auto"/>
          <w:sz w:val="22"/>
          <w:szCs w:val="22"/>
        </w:rPr>
        <w:t>(ASIC Act)</w:t>
      </w:r>
      <w:r w:rsidR="00E763B7">
        <w:rPr>
          <w:rStyle w:val="FootnoteReference"/>
          <w:rFonts w:ascii="Trebuchet MS" w:eastAsiaTheme="minorHAnsi" w:hAnsi="Trebuchet MS" w:cstheme="minorBidi"/>
          <w:color w:val="auto"/>
          <w:sz w:val="22"/>
          <w:szCs w:val="22"/>
        </w:rPr>
        <w:footnoteReference w:id="69"/>
      </w:r>
      <w:r w:rsidR="009620C3">
        <w:rPr>
          <w:rFonts w:ascii="Trebuchet MS" w:eastAsiaTheme="minorHAnsi" w:hAnsi="Trebuchet MS" w:cstheme="minorBidi"/>
          <w:color w:val="auto"/>
          <w:sz w:val="22"/>
          <w:szCs w:val="22"/>
        </w:rPr>
        <w:t>; or</w:t>
      </w:r>
      <w:r w:rsidR="00A0249D">
        <w:rPr>
          <w:rFonts w:ascii="Trebuchet MS" w:eastAsiaTheme="minorHAnsi" w:hAnsi="Trebuchet MS" w:cstheme="minorBidi"/>
          <w:color w:val="auto"/>
          <w:sz w:val="22"/>
          <w:szCs w:val="22"/>
        </w:rPr>
        <w:t xml:space="preserve"> </w:t>
      </w:r>
      <w:r w:rsidR="00A0249D" w:rsidRPr="00D806DF">
        <w:rPr>
          <w:rFonts w:ascii="Trebuchet MS" w:eastAsiaTheme="minorHAnsi" w:hAnsi="Trebuchet MS" w:cstheme="minorBidi"/>
          <w:color w:val="auto"/>
          <w:sz w:val="22"/>
          <w:szCs w:val="22"/>
        </w:rPr>
        <w:t>the definition of a registrable corporation</w:t>
      </w:r>
      <w:r w:rsidR="000C10D8">
        <w:rPr>
          <w:rFonts w:ascii="Trebuchet MS" w:eastAsiaTheme="minorHAnsi" w:hAnsi="Trebuchet MS" w:cstheme="minorBidi"/>
          <w:color w:val="auto"/>
          <w:sz w:val="22"/>
          <w:szCs w:val="22"/>
        </w:rPr>
        <w:t xml:space="preserve"> (RFC)</w:t>
      </w:r>
      <w:r w:rsidR="00A0249D" w:rsidRPr="00D806DF">
        <w:rPr>
          <w:rFonts w:ascii="Trebuchet MS" w:eastAsiaTheme="minorHAnsi" w:hAnsi="Trebuchet MS" w:cstheme="minorBidi"/>
          <w:color w:val="auto"/>
          <w:sz w:val="22"/>
          <w:szCs w:val="22"/>
        </w:rPr>
        <w:t xml:space="preserve"> in section 7 of the </w:t>
      </w:r>
      <w:bookmarkStart w:id="35" w:name="_Hlk104211055"/>
      <w:r w:rsidR="00A0249D" w:rsidRPr="00A0249D">
        <w:rPr>
          <w:rFonts w:ascii="Trebuchet MS" w:eastAsiaTheme="minorHAnsi" w:hAnsi="Trebuchet MS" w:cstheme="minorBidi"/>
          <w:i/>
          <w:iCs/>
          <w:color w:val="auto"/>
          <w:sz w:val="22"/>
          <w:szCs w:val="22"/>
        </w:rPr>
        <w:t>Financial Sector (Collection of Data) Act 2001</w:t>
      </w:r>
      <w:bookmarkEnd w:id="35"/>
      <w:r w:rsidR="00A0249D" w:rsidRPr="00D806DF">
        <w:rPr>
          <w:rFonts w:ascii="Trebuchet MS" w:eastAsiaTheme="minorHAnsi" w:hAnsi="Trebuchet MS" w:cstheme="minorBidi"/>
          <w:color w:val="auto"/>
          <w:sz w:val="22"/>
          <w:szCs w:val="22"/>
        </w:rPr>
        <w:t xml:space="preserve"> (Collection of Data Act)</w:t>
      </w:r>
      <w:r w:rsidR="003F7F23">
        <w:rPr>
          <w:rFonts w:ascii="Trebuchet MS" w:eastAsiaTheme="minorHAnsi" w:hAnsi="Trebuchet MS" w:cstheme="minorBidi"/>
          <w:color w:val="auto"/>
          <w:sz w:val="22"/>
          <w:szCs w:val="22"/>
        </w:rPr>
        <w:t>.</w:t>
      </w:r>
      <w:r w:rsidR="00E763B7">
        <w:rPr>
          <w:rStyle w:val="FootnoteReference"/>
          <w:rFonts w:ascii="Trebuchet MS" w:eastAsiaTheme="minorHAnsi" w:hAnsi="Trebuchet MS" w:cstheme="minorBidi"/>
          <w:color w:val="auto"/>
          <w:sz w:val="22"/>
          <w:szCs w:val="22"/>
        </w:rPr>
        <w:footnoteReference w:id="70"/>
      </w:r>
      <w:r w:rsidR="00E763B7">
        <w:rPr>
          <w:rFonts w:ascii="Trebuchet MS" w:eastAsiaTheme="minorHAnsi" w:hAnsi="Trebuchet MS" w:cstheme="minorBidi"/>
          <w:color w:val="auto"/>
          <w:sz w:val="22"/>
          <w:szCs w:val="22"/>
        </w:rPr>
        <w:t xml:space="preserve"> </w:t>
      </w:r>
    </w:p>
    <w:p w14:paraId="2506D64F" w14:textId="0E3CEC79" w:rsidR="00E37B35" w:rsidRDefault="00A126EB" w:rsidP="00D806DF">
      <w:pPr>
        <w:pStyle w:val="Bullet"/>
        <w:numPr>
          <w:ilvl w:val="0"/>
          <w:numId w:val="0"/>
        </w:numPr>
        <w:rPr>
          <w:rFonts w:ascii="Trebuchet MS" w:eastAsiaTheme="minorHAnsi" w:hAnsi="Trebuchet MS" w:cstheme="minorBidi"/>
          <w:color w:val="auto"/>
          <w:sz w:val="22"/>
          <w:szCs w:val="22"/>
        </w:rPr>
      </w:pPr>
      <w:r>
        <w:rPr>
          <w:rFonts w:ascii="Trebuchet MS" w:eastAsiaTheme="minorHAnsi" w:hAnsi="Trebuchet MS" w:cstheme="minorBidi"/>
          <w:color w:val="auto"/>
          <w:sz w:val="22"/>
          <w:szCs w:val="22"/>
        </w:rPr>
        <w:t>Given stakeholders supported a broad designation capturing a wide range of credit products, this also requires capturing a broad range of data holders</w:t>
      </w:r>
      <w:r w:rsidR="00201D50" w:rsidDel="00294B9E">
        <w:rPr>
          <w:rFonts w:ascii="Trebuchet MS" w:eastAsiaTheme="minorHAnsi" w:hAnsi="Trebuchet MS" w:cstheme="minorBidi"/>
          <w:color w:val="auto"/>
          <w:sz w:val="22"/>
          <w:szCs w:val="22"/>
        </w:rPr>
        <w:t xml:space="preserve">. </w:t>
      </w:r>
      <w:r w:rsidR="000A4332">
        <w:rPr>
          <w:rFonts w:ascii="Trebuchet MS" w:eastAsiaTheme="minorHAnsi" w:hAnsi="Trebuchet MS" w:cstheme="minorBidi"/>
          <w:color w:val="auto"/>
          <w:sz w:val="22"/>
          <w:szCs w:val="22"/>
        </w:rPr>
        <w:t>However, there were diverging views among stakeholders regarding the most appropriate way this could be achieved</w:t>
      </w:r>
      <w:r w:rsidR="007145FB">
        <w:rPr>
          <w:rFonts w:ascii="Trebuchet MS" w:eastAsiaTheme="minorHAnsi" w:hAnsi="Trebuchet MS" w:cstheme="minorBidi"/>
          <w:color w:val="auto"/>
          <w:sz w:val="22"/>
          <w:szCs w:val="22"/>
        </w:rPr>
        <w:t xml:space="preserve"> — s</w:t>
      </w:r>
      <w:r w:rsidR="00AD0022">
        <w:rPr>
          <w:rFonts w:ascii="Trebuchet MS" w:eastAsiaTheme="minorHAnsi" w:hAnsi="Trebuchet MS" w:cstheme="minorBidi"/>
          <w:color w:val="auto"/>
          <w:sz w:val="22"/>
          <w:szCs w:val="22"/>
        </w:rPr>
        <w:t>ome</w:t>
      </w:r>
      <w:r w:rsidR="007145FB">
        <w:rPr>
          <w:rFonts w:ascii="Trebuchet MS" w:eastAsiaTheme="minorHAnsi" w:hAnsi="Trebuchet MS" w:cstheme="minorBidi"/>
          <w:color w:val="auto"/>
          <w:sz w:val="22"/>
          <w:szCs w:val="22"/>
        </w:rPr>
        <w:t xml:space="preserve"> </w:t>
      </w:r>
      <w:r w:rsidR="00AD0022">
        <w:rPr>
          <w:rFonts w:ascii="Trebuchet MS" w:eastAsiaTheme="minorHAnsi" w:hAnsi="Trebuchet MS" w:cstheme="minorBidi"/>
          <w:color w:val="auto"/>
          <w:sz w:val="22"/>
          <w:szCs w:val="22"/>
        </w:rPr>
        <w:t>supported drawing on existing definitions</w:t>
      </w:r>
      <w:r w:rsidR="003F7F23">
        <w:rPr>
          <w:rFonts w:ascii="Trebuchet MS" w:eastAsiaTheme="minorHAnsi" w:hAnsi="Trebuchet MS" w:cstheme="minorBidi"/>
          <w:color w:val="auto"/>
          <w:sz w:val="22"/>
          <w:szCs w:val="22"/>
        </w:rPr>
        <w:t>,</w:t>
      </w:r>
      <w:r w:rsidR="00AD0022">
        <w:rPr>
          <w:rStyle w:val="FootnoteReference"/>
          <w:rFonts w:ascii="Trebuchet MS" w:eastAsiaTheme="minorHAnsi" w:hAnsi="Trebuchet MS" w:cstheme="minorBidi"/>
          <w:color w:val="auto"/>
          <w:sz w:val="22"/>
          <w:szCs w:val="22"/>
        </w:rPr>
        <w:footnoteReference w:id="71"/>
      </w:r>
      <w:r w:rsidR="003D1538">
        <w:rPr>
          <w:rFonts w:ascii="Trebuchet MS" w:eastAsiaTheme="minorHAnsi" w:hAnsi="Trebuchet MS" w:cstheme="minorBidi"/>
          <w:color w:val="auto"/>
          <w:sz w:val="22"/>
          <w:szCs w:val="22"/>
        </w:rPr>
        <w:t xml:space="preserve"> w</w:t>
      </w:r>
      <w:r w:rsidR="00AD0022">
        <w:rPr>
          <w:rFonts w:ascii="Trebuchet MS" w:eastAsiaTheme="minorHAnsi" w:hAnsi="Trebuchet MS" w:cstheme="minorBidi"/>
          <w:color w:val="auto"/>
          <w:sz w:val="22"/>
          <w:szCs w:val="22"/>
        </w:rPr>
        <w:t>hile others considered it would be more appropriate to develop a bespoke definition for the specific purpose of the CDR</w:t>
      </w:r>
      <w:r w:rsidR="003F7F23">
        <w:rPr>
          <w:rFonts w:ascii="Trebuchet MS" w:eastAsiaTheme="minorHAnsi" w:hAnsi="Trebuchet MS" w:cstheme="minorBidi"/>
          <w:color w:val="auto"/>
          <w:sz w:val="22"/>
          <w:szCs w:val="22"/>
        </w:rPr>
        <w:t>.</w:t>
      </w:r>
      <w:r w:rsidR="00AD0022">
        <w:rPr>
          <w:rStyle w:val="FootnoteReference"/>
          <w:rFonts w:ascii="Trebuchet MS" w:eastAsiaTheme="minorHAnsi" w:hAnsi="Trebuchet MS" w:cstheme="minorBidi"/>
          <w:color w:val="auto"/>
          <w:sz w:val="22"/>
          <w:szCs w:val="22"/>
        </w:rPr>
        <w:footnoteReference w:id="72"/>
      </w:r>
    </w:p>
    <w:p w14:paraId="5FD35088" w14:textId="1027F315" w:rsidR="00AD0022" w:rsidRDefault="00FB2320" w:rsidP="00D806DF">
      <w:pPr>
        <w:pStyle w:val="Bullet"/>
        <w:numPr>
          <w:ilvl w:val="0"/>
          <w:numId w:val="0"/>
        </w:numPr>
        <w:rPr>
          <w:rFonts w:ascii="Trebuchet MS" w:eastAsiaTheme="minorHAnsi" w:hAnsi="Trebuchet MS" w:cstheme="minorBidi"/>
          <w:color w:val="auto"/>
          <w:sz w:val="22"/>
          <w:szCs w:val="22"/>
        </w:rPr>
      </w:pPr>
      <w:r>
        <w:rPr>
          <w:rFonts w:ascii="Trebuchet MS" w:eastAsiaTheme="minorHAnsi" w:hAnsi="Trebuchet MS" w:cstheme="minorBidi"/>
          <w:color w:val="auto"/>
          <w:sz w:val="22"/>
          <w:szCs w:val="22"/>
        </w:rPr>
        <w:t>Based on</w:t>
      </w:r>
      <w:r w:rsidR="00AD0022">
        <w:rPr>
          <w:rFonts w:ascii="Trebuchet MS" w:eastAsiaTheme="minorHAnsi" w:hAnsi="Trebuchet MS" w:cstheme="minorBidi"/>
          <w:color w:val="auto"/>
          <w:sz w:val="22"/>
          <w:szCs w:val="22"/>
        </w:rPr>
        <w:t xml:space="preserve"> the </w:t>
      </w:r>
      <w:r>
        <w:rPr>
          <w:rFonts w:ascii="Trebuchet MS" w:eastAsiaTheme="minorHAnsi" w:hAnsi="Trebuchet MS" w:cstheme="minorBidi"/>
          <w:color w:val="auto"/>
          <w:sz w:val="22"/>
          <w:szCs w:val="22"/>
        </w:rPr>
        <w:t xml:space="preserve">balance of </w:t>
      </w:r>
      <w:r w:rsidR="00AD0022">
        <w:rPr>
          <w:rFonts w:ascii="Trebuchet MS" w:eastAsiaTheme="minorHAnsi" w:hAnsi="Trebuchet MS" w:cstheme="minorBidi"/>
          <w:color w:val="auto"/>
          <w:sz w:val="22"/>
          <w:szCs w:val="22"/>
        </w:rPr>
        <w:t xml:space="preserve">consultation </w:t>
      </w:r>
      <w:r>
        <w:rPr>
          <w:rFonts w:ascii="Trebuchet MS" w:eastAsiaTheme="minorHAnsi" w:hAnsi="Trebuchet MS" w:cstheme="minorBidi"/>
          <w:color w:val="auto"/>
          <w:sz w:val="22"/>
          <w:szCs w:val="22"/>
        </w:rPr>
        <w:t>against</w:t>
      </w:r>
      <w:r w:rsidR="00AD0022">
        <w:rPr>
          <w:rFonts w:ascii="Trebuchet MS" w:eastAsiaTheme="minorHAnsi" w:hAnsi="Trebuchet MS" w:cstheme="minorBidi"/>
          <w:color w:val="auto"/>
          <w:sz w:val="22"/>
          <w:szCs w:val="22"/>
        </w:rPr>
        <w:t xml:space="preserve"> the intended objective of the designation, </w:t>
      </w:r>
      <w:r>
        <w:rPr>
          <w:rFonts w:ascii="Trebuchet MS" w:eastAsiaTheme="minorHAnsi" w:hAnsi="Trebuchet MS" w:cstheme="minorBidi"/>
          <w:color w:val="auto"/>
          <w:sz w:val="22"/>
          <w:szCs w:val="22"/>
        </w:rPr>
        <w:t xml:space="preserve">Treasury recommends using the Collection of Data Act definition. This will ensure the definition </w:t>
      </w:r>
      <w:r w:rsidR="00AD0022">
        <w:rPr>
          <w:rFonts w:ascii="Trebuchet MS" w:eastAsiaTheme="minorHAnsi" w:hAnsi="Trebuchet MS" w:cstheme="minorBidi"/>
          <w:color w:val="auto"/>
          <w:sz w:val="22"/>
          <w:szCs w:val="22"/>
        </w:rPr>
        <w:t xml:space="preserve">is sufficiently broad to cover </w:t>
      </w:r>
      <w:r w:rsidR="004906EB">
        <w:rPr>
          <w:rFonts w:ascii="Trebuchet MS" w:eastAsiaTheme="minorHAnsi" w:hAnsi="Trebuchet MS" w:cstheme="minorBidi"/>
          <w:color w:val="auto"/>
          <w:sz w:val="22"/>
          <w:szCs w:val="22"/>
        </w:rPr>
        <w:t>the range of credit products currently available</w:t>
      </w:r>
      <w:r>
        <w:rPr>
          <w:rFonts w:ascii="Trebuchet MS" w:eastAsiaTheme="minorHAnsi" w:hAnsi="Trebuchet MS" w:cstheme="minorBidi"/>
          <w:color w:val="auto"/>
          <w:sz w:val="22"/>
          <w:szCs w:val="22"/>
        </w:rPr>
        <w:t>,</w:t>
      </w:r>
      <w:r w:rsidR="004906EB">
        <w:rPr>
          <w:rFonts w:ascii="Trebuchet MS" w:eastAsiaTheme="minorHAnsi" w:hAnsi="Trebuchet MS" w:cstheme="minorBidi"/>
          <w:color w:val="auto"/>
          <w:sz w:val="22"/>
          <w:szCs w:val="22"/>
        </w:rPr>
        <w:t xml:space="preserve"> and </w:t>
      </w:r>
      <w:r>
        <w:rPr>
          <w:rFonts w:ascii="Trebuchet MS" w:eastAsiaTheme="minorHAnsi" w:hAnsi="Trebuchet MS" w:cstheme="minorBidi"/>
          <w:color w:val="auto"/>
          <w:sz w:val="22"/>
          <w:szCs w:val="22"/>
        </w:rPr>
        <w:t xml:space="preserve">future products </w:t>
      </w:r>
      <w:r w:rsidR="004906EB">
        <w:rPr>
          <w:rFonts w:ascii="Trebuchet MS" w:eastAsiaTheme="minorHAnsi" w:hAnsi="Trebuchet MS" w:cstheme="minorBidi"/>
          <w:color w:val="auto"/>
          <w:sz w:val="22"/>
          <w:szCs w:val="22"/>
        </w:rPr>
        <w:t>that could develop in this space</w:t>
      </w:r>
      <w:r>
        <w:rPr>
          <w:rFonts w:ascii="Trebuchet MS" w:eastAsiaTheme="minorHAnsi" w:hAnsi="Trebuchet MS" w:cstheme="minorBidi"/>
          <w:color w:val="auto"/>
          <w:sz w:val="22"/>
          <w:szCs w:val="22"/>
        </w:rPr>
        <w:t xml:space="preserve">. </w:t>
      </w:r>
      <w:r w:rsidR="004906EB">
        <w:rPr>
          <w:rFonts w:ascii="Trebuchet MS" w:eastAsiaTheme="minorHAnsi" w:hAnsi="Trebuchet MS" w:cstheme="minorBidi"/>
          <w:color w:val="auto"/>
          <w:sz w:val="22"/>
          <w:szCs w:val="22"/>
        </w:rPr>
        <w:t xml:space="preserve">Entities are currently aware of, and engage with, this definition though their business removing the </w:t>
      </w:r>
      <w:r w:rsidR="003D1538">
        <w:rPr>
          <w:rFonts w:ascii="Trebuchet MS" w:eastAsiaTheme="minorHAnsi" w:hAnsi="Trebuchet MS" w:cstheme="minorBidi"/>
          <w:color w:val="auto"/>
          <w:sz w:val="22"/>
          <w:szCs w:val="22"/>
        </w:rPr>
        <w:t>complexity</w:t>
      </w:r>
      <w:r w:rsidR="004906EB">
        <w:rPr>
          <w:rFonts w:ascii="Trebuchet MS" w:eastAsiaTheme="minorHAnsi" w:hAnsi="Trebuchet MS" w:cstheme="minorBidi"/>
          <w:color w:val="auto"/>
          <w:sz w:val="22"/>
          <w:szCs w:val="22"/>
        </w:rPr>
        <w:t xml:space="preserve"> that would come from creating a new definition.</w:t>
      </w:r>
      <w:r w:rsidR="00E763B7">
        <w:rPr>
          <w:rFonts w:ascii="Trebuchet MS" w:eastAsiaTheme="minorHAnsi" w:hAnsi="Trebuchet MS" w:cstheme="minorBidi"/>
          <w:color w:val="auto"/>
          <w:sz w:val="22"/>
          <w:szCs w:val="22"/>
        </w:rPr>
        <w:t xml:space="preserve"> This definition is preferred to the definition of ‘credit facility’ in the ASIC Act, which stakeholders noted is too open-ended and would capture significantly more data holders than just those offering the types of products intended for CDR.</w:t>
      </w:r>
      <w:r w:rsidR="004906EB">
        <w:rPr>
          <w:rFonts w:ascii="Trebuchet MS" w:eastAsiaTheme="minorHAnsi" w:hAnsi="Trebuchet MS" w:cstheme="minorBidi"/>
          <w:color w:val="auto"/>
          <w:sz w:val="22"/>
          <w:szCs w:val="22"/>
        </w:rPr>
        <w:t xml:space="preserve"> </w:t>
      </w:r>
      <w:bookmarkStart w:id="36" w:name="_Hlk104456842"/>
      <w:r>
        <w:rPr>
          <w:rFonts w:ascii="Trebuchet MS" w:eastAsiaTheme="minorHAnsi" w:hAnsi="Trebuchet MS" w:cstheme="minorBidi"/>
          <w:color w:val="auto"/>
          <w:sz w:val="22"/>
          <w:szCs w:val="22"/>
        </w:rPr>
        <w:t>However,</w:t>
      </w:r>
      <w:r w:rsidRPr="005F296E">
        <w:rPr>
          <w:rFonts w:ascii="Trebuchet MS" w:eastAsiaTheme="minorHAnsi" w:hAnsi="Trebuchet MS" w:cstheme="minorBidi"/>
          <w:color w:val="auto"/>
          <w:sz w:val="22"/>
          <w:szCs w:val="22"/>
        </w:rPr>
        <w:t xml:space="preserve"> </w:t>
      </w:r>
      <w:r>
        <w:rPr>
          <w:rFonts w:ascii="Trebuchet MS" w:eastAsiaTheme="minorHAnsi" w:hAnsi="Trebuchet MS" w:cstheme="minorBidi"/>
          <w:color w:val="auto"/>
          <w:sz w:val="22"/>
          <w:szCs w:val="22"/>
        </w:rPr>
        <w:t>the $50 million entity size limb will be removed</w:t>
      </w:r>
      <w:r w:rsidR="002024ED">
        <w:rPr>
          <w:rFonts w:ascii="Trebuchet MS" w:eastAsiaTheme="minorHAnsi" w:hAnsi="Trebuchet MS" w:cstheme="minorBidi"/>
          <w:color w:val="auto"/>
          <w:sz w:val="22"/>
          <w:szCs w:val="22"/>
        </w:rPr>
        <w:t xml:space="preserve"> to ensure </w:t>
      </w:r>
      <w:r w:rsidR="00E763B7">
        <w:rPr>
          <w:rFonts w:ascii="Trebuchet MS" w:eastAsiaTheme="minorHAnsi" w:hAnsi="Trebuchet MS" w:cstheme="minorBidi"/>
          <w:color w:val="auto"/>
          <w:sz w:val="22"/>
          <w:szCs w:val="22"/>
        </w:rPr>
        <w:t>the Collection of Data Act definition is</w:t>
      </w:r>
      <w:r w:rsidR="004906EB">
        <w:rPr>
          <w:rFonts w:ascii="Trebuchet MS" w:eastAsiaTheme="minorHAnsi" w:hAnsi="Trebuchet MS" w:cstheme="minorBidi"/>
          <w:color w:val="auto"/>
          <w:sz w:val="22"/>
          <w:szCs w:val="22"/>
        </w:rPr>
        <w:t xml:space="preserve"> sufficiently broad to cover the </w:t>
      </w:r>
      <w:r>
        <w:rPr>
          <w:rFonts w:ascii="Trebuchet MS" w:eastAsiaTheme="minorHAnsi" w:hAnsi="Trebuchet MS" w:cstheme="minorBidi"/>
          <w:color w:val="auto"/>
          <w:sz w:val="22"/>
          <w:szCs w:val="22"/>
        </w:rPr>
        <w:t>credit-product–providing</w:t>
      </w:r>
      <w:r w:rsidR="004906EB">
        <w:rPr>
          <w:rFonts w:ascii="Trebuchet MS" w:eastAsiaTheme="minorHAnsi" w:hAnsi="Trebuchet MS" w:cstheme="minorBidi"/>
          <w:color w:val="auto"/>
          <w:sz w:val="22"/>
          <w:szCs w:val="22"/>
        </w:rPr>
        <w:t xml:space="preserve"> non-bank lenders intended to be captured by </w:t>
      </w:r>
      <w:r>
        <w:rPr>
          <w:rFonts w:ascii="Trebuchet MS" w:eastAsiaTheme="minorHAnsi" w:hAnsi="Trebuchet MS" w:cstheme="minorBidi"/>
          <w:color w:val="auto"/>
          <w:sz w:val="22"/>
          <w:szCs w:val="22"/>
        </w:rPr>
        <w:t xml:space="preserve">the </w:t>
      </w:r>
      <w:r w:rsidR="004906EB">
        <w:rPr>
          <w:rFonts w:ascii="Trebuchet MS" w:eastAsiaTheme="minorHAnsi" w:hAnsi="Trebuchet MS" w:cstheme="minorBidi"/>
          <w:color w:val="auto"/>
          <w:sz w:val="22"/>
          <w:szCs w:val="22"/>
        </w:rPr>
        <w:t>CDR</w:t>
      </w:r>
      <w:bookmarkEnd w:id="36"/>
      <w:r>
        <w:rPr>
          <w:rFonts w:ascii="Trebuchet MS" w:eastAsiaTheme="minorHAnsi" w:hAnsi="Trebuchet MS" w:cstheme="minorBidi"/>
          <w:color w:val="auto"/>
          <w:sz w:val="22"/>
          <w:szCs w:val="22"/>
        </w:rPr>
        <w:t>.</w:t>
      </w:r>
    </w:p>
    <w:p w14:paraId="18093436" w14:textId="730C9CE1" w:rsidR="00A34DE1" w:rsidRDefault="00890FBC" w:rsidP="00D806DF">
      <w:pPr>
        <w:pStyle w:val="Bullet"/>
        <w:numPr>
          <w:ilvl w:val="0"/>
          <w:numId w:val="0"/>
        </w:numPr>
        <w:rPr>
          <w:rFonts w:ascii="Trebuchet MS" w:eastAsiaTheme="minorHAnsi" w:hAnsi="Trebuchet MS" w:cstheme="minorBidi"/>
          <w:color w:val="auto"/>
          <w:sz w:val="22"/>
          <w:szCs w:val="22"/>
        </w:rPr>
      </w:pPr>
      <w:r>
        <w:rPr>
          <w:rFonts w:ascii="Trebuchet MS" w:eastAsiaTheme="minorHAnsi" w:hAnsi="Trebuchet MS" w:cstheme="minorBidi"/>
          <w:color w:val="auto"/>
          <w:sz w:val="22"/>
          <w:szCs w:val="22"/>
        </w:rPr>
        <w:t>If</w:t>
      </w:r>
      <w:r w:rsidR="00E61D6F">
        <w:rPr>
          <w:rFonts w:ascii="Trebuchet MS" w:eastAsiaTheme="minorHAnsi" w:hAnsi="Trebuchet MS" w:cstheme="minorBidi"/>
          <w:color w:val="auto"/>
          <w:sz w:val="22"/>
          <w:szCs w:val="22"/>
        </w:rPr>
        <w:t xml:space="preserve"> the</w:t>
      </w:r>
      <w:r w:rsidR="00CE187A">
        <w:rPr>
          <w:rFonts w:ascii="Trebuchet MS" w:eastAsiaTheme="minorHAnsi" w:hAnsi="Trebuchet MS" w:cstheme="minorBidi"/>
          <w:color w:val="auto"/>
          <w:sz w:val="22"/>
          <w:szCs w:val="22"/>
        </w:rPr>
        <w:t xml:space="preserve"> Collection of Data Act definition</w:t>
      </w:r>
      <w:r w:rsidR="00E61D6F">
        <w:rPr>
          <w:rFonts w:ascii="Trebuchet MS" w:eastAsiaTheme="minorHAnsi" w:hAnsi="Trebuchet MS" w:cstheme="minorBidi"/>
          <w:color w:val="auto"/>
          <w:sz w:val="22"/>
          <w:szCs w:val="22"/>
        </w:rPr>
        <w:t xml:space="preserve"> is</w:t>
      </w:r>
      <w:r>
        <w:rPr>
          <w:rFonts w:ascii="Trebuchet MS" w:eastAsiaTheme="minorHAnsi" w:hAnsi="Trebuchet MS" w:cstheme="minorBidi"/>
          <w:color w:val="auto"/>
          <w:sz w:val="22"/>
          <w:szCs w:val="22"/>
        </w:rPr>
        <w:t xml:space="preserve"> u</w:t>
      </w:r>
      <w:r w:rsidR="00FB2320">
        <w:rPr>
          <w:rFonts w:ascii="Trebuchet MS" w:eastAsiaTheme="minorHAnsi" w:hAnsi="Trebuchet MS" w:cstheme="minorBidi"/>
          <w:color w:val="auto"/>
          <w:sz w:val="22"/>
          <w:szCs w:val="22"/>
        </w:rPr>
        <w:t>sed</w:t>
      </w:r>
      <w:r w:rsidR="00CE187A">
        <w:rPr>
          <w:rFonts w:ascii="Trebuchet MS" w:eastAsiaTheme="minorHAnsi" w:hAnsi="Trebuchet MS" w:cstheme="minorBidi"/>
          <w:color w:val="auto"/>
          <w:sz w:val="22"/>
          <w:szCs w:val="22"/>
        </w:rPr>
        <w:t xml:space="preserve"> as the definition of </w:t>
      </w:r>
      <w:r w:rsidR="00FB2320">
        <w:rPr>
          <w:rFonts w:ascii="Trebuchet MS" w:eastAsiaTheme="minorHAnsi" w:hAnsi="Trebuchet MS" w:cstheme="minorBidi"/>
          <w:color w:val="auto"/>
          <w:sz w:val="22"/>
          <w:szCs w:val="22"/>
        </w:rPr>
        <w:t>‘</w:t>
      </w:r>
      <w:r w:rsidR="00CE187A">
        <w:rPr>
          <w:rFonts w:ascii="Trebuchet MS" w:eastAsiaTheme="minorHAnsi" w:hAnsi="Trebuchet MS" w:cstheme="minorBidi"/>
          <w:color w:val="auto"/>
          <w:sz w:val="22"/>
          <w:szCs w:val="22"/>
        </w:rPr>
        <w:t>data holder</w:t>
      </w:r>
      <w:r w:rsidR="00FB2320">
        <w:rPr>
          <w:rFonts w:ascii="Trebuchet MS" w:eastAsiaTheme="minorHAnsi" w:hAnsi="Trebuchet MS" w:cstheme="minorBidi"/>
          <w:color w:val="auto"/>
          <w:sz w:val="22"/>
          <w:szCs w:val="22"/>
        </w:rPr>
        <w:t>’</w:t>
      </w:r>
      <w:r w:rsidR="00CE187A">
        <w:rPr>
          <w:rFonts w:ascii="Trebuchet MS" w:eastAsiaTheme="minorHAnsi" w:hAnsi="Trebuchet MS" w:cstheme="minorBidi"/>
          <w:color w:val="auto"/>
          <w:sz w:val="22"/>
          <w:szCs w:val="22"/>
        </w:rPr>
        <w:t xml:space="preserve"> in the</w:t>
      </w:r>
      <w:r>
        <w:rPr>
          <w:rFonts w:ascii="Trebuchet MS" w:eastAsiaTheme="minorHAnsi" w:hAnsi="Trebuchet MS" w:cstheme="minorBidi"/>
          <w:color w:val="auto"/>
          <w:sz w:val="22"/>
          <w:szCs w:val="22"/>
        </w:rPr>
        <w:t xml:space="preserve"> non-bank lending</w:t>
      </w:r>
      <w:r w:rsidR="00CE187A">
        <w:rPr>
          <w:rFonts w:ascii="Trebuchet MS" w:eastAsiaTheme="minorHAnsi" w:hAnsi="Trebuchet MS" w:cstheme="minorBidi"/>
          <w:color w:val="auto"/>
          <w:sz w:val="22"/>
          <w:szCs w:val="22"/>
        </w:rPr>
        <w:t xml:space="preserve"> designation </w:t>
      </w:r>
      <w:r w:rsidR="00E61D6F">
        <w:rPr>
          <w:rFonts w:ascii="Trebuchet MS" w:eastAsiaTheme="minorHAnsi" w:hAnsi="Trebuchet MS" w:cstheme="minorBidi"/>
          <w:color w:val="auto"/>
          <w:sz w:val="22"/>
          <w:szCs w:val="22"/>
        </w:rPr>
        <w:t xml:space="preserve">instrument, </w:t>
      </w:r>
      <w:r w:rsidR="00082165">
        <w:rPr>
          <w:rFonts w:ascii="Trebuchet MS" w:eastAsiaTheme="minorHAnsi" w:hAnsi="Trebuchet MS" w:cstheme="minorBidi"/>
          <w:color w:val="auto"/>
          <w:sz w:val="22"/>
          <w:szCs w:val="22"/>
        </w:rPr>
        <w:t xml:space="preserve">not </w:t>
      </w:r>
      <w:r w:rsidR="00E61D6F">
        <w:rPr>
          <w:rFonts w:ascii="Trebuchet MS" w:eastAsiaTheme="minorHAnsi" w:hAnsi="Trebuchet MS" w:cstheme="minorBidi"/>
          <w:color w:val="auto"/>
          <w:sz w:val="22"/>
          <w:szCs w:val="22"/>
        </w:rPr>
        <w:t>every</w:t>
      </w:r>
      <w:r w:rsidR="00CE187A">
        <w:rPr>
          <w:rFonts w:ascii="Trebuchet MS" w:eastAsiaTheme="minorHAnsi" w:hAnsi="Trebuchet MS" w:cstheme="minorBidi"/>
          <w:color w:val="auto"/>
          <w:sz w:val="22"/>
          <w:szCs w:val="22"/>
        </w:rPr>
        <w:t xml:space="preserve"> </w:t>
      </w:r>
      <w:r w:rsidR="00E61D6F">
        <w:rPr>
          <w:rFonts w:ascii="Trebuchet MS" w:eastAsiaTheme="minorHAnsi" w:hAnsi="Trebuchet MS" w:cstheme="minorBidi"/>
          <w:color w:val="auto"/>
          <w:sz w:val="22"/>
          <w:szCs w:val="22"/>
        </w:rPr>
        <w:t>entity</w:t>
      </w:r>
      <w:r w:rsidR="00CE187A">
        <w:rPr>
          <w:rFonts w:ascii="Trebuchet MS" w:eastAsiaTheme="minorHAnsi" w:hAnsi="Trebuchet MS" w:cstheme="minorBidi"/>
          <w:color w:val="auto"/>
          <w:sz w:val="22"/>
          <w:szCs w:val="22"/>
        </w:rPr>
        <w:t xml:space="preserve"> subject to this </w:t>
      </w:r>
      <w:r w:rsidR="00FB2320">
        <w:rPr>
          <w:rFonts w:ascii="Trebuchet MS" w:eastAsiaTheme="minorHAnsi" w:hAnsi="Trebuchet MS" w:cstheme="minorBidi"/>
          <w:color w:val="auto"/>
          <w:sz w:val="22"/>
          <w:szCs w:val="22"/>
        </w:rPr>
        <w:t>A</w:t>
      </w:r>
      <w:r w:rsidR="00CE187A">
        <w:rPr>
          <w:rFonts w:ascii="Trebuchet MS" w:eastAsiaTheme="minorHAnsi" w:hAnsi="Trebuchet MS" w:cstheme="minorBidi"/>
          <w:color w:val="auto"/>
          <w:sz w:val="22"/>
          <w:szCs w:val="22"/>
        </w:rPr>
        <w:t>ct would</w:t>
      </w:r>
      <w:r w:rsidR="00082165">
        <w:rPr>
          <w:rFonts w:ascii="Trebuchet MS" w:eastAsiaTheme="minorHAnsi" w:hAnsi="Trebuchet MS" w:cstheme="minorBidi"/>
          <w:color w:val="auto"/>
          <w:sz w:val="22"/>
          <w:szCs w:val="22"/>
        </w:rPr>
        <w:t xml:space="preserve"> necessarily</w:t>
      </w:r>
      <w:r w:rsidR="00E61D6F">
        <w:rPr>
          <w:rFonts w:ascii="Trebuchet MS" w:eastAsiaTheme="minorHAnsi" w:hAnsi="Trebuchet MS" w:cstheme="minorBidi"/>
          <w:color w:val="auto"/>
          <w:sz w:val="22"/>
          <w:szCs w:val="22"/>
        </w:rPr>
        <w:t xml:space="preserve"> </w:t>
      </w:r>
      <w:r w:rsidR="00CE187A">
        <w:rPr>
          <w:rFonts w:ascii="Trebuchet MS" w:eastAsiaTheme="minorHAnsi" w:hAnsi="Trebuchet MS" w:cstheme="minorBidi"/>
          <w:color w:val="auto"/>
          <w:sz w:val="22"/>
          <w:szCs w:val="22"/>
        </w:rPr>
        <w:t xml:space="preserve">be required to </w:t>
      </w:r>
      <w:r w:rsidR="00E61D6F">
        <w:rPr>
          <w:rFonts w:ascii="Trebuchet MS" w:eastAsiaTheme="minorHAnsi" w:hAnsi="Trebuchet MS" w:cstheme="minorBidi"/>
          <w:color w:val="auto"/>
          <w:sz w:val="22"/>
          <w:szCs w:val="22"/>
        </w:rPr>
        <w:t xml:space="preserve">participate in the CDR and </w:t>
      </w:r>
      <w:r w:rsidR="00CE187A">
        <w:rPr>
          <w:rFonts w:ascii="Trebuchet MS" w:eastAsiaTheme="minorHAnsi" w:hAnsi="Trebuchet MS" w:cstheme="minorBidi"/>
          <w:color w:val="auto"/>
          <w:sz w:val="22"/>
          <w:szCs w:val="22"/>
        </w:rPr>
        <w:t xml:space="preserve">comply with mandatory data sharing obligations. </w:t>
      </w:r>
      <w:r w:rsidR="00E61D6F">
        <w:rPr>
          <w:rFonts w:ascii="Trebuchet MS" w:eastAsiaTheme="minorHAnsi" w:hAnsi="Trebuchet MS" w:cstheme="minorBidi"/>
          <w:color w:val="auto"/>
          <w:sz w:val="22"/>
          <w:szCs w:val="22"/>
        </w:rPr>
        <w:t>Rather,</w:t>
      </w:r>
      <w:r w:rsidR="00082165">
        <w:rPr>
          <w:rFonts w:ascii="Trebuchet MS" w:eastAsiaTheme="minorHAnsi" w:hAnsi="Trebuchet MS" w:cstheme="minorBidi"/>
          <w:color w:val="auto"/>
          <w:sz w:val="22"/>
          <w:szCs w:val="22"/>
        </w:rPr>
        <w:t xml:space="preserve"> the designation instrument specifies the broad class or classes of persons </w:t>
      </w:r>
      <w:r w:rsidR="00FB2320">
        <w:rPr>
          <w:rFonts w:ascii="Trebuchet MS" w:eastAsiaTheme="minorHAnsi" w:hAnsi="Trebuchet MS" w:cstheme="minorBidi"/>
          <w:color w:val="auto"/>
          <w:sz w:val="22"/>
          <w:szCs w:val="22"/>
        </w:rPr>
        <w:t>that</w:t>
      </w:r>
      <w:r w:rsidR="00082165">
        <w:rPr>
          <w:rFonts w:ascii="Trebuchet MS" w:eastAsiaTheme="minorHAnsi" w:hAnsi="Trebuchet MS" w:cstheme="minorBidi"/>
          <w:color w:val="auto"/>
          <w:sz w:val="22"/>
          <w:szCs w:val="22"/>
        </w:rPr>
        <w:t xml:space="preserve"> hold the designated data</w:t>
      </w:r>
      <w:r w:rsidR="00990B46">
        <w:rPr>
          <w:rFonts w:ascii="Trebuchet MS" w:eastAsiaTheme="minorHAnsi" w:hAnsi="Trebuchet MS" w:cstheme="minorBidi"/>
          <w:color w:val="auto"/>
          <w:sz w:val="22"/>
          <w:szCs w:val="22"/>
        </w:rPr>
        <w:t xml:space="preserve"> (the data holder</w:t>
      </w:r>
      <w:r>
        <w:rPr>
          <w:rFonts w:ascii="Trebuchet MS" w:eastAsiaTheme="minorHAnsi" w:hAnsi="Trebuchet MS" w:cstheme="minorBidi"/>
          <w:color w:val="auto"/>
          <w:sz w:val="22"/>
          <w:szCs w:val="22"/>
        </w:rPr>
        <w:t>s</w:t>
      </w:r>
      <w:r w:rsidR="00990B46">
        <w:rPr>
          <w:rFonts w:ascii="Trebuchet MS" w:eastAsiaTheme="minorHAnsi" w:hAnsi="Trebuchet MS" w:cstheme="minorBidi"/>
          <w:color w:val="auto"/>
          <w:sz w:val="22"/>
          <w:szCs w:val="22"/>
        </w:rPr>
        <w:t>)</w:t>
      </w:r>
      <w:r w:rsidR="00FB2320">
        <w:rPr>
          <w:rFonts w:ascii="Trebuchet MS" w:eastAsiaTheme="minorHAnsi" w:hAnsi="Trebuchet MS" w:cstheme="minorBidi"/>
          <w:color w:val="auto"/>
          <w:sz w:val="22"/>
          <w:szCs w:val="22"/>
        </w:rPr>
        <w:t>. It</w:t>
      </w:r>
      <w:r w:rsidR="00082165">
        <w:rPr>
          <w:rFonts w:ascii="Trebuchet MS" w:eastAsiaTheme="minorHAnsi" w:hAnsi="Trebuchet MS" w:cstheme="minorBidi"/>
          <w:color w:val="auto"/>
          <w:sz w:val="22"/>
          <w:szCs w:val="22"/>
        </w:rPr>
        <w:t xml:space="preserve"> is the rules </w:t>
      </w:r>
      <w:r w:rsidR="00FB2320">
        <w:rPr>
          <w:rFonts w:ascii="Trebuchet MS" w:eastAsiaTheme="minorHAnsi" w:hAnsi="Trebuchet MS" w:cstheme="minorBidi"/>
          <w:color w:val="auto"/>
          <w:sz w:val="22"/>
          <w:szCs w:val="22"/>
        </w:rPr>
        <w:t>that</w:t>
      </w:r>
      <w:r w:rsidR="008D3B54">
        <w:rPr>
          <w:rFonts w:ascii="Trebuchet MS" w:eastAsiaTheme="minorHAnsi" w:hAnsi="Trebuchet MS" w:cstheme="minorBidi"/>
          <w:color w:val="auto"/>
          <w:sz w:val="22"/>
          <w:szCs w:val="22"/>
        </w:rPr>
        <w:t xml:space="preserve"> establish what is ‘required CDR data</w:t>
      </w:r>
      <w:r w:rsidR="00FB2320">
        <w:rPr>
          <w:rFonts w:ascii="Trebuchet MS" w:eastAsiaTheme="minorHAnsi" w:hAnsi="Trebuchet MS" w:cstheme="minorBidi"/>
          <w:color w:val="auto"/>
          <w:sz w:val="22"/>
          <w:szCs w:val="22"/>
        </w:rPr>
        <w:t>’</w:t>
      </w:r>
      <w:r w:rsidR="008D3B54">
        <w:rPr>
          <w:rFonts w:ascii="Trebuchet MS" w:eastAsiaTheme="minorHAnsi" w:hAnsi="Trebuchet MS" w:cstheme="minorBidi"/>
          <w:color w:val="auto"/>
          <w:sz w:val="22"/>
          <w:szCs w:val="22"/>
        </w:rPr>
        <w:t xml:space="preserve"> that must be shared and by whom. </w:t>
      </w:r>
    </w:p>
    <w:p w14:paraId="677A4F15" w14:textId="668EEC6E" w:rsidR="00D806DF" w:rsidRPr="00D806DF" w:rsidRDefault="00E21279" w:rsidP="00D806DF">
      <w:pPr>
        <w:pStyle w:val="Bullet"/>
        <w:numPr>
          <w:ilvl w:val="0"/>
          <w:numId w:val="0"/>
        </w:numPr>
        <w:rPr>
          <w:rFonts w:ascii="Trebuchet MS" w:eastAsiaTheme="minorHAnsi" w:hAnsi="Trebuchet MS" w:cstheme="minorBidi"/>
          <w:color w:val="auto"/>
          <w:sz w:val="22"/>
          <w:szCs w:val="22"/>
        </w:rPr>
      </w:pPr>
      <w:r>
        <w:rPr>
          <w:rFonts w:ascii="Trebuchet MS" w:eastAsiaTheme="minorHAnsi" w:hAnsi="Trebuchet MS" w:cstheme="minorBidi"/>
          <w:color w:val="auto"/>
          <w:sz w:val="22"/>
          <w:szCs w:val="22"/>
        </w:rPr>
        <w:t xml:space="preserve">The </w:t>
      </w:r>
      <w:r w:rsidR="00FB2320">
        <w:rPr>
          <w:rFonts w:ascii="Trebuchet MS" w:eastAsiaTheme="minorHAnsi" w:hAnsi="Trebuchet MS" w:cstheme="minorBidi"/>
          <w:color w:val="auto"/>
          <w:sz w:val="22"/>
          <w:szCs w:val="22"/>
        </w:rPr>
        <w:t>CDR</w:t>
      </w:r>
      <w:r>
        <w:rPr>
          <w:rFonts w:ascii="Trebuchet MS" w:eastAsiaTheme="minorHAnsi" w:hAnsi="Trebuchet MS" w:cstheme="minorBidi"/>
          <w:color w:val="auto"/>
          <w:sz w:val="22"/>
          <w:szCs w:val="22"/>
        </w:rPr>
        <w:t xml:space="preserve"> rules can narrow the scope of data holders </w:t>
      </w:r>
      <w:r w:rsidR="00990B46">
        <w:rPr>
          <w:rFonts w:ascii="Trebuchet MS" w:eastAsiaTheme="minorHAnsi" w:hAnsi="Trebuchet MS" w:cstheme="minorBidi"/>
          <w:color w:val="auto"/>
          <w:sz w:val="22"/>
          <w:szCs w:val="22"/>
        </w:rPr>
        <w:t>required to share CDR data</w:t>
      </w:r>
      <w:r>
        <w:rPr>
          <w:rFonts w:ascii="Trebuchet MS" w:eastAsiaTheme="minorHAnsi" w:hAnsi="Trebuchet MS" w:cstheme="minorBidi"/>
          <w:color w:val="auto"/>
          <w:sz w:val="22"/>
          <w:szCs w:val="22"/>
        </w:rPr>
        <w:t xml:space="preserve"> by applying a </w:t>
      </w:r>
      <w:r w:rsidRPr="008A50C6">
        <w:rPr>
          <w:rFonts w:ascii="Trebuchet MS" w:eastAsiaTheme="minorHAnsi" w:hAnsi="Trebuchet MS" w:cstheme="minorBidi"/>
          <w:i/>
          <w:iCs/>
          <w:color w:val="auto"/>
          <w:sz w:val="22"/>
          <w:szCs w:val="22"/>
        </w:rPr>
        <w:t>de minimis</w:t>
      </w:r>
      <w:r>
        <w:rPr>
          <w:rFonts w:ascii="Trebuchet MS" w:eastAsiaTheme="minorHAnsi" w:hAnsi="Trebuchet MS" w:cstheme="minorBidi"/>
          <w:color w:val="auto"/>
          <w:sz w:val="22"/>
          <w:szCs w:val="22"/>
        </w:rPr>
        <w:t xml:space="preserve"> threshold, </w:t>
      </w:r>
      <w:r w:rsidR="00990B46">
        <w:rPr>
          <w:rFonts w:ascii="Trebuchet MS" w:eastAsiaTheme="minorHAnsi" w:hAnsi="Trebuchet MS" w:cstheme="minorBidi"/>
          <w:color w:val="auto"/>
          <w:sz w:val="22"/>
          <w:szCs w:val="22"/>
        </w:rPr>
        <w:t>which would have the effect of excluding data holders below a certain threshold (</w:t>
      </w:r>
      <w:r w:rsidR="00FB2320">
        <w:rPr>
          <w:rFonts w:ascii="Trebuchet MS" w:eastAsiaTheme="minorHAnsi" w:hAnsi="Trebuchet MS" w:cstheme="minorBidi"/>
          <w:color w:val="auto"/>
          <w:sz w:val="22"/>
          <w:szCs w:val="22"/>
        </w:rPr>
        <w:t xml:space="preserve">e.g. </w:t>
      </w:r>
      <w:r w:rsidR="00990B46">
        <w:rPr>
          <w:rFonts w:ascii="Trebuchet MS" w:eastAsiaTheme="minorHAnsi" w:hAnsi="Trebuchet MS" w:cstheme="minorBidi"/>
          <w:color w:val="auto"/>
          <w:sz w:val="22"/>
          <w:szCs w:val="22"/>
        </w:rPr>
        <w:t xml:space="preserve">using a metric </w:t>
      </w:r>
      <w:r w:rsidR="00FB2320">
        <w:rPr>
          <w:rFonts w:ascii="Trebuchet MS" w:eastAsiaTheme="minorHAnsi" w:hAnsi="Trebuchet MS" w:cstheme="minorBidi"/>
          <w:color w:val="auto"/>
          <w:sz w:val="22"/>
          <w:szCs w:val="22"/>
        </w:rPr>
        <w:t>such as</w:t>
      </w:r>
      <w:r w:rsidR="00990B46">
        <w:rPr>
          <w:rFonts w:ascii="Trebuchet MS" w:eastAsiaTheme="minorHAnsi" w:hAnsi="Trebuchet MS" w:cstheme="minorBidi"/>
          <w:color w:val="auto"/>
          <w:sz w:val="22"/>
          <w:szCs w:val="22"/>
        </w:rPr>
        <w:t xml:space="preserve"> business type, customer level or revenue) from mandatory data</w:t>
      </w:r>
      <w:r w:rsidR="00E24AFD">
        <w:rPr>
          <w:rFonts w:ascii="Trebuchet MS" w:eastAsiaTheme="minorHAnsi" w:hAnsi="Trebuchet MS" w:cstheme="minorBidi"/>
          <w:color w:val="auto"/>
          <w:sz w:val="22"/>
          <w:szCs w:val="22"/>
        </w:rPr>
        <w:t xml:space="preserve"> </w:t>
      </w:r>
      <w:r w:rsidR="00990B46">
        <w:rPr>
          <w:rFonts w:ascii="Trebuchet MS" w:eastAsiaTheme="minorHAnsi" w:hAnsi="Trebuchet MS" w:cstheme="minorBidi"/>
          <w:color w:val="auto"/>
          <w:sz w:val="22"/>
          <w:szCs w:val="22"/>
        </w:rPr>
        <w:t>sharing obligations.</w:t>
      </w:r>
      <w:r w:rsidR="00A34DE1">
        <w:rPr>
          <w:rFonts w:ascii="Trebuchet MS" w:eastAsiaTheme="minorHAnsi" w:hAnsi="Trebuchet MS" w:cstheme="minorBidi"/>
          <w:color w:val="auto"/>
          <w:sz w:val="22"/>
          <w:szCs w:val="22"/>
        </w:rPr>
        <w:t xml:space="preserve"> </w:t>
      </w:r>
      <w:r w:rsidR="0073591B">
        <w:rPr>
          <w:rFonts w:ascii="Trebuchet MS" w:eastAsiaTheme="minorHAnsi" w:hAnsi="Trebuchet MS" w:cstheme="minorBidi"/>
          <w:color w:val="auto"/>
          <w:sz w:val="22"/>
          <w:szCs w:val="22"/>
        </w:rPr>
        <w:t>W</w:t>
      </w:r>
      <w:r w:rsidR="00A34DE1">
        <w:rPr>
          <w:rFonts w:ascii="Trebuchet MS" w:eastAsiaTheme="minorHAnsi" w:hAnsi="Trebuchet MS" w:cstheme="minorBidi"/>
          <w:color w:val="auto"/>
          <w:sz w:val="22"/>
          <w:szCs w:val="22"/>
        </w:rPr>
        <w:t xml:space="preserve">hile the $50 million </w:t>
      </w:r>
      <w:r w:rsidR="00E70C58">
        <w:rPr>
          <w:rFonts w:ascii="Trebuchet MS" w:eastAsiaTheme="minorHAnsi" w:hAnsi="Trebuchet MS" w:cstheme="minorBidi"/>
          <w:color w:val="auto"/>
          <w:sz w:val="22"/>
          <w:szCs w:val="22"/>
        </w:rPr>
        <w:t xml:space="preserve">entity size limb is being removed </w:t>
      </w:r>
      <w:r w:rsidR="00C006C3">
        <w:rPr>
          <w:rFonts w:ascii="Trebuchet MS" w:eastAsiaTheme="minorHAnsi" w:hAnsi="Trebuchet MS" w:cstheme="minorBidi"/>
          <w:color w:val="auto"/>
          <w:sz w:val="22"/>
          <w:szCs w:val="22"/>
        </w:rPr>
        <w:t>to ensure all entities are captured by</w:t>
      </w:r>
      <w:r w:rsidR="00E70C58">
        <w:rPr>
          <w:rFonts w:ascii="Trebuchet MS" w:eastAsiaTheme="minorHAnsi" w:hAnsi="Trebuchet MS" w:cstheme="minorBidi"/>
          <w:color w:val="auto"/>
          <w:sz w:val="22"/>
          <w:szCs w:val="22"/>
        </w:rPr>
        <w:t xml:space="preserve"> the designation, that is to </w:t>
      </w:r>
      <w:r w:rsidR="00C006C3">
        <w:rPr>
          <w:rFonts w:ascii="Trebuchet MS" w:eastAsiaTheme="minorHAnsi" w:hAnsi="Trebuchet MS" w:cstheme="minorBidi"/>
          <w:color w:val="auto"/>
          <w:sz w:val="22"/>
          <w:szCs w:val="22"/>
        </w:rPr>
        <w:t>guarantee</w:t>
      </w:r>
      <w:r w:rsidR="00E70C58">
        <w:rPr>
          <w:rFonts w:ascii="Trebuchet MS" w:eastAsiaTheme="minorHAnsi" w:hAnsi="Trebuchet MS" w:cstheme="minorBidi"/>
          <w:color w:val="auto"/>
          <w:sz w:val="22"/>
          <w:szCs w:val="22"/>
        </w:rPr>
        <w:t xml:space="preserve"> </w:t>
      </w:r>
      <w:r w:rsidR="00E70C58">
        <w:rPr>
          <w:rFonts w:ascii="Trebuchet MS" w:eastAsiaTheme="minorHAnsi" w:hAnsi="Trebuchet MS" w:cstheme="minorBidi"/>
          <w:color w:val="auto"/>
          <w:sz w:val="22"/>
          <w:szCs w:val="22"/>
        </w:rPr>
        <w:lastRenderedPageBreak/>
        <w:t>that entities no matter their size can participate in CDR on a voluntary basis.</w:t>
      </w:r>
      <w:r w:rsidR="00E70C58">
        <w:rPr>
          <w:rStyle w:val="FootnoteReference"/>
          <w:rFonts w:ascii="Trebuchet MS" w:eastAsiaTheme="minorHAnsi" w:hAnsi="Trebuchet MS" w:cstheme="minorBidi"/>
          <w:color w:val="auto"/>
          <w:sz w:val="22"/>
          <w:szCs w:val="22"/>
        </w:rPr>
        <w:footnoteReference w:id="73"/>
      </w:r>
      <w:r w:rsidR="00990B46">
        <w:rPr>
          <w:rFonts w:ascii="Trebuchet MS" w:eastAsiaTheme="minorHAnsi" w:hAnsi="Trebuchet MS" w:cstheme="minorBidi"/>
          <w:color w:val="auto"/>
          <w:sz w:val="22"/>
          <w:szCs w:val="22"/>
        </w:rPr>
        <w:t xml:space="preserve"> The possible application of a </w:t>
      </w:r>
      <w:r w:rsidR="00990B46" w:rsidRPr="008A50C6">
        <w:rPr>
          <w:rFonts w:ascii="Trebuchet MS" w:eastAsiaTheme="minorHAnsi" w:hAnsi="Trebuchet MS" w:cstheme="minorBidi"/>
          <w:i/>
          <w:iCs/>
          <w:color w:val="auto"/>
          <w:sz w:val="22"/>
          <w:szCs w:val="22"/>
        </w:rPr>
        <w:t>de minimis</w:t>
      </w:r>
      <w:r w:rsidR="00990B46">
        <w:rPr>
          <w:rFonts w:ascii="Trebuchet MS" w:eastAsiaTheme="minorHAnsi" w:hAnsi="Trebuchet MS" w:cstheme="minorBidi"/>
          <w:color w:val="auto"/>
          <w:sz w:val="22"/>
          <w:szCs w:val="22"/>
        </w:rPr>
        <w:t xml:space="preserve"> threshold in the </w:t>
      </w:r>
      <w:r w:rsidR="00890FBC">
        <w:rPr>
          <w:rFonts w:ascii="Trebuchet MS" w:eastAsiaTheme="minorHAnsi" w:hAnsi="Trebuchet MS" w:cstheme="minorBidi"/>
          <w:color w:val="auto"/>
          <w:sz w:val="22"/>
          <w:szCs w:val="22"/>
        </w:rPr>
        <w:t>non-bank lending</w:t>
      </w:r>
      <w:r w:rsidR="003F7F23">
        <w:rPr>
          <w:rFonts w:ascii="Trebuchet MS" w:eastAsiaTheme="minorHAnsi" w:hAnsi="Trebuchet MS" w:cstheme="minorBidi"/>
          <w:color w:val="auto"/>
          <w:sz w:val="22"/>
          <w:szCs w:val="22"/>
        </w:rPr>
        <w:t xml:space="preserve"> sector</w:t>
      </w:r>
      <w:r w:rsidR="00890FBC">
        <w:rPr>
          <w:rFonts w:ascii="Trebuchet MS" w:eastAsiaTheme="minorHAnsi" w:hAnsi="Trebuchet MS" w:cstheme="minorBidi"/>
          <w:color w:val="auto"/>
          <w:sz w:val="22"/>
          <w:szCs w:val="22"/>
        </w:rPr>
        <w:t xml:space="preserve"> is explored in further detail later in the report. </w:t>
      </w:r>
    </w:p>
    <w:p w14:paraId="103C9F45" w14:textId="75BF8EEA" w:rsidR="00615832" w:rsidRPr="00E73CAB" w:rsidRDefault="00615832" w:rsidP="00BB0856">
      <w:pPr>
        <w:pStyle w:val="Heading4"/>
        <w:rPr>
          <w:rFonts w:cs="Arial"/>
          <w:b w:val="0"/>
          <w:sz w:val="28"/>
          <w:szCs w:val="26"/>
        </w:rPr>
      </w:pPr>
      <w:bookmarkStart w:id="37" w:name="_Toc101261445"/>
      <w:r>
        <w:t>Entities within scope</w:t>
      </w:r>
    </w:p>
    <w:p w14:paraId="1E8C2AC9" w14:textId="1F0F36FE" w:rsidR="00615832" w:rsidRDefault="00615832" w:rsidP="00615832">
      <w:r>
        <w:t xml:space="preserve">The designation is intended to be broad in order to capture all the entities that are providing </w:t>
      </w:r>
      <w:r w:rsidR="00C51B6E">
        <w:t>finance,</w:t>
      </w:r>
      <w:r>
        <w:t xml:space="preserve"> or ‘credit-like’ products. Specifically, the designation is intended to capture providers of products generally known as </w:t>
      </w:r>
      <w:r w:rsidR="00C006C3">
        <w:t>BNPL</w:t>
      </w:r>
      <w:r w:rsidR="003D1F8F">
        <w:t xml:space="preserve">. </w:t>
      </w:r>
    </w:p>
    <w:p w14:paraId="00B6E154" w14:textId="4FA741EC" w:rsidR="00615832" w:rsidRDefault="00615832" w:rsidP="00615832">
      <w:r>
        <w:t xml:space="preserve">The current </w:t>
      </w:r>
      <w:r w:rsidR="00C006C3">
        <w:t>CDR r</w:t>
      </w:r>
      <w:r>
        <w:t xml:space="preserve">ules do not mandate the sharing of </w:t>
      </w:r>
      <w:r w:rsidR="00806523" w:rsidRPr="00806523">
        <w:t xml:space="preserve">data about </w:t>
      </w:r>
      <w:r w:rsidR="00C006C3">
        <w:t>BNPL</w:t>
      </w:r>
      <w:r>
        <w:t xml:space="preserve"> </w:t>
      </w:r>
      <w:r w:rsidR="00806523" w:rsidRPr="00806523">
        <w:t>products</w:t>
      </w:r>
      <w:r>
        <w:t xml:space="preserve">, </w:t>
      </w:r>
      <w:r w:rsidR="003F73C2">
        <w:t xml:space="preserve">meaning banks are not able to share information about these products. However, </w:t>
      </w:r>
      <w:r>
        <w:t>if non</w:t>
      </w:r>
      <w:r>
        <w:noBreakHyphen/>
        <w:t>bank lender data holders were mandated to share this data</w:t>
      </w:r>
      <w:r w:rsidR="00251D11">
        <w:t xml:space="preserve"> Treasury recommends the rules applying to ADIs should also be amended to include this as a mandatory dataset for sharing. This would</w:t>
      </w:r>
      <w:r w:rsidR="003F73C2">
        <w:t xml:space="preserve"> ensure consistent treatment between banks and non-banks and ensure the full realisation of the use cases detailed ab</w:t>
      </w:r>
      <w:r w:rsidR="00D46509">
        <w:t>ov</w:t>
      </w:r>
      <w:r w:rsidR="003F73C2">
        <w:t>e</w:t>
      </w:r>
      <w:r>
        <w:t>.</w:t>
      </w:r>
    </w:p>
    <w:p w14:paraId="1549E11E" w14:textId="17A66BA7" w:rsidR="003F73C2" w:rsidRPr="00C5056D" w:rsidRDefault="003F73C2" w:rsidP="00C5056D">
      <w:pPr>
        <w:pStyle w:val="Numbered11"/>
        <w:keepNext/>
        <w:ind w:left="431" w:hanging="431"/>
      </w:pPr>
      <w:bookmarkStart w:id="38" w:name="_Toc108794112"/>
      <w:r w:rsidRPr="00906A35">
        <w:t xml:space="preserve">Application of a </w:t>
      </w:r>
      <w:r w:rsidRPr="00C5056D">
        <w:t>de minimis</w:t>
      </w:r>
      <w:r w:rsidRPr="00906A35">
        <w:t xml:space="preserve"> threshold</w:t>
      </w:r>
      <w:bookmarkEnd w:id="37"/>
      <w:bookmarkEnd w:id="38"/>
    </w:p>
    <w:p w14:paraId="364FAA1C" w14:textId="11EF48F7" w:rsidR="002A7D1A" w:rsidRPr="002779EB" w:rsidRDefault="002A7D1A" w:rsidP="00C74B91">
      <w:pPr>
        <w:pStyle w:val="Heading4"/>
      </w:pPr>
      <w:r w:rsidRPr="002779EB">
        <w:t>Encouraging start</w:t>
      </w:r>
      <w:r w:rsidR="00480E70" w:rsidRPr="002779EB">
        <w:t>-</w:t>
      </w:r>
      <w:r w:rsidRPr="002779EB">
        <w:t>ups and facilitating growth of smaller non-bank lenders</w:t>
      </w:r>
    </w:p>
    <w:p w14:paraId="675BD6B8" w14:textId="16BADEC7" w:rsidR="00EE2656" w:rsidRDefault="00755767" w:rsidP="002A7D1A">
      <w:r>
        <w:t xml:space="preserve">As </w:t>
      </w:r>
      <w:r w:rsidR="0033323E">
        <w:t>noted above</w:t>
      </w:r>
      <w:r>
        <w:t>, when considering the CDR</w:t>
      </w:r>
      <w:r w:rsidR="00251D11">
        <w:t>’s role</w:t>
      </w:r>
      <w:r>
        <w:t xml:space="preserve"> in the </w:t>
      </w:r>
      <w:r w:rsidR="00DA1252">
        <w:t>sector</w:t>
      </w:r>
      <w:r>
        <w:t xml:space="preserve">, </w:t>
      </w:r>
      <w:r w:rsidR="00D62243">
        <w:t xml:space="preserve">it is important </w:t>
      </w:r>
      <w:r w:rsidR="002D7B3E">
        <w:t xml:space="preserve">to </w:t>
      </w:r>
      <w:r w:rsidR="001A1505">
        <w:t xml:space="preserve">assess </w:t>
      </w:r>
      <w:r w:rsidR="002F6261">
        <w:t xml:space="preserve">proposed </w:t>
      </w:r>
      <w:r>
        <w:t xml:space="preserve">obligations </w:t>
      </w:r>
      <w:r w:rsidR="002F6261">
        <w:t xml:space="preserve">and compliance costs (discussed in more detail under Regulatory impact) against the potential </w:t>
      </w:r>
      <w:r>
        <w:t xml:space="preserve">benefits of CDR. </w:t>
      </w:r>
      <w:r w:rsidR="00251D11">
        <w:t>T</w:t>
      </w:r>
      <w:r>
        <w:t xml:space="preserve">his recognises that there </w:t>
      </w:r>
      <w:r w:rsidR="00C70933">
        <w:t xml:space="preserve">are </w:t>
      </w:r>
      <w:r>
        <w:t xml:space="preserve">benefits </w:t>
      </w:r>
      <w:r w:rsidR="00EE2656">
        <w:t xml:space="preserve">to consumers, competition and innovation from small </w:t>
      </w:r>
      <w:r w:rsidR="00251D11">
        <w:t>businesses</w:t>
      </w:r>
      <w:r w:rsidR="00EE2656">
        <w:t xml:space="preserve"> or start-ups</w:t>
      </w:r>
      <w:r w:rsidR="00251D11">
        <w:t>. It also recognises that</w:t>
      </w:r>
      <w:r w:rsidR="00EE2656">
        <w:t xml:space="preserve"> the imposition of regulatory obligations at a time when they could not absorb the costs would stifle their potential to grow their business or </w:t>
      </w:r>
      <w:r w:rsidR="00B50215">
        <w:t>generate</w:t>
      </w:r>
      <w:r w:rsidR="00EE2656">
        <w:t xml:space="preserve"> these benefits. </w:t>
      </w:r>
    </w:p>
    <w:p w14:paraId="293DC0D3" w14:textId="133BAB22" w:rsidR="002A7D1A" w:rsidRDefault="00251D11" w:rsidP="002A7D1A">
      <w:r>
        <w:t>Treasury</w:t>
      </w:r>
      <w:r w:rsidDel="00322CB5">
        <w:t xml:space="preserve"> </w:t>
      </w:r>
      <w:r w:rsidR="00322CB5">
        <w:t>considers</w:t>
      </w:r>
      <w:r>
        <w:t xml:space="preserve"> the </w:t>
      </w:r>
      <w:r w:rsidR="00EE2656">
        <w:t xml:space="preserve">obligations should </w:t>
      </w:r>
      <w:r w:rsidR="00D56801">
        <w:t>commence</w:t>
      </w:r>
      <w:r w:rsidR="00EE2656">
        <w:t xml:space="preserve"> at a time when </w:t>
      </w:r>
      <w:r>
        <w:t>small businesses and start-ups</w:t>
      </w:r>
      <w:r w:rsidR="00EE2656">
        <w:t xml:space="preserve"> are better placed to absorb the cost</w:t>
      </w:r>
      <w:r>
        <w:t xml:space="preserve">. For example, </w:t>
      </w:r>
      <w:r w:rsidR="00EE2656">
        <w:t>once they have achieved some scale</w:t>
      </w:r>
      <w:r>
        <w:t xml:space="preserve">. Alternatively, small businesses and start-ups may choose to engage </w:t>
      </w:r>
      <w:r w:rsidR="00EE2656">
        <w:t xml:space="preserve">sooner if they </w:t>
      </w:r>
      <w:r>
        <w:t>decide</w:t>
      </w:r>
      <w:r w:rsidR="00EE2656">
        <w:t xml:space="preserve"> it is in their best interest to </w:t>
      </w:r>
      <w:r>
        <w:t>do so</w:t>
      </w:r>
      <w:r w:rsidR="00EE2656">
        <w:t xml:space="preserve">. </w:t>
      </w:r>
    </w:p>
    <w:p w14:paraId="24F8A335" w14:textId="748FCD55" w:rsidR="00EE2656" w:rsidRDefault="00EE2656" w:rsidP="008C14F5">
      <w:r>
        <w:t>The non-bank lending sector, unlike the banking sector, has a very long tail of small players</w:t>
      </w:r>
      <w:r w:rsidR="008E6259">
        <w:t xml:space="preserve"> where mandatory CDR would not be appropriate. </w:t>
      </w:r>
      <w:r w:rsidR="002C572D">
        <w:t>Accordingly,</w:t>
      </w:r>
      <w:r w:rsidR="008E6259">
        <w:t xml:space="preserve"> a </w:t>
      </w:r>
      <w:r w:rsidR="008E6259" w:rsidRPr="008E6259">
        <w:rPr>
          <w:i/>
          <w:iCs/>
        </w:rPr>
        <w:t>de minimis</w:t>
      </w:r>
      <w:r w:rsidR="008E6259">
        <w:t xml:space="preserve"> threshold</w:t>
      </w:r>
      <w:r w:rsidR="00AE3ABD" w:rsidRPr="00AE3ABD">
        <w:t xml:space="preserve"> </w:t>
      </w:r>
      <w:r w:rsidR="00AE3ABD">
        <w:t>is recommended for the non-bank lending sector</w:t>
      </w:r>
      <w:r w:rsidR="008E6259">
        <w:t xml:space="preserve">, as has been </w:t>
      </w:r>
      <w:r w:rsidR="00B71E72">
        <w:t>implemented</w:t>
      </w:r>
      <w:r w:rsidR="008E6259">
        <w:t xml:space="preserve"> </w:t>
      </w:r>
      <w:r w:rsidR="0009786D">
        <w:t xml:space="preserve">in </w:t>
      </w:r>
      <w:r w:rsidR="00B71E72">
        <w:t>e</w:t>
      </w:r>
      <w:r w:rsidR="008E6259">
        <w:t>nergy</w:t>
      </w:r>
      <w:r w:rsidR="008E6259" w:rsidRPr="0009786D">
        <w:t xml:space="preserve"> and is being considered in </w:t>
      </w:r>
      <w:r w:rsidR="00B71E72" w:rsidRPr="0009786D">
        <w:t>t</w:t>
      </w:r>
      <w:r w:rsidR="008E6259" w:rsidRPr="0009786D">
        <w:t>elecommunications</w:t>
      </w:r>
      <w:r w:rsidR="005C5DE1">
        <w:t>. The rule</w:t>
      </w:r>
      <w:r w:rsidR="003A2F2C">
        <w:t xml:space="preserve">-making </w:t>
      </w:r>
      <w:r w:rsidR="005C5DE1">
        <w:t xml:space="preserve">stage will consider the appropriate metric and threshold for the </w:t>
      </w:r>
      <w:r w:rsidR="005C5DE1" w:rsidRPr="005C5DE1">
        <w:rPr>
          <w:i/>
          <w:iCs/>
        </w:rPr>
        <w:t>de minimis</w:t>
      </w:r>
      <w:r w:rsidR="00E662C8">
        <w:t xml:space="preserve"> in further detail, however the following summarises initial views from stakeholders received during consultation</w:t>
      </w:r>
      <w:r w:rsidR="005C5DE1">
        <w:t>.</w:t>
      </w:r>
    </w:p>
    <w:p w14:paraId="059C7F1F" w14:textId="51942EC0" w:rsidR="00E662C8" w:rsidRPr="00B21A9D" w:rsidRDefault="00E662C8" w:rsidP="00BB0856">
      <w:pPr>
        <w:pStyle w:val="Heading4"/>
      </w:pPr>
      <w:r w:rsidRPr="008C14F5">
        <w:t>Customer</w:t>
      </w:r>
      <w:r w:rsidR="003A2F2C">
        <w:t>-</w:t>
      </w:r>
      <w:r w:rsidRPr="008C14F5">
        <w:t>level threshold</w:t>
      </w:r>
    </w:p>
    <w:p w14:paraId="5FC58673" w14:textId="691CE9EF" w:rsidR="00E662C8" w:rsidRPr="00780E3D" w:rsidRDefault="00E662C8" w:rsidP="00224419">
      <w:pPr>
        <w:pStyle w:val="Bullet"/>
        <w:numPr>
          <w:ilvl w:val="0"/>
          <w:numId w:val="0"/>
        </w:numPr>
        <w:spacing w:before="200"/>
        <w:rPr>
          <w:rFonts w:ascii="Trebuchet MS" w:eastAsiaTheme="minorHAnsi" w:hAnsi="Trebuchet MS" w:cstheme="minorBidi"/>
          <w:color w:val="auto"/>
          <w:sz w:val="22"/>
          <w:szCs w:val="22"/>
        </w:rPr>
      </w:pPr>
      <w:r w:rsidRPr="00780E3D">
        <w:rPr>
          <w:rFonts w:ascii="Trebuchet MS" w:eastAsiaTheme="minorHAnsi" w:hAnsi="Trebuchet MS" w:cstheme="minorBidi"/>
          <w:color w:val="auto"/>
          <w:sz w:val="22"/>
          <w:szCs w:val="22"/>
        </w:rPr>
        <w:t>The energy sector adopted a threshold using customer numbers reported to regulators, however no equivalent</w:t>
      </w:r>
      <w:r>
        <w:rPr>
          <w:rFonts w:ascii="Trebuchet MS" w:eastAsiaTheme="minorHAnsi" w:hAnsi="Trebuchet MS" w:cstheme="minorBidi"/>
          <w:color w:val="auto"/>
          <w:sz w:val="22"/>
          <w:szCs w:val="22"/>
        </w:rPr>
        <w:t xml:space="preserve"> reporting</w:t>
      </w:r>
      <w:r w:rsidRPr="00780E3D">
        <w:rPr>
          <w:rFonts w:ascii="Trebuchet MS" w:eastAsiaTheme="minorHAnsi" w:hAnsi="Trebuchet MS" w:cstheme="minorBidi"/>
          <w:color w:val="auto"/>
          <w:sz w:val="22"/>
          <w:szCs w:val="22"/>
        </w:rPr>
        <w:t xml:space="preserve"> exists in the non-bank lending sector. </w:t>
      </w:r>
      <w:r>
        <w:rPr>
          <w:rFonts w:ascii="Trebuchet MS" w:eastAsiaTheme="minorHAnsi" w:hAnsi="Trebuchet MS" w:cstheme="minorBidi"/>
          <w:color w:val="auto"/>
          <w:sz w:val="22"/>
          <w:szCs w:val="22"/>
        </w:rPr>
        <w:t xml:space="preserve">While </w:t>
      </w:r>
      <w:r w:rsidR="00C71841">
        <w:rPr>
          <w:rFonts w:ascii="Trebuchet MS" w:eastAsiaTheme="minorHAnsi" w:hAnsi="Trebuchet MS" w:cstheme="minorBidi"/>
          <w:color w:val="auto"/>
          <w:sz w:val="22"/>
          <w:szCs w:val="22"/>
        </w:rPr>
        <w:t xml:space="preserve">there is scope to </w:t>
      </w:r>
      <w:r>
        <w:rPr>
          <w:rFonts w:ascii="Trebuchet MS" w:eastAsiaTheme="minorHAnsi" w:hAnsi="Trebuchet MS" w:cstheme="minorBidi"/>
          <w:color w:val="auto"/>
          <w:sz w:val="22"/>
          <w:szCs w:val="22"/>
        </w:rPr>
        <w:t xml:space="preserve">gauge the number of products </w:t>
      </w:r>
      <w:r w:rsidR="003A7F7F">
        <w:rPr>
          <w:rFonts w:ascii="Trebuchet MS" w:eastAsiaTheme="minorHAnsi" w:hAnsi="Trebuchet MS" w:cstheme="minorBidi"/>
          <w:color w:val="auto"/>
          <w:sz w:val="22"/>
          <w:szCs w:val="22"/>
        </w:rPr>
        <w:t xml:space="preserve">a lender </w:t>
      </w:r>
      <w:r>
        <w:rPr>
          <w:rFonts w:ascii="Trebuchet MS" w:eastAsiaTheme="minorHAnsi" w:hAnsi="Trebuchet MS" w:cstheme="minorBidi"/>
          <w:color w:val="auto"/>
          <w:sz w:val="22"/>
          <w:szCs w:val="22"/>
        </w:rPr>
        <w:t>provide</w:t>
      </w:r>
      <w:r w:rsidR="003A7F7F">
        <w:rPr>
          <w:rFonts w:ascii="Trebuchet MS" w:eastAsiaTheme="minorHAnsi" w:hAnsi="Trebuchet MS" w:cstheme="minorBidi"/>
          <w:color w:val="auto"/>
          <w:sz w:val="22"/>
          <w:szCs w:val="22"/>
        </w:rPr>
        <w:t>s</w:t>
      </w:r>
      <w:r>
        <w:rPr>
          <w:rFonts w:ascii="Trebuchet MS" w:eastAsiaTheme="minorHAnsi" w:hAnsi="Trebuchet MS" w:cstheme="minorBidi"/>
          <w:color w:val="auto"/>
          <w:sz w:val="22"/>
          <w:szCs w:val="22"/>
        </w:rPr>
        <w:t xml:space="preserve"> to customers</w:t>
      </w:r>
      <w:r w:rsidR="00314307">
        <w:rPr>
          <w:rFonts w:ascii="Trebuchet MS" w:eastAsiaTheme="minorHAnsi" w:hAnsi="Trebuchet MS" w:cstheme="minorBidi"/>
          <w:color w:val="auto"/>
          <w:sz w:val="22"/>
          <w:szCs w:val="22"/>
        </w:rPr>
        <w:t>,</w:t>
      </w:r>
      <w:r>
        <w:rPr>
          <w:rFonts w:ascii="Trebuchet MS" w:eastAsiaTheme="minorHAnsi" w:hAnsi="Trebuchet MS" w:cstheme="minorBidi"/>
          <w:color w:val="auto"/>
          <w:sz w:val="22"/>
          <w:szCs w:val="22"/>
        </w:rPr>
        <w:t xml:space="preserve"> it may be a challenge to standardise how this is measured where multiple products are bundled. </w:t>
      </w:r>
    </w:p>
    <w:p w14:paraId="0E9B252C" w14:textId="77777777" w:rsidR="00895C07" w:rsidRDefault="00895C07" w:rsidP="00BB0856">
      <w:pPr>
        <w:pStyle w:val="Heading4"/>
      </w:pPr>
    </w:p>
    <w:p w14:paraId="6A9D7576" w14:textId="77777777" w:rsidR="00895C07" w:rsidRDefault="00895C07" w:rsidP="00BB0856">
      <w:pPr>
        <w:pStyle w:val="Heading4"/>
      </w:pPr>
    </w:p>
    <w:p w14:paraId="5BC23683" w14:textId="70EDB74A" w:rsidR="00E662C8" w:rsidRPr="008C14F5" w:rsidRDefault="00E662C8" w:rsidP="00BB0856">
      <w:pPr>
        <w:pStyle w:val="Heading4"/>
      </w:pPr>
      <w:r w:rsidRPr="008C14F5">
        <w:lastRenderedPageBreak/>
        <w:t>Balance</w:t>
      </w:r>
      <w:r w:rsidR="003A2F2C">
        <w:t>-</w:t>
      </w:r>
      <w:r w:rsidRPr="008C14F5">
        <w:t>sheet threshold</w:t>
      </w:r>
    </w:p>
    <w:p w14:paraId="74ADA556" w14:textId="77777777" w:rsidR="003A2F2C" w:rsidRDefault="003A2F2C" w:rsidP="003A2F2C">
      <w:pPr>
        <w:spacing w:after="160"/>
      </w:pPr>
      <w:r>
        <w:t>Given non-bank lenders will accumulate balances on their balance sheets</w:t>
      </w:r>
      <w:r>
        <w:rPr>
          <w:rStyle w:val="FootnoteReference"/>
        </w:rPr>
        <w:footnoteReference w:id="74"/>
      </w:r>
      <w:r>
        <w:t xml:space="preserve"> as their loan books grow, balance sheet size is one proxy for entity size that could be used to apply a </w:t>
      </w:r>
      <w:r w:rsidRPr="00066D24">
        <w:rPr>
          <w:i/>
        </w:rPr>
        <w:t>de minimis</w:t>
      </w:r>
      <w:r>
        <w:t xml:space="preserve"> threshold for data-holder obligations. There are existing reporting obligations that could be leveraged to achieve this, such as those applying to </w:t>
      </w:r>
      <w:r w:rsidRPr="00CC0C56">
        <w:t>Registered Financial Corporations (RFCs)</w:t>
      </w:r>
      <w:r>
        <w:t xml:space="preserve"> that must report financial data to the Australian Prudential Regulation Authority (APRA)</w:t>
      </w:r>
      <w:r w:rsidRPr="00CC0C56">
        <w:t xml:space="preserve"> under the </w:t>
      </w:r>
      <w:r w:rsidRPr="00705CBD">
        <w:t>Collection of Data Act</w:t>
      </w:r>
      <w:r w:rsidRPr="00C46FB2">
        <w:t xml:space="preserve"> </w:t>
      </w:r>
      <w:r w:rsidRPr="00CC0C56">
        <w:t>and its reporting standard</w:t>
      </w:r>
      <w:r>
        <w:t>.</w:t>
      </w:r>
    </w:p>
    <w:p w14:paraId="44ACB9C5" w14:textId="14112E33" w:rsidR="003A2F2C" w:rsidRPr="007328A4" w:rsidRDefault="003A2F2C" w:rsidP="003A2F2C">
      <w:pPr>
        <w:pStyle w:val="Bullet"/>
        <w:numPr>
          <w:ilvl w:val="0"/>
          <w:numId w:val="0"/>
        </w:numPr>
        <w:rPr>
          <w:rFonts w:ascii="Trebuchet MS" w:eastAsiaTheme="minorHAnsi" w:hAnsi="Trebuchet MS" w:cstheme="minorBidi"/>
          <w:color w:val="auto"/>
          <w:sz w:val="22"/>
          <w:szCs w:val="22"/>
        </w:rPr>
      </w:pPr>
      <w:r w:rsidRPr="007328A4">
        <w:rPr>
          <w:rFonts w:ascii="Trebuchet MS" w:eastAsiaTheme="minorHAnsi" w:hAnsi="Trebuchet MS" w:cstheme="minorBidi"/>
          <w:color w:val="auto"/>
          <w:sz w:val="22"/>
          <w:szCs w:val="22"/>
        </w:rPr>
        <w:t>A balance</w:t>
      </w:r>
      <w:r>
        <w:rPr>
          <w:rFonts w:ascii="Trebuchet MS" w:eastAsiaTheme="minorHAnsi" w:hAnsi="Trebuchet MS" w:cstheme="minorBidi"/>
          <w:color w:val="auto"/>
          <w:sz w:val="22"/>
          <w:szCs w:val="22"/>
        </w:rPr>
        <w:t>-</w:t>
      </w:r>
      <w:r w:rsidRPr="007328A4">
        <w:rPr>
          <w:rFonts w:ascii="Trebuchet MS" w:eastAsiaTheme="minorHAnsi" w:hAnsi="Trebuchet MS" w:cstheme="minorBidi"/>
          <w:color w:val="auto"/>
          <w:sz w:val="22"/>
          <w:szCs w:val="22"/>
        </w:rPr>
        <w:t>sheet threshold of between $50 million to $</w:t>
      </w:r>
      <w:r>
        <w:rPr>
          <w:rFonts w:ascii="Trebuchet MS" w:eastAsiaTheme="minorHAnsi" w:hAnsi="Trebuchet MS" w:cstheme="minorBidi"/>
          <w:color w:val="auto"/>
          <w:sz w:val="22"/>
          <w:szCs w:val="22"/>
        </w:rPr>
        <w:t>500 million</w:t>
      </w:r>
      <w:r w:rsidRPr="007328A4">
        <w:rPr>
          <w:rFonts w:ascii="Trebuchet MS" w:eastAsiaTheme="minorHAnsi" w:hAnsi="Trebuchet MS" w:cstheme="minorBidi"/>
          <w:color w:val="auto"/>
          <w:sz w:val="22"/>
          <w:szCs w:val="22"/>
        </w:rPr>
        <w:t xml:space="preserve"> could apply</w:t>
      </w:r>
      <w:r>
        <w:rPr>
          <w:rFonts w:ascii="Trebuchet MS" w:eastAsiaTheme="minorHAnsi" w:hAnsi="Trebuchet MS" w:cstheme="minorBidi"/>
          <w:color w:val="auto"/>
          <w:sz w:val="22"/>
          <w:szCs w:val="22"/>
        </w:rPr>
        <w:t>. T</w:t>
      </w:r>
      <w:r w:rsidRPr="007328A4">
        <w:rPr>
          <w:rFonts w:ascii="Trebuchet MS" w:eastAsiaTheme="minorHAnsi" w:hAnsi="Trebuchet MS" w:cstheme="minorBidi"/>
          <w:color w:val="auto"/>
          <w:sz w:val="22"/>
          <w:szCs w:val="22"/>
        </w:rPr>
        <w:t xml:space="preserve">his would give smaller entities some </w:t>
      </w:r>
      <w:r>
        <w:rPr>
          <w:rFonts w:ascii="Trebuchet MS" w:eastAsiaTheme="minorHAnsi" w:hAnsi="Trebuchet MS" w:cstheme="minorBidi"/>
          <w:color w:val="auto"/>
          <w:sz w:val="22"/>
          <w:szCs w:val="22"/>
        </w:rPr>
        <w:t>time</w:t>
      </w:r>
      <w:r w:rsidRPr="007328A4">
        <w:rPr>
          <w:rFonts w:ascii="Trebuchet MS" w:eastAsiaTheme="minorHAnsi" w:hAnsi="Trebuchet MS" w:cstheme="minorBidi"/>
          <w:color w:val="auto"/>
          <w:sz w:val="22"/>
          <w:szCs w:val="22"/>
        </w:rPr>
        <w:t xml:space="preserve"> to grow their business before facing data</w:t>
      </w:r>
      <w:r>
        <w:rPr>
          <w:rFonts w:ascii="Trebuchet MS" w:eastAsiaTheme="minorHAnsi" w:hAnsi="Trebuchet MS" w:cstheme="minorBidi"/>
          <w:color w:val="auto"/>
          <w:sz w:val="22"/>
          <w:szCs w:val="22"/>
        </w:rPr>
        <w:t>-</w:t>
      </w:r>
      <w:r w:rsidRPr="007328A4">
        <w:rPr>
          <w:rFonts w:ascii="Trebuchet MS" w:eastAsiaTheme="minorHAnsi" w:hAnsi="Trebuchet MS" w:cstheme="minorBidi"/>
          <w:color w:val="auto"/>
          <w:sz w:val="22"/>
          <w:szCs w:val="22"/>
        </w:rPr>
        <w:t>holder obligations</w:t>
      </w:r>
      <w:r>
        <w:rPr>
          <w:rFonts w:ascii="Trebuchet MS" w:eastAsiaTheme="minorHAnsi" w:hAnsi="Trebuchet MS" w:cstheme="minorBidi"/>
          <w:color w:val="auto"/>
          <w:sz w:val="22"/>
          <w:szCs w:val="22"/>
        </w:rPr>
        <w:t>, while still imposing obligation</w:t>
      </w:r>
      <w:r w:rsidR="003F7F23">
        <w:rPr>
          <w:rFonts w:ascii="Trebuchet MS" w:eastAsiaTheme="minorHAnsi" w:hAnsi="Trebuchet MS" w:cstheme="minorBidi"/>
          <w:color w:val="auto"/>
          <w:sz w:val="22"/>
          <w:szCs w:val="22"/>
        </w:rPr>
        <w:t>s</w:t>
      </w:r>
      <w:r>
        <w:rPr>
          <w:rFonts w:ascii="Trebuchet MS" w:eastAsiaTheme="minorHAnsi" w:hAnsi="Trebuchet MS" w:cstheme="minorBidi"/>
          <w:color w:val="auto"/>
          <w:sz w:val="22"/>
          <w:szCs w:val="22"/>
        </w:rPr>
        <w:t xml:space="preserve"> on approximately 30-40 lenders (and those with a similar sized operation to banks)</w:t>
      </w:r>
      <w:r w:rsidRPr="007328A4">
        <w:rPr>
          <w:rFonts w:ascii="Trebuchet MS" w:eastAsiaTheme="minorHAnsi" w:hAnsi="Trebuchet MS" w:cstheme="minorBidi"/>
          <w:color w:val="auto"/>
          <w:sz w:val="22"/>
          <w:szCs w:val="22"/>
        </w:rPr>
        <w:t>.</w:t>
      </w:r>
      <w:r>
        <w:rPr>
          <w:rFonts w:ascii="Trebuchet MS" w:eastAsiaTheme="minorHAnsi" w:hAnsi="Trebuchet MS" w:cstheme="minorBidi"/>
          <w:color w:val="auto"/>
          <w:sz w:val="22"/>
          <w:szCs w:val="22"/>
        </w:rPr>
        <w:t xml:space="preserve"> Given that the CDR applies to data for Australian residents, Treasury </w:t>
      </w:r>
      <w:r w:rsidR="00322CB5">
        <w:rPr>
          <w:rFonts w:ascii="Trebuchet MS" w:eastAsiaTheme="minorHAnsi" w:hAnsi="Trebuchet MS" w:cstheme="minorBidi"/>
          <w:color w:val="auto"/>
          <w:sz w:val="22"/>
          <w:szCs w:val="22"/>
        </w:rPr>
        <w:t xml:space="preserve">considers </w:t>
      </w:r>
      <w:r>
        <w:rPr>
          <w:rFonts w:ascii="Trebuchet MS" w:eastAsiaTheme="minorHAnsi" w:hAnsi="Trebuchet MS" w:cstheme="minorBidi"/>
          <w:color w:val="auto"/>
          <w:sz w:val="22"/>
          <w:szCs w:val="22"/>
        </w:rPr>
        <w:t>it would be suitable for the balance-sheet threshold to apply to resident loan balances only. This metric is already reported to APRA under current obligations applying to RFCs.</w:t>
      </w:r>
    </w:p>
    <w:p w14:paraId="7199E23F" w14:textId="77777777" w:rsidR="002A7D1A" w:rsidRPr="008C14F5" w:rsidRDefault="002A7D1A" w:rsidP="00BB0856">
      <w:pPr>
        <w:pStyle w:val="Heading4"/>
      </w:pPr>
      <w:r w:rsidRPr="008C14F5">
        <w:t>Revenue threshold</w:t>
      </w:r>
    </w:p>
    <w:p w14:paraId="5225B6D2" w14:textId="40EBA662" w:rsidR="002A7D1A" w:rsidRPr="00CA74FB" w:rsidRDefault="002A7D1A" w:rsidP="00FE26CF">
      <w:r w:rsidRPr="00CA74FB">
        <w:t xml:space="preserve">Revenue reporting is another measure </w:t>
      </w:r>
      <w:r>
        <w:t xml:space="preserve">that may help identify those entities more suitable for data holder obligations. </w:t>
      </w:r>
      <w:r w:rsidR="003A2F2C">
        <w:t>T</w:t>
      </w:r>
      <w:r>
        <w:t>here is a correlation between revenue size and the size of the balance sheet used to generate interest margin</w:t>
      </w:r>
      <w:r w:rsidR="003A2F2C">
        <w:t>. However</w:t>
      </w:r>
      <w:r>
        <w:t xml:space="preserve">, the margins that apply to different types of lenders and the operating costs applying to entities at different stages of their life cycle does mean that revenue </w:t>
      </w:r>
      <w:r w:rsidR="00D475C4">
        <w:t xml:space="preserve">is not </w:t>
      </w:r>
      <w:r>
        <w:t xml:space="preserve">always an accurate indication of an entity’s ability to absorb further costs. </w:t>
      </w:r>
    </w:p>
    <w:p w14:paraId="7AD80165" w14:textId="2D507B3C" w:rsidR="0048537A" w:rsidRPr="00C5056D" w:rsidRDefault="0048537A" w:rsidP="00943EB5">
      <w:pPr>
        <w:pStyle w:val="Numbered11"/>
        <w:keepNext/>
        <w:spacing w:after="240"/>
        <w:ind w:left="431" w:hanging="431"/>
      </w:pPr>
      <w:bookmarkStart w:id="39" w:name="_Toc108794113"/>
      <w:r w:rsidRPr="00F07CFD">
        <w:t>Securitisation models and special purpose funding entities</w:t>
      </w:r>
      <w:bookmarkEnd w:id="39"/>
    </w:p>
    <w:p w14:paraId="06EAC000" w14:textId="08DB2791" w:rsidR="00235BFB" w:rsidRPr="00235BFB" w:rsidRDefault="00235BFB" w:rsidP="00235BFB">
      <w:pPr>
        <w:pStyle w:val="Bullet"/>
        <w:numPr>
          <w:ilvl w:val="0"/>
          <w:numId w:val="0"/>
        </w:numPr>
        <w:rPr>
          <w:rFonts w:ascii="Trebuchet MS" w:eastAsiaTheme="minorHAnsi" w:hAnsi="Trebuchet MS" w:cstheme="minorBidi"/>
          <w:color w:val="auto"/>
          <w:sz w:val="22"/>
          <w:szCs w:val="22"/>
        </w:rPr>
      </w:pPr>
      <w:r w:rsidRPr="00235BFB">
        <w:rPr>
          <w:rFonts w:ascii="Trebuchet MS" w:eastAsiaTheme="minorHAnsi" w:hAnsi="Trebuchet MS" w:cstheme="minorBidi"/>
          <w:color w:val="auto"/>
          <w:sz w:val="22"/>
          <w:szCs w:val="22"/>
        </w:rPr>
        <w:t xml:space="preserve">The non-bank lending sector uses a diverse range of sources to receive funding for </w:t>
      </w:r>
      <w:r w:rsidR="003A2F2C">
        <w:rPr>
          <w:rFonts w:ascii="Trebuchet MS" w:eastAsiaTheme="minorHAnsi" w:hAnsi="Trebuchet MS" w:cstheme="minorBidi"/>
          <w:color w:val="auto"/>
          <w:sz w:val="22"/>
          <w:szCs w:val="22"/>
        </w:rPr>
        <w:t>its</w:t>
      </w:r>
      <w:r w:rsidRPr="00235BFB">
        <w:rPr>
          <w:rFonts w:ascii="Trebuchet MS" w:eastAsiaTheme="minorHAnsi" w:hAnsi="Trebuchet MS" w:cstheme="minorBidi"/>
          <w:color w:val="auto"/>
          <w:sz w:val="22"/>
          <w:szCs w:val="22"/>
        </w:rPr>
        <w:t xml:space="preserve"> lending activities.</w:t>
      </w:r>
      <w:r>
        <w:rPr>
          <w:rFonts w:ascii="Trebuchet MS" w:eastAsiaTheme="minorHAnsi" w:hAnsi="Trebuchet MS" w:cstheme="minorBidi"/>
          <w:color w:val="auto"/>
          <w:sz w:val="22"/>
          <w:szCs w:val="22"/>
        </w:rPr>
        <w:t xml:space="preserve"> One such model is via securitisation of loans they originate. Securitisation can come about via the conversion of receivables on the balance sheet to </w:t>
      </w:r>
      <w:r w:rsidR="00B01C2C">
        <w:rPr>
          <w:rFonts w:ascii="Trebuchet MS" w:eastAsiaTheme="minorHAnsi" w:hAnsi="Trebuchet MS" w:cstheme="minorBidi"/>
          <w:color w:val="auto"/>
          <w:sz w:val="22"/>
          <w:szCs w:val="22"/>
        </w:rPr>
        <w:t xml:space="preserve">asset-backed or mortgage-backed securities, or by converting receivables held by a special purpose funding entity </w:t>
      </w:r>
      <w:r w:rsidR="003A2F2C">
        <w:rPr>
          <w:rFonts w:ascii="Trebuchet MS" w:eastAsiaTheme="minorHAnsi" w:hAnsi="Trebuchet MS" w:cstheme="minorBidi"/>
          <w:color w:val="auto"/>
          <w:sz w:val="22"/>
          <w:szCs w:val="22"/>
        </w:rPr>
        <w:t>(SPFE)</w:t>
      </w:r>
      <w:r w:rsidR="00B01C2C">
        <w:rPr>
          <w:rFonts w:ascii="Trebuchet MS" w:eastAsiaTheme="minorHAnsi" w:hAnsi="Trebuchet MS" w:cstheme="minorBidi"/>
          <w:color w:val="auto"/>
          <w:sz w:val="22"/>
          <w:szCs w:val="22"/>
        </w:rPr>
        <w:t xml:space="preserve"> to securities. </w:t>
      </w:r>
      <w:r w:rsidR="00011AA6">
        <w:rPr>
          <w:rFonts w:ascii="Trebuchet MS" w:eastAsiaTheme="minorHAnsi" w:hAnsi="Trebuchet MS" w:cstheme="minorBidi"/>
          <w:color w:val="auto"/>
          <w:sz w:val="22"/>
          <w:szCs w:val="22"/>
        </w:rPr>
        <w:t>As noted by the Australian Securitisation Forum:</w:t>
      </w:r>
    </w:p>
    <w:p w14:paraId="5838C9A0" w14:textId="2AEE6775" w:rsidR="00FF07BB" w:rsidRDefault="00011AA6" w:rsidP="00FF07BB">
      <w:pPr>
        <w:pStyle w:val="Bullet"/>
        <w:numPr>
          <w:ilvl w:val="0"/>
          <w:numId w:val="0"/>
        </w:numPr>
        <w:ind w:left="340"/>
        <w:rPr>
          <w:color w:val="auto"/>
          <w:sz w:val="22"/>
          <w:szCs w:val="22"/>
        </w:rPr>
      </w:pPr>
      <w:r w:rsidRPr="00084F65">
        <w:rPr>
          <w:color w:val="auto"/>
          <w:sz w:val="22"/>
          <w:szCs w:val="22"/>
        </w:rPr>
        <w:t xml:space="preserve">The non-bank lender who provides a product to a consumer is the primary entity that receives the consumer’s information. Therefore, the non-bank lender who sells the products to a consumer should be the designated data holder, not a corporate trustee who, although named as the lender in documentation, performs an ancillary role in the financing structure. A trustee of a securitisation </w:t>
      </w:r>
      <w:r w:rsidR="003A2F2C">
        <w:rPr>
          <w:color w:val="auto"/>
          <w:sz w:val="22"/>
          <w:szCs w:val="22"/>
        </w:rPr>
        <w:t>SPFE</w:t>
      </w:r>
      <w:r w:rsidRPr="00084F65">
        <w:rPr>
          <w:color w:val="auto"/>
          <w:sz w:val="22"/>
          <w:szCs w:val="22"/>
        </w:rPr>
        <w:t xml:space="preserve"> is also exempt as a credit provider under the </w:t>
      </w:r>
      <w:r w:rsidR="003A2F2C">
        <w:rPr>
          <w:color w:val="auto"/>
          <w:sz w:val="22"/>
          <w:szCs w:val="22"/>
        </w:rPr>
        <w:t>Credit Act</w:t>
      </w:r>
      <w:r w:rsidRPr="00084F65">
        <w:rPr>
          <w:color w:val="auto"/>
          <w:sz w:val="22"/>
          <w:szCs w:val="22"/>
        </w:rPr>
        <w:t xml:space="preserve"> regime.</w:t>
      </w:r>
      <w:r w:rsidRPr="00084F65">
        <w:rPr>
          <w:rStyle w:val="FootnoteReference"/>
          <w:color w:val="auto"/>
          <w:sz w:val="22"/>
          <w:szCs w:val="22"/>
        </w:rPr>
        <w:footnoteReference w:id="75"/>
      </w:r>
    </w:p>
    <w:p w14:paraId="591E28AD" w14:textId="35B01924" w:rsidR="00FF07BB" w:rsidRDefault="00FF07BB" w:rsidP="00FF07BB">
      <w:pPr>
        <w:pStyle w:val="Bullet"/>
        <w:numPr>
          <w:ilvl w:val="0"/>
          <w:numId w:val="0"/>
        </w:numPr>
        <w:rPr>
          <w:rFonts w:ascii="Trebuchet MS" w:eastAsiaTheme="minorHAnsi" w:hAnsi="Trebuchet MS" w:cstheme="minorBidi"/>
          <w:color w:val="auto"/>
          <w:sz w:val="22"/>
          <w:szCs w:val="22"/>
        </w:rPr>
      </w:pPr>
      <w:r>
        <w:rPr>
          <w:rFonts w:ascii="Trebuchet MS" w:eastAsiaTheme="minorHAnsi" w:hAnsi="Trebuchet MS" w:cstheme="minorBidi"/>
          <w:color w:val="auto"/>
          <w:sz w:val="22"/>
          <w:szCs w:val="22"/>
        </w:rPr>
        <w:t>Treasury notes that the data holder should only be the originator of the loan, not any other entity established to support a securitisation model. The rules</w:t>
      </w:r>
      <w:r w:rsidR="00EF66D0">
        <w:rPr>
          <w:rFonts w:ascii="Trebuchet MS" w:eastAsiaTheme="minorHAnsi" w:hAnsi="Trebuchet MS" w:cstheme="minorBidi"/>
          <w:color w:val="auto"/>
          <w:sz w:val="22"/>
          <w:szCs w:val="22"/>
        </w:rPr>
        <w:t>-</w:t>
      </w:r>
      <w:r>
        <w:rPr>
          <w:rFonts w:ascii="Trebuchet MS" w:eastAsiaTheme="minorHAnsi" w:hAnsi="Trebuchet MS" w:cstheme="minorBidi"/>
          <w:color w:val="auto"/>
          <w:sz w:val="22"/>
          <w:szCs w:val="22"/>
        </w:rPr>
        <w:t>stage will consider whether further clarifications are required.</w:t>
      </w:r>
    </w:p>
    <w:p w14:paraId="3FC15BC9" w14:textId="77EB0276" w:rsidR="00895C07" w:rsidRDefault="00895C07" w:rsidP="00FF07BB">
      <w:pPr>
        <w:pStyle w:val="Bullet"/>
        <w:numPr>
          <w:ilvl w:val="0"/>
          <w:numId w:val="0"/>
        </w:numPr>
        <w:rPr>
          <w:rFonts w:ascii="Trebuchet MS" w:eastAsiaTheme="minorHAnsi" w:hAnsi="Trebuchet MS" w:cstheme="minorBidi"/>
          <w:color w:val="auto"/>
          <w:sz w:val="22"/>
          <w:szCs w:val="22"/>
        </w:rPr>
      </w:pPr>
    </w:p>
    <w:p w14:paraId="0DCA5DE9" w14:textId="77777777" w:rsidR="00895C07" w:rsidRPr="00235BFB" w:rsidRDefault="00895C07" w:rsidP="00FF07BB">
      <w:pPr>
        <w:pStyle w:val="Bullet"/>
        <w:numPr>
          <w:ilvl w:val="0"/>
          <w:numId w:val="0"/>
        </w:numPr>
        <w:rPr>
          <w:rFonts w:ascii="Trebuchet MS" w:eastAsiaTheme="minorHAnsi" w:hAnsi="Trebuchet MS" w:cstheme="minorBidi"/>
          <w:color w:val="auto"/>
          <w:sz w:val="22"/>
          <w:szCs w:val="22"/>
        </w:rPr>
      </w:pPr>
    </w:p>
    <w:p w14:paraId="15B990AA" w14:textId="57C3EA6E" w:rsidR="000E3A2E" w:rsidRPr="000E3A2E" w:rsidRDefault="00442052" w:rsidP="00626036">
      <w:pPr>
        <w:pStyle w:val="Numbered1"/>
        <w:ind w:left="680" w:hanging="680"/>
      </w:pPr>
      <w:bookmarkStart w:id="40" w:name="_Toc108794114"/>
      <w:r>
        <w:lastRenderedPageBreak/>
        <w:t>Privacy and confidentiality</w:t>
      </w:r>
      <w:bookmarkEnd w:id="40"/>
    </w:p>
    <w:p w14:paraId="78B517D3" w14:textId="18412928" w:rsidR="005B792E" w:rsidRPr="00D35925" w:rsidRDefault="00442052" w:rsidP="00626036">
      <w:pPr>
        <w:pStyle w:val="Numbered11"/>
        <w:ind w:left="993" w:hanging="993"/>
      </w:pPr>
      <w:bookmarkStart w:id="41" w:name="_Toc108794115"/>
      <w:r w:rsidRPr="00D35925">
        <w:t>Impact of non-bank lending designation on privacy and confidentiality</w:t>
      </w:r>
      <w:bookmarkEnd w:id="41"/>
      <w:r w:rsidRPr="00D35925">
        <w:t xml:space="preserve"> </w:t>
      </w:r>
    </w:p>
    <w:p w14:paraId="09CED561" w14:textId="77777777" w:rsidR="00F730AA" w:rsidRDefault="00442052" w:rsidP="00894A3C">
      <w:pPr>
        <w:spacing w:after="160"/>
      </w:pPr>
      <w:r w:rsidRPr="00894A3C">
        <w:t xml:space="preserve">A privacy impact assessment (PIA) that considers the privacy impacts of </w:t>
      </w:r>
      <w:r w:rsidR="00C57894" w:rsidRPr="00894A3C">
        <w:t xml:space="preserve">designating the </w:t>
      </w:r>
      <w:r w:rsidR="00816EC3" w:rsidRPr="00894A3C">
        <w:t>non-bank lending</w:t>
      </w:r>
      <w:r w:rsidRPr="00894A3C">
        <w:t xml:space="preserve"> sector </w:t>
      </w:r>
      <w:r w:rsidR="00C57894" w:rsidRPr="00894A3C">
        <w:t xml:space="preserve">on the privacy and confidentiality of consumers is at </w:t>
      </w:r>
      <w:r w:rsidRPr="00894A3C">
        <w:t>Attachment</w:t>
      </w:r>
      <w:r w:rsidR="00F730AA">
        <w:t> </w:t>
      </w:r>
      <w:r w:rsidRPr="00894A3C">
        <w:t xml:space="preserve">A. </w:t>
      </w:r>
    </w:p>
    <w:p w14:paraId="3633D112" w14:textId="4F01C5EC" w:rsidR="00442052" w:rsidRPr="00C57894" w:rsidRDefault="00442052" w:rsidP="00894A3C">
      <w:pPr>
        <w:spacing w:after="160"/>
        <w:rPr>
          <w:rFonts w:cstheme="minorHAnsi"/>
        </w:rPr>
      </w:pPr>
      <w:r w:rsidRPr="00894A3C">
        <w:t>PIAs were previously conducted on the proposed implementation of the CDR in the banking</w:t>
      </w:r>
      <w:r w:rsidR="0022152C" w:rsidRPr="00894A3C">
        <w:t>,</w:t>
      </w:r>
      <w:r w:rsidRPr="00894A3C">
        <w:t xml:space="preserve"> energy </w:t>
      </w:r>
      <w:r w:rsidR="0022152C" w:rsidRPr="00894A3C">
        <w:t>and telecommunications</w:t>
      </w:r>
      <w:r w:rsidRPr="00894A3C">
        <w:t xml:space="preserve"> sectors. </w:t>
      </w:r>
      <w:bookmarkStart w:id="42" w:name="_Hlk107489673"/>
      <w:r w:rsidRPr="00894A3C">
        <w:t xml:space="preserve">The </w:t>
      </w:r>
      <w:r w:rsidR="00C748F6" w:rsidRPr="00894A3C">
        <w:t>non-bank lending</w:t>
      </w:r>
      <w:r w:rsidRPr="00894A3C">
        <w:t xml:space="preserve"> designation PIA supplements and builds upon the analysis contained in these reports and focuses on privacy issues specific to designating </w:t>
      </w:r>
      <w:r w:rsidR="007038B2" w:rsidRPr="00894A3C">
        <w:t>non-bank lenders</w:t>
      </w:r>
      <w:bookmarkEnd w:id="42"/>
      <w:r w:rsidRPr="00894A3C">
        <w:t xml:space="preserve">. </w:t>
      </w:r>
      <w:r w:rsidR="007038B2">
        <w:rPr>
          <w:rFonts w:cstheme="minorHAnsi"/>
        </w:rPr>
        <w:t xml:space="preserve">The PIA </w:t>
      </w:r>
      <w:r w:rsidR="003C6170">
        <w:rPr>
          <w:rFonts w:cstheme="minorHAnsi"/>
        </w:rPr>
        <w:t>considers</w:t>
      </w:r>
      <w:r w:rsidR="007038B2">
        <w:rPr>
          <w:rFonts w:cstheme="minorHAnsi"/>
        </w:rPr>
        <w:t xml:space="preserve"> the privacy impact of designating </w:t>
      </w:r>
      <w:r w:rsidR="003C6170">
        <w:rPr>
          <w:rFonts w:cstheme="minorHAnsi"/>
        </w:rPr>
        <w:t>the</w:t>
      </w:r>
      <w:r w:rsidR="009542F8">
        <w:rPr>
          <w:rFonts w:cstheme="minorHAnsi"/>
        </w:rPr>
        <w:t xml:space="preserve"> non-bank lending</w:t>
      </w:r>
      <w:r w:rsidR="003C6170">
        <w:rPr>
          <w:rFonts w:cstheme="minorHAnsi"/>
        </w:rPr>
        <w:t xml:space="preserve"> </w:t>
      </w:r>
      <w:r w:rsidR="006C2E50">
        <w:rPr>
          <w:rFonts w:cstheme="minorHAnsi"/>
        </w:rPr>
        <w:t>data holders and</w:t>
      </w:r>
      <w:r w:rsidR="003C6170">
        <w:rPr>
          <w:rFonts w:cstheme="minorHAnsi"/>
        </w:rPr>
        <w:t xml:space="preserve"> </w:t>
      </w:r>
      <w:r w:rsidR="007038B2">
        <w:rPr>
          <w:rFonts w:cstheme="minorHAnsi"/>
        </w:rPr>
        <w:t>datasets proposed for designation, as well as other general privacy considerations regarding the designation of non-bank lenders that are not specific to datasets.</w:t>
      </w:r>
      <w:r w:rsidR="00C57894">
        <w:rPr>
          <w:rFonts w:cstheme="minorHAnsi"/>
        </w:rPr>
        <w:t xml:space="preserve"> </w:t>
      </w:r>
    </w:p>
    <w:p w14:paraId="7705DD1F" w14:textId="77425F9A" w:rsidR="000007A6" w:rsidRDefault="000007A6" w:rsidP="000007A6">
      <w:pPr>
        <w:spacing w:after="160"/>
      </w:pPr>
      <w:r>
        <w:t>A</w:t>
      </w:r>
      <w:r w:rsidRPr="00894A3C">
        <w:t xml:space="preserve">s required by the </w:t>
      </w:r>
      <w:r w:rsidRPr="00894A3C">
        <w:rPr>
          <w:i/>
          <w:iCs/>
        </w:rPr>
        <w:t>Privacy (Australian Government Agencies – Governance) APP Code 2017</w:t>
      </w:r>
      <w:r>
        <w:t>, t</w:t>
      </w:r>
      <w:r w:rsidR="00442052" w:rsidRPr="00894A3C">
        <w:t xml:space="preserve">he PIA considers the potential impact that designation of the </w:t>
      </w:r>
      <w:r w:rsidR="00114FA7">
        <w:t>non-bank lending</w:t>
      </w:r>
      <w:r w:rsidR="00114FA7" w:rsidRPr="00894A3C">
        <w:t xml:space="preserve"> </w:t>
      </w:r>
      <w:r w:rsidR="00442052" w:rsidRPr="00894A3C">
        <w:t>sector may have on individuals’ privacy. T</w:t>
      </w:r>
      <w:r w:rsidR="00442052" w:rsidRPr="00894A3C" w:rsidDel="00003725">
        <w:t>he</w:t>
      </w:r>
      <w:r w:rsidR="00941B78">
        <w:t xml:space="preserve"> requirements do not</w:t>
      </w:r>
      <w:r w:rsidR="00442052" w:rsidRPr="00894A3C" w:rsidDel="00003725">
        <w:t xml:space="preserve"> apply to </w:t>
      </w:r>
      <w:r w:rsidR="00442052" w:rsidRPr="00894A3C">
        <w:t xml:space="preserve">business data. </w:t>
      </w:r>
      <w:r w:rsidRPr="00894A3C">
        <w:t xml:space="preserve">However, where the sharing of business data could impact individual privacy, this has been considered as part of the </w:t>
      </w:r>
      <w:r>
        <w:t>PIA</w:t>
      </w:r>
      <w:r w:rsidRPr="00894A3C">
        <w:t>. The overall security of CDR data</w:t>
      </w:r>
      <w:r>
        <w:t>, including business data,</w:t>
      </w:r>
      <w:r w:rsidRPr="00894A3C">
        <w:t xml:space="preserve"> </w:t>
      </w:r>
      <w:r>
        <w:t xml:space="preserve">is protected by the CDR’s strong privacy and security protections, </w:t>
      </w:r>
      <w:r w:rsidRPr="00B700A3">
        <w:t xml:space="preserve">including the 13 Privacy Safeguards under the </w:t>
      </w:r>
      <w:r>
        <w:t xml:space="preserve">Competition and Consumer </w:t>
      </w:r>
      <w:r w:rsidRPr="00B700A3">
        <w:t>Act</w:t>
      </w:r>
      <w:r>
        <w:t>,</w:t>
      </w:r>
      <w:r w:rsidRPr="00B700A3">
        <w:t xml:space="preserve"> </w:t>
      </w:r>
      <w:r>
        <w:t>and the</w:t>
      </w:r>
      <w:r w:rsidRPr="00B700A3">
        <w:t xml:space="preserve"> </w:t>
      </w:r>
      <w:r>
        <w:t xml:space="preserve">CDR </w:t>
      </w:r>
      <w:r w:rsidRPr="00B700A3">
        <w:t>rules relat</w:t>
      </w:r>
      <w:r>
        <w:t>ing</w:t>
      </w:r>
      <w:r w:rsidRPr="00B700A3">
        <w:t xml:space="preserve"> to the privacy and confidentiality of CDR data.</w:t>
      </w:r>
    </w:p>
    <w:p w14:paraId="4E699922" w14:textId="5D4AAB02" w:rsidR="00894A3C" w:rsidRDefault="008B5C17" w:rsidP="00894A3C">
      <w:pPr>
        <w:spacing w:after="160"/>
      </w:pPr>
      <w:r w:rsidRPr="00894A3C">
        <w:t xml:space="preserve">As </w:t>
      </w:r>
      <w:r w:rsidR="00EE3E11">
        <w:t>outlined</w:t>
      </w:r>
      <w:r w:rsidRPr="00894A3C">
        <w:t xml:space="preserve"> above, the implementation of </w:t>
      </w:r>
      <w:r w:rsidR="001D76C7">
        <w:t xml:space="preserve">the </w:t>
      </w:r>
      <w:r w:rsidRPr="00894A3C">
        <w:t>CDR to non-bank lending can be viewed as a logical extension of Open Banking as the datasets proposed for designation are the same datasets to those currently being shared by bank data holders.</w:t>
      </w:r>
      <w:r w:rsidR="00E15B4F" w:rsidRPr="00894A3C">
        <w:t xml:space="preserve"> </w:t>
      </w:r>
      <w:r w:rsidR="00894A3C">
        <w:t xml:space="preserve">The consultation paper noted that the privacy risks of sharing banking data are </w:t>
      </w:r>
      <w:r w:rsidR="008D1184">
        <w:t>currently being</w:t>
      </w:r>
      <w:r w:rsidR="00894A3C">
        <w:t xml:space="preserve"> appropriately mitigated </w:t>
      </w:r>
      <w:r w:rsidR="003A68D0">
        <w:t>by</w:t>
      </w:r>
      <w:r w:rsidR="00894A3C">
        <w:t xml:space="preserve"> the banking </w:t>
      </w:r>
      <w:r w:rsidR="001D76C7">
        <w:t xml:space="preserve">CDR </w:t>
      </w:r>
      <w:r w:rsidR="00894A3C">
        <w:t xml:space="preserve">rules and standards and outlined Treasury’s view that </w:t>
      </w:r>
      <w:r w:rsidR="003A68D0">
        <w:t xml:space="preserve">sharing of non-bank lending data </w:t>
      </w:r>
      <w:r w:rsidR="00CC0F17">
        <w:t xml:space="preserve">as a result of designation is likely to be appropriately managed through these existing mitigation strategies. </w:t>
      </w:r>
      <w:r w:rsidR="001D76C7">
        <w:t>Several</w:t>
      </w:r>
      <w:r w:rsidR="007C4B8F">
        <w:t xml:space="preserve"> stakeholders </w:t>
      </w:r>
      <w:r w:rsidR="008D1184">
        <w:t xml:space="preserve">provided support for this </w:t>
      </w:r>
      <w:r w:rsidR="007C4B8F">
        <w:t>proposition</w:t>
      </w:r>
      <w:r w:rsidR="007C4B8F">
        <w:rPr>
          <w:rStyle w:val="FootnoteReference"/>
        </w:rPr>
        <w:footnoteReference w:id="76"/>
      </w:r>
      <w:r w:rsidR="007C4B8F">
        <w:t>,</w:t>
      </w:r>
      <w:r w:rsidR="008D1184">
        <w:t xml:space="preserve"> </w:t>
      </w:r>
      <w:r w:rsidR="00EE3E11">
        <w:t>with True</w:t>
      </w:r>
      <w:r w:rsidR="000169D3">
        <w:t>L</w:t>
      </w:r>
      <w:r w:rsidR="00EE3E11">
        <w:t>ayer</w:t>
      </w:r>
      <w:r w:rsidR="008D1184">
        <w:t xml:space="preserve"> not</w:t>
      </w:r>
      <w:r w:rsidR="00EE3E11">
        <w:t>ing</w:t>
      </w:r>
      <w:r w:rsidR="008D1184">
        <w:t>:</w:t>
      </w:r>
    </w:p>
    <w:p w14:paraId="511A266D" w14:textId="70439633" w:rsidR="008D1184" w:rsidRPr="00894A3C" w:rsidRDefault="008D1184" w:rsidP="008D1184">
      <w:pPr>
        <w:spacing w:after="160"/>
        <w:ind w:left="340"/>
      </w:pPr>
      <w:r>
        <w:t>There are no additional privacy considerations for non-bank lending datasets that have not already been thoroughly considered in the course of implementation of Open Banking in the CDR.</w:t>
      </w:r>
      <w:r>
        <w:rPr>
          <w:rStyle w:val="FootnoteReference"/>
        </w:rPr>
        <w:footnoteReference w:id="77"/>
      </w:r>
    </w:p>
    <w:p w14:paraId="33BAC0D3" w14:textId="5451BFA2" w:rsidR="007C4B8F" w:rsidRPr="00020066" w:rsidRDefault="007C4B8F" w:rsidP="00894A3C">
      <w:pPr>
        <w:spacing w:after="160"/>
        <w:rPr>
          <w:vertAlign w:val="superscript"/>
        </w:rPr>
      </w:pPr>
      <w:r>
        <w:t xml:space="preserve">The ACCC </w:t>
      </w:r>
      <w:r w:rsidR="001D76C7">
        <w:t>noted that</w:t>
      </w:r>
      <w:r w:rsidR="005F5823">
        <w:t xml:space="preserve"> the non-bank lending sector would enhance the privacy protections available to consumers by ensuring that CDR privacy safeguards apply when consumers’ CDR data is shared</w:t>
      </w:r>
      <w:r w:rsidR="001D76C7">
        <w:t>. It added</w:t>
      </w:r>
      <w:r w:rsidR="005F5823">
        <w:t xml:space="preserve"> that these additional privacy protections already apply to consumers sharing CDR data in the banking sector.</w:t>
      </w:r>
      <w:r w:rsidR="00032691">
        <w:rPr>
          <w:rStyle w:val="FootnoteReference"/>
        </w:rPr>
        <w:footnoteReference w:id="78"/>
      </w:r>
    </w:p>
    <w:p w14:paraId="3877A6D4" w14:textId="075C0AB9" w:rsidR="00AA6A7F" w:rsidRDefault="008D1184" w:rsidP="00894A3C">
      <w:pPr>
        <w:spacing w:after="160"/>
        <w:rPr>
          <w:rFonts w:asciiTheme="minorHAnsi" w:hAnsiTheme="minorHAnsi" w:cstheme="minorHAnsi"/>
          <w:b/>
          <w:bCs/>
        </w:rPr>
      </w:pPr>
      <w:r>
        <w:t>As outlined in the Benefits of</w:t>
      </w:r>
      <w:r w:rsidDel="0080453A">
        <w:t xml:space="preserve"> </w:t>
      </w:r>
      <w:r w:rsidR="0080453A">
        <w:t xml:space="preserve">Designation </w:t>
      </w:r>
      <w:r>
        <w:t xml:space="preserve">section, </w:t>
      </w:r>
      <w:r w:rsidR="005F5823">
        <w:t xml:space="preserve">some </w:t>
      </w:r>
      <w:r>
        <w:t xml:space="preserve">stakeholders </w:t>
      </w:r>
      <w:r w:rsidR="00C57894" w:rsidRPr="00894A3C">
        <w:t xml:space="preserve">raised concerns about non-bank lenders accessing and using consumer </w:t>
      </w:r>
      <w:r w:rsidR="00F826C8" w:rsidRPr="00894A3C">
        <w:t>data</w:t>
      </w:r>
      <w:r w:rsidR="00617AF9">
        <w:t xml:space="preserve"> to</w:t>
      </w:r>
      <w:r w:rsidR="00C57894" w:rsidRPr="00894A3C">
        <w:t xml:space="preserve"> </w:t>
      </w:r>
      <w:r w:rsidR="00617AF9">
        <w:rPr>
          <w:rFonts w:asciiTheme="minorHAnsi" w:hAnsiTheme="minorHAnsi"/>
        </w:rPr>
        <w:t>facilitate poor lending practices and target consumers in financial hardship</w:t>
      </w:r>
      <w:r w:rsidR="00C57894" w:rsidRPr="00894A3C">
        <w:t>.</w:t>
      </w:r>
      <w:r w:rsidR="00C57894" w:rsidRPr="00894A3C">
        <w:rPr>
          <w:vertAlign w:val="superscript"/>
        </w:rPr>
        <w:footnoteReference w:id="79"/>
      </w:r>
      <w:r w:rsidR="00C57894" w:rsidRPr="00894A3C">
        <w:rPr>
          <w:vertAlign w:val="superscript"/>
        </w:rPr>
        <w:t xml:space="preserve"> </w:t>
      </w:r>
      <w:r w:rsidR="0080453A">
        <w:rPr>
          <w:vertAlign w:val="superscript"/>
        </w:rPr>
        <w:t xml:space="preserve"> </w:t>
      </w:r>
      <w:r w:rsidR="00F826C8" w:rsidRPr="00894A3C">
        <w:t>Th</w:t>
      </w:r>
      <w:r w:rsidR="00CC0F17">
        <w:t>e designation</w:t>
      </w:r>
      <w:r w:rsidR="000169D3">
        <w:t xml:space="preserve"> instrument</w:t>
      </w:r>
      <w:r w:rsidR="00CC0F17">
        <w:t xml:space="preserve"> specifies</w:t>
      </w:r>
      <w:r w:rsidR="000169D3">
        <w:t xml:space="preserve"> which data holders</w:t>
      </w:r>
      <w:r w:rsidR="00CC0F17">
        <w:t xml:space="preserve"> </w:t>
      </w:r>
      <w:r w:rsidR="00617AF9" w:rsidRPr="00617AF9">
        <w:t>can</w:t>
      </w:r>
      <w:r w:rsidR="00617AF9">
        <w:rPr>
          <w:i/>
          <w:iCs/>
        </w:rPr>
        <w:t xml:space="preserve"> </w:t>
      </w:r>
      <w:r w:rsidR="000169D3">
        <w:t xml:space="preserve">be required to </w:t>
      </w:r>
      <w:r w:rsidR="000169D3" w:rsidRPr="009718D4">
        <w:t>share</w:t>
      </w:r>
      <w:r w:rsidR="000169D3">
        <w:t xml:space="preserve"> data by the </w:t>
      </w:r>
      <w:r w:rsidR="00AA6A7F">
        <w:t xml:space="preserve">CDR </w:t>
      </w:r>
      <w:r w:rsidR="000169D3">
        <w:t xml:space="preserve">rules. </w:t>
      </w:r>
      <w:r w:rsidR="00C57894" w:rsidRPr="00894A3C">
        <w:t>Accordingly, these concerns are relevant to non-bank lenders becoming ADRs or accessing CDR consumer</w:t>
      </w:r>
      <w:r w:rsidR="008B5081">
        <w:t xml:space="preserve"> data</w:t>
      </w:r>
      <w:r w:rsidR="00C57894" w:rsidRPr="00894A3C">
        <w:t xml:space="preserve"> via CDR’s </w:t>
      </w:r>
      <w:r w:rsidR="008B5081">
        <w:t xml:space="preserve">accreditation </w:t>
      </w:r>
      <w:r w:rsidR="00C57894" w:rsidRPr="00894A3C">
        <w:t xml:space="preserve">access models, and not </w:t>
      </w:r>
      <w:r w:rsidR="009718D4">
        <w:t>necessarily to</w:t>
      </w:r>
      <w:r w:rsidR="00C57894" w:rsidRPr="00894A3C">
        <w:t xml:space="preserve"> non-bank </w:t>
      </w:r>
      <w:r w:rsidR="00C57894" w:rsidRPr="00894A3C">
        <w:lastRenderedPageBreak/>
        <w:t xml:space="preserve">lenders </w:t>
      </w:r>
      <w:r w:rsidR="009718D4">
        <w:t>be</w:t>
      </w:r>
      <w:r w:rsidR="00DE4B88">
        <w:t>ing designated as</w:t>
      </w:r>
      <w:r w:rsidR="00C57894" w:rsidRPr="00894A3C">
        <w:t xml:space="preserve"> data holders</w:t>
      </w:r>
      <w:r w:rsidR="00C57894" w:rsidRPr="00F826C8">
        <w:rPr>
          <w:rFonts w:asciiTheme="minorHAnsi" w:hAnsiTheme="minorHAnsi" w:cstheme="minorHAnsi"/>
        </w:rPr>
        <w:t>.</w:t>
      </w:r>
      <w:r w:rsidR="00C57894">
        <w:rPr>
          <w:rFonts w:asciiTheme="minorHAnsi" w:hAnsiTheme="minorHAnsi" w:cstheme="minorHAnsi"/>
        </w:rPr>
        <w:t xml:space="preserve"> </w:t>
      </w:r>
      <w:r w:rsidR="00AA6A7F">
        <w:rPr>
          <w:rFonts w:asciiTheme="minorHAnsi" w:hAnsiTheme="minorHAnsi" w:cstheme="minorHAnsi"/>
        </w:rPr>
        <w:t xml:space="preserve">However, </w:t>
      </w:r>
      <w:r w:rsidR="00AA6A7F">
        <w:t>b</w:t>
      </w:r>
      <w:r w:rsidR="00C57894" w:rsidRPr="00894A3C">
        <w:t>efore a non-bank lender can receive and use CDR consumer data, it must be accredited by the ACCC or become a representative of someone who has been accredited.</w:t>
      </w:r>
      <w:r w:rsidR="00894A3C">
        <w:t xml:space="preserve"> </w:t>
      </w:r>
      <w:r w:rsidR="00AA6A7F">
        <w:rPr>
          <w:rFonts w:asciiTheme="minorHAnsi" w:hAnsiTheme="minorHAnsi" w:cstheme="minorHAnsi"/>
        </w:rPr>
        <w:t>Further</w:t>
      </w:r>
      <w:r w:rsidR="000405D4">
        <w:rPr>
          <w:rFonts w:asciiTheme="minorHAnsi" w:hAnsiTheme="minorHAnsi" w:cstheme="minorHAnsi"/>
        </w:rPr>
        <w:t>, the CDR operates alongside regulatory frameworks for a particular sector</w:t>
      </w:r>
      <w:r w:rsidR="00165980">
        <w:rPr>
          <w:rFonts w:asciiTheme="minorHAnsi" w:hAnsiTheme="minorHAnsi" w:cstheme="minorHAnsi"/>
        </w:rPr>
        <w:t xml:space="preserve"> and does not seek to introduce regulatory reform where a sector’s regulatory framework is more appropriate. For example, in the </w:t>
      </w:r>
      <w:r w:rsidR="000405D4">
        <w:rPr>
          <w:rFonts w:asciiTheme="minorHAnsi" w:hAnsiTheme="minorHAnsi" w:cstheme="minorHAnsi"/>
        </w:rPr>
        <w:t xml:space="preserve">non-bank lending sector the </w:t>
      </w:r>
      <w:r w:rsidR="009F6B4C">
        <w:rPr>
          <w:rFonts w:asciiTheme="minorHAnsi" w:hAnsiTheme="minorHAnsi" w:cstheme="minorHAnsi"/>
        </w:rPr>
        <w:t>Credit Act</w:t>
      </w:r>
      <w:r w:rsidR="000405D4">
        <w:rPr>
          <w:rFonts w:asciiTheme="minorHAnsi" w:hAnsiTheme="minorHAnsi" w:cstheme="minorHAnsi"/>
        </w:rPr>
        <w:t xml:space="preserve"> </w:t>
      </w:r>
      <w:r w:rsidR="00165980">
        <w:rPr>
          <w:rFonts w:asciiTheme="minorHAnsi" w:hAnsiTheme="minorHAnsi" w:cstheme="minorHAnsi"/>
        </w:rPr>
        <w:t>contains a range of protections to prevent lenders from targeting consumers with inappropriate lending products.</w:t>
      </w:r>
      <w:r w:rsidR="000405D4">
        <w:rPr>
          <w:rFonts w:asciiTheme="minorHAnsi" w:hAnsiTheme="minorHAnsi" w:cstheme="minorHAnsi"/>
          <w:b/>
          <w:bCs/>
        </w:rPr>
        <w:t xml:space="preserve"> </w:t>
      </w:r>
    </w:p>
    <w:p w14:paraId="146C7DB6" w14:textId="1C1A847B" w:rsidR="00617AF9" w:rsidRDefault="00AA6A7F" w:rsidP="00894A3C">
      <w:pPr>
        <w:spacing w:after="160"/>
        <w:rPr>
          <w:rFonts w:asciiTheme="minorHAnsi" w:hAnsiTheme="minorHAnsi"/>
        </w:rPr>
      </w:pPr>
      <w:r>
        <w:rPr>
          <w:rFonts w:asciiTheme="minorHAnsi" w:hAnsiTheme="minorHAnsi" w:cstheme="minorHAnsi"/>
        </w:rPr>
        <w:t>W</w:t>
      </w:r>
      <w:r w:rsidR="00617AF9">
        <w:rPr>
          <w:rFonts w:asciiTheme="minorHAnsi" w:hAnsiTheme="minorHAnsi"/>
        </w:rPr>
        <w:t xml:space="preserve">hile this issue is not related specifically to the designation of </w:t>
      </w:r>
      <w:r w:rsidR="0009786D">
        <w:rPr>
          <w:rFonts w:asciiTheme="minorHAnsi" w:hAnsiTheme="minorHAnsi"/>
        </w:rPr>
        <w:t xml:space="preserve">the </w:t>
      </w:r>
      <w:r w:rsidR="00617AF9">
        <w:rPr>
          <w:rFonts w:asciiTheme="minorHAnsi" w:hAnsiTheme="minorHAnsi"/>
        </w:rPr>
        <w:t>non-bank lending sector, the PIA does examine the privacy impact of accredited non-bank lenders having access to customer data and the possible implications for vulnerable consumers.</w:t>
      </w:r>
    </w:p>
    <w:p w14:paraId="79917D6E" w14:textId="6F03D92E" w:rsidR="00442052" w:rsidRDefault="008B5C17" w:rsidP="00442052">
      <w:r>
        <w:t xml:space="preserve">For the reasons outlined in the PIA, </w:t>
      </w:r>
      <w:r w:rsidR="003C6170">
        <w:t xml:space="preserve">Treasury </w:t>
      </w:r>
      <w:r w:rsidR="00322CB5">
        <w:t xml:space="preserve">considers </w:t>
      </w:r>
      <w:r w:rsidR="00442052">
        <w:t xml:space="preserve">the privacy risks associated with the </w:t>
      </w:r>
      <w:r w:rsidR="00DA2E04">
        <w:t>non-bank lending</w:t>
      </w:r>
      <w:r w:rsidR="00442052">
        <w:t xml:space="preserve"> datasets </w:t>
      </w:r>
      <w:r w:rsidR="006C2E50">
        <w:t xml:space="preserve">and </w:t>
      </w:r>
      <w:r w:rsidR="00897D12">
        <w:t>the</w:t>
      </w:r>
      <w:r w:rsidR="006C2E50">
        <w:t xml:space="preserve"> data holder</w:t>
      </w:r>
      <w:r w:rsidR="0009786D">
        <w:t>s</w:t>
      </w:r>
      <w:r w:rsidR="00442052">
        <w:t xml:space="preserve"> proposed for designation are not of a nature that should prevent those datasets</w:t>
      </w:r>
      <w:r w:rsidR="006C2E50">
        <w:t xml:space="preserve"> or data holders</w:t>
      </w:r>
      <w:r w:rsidR="00442052">
        <w:t xml:space="preserve"> from being designated. This PIA</w:t>
      </w:r>
      <w:r w:rsidR="00831B8E">
        <w:t xml:space="preserve"> also</w:t>
      </w:r>
      <w:r w:rsidR="00442052">
        <w:t xml:space="preserve"> identifies privacy issues that will be given further consideration at the rule-making stage. </w:t>
      </w:r>
    </w:p>
    <w:p w14:paraId="329C8DF3" w14:textId="60EB0078" w:rsidR="008365F2" w:rsidRDefault="008365F2" w:rsidP="008365F2">
      <w:pPr>
        <w:pStyle w:val="Numbered1"/>
        <w:ind w:left="680" w:hanging="680"/>
      </w:pPr>
      <w:bookmarkStart w:id="43" w:name="_Toc108794116"/>
      <w:r>
        <w:t xml:space="preserve">Regulatory </w:t>
      </w:r>
      <w:r w:rsidR="00B50812">
        <w:t>i</w:t>
      </w:r>
      <w:r>
        <w:t xml:space="preserve">mpact </w:t>
      </w:r>
      <w:r w:rsidR="00822CCA">
        <w:t>assessment</w:t>
      </w:r>
      <w:bookmarkEnd w:id="43"/>
    </w:p>
    <w:p w14:paraId="7CB10E9E" w14:textId="05B828D8" w:rsidR="003D33E0" w:rsidRDefault="00EE06FC" w:rsidP="008365F2">
      <w:r>
        <w:t>The benefits of designating the non-bank lending sector need to be balanced against the expected regulatory impacts of designation</w:t>
      </w:r>
      <w:r w:rsidR="0025313A">
        <w:t>– essentially determining the net benefits.</w:t>
      </w:r>
      <w:r w:rsidR="0025313A">
        <w:rPr>
          <w:rStyle w:val="FootnoteReference"/>
        </w:rPr>
        <w:footnoteReference w:id="80"/>
      </w:r>
      <w:r w:rsidR="0025313A">
        <w:t xml:space="preserve"> </w:t>
      </w:r>
      <w:r w:rsidR="00D81DAB">
        <w:t xml:space="preserve"> While the benefits of designating non-bank lending are provided earlier in the report, this section contains analysis on the potential costs of designation.</w:t>
      </w:r>
    </w:p>
    <w:p w14:paraId="22578494" w14:textId="7C4882ED" w:rsidR="008365F2" w:rsidRDefault="008365F2" w:rsidP="008365F2">
      <w:r>
        <w:t>To assess the potential regulatory impact for data holders of extending the CDR to non-bank lending, Treasury conducted</w:t>
      </w:r>
      <w:r w:rsidR="00822CCA">
        <w:t xml:space="preserve"> a regulatory impact assessment.  Information was gathered through</w:t>
      </w:r>
      <w:r>
        <w:t xml:space="preserve"> bilateral meetings with a range of stakeholders, including prospective data holders and IT service providers that </w:t>
      </w:r>
      <w:r w:rsidR="00EE4BCD">
        <w:t>help</w:t>
      </w:r>
      <w:r>
        <w:t xml:space="preserve"> data holders comply with their CDR obligations.</w:t>
      </w:r>
      <w:r>
        <w:rPr>
          <w:rStyle w:val="FootnoteReference"/>
        </w:rPr>
        <w:footnoteReference w:id="81"/>
      </w:r>
      <w:r w:rsidR="000B618C">
        <w:t xml:space="preserve"> </w:t>
      </w:r>
      <w:r w:rsidR="00EE4BCD">
        <w:t>Treasury sought i</w:t>
      </w:r>
      <w:r>
        <w:t xml:space="preserve">nformation to determine the nature </w:t>
      </w:r>
      <w:r w:rsidR="002A5E21">
        <w:t>and extent</w:t>
      </w:r>
      <w:r>
        <w:t xml:space="preserve"> of compliance costs. The following regulatory impact analysis was informed by information provided during these bilateral meetings as well as in stakeholder submissions</w:t>
      </w:r>
      <w:r w:rsidR="00F2009D">
        <w:t xml:space="preserve"> to the consultation paper</w:t>
      </w:r>
      <w:r w:rsidR="00294B9E">
        <w:t xml:space="preserve">. </w:t>
      </w:r>
    </w:p>
    <w:p w14:paraId="1285F16B" w14:textId="25907370" w:rsidR="008365F2" w:rsidRDefault="008365F2" w:rsidP="00B57009">
      <w:pPr>
        <w:spacing w:after="240"/>
      </w:pPr>
      <w:r>
        <w:t xml:space="preserve">Stakeholders that participated in the regulatory impact discussions were asked to assume </w:t>
      </w:r>
      <w:r w:rsidR="00EE4BCD">
        <w:t>several</w:t>
      </w:r>
      <w:r>
        <w:t xml:space="preserve"> variables:</w:t>
      </w:r>
    </w:p>
    <w:p w14:paraId="378B4C92" w14:textId="7114181F" w:rsidR="008365F2" w:rsidRPr="00973492" w:rsidRDefault="008365F2" w:rsidP="008365F2">
      <w:pPr>
        <w:pStyle w:val="Bullet"/>
        <w:rPr>
          <w:color w:val="auto"/>
        </w:rPr>
      </w:pPr>
      <w:r w:rsidRPr="00973492">
        <w:rPr>
          <w:rFonts w:asciiTheme="minorHAnsi" w:hAnsiTheme="minorHAnsi"/>
          <w:color w:val="auto"/>
          <w:sz w:val="22"/>
          <w:szCs w:val="22"/>
        </w:rPr>
        <w:t>IT upgrades will be required to meet the requirements of the CDR, including authenticating consumers, support the sharing of CDR data through APIs, and providing consumers with a dashboard to maintain consents.</w:t>
      </w:r>
    </w:p>
    <w:p w14:paraId="76054771" w14:textId="2AEE50F4" w:rsidR="008365F2" w:rsidRPr="00973492" w:rsidRDefault="0080453A" w:rsidP="008365F2">
      <w:pPr>
        <w:pStyle w:val="Bullet"/>
        <w:rPr>
          <w:color w:val="auto"/>
        </w:rPr>
      </w:pPr>
      <w:r>
        <w:rPr>
          <w:rFonts w:asciiTheme="minorHAnsi" w:hAnsiTheme="minorHAnsi"/>
          <w:color w:val="auto"/>
          <w:sz w:val="22"/>
          <w:szCs w:val="22"/>
        </w:rPr>
        <w:t>There will be costs associated with o</w:t>
      </w:r>
      <w:r w:rsidR="008365F2" w:rsidRPr="00973492">
        <w:rPr>
          <w:rFonts w:asciiTheme="minorHAnsi" w:hAnsiTheme="minorHAnsi"/>
          <w:color w:val="auto"/>
          <w:sz w:val="22"/>
          <w:szCs w:val="22"/>
        </w:rPr>
        <w:t>ngoing compliance with the CDR, including meeting data sharing obligations and reporting requirements.</w:t>
      </w:r>
    </w:p>
    <w:p w14:paraId="4392A20D" w14:textId="77777777" w:rsidR="008365F2" w:rsidRPr="00973492" w:rsidRDefault="008365F2" w:rsidP="008365F2">
      <w:pPr>
        <w:pStyle w:val="Bullet"/>
        <w:rPr>
          <w:color w:val="auto"/>
        </w:rPr>
      </w:pPr>
      <w:r w:rsidRPr="00973492">
        <w:rPr>
          <w:rFonts w:asciiTheme="minorHAnsi" w:hAnsiTheme="minorHAnsi"/>
          <w:color w:val="auto"/>
          <w:sz w:val="22"/>
          <w:szCs w:val="22"/>
        </w:rPr>
        <w:t>Sector-specific obligations, such as the scope of datasets to be shared and consumers eligible to use the system, would be broadly consistent as that applied in Open Banking.</w:t>
      </w:r>
    </w:p>
    <w:p w14:paraId="6B5FAB0E" w14:textId="77777777" w:rsidR="008365F2" w:rsidRPr="00823B6C" w:rsidRDefault="008365F2" w:rsidP="00AB4068">
      <w:pPr>
        <w:pStyle w:val="Numbered11"/>
        <w:keepNext/>
        <w:ind w:left="431" w:hanging="431"/>
      </w:pPr>
      <w:bookmarkStart w:id="44" w:name="_Toc108794117"/>
      <w:r>
        <w:lastRenderedPageBreak/>
        <w:t>Estimate of regulatory impact</w:t>
      </w:r>
      <w:bookmarkEnd w:id="44"/>
    </w:p>
    <w:p w14:paraId="50322C39" w14:textId="2FF47AD3" w:rsidR="008365F2" w:rsidRPr="008B065D" w:rsidRDefault="00EE4BCD" w:rsidP="008365F2">
      <w:r>
        <w:t>Treasury has made q</w:t>
      </w:r>
      <w:r w:rsidR="008365F2">
        <w:t xml:space="preserve">uantitative estimates of the regulatory impact of the CDR on data holders, based on discussions with prospective data holders and IT service providers. The estimates were made using inputs from businesses of different size, age, digital maturity, and customer type. </w:t>
      </w:r>
      <w:r w:rsidR="00C57E05">
        <w:t>As such</w:t>
      </w:r>
      <w:r w:rsidR="008365F2">
        <w:t xml:space="preserve">, the estimates provided are for a representative business and may not represent the experiences of a particular business. They may vary based on a range of factors, including those outlined below. The below estimates are made assuming that a </w:t>
      </w:r>
      <w:r w:rsidR="008365F2" w:rsidRPr="00BA5109">
        <w:rPr>
          <w:i/>
        </w:rPr>
        <w:t>de minimis</w:t>
      </w:r>
      <w:r w:rsidR="008365F2">
        <w:t xml:space="preserve"> threshold would be introduced in the rule</w:t>
      </w:r>
      <w:r w:rsidR="00C57E05">
        <w:t>-making stage</w:t>
      </w:r>
      <w:r w:rsidR="008365F2">
        <w:t>, as recommended by th</w:t>
      </w:r>
      <w:r w:rsidR="00C57E05">
        <w:t>is</w:t>
      </w:r>
      <w:r w:rsidR="008365F2">
        <w:t xml:space="preserve"> report</w:t>
      </w:r>
      <w:r w:rsidR="009F6EE0">
        <w:t>. T</w:t>
      </w:r>
      <w:r w:rsidR="008365F2">
        <w:t>herefore</w:t>
      </w:r>
      <w:r w:rsidR="009F6EE0">
        <w:t>,</w:t>
      </w:r>
      <w:r w:rsidR="008365F2">
        <w:t xml:space="preserve"> a cost estimate for small non-bank lenders has </w:t>
      </w:r>
      <w:r w:rsidR="009F6EE0">
        <w:t>not</w:t>
      </w:r>
      <w:r w:rsidR="008365F2">
        <w:t xml:space="preserve"> been included. </w:t>
      </w:r>
    </w:p>
    <w:p w14:paraId="2FD77587" w14:textId="2E6C77A7" w:rsidR="008365F2" w:rsidRDefault="00A02973" w:rsidP="008365F2">
      <w:r>
        <w:t>Table 2 – Estimated compliance costs of implementing CDR</w:t>
      </w:r>
    </w:p>
    <w:tbl>
      <w:tblPr>
        <w:tblStyle w:val="TableGrid"/>
        <w:tblW w:w="0" w:type="auto"/>
        <w:tblLook w:val="04A0" w:firstRow="1" w:lastRow="0" w:firstColumn="1" w:lastColumn="0" w:noHBand="0" w:noVBand="1"/>
      </w:tblPr>
      <w:tblGrid>
        <w:gridCol w:w="3006"/>
        <w:gridCol w:w="3005"/>
        <w:gridCol w:w="3005"/>
      </w:tblGrid>
      <w:tr w:rsidR="008365F2" w14:paraId="0E70E430" w14:textId="77777777" w:rsidTr="005274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tcPr>
          <w:p w14:paraId="77C48851" w14:textId="77777777" w:rsidR="008365F2" w:rsidRDefault="008365F2" w:rsidP="005274AC"/>
        </w:tc>
        <w:tc>
          <w:tcPr>
            <w:tcW w:w="3009" w:type="dxa"/>
            <w:tcBorders>
              <w:top w:val="single" w:sz="4" w:space="0" w:color="auto"/>
              <w:left w:val="single" w:sz="4" w:space="0" w:color="auto"/>
              <w:bottom w:val="single" w:sz="4" w:space="0" w:color="auto"/>
              <w:right w:val="single" w:sz="4" w:space="0" w:color="auto"/>
            </w:tcBorders>
          </w:tcPr>
          <w:p w14:paraId="49AE882E" w14:textId="77777777" w:rsidR="008365F2" w:rsidRDefault="008365F2" w:rsidP="005274AC">
            <w:pPr>
              <w:cnfStyle w:val="100000000000" w:firstRow="1" w:lastRow="0" w:firstColumn="0" w:lastColumn="0" w:oddVBand="0" w:evenVBand="0" w:oddHBand="0" w:evenHBand="0" w:firstRowFirstColumn="0" w:firstRowLastColumn="0" w:lastRowFirstColumn="0" w:lastRowLastColumn="0"/>
            </w:pPr>
            <w:r>
              <w:t>Medium non-bank lender</w:t>
            </w:r>
          </w:p>
        </w:tc>
        <w:tc>
          <w:tcPr>
            <w:tcW w:w="3009" w:type="dxa"/>
            <w:tcBorders>
              <w:top w:val="single" w:sz="4" w:space="0" w:color="auto"/>
              <w:left w:val="single" w:sz="4" w:space="0" w:color="auto"/>
              <w:bottom w:val="single" w:sz="4" w:space="0" w:color="auto"/>
              <w:right w:val="single" w:sz="4" w:space="0" w:color="auto"/>
            </w:tcBorders>
          </w:tcPr>
          <w:p w14:paraId="47AB372F" w14:textId="77777777" w:rsidR="008365F2" w:rsidRDefault="008365F2" w:rsidP="005274AC">
            <w:pPr>
              <w:cnfStyle w:val="100000000000" w:firstRow="1" w:lastRow="0" w:firstColumn="0" w:lastColumn="0" w:oddVBand="0" w:evenVBand="0" w:oddHBand="0" w:evenHBand="0" w:firstRowFirstColumn="0" w:firstRowLastColumn="0" w:lastRowFirstColumn="0" w:lastRowLastColumn="0"/>
            </w:pPr>
            <w:r>
              <w:t>Large non-bank lender</w:t>
            </w:r>
          </w:p>
        </w:tc>
      </w:tr>
      <w:tr w:rsidR="008365F2" w14:paraId="30A236C5" w14:textId="77777777" w:rsidTr="005274AC">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tcPr>
          <w:p w14:paraId="1BEEBE50" w14:textId="77777777" w:rsidR="008365F2" w:rsidRDefault="008365F2" w:rsidP="005274AC">
            <w:r>
              <w:t>Year 1: implementation</w:t>
            </w:r>
          </w:p>
        </w:tc>
        <w:tc>
          <w:tcPr>
            <w:tcW w:w="3009" w:type="dxa"/>
            <w:tcBorders>
              <w:top w:val="single" w:sz="4" w:space="0" w:color="auto"/>
              <w:left w:val="single" w:sz="4" w:space="0" w:color="auto"/>
              <w:bottom w:val="single" w:sz="4" w:space="0" w:color="auto"/>
              <w:right w:val="single" w:sz="4" w:space="0" w:color="auto"/>
            </w:tcBorders>
          </w:tcPr>
          <w:p w14:paraId="3107B15F" w14:textId="77777777" w:rsidR="008365F2" w:rsidRDefault="008365F2" w:rsidP="005274AC">
            <w:pPr>
              <w:cnfStyle w:val="000000000000" w:firstRow="0" w:lastRow="0" w:firstColumn="0" w:lastColumn="0" w:oddVBand="0" w:evenVBand="0" w:oddHBand="0" w:evenHBand="0" w:firstRowFirstColumn="0" w:firstRowLastColumn="0" w:lastRowFirstColumn="0" w:lastRowLastColumn="0"/>
            </w:pPr>
            <w:r>
              <w:t>$750,000</w:t>
            </w:r>
          </w:p>
        </w:tc>
        <w:tc>
          <w:tcPr>
            <w:tcW w:w="3009" w:type="dxa"/>
            <w:tcBorders>
              <w:top w:val="single" w:sz="4" w:space="0" w:color="auto"/>
              <w:left w:val="single" w:sz="4" w:space="0" w:color="auto"/>
              <w:bottom w:val="single" w:sz="4" w:space="0" w:color="auto"/>
              <w:right w:val="single" w:sz="4" w:space="0" w:color="auto"/>
            </w:tcBorders>
          </w:tcPr>
          <w:p w14:paraId="0F2C46BB" w14:textId="77777777" w:rsidR="008365F2" w:rsidRDefault="008365F2" w:rsidP="005274AC">
            <w:pPr>
              <w:cnfStyle w:val="000000000000" w:firstRow="0" w:lastRow="0" w:firstColumn="0" w:lastColumn="0" w:oddVBand="0" w:evenVBand="0" w:oddHBand="0" w:evenHBand="0" w:firstRowFirstColumn="0" w:firstRowLastColumn="0" w:lastRowFirstColumn="0" w:lastRowLastColumn="0"/>
            </w:pPr>
            <w:r>
              <w:t>$3,000,000</w:t>
            </w:r>
          </w:p>
        </w:tc>
      </w:tr>
      <w:tr w:rsidR="008365F2" w14:paraId="5AFE3123" w14:textId="77777777" w:rsidTr="005274AC">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tcPr>
          <w:p w14:paraId="5A1BFE4E" w14:textId="77777777" w:rsidR="008365F2" w:rsidRDefault="008365F2" w:rsidP="005274AC">
            <w:r>
              <w:t>Year 2+: ongoing</w:t>
            </w:r>
            <w:r>
              <w:rPr>
                <w:rStyle w:val="FootnoteReference"/>
              </w:rPr>
              <w:footnoteReference w:id="82"/>
            </w:r>
          </w:p>
        </w:tc>
        <w:tc>
          <w:tcPr>
            <w:tcW w:w="3009" w:type="dxa"/>
            <w:tcBorders>
              <w:top w:val="single" w:sz="4" w:space="0" w:color="auto"/>
              <w:left w:val="single" w:sz="4" w:space="0" w:color="auto"/>
              <w:bottom w:val="single" w:sz="4" w:space="0" w:color="auto"/>
              <w:right w:val="single" w:sz="4" w:space="0" w:color="auto"/>
            </w:tcBorders>
          </w:tcPr>
          <w:p w14:paraId="7EF7CEE6" w14:textId="77777777" w:rsidR="008365F2" w:rsidRDefault="008365F2" w:rsidP="005274AC">
            <w:pPr>
              <w:cnfStyle w:val="000000000000" w:firstRow="0" w:lastRow="0" w:firstColumn="0" w:lastColumn="0" w:oddVBand="0" w:evenVBand="0" w:oddHBand="0" w:evenHBand="0" w:firstRowFirstColumn="0" w:firstRowLastColumn="0" w:lastRowFirstColumn="0" w:lastRowLastColumn="0"/>
            </w:pPr>
            <w:r>
              <w:t>$300,000</w:t>
            </w:r>
          </w:p>
        </w:tc>
        <w:tc>
          <w:tcPr>
            <w:tcW w:w="3009" w:type="dxa"/>
            <w:tcBorders>
              <w:top w:val="single" w:sz="4" w:space="0" w:color="auto"/>
              <w:left w:val="single" w:sz="4" w:space="0" w:color="auto"/>
              <w:bottom w:val="single" w:sz="4" w:space="0" w:color="auto"/>
              <w:right w:val="single" w:sz="4" w:space="0" w:color="auto"/>
            </w:tcBorders>
          </w:tcPr>
          <w:p w14:paraId="03C94239" w14:textId="77777777" w:rsidR="008365F2" w:rsidRDefault="008365F2" w:rsidP="005274AC">
            <w:pPr>
              <w:cnfStyle w:val="000000000000" w:firstRow="0" w:lastRow="0" w:firstColumn="0" w:lastColumn="0" w:oddVBand="0" w:evenVBand="0" w:oddHBand="0" w:evenHBand="0" w:firstRowFirstColumn="0" w:firstRowLastColumn="0" w:lastRowFirstColumn="0" w:lastRowLastColumn="0"/>
            </w:pPr>
            <w:r>
              <w:t>$1,000,000</w:t>
            </w:r>
          </w:p>
        </w:tc>
      </w:tr>
      <w:tr w:rsidR="008365F2" w14:paraId="48CC0162" w14:textId="77777777" w:rsidTr="005274AC">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tcPr>
          <w:p w14:paraId="64B000E7" w14:textId="77777777" w:rsidR="008365F2" w:rsidRDefault="008365F2" w:rsidP="005274AC">
            <w:r>
              <w:t>Average annual cost (PV)</w:t>
            </w:r>
          </w:p>
        </w:tc>
        <w:tc>
          <w:tcPr>
            <w:tcW w:w="3009" w:type="dxa"/>
            <w:tcBorders>
              <w:top w:val="single" w:sz="4" w:space="0" w:color="auto"/>
              <w:left w:val="single" w:sz="4" w:space="0" w:color="auto"/>
              <w:bottom w:val="single" w:sz="4" w:space="0" w:color="auto"/>
              <w:right w:val="single" w:sz="4" w:space="0" w:color="auto"/>
            </w:tcBorders>
          </w:tcPr>
          <w:p w14:paraId="4F1F7B0E" w14:textId="77777777" w:rsidR="008365F2" w:rsidRDefault="008365F2" w:rsidP="005274AC">
            <w:pPr>
              <w:cnfStyle w:val="000000000000" w:firstRow="0" w:lastRow="0" w:firstColumn="0" w:lastColumn="0" w:oddVBand="0" w:evenVBand="0" w:oddHBand="0" w:evenHBand="0" w:firstRowFirstColumn="0" w:firstRowLastColumn="0" w:lastRowFirstColumn="0" w:lastRowLastColumn="0"/>
            </w:pPr>
            <w:r>
              <w:t>$285,707</w:t>
            </w:r>
          </w:p>
        </w:tc>
        <w:tc>
          <w:tcPr>
            <w:tcW w:w="3009" w:type="dxa"/>
            <w:tcBorders>
              <w:top w:val="single" w:sz="4" w:space="0" w:color="auto"/>
              <w:left w:val="single" w:sz="4" w:space="0" w:color="auto"/>
              <w:bottom w:val="single" w:sz="4" w:space="0" w:color="auto"/>
              <w:right w:val="single" w:sz="4" w:space="0" w:color="auto"/>
            </w:tcBorders>
          </w:tcPr>
          <w:p w14:paraId="05C09976" w14:textId="77777777" w:rsidR="008365F2" w:rsidRDefault="008365F2" w:rsidP="005274AC">
            <w:pPr>
              <w:cnfStyle w:val="000000000000" w:firstRow="0" w:lastRow="0" w:firstColumn="0" w:lastColumn="0" w:oddVBand="0" w:evenVBand="0" w:oddHBand="0" w:evenHBand="0" w:firstRowFirstColumn="0" w:firstRowLastColumn="0" w:lastRowFirstColumn="0" w:lastRowLastColumn="0"/>
            </w:pPr>
            <w:r>
              <w:t>$1,002,358</w:t>
            </w:r>
          </w:p>
        </w:tc>
      </w:tr>
    </w:tbl>
    <w:p w14:paraId="0F192652" w14:textId="04D3B024" w:rsidR="008365F2" w:rsidRDefault="008365F2" w:rsidP="008365F2">
      <w:r>
        <w:t>Stakeholders noted a number of factors that would have an impact on cost</w:t>
      </w:r>
      <w:r w:rsidR="009F6EE0">
        <w:t xml:space="preserve"> –</w:t>
      </w:r>
      <w:r>
        <w:t xml:space="preserve"> both implementation and ongoing costs. While some factors can be addressed by taking decisions at the rules stage to reduce compliance costs, other factors are outside the scope of influence of the rules, for example those decisions which relate to internal decision</w:t>
      </w:r>
      <w:r w:rsidR="001B306E">
        <w:t xml:space="preserve"> </w:t>
      </w:r>
      <w:r>
        <w:t xml:space="preserve">making of entities. The types of regulatory impacts outlined below are not an exhaustive list and may not apply to each business. They represent the types of regulatory impacts businesses expect to face. </w:t>
      </w:r>
    </w:p>
    <w:p w14:paraId="52DFCB7D" w14:textId="77777777" w:rsidR="008365F2" w:rsidRDefault="008365F2" w:rsidP="00BB0856">
      <w:pPr>
        <w:pStyle w:val="Heading4"/>
      </w:pPr>
      <w:r>
        <w:t>Technical infrastructure</w:t>
      </w:r>
    </w:p>
    <w:p w14:paraId="6E8E60FC" w14:textId="0602CE05" w:rsidR="008365F2" w:rsidRDefault="008365F2" w:rsidP="008365F2">
      <w:r>
        <w:t xml:space="preserve">The greatest direct cost to data holders is likely to involve the need to upgrade and transform internal systems to enable data sharing to occur. Businesses generally hold data in multiple different systems, which would be required to be centralised </w:t>
      </w:r>
      <w:r w:rsidR="001B306E">
        <w:t>for the purposes of data sharing</w:t>
      </w:r>
      <w:r>
        <w:t>. For businesses where the functionality doesn’t already exist to centralise information, such as through business intelligence systems, stakeholders noted that substantial technological upgrades would be required to comply with CDR. Many of those engaged during consultation believed that they would need to upgrade existing functionality if they were subject to data sharing requirements</w:t>
      </w:r>
      <w:r w:rsidR="00A02973">
        <w:t xml:space="preserve">. </w:t>
      </w:r>
      <w:r w:rsidR="001B306E">
        <w:t xml:space="preserve">Some noted they would seek to perform other system upgrades </w:t>
      </w:r>
      <w:r w:rsidR="00761BDF">
        <w:t xml:space="preserve">alongside CDR-specific </w:t>
      </w:r>
      <w:r w:rsidR="001B306E">
        <w:t>upgrades</w:t>
      </w:r>
      <w:r w:rsidR="00171BB9">
        <w:t>, while one stakeholder noted it had been preparing for the CDR under a broader digital transformation project</w:t>
      </w:r>
      <w:r w:rsidR="001B306E">
        <w:t>.</w:t>
      </w:r>
      <w:r w:rsidR="00171BB9">
        <w:t xml:space="preserve"> Complementary or simultaneous upgrades may be synergistic with CDR-specific transformations and could support broader innovation and improve services. </w:t>
      </w:r>
      <w:r w:rsidR="00A02973">
        <w:t xml:space="preserve"> </w:t>
      </w:r>
      <w:r w:rsidR="001B306E">
        <w:t>T</w:t>
      </w:r>
      <w:r>
        <w:t xml:space="preserve">he extent to which </w:t>
      </w:r>
      <w:r w:rsidR="00171BB9">
        <w:t xml:space="preserve">CDR data sharing </w:t>
      </w:r>
      <w:r>
        <w:t xml:space="preserve">would </w:t>
      </w:r>
      <w:r w:rsidR="00171BB9">
        <w:t>require</w:t>
      </w:r>
      <w:r>
        <w:t xml:space="preserve"> </w:t>
      </w:r>
      <w:r w:rsidR="001B306E">
        <w:t>upgrades is</w:t>
      </w:r>
      <w:r>
        <w:t xml:space="preserve"> a function of the designated datasets and the </w:t>
      </w:r>
      <w:r w:rsidR="00A02973">
        <w:t xml:space="preserve">CDR </w:t>
      </w:r>
      <w:r>
        <w:t>rules.</w:t>
      </w:r>
    </w:p>
    <w:p w14:paraId="7334F42D" w14:textId="0483CF50" w:rsidR="008365F2" w:rsidRDefault="008365F2" w:rsidP="00BB0856">
      <w:pPr>
        <w:pStyle w:val="Heading4"/>
      </w:pPr>
      <w:r>
        <w:t>Use of intermediaries</w:t>
      </w:r>
    </w:p>
    <w:p w14:paraId="7F0BC5FC" w14:textId="25AD618E" w:rsidR="008365F2" w:rsidRDefault="008365F2" w:rsidP="008365F2">
      <w:r>
        <w:t>Whether to use intermediaries or in-house expertise to adapt internal IT systems to the CDR is a</w:t>
      </w:r>
      <w:r w:rsidR="00A02973">
        <w:t>n important</w:t>
      </w:r>
      <w:r>
        <w:t xml:space="preserve"> decision for prospective data holders. Stakeholders provided a range of responses to this question. Consultation suggested costs may be higher by opting for in-house expertise over external parties. Internal teams may need to upskill and overcome knowledge barriers regarding the CDR that an external IT service provider specialis</w:t>
      </w:r>
      <w:r w:rsidR="00A02973">
        <w:t>ing</w:t>
      </w:r>
      <w:r>
        <w:t xml:space="preserve"> in CDR data compliance may be able to provide more efficiently. However, there may be </w:t>
      </w:r>
      <w:r>
        <w:lastRenderedPageBreak/>
        <w:t xml:space="preserve">benefits from completing the work in-house. In-house implementation would give the business greater control over how </w:t>
      </w:r>
      <w:r w:rsidR="00A02973">
        <w:t>it</w:t>
      </w:r>
      <w:r>
        <w:t xml:space="preserve"> interact</w:t>
      </w:r>
      <w:r w:rsidR="00A02973">
        <w:t>s</w:t>
      </w:r>
      <w:r>
        <w:t xml:space="preserve"> with CDR and provide greater control over the data, both within and outside of the CDR. In-house teams may be able to address other IT issues or complete complementary projects that enhance other processes. Internal staff will be upskilled and better able to handle ongoing maintenance and compliance issues without the need for a subscription to an external provider. </w:t>
      </w:r>
      <w:r w:rsidR="009770CF">
        <w:t>There may be positive spillovers to the business of conducting the work in</w:t>
      </w:r>
      <w:r w:rsidR="009770CF">
        <w:noBreakHyphen/>
        <w:t>house.</w:t>
      </w:r>
    </w:p>
    <w:p w14:paraId="415F30D7" w14:textId="49B10461" w:rsidR="008365F2" w:rsidRDefault="008365F2" w:rsidP="008365F2">
      <w:r>
        <w:t xml:space="preserve">On the other hand, outsourcing to a service provider may provide a faster and more cost-effective solution, by using the existing expertise of experienced CDR specialists. Ready-made solutions may be integrated into a business’s systems, providing a relatively efficient solution. While outsourcing may reduce upfront costs, it may require an ongoing subscription, which may increase costs into the future. </w:t>
      </w:r>
    </w:p>
    <w:p w14:paraId="2B9E8F22" w14:textId="1F2F61F7" w:rsidR="008365F2" w:rsidRDefault="008365F2" w:rsidP="008365F2">
      <w:r>
        <w:t xml:space="preserve">A high proportion of stakeholders consulted indicated they would complete the work in-house because of the additional benefits that may result. Some also noted their willingness to become an ADR, for which there may be synergies by completing the work internally. Larger businesses may have a greater willingness and ability to complete the work internally. </w:t>
      </w:r>
    </w:p>
    <w:p w14:paraId="66F29711" w14:textId="0C540F48" w:rsidR="008365F2" w:rsidRDefault="008365F2" w:rsidP="00BB0856">
      <w:pPr>
        <w:pStyle w:val="Heading4"/>
      </w:pPr>
      <w:r>
        <w:t>Industry readiness</w:t>
      </w:r>
    </w:p>
    <w:p w14:paraId="26C97DDC" w14:textId="574CF46B" w:rsidR="008365F2" w:rsidRDefault="008365F2" w:rsidP="008365F2">
      <w:r>
        <w:t xml:space="preserve">Stakeholder consultation revealed that, in general, non-bank lenders have greater awareness of the CDR relative to other sectors. They demonstrated greater knowledge of technical aspects of the CDR, and some had commenced investigation into how they may choose to comply with CDR data holder obligations. Some had considered becoming an ADR under the CDR and would be more likely to do so if they were designated as data holders. </w:t>
      </w:r>
    </w:p>
    <w:p w14:paraId="54697181" w14:textId="756CB23B" w:rsidR="008365F2" w:rsidRPr="008F2100" w:rsidRDefault="008365F2" w:rsidP="008365F2">
      <w:r>
        <w:t xml:space="preserve">There is a great disparity within the non-bank lending industry with respect to readiness to undertake the digital transformation required of becoming a data holder. The sector has a range of participants, from larger businesses with sophisticated in-house teams to smaller players with limited capabilities. Some businesses have legacy systems that will require substantial upgrading, while some of the relatively new entrants are using more nimble systems. The industry is carrying out preliminary assessments of a general nature on how to adapt its systems to the CDR. Some stakeholders noted that recent or current technical advancements being made to systems driven by non-CDR considerations, such as greater agility in their IT systems and greater functionality for consumers, would assist with meeting potential future obligations. Further, more technical work can only be carried out once the scope of datasets has been determined. </w:t>
      </w:r>
    </w:p>
    <w:p w14:paraId="4FB4DFCB" w14:textId="07D185FE" w:rsidR="008365F2" w:rsidRPr="00564E03" w:rsidRDefault="008365F2" w:rsidP="00137620">
      <w:pPr>
        <w:pStyle w:val="Heading4"/>
        <w:keepNext/>
      </w:pPr>
      <w:r>
        <w:t>Scope of datasets and customers</w:t>
      </w:r>
    </w:p>
    <w:p w14:paraId="678D9793" w14:textId="238173D8" w:rsidR="006E1C15" w:rsidRDefault="006E1C15" w:rsidP="006E1C15">
      <w:r>
        <w:t xml:space="preserve">The non-bank lending sector consists of different businesses serving many types of customers. Some businesses cater to large corporate customers, to whom they offer complex, bespoke products. Given the nature of these arrangements, this type of customer is not expected to be </w:t>
      </w:r>
      <w:r w:rsidR="0030136B">
        <w:t xml:space="preserve">heavy </w:t>
      </w:r>
      <w:r>
        <w:t xml:space="preserve">users of CDR. However, these products would present a high degree of complexity in terms of creating CDR rules and standards. As such, the benefit of including these types of arrangements, relative to their cost of inclusion, is not sufficient </w:t>
      </w:r>
      <w:r w:rsidR="00FF089B">
        <w:t xml:space="preserve">at this stage </w:t>
      </w:r>
      <w:r>
        <w:t>to justify mandatory data sharing arrangements.</w:t>
      </w:r>
      <w:r w:rsidDel="0034428A">
        <w:t xml:space="preserve"> </w:t>
      </w:r>
      <w:r>
        <w:t xml:space="preserve">For this reason, the regulatory impact assumes that decisions will be taken at the rule-making stage to appropriately balance the benefit of including information on these types of customers with the cost of its inclusion. </w:t>
      </w:r>
    </w:p>
    <w:p w14:paraId="0BB311F1" w14:textId="3DFCDB1D" w:rsidR="008365F2" w:rsidRDefault="006E1C15" w:rsidP="008365F2">
      <w:r>
        <w:lastRenderedPageBreak/>
        <w:t>AFIA</w:t>
      </w:r>
      <w:r w:rsidR="008365F2">
        <w:t xml:space="preserve"> noted that a targeted approach to designating the sector would ensure the CDR does not ‘capture emerging or novel products which would have the potential to stifle competition and innovation’.</w:t>
      </w:r>
      <w:r w:rsidR="008365F2">
        <w:rPr>
          <w:rStyle w:val="FootnoteReference"/>
        </w:rPr>
        <w:footnoteReference w:id="83"/>
      </w:r>
      <w:r w:rsidR="008365F2">
        <w:t xml:space="preserve"> </w:t>
      </w:r>
    </w:p>
    <w:p w14:paraId="7DD09B1F" w14:textId="77777777" w:rsidR="008365F2" w:rsidRDefault="008365F2" w:rsidP="00BB0856">
      <w:pPr>
        <w:pStyle w:val="Heading4"/>
      </w:pPr>
      <w:r>
        <w:t>Timing and implementation</w:t>
      </w:r>
    </w:p>
    <w:p w14:paraId="75703E9C" w14:textId="660AAAAE" w:rsidR="008365F2" w:rsidRDefault="008365F2" w:rsidP="008365F2">
      <w:r>
        <w:t xml:space="preserve">The timeframe for implementing the CDR in non-bank lending may affect the overall cost of complying as a data holder. The interval between designation and rollout affects the demand for skilled workers and IT service providers that are required to carry out the work. A faster rollout may increase monetary costs and result in key milestones being delayed. Staging the rollout by entity size or product type may reduce demand </w:t>
      </w:r>
      <w:r w:rsidR="00C85F8C">
        <w:t>for</w:t>
      </w:r>
      <w:r>
        <w:t xml:space="preserve"> workers and has been suggested by some stakeholders. However, other stakeholders have noted that this approach can </w:t>
      </w:r>
      <w:r w:rsidR="00C85F8C">
        <w:t xml:space="preserve">be </w:t>
      </w:r>
      <w:r>
        <w:t>inefficient; it is more efficient for businesses to share all required datasets in one discrete project</w:t>
      </w:r>
      <w:r w:rsidDel="00294B9E">
        <w:t xml:space="preserve">. </w:t>
      </w:r>
    </w:p>
    <w:p w14:paraId="2F280E1F" w14:textId="6D79EF4E" w:rsidR="008365F2" w:rsidRDefault="008365F2" w:rsidP="008365F2">
      <w:r>
        <w:t>While timing and implementation considerations affect regulatory impact, they are best considered at the rule</w:t>
      </w:r>
      <w:r w:rsidR="006E1C15">
        <w:t>-making</w:t>
      </w:r>
      <w:r>
        <w:t xml:space="preserve"> stage.</w:t>
      </w:r>
    </w:p>
    <w:p w14:paraId="0E1DA7F6" w14:textId="77777777" w:rsidR="008365F2" w:rsidRPr="00564E03" w:rsidRDefault="008365F2" w:rsidP="00BB0856">
      <w:pPr>
        <w:pStyle w:val="Heading4"/>
        <w:rPr>
          <w:i w:val="0"/>
        </w:rPr>
      </w:pPr>
      <w:r>
        <w:t>Labour market constraints</w:t>
      </w:r>
    </w:p>
    <w:p w14:paraId="22C14210" w14:textId="20C39ADF" w:rsidR="008365F2" w:rsidRDefault="008365F2" w:rsidP="008365F2">
      <w:r>
        <w:t>Stakeholders almost uniformly noted the lack of available skills required to transform their IT systems, which would increase the costs and timeframes of complying with data</w:t>
      </w:r>
      <w:r w:rsidR="00E24AFD">
        <w:t xml:space="preserve"> </w:t>
      </w:r>
      <w:r>
        <w:t>sharing requirements. It was noted that the labour market is very tight, there is strong demand for the very specific set of skills involved in adapting IT systems to the CDR, and foreign labour was not currently abundant to fill domestic labour shortages. It was noted that these factors have pushed up labour costs and pushed out timeframes for completion</w:t>
      </w:r>
      <w:r w:rsidR="0030136B">
        <w:t xml:space="preserve"> in the near term</w:t>
      </w:r>
      <w:r>
        <w:t xml:space="preserve">. There were suggestions to delay the implementation, or rollout the sector in phases, to manage demand for scarce labour. </w:t>
      </w:r>
    </w:p>
    <w:p w14:paraId="6B103467" w14:textId="77777777" w:rsidR="008365F2" w:rsidRDefault="008365F2" w:rsidP="00C5056D">
      <w:pPr>
        <w:pStyle w:val="Numbered11"/>
        <w:keepNext/>
        <w:ind w:left="431" w:hanging="431"/>
      </w:pPr>
      <w:bookmarkStart w:id="45" w:name="_Toc108794118"/>
      <w:r>
        <w:t>Other regulatory costs</w:t>
      </w:r>
      <w:bookmarkEnd w:id="45"/>
    </w:p>
    <w:p w14:paraId="6DBF564C" w14:textId="77777777" w:rsidR="00791169" w:rsidRDefault="008365F2" w:rsidP="008365F2">
      <w:r>
        <w:t>Businesses, especially small businesses, spoke of the opportunity cost that CDR compliance would represent to them. Many are in a growth stage, expanding into new products, markets and geographies. They noted the opportunities that would be foregone if they were required to comply with the CDR as a data holder. Businesses are capital</w:t>
      </w:r>
      <w:r w:rsidR="00791169">
        <w:t>-</w:t>
      </w:r>
      <w:r>
        <w:t>constrained</w:t>
      </w:r>
      <w:r w:rsidR="00791169">
        <w:t>;</w:t>
      </w:r>
      <w:r>
        <w:t xml:space="preserve"> investments would be postponed and expansion plans deferred in order to allocate capital to CDR compliance. Many small businesses experience high rates of growth and take many years to achieve financial stability and profitability, suggesting the opportunity costs for these types of businesses are especially high. The ABA argued that a ‘participation threshold to exclude small firms’ be considered</w:t>
      </w:r>
      <w:r>
        <w:rPr>
          <w:rStyle w:val="FootnoteReference"/>
        </w:rPr>
        <w:footnoteReference w:id="84"/>
      </w:r>
      <w:r w:rsidR="00791169">
        <w:t>,</w:t>
      </w:r>
      <w:r>
        <w:t xml:space="preserve"> while AFIA noted that many of its members ‘have less scale to absorb new compliance hurdles’</w:t>
      </w:r>
      <w:r w:rsidR="00791169">
        <w:t>.</w:t>
      </w:r>
      <w:r>
        <w:rPr>
          <w:rStyle w:val="FootnoteReference"/>
        </w:rPr>
        <w:footnoteReference w:id="85"/>
      </w:r>
    </w:p>
    <w:p w14:paraId="67B75664" w14:textId="373852E6" w:rsidR="008365F2" w:rsidRDefault="008365F2" w:rsidP="008365F2">
      <w:r>
        <w:t>While these costs are hard to discern</w:t>
      </w:r>
      <w:r w:rsidR="00BE0002">
        <w:t>,</w:t>
      </w:r>
      <w:r>
        <w:t xml:space="preserve"> they are real and substantial, and must be considered, especially at the rules stage where any decision on </w:t>
      </w:r>
      <w:r w:rsidRPr="002B5F80">
        <w:rPr>
          <w:i/>
        </w:rPr>
        <w:t>de minimis</w:t>
      </w:r>
      <w:r>
        <w:t xml:space="preserve"> thresholds is made. </w:t>
      </w:r>
      <w:r w:rsidR="0024532F">
        <w:t xml:space="preserve">In addition to a de minimis threshold based on business size, a </w:t>
      </w:r>
      <w:r w:rsidR="0024532F" w:rsidRPr="009770CF">
        <w:rPr>
          <w:i/>
          <w:iCs/>
        </w:rPr>
        <w:t>de minimis</w:t>
      </w:r>
      <w:r w:rsidR="0024532F">
        <w:t xml:space="preserve"> threshold is also recommended for new products, where compliance with the CDR would be required only when the number of customers </w:t>
      </w:r>
      <w:r w:rsidR="00500185">
        <w:t>exceeds</w:t>
      </w:r>
      <w:r w:rsidR="0024532F">
        <w:t xml:space="preserve"> a threshold. </w:t>
      </w:r>
    </w:p>
    <w:p w14:paraId="35FD2356" w14:textId="2EF441A3" w:rsidR="00442052" w:rsidRDefault="00442052" w:rsidP="00C011F3">
      <w:pPr>
        <w:pStyle w:val="Numbered1"/>
        <w:keepNext/>
        <w:ind w:left="680" w:hanging="680"/>
      </w:pPr>
      <w:bookmarkStart w:id="46" w:name="_Toc108794119"/>
      <w:r>
        <w:lastRenderedPageBreak/>
        <w:t>The public interest</w:t>
      </w:r>
      <w:bookmarkEnd w:id="46"/>
      <w:r>
        <w:t xml:space="preserve"> </w:t>
      </w:r>
    </w:p>
    <w:p w14:paraId="5412B169" w14:textId="344F4746" w:rsidR="006503D2" w:rsidRDefault="00E321AA" w:rsidP="005661D4">
      <w:r>
        <w:t>The CDR giv</w:t>
      </w:r>
      <w:r w:rsidR="00C85F8C">
        <w:t>es</w:t>
      </w:r>
      <w:r>
        <w:t xml:space="preserve"> </w:t>
      </w:r>
      <w:r w:rsidR="00F51630">
        <w:t xml:space="preserve">consumers and businesses </w:t>
      </w:r>
      <w:r w:rsidR="00B55010">
        <w:t>the ability</w:t>
      </w:r>
      <w:r w:rsidR="00F51630">
        <w:t xml:space="preserve"> to harness information about themselves for their own benefit. </w:t>
      </w:r>
      <w:r w:rsidR="00551B1D">
        <w:t>For</w:t>
      </w:r>
      <w:r>
        <w:t xml:space="preserve"> t</w:t>
      </w:r>
      <w:r w:rsidR="00F51630">
        <w:t>he</w:t>
      </w:r>
      <w:r>
        <w:t xml:space="preserve"> CDR to</w:t>
      </w:r>
      <w:r w:rsidR="00B55010">
        <w:t xml:space="preserve"> be in the public interest by</w:t>
      </w:r>
      <w:r>
        <w:t xml:space="preserve"> bring</w:t>
      </w:r>
      <w:r w:rsidR="00B55010">
        <w:t>ing</w:t>
      </w:r>
      <w:r>
        <w:t xml:space="preserve"> maximum benefit to consumers</w:t>
      </w:r>
      <w:r w:rsidR="00551B1D">
        <w:t>,</w:t>
      </w:r>
      <w:r>
        <w:t xml:space="preserve"> it should not exclude financial data </w:t>
      </w:r>
      <w:r w:rsidR="001F4BFC">
        <w:t xml:space="preserve">from entities competing in the same lending market </w:t>
      </w:r>
      <w:r>
        <w:t xml:space="preserve">based on </w:t>
      </w:r>
      <w:r w:rsidR="00F51630">
        <w:t xml:space="preserve">an arbitrary </w:t>
      </w:r>
      <w:r w:rsidR="001F4BFC">
        <w:t>factor</w:t>
      </w:r>
      <w:r w:rsidR="005D79AA">
        <w:t xml:space="preserve"> external to the CDR</w:t>
      </w:r>
      <w:r w:rsidR="001F4BFC">
        <w:t>, such as</w:t>
      </w:r>
      <w:r w:rsidR="00F51630">
        <w:t xml:space="preserve"> whether an entity is an ADI or not</w:t>
      </w:r>
      <w:r w:rsidR="006503D2">
        <w:t xml:space="preserve">. </w:t>
      </w:r>
    </w:p>
    <w:p w14:paraId="145BD0D3" w14:textId="173CF5D0" w:rsidR="005661D4" w:rsidRPr="005661D4" w:rsidRDefault="00F51630" w:rsidP="005661D4">
      <w:r>
        <w:t>The CDR</w:t>
      </w:r>
      <w:r w:rsidR="00822CCA">
        <w:t>’s value will</w:t>
      </w:r>
      <w:r w:rsidDel="00822CCA">
        <w:t xml:space="preserve"> </w:t>
      </w:r>
      <w:r>
        <w:t xml:space="preserve">continue to grow </w:t>
      </w:r>
      <w:r w:rsidR="00822CCA">
        <w:t>as</w:t>
      </w:r>
      <w:r w:rsidDel="00822CCA">
        <w:t xml:space="preserve"> </w:t>
      </w:r>
      <w:r>
        <w:t>consumers</w:t>
      </w:r>
      <w:r w:rsidR="00822CCA">
        <w:t xml:space="preserve"> are provided</w:t>
      </w:r>
      <w:r>
        <w:t xml:space="preserve"> with a</w:t>
      </w:r>
      <w:r w:rsidR="00822CCA">
        <w:t xml:space="preserve"> more</w:t>
      </w:r>
      <w:r>
        <w:t xml:space="preserve"> comprehensive view of their financial situation</w:t>
      </w:r>
      <w:r w:rsidR="00B55010">
        <w:t xml:space="preserve"> from which to then gain value</w:t>
      </w:r>
      <w:r w:rsidR="00551B1D">
        <w:t>. F</w:t>
      </w:r>
      <w:r>
        <w:t>rom a data</w:t>
      </w:r>
      <w:r w:rsidDel="00551B1D">
        <w:t xml:space="preserve"> </w:t>
      </w:r>
      <w:r>
        <w:t>sharing perspective</w:t>
      </w:r>
      <w:r w:rsidR="00551B1D">
        <w:t>,</w:t>
      </w:r>
      <w:r>
        <w:t xml:space="preserve"> this means including new dat</w:t>
      </w:r>
      <w:r w:rsidR="001F4BFC">
        <w:t>a</w:t>
      </w:r>
      <w:r>
        <w:t xml:space="preserve">sets relating to products that have grown in popularity since the </w:t>
      </w:r>
      <w:r w:rsidR="00551B1D">
        <w:t xml:space="preserve">most recent scoping of the </w:t>
      </w:r>
      <w:r>
        <w:t>product</w:t>
      </w:r>
      <w:r w:rsidR="001F4BFC">
        <w:t xml:space="preserve"> schedule.</w:t>
      </w:r>
      <w:r w:rsidR="006503D2">
        <w:t xml:space="preserve"> </w:t>
      </w:r>
      <w:r w:rsidR="00A5009C">
        <w:t>While expanding, the CDR</w:t>
      </w:r>
      <w:r w:rsidR="005D79AA">
        <w:t xml:space="preserve"> should not </w:t>
      </w:r>
      <w:r w:rsidR="005D79AA" w:rsidRPr="006503D2">
        <w:t>raise barriers to entry or disproportionally impact smaller competitors</w:t>
      </w:r>
      <w:r w:rsidR="005D79AA">
        <w:t xml:space="preserve"> and product innovators in the same market. </w:t>
      </w:r>
      <w:r w:rsidR="00287877">
        <w:t>A</w:t>
      </w:r>
      <w:r w:rsidR="006503D2">
        <w:t>chieving</w:t>
      </w:r>
      <w:r w:rsidR="006503D2" w:rsidDel="00B55010">
        <w:t xml:space="preserve"> </w:t>
      </w:r>
      <w:r w:rsidR="00B55010">
        <w:t xml:space="preserve">a </w:t>
      </w:r>
      <w:r w:rsidR="006503D2">
        <w:t xml:space="preserve">balance </w:t>
      </w:r>
      <w:r w:rsidR="00A5009C">
        <w:t xml:space="preserve">between these factors will require an approach that prioritises common datasets and use cases without imposing </w:t>
      </w:r>
      <w:r w:rsidR="00287877">
        <w:t>costs on data holders that ultimately exceed the aggregate value for consumers.</w:t>
      </w:r>
    </w:p>
    <w:p w14:paraId="6B86C688" w14:textId="24F8210E" w:rsidR="0097153E" w:rsidRPr="0097153E" w:rsidRDefault="0097153E" w:rsidP="0064133B">
      <w:pPr>
        <w:pStyle w:val="Numbered1"/>
        <w:keepNext/>
        <w:ind w:left="680" w:hanging="680"/>
      </w:pPr>
      <w:bookmarkStart w:id="47" w:name="_Toc108794120"/>
      <w:r>
        <w:t>Matters recommended for consideration relating to the CDR rules</w:t>
      </w:r>
      <w:bookmarkEnd w:id="47"/>
      <w:r>
        <w:t xml:space="preserve"> </w:t>
      </w:r>
    </w:p>
    <w:p w14:paraId="689C3C68" w14:textId="529A41CE" w:rsidR="00A051CF" w:rsidRDefault="00E05DEB" w:rsidP="00A051CF">
      <w:r>
        <w:t xml:space="preserve">Stakeholders commented on a </w:t>
      </w:r>
      <w:r w:rsidR="00A051CF">
        <w:t xml:space="preserve">broad range of issues relating to the implementation of the CDR in the </w:t>
      </w:r>
      <w:r w:rsidR="00C3523A">
        <w:t xml:space="preserve">non-bank lending </w:t>
      </w:r>
      <w:r w:rsidR="00A051CF">
        <w:t>sector in submissions and discussions that will be appropriately addressed (and consulted on further) in the rule-making stage. This is consistent with the role of the designation instrument and CDR rules in the CDR regulatory framework and the current approaches applied in considering similar issues in the banking and energy sectors.</w:t>
      </w:r>
    </w:p>
    <w:p w14:paraId="4CC6617F" w14:textId="4E89C374" w:rsidR="00A051CF" w:rsidRDefault="004856F9" w:rsidP="00A051CF">
      <w:bookmarkStart w:id="48" w:name="_Hlk87603365"/>
      <w:r>
        <w:t>Treasury will hold further</w:t>
      </w:r>
      <w:r w:rsidR="00A051CF">
        <w:t xml:space="preserve"> public consultation</w:t>
      </w:r>
      <w:r>
        <w:t>s</w:t>
      </w:r>
      <w:r w:rsidR="00A051CF">
        <w:t xml:space="preserve"> at the rule-making stage (which is expected to occur concurrently with development of data standards for the sector) to inform implementation design and obligations in the </w:t>
      </w:r>
      <w:r>
        <w:t xml:space="preserve">CDR </w:t>
      </w:r>
      <w:r w:rsidR="00A051CF">
        <w:t xml:space="preserve">rules. </w:t>
      </w:r>
    </w:p>
    <w:p w14:paraId="47013139" w14:textId="6506725C" w:rsidR="00A051CF" w:rsidRPr="00C5056D" w:rsidRDefault="00A051CF" w:rsidP="00C5056D">
      <w:pPr>
        <w:pStyle w:val="Numbered11"/>
        <w:keepNext/>
        <w:ind w:left="431" w:hanging="431"/>
      </w:pPr>
      <w:bookmarkStart w:id="49" w:name="_Toc101261446"/>
      <w:bookmarkStart w:id="50" w:name="_Toc108794121"/>
      <w:bookmarkEnd w:id="48"/>
      <w:r w:rsidRPr="00E73CAB">
        <w:t>Eligible CDR consumers</w:t>
      </w:r>
      <w:bookmarkEnd w:id="49"/>
      <w:bookmarkEnd w:id="50"/>
      <w:r w:rsidRPr="00E73CAB">
        <w:t xml:space="preserve"> </w:t>
      </w:r>
    </w:p>
    <w:p w14:paraId="1FDC444D" w14:textId="77777777" w:rsidR="004856F9" w:rsidRDefault="004856F9" w:rsidP="004856F9">
      <w:r w:rsidRPr="00E17B96">
        <w:t xml:space="preserve">The concept of an 'eligible' CDR consumer </w:t>
      </w:r>
      <w:r>
        <w:t>refers to</w:t>
      </w:r>
      <w:r w:rsidRPr="00E17B96">
        <w:t xml:space="preserve"> consumers who can </w:t>
      </w:r>
      <w:r>
        <w:t>make consumer data requests to access or transfer their data. The CDR rules contain a sector-neutral definition of ‘eligible’ CDR consumer, however this can be modified as required on a sector-specific basis. A consumer for Open Banking is ‘eligible’ if they are an account holder or a secondary user for an account that is open and accessible online. The CDR-eligible consumer can be an individual (18 years or older) or a business customer.</w:t>
      </w:r>
      <w:r w:rsidRPr="00FB2A9A">
        <w:rPr>
          <w:rStyle w:val="FootnoteReference"/>
        </w:rPr>
        <w:t xml:space="preserve"> </w:t>
      </w:r>
    </w:p>
    <w:p w14:paraId="60351317" w14:textId="77777777" w:rsidR="004856F9" w:rsidRDefault="004856F9" w:rsidP="004856F9">
      <w:r>
        <w:t xml:space="preserve">Given the complementary nature of the Open Banking and non-bank lending datasets proposed for designation, Treasury expects the definition of ‘eligible’ CDR consumer in the non-bank lending rules to align with the banking sector definition. </w:t>
      </w:r>
    </w:p>
    <w:p w14:paraId="513FDDFC" w14:textId="37FED5B5" w:rsidR="00A051CF" w:rsidRPr="00C5056D" w:rsidRDefault="00A051CF" w:rsidP="00C5056D">
      <w:pPr>
        <w:pStyle w:val="Numbered11"/>
        <w:keepNext/>
        <w:ind w:left="431" w:hanging="431"/>
      </w:pPr>
      <w:bookmarkStart w:id="51" w:name="_Toc101261447"/>
      <w:bookmarkStart w:id="52" w:name="_Toc108794122"/>
      <w:r w:rsidRPr="00E73CAB">
        <w:t>Phasing of data</w:t>
      </w:r>
      <w:r w:rsidR="00E24AFD">
        <w:t xml:space="preserve"> </w:t>
      </w:r>
      <w:r w:rsidRPr="00E73CAB">
        <w:t>sharing obligations</w:t>
      </w:r>
      <w:bookmarkEnd w:id="51"/>
      <w:bookmarkEnd w:id="52"/>
      <w:r w:rsidRPr="00E73CAB">
        <w:t xml:space="preserve"> </w:t>
      </w:r>
    </w:p>
    <w:p w14:paraId="5193E9F1" w14:textId="28B52813" w:rsidR="003E2A23" w:rsidRDefault="00855F09" w:rsidP="008B065D">
      <w:r>
        <w:t xml:space="preserve">The specific datasets required for sharing and the timeline for sharing will be set out in the </w:t>
      </w:r>
      <w:r w:rsidR="00E86D09">
        <w:t>CDR r</w:t>
      </w:r>
      <w:r>
        <w:t xml:space="preserve">ules. </w:t>
      </w:r>
      <w:r w:rsidR="00EB0533">
        <w:t>D</w:t>
      </w:r>
      <w:r w:rsidR="00DA6EFC" w:rsidRPr="00C1312A">
        <w:t xml:space="preserve">ata holder obligations </w:t>
      </w:r>
      <w:r w:rsidR="00EB0533">
        <w:t>were phased</w:t>
      </w:r>
      <w:r w:rsidR="002107AC" w:rsidRPr="00C1312A">
        <w:t xml:space="preserve"> </w:t>
      </w:r>
      <w:r w:rsidR="00DA6EFC" w:rsidRPr="00C1312A">
        <w:t>in Open Banking</w:t>
      </w:r>
      <w:r w:rsidR="00C1312A">
        <w:t xml:space="preserve">, with major ADIs </w:t>
      </w:r>
      <w:r w:rsidR="00EB0533">
        <w:t xml:space="preserve">required </w:t>
      </w:r>
      <w:r w:rsidR="00DA6EFC">
        <w:t xml:space="preserve">to </w:t>
      </w:r>
      <w:r w:rsidR="00C1312A">
        <w:t>provide consumer data earlier than non-major ADIs,</w:t>
      </w:r>
      <w:r w:rsidR="002107AC">
        <w:t xml:space="preserve"> and </w:t>
      </w:r>
      <w:r w:rsidR="00C1312A">
        <w:t>data sharing prioritised for home and personal loans ahead of less common types of finance.</w:t>
      </w:r>
      <w:r w:rsidR="00DA6EFC">
        <w:t xml:space="preserve"> </w:t>
      </w:r>
      <w:r w:rsidR="002107AC" w:rsidRPr="00C1312A">
        <w:t>Similarly, non-bank lenders of various sizes or product</w:t>
      </w:r>
      <w:r w:rsidR="000960C4" w:rsidRPr="00C1312A">
        <w:t xml:space="preserve"> types could be introduced to the CDR in a staggered manner if the benefits of such an approach are apparent.</w:t>
      </w:r>
      <w:r w:rsidR="003E2A23" w:rsidRPr="003E2A23">
        <w:t xml:space="preserve"> </w:t>
      </w:r>
    </w:p>
    <w:p w14:paraId="1B1B576B" w14:textId="77777777" w:rsidR="00E86D09" w:rsidRPr="00C1312A" w:rsidRDefault="00E86D09" w:rsidP="00E86D09">
      <w:r>
        <w:lastRenderedPageBreak/>
        <w:t>Given that the designation of non-bank lenders is (in some respects) an extension of the obligations already established under Open Banking, Treasury expects implementation to be more efficient and require less phasing. However, the resourcing constraints mentioned in the Regulatory Impact section are also a factor that may support some form of phasing, if only to ensure there are sufficient implementation resources available in the CDR ecosystem to support non-bank lenders with the rollout.</w:t>
      </w:r>
    </w:p>
    <w:p w14:paraId="1C2F1AF7" w14:textId="5577F461" w:rsidR="008B065D" w:rsidRDefault="008B065D" w:rsidP="00BB0856">
      <w:pPr>
        <w:pStyle w:val="Heading4"/>
      </w:pPr>
      <w:r>
        <w:t xml:space="preserve">Phasing by </w:t>
      </w:r>
      <w:r w:rsidR="00E36212">
        <w:t>data</w:t>
      </w:r>
      <w:r>
        <w:t xml:space="preserve"> or product type</w:t>
      </w:r>
    </w:p>
    <w:p w14:paraId="2CBA4C86" w14:textId="691CBA45" w:rsidR="00DA6EFC" w:rsidRPr="00E87E5E" w:rsidRDefault="00C1312A" w:rsidP="008B065D">
      <w:pPr>
        <w:rPr>
          <w:rFonts w:asciiTheme="majorHAnsi" w:eastAsiaTheme="majorEastAsia" w:hAnsiTheme="majorHAnsi" w:cstheme="majorBidi"/>
        </w:rPr>
      </w:pPr>
      <w:r w:rsidRPr="00E87E5E">
        <w:rPr>
          <w:rFonts w:asciiTheme="majorHAnsi" w:eastAsiaTheme="majorEastAsia" w:hAnsiTheme="majorHAnsi" w:cstheme="majorBidi"/>
        </w:rPr>
        <w:t>S</w:t>
      </w:r>
      <w:r w:rsidR="00E36212" w:rsidRPr="00E87E5E">
        <w:rPr>
          <w:rFonts w:asciiTheme="majorHAnsi" w:eastAsiaTheme="majorEastAsia" w:hAnsiTheme="majorHAnsi" w:cstheme="majorBidi"/>
        </w:rPr>
        <w:t>ome s</w:t>
      </w:r>
      <w:r w:rsidRPr="00E87E5E">
        <w:rPr>
          <w:rFonts w:asciiTheme="majorHAnsi" w:eastAsiaTheme="majorEastAsia" w:hAnsiTheme="majorHAnsi" w:cstheme="majorBidi"/>
        </w:rPr>
        <w:t xml:space="preserve">ubmissions favoured the </w:t>
      </w:r>
      <w:r w:rsidR="00E36212" w:rsidRPr="00E87E5E">
        <w:rPr>
          <w:rFonts w:asciiTheme="majorHAnsi" w:eastAsiaTheme="majorEastAsia" w:hAnsiTheme="majorHAnsi" w:cstheme="majorBidi"/>
        </w:rPr>
        <w:t>prioritisatio</w:t>
      </w:r>
      <w:r w:rsidRPr="00E87E5E">
        <w:rPr>
          <w:rFonts w:asciiTheme="majorHAnsi" w:eastAsiaTheme="majorEastAsia" w:hAnsiTheme="majorHAnsi" w:cstheme="majorBidi"/>
        </w:rPr>
        <w:t>n of</w:t>
      </w:r>
      <w:r w:rsidR="00E36212" w:rsidRPr="00E87E5E">
        <w:rPr>
          <w:rFonts w:asciiTheme="majorHAnsi" w:eastAsiaTheme="majorEastAsia" w:hAnsiTheme="majorHAnsi" w:cstheme="majorBidi"/>
        </w:rPr>
        <w:t xml:space="preserve"> data sharing for</w:t>
      </w:r>
      <w:r w:rsidRPr="00E87E5E">
        <w:rPr>
          <w:rFonts w:asciiTheme="majorHAnsi" w:eastAsiaTheme="majorEastAsia" w:hAnsiTheme="majorHAnsi" w:cstheme="majorBidi"/>
        </w:rPr>
        <w:t xml:space="preserve"> more common or standardised products </w:t>
      </w:r>
      <w:r w:rsidR="00E36212" w:rsidRPr="00E87E5E">
        <w:rPr>
          <w:rFonts w:asciiTheme="majorHAnsi" w:eastAsiaTheme="majorEastAsia" w:hAnsiTheme="majorHAnsi" w:cstheme="majorBidi"/>
        </w:rPr>
        <w:t>ahead of those products that are either more recently introduced or less commonly used.</w:t>
      </w:r>
      <w:r w:rsidR="00392374" w:rsidRPr="00E87E5E">
        <w:rPr>
          <w:rFonts w:asciiTheme="majorHAnsi" w:eastAsiaTheme="majorEastAsia" w:hAnsiTheme="majorHAnsi" w:cstheme="majorBidi"/>
        </w:rPr>
        <w:t xml:space="preserve"> </w:t>
      </w:r>
      <w:r w:rsidR="00410A07" w:rsidRPr="00E87E5E">
        <w:rPr>
          <w:rFonts w:asciiTheme="majorHAnsi" w:eastAsiaTheme="majorEastAsia" w:hAnsiTheme="majorHAnsi" w:cstheme="majorBidi"/>
        </w:rPr>
        <w:t xml:space="preserve">This approach can help introduce data for more common use cases earlier, but it could also risk prolonging implementation for data holders that might be more efficiently handled as a single project. </w:t>
      </w:r>
      <w:r w:rsidR="00392374" w:rsidRPr="00E87E5E">
        <w:rPr>
          <w:rFonts w:asciiTheme="majorHAnsi" w:eastAsiaTheme="majorEastAsia" w:hAnsiTheme="majorHAnsi" w:cstheme="majorBidi"/>
        </w:rPr>
        <w:t>AFIA went further to recommend:</w:t>
      </w:r>
    </w:p>
    <w:p w14:paraId="20E3D67D" w14:textId="6077D251" w:rsidR="00392374" w:rsidRDefault="00392374" w:rsidP="00855F09">
      <w:pPr>
        <w:spacing w:after="160"/>
        <w:ind w:left="340"/>
        <w:rPr>
          <w:rFonts w:asciiTheme="majorHAnsi" w:eastAsiaTheme="majorEastAsia" w:hAnsiTheme="majorHAnsi" w:cstheme="majorBidi"/>
          <w:color w:val="00818F"/>
        </w:rPr>
      </w:pPr>
      <w:r w:rsidRPr="00E87E5E">
        <w:rPr>
          <w:rFonts w:asciiTheme="majorHAnsi" w:eastAsiaTheme="majorEastAsia" w:hAnsiTheme="majorHAnsi" w:cstheme="majorBidi"/>
        </w:rPr>
        <w:t xml:space="preserve">A </w:t>
      </w:r>
      <w:r w:rsidRPr="00855F09">
        <w:t>phased</w:t>
      </w:r>
      <w:r w:rsidRPr="00E87E5E">
        <w:rPr>
          <w:rFonts w:asciiTheme="majorHAnsi" w:eastAsiaTheme="majorEastAsia" w:hAnsiTheme="majorHAnsi" w:cstheme="majorBidi"/>
        </w:rPr>
        <w:t xml:space="preserve"> designation of data sets within product classes would also reduce regulatory burden, by allowing firms a measured pace to develop the institutional knowledge and systems required. We suggest that product data be designated in the first instance</w:t>
      </w:r>
      <w:r w:rsidR="00410A07" w:rsidRPr="00E87E5E">
        <w:rPr>
          <w:rFonts w:asciiTheme="majorHAnsi" w:eastAsiaTheme="majorEastAsia" w:hAnsiTheme="majorHAnsi" w:cstheme="majorBidi"/>
        </w:rPr>
        <w:t xml:space="preserve">, followed by consumer data and then transaction data as has been the case for </w:t>
      </w:r>
      <w:r w:rsidR="00E86D09">
        <w:rPr>
          <w:rFonts w:asciiTheme="majorHAnsi" w:eastAsiaTheme="majorEastAsia" w:hAnsiTheme="majorHAnsi" w:cstheme="majorBidi"/>
        </w:rPr>
        <w:t>O</w:t>
      </w:r>
      <w:r w:rsidR="00410A07" w:rsidRPr="00E87E5E">
        <w:rPr>
          <w:rFonts w:asciiTheme="majorHAnsi" w:eastAsiaTheme="majorEastAsia" w:hAnsiTheme="majorHAnsi" w:cstheme="majorBidi"/>
        </w:rPr>
        <w:t xml:space="preserve">pen </w:t>
      </w:r>
      <w:r w:rsidR="00E86D09">
        <w:rPr>
          <w:rFonts w:asciiTheme="majorHAnsi" w:eastAsiaTheme="majorEastAsia" w:hAnsiTheme="majorHAnsi" w:cstheme="majorBidi"/>
        </w:rPr>
        <w:t>B</w:t>
      </w:r>
      <w:r w:rsidR="00410A07" w:rsidRPr="00E87E5E">
        <w:rPr>
          <w:rFonts w:asciiTheme="majorHAnsi" w:eastAsiaTheme="majorEastAsia" w:hAnsiTheme="majorHAnsi" w:cstheme="majorBidi"/>
        </w:rPr>
        <w:t>anking.</w:t>
      </w:r>
      <w:r w:rsidR="00410A07" w:rsidRPr="00E87E5E">
        <w:rPr>
          <w:rStyle w:val="FootnoteReference"/>
          <w:rFonts w:asciiTheme="majorHAnsi" w:eastAsiaTheme="majorEastAsia" w:hAnsiTheme="majorHAnsi" w:cstheme="majorBidi"/>
        </w:rPr>
        <w:footnoteReference w:id="86"/>
      </w:r>
    </w:p>
    <w:p w14:paraId="76F2ECB8" w14:textId="77B39262" w:rsidR="001367F3" w:rsidRPr="00E87E5E" w:rsidRDefault="001367F3" w:rsidP="008B065D">
      <w:pPr>
        <w:rPr>
          <w:rFonts w:asciiTheme="majorHAnsi" w:eastAsiaTheme="majorEastAsia" w:hAnsiTheme="majorHAnsi" w:cstheme="majorBidi"/>
        </w:rPr>
      </w:pPr>
      <w:r w:rsidRPr="00E87E5E">
        <w:rPr>
          <w:rFonts w:asciiTheme="majorHAnsi" w:eastAsiaTheme="majorEastAsia" w:hAnsiTheme="majorHAnsi" w:cstheme="majorBidi"/>
        </w:rPr>
        <w:t>The introduction of product data could be expedited due to the reduced security requirements involved. Phasing of consumer data sharing may no longer be necessary given that most datasets have already been established and standardised in Open Banking.</w:t>
      </w:r>
    </w:p>
    <w:p w14:paraId="4C503430" w14:textId="11ABB06A" w:rsidR="008B065D" w:rsidRPr="008B065D" w:rsidRDefault="008B065D" w:rsidP="00BB0856">
      <w:pPr>
        <w:pStyle w:val="Heading4"/>
      </w:pPr>
      <w:r>
        <w:t xml:space="preserve">Phasing by </w:t>
      </w:r>
      <w:r w:rsidR="00C1312A">
        <w:t xml:space="preserve">entity </w:t>
      </w:r>
      <w:r>
        <w:t>size</w:t>
      </w:r>
    </w:p>
    <w:p w14:paraId="5C302CA0" w14:textId="0898088C" w:rsidR="007E581E" w:rsidRDefault="001367F3" w:rsidP="007E581E">
      <w:r>
        <w:t xml:space="preserve">Introducing data holder obligations for larger entities earlier would most likely capture the largest customer cohorts </w:t>
      </w:r>
      <w:r w:rsidR="007E581E">
        <w:t>earlier. It could also have</w:t>
      </w:r>
      <w:r w:rsidR="00E87E5E">
        <w:t xml:space="preserve"> adverse</w:t>
      </w:r>
      <w:r w:rsidR="007E581E">
        <w:t xml:space="preserve"> competition effects if data relating to smaller entities was not available for comparison until later</w:t>
      </w:r>
      <w:r w:rsidR="00855F09">
        <w:t>.</w:t>
      </w:r>
      <w:r w:rsidR="007E581E">
        <w:t xml:space="preserve"> </w:t>
      </w:r>
      <w:r w:rsidR="00855F09">
        <w:t>H</w:t>
      </w:r>
      <w:r w:rsidR="007E581E">
        <w:t>owever</w:t>
      </w:r>
      <w:r w:rsidR="00855F09">
        <w:t>,</w:t>
      </w:r>
      <w:r w:rsidR="007E581E">
        <w:t xml:space="preserve"> this effect may be reduced if product data sharing obligations were imposed for all designated entities at the same time</w:t>
      </w:r>
      <w:r w:rsidR="00855F09">
        <w:t>, allowing consumers to compare products across all providers</w:t>
      </w:r>
      <w:r w:rsidR="007E581E">
        <w:t xml:space="preserve">. </w:t>
      </w:r>
    </w:p>
    <w:p w14:paraId="4B8CA1B9" w14:textId="7F8CD632" w:rsidR="00855F09" w:rsidRDefault="007E2191" w:rsidP="007E581E">
      <w:r>
        <w:t>It is important to note that t</w:t>
      </w:r>
      <w:r w:rsidR="00855F09">
        <w:t xml:space="preserve">he banking sector did not have a </w:t>
      </w:r>
      <w:r w:rsidR="00855F09" w:rsidRPr="007E2191">
        <w:rPr>
          <w:i/>
          <w:iCs/>
        </w:rPr>
        <w:t>de minimis</w:t>
      </w:r>
      <w:r w:rsidR="00855F09">
        <w:t xml:space="preserve"> threshold</w:t>
      </w:r>
      <w:r>
        <w:t xml:space="preserve">, as is recommended for the non-banking sector, which meant the whole industry was subject to mandatory obligations. As such, phasing based on entity size may be less appropriate when a </w:t>
      </w:r>
      <w:r w:rsidRPr="007E2191">
        <w:rPr>
          <w:i/>
          <w:iCs/>
        </w:rPr>
        <w:t>de minimis</w:t>
      </w:r>
      <w:r>
        <w:t xml:space="preserve"> is operational. </w:t>
      </w:r>
    </w:p>
    <w:p w14:paraId="1D949C05" w14:textId="77777777" w:rsidR="007522CD" w:rsidRDefault="007522CD" w:rsidP="0076061A">
      <w:pPr>
        <w:pStyle w:val="Heading1"/>
        <w:spacing w:after="240"/>
        <w:rPr>
          <w:sz w:val="36"/>
          <w:szCs w:val="26"/>
        </w:rPr>
        <w:sectPr w:rsidR="007522CD" w:rsidSect="00224419">
          <w:footerReference w:type="first" r:id="rId23"/>
          <w:pgSz w:w="11906" w:h="16838"/>
          <w:pgMar w:top="1276" w:right="1440" w:bottom="1440" w:left="1440" w:header="708" w:footer="708" w:gutter="0"/>
          <w:pgNumType w:start="2"/>
          <w:cols w:space="708"/>
          <w:titlePg/>
          <w:docGrid w:linePitch="360"/>
        </w:sectPr>
      </w:pPr>
      <w:bookmarkStart w:id="53" w:name="_Toc101261420"/>
    </w:p>
    <w:p w14:paraId="0B491E42" w14:textId="7B1FAF6A" w:rsidR="0076061A" w:rsidRPr="002E2CBB" w:rsidRDefault="0076061A" w:rsidP="0076061A">
      <w:pPr>
        <w:pStyle w:val="Heading1"/>
        <w:spacing w:after="240"/>
        <w:rPr>
          <w:sz w:val="36"/>
          <w:szCs w:val="26"/>
        </w:rPr>
      </w:pPr>
      <w:bookmarkStart w:id="54" w:name="_Toc108794123"/>
      <w:r w:rsidRPr="002E2CBB">
        <w:rPr>
          <w:sz w:val="36"/>
          <w:szCs w:val="26"/>
        </w:rPr>
        <w:lastRenderedPageBreak/>
        <w:t>Glossary</w:t>
      </w:r>
      <w:bookmarkEnd w:id="53"/>
      <w:bookmarkEnd w:id="54"/>
      <w:r w:rsidR="007522CD">
        <w:rPr>
          <w:sz w:val="36"/>
          <w:szCs w:val="26"/>
        </w:rPr>
        <w:t xml:space="preserve"> </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1361"/>
        <w:gridCol w:w="7428"/>
      </w:tblGrid>
      <w:tr w:rsidR="00C72C6E" w14:paraId="21E1E5E7" w14:textId="77777777" w:rsidTr="007E55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C2E976" w14:textId="62F6809A" w:rsidR="00C72C6E" w:rsidRDefault="00C72C6E" w:rsidP="00093E8C">
            <w:pPr>
              <w:pStyle w:val="Listalphabet3"/>
              <w:numPr>
                <w:ilvl w:val="0"/>
                <w:numId w:val="0"/>
              </w:numPr>
              <w:rPr>
                <w:highlight w:val="yellow"/>
              </w:rPr>
            </w:pPr>
            <w:r>
              <w:t>ACCC</w:t>
            </w:r>
          </w:p>
        </w:tc>
        <w:tc>
          <w:tcPr>
            <w:tcW w:w="74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833053" w14:textId="58EF81A6" w:rsidR="00C72C6E" w:rsidRPr="00FD59B4" w:rsidRDefault="00C72C6E" w:rsidP="00C72C6E">
            <w:pPr>
              <w:pStyle w:val="Listalphabet3"/>
              <w:numPr>
                <w:ilvl w:val="0"/>
                <w:numId w:val="0"/>
              </w:numPr>
              <w:cnfStyle w:val="100000000000" w:firstRow="1" w:lastRow="0" w:firstColumn="0" w:lastColumn="0" w:oddVBand="0" w:evenVBand="0" w:oddHBand="0" w:evenHBand="0" w:firstRowFirstColumn="0" w:firstRowLastColumn="0" w:lastRowFirstColumn="0" w:lastRowLastColumn="0"/>
              <w:rPr>
                <w:b w:val="0"/>
                <w:highlight w:val="yellow"/>
              </w:rPr>
            </w:pPr>
            <w:r w:rsidRPr="00FD59B4">
              <w:rPr>
                <w:b w:val="0"/>
              </w:rPr>
              <w:t>Australian Competition and Consumer Commission</w:t>
            </w:r>
          </w:p>
        </w:tc>
      </w:tr>
      <w:tr w:rsidR="00C72C6E" w14:paraId="70D8AF77"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59ABA77F" w14:textId="37FC8BCB" w:rsidR="00C72C6E" w:rsidRDefault="00C72C6E" w:rsidP="00093E8C">
            <w:pPr>
              <w:pStyle w:val="Listalphabet3"/>
              <w:numPr>
                <w:ilvl w:val="0"/>
                <w:numId w:val="0"/>
              </w:numPr>
              <w:rPr>
                <w:highlight w:val="yellow"/>
              </w:rPr>
            </w:pPr>
            <w:r>
              <w:t>Act</w:t>
            </w:r>
          </w:p>
        </w:tc>
        <w:tc>
          <w:tcPr>
            <w:tcW w:w="7428" w:type="dxa"/>
          </w:tcPr>
          <w:p w14:paraId="2945ABB3" w14:textId="271D0FB3" w:rsidR="00C72C6E" w:rsidRDefault="00C72C6E" w:rsidP="00C72C6E">
            <w:pPr>
              <w:pStyle w:val="Listalphabet3"/>
              <w:numPr>
                <w:ilvl w:val="0"/>
                <w:numId w:val="0"/>
              </w:numPr>
              <w:spacing w:before="240"/>
              <w:cnfStyle w:val="000000000000" w:firstRow="0" w:lastRow="0" w:firstColumn="0" w:lastColumn="0" w:oddVBand="0" w:evenVBand="0" w:oddHBand="0" w:evenHBand="0" w:firstRowFirstColumn="0" w:firstRowLastColumn="0" w:lastRowFirstColumn="0" w:lastRowLastColumn="0"/>
              <w:rPr>
                <w:highlight w:val="yellow"/>
              </w:rPr>
            </w:pPr>
            <w:r>
              <w:t>Competition and Consumer Act 2010 (Cth)</w:t>
            </w:r>
          </w:p>
        </w:tc>
      </w:tr>
      <w:tr w:rsidR="00C72C6E" w14:paraId="77B0C9F5"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43D06656" w14:textId="265AF687" w:rsidR="00C72C6E" w:rsidRDefault="00C72C6E" w:rsidP="00093E8C">
            <w:pPr>
              <w:pStyle w:val="Listalphabet3"/>
              <w:numPr>
                <w:ilvl w:val="0"/>
                <w:numId w:val="0"/>
              </w:numPr>
              <w:rPr>
                <w:highlight w:val="yellow"/>
              </w:rPr>
            </w:pPr>
            <w:r>
              <w:t>ADI</w:t>
            </w:r>
          </w:p>
        </w:tc>
        <w:tc>
          <w:tcPr>
            <w:tcW w:w="7428" w:type="dxa"/>
          </w:tcPr>
          <w:p w14:paraId="2CF2BFB2" w14:textId="6CCA2434" w:rsidR="00C72C6E" w:rsidRDefault="00240234" w:rsidP="00093E8C">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t>Authorised deposit-taking institution, commonly referred to as a bank</w:t>
            </w:r>
          </w:p>
        </w:tc>
      </w:tr>
      <w:tr w:rsidR="00C72C6E" w14:paraId="77E48D9F"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5440A1FB" w14:textId="73B3C765" w:rsidR="00C72C6E" w:rsidRDefault="00C72C6E" w:rsidP="00093E8C">
            <w:pPr>
              <w:pStyle w:val="Listalphabet3"/>
              <w:numPr>
                <w:ilvl w:val="0"/>
                <w:numId w:val="0"/>
              </w:numPr>
              <w:rPr>
                <w:highlight w:val="yellow"/>
              </w:rPr>
            </w:pPr>
            <w:r>
              <w:t>ADR</w:t>
            </w:r>
          </w:p>
        </w:tc>
        <w:tc>
          <w:tcPr>
            <w:tcW w:w="7428" w:type="dxa"/>
          </w:tcPr>
          <w:p w14:paraId="4E92FC44" w14:textId="6A058076" w:rsidR="00C72C6E" w:rsidRDefault="00240234" w:rsidP="00093E8C">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t>An accredited data recipient is a person accredited by the ACCC to receive CDR data with a consumer’s consent</w:t>
            </w:r>
          </w:p>
        </w:tc>
      </w:tr>
      <w:tr w:rsidR="00C72C6E" w14:paraId="535B5C0E"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161A1390" w14:textId="1611BE05" w:rsidR="00C72C6E" w:rsidRDefault="00240234" w:rsidP="00093E8C">
            <w:pPr>
              <w:pStyle w:val="Listalphabet3"/>
              <w:numPr>
                <w:ilvl w:val="0"/>
                <w:numId w:val="0"/>
              </w:numPr>
              <w:rPr>
                <w:highlight w:val="yellow"/>
              </w:rPr>
            </w:pPr>
            <w:r>
              <w:t>API</w:t>
            </w:r>
          </w:p>
        </w:tc>
        <w:tc>
          <w:tcPr>
            <w:tcW w:w="7428" w:type="dxa"/>
          </w:tcPr>
          <w:p w14:paraId="016D261A" w14:textId="142E1390" w:rsidR="00C72C6E" w:rsidRDefault="00240234" w:rsidP="00093E8C">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t>An application programming interface is software designed to help other software interact with an underlying system</w:t>
            </w:r>
          </w:p>
        </w:tc>
      </w:tr>
      <w:tr w:rsidR="00C72C6E" w14:paraId="6760FD18"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72E77028" w14:textId="5DEF865A" w:rsidR="00C72C6E" w:rsidRDefault="00240234" w:rsidP="00093E8C">
            <w:pPr>
              <w:pStyle w:val="Listalphabet3"/>
              <w:numPr>
                <w:ilvl w:val="0"/>
                <w:numId w:val="0"/>
              </w:numPr>
              <w:rPr>
                <w:highlight w:val="yellow"/>
              </w:rPr>
            </w:pPr>
            <w:r>
              <w:t>ASIC</w:t>
            </w:r>
          </w:p>
        </w:tc>
        <w:tc>
          <w:tcPr>
            <w:tcW w:w="7428" w:type="dxa"/>
          </w:tcPr>
          <w:p w14:paraId="33C6A97D" w14:textId="4510E597" w:rsidR="00C72C6E" w:rsidRDefault="00240234" w:rsidP="00093E8C">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t>Australian Securities and Investments Commission</w:t>
            </w:r>
          </w:p>
        </w:tc>
      </w:tr>
      <w:tr w:rsidR="00B207FD" w14:paraId="0D54F612"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2740C026" w14:textId="0CEDF8AE" w:rsidR="00B207FD" w:rsidRDefault="00B207FD" w:rsidP="00093E8C">
            <w:pPr>
              <w:pStyle w:val="Listalphabet3"/>
              <w:numPr>
                <w:ilvl w:val="0"/>
                <w:numId w:val="0"/>
              </w:numPr>
            </w:pPr>
            <w:r>
              <w:t>BNPL</w:t>
            </w:r>
          </w:p>
        </w:tc>
        <w:tc>
          <w:tcPr>
            <w:tcW w:w="7428" w:type="dxa"/>
          </w:tcPr>
          <w:p w14:paraId="7A183277" w14:textId="08FD8618" w:rsidR="00B207FD" w:rsidRDefault="0050014C" w:rsidP="00093E8C">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 xml:space="preserve">Buy now, pay later </w:t>
            </w:r>
            <w:r w:rsidR="00611940">
              <w:t>enables consumers t</w:t>
            </w:r>
            <w:r w:rsidR="00780A89">
              <w:t>o</w:t>
            </w:r>
            <w:r w:rsidR="00611940">
              <w:t xml:space="preserve"> delay payment</w:t>
            </w:r>
            <w:r w:rsidR="00780A89">
              <w:t xml:space="preserve"> when making purchases</w:t>
            </w:r>
          </w:p>
        </w:tc>
      </w:tr>
      <w:tr w:rsidR="0058183A" w14:paraId="1EFD6C5F"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55FAB4AD" w14:textId="55AE7219" w:rsidR="0058183A" w:rsidRDefault="0058183A" w:rsidP="0058183A">
            <w:pPr>
              <w:pStyle w:val="Listalphabet3"/>
              <w:numPr>
                <w:ilvl w:val="0"/>
                <w:numId w:val="0"/>
              </w:numPr>
            </w:pPr>
            <w:r>
              <w:t>CCR</w:t>
            </w:r>
          </w:p>
        </w:tc>
        <w:tc>
          <w:tcPr>
            <w:tcW w:w="7428" w:type="dxa"/>
          </w:tcPr>
          <w:p w14:paraId="0DF22EE3" w14:textId="6025CEC6"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rsidRPr="00B00844">
              <w:rPr>
                <w:rFonts w:eastAsia="Times New Roman" w:cs="Arial"/>
                <w:szCs w:val="20"/>
                <w:lang w:eastAsia="en-AU"/>
              </w:rPr>
              <w:t xml:space="preserve">The Comprehensive Credit Reporting Regime </w:t>
            </w:r>
          </w:p>
        </w:tc>
      </w:tr>
      <w:tr w:rsidR="0058183A" w14:paraId="5EA8068E"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0EDA7603" w14:textId="5A9DC438" w:rsidR="0058183A" w:rsidRDefault="0058183A" w:rsidP="0058183A">
            <w:pPr>
              <w:pStyle w:val="Listalphabet3"/>
              <w:numPr>
                <w:ilvl w:val="0"/>
                <w:numId w:val="0"/>
              </w:numPr>
              <w:rPr>
                <w:highlight w:val="yellow"/>
              </w:rPr>
            </w:pPr>
            <w:r>
              <w:t>CDR</w:t>
            </w:r>
          </w:p>
        </w:tc>
        <w:tc>
          <w:tcPr>
            <w:tcW w:w="7428" w:type="dxa"/>
          </w:tcPr>
          <w:p w14:paraId="6DEE00F7" w14:textId="13A46581"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t>The Consumer Data Right is a right for Australian consumers – individuals and businesses – to access data held about them, and the framework that facilitates such access</w:t>
            </w:r>
          </w:p>
        </w:tc>
      </w:tr>
      <w:tr w:rsidR="0058183A" w14:paraId="20157B9B"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64605129" w14:textId="24E24649" w:rsidR="0058183A" w:rsidRDefault="0058183A" w:rsidP="0058183A">
            <w:pPr>
              <w:pStyle w:val="Listalphabet3"/>
              <w:numPr>
                <w:ilvl w:val="0"/>
                <w:numId w:val="0"/>
              </w:numPr>
            </w:pPr>
            <w:r>
              <w:t>CDR consumer</w:t>
            </w:r>
          </w:p>
        </w:tc>
        <w:tc>
          <w:tcPr>
            <w:tcW w:w="7428" w:type="dxa"/>
          </w:tcPr>
          <w:p w14:paraId="5E167F10" w14:textId="0E4D83D9"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The term ‘CDR consumer’ is defined at section 56AI(3) of the Act and includes natural persons and businesses. An eligible CDR consumer can give consent to an accredited person to collect their CDR data from a data holder</w:t>
            </w:r>
          </w:p>
        </w:tc>
      </w:tr>
      <w:tr w:rsidR="0058183A" w14:paraId="56D93D08"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6563C659" w14:textId="4555DF01" w:rsidR="0058183A" w:rsidRDefault="0058183A" w:rsidP="0058183A">
            <w:pPr>
              <w:pStyle w:val="Listalphabet3"/>
              <w:numPr>
                <w:ilvl w:val="0"/>
                <w:numId w:val="0"/>
              </w:numPr>
            </w:pPr>
            <w:r>
              <w:t>CDR rules (rules)</w:t>
            </w:r>
          </w:p>
        </w:tc>
        <w:tc>
          <w:tcPr>
            <w:tcW w:w="7428" w:type="dxa"/>
          </w:tcPr>
          <w:p w14:paraId="3FBD28F6" w14:textId="20973352"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Competition and Consumer (Consumer Data Right) Rules 2020</w:t>
            </w:r>
          </w:p>
        </w:tc>
      </w:tr>
      <w:tr w:rsidR="0058183A" w14:paraId="2DA20D21"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190582FC" w14:textId="35CC87F6" w:rsidR="0058183A" w:rsidRDefault="0058183A" w:rsidP="0058183A">
            <w:pPr>
              <w:pStyle w:val="Listalphabet3"/>
              <w:numPr>
                <w:ilvl w:val="0"/>
                <w:numId w:val="0"/>
              </w:numPr>
            </w:pPr>
            <w:r>
              <w:t>Consent</w:t>
            </w:r>
          </w:p>
        </w:tc>
        <w:tc>
          <w:tcPr>
            <w:tcW w:w="7428" w:type="dxa"/>
          </w:tcPr>
          <w:p w14:paraId="037EAC3B" w14:textId="7D5E9648"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Communication to an accredited person of the datasets and actions that the consumer is allowing them to access or perform, and the purposes for which the consumer agrees to their data being used and actions being initiated on their behalf</w:t>
            </w:r>
          </w:p>
        </w:tc>
      </w:tr>
      <w:tr w:rsidR="0058183A" w14:paraId="2570DB62"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692E9149" w14:textId="4F108D47" w:rsidR="0058183A" w:rsidRDefault="0058183A" w:rsidP="0058183A">
            <w:pPr>
              <w:pStyle w:val="Listalphabet3"/>
              <w:numPr>
                <w:ilvl w:val="0"/>
                <w:numId w:val="0"/>
              </w:numPr>
            </w:pPr>
            <w:r>
              <w:t>Credit Act</w:t>
            </w:r>
          </w:p>
        </w:tc>
        <w:tc>
          <w:tcPr>
            <w:tcW w:w="7428" w:type="dxa"/>
          </w:tcPr>
          <w:p w14:paraId="3A889960" w14:textId="6FB40767"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National Consumer Credit Protection Act 2009 (Cth)</w:t>
            </w:r>
          </w:p>
        </w:tc>
      </w:tr>
      <w:tr w:rsidR="0058183A" w14:paraId="5008378E"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7E9ACFD6" w14:textId="06E88B4B" w:rsidR="0058183A" w:rsidRDefault="0058183A" w:rsidP="0058183A">
            <w:pPr>
              <w:pStyle w:val="Listalphabet3"/>
              <w:numPr>
                <w:ilvl w:val="0"/>
                <w:numId w:val="0"/>
              </w:numPr>
            </w:pPr>
            <w:r>
              <w:t>Data holder</w:t>
            </w:r>
          </w:p>
        </w:tc>
        <w:tc>
          <w:tcPr>
            <w:tcW w:w="7428" w:type="dxa"/>
          </w:tcPr>
          <w:p w14:paraId="14244F70" w14:textId="0CA87126"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A party that holds and must share data upon a consumer’s request</w:t>
            </w:r>
          </w:p>
        </w:tc>
      </w:tr>
      <w:tr w:rsidR="0058183A" w14:paraId="5BE751CA"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520D3F7D" w14:textId="3310647D" w:rsidR="0058183A" w:rsidRDefault="0058183A" w:rsidP="0058183A">
            <w:pPr>
              <w:pStyle w:val="Listalphabet3"/>
              <w:numPr>
                <w:ilvl w:val="0"/>
                <w:numId w:val="0"/>
              </w:numPr>
            </w:pPr>
            <w:r>
              <w:t>Data / Datasets</w:t>
            </w:r>
          </w:p>
        </w:tc>
        <w:tc>
          <w:tcPr>
            <w:tcW w:w="7428" w:type="dxa"/>
          </w:tcPr>
          <w:p w14:paraId="61498104" w14:textId="77EB0495"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Data is information translated into a form for efficient storage, transport or processing, and is increasingly synonymous with digital information. It includes product data (data related to the product/service advertised for example: descriptions, prices, terms, and conditions) and consumer data (data related to the consumer of the product/service for example: consumer contact details, or information relevant to their eligibility for a service)</w:t>
            </w:r>
          </w:p>
        </w:tc>
      </w:tr>
      <w:tr w:rsidR="0058183A" w14:paraId="336ACE84"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0B85A2AA" w14:textId="53B671D6" w:rsidR="0058183A" w:rsidRDefault="0058183A" w:rsidP="0058183A">
            <w:pPr>
              <w:pStyle w:val="Listalphabet3"/>
              <w:numPr>
                <w:ilvl w:val="0"/>
                <w:numId w:val="0"/>
              </w:numPr>
            </w:pPr>
            <w:r>
              <w:t>Data sharing</w:t>
            </w:r>
          </w:p>
        </w:tc>
        <w:tc>
          <w:tcPr>
            <w:tcW w:w="7428" w:type="dxa"/>
          </w:tcPr>
          <w:p w14:paraId="20BDFB9F" w14:textId="0A3D5B1E"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The transfer of product and consumer data, usually referring to sharing under the CDR framework with consent</w:t>
            </w:r>
          </w:p>
        </w:tc>
      </w:tr>
      <w:tr w:rsidR="0058183A" w14:paraId="3914BB5E"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5F19F6B2" w14:textId="6351E47C" w:rsidR="0058183A" w:rsidRDefault="0058183A" w:rsidP="0058183A">
            <w:pPr>
              <w:pStyle w:val="Listalphabet3"/>
              <w:numPr>
                <w:ilvl w:val="0"/>
                <w:numId w:val="0"/>
              </w:numPr>
            </w:pPr>
            <w:r>
              <w:t>Designation</w:t>
            </w:r>
          </w:p>
        </w:tc>
        <w:tc>
          <w:tcPr>
            <w:tcW w:w="7428" w:type="dxa"/>
          </w:tcPr>
          <w:p w14:paraId="0219F691" w14:textId="69AFDE85"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Designation refers to the inclusion of a dataset or data holder in a designation instrument, as defined below</w:t>
            </w:r>
          </w:p>
        </w:tc>
      </w:tr>
      <w:tr w:rsidR="0058183A" w14:paraId="59877CBA"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0F370885" w14:textId="7ED1ED15" w:rsidR="0058183A" w:rsidRDefault="0058183A" w:rsidP="0058183A">
            <w:pPr>
              <w:pStyle w:val="Listalphabet3"/>
              <w:numPr>
                <w:ilvl w:val="0"/>
                <w:numId w:val="0"/>
              </w:numPr>
            </w:pPr>
            <w:r>
              <w:t>Designation instrument</w:t>
            </w:r>
          </w:p>
        </w:tc>
        <w:tc>
          <w:tcPr>
            <w:tcW w:w="7428" w:type="dxa"/>
          </w:tcPr>
          <w:p w14:paraId="4D4E8D17" w14:textId="1914F988"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A legislative instrument made by the Minister under section 56AC of the Competition and Consumer Act 2010 (Cth)</w:t>
            </w:r>
          </w:p>
        </w:tc>
      </w:tr>
      <w:tr w:rsidR="004B090D" w14:paraId="2BD11CB3"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3247DC4A" w14:textId="5A097BFA" w:rsidR="004B090D" w:rsidRPr="00F07CFD" w:rsidRDefault="004B090D" w:rsidP="0058183A">
            <w:pPr>
              <w:pStyle w:val="Listalphabet3"/>
              <w:numPr>
                <w:ilvl w:val="0"/>
                <w:numId w:val="0"/>
              </w:numPr>
              <w:rPr>
                <w:i/>
                <w:iCs/>
              </w:rPr>
            </w:pPr>
            <w:r w:rsidRPr="00F07CFD">
              <w:rPr>
                <w:i/>
                <w:iCs/>
              </w:rPr>
              <w:t xml:space="preserve">De minimis </w:t>
            </w:r>
          </w:p>
        </w:tc>
        <w:tc>
          <w:tcPr>
            <w:tcW w:w="7428" w:type="dxa"/>
          </w:tcPr>
          <w:p w14:paraId="09DAD95B" w14:textId="43BA35F9" w:rsidR="004B090D" w:rsidRDefault="00BB0856"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A</w:t>
            </w:r>
            <w:r w:rsidR="001876C2">
              <w:t xml:space="preserve"> threshold below which mandatory data sharing obligations do not apply</w:t>
            </w:r>
          </w:p>
        </w:tc>
      </w:tr>
      <w:tr w:rsidR="0058183A" w14:paraId="6871BEC4"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67557066" w14:textId="0C43D328" w:rsidR="0058183A" w:rsidRDefault="0058183A" w:rsidP="0058183A">
            <w:pPr>
              <w:pStyle w:val="Listalphabet3"/>
              <w:numPr>
                <w:ilvl w:val="0"/>
                <w:numId w:val="0"/>
              </w:numPr>
            </w:pPr>
            <w:r>
              <w:t>Materially enhanced</w:t>
            </w:r>
          </w:p>
        </w:tc>
        <w:tc>
          <w:tcPr>
            <w:tcW w:w="7428" w:type="dxa"/>
          </w:tcPr>
          <w:p w14:paraId="53C5DB0F" w14:textId="409FDA09"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The concept of materially enhanced information refers to data that is the result of the application of insight, analysis or transformation to significantly enhance its usability and value in comparison to its source material</w:t>
            </w:r>
          </w:p>
        </w:tc>
      </w:tr>
      <w:tr w:rsidR="0058183A" w14:paraId="1EF72DA5"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59332B11" w14:textId="702DCE78" w:rsidR="0058183A" w:rsidRDefault="0058183A" w:rsidP="0058183A">
            <w:pPr>
              <w:pStyle w:val="Listalphabet3"/>
              <w:numPr>
                <w:ilvl w:val="0"/>
                <w:numId w:val="0"/>
              </w:numPr>
            </w:pPr>
            <w:r>
              <w:lastRenderedPageBreak/>
              <w:t>OAIC</w:t>
            </w:r>
          </w:p>
        </w:tc>
        <w:tc>
          <w:tcPr>
            <w:tcW w:w="7428" w:type="dxa"/>
          </w:tcPr>
          <w:p w14:paraId="1B080D69" w14:textId="00C68534"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Office of the Australian Information Commissioner</w:t>
            </w:r>
          </w:p>
        </w:tc>
      </w:tr>
      <w:tr w:rsidR="0058183A" w14:paraId="6B470D64"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5461E614" w14:textId="1DD27C3A" w:rsidR="0058183A" w:rsidRDefault="0058183A" w:rsidP="0058183A">
            <w:pPr>
              <w:pStyle w:val="Listalphabet3"/>
              <w:numPr>
                <w:ilvl w:val="0"/>
                <w:numId w:val="0"/>
              </w:numPr>
            </w:pPr>
            <w:r>
              <w:t>Open Banking</w:t>
            </w:r>
          </w:p>
        </w:tc>
        <w:tc>
          <w:tcPr>
            <w:tcW w:w="7428" w:type="dxa"/>
          </w:tcPr>
          <w:p w14:paraId="4AC46442" w14:textId="33E69281"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As the first designated sector, Open Banking was launched in July 2020 and gives consumers the ability to share banking data with third parties that have been accredited by the ACCC through APIs</w:t>
            </w:r>
          </w:p>
        </w:tc>
      </w:tr>
      <w:tr w:rsidR="0058183A" w14:paraId="40794A89"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0FDE8836" w14:textId="10093591" w:rsidR="0058183A" w:rsidRDefault="0058183A" w:rsidP="0058183A">
            <w:pPr>
              <w:pStyle w:val="Listalphabet3"/>
              <w:numPr>
                <w:ilvl w:val="0"/>
                <w:numId w:val="0"/>
              </w:numPr>
            </w:pPr>
            <w:r>
              <w:t>Open Finance</w:t>
            </w:r>
          </w:p>
        </w:tc>
        <w:tc>
          <w:tcPr>
            <w:tcW w:w="7428" w:type="dxa"/>
          </w:tcPr>
          <w:p w14:paraId="671C3710" w14:textId="59B56F7E" w:rsidR="0058183A" w:rsidRDefault="008F60A5"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The</w:t>
            </w:r>
            <w:r w:rsidR="00B6267D">
              <w:t xml:space="preserve"> next priority area for expansion of the CDR which encompasses</w:t>
            </w:r>
            <w:r w:rsidR="0058183A">
              <w:t xml:space="preserve"> general insurance, superannuation, merchant acquiring and non-bank lending service providers</w:t>
            </w:r>
          </w:p>
        </w:tc>
      </w:tr>
      <w:tr w:rsidR="0058183A" w14:paraId="2744AF3F" w14:textId="77777777" w:rsidTr="00BB0856">
        <w:tc>
          <w:tcPr>
            <w:cnfStyle w:val="001000000000" w:firstRow="0" w:lastRow="0" w:firstColumn="1" w:lastColumn="0" w:oddVBand="0" w:evenVBand="0" w:oddHBand="0" w:evenHBand="0" w:firstRowFirstColumn="0" w:firstRowLastColumn="0" w:lastRowFirstColumn="0" w:lastRowLastColumn="0"/>
            <w:tcW w:w="1361" w:type="dxa"/>
          </w:tcPr>
          <w:p w14:paraId="5EE4166F" w14:textId="5BC1C252" w:rsidR="0058183A" w:rsidRDefault="0058183A" w:rsidP="0058183A">
            <w:pPr>
              <w:pStyle w:val="Listalphabet3"/>
              <w:numPr>
                <w:ilvl w:val="0"/>
                <w:numId w:val="0"/>
              </w:numPr>
            </w:pPr>
            <w:r>
              <w:t>Standard/s</w:t>
            </w:r>
          </w:p>
        </w:tc>
        <w:tc>
          <w:tcPr>
            <w:tcW w:w="7428" w:type="dxa"/>
          </w:tcPr>
          <w:p w14:paraId="6F3D8C85" w14:textId="69105AA6" w:rsidR="0058183A" w:rsidRDefault="0058183A" w:rsidP="0058183A">
            <w:pPr>
              <w:pStyle w:val="Listalphabet3"/>
              <w:numPr>
                <w:ilvl w:val="0"/>
                <w:numId w:val="0"/>
              </w:numPr>
              <w:cnfStyle w:val="000000000000" w:firstRow="0" w:lastRow="0" w:firstColumn="0" w:lastColumn="0" w:oddVBand="0" w:evenVBand="0" w:oddHBand="0" w:evenHBand="0" w:firstRowFirstColumn="0" w:firstRowLastColumn="0" w:lastRowFirstColumn="0" w:lastRowLastColumn="0"/>
            </w:pPr>
            <w:r>
              <w:t>The technical data standards made by the Data Standards Chair for the purpose of the Consumer Data Right</w:t>
            </w:r>
          </w:p>
        </w:tc>
      </w:tr>
    </w:tbl>
    <w:p w14:paraId="548F9A6E" w14:textId="24245297" w:rsidR="00AC2612" w:rsidRDefault="00AC2612" w:rsidP="00093E8C">
      <w:pPr>
        <w:pStyle w:val="Listalphabet3"/>
        <w:numPr>
          <w:ilvl w:val="0"/>
          <w:numId w:val="0"/>
        </w:numPr>
        <w:rPr>
          <w:highlight w:val="yellow"/>
        </w:rPr>
      </w:pPr>
    </w:p>
    <w:p w14:paraId="20814286" w14:textId="19E1D617" w:rsidR="00AC2612" w:rsidRDefault="00AC2612" w:rsidP="00093E8C">
      <w:pPr>
        <w:pStyle w:val="Listalphabet3"/>
        <w:numPr>
          <w:ilvl w:val="0"/>
          <w:numId w:val="0"/>
        </w:numPr>
        <w:rPr>
          <w:highlight w:val="yellow"/>
        </w:rPr>
      </w:pPr>
    </w:p>
    <w:p w14:paraId="54E01B10" w14:textId="77777777" w:rsidR="00AC2612" w:rsidRDefault="00AC2612" w:rsidP="00093E8C">
      <w:pPr>
        <w:pStyle w:val="Listalphabet3"/>
        <w:numPr>
          <w:ilvl w:val="0"/>
          <w:numId w:val="0"/>
        </w:numPr>
        <w:rPr>
          <w:highlight w:val="yellow"/>
        </w:rPr>
        <w:sectPr w:rsidR="00AC2612" w:rsidSect="00C011F3">
          <w:footerReference w:type="default" r:id="rId24"/>
          <w:footerReference w:type="first" r:id="rId25"/>
          <w:pgSz w:w="11906" w:h="16838"/>
          <w:pgMar w:top="1276" w:right="1440" w:bottom="1440" w:left="1440" w:header="708" w:footer="708" w:gutter="0"/>
          <w:pgNumType w:start="29"/>
          <w:cols w:space="708"/>
          <w:titlePg/>
          <w:docGrid w:linePitch="360"/>
        </w:sectPr>
      </w:pPr>
    </w:p>
    <w:p w14:paraId="697085A1" w14:textId="4A6BB988" w:rsidR="00AC2612" w:rsidRPr="00AC2612" w:rsidRDefault="00AC2612" w:rsidP="00AC2612">
      <w:pPr>
        <w:pStyle w:val="Heading3"/>
      </w:pPr>
      <w:bookmarkStart w:id="55" w:name="_Toc108794124"/>
      <w:r w:rsidRPr="00AC2612">
        <w:lastRenderedPageBreak/>
        <w:t>Attachment A – Privacy Impact Assessment</w:t>
      </w:r>
      <w:bookmarkEnd w:id="55"/>
    </w:p>
    <w:p w14:paraId="61248F5A" w14:textId="77777777" w:rsidR="00AC2612" w:rsidRPr="00F45860" w:rsidRDefault="00AC2612" w:rsidP="00AC2612">
      <w:pPr>
        <w:pStyle w:val="Heading4"/>
      </w:pPr>
      <w:r w:rsidRPr="00F45860">
        <w:t xml:space="preserve">Context </w:t>
      </w:r>
    </w:p>
    <w:p w14:paraId="529C6076" w14:textId="77777777" w:rsidR="00AC2612" w:rsidRDefault="00AC2612" w:rsidP="00AC2612">
      <w:r>
        <w:t xml:space="preserve">The non-bank lending PIA supplements and builds upon the analysis contained in the energy, telecommunications and in particular, the banking PIAs and focusses on privacy risks specific to non-bank lenders. </w:t>
      </w:r>
    </w:p>
    <w:p w14:paraId="542D76DE" w14:textId="77777777" w:rsidR="00AC2612" w:rsidRDefault="00AC2612" w:rsidP="00AC2612">
      <w:r w:rsidRPr="00F45860">
        <w:t xml:space="preserve">Treasury released a consultation paper which sought stakeholder views on a range of factors associated with designating the non-bank lending sector, including the privacy risks associated with this sector (noting that the type of information to be shared is consistent with that already being shared through Open Banking). </w:t>
      </w:r>
      <w:r>
        <w:t xml:space="preserve">The privacy risks examined in the PIA were identified through consultation with stakeholders, as well as engagement with the OAIC and specialist privacy consultants. The PIA also examines privacy risks that were raised by stakeholders to related CDR consultations, such as the telecommunications sectoral assessment consultation, </w:t>
      </w:r>
      <w:r w:rsidRPr="00F45860">
        <w:t>where it was considered they would also be applicable to the non-bank lending sector</w:t>
      </w:r>
      <w:r>
        <w:t>. The PIA outlines the existing mitigation strategies contained in the CDR rules and standards, and comments on the adequacy of these strategies for reducing or eliminating any negative privacy impacts. The PIA makes several recommendations for Treasury to consider at the rule making stage, including that the rules examine certain privacy issues in further detail and consider the appropriateness of additional privacy protections which are specific to the non-bank lending sector.</w:t>
      </w:r>
    </w:p>
    <w:p w14:paraId="6F3600FB" w14:textId="77777777" w:rsidR="00AC2612" w:rsidRPr="00676A76" w:rsidRDefault="00AC2612" w:rsidP="00AC2612">
      <w:pPr>
        <w:pStyle w:val="Heading4"/>
      </w:pPr>
      <w:r w:rsidRPr="00676A76">
        <w:t>Analysis of risk</w:t>
      </w:r>
      <w:r>
        <w:t>s</w:t>
      </w:r>
    </w:p>
    <w:p w14:paraId="05D09154" w14:textId="77777777" w:rsidR="00AC2612" w:rsidRPr="00C206D6" w:rsidRDefault="00AC2612" w:rsidP="00AC2612">
      <w:pPr>
        <w:pStyle w:val="Heading2"/>
        <w:rPr>
          <w:sz w:val="24"/>
          <w:szCs w:val="20"/>
        </w:rPr>
      </w:pPr>
      <w:bookmarkStart w:id="56" w:name="_Toc108791872"/>
      <w:bookmarkStart w:id="57" w:name="_Toc108794125"/>
      <w:r w:rsidRPr="00C206D6">
        <w:rPr>
          <w:sz w:val="24"/>
          <w:szCs w:val="20"/>
        </w:rPr>
        <w:t>Part I: Privacy impacts associated with the proposed scope of designation</w:t>
      </w:r>
      <w:bookmarkEnd w:id="56"/>
      <w:bookmarkEnd w:id="57"/>
      <w:r w:rsidRPr="00C206D6">
        <w:rPr>
          <w:sz w:val="24"/>
          <w:szCs w:val="20"/>
        </w:rPr>
        <w:t xml:space="preserve"> </w:t>
      </w:r>
    </w:p>
    <w:tbl>
      <w:tblPr>
        <w:tblStyle w:val="TableGrid"/>
        <w:tblW w:w="1462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2067"/>
        <w:gridCol w:w="3575"/>
        <w:gridCol w:w="3969"/>
        <w:gridCol w:w="3969"/>
      </w:tblGrid>
      <w:tr w:rsidR="004166FA" w:rsidRPr="00B44950" w14:paraId="7C87EDBF" w14:textId="77777777" w:rsidTr="00AC26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1" w:type="dxa"/>
            <w:shd w:val="clear" w:color="auto" w:fill="001330" w:themeFill="accent1" w:themeFillShade="80"/>
          </w:tcPr>
          <w:p w14:paraId="2D63E59C" w14:textId="77777777" w:rsidR="00AC2612" w:rsidRPr="00B44950" w:rsidRDefault="00AC2612" w:rsidP="000F4503">
            <w:pPr>
              <w:rPr>
                <w:b w:val="0"/>
                <w:bCs/>
                <w:color w:val="FFFFFF" w:themeColor="background1"/>
                <w:szCs w:val="20"/>
              </w:rPr>
            </w:pPr>
            <w:r w:rsidRPr="00B44950">
              <w:rPr>
                <w:bCs/>
                <w:color w:val="FFFFFF" w:themeColor="background1"/>
                <w:szCs w:val="20"/>
              </w:rPr>
              <w:t>No.</w:t>
            </w:r>
          </w:p>
        </w:tc>
        <w:tc>
          <w:tcPr>
            <w:tcW w:w="2067" w:type="dxa"/>
            <w:shd w:val="clear" w:color="auto" w:fill="001330" w:themeFill="accent1" w:themeFillShade="80"/>
          </w:tcPr>
          <w:p w14:paraId="6C6C5DF2" w14:textId="77777777" w:rsidR="00AC2612" w:rsidRPr="00B44950" w:rsidRDefault="00AC2612" w:rsidP="000F4503">
            <w:pPr>
              <w:cnfStyle w:val="100000000000" w:firstRow="1" w:lastRow="0" w:firstColumn="0" w:lastColumn="0" w:oddVBand="0" w:evenVBand="0" w:oddHBand="0" w:evenHBand="0" w:firstRowFirstColumn="0" w:firstRowLastColumn="0" w:lastRowFirstColumn="0" w:lastRowLastColumn="0"/>
              <w:rPr>
                <w:b w:val="0"/>
                <w:bCs/>
                <w:color w:val="FFFFFF" w:themeColor="background1"/>
                <w:szCs w:val="20"/>
              </w:rPr>
            </w:pPr>
            <w:r>
              <w:rPr>
                <w:bCs/>
                <w:color w:val="FFFFFF" w:themeColor="background1"/>
                <w:szCs w:val="20"/>
              </w:rPr>
              <w:t>Item</w:t>
            </w:r>
          </w:p>
        </w:tc>
        <w:tc>
          <w:tcPr>
            <w:tcW w:w="3575" w:type="dxa"/>
            <w:shd w:val="clear" w:color="auto" w:fill="001330" w:themeFill="accent1" w:themeFillShade="80"/>
          </w:tcPr>
          <w:p w14:paraId="145D09AC" w14:textId="77777777" w:rsidR="00AC2612" w:rsidRPr="00B44950" w:rsidRDefault="00AC2612" w:rsidP="000F4503">
            <w:pPr>
              <w:cnfStyle w:val="100000000000" w:firstRow="1" w:lastRow="0" w:firstColumn="0" w:lastColumn="0" w:oddVBand="0" w:evenVBand="0" w:oddHBand="0" w:evenHBand="0" w:firstRowFirstColumn="0" w:firstRowLastColumn="0" w:lastRowFirstColumn="0" w:lastRowLastColumn="0"/>
              <w:rPr>
                <w:b w:val="0"/>
                <w:bCs/>
                <w:color w:val="FFFFFF" w:themeColor="background1"/>
                <w:szCs w:val="20"/>
              </w:rPr>
            </w:pPr>
            <w:r>
              <w:rPr>
                <w:bCs/>
                <w:color w:val="FFFFFF" w:themeColor="background1"/>
                <w:szCs w:val="20"/>
              </w:rPr>
              <w:t xml:space="preserve">Privacy impact </w:t>
            </w:r>
            <w:r w:rsidRPr="00B44950">
              <w:rPr>
                <w:bCs/>
                <w:color w:val="FFFFFF" w:themeColor="background1"/>
                <w:szCs w:val="20"/>
              </w:rPr>
              <w:t xml:space="preserve"> </w:t>
            </w:r>
          </w:p>
        </w:tc>
        <w:tc>
          <w:tcPr>
            <w:tcW w:w="3969" w:type="dxa"/>
            <w:shd w:val="clear" w:color="auto" w:fill="001330" w:themeFill="accent1" w:themeFillShade="80"/>
          </w:tcPr>
          <w:p w14:paraId="5048CF98" w14:textId="77777777" w:rsidR="00AC2612" w:rsidRPr="00B44950" w:rsidRDefault="00AC2612" w:rsidP="000F4503">
            <w:pPr>
              <w:cnfStyle w:val="100000000000" w:firstRow="1" w:lastRow="0" w:firstColumn="0" w:lastColumn="0" w:oddVBand="0" w:evenVBand="0" w:oddHBand="0" w:evenHBand="0" w:firstRowFirstColumn="0" w:firstRowLastColumn="0" w:lastRowFirstColumn="0" w:lastRowLastColumn="0"/>
              <w:rPr>
                <w:b w:val="0"/>
                <w:bCs/>
                <w:color w:val="FFFFFF" w:themeColor="background1"/>
                <w:szCs w:val="20"/>
              </w:rPr>
            </w:pPr>
            <w:r>
              <w:rPr>
                <w:bCs/>
                <w:color w:val="FFFFFF" w:themeColor="background1"/>
                <w:szCs w:val="20"/>
              </w:rPr>
              <w:t xml:space="preserve">Existing mitigation strategies </w:t>
            </w:r>
          </w:p>
        </w:tc>
        <w:tc>
          <w:tcPr>
            <w:tcW w:w="3969" w:type="dxa"/>
            <w:shd w:val="clear" w:color="auto" w:fill="001330" w:themeFill="accent1" w:themeFillShade="80"/>
          </w:tcPr>
          <w:p w14:paraId="1450D855" w14:textId="77777777" w:rsidR="00AC2612" w:rsidRPr="00B44950" w:rsidRDefault="00AC2612" w:rsidP="000F4503">
            <w:pPr>
              <w:cnfStyle w:val="100000000000" w:firstRow="1" w:lastRow="0" w:firstColumn="0" w:lastColumn="0" w:oddVBand="0" w:evenVBand="0" w:oddHBand="0" w:evenHBand="0" w:firstRowFirstColumn="0" w:firstRowLastColumn="0" w:lastRowFirstColumn="0" w:lastRowLastColumn="0"/>
              <w:rPr>
                <w:b w:val="0"/>
                <w:bCs/>
                <w:color w:val="FFFFFF" w:themeColor="background1"/>
                <w:szCs w:val="20"/>
              </w:rPr>
            </w:pPr>
            <w:r>
              <w:rPr>
                <w:bCs/>
                <w:color w:val="FFFFFF" w:themeColor="background1"/>
                <w:szCs w:val="20"/>
              </w:rPr>
              <w:t xml:space="preserve">Gap analysis and recommendation regarding designation with respect to privacy </w:t>
            </w:r>
            <w:r w:rsidRPr="00B44950">
              <w:rPr>
                <w:bCs/>
                <w:color w:val="FFFFFF" w:themeColor="background1"/>
                <w:szCs w:val="20"/>
              </w:rPr>
              <w:t xml:space="preserve"> </w:t>
            </w:r>
          </w:p>
        </w:tc>
      </w:tr>
      <w:tr w:rsidR="003D71A6" w:rsidRPr="00B44950" w14:paraId="19C7F39A" w14:textId="77777777" w:rsidTr="00AC2612">
        <w:tc>
          <w:tcPr>
            <w:cnfStyle w:val="001000000000" w:firstRow="0" w:lastRow="0" w:firstColumn="1" w:lastColumn="0" w:oddVBand="0" w:evenVBand="0" w:oddHBand="0" w:evenHBand="0" w:firstRowFirstColumn="0" w:firstRowLastColumn="0" w:lastRowFirstColumn="0" w:lastRowLastColumn="0"/>
            <w:tcW w:w="14621" w:type="dxa"/>
            <w:gridSpan w:val="5"/>
            <w:shd w:val="clear" w:color="auto" w:fill="F2F2F2" w:themeFill="background1" w:themeFillShade="F2"/>
          </w:tcPr>
          <w:p w14:paraId="05B8B36C" w14:textId="77777777" w:rsidR="00AC2612" w:rsidRPr="00B44950" w:rsidRDefault="00AC2612" w:rsidP="000F4503">
            <w:pPr>
              <w:rPr>
                <w:b w:val="0"/>
                <w:bCs/>
                <w:szCs w:val="20"/>
              </w:rPr>
            </w:pPr>
            <w:r>
              <w:rPr>
                <w:bCs/>
                <w:szCs w:val="20"/>
              </w:rPr>
              <w:t>Designation of information</w:t>
            </w:r>
            <w:r w:rsidRPr="00B44950">
              <w:rPr>
                <w:bCs/>
                <w:szCs w:val="20"/>
              </w:rPr>
              <w:t xml:space="preserve"> about</w:t>
            </w:r>
            <w:r>
              <w:rPr>
                <w:bCs/>
                <w:szCs w:val="20"/>
              </w:rPr>
              <w:t xml:space="preserve"> the user of the product</w:t>
            </w:r>
            <w:r w:rsidRPr="00B44950">
              <w:rPr>
                <w:bCs/>
                <w:szCs w:val="20"/>
              </w:rPr>
              <w:t xml:space="preserve"> </w:t>
            </w:r>
          </w:p>
        </w:tc>
      </w:tr>
      <w:tr w:rsidR="00432497" w:rsidRPr="00B44950" w14:paraId="093FA9B7" w14:textId="77777777" w:rsidTr="00AC2612">
        <w:tc>
          <w:tcPr>
            <w:cnfStyle w:val="001000000000" w:firstRow="0" w:lastRow="0" w:firstColumn="1" w:lastColumn="0" w:oddVBand="0" w:evenVBand="0" w:oddHBand="0" w:evenHBand="0" w:firstRowFirstColumn="0" w:firstRowLastColumn="0" w:lastRowFirstColumn="0" w:lastRowLastColumn="0"/>
            <w:tcW w:w="1041" w:type="dxa"/>
          </w:tcPr>
          <w:p w14:paraId="26D92BB8" w14:textId="77777777" w:rsidR="00AC2612" w:rsidRPr="00B44950" w:rsidRDefault="00AC2612" w:rsidP="00AC2612">
            <w:pPr>
              <w:pStyle w:val="ListParagraph"/>
              <w:numPr>
                <w:ilvl w:val="0"/>
                <w:numId w:val="48"/>
              </w:numPr>
              <w:tabs>
                <w:tab w:val="clear" w:pos="340"/>
              </w:tabs>
              <w:spacing w:before="0" w:after="0"/>
              <w:ind w:left="357" w:hanging="357"/>
              <w:contextualSpacing/>
              <w:rPr>
                <w:b w:val="0"/>
                <w:bCs/>
                <w:szCs w:val="20"/>
              </w:rPr>
            </w:pPr>
          </w:p>
        </w:tc>
        <w:tc>
          <w:tcPr>
            <w:tcW w:w="2067" w:type="dxa"/>
          </w:tcPr>
          <w:p w14:paraId="746F0456" w14:textId="77777777" w:rsidR="00AC2612" w:rsidRP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sidRPr="00AC2612">
              <w:rPr>
                <w:szCs w:val="20"/>
              </w:rPr>
              <w:t xml:space="preserve">Information about a user may encompass a broad class of data including information that identifies an individual, such as contact details, and other information that an individual </w:t>
            </w:r>
            <w:r w:rsidRPr="00AC2612">
              <w:rPr>
                <w:szCs w:val="20"/>
              </w:rPr>
              <w:lastRenderedPageBreak/>
              <w:t xml:space="preserve">has supplied to a data holder about themselves.  </w:t>
            </w:r>
          </w:p>
        </w:tc>
        <w:tc>
          <w:tcPr>
            <w:tcW w:w="3575" w:type="dxa"/>
          </w:tcPr>
          <w:p w14:paraId="620656EB" w14:textId="77777777" w:rsidR="00AC2612" w:rsidRPr="00AC2612" w:rsidRDefault="00AC2612" w:rsidP="000F4503">
            <w:pPr>
              <w:pStyle w:val="Bullet"/>
              <w:numPr>
                <w:ilvl w:val="0"/>
                <w:numId w:val="0"/>
              </w:num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0"/>
                <w:szCs w:val="20"/>
              </w:rPr>
            </w:pPr>
            <w:r w:rsidRPr="00AC2612">
              <w:rPr>
                <w:rFonts w:asciiTheme="minorHAnsi" w:eastAsiaTheme="minorHAnsi" w:hAnsiTheme="minorHAnsi" w:cstheme="minorBidi"/>
                <w:color w:val="auto"/>
                <w:sz w:val="20"/>
                <w:szCs w:val="20"/>
              </w:rPr>
              <w:lastRenderedPageBreak/>
              <w:t xml:space="preserve">While this information (categorised as ‘customer data’ under the CDR rules for banking and energy) is often required to be shared to identify or contact a consumer, if the information is accessed by an unauthorised person it could be misused and impact an individual’s </w:t>
            </w:r>
            <w:r w:rsidRPr="00AC2612">
              <w:rPr>
                <w:rFonts w:asciiTheme="minorHAnsi" w:eastAsiaTheme="minorHAnsi" w:hAnsiTheme="minorHAnsi" w:cstheme="minorBidi"/>
                <w:color w:val="auto"/>
                <w:sz w:val="20"/>
                <w:szCs w:val="20"/>
              </w:rPr>
              <w:lastRenderedPageBreak/>
              <w:t xml:space="preserve">privacy; for example, for direct marketing purposes. </w:t>
            </w:r>
          </w:p>
        </w:tc>
        <w:tc>
          <w:tcPr>
            <w:tcW w:w="3969" w:type="dxa"/>
          </w:tcPr>
          <w:p w14:paraId="284162FE" w14:textId="77777777" w:rsidR="00AC2612" w:rsidRP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r w:rsidRPr="00AC2612">
              <w:rPr>
                <w:rFonts w:cstheme="minorHAnsi"/>
                <w:szCs w:val="20"/>
              </w:rPr>
              <w:lastRenderedPageBreak/>
              <w:t xml:space="preserve">The risk of customer data being used inappropriately is mitigated by the CDR accreditation process, under which third parties must meet rigorous privacy and security requirements before they can receive and use CDR data from data holders. These requirements must be maintained when a person has become accredited, and include implementing a security governance framework, </w:t>
            </w:r>
            <w:r w:rsidRPr="00AC2612">
              <w:rPr>
                <w:rFonts w:cstheme="minorHAnsi"/>
                <w:szCs w:val="20"/>
              </w:rPr>
              <w:lastRenderedPageBreak/>
              <w:t xml:space="preserve">maintaining a comprehensive information security capability, managing and reporting security incidents, and strict requirements around who has access to data within an ADR’s CDR data environment. </w:t>
            </w:r>
            <w:r w:rsidRPr="00AC2612">
              <w:rPr>
                <w:szCs w:val="20"/>
              </w:rPr>
              <w:t>There are also strict requirements around who an ADR can disclose CDR data to, including outsourced service providers and trusted advisers of consumers in particular circumstances.</w:t>
            </w:r>
          </w:p>
          <w:p w14:paraId="6F7F7A25" w14:textId="77777777" w:rsidR="00AC2612" w:rsidRP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p>
          <w:p w14:paraId="087DCF69" w14:textId="512564B8" w:rsidR="00AC2612" w:rsidRP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r w:rsidRPr="00AC2612">
              <w:rPr>
                <w:rFonts w:cstheme="minorHAnsi"/>
                <w:szCs w:val="20"/>
              </w:rPr>
              <w:t xml:space="preserve">Under the </w:t>
            </w:r>
            <w:r w:rsidRPr="00AC2612">
              <w:rPr>
                <w:rFonts w:cstheme="minorHAnsi"/>
                <w:i/>
                <w:iCs/>
                <w:szCs w:val="20"/>
              </w:rPr>
              <w:t xml:space="preserve">Competition and Consumer Act 2010 </w:t>
            </w:r>
            <w:r w:rsidRPr="00AC2612">
              <w:rPr>
                <w:rFonts w:cstheme="minorHAnsi"/>
                <w:szCs w:val="20"/>
              </w:rPr>
              <w:t xml:space="preserve">(the Act), ADRs must comply with the 13 privacy safeguards which relate to collection, management, disclosure and use of CDR data. The privacy safeguards prohibit ADRs from direct marketing to consumers unless they have specific consumer consent (as required by the CDR rules) to do this. A breach of the privacy and security protections in the </w:t>
            </w:r>
            <w:r w:rsidR="003529E2">
              <w:rPr>
                <w:rFonts w:cstheme="minorHAnsi"/>
                <w:szCs w:val="20"/>
              </w:rPr>
              <w:t>framework</w:t>
            </w:r>
            <w:r w:rsidR="003529E2" w:rsidRPr="00AC2612">
              <w:rPr>
                <w:rFonts w:cstheme="minorHAnsi"/>
                <w:szCs w:val="20"/>
              </w:rPr>
              <w:t xml:space="preserve"> </w:t>
            </w:r>
            <w:r w:rsidRPr="00AC2612">
              <w:rPr>
                <w:rFonts w:cstheme="minorHAnsi"/>
                <w:szCs w:val="20"/>
              </w:rPr>
              <w:t xml:space="preserve">can result in enforcement action being taken against the relevant ADR for non-compliance of civil penalty obligations. The ACCC and OAIC have a joint CDR </w:t>
            </w:r>
            <w:hyperlink r:id="rId26" w:history="1">
              <w:r w:rsidRPr="00D104E2">
                <w:rPr>
                  <w:rStyle w:val="Hyperlink"/>
                  <w:rFonts w:cstheme="minorHAnsi"/>
                  <w:sz w:val="20"/>
                  <w:szCs w:val="18"/>
                </w:rPr>
                <w:t>Compliance and Enforcement Policy</w:t>
              </w:r>
            </w:hyperlink>
            <w:r w:rsidRPr="00AC2612">
              <w:rPr>
                <w:rFonts w:cstheme="minorHAnsi"/>
                <w:szCs w:val="20"/>
              </w:rPr>
              <w:t xml:space="preserve"> and complaints about data handling can also be lodged with the OAIC.</w:t>
            </w:r>
            <w:r w:rsidR="00D44AB2">
              <w:rPr>
                <w:rFonts w:cstheme="minorHAnsi"/>
                <w:szCs w:val="20"/>
              </w:rPr>
              <w:t xml:space="preserve"> The OAIC also has a statutory function to promote compliance with the privacy safeguards, including by making guidelines for the </w:t>
            </w:r>
            <w:r w:rsidR="00D44AB2">
              <w:rPr>
                <w:rFonts w:cstheme="minorHAnsi"/>
                <w:szCs w:val="20"/>
              </w:rPr>
              <w:lastRenderedPageBreak/>
              <w:t>avoidance of acts or practices that may breach the privacy safeguards and undertaking educational programs for the purposes of promoting the protection of CDR data.</w:t>
            </w:r>
            <w:r w:rsidR="00D44AB2">
              <w:rPr>
                <w:rStyle w:val="FootnoteReference"/>
                <w:rFonts w:cstheme="minorHAnsi"/>
                <w:szCs w:val="20"/>
              </w:rPr>
              <w:footnoteReference w:id="87"/>
            </w:r>
            <w:r w:rsidR="00D44AB2">
              <w:rPr>
                <w:rFonts w:cstheme="minorHAnsi"/>
                <w:szCs w:val="20"/>
              </w:rPr>
              <w:t xml:space="preserve"> </w:t>
            </w:r>
          </w:p>
          <w:p w14:paraId="5D8AAD42" w14:textId="77777777" w:rsidR="00AC2612" w:rsidRP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p>
          <w:p w14:paraId="7E8881E6" w14:textId="5930B0C0" w:rsidR="00AC2612" w:rsidRP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r w:rsidRPr="00AC2612">
              <w:rPr>
                <w:rFonts w:cstheme="minorHAnsi"/>
                <w:szCs w:val="20"/>
              </w:rPr>
              <w:t>Strong individual authentication requirements are embedded in the CDR data sharing process with strong customer authentication required for data holders to authenticate CDR consumers, before they can disclose CDR data to an ADR.</w:t>
            </w:r>
          </w:p>
        </w:tc>
        <w:tc>
          <w:tcPr>
            <w:tcW w:w="3969" w:type="dxa"/>
          </w:tcPr>
          <w:p w14:paraId="55EC62EB" w14:textId="77777777" w:rsidR="00AC2612" w:rsidRPr="00B44950"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Pr>
                <w:szCs w:val="20"/>
              </w:rPr>
              <w:lastRenderedPageBreak/>
              <w:t xml:space="preserve">Customer data has been designated under the banking, energy and telecommunications designation instruments and is currently being shared in the banking sector (it is required data for the purpose of mandatory data sharing obligations). Treasury considers the privacy impact of including customer data in a non-bank lending designation (with a view to customer data being </w:t>
            </w:r>
            <w:r>
              <w:rPr>
                <w:szCs w:val="20"/>
              </w:rPr>
              <w:lastRenderedPageBreak/>
              <w:t>required data</w:t>
            </w:r>
            <w:r w:rsidDel="00A00B48">
              <w:rPr>
                <w:szCs w:val="20"/>
              </w:rPr>
              <w:t xml:space="preserve"> </w:t>
            </w:r>
            <w:r>
              <w:rPr>
                <w:szCs w:val="20"/>
              </w:rPr>
              <w:t xml:space="preserve">under the rules) would be appropriately mitigated by the </w:t>
            </w:r>
            <w:r w:rsidRPr="00B44950">
              <w:rPr>
                <w:szCs w:val="20"/>
              </w:rPr>
              <w:t>CDR’s rigorous accreditation process</w:t>
            </w:r>
            <w:r>
              <w:rPr>
                <w:szCs w:val="20"/>
              </w:rPr>
              <w:t xml:space="preserve"> and ongoing obligations on accredited persons,</w:t>
            </w:r>
            <w:r w:rsidRPr="00B44950">
              <w:rPr>
                <w:szCs w:val="20"/>
              </w:rPr>
              <w:t xml:space="preserve"> </w:t>
            </w:r>
            <w:r>
              <w:rPr>
                <w:szCs w:val="20"/>
              </w:rPr>
              <w:t xml:space="preserve">which </w:t>
            </w:r>
            <w:r w:rsidRPr="00B44950">
              <w:rPr>
                <w:szCs w:val="20"/>
              </w:rPr>
              <w:t xml:space="preserve">ensure that ADRs have </w:t>
            </w:r>
            <w:r>
              <w:rPr>
                <w:szCs w:val="20"/>
              </w:rPr>
              <w:t xml:space="preserve">robust </w:t>
            </w:r>
            <w:r w:rsidRPr="00B44950">
              <w:rPr>
                <w:szCs w:val="20"/>
              </w:rPr>
              <w:t xml:space="preserve">privacy and security measures in place to protect against the </w:t>
            </w:r>
            <w:r>
              <w:rPr>
                <w:szCs w:val="20"/>
              </w:rPr>
              <w:t>unauthorised access to or misuse</w:t>
            </w:r>
            <w:r w:rsidRPr="00B44950">
              <w:rPr>
                <w:szCs w:val="20"/>
              </w:rPr>
              <w:t xml:space="preserve"> of </w:t>
            </w:r>
            <w:r>
              <w:rPr>
                <w:szCs w:val="20"/>
              </w:rPr>
              <w:t xml:space="preserve">customer </w:t>
            </w:r>
            <w:r w:rsidRPr="00B44950">
              <w:rPr>
                <w:szCs w:val="20"/>
              </w:rPr>
              <w:t>data.</w:t>
            </w:r>
          </w:p>
          <w:p w14:paraId="689BAFB4" w14:textId="77777777" w:rsidR="00AC2612" w:rsidRPr="00B44950"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37B08088" w14:textId="77777777" w:rsidR="00AC2612" w:rsidRPr="00B44950"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tc>
      </w:tr>
      <w:tr w:rsidR="003D71A6" w:rsidRPr="00B44950" w14:paraId="48C049EC" w14:textId="77777777" w:rsidTr="00AC2612">
        <w:tc>
          <w:tcPr>
            <w:cnfStyle w:val="001000000000" w:firstRow="0" w:lastRow="0" w:firstColumn="1" w:lastColumn="0" w:oddVBand="0" w:evenVBand="0" w:oddHBand="0" w:evenHBand="0" w:firstRowFirstColumn="0" w:firstRowLastColumn="0" w:lastRowFirstColumn="0" w:lastRowLastColumn="0"/>
            <w:tcW w:w="14621" w:type="dxa"/>
            <w:gridSpan w:val="5"/>
            <w:shd w:val="clear" w:color="auto" w:fill="F2F2F2" w:themeFill="background1" w:themeFillShade="F2"/>
          </w:tcPr>
          <w:p w14:paraId="6A5E8FD2" w14:textId="77777777" w:rsidR="00AC2612" w:rsidRPr="002042D9" w:rsidRDefault="00AC2612" w:rsidP="000F4503">
            <w:pPr>
              <w:rPr>
                <w:rFonts w:cstheme="minorHAnsi"/>
                <w:b w:val="0"/>
                <w:szCs w:val="20"/>
              </w:rPr>
            </w:pPr>
            <w:r w:rsidRPr="002042D9">
              <w:rPr>
                <w:rFonts w:cstheme="minorHAnsi"/>
                <w:szCs w:val="20"/>
              </w:rPr>
              <w:lastRenderedPageBreak/>
              <w:t xml:space="preserve">Designation of information about </w:t>
            </w:r>
            <w:r>
              <w:rPr>
                <w:rFonts w:cstheme="minorHAnsi"/>
                <w:szCs w:val="20"/>
              </w:rPr>
              <w:t>the use of a product</w:t>
            </w:r>
            <w:r w:rsidRPr="002042D9">
              <w:rPr>
                <w:rFonts w:cstheme="minorHAnsi"/>
                <w:szCs w:val="20"/>
              </w:rPr>
              <w:t xml:space="preserve"> </w:t>
            </w:r>
          </w:p>
        </w:tc>
      </w:tr>
      <w:tr w:rsidR="00432497" w:rsidRPr="00B44950" w14:paraId="77526228" w14:textId="77777777" w:rsidTr="00AC2612">
        <w:tc>
          <w:tcPr>
            <w:cnfStyle w:val="001000000000" w:firstRow="0" w:lastRow="0" w:firstColumn="1" w:lastColumn="0" w:oddVBand="0" w:evenVBand="0" w:oddHBand="0" w:evenHBand="0" w:firstRowFirstColumn="0" w:firstRowLastColumn="0" w:lastRowFirstColumn="0" w:lastRowLastColumn="0"/>
            <w:tcW w:w="1041" w:type="dxa"/>
          </w:tcPr>
          <w:p w14:paraId="13E0CC63" w14:textId="77777777" w:rsidR="00AC2612" w:rsidRPr="00B44950" w:rsidRDefault="00AC2612" w:rsidP="00AC2612">
            <w:pPr>
              <w:pStyle w:val="ListParagraph"/>
              <w:numPr>
                <w:ilvl w:val="0"/>
                <w:numId w:val="48"/>
              </w:numPr>
              <w:tabs>
                <w:tab w:val="clear" w:pos="340"/>
              </w:tabs>
              <w:spacing w:before="0" w:after="0"/>
              <w:ind w:left="357" w:hanging="357"/>
              <w:contextualSpacing/>
              <w:rPr>
                <w:b w:val="0"/>
                <w:bCs/>
                <w:szCs w:val="20"/>
              </w:rPr>
            </w:pPr>
          </w:p>
        </w:tc>
        <w:tc>
          <w:tcPr>
            <w:tcW w:w="2067" w:type="dxa"/>
          </w:tcPr>
          <w:p w14:paraId="320DA9CA"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bookmarkStart w:id="58" w:name="_Hlk85547754"/>
            <w:r>
              <w:rPr>
                <w:rFonts w:cstheme="minorHAnsi"/>
                <w:szCs w:val="20"/>
              </w:rPr>
              <w:t>Information about the use of a product by the person or an associate of the person who is also supplied with the product.</w:t>
            </w:r>
          </w:p>
          <w:p w14:paraId="51376A39"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p>
          <w:p w14:paraId="55F2DD41"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F08C4">
              <w:rPr>
                <w:rFonts w:cstheme="minorHAnsi"/>
                <w:szCs w:val="20"/>
              </w:rPr>
              <w:t>This includes the type of information that a customer would typically see on a statement</w:t>
            </w:r>
            <w:r>
              <w:rPr>
                <w:rFonts w:cstheme="minorHAnsi"/>
                <w:szCs w:val="20"/>
              </w:rPr>
              <w:t xml:space="preserve"> or account</w:t>
            </w:r>
            <w:r w:rsidRPr="00BF08C4">
              <w:rPr>
                <w:rFonts w:cstheme="minorHAnsi"/>
                <w:szCs w:val="20"/>
              </w:rPr>
              <w:t xml:space="preserve">, such as the </w:t>
            </w:r>
            <w:r>
              <w:rPr>
                <w:rFonts w:cstheme="minorHAnsi"/>
                <w:szCs w:val="20"/>
              </w:rPr>
              <w:t xml:space="preserve">current balance, </w:t>
            </w:r>
            <w:r>
              <w:rPr>
                <w:rFonts w:cstheme="minorHAnsi"/>
                <w:szCs w:val="20"/>
              </w:rPr>
              <w:lastRenderedPageBreak/>
              <w:t>loan repayment data and transaction data (including d</w:t>
            </w:r>
            <w:r w:rsidRPr="00BF08C4">
              <w:rPr>
                <w:rFonts w:cstheme="minorHAnsi"/>
                <w:szCs w:val="20"/>
              </w:rPr>
              <w:t>ebits and credits on the account and when these occurred, and to whom payments were made</w:t>
            </w:r>
            <w:r>
              <w:rPr>
                <w:rFonts w:cstheme="minorHAnsi"/>
                <w:szCs w:val="20"/>
              </w:rPr>
              <w:t>).</w:t>
            </w:r>
          </w:p>
          <w:bookmarkEnd w:id="58"/>
          <w:p w14:paraId="611EEA91" w14:textId="77777777" w:rsidR="00AC2612" w:rsidRPr="002042D9"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p>
          <w:p w14:paraId="7A19A25A" w14:textId="77777777" w:rsidR="00AC2612" w:rsidRPr="002042D9"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b/>
                <w:i/>
                <w:szCs w:val="20"/>
              </w:rPr>
            </w:pPr>
          </w:p>
        </w:tc>
        <w:tc>
          <w:tcPr>
            <w:tcW w:w="3575" w:type="dxa"/>
          </w:tcPr>
          <w:p w14:paraId="44764331"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lastRenderedPageBreak/>
              <w:t>Information about the use of a product</w:t>
            </w:r>
            <w:r w:rsidRPr="003B3562">
              <w:rPr>
                <w:rFonts w:cstheme="minorHAnsi"/>
                <w:szCs w:val="20"/>
              </w:rPr>
              <w:t xml:space="preserve"> could reveal sensitive insights about a consumer, including a consumer’s financial capacity, which could lead to price discrimination and/or impact the goods and services subsequently offered to them. </w:t>
            </w:r>
            <w:r>
              <w:rPr>
                <w:rFonts w:cstheme="minorHAnsi"/>
                <w:szCs w:val="20"/>
              </w:rPr>
              <w:t>Stakeholders consider this privacy risk may be enhanced for vulnerable consumers.</w:t>
            </w:r>
          </w:p>
          <w:p w14:paraId="07FC893E"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p>
          <w:p w14:paraId="7E29CC36" w14:textId="77777777" w:rsidR="00AC2612" w:rsidRPr="00724AF5"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Submissions considered t</w:t>
            </w:r>
            <w:r w:rsidRPr="002042D9">
              <w:rPr>
                <w:rFonts w:cstheme="minorHAnsi"/>
                <w:szCs w:val="20"/>
              </w:rPr>
              <w:t xml:space="preserve">here is a risk of vulnerable consumers being exploited by data recipients obtaining access to consumer data </w:t>
            </w:r>
            <w:r w:rsidRPr="002042D9">
              <w:rPr>
                <w:rFonts w:cstheme="minorHAnsi"/>
                <w:szCs w:val="20"/>
              </w:rPr>
              <w:lastRenderedPageBreak/>
              <w:t>and misusing that data for their own benefit, as non-bank lenders have a higher proportion of vulnerable consumers compared with banks.</w:t>
            </w:r>
            <w:r w:rsidRPr="002042D9">
              <w:rPr>
                <w:rStyle w:val="FootnoteReference"/>
                <w:rFonts w:cstheme="minorHAnsi"/>
                <w:szCs w:val="20"/>
              </w:rPr>
              <w:footnoteReference w:id="88"/>
            </w:r>
            <w:r>
              <w:rPr>
                <w:rFonts w:cstheme="minorHAnsi"/>
                <w:szCs w:val="20"/>
              </w:rPr>
              <w:t xml:space="preserve"> </w:t>
            </w:r>
            <w:r w:rsidRPr="001A58A6">
              <w:rPr>
                <w:szCs w:val="20"/>
              </w:rPr>
              <w:t xml:space="preserve">The joint consumer group, ACCC and PwC submit that </w:t>
            </w:r>
            <w:r>
              <w:rPr>
                <w:szCs w:val="20"/>
              </w:rPr>
              <w:t xml:space="preserve">consideration should be given to whether </w:t>
            </w:r>
            <w:r w:rsidRPr="001A58A6">
              <w:rPr>
                <w:szCs w:val="20"/>
              </w:rPr>
              <w:t>the extension of</w:t>
            </w:r>
            <w:r>
              <w:rPr>
                <w:szCs w:val="20"/>
              </w:rPr>
              <w:t xml:space="preserve"> the</w:t>
            </w:r>
            <w:r w:rsidRPr="001A58A6">
              <w:rPr>
                <w:szCs w:val="20"/>
              </w:rPr>
              <w:t xml:space="preserve"> CDR to the non-bank lending sector </w:t>
            </w:r>
            <w:r>
              <w:rPr>
                <w:szCs w:val="20"/>
              </w:rPr>
              <w:t xml:space="preserve">could </w:t>
            </w:r>
            <w:r w:rsidRPr="001A58A6">
              <w:rPr>
                <w:szCs w:val="20"/>
              </w:rPr>
              <w:t>support</w:t>
            </w:r>
            <w:r>
              <w:rPr>
                <w:szCs w:val="20"/>
              </w:rPr>
              <w:t xml:space="preserve"> and increase</w:t>
            </w:r>
            <w:r w:rsidRPr="001A58A6">
              <w:rPr>
                <w:szCs w:val="20"/>
              </w:rPr>
              <w:t xml:space="preserve"> </w:t>
            </w:r>
            <w:r>
              <w:rPr>
                <w:szCs w:val="20"/>
              </w:rPr>
              <w:t xml:space="preserve">poor non-bank lender behaviour, by enabling non-bank lenders to use financial data, such as balance and loan repayment data, to </w:t>
            </w:r>
            <w:r w:rsidRPr="001A58A6">
              <w:rPr>
                <w:szCs w:val="20"/>
              </w:rPr>
              <w:t>target those in financial hardship with inappropriate</w:t>
            </w:r>
            <w:r>
              <w:rPr>
                <w:szCs w:val="20"/>
              </w:rPr>
              <w:t xml:space="preserve"> and </w:t>
            </w:r>
            <w:r w:rsidRPr="001A58A6">
              <w:rPr>
                <w:szCs w:val="20"/>
              </w:rPr>
              <w:t xml:space="preserve">unsuitable products </w:t>
            </w:r>
            <w:r>
              <w:rPr>
                <w:szCs w:val="20"/>
              </w:rPr>
              <w:t>or set</w:t>
            </w:r>
            <w:r w:rsidRPr="001A58A6">
              <w:rPr>
                <w:szCs w:val="20"/>
              </w:rPr>
              <w:t xml:space="preserve"> discriminatory pricing or interest rates.</w:t>
            </w:r>
            <w:r w:rsidRPr="00591751">
              <w:rPr>
                <w:rStyle w:val="FootnoteReference"/>
                <w:rFonts w:cstheme="minorHAnsi"/>
                <w:b/>
                <w:szCs w:val="20"/>
              </w:rPr>
              <w:footnoteReference w:id="89"/>
            </w:r>
            <w:r w:rsidRPr="001A58A6">
              <w:rPr>
                <w:rFonts w:cstheme="minorHAnsi"/>
                <w:szCs w:val="20"/>
              </w:rPr>
              <w:t xml:space="preserve"> </w:t>
            </w:r>
          </w:p>
          <w:p w14:paraId="248C38C4" w14:textId="77777777" w:rsidR="00AC2612" w:rsidRPr="001A58A6"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326A8880" w14:textId="77777777" w:rsidR="00AC2612" w:rsidRPr="005E03C5" w:rsidRDefault="00AC2612" w:rsidP="000F4503">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E03C5">
              <w:rPr>
                <w:rFonts w:cstheme="minorHAnsi"/>
                <w:szCs w:val="20"/>
              </w:rPr>
              <w:t xml:space="preserve">The OAIC </w:t>
            </w:r>
            <w:r>
              <w:rPr>
                <w:rFonts w:cstheme="minorHAnsi"/>
                <w:szCs w:val="20"/>
              </w:rPr>
              <w:t xml:space="preserve">submitted </w:t>
            </w:r>
            <w:r w:rsidRPr="005E03C5">
              <w:rPr>
                <w:rFonts w:cstheme="minorHAnsi"/>
                <w:szCs w:val="20"/>
              </w:rPr>
              <w:t>that as the consumer segment that opts for NBLs are potentially more vulnerable, there may be limitations in relying on consent-based frameworks</w:t>
            </w:r>
            <w:r>
              <w:rPr>
                <w:rFonts w:cstheme="minorHAnsi"/>
                <w:szCs w:val="20"/>
              </w:rPr>
              <w:t xml:space="preserve">. Where vulnerable consumers feel reliant on services or payment, they may be unable to make meaningful choices about the collection and </w:t>
            </w:r>
            <w:r>
              <w:rPr>
                <w:rFonts w:cstheme="minorHAnsi"/>
                <w:szCs w:val="20"/>
              </w:rPr>
              <w:lastRenderedPageBreak/>
              <w:t>disclosure of their data.</w:t>
            </w:r>
            <w:r>
              <w:rPr>
                <w:rStyle w:val="FootnoteReference"/>
                <w:rFonts w:cstheme="minorHAnsi"/>
                <w:szCs w:val="20"/>
              </w:rPr>
              <w:footnoteReference w:id="90"/>
            </w:r>
            <w:r>
              <w:rPr>
                <w:rFonts w:cstheme="minorHAnsi"/>
                <w:szCs w:val="20"/>
              </w:rPr>
              <w:t xml:space="preserve"> The OAIC recommends consideration be given to whether particular NBL products such as those provided by non-bank lenders with poor businesses practices should be excluded from scope and to whether more safeguards are required to support vulnerable consumers.</w:t>
            </w:r>
            <w:r w:rsidRPr="005E03C5">
              <w:rPr>
                <w:rStyle w:val="FootnoteReference"/>
                <w:rFonts w:cstheme="minorHAnsi"/>
                <w:szCs w:val="20"/>
              </w:rPr>
              <w:footnoteReference w:id="91"/>
            </w:r>
            <w:r w:rsidRPr="005E03C5">
              <w:rPr>
                <w:rFonts w:cstheme="minorHAnsi"/>
                <w:szCs w:val="20"/>
              </w:rPr>
              <w:t xml:space="preserve"> Stakeholders consider</w:t>
            </w:r>
            <w:r>
              <w:rPr>
                <w:rFonts w:cstheme="minorHAnsi"/>
                <w:szCs w:val="20"/>
              </w:rPr>
              <w:t>ed</w:t>
            </w:r>
            <w:r w:rsidRPr="005E03C5">
              <w:rPr>
                <w:rFonts w:cstheme="minorHAnsi"/>
                <w:szCs w:val="20"/>
              </w:rPr>
              <w:t xml:space="preserve"> these consumers require additional resources and support in order to meaningfully understand and provide consent that is fully informed and freely given to the sharing of their consumer data in the CDR.</w:t>
            </w:r>
            <w:r>
              <w:rPr>
                <w:rStyle w:val="FootnoteReference"/>
                <w:rFonts w:cstheme="minorHAnsi"/>
                <w:szCs w:val="20"/>
              </w:rPr>
              <w:footnoteReference w:id="92"/>
            </w:r>
          </w:p>
          <w:p w14:paraId="3C037369" w14:textId="77777777" w:rsidR="00AC2612" w:rsidRPr="002042D9"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r w:rsidRPr="005E03C5">
              <w:rPr>
                <w:rFonts w:cstheme="minorHAnsi"/>
                <w:szCs w:val="20"/>
              </w:rPr>
              <w:t>The joint consumer group does not consider that the Privacy Safeguards</w:t>
            </w:r>
            <w:r>
              <w:rPr>
                <w:rFonts w:cstheme="minorHAnsi"/>
                <w:szCs w:val="20"/>
              </w:rPr>
              <w:t xml:space="preserve"> (in particular PS3)</w:t>
            </w:r>
            <w:r w:rsidRPr="005E03C5">
              <w:rPr>
                <w:rFonts w:cstheme="minorHAnsi"/>
                <w:szCs w:val="20"/>
              </w:rPr>
              <w:t xml:space="preserve"> and other mechanisms in the rules surrounding the collection of solicited personal information are</w:t>
            </w:r>
            <w:r>
              <w:rPr>
                <w:rFonts w:cstheme="minorHAnsi"/>
                <w:szCs w:val="20"/>
              </w:rPr>
              <w:t xml:space="preserve"> not</w:t>
            </w:r>
            <w:r w:rsidRPr="005E03C5">
              <w:rPr>
                <w:rFonts w:cstheme="minorHAnsi"/>
                <w:szCs w:val="20"/>
              </w:rPr>
              <w:t xml:space="preserve"> sufficient to protect against possible abuse of the consent provisions</w:t>
            </w:r>
            <w:r>
              <w:rPr>
                <w:rFonts w:cstheme="minorHAnsi"/>
                <w:szCs w:val="20"/>
              </w:rPr>
              <w:t xml:space="preserve"> and consider</w:t>
            </w:r>
            <w:r w:rsidRPr="005E03C5">
              <w:rPr>
                <w:rFonts w:cstheme="minorHAnsi"/>
                <w:szCs w:val="20"/>
              </w:rPr>
              <w:t xml:space="preserve"> </w:t>
            </w:r>
            <w:r>
              <w:rPr>
                <w:rFonts w:cstheme="minorHAnsi"/>
                <w:szCs w:val="20"/>
              </w:rPr>
              <w:t>the rules do not sufficiently prevent lenders</w:t>
            </w:r>
            <w:r w:rsidRPr="005E03C5">
              <w:rPr>
                <w:rFonts w:cstheme="minorHAnsi"/>
                <w:szCs w:val="20"/>
              </w:rPr>
              <w:t xml:space="preserve"> from selling or providing this </w:t>
            </w:r>
            <w:r w:rsidRPr="005E03C5">
              <w:rPr>
                <w:rFonts w:cstheme="minorHAnsi"/>
                <w:szCs w:val="20"/>
              </w:rPr>
              <w:lastRenderedPageBreak/>
              <w:t>information to other related or unrelated businesses who target people in financial hardship such as debt management firms.</w:t>
            </w:r>
            <w:r w:rsidRPr="005E03C5">
              <w:rPr>
                <w:rStyle w:val="FootnoteReference"/>
                <w:rFonts w:cstheme="minorHAnsi"/>
                <w:szCs w:val="20"/>
              </w:rPr>
              <w:footnoteReference w:id="93"/>
            </w:r>
            <w:r w:rsidRPr="005E03C5">
              <w:rPr>
                <w:rFonts w:cstheme="minorHAnsi"/>
                <w:szCs w:val="20"/>
              </w:rPr>
              <w:t xml:space="preserve"> </w:t>
            </w:r>
          </w:p>
          <w:p w14:paraId="6B6F65F9"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p>
          <w:p w14:paraId="2BA7F1B4" w14:textId="77777777" w:rsidR="00AC2612" w:rsidRPr="002042D9"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Relatedly but not relevant to the non-bank lending designation, the ACCC and the joint consumer group recommended Treasury consider whether there is a need for a fiduciary interest test, which would require CDR participants to use consumers’ CDR data in the consumer’s best interest.</w:t>
            </w:r>
            <w:r>
              <w:rPr>
                <w:rStyle w:val="FootnoteReference"/>
                <w:rFonts w:cstheme="minorHAnsi"/>
                <w:szCs w:val="20"/>
              </w:rPr>
              <w:footnoteReference w:id="94"/>
            </w:r>
          </w:p>
        </w:tc>
        <w:tc>
          <w:tcPr>
            <w:tcW w:w="3969" w:type="dxa"/>
          </w:tcPr>
          <w:p w14:paraId="64F03DC3" w14:textId="5C26B510" w:rsidR="00AC2612" w:rsidRPr="00F07CFD" w:rsidRDefault="00AC2612" w:rsidP="00F07CFD">
            <w:pPr>
              <w:cnfStyle w:val="000000000000" w:firstRow="0" w:lastRow="0" w:firstColumn="0" w:lastColumn="0" w:oddVBand="0" w:evenVBand="0" w:oddHBand="0" w:evenHBand="0" w:firstRowFirstColumn="0" w:firstRowLastColumn="0" w:lastRowFirstColumn="0" w:lastRowLastColumn="0"/>
              <w:rPr>
                <w:bCs/>
              </w:rPr>
            </w:pPr>
            <w:r w:rsidRPr="00F07CFD">
              <w:lastRenderedPageBreak/>
              <w:t xml:space="preserve">Before a non-bank lender can receive and use CDR consumer data, it must be accredited by the ACCC or become a representative of someone who has been accredited. The risk of customer data being used inappropriately is mitigated by this accreditation process under which third parties must meet rigorous privacy and security requirements before they can receive and use CDR data. These requirements must be maintained when a person has become accredited, and include implementing a security governance framework, maintaining a comprehensive information security capability, managing and reporting </w:t>
            </w:r>
            <w:r w:rsidRPr="00F07CFD">
              <w:lastRenderedPageBreak/>
              <w:t>security incidents, and requirements around who has access to data within an ADR’s CDR data environment. ADRs are also bound by the 13 privacy safeguards which relate to how an ADR uses and handles CDR data. A breach of the privacy and security protections in the</w:t>
            </w:r>
            <w:r w:rsidRPr="00F07CFD">
              <w:rPr>
                <w:bCs/>
              </w:rPr>
              <w:t xml:space="preserve"> </w:t>
            </w:r>
            <w:r w:rsidR="003529E2" w:rsidRPr="00F07CFD">
              <w:rPr>
                <w:bCs/>
              </w:rPr>
              <w:t xml:space="preserve">framework </w:t>
            </w:r>
            <w:r w:rsidRPr="00F07CFD">
              <w:rPr>
                <w:bCs/>
              </w:rPr>
              <w:t>can result in enforcement action being taken against the relevant ADR.</w:t>
            </w:r>
          </w:p>
          <w:p w14:paraId="6F7E4498" w14:textId="77777777" w:rsidR="00AC2612" w:rsidRPr="006470A3"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5A1A647E"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sidRPr="00246804">
              <w:rPr>
                <w:szCs w:val="20"/>
              </w:rPr>
              <w:t>The consent rules ensure that ADRs are required to obtain informed consent from CDR consumers in relation to the collection and use of their data, and this includes actively selecting which data they share and for what purposes. ADRs are restricted in how they can use CDR data and only permitted to use the data in accordance with a consumer’s consent.</w:t>
            </w:r>
          </w:p>
          <w:p w14:paraId="418E178E"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032A7E01" w14:textId="77777777" w:rsidR="00AC2612" w:rsidRPr="00066266"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sidRPr="006470A3">
              <w:rPr>
                <w:szCs w:val="20"/>
              </w:rPr>
              <w:t xml:space="preserve">Privacy Safeguard 7 prohibits ADR from using or disclosing CDR data for direct marketing, unless the consumer consents and such use or disclosure is required or authorised under the CDR rules. </w:t>
            </w:r>
            <w:r w:rsidRPr="002A1BCF">
              <w:rPr>
                <w:szCs w:val="20"/>
              </w:rPr>
              <w:t xml:space="preserve">Direct </w:t>
            </w:r>
            <w:r w:rsidRPr="002A1BCF">
              <w:rPr>
                <w:szCs w:val="20"/>
              </w:rPr>
              <w:lastRenderedPageBreak/>
              <w:t>marketing in the CDR context involves the use or disclosure of CDR data to promote goods and services directly to a consumer</w:t>
            </w:r>
            <w:r w:rsidRPr="00CD482A">
              <w:rPr>
                <w:szCs w:val="20"/>
              </w:rPr>
              <w:t>, such as by sending an email to a consumer promoting financial products using the consumer’s data.</w:t>
            </w:r>
          </w:p>
          <w:p w14:paraId="1030908F" w14:textId="77777777" w:rsidR="00AC2612" w:rsidRPr="00B635B9"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3226672A" w14:textId="77777777" w:rsidR="00AC2612" w:rsidRPr="00F07CFD"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sidRPr="00F07CFD">
              <w:rPr>
                <w:szCs w:val="20"/>
              </w:rPr>
              <w:t xml:space="preserve">In addition, the rules include a ‘data minimisation principle’ which ensures CDR data is only collected and used if it is necessary to provide the good or service a consumer has requested. Therefore, information about a called party cannot be collected and used if it is superfluous to the good or service ultimately being delivered to the consumer.    </w:t>
            </w:r>
          </w:p>
          <w:p w14:paraId="06507CFE" w14:textId="77777777" w:rsidR="00AC2612" w:rsidRPr="00F07CFD"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58D7E1BB" w14:textId="77777777" w:rsidR="00AC2612" w:rsidRPr="00F07CFD"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6CFBAB62" w14:textId="77777777" w:rsidR="00AC2612" w:rsidRPr="00F07CFD"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tc>
        <w:tc>
          <w:tcPr>
            <w:tcW w:w="3969" w:type="dxa"/>
          </w:tcPr>
          <w:p w14:paraId="0DEAB063" w14:textId="3A5C7974"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Pr>
                <w:rFonts w:cstheme="minorHAnsi"/>
                <w:szCs w:val="20"/>
              </w:rPr>
              <w:lastRenderedPageBreak/>
              <w:t>Information about the use of a product</w:t>
            </w:r>
            <w:r w:rsidRPr="003B3562">
              <w:rPr>
                <w:rFonts w:cstheme="minorHAnsi"/>
                <w:szCs w:val="20"/>
              </w:rPr>
              <w:t xml:space="preserve"> </w:t>
            </w:r>
            <w:r>
              <w:rPr>
                <w:szCs w:val="20"/>
              </w:rPr>
              <w:t>has been designated and is currently being shared in the banking sector (it is required data for the purpose of mandatory data sharing obligations). M</w:t>
            </w:r>
            <w:r w:rsidRPr="00B44950">
              <w:rPr>
                <w:szCs w:val="20"/>
              </w:rPr>
              <w:t>echanisms</w:t>
            </w:r>
            <w:r>
              <w:rPr>
                <w:szCs w:val="20"/>
              </w:rPr>
              <w:t xml:space="preserve"> </w:t>
            </w:r>
            <w:r w:rsidRPr="00B44950">
              <w:rPr>
                <w:szCs w:val="20"/>
              </w:rPr>
              <w:t>within the rules</w:t>
            </w:r>
            <w:r>
              <w:rPr>
                <w:szCs w:val="20"/>
              </w:rPr>
              <w:t>, such</w:t>
            </w:r>
            <w:r w:rsidR="003F7F23">
              <w:rPr>
                <w:szCs w:val="20"/>
              </w:rPr>
              <w:t xml:space="preserve"> as</w:t>
            </w:r>
            <w:r>
              <w:rPr>
                <w:szCs w:val="20"/>
              </w:rPr>
              <w:t xml:space="preserve"> the consent collection, use and disclosure obligations</w:t>
            </w:r>
            <w:r w:rsidRPr="00B44950">
              <w:rPr>
                <w:szCs w:val="20"/>
              </w:rPr>
              <w:t xml:space="preserve"> </w:t>
            </w:r>
            <w:r>
              <w:rPr>
                <w:szCs w:val="20"/>
              </w:rPr>
              <w:t xml:space="preserve">and the accreditation process the </w:t>
            </w:r>
            <w:r w:rsidRPr="00B44950">
              <w:rPr>
                <w:szCs w:val="20"/>
              </w:rPr>
              <w:t>exist to mitigate the risks associated with sharing this information</w:t>
            </w:r>
            <w:r>
              <w:rPr>
                <w:szCs w:val="20"/>
              </w:rPr>
              <w:t xml:space="preserve"> for both vulnerable and non-vulnerable consumers</w:t>
            </w:r>
            <w:r w:rsidRPr="00B44950">
              <w:rPr>
                <w:szCs w:val="20"/>
              </w:rPr>
              <w:t>.</w:t>
            </w:r>
            <w:r>
              <w:rPr>
                <w:szCs w:val="20"/>
              </w:rPr>
              <w:t xml:space="preserve"> Treasury recommends further consideration be given to whether, in addition to existing mitigation strategies in the </w:t>
            </w:r>
            <w:r w:rsidR="003529E2">
              <w:rPr>
                <w:szCs w:val="20"/>
              </w:rPr>
              <w:t>framework</w:t>
            </w:r>
            <w:r>
              <w:rPr>
                <w:szCs w:val="20"/>
              </w:rPr>
              <w:t xml:space="preserve">, supplementary rules or particular consumer experience </w:t>
            </w:r>
            <w:r>
              <w:rPr>
                <w:szCs w:val="20"/>
              </w:rPr>
              <w:lastRenderedPageBreak/>
              <w:t xml:space="preserve">standards for consent to mitigate against any sector specific risks, particularly for vulnerable consumers. </w:t>
            </w:r>
          </w:p>
          <w:p w14:paraId="7F7D7B16"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0BE7F2E2" w14:textId="77777777" w:rsidR="00AC2612" w:rsidRPr="00691C7E" w:rsidRDefault="00AC2612" w:rsidP="000F4503">
            <w:pPr>
              <w:cnfStyle w:val="000000000000" w:firstRow="0" w:lastRow="0" w:firstColumn="0" w:lastColumn="0" w:oddVBand="0" w:evenVBand="0" w:oddHBand="0" w:evenHBand="0" w:firstRowFirstColumn="0" w:firstRowLastColumn="0" w:lastRowFirstColumn="0" w:lastRowLastColumn="0"/>
              <w:rPr>
                <w:i/>
                <w:szCs w:val="20"/>
              </w:rPr>
            </w:pPr>
            <w:r w:rsidRPr="00691C7E">
              <w:rPr>
                <w:i/>
                <w:szCs w:val="20"/>
              </w:rPr>
              <w:t xml:space="preserve">In particular, Treasury recommends the rules examine the operation of direct market consents and consider whether addition restrictions are required in relation to certain high-cost products. </w:t>
            </w:r>
          </w:p>
          <w:p w14:paraId="5C5D6D31"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0732C746" w14:textId="6FC88434" w:rsidR="00AC2612" w:rsidRPr="00691C7E" w:rsidRDefault="00AC2612" w:rsidP="000F4503">
            <w:pPr>
              <w:cnfStyle w:val="000000000000" w:firstRow="0" w:lastRow="0" w:firstColumn="0" w:lastColumn="0" w:oddVBand="0" w:evenVBand="0" w:oddHBand="0" w:evenHBand="0" w:firstRowFirstColumn="0" w:firstRowLastColumn="0" w:lastRowFirstColumn="0" w:lastRowLastColumn="0"/>
              <w:rPr>
                <w:i/>
                <w:szCs w:val="20"/>
              </w:rPr>
            </w:pPr>
            <w:r w:rsidRPr="00691C7E">
              <w:rPr>
                <w:i/>
                <w:szCs w:val="20"/>
              </w:rPr>
              <w:t xml:space="preserve">We also recommend the rules consider whether there are particular non-bank lending products that should be excluded from the CDR system for privacy reasons. </w:t>
            </w:r>
          </w:p>
          <w:p w14:paraId="42136D12"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7E4C1E8E"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More generally, as outlined in the report, submissions identified a number of use cases supported non-bank lending data which could improve outcomes for consumers experiencing vulnerability, such as tools provided by financial councillors to help consumers manage their debt. The report also notes that to obtain a new lending product from either a bank or a non-bank lender, consumers are typically required to provide past </w:t>
            </w:r>
            <w:r>
              <w:rPr>
                <w:szCs w:val="20"/>
              </w:rPr>
              <w:lastRenderedPageBreak/>
              <w:t xml:space="preserve">transaction information and loan repayment data to the new lender to support their loan application. Currently outside of the CDR, this information is shared via unsecure methods such as emailing PDF statements or sharing login credentials with companies that screen scrape this data and provide it to the lender. Designating this information to the CDR will enable consumers to securely transfer this email to accredited lenders with informed consent, which represents a general uplift in privacy protections relative to other data sharing methods. </w:t>
            </w:r>
            <w:r>
              <w:rPr>
                <w:rStyle w:val="FootnoteReference"/>
                <w:szCs w:val="20"/>
              </w:rPr>
              <w:footnoteReference w:id="95"/>
            </w:r>
          </w:p>
          <w:p w14:paraId="493D37AE"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4C8DDF0F" w14:textId="2707A30E"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Additionally, the </w:t>
            </w:r>
            <w:r w:rsidRPr="00E46BBA">
              <w:rPr>
                <w:i/>
                <w:iCs/>
                <w:szCs w:val="20"/>
              </w:rPr>
              <w:t>National Consumer Credit Protection Act 2001</w:t>
            </w:r>
            <w:r>
              <w:rPr>
                <w:szCs w:val="20"/>
              </w:rPr>
              <w:t xml:space="preserve">, which regulates the provision of credit to individuals, contains a range of protections to ensure that consumers do not land up in products that they cannot afford. In particular, the responsible lending obligations which puts the onus on lenders to consider the circumstances of the borrower before providing </w:t>
            </w:r>
            <w:r>
              <w:rPr>
                <w:szCs w:val="20"/>
              </w:rPr>
              <w:lastRenderedPageBreak/>
              <w:t>credit.</w:t>
            </w:r>
            <w:r w:rsidR="00840F67">
              <w:rPr>
                <w:rStyle w:val="FootnoteReference"/>
                <w:szCs w:val="20"/>
              </w:rPr>
              <w:footnoteReference w:id="96"/>
            </w:r>
            <w:r w:rsidR="0064133B">
              <w:rPr>
                <w:szCs w:val="20"/>
              </w:rPr>
              <w:t xml:space="preserve"> </w:t>
            </w:r>
            <w:r w:rsidR="004D3CD9">
              <w:rPr>
                <w:szCs w:val="20"/>
              </w:rPr>
              <w:t xml:space="preserve">The </w:t>
            </w:r>
            <w:r w:rsidR="00EE3716">
              <w:rPr>
                <w:szCs w:val="20"/>
              </w:rPr>
              <w:t>G</w:t>
            </w:r>
            <w:r w:rsidR="004D3CD9">
              <w:rPr>
                <w:szCs w:val="20"/>
              </w:rPr>
              <w:t xml:space="preserve">overnment </w:t>
            </w:r>
            <w:r w:rsidR="00EE3716">
              <w:rPr>
                <w:szCs w:val="20"/>
              </w:rPr>
              <w:t xml:space="preserve">regularly </w:t>
            </w:r>
            <w:r w:rsidR="004D3CD9">
              <w:rPr>
                <w:szCs w:val="20"/>
              </w:rPr>
              <w:t>reviews the operation of the</w:t>
            </w:r>
            <w:r w:rsidR="00EE3716">
              <w:rPr>
                <w:szCs w:val="20"/>
              </w:rPr>
              <w:t xml:space="preserve"> Credit</w:t>
            </w:r>
            <w:r w:rsidR="004D3CD9">
              <w:rPr>
                <w:szCs w:val="20"/>
              </w:rPr>
              <w:t xml:space="preserve"> Act to ensure it remains fi</w:t>
            </w:r>
            <w:r w:rsidR="00EE3716">
              <w:rPr>
                <w:szCs w:val="20"/>
              </w:rPr>
              <w:t>t</w:t>
            </w:r>
            <w:r w:rsidR="004D3CD9">
              <w:rPr>
                <w:szCs w:val="20"/>
              </w:rPr>
              <w:t xml:space="preserve"> for purpose</w:t>
            </w:r>
            <w:r w:rsidR="00EE3716">
              <w:rPr>
                <w:szCs w:val="20"/>
              </w:rPr>
              <w:t>.</w:t>
            </w:r>
            <w:r w:rsidR="004D3CD9">
              <w:rPr>
                <w:szCs w:val="20"/>
              </w:rPr>
              <w:t xml:space="preserve"> </w:t>
            </w:r>
            <w:r w:rsidR="00EE3716">
              <w:rPr>
                <w:szCs w:val="20"/>
              </w:rPr>
              <w:t>F</w:t>
            </w:r>
            <w:r w:rsidR="004D3CD9">
              <w:rPr>
                <w:szCs w:val="20"/>
              </w:rPr>
              <w:t>or example</w:t>
            </w:r>
            <w:r w:rsidR="00EE3716">
              <w:rPr>
                <w:szCs w:val="20"/>
              </w:rPr>
              <w:t>,</w:t>
            </w:r>
            <w:r w:rsidR="004D3CD9">
              <w:rPr>
                <w:szCs w:val="20"/>
              </w:rPr>
              <w:t xml:space="preserve"> the Government has announced its intention to introduce additional consumer protection measures for payday lending and to consider the </w:t>
            </w:r>
            <w:r w:rsidR="00EE3716">
              <w:rPr>
                <w:szCs w:val="20"/>
              </w:rPr>
              <w:t>regulation of buy now, pay later products.</w:t>
            </w:r>
            <w:r w:rsidR="00EE3716">
              <w:rPr>
                <w:rStyle w:val="FootnoteReference"/>
                <w:szCs w:val="20"/>
              </w:rPr>
              <w:footnoteReference w:id="97"/>
            </w:r>
          </w:p>
          <w:p w14:paraId="79B31BE9"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 </w:t>
            </w:r>
          </w:p>
          <w:p w14:paraId="6742B533"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Pr>
                <w:szCs w:val="20"/>
              </w:rPr>
              <w:t>Accordingly, h</w:t>
            </w:r>
            <w:r w:rsidRPr="0022126D">
              <w:rPr>
                <w:szCs w:val="20"/>
              </w:rPr>
              <w:t>aving regard to the range of statutory factors, including the benefits to</w:t>
            </w:r>
            <w:r>
              <w:rPr>
                <w:szCs w:val="20"/>
              </w:rPr>
              <w:t xml:space="preserve"> consumers and</w:t>
            </w:r>
            <w:r w:rsidRPr="0022126D">
              <w:rPr>
                <w:szCs w:val="20"/>
              </w:rPr>
              <w:t xml:space="preserve"> vulnerable consumers outlined in the report</w:t>
            </w:r>
            <w:r>
              <w:rPr>
                <w:szCs w:val="20"/>
              </w:rPr>
              <w:t xml:space="preserve">, and the existing regulatory framework in the sector, Treasury considers the privacy impact of sharing information about a use of a product is not sufficient to necessitate the exclusion of this information from designation. </w:t>
            </w:r>
          </w:p>
          <w:p w14:paraId="5D49E7E7" w14:textId="2ED784CA" w:rsidR="00AC2612" w:rsidRPr="00B44950" w:rsidRDefault="0069210F" w:rsidP="00C7185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Cs w:val="20"/>
              </w:rPr>
            </w:pPr>
            <w:r w:rsidRPr="00BB0856">
              <w:rPr>
                <w:szCs w:val="20"/>
              </w:rPr>
              <w:t xml:space="preserve">With respect to the ACCC’s and the joint consumer group’s recommendation regarding the need for a fiduciary duty, Treasury will consider this </w:t>
            </w:r>
            <w:r w:rsidRPr="00BB0856">
              <w:rPr>
                <w:szCs w:val="20"/>
              </w:rPr>
              <w:lastRenderedPageBreak/>
              <w:t xml:space="preserve">recommendation in the context of the broader CDR framework. </w:t>
            </w:r>
          </w:p>
        </w:tc>
      </w:tr>
      <w:tr w:rsidR="00432497" w:rsidRPr="00B44950" w14:paraId="062F3291" w14:textId="77777777" w:rsidTr="007A59B8">
        <w:trPr>
          <w:trHeight w:val="2526"/>
        </w:trPr>
        <w:tc>
          <w:tcPr>
            <w:cnfStyle w:val="001000000000" w:firstRow="0" w:lastRow="0" w:firstColumn="1" w:lastColumn="0" w:oddVBand="0" w:evenVBand="0" w:oddHBand="0" w:evenHBand="0" w:firstRowFirstColumn="0" w:firstRowLastColumn="0" w:lastRowFirstColumn="0" w:lastRowLastColumn="0"/>
            <w:tcW w:w="1041" w:type="dxa"/>
          </w:tcPr>
          <w:p w14:paraId="2E8C7F2F" w14:textId="77777777" w:rsidR="00AC2612" w:rsidRPr="00B44950" w:rsidRDefault="00AC2612" w:rsidP="00AC2612">
            <w:pPr>
              <w:pStyle w:val="ListParagraph"/>
              <w:numPr>
                <w:ilvl w:val="0"/>
                <w:numId w:val="48"/>
              </w:numPr>
              <w:tabs>
                <w:tab w:val="clear" w:pos="340"/>
              </w:tabs>
              <w:spacing w:before="0" w:after="0"/>
              <w:ind w:left="357" w:hanging="357"/>
              <w:contextualSpacing/>
              <w:rPr>
                <w:b w:val="0"/>
                <w:bCs/>
                <w:color w:val="000000"/>
                <w:szCs w:val="20"/>
                <w:shd w:val="clear" w:color="auto" w:fill="FFFFFF"/>
              </w:rPr>
            </w:pPr>
          </w:p>
        </w:tc>
        <w:tc>
          <w:tcPr>
            <w:tcW w:w="2067" w:type="dxa"/>
          </w:tcPr>
          <w:p w14:paraId="5EF80238" w14:textId="1CCF6EB1" w:rsidR="00AC2612" w:rsidRDefault="00AC2612" w:rsidP="000F450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845F0">
              <w:rPr>
                <w:rFonts w:asciiTheme="minorHAnsi" w:hAnsiTheme="minorHAnsi" w:cstheme="minorHAnsi"/>
                <w:color w:val="000000"/>
                <w:sz w:val="20"/>
                <w:szCs w:val="20"/>
              </w:rPr>
              <w:t>Consumer datasets held by government entities</w:t>
            </w:r>
            <w:r>
              <w:rPr>
                <w:rFonts w:asciiTheme="minorHAnsi" w:hAnsiTheme="minorHAnsi" w:cstheme="minorHAnsi"/>
                <w:color w:val="000000"/>
                <w:sz w:val="20"/>
                <w:szCs w:val="20"/>
              </w:rPr>
              <w:t xml:space="preserve"> (for example, tax information held by the ATO)</w:t>
            </w:r>
            <w:r w:rsidR="002E19B5">
              <w:rPr>
                <w:rFonts w:asciiTheme="minorHAnsi" w:hAnsiTheme="minorHAnsi" w:cstheme="minorHAnsi"/>
                <w:color w:val="000000"/>
                <w:sz w:val="20"/>
                <w:szCs w:val="20"/>
              </w:rPr>
              <w:t>.</w:t>
            </w:r>
            <w:r>
              <w:rPr>
                <w:rStyle w:val="FootnoteReference"/>
                <w:rFonts w:asciiTheme="minorHAnsi" w:hAnsiTheme="minorHAnsi" w:cstheme="minorHAnsi"/>
                <w:color w:val="000000"/>
                <w:sz w:val="20"/>
                <w:szCs w:val="20"/>
              </w:rPr>
              <w:footnoteReference w:id="98"/>
            </w:r>
          </w:p>
          <w:p w14:paraId="6B79F782" w14:textId="77777777" w:rsidR="00AC2612" w:rsidRPr="00F845F0" w:rsidRDefault="00AC2612" w:rsidP="000F450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p w14:paraId="411915E9" w14:textId="77777777" w:rsidR="00AC2612" w:rsidRPr="002042D9"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color w:val="000000"/>
                <w:szCs w:val="20"/>
                <w:shd w:val="clear" w:color="auto" w:fill="FFFFFF"/>
              </w:rPr>
            </w:pPr>
          </w:p>
        </w:tc>
        <w:tc>
          <w:tcPr>
            <w:tcW w:w="3575" w:type="dxa"/>
          </w:tcPr>
          <w:p w14:paraId="7A6A63D5" w14:textId="494E2346" w:rsidR="005167C2" w:rsidRPr="001A7184" w:rsidRDefault="00AC2612" w:rsidP="00C7185E">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 xml:space="preserve">The OAIC raised concerns about the potential designation of government held datasets. </w:t>
            </w:r>
            <w:r w:rsidRPr="002042D9">
              <w:rPr>
                <w:rFonts w:asciiTheme="minorHAnsi" w:hAnsiTheme="minorHAnsi" w:cstheme="minorHAnsi"/>
                <w:color w:val="000000"/>
                <w:sz w:val="20"/>
                <w:szCs w:val="20"/>
              </w:rPr>
              <w:t xml:space="preserve">The OAIC </w:t>
            </w:r>
            <w:r>
              <w:rPr>
                <w:rFonts w:asciiTheme="minorHAnsi" w:hAnsiTheme="minorHAnsi" w:cstheme="minorHAnsi"/>
                <w:color w:val="000000"/>
                <w:sz w:val="20"/>
                <w:szCs w:val="20"/>
              </w:rPr>
              <w:t>considers</w:t>
            </w:r>
            <w:r w:rsidRPr="002042D9">
              <w:rPr>
                <w:rFonts w:asciiTheme="minorHAnsi" w:hAnsiTheme="minorHAnsi" w:cstheme="minorHAnsi"/>
                <w:color w:val="000000"/>
                <w:sz w:val="20"/>
                <w:szCs w:val="20"/>
              </w:rPr>
              <w:t xml:space="preserve"> that privacy risks are heightened in government-held personal information, which is often collected on a compulsory basis</w:t>
            </w:r>
            <w:r>
              <w:rPr>
                <w:rStyle w:val="FootnoteReference"/>
                <w:rFonts w:asciiTheme="minorHAnsi" w:hAnsiTheme="minorHAnsi" w:cstheme="minorHAnsi"/>
                <w:color w:val="000000"/>
                <w:sz w:val="20"/>
                <w:szCs w:val="20"/>
              </w:rPr>
              <w:footnoteReference w:id="99"/>
            </w:r>
            <w:r w:rsidRPr="002042D9">
              <w:rPr>
                <w:rFonts w:asciiTheme="minorHAnsi" w:hAnsiTheme="minorHAnsi" w:cstheme="minorHAnsi"/>
                <w:color w:val="000000"/>
                <w:sz w:val="20"/>
                <w:szCs w:val="20"/>
              </w:rPr>
              <w:t xml:space="preserve"> </w:t>
            </w:r>
            <w:r>
              <w:rPr>
                <w:rFonts w:asciiTheme="minorHAnsi" w:hAnsiTheme="minorHAnsi" w:cstheme="minorHAnsi"/>
                <w:color w:val="000000"/>
                <w:sz w:val="20"/>
                <w:szCs w:val="20"/>
              </w:rPr>
              <w:t>as</w:t>
            </w:r>
            <w:r w:rsidRPr="002042D9">
              <w:rPr>
                <w:rFonts w:asciiTheme="minorHAnsi" w:hAnsiTheme="minorHAnsi" w:cstheme="minorHAnsi"/>
                <w:color w:val="000000"/>
                <w:sz w:val="20"/>
                <w:szCs w:val="20"/>
              </w:rPr>
              <w:t xml:space="preserve"> </w:t>
            </w:r>
            <w:r>
              <w:rPr>
                <w:rFonts w:asciiTheme="minorHAnsi" w:hAnsiTheme="minorHAnsi" w:cstheme="minorHAnsi"/>
                <w:color w:val="000000"/>
                <w:sz w:val="20"/>
                <w:szCs w:val="20"/>
              </w:rPr>
              <w:t>s</w:t>
            </w:r>
            <w:r w:rsidRPr="002042D9">
              <w:rPr>
                <w:rFonts w:asciiTheme="minorHAnsi" w:hAnsiTheme="minorHAnsi" w:cstheme="minorHAnsi"/>
                <w:color w:val="000000"/>
                <w:sz w:val="20"/>
                <w:szCs w:val="20"/>
              </w:rPr>
              <w:t xml:space="preserve">uch data is often sensitive </w:t>
            </w:r>
            <w:r>
              <w:rPr>
                <w:rFonts w:asciiTheme="minorHAnsi" w:hAnsiTheme="minorHAnsi" w:cstheme="minorHAnsi"/>
                <w:color w:val="000000"/>
                <w:sz w:val="20"/>
                <w:szCs w:val="20"/>
              </w:rPr>
              <w:t>or</w:t>
            </w:r>
            <w:r w:rsidRPr="002042D9">
              <w:rPr>
                <w:rFonts w:asciiTheme="minorHAnsi" w:hAnsiTheme="minorHAnsi" w:cstheme="minorHAnsi"/>
                <w:color w:val="000000"/>
                <w:sz w:val="20"/>
                <w:szCs w:val="20"/>
              </w:rPr>
              <w:t xml:space="preserve"> can become sensitive when linked with other datasets.</w:t>
            </w:r>
            <w:r w:rsidRPr="002042D9">
              <w:rPr>
                <w:rStyle w:val="FootnoteReference"/>
                <w:rFonts w:asciiTheme="minorHAnsi" w:hAnsiTheme="minorHAnsi" w:cstheme="minorHAnsi"/>
                <w:color w:val="000000"/>
                <w:sz w:val="20"/>
                <w:szCs w:val="20"/>
              </w:rPr>
              <w:footnoteReference w:id="100"/>
            </w:r>
          </w:p>
        </w:tc>
        <w:tc>
          <w:tcPr>
            <w:tcW w:w="3969" w:type="dxa"/>
          </w:tcPr>
          <w:p w14:paraId="5E84DA90" w14:textId="77777777" w:rsidR="00AC2612" w:rsidRPr="00B544E3"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Pr>
                <w:szCs w:val="20"/>
              </w:rPr>
              <w:t>Government held datasets are not proposed for designation as part of the proposed extension to non-bank lending. Should government datasets be proposed for designation in the future, a separate assessment examining the impact of designating those datasets on the privacy of consumers will be conducted at that time.</w:t>
            </w:r>
          </w:p>
        </w:tc>
        <w:tc>
          <w:tcPr>
            <w:tcW w:w="3969" w:type="dxa"/>
          </w:tcPr>
          <w:p w14:paraId="29C1ADA4" w14:textId="77777777" w:rsidR="00AC2612" w:rsidRPr="00B44950"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tc>
      </w:tr>
      <w:tr w:rsidR="003D71A6" w:rsidRPr="00B44950" w14:paraId="11E138DD" w14:textId="77777777" w:rsidTr="00AC2612">
        <w:trPr>
          <w:trHeight w:val="155"/>
        </w:trPr>
        <w:tc>
          <w:tcPr>
            <w:cnfStyle w:val="001000000000" w:firstRow="0" w:lastRow="0" w:firstColumn="1" w:lastColumn="0" w:oddVBand="0" w:evenVBand="0" w:oddHBand="0" w:evenHBand="0" w:firstRowFirstColumn="0" w:firstRowLastColumn="0" w:lastRowFirstColumn="0" w:lastRowLastColumn="0"/>
            <w:tcW w:w="14621" w:type="dxa"/>
            <w:gridSpan w:val="5"/>
            <w:shd w:val="clear" w:color="auto" w:fill="CDF7EB" w:themeFill="accent3" w:themeFillTint="33"/>
          </w:tcPr>
          <w:p w14:paraId="5BB38AD0" w14:textId="77777777" w:rsidR="00AC2612" w:rsidRPr="008E666D" w:rsidRDefault="00AC2612" w:rsidP="000F4503">
            <w:pPr>
              <w:rPr>
                <w:rFonts w:cstheme="minorHAnsi"/>
                <w:b w:val="0"/>
                <w:szCs w:val="20"/>
              </w:rPr>
            </w:pPr>
            <w:r w:rsidRPr="002042D9">
              <w:rPr>
                <w:rFonts w:cstheme="minorHAnsi"/>
                <w:szCs w:val="20"/>
              </w:rPr>
              <w:t xml:space="preserve">Designation of </w:t>
            </w:r>
            <w:r>
              <w:rPr>
                <w:rFonts w:cstheme="minorHAnsi"/>
                <w:szCs w:val="20"/>
              </w:rPr>
              <w:t xml:space="preserve">‘registrable corporations’ as data holders </w:t>
            </w:r>
          </w:p>
        </w:tc>
      </w:tr>
      <w:tr w:rsidR="00432497" w:rsidRPr="00B44950" w14:paraId="4B9AC014" w14:textId="77777777" w:rsidTr="00AC2612">
        <w:trPr>
          <w:trHeight w:val="919"/>
        </w:trPr>
        <w:tc>
          <w:tcPr>
            <w:cnfStyle w:val="001000000000" w:firstRow="0" w:lastRow="0" w:firstColumn="1" w:lastColumn="0" w:oddVBand="0" w:evenVBand="0" w:oddHBand="0" w:evenHBand="0" w:firstRowFirstColumn="0" w:firstRowLastColumn="0" w:lastRowFirstColumn="0" w:lastRowLastColumn="0"/>
            <w:tcW w:w="1041" w:type="dxa"/>
          </w:tcPr>
          <w:p w14:paraId="084F2DF6" w14:textId="77777777" w:rsidR="00AC2612" w:rsidRPr="00B13555" w:rsidRDefault="00AC2612" w:rsidP="000F4503">
            <w:pPr>
              <w:rPr>
                <w:rFonts w:cstheme="minorHAnsi"/>
                <w:b w:val="0"/>
                <w:szCs w:val="20"/>
              </w:rPr>
            </w:pPr>
            <w:r w:rsidRPr="00B13555">
              <w:rPr>
                <w:rFonts w:cstheme="minorHAnsi"/>
                <w:szCs w:val="20"/>
              </w:rPr>
              <w:t>4.</w:t>
            </w:r>
          </w:p>
        </w:tc>
        <w:tc>
          <w:tcPr>
            <w:tcW w:w="2067" w:type="dxa"/>
          </w:tcPr>
          <w:p w14:paraId="60A2E845"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bCs/>
                <w:szCs w:val="20"/>
              </w:rPr>
            </w:pPr>
            <w:r>
              <w:rPr>
                <w:rFonts w:cstheme="minorHAnsi"/>
                <w:bCs/>
                <w:szCs w:val="20"/>
              </w:rPr>
              <w:t xml:space="preserve">‘Registrable corporations’ as defined in section 7 of the </w:t>
            </w:r>
            <w:r w:rsidRPr="00353598">
              <w:rPr>
                <w:rFonts w:cstheme="minorHAnsi"/>
                <w:bCs/>
                <w:i/>
                <w:iCs/>
                <w:szCs w:val="20"/>
              </w:rPr>
              <w:t>Financial Sector (Collection of Data)</w:t>
            </w:r>
            <w:r>
              <w:rPr>
                <w:rStyle w:val="FootnoteReference"/>
                <w:rFonts w:cstheme="minorHAnsi"/>
                <w:bCs/>
                <w:i/>
                <w:iCs/>
                <w:szCs w:val="20"/>
              </w:rPr>
              <w:footnoteReference w:id="101"/>
            </w:r>
            <w:r w:rsidRPr="00353598">
              <w:rPr>
                <w:rFonts w:cstheme="minorHAnsi"/>
                <w:bCs/>
                <w:i/>
                <w:iCs/>
                <w:szCs w:val="20"/>
              </w:rPr>
              <w:t xml:space="preserve"> Act 2001</w:t>
            </w:r>
            <w:r w:rsidRPr="0098603F">
              <w:rPr>
                <w:rFonts w:cstheme="minorHAnsi"/>
                <w:bCs/>
                <w:szCs w:val="20"/>
              </w:rPr>
              <w:t xml:space="preserve">, </w:t>
            </w:r>
            <w:r>
              <w:rPr>
                <w:rFonts w:cstheme="minorHAnsi"/>
                <w:bCs/>
                <w:szCs w:val="20"/>
              </w:rPr>
              <w:t>are proposed for designation as data holders.</w:t>
            </w:r>
          </w:p>
          <w:p w14:paraId="64B577DB"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20C3EFC4" w14:textId="77777777" w:rsidR="00AC2612" w:rsidRPr="0098603F"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bCs/>
                <w:szCs w:val="20"/>
              </w:rPr>
              <w:t>This definition captures</w:t>
            </w:r>
            <w:r w:rsidRPr="0098603F">
              <w:rPr>
                <w:rFonts w:cstheme="minorHAnsi"/>
                <w:bCs/>
                <w:szCs w:val="20"/>
              </w:rPr>
              <w:t xml:space="preserve"> entities that are engaged in </w:t>
            </w:r>
            <w:r w:rsidRPr="0098603F">
              <w:rPr>
                <w:rFonts w:cstheme="minorHAnsi"/>
                <w:bCs/>
                <w:szCs w:val="20"/>
              </w:rPr>
              <w:lastRenderedPageBreak/>
              <w:t xml:space="preserve">the provision of finance in the course of carrying on business in Australia. </w:t>
            </w:r>
            <w:r>
              <w:rPr>
                <w:rFonts w:cstheme="minorHAnsi"/>
                <w:bCs/>
                <w:szCs w:val="20"/>
              </w:rPr>
              <w:t xml:space="preserve"> </w:t>
            </w:r>
          </w:p>
        </w:tc>
        <w:tc>
          <w:tcPr>
            <w:tcW w:w="3575" w:type="dxa"/>
          </w:tcPr>
          <w:p w14:paraId="17D1F890" w14:textId="77777777" w:rsidR="00AC2612" w:rsidRDefault="00AC2612" w:rsidP="000F450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The OAIC considers </w:t>
            </w:r>
            <w:r w:rsidRPr="00E64A7D">
              <w:rPr>
                <w:rFonts w:asciiTheme="minorHAnsi" w:hAnsiTheme="minorHAnsi" w:cstheme="minorHAnsi"/>
                <w:color w:val="000000"/>
                <w:sz w:val="20"/>
                <w:szCs w:val="20"/>
              </w:rPr>
              <w:t xml:space="preserve">privacy risks could arise in </w:t>
            </w:r>
            <w:r>
              <w:rPr>
                <w:rFonts w:asciiTheme="minorHAnsi" w:hAnsiTheme="minorHAnsi" w:cstheme="minorHAnsi"/>
                <w:color w:val="000000"/>
                <w:sz w:val="20"/>
                <w:szCs w:val="20"/>
              </w:rPr>
              <w:t>the</w:t>
            </w:r>
            <w:r w:rsidRPr="00E64A7D">
              <w:rPr>
                <w:rFonts w:asciiTheme="minorHAnsi" w:hAnsiTheme="minorHAnsi" w:cstheme="minorHAnsi"/>
                <w:color w:val="000000"/>
                <w:sz w:val="20"/>
                <w:szCs w:val="20"/>
              </w:rPr>
              <w:t xml:space="preserve"> NBL sector due to the </w:t>
            </w:r>
            <w:r>
              <w:rPr>
                <w:rFonts w:asciiTheme="minorHAnsi" w:hAnsiTheme="minorHAnsi" w:cstheme="minorHAnsi"/>
                <w:color w:val="000000"/>
                <w:sz w:val="20"/>
                <w:szCs w:val="20"/>
              </w:rPr>
              <w:t>level of technological sophistication, privacy</w:t>
            </w:r>
            <w:r w:rsidRPr="00E64A7D">
              <w:rPr>
                <w:rFonts w:asciiTheme="minorHAnsi" w:hAnsiTheme="minorHAnsi" w:cstheme="minorHAnsi"/>
                <w:color w:val="000000"/>
                <w:sz w:val="20"/>
                <w:szCs w:val="20"/>
              </w:rPr>
              <w:t xml:space="preserve"> and </w:t>
            </w:r>
            <w:r>
              <w:rPr>
                <w:rFonts w:asciiTheme="minorHAnsi" w:hAnsiTheme="minorHAnsi" w:cstheme="minorHAnsi"/>
                <w:color w:val="000000"/>
                <w:sz w:val="20"/>
                <w:szCs w:val="20"/>
              </w:rPr>
              <w:t>data security awareness and governance</w:t>
            </w:r>
            <w:r w:rsidRPr="00E64A7D">
              <w:rPr>
                <w:rFonts w:asciiTheme="minorHAnsi" w:hAnsiTheme="minorHAnsi" w:cstheme="minorHAnsi"/>
                <w:color w:val="000000"/>
                <w:sz w:val="20"/>
                <w:szCs w:val="20"/>
              </w:rPr>
              <w:t xml:space="preserve"> maturity of </w:t>
            </w:r>
            <w:r>
              <w:rPr>
                <w:rFonts w:asciiTheme="minorHAnsi" w:hAnsiTheme="minorHAnsi" w:cstheme="minorHAnsi"/>
                <w:color w:val="000000"/>
                <w:sz w:val="20"/>
                <w:szCs w:val="20"/>
              </w:rPr>
              <w:t xml:space="preserve">certain non-bank lenders. </w:t>
            </w:r>
          </w:p>
          <w:p w14:paraId="6D39754A" w14:textId="77777777" w:rsidR="00AC2612" w:rsidRPr="00864730" w:rsidRDefault="00AC2612" w:rsidP="000F450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042D9">
              <w:rPr>
                <w:rFonts w:asciiTheme="minorHAnsi" w:hAnsiTheme="minorHAnsi" w:cstheme="minorHAnsi"/>
                <w:color w:val="000000"/>
                <w:sz w:val="20"/>
                <w:szCs w:val="20"/>
              </w:rPr>
              <w:t>The OAIC notes the</w:t>
            </w:r>
            <w:r w:rsidRPr="002042D9">
              <w:rPr>
                <w:rFonts w:asciiTheme="minorHAnsi" w:hAnsiTheme="minorHAnsi" w:cstheme="minorHAnsi"/>
                <w:sz w:val="20"/>
                <w:szCs w:val="20"/>
              </w:rPr>
              <w:t xml:space="preserve"> potential NBL data holder cohort appears to engage in a broader range of activities and practices than the data holder cohort in the banking </w:t>
            </w:r>
            <w:r w:rsidRPr="002042D9">
              <w:rPr>
                <w:rFonts w:asciiTheme="minorHAnsi" w:hAnsiTheme="minorHAnsi" w:cstheme="minorHAnsi"/>
                <w:sz w:val="20"/>
                <w:szCs w:val="20"/>
              </w:rPr>
              <w:lastRenderedPageBreak/>
              <w:t>sector and potentially interacts with consumers who are unable to access the banking sector.</w:t>
            </w:r>
            <w:r w:rsidRPr="002042D9">
              <w:rPr>
                <w:rStyle w:val="FootnoteReference"/>
                <w:rFonts w:asciiTheme="minorHAnsi" w:hAnsiTheme="minorHAnsi" w:cstheme="minorHAnsi"/>
                <w:sz w:val="20"/>
                <w:szCs w:val="20"/>
              </w:rPr>
              <w:footnoteReference w:id="102"/>
            </w:r>
            <w:r w:rsidRPr="002042D9">
              <w:rPr>
                <w:rFonts w:asciiTheme="minorHAnsi" w:hAnsiTheme="minorHAnsi" w:cstheme="minorHAnsi"/>
                <w:sz w:val="20"/>
                <w:szCs w:val="20"/>
              </w:rPr>
              <w:t xml:space="preserve"> </w:t>
            </w:r>
          </w:p>
          <w:p w14:paraId="505594F0" w14:textId="77777777" w:rsidR="00AC2612" w:rsidRPr="00EC2230" w:rsidRDefault="00AC2612" w:rsidP="000F450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2042D9">
              <w:rPr>
                <w:rFonts w:asciiTheme="minorHAnsi" w:hAnsiTheme="minorHAnsi" w:cstheme="minorHAnsi"/>
                <w:color w:val="000000"/>
                <w:sz w:val="20"/>
                <w:szCs w:val="20"/>
              </w:rPr>
              <w:t>The OAIC</w:t>
            </w:r>
            <w:r w:rsidRPr="002042D9" w:rsidDel="006A7496">
              <w:rPr>
                <w:rFonts w:asciiTheme="minorHAnsi" w:hAnsiTheme="minorHAnsi" w:cstheme="minorHAnsi"/>
                <w:color w:val="000000"/>
                <w:sz w:val="20"/>
                <w:szCs w:val="20"/>
              </w:rPr>
              <w:t xml:space="preserve"> </w:t>
            </w:r>
            <w:r w:rsidRPr="002042D9">
              <w:rPr>
                <w:rFonts w:asciiTheme="minorHAnsi" w:hAnsiTheme="minorHAnsi" w:cstheme="minorHAnsi"/>
                <w:color w:val="000000"/>
                <w:sz w:val="20"/>
                <w:szCs w:val="20"/>
              </w:rPr>
              <w:t>also notes that the</w:t>
            </w:r>
            <w:r w:rsidRPr="002042D9">
              <w:rPr>
                <w:rFonts w:asciiTheme="minorHAnsi" w:hAnsiTheme="minorHAnsi" w:cstheme="minorHAnsi"/>
                <w:sz w:val="20"/>
                <w:szCs w:val="20"/>
              </w:rPr>
              <w:t xml:space="preserve"> potential data holder cohort for NBL is likely to contain a higher proportion of entities that have fewer resources and less capability to comply with regulatory frameworks such as the CDR. The NBL sector may have greater variation in regulatory capability when compared to the banking sector.</w:t>
            </w:r>
          </w:p>
          <w:p w14:paraId="7E3F9B2B" w14:textId="77777777" w:rsidR="00AC2612" w:rsidRPr="008E666D"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b/>
                <w:szCs w:val="20"/>
              </w:rPr>
            </w:pPr>
            <w:r w:rsidRPr="00083592">
              <w:rPr>
                <w:rFonts w:cstheme="minorHAnsi"/>
                <w:szCs w:val="20"/>
              </w:rPr>
              <w:t xml:space="preserve">The OAIC also raised a related concern about the capability of entities that are not subject to the </w:t>
            </w:r>
            <w:r w:rsidRPr="00083592">
              <w:rPr>
                <w:rFonts w:cstheme="minorHAnsi"/>
                <w:i/>
                <w:szCs w:val="20"/>
              </w:rPr>
              <w:t>Privacy Act 1988</w:t>
            </w:r>
            <w:r w:rsidRPr="00083592">
              <w:rPr>
                <w:rFonts w:cstheme="minorHAnsi"/>
                <w:szCs w:val="20"/>
              </w:rPr>
              <w:t xml:space="preserve"> Cth and the Australian Privacy Principles</w:t>
            </w:r>
            <w:r w:rsidRPr="00083592">
              <w:rPr>
                <w:rStyle w:val="FootnoteReference"/>
                <w:rFonts w:cstheme="minorHAnsi"/>
                <w:szCs w:val="20"/>
              </w:rPr>
              <w:footnoteReference w:id="103"/>
            </w:r>
            <w:r w:rsidRPr="00083592">
              <w:rPr>
                <w:rFonts w:cstheme="minorHAnsi"/>
                <w:szCs w:val="20"/>
              </w:rPr>
              <w:t xml:space="preserve"> to meet data handling-related CDR obligations in the event these entities are able to participate in the CDR using other pathways that allow for “lower levels of accreditation”, for example through sponsored accreditation.</w:t>
            </w:r>
            <w:r w:rsidRPr="00083592">
              <w:rPr>
                <w:rStyle w:val="FootnoteReference"/>
                <w:rFonts w:cstheme="minorHAnsi"/>
                <w:szCs w:val="20"/>
              </w:rPr>
              <w:footnoteReference w:id="104"/>
            </w:r>
          </w:p>
        </w:tc>
        <w:tc>
          <w:tcPr>
            <w:tcW w:w="3969" w:type="dxa"/>
          </w:tcPr>
          <w:p w14:paraId="6930B49C"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bCs/>
                <w:szCs w:val="20"/>
              </w:rPr>
            </w:pPr>
            <w:r>
              <w:rPr>
                <w:szCs w:val="20"/>
              </w:rPr>
              <w:lastRenderedPageBreak/>
              <w:t xml:space="preserve">The designation instrument specifies the broad class or classes of persons who hold the designation data (the data holders) and the rules specify what is ‘required’ CDR data that must be shared and by whom. </w:t>
            </w:r>
            <w:r w:rsidRPr="002B3391">
              <w:rPr>
                <w:szCs w:val="20"/>
              </w:rPr>
              <w:t xml:space="preserve">The rules can narrow the scope of data holders required to share CDR data by applying a </w:t>
            </w:r>
            <w:r w:rsidRPr="00A4374A">
              <w:rPr>
                <w:i/>
                <w:iCs/>
                <w:szCs w:val="20"/>
              </w:rPr>
              <w:t>de minimis</w:t>
            </w:r>
            <w:r w:rsidRPr="002B3391">
              <w:rPr>
                <w:szCs w:val="20"/>
              </w:rPr>
              <w:t xml:space="preserve"> threshold, which would have the effect of excluding data holders below a certain threshold (using a metric like business type, customer level or revenue for example) from mandatory data sharing </w:t>
            </w:r>
            <w:r w:rsidRPr="002B3391">
              <w:rPr>
                <w:szCs w:val="20"/>
              </w:rPr>
              <w:lastRenderedPageBreak/>
              <w:t>obligations.</w:t>
            </w:r>
            <w:r>
              <w:rPr>
                <w:szCs w:val="20"/>
              </w:rPr>
              <w:t xml:space="preserve"> A </w:t>
            </w:r>
            <w:r w:rsidRPr="007F45F5">
              <w:rPr>
                <w:i/>
                <w:iCs/>
                <w:szCs w:val="20"/>
              </w:rPr>
              <w:t>de minimis</w:t>
            </w:r>
            <w:r>
              <w:rPr>
                <w:szCs w:val="20"/>
              </w:rPr>
              <w:t xml:space="preserve"> threshold has been implemented in the energy rules and is being considered in telecommunications. </w:t>
            </w:r>
            <w:r w:rsidRPr="002C1F9D">
              <w:rPr>
                <w:rFonts w:cstheme="minorHAnsi"/>
                <w:szCs w:val="20"/>
              </w:rPr>
              <w:t>E</w:t>
            </w:r>
            <w:r>
              <w:rPr>
                <w:rFonts w:cstheme="minorHAnsi"/>
                <w:bCs/>
                <w:szCs w:val="20"/>
              </w:rPr>
              <w:t xml:space="preserve">ntities under the </w:t>
            </w:r>
            <w:r w:rsidRPr="007451E6">
              <w:rPr>
                <w:rFonts w:cstheme="minorHAnsi"/>
                <w:bCs/>
                <w:i/>
                <w:iCs/>
                <w:szCs w:val="20"/>
              </w:rPr>
              <w:t>de</w:t>
            </w:r>
            <w:r w:rsidRPr="007451E6">
              <w:rPr>
                <w:rFonts w:cstheme="minorHAnsi"/>
                <w:i/>
                <w:szCs w:val="20"/>
              </w:rPr>
              <w:t xml:space="preserve"> minimis</w:t>
            </w:r>
            <w:r>
              <w:rPr>
                <w:rFonts w:cstheme="minorHAnsi"/>
                <w:bCs/>
                <w:szCs w:val="20"/>
              </w:rPr>
              <w:t xml:space="preserve"> threshold are not subject to mandatory data sharing obligations, however they are able to elect to share CDR data on a voluntary basis.</w:t>
            </w:r>
          </w:p>
          <w:p w14:paraId="0C8DA568"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310F4D5D" w14:textId="77777777" w:rsidR="00AC2612" w:rsidRPr="007072F1"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Pr>
                <w:szCs w:val="20"/>
              </w:rPr>
              <w:t>A</w:t>
            </w:r>
            <w:r w:rsidRPr="007072F1">
              <w:rPr>
                <w:szCs w:val="20"/>
              </w:rPr>
              <w:t xml:space="preserve"> data holder must comply with privacy obligations relating to:</w:t>
            </w:r>
          </w:p>
          <w:p w14:paraId="3317C6AC" w14:textId="77777777" w:rsidR="00AC2612" w:rsidRDefault="00AC2612" w:rsidP="000F4503">
            <w:pPr>
              <w:spacing w:after="160"/>
              <w:cnfStyle w:val="000000000000" w:firstRow="0" w:lastRow="0" w:firstColumn="0" w:lastColumn="0" w:oddVBand="0" w:evenVBand="0" w:oddHBand="0" w:evenHBand="0" w:firstRowFirstColumn="0" w:firstRowLastColumn="0" w:lastRowFirstColumn="0" w:lastRowLastColumn="0"/>
              <w:rPr>
                <w:szCs w:val="20"/>
              </w:rPr>
            </w:pPr>
            <w:r w:rsidRPr="007072F1">
              <w:rPr>
                <w:szCs w:val="20"/>
              </w:rPr>
              <w:t>Privacy Safeguards 1 (open and transparent management of CDR data), 10 (notifying of the disclosure of CDR data), 11 (quality of CDR data) and 13 (correction of CDR data)</w:t>
            </w:r>
            <w:r>
              <w:rPr>
                <w:szCs w:val="20"/>
              </w:rPr>
              <w:t>. Entities that fall under the threshold who voluntarily elect to participate in the CDR as data holder would be subject to these same privacy obligations.</w:t>
            </w:r>
          </w:p>
          <w:p w14:paraId="322D7ED0" w14:textId="77777777" w:rsidR="00AC2612" w:rsidRPr="00196CF0" w:rsidRDefault="00AC2612" w:rsidP="000F4503">
            <w:pPr>
              <w:spacing w:after="160"/>
              <w:cnfStyle w:val="000000000000" w:firstRow="0" w:lastRow="0" w:firstColumn="0" w:lastColumn="0" w:oddVBand="0" w:evenVBand="0" w:oddHBand="0" w:evenHBand="0" w:firstRowFirstColumn="0" w:firstRowLastColumn="0" w:lastRowFirstColumn="0" w:lastRowLastColumn="0"/>
              <w:rPr>
                <w:szCs w:val="20"/>
              </w:rPr>
            </w:pPr>
            <w:r>
              <w:rPr>
                <w:szCs w:val="20"/>
              </w:rPr>
              <w:t>Regarding the OAIC’s concern about</w:t>
            </w:r>
            <w:r w:rsidRPr="00083592">
              <w:rPr>
                <w:szCs w:val="20"/>
              </w:rPr>
              <w:t xml:space="preserve"> entities </w:t>
            </w:r>
            <w:r>
              <w:rPr>
                <w:szCs w:val="20"/>
              </w:rPr>
              <w:t>not subject to the Privacy meeting data-related CDR obligation,</w:t>
            </w:r>
            <w:r w:rsidRPr="00083592">
              <w:rPr>
                <w:szCs w:val="20"/>
              </w:rPr>
              <w:t xml:space="preserve"> entities accessing CDR data through either a CDR representative or sponsorship arrangement are still required to comply with the CDR’s information security and data privacy </w:t>
            </w:r>
            <w:r w:rsidRPr="00083592">
              <w:rPr>
                <w:szCs w:val="20"/>
              </w:rPr>
              <w:lastRenderedPageBreak/>
              <w:t xml:space="preserve">safeguard requirements. A person with sponsored accreditation, as an accredited person, is required to fulfil the same obligations as other accredited persons, including the obligations to comply with the CDR’s information security requirements, privacy safeguards and consent rules. The CDR representative model enables unaccredited persons to provide goods and services to consumers using CDR data in circumstances where they are in a contractual arrangement with an unrestricted accredited person who is liable for them. A CDR representative’s principal ADR breaches the </w:t>
            </w:r>
            <w:r>
              <w:rPr>
                <w:szCs w:val="20"/>
              </w:rPr>
              <w:t>CDR r</w:t>
            </w:r>
            <w:r w:rsidRPr="00083592">
              <w:rPr>
                <w:szCs w:val="20"/>
              </w:rPr>
              <w:t>ules</w:t>
            </w:r>
            <w:r>
              <w:rPr>
                <w:szCs w:val="20"/>
              </w:rPr>
              <w:t xml:space="preserve"> (and potentially face enforcement action)</w:t>
            </w:r>
            <w:r w:rsidRPr="00083592">
              <w:rPr>
                <w:szCs w:val="20"/>
              </w:rPr>
              <w:t xml:space="preserve"> if its CDR representative does not comply with the privacy safeguards and other mandatory requirements.</w:t>
            </w:r>
            <w:r>
              <w:rPr>
                <w:szCs w:val="20"/>
              </w:rPr>
              <w:t xml:space="preserve"> Treasury also notes the OAIC’s concern is not specific to the non-bank lenders, a separate PIA (and agency response) considering the privacy impact of entities accessing CDR data through new accreditation pathways was conducted at the time these rules changes were being contemplated. </w:t>
            </w:r>
          </w:p>
        </w:tc>
        <w:tc>
          <w:tcPr>
            <w:tcW w:w="3969" w:type="dxa"/>
          </w:tcPr>
          <w:p w14:paraId="1666D299"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bCs/>
                <w:szCs w:val="20"/>
              </w:rPr>
            </w:pPr>
            <w:r w:rsidRPr="003B3839">
              <w:rPr>
                <w:rFonts w:cstheme="minorHAnsi"/>
                <w:bCs/>
                <w:szCs w:val="20"/>
              </w:rPr>
              <w:lastRenderedPageBreak/>
              <w:t xml:space="preserve">As outlined in the </w:t>
            </w:r>
            <w:r>
              <w:rPr>
                <w:rFonts w:cstheme="minorHAnsi"/>
                <w:bCs/>
                <w:szCs w:val="20"/>
              </w:rPr>
              <w:t>Report, f</w:t>
            </w:r>
            <w:r w:rsidRPr="006E31E6">
              <w:rPr>
                <w:rFonts w:cstheme="minorHAnsi"/>
                <w:bCs/>
                <w:szCs w:val="20"/>
              </w:rPr>
              <w:t>eedback</w:t>
            </w:r>
            <w:r>
              <w:rPr>
                <w:rFonts w:cstheme="minorHAnsi"/>
                <w:bCs/>
                <w:szCs w:val="20"/>
              </w:rPr>
              <w:t xml:space="preserve"> received </w:t>
            </w:r>
            <w:bookmarkStart w:id="60" w:name="_Hlk106289874"/>
            <w:r>
              <w:rPr>
                <w:rFonts w:cstheme="minorHAnsi"/>
                <w:bCs/>
                <w:szCs w:val="20"/>
              </w:rPr>
              <w:t>during consultation</w:t>
            </w:r>
            <w:r w:rsidRPr="006E31E6">
              <w:rPr>
                <w:rFonts w:cstheme="minorHAnsi"/>
                <w:bCs/>
                <w:szCs w:val="20"/>
              </w:rPr>
              <w:t xml:space="preserve"> supported taking a broad approach to designating non-bank lenders to ensure </w:t>
            </w:r>
            <w:r>
              <w:rPr>
                <w:rFonts w:cstheme="minorHAnsi"/>
                <w:bCs/>
                <w:szCs w:val="20"/>
              </w:rPr>
              <w:t>the designation instrument</w:t>
            </w:r>
            <w:r w:rsidRPr="006E31E6">
              <w:rPr>
                <w:rFonts w:cstheme="minorHAnsi"/>
                <w:bCs/>
                <w:szCs w:val="20"/>
              </w:rPr>
              <w:t xml:space="preserve"> captured all entities that provided lending products to consumers</w:t>
            </w:r>
            <w:bookmarkEnd w:id="60"/>
            <w:r>
              <w:rPr>
                <w:rFonts w:cstheme="minorHAnsi"/>
                <w:bCs/>
                <w:szCs w:val="20"/>
              </w:rPr>
              <w:t xml:space="preserve">. A broad approach means that entities that provide lending products to consumers but which are excluded from mandatory data sharing obligation through the application of a </w:t>
            </w:r>
            <w:r w:rsidRPr="00383A0A">
              <w:rPr>
                <w:rFonts w:cstheme="minorHAnsi"/>
                <w:bCs/>
                <w:i/>
                <w:iCs/>
                <w:szCs w:val="20"/>
              </w:rPr>
              <w:t>d</w:t>
            </w:r>
            <w:r>
              <w:rPr>
                <w:rFonts w:cstheme="minorHAnsi"/>
                <w:bCs/>
                <w:i/>
                <w:iCs/>
                <w:szCs w:val="20"/>
              </w:rPr>
              <w:t>e</w:t>
            </w:r>
            <w:r w:rsidRPr="00383A0A">
              <w:rPr>
                <w:rFonts w:cstheme="minorHAnsi"/>
                <w:bCs/>
                <w:i/>
                <w:iCs/>
                <w:szCs w:val="20"/>
              </w:rPr>
              <w:t xml:space="preserve"> minimis</w:t>
            </w:r>
            <w:r>
              <w:rPr>
                <w:rFonts w:cstheme="minorHAnsi"/>
                <w:bCs/>
                <w:szCs w:val="20"/>
              </w:rPr>
              <w:t xml:space="preserve"> threshold would still be able to share their data with ADRs on a voluntary </w:t>
            </w:r>
            <w:r>
              <w:rPr>
                <w:rFonts w:cstheme="minorHAnsi"/>
                <w:bCs/>
                <w:szCs w:val="20"/>
              </w:rPr>
              <w:lastRenderedPageBreak/>
              <w:t xml:space="preserve">basis, should the entity see commercial value in doing so. </w:t>
            </w:r>
          </w:p>
          <w:p w14:paraId="01A9F3AE"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6FF6013F" w14:textId="2BD83ACC" w:rsidR="00AC2612" w:rsidRPr="00101DFF"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bCs/>
                <w:szCs w:val="20"/>
              </w:rPr>
              <w:t>I</w:t>
            </w:r>
            <w:r w:rsidRPr="00F263AF">
              <w:rPr>
                <w:rFonts w:cstheme="minorHAnsi"/>
                <w:bCs/>
                <w:szCs w:val="20"/>
              </w:rPr>
              <w:t>f the Collection of Data Act definition is ultimately leveraged as the definition of data holder in the non-bank lending designation instrument</w:t>
            </w:r>
            <w:r>
              <w:rPr>
                <w:rFonts w:cstheme="minorHAnsi"/>
                <w:bCs/>
                <w:szCs w:val="20"/>
              </w:rPr>
              <w:t xml:space="preserve"> as is proposed</w:t>
            </w:r>
            <w:r w:rsidRPr="00F263AF">
              <w:rPr>
                <w:rFonts w:cstheme="minorHAnsi"/>
                <w:bCs/>
                <w:szCs w:val="20"/>
              </w:rPr>
              <w:t>, not every entity subject to this act would necessarily be required to participate in the CDR and comply with mandatory data sharing obligations.</w:t>
            </w:r>
            <w:r>
              <w:rPr>
                <w:rFonts w:cstheme="minorHAnsi"/>
                <w:bCs/>
                <w:szCs w:val="20"/>
              </w:rPr>
              <w:t xml:space="preserve"> The report recommends that the rules impose a </w:t>
            </w:r>
            <w:r>
              <w:rPr>
                <w:rFonts w:cstheme="minorHAnsi"/>
                <w:bCs/>
                <w:i/>
                <w:iCs/>
                <w:szCs w:val="20"/>
              </w:rPr>
              <w:t>de minimis</w:t>
            </w:r>
            <w:r>
              <w:rPr>
                <w:rFonts w:cstheme="minorHAnsi"/>
                <w:bCs/>
                <w:szCs w:val="20"/>
              </w:rPr>
              <w:t xml:space="preserve"> threshold excluding smaller non-bank lenders from designation. </w:t>
            </w:r>
            <w:r w:rsidRPr="00691C7E">
              <w:rPr>
                <w:rFonts w:cstheme="minorHAnsi"/>
                <w:i/>
                <w:szCs w:val="20"/>
              </w:rPr>
              <w:t xml:space="preserve">When considering the appropriate metric and threshold for the </w:t>
            </w:r>
            <w:r>
              <w:rPr>
                <w:rFonts w:cstheme="minorHAnsi"/>
                <w:bCs/>
                <w:i/>
                <w:iCs/>
                <w:szCs w:val="20"/>
              </w:rPr>
              <w:t xml:space="preserve">de minimis </w:t>
            </w:r>
            <w:r w:rsidRPr="00691C7E">
              <w:rPr>
                <w:rFonts w:cstheme="minorHAnsi"/>
                <w:i/>
                <w:szCs w:val="20"/>
              </w:rPr>
              <w:t xml:space="preserve">at the rule-making stage, Treasury recommends the rules take into account the regulatory maturity, </w:t>
            </w:r>
            <w:r w:rsidRPr="00691C7E">
              <w:rPr>
                <w:rFonts w:cstheme="minorHAnsi"/>
                <w:i/>
                <w:color w:val="000000"/>
                <w:szCs w:val="20"/>
              </w:rPr>
              <w:t>technological sophistication and privacy and data security awareness</w:t>
            </w:r>
            <w:r w:rsidRPr="00691C7E">
              <w:rPr>
                <w:rFonts w:cstheme="minorHAnsi"/>
                <w:i/>
                <w:szCs w:val="20"/>
              </w:rPr>
              <w:t xml:space="preserve"> of potential NBL data holders, as well as the size.</w:t>
            </w:r>
          </w:p>
        </w:tc>
      </w:tr>
    </w:tbl>
    <w:p w14:paraId="0AC79DC1" w14:textId="77777777" w:rsidR="00AC2612" w:rsidRDefault="00AC2612" w:rsidP="00AC2612">
      <w:pPr>
        <w:pStyle w:val="Heading2"/>
      </w:pPr>
    </w:p>
    <w:p w14:paraId="26FBAA77" w14:textId="77777777" w:rsidR="00AC2612" w:rsidRPr="00C206D6" w:rsidRDefault="00AC2612" w:rsidP="00AC2612">
      <w:pPr>
        <w:pStyle w:val="Heading2"/>
        <w:rPr>
          <w:sz w:val="24"/>
          <w:szCs w:val="20"/>
        </w:rPr>
      </w:pPr>
      <w:bookmarkStart w:id="61" w:name="_Toc108791873"/>
      <w:bookmarkStart w:id="62" w:name="_Toc108794126"/>
      <w:r w:rsidRPr="00C206D6">
        <w:rPr>
          <w:sz w:val="24"/>
          <w:szCs w:val="20"/>
        </w:rPr>
        <w:t>Part II: general privacy impacts of designation</w:t>
      </w:r>
      <w:bookmarkEnd w:id="61"/>
      <w:bookmarkEnd w:id="62"/>
    </w:p>
    <w:tbl>
      <w:tblPr>
        <w:tblStyle w:val="TableGrid"/>
        <w:tblW w:w="14743" w:type="dxa"/>
        <w:tblInd w:w="-289" w:type="dxa"/>
        <w:tblLayout w:type="fixed"/>
        <w:tblLook w:val="04A0" w:firstRow="1" w:lastRow="0" w:firstColumn="1" w:lastColumn="0" w:noHBand="0" w:noVBand="1"/>
      </w:tblPr>
      <w:tblGrid>
        <w:gridCol w:w="993"/>
        <w:gridCol w:w="2126"/>
        <w:gridCol w:w="3686"/>
        <w:gridCol w:w="3969"/>
        <w:gridCol w:w="3969"/>
      </w:tblGrid>
      <w:tr w:rsidR="004166FA" w:rsidRPr="00B44950" w14:paraId="62DAF2DA" w14:textId="77777777" w:rsidTr="00AC26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Borders>
              <w:bottom w:val="single" w:sz="4" w:space="0" w:color="auto"/>
              <w:right w:val="single" w:sz="4" w:space="0" w:color="auto"/>
            </w:tcBorders>
            <w:shd w:val="clear" w:color="auto" w:fill="001330" w:themeFill="accent1" w:themeFillShade="80"/>
          </w:tcPr>
          <w:p w14:paraId="1FC7574C" w14:textId="77777777" w:rsidR="00AC2612" w:rsidRPr="00B44950" w:rsidRDefault="00AC2612" w:rsidP="000F4503">
            <w:pPr>
              <w:rPr>
                <w:b w:val="0"/>
                <w:bCs/>
                <w:color w:val="FFFFFF" w:themeColor="background1"/>
                <w:szCs w:val="20"/>
              </w:rPr>
            </w:pPr>
            <w:r w:rsidRPr="00B44950">
              <w:rPr>
                <w:bCs/>
                <w:color w:val="FFFFFF" w:themeColor="background1"/>
                <w:szCs w:val="20"/>
              </w:rPr>
              <w:lastRenderedPageBreak/>
              <w:t>No.</w:t>
            </w:r>
          </w:p>
        </w:tc>
        <w:tc>
          <w:tcPr>
            <w:tcW w:w="2126" w:type="dxa"/>
            <w:tcBorders>
              <w:top w:val="single" w:sz="4" w:space="0" w:color="auto"/>
              <w:left w:val="single" w:sz="4" w:space="0" w:color="auto"/>
              <w:bottom w:val="single" w:sz="4" w:space="0" w:color="auto"/>
              <w:right w:val="single" w:sz="4" w:space="0" w:color="auto"/>
            </w:tcBorders>
            <w:shd w:val="clear" w:color="auto" w:fill="001330" w:themeFill="accent1" w:themeFillShade="80"/>
          </w:tcPr>
          <w:p w14:paraId="3D6CBDB3" w14:textId="77777777" w:rsidR="00AC2612" w:rsidRPr="00B44950" w:rsidRDefault="00AC2612" w:rsidP="000F4503">
            <w:pPr>
              <w:cnfStyle w:val="100000000000" w:firstRow="1" w:lastRow="0" w:firstColumn="0" w:lastColumn="0" w:oddVBand="0" w:evenVBand="0" w:oddHBand="0" w:evenHBand="0" w:firstRowFirstColumn="0" w:firstRowLastColumn="0" w:lastRowFirstColumn="0" w:lastRowLastColumn="0"/>
              <w:rPr>
                <w:b w:val="0"/>
                <w:bCs/>
                <w:color w:val="FFFFFF" w:themeColor="background1"/>
                <w:szCs w:val="20"/>
              </w:rPr>
            </w:pPr>
            <w:r>
              <w:rPr>
                <w:bCs/>
                <w:color w:val="FFFFFF" w:themeColor="background1"/>
                <w:szCs w:val="20"/>
              </w:rPr>
              <w:t>Item</w:t>
            </w:r>
          </w:p>
        </w:tc>
        <w:tc>
          <w:tcPr>
            <w:tcW w:w="3686" w:type="dxa"/>
            <w:tcBorders>
              <w:top w:val="single" w:sz="4" w:space="0" w:color="auto"/>
              <w:left w:val="single" w:sz="4" w:space="0" w:color="auto"/>
              <w:bottom w:val="single" w:sz="4" w:space="0" w:color="auto"/>
              <w:right w:val="single" w:sz="4" w:space="0" w:color="auto"/>
            </w:tcBorders>
            <w:shd w:val="clear" w:color="auto" w:fill="001330" w:themeFill="accent1" w:themeFillShade="80"/>
          </w:tcPr>
          <w:p w14:paraId="0FB6539F" w14:textId="77777777" w:rsidR="00AC2612" w:rsidRPr="00B44950" w:rsidRDefault="00AC2612" w:rsidP="000F4503">
            <w:pPr>
              <w:cnfStyle w:val="100000000000" w:firstRow="1" w:lastRow="0" w:firstColumn="0" w:lastColumn="0" w:oddVBand="0" w:evenVBand="0" w:oddHBand="0" w:evenHBand="0" w:firstRowFirstColumn="0" w:firstRowLastColumn="0" w:lastRowFirstColumn="0" w:lastRowLastColumn="0"/>
              <w:rPr>
                <w:b w:val="0"/>
                <w:bCs/>
                <w:color w:val="FFFFFF" w:themeColor="background1"/>
                <w:szCs w:val="20"/>
              </w:rPr>
            </w:pPr>
            <w:r>
              <w:rPr>
                <w:bCs/>
                <w:color w:val="FFFFFF" w:themeColor="background1"/>
                <w:szCs w:val="20"/>
              </w:rPr>
              <w:t xml:space="preserve">Privacy impact </w:t>
            </w:r>
            <w:r w:rsidRPr="00B44950">
              <w:rPr>
                <w:bCs/>
                <w:color w:val="FFFFFF" w:themeColor="background1"/>
                <w:szCs w:val="20"/>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001330" w:themeFill="accent1" w:themeFillShade="80"/>
          </w:tcPr>
          <w:p w14:paraId="60B2BB33" w14:textId="77777777" w:rsidR="00AC2612" w:rsidRPr="00B44950" w:rsidRDefault="00AC2612" w:rsidP="000F4503">
            <w:pPr>
              <w:cnfStyle w:val="100000000000" w:firstRow="1" w:lastRow="0" w:firstColumn="0" w:lastColumn="0" w:oddVBand="0" w:evenVBand="0" w:oddHBand="0" w:evenHBand="0" w:firstRowFirstColumn="0" w:firstRowLastColumn="0" w:lastRowFirstColumn="0" w:lastRowLastColumn="0"/>
              <w:rPr>
                <w:b w:val="0"/>
                <w:bCs/>
                <w:color w:val="FFFFFF" w:themeColor="background1"/>
                <w:szCs w:val="20"/>
              </w:rPr>
            </w:pPr>
            <w:r>
              <w:rPr>
                <w:bCs/>
                <w:color w:val="FFFFFF" w:themeColor="background1"/>
                <w:szCs w:val="20"/>
              </w:rPr>
              <w:t xml:space="preserve">Existing mitigation strategies </w:t>
            </w:r>
          </w:p>
        </w:tc>
        <w:tc>
          <w:tcPr>
            <w:tcW w:w="3969" w:type="dxa"/>
            <w:tcBorders>
              <w:top w:val="single" w:sz="4" w:space="0" w:color="auto"/>
              <w:left w:val="single" w:sz="4" w:space="0" w:color="auto"/>
              <w:bottom w:val="single" w:sz="4" w:space="0" w:color="auto"/>
              <w:right w:val="single" w:sz="4" w:space="0" w:color="auto"/>
            </w:tcBorders>
            <w:shd w:val="clear" w:color="auto" w:fill="001330" w:themeFill="accent1" w:themeFillShade="80"/>
          </w:tcPr>
          <w:p w14:paraId="43C47575" w14:textId="77777777" w:rsidR="00AC2612" w:rsidRPr="00B44950" w:rsidRDefault="00AC2612" w:rsidP="000F4503">
            <w:pPr>
              <w:cnfStyle w:val="100000000000" w:firstRow="1" w:lastRow="0" w:firstColumn="0" w:lastColumn="0" w:oddVBand="0" w:evenVBand="0" w:oddHBand="0" w:evenHBand="0" w:firstRowFirstColumn="0" w:firstRowLastColumn="0" w:lastRowFirstColumn="0" w:lastRowLastColumn="0"/>
              <w:rPr>
                <w:b w:val="0"/>
                <w:bCs/>
                <w:color w:val="FFFFFF" w:themeColor="background1"/>
                <w:szCs w:val="20"/>
              </w:rPr>
            </w:pPr>
            <w:r>
              <w:rPr>
                <w:bCs/>
                <w:color w:val="FFFFFF" w:themeColor="background1"/>
                <w:szCs w:val="20"/>
              </w:rPr>
              <w:t xml:space="preserve">Gap analysis and recommendation regarding designation with respect to privacy </w:t>
            </w:r>
            <w:r w:rsidRPr="00B44950">
              <w:rPr>
                <w:bCs/>
                <w:color w:val="FFFFFF" w:themeColor="background1"/>
                <w:szCs w:val="20"/>
              </w:rPr>
              <w:t xml:space="preserve"> </w:t>
            </w:r>
          </w:p>
        </w:tc>
      </w:tr>
      <w:tr w:rsidR="00AC2612" w:rsidRPr="00B44950" w14:paraId="32AA25A9" w14:textId="77777777" w:rsidTr="00AC2612">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04A37DE0" w14:textId="77777777" w:rsidR="00AC2612" w:rsidRPr="00B13555" w:rsidRDefault="00AC2612" w:rsidP="000F4503">
            <w:pPr>
              <w:rPr>
                <w:b w:val="0"/>
                <w:bCs/>
                <w:szCs w:val="20"/>
              </w:rPr>
            </w:pPr>
            <w:r w:rsidRPr="00B13555">
              <w:rPr>
                <w:bCs/>
                <w:szCs w:val="20"/>
              </w:rPr>
              <w:t>5.</w:t>
            </w:r>
          </w:p>
        </w:tc>
        <w:tc>
          <w:tcPr>
            <w:tcW w:w="2126" w:type="dxa"/>
            <w:tcBorders>
              <w:top w:val="single" w:sz="4" w:space="0" w:color="auto"/>
              <w:left w:val="single" w:sz="4" w:space="0" w:color="auto"/>
              <w:bottom w:val="single" w:sz="4" w:space="0" w:color="auto"/>
              <w:right w:val="single" w:sz="4" w:space="0" w:color="auto"/>
            </w:tcBorders>
          </w:tcPr>
          <w:p w14:paraId="0F20A457" w14:textId="77777777" w:rsidR="00AC2612" w:rsidRPr="002042D9" w:rsidRDefault="00AC2612" w:rsidP="000F45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bCs/>
                <w:szCs w:val="20"/>
                <w:lang w:eastAsia="en-AU"/>
              </w:rPr>
            </w:pPr>
            <w:r>
              <w:rPr>
                <w:rFonts w:eastAsia="Times New Roman" w:cstheme="minorHAnsi"/>
                <w:b/>
                <w:bCs/>
                <w:szCs w:val="20"/>
                <w:lang w:eastAsia="en-AU"/>
              </w:rPr>
              <w:t xml:space="preserve">Extension of the CDR to non-bank lending may enable non-bank lenders to circumvent the </w:t>
            </w:r>
            <w:r w:rsidRPr="009551D1">
              <w:rPr>
                <w:rFonts w:eastAsia="Times New Roman" w:cstheme="minorHAnsi"/>
                <w:b/>
                <w:bCs/>
                <w:szCs w:val="20"/>
                <w:lang w:eastAsia="en-AU"/>
              </w:rPr>
              <w:t>Comprehensive Credit Reporting (CCR) Regime</w:t>
            </w:r>
          </w:p>
          <w:p w14:paraId="724D464A" w14:textId="77777777" w:rsidR="00AC2612" w:rsidRPr="002042D9" w:rsidRDefault="00AC2612" w:rsidP="000F4503">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98E76ED" w14:textId="77777777" w:rsidR="00AC2612" w:rsidRPr="002042D9" w:rsidRDefault="00AC2612" w:rsidP="000F45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Pr>
                <w:rFonts w:eastAsia="Times New Roman" w:cstheme="minorHAnsi"/>
                <w:szCs w:val="20"/>
                <w:lang w:eastAsia="en-AU"/>
              </w:rPr>
              <w:t xml:space="preserve">The ACCC and the joint consumer group </w:t>
            </w:r>
            <w:r w:rsidRPr="002042D9">
              <w:rPr>
                <w:rFonts w:eastAsia="Times New Roman" w:cstheme="minorHAnsi"/>
                <w:szCs w:val="20"/>
                <w:lang w:eastAsia="en-AU"/>
              </w:rPr>
              <w:t>have raised concerns about the potential for non-bank lenders to use the CDR to circumvent the limitations on sharing information about a consumer’s credit history imposed by the Comprehensive Credit Reporting (CCR) Regime, which may enable financial hardship information to be used to disadvantage consumers and impact their ability to obtain credit</w:t>
            </w:r>
            <w:r>
              <w:rPr>
                <w:rFonts w:eastAsia="Times New Roman" w:cstheme="minorHAnsi"/>
                <w:szCs w:val="20"/>
                <w:lang w:eastAsia="en-AU"/>
              </w:rPr>
              <w:t>, and potentially discouraging consumers from seeking out hardship arrangements with their lenders</w:t>
            </w:r>
            <w:r w:rsidRPr="002042D9">
              <w:rPr>
                <w:rFonts w:eastAsia="Times New Roman" w:cstheme="minorHAnsi"/>
                <w:szCs w:val="20"/>
                <w:lang w:eastAsia="en-AU"/>
              </w:rPr>
              <w:t>.</w:t>
            </w:r>
            <w:r w:rsidRPr="002042D9">
              <w:rPr>
                <w:rStyle w:val="FootnoteReference"/>
                <w:rFonts w:eastAsia="Times New Roman" w:cstheme="minorHAnsi"/>
                <w:szCs w:val="20"/>
                <w:lang w:eastAsia="en-AU"/>
              </w:rPr>
              <w:footnoteReference w:id="105"/>
            </w:r>
          </w:p>
          <w:p w14:paraId="09752743" w14:textId="77777777" w:rsidR="00AC2612" w:rsidRPr="002042D9" w:rsidRDefault="00AC2612" w:rsidP="000F4503">
            <w:p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szCs w:val="20"/>
                <w:u w:val="single"/>
                <w:lang w:eastAsia="en-AU"/>
              </w:rPr>
            </w:pPr>
            <w:r w:rsidRPr="009551D1">
              <w:rPr>
                <w:rFonts w:eastAsia="Times New Roman" w:cstheme="minorHAnsi"/>
                <w:szCs w:val="20"/>
                <w:u w:val="single"/>
                <w:lang w:eastAsia="en-AU"/>
              </w:rPr>
              <w:t>The Comprehensive Credit Reporting Regime</w:t>
            </w:r>
          </w:p>
          <w:p w14:paraId="6E6FDB8D" w14:textId="77777777" w:rsidR="00AC2612" w:rsidRPr="002042D9" w:rsidRDefault="00AC2612" w:rsidP="000F4503">
            <w:pPr>
              <w:spacing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2042D9">
              <w:rPr>
                <w:rFonts w:eastAsia="Times New Roman" w:cstheme="minorHAnsi"/>
                <w:szCs w:val="20"/>
                <w:lang w:eastAsia="en-AU"/>
              </w:rPr>
              <w:t>Lenders in Australia share information about consumers’ credit accounts, including consumers’ repayment history with credit reporting bodies under the CCR regime. The regime enables lenders to have detailed and contextual information about how an individual interacts with credit, including positive financial behaviour. The scheme is mandatory for the big four lenders and voluntary for other lenders including non-bank lenders.</w:t>
            </w:r>
          </w:p>
          <w:p w14:paraId="5446A27D" w14:textId="77777777" w:rsidR="00AC2612" w:rsidRPr="002042D9" w:rsidRDefault="00AC2612" w:rsidP="000F450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042D9">
              <w:rPr>
                <w:rFonts w:asciiTheme="minorHAnsi" w:hAnsiTheme="minorHAnsi" w:cstheme="minorHAnsi"/>
                <w:sz w:val="20"/>
                <w:szCs w:val="20"/>
              </w:rPr>
              <w:lastRenderedPageBreak/>
              <w:t>Only license credit providers can share and receive repayment history information under the CCR regime. The regime restricts the use of repayment history information and financial hardship information, and limits are in place to restrict what a lender can do with such information when they do find out. For instance, a lender cannot use the information as the sole basis for closing a credit card or reducing a limit. Additionally, financial hardship information cannot be included in the calculation of any credit scores developed by credit reporting bodies and is deleted from credit reports after 12</w:t>
            </w:r>
            <w:r>
              <w:rPr>
                <w:rFonts w:asciiTheme="minorHAnsi" w:hAnsiTheme="minorHAnsi" w:cstheme="minorHAnsi"/>
                <w:sz w:val="20"/>
                <w:szCs w:val="20"/>
              </w:rPr>
              <w:t> </w:t>
            </w:r>
            <w:r w:rsidRPr="002042D9">
              <w:rPr>
                <w:rFonts w:asciiTheme="minorHAnsi" w:hAnsiTheme="minorHAnsi" w:cstheme="minorHAnsi"/>
                <w:sz w:val="20"/>
                <w:szCs w:val="20"/>
              </w:rPr>
              <w:t>months.</w:t>
            </w:r>
          </w:p>
          <w:p w14:paraId="34D46F66" w14:textId="77777777" w:rsidR="00AC2612" w:rsidRPr="00EC2230" w:rsidRDefault="00AC2612" w:rsidP="000F45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Pr>
                <w:rFonts w:eastAsia="Times New Roman" w:cstheme="minorHAnsi"/>
                <w:szCs w:val="20"/>
                <w:lang w:eastAsia="en-AU"/>
              </w:rPr>
              <w:t>The joint consumer group submits that t</w:t>
            </w:r>
            <w:r w:rsidRPr="002042D9">
              <w:rPr>
                <w:rFonts w:eastAsia="Times New Roman" w:cstheme="minorHAnsi"/>
                <w:szCs w:val="20"/>
                <w:lang w:eastAsia="en-AU"/>
              </w:rPr>
              <w:t xml:space="preserve">he application of CDR to the non-bank lending sector, however, has the real potential to undermine these policy settings and limitations by enabling financial hardship information to be used to disadvantage consumers and </w:t>
            </w:r>
            <w:r>
              <w:rPr>
                <w:rFonts w:eastAsia="Times New Roman" w:cstheme="minorHAnsi"/>
                <w:szCs w:val="20"/>
                <w:lang w:eastAsia="en-AU"/>
              </w:rPr>
              <w:t>circumvent these limitations</w:t>
            </w:r>
            <w:r w:rsidRPr="002042D9">
              <w:rPr>
                <w:rFonts w:eastAsia="Times New Roman" w:cstheme="minorHAnsi"/>
                <w:szCs w:val="20"/>
                <w:lang w:eastAsia="en-AU"/>
              </w:rPr>
              <w:t>. T</w:t>
            </w:r>
            <w:r>
              <w:rPr>
                <w:rFonts w:eastAsia="Times New Roman" w:cstheme="minorHAnsi"/>
                <w:szCs w:val="20"/>
                <w:lang w:eastAsia="en-AU"/>
              </w:rPr>
              <w:t>he joint consumer group stated that this</w:t>
            </w:r>
            <w:r w:rsidRPr="002042D9">
              <w:rPr>
                <w:rFonts w:eastAsia="Times New Roman" w:cstheme="minorHAnsi"/>
                <w:szCs w:val="20"/>
                <w:lang w:eastAsia="en-AU"/>
              </w:rPr>
              <w:t xml:space="preserve"> can occur by CDR providing greater access to a consumer’s entire </w:t>
            </w:r>
            <w:r w:rsidRPr="002042D9">
              <w:rPr>
                <w:rFonts w:eastAsia="Times New Roman" w:cstheme="minorHAnsi"/>
                <w:szCs w:val="20"/>
                <w:lang w:eastAsia="en-AU"/>
              </w:rPr>
              <w:lastRenderedPageBreak/>
              <w:t xml:space="preserve">financial history, such that lenders will be able to undertake analysis that provides insights in line or equivalent to that captured under the credit reporting system. </w:t>
            </w:r>
            <w:r>
              <w:rPr>
                <w:rFonts w:eastAsia="Times New Roman" w:cstheme="minorHAnsi"/>
                <w:szCs w:val="20"/>
                <w:lang w:eastAsia="en-AU"/>
              </w:rPr>
              <w:t>W</w:t>
            </w:r>
            <w:r w:rsidRPr="002042D9">
              <w:rPr>
                <w:rFonts w:eastAsia="Times New Roman" w:cstheme="minorHAnsi"/>
                <w:szCs w:val="20"/>
                <w:lang w:eastAsia="en-AU"/>
              </w:rPr>
              <w:t xml:space="preserve">ithout the CCR-imposed restrictions, </w:t>
            </w:r>
            <w:r>
              <w:rPr>
                <w:rFonts w:eastAsia="Times New Roman" w:cstheme="minorHAnsi"/>
                <w:szCs w:val="20"/>
                <w:lang w:eastAsia="en-AU"/>
              </w:rPr>
              <w:t xml:space="preserve">the joint consumer group suggests that </w:t>
            </w:r>
            <w:r w:rsidRPr="002042D9">
              <w:rPr>
                <w:rFonts w:eastAsia="Times New Roman" w:cstheme="minorHAnsi"/>
                <w:szCs w:val="20"/>
                <w:lang w:eastAsia="en-AU"/>
              </w:rPr>
              <w:t>consumers may be discouraged from proactively seeking out hardship arrangements due to fear of affecting their credit rating.</w:t>
            </w:r>
            <w:r w:rsidRPr="002042D9">
              <w:rPr>
                <w:rStyle w:val="FootnoteReference"/>
                <w:rFonts w:eastAsia="Times New Roman" w:cstheme="minorHAnsi"/>
                <w:szCs w:val="20"/>
                <w:lang w:eastAsia="en-AU"/>
              </w:rPr>
              <w:footnoteReference w:id="106"/>
            </w:r>
          </w:p>
        </w:tc>
        <w:tc>
          <w:tcPr>
            <w:tcW w:w="3969" w:type="dxa"/>
            <w:tcBorders>
              <w:top w:val="single" w:sz="4" w:space="0" w:color="auto"/>
              <w:left w:val="single" w:sz="4" w:space="0" w:color="auto"/>
              <w:bottom w:val="single" w:sz="4" w:space="0" w:color="auto"/>
              <w:right w:val="single" w:sz="4" w:space="0" w:color="auto"/>
            </w:tcBorders>
          </w:tcPr>
          <w:p w14:paraId="54C27BAA" w14:textId="049CE3F9" w:rsidR="00AC2612" w:rsidRPr="00246804"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Pr>
                <w:szCs w:val="20"/>
              </w:rPr>
              <w:lastRenderedPageBreak/>
              <w:t>As previously noted, t</w:t>
            </w:r>
            <w:r w:rsidRPr="00246804">
              <w:rPr>
                <w:szCs w:val="20"/>
              </w:rPr>
              <w:t>he consent rules ensure that ADRs are required to obtain informed consent from CDR consumers in relation to the collection and use of their data, and this includes actively selecting which data they share and for what purposes. ADRs are restricted in how they can use CDR data and only permitted to use the data in accordance with a consumer’s consent.</w:t>
            </w:r>
            <w:r>
              <w:rPr>
                <w:szCs w:val="20"/>
              </w:rPr>
              <w:t xml:space="preserve"> Data sharing arrangements are to be time-limited, with the consumer also able to choose to end data sharing arrangements at any time and </w:t>
            </w:r>
            <w:r w:rsidR="002D1F89">
              <w:rPr>
                <w:szCs w:val="20"/>
              </w:rPr>
              <w:t xml:space="preserve">to </w:t>
            </w:r>
            <w:r>
              <w:rPr>
                <w:szCs w:val="20"/>
              </w:rPr>
              <w:t>require the ADR to delete their data.</w:t>
            </w:r>
          </w:p>
          <w:p w14:paraId="440EF9E8"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pPr>
          </w:p>
          <w:p w14:paraId="0D960842" w14:textId="77777777" w:rsidR="00AC2612" w:rsidRPr="001C75A8" w:rsidRDefault="00AC2612" w:rsidP="000F4503">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0"/>
                <w:szCs w:val="20"/>
              </w:rPr>
            </w:pPr>
            <w:r w:rsidRPr="001C75A8">
              <w:rPr>
                <w:rFonts w:asciiTheme="minorHAnsi" w:eastAsiaTheme="minorHAnsi" w:hAnsiTheme="minorHAnsi" w:cstheme="minorBidi"/>
                <w:color w:val="auto"/>
                <w:sz w:val="20"/>
                <w:szCs w:val="20"/>
              </w:rPr>
              <w:t>In addition, the rules include a ‘data minimisation principle’ which ensures CDR data is only collected and used if it is necessary to provide the good or service a consumer has requested.</w:t>
            </w:r>
          </w:p>
          <w:p w14:paraId="4FC790AF" w14:textId="77777777" w:rsidR="00AC2612" w:rsidRDefault="00AC2612" w:rsidP="000F4503">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6067912" w14:textId="77777777" w:rsidR="00AC2612" w:rsidRDefault="00AC2612" w:rsidP="000F4503">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p w14:paraId="315F65CE" w14:textId="77777777" w:rsidR="00AC2612" w:rsidRPr="00382C51" w:rsidRDefault="00AC2612" w:rsidP="000F4503">
            <w:pPr>
              <w:pStyle w:val="Heading2"/>
              <w:outlineLvl w:val="1"/>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3D16781"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sidRPr="00141BEA">
              <w:rPr>
                <w:rFonts w:cstheme="minorHAnsi"/>
                <w:szCs w:val="20"/>
              </w:rPr>
              <w:t>Concerns</w:t>
            </w:r>
            <w:r>
              <w:rPr>
                <w:rFonts w:cstheme="minorHAnsi"/>
                <w:szCs w:val="20"/>
              </w:rPr>
              <w:t xml:space="preserve"> raised by submissions</w:t>
            </w:r>
            <w:r w:rsidRPr="00141BEA">
              <w:rPr>
                <w:rFonts w:cstheme="minorHAnsi"/>
                <w:szCs w:val="20"/>
              </w:rPr>
              <w:t xml:space="preserve"> relate to the sharing of transaction data and the potential insights that could be gained from looking at a consumer’s transaction data. </w:t>
            </w:r>
            <w:r w:rsidRPr="003D2163">
              <w:rPr>
                <w:szCs w:val="20"/>
              </w:rPr>
              <w:t xml:space="preserve">The interaction </w:t>
            </w:r>
            <w:r>
              <w:rPr>
                <w:szCs w:val="20"/>
              </w:rPr>
              <w:t xml:space="preserve">with CCR was considered at the time of establishing CDR. The Privacy Act ensures that credit reporting bodies cannot use CDR to receive information other than that allowed in CCR. This ensured CCR continued to operate as originally intended. </w:t>
            </w:r>
          </w:p>
          <w:p w14:paraId="037C8746"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p>
          <w:p w14:paraId="5B5E3FE0"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As outlined above, consumers’ transaction </w:t>
            </w:r>
            <w:r w:rsidRPr="00141BEA">
              <w:rPr>
                <w:rFonts w:cstheme="minorHAnsi"/>
                <w:szCs w:val="20"/>
              </w:rPr>
              <w:t>information is already being shared through Open Banking</w:t>
            </w:r>
            <w:r>
              <w:rPr>
                <w:rFonts w:cstheme="minorHAnsi"/>
                <w:szCs w:val="20"/>
              </w:rPr>
              <w:t>. T</w:t>
            </w:r>
            <w:r w:rsidRPr="00141BEA">
              <w:rPr>
                <w:rFonts w:cstheme="minorHAnsi"/>
                <w:szCs w:val="20"/>
              </w:rPr>
              <w:t xml:space="preserve">he </w:t>
            </w:r>
            <w:r w:rsidRPr="0022126D">
              <w:rPr>
                <w:szCs w:val="20"/>
              </w:rPr>
              <w:t>rules contain various mechanisms to ensure consumers, including vulnerable consumer</w:t>
            </w:r>
            <w:r>
              <w:rPr>
                <w:szCs w:val="20"/>
              </w:rPr>
              <w:t>s,</w:t>
            </w:r>
            <w:r w:rsidRPr="0022126D">
              <w:rPr>
                <w:szCs w:val="20"/>
              </w:rPr>
              <w:t xml:space="preserve"> are empowered and informed in choosing which data to record, store and share and for what purpose, and require ADRs to only use CDR data in accordance with consents received from consumers.</w:t>
            </w:r>
            <w:r>
              <w:rPr>
                <w:szCs w:val="20"/>
              </w:rPr>
              <w:t xml:space="preserve"> As noted above, this information is shared via unsecure methods outside of the CDR. Designating this information to the CDR will enable consumers to securely transfer this information to accredited lenders with informed consent, which represents a </w:t>
            </w:r>
            <w:r>
              <w:rPr>
                <w:szCs w:val="20"/>
              </w:rPr>
              <w:lastRenderedPageBreak/>
              <w:t xml:space="preserve">general uplift in privacy protections relative to other data sharing methods. </w:t>
            </w:r>
          </w:p>
          <w:p w14:paraId="49C55E19" w14:textId="77777777" w:rsidR="00AC2612" w:rsidRDefault="00AC2612" w:rsidP="000F45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‘Hardship information’ is a specific type of information in the CCR regime, to become available from 1 July 2022. While serving a very important function, ensuring that lenders do not pre-emptively rule out consumer from accessing credit because they have faced a period of stress, lenders are encouraged to seek further information from the consumer to ensure they can service the credit they are applying for – this is a standard part of the credit application process.</w:t>
            </w:r>
            <w:r>
              <w:rPr>
                <w:rStyle w:val="FootnoteReference"/>
                <w:rFonts w:cstheme="minorHAnsi"/>
                <w:szCs w:val="20"/>
              </w:rPr>
              <w:footnoteReference w:id="107"/>
            </w:r>
          </w:p>
          <w:p w14:paraId="33B7CA3C" w14:textId="7BEBE25D" w:rsidR="00AC2612" w:rsidRDefault="00AC2612" w:rsidP="000F4503">
            <w:pPr>
              <w:cnfStyle w:val="000000000000" w:firstRow="0" w:lastRow="0" w:firstColumn="0" w:lastColumn="0" w:oddVBand="0" w:evenVBand="0" w:oddHBand="0" w:evenHBand="0" w:firstRowFirstColumn="0" w:firstRowLastColumn="0" w:lastRowFirstColumn="0" w:lastRowLastColumn="0"/>
              <w:rPr>
                <w:szCs w:val="20"/>
              </w:rPr>
            </w:pPr>
            <w:r>
              <w:rPr>
                <w:szCs w:val="20"/>
              </w:rPr>
              <w:t>Further, the existing consent framework ensures the consumer controls when to share their information and, importantly, has to power to cease sharing information. A consumer may</w:t>
            </w:r>
            <w:r w:rsidDel="002C1F9D">
              <w:rPr>
                <w:szCs w:val="20"/>
              </w:rPr>
              <w:t xml:space="preserve"> </w:t>
            </w:r>
            <w:r>
              <w:rPr>
                <w:szCs w:val="20"/>
              </w:rPr>
              <w:t>choose to consent to share their information when they are experiencing periods of financial stress as it will support accredited third parties providing financial counselling or budget management services which would be highly valuable at such a time.</w:t>
            </w:r>
            <w:r w:rsidR="00776227">
              <w:rPr>
                <w:szCs w:val="20"/>
              </w:rPr>
              <w:t xml:space="preserve"> </w:t>
            </w:r>
          </w:p>
          <w:p w14:paraId="2CD641E1" w14:textId="77777777" w:rsidR="00AC2612" w:rsidRPr="00382C51" w:rsidRDefault="00AC2612" w:rsidP="000F45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lastRenderedPageBreak/>
              <w:t>Having regard to all the statutory factors required for designation, Treasury considers this information is appropriate for designation and that no further mitigation strategies are required.</w:t>
            </w:r>
          </w:p>
        </w:tc>
      </w:tr>
      <w:tr w:rsidR="00AC2612" w:rsidRPr="00B44950" w14:paraId="69A881CE" w14:textId="77777777" w:rsidTr="00AC2612">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4473A4D4" w14:textId="77777777" w:rsidR="00AC2612" w:rsidRPr="00382C51" w:rsidRDefault="00AC2612" w:rsidP="000F4503">
            <w:pPr>
              <w:rPr>
                <w:b w:val="0"/>
                <w:bCs/>
                <w:szCs w:val="20"/>
              </w:rPr>
            </w:pPr>
            <w:r>
              <w:rPr>
                <w:bCs/>
                <w:szCs w:val="20"/>
              </w:rPr>
              <w:lastRenderedPageBreak/>
              <w:t>6.</w:t>
            </w:r>
          </w:p>
        </w:tc>
        <w:tc>
          <w:tcPr>
            <w:tcW w:w="2126" w:type="dxa"/>
            <w:tcBorders>
              <w:top w:val="single" w:sz="4" w:space="0" w:color="auto"/>
              <w:left w:val="single" w:sz="4" w:space="0" w:color="auto"/>
              <w:bottom w:val="single" w:sz="4" w:space="0" w:color="auto"/>
              <w:right w:val="single" w:sz="4" w:space="0" w:color="auto"/>
            </w:tcBorders>
          </w:tcPr>
          <w:p w14:paraId="23872A17" w14:textId="2E6DCA5E" w:rsidR="00AC2612" w:rsidRPr="00C92C83" w:rsidRDefault="00AC2612" w:rsidP="000F4503">
            <w:pPr>
              <w:pStyle w:val="ListBullet"/>
              <w:numPr>
                <w:ilvl w:val="0"/>
                <w:numId w:val="0"/>
              </w:numPr>
              <w:spacing w:beforeLines="20" w:before="48" w:afterLines="20" w:after="48"/>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C92C83">
              <w:rPr>
                <w:rFonts w:cstheme="minorHAnsi"/>
                <w:b/>
                <w:bCs/>
              </w:rPr>
              <w:t>Cumulative privacy and security risk associated with combining datasets from</w:t>
            </w:r>
            <w:r>
              <w:rPr>
                <w:rFonts w:cstheme="minorHAnsi"/>
                <w:b/>
                <w:bCs/>
              </w:rPr>
              <w:t xml:space="preserve"> </w:t>
            </w:r>
            <w:r w:rsidRPr="00C92C83">
              <w:rPr>
                <w:rFonts w:cstheme="minorHAnsi"/>
                <w:b/>
                <w:bCs/>
              </w:rPr>
              <w:t>multiple sectors</w:t>
            </w:r>
          </w:p>
        </w:tc>
        <w:tc>
          <w:tcPr>
            <w:tcW w:w="3686" w:type="dxa"/>
            <w:tcBorders>
              <w:top w:val="single" w:sz="4" w:space="0" w:color="auto"/>
              <w:left w:val="single" w:sz="4" w:space="0" w:color="auto"/>
              <w:bottom w:val="single" w:sz="4" w:space="0" w:color="auto"/>
              <w:right w:val="single" w:sz="4" w:space="0" w:color="auto"/>
            </w:tcBorders>
          </w:tcPr>
          <w:p w14:paraId="13667C5D" w14:textId="77777777" w:rsidR="00AC2612" w:rsidRPr="00C92C83"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r w:rsidRPr="00C92C83">
              <w:rPr>
                <w:rFonts w:cstheme="minorHAnsi"/>
                <w:szCs w:val="20"/>
              </w:rPr>
              <w:t xml:space="preserve">While not a specific issue raised by stakeholders during the non-bank lending consultation, stakeholders have previously </w:t>
            </w:r>
            <w:r>
              <w:rPr>
                <w:rFonts w:cstheme="minorHAnsi"/>
                <w:szCs w:val="20"/>
              </w:rPr>
              <w:t xml:space="preserve">raised concerns about the privacy and security risks of data </w:t>
            </w:r>
            <w:r w:rsidRPr="00C92C83">
              <w:rPr>
                <w:rFonts w:cstheme="minorHAnsi"/>
                <w:szCs w:val="20"/>
              </w:rPr>
              <w:t xml:space="preserve">recipients </w:t>
            </w:r>
            <w:r>
              <w:rPr>
                <w:rFonts w:cstheme="minorHAnsi"/>
                <w:szCs w:val="20"/>
              </w:rPr>
              <w:t>collecting</w:t>
            </w:r>
            <w:r w:rsidRPr="00C92C83">
              <w:rPr>
                <w:rFonts w:cstheme="minorHAnsi"/>
                <w:szCs w:val="20"/>
              </w:rPr>
              <w:t xml:space="preserve"> consumer data from multiple sectors</w:t>
            </w:r>
            <w:r>
              <w:rPr>
                <w:rFonts w:cstheme="minorHAnsi"/>
                <w:szCs w:val="20"/>
              </w:rPr>
              <w:t>.</w:t>
            </w:r>
            <w:r w:rsidRPr="00C92C83">
              <w:rPr>
                <w:rFonts w:cstheme="minorHAnsi"/>
                <w:szCs w:val="20"/>
              </w:rPr>
              <w:t xml:space="preserve"> These include security risks associated with the creation of data ‘honeypots’ attractive to cyber-criminals and privacy risks associated with increasingly detailed information about individuals being brought together and analysed.</w:t>
            </w:r>
            <w:r w:rsidRPr="00C92C83">
              <w:rPr>
                <w:rFonts w:cstheme="minorHAnsi"/>
                <w:szCs w:val="20"/>
                <w:vertAlign w:val="superscript"/>
              </w:rPr>
              <w:footnoteReference w:id="108"/>
            </w:r>
            <w:r w:rsidRPr="00C92C83">
              <w:rPr>
                <w:rFonts w:cstheme="minorHAnsi"/>
                <w:szCs w:val="20"/>
                <w:vertAlign w:val="superscript"/>
              </w:rPr>
              <w:t xml:space="preserve"> </w:t>
            </w:r>
          </w:p>
          <w:p w14:paraId="5DBDC49D" w14:textId="77777777" w:rsidR="00AC2612" w:rsidRPr="00C92C83" w:rsidRDefault="00AC2612" w:rsidP="000F4503">
            <w:pPr>
              <w:cnfStyle w:val="000000000000" w:firstRow="0" w:lastRow="0" w:firstColumn="0" w:lastColumn="0" w:oddVBand="0" w:evenVBand="0" w:oddHBand="0" w:evenHBand="0" w:firstRowFirstColumn="0" w:firstRowLastColumn="0" w:lastRowFirstColumn="0" w:lastRowLastColumn="0"/>
              <w:rPr>
                <w:rFonts w:cstheme="minorHAnsi"/>
                <w:szCs w:val="20"/>
              </w:rPr>
            </w:pPr>
          </w:p>
          <w:p w14:paraId="542CAA27" w14:textId="77777777" w:rsidR="00AC2612" w:rsidRPr="00C92C83" w:rsidRDefault="00AC2612" w:rsidP="000F4503">
            <w:pPr>
              <w:pStyle w:val="ListBullet"/>
              <w:numPr>
                <w:ilvl w:val="0"/>
                <w:numId w:val="0"/>
              </w:numPr>
              <w:spacing w:beforeLines="20" w:before="48" w:afterLines="20" w:after="48"/>
              <w:jc w:val="both"/>
              <w:cnfStyle w:val="000000000000" w:firstRow="0" w:lastRow="0" w:firstColumn="0" w:lastColumn="0" w:oddVBand="0" w:evenVBand="0" w:oddHBand="0" w:evenHBand="0" w:firstRowFirstColumn="0" w:firstRowLastColumn="0" w:lastRowFirstColumn="0" w:lastRowLastColumn="0"/>
              <w:rPr>
                <w:rFonts w:cstheme="minorHAnsi"/>
              </w:rPr>
            </w:pPr>
            <w:r w:rsidRPr="00C83557">
              <w:rPr>
                <w:rFonts w:cstheme="minorHAnsi"/>
              </w:rPr>
              <w:t xml:space="preserve">The OAIC previously submitted that combining data from different sectors means richer and more granular </w:t>
            </w:r>
            <w:r w:rsidRPr="00C83557">
              <w:rPr>
                <w:rFonts w:cstheme="minorHAnsi"/>
              </w:rPr>
              <w:lastRenderedPageBreak/>
              <w:t>insights may be derived about individual CDR consumers, meaning the sensitivity of the data and the overall privacy risks for consumers may increase</w:t>
            </w:r>
            <w:r w:rsidRPr="00C92C83">
              <w:rPr>
                <w:rFonts w:cstheme="minorHAnsi"/>
              </w:rPr>
              <w:t>.</w:t>
            </w:r>
            <w:r w:rsidRPr="00C92C83">
              <w:rPr>
                <w:rFonts w:cstheme="minorHAnsi"/>
                <w:vertAlign w:val="superscript"/>
              </w:rPr>
              <w:footnoteReference w:id="109"/>
            </w:r>
            <w:r w:rsidRPr="00C92C83">
              <w:rPr>
                <w:rFonts w:cstheme="minorHAnsi"/>
                <w:vertAlign w:val="superscript"/>
              </w:rPr>
              <w:t xml:space="preserve"> </w:t>
            </w:r>
            <w:r w:rsidRPr="00C92C83">
              <w:rPr>
                <w:rFonts w:cstheme="minorHAnsi"/>
              </w:rPr>
              <w:t>Consumers may be unaware of the potential for sensitive conclusions to be drawn from combining their CDR data related to several sectors for example,</w:t>
            </w:r>
            <w:r>
              <w:rPr>
                <w:rFonts w:cstheme="minorHAnsi"/>
              </w:rPr>
              <w:t xml:space="preserve"> </w:t>
            </w:r>
            <w:r w:rsidRPr="00C92C83">
              <w:rPr>
                <w:rFonts w:cstheme="minorHAnsi"/>
              </w:rPr>
              <w:t>banking data with telecommunications data, and these risks may be exacerbated for vulnerable consumers.</w:t>
            </w:r>
            <w:r w:rsidRPr="00C92C83">
              <w:rPr>
                <w:rFonts w:cstheme="minorHAnsi"/>
                <w:vertAlign w:val="superscript"/>
              </w:rPr>
              <w:footnoteReference w:id="110"/>
            </w:r>
          </w:p>
        </w:tc>
        <w:tc>
          <w:tcPr>
            <w:tcW w:w="3969" w:type="dxa"/>
            <w:tcBorders>
              <w:top w:val="single" w:sz="4" w:space="0" w:color="auto"/>
              <w:left w:val="single" w:sz="4" w:space="0" w:color="auto"/>
              <w:bottom w:val="single" w:sz="4" w:space="0" w:color="auto"/>
              <w:right w:val="single" w:sz="4" w:space="0" w:color="auto"/>
            </w:tcBorders>
          </w:tcPr>
          <w:p w14:paraId="50888251" w14:textId="21547F13" w:rsidR="00AC2612" w:rsidRDefault="00AC2612" w:rsidP="000F4503">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22126D">
              <w:rPr>
                <w:rFonts w:asciiTheme="minorHAnsi" w:hAnsiTheme="minorHAnsi" w:cstheme="minorHAnsi"/>
                <w:color w:val="auto"/>
                <w:sz w:val="20"/>
                <w:szCs w:val="20"/>
              </w:rPr>
              <w:lastRenderedPageBreak/>
              <w:t xml:space="preserve">These risks are mitigated by the strong privacy and consumer protections in the </w:t>
            </w:r>
            <w:r w:rsidR="003529E2">
              <w:rPr>
                <w:rFonts w:asciiTheme="minorHAnsi" w:hAnsiTheme="minorHAnsi" w:cstheme="minorHAnsi"/>
                <w:color w:val="auto"/>
                <w:sz w:val="20"/>
                <w:szCs w:val="20"/>
              </w:rPr>
              <w:t>CDR framework</w:t>
            </w:r>
            <w:r w:rsidRPr="0022126D">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In order to become accredited under the CDR, an ADR must first meet, and maintain, robust information security requirements. ADRs must also comply with </w:t>
            </w:r>
            <w:r w:rsidRPr="0022126D">
              <w:rPr>
                <w:rFonts w:asciiTheme="minorHAnsi" w:hAnsiTheme="minorHAnsi" w:cstheme="minorHAnsi"/>
                <w:color w:val="auto"/>
                <w:sz w:val="20"/>
                <w:szCs w:val="20"/>
              </w:rPr>
              <w:t>safeguards around the deletion and de</w:t>
            </w:r>
            <w:r>
              <w:rPr>
                <w:rFonts w:asciiTheme="minorHAnsi" w:hAnsiTheme="minorHAnsi" w:cstheme="minorHAnsi"/>
                <w:color w:val="auto"/>
                <w:sz w:val="20"/>
                <w:szCs w:val="20"/>
              </w:rPr>
              <w:t>-</w:t>
            </w:r>
            <w:r w:rsidRPr="0022126D">
              <w:rPr>
                <w:rFonts w:asciiTheme="minorHAnsi" w:hAnsiTheme="minorHAnsi" w:cstheme="minorHAnsi"/>
                <w:color w:val="auto"/>
                <w:sz w:val="20"/>
                <w:szCs w:val="20"/>
              </w:rPr>
              <w:t>dentification of CDR data, requirements that restrict an ADR’s use of data in accordance with a consumer’s informed consent (including how long it can be used for and the purposes for which it can be used) and the principle of data minimisation.</w:t>
            </w:r>
          </w:p>
          <w:p w14:paraId="1FFC49B3" w14:textId="77777777" w:rsidR="00AC2612" w:rsidRDefault="00AC2612" w:rsidP="000F4503">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p w14:paraId="2CA41D90" w14:textId="77777777" w:rsidR="00AC2612" w:rsidRPr="00C92C83" w:rsidRDefault="00AC2612" w:rsidP="000F4503">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45423">
              <w:rPr>
                <w:rFonts w:asciiTheme="minorHAnsi" w:hAnsiTheme="minorHAnsi" w:cstheme="minorHAnsi"/>
                <w:color w:val="auto"/>
                <w:sz w:val="20"/>
                <w:szCs w:val="20"/>
              </w:rPr>
              <w:lastRenderedPageBreak/>
              <w:t>Privacy safeguard 12 and the CDR rules set out the minimum steps that ADRs must take to protect CDR data and ensures that data is protected to a high standard and the capability of an ADR’s security posture is regularly reviewed.</w:t>
            </w:r>
          </w:p>
        </w:tc>
        <w:tc>
          <w:tcPr>
            <w:tcW w:w="3969" w:type="dxa"/>
            <w:tcBorders>
              <w:top w:val="single" w:sz="4" w:space="0" w:color="auto"/>
              <w:left w:val="single" w:sz="4" w:space="0" w:color="auto"/>
              <w:bottom w:val="single" w:sz="4" w:space="0" w:color="auto"/>
              <w:right w:val="single" w:sz="4" w:space="0" w:color="auto"/>
            </w:tcBorders>
          </w:tcPr>
          <w:p w14:paraId="7266A082" w14:textId="77777777" w:rsidR="00AC2612" w:rsidRDefault="00AC2612" w:rsidP="000F4503">
            <w:pPr>
              <w:cnfStyle w:val="000000000000" w:firstRow="0" w:lastRow="0" w:firstColumn="0" w:lastColumn="0" w:oddVBand="0" w:evenVBand="0" w:oddHBand="0" w:evenHBand="0" w:firstRowFirstColumn="0" w:firstRowLastColumn="0" w:lastRowFirstColumn="0" w:lastRowLastColumn="0"/>
              <w:rPr>
                <w:rFonts w:eastAsiaTheme="majorEastAsia" w:cstheme="minorHAnsi"/>
                <w:szCs w:val="20"/>
              </w:rPr>
            </w:pPr>
            <w:r w:rsidRPr="00695E17">
              <w:rPr>
                <w:rFonts w:eastAsiaTheme="majorEastAsia" w:cstheme="minorHAnsi"/>
                <w:szCs w:val="20"/>
              </w:rPr>
              <w:lastRenderedPageBreak/>
              <w:t>The CDR is intended to be an economy wide reform legislative framework and as such, the CDR’s security and privacy framework was developed to ensure the safe and secure handling of data from multiple sources and sectors. As the CDR matures and considers technological developments, additional requirements in relation to information security will be managed at the rule and standards making stages as appropriate.</w:t>
            </w:r>
          </w:p>
          <w:p w14:paraId="3DAEEA6B" w14:textId="77777777" w:rsidR="005B09C1" w:rsidRDefault="005B09C1" w:rsidP="000F4503">
            <w:pPr>
              <w:cnfStyle w:val="000000000000" w:firstRow="0" w:lastRow="0" w:firstColumn="0" w:lastColumn="0" w:oddVBand="0" w:evenVBand="0" w:oddHBand="0" w:evenHBand="0" w:firstRowFirstColumn="0" w:firstRowLastColumn="0" w:lastRowFirstColumn="0" w:lastRowLastColumn="0"/>
              <w:rPr>
                <w:rFonts w:eastAsiaTheme="majorEastAsia" w:cstheme="minorHAnsi"/>
                <w:szCs w:val="20"/>
              </w:rPr>
            </w:pPr>
          </w:p>
          <w:p w14:paraId="2F0EE65E" w14:textId="55D3733D" w:rsidR="00AC2612" w:rsidRPr="00776227" w:rsidRDefault="00776227" w:rsidP="000F4503">
            <w:pPr>
              <w:cnfStyle w:val="000000000000" w:firstRow="0" w:lastRow="0" w:firstColumn="0" w:lastColumn="0" w:oddVBand="0" w:evenVBand="0" w:oddHBand="0" w:evenHBand="0" w:firstRowFirstColumn="0" w:firstRowLastColumn="0" w:lastRowFirstColumn="0" w:lastRowLastColumn="0"/>
              <w:rPr>
                <w:szCs w:val="20"/>
              </w:rPr>
            </w:pPr>
            <w:r>
              <w:rPr>
                <w:szCs w:val="20"/>
              </w:rPr>
              <w:t>The OAIC</w:t>
            </w:r>
            <w:r w:rsidR="0085693F">
              <w:rPr>
                <w:szCs w:val="20"/>
              </w:rPr>
              <w:t>,</w:t>
            </w:r>
            <w:r>
              <w:rPr>
                <w:szCs w:val="20"/>
              </w:rPr>
              <w:t xml:space="preserve"> as the regulator of the privacy aspects of the CDR</w:t>
            </w:r>
            <w:r w:rsidR="0085693F">
              <w:rPr>
                <w:szCs w:val="20"/>
              </w:rPr>
              <w:t>,</w:t>
            </w:r>
            <w:r>
              <w:rPr>
                <w:szCs w:val="20"/>
              </w:rPr>
              <w:t xml:space="preserve"> has a range of investigative and enforcement powers under the Act which can be utilised </w:t>
            </w:r>
            <w:r w:rsidR="0085693F">
              <w:rPr>
                <w:szCs w:val="20"/>
              </w:rPr>
              <w:t>in the event a consumer’s data is mishandled</w:t>
            </w:r>
            <w:r>
              <w:rPr>
                <w:szCs w:val="20"/>
              </w:rPr>
              <w:t xml:space="preserve">. The OAIC also has a </w:t>
            </w:r>
            <w:r>
              <w:rPr>
                <w:szCs w:val="20"/>
              </w:rPr>
              <w:lastRenderedPageBreak/>
              <w:t>statutory guidance function</w:t>
            </w:r>
            <w:r w:rsidR="003D45E1">
              <w:rPr>
                <w:szCs w:val="20"/>
              </w:rPr>
              <w:t xml:space="preserve"> to educate CDR participants about their privacy obligations</w:t>
            </w:r>
            <w:r w:rsidR="005C00D7">
              <w:rPr>
                <w:szCs w:val="20"/>
              </w:rPr>
              <w:t xml:space="preserve"> and to promote compliance.</w:t>
            </w:r>
          </w:p>
        </w:tc>
      </w:tr>
    </w:tbl>
    <w:p w14:paraId="0E8360C8" w14:textId="495D5BE5" w:rsidR="00AC2612" w:rsidRPr="00AC2612" w:rsidRDefault="00AC2612" w:rsidP="007A0355">
      <w:pPr>
        <w:pStyle w:val="ListParagraph"/>
        <w:numPr>
          <w:ilvl w:val="0"/>
          <w:numId w:val="0"/>
        </w:numPr>
        <w:rPr>
          <w:highlight w:val="yellow"/>
        </w:rPr>
      </w:pPr>
      <w:r>
        <w:lastRenderedPageBreak/>
        <w:t xml:space="preserve"> </w:t>
      </w:r>
    </w:p>
    <w:sectPr w:rsidR="00AC2612" w:rsidRPr="00AC2612" w:rsidSect="00C011F3">
      <w:footerReference w:type="first" r:id="rId27"/>
      <w:pgSz w:w="16838" w:h="11906" w:orient="landscape"/>
      <w:pgMar w:top="1440" w:right="1276" w:bottom="1440" w:left="1440" w:header="708" w:footer="708" w:gutter="0"/>
      <w:pgNumType w:start="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63945" w14:textId="77777777" w:rsidR="00F46D2E" w:rsidRDefault="00F46D2E" w:rsidP="004B4412">
      <w:pPr>
        <w:spacing w:before="0"/>
      </w:pPr>
      <w:r>
        <w:separator/>
      </w:r>
    </w:p>
  </w:endnote>
  <w:endnote w:type="continuationSeparator" w:id="0">
    <w:p w14:paraId="30AB2317" w14:textId="77777777" w:rsidR="00F46D2E" w:rsidRDefault="00F46D2E" w:rsidP="004B4412">
      <w:pPr>
        <w:spacing w:before="0"/>
      </w:pPr>
      <w:r>
        <w:continuationSeparator/>
      </w:r>
    </w:p>
  </w:endnote>
  <w:endnote w:type="continuationNotice" w:id="1">
    <w:p w14:paraId="07244AD9" w14:textId="77777777" w:rsidR="002A31B5" w:rsidRDefault="002A31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795167"/>
      <w:docPartObj>
        <w:docPartGallery w:val="Page Numbers (Bottom of Page)"/>
        <w:docPartUnique/>
      </w:docPartObj>
    </w:sdtPr>
    <w:sdtEndPr>
      <w:rPr>
        <w:noProof/>
      </w:rPr>
    </w:sdtEndPr>
    <w:sdtContent>
      <w:p w14:paraId="5A1B4608" w14:textId="23E9C31E" w:rsidR="003D009F" w:rsidRDefault="002244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2DE00" w14:textId="2C97E43A" w:rsidR="000E3A2E" w:rsidRPr="00E370FD" w:rsidRDefault="000E3A2E" w:rsidP="002244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464F" w14:textId="77777777" w:rsidR="00865585" w:rsidRDefault="00865585" w:rsidP="0086558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542116"/>
      <w:docPartObj>
        <w:docPartGallery w:val="Page Numbers (Bottom of Page)"/>
        <w:docPartUnique/>
      </w:docPartObj>
    </w:sdtPr>
    <w:sdtEndPr>
      <w:rPr>
        <w:noProof/>
      </w:rPr>
    </w:sdtEndPr>
    <w:sdtContent>
      <w:p w14:paraId="67AE2C7C" w14:textId="6C44676E" w:rsidR="00865585" w:rsidRDefault="00865585" w:rsidP="008655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855781"/>
      <w:docPartObj>
        <w:docPartGallery w:val="Page Numbers (Bottom of Page)"/>
        <w:docPartUnique/>
      </w:docPartObj>
    </w:sdtPr>
    <w:sdtEndPr>
      <w:rPr>
        <w:noProof/>
      </w:rPr>
    </w:sdtEndPr>
    <w:sdtContent>
      <w:p w14:paraId="4B56E9C8" w14:textId="77777777" w:rsidR="003D71A6" w:rsidRDefault="003D7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5380A3" w14:textId="77777777" w:rsidR="003D71A6" w:rsidRPr="00E370FD" w:rsidRDefault="003D71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17793"/>
      <w:docPartObj>
        <w:docPartGallery w:val="Page Numbers (Bottom of Page)"/>
        <w:docPartUnique/>
      </w:docPartObj>
    </w:sdtPr>
    <w:sdtEndPr>
      <w:rPr>
        <w:noProof/>
      </w:rPr>
    </w:sdtEndPr>
    <w:sdtContent>
      <w:p w14:paraId="7A189331" w14:textId="5B107AF2" w:rsidR="00865585" w:rsidRDefault="003D009F" w:rsidP="00E81645">
        <w:pPr>
          <w:pStyle w:val="Footer"/>
          <w:jc w:val="center"/>
        </w:pPr>
        <w:r>
          <w:t>29</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58724"/>
      <w:docPartObj>
        <w:docPartGallery w:val="Page Numbers (Bottom of Page)"/>
        <w:docPartUnique/>
      </w:docPartObj>
    </w:sdtPr>
    <w:sdtEndPr>
      <w:rPr>
        <w:noProof/>
      </w:rPr>
    </w:sdtEndPr>
    <w:sdtContent>
      <w:p w14:paraId="4C5415B8" w14:textId="77777777" w:rsidR="00C011F3" w:rsidRDefault="00C011F3" w:rsidP="00C011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37C2A" w14:textId="77777777" w:rsidR="00F46D2E" w:rsidRDefault="00F46D2E" w:rsidP="004B4412">
      <w:pPr>
        <w:spacing w:before="0"/>
      </w:pPr>
      <w:r>
        <w:separator/>
      </w:r>
    </w:p>
  </w:footnote>
  <w:footnote w:type="continuationSeparator" w:id="0">
    <w:p w14:paraId="6B4205C6" w14:textId="77777777" w:rsidR="00F46D2E" w:rsidRDefault="00F46D2E" w:rsidP="004B4412">
      <w:pPr>
        <w:spacing w:before="0"/>
      </w:pPr>
      <w:r>
        <w:continuationSeparator/>
      </w:r>
    </w:p>
  </w:footnote>
  <w:footnote w:type="continuationNotice" w:id="1">
    <w:p w14:paraId="79F868B1" w14:textId="77777777" w:rsidR="002A31B5" w:rsidRDefault="002A31B5">
      <w:pPr>
        <w:spacing w:before="0"/>
      </w:pPr>
    </w:p>
  </w:footnote>
  <w:footnote w:id="2">
    <w:p w14:paraId="7D58B7EE" w14:textId="1B11FB3A" w:rsidR="00384B64" w:rsidRDefault="00384B64" w:rsidP="00E21A92">
      <w:pPr>
        <w:pStyle w:val="FootnoteText"/>
        <w:ind w:left="113" w:hanging="113"/>
      </w:pPr>
      <w:r>
        <w:rPr>
          <w:rStyle w:val="FootnoteReference"/>
        </w:rPr>
        <w:footnoteRef/>
      </w:r>
      <w:r>
        <w:t xml:space="preserve"> For example, the non-bank lending sector includes buy now, pay later</w:t>
      </w:r>
      <w:r w:rsidR="00A66077">
        <w:t xml:space="preserve"> products</w:t>
      </w:r>
      <w:r>
        <w:t xml:space="preserve"> and pay</w:t>
      </w:r>
      <w:r w:rsidR="00A66077">
        <w:t>day</w:t>
      </w:r>
      <w:r>
        <w:t xml:space="preserve"> len</w:t>
      </w:r>
      <w:r w:rsidR="00A66077">
        <w:t>ding</w:t>
      </w:r>
      <w:r>
        <w:t xml:space="preserve"> (or </w:t>
      </w:r>
      <w:r w:rsidR="00A66077">
        <w:t xml:space="preserve">small amount credit contracts). In July 2022, the Government announced its intention to </w:t>
      </w:r>
      <w:r w:rsidR="004D729A" w:rsidRPr="004D729A">
        <w:t xml:space="preserve">strengthen consumer protection safeguards for pay day lending and consider the overall regulation of buy now, pay later </w:t>
      </w:r>
      <w:r w:rsidR="000D2DF6">
        <w:t>products</w:t>
      </w:r>
      <w:r w:rsidR="004D729A">
        <w:t>.</w:t>
      </w:r>
    </w:p>
  </w:footnote>
  <w:footnote w:id="3">
    <w:p w14:paraId="58E175C8" w14:textId="7BC8A019" w:rsidR="009E34BF" w:rsidRDefault="009E34BF">
      <w:pPr>
        <w:pStyle w:val="FootnoteText"/>
      </w:pPr>
      <w:r>
        <w:rPr>
          <w:rStyle w:val="FootnoteReference"/>
        </w:rPr>
        <w:footnoteRef/>
      </w:r>
      <w:r>
        <w:t xml:space="preserve"> </w:t>
      </w:r>
      <w:r w:rsidR="002371F4">
        <w:t>S56AE(1) of the Act</w:t>
      </w:r>
    </w:p>
  </w:footnote>
  <w:footnote w:id="4">
    <w:p w14:paraId="2B9DAECC" w14:textId="4A28BDBB" w:rsidR="00713EE6" w:rsidRDefault="00713EE6">
      <w:pPr>
        <w:pStyle w:val="FootnoteText"/>
      </w:pPr>
      <w:r>
        <w:rPr>
          <w:rStyle w:val="FootnoteReference"/>
        </w:rPr>
        <w:footnoteRef/>
      </w:r>
      <w:r>
        <w:t xml:space="preserve"> S56AE(1)(c) of the Act.</w:t>
      </w:r>
    </w:p>
  </w:footnote>
  <w:footnote w:id="5">
    <w:p w14:paraId="1FB9B956" w14:textId="1FA61348" w:rsidR="008517A4" w:rsidRDefault="008517A4">
      <w:pPr>
        <w:pStyle w:val="FootnoteText"/>
      </w:pPr>
      <w:r>
        <w:rPr>
          <w:rStyle w:val="FootnoteReference"/>
        </w:rPr>
        <w:footnoteRef/>
      </w:r>
      <w:r>
        <w:t xml:space="preserve"> S56AD(3)</w:t>
      </w:r>
    </w:p>
  </w:footnote>
  <w:footnote w:id="6">
    <w:p w14:paraId="748899B0" w14:textId="499A6991" w:rsidR="00057988" w:rsidRDefault="00057988">
      <w:pPr>
        <w:pStyle w:val="FootnoteText"/>
      </w:pPr>
      <w:r>
        <w:rPr>
          <w:rStyle w:val="FootnoteReference"/>
        </w:rPr>
        <w:footnoteRef/>
      </w:r>
      <w:r>
        <w:t xml:space="preserve"> The Treasury, </w:t>
      </w:r>
      <w:hyperlink r:id="rId1" w:history="1">
        <w:r w:rsidRPr="00364848">
          <w:rPr>
            <w:rStyle w:val="Hyperlink"/>
            <w:sz w:val="16"/>
          </w:rPr>
          <w:t>Consumer Data Right – Strategic Assessment Outcomes</w:t>
        </w:r>
      </w:hyperlink>
      <w:r>
        <w:t>, 24 January 2022</w:t>
      </w:r>
      <w:r w:rsidR="00E47844">
        <w:t>.</w:t>
      </w:r>
    </w:p>
  </w:footnote>
  <w:footnote w:id="7">
    <w:p w14:paraId="08676720" w14:textId="53453A5A" w:rsidR="00586EDA" w:rsidRDefault="00586EDA">
      <w:pPr>
        <w:pStyle w:val="FootnoteText"/>
      </w:pPr>
      <w:r>
        <w:rPr>
          <w:rStyle w:val="FootnoteReference"/>
        </w:rPr>
        <w:footnoteRef/>
      </w:r>
      <w:r>
        <w:t xml:space="preserve"> The Treasury, </w:t>
      </w:r>
      <w:hyperlink r:id="rId2" w:history="1">
        <w:r w:rsidRPr="00576DAB">
          <w:rPr>
            <w:rStyle w:val="Hyperlink"/>
            <w:sz w:val="16"/>
          </w:rPr>
          <w:t>CDR Sectoral Assessment for the Open Finance sector – Non-Bank Lending</w:t>
        </w:r>
      </w:hyperlink>
      <w:r>
        <w:t>, 15 March 2022 – 15 April 2022</w:t>
      </w:r>
      <w:r w:rsidR="00E6723D">
        <w:t>.</w:t>
      </w:r>
    </w:p>
  </w:footnote>
  <w:footnote w:id="8">
    <w:p w14:paraId="0124E5BC" w14:textId="0512CA5E" w:rsidR="00DA1DA3" w:rsidRDefault="00DA1DA3" w:rsidP="00DA1DA3">
      <w:pPr>
        <w:pStyle w:val="FootnoteText"/>
      </w:pPr>
      <w:r>
        <w:rPr>
          <w:rStyle w:val="FootnoteReference"/>
        </w:rPr>
        <w:footnoteRef/>
      </w:r>
      <w:r>
        <w:t xml:space="preserve"> </w:t>
      </w:r>
      <w:r w:rsidR="00D14160">
        <w:t>Customer Owned Banking Association submission</w:t>
      </w:r>
      <w:r w:rsidR="001B1813">
        <w:t xml:space="preserve"> (COBA)</w:t>
      </w:r>
      <w:r w:rsidR="00D14160">
        <w:t>, p.1.</w:t>
      </w:r>
    </w:p>
  </w:footnote>
  <w:footnote w:id="9">
    <w:p w14:paraId="78FBA594" w14:textId="155CD250" w:rsidR="00225936" w:rsidRDefault="00225936" w:rsidP="00225936">
      <w:pPr>
        <w:pStyle w:val="FootnoteText"/>
      </w:pPr>
      <w:r>
        <w:rPr>
          <w:rStyle w:val="FootnoteReference"/>
        </w:rPr>
        <w:footnoteRef/>
      </w:r>
      <w:r>
        <w:t xml:space="preserve"> </w:t>
      </w:r>
      <w:r w:rsidR="0070721F">
        <w:t>ACCC</w:t>
      </w:r>
      <w:r w:rsidR="006E7748">
        <w:t xml:space="preserve"> submission</w:t>
      </w:r>
      <w:r>
        <w:t>, p.4.</w:t>
      </w:r>
    </w:p>
  </w:footnote>
  <w:footnote w:id="10">
    <w:p w14:paraId="3967E8B7" w14:textId="354ECBBC" w:rsidR="00E33C5B" w:rsidRDefault="00E33C5B" w:rsidP="0070721F">
      <w:pPr>
        <w:pStyle w:val="FootnoteText"/>
        <w:tabs>
          <w:tab w:val="clear" w:pos="340"/>
          <w:tab w:val="left" w:pos="284"/>
        </w:tabs>
        <w:ind w:left="142" w:hanging="142"/>
      </w:pPr>
      <w:r>
        <w:rPr>
          <w:rStyle w:val="FootnoteReference"/>
        </w:rPr>
        <w:footnoteRef/>
      </w:r>
      <w:r>
        <w:t xml:space="preserve"> </w:t>
      </w:r>
      <w:r w:rsidR="007F5D9B">
        <w:rPr>
          <w:rFonts w:eastAsia="Times New Roman"/>
        </w:rPr>
        <w:t xml:space="preserve">Some </w:t>
      </w:r>
      <w:r w:rsidR="001B1813">
        <w:rPr>
          <w:rFonts w:eastAsia="Times New Roman"/>
        </w:rPr>
        <w:t>comparator</w:t>
      </w:r>
      <w:r w:rsidR="007F5D9B">
        <w:rPr>
          <w:rFonts w:eastAsia="Times New Roman"/>
        </w:rPr>
        <w:t xml:space="preserve"> websites do not hold a credit license as they are not currently engaging in a credit activity</w:t>
      </w:r>
      <w:r w:rsidR="001B1813">
        <w:rPr>
          <w:rFonts w:eastAsia="Times New Roman"/>
        </w:rPr>
        <w:t>,</w:t>
      </w:r>
      <w:r w:rsidR="007F5D9B">
        <w:rPr>
          <w:rFonts w:eastAsia="Times New Roman"/>
        </w:rPr>
        <w:t xml:space="preserve"> however it may be that they would need a credit license if they used CDR data to assist an individual consumer with a particular product.</w:t>
      </w:r>
    </w:p>
  </w:footnote>
  <w:footnote w:id="11">
    <w:p w14:paraId="4DD1F351" w14:textId="150EA524" w:rsidR="003316F9" w:rsidRDefault="003316F9" w:rsidP="0070721F">
      <w:pPr>
        <w:pStyle w:val="FootnoteText"/>
        <w:tabs>
          <w:tab w:val="clear" w:pos="340"/>
          <w:tab w:val="left" w:pos="284"/>
        </w:tabs>
      </w:pPr>
      <w:r>
        <w:rPr>
          <w:rStyle w:val="FootnoteReference"/>
        </w:rPr>
        <w:footnoteRef/>
      </w:r>
      <w:r>
        <w:t xml:space="preserve"> </w:t>
      </w:r>
      <w:r w:rsidR="0070721F">
        <w:t>COBA</w:t>
      </w:r>
      <w:r w:rsidR="00B73121">
        <w:t>, p.1</w:t>
      </w:r>
      <w:r w:rsidR="00A62D29">
        <w:t>;</w:t>
      </w:r>
      <w:r w:rsidR="00B73121">
        <w:t xml:space="preserve"> </w:t>
      </w:r>
      <w:r w:rsidR="0070721F">
        <w:t>ACCC</w:t>
      </w:r>
      <w:r w:rsidR="006E7748">
        <w:t xml:space="preserve"> submission</w:t>
      </w:r>
      <w:r w:rsidR="00376773">
        <w:t>, p.8</w:t>
      </w:r>
      <w:r w:rsidR="00A62D29">
        <w:t>.</w:t>
      </w:r>
    </w:p>
  </w:footnote>
  <w:footnote w:id="12">
    <w:p w14:paraId="53FDB238" w14:textId="605904E3" w:rsidR="00FC342B" w:rsidRDefault="00FC342B" w:rsidP="00A10EF5">
      <w:pPr>
        <w:pStyle w:val="FootnoteText"/>
        <w:ind w:left="142" w:hanging="142"/>
      </w:pPr>
      <w:r>
        <w:rPr>
          <w:rStyle w:val="FootnoteReference"/>
        </w:rPr>
        <w:footnoteRef/>
      </w:r>
      <w:r>
        <w:t xml:space="preserve"> </w:t>
      </w:r>
      <w:r w:rsidR="00EA2478">
        <w:t>CitoPlus</w:t>
      </w:r>
      <w:r w:rsidR="0089678D">
        <w:t xml:space="preserve"> submission</w:t>
      </w:r>
      <w:r w:rsidR="00EA2478">
        <w:t>, p.1</w:t>
      </w:r>
      <w:r w:rsidR="00304293">
        <w:t xml:space="preserve">; </w:t>
      </w:r>
      <w:r w:rsidR="00304293" w:rsidRPr="00304293">
        <w:t>Australian Retail Credit Association</w:t>
      </w:r>
      <w:r w:rsidR="0089678D">
        <w:t xml:space="preserve"> </w:t>
      </w:r>
      <w:r w:rsidR="00A10EF5">
        <w:t>(ARCA)</w:t>
      </w:r>
      <w:r w:rsidR="0089678D">
        <w:t xml:space="preserve"> submission</w:t>
      </w:r>
      <w:r w:rsidR="00304293">
        <w:t>, p.</w:t>
      </w:r>
      <w:r w:rsidR="00C862C9">
        <w:t>3</w:t>
      </w:r>
      <w:r w:rsidR="00341EB6">
        <w:t>;</w:t>
      </w:r>
      <w:r w:rsidR="00C862C9">
        <w:t xml:space="preserve"> Australian Finance Industry Association </w:t>
      </w:r>
      <w:r w:rsidR="00BC66B6">
        <w:t>(AFIA)</w:t>
      </w:r>
      <w:r w:rsidR="0089678D">
        <w:t xml:space="preserve"> submission</w:t>
      </w:r>
      <w:r w:rsidR="00C862C9">
        <w:t>, p.5</w:t>
      </w:r>
      <w:r w:rsidR="00341EB6">
        <w:t>;</w:t>
      </w:r>
      <w:r w:rsidR="00F47AE8" w:rsidRPr="00F47AE8">
        <w:t xml:space="preserve"> </w:t>
      </w:r>
      <w:r w:rsidR="00BC66B6">
        <w:t>ACCC</w:t>
      </w:r>
      <w:r w:rsidR="00F47AE8">
        <w:t xml:space="preserve"> submission, p.7</w:t>
      </w:r>
    </w:p>
  </w:footnote>
  <w:footnote w:id="13">
    <w:p w14:paraId="553A208A" w14:textId="77777777" w:rsidR="00A06041" w:rsidRDefault="00A06041" w:rsidP="00A06041">
      <w:pPr>
        <w:pStyle w:val="FootnoteText"/>
      </w:pPr>
      <w:r>
        <w:rPr>
          <w:rStyle w:val="FootnoteReference"/>
        </w:rPr>
        <w:footnoteRef/>
      </w:r>
      <w:r>
        <w:t xml:space="preserve"> Cuscal submission, p2.</w:t>
      </w:r>
    </w:p>
  </w:footnote>
  <w:footnote w:id="14">
    <w:p w14:paraId="677893BB" w14:textId="0644F2A2" w:rsidR="008B187F" w:rsidRDefault="008B187F" w:rsidP="008B187F">
      <w:pPr>
        <w:pStyle w:val="FootnoteText"/>
      </w:pPr>
      <w:r>
        <w:rPr>
          <w:rStyle w:val="FootnoteReference"/>
        </w:rPr>
        <w:footnoteRef/>
      </w:r>
      <w:r>
        <w:t xml:space="preserve"> </w:t>
      </w:r>
      <w:r w:rsidR="00BC66B6">
        <w:t>ACCC</w:t>
      </w:r>
      <w:r w:rsidR="0089678D">
        <w:t xml:space="preserve"> submission</w:t>
      </w:r>
      <w:r>
        <w:t>, p</w:t>
      </w:r>
      <w:r w:rsidR="0004708F">
        <w:t>.</w:t>
      </w:r>
      <w:r>
        <w:t>7.</w:t>
      </w:r>
    </w:p>
  </w:footnote>
  <w:footnote w:id="15">
    <w:p w14:paraId="5259DBC9" w14:textId="0D4B9BFD" w:rsidR="002A5A31" w:rsidRDefault="002A5A31">
      <w:pPr>
        <w:pStyle w:val="FootnoteText"/>
      </w:pPr>
      <w:r>
        <w:rPr>
          <w:rStyle w:val="FootnoteReference"/>
        </w:rPr>
        <w:footnoteRef/>
      </w:r>
      <w:r>
        <w:t xml:space="preserve"> </w:t>
      </w:r>
      <w:r w:rsidR="002A520E">
        <w:t>True</w:t>
      </w:r>
      <w:r w:rsidR="004224C4">
        <w:t>L</w:t>
      </w:r>
      <w:r w:rsidR="002A520E">
        <w:t xml:space="preserve">ayer submission, </w:t>
      </w:r>
      <w:r w:rsidR="004224C4">
        <w:t>p.3.</w:t>
      </w:r>
    </w:p>
  </w:footnote>
  <w:footnote w:id="16">
    <w:p w14:paraId="65CC8DEC" w14:textId="4AE0CB34" w:rsidR="00784C92" w:rsidRDefault="00784C92" w:rsidP="00BC66B6">
      <w:pPr>
        <w:pStyle w:val="FootnoteText"/>
        <w:ind w:left="142" w:hanging="142"/>
      </w:pPr>
      <w:r>
        <w:rPr>
          <w:rStyle w:val="FootnoteReference"/>
        </w:rPr>
        <w:footnoteRef/>
      </w:r>
      <w:r w:rsidR="0004461B">
        <w:t xml:space="preserve"> </w:t>
      </w:r>
      <w:r w:rsidR="00BC66B6">
        <w:t>Joint submission by the</w:t>
      </w:r>
      <w:r w:rsidR="002A5A31">
        <w:t xml:space="preserve"> Financial Rights Legal Centre</w:t>
      </w:r>
      <w:r w:rsidR="0089678D">
        <w:t xml:space="preserve"> </w:t>
      </w:r>
      <w:r w:rsidR="00BC66B6">
        <w:t>(FRLC)</w:t>
      </w:r>
      <w:r w:rsidR="002A5A31">
        <w:t xml:space="preserve">, Financial Counselling Australia </w:t>
      </w:r>
      <w:r w:rsidR="00BC66B6">
        <w:t>(FCA)</w:t>
      </w:r>
      <w:r w:rsidR="002A5A31">
        <w:t xml:space="preserve"> and Consumer</w:t>
      </w:r>
      <w:r w:rsidR="003E72AE">
        <w:t xml:space="preserve"> Action</w:t>
      </w:r>
      <w:r w:rsidR="002A5A31">
        <w:t xml:space="preserve"> Law Centre </w:t>
      </w:r>
      <w:r w:rsidR="00BC66B6">
        <w:t>(CALC)</w:t>
      </w:r>
      <w:r w:rsidR="002A5A31">
        <w:t>, p.1.</w:t>
      </w:r>
    </w:p>
  </w:footnote>
  <w:footnote w:id="17">
    <w:p w14:paraId="4E9C77AE" w14:textId="0702BB65" w:rsidR="002A5A31" w:rsidRDefault="002A5A31" w:rsidP="002A5A31">
      <w:pPr>
        <w:pStyle w:val="FootnoteText"/>
      </w:pPr>
      <w:r>
        <w:rPr>
          <w:rStyle w:val="FootnoteReference"/>
        </w:rPr>
        <w:footnoteRef/>
      </w:r>
      <w:r>
        <w:t xml:space="preserve"> FinTech Australia</w:t>
      </w:r>
      <w:r w:rsidR="004224C4">
        <w:t xml:space="preserve"> submission,</w:t>
      </w:r>
      <w:r>
        <w:t xml:space="preserve"> p.5.</w:t>
      </w:r>
    </w:p>
  </w:footnote>
  <w:footnote w:id="18">
    <w:p w14:paraId="397C8C3D" w14:textId="7EE1A289" w:rsidR="002E2E4D" w:rsidRDefault="002E2E4D">
      <w:pPr>
        <w:pStyle w:val="FootnoteText"/>
      </w:pPr>
      <w:r>
        <w:rPr>
          <w:rStyle w:val="FootnoteReference"/>
        </w:rPr>
        <w:footnoteRef/>
      </w:r>
      <w:r>
        <w:t xml:space="preserve"> </w:t>
      </w:r>
      <w:r w:rsidR="00BC66B6">
        <w:t>MFAA</w:t>
      </w:r>
      <w:r w:rsidR="00CB59DE">
        <w:t xml:space="preserve"> </w:t>
      </w:r>
      <w:r w:rsidR="000F25E9">
        <w:t>submission</w:t>
      </w:r>
      <w:r>
        <w:t>, p.3.</w:t>
      </w:r>
    </w:p>
  </w:footnote>
  <w:footnote w:id="19">
    <w:p w14:paraId="3321F95B" w14:textId="77777777" w:rsidR="006A272E" w:rsidRDefault="006A272E" w:rsidP="006A272E">
      <w:pPr>
        <w:pStyle w:val="FootnoteText"/>
      </w:pPr>
      <w:r>
        <w:rPr>
          <w:rStyle w:val="FootnoteReference"/>
        </w:rPr>
        <w:footnoteRef/>
      </w:r>
      <w:r>
        <w:t xml:space="preserve"> FDATA submission, p.14.</w:t>
      </w:r>
    </w:p>
  </w:footnote>
  <w:footnote w:id="20">
    <w:p w14:paraId="373C932E" w14:textId="77777777" w:rsidR="006A272E" w:rsidRDefault="006A272E" w:rsidP="006A272E">
      <w:pPr>
        <w:pStyle w:val="FootnoteText"/>
      </w:pPr>
      <w:r>
        <w:rPr>
          <w:rStyle w:val="FootnoteReference"/>
        </w:rPr>
        <w:footnoteRef/>
      </w:r>
      <w:r>
        <w:t xml:space="preserve"> Brighte submission, p.3.</w:t>
      </w:r>
    </w:p>
  </w:footnote>
  <w:footnote w:id="21">
    <w:p w14:paraId="750079DD" w14:textId="77777777" w:rsidR="003D1F8F" w:rsidRDefault="003D1F8F" w:rsidP="003D1F8F">
      <w:pPr>
        <w:pStyle w:val="FootnoteText"/>
      </w:pPr>
      <w:r>
        <w:rPr>
          <w:rStyle w:val="FootnoteReference"/>
        </w:rPr>
        <w:footnoteRef/>
      </w:r>
      <w:r>
        <w:t xml:space="preserve"> Block submission, p.4. </w:t>
      </w:r>
    </w:p>
  </w:footnote>
  <w:footnote w:id="22">
    <w:p w14:paraId="5A842B36" w14:textId="24A6B52F" w:rsidR="003D1F8F" w:rsidRDefault="003D1F8F" w:rsidP="003D1F8F">
      <w:pPr>
        <w:pStyle w:val="FootnoteText"/>
      </w:pPr>
      <w:r>
        <w:rPr>
          <w:rStyle w:val="FootnoteReference"/>
        </w:rPr>
        <w:footnoteRef/>
      </w:r>
      <w:r>
        <w:t xml:space="preserve"> </w:t>
      </w:r>
      <w:r w:rsidR="00253161">
        <w:t>Australian Competition and Consumer Commission</w:t>
      </w:r>
      <w:r>
        <w:t xml:space="preserve"> submission, p.10.</w:t>
      </w:r>
    </w:p>
  </w:footnote>
  <w:footnote w:id="23">
    <w:p w14:paraId="39D37DF6" w14:textId="346BA4F7" w:rsidR="007463BC" w:rsidRDefault="007463BC">
      <w:pPr>
        <w:pStyle w:val="FootnoteText"/>
      </w:pPr>
      <w:r>
        <w:rPr>
          <w:rStyle w:val="FootnoteReference"/>
        </w:rPr>
        <w:footnoteRef/>
      </w:r>
      <w:r>
        <w:t xml:space="preserve"> Block submission, p.7.</w:t>
      </w:r>
    </w:p>
  </w:footnote>
  <w:footnote w:id="24">
    <w:p w14:paraId="5ED39E5E" w14:textId="1D9E750B" w:rsidR="0004708F" w:rsidRDefault="0004708F">
      <w:pPr>
        <w:pStyle w:val="FootnoteText"/>
      </w:pPr>
      <w:r>
        <w:rPr>
          <w:rStyle w:val="FootnoteReference"/>
        </w:rPr>
        <w:footnoteRef/>
      </w:r>
      <w:r>
        <w:t xml:space="preserve"> </w:t>
      </w:r>
      <w:r w:rsidR="00BC66B6">
        <w:t>AFIA</w:t>
      </w:r>
      <w:r w:rsidR="004224C4">
        <w:t xml:space="preserve"> submission</w:t>
      </w:r>
      <w:r>
        <w:t>, p.5.</w:t>
      </w:r>
    </w:p>
  </w:footnote>
  <w:footnote w:id="25">
    <w:p w14:paraId="55021AD3" w14:textId="00A93804" w:rsidR="00305591" w:rsidRDefault="00305591" w:rsidP="009406F4">
      <w:pPr>
        <w:pStyle w:val="FootnoteText"/>
        <w:ind w:left="170" w:hanging="170"/>
      </w:pPr>
      <w:r>
        <w:rPr>
          <w:rStyle w:val="FootnoteReference"/>
        </w:rPr>
        <w:footnoteRef/>
      </w:r>
      <w:r>
        <w:t xml:space="preserve"> </w:t>
      </w:r>
      <w:r w:rsidR="00143E95">
        <w:t xml:space="preserve">Recent </w:t>
      </w:r>
      <w:r w:rsidR="000F25E9">
        <w:t>a</w:t>
      </w:r>
      <w:r w:rsidR="00143E95">
        <w:t>mendments to the CDR rules provide</w:t>
      </w:r>
      <w:r w:rsidR="00143E95" w:rsidRPr="00143E95">
        <w:t xml:space="preserve"> new pathways for industry participation</w:t>
      </w:r>
      <w:r w:rsidR="000F25E9">
        <w:t xml:space="preserve"> in the CDR </w:t>
      </w:r>
      <w:r w:rsidR="00143E95" w:rsidRPr="00143E95">
        <w:t>by allowing CDR participants that are accredited to sponsor other parties to become accredited or allow them to operate as their representative.</w:t>
      </w:r>
      <w:r w:rsidR="000F25E9">
        <w:t xml:space="preserve"> Consumers are also able to share their data with certain trusted professional advisers (such as their accountant or tax agent) and to disclose limited data insights outside the CDR for a specific purpose if they choose (such as to verify their bank account balance).</w:t>
      </w:r>
    </w:p>
  </w:footnote>
  <w:footnote w:id="26">
    <w:p w14:paraId="4E5DF013" w14:textId="14B56B85" w:rsidR="000577C4" w:rsidRDefault="000577C4">
      <w:pPr>
        <w:pStyle w:val="FootnoteText"/>
      </w:pPr>
      <w:r>
        <w:rPr>
          <w:rStyle w:val="FootnoteReference"/>
        </w:rPr>
        <w:footnoteRef/>
      </w:r>
      <w:r>
        <w:t xml:space="preserve"> PwC</w:t>
      </w:r>
      <w:r w:rsidR="004224C4">
        <w:t xml:space="preserve"> submission</w:t>
      </w:r>
      <w:r>
        <w:t>, p.3.</w:t>
      </w:r>
    </w:p>
  </w:footnote>
  <w:footnote w:id="27">
    <w:p w14:paraId="76FCE6DC" w14:textId="66A215E2" w:rsidR="001D6B78" w:rsidRDefault="001D6B78" w:rsidP="001D6B78">
      <w:pPr>
        <w:pStyle w:val="FootnoteText"/>
      </w:pPr>
      <w:r>
        <w:rPr>
          <w:rStyle w:val="FootnoteReference"/>
        </w:rPr>
        <w:footnoteRef/>
      </w:r>
      <w:r>
        <w:t xml:space="preserve"> Block submission, p.7.</w:t>
      </w:r>
    </w:p>
  </w:footnote>
  <w:footnote w:id="28">
    <w:p w14:paraId="7735A879" w14:textId="3471A38E" w:rsidR="007D5B7A" w:rsidRDefault="007D5B7A" w:rsidP="007D5B7A">
      <w:pPr>
        <w:pStyle w:val="FootnoteText"/>
      </w:pPr>
      <w:r>
        <w:rPr>
          <w:rStyle w:val="FootnoteReference"/>
        </w:rPr>
        <w:footnoteRef/>
      </w:r>
      <w:r>
        <w:t xml:space="preserve"> True</w:t>
      </w:r>
      <w:r w:rsidR="00BA5418">
        <w:t>L</w:t>
      </w:r>
      <w:r>
        <w:t>ayer</w:t>
      </w:r>
      <w:r w:rsidR="0089678D">
        <w:t xml:space="preserve"> submission</w:t>
      </w:r>
      <w:r w:rsidR="00FC4B83">
        <w:t>, p.3.</w:t>
      </w:r>
    </w:p>
  </w:footnote>
  <w:footnote w:id="29">
    <w:p w14:paraId="056E2664" w14:textId="4DE378D1" w:rsidR="00B15366" w:rsidRDefault="00B15366">
      <w:pPr>
        <w:pStyle w:val="FootnoteText"/>
      </w:pPr>
      <w:r>
        <w:rPr>
          <w:rStyle w:val="FootnoteReference"/>
        </w:rPr>
        <w:footnoteRef/>
      </w:r>
      <w:r>
        <w:t xml:space="preserve"> </w:t>
      </w:r>
      <w:bookmarkStart w:id="25" w:name="_Hlk104197638"/>
      <w:r w:rsidR="00347D1B">
        <w:t>Raised by stakeholders during face-to-face consultations</w:t>
      </w:r>
      <w:r w:rsidR="00CF7906">
        <w:t>.</w:t>
      </w:r>
      <w:r w:rsidR="00347D1B">
        <w:t xml:space="preserve"> </w:t>
      </w:r>
      <w:bookmarkEnd w:id="25"/>
    </w:p>
  </w:footnote>
  <w:footnote w:id="30">
    <w:p w14:paraId="1BFA7257" w14:textId="1A1F6A27" w:rsidR="00D34D59" w:rsidRDefault="00D34D59">
      <w:pPr>
        <w:pStyle w:val="FootnoteText"/>
      </w:pPr>
      <w:r>
        <w:rPr>
          <w:rStyle w:val="FootnoteReference"/>
        </w:rPr>
        <w:footnoteRef/>
      </w:r>
      <w:r>
        <w:t xml:space="preserve"> Brighte submission, p.3.</w:t>
      </w:r>
    </w:p>
  </w:footnote>
  <w:footnote w:id="31">
    <w:p w14:paraId="2AE7CC8F" w14:textId="0F6E76E2" w:rsidR="00E32958" w:rsidRDefault="00E32958">
      <w:pPr>
        <w:pStyle w:val="FootnoteText"/>
      </w:pPr>
      <w:r>
        <w:rPr>
          <w:rStyle w:val="FootnoteReference"/>
        </w:rPr>
        <w:footnoteRef/>
      </w:r>
      <w:r>
        <w:t xml:space="preserve"> </w:t>
      </w:r>
      <w:r w:rsidR="0063462B">
        <w:rPr>
          <w:rFonts w:asciiTheme="minorHAnsi" w:hAnsiTheme="minorHAnsi"/>
          <w:szCs w:val="16"/>
        </w:rPr>
        <w:t>AFA</w:t>
      </w:r>
      <w:r w:rsidR="00776867" w:rsidRPr="00662F2D">
        <w:rPr>
          <w:rFonts w:asciiTheme="minorHAnsi" w:hAnsiTheme="minorHAnsi"/>
          <w:szCs w:val="16"/>
        </w:rPr>
        <w:t xml:space="preserve"> submission,</w:t>
      </w:r>
      <w:r w:rsidR="0089678D">
        <w:rPr>
          <w:rFonts w:asciiTheme="minorHAnsi" w:hAnsiTheme="minorHAnsi"/>
          <w:szCs w:val="16"/>
        </w:rPr>
        <w:t xml:space="preserve"> </w:t>
      </w:r>
      <w:r w:rsidR="00776867" w:rsidRPr="00662F2D">
        <w:rPr>
          <w:rFonts w:asciiTheme="minorHAnsi" w:hAnsiTheme="minorHAnsi"/>
          <w:szCs w:val="16"/>
        </w:rPr>
        <w:t>p.2.</w:t>
      </w:r>
    </w:p>
  </w:footnote>
  <w:footnote w:id="32">
    <w:p w14:paraId="6F3227C9" w14:textId="528E5F5A" w:rsidR="00662F2D" w:rsidRDefault="00662F2D" w:rsidP="00662F2D">
      <w:pPr>
        <w:pStyle w:val="FootnoteText"/>
      </w:pPr>
      <w:r>
        <w:rPr>
          <w:rStyle w:val="FootnoteReference"/>
        </w:rPr>
        <w:footnoteRef/>
      </w:r>
      <w:r>
        <w:t xml:space="preserve"> </w:t>
      </w:r>
      <w:r w:rsidR="0063462B">
        <w:rPr>
          <w:rFonts w:asciiTheme="minorHAnsi" w:hAnsiTheme="minorHAnsi"/>
          <w:szCs w:val="16"/>
        </w:rPr>
        <w:t>AFA</w:t>
      </w:r>
      <w:r w:rsidRPr="00662F2D">
        <w:rPr>
          <w:rFonts w:asciiTheme="minorHAnsi" w:hAnsiTheme="minorHAnsi"/>
          <w:szCs w:val="16"/>
        </w:rPr>
        <w:t xml:space="preserve"> submission,</w:t>
      </w:r>
      <w:r w:rsidR="0089678D">
        <w:rPr>
          <w:rFonts w:asciiTheme="minorHAnsi" w:hAnsiTheme="minorHAnsi"/>
          <w:szCs w:val="16"/>
        </w:rPr>
        <w:t xml:space="preserve"> </w:t>
      </w:r>
      <w:r w:rsidRPr="00662F2D">
        <w:rPr>
          <w:rFonts w:asciiTheme="minorHAnsi" w:hAnsiTheme="minorHAnsi"/>
          <w:szCs w:val="16"/>
        </w:rPr>
        <w:t>p.2.</w:t>
      </w:r>
    </w:p>
  </w:footnote>
  <w:footnote w:id="33">
    <w:p w14:paraId="410ED984" w14:textId="068BC088" w:rsidR="004A4302" w:rsidRDefault="004A4302">
      <w:pPr>
        <w:pStyle w:val="FootnoteText"/>
      </w:pPr>
      <w:r>
        <w:rPr>
          <w:rStyle w:val="FootnoteReference"/>
        </w:rPr>
        <w:footnoteRef/>
      </w:r>
      <w:r>
        <w:t xml:space="preserve"> Block submission, p.7.</w:t>
      </w:r>
    </w:p>
  </w:footnote>
  <w:footnote w:id="34">
    <w:p w14:paraId="600A6CF2" w14:textId="06588FF4" w:rsidR="006E7F1D" w:rsidRDefault="006E7F1D" w:rsidP="00F736A6">
      <w:pPr>
        <w:pStyle w:val="FootnoteText"/>
        <w:ind w:left="142" w:hanging="142"/>
      </w:pPr>
      <w:r>
        <w:rPr>
          <w:rStyle w:val="FootnoteReference"/>
        </w:rPr>
        <w:footnoteRef/>
      </w:r>
      <w:r>
        <w:t xml:space="preserve"> </w:t>
      </w:r>
      <w:r w:rsidRPr="006742F2">
        <w:rPr>
          <w:rFonts w:asciiTheme="minorHAnsi" w:hAnsiTheme="minorHAnsi" w:cstheme="minorHAnsi"/>
          <w:szCs w:val="16"/>
        </w:rPr>
        <w:t xml:space="preserve">Reserve Bank of Australia (RBA), </w:t>
      </w:r>
      <w:hyperlink r:id="rId3" w:history="1">
        <w:r w:rsidRPr="006742F2">
          <w:rPr>
            <w:rStyle w:val="Hyperlink"/>
            <w:rFonts w:asciiTheme="minorHAnsi" w:hAnsiTheme="minorHAnsi" w:cstheme="minorHAnsi"/>
            <w:i/>
            <w:iCs/>
            <w:sz w:val="16"/>
            <w:szCs w:val="16"/>
          </w:rPr>
          <w:t>Financial Stability Review – April 2019 Box D: Non-bank Lending for Property</w:t>
        </w:r>
      </w:hyperlink>
      <w:r w:rsidRPr="006742F2">
        <w:rPr>
          <w:rFonts w:asciiTheme="minorHAnsi" w:hAnsiTheme="minorHAnsi" w:cstheme="minorHAnsi"/>
          <w:szCs w:val="16"/>
        </w:rPr>
        <w:t>, April 2019, p. 51.</w:t>
      </w:r>
    </w:p>
  </w:footnote>
  <w:footnote w:id="35">
    <w:p w14:paraId="78800BF7" w14:textId="6F775881" w:rsidR="003B2C1B" w:rsidRDefault="003B2C1B">
      <w:pPr>
        <w:pStyle w:val="FootnoteText"/>
      </w:pPr>
      <w:r>
        <w:rPr>
          <w:rStyle w:val="FootnoteReference"/>
        </w:rPr>
        <w:footnoteRef/>
      </w:r>
      <w:r>
        <w:t xml:space="preserve"> TrueLayer submission, p.3.</w:t>
      </w:r>
    </w:p>
  </w:footnote>
  <w:footnote w:id="36">
    <w:p w14:paraId="113DFE6D" w14:textId="4E47E38F" w:rsidR="004203D1" w:rsidRDefault="004203D1">
      <w:pPr>
        <w:pStyle w:val="FootnoteText"/>
      </w:pPr>
      <w:r>
        <w:rPr>
          <w:rStyle w:val="FootnoteReference"/>
        </w:rPr>
        <w:footnoteRef/>
      </w:r>
      <w:r>
        <w:t xml:space="preserve"> </w:t>
      </w:r>
      <w:r w:rsidR="00F736A6">
        <w:t>ACCC</w:t>
      </w:r>
      <w:r w:rsidR="0089678D">
        <w:t xml:space="preserve"> submission</w:t>
      </w:r>
      <w:r w:rsidR="006149AC">
        <w:t>, p.5.</w:t>
      </w:r>
    </w:p>
  </w:footnote>
  <w:footnote w:id="37">
    <w:p w14:paraId="1423CFE8" w14:textId="6F045418" w:rsidR="00F156AF" w:rsidRDefault="00F156AF" w:rsidP="00F156AF">
      <w:pPr>
        <w:pStyle w:val="FootnoteText"/>
      </w:pPr>
      <w:r>
        <w:rPr>
          <w:rStyle w:val="FootnoteReference"/>
        </w:rPr>
        <w:footnoteRef/>
      </w:r>
      <w:r>
        <w:t xml:space="preserve"> </w:t>
      </w:r>
      <w:r w:rsidR="00F736A6">
        <w:t>COBA</w:t>
      </w:r>
      <w:r w:rsidR="0089678D">
        <w:t xml:space="preserve"> submission</w:t>
      </w:r>
      <w:r>
        <w:t>, p.1</w:t>
      </w:r>
      <w:r w:rsidR="009D5D18">
        <w:t>; ACCC submission, p.7</w:t>
      </w:r>
      <w:r w:rsidDel="009D5D18">
        <w:t>.</w:t>
      </w:r>
    </w:p>
  </w:footnote>
  <w:footnote w:id="38">
    <w:p w14:paraId="3D6995C2" w14:textId="3EE6822F" w:rsidR="00A510D6" w:rsidRDefault="00A510D6" w:rsidP="00F736A6">
      <w:pPr>
        <w:pStyle w:val="FootnoteText"/>
        <w:ind w:left="142" w:hanging="142"/>
      </w:pPr>
      <w:r>
        <w:rPr>
          <w:rStyle w:val="FootnoteReference"/>
        </w:rPr>
        <w:footnoteRef/>
      </w:r>
      <w:r>
        <w:t xml:space="preserve"> </w:t>
      </w:r>
      <w:r w:rsidR="00F736A6">
        <w:t>AFA</w:t>
      </w:r>
      <w:r w:rsidR="00F81FF7">
        <w:t xml:space="preserve"> submission, p.4; </w:t>
      </w:r>
      <w:r w:rsidR="00F736A6">
        <w:t xml:space="preserve">Joint submission by </w:t>
      </w:r>
      <w:r w:rsidR="00F81FF7">
        <w:t>CPA Australia, Chartered Accountants Australia and New Zealand, and the Institute of Public Accountants submission, p.2.</w:t>
      </w:r>
    </w:p>
  </w:footnote>
  <w:footnote w:id="39">
    <w:p w14:paraId="6506413E" w14:textId="2596778B" w:rsidR="00A510D6" w:rsidRDefault="00A510D6">
      <w:pPr>
        <w:pStyle w:val="FootnoteText"/>
      </w:pPr>
      <w:r>
        <w:rPr>
          <w:rStyle w:val="FootnoteReference"/>
        </w:rPr>
        <w:footnoteRef/>
      </w:r>
      <w:r>
        <w:t xml:space="preserve"> </w:t>
      </w:r>
      <w:r w:rsidR="009655F5">
        <w:t>TrueLayer submission, p.3.</w:t>
      </w:r>
    </w:p>
  </w:footnote>
  <w:footnote w:id="40">
    <w:p w14:paraId="2A1F4A3D" w14:textId="2BE5FCBE" w:rsidR="003437E5" w:rsidRDefault="003437E5">
      <w:pPr>
        <w:pStyle w:val="FootnoteText"/>
      </w:pPr>
      <w:r>
        <w:rPr>
          <w:rStyle w:val="FootnoteReference"/>
        </w:rPr>
        <w:footnoteRef/>
      </w:r>
      <w:r>
        <w:t xml:space="preserve"> </w:t>
      </w:r>
      <w:r w:rsidR="00AA7FB8">
        <w:t>Block submission, p.7.</w:t>
      </w:r>
    </w:p>
  </w:footnote>
  <w:footnote w:id="41">
    <w:p w14:paraId="7C4354AB" w14:textId="7A288D5E" w:rsidR="0028193D" w:rsidRDefault="0028193D" w:rsidP="0028193D">
      <w:pPr>
        <w:pStyle w:val="FootnoteText"/>
      </w:pPr>
      <w:r>
        <w:rPr>
          <w:rStyle w:val="FootnoteReference"/>
        </w:rPr>
        <w:footnoteRef/>
      </w:r>
      <w:r>
        <w:t xml:space="preserve"> </w:t>
      </w:r>
      <w:r w:rsidR="00F736A6">
        <w:t>ACCC</w:t>
      </w:r>
      <w:r w:rsidR="0089678D">
        <w:t xml:space="preserve"> submission</w:t>
      </w:r>
      <w:r>
        <w:t>, p.5.</w:t>
      </w:r>
    </w:p>
  </w:footnote>
  <w:footnote w:id="42">
    <w:p w14:paraId="014E6D99" w14:textId="056F7F2D" w:rsidR="00CB167B" w:rsidRDefault="00CB167B" w:rsidP="00F736A6">
      <w:pPr>
        <w:pStyle w:val="FootnoteText"/>
        <w:ind w:left="142" w:hanging="142"/>
      </w:pPr>
      <w:r>
        <w:rPr>
          <w:rStyle w:val="FootnoteReference"/>
        </w:rPr>
        <w:footnoteRef/>
      </w:r>
      <w:r>
        <w:t xml:space="preserve"> </w:t>
      </w:r>
      <w:r w:rsidR="008671D0">
        <w:t>A Sridharan, ‘</w:t>
      </w:r>
      <w:hyperlink r:id="rId4" w:history="1">
        <w:r w:rsidR="008671D0" w:rsidRPr="00250EC6">
          <w:rPr>
            <w:rStyle w:val="Hyperlink"/>
            <w:sz w:val="16"/>
          </w:rPr>
          <w:t>Basiq announces five new customers to access Open Banking</w:t>
        </w:r>
      </w:hyperlink>
      <w:r w:rsidR="008671D0">
        <w:t xml:space="preserve">’, </w:t>
      </w:r>
      <w:r w:rsidR="008671D0" w:rsidRPr="00C5743E">
        <w:rPr>
          <w:i/>
          <w:iCs/>
        </w:rPr>
        <w:t>Fin</w:t>
      </w:r>
      <w:r w:rsidR="008671D0">
        <w:rPr>
          <w:i/>
          <w:iCs/>
        </w:rPr>
        <w:t>T</w:t>
      </w:r>
      <w:r w:rsidR="008671D0" w:rsidRPr="00C5743E">
        <w:rPr>
          <w:i/>
          <w:iCs/>
        </w:rPr>
        <w:t>ech Australia</w:t>
      </w:r>
      <w:r w:rsidR="008671D0">
        <w:t>, 2 May 2022</w:t>
      </w:r>
    </w:p>
  </w:footnote>
  <w:footnote w:id="43">
    <w:p w14:paraId="230F08C0" w14:textId="77777777" w:rsidR="008671D0" w:rsidRDefault="008671D0" w:rsidP="008671D0">
      <w:pPr>
        <w:pStyle w:val="FootnoteText"/>
      </w:pPr>
      <w:r>
        <w:rPr>
          <w:rStyle w:val="FootnoteReference"/>
        </w:rPr>
        <w:footnoteRef/>
      </w:r>
      <w:r>
        <w:t xml:space="preserve"> ABA submission, p 1.</w:t>
      </w:r>
    </w:p>
  </w:footnote>
  <w:footnote w:id="44">
    <w:p w14:paraId="12CF7F5A" w14:textId="77777777" w:rsidR="008671D0" w:rsidRDefault="008671D0" w:rsidP="008671D0">
      <w:pPr>
        <w:pStyle w:val="FootnoteText"/>
      </w:pPr>
      <w:r>
        <w:rPr>
          <w:rStyle w:val="FootnoteReference"/>
        </w:rPr>
        <w:footnoteRef/>
      </w:r>
      <w:r>
        <w:t xml:space="preserve"> ABA submission, p 1.</w:t>
      </w:r>
    </w:p>
  </w:footnote>
  <w:footnote w:id="45">
    <w:p w14:paraId="2F5E0324" w14:textId="27D7B76C" w:rsidR="00080B9C" w:rsidRDefault="00080B9C">
      <w:pPr>
        <w:pStyle w:val="FootnoteText"/>
      </w:pPr>
      <w:r>
        <w:rPr>
          <w:rStyle w:val="FootnoteReference"/>
        </w:rPr>
        <w:footnoteRef/>
      </w:r>
      <w:r>
        <w:t xml:space="preserve"> </w:t>
      </w:r>
      <w:r w:rsidR="00F736A6">
        <w:t>AFIA</w:t>
      </w:r>
      <w:r w:rsidR="006E0F7B">
        <w:t xml:space="preserve"> submission</w:t>
      </w:r>
      <w:r>
        <w:t>, p.5.</w:t>
      </w:r>
    </w:p>
  </w:footnote>
  <w:footnote w:id="46">
    <w:p w14:paraId="27E5B668" w14:textId="6E03E0F5" w:rsidR="00995D53" w:rsidRDefault="00995D53" w:rsidP="00F736A6">
      <w:pPr>
        <w:pStyle w:val="FootnoteText"/>
        <w:ind w:left="142" w:hanging="142"/>
      </w:pPr>
      <w:r>
        <w:rPr>
          <w:rStyle w:val="FootnoteReference"/>
        </w:rPr>
        <w:footnoteRef/>
      </w:r>
      <w:r>
        <w:t xml:space="preserve"> </w:t>
      </w:r>
      <w:r w:rsidR="00F736A6">
        <w:t>Joint submission by FRLC</w:t>
      </w:r>
      <w:r w:rsidR="006A190F">
        <w:t>,</w:t>
      </w:r>
      <w:r w:rsidR="00F736A6">
        <w:t xml:space="preserve"> FCA, </w:t>
      </w:r>
      <w:r w:rsidR="006A190F">
        <w:t xml:space="preserve">and </w:t>
      </w:r>
      <w:r w:rsidR="00F736A6">
        <w:t>CALC,</w:t>
      </w:r>
      <w:r w:rsidR="006A190F">
        <w:t xml:space="preserve"> p.6; </w:t>
      </w:r>
      <w:r w:rsidR="00F736A6">
        <w:t>ACCC</w:t>
      </w:r>
      <w:r w:rsidR="006A190F">
        <w:t xml:space="preserve"> submission, p.4</w:t>
      </w:r>
      <w:r w:rsidR="00B30F70">
        <w:t xml:space="preserve">; </w:t>
      </w:r>
      <w:r w:rsidR="00F736A6">
        <w:t>OAIC submission,</w:t>
      </w:r>
      <w:r w:rsidR="00B30F70">
        <w:t xml:space="preserve"> p.6.</w:t>
      </w:r>
    </w:p>
  </w:footnote>
  <w:footnote w:id="47">
    <w:p w14:paraId="5E18F8E9" w14:textId="50A48A43" w:rsidR="008D4DC7" w:rsidRDefault="008D4DC7">
      <w:pPr>
        <w:pStyle w:val="FootnoteText"/>
      </w:pPr>
      <w:r>
        <w:rPr>
          <w:rStyle w:val="FootnoteReference"/>
        </w:rPr>
        <w:footnoteRef/>
      </w:r>
      <w:r>
        <w:t xml:space="preserve"> </w:t>
      </w:r>
      <w:r w:rsidR="00F736A6">
        <w:t>ACCC</w:t>
      </w:r>
      <w:r w:rsidR="006E0F7B">
        <w:t xml:space="preserve"> submission</w:t>
      </w:r>
      <w:r>
        <w:t>, p.</w:t>
      </w:r>
      <w:r w:rsidR="006E0F7B">
        <w:t>4.</w:t>
      </w:r>
    </w:p>
  </w:footnote>
  <w:footnote w:id="48">
    <w:p w14:paraId="1C11BEC6" w14:textId="61F7543B" w:rsidR="002F0A1A" w:rsidRDefault="002F0A1A" w:rsidP="002F0A1A">
      <w:pPr>
        <w:pStyle w:val="FootnoteText"/>
      </w:pPr>
      <w:r>
        <w:rPr>
          <w:rStyle w:val="FootnoteReference"/>
        </w:rPr>
        <w:footnoteRef/>
      </w:r>
      <w:r>
        <w:t xml:space="preserve"> </w:t>
      </w:r>
      <w:r w:rsidR="00F736A6">
        <w:t xml:space="preserve">Joint submission by FRLC, FCA, and CALC, p.6; ACCC submission, </w:t>
      </w:r>
      <w:r>
        <w:t>p.6.</w:t>
      </w:r>
    </w:p>
  </w:footnote>
  <w:footnote w:id="49">
    <w:p w14:paraId="42BAC252" w14:textId="63D74625" w:rsidR="0095480E" w:rsidRDefault="0095480E">
      <w:pPr>
        <w:pStyle w:val="FootnoteText"/>
      </w:pPr>
      <w:r>
        <w:rPr>
          <w:rStyle w:val="FootnoteReference"/>
        </w:rPr>
        <w:footnoteRef/>
      </w:r>
      <w:r>
        <w:t xml:space="preserve"> </w:t>
      </w:r>
      <w:r w:rsidR="0080208C">
        <w:t>AFIA</w:t>
      </w:r>
      <w:r>
        <w:t xml:space="preserve"> submission, p.5.</w:t>
      </w:r>
    </w:p>
  </w:footnote>
  <w:footnote w:id="50">
    <w:p w14:paraId="60BF6913" w14:textId="7111E12F" w:rsidR="0080208C" w:rsidRDefault="0080208C" w:rsidP="0080208C">
      <w:pPr>
        <w:pStyle w:val="FootnoteText"/>
      </w:pPr>
      <w:r>
        <w:rPr>
          <w:rStyle w:val="FootnoteReference"/>
        </w:rPr>
        <w:footnoteRef/>
      </w:r>
      <w:r>
        <w:t xml:space="preserve"> Joint submission by FRLC, FCA, and CALC, p.5; OAIC submission, p.6.</w:t>
      </w:r>
    </w:p>
  </w:footnote>
  <w:footnote w:id="51">
    <w:p w14:paraId="1C129959" w14:textId="28075674" w:rsidR="0062501C" w:rsidRDefault="0062501C" w:rsidP="0062501C">
      <w:pPr>
        <w:pStyle w:val="FootnoteText"/>
      </w:pPr>
      <w:r>
        <w:rPr>
          <w:rStyle w:val="FootnoteReference"/>
        </w:rPr>
        <w:footnoteRef/>
      </w:r>
      <w:r>
        <w:t xml:space="preserve"> Ref</w:t>
      </w:r>
      <w:r w:rsidR="0080208C">
        <w:t>er</w:t>
      </w:r>
      <w:r>
        <w:t xml:space="preserve"> to </w:t>
      </w:r>
      <w:r w:rsidR="0080208C">
        <w:t>Attachment A - P</w:t>
      </w:r>
      <w:r>
        <w:t xml:space="preserve">rivacy </w:t>
      </w:r>
      <w:r w:rsidR="0080208C">
        <w:t>I</w:t>
      </w:r>
      <w:r>
        <w:t xml:space="preserve">mpact </w:t>
      </w:r>
      <w:r w:rsidR="0080208C">
        <w:t>A</w:t>
      </w:r>
      <w:r>
        <w:t xml:space="preserve">ssessment for </w:t>
      </w:r>
      <w:r w:rsidR="0080208C">
        <w:t>more</w:t>
      </w:r>
      <w:r>
        <w:t xml:space="preserve"> information on the interaction between the CCR and CDR</w:t>
      </w:r>
      <w:r w:rsidR="0039667B">
        <w:t>.</w:t>
      </w:r>
      <w:r>
        <w:t xml:space="preserve"> </w:t>
      </w:r>
    </w:p>
  </w:footnote>
  <w:footnote w:id="52">
    <w:p w14:paraId="356D846F" w14:textId="45C94A00" w:rsidR="005D326E" w:rsidRDefault="005D326E" w:rsidP="005D326E">
      <w:pPr>
        <w:pStyle w:val="FootnoteText"/>
      </w:pPr>
      <w:r>
        <w:rPr>
          <w:rStyle w:val="FootnoteReference"/>
        </w:rPr>
        <w:footnoteRef/>
      </w:r>
      <w:r>
        <w:t xml:space="preserve"> </w:t>
      </w:r>
      <w:r w:rsidR="0080208C">
        <w:t>Joint submission by FRLC, FCA, and CALC</w:t>
      </w:r>
      <w:r>
        <w:t>, p.5</w:t>
      </w:r>
      <w:r w:rsidR="00160182">
        <w:t xml:space="preserve">; </w:t>
      </w:r>
      <w:r w:rsidR="0080208C">
        <w:t>OAIC</w:t>
      </w:r>
      <w:r w:rsidR="007A5076">
        <w:t xml:space="preserve"> submission</w:t>
      </w:r>
      <w:r w:rsidR="00160182">
        <w:t>, p.6.</w:t>
      </w:r>
    </w:p>
  </w:footnote>
  <w:footnote w:id="53">
    <w:p w14:paraId="57FA541B" w14:textId="7673FDEE" w:rsidR="00286EA8" w:rsidRDefault="00286EA8">
      <w:pPr>
        <w:pStyle w:val="FootnoteText"/>
      </w:pPr>
      <w:r>
        <w:rPr>
          <w:rStyle w:val="FootnoteReference"/>
        </w:rPr>
        <w:footnoteRef/>
      </w:r>
      <w:r>
        <w:t xml:space="preserve"> </w:t>
      </w:r>
      <w:r w:rsidR="00DA29A3">
        <w:t>ACCC</w:t>
      </w:r>
      <w:r>
        <w:t xml:space="preserve"> submission, p.5.</w:t>
      </w:r>
    </w:p>
  </w:footnote>
  <w:footnote w:id="54">
    <w:p w14:paraId="42CAC886" w14:textId="102CF034" w:rsidR="008D793D" w:rsidRDefault="008D793D" w:rsidP="008D793D">
      <w:pPr>
        <w:pStyle w:val="FootnoteText"/>
        <w:ind w:left="170" w:hanging="170"/>
      </w:pPr>
      <w:r>
        <w:rPr>
          <w:rStyle w:val="FootnoteReference"/>
        </w:rPr>
        <w:footnoteRef/>
      </w:r>
      <w:r>
        <w:t xml:space="preserve"> In July 2022, the Government announced its intention to </w:t>
      </w:r>
      <w:r w:rsidRPr="004D729A">
        <w:t xml:space="preserve">strengthen consumer protection safeguards for payday lending and consider the overall regulation of buy now, pay later </w:t>
      </w:r>
      <w:r>
        <w:t>products.</w:t>
      </w:r>
    </w:p>
  </w:footnote>
  <w:footnote w:id="55">
    <w:p w14:paraId="42E674B7" w14:textId="76B98460" w:rsidR="00856322" w:rsidRDefault="00856322" w:rsidP="009D39CB">
      <w:pPr>
        <w:pStyle w:val="FootnoteText"/>
        <w:ind w:left="170" w:hanging="170"/>
      </w:pPr>
      <w:r>
        <w:rPr>
          <w:rStyle w:val="FootnoteReference"/>
        </w:rPr>
        <w:footnoteRef/>
      </w:r>
      <w:r>
        <w:t xml:space="preserve"> Design and distribution obligations r</w:t>
      </w:r>
      <w:r w:rsidRPr="00856322">
        <w:t>equire firms to design financial products to meet the needs of consumers and to distribute their products in a more targeted manner</w:t>
      </w:r>
      <w:r w:rsidR="00F55B84">
        <w:t>.</w:t>
      </w:r>
    </w:p>
  </w:footnote>
  <w:footnote w:id="56">
    <w:p w14:paraId="36EC72B3" w14:textId="2BE9E28F" w:rsidR="00603462" w:rsidRDefault="00603462" w:rsidP="00603462">
      <w:pPr>
        <w:pStyle w:val="FootnoteText"/>
        <w:ind w:left="170" w:hanging="170"/>
      </w:pPr>
      <w:r>
        <w:rPr>
          <w:rStyle w:val="FootnoteReference"/>
        </w:rPr>
        <w:footnoteRef/>
      </w:r>
      <w:r>
        <w:t xml:space="preserve"> The product intervention power is a regulatory tool available to ASIC to improve consumer outcomes. It allows ASIC to temporarily intervene in a range of ways, including to ban financial products and credit products when there is a risk of significant consumer detriment.</w:t>
      </w:r>
    </w:p>
  </w:footnote>
  <w:footnote w:id="57">
    <w:p w14:paraId="1ABDFD8B" w14:textId="683379AE" w:rsidR="0035239C" w:rsidRDefault="0035239C" w:rsidP="0035239C">
      <w:pPr>
        <w:pStyle w:val="FootnoteText"/>
      </w:pPr>
      <w:r>
        <w:rPr>
          <w:rStyle w:val="FootnoteReference"/>
        </w:rPr>
        <w:footnoteRef/>
      </w:r>
      <w:r>
        <w:t xml:space="preserve"> CitoPlus submission, p.2.</w:t>
      </w:r>
    </w:p>
  </w:footnote>
  <w:footnote w:id="58">
    <w:p w14:paraId="4CC4F32F" w14:textId="77777777" w:rsidR="00772DEE" w:rsidRDefault="00772DEE" w:rsidP="00772DEE">
      <w:pPr>
        <w:pStyle w:val="FootnoteText"/>
      </w:pPr>
      <w:r>
        <w:rPr>
          <w:rStyle w:val="FootnoteReference"/>
        </w:rPr>
        <w:footnoteRef/>
      </w:r>
      <w:r>
        <w:t xml:space="preserve"> Product data is subject to limitations set out in section 56BF of the Act and is data for which there are no CDR consumers.</w:t>
      </w:r>
    </w:p>
  </w:footnote>
  <w:footnote w:id="59">
    <w:p w14:paraId="1BEA3EAB" w14:textId="1549C1BF" w:rsidR="00517487" w:rsidRPr="00F67EA1" w:rsidRDefault="00517487" w:rsidP="005C1BDF">
      <w:pPr>
        <w:pStyle w:val="FootnoteText"/>
        <w:ind w:left="284" w:hanging="284"/>
        <w:rPr>
          <w:i/>
          <w:iCs/>
        </w:rPr>
      </w:pPr>
      <w:r>
        <w:rPr>
          <w:rStyle w:val="FootnoteReference"/>
        </w:rPr>
        <w:footnoteRef/>
      </w:r>
      <w:r>
        <w:t xml:space="preserve"> As per the </w:t>
      </w:r>
      <w:r w:rsidR="00F67EA1">
        <w:t xml:space="preserve">definition of a registrable corporation in section 7 of the </w:t>
      </w:r>
      <w:r w:rsidR="00F67EA1" w:rsidRPr="00F67EA1">
        <w:rPr>
          <w:i/>
          <w:iCs/>
        </w:rPr>
        <w:t>Collection of Data Act</w:t>
      </w:r>
      <w:r w:rsidR="00E47844">
        <w:rPr>
          <w:i/>
          <w:iCs/>
        </w:rPr>
        <w:t>.</w:t>
      </w:r>
    </w:p>
  </w:footnote>
  <w:footnote w:id="60">
    <w:p w14:paraId="531CEE7D" w14:textId="62B95A1B" w:rsidR="00772DEE" w:rsidRDefault="00772DEE" w:rsidP="00FB2320">
      <w:pPr>
        <w:pStyle w:val="FootnoteText"/>
        <w:ind w:left="142" w:hanging="142"/>
      </w:pPr>
      <w:r>
        <w:rPr>
          <w:rStyle w:val="FootnoteReference"/>
        </w:rPr>
        <w:footnoteRef/>
      </w:r>
      <w:r>
        <w:t xml:space="preserve"> </w:t>
      </w:r>
      <w:r w:rsidR="00FB2320">
        <w:t>T</w:t>
      </w:r>
      <w:r w:rsidR="00AE67BE" w:rsidRPr="00AE67BE">
        <w:t>he</w:t>
      </w:r>
      <w:r w:rsidRPr="00AE67BE">
        <w:t xml:space="preserve"> </w:t>
      </w:r>
      <w:r w:rsidR="00AE67BE" w:rsidRPr="00FB2320">
        <w:t xml:space="preserve">Credit </w:t>
      </w:r>
      <w:r w:rsidR="00FB2320" w:rsidRPr="00FB2320">
        <w:t>Act</w:t>
      </w:r>
      <w:r>
        <w:t xml:space="preserve"> requires </w:t>
      </w:r>
      <w:r w:rsidR="00AE67BE">
        <w:t>most lenders</w:t>
      </w:r>
      <w:r>
        <w:t xml:space="preserve"> to provide consumers with a ‘Key Facts Sheet’ </w:t>
      </w:r>
      <w:r w:rsidR="00FB2320">
        <w:t xml:space="preserve">on certain products </w:t>
      </w:r>
      <w:r w:rsidR="00866163">
        <w:t>when requested</w:t>
      </w:r>
      <w:r>
        <w:t xml:space="preserve">, including information about </w:t>
      </w:r>
      <w:r w:rsidR="00866163">
        <w:t>loan terms, rates and ongoing costs</w:t>
      </w:r>
      <w:r>
        <w:t>.</w:t>
      </w:r>
    </w:p>
  </w:footnote>
  <w:footnote w:id="61">
    <w:p w14:paraId="358669EF" w14:textId="4AAE81E3" w:rsidR="007633CC" w:rsidRDefault="007633CC" w:rsidP="007633CC">
      <w:pPr>
        <w:pStyle w:val="FootnoteText"/>
      </w:pPr>
      <w:r>
        <w:rPr>
          <w:rStyle w:val="FootnoteReference"/>
        </w:rPr>
        <w:footnoteRef/>
      </w:r>
      <w:r>
        <w:t xml:space="preserve"> For example, </w:t>
      </w:r>
      <w:r w:rsidR="009B16D6">
        <w:t>ARCA</w:t>
      </w:r>
      <w:r>
        <w:t xml:space="preserve">, </w:t>
      </w:r>
      <w:r w:rsidR="009B16D6">
        <w:t>ABA</w:t>
      </w:r>
      <w:r>
        <w:t>, TrueLayer, Commonwealth Bank of Australia</w:t>
      </w:r>
      <w:r w:rsidR="009B16D6">
        <w:t>.</w:t>
      </w:r>
    </w:p>
  </w:footnote>
  <w:footnote w:id="62">
    <w:p w14:paraId="23F88A66" w14:textId="5F4EE10C" w:rsidR="00E763B7" w:rsidRPr="00013164" w:rsidRDefault="00E763B7" w:rsidP="00E763B7">
      <w:pPr>
        <w:pStyle w:val="FootnoteText"/>
        <w:rPr>
          <w:i/>
          <w:iCs/>
        </w:rPr>
      </w:pPr>
      <w:r>
        <w:rPr>
          <w:rStyle w:val="FootnoteReference"/>
        </w:rPr>
        <w:footnoteRef/>
      </w:r>
      <w:r>
        <w:t xml:space="preserve"> As per s10 of the </w:t>
      </w:r>
      <w:r w:rsidRPr="00013164">
        <w:rPr>
          <w:i/>
          <w:iCs/>
        </w:rPr>
        <w:t>Consumer Data Right (Authorised Deposit-Taking Institutions) Designation 2019</w:t>
      </w:r>
      <w:r w:rsidR="002C310F">
        <w:rPr>
          <w:i/>
          <w:iCs/>
        </w:rPr>
        <w:t>.</w:t>
      </w:r>
    </w:p>
  </w:footnote>
  <w:footnote w:id="63">
    <w:p w14:paraId="497A30A5" w14:textId="701C7CAC" w:rsidR="00E763B7" w:rsidRDefault="00E763B7">
      <w:pPr>
        <w:pStyle w:val="FootnoteText"/>
      </w:pPr>
      <w:r>
        <w:rPr>
          <w:rStyle w:val="FootnoteReference"/>
        </w:rPr>
        <w:footnoteRef/>
      </w:r>
      <w:r>
        <w:t xml:space="preserve"> As per s9 of the </w:t>
      </w:r>
      <w:r w:rsidRPr="00013164">
        <w:rPr>
          <w:i/>
          <w:iCs/>
        </w:rPr>
        <w:t>Consumer Data Right (Authorised Deposit-Taking Institutions) Designation 2019</w:t>
      </w:r>
      <w:r w:rsidR="002C310F">
        <w:rPr>
          <w:i/>
          <w:iCs/>
        </w:rPr>
        <w:t>.</w:t>
      </w:r>
    </w:p>
  </w:footnote>
  <w:footnote w:id="64">
    <w:p w14:paraId="6CF1ED27" w14:textId="1E7E197B" w:rsidR="00C82636" w:rsidRDefault="00C82636">
      <w:pPr>
        <w:pStyle w:val="FootnoteText"/>
      </w:pPr>
      <w:r>
        <w:rPr>
          <w:rStyle w:val="FootnoteReference"/>
        </w:rPr>
        <w:footnoteRef/>
      </w:r>
      <w:r w:rsidR="00A62D29" w:rsidRPr="00A62D29">
        <w:t xml:space="preserve"> </w:t>
      </w:r>
      <w:r w:rsidR="00A62D29">
        <w:t xml:space="preserve">Section </w:t>
      </w:r>
      <w:r w:rsidR="00A62D29" w:rsidRPr="00A62D29">
        <w:t>56AI</w:t>
      </w:r>
      <w:r w:rsidR="00A62D29">
        <w:t xml:space="preserve"> of the Act.</w:t>
      </w:r>
    </w:p>
  </w:footnote>
  <w:footnote w:id="65">
    <w:p w14:paraId="3AAFA173" w14:textId="369BE26A" w:rsidR="00551C39" w:rsidRDefault="00551C39">
      <w:pPr>
        <w:pStyle w:val="FootnoteText"/>
      </w:pPr>
      <w:r>
        <w:rPr>
          <w:rStyle w:val="FootnoteReference"/>
        </w:rPr>
        <w:footnoteRef/>
      </w:r>
      <w:r>
        <w:t xml:space="preserve"> </w:t>
      </w:r>
      <w:r w:rsidR="00E47844">
        <w:t xml:space="preserve">Section </w:t>
      </w:r>
      <w:r w:rsidR="002C310F">
        <w:t xml:space="preserve">10 of the </w:t>
      </w:r>
      <w:r w:rsidR="002C310F" w:rsidRPr="00013164">
        <w:rPr>
          <w:i/>
          <w:iCs/>
        </w:rPr>
        <w:t>Consumer Data Right (Authorised Deposit-Taking Institutions) Designation 2019</w:t>
      </w:r>
    </w:p>
  </w:footnote>
  <w:footnote w:id="66">
    <w:p w14:paraId="4D03D709" w14:textId="3AD2BC97" w:rsidR="00551C39" w:rsidRDefault="00551C39" w:rsidP="00A043CC">
      <w:pPr>
        <w:pStyle w:val="FootnoteText"/>
      </w:pPr>
      <w:r>
        <w:rPr>
          <w:rStyle w:val="FootnoteReference"/>
        </w:rPr>
        <w:footnoteRef/>
      </w:r>
      <w:r>
        <w:t xml:space="preserve"> </w:t>
      </w:r>
      <w:r w:rsidR="002C310F">
        <w:t xml:space="preserve">Explanatory statement, </w:t>
      </w:r>
      <w:r w:rsidR="002C310F" w:rsidRPr="00013164">
        <w:rPr>
          <w:i/>
          <w:iCs/>
        </w:rPr>
        <w:t>Consumer Data Right (Authorised Deposit-Taking Institutions) Designation 2019</w:t>
      </w:r>
      <w:r w:rsidR="002C310F">
        <w:rPr>
          <w:i/>
          <w:iCs/>
        </w:rPr>
        <w:t>.</w:t>
      </w:r>
    </w:p>
  </w:footnote>
  <w:footnote w:id="67">
    <w:p w14:paraId="47E5D499" w14:textId="1FAF63E3" w:rsidR="008A4131" w:rsidRDefault="008A4131" w:rsidP="00FB2320">
      <w:pPr>
        <w:pStyle w:val="FootnoteText"/>
        <w:ind w:left="142" w:hanging="142"/>
      </w:pPr>
      <w:r>
        <w:rPr>
          <w:rStyle w:val="FootnoteReference"/>
        </w:rPr>
        <w:footnoteRef/>
      </w:r>
      <w:r>
        <w:t xml:space="preserve"> The examples provided were: the outcome of an income, expense or asset verification assessment; or a categorisation of transactions as being related to groceries or rent; or significantly improved descriptions of transactions utilising geolocation or business name data from external sources.</w:t>
      </w:r>
    </w:p>
  </w:footnote>
  <w:footnote w:id="68">
    <w:p w14:paraId="19021502" w14:textId="0BAADA38" w:rsidR="00944499" w:rsidRDefault="00944499">
      <w:pPr>
        <w:pStyle w:val="FootnoteText"/>
      </w:pPr>
      <w:r>
        <w:rPr>
          <w:rStyle w:val="FootnoteReference"/>
        </w:rPr>
        <w:footnoteRef/>
      </w:r>
      <w:r>
        <w:t xml:space="preserve"> </w:t>
      </w:r>
      <w:r w:rsidR="00FB2320">
        <w:t>ACCC</w:t>
      </w:r>
      <w:r>
        <w:t xml:space="preserve"> submission, p.8.</w:t>
      </w:r>
    </w:p>
  </w:footnote>
  <w:footnote w:id="69">
    <w:p w14:paraId="4C5CE3E2" w14:textId="5B36A581" w:rsidR="00E763B7" w:rsidRDefault="00E763B7" w:rsidP="00FB2320">
      <w:pPr>
        <w:pStyle w:val="FootnoteText"/>
        <w:ind w:left="142" w:hanging="142"/>
      </w:pPr>
      <w:r>
        <w:rPr>
          <w:rStyle w:val="FootnoteReference"/>
        </w:rPr>
        <w:footnoteRef/>
      </w:r>
      <w:r>
        <w:t xml:space="preserve"> The definition of credit facility, as defined in </w:t>
      </w:r>
      <w:r w:rsidR="00FB2320">
        <w:t>Re</w:t>
      </w:r>
      <w:r>
        <w:t>gulation 2B</w:t>
      </w:r>
      <w:r w:rsidR="00FB2320">
        <w:t xml:space="preserve"> to the Corporations Act</w:t>
      </w:r>
      <w:r>
        <w:t>, is generally accepted to be broad and open-ended, including the provision of credit for any period and a facility for making non-cash payments.</w:t>
      </w:r>
    </w:p>
  </w:footnote>
  <w:footnote w:id="70">
    <w:p w14:paraId="0C8DB5B1" w14:textId="478C3B47" w:rsidR="00E763B7" w:rsidRDefault="00E763B7" w:rsidP="00FB2320">
      <w:pPr>
        <w:pStyle w:val="FootnoteText"/>
        <w:ind w:left="142" w:hanging="142"/>
      </w:pPr>
      <w:r>
        <w:rPr>
          <w:rStyle w:val="FootnoteReference"/>
        </w:rPr>
        <w:footnoteRef/>
      </w:r>
      <w:r>
        <w:t xml:space="preserve"> The Collection of Data Act definition</w:t>
      </w:r>
      <w:r w:rsidRPr="00E763B7">
        <w:t xml:space="preserve"> covers those entities that are engaged in the provision of finance in the course of carrying on business in Australia.</w:t>
      </w:r>
    </w:p>
  </w:footnote>
  <w:footnote w:id="71">
    <w:p w14:paraId="3CDE1A5C" w14:textId="77765B38" w:rsidR="00AD0022" w:rsidRDefault="00AD0022">
      <w:pPr>
        <w:pStyle w:val="FootnoteText"/>
      </w:pPr>
      <w:r>
        <w:rPr>
          <w:rStyle w:val="FootnoteReference"/>
        </w:rPr>
        <w:footnoteRef/>
      </w:r>
      <w:r>
        <w:t xml:space="preserve"> For example, </w:t>
      </w:r>
      <w:r w:rsidR="00FB2320">
        <w:t>COBA and</w:t>
      </w:r>
      <w:r w:rsidR="007145FB">
        <w:t xml:space="preserve"> </w:t>
      </w:r>
      <w:r w:rsidR="00FB2320">
        <w:t>ACCC</w:t>
      </w:r>
      <w:r w:rsidR="00E47844">
        <w:t>.</w:t>
      </w:r>
    </w:p>
  </w:footnote>
  <w:footnote w:id="72">
    <w:p w14:paraId="230777E6" w14:textId="12965CB2" w:rsidR="00AD0022" w:rsidRDefault="00AD0022">
      <w:pPr>
        <w:pStyle w:val="FootnoteText"/>
      </w:pPr>
      <w:r>
        <w:rPr>
          <w:rStyle w:val="FootnoteReference"/>
        </w:rPr>
        <w:footnoteRef/>
      </w:r>
      <w:r>
        <w:t xml:space="preserve"> For example, </w:t>
      </w:r>
      <w:r w:rsidR="00FB2320">
        <w:t>AFIA and</w:t>
      </w:r>
      <w:r w:rsidR="007145FB">
        <w:t xml:space="preserve"> Brighte</w:t>
      </w:r>
      <w:r w:rsidR="00E47844">
        <w:t>.</w:t>
      </w:r>
      <w:r>
        <w:t xml:space="preserve"> </w:t>
      </w:r>
    </w:p>
  </w:footnote>
  <w:footnote w:id="73">
    <w:p w14:paraId="2A934D21" w14:textId="76D6A8E6" w:rsidR="00E70C58" w:rsidRDefault="00E70C58" w:rsidP="003A2F2C">
      <w:pPr>
        <w:pStyle w:val="FootnoteText"/>
        <w:ind w:left="142" w:hanging="142"/>
      </w:pPr>
      <w:r>
        <w:rPr>
          <w:rStyle w:val="FootnoteReference"/>
        </w:rPr>
        <w:footnoteRef/>
      </w:r>
      <w:r>
        <w:t xml:space="preserve"> An entity must fall within the scope of the definition of data holder in a designation instrument of the CDR to share data within the CDR.</w:t>
      </w:r>
    </w:p>
  </w:footnote>
  <w:footnote w:id="74">
    <w:p w14:paraId="7DA35387" w14:textId="7CBA4B1A" w:rsidR="003A2F2C" w:rsidRDefault="003A2F2C" w:rsidP="003A2F2C">
      <w:pPr>
        <w:pStyle w:val="FootnoteText"/>
        <w:ind w:left="142" w:hanging="142"/>
      </w:pPr>
      <w:r>
        <w:rPr>
          <w:rStyle w:val="FootnoteReference"/>
        </w:rPr>
        <w:footnoteRef/>
      </w:r>
      <w:r>
        <w:t xml:space="preserve"> Entities that use securitisation models to fund their loans may also accumulate balances in special purpose funding entities, these balances will also need to be captured in any </w:t>
      </w:r>
      <w:r w:rsidRPr="00C5743E">
        <w:rPr>
          <w:i/>
          <w:iCs/>
        </w:rPr>
        <w:t>de minimis</w:t>
      </w:r>
      <w:r>
        <w:t xml:space="preserve"> calculation. </w:t>
      </w:r>
    </w:p>
  </w:footnote>
  <w:footnote w:id="75">
    <w:p w14:paraId="0EDC53A8" w14:textId="11F6475E" w:rsidR="00011AA6" w:rsidRDefault="00011AA6">
      <w:pPr>
        <w:pStyle w:val="FootnoteText"/>
      </w:pPr>
      <w:r>
        <w:rPr>
          <w:rStyle w:val="FootnoteReference"/>
        </w:rPr>
        <w:footnoteRef/>
      </w:r>
      <w:r>
        <w:t xml:space="preserve"> Australian Securitisation Forum submission, p.3.</w:t>
      </w:r>
    </w:p>
  </w:footnote>
  <w:footnote w:id="76">
    <w:p w14:paraId="12D89AB9" w14:textId="4B6715F2" w:rsidR="007C4B8F" w:rsidRDefault="007C4B8F" w:rsidP="00E47844">
      <w:pPr>
        <w:pStyle w:val="FootnoteText"/>
      </w:pPr>
      <w:r>
        <w:rPr>
          <w:rStyle w:val="FootnoteReference"/>
        </w:rPr>
        <w:footnoteRef/>
      </w:r>
      <w:r w:rsidR="00E47844">
        <w:t xml:space="preserve"> TrueLayer submission, p.6; AFIA submission; p.8; Bright submission, p.6.</w:t>
      </w:r>
    </w:p>
  </w:footnote>
  <w:footnote w:id="77">
    <w:p w14:paraId="226A37F7" w14:textId="48656B72" w:rsidR="008D1184" w:rsidRDefault="008D1184">
      <w:pPr>
        <w:pStyle w:val="FootnoteText"/>
      </w:pPr>
      <w:r>
        <w:rPr>
          <w:rStyle w:val="FootnoteReference"/>
        </w:rPr>
        <w:footnoteRef/>
      </w:r>
      <w:r>
        <w:t xml:space="preserve"> TrueLayer submission, p.6.</w:t>
      </w:r>
    </w:p>
  </w:footnote>
  <w:footnote w:id="78">
    <w:p w14:paraId="4F90315E" w14:textId="0B3D3536" w:rsidR="00032691" w:rsidRDefault="00032691">
      <w:pPr>
        <w:pStyle w:val="FootnoteText"/>
      </w:pPr>
      <w:r>
        <w:rPr>
          <w:rStyle w:val="FootnoteReference"/>
        </w:rPr>
        <w:footnoteRef/>
      </w:r>
      <w:r>
        <w:t xml:space="preserve"> </w:t>
      </w:r>
      <w:r w:rsidR="001D76C7">
        <w:t>ACCC</w:t>
      </w:r>
      <w:r w:rsidR="00332DE5">
        <w:t xml:space="preserve"> submission, </w:t>
      </w:r>
      <w:r w:rsidR="00341239">
        <w:t>p.7.</w:t>
      </w:r>
    </w:p>
  </w:footnote>
  <w:footnote w:id="79">
    <w:p w14:paraId="647EA804" w14:textId="177AABED" w:rsidR="00B066BA" w:rsidRDefault="00B066BA" w:rsidP="006B4CD3">
      <w:pPr>
        <w:pStyle w:val="FootnoteText"/>
        <w:ind w:left="142" w:hanging="142"/>
      </w:pPr>
      <w:r>
        <w:rPr>
          <w:rStyle w:val="FootnoteReference"/>
        </w:rPr>
        <w:footnoteRef/>
      </w:r>
      <w:r>
        <w:t xml:space="preserve"> </w:t>
      </w:r>
      <w:r w:rsidR="006B4CD3">
        <w:t>Joint submission by FRLC, FCA, and CALC</w:t>
      </w:r>
      <w:r>
        <w:t xml:space="preserve">, p.5; </w:t>
      </w:r>
      <w:r w:rsidR="006B4CD3">
        <w:t>ACCC</w:t>
      </w:r>
      <w:r w:rsidR="00240A67">
        <w:t xml:space="preserve"> submission</w:t>
      </w:r>
      <w:r>
        <w:t>, p.4-5.</w:t>
      </w:r>
    </w:p>
  </w:footnote>
  <w:footnote w:id="80">
    <w:p w14:paraId="65EA7903" w14:textId="74BA0EE6" w:rsidR="0025313A" w:rsidRDefault="0025313A" w:rsidP="0025313A">
      <w:pPr>
        <w:pStyle w:val="FootnoteText"/>
        <w:ind w:left="142" w:hanging="142"/>
      </w:pPr>
      <w:r>
        <w:rPr>
          <w:rStyle w:val="FootnoteReference"/>
        </w:rPr>
        <w:footnoteRef/>
      </w:r>
      <w:r>
        <w:t xml:space="preserve"> </w:t>
      </w:r>
      <w:r w:rsidRPr="0025313A">
        <w:t xml:space="preserve"> </w:t>
      </w:r>
      <w:r>
        <w:t>This is consistent with the Government’s Regulatory Impact Statement (RIS) framework as set out by the Office of Best Practice Regulation. A RIS (or equivalent) is required for any decision by the Government that is likely to have a more than minor impact. A report can be certified as ‘RIS-like’ if it contains analysis that is equivalent to a RIS.</w:t>
      </w:r>
    </w:p>
  </w:footnote>
  <w:footnote w:id="81">
    <w:p w14:paraId="7F7A27A5" w14:textId="77777777" w:rsidR="008365F2" w:rsidRDefault="008365F2" w:rsidP="006B4CD3">
      <w:pPr>
        <w:pStyle w:val="FootnoteText"/>
        <w:ind w:left="142" w:hanging="142"/>
      </w:pPr>
      <w:r>
        <w:rPr>
          <w:rStyle w:val="FootnoteReference"/>
        </w:rPr>
        <w:footnoteRef/>
      </w:r>
      <w:r>
        <w:t xml:space="preserve"> Outsourced service provides help entities, such as data holders and ADRs, to meet their CDR needs by providing specialised capacity or expertise in areas</w:t>
      </w:r>
    </w:p>
  </w:footnote>
  <w:footnote w:id="82">
    <w:p w14:paraId="0C4FE5AC" w14:textId="77777777" w:rsidR="008365F2" w:rsidRDefault="008365F2" w:rsidP="008365F2">
      <w:pPr>
        <w:pStyle w:val="FootnoteText"/>
      </w:pPr>
      <w:r>
        <w:rPr>
          <w:rStyle w:val="FootnoteReference"/>
        </w:rPr>
        <w:footnoteRef/>
      </w:r>
      <w:r>
        <w:t xml:space="preserve"> Ongoing estimates are make using OBPR’s present value method, using the standard discount rate of 7 per cent. </w:t>
      </w:r>
    </w:p>
  </w:footnote>
  <w:footnote w:id="83">
    <w:p w14:paraId="3F69C610" w14:textId="4BBE1B95" w:rsidR="008365F2" w:rsidRDefault="008365F2" w:rsidP="008365F2">
      <w:pPr>
        <w:pStyle w:val="FootnoteText"/>
      </w:pPr>
      <w:r>
        <w:rPr>
          <w:rStyle w:val="FootnoteReference"/>
        </w:rPr>
        <w:footnoteRef/>
      </w:r>
      <w:r>
        <w:t xml:space="preserve"> AFIA submission, p. 2.</w:t>
      </w:r>
    </w:p>
  </w:footnote>
  <w:footnote w:id="84">
    <w:p w14:paraId="5DDA3A47" w14:textId="55DD03FD" w:rsidR="008365F2" w:rsidRDefault="008365F2" w:rsidP="008073EA">
      <w:pPr>
        <w:pStyle w:val="FootnoteText"/>
      </w:pPr>
      <w:r>
        <w:rPr>
          <w:rStyle w:val="FootnoteReference"/>
        </w:rPr>
        <w:footnoteRef/>
      </w:r>
      <w:r w:rsidR="008073EA">
        <w:t xml:space="preserve"> </w:t>
      </w:r>
      <w:r w:rsidR="00791169">
        <w:t xml:space="preserve">ABA submission, p 2. </w:t>
      </w:r>
    </w:p>
  </w:footnote>
  <w:footnote w:id="85">
    <w:p w14:paraId="0BE3A2AD" w14:textId="1AEEE88A" w:rsidR="008365F2" w:rsidRDefault="008365F2" w:rsidP="008365F2">
      <w:pPr>
        <w:pStyle w:val="FootnoteText"/>
      </w:pPr>
      <w:r>
        <w:rPr>
          <w:rStyle w:val="FootnoteReference"/>
        </w:rPr>
        <w:footnoteRef/>
      </w:r>
      <w:r>
        <w:t xml:space="preserve"> AFIA submission, p. 2</w:t>
      </w:r>
      <w:r w:rsidR="008073EA">
        <w:t>.</w:t>
      </w:r>
    </w:p>
  </w:footnote>
  <w:footnote w:id="86">
    <w:p w14:paraId="78630ED6" w14:textId="3EBF7C24" w:rsidR="00410A07" w:rsidRDefault="00410A07">
      <w:pPr>
        <w:pStyle w:val="FootnoteText"/>
      </w:pPr>
      <w:r>
        <w:rPr>
          <w:rStyle w:val="FootnoteReference"/>
        </w:rPr>
        <w:footnoteRef/>
      </w:r>
      <w:r>
        <w:t xml:space="preserve"> </w:t>
      </w:r>
      <w:r w:rsidR="00E86D09">
        <w:t>AFIA</w:t>
      </w:r>
      <w:r>
        <w:t xml:space="preserve"> submission, p.</w:t>
      </w:r>
      <w:r w:rsidR="001367F3">
        <w:t>2.</w:t>
      </w:r>
    </w:p>
  </w:footnote>
  <w:footnote w:id="87">
    <w:p w14:paraId="2295D909" w14:textId="14F682E0" w:rsidR="00D44AB2" w:rsidRDefault="00D44AB2">
      <w:pPr>
        <w:pStyle w:val="FootnoteText"/>
      </w:pPr>
      <w:r>
        <w:rPr>
          <w:rStyle w:val="FootnoteReference"/>
        </w:rPr>
        <w:footnoteRef/>
      </w:r>
      <w:r>
        <w:t xml:space="preserve"> Section 56EQ of the Act.</w:t>
      </w:r>
    </w:p>
  </w:footnote>
  <w:footnote w:id="88">
    <w:p w14:paraId="18ED59F2" w14:textId="6CC52B85" w:rsidR="00AC2612" w:rsidRPr="00204DED" w:rsidRDefault="00AC2612" w:rsidP="00204DED">
      <w:pPr>
        <w:ind w:left="170" w:hanging="170"/>
        <w:rPr>
          <w:rFonts w:cstheme="minorHAnsi"/>
          <w:sz w:val="16"/>
          <w:szCs w:val="16"/>
        </w:rPr>
      </w:pPr>
      <w:r w:rsidRPr="00204DED">
        <w:rPr>
          <w:rStyle w:val="FootnoteReference"/>
          <w:rFonts w:cstheme="minorHAnsi"/>
          <w:sz w:val="16"/>
          <w:szCs w:val="16"/>
        </w:rPr>
        <w:footnoteRef/>
      </w:r>
      <w:r w:rsidRPr="00204DED">
        <w:rPr>
          <w:rFonts w:cstheme="minorHAnsi"/>
          <w:sz w:val="16"/>
          <w:szCs w:val="16"/>
        </w:rPr>
        <w:t xml:space="preserve"> </w:t>
      </w:r>
      <w:r w:rsidR="005D46A3">
        <w:rPr>
          <w:rFonts w:cstheme="minorHAnsi"/>
          <w:sz w:val="16"/>
          <w:szCs w:val="16"/>
        </w:rPr>
        <w:t>ACCC</w:t>
      </w:r>
      <w:r w:rsidRPr="00204DED">
        <w:rPr>
          <w:rFonts w:cstheme="minorHAnsi"/>
          <w:sz w:val="16"/>
          <w:szCs w:val="16"/>
        </w:rPr>
        <w:t xml:space="preserve"> submission, p.4; </w:t>
      </w:r>
      <w:r w:rsidR="005D46A3">
        <w:rPr>
          <w:rFonts w:cstheme="minorHAnsi"/>
          <w:sz w:val="16"/>
          <w:szCs w:val="16"/>
        </w:rPr>
        <w:t>OAIC</w:t>
      </w:r>
      <w:r w:rsidRPr="00204DED">
        <w:rPr>
          <w:rFonts w:cstheme="minorHAnsi"/>
          <w:sz w:val="16"/>
          <w:szCs w:val="16"/>
        </w:rPr>
        <w:t xml:space="preserve"> submission, p.3. As noted in the report, the non-banking sector serves different demographics, functions and purposes than the ADI banking sector, specifically in the non-bank lending sector, a range of lenders specialise in providing loans for “non-conforming borrowers”, such as those who may be self-employed, have a poor credit history or are experiencing financial hardship. </w:t>
      </w:r>
    </w:p>
  </w:footnote>
  <w:footnote w:id="89">
    <w:p w14:paraId="64A053E2" w14:textId="4648AC68" w:rsidR="00AC2612" w:rsidRPr="00EE2733" w:rsidRDefault="00AC2612" w:rsidP="00204DED">
      <w:pPr>
        <w:pStyle w:val="FootnoteText"/>
        <w:ind w:left="170" w:hanging="170"/>
        <w:rPr>
          <w:rFonts w:ascii="Times New Roman" w:hAnsi="Times New Roman" w:cs="Times New Roman"/>
          <w:sz w:val="22"/>
          <w:szCs w:val="22"/>
        </w:rPr>
      </w:pPr>
      <w:r w:rsidRPr="00FB0354">
        <w:rPr>
          <w:rStyle w:val="FootnoteReference"/>
          <w:rFonts w:cstheme="minorHAnsi"/>
        </w:rPr>
        <w:footnoteRef/>
      </w:r>
      <w:r w:rsidRPr="00FB0354">
        <w:rPr>
          <w:rFonts w:cstheme="minorHAnsi"/>
        </w:rPr>
        <w:t xml:space="preserve"> </w:t>
      </w:r>
      <w:r w:rsidR="005D46A3">
        <w:rPr>
          <w:rFonts w:cstheme="minorHAnsi"/>
        </w:rPr>
        <w:t>ACCC</w:t>
      </w:r>
      <w:r w:rsidRPr="00FB0354">
        <w:rPr>
          <w:rFonts w:cstheme="minorHAnsi"/>
        </w:rPr>
        <w:t xml:space="preserve">, p.5; </w:t>
      </w:r>
      <w:r w:rsidR="005D46A3" w:rsidRPr="005D46A3">
        <w:rPr>
          <w:rFonts w:cstheme="minorHAnsi"/>
        </w:rPr>
        <w:t>Joint submission by FRLC, FCA, and CALC</w:t>
      </w:r>
      <w:r w:rsidRPr="00FB0354">
        <w:rPr>
          <w:rFonts w:cstheme="minorHAnsi"/>
        </w:rPr>
        <w:t xml:space="preserve">, p.2; </w:t>
      </w:r>
      <w:r w:rsidR="005D46A3">
        <w:rPr>
          <w:rFonts w:cstheme="minorHAnsi"/>
        </w:rPr>
        <w:t>PWC</w:t>
      </w:r>
      <w:r w:rsidRPr="00FB0354">
        <w:rPr>
          <w:rFonts w:cstheme="minorHAnsi"/>
        </w:rPr>
        <w:t xml:space="preserve"> submission, p.6.</w:t>
      </w:r>
    </w:p>
  </w:footnote>
  <w:footnote w:id="90">
    <w:p w14:paraId="75BEE891" w14:textId="0295BF9F" w:rsidR="00AC2612" w:rsidRDefault="00AC2612" w:rsidP="00AC2612">
      <w:pPr>
        <w:pStyle w:val="FootnoteText"/>
      </w:pPr>
      <w:r>
        <w:rPr>
          <w:rStyle w:val="FootnoteReference"/>
        </w:rPr>
        <w:footnoteRef/>
      </w:r>
      <w:r>
        <w:t xml:space="preserve"> </w:t>
      </w:r>
      <w:r w:rsidR="005D46A3">
        <w:rPr>
          <w:rFonts w:cstheme="minorHAnsi"/>
        </w:rPr>
        <w:t>OAIC</w:t>
      </w:r>
      <w:r>
        <w:rPr>
          <w:rFonts w:cstheme="minorHAnsi"/>
        </w:rPr>
        <w:t xml:space="preserve"> submission</w:t>
      </w:r>
      <w:r w:rsidRPr="008B5505">
        <w:rPr>
          <w:rFonts w:cstheme="minorHAnsi"/>
        </w:rPr>
        <w:t>, p.</w:t>
      </w:r>
      <w:r>
        <w:rPr>
          <w:rFonts w:cstheme="minorHAnsi"/>
        </w:rPr>
        <w:t>8-9.</w:t>
      </w:r>
    </w:p>
  </w:footnote>
  <w:footnote w:id="91">
    <w:p w14:paraId="37ECF491" w14:textId="186F4A72" w:rsidR="00AC2612" w:rsidRPr="00EE2733" w:rsidRDefault="00AC2612" w:rsidP="00AC2612">
      <w:pPr>
        <w:pStyle w:val="FootnoteText"/>
        <w:rPr>
          <w:rFonts w:ascii="Times New Roman" w:hAnsi="Times New Roman" w:cs="Times New Roman"/>
          <w:sz w:val="22"/>
          <w:szCs w:val="22"/>
        </w:rPr>
      </w:pPr>
      <w:r w:rsidRPr="008B5505">
        <w:rPr>
          <w:rStyle w:val="FootnoteReference"/>
          <w:rFonts w:cstheme="minorHAnsi"/>
        </w:rPr>
        <w:footnoteRef/>
      </w:r>
      <w:r w:rsidRPr="008B5505">
        <w:rPr>
          <w:rFonts w:cstheme="minorHAnsi"/>
        </w:rPr>
        <w:t xml:space="preserve"> </w:t>
      </w:r>
      <w:r w:rsidR="005D46A3">
        <w:rPr>
          <w:rFonts w:cstheme="minorHAnsi"/>
        </w:rPr>
        <w:t>OAIC</w:t>
      </w:r>
      <w:r>
        <w:rPr>
          <w:rFonts w:cstheme="minorHAnsi"/>
        </w:rPr>
        <w:t xml:space="preserve"> submission</w:t>
      </w:r>
      <w:r w:rsidRPr="008B5505">
        <w:rPr>
          <w:rFonts w:cstheme="minorHAnsi"/>
        </w:rPr>
        <w:t>, p.</w:t>
      </w:r>
      <w:r>
        <w:rPr>
          <w:rFonts w:cstheme="minorHAnsi"/>
        </w:rPr>
        <w:t>9</w:t>
      </w:r>
      <w:r w:rsidRPr="008B5505">
        <w:rPr>
          <w:rFonts w:cstheme="minorHAnsi"/>
        </w:rPr>
        <w:t>.</w:t>
      </w:r>
    </w:p>
  </w:footnote>
  <w:footnote w:id="92">
    <w:p w14:paraId="186F3C1D" w14:textId="62C894EE" w:rsidR="00AC2612" w:rsidRDefault="00AC2612" w:rsidP="00AC2612">
      <w:pPr>
        <w:pStyle w:val="FootnoteText"/>
      </w:pPr>
      <w:r>
        <w:rPr>
          <w:rStyle w:val="FootnoteReference"/>
        </w:rPr>
        <w:footnoteRef/>
      </w:r>
      <w:r>
        <w:t xml:space="preserve"> </w:t>
      </w:r>
      <w:r w:rsidR="005D46A3">
        <w:rPr>
          <w:rFonts w:cstheme="minorHAnsi"/>
        </w:rPr>
        <w:t>OAIC</w:t>
      </w:r>
      <w:r>
        <w:rPr>
          <w:rFonts w:cstheme="minorHAnsi"/>
        </w:rPr>
        <w:t xml:space="preserve"> submission</w:t>
      </w:r>
      <w:r w:rsidRPr="008B5505">
        <w:rPr>
          <w:rFonts w:cstheme="minorHAnsi"/>
        </w:rPr>
        <w:t>, p.3.</w:t>
      </w:r>
    </w:p>
  </w:footnote>
  <w:footnote w:id="93">
    <w:p w14:paraId="7E61EB6A" w14:textId="4A550CF9" w:rsidR="00AC2612" w:rsidRPr="007B28FA" w:rsidRDefault="00AC2612" w:rsidP="00AC2612">
      <w:pPr>
        <w:pStyle w:val="FootnoteText"/>
        <w:rPr>
          <w:rFonts w:asciiTheme="minorHAnsi" w:hAnsiTheme="minorHAnsi"/>
          <w:szCs w:val="16"/>
        </w:rPr>
      </w:pPr>
      <w:r w:rsidRPr="007B28FA">
        <w:rPr>
          <w:rStyle w:val="FootnoteReference"/>
          <w:rFonts w:asciiTheme="minorHAnsi" w:hAnsiTheme="minorHAnsi"/>
          <w:szCs w:val="16"/>
        </w:rPr>
        <w:footnoteRef/>
      </w:r>
      <w:r w:rsidRPr="007B28FA">
        <w:rPr>
          <w:rFonts w:asciiTheme="minorHAnsi" w:hAnsiTheme="minorHAnsi" w:cstheme="minorHAnsi"/>
          <w:szCs w:val="16"/>
        </w:rPr>
        <w:t xml:space="preserve"> </w:t>
      </w:r>
      <w:bookmarkStart w:id="59" w:name="_Hlk106721043"/>
      <w:r w:rsidR="005D46A3" w:rsidRPr="007B28FA">
        <w:rPr>
          <w:rFonts w:asciiTheme="minorHAnsi" w:hAnsiTheme="minorHAnsi" w:cstheme="minorHAnsi"/>
          <w:szCs w:val="16"/>
        </w:rPr>
        <w:t>Joint submission by FRLC, FCA, and CALC</w:t>
      </w:r>
      <w:bookmarkEnd w:id="59"/>
      <w:r w:rsidRPr="007B28FA">
        <w:rPr>
          <w:rFonts w:asciiTheme="minorHAnsi" w:hAnsiTheme="minorHAnsi" w:cstheme="minorHAnsi"/>
          <w:szCs w:val="16"/>
        </w:rPr>
        <w:t>, p.4-5.</w:t>
      </w:r>
    </w:p>
  </w:footnote>
  <w:footnote w:id="94">
    <w:p w14:paraId="0D913B45" w14:textId="31B46A78" w:rsidR="00AC2612" w:rsidRPr="007B28FA" w:rsidRDefault="00AC2612" w:rsidP="00AC2612">
      <w:pPr>
        <w:pStyle w:val="FootnoteText"/>
        <w:rPr>
          <w:rFonts w:asciiTheme="minorHAnsi" w:hAnsiTheme="minorHAnsi"/>
          <w:szCs w:val="16"/>
        </w:rPr>
      </w:pPr>
      <w:r w:rsidRPr="007B28FA">
        <w:rPr>
          <w:rStyle w:val="FootnoteReference"/>
          <w:rFonts w:asciiTheme="minorHAnsi" w:hAnsiTheme="minorHAnsi"/>
          <w:szCs w:val="16"/>
        </w:rPr>
        <w:footnoteRef/>
      </w:r>
      <w:r w:rsidRPr="007B28FA">
        <w:rPr>
          <w:rFonts w:asciiTheme="minorHAnsi" w:hAnsiTheme="minorHAnsi"/>
          <w:szCs w:val="16"/>
        </w:rPr>
        <w:t xml:space="preserve"> </w:t>
      </w:r>
      <w:r w:rsidR="005D46A3" w:rsidRPr="007B28FA">
        <w:rPr>
          <w:rFonts w:asciiTheme="minorHAnsi" w:hAnsiTheme="minorHAnsi" w:cstheme="minorHAnsi"/>
          <w:szCs w:val="16"/>
        </w:rPr>
        <w:t>ACCC</w:t>
      </w:r>
      <w:r w:rsidRPr="007B28FA">
        <w:rPr>
          <w:rFonts w:asciiTheme="minorHAnsi" w:hAnsiTheme="minorHAnsi" w:cstheme="minorHAnsi"/>
          <w:szCs w:val="16"/>
        </w:rPr>
        <w:t xml:space="preserve"> submission, p.5.</w:t>
      </w:r>
    </w:p>
  </w:footnote>
  <w:footnote w:id="95">
    <w:p w14:paraId="179B7FFD" w14:textId="1C6465A3" w:rsidR="00AC2612" w:rsidRPr="007B28FA" w:rsidRDefault="00AC2612" w:rsidP="00AC2612">
      <w:pPr>
        <w:pStyle w:val="FootnoteText"/>
        <w:rPr>
          <w:rFonts w:asciiTheme="minorHAnsi" w:hAnsiTheme="minorHAnsi"/>
          <w:szCs w:val="16"/>
        </w:rPr>
      </w:pPr>
      <w:r w:rsidRPr="007B28FA">
        <w:rPr>
          <w:rStyle w:val="FootnoteReference"/>
          <w:rFonts w:asciiTheme="minorHAnsi" w:hAnsiTheme="minorHAnsi"/>
          <w:szCs w:val="16"/>
        </w:rPr>
        <w:footnoteRef/>
      </w:r>
      <w:r w:rsidRPr="007B28FA">
        <w:rPr>
          <w:rFonts w:asciiTheme="minorHAnsi" w:hAnsiTheme="minorHAnsi"/>
          <w:szCs w:val="16"/>
        </w:rPr>
        <w:t xml:space="preserve"> While the CDR does not prevent screen scraping occurring, it is anticipated that as the CDR develop</w:t>
      </w:r>
      <w:r w:rsidR="003529E2">
        <w:rPr>
          <w:rFonts w:asciiTheme="minorHAnsi" w:hAnsiTheme="minorHAnsi"/>
          <w:szCs w:val="16"/>
        </w:rPr>
        <w:t>s</w:t>
      </w:r>
      <w:r w:rsidRPr="007B28FA">
        <w:rPr>
          <w:rFonts w:asciiTheme="minorHAnsi" w:hAnsiTheme="minorHAnsi"/>
          <w:szCs w:val="16"/>
        </w:rPr>
        <w:t>, entities will phase out screen scraping in favour of the CDR.</w:t>
      </w:r>
    </w:p>
  </w:footnote>
  <w:footnote w:id="96">
    <w:p w14:paraId="3489DA3F" w14:textId="3038B5CA" w:rsidR="00840F67" w:rsidRDefault="00840F67" w:rsidP="004D1F27">
      <w:pPr>
        <w:pStyle w:val="FootnoteText"/>
        <w:tabs>
          <w:tab w:val="clear" w:pos="340"/>
          <w:tab w:val="left" w:pos="142"/>
        </w:tabs>
        <w:ind w:left="142" w:hanging="142"/>
      </w:pPr>
      <w:r>
        <w:rPr>
          <w:rStyle w:val="FootnoteReference"/>
        </w:rPr>
        <w:footnoteRef/>
      </w:r>
      <w:r>
        <w:t xml:space="preserve"> </w:t>
      </w:r>
      <w:r w:rsidR="0025313A">
        <w:t>Buy now, pay later products are not regulated by the Credit Act. However, BNPL is subject to the Government’s design and distribution obligations which are intended to help consumers obtain appropriate financial products, as well as the majority of the BNPL market is subject to  AFIA’s BNPL Code of Practice which sets best practice standards for the sector and strengthens consumer protections</w:t>
      </w:r>
    </w:p>
  </w:footnote>
  <w:footnote w:id="97">
    <w:p w14:paraId="55A34C80" w14:textId="3831C04B" w:rsidR="00EE3716" w:rsidRDefault="00EE3716">
      <w:pPr>
        <w:pStyle w:val="FootnoteText"/>
      </w:pPr>
      <w:r>
        <w:rPr>
          <w:rStyle w:val="FootnoteReference"/>
        </w:rPr>
        <w:footnoteRef/>
      </w:r>
      <w:r>
        <w:t xml:space="preserve"> </w:t>
      </w:r>
      <w:r w:rsidRPr="00EE3716">
        <w:t>https://ministers.treasury.gov.au/ministers/stephen-jones-2022/speeches/address-responsible-lending-and-borrowing-summit-sydney</w:t>
      </w:r>
    </w:p>
  </w:footnote>
  <w:footnote w:id="98">
    <w:p w14:paraId="4389D00C" w14:textId="77777777" w:rsidR="00AC2612" w:rsidRPr="007B28FA" w:rsidRDefault="00AC2612" w:rsidP="00AC2612">
      <w:pPr>
        <w:pStyle w:val="FootnoteText"/>
        <w:rPr>
          <w:rFonts w:asciiTheme="minorHAnsi" w:hAnsiTheme="minorHAnsi"/>
          <w:szCs w:val="16"/>
        </w:rPr>
      </w:pPr>
      <w:r w:rsidRPr="007B28FA">
        <w:rPr>
          <w:rStyle w:val="FootnoteReference"/>
          <w:rFonts w:asciiTheme="minorHAnsi" w:hAnsiTheme="minorHAnsi"/>
          <w:szCs w:val="16"/>
        </w:rPr>
        <w:footnoteRef/>
      </w:r>
      <w:r w:rsidRPr="007B28FA">
        <w:rPr>
          <w:rFonts w:asciiTheme="minorHAnsi" w:hAnsiTheme="minorHAnsi"/>
          <w:szCs w:val="16"/>
        </w:rPr>
        <w:t xml:space="preserve"> Australian Retail Credit Association submission, p.5; Australian Securitisation Forum submission, p.5.</w:t>
      </w:r>
    </w:p>
  </w:footnote>
  <w:footnote w:id="99">
    <w:p w14:paraId="18FF2C9C" w14:textId="77777777" w:rsidR="00AC2612" w:rsidRPr="007B28FA" w:rsidRDefault="00AC2612" w:rsidP="00AC2612">
      <w:pPr>
        <w:pStyle w:val="FootnoteText"/>
        <w:rPr>
          <w:rFonts w:asciiTheme="minorHAnsi" w:hAnsiTheme="minorHAnsi"/>
          <w:szCs w:val="16"/>
        </w:rPr>
      </w:pPr>
      <w:r w:rsidRPr="007B28FA">
        <w:rPr>
          <w:rStyle w:val="FootnoteReference"/>
          <w:rFonts w:asciiTheme="minorHAnsi" w:hAnsiTheme="minorHAnsi"/>
          <w:szCs w:val="16"/>
        </w:rPr>
        <w:footnoteRef/>
      </w:r>
      <w:r w:rsidRPr="007B28FA">
        <w:rPr>
          <w:rFonts w:asciiTheme="minorHAnsi" w:hAnsiTheme="minorHAnsi"/>
          <w:szCs w:val="16"/>
        </w:rPr>
        <w:t xml:space="preserve"> For example, </w:t>
      </w:r>
      <w:r w:rsidRPr="007B28FA">
        <w:rPr>
          <w:rFonts w:asciiTheme="minorHAnsi" w:hAnsiTheme="minorHAnsi" w:cstheme="minorHAnsi"/>
          <w:color w:val="000000"/>
          <w:szCs w:val="16"/>
        </w:rPr>
        <w:t xml:space="preserve">under the </w:t>
      </w:r>
      <w:r w:rsidRPr="007B28FA">
        <w:rPr>
          <w:rFonts w:asciiTheme="minorHAnsi" w:hAnsiTheme="minorHAnsi" w:cstheme="minorHAnsi"/>
          <w:i/>
          <w:iCs/>
          <w:color w:val="000000"/>
          <w:szCs w:val="16"/>
        </w:rPr>
        <w:t>Income Tax Assessment Act 1936 (Cth)</w:t>
      </w:r>
      <w:r w:rsidRPr="007B28FA">
        <w:rPr>
          <w:rFonts w:asciiTheme="minorHAnsi" w:hAnsiTheme="minorHAnsi" w:cstheme="minorHAnsi"/>
          <w:color w:val="000000"/>
          <w:szCs w:val="16"/>
        </w:rPr>
        <w:t xml:space="preserve"> or to enable individuals to receive a statutory entitlement or government benefit.</w:t>
      </w:r>
    </w:p>
  </w:footnote>
  <w:footnote w:id="100">
    <w:p w14:paraId="105F24C2" w14:textId="345878E9" w:rsidR="00AC2612" w:rsidRPr="00EE2733" w:rsidRDefault="00AC2612" w:rsidP="00AC2612">
      <w:pPr>
        <w:pStyle w:val="FootnoteText"/>
        <w:rPr>
          <w:rFonts w:ascii="Times New Roman" w:hAnsi="Times New Roman" w:cs="Times New Roman"/>
          <w:sz w:val="22"/>
          <w:szCs w:val="22"/>
        </w:rPr>
      </w:pPr>
      <w:r w:rsidRPr="007B28FA">
        <w:rPr>
          <w:rStyle w:val="FootnoteReference"/>
          <w:rFonts w:asciiTheme="minorHAnsi" w:hAnsiTheme="minorHAnsi" w:cs="Times New Roman"/>
          <w:szCs w:val="16"/>
        </w:rPr>
        <w:footnoteRef/>
      </w:r>
      <w:r w:rsidRPr="007B28FA">
        <w:rPr>
          <w:rFonts w:asciiTheme="minorHAnsi" w:hAnsiTheme="minorHAnsi" w:cs="Times New Roman"/>
          <w:szCs w:val="16"/>
        </w:rPr>
        <w:t xml:space="preserve"> </w:t>
      </w:r>
      <w:r w:rsidR="005D46A3" w:rsidRPr="007B28FA">
        <w:rPr>
          <w:rFonts w:asciiTheme="minorHAnsi" w:hAnsiTheme="minorHAnsi" w:cstheme="minorHAnsi"/>
          <w:szCs w:val="16"/>
          <w:shd w:val="clear" w:color="auto" w:fill="FFFFFF"/>
        </w:rPr>
        <w:t>OAIC</w:t>
      </w:r>
      <w:r w:rsidRPr="007B28FA">
        <w:rPr>
          <w:rFonts w:asciiTheme="minorHAnsi" w:hAnsiTheme="minorHAnsi" w:cstheme="minorHAnsi"/>
          <w:szCs w:val="16"/>
          <w:shd w:val="clear" w:color="auto" w:fill="FFFFFF"/>
        </w:rPr>
        <w:t xml:space="preserve"> submission</w:t>
      </w:r>
      <w:r w:rsidRPr="007B28FA">
        <w:rPr>
          <w:rFonts w:asciiTheme="minorHAnsi" w:hAnsiTheme="minorHAnsi" w:cstheme="minorHAnsi"/>
          <w:szCs w:val="16"/>
        </w:rPr>
        <w:t>, p.9.</w:t>
      </w:r>
    </w:p>
  </w:footnote>
  <w:footnote w:id="101">
    <w:p w14:paraId="2D11CFEA" w14:textId="77777777" w:rsidR="00AC2612" w:rsidRDefault="00AC2612" w:rsidP="00AC2612">
      <w:pPr>
        <w:pStyle w:val="FootnoteText"/>
      </w:pPr>
      <w:r>
        <w:rPr>
          <w:rStyle w:val="FootnoteReference"/>
        </w:rPr>
        <w:footnoteRef/>
      </w:r>
      <w:r>
        <w:t xml:space="preserve"> </w:t>
      </w:r>
      <w:r w:rsidRPr="00D762EF">
        <w:t>However, to ensure it is sufficiently broad to cover the range of non-bank lenders that provide credit products intended to be captured by CDR, the $50 million entity size limb will be removed.</w:t>
      </w:r>
    </w:p>
  </w:footnote>
  <w:footnote w:id="102">
    <w:p w14:paraId="1F6208A5" w14:textId="5C46ED42" w:rsidR="00AC2612" w:rsidRDefault="00AC2612" w:rsidP="00AC2612">
      <w:pPr>
        <w:pStyle w:val="FootnoteText"/>
      </w:pPr>
      <w:r>
        <w:rPr>
          <w:rStyle w:val="FootnoteReference"/>
        </w:rPr>
        <w:footnoteRef/>
      </w:r>
      <w:r w:rsidRPr="008B5505">
        <w:rPr>
          <w:rFonts w:cstheme="minorHAnsi"/>
        </w:rPr>
        <w:t xml:space="preserve"> </w:t>
      </w:r>
      <w:r w:rsidR="005D46A3">
        <w:rPr>
          <w:rFonts w:cstheme="minorHAnsi"/>
        </w:rPr>
        <w:t>OAIC</w:t>
      </w:r>
      <w:r>
        <w:rPr>
          <w:rFonts w:cstheme="minorHAnsi"/>
        </w:rPr>
        <w:t xml:space="preserve"> submission</w:t>
      </w:r>
      <w:r w:rsidRPr="008B5505">
        <w:rPr>
          <w:rFonts w:cstheme="minorHAnsi"/>
        </w:rPr>
        <w:t>, p.6.</w:t>
      </w:r>
    </w:p>
  </w:footnote>
  <w:footnote w:id="103">
    <w:p w14:paraId="0EF2641B" w14:textId="50263FEF" w:rsidR="00AC2612" w:rsidRPr="002D0BC1" w:rsidRDefault="00AC2612" w:rsidP="00AC2612">
      <w:pPr>
        <w:pStyle w:val="FootnoteText"/>
        <w:rPr>
          <w:caps/>
        </w:rPr>
      </w:pPr>
      <w:r>
        <w:rPr>
          <w:rStyle w:val="FootnoteReference"/>
        </w:rPr>
        <w:footnoteRef/>
      </w:r>
      <w:r>
        <w:t xml:space="preserve"> As they may fall within the small business exemption (which generally applies where an entity’s annual turnover is less than $3 million)</w:t>
      </w:r>
      <w:r w:rsidR="00C771CD">
        <w:t>.</w:t>
      </w:r>
    </w:p>
  </w:footnote>
  <w:footnote w:id="104">
    <w:p w14:paraId="03F72233" w14:textId="1DC99279" w:rsidR="00AC2612" w:rsidRDefault="00AC2612" w:rsidP="00AC2612">
      <w:pPr>
        <w:pStyle w:val="FootnoteText"/>
      </w:pPr>
      <w:r>
        <w:rPr>
          <w:rStyle w:val="FootnoteReference"/>
        </w:rPr>
        <w:footnoteRef/>
      </w:r>
      <w:r>
        <w:t xml:space="preserve"> </w:t>
      </w:r>
      <w:r w:rsidR="005D46A3">
        <w:t>OAIC</w:t>
      </w:r>
      <w:r>
        <w:t xml:space="preserve"> submission, p.6.</w:t>
      </w:r>
    </w:p>
  </w:footnote>
  <w:footnote w:id="105">
    <w:p w14:paraId="3AE7AF75" w14:textId="68304227" w:rsidR="00AC2612" w:rsidRPr="00EE2733" w:rsidRDefault="00AC2612" w:rsidP="00AC2612">
      <w:pPr>
        <w:pStyle w:val="FootnoteText"/>
        <w:rPr>
          <w:rFonts w:ascii="Times New Roman" w:hAnsi="Times New Roman" w:cs="Times New Roman"/>
          <w:sz w:val="22"/>
          <w:szCs w:val="22"/>
        </w:rPr>
      </w:pPr>
      <w:r w:rsidRPr="008B5505">
        <w:rPr>
          <w:rStyle w:val="FootnoteReference"/>
          <w:rFonts w:cstheme="minorHAnsi"/>
        </w:rPr>
        <w:footnoteRef/>
      </w:r>
      <w:r w:rsidRPr="008B5505">
        <w:rPr>
          <w:rFonts w:cstheme="minorHAnsi"/>
        </w:rPr>
        <w:t xml:space="preserve"> </w:t>
      </w:r>
      <w:r w:rsidR="00C771CD">
        <w:rPr>
          <w:rFonts w:cstheme="minorHAnsi"/>
        </w:rPr>
        <w:t>ACCC</w:t>
      </w:r>
      <w:r w:rsidRPr="008B5505">
        <w:rPr>
          <w:rFonts w:cstheme="minorHAnsi"/>
        </w:rPr>
        <w:t xml:space="preserve">, p.5; </w:t>
      </w:r>
      <w:r w:rsidR="00C771CD" w:rsidRPr="005D46A3">
        <w:rPr>
          <w:rFonts w:cstheme="minorHAnsi"/>
        </w:rPr>
        <w:t>Joint submission by FRLC, FCA, and CALC</w:t>
      </w:r>
      <w:r w:rsidRPr="008B5505">
        <w:rPr>
          <w:rFonts w:cstheme="minorHAnsi"/>
        </w:rPr>
        <w:t>, p.6.</w:t>
      </w:r>
    </w:p>
  </w:footnote>
  <w:footnote w:id="106">
    <w:p w14:paraId="6542E66E" w14:textId="6DEF2730" w:rsidR="00AC2612" w:rsidRPr="008B5505" w:rsidRDefault="00AC2612" w:rsidP="00AC2612">
      <w:pPr>
        <w:pStyle w:val="FootnoteText"/>
        <w:rPr>
          <w:rFonts w:cstheme="minorHAnsi"/>
        </w:rPr>
      </w:pPr>
      <w:r w:rsidRPr="008B5505">
        <w:rPr>
          <w:rStyle w:val="FootnoteReference"/>
          <w:rFonts w:cstheme="minorHAnsi"/>
        </w:rPr>
        <w:footnoteRef/>
      </w:r>
      <w:r w:rsidRPr="008B5505">
        <w:rPr>
          <w:rFonts w:cstheme="minorHAnsi"/>
        </w:rPr>
        <w:t xml:space="preserve"> </w:t>
      </w:r>
      <w:r w:rsidR="00C771CD" w:rsidRPr="005D46A3">
        <w:rPr>
          <w:rFonts w:cstheme="minorHAnsi"/>
        </w:rPr>
        <w:t>Joint submission by FRLC, FCA, and CALC</w:t>
      </w:r>
      <w:r w:rsidR="00C771CD">
        <w:rPr>
          <w:rFonts w:cstheme="minorHAnsi"/>
        </w:rPr>
        <w:t xml:space="preserve">, </w:t>
      </w:r>
      <w:r w:rsidRPr="008B5505">
        <w:rPr>
          <w:rFonts w:cstheme="minorHAnsi"/>
        </w:rPr>
        <w:t>p.</w:t>
      </w:r>
      <w:r>
        <w:rPr>
          <w:rFonts w:cstheme="minorHAnsi"/>
        </w:rPr>
        <w:t>6-</w:t>
      </w:r>
      <w:r w:rsidRPr="008B5505">
        <w:rPr>
          <w:rFonts w:cstheme="minorHAnsi"/>
        </w:rPr>
        <w:t>7.</w:t>
      </w:r>
    </w:p>
  </w:footnote>
  <w:footnote w:id="107">
    <w:p w14:paraId="528EFC60" w14:textId="77777777" w:rsidR="00AC2612" w:rsidRDefault="00AC2612" w:rsidP="00204DED">
      <w:pPr>
        <w:pStyle w:val="FootnoteText"/>
        <w:ind w:left="170" w:hanging="170"/>
      </w:pPr>
      <w:r>
        <w:rPr>
          <w:rStyle w:val="FootnoteReference"/>
        </w:rPr>
        <w:footnoteRef/>
      </w:r>
      <w:r>
        <w:t xml:space="preserve"> See Explanatory Memorandum to National Consumer Credit Protection (Mandatory Comprehensive Credit Reporting and Other Related Measures) Amendment Bill 2019 which states “</w:t>
      </w:r>
      <w:r w:rsidRPr="00932F89">
        <w:rPr>
          <w:i/>
          <w:iCs/>
        </w:rPr>
        <w:t>The Government intends that financial hardship information prompts a credit provider to make further enquiries in order to make a holistic assessment of a consumer’s financial situation</w:t>
      </w:r>
      <w:r>
        <w:rPr>
          <w:i/>
          <w:iCs/>
        </w:rPr>
        <w:t>”.</w:t>
      </w:r>
    </w:p>
  </w:footnote>
  <w:footnote w:id="108">
    <w:p w14:paraId="5274D6BA" w14:textId="77777777" w:rsidR="00AC2612" w:rsidRDefault="00AC2612" w:rsidP="00AC2612">
      <w:pPr>
        <w:pStyle w:val="FootnoteText"/>
      </w:pPr>
      <w:r>
        <w:rPr>
          <w:rStyle w:val="FootnoteReference"/>
        </w:rPr>
        <w:footnoteRef/>
      </w:r>
      <w:r w:rsidRPr="008B5505">
        <w:rPr>
          <w:rFonts w:cstheme="minorHAnsi"/>
        </w:rPr>
        <w:t xml:space="preserve"> </w:t>
      </w:r>
      <w:r w:rsidRPr="008B5505">
        <w:rPr>
          <w:rFonts w:cstheme="minorHAnsi"/>
          <w:shd w:val="clear" w:color="auto" w:fill="FFFFFF"/>
        </w:rPr>
        <w:t>Australian Information Security Association</w:t>
      </w:r>
      <w:r>
        <w:rPr>
          <w:rFonts w:cstheme="minorHAnsi"/>
          <w:shd w:val="clear" w:color="auto" w:fill="FFFFFF"/>
        </w:rPr>
        <w:t xml:space="preserve"> submission made to telecommunication sectoral assessment consultation</w:t>
      </w:r>
      <w:r w:rsidRPr="008B5505">
        <w:rPr>
          <w:rFonts w:cstheme="minorHAnsi"/>
        </w:rPr>
        <w:t>, p.2.</w:t>
      </w:r>
    </w:p>
  </w:footnote>
  <w:footnote w:id="109">
    <w:p w14:paraId="675E6DF7" w14:textId="4E4C21BE" w:rsidR="00AC2612" w:rsidRDefault="00AC2612" w:rsidP="00AC2612">
      <w:pPr>
        <w:pStyle w:val="FootnoteText"/>
      </w:pPr>
      <w:r>
        <w:rPr>
          <w:rStyle w:val="FootnoteReference"/>
        </w:rPr>
        <w:footnoteRef/>
      </w:r>
      <w:r w:rsidRPr="008B5505">
        <w:rPr>
          <w:rFonts w:cstheme="minorHAnsi"/>
        </w:rPr>
        <w:t xml:space="preserve"> </w:t>
      </w:r>
      <w:r w:rsidR="00C771CD">
        <w:rPr>
          <w:rFonts w:cstheme="minorHAnsi"/>
        </w:rPr>
        <w:t>OAIC</w:t>
      </w:r>
      <w:r>
        <w:rPr>
          <w:rFonts w:cstheme="minorHAnsi"/>
        </w:rPr>
        <w:t xml:space="preserve"> submission made to the telecommunication sectoral assessment consultation</w:t>
      </w:r>
      <w:r w:rsidRPr="008B5505">
        <w:rPr>
          <w:rFonts w:cstheme="minorHAnsi"/>
        </w:rPr>
        <w:t>, p. 5.</w:t>
      </w:r>
    </w:p>
  </w:footnote>
  <w:footnote w:id="110">
    <w:p w14:paraId="2CAD991D" w14:textId="5EF8A37A" w:rsidR="00AC2612" w:rsidRDefault="00AC2612" w:rsidP="00AC2612">
      <w:pPr>
        <w:pStyle w:val="FootnoteText"/>
      </w:pPr>
      <w:r>
        <w:rPr>
          <w:rStyle w:val="FootnoteReference"/>
        </w:rPr>
        <w:footnoteRef/>
      </w:r>
      <w:r w:rsidRPr="008B5505">
        <w:rPr>
          <w:rFonts w:cstheme="minorHAnsi"/>
        </w:rPr>
        <w:t xml:space="preserve"> </w:t>
      </w:r>
      <w:r w:rsidR="00C771CD">
        <w:rPr>
          <w:rFonts w:cstheme="minorHAnsi"/>
        </w:rPr>
        <w:t>OAIC</w:t>
      </w:r>
      <w:r>
        <w:rPr>
          <w:rFonts w:cstheme="minorHAnsi"/>
        </w:rPr>
        <w:t xml:space="preserve"> submission made to the telecommunication sectoral assessment consultation</w:t>
      </w:r>
      <w:r w:rsidRPr="008B5505">
        <w:rPr>
          <w:rFonts w:cstheme="minorHAnsi"/>
        </w:rPr>
        <w:t>, p.5.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2356EAD6"/>
    <w:lvl w:ilvl="0">
      <w:start w:val="1"/>
      <w:numFmt w:val="decimal"/>
      <w:pStyle w:val="Numbered1"/>
      <w:lvlText w:val="%1."/>
      <w:lvlJc w:val="left"/>
      <w:pPr>
        <w:ind w:left="644" w:hanging="360"/>
      </w:pPr>
    </w:lvl>
    <w:lvl w:ilvl="1">
      <w:start w:val="1"/>
      <w:numFmt w:val="decimal"/>
      <w:pStyle w:val="Numbered11"/>
      <w:lvlText w:val="%1.%2."/>
      <w:lvlJc w:val="left"/>
      <w:pPr>
        <w:ind w:left="1850" w:hanging="432"/>
      </w:pPr>
      <w:rPr>
        <w:b w:val="0"/>
        <w:bCs w:val="0"/>
      </w:rPr>
    </w:lvl>
    <w:lvl w:ilvl="2">
      <w:start w:val="1"/>
      <w:numFmt w:val="decimal"/>
      <w:pStyle w:val="Numbered111"/>
      <w:lvlText w:val="%1.%2.%3."/>
      <w:lvlJc w:val="left"/>
      <w:pPr>
        <w:ind w:left="1224" w:hanging="504"/>
      </w:pPr>
      <w:rPr>
        <w:color w:val="auto"/>
      </w:r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2F5F04BD"/>
    <w:multiLevelType w:val="hybridMultilevel"/>
    <w:tmpl w:val="0F6E4278"/>
    <w:lvl w:ilvl="0" w:tplc="8B0A7D5A">
      <w:start w:val="1"/>
      <w:numFmt w:val="bullet"/>
      <w:lvlText w:val="•"/>
      <w:lvlJc w:val="left"/>
      <w:pPr>
        <w:tabs>
          <w:tab w:val="num" w:pos="720"/>
        </w:tabs>
        <w:ind w:left="720" w:hanging="360"/>
      </w:pPr>
      <w:rPr>
        <w:rFonts w:ascii="Arial" w:hAnsi="Arial" w:hint="default"/>
      </w:rPr>
    </w:lvl>
    <w:lvl w:ilvl="1" w:tplc="7680A7EE" w:tentative="1">
      <w:start w:val="1"/>
      <w:numFmt w:val="bullet"/>
      <w:lvlText w:val="•"/>
      <w:lvlJc w:val="left"/>
      <w:pPr>
        <w:tabs>
          <w:tab w:val="num" w:pos="1440"/>
        </w:tabs>
        <w:ind w:left="1440" w:hanging="360"/>
      </w:pPr>
      <w:rPr>
        <w:rFonts w:ascii="Arial" w:hAnsi="Arial" w:hint="default"/>
      </w:rPr>
    </w:lvl>
    <w:lvl w:ilvl="2" w:tplc="00C4B736" w:tentative="1">
      <w:start w:val="1"/>
      <w:numFmt w:val="bullet"/>
      <w:lvlText w:val="•"/>
      <w:lvlJc w:val="left"/>
      <w:pPr>
        <w:tabs>
          <w:tab w:val="num" w:pos="2160"/>
        </w:tabs>
        <w:ind w:left="2160" w:hanging="360"/>
      </w:pPr>
      <w:rPr>
        <w:rFonts w:ascii="Arial" w:hAnsi="Arial" w:hint="default"/>
      </w:rPr>
    </w:lvl>
    <w:lvl w:ilvl="3" w:tplc="262E3A92" w:tentative="1">
      <w:start w:val="1"/>
      <w:numFmt w:val="bullet"/>
      <w:lvlText w:val="•"/>
      <w:lvlJc w:val="left"/>
      <w:pPr>
        <w:tabs>
          <w:tab w:val="num" w:pos="2880"/>
        </w:tabs>
        <w:ind w:left="2880" w:hanging="360"/>
      </w:pPr>
      <w:rPr>
        <w:rFonts w:ascii="Arial" w:hAnsi="Arial" w:hint="default"/>
      </w:rPr>
    </w:lvl>
    <w:lvl w:ilvl="4" w:tplc="3C283BA2" w:tentative="1">
      <w:start w:val="1"/>
      <w:numFmt w:val="bullet"/>
      <w:lvlText w:val="•"/>
      <w:lvlJc w:val="left"/>
      <w:pPr>
        <w:tabs>
          <w:tab w:val="num" w:pos="3600"/>
        </w:tabs>
        <w:ind w:left="3600" w:hanging="360"/>
      </w:pPr>
      <w:rPr>
        <w:rFonts w:ascii="Arial" w:hAnsi="Arial" w:hint="default"/>
      </w:rPr>
    </w:lvl>
    <w:lvl w:ilvl="5" w:tplc="0F78EF46" w:tentative="1">
      <w:start w:val="1"/>
      <w:numFmt w:val="bullet"/>
      <w:lvlText w:val="•"/>
      <w:lvlJc w:val="left"/>
      <w:pPr>
        <w:tabs>
          <w:tab w:val="num" w:pos="4320"/>
        </w:tabs>
        <w:ind w:left="4320" w:hanging="360"/>
      </w:pPr>
      <w:rPr>
        <w:rFonts w:ascii="Arial" w:hAnsi="Arial" w:hint="default"/>
      </w:rPr>
    </w:lvl>
    <w:lvl w:ilvl="6" w:tplc="FE3CD578" w:tentative="1">
      <w:start w:val="1"/>
      <w:numFmt w:val="bullet"/>
      <w:lvlText w:val="•"/>
      <w:lvlJc w:val="left"/>
      <w:pPr>
        <w:tabs>
          <w:tab w:val="num" w:pos="5040"/>
        </w:tabs>
        <w:ind w:left="5040" w:hanging="360"/>
      </w:pPr>
      <w:rPr>
        <w:rFonts w:ascii="Arial" w:hAnsi="Arial" w:hint="default"/>
      </w:rPr>
    </w:lvl>
    <w:lvl w:ilvl="7" w:tplc="0DAA9F00" w:tentative="1">
      <w:start w:val="1"/>
      <w:numFmt w:val="bullet"/>
      <w:lvlText w:val="•"/>
      <w:lvlJc w:val="left"/>
      <w:pPr>
        <w:tabs>
          <w:tab w:val="num" w:pos="5760"/>
        </w:tabs>
        <w:ind w:left="5760" w:hanging="360"/>
      </w:pPr>
      <w:rPr>
        <w:rFonts w:ascii="Arial" w:hAnsi="Arial" w:hint="default"/>
      </w:rPr>
    </w:lvl>
    <w:lvl w:ilvl="8" w:tplc="442CDA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34E31A83"/>
    <w:multiLevelType w:val="multilevel"/>
    <w:tmpl w:val="91FCDF1E"/>
    <w:lvl w:ilvl="0">
      <w:start w:val="1"/>
      <w:numFmt w:val="decimal"/>
      <w:lvlText w:val="%1."/>
      <w:lvlJc w:val="left"/>
      <w:pPr>
        <w:ind w:left="1021" w:hanging="341"/>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0B2FFA"/>
    <w:multiLevelType w:val="multilevel"/>
    <w:tmpl w:val="F82C5200"/>
    <w:name w:val="StandardBulletedList"/>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15:restartNumberingAfterBreak="0">
    <w:nsid w:val="6E3A771D"/>
    <w:multiLevelType w:val="multilevel"/>
    <w:tmpl w:val="5986F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FEF7E1C"/>
    <w:multiLevelType w:val="hybridMultilevel"/>
    <w:tmpl w:val="70F4A43E"/>
    <w:lvl w:ilvl="0" w:tplc="468CD23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8"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9"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15:restartNumberingAfterBreak="0">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1"/>
  </w:num>
  <w:num w:numId="3">
    <w:abstractNumId w:val="7"/>
  </w:num>
  <w:num w:numId="4">
    <w:abstractNumId w:val="6"/>
  </w:num>
  <w:num w:numId="5">
    <w:abstractNumId w:val="5"/>
  </w:num>
  <w:num w:numId="6">
    <w:abstractNumId w:val="4"/>
  </w:num>
  <w:num w:numId="7">
    <w:abstractNumId w:val="1"/>
  </w:num>
  <w:num w:numId="8">
    <w:abstractNumId w:val="0"/>
  </w:num>
  <w:num w:numId="9">
    <w:abstractNumId w:val="24"/>
  </w:num>
  <w:num w:numId="10">
    <w:abstractNumId w:val="18"/>
  </w:num>
  <w:num w:numId="11">
    <w:abstractNumId w:val="9"/>
  </w:num>
  <w:num w:numId="12">
    <w:abstractNumId w:val="12"/>
  </w:num>
  <w:num w:numId="13">
    <w:abstractNumId w:val="17"/>
  </w:num>
  <w:num w:numId="14">
    <w:abstractNumId w:val="2"/>
  </w:num>
  <w:num w:numId="15">
    <w:abstractNumId w:val="27"/>
  </w:num>
  <w:num w:numId="16">
    <w:abstractNumId w:val="30"/>
  </w:num>
  <w:num w:numId="17">
    <w:abstractNumId w:val="29"/>
  </w:num>
  <w:num w:numId="18">
    <w:abstractNumId w:val="21"/>
  </w:num>
  <w:num w:numId="19">
    <w:abstractNumId w:val="14"/>
  </w:num>
  <w:num w:numId="20">
    <w:abstractNumId w:val="19"/>
  </w:num>
  <w:num w:numId="21">
    <w:abstractNumId w:val="28"/>
  </w:num>
  <w:num w:numId="22">
    <w:abstractNumId w:val="22"/>
  </w:num>
  <w:num w:numId="23">
    <w:abstractNumId w:val="8"/>
  </w:num>
  <w:num w:numId="24">
    <w:abstractNumId w:val="3"/>
  </w:num>
  <w:num w:numId="25">
    <w:abstractNumId w:val="20"/>
  </w:num>
  <w:num w:numId="26">
    <w:abstractNumId w:val="11"/>
  </w:num>
  <w:num w:numId="27">
    <w:abstractNumId w:val="23"/>
  </w:num>
  <w:num w:numId="28">
    <w:abstractNumId w:val="12"/>
  </w:num>
  <w:num w:numId="29">
    <w:abstractNumId w:val="16"/>
  </w:num>
  <w:num w:numId="30">
    <w:abstractNumId w:val="12"/>
  </w:num>
  <w:num w:numId="31">
    <w:abstractNumId w:val="22"/>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2"/>
    <w:lvlOverride w:ilvl="0">
      <w:startOverride w:val="1"/>
    </w:lvlOverride>
  </w:num>
  <w:num w:numId="35">
    <w:abstractNumId w:val="25"/>
    <w:lvlOverride w:ilvl="0">
      <w:lvl w:ilvl="0">
        <w:start w:val="1"/>
        <w:numFmt w:val="decimal"/>
        <w:lvlText w:val="%1"/>
        <w:lvlJc w:val="left"/>
        <w:pPr>
          <w:ind w:left="680" w:hanging="680"/>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021" w:hanging="1021"/>
        </w:pPr>
        <w:rPr>
          <w:rFonts w:hint="default"/>
        </w:rPr>
      </w:lvl>
    </w:lvlOverride>
    <w:lvlOverride w:ilvl="3">
      <w:lvl w:ilvl="3">
        <w:start w:val="1"/>
        <w:numFmt w:val="decimal"/>
        <w:lvlText w:val="%1.%2.%3.%4"/>
        <w:lvlJc w:val="left"/>
        <w:pPr>
          <w:ind w:left="1021" w:hanging="1021"/>
        </w:pPr>
        <w:rPr>
          <w:rFonts w:hint="default"/>
        </w:rPr>
      </w:lvl>
    </w:lvlOverride>
    <w:lvlOverride w:ilvl="4">
      <w:lvl w:ilvl="4">
        <w:start w:val="1"/>
        <w:numFmt w:val="decimal"/>
        <w:lvlText w:val="%1.%2.%3.%4.%5"/>
        <w:lvlJc w:val="left"/>
        <w:pPr>
          <w:ind w:left="1361" w:hanging="1361"/>
        </w:pPr>
        <w:rPr>
          <w:rFonts w:hint="default"/>
        </w:rPr>
      </w:lvl>
    </w:lvlOverride>
    <w:lvlOverride w:ilvl="5">
      <w:lvl w:ilvl="5">
        <w:start w:val="1"/>
        <w:numFmt w:val="decimal"/>
        <w:lvlText w:val="%1.%2.%3.%4.%5.%6"/>
        <w:lvlJc w:val="left"/>
        <w:pPr>
          <w:ind w:left="1361" w:hanging="1361"/>
        </w:pPr>
        <w:rPr>
          <w:rFonts w:hint="default"/>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1701" w:hanging="1701"/>
        </w:pPr>
        <w:rPr>
          <w:rFonts w:hint="default"/>
        </w:rPr>
      </w:lvl>
    </w:lvlOverride>
    <w:lvlOverride w:ilvl="8">
      <w:lvl w:ilvl="8">
        <w:start w:val="1"/>
        <w:numFmt w:val="decimal"/>
        <w:lvlText w:val="%1.%2.%3.%4.%5.%6.%7.%8.%9"/>
        <w:lvlJc w:val="left"/>
        <w:pPr>
          <w:ind w:left="1701" w:hanging="1701"/>
        </w:pPr>
        <w:rPr>
          <w:rFonts w:hint="default"/>
        </w:rPr>
      </w:lvl>
    </w:lvlOverride>
  </w:num>
  <w:num w:numId="36">
    <w:abstractNumId w:val="15"/>
  </w:num>
  <w:num w:numId="37">
    <w:abstractNumId w:val="2"/>
    <w:lvlOverride w:ilvl="0">
      <w:startOverride w:val="1"/>
    </w:lvlOverride>
  </w:num>
  <w:num w:numId="38">
    <w:abstractNumId w:val="13"/>
  </w:num>
  <w:num w:numId="39">
    <w:abstractNumId w:val="16"/>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26"/>
  </w:num>
  <w:num w:numId="49">
    <w:abstractNumId w:val="12"/>
  </w:num>
  <w:num w:numId="50">
    <w:abstractNumId w:val="16"/>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T:\Strat_Comms\Pubs_Design\Templates\ACCC\In Progress\ACCC\ACCC Report Template_04.dotm"/>
  </w:docVars>
  <w:rsids>
    <w:rsidRoot w:val="00EF303B"/>
    <w:rsid w:val="0000043D"/>
    <w:rsid w:val="000007A6"/>
    <w:rsid w:val="0000145C"/>
    <w:rsid w:val="00002287"/>
    <w:rsid w:val="000025B9"/>
    <w:rsid w:val="00002BCA"/>
    <w:rsid w:val="000032DC"/>
    <w:rsid w:val="00003FE0"/>
    <w:rsid w:val="00004103"/>
    <w:rsid w:val="000054A7"/>
    <w:rsid w:val="000059BD"/>
    <w:rsid w:val="00006038"/>
    <w:rsid w:val="000062EA"/>
    <w:rsid w:val="00006A95"/>
    <w:rsid w:val="00006DC4"/>
    <w:rsid w:val="00011AA6"/>
    <w:rsid w:val="00011CFD"/>
    <w:rsid w:val="00011FF5"/>
    <w:rsid w:val="00012157"/>
    <w:rsid w:val="00012B18"/>
    <w:rsid w:val="00013164"/>
    <w:rsid w:val="00014E95"/>
    <w:rsid w:val="00015B5C"/>
    <w:rsid w:val="00016814"/>
    <w:rsid w:val="000169D3"/>
    <w:rsid w:val="00020066"/>
    <w:rsid w:val="0002085D"/>
    <w:rsid w:val="0002115F"/>
    <w:rsid w:val="00021202"/>
    <w:rsid w:val="00021529"/>
    <w:rsid w:val="000225C4"/>
    <w:rsid w:val="00024C45"/>
    <w:rsid w:val="00025A67"/>
    <w:rsid w:val="0003055D"/>
    <w:rsid w:val="0003104D"/>
    <w:rsid w:val="000317D9"/>
    <w:rsid w:val="00032691"/>
    <w:rsid w:val="00032A2F"/>
    <w:rsid w:val="00032BB9"/>
    <w:rsid w:val="000337A5"/>
    <w:rsid w:val="00033B14"/>
    <w:rsid w:val="00034D6F"/>
    <w:rsid w:val="0003578C"/>
    <w:rsid w:val="0003672E"/>
    <w:rsid w:val="00037A50"/>
    <w:rsid w:val="000405D4"/>
    <w:rsid w:val="000409BA"/>
    <w:rsid w:val="000412FB"/>
    <w:rsid w:val="00041690"/>
    <w:rsid w:val="000434E5"/>
    <w:rsid w:val="00043E1A"/>
    <w:rsid w:val="00044258"/>
    <w:rsid w:val="0004461B"/>
    <w:rsid w:val="000451D8"/>
    <w:rsid w:val="000455EB"/>
    <w:rsid w:val="0004584F"/>
    <w:rsid w:val="0004708F"/>
    <w:rsid w:val="00047589"/>
    <w:rsid w:val="00050546"/>
    <w:rsid w:val="00051384"/>
    <w:rsid w:val="00051741"/>
    <w:rsid w:val="000542BD"/>
    <w:rsid w:val="00054740"/>
    <w:rsid w:val="00055497"/>
    <w:rsid w:val="00055741"/>
    <w:rsid w:val="00056D21"/>
    <w:rsid w:val="000577C4"/>
    <w:rsid w:val="00057988"/>
    <w:rsid w:val="000579B6"/>
    <w:rsid w:val="00060B8B"/>
    <w:rsid w:val="00060C84"/>
    <w:rsid w:val="0006128E"/>
    <w:rsid w:val="0006170C"/>
    <w:rsid w:val="00061A19"/>
    <w:rsid w:val="00062C7C"/>
    <w:rsid w:val="00063247"/>
    <w:rsid w:val="00063EC6"/>
    <w:rsid w:val="000643FD"/>
    <w:rsid w:val="00065F71"/>
    <w:rsid w:val="00066266"/>
    <w:rsid w:val="000662E5"/>
    <w:rsid w:val="0006666A"/>
    <w:rsid w:val="00066D24"/>
    <w:rsid w:val="00070A07"/>
    <w:rsid w:val="00070F9F"/>
    <w:rsid w:val="0007137B"/>
    <w:rsid w:val="000717BA"/>
    <w:rsid w:val="00076D0E"/>
    <w:rsid w:val="00077A37"/>
    <w:rsid w:val="00077E26"/>
    <w:rsid w:val="00077EC5"/>
    <w:rsid w:val="0008016F"/>
    <w:rsid w:val="000809A1"/>
    <w:rsid w:val="00080B9C"/>
    <w:rsid w:val="0008174F"/>
    <w:rsid w:val="000818FA"/>
    <w:rsid w:val="00082165"/>
    <w:rsid w:val="00082A5B"/>
    <w:rsid w:val="000833B4"/>
    <w:rsid w:val="00083975"/>
    <w:rsid w:val="00084F65"/>
    <w:rsid w:val="0008565F"/>
    <w:rsid w:val="00085663"/>
    <w:rsid w:val="00085EBF"/>
    <w:rsid w:val="00087DD8"/>
    <w:rsid w:val="0009169F"/>
    <w:rsid w:val="00091D23"/>
    <w:rsid w:val="00093E8C"/>
    <w:rsid w:val="00094E9C"/>
    <w:rsid w:val="00095762"/>
    <w:rsid w:val="000960AD"/>
    <w:rsid w:val="000960C4"/>
    <w:rsid w:val="00096CBB"/>
    <w:rsid w:val="0009786D"/>
    <w:rsid w:val="000A06BF"/>
    <w:rsid w:val="000A07F3"/>
    <w:rsid w:val="000A0FE3"/>
    <w:rsid w:val="000A2889"/>
    <w:rsid w:val="000A2A58"/>
    <w:rsid w:val="000A4332"/>
    <w:rsid w:val="000A4E00"/>
    <w:rsid w:val="000A56B1"/>
    <w:rsid w:val="000A6941"/>
    <w:rsid w:val="000A6B08"/>
    <w:rsid w:val="000A7B85"/>
    <w:rsid w:val="000A7DC6"/>
    <w:rsid w:val="000B0C7D"/>
    <w:rsid w:val="000B1046"/>
    <w:rsid w:val="000B167F"/>
    <w:rsid w:val="000B19A0"/>
    <w:rsid w:val="000B223A"/>
    <w:rsid w:val="000B292A"/>
    <w:rsid w:val="000B29B5"/>
    <w:rsid w:val="000B3111"/>
    <w:rsid w:val="000B3229"/>
    <w:rsid w:val="000B3551"/>
    <w:rsid w:val="000B37F1"/>
    <w:rsid w:val="000B5173"/>
    <w:rsid w:val="000B524F"/>
    <w:rsid w:val="000B54D4"/>
    <w:rsid w:val="000B618C"/>
    <w:rsid w:val="000B6536"/>
    <w:rsid w:val="000B6813"/>
    <w:rsid w:val="000C06CD"/>
    <w:rsid w:val="000C10D8"/>
    <w:rsid w:val="000C1E11"/>
    <w:rsid w:val="000C1F07"/>
    <w:rsid w:val="000C375D"/>
    <w:rsid w:val="000C39D9"/>
    <w:rsid w:val="000C47E3"/>
    <w:rsid w:val="000C4B1F"/>
    <w:rsid w:val="000C5CF7"/>
    <w:rsid w:val="000C62A4"/>
    <w:rsid w:val="000C634E"/>
    <w:rsid w:val="000C6B4C"/>
    <w:rsid w:val="000C72E7"/>
    <w:rsid w:val="000D0673"/>
    <w:rsid w:val="000D122C"/>
    <w:rsid w:val="000D123F"/>
    <w:rsid w:val="000D237E"/>
    <w:rsid w:val="000D2BA8"/>
    <w:rsid w:val="000D2DF6"/>
    <w:rsid w:val="000D32F8"/>
    <w:rsid w:val="000D3E7A"/>
    <w:rsid w:val="000D3F77"/>
    <w:rsid w:val="000D5CF7"/>
    <w:rsid w:val="000D72FC"/>
    <w:rsid w:val="000D7B1A"/>
    <w:rsid w:val="000E150F"/>
    <w:rsid w:val="000E1819"/>
    <w:rsid w:val="000E351B"/>
    <w:rsid w:val="000E3A2E"/>
    <w:rsid w:val="000E4812"/>
    <w:rsid w:val="000E48C9"/>
    <w:rsid w:val="000E5A4E"/>
    <w:rsid w:val="000E67CE"/>
    <w:rsid w:val="000E6C72"/>
    <w:rsid w:val="000E78C2"/>
    <w:rsid w:val="000E7EDF"/>
    <w:rsid w:val="000F0414"/>
    <w:rsid w:val="000F10F1"/>
    <w:rsid w:val="000F11BA"/>
    <w:rsid w:val="000F2368"/>
    <w:rsid w:val="000F25E9"/>
    <w:rsid w:val="000F4B95"/>
    <w:rsid w:val="000F59BB"/>
    <w:rsid w:val="000F6605"/>
    <w:rsid w:val="000F7ACA"/>
    <w:rsid w:val="000F7F90"/>
    <w:rsid w:val="00100CF1"/>
    <w:rsid w:val="00101270"/>
    <w:rsid w:val="00103238"/>
    <w:rsid w:val="00103689"/>
    <w:rsid w:val="0010523A"/>
    <w:rsid w:val="00105587"/>
    <w:rsid w:val="00105CEB"/>
    <w:rsid w:val="00106238"/>
    <w:rsid w:val="00110784"/>
    <w:rsid w:val="00111E5E"/>
    <w:rsid w:val="00113F15"/>
    <w:rsid w:val="00114722"/>
    <w:rsid w:val="00114FA7"/>
    <w:rsid w:val="0011590C"/>
    <w:rsid w:val="00116EB2"/>
    <w:rsid w:val="00117214"/>
    <w:rsid w:val="00117232"/>
    <w:rsid w:val="00117896"/>
    <w:rsid w:val="00121172"/>
    <w:rsid w:val="001213D8"/>
    <w:rsid w:val="00122588"/>
    <w:rsid w:val="00122DF4"/>
    <w:rsid w:val="00124515"/>
    <w:rsid w:val="00124609"/>
    <w:rsid w:val="0013563F"/>
    <w:rsid w:val="00135CD5"/>
    <w:rsid w:val="001367F3"/>
    <w:rsid w:val="00137620"/>
    <w:rsid w:val="00137702"/>
    <w:rsid w:val="0014303A"/>
    <w:rsid w:val="00143C5D"/>
    <w:rsid w:val="00143E95"/>
    <w:rsid w:val="00145CAF"/>
    <w:rsid w:val="00146353"/>
    <w:rsid w:val="0014698A"/>
    <w:rsid w:val="0015008C"/>
    <w:rsid w:val="00151A7E"/>
    <w:rsid w:val="00152590"/>
    <w:rsid w:val="00152ADE"/>
    <w:rsid w:val="00152B5A"/>
    <w:rsid w:val="0015429B"/>
    <w:rsid w:val="00154CD6"/>
    <w:rsid w:val="0015606C"/>
    <w:rsid w:val="001573E4"/>
    <w:rsid w:val="00157788"/>
    <w:rsid w:val="00157C3C"/>
    <w:rsid w:val="00160182"/>
    <w:rsid w:val="00160442"/>
    <w:rsid w:val="00160756"/>
    <w:rsid w:val="00160D51"/>
    <w:rsid w:val="0016127F"/>
    <w:rsid w:val="001622F6"/>
    <w:rsid w:val="00162963"/>
    <w:rsid w:val="0016452A"/>
    <w:rsid w:val="001647E1"/>
    <w:rsid w:val="00164803"/>
    <w:rsid w:val="0016495C"/>
    <w:rsid w:val="001656DA"/>
    <w:rsid w:val="00165980"/>
    <w:rsid w:val="00166950"/>
    <w:rsid w:val="00170374"/>
    <w:rsid w:val="001714D5"/>
    <w:rsid w:val="001715B9"/>
    <w:rsid w:val="00171BB9"/>
    <w:rsid w:val="00171C25"/>
    <w:rsid w:val="0017232E"/>
    <w:rsid w:val="00172800"/>
    <w:rsid w:val="00174102"/>
    <w:rsid w:val="00175469"/>
    <w:rsid w:val="0017566D"/>
    <w:rsid w:val="00175833"/>
    <w:rsid w:val="00175B4E"/>
    <w:rsid w:val="0017726F"/>
    <w:rsid w:val="001778CF"/>
    <w:rsid w:val="00180157"/>
    <w:rsid w:val="00180C53"/>
    <w:rsid w:val="00181223"/>
    <w:rsid w:val="00181ABD"/>
    <w:rsid w:val="00181AD9"/>
    <w:rsid w:val="00181F6C"/>
    <w:rsid w:val="00182624"/>
    <w:rsid w:val="00182BD8"/>
    <w:rsid w:val="001831BC"/>
    <w:rsid w:val="00183BB8"/>
    <w:rsid w:val="001858DC"/>
    <w:rsid w:val="00185C6E"/>
    <w:rsid w:val="0018604F"/>
    <w:rsid w:val="00186F77"/>
    <w:rsid w:val="00187074"/>
    <w:rsid w:val="001876C2"/>
    <w:rsid w:val="00187C41"/>
    <w:rsid w:val="00187F14"/>
    <w:rsid w:val="001912E3"/>
    <w:rsid w:val="001918FE"/>
    <w:rsid w:val="00191908"/>
    <w:rsid w:val="00192685"/>
    <w:rsid w:val="001926A4"/>
    <w:rsid w:val="00192987"/>
    <w:rsid w:val="00192F3A"/>
    <w:rsid w:val="001934B3"/>
    <w:rsid w:val="001935F0"/>
    <w:rsid w:val="001948CA"/>
    <w:rsid w:val="00194A9C"/>
    <w:rsid w:val="0019529A"/>
    <w:rsid w:val="001975C3"/>
    <w:rsid w:val="001A0468"/>
    <w:rsid w:val="001A1282"/>
    <w:rsid w:val="001A1473"/>
    <w:rsid w:val="001A1505"/>
    <w:rsid w:val="001A162D"/>
    <w:rsid w:val="001A1A63"/>
    <w:rsid w:val="001A2B75"/>
    <w:rsid w:val="001A2C2D"/>
    <w:rsid w:val="001A2E31"/>
    <w:rsid w:val="001A3F93"/>
    <w:rsid w:val="001A4CC7"/>
    <w:rsid w:val="001A526B"/>
    <w:rsid w:val="001A5574"/>
    <w:rsid w:val="001A5C9F"/>
    <w:rsid w:val="001A632F"/>
    <w:rsid w:val="001A7184"/>
    <w:rsid w:val="001A7526"/>
    <w:rsid w:val="001A75E2"/>
    <w:rsid w:val="001B06F0"/>
    <w:rsid w:val="001B1813"/>
    <w:rsid w:val="001B1871"/>
    <w:rsid w:val="001B22F0"/>
    <w:rsid w:val="001B2467"/>
    <w:rsid w:val="001B306E"/>
    <w:rsid w:val="001B3BDA"/>
    <w:rsid w:val="001B45A0"/>
    <w:rsid w:val="001B604E"/>
    <w:rsid w:val="001B6105"/>
    <w:rsid w:val="001B75E1"/>
    <w:rsid w:val="001C0FC4"/>
    <w:rsid w:val="001C18EE"/>
    <w:rsid w:val="001C39A6"/>
    <w:rsid w:val="001C7566"/>
    <w:rsid w:val="001C758D"/>
    <w:rsid w:val="001D03DB"/>
    <w:rsid w:val="001D055E"/>
    <w:rsid w:val="001D1BD7"/>
    <w:rsid w:val="001D2D86"/>
    <w:rsid w:val="001D2EEC"/>
    <w:rsid w:val="001D4AF0"/>
    <w:rsid w:val="001D5599"/>
    <w:rsid w:val="001D574E"/>
    <w:rsid w:val="001D6302"/>
    <w:rsid w:val="001D640E"/>
    <w:rsid w:val="001D6B78"/>
    <w:rsid w:val="001D6C3A"/>
    <w:rsid w:val="001D7148"/>
    <w:rsid w:val="001D76C7"/>
    <w:rsid w:val="001D7EEF"/>
    <w:rsid w:val="001E1823"/>
    <w:rsid w:val="001E2656"/>
    <w:rsid w:val="001E418B"/>
    <w:rsid w:val="001E4444"/>
    <w:rsid w:val="001E6079"/>
    <w:rsid w:val="001E70B2"/>
    <w:rsid w:val="001F17EE"/>
    <w:rsid w:val="001F2925"/>
    <w:rsid w:val="001F3065"/>
    <w:rsid w:val="001F365E"/>
    <w:rsid w:val="001F492E"/>
    <w:rsid w:val="001F4BFC"/>
    <w:rsid w:val="001F6068"/>
    <w:rsid w:val="001F6DA3"/>
    <w:rsid w:val="001F6F90"/>
    <w:rsid w:val="001F77A4"/>
    <w:rsid w:val="001F7C3E"/>
    <w:rsid w:val="0020053A"/>
    <w:rsid w:val="002011F3"/>
    <w:rsid w:val="00201D50"/>
    <w:rsid w:val="00202370"/>
    <w:rsid w:val="002024ED"/>
    <w:rsid w:val="00203707"/>
    <w:rsid w:val="00204058"/>
    <w:rsid w:val="0020406C"/>
    <w:rsid w:val="00204A35"/>
    <w:rsid w:val="00204DED"/>
    <w:rsid w:val="002050CD"/>
    <w:rsid w:val="002056D0"/>
    <w:rsid w:val="002060F5"/>
    <w:rsid w:val="002063E6"/>
    <w:rsid w:val="00206D4F"/>
    <w:rsid w:val="00207C39"/>
    <w:rsid w:val="002107AC"/>
    <w:rsid w:val="0021248F"/>
    <w:rsid w:val="00212737"/>
    <w:rsid w:val="00212C9E"/>
    <w:rsid w:val="00212DD1"/>
    <w:rsid w:val="00212DDD"/>
    <w:rsid w:val="00213B3F"/>
    <w:rsid w:val="00213F57"/>
    <w:rsid w:val="00215313"/>
    <w:rsid w:val="00215BBC"/>
    <w:rsid w:val="0021630A"/>
    <w:rsid w:val="00216A11"/>
    <w:rsid w:val="00216DA6"/>
    <w:rsid w:val="00216DFE"/>
    <w:rsid w:val="00216E91"/>
    <w:rsid w:val="002177D9"/>
    <w:rsid w:val="002200F0"/>
    <w:rsid w:val="00220381"/>
    <w:rsid w:val="0022152C"/>
    <w:rsid w:val="002220FE"/>
    <w:rsid w:val="002223AA"/>
    <w:rsid w:val="002229C6"/>
    <w:rsid w:val="00222E91"/>
    <w:rsid w:val="00223E0C"/>
    <w:rsid w:val="00224419"/>
    <w:rsid w:val="00224DB9"/>
    <w:rsid w:val="00225936"/>
    <w:rsid w:val="002276BC"/>
    <w:rsid w:val="00227D3F"/>
    <w:rsid w:val="0023038F"/>
    <w:rsid w:val="00230772"/>
    <w:rsid w:val="00231521"/>
    <w:rsid w:val="00231DBD"/>
    <w:rsid w:val="002321A6"/>
    <w:rsid w:val="002329E0"/>
    <w:rsid w:val="00232FD2"/>
    <w:rsid w:val="002331F6"/>
    <w:rsid w:val="002332DC"/>
    <w:rsid w:val="002357E2"/>
    <w:rsid w:val="00235BFB"/>
    <w:rsid w:val="00235D9F"/>
    <w:rsid w:val="00236069"/>
    <w:rsid w:val="00236F2F"/>
    <w:rsid w:val="002371F4"/>
    <w:rsid w:val="00237245"/>
    <w:rsid w:val="002374A8"/>
    <w:rsid w:val="00237F36"/>
    <w:rsid w:val="0024017D"/>
    <w:rsid w:val="00240234"/>
    <w:rsid w:val="00240A67"/>
    <w:rsid w:val="0024110C"/>
    <w:rsid w:val="0024221B"/>
    <w:rsid w:val="00244D6A"/>
    <w:rsid w:val="0024532F"/>
    <w:rsid w:val="002474C1"/>
    <w:rsid w:val="00251745"/>
    <w:rsid w:val="0025187E"/>
    <w:rsid w:val="00251D11"/>
    <w:rsid w:val="00252354"/>
    <w:rsid w:val="00253051"/>
    <w:rsid w:val="0025313A"/>
    <w:rsid w:val="0025314C"/>
    <w:rsid w:val="00253161"/>
    <w:rsid w:val="002534EF"/>
    <w:rsid w:val="00253EB4"/>
    <w:rsid w:val="00255342"/>
    <w:rsid w:val="002564A6"/>
    <w:rsid w:val="002565B5"/>
    <w:rsid w:val="00257E71"/>
    <w:rsid w:val="00257EB6"/>
    <w:rsid w:val="00260550"/>
    <w:rsid w:val="00261678"/>
    <w:rsid w:val="00261AAC"/>
    <w:rsid w:val="00261B47"/>
    <w:rsid w:val="002623F4"/>
    <w:rsid w:val="00263533"/>
    <w:rsid w:val="00263AC0"/>
    <w:rsid w:val="00263EA5"/>
    <w:rsid w:val="00264199"/>
    <w:rsid w:val="00266098"/>
    <w:rsid w:val="002663BA"/>
    <w:rsid w:val="0026772D"/>
    <w:rsid w:val="002678FE"/>
    <w:rsid w:val="00267B6C"/>
    <w:rsid w:val="00267CAD"/>
    <w:rsid w:val="0027006F"/>
    <w:rsid w:val="002700FC"/>
    <w:rsid w:val="00271A92"/>
    <w:rsid w:val="00273D9D"/>
    <w:rsid w:val="00275324"/>
    <w:rsid w:val="002779EB"/>
    <w:rsid w:val="00280912"/>
    <w:rsid w:val="00280B07"/>
    <w:rsid w:val="00281169"/>
    <w:rsid w:val="002815B3"/>
    <w:rsid w:val="0028193D"/>
    <w:rsid w:val="00281B76"/>
    <w:rsid w:val="002825EF"/>
    <w:rsid w:val="0028264B"/>
    <w:rsid w:val="00285006"/>
    <w:rsid w:val="00286623"/>
    <w:rsid w:val="00286874"/>
    <w:rsid w:val="00286EA8"/>
    <w:rsid w:val="002870B6"/>
    <w:rsid w:val="00287877"/>
    <w:rsid w:val="00291CED"/>
    <w:rsid w:val="0029248A"/>
    <w:rsid w:val="0029318C"/>
    <w:rsid w:val="00293E09"/>
    <w:rsid w:val="00293FD5"/>
    <w:rsid w:val="0029477D"/>
    <w:rsid w:val="00294B53"/>
    <w:rsid w:val="00294B9E"/>
    <w:rsid w:val="00295047"/>
    <w:rsid w:val="002969ED"/>
    <w:rsid w:val="00296B65"/>
    <w:rsid w:val="00297CCD"/>
    <w:rsid w:val="002A1398"/>
    <w:rsid w:val="002A1BCF"/>
    <w:rsid w:val="002A31B5"/>
    <w:rsid w:val="002A3FC3"/>
    <w:rsid w:val="002A520E"/>
    <w:rsid w:val="002A5669"/>
    <w:rsid w:val="002A59E3"/>
    <w:rsid w:val="002A5A31"/>
    <w:rsid w:val="002A5A58"/>
    <w:rsid w:val="002A5D41"/>
    <w:rsid w:val="002A5E21"/>
    <w:rsid w:val="002A760F"/>
    <w:rsid w:val="002A7D1A"/>
    <w:rsid w:val="002A7DEF"/>
    <w:rsid w:val="002B0117"/>
    <w:rsid w:val="002B0C56"/>
    <w:rsid w:val="002B1FA3"/>
    <w:rsid w:val="002B3CA5"/>
    <w:rsid w:val="002B4A1C"/>
    <w:rsid w:val="002B581C"/>
    <w:rsid w:val="002B5F80"/>
    <w:rsid w:val="002B78E4"/>
    <w:rsid w:val="002C12EF"/>
    <w:rsid w:val="002C271B"/>
    <w:rsid w:val="002C2DAF"/>
    <w:rsid w:val="002C310F"/>
    <w:rsid w:val="002C334A"/>
    <w:rsid w:val="002C37B0"/>
    <w:rsid w:val="002C54E9"/>
    <w:rsid w:val="002C572D"/>
    <w:rsid w:val="002C5DE4"/>
    <w:rsid w:val="002C63F6"/>
    <w:rsid w:val="002C6429"/>
    <w:rsid w:val="002C7666"/>
    <w:rsid w:val="002C7D51"/>
    <w:rsid w:val="002C7E51"/>
    <w:rsid w:val="002D0BC1"/>
    <w:rsid w:val="002D1A05"/>
    <w:rsid w:val="002D1DF3"/>
    <w:rsid w:val="002D1F89"/>
    <w:rsid w:val="002D2312"/>
    <w:rsid w:val="002D2987"/>
    <w:rsid w:val="002D2D09"/>
    <w:rsid w:val="002D507A"/>
    <w:rsid w:val="002D5BD0"/>
    <w:rsid w:val="002D7B3E"/>
    <w:rsid w:val="002D7E23"/>
    <w:rsid w:val="002E07C3"/>
    <w:rsid w:val="002E19B5"/>
    <w:rsid w:val="002E2E4D"/>
    <w:rsid w:val="002E39FD"/>
    <w:rsid w:val="002E55D2"/>
    <w:rsid w:val="002E63A2"/>
    <w:rsid w:val="002E65A1"/>
    <w:rsid w:val="002E65C4"/>
    <w:rsid w:val="002E6CFE"/>
    <w:rsid w:val="002E727D"/>
    <w:rsid w:val="002F0A1A"/>
    <w:rsid w:val="002F131C"/>
    <w:rsid w:val="002F20C6"/>
    <w:rsid w:val="002F45DE"/>
    <w:rsid w:val="002F4755"/>
    <w:rsid w:val="002F5054"/>
    <w:rsid w:val="002F6172"/>
    <w:rsid w:val="002F6261"/>
    <w:rsid w:val="002F6C91"/>
    <w:rsid w:val="002F7986"/>
    <w:rsid w:val="00300051"/>
    <w:rsid w:val="00300BC8"/>
    <w:rsid w:val="00301081"/>
    <w:rsid w:val="0030136B"/>
    <w:rsid w:val="0030212B"/>
    <w:rsid w:val="003021F5"/>
    <w:rsid w:val="003039FB"/>
    <w:rsid w:val="00303C4A"/>
    <w:rsid w:val="003040D4"/>
    <w:rsid w:val="00304194"/>
    <w:rsid w:val="00304293"/>
    <w:rsid w:val="00305238"/>
    <w:rsid w:val="00305591"/>
    <w:rsid w:val="00305DD8"/>
    <w:rsid w:val="003062CC"/>
    <w:rsid w:val="00306B1D"/>
    <w:rsid w:val="00307A36"/>
    <w:rsid w:val="00307B00"/>
    <w:rsid w:val="00307F6D"/>
    <w:rsid w:val="0031287B"/>
    <w:rsid w:val="00313273"/>
    <w:rsid w:val="0031329D"/>
    <w:rsid w:val="00314307"/>
    <w:rsid w:val="00316981"/>
    <w:rsid w:val="003172E6"/>
    <w:rsid w:val="003177A2"/>
    <w:rsid w:val="00317DC2"/>
    <w:rsid w:val="00317F7C"/>
    <w:rsid w:val="00320D27"/>
    <w:rsid w:val="00322A73"/>
    <w:rsid w:val="00322BF2"/>
    <w:rsid w:val="00322CB5"/>
    <w:rsid w:val="00322FF0"/>
    <w:rsid w:val="003231FB"/>
    <w:rsid w:val="00323B77"/>
    <w:rsid w:val="00323E45"/>
    <w:rsid w:val="00323EA7"/>
    <w:rsid w:val="00325091"/>
    <w:rsid w:val="003267E3"/>
    <w:rsid w:val="003271B5"/>
    <w:rsid w:val="0033040D"/>
    <w:rsid w:val="00330A8C"/>
    <w:rsid w:val="00330BE0"/>
    <w:rsid w:val="00330F67"/>
    <w:rsid w:val="00331264"/>
    <w:rsid w:val="0033160D"/>
    <w:rsid w:val="003316F9"/>
    <w:rsid w:val="00332DE5"/>
    <w:rsid w:val="00332E34"/>
    <w:rsid w:val="00332E97"/>
    <w:rsid w:val="00332F60"/>
    <w:rsid w:val="003330B2"/>
    <w:rsid w:val="0033323E"/>
    <w:rsid w:val="0033492F"/>
    <w:rsid w:val="00334AB6"/>
    <w:rsid w:val="00334C8D"/>
    <w:rsid w:val="00335554"/>
    <w:rsid w:val="00335E37"/>
    <w:rsid w:val="00336DE9"/>
    <w:rsid w:val="00337B7F"/>
    <w:rsid w:val="00337E91"/>
    <w:rsid w:val="00340655"/>
    <w:rsid w:val="00341239"/>
    <w:rsid w:val="003417FB"/>
    <w:rsid w:val="00341EB6"/>
    <w:rsid w:val="00342B41"/>
    <w:rsid w:val="00342CD2"/>
    <w:rsid w:val="0034339B"/>
    <w:rsid w:val="003437E5"/>
    <w:rsid w:val="0034399E"/>
    <w:rsid w:val="0034428A"/>
    <w:rsid w:val="003445FC"/>
    <w:rsid w:val="003459E6"/>
    <w:rsid w:val="00345EAD"/>
    <w:rsid w:val="003479A3"/>
    <w:rsid w:val="00347D1B"/>
    <w:rsid w:val="003500C3"/>
    <w:rsid w:val="0035077F"/>
    <w:rsid w:val="003511EC"/>
    <w:rsid w:val="003518AA"/>
    <w:rsid w:val="003518B3"/>
    <w:rsid w:val="0035239C"/>
    <w:rsid w:val="003527B6"/>
    <w:rsid w:val="003529E2"/>
    <w:rsid w:val="003536C2"/>
    <w:rsid w:val="003538A9"/>
    <w:rsid w:val="003539FB"/>
    <w:rsid w:val="00354C7B"/>
    <w:rsid w:val="00355F09"/>
    <w:rsid w:val="003563ED"/>
    <w:rsid w:val="003565A0"/>
    <w:rsid w:val="00356C24"/>
    <w:rsid w:val="00357035"/>
    <w:rsid w:val="00360563"/>
    <w:rsid w:val="00361ADC"/>
    <w:rsid w:val="0036340F"/>
    <w:rsid w:val="00366CAD"/>
    <w:rsid w:val="003677DB"/>
    <w:rsid w:val="00372AFE"/>
    <w:rsid w:val="003739D3"/>
    <w:rsid w:val="0037565A"/>
    <w:rsid w:val="00375F97"/>
    <w:rsid w:val="00376773"/>
    <w:rsid w:val="0038047B"/>
    <w:rsid w:val="003829EF"/>
    <w:rsid w:val="00383538"/>
    <w:rsid w:val="003846F1"/>
    <w:rsid w:val="00384B64"/>
    <w:rsid w:val="00387681"/>
    <w:rsid w:val="00387D81"/>
    <w:rsid w:val="0039081B"/>
    <w:rsid w:val="00390B03"/>
    <w:rsid w:val="0039208B"/>
    <w:rsid w:val="003920C6"/>
    <w:rsid w:val="00392374"/>
    <w:rsid w:val="00394DE8"/>
    <w:rsid w:val="00395357"/>
    <w:rsid w:val="0039597C"/>
    <w:rsid w:val="0039667B"/>
    <w:rsid w:val="003974FE"/>
    <w:rsid w:val="00397DFE"/>
    <w:rsid w:val="003A0EF9"/>
    <w:rsid w:val="003A1006"/>
    <w:rsid w:val="003A1D4A"/>
    <w:rsid w:val="003A2F2C"/>
    <w:rsid w:val="003A32CB"/>
    <w:rsid w:val="003A4795"/>
    <w:rsid w:val="003A53E8"/>
    <w:rsid w:val="003A673F"/>
    <w:rsid w:val="003A68D0"/>
    <w:rsid w:val="003A79A4"/>
    <w:rsid w:val="003A7F7F"/>
    <w:rsid w:val="003B0495"/>
    <w:rsid w:val="003B1291"/>
    <w:rsid w:val="003B2070"/>
    <w:rsid w:val="003B25A3"/>
    <w:rsid w:val="003B2C1B"/>
    <w:rsid w:val="003B2E39"/>
    <w:rsid w:val="003B363E"/>
    <w:rsid w:val="003B3749"/>
    <w:rsid w:val="003B3F68"/>
    <w:rsid w:val="003B441C"/>
    <w:rsid w:val="003B4801"/>
    <w:rsid w:val="003B4CAF"/>
    <w:rsid w:val="003B4DE6"/>
    <w:rsid w:val="003B4E1E"/>
    <w:rsid w:val="003B5A70"/>
    <w:rsid w:val="003B5E30"/>
    <w:rsid w:val="003B5E9A"/>
    <w:rsid w:val="003B7022"/>
    <w:rsid w:val="003C01A4"/>
    <w:rsid w:val="003C0B29"/>
    <w:rsid w:val="003C0B9C"/>
    <w:rsid w:val="003C2327"/>
    <w:rsid w:val="003C37DD"/>
    <w:rsid w:val="003C3E9C"/>
    <w:rsid w:val="003C424B"/>
    <w:rsid w:val="003C42A6"/>
    <w:rsid w:val="003C6170"/>
    <w:rsid w:val="003C663A"/>
    <w:rsid w:val="003C6D3E"/>
    <w:rsid w:val="003C75D3"/>
    <w:rsid w:val="003D009F"/>
    <w:rsid w:val="003D1538"/>
    <w:rsid w:val="003D190E"/>
    <w:rsid w:val="003D1C18"/>
    <w:rsid w:val="003D1F8F"/>
    <w:rsid w:val="003D2988"/>
    <w:rsid w:val="003D2A4E"/>
    <w:rsid w:val="003D33E0"/>
    <w:rsid w:val="003D45E1"/>
    <w:rsid w:val="003D4D54"/>
    <w:rsid w:val="003D554A"/>
    <w:rsid w:val="003D5A28"/>
    <w:rsid w:val="003D6152"/>
    <w:rsid w:val="003D6756"/>
    <w:rsid w:val="003D71A6"/>
    <w:rsid w:val="003E00D4"/>
    <w:rsid w:val="003E0719"/>
    <w:rsid w:val="003E096B"/>
    <w:rsid w:val="003E0A60"/>
    <w:rsid w:val="003E157A"/>
    <w:rsid w:val="003E1D34"/>
    <w:rsid w:val="003E2A23"/>
    <w:rsid w:val="003E3589"/>
    <w:rsid w:val="003E4B61"/>
    <w:rsid w:val="003E4C4A"/>
    <w:rsid w:val="003E4DF8"/>
    <w:rsid w:val="003E5D40"/>
    <w:rsid w:val="003E5F13"/>
    <w:rsid w:val="003E61C1"/>
    <w:rsid w:val="003E72AE"/>
    <w:rsid w:val="003F0AEF"/>
    <w:rsid w:val="003F11D3"/>
    <w:rsid w:val="003F164F"/>
    <w:rsid w:val="003F19C3"/>
    <w:rsid w:val="003F2631"/>
    <w:rsid w:val="003F2DC9"/>
    <w:rsid w:val="003F3135"/>
    <w:rsid w:val="003F58E6"/>
    <w:rsid w:val="003F690B"/>
    <w:rsid w:val="003F6AC5"/>
    <w:rsid w:val="003F73C2"/>
    <w:rsid w:val="003F7B26"/>
    <w:rsid w:val="003F7E1A"/>
    <w:rsid w:val="003F7F23"/>
    <w:rsid w:val="00400020"/>
    <w:rsid w:val="004015D2"/>
    <w:rsid w:val="00403472"/>
    <w:rsid w:val="00404BE2"/>
    <w:rsid w:val="00406661"/>
    <w:rsid w:val="00410A07"/>
    <w:rsid w:val="00411319"/>
    <w:rsid w:val="004122CF"/>
    <w:rsid w:val="00415AFA"/>
    <w:rsid w:val="00415C83"/>
    <w:rsid w:val="004166FA"/>
    <w:rsid w:val="00416DC2"/>
    <w:rsid w:val="004203D1"/>
    <w:rsid w:val="00420C32"/>
    <w:rsid w:val="004215E1"/>
    <w:rsid w:val="004219DF"/>
    <w:rsid w:val="004224C4"/>
    <w:rsid w:val="00423DE7"/>
    <w:rsid w:val="00423FFD"/>
    <w:rsid w:val="00424117"/>
    <w:rsid w:val="0042533D"/>
    <w:rsid w:val="0042547F"/>
    <w:rsid w:val="00425EC8"/>
    <w:rsid w:val="004263F4"/>
    <w:rsid w:val="004264D1"/>
    <w:rsid w:val="00427BD4"/>
    <w:rsid w:val="00430187"/>
    <w:rsid w:val="00430D8B"/>
    <w:rsid w:val="00431065"/>
    <w:rsid w:val="0043173C"/>
    <w:rsid w:val="00431C0E"/>
    <w:rsid w:val="00432497"/>
    <w:rsid w:val="00432C07"/>
    <w:rsid w:val="00433C97"/>
    <w:rsid w:val="00433DF2"/>
    <w:rsid w:val="004359F4"/>
    <w:rsid w:val="00436B21"/>
    <w:rsid w:val="004375AF"/>
    <w:rsid w:val="00440282"/>
    <w:rsid w:val="0044040C"/>
    <w:rsid w:val="00440679"/>
    <w:rsid w:val="00441CC7"/>
    <w:rsid w:val="00442052"/>
    <w:rsid w:val="004423DC"/>
    <w:rsid w:val="00442546"/>
    <w:rsid w:val="004440F0"/>
    <w:rsid w:val="00444A2C"/>
    <w:rsid w:val="00446254"/>
    <w:rsid w:val="004475F8"/>
    <w:rsid w:val="00452B7B"/>
    <w:rsid w:val="00454684"/>
    <w:rsid w:val="00455456"/>
    <w:rsid w:val="0045580D"/>
    <w:rsid w:val="00457EFE"/>
    <w:rsid w:val="00457F05"/>
    <w:rsid w:val="00460B52"/>
    <w:rsid w:val="00460E4F"/>
    <w:rsid w:val="00462332"/>
    <w:rsid w:val="00462ADD"/>
    <w:rsid w:val="00463E41"/>
    <w:rsid w:val="00465F0A"/>
    <w:rsid w:val="00466877"/>
    <w:rsid w:val="0047108B"/>
    <w:rsid w:val="00471287"/>
    <w:rsid w:val="0047258F"/>
    <w:rsid w:val="00472DF0"/>
    <w:rsid w:val="00473AF6"/>
    <w:rsid w:val="0047463D"/>
    <w:rsid w:val="00475555"/>
    <w:rsid w:val="00475DDE"/>
    <w:rsid w:val="00477247"/>
    <w:rsid w:val="00477303"/>
    <w:rsid w:val="00480AFC"/>
    <w:rsid w:val="00480B4B"/>
    <w:rsid w:val="00480E70"/>
    <w:rsid w:val="00481172"/>
    <w:rsid w:val="00483532"/>
    <w:rsid w:val="0048518D"/>
    <w:rsid w:val="0048537A"/>
    <w:rsid w:val="004856F9"/>
    <w:rsid w:val="0048576B"/>
    <w:rsid w:val="00485C43"/>
    <w:rsid w:val="00485DC4"/>
    <w:rsid w:val="00486DF9"/>
    <w:rsid w:val="004877DB"/>
    <w:rsid w:val="004906EB"/>
    <w:rsid w:val="004922DE"/>
    <w:rsid w:val="0049246B"/>
    <w:rsid w:val="00492AB2"/>
    <w:rsid w:val="0049356F"/>
    <w:rsid w:val="00496348"/>
    <w:rsid w:val="0049684E"/>
    <w:rsid w:val="00496AD8"/>
    <w:rsid w:val="00497FF4"/>
    <w:rsid w:val="004A080A"/>
    <w:rsid w:val="004A1678"/>
    <w:rsid w:val="004A1696"/>
    <w:rsid w:val="004A16B9"/>
    <w:rsid w:val="004A2782"/>
    <w:rsid w:val="004A3226"/>
    <w:rsid w:val="004A3307"/>
    <w:rsid w:val="004A39CF"/>
    <w:rsid w:val="004A4218"/>
    <w:rsid w:val="004A4302"/>
    <w:rsid w:val="004A4462"/>
    <w:rsid w:val="004A4E6B"/>
    <w:rsid w:val="004A75D6"/>
    <w:rsid w:val="004A78F4"/>
    <w:rsid w:val="004A7F16"/>
    <w:rsid w:val="004A7F7A"/>
    <w:rsid w:val="004B0208"/>
    <w:rsid w:val="004B0654"/>
    <w:rsid w:val="004B0737"/>
    <w:rsid w:val="004B090D"/>
    <w:rsid w:val="004B1A22"/>
    <w:rsid w:val="004B21BB"/>
    <w:rsid w:val="004B3E56"/>
    <w:rsid w:val="004B40C6"/>
    <w:rsid w:val="004B419B"/>
    <w:rsid w:val="004B4412"/>
    <w:rsid w:val="004B6CB9"/>
    <w:rsid w:val="004B754F"/>
    <w:rsid w:val="004C09C4"/>
    <w:rsid w:val="004C0E4A"/>
    <w:rsid w:val="004C191D"/>
    <w:rsid w:val="004C25D9"/>
    <w:rsid w:val="004C26B8"/>
    <w:rsid w:val="004C2A05"/>
    <w:rsid w:val="004C348C"/>
    <w:rsid w:val="004C3840"/>
    <w:rsid w:val="004C4164"/>
    <w:rsid w:val="004C4A39"/>
    <w:rsid w:val="004C4EF0"/>
    <w:rsid w:val="004C5B4F"/>
    <w:rsid w:val="004C782F"/>
    <w:rsid w:val="004C7E85"/>
    <w:rsid w:val="004C7F3A"/>
    <w:rsid w:val="004D1F27"/>
    <w:rsid w:val="004D35A9"/>
    <w:rsid w:val="004D3BCE"/>
    <w:rsid w:val="004D3CD9"/>
    <w:rsid w:val="004D4397"/>
    <w:rsid w:val="004D4D70"/>
    <w:rsid w:val="004D55BA"/>
    <w:rsid w:val="004D6361"/>
    <w:rsid w:val="004D6F78"/>
    <w:rsid w:val="004D729A"/>
    <w:rsid w:val="004D75AF"/>
    <w:rsid w:val="004D7E63"/>
    <w:rsid w:val="004D7FD4"/>
    <w:rsid w:val="004E1406"/>
    <w:rsid w:val="004E2495"/>
    <w:rsid w:val="004E24A6"/>
    <w:rsid w:val="004E2FF5"/>
    <w:rsid w:val="004E317C"/>
    <w:rsid w:val="004E435A"/>
    <w:rsid w:val="004E533A"/>
    <w:rsid w:val="004E71D5"/>
    <w:rsid w:val="004E7902"/>
    <w:rsid w:val="004F05A8"/>
    <w:rsid w:val="004F0F0B"/>
    <w:rsid w:val="004F1594"/>
    <w:rsid w:val="004F21E8"/>
    <w:rsid w:val="004F2A25"/>
    <w:rsid w:val="004F31AF"/>
    <w:rsid w:val="004F3867"/>
    <w:rsid w:val="004F3984"/>
    <w:rsid w:val="004F4C23"/>
    <w:rsid w:val="004F50F3"/>
    <w:rsid w:val="004F53D0"/>
    <w:rsid w:val="004F5902"/>
    <w:rsid w:val="004F683A"/>
    <w:rsid w:val="004F793D"/>
    <w:rsid w:val="004F7BB5"/>
    <w:rsid w:val="0050014C"/>
    <w:rsid w:val="00500185"/>
    <w:rsid w:val="00501BFE"/>
    <w:rsid w:val="00502DAE"/>
    <w:rsid w:val="00502DDD"/>
    <w:rsid w:val="005038DB"/>
    <w:rsid w:val="0050561D"/>
    <w:rsid w:val="0050642B"/>
    <w:rsid w:val="00506952"/>
    <w:rsid w:val="0051024D"/>
    <w:rsid w:val="005110AA"/>
    <w:rsid w:val="005112FC"/>
    <w:rsid w:val="0051155F"/>
    <w:rsid w:val="00511D8A"/>
    <w:rsid w:val="005137B7"/>
    <w:rsid w:val="00514412"/>
    <w:rsid w:val="0051454F"/>
    <w:rsid w:val="005154D5"/>
    <w:rsid w:val="005167C2"/>
    <w:rsid w:val="00517487"/>
    <w:rsid w:val="00520038"/>
    <w:rsid w:val="005222C2"/>
    <w:rsid w:val="00523B91"/>
    <w:rsid w:val="00524DA8"/>
    <w:rsid w:val="00525E48"/>
    <w:rsid w:val="0052676E"/>
    <w:rsid w:val="00527469"/>
    <w:rsid w:val="00527F5E"/>
    <w:rsid w:val="00530128"/>
    <w:rsid w:val="00532467"/>
    <w:rsid w:val="00532FF8"/>
    <w:rsid w:val="00533115"/>
    <w:rsid w:val="00534151"/>
    <w:rsid w:val="005344E8"/>
    <w:rsid w:val="00535AE5"/>
    <w:rsid w:val="00535E69"/>
    <w:rsid w:val="0053694A"/>
    <w:rsid w:val="00536A1A"/>
    <w:rsid w:val="005375A1"/>
    <w:rsid w:val="00537A22"/>
    <w:rsid w:val="00540749"/>
    <w:rsid w:val="005418CC"/>
    <w:rsid w:val="00543262"/>
    <w:rsid w:val="0054370E"/>
    <w:rsid w:val="00543879"/>
    <w:rsid w:val="005447CD"/>
    <w:rsid w:val="00544A36"/>
    <w:rsid w:val="00544A38"/>
    <w:rsid w:val="00544D4C"/>
    <w:rsid w:val="0054789B"/>
    <w:rsid w:val="00547CCF"/>
    <w:rsid w:val="00550A68"/>
    <w:rsid w:val="00551B1D"/>
    <w:rsid w:val="00551C39"/>
    <w:rsid w:val="005544CD"/>
    <w:rsid w:val="0055496E"/>
    <w:rsid w:val="00554E54"/>
    <w:rsid w:val="0055548C"/>
    <w:rsid w:val="00555923"/>
    <w:rsid w:val="005567D6"/>
    <w:rsid w:val="00556C75"/>
    <w:rsid w:val="005615B6"/>
    <w:rsid w:val="00562777"/>
    <w:rsid w:val="00562A53"/>
    <w:rsid w:val="00564246"/>
    <w:rsid w:val="00564A4D"/>
    <w:rsid w:val="00564E03"/>
    <w:rsid w:val="005661D4"/>
    <w:rsid w:val="005676DB"/>
    <w:rsid w:val="00570CDD"/>
    <w:rsid w:val="00571989"/>
    <w:rsid w:val="00571B35"/>
    <w:rsid w:val="00571C9F"/>
    <w:rsid w:val="0057304E"/>
    <w:rsid w:val="0057329B"/>
    <w:rsid w:val="00573C45"/>
    <w:rsid w:val="005748F8"/>
    <w:rsid w:val="00574A94"/>
    <w:rsid w:val="00574C3B"/>
    <w:rsid w:val="00575156"/>
    <w:rsid w:val="005755D9"/>
    <w:rsid w:val="00575D70"/>
    <w:rsid w:val="00575FCF"/>
    <w:rsid w:val="00576842"/>
    <w:rsid w:val="00577635"/>
    <w:rsid w:val="0057797A"/>
    <w:rsid w:val="00577A09"/>
    <w:rsid w:val="00580347"/>
    <w:rsid w:val="0058183A"/>
    <w:rsid w:val="00582B16"/>
    <w:rsid w:val="00583876"/>
    <w:rsid w:val="00584706"/>
    <w:rsid w:val="00584C01"/>
    <w:rsid w:val="00584D8F"/>
    <w:rsid w:val="00586048"/>
    <w:rsid w:val="0058662C"/>
    <w:rsid w:val="00586995"/>
    <w:rsid w:val="00586B35"/>
    <w:rsid w:val="00586DEB"/>
    <w:rsid w:val="00586EDA"/>
    <w:rsid w:val="005879E7"/>
    <w:rsid w:val="00590ABE"/>
    <w:rsid w:val="00591944"/>
    <w:rsid w:val="00593DAC"/>
    <w:rsid w:val="0059507F"/>
    <w:rsid w:val="0059555B"/>
    <w:rsid w:val="00596D42"/>
    <w:rsid w:val="0059724D"/>
    <w:rsid w:val="00597749"/>
    <w:rsid w:val="005A1874"/>
    <w:rsid w:val="005A23E5"/>
    <w:rsid w:val="005A2FA7"/>
    <w:rsid w:val="005A3678"/>
    <w:rsid w:val="005A404D"/>
    <w:rsid w:val="005A410A"/>
    <w:rsid w:val="005A4597"/>
    <w:rsid w:val="005A46AD"/>
    <w:rsid w:val="005A4BF9"/>
    <w:rsid w:val="005A52A1"/>
    <w:rsid w:val="005A66E5"/>
    <w:rsid w:val="005A76C8"/>
    <w:rsid w:val="005B0085"/>
    <w:rsid w:val="005B00E1"/>
    <w:rsid w:val="005B09C1"/>
    <w:rsid w:val="005B0D13"/>
    <w:rsid w:val="005B0E3F"/>
    <w:rsid w:val="005B1E3C"/>
    <w:rsid w:val="005B29EA"/>
    <w:rsid w:val="005B2A1E"/>
    <w:rsid w:val="005B302F"/>
    <w:rsid w:val="005B3747"/>
    <w:rsid w:val="005B3D6E"/>
    <w:rsid w:val="005B5125"/>
    <w:rsid w:val="005B5D73"/>
    <w:rsid w:val="005B5E80"/>
    <w:rsid w:val="005B61E6"/>
    <w:rsid w:val="005B792E"/>
    <w:rsid w:val="005C00D7"/>
    <w:rsid w:val="005C03C0"/>
    <w:rsid w:val="005C1B95"/>
    <w:rsid w:val="005C1BDF"/>
    <w:rsid w:val="005C1ECB"/>
    <w:rsid w:val="005C26CC"/>
    <w:rsid w:val="005C45BC"/>
    <w:rsid w:val="005C4758"/>
    <w:rsid w:val="005C4C99"/>
    <w:rsid w:val="005C50CD"/>
    <w:rsid w:val="005C51F3"/>
    <w:rsid w:val="005C5DE1"/>
    <w:rsid w:val="005C5E70"/>
    <w:rsid w:val="005C5E74"/>
    <w:rsid w:val="005C5F32"/>
    <w:rsid w:val="005C64FD"/>
    <w:rsid w:val="005C7689"/>
    <w:rsid w:val="005C7FC2"/>
    <w:rsid w:val="005D0351"/>
    <w:rsid w:val="005D07F2"/>
    <w:rsid w:val="005D10B8"/>
    <w:rsid w:val="005D17CC"/>
    <w:rsid w:val="005D267F"/>
    <w:rsid w:val="005D2C4D"/>
    <w:rsid w:val="005D2ED2"/>
    <w:rsid w:val="005D326E"/>
    <w:rsid w:val="005D34D3"/>
    <w:rsid w:val="005D3F3D"/>
    <w:rsid w:val="005D40CE"/>
    <w:rsid w:val="005D46A3"/>
    <w:rsid w:val="005D47F9"/>
    <w:rsid w:val="005D653D"/>
    <w:rsid w:val="005D6D08"/>
    <w:rsid w:val="005D75C3"/>
    <w:rsid w:val="005D79AA"/>
    <w:rsid w:val="005E0344"/>
    <w:rsid w:val="005E09DF"/>
    <w:rsid w:val="005E1CDB"/>
    <w:rsid w:val="005E366B"/>
    <w:rsid w:val="005E4670"/>
    <w:rsid w:val="005E572F"/>
    <w:rsid w:val="005E5C5B"/>
    <w:rsid w:val="005E699B"/>
    <w:rsid w:val="005E6C0E"/>
    <w:rsid w:val="005F09FB"/>
    <w:rsid w:val="005F1F9A"/>
    <w:rsid w:val="005F2FC8"/>
    <w:rsid w:val="005F480D"/>
    <w:rsid w:val="005F5823"/>
    <w:rsid w:val="005F5B97"/>
    <w:rsid w:val="005F715A"/>
    <w:rsid w:val="00600324"/>
    <w:rsid w:val="00600B9D"/>
    <w:rsid w:val="0060345F"/>
    <w:rsid w:val="00603462"/>
    <w:rsid w:val="006034C1"/>
    <w:rsid w:val="00605227"/>
    <w:rsid w:val="00607105"/>
    <w:rsid w:val="0060767A"/>
    <w:rsid w:val="00607D6F"/>
    <w:rsid w:val="00610BB7"/>
    <w:rsid w:val="00611133"/>
    <w:rsid w:val="00611940"/>
    <w:rsid w:val="006127B9"/>
    <w:rsid w:val="006134A3"/>
    <w:rsid w:val="00614459"/>
    <w:rsid w:val="006149AC"/>
    <w:rsid w:val="00614B7A"/>
    <w:rsid w:val="00615832"/>
    <w:rsid w:val="00615AF5"/>
    <w:rsid w:val="00615C6B"/>
    <w:rsid w:val="00617AF9"/>
    <w:rsid w:val="00617BCD"/>
    <w:rsid w:val="00620C0B"/>
    <w:rsid w:val="00620DEA"/>
    <w:rsid w:val="006213E5"/>
    <w:rsid w:val="006223C1"/>
    <w:rsid w:val="00622FE2"/>
    <w:rsid w:val="006238EE"/>
    <w:rsid w:val="00623FB0"/>
    <w:rsid w:val="0062486C"/>
    <w:rsid w:val="0062501C"/>
    <w:rsid w:val="006254DB"/>
    <w:rsid w:val="00626036"/>
    <w:rsid w:val="00626E78"/>
    <w:rsid w:val="00630C2A"/>
    <w:rsid w:val="0063289F"/>
    <w:rsid w:val="00632A07"/>
    <w:rsid w:val="00632C4C"/>
    <w:rsid w:val="00632D6D"/>
    <w:rsid w:val="0063327B"/>
    <w:rsid w:val="0063462B"/>
    <w:rsid w:val="00635928"/>
    <w:rsid w:val="00635B54"/>
    <w:rsid w:val="006361FA"/>
    <w:rsid w:val="00637763"/>
    <w:rsid w:val="006379E8"/>
    <w:rsid w:val="00641253"/>
    <w:rsid w:val="0064133B"/>
    <w:rsid w:val="00642C3E"/>
    <w:rsid w:val="00644637"/>
    <w:rsid w:val="006446EE"/>
    <w:rsid w:val="00644C65"/>
    <w:rsid w:val="00644E8D"/>
    <w:rsid w:val="006452A6"/>
    <w:rsid w:val="006460B6"/>
    <w:rsid w:val="006470A3"/>
    <w:rsid w:val="006503D2"/>
    <w:rsid w:val="00652251"/>
    <w:rsid w:val="0065723B"/>
    <w:rsid w:val="00657F4C"/>
    <w:rsid w:val="0066063B"/>
    <w:rsid w:val="00662F2D"/>
    <w:rsid w:val="00663DAD"/>
    <w:rsid w:val="00664411"/>
    <w:rsid w:val="006673D9"/>
    <w:rsid w:val="00667F1A"/>
    <w:rsid w:val="00671AE7"/>
    <w:rsid w:val="006749AE"/>
    <w:rsid w:val="00674C9A"/>
    <w:rsid w:val="006756C6"/>
    <w:rsid w:val="00675A89"/>
    <w:rsid w:val="00676679"/>
    <w:rsid w:val="00677768"/>
    <w:rsid w:val="00677792"/>
    <w:rsid w:val="00677CEB"/>
    <w:rsid w:val="006814E7"/>
    <w:rsid w:val="00681D08"/>
    <w:rsid w:val="00682FF9"/>
    <w:rsid w:val="00683391"/>
    <w:rsid w:val="0068367B"/>
    <w:rsid w:val="00684747"/>
    <w:rsid w:val="00685927"/>
    <w:rsid w:val="00685C9A"/>
    <w:rsid w:val="0068653B"/>
    <w:rsid w:val="00687545"/>
    <w:rsid w:val="0068756B"/>
    <w:rsid w:val="00687F39"/>
    <w:rsid w:val="006901C9"/>
    <w:rsid w:val="00690610"/>
    <w:rsid w:val="00690E32"/>
    <w:rsid w:val="0069118F"/>
    <w:rsid w:val="0069210F"/>
    <w:rsid w:val="00693A59"/>
    <w:rsid w:val="00693B8B"/>
    <w:rsid w:val="006942F5"/>
    <w:rsid w:val="006943FA"/>
    <w:rsid w:val="0069590A"/>
    <w:rsid w:val="00695A67"/>
    <w:rsid w:val="00696089"/>
    <w:rsid w:val="006A1038"/>
    <w:rsid w:val="006A190F"/>
    <w:rsid w:val="006A272E"/>
    <w:rsid w:val="006A3536"/>
    <w:rsid w:val="006A386F"/>
    <w:rsid w:val="006A4545"/>
    <w:rsid w:val="006A5CA9"/>
    <w:rsid w:val="006A6F39"/>
    <w:rsid w:val="006A7571"/>
    <w:rsid w:val="006A7A4A"/>
    <w:rsid w:val="006B0302"/>
    <w:rsid w:val="006B344E"/>
    <w:rsid w:val="006B3989"/>
    <w:rsid w:val="006B3C72"/>
    <w:rsid w:val="006B4104"/>
    <w:rsid w:val="006B4CD3"/>
    <w:rsid w:val="006B4CF9"/>
    <w:rsid w:val="006B5E43"/>
    <w:rsid w:val="006B63E0"/>
    <w:rsid w:val="006B6EE4"/>
    <w:rsid w:val="006B7605"/>
    <w:rsid w:val="006B7AC8"/>
    <w:rsid w:val="006C13FA"/>
    <w:rsid w:val="006C25A1"/>
    <w:rsid w:val="006C2E50"/>
    <w:rsid w:val="006C38E1"/>
    <w:rsid w:val="006C3A5F"/>
    <w:rsid w:val="006C46B3"/>
    <w:rsid w:val="006C48DD"/>
    <w:rsid w:val="006C4B19"/>
    <w:rsid w:val="006C4FDE"/>
    <w:rsid w:val="006C62E9"/>
    <w:rsid w:val="006C71AA"/>
    <w:rsid w:val="006C727B"/>
    <w:rsid w:val="006C787F"/>
    <w:rsid w:val="006D01C5"/>
    <w:rsid w:val="006D0A95"/>
    <w:rsid w:val="006D1A18"/>
    <w:rsid w:val="006D39E6"/>
    <w:rsid w:val="006D4357"/>
    <w:rsid w:val="006D46F4"/>
    <w:rsid w:val="006D4942"/>
    <w:rsid w:val="006D4E2C"/>
    <w:rsid w:val="006D50B6"/>
    <w:rsid w:val="006D550F"/>
    <w:rsid w:val="006D55FA"/>
    <w:rsid w:val="006D6AA3"/>
    <w:rsid w:val="006D6E89"/>
    <w:rsid w:val="006D70A1"/>
    <w:rsid w:val="006D77F3"/>
    <w:rsid w:val="006D7EBB"/>
    <w:rsid w:val="006E02B4"/>
    <w:rsid w:val="006E03E2"/>
    <w:rsid w:val="006E07EC"/>
    <w:rsid w:val="006E0C74"/>
    <w:rsid w:val="006E0F7B"/>
    <w:rsid w:val="006E1C15"/>
    <w:rsid w:val="006E1DAA"/>
    <w:rsid w:val="006E3374"/>
    <w:rsid w:val="006E3C7D"/>
    <w:rsid w:val="006E5287"/>
    <w:rsid w:val="006E5626"/>
    <w:rsid w:val="006E698B"/>
    <w:rsid w:val="006E7748"/>
    <w:rsid w:val="006E7F1D"/>
    <w:rsid w:val="006F070B"/>
    <w:rsid w:val="006F26A8"/>
    <w:rsid w:val="006F28F2"/>
    <w:rsid w:val="006F315F"/>
    <w:rsid w:val="006F512F"/>
    <w:rsid w:val="006F6046"/>
    <w:rsid w:val="006F6539"/>
    <w:rsid w:val="006F71B2"/>
    <w:rsid w:val="006F784E"/>
    <w:rsid w:val="0070073D"/>
    <w:rsid w:val="00700D08"/>
    <w:rsid w:val="00701907"/>
    <w:rsid w:val="00701BE0"/>
    <w:rsid w:val="00701CAB"/>
    <w:rsid w:val="00701D48"/>
    <w:rsid w:val="007029D9"/>
    <w:rsid w:val="007038B2"/>
    <w:rsid w:val="00703BE6"/>
    <w:rsid w:val="007040D4"/>
    <w:rsid w:val="00704E4C"/>
    <w:rsid w:val="00706AA6"/>
    <w:rsid w:val="0070721F"/>
    <w:rsid w:val="00707563"/>
    <w:rsid w:val="007105E5"/>
    <w:rsid w:val="007109AC"/>
    <w:rsid w:val="00711394"/>
    <w:rsid w:val="0071160C"/>
    <w:rsid w:val="007119D5"/>
    <w:rsid w:val="0071244C"/>
    <w:rsid w:val="007139E9"/>
    <w:rsid w:val="00713EE6"/>
    <w:rsid w:val="007141ED"/>
    <w:rsid w:val="007145FB"/>
    <w:rsid w:val="0071589D"/>
    <w:rsid w:val="00715D90"/>
    <w:rsid w:val="00715EEA"/>
    <w:rsid w:val="007174A0"/>
    <w:rsid w:val="00717B57"/>
    <w:rsid w:val="007206D8"/>
    <w:rsid w:val="00722DF0"/>
    <w:rsid w:val="0072348C"/>
    <w:rsid w:val="0072465F"/>
    <w:rsid w:val="00724A37"/>
    <w:rsid w:val="00724E8D"/>
    <w:rsid w:val="0072546B"/>
    <w:rsid w:val="00726416"/>
    <w:rsid w:val="00726D42"/>
    <w:rsid w:val="00727064"/>
    <w:rsid w:val="00730341"/>
    <w:rsid w:val="007303C3"/>
    <w:rsid w:val="007306A0"/>
    <w:rsid w:val="007309F2"/>
    <w:rsid w:val="007316B2"/>
    <w:rsid w:val="007328A4"/>
    <w:rsid w:val="00733D0D"/>
    <w:rsid w:val="007340DB"/>
    <w:rsid w:val="007342CF"/>
    <w:rsid w:val="00734FBC"/>
    <w:rsid w:val="00735808"/>
    <w:rsid w:val="0073583B"/>
    <w:rsid w:val="0073591B"/>
    <w:rsid w:val="0074003D"/>
    <w:rsid w:val="0074193B"/>
    <w:rsid w:val="00742977"/>
    <w:rsid w:val="00743223"/>
    <w:rsid w:val="00744E3B"/>
    <w:rsid w:val="0074516B"/>
    <w:rsid w:val="00745B91"/>
    <w:rsid w:val="007463BC"/>
    <w:rsid w:val="00746E01"/>
    <w:rsid w:val="00747562"/>
    <w:rsid w:val="00747F6A"/>
    <w:rsid w:val="00750E5E"/>
    <w:rsid w:val="00751879"/>
    <w:rsid w:val="0075225E"/>
    <w:rsid w:val="007522CD"/>
    <w:rsid w:val="0075254F"/>
    <w:rsid w:val="007525BE"/>
    <w:rsid w:val="007525D3"/>
    <w:rsid w:val="00752791"/>
    <w:rsid w:val="00752F2D"/>
    <w:rsid w:val="00755451"/>
    <w:rsid w:val="00755767"/>
    <w:rsid w:val="00755E65"/>
    <w:rsid w:val="007560F7"/>
    <w:rsid w:val="00757273"/>
    <w:rsid w:val="0075744E"/>
    <w:rsid w:val="0076061A"/>
    <w:rsid w:val="007612C8"/>
    <w:rsid w:val="0076136F"/>
    <w:rsid w:val="007613E2"/>
    <w:rsid w:val="0076147E"/>
    <w:rsid w:val="007615F4"/>
    <w:rsid w:val="0076178D"/>
    <w:rsid w:val="00761BDF"/>
    <w:rsid w:val="00763052"/>
    <w:rsid w:val="007633CC"/>
    <w:rsid w:val="00763779"/>
    <w:rsid w:val="00763E5D"/>
    <w:rsid w:val="0076418C"/>
    <w:rsid w:val="00764A75"/>
    <w:rsid w:val="00765C49"/>
    <w:rsid w:val="0076696B"/>
    <w:rsid w:val="00767740"/>
    <w:rsid w:val="007703AC"/>
    <w:rsid w:val="007711FF"/>
    <w:rsid w:val="00772291"/>
    <w:rsid w:val="0077263F"/>
    <w:rsid w:val="00772ACD"/>
    <w:rsid w:val="00772CFF"/>
    <w:rsid w:val="00772DEE"/>
    <w:rsid w:val="00772F54"/>
    <w:rsid w:val="00775B8A"/>
    <w:rsid w:val="00775D13"/>
    <w:rsid w:val="00776227"/>
    <w:rsid w:val="00776867"/>
    <w:rsid w:val="00776AD6"/>
    <w:rsid w:val="007774E6"/>
    <w:rsid w:val="007776EF"/>
    <w:rsid w:val="00777EE6"/>
    <w:rsid w:val="0078003E"/>
    <w:rsid w:val="00780A89"/>
    <w:rsid w:val="00780E3D"/>
    <w:rsid w:val="0078117D"/>
    <w:rsid w:val="007816CD"/>
    <w:rsid w:val="00781C4D"/>
    <w:rsid w:val="00782EEA"/>
    <w:rsid w:val="007831E1"/>
    <w:rsid w:val="00784137"/>
    <w:rsid w:val="00784B27"/>
    <w:rsid w:val="00784C92"/>
    <w:rsid w:val="00785796"/>
    <w:rsid w:val="007863FA"/>
    <w:rsid w:val="007867A8"/>
    <w:rsid w:val="00787637"/>
    <w:rsid w:val="0078783A"/>
    <w:rsid w:val="00787DAF"/>
    <w:rsid w:val="0079058A"/>
    <w:rsid w:val="00791169"/>
    <w:rsid w:val="00791A17"/>
    <w:rsid w:val="0079306F"/>
    <w:rsid w:val="00793719"/>
    <w:rsid w:val="00793F4A"/>
    <w:rsid w:val="00794FC2"/>
    <w:rsid w:val="007950CB"/>
    <w:rsid w:val="0079673F"/>
    <w:rsid w:val="007970A9"/>
    <w:rsid w:val="00797526"/>
    <w:rsid w:val="00797AA6"/>
    <w:rsid w:val="007A09DC"/>
    <w:rsid w:val="007A1F56"/>
    <w:rsid w:val="007A2A4A"/>
    <w:rsid w:val="007A3601"/>
    <w:rsid w:val="007A3DE8"/>
    <w:rsid w:val="007A4EFA"/>
    <w:rsid w:val="007A5076"/>
    <w:rsid w:val="007A5088"/>
    <w:rsid w:val="007A59B8"/>
    <w:rsid w:val="007A7FD7"/>
    <w:rsid w:val="007B10B7"/>
    <w:rsid w:val="007B21E6"/>
    <w:rsid w:val="007B28FA"/>
    <w:rsid w:val="007B2C72"/>
    <w:rsid w:val="007B3282"/>
    <w:rsid w:val="007B3EDA"/>
    <w:rsid w:val="007B4199"/>
    <w:rsid w:val="007B430B"/>
    <w:rsid w:val="007B45F0"/>
    <w:rsid w:val="007B4BD9"/>
    <w:rsid w:val="007B5A38"/>
    <w:rsid w:val="007B62A0"/>
    <w:rsid w:val="007B6AB3"/>
    <w:rsid w:val="007C1968"/>
    <w:rsid w:val="007C1BBC"/>
    <w:rsid w:val="007C1C53"/>
    <w:rsid w:val="007C231B"/>
    <w:rsid w:val="007C37DE"/>
    <w:rsid w:val="007C4101"/>
    <w:rsid w:val="007C4529"/>
    <w:rsid w:val="007C4B8F"/>
    <w:rsid w:val="007C4E38"/>
    <w:rsid w:val="007C5550"/>
    <w:rsid w:val="007C5DA2"/>
    <w:rsid w:val="007D0315"/>
    <w:rsid w:val="007D16D0"/>
    <w:rsid w:val="007D2ACF"/>
    <w:rsid w:val="007D2C51"/>
    <w:rsid w:val="007D3D6E"/>
    <w:rsid w:val="007D5B7A"/>
    <w:rsid w:val="007D71F8"/>
    <w:rsid w:val="007E0518"/>
    <w:rsid w:val="007E2191"/>
    <w:rsid w:val="007E26A9"/>
    <w:rsid w:val="007E3706"/>
    <w:rsid w:val="007E4904"/>
    <w:rsid w:val="007E49BE"/>
    <w:rsid w:val="007E4CB5"/>
    <w:rsid w:val="007E5519"/>
    <w:rsid w:val="007E560D"/>
    <w:rsid w:val="007E581E"/>
    <w:rsid w:val="007E5C9B"/>
    <w:rsid w:val="007E5DC6"/>
    <w:rsid w:val="007E753E"/>
    <w:rsid w:val="007F066B"/>
    <w:rsid w:val="007F07B8"/>
    <w:rsid w:val="007F0D1F"/>
    <w:rsid w:val="007F11CC"/>
    <w:rsid w:val="007F2A88"/>
    <w:rsid w:val="007F4A36"/>
    <w:rsid w:val="007F4F91"/>
    <w:rsid w:val="007F5D9B"/>
    <w:rsid w:val="007F5E2C"/>
    <w:rsid w:val="007F6992"/>
    <w:rsid w:val="007F7C3C"/>
    <w:rsid w:val="0080056F"/>
    <w:rsid w:val="00801207"/>
    <w:rsid w:val="00801255"/>
    <w:rsid w:val="0080208C"/>
    <w:rsid w:val="008022DF"/>
    <w:rsid w:val="008033C4"/>
    <w:rsid w:val="00804464"/>
    <w:rsid w:val="0080453A"/>
    <w:rsid w:val="00804D72"/>
    <w:rsid w:val="00806117"/>
    <w:rsid w:val="00806523"/>
    <w:rsid w:val="0080695E"/>
    <w:rsid w:val="00806C88"/>
    <w:rsid w:val="008073EA"/>
    <w:rsid w:val="0081034E"/>
    <w:rsid w:val="008113D7"/>
    <w:rsid w:val="008116F6"/>
    <w:rsid w:val="00813D24"/>
    <w:rsid w:val="00813FD5"/>
    <w:rsid w:val="00814D79"/>
    <w:rsid w:val="008154D6"/>
    <w:rsid w:val="008158BF"/>
    <w:rsid w:val="0081591E"/>
    <w:rsid w:val="0081689F"/>
    <w:rsid w:val="00816EC3"/>
    <w:rsid w:val="008171D3"/>
    <w:rsid w:val="00817C29"/>
    <w:rsid w:val="008205E2"/>
    <w:rsid w:val="00820865"/>
    <w:rsid w:val="00820EFB"/>
    <w:rsid w:val="00822AAD"/>
    <w:rsid w:val="00822CCA"/>
    <w:rsid w:val="00823B6C"/>
    <w:rsid w:val="00823FC7"/>
    <w:rsid w:val="00824946"/>
    <w:rsid w:val="00824DB8"/>
    <w:rsid w:val="00826284"/>
    <w:rsid w:val="0082678A"/>
    <w:rsid w:val="00827AFF"/>
    <w:rsid w:val="00831B8E"/>
    <w:rsid w:val="00833185"/>
    <w:rsid w:val="00833C23"/>
    <w:rsid w:val="00833DD6"/>
    <w:rsid w:val="008343B9"/>
    <w:rsid w:val="008344F6"/>
    <w:rsid w:val="00834AEC"/>
    <w:rsid w:val="00834B16"/>
    <w:rsid w:val="0083510F"/>
    <w:rsid w:val="008365F2"/>
    <w:rsid w:val="00836C20"/>
    <w:rsid w:val="008375B9"/>
    <w:rsid w:val="00840B0D"/>
    <w:rsid w:val="00840BFF"/>
    <w:rsid w:val="00840F67"/>
    <w:rsid w:val="00843DE3"/>
    <w:rsid w:val="00843E15"/>
    <w:rsid w:val="00845416"/>
    <w:rsid w:val="008454B5"/>
    <w:rsid w:val="00845504"/>
    <w:rsid w:val="008455FE"/>
    <w:rsid w:val="00846009"/>
    <w:rsid w:val="0084636C"/>
    <w:rsid w:val="008465F9"/>
    <w:rsid w:val="00846C05"/>
    <w:rsid w:val="00847337"/>
    <w:rsid w:val="00850179"/>
    <w:rsid w:val="00850276"/>
    <w:rsid w:val="008509F0"/>
    <w:rsid w:val="00851209"/>
    <w:rsid w:val="008517A4"/>
    <w:rsid w:val="00853E6F"/>
    <w:rsid w:val="00853E95"/>
    <w:rsid w:val="008550BE"/>
    <w:rsid w:val="00855D47"/>
    <w:rsid w:val="00855F09"/>
    <w:rsid w:val="00855FF2"/>
    <w:rsid w:val="00856322"/>
    <w:rsid w:val="0085693F"/>
    <w:rsid w:val="00856E3A"/>
    <w:rsid w:val="00857101"/>
    <w:rsid w:val="0086100D"/>
    <w:rsid w:val="00861FF6"/>
    <w:rsid w:val="00862524"/>
    <w:rsid w:val="008636C4"/>
    <w:rsid w:val="00864104"/>
    <w:rsid w:val="00865089"/>
    <w:rsid w:val="00865585"/>
    <w:rsid w:val="00866163"/>
    <w:rsid w:val="008671D0"/>
    <w:rsid w:val="0087083D"/>
    <w:rsid w:val="00871B60"/>
    <w:rsid w:val="00871B95"/>
    <w:rsid w:val="00872296"/>
    <w:rsid w:val="008748B3"/>
    <w:rsid w:val="00875FA6"/>
    <w:rsid w:val="00877314"/>
    <w:rsid w:val="0088007E"/>
    <w:rsid w:val="008800DA"/>
    <w:rsid w:val="00880115"/>
    <w:rsid w:val="008837AC"/>
    <w:rsid w:val="008839D5"/>
    <w:rsid w:val="0088533A"/>
    <w:rsid w:val="00885813"/>
    <w:rsid w:val="008859FA"/>
    <w:rsid w:val="00886B1E"/>
    <w:rsid w:val="008908F0"/>
    <w:rsid w:val="00890FBC"/>
    <w:rsid w:val="008924D5"/>
    <w:rsid w:val="008945B4"/>
    <w:rsid w:val="00894A3C"/>
    <w:rsid w:val="00895C07"/>
    <w:rsid w:val="0089678D"/>
    <w:rsid w:val="008968CF"/>
    <w:rsid w:val="00897D12"/>
    <w:rsid w:val="00897F34"/>
    <w:rsid w:val="008A048F"/>
    <w:rsid w:val="008A083B"/>
    <w:rsid w:val="008A1E43"/>
    <w:rsid w:val="008A2366"/>
    <w:rsid w:val="008A33E6"/>
    <w:rsid w:val="008A4131"/>
    <w:rsid w:val="008A4BD1"/>
    <w:rsid w:val="008A4BE2"/>
    <w:rsid w:val="008A50C6"/>
    <w:rsid w:val="008A5136"/>
    <w:rsid w:val="008A54BA"/>
    <w:rsid w:val="008A56E1"/>
    <w:rsid w:val="008A587D"/>
    <w:rsid w:val="008B065D"/>
    <w:rsid w:val="008B1030"/>
    <w:rsid w:val="008B12AF"/>
    <w:rsid w:val="008B187F"/>
    <w:rsid w:val="008B1AE9"/>
    <w:rsid w:val="008B25B0"/>
    <w:rsid w:val="008B2737"/>
    <w:rsid w:val="008B2BBF"/>
    <w:rsid w:val="008B501C"/>
    <w:rsid w:val="008B5081"/>
    <w:rsid w:val="008B5C17"/>
    <w:rsid w:val="008B696D"/>
    <w:rsid w:val="008C14F5"/>
    <w:rsid w:val="008C185D"/>
    <w:rsid w:val="008C195B"/>
    <w:rsid w:val="008C1ABB"/>
    <w:rsid w:val="008C1B76"/>
    <w:rsid w:val="008C3F9F"/>
    <w:rsid w:val="008C53E3"/>
    <w:rsid w:val="008C5486"/>
    <w:rsid w:val="008C5F98"/>
    <w:rsid w:val="008C6204"/>
    <w:rsid w:val="008C655D"/>
    <w:rsid w:val="008C69F9"/>
    <w:rsid w:val="008C6D02"/>
    <w:rsid w:val="008C732B"/>
    <w:rsid w:val="008C7481"/>
    <w:rsid w:val="008C7D28"/>
    <w:rsid w:val="008D0773"/>
    <w:rsid w:val="008D1184"/>
    <w:rsid w:val="008D11D6"/>
    <w:rsid w:val="008D1562"/>
    <w:rsid w:val="008D16E1"/>
    <w:rsid w:val="008D18F5"/>
    <w:rsid w:val="008D1D89"/>
    <w:rsid w:val="008D3B54"/>
    <w:rsid w:val="008D47B6"/>
    <w:rsid w:val="008D4DC7"/>
    <w:rsid w:val="008D5110"/>
    <w:rsid w:val="008D589F"/>
    <w:rsid w:val="008D793D"/>
    <w:rsid w:val="008D7C2E"/>
    <w:rsid w:val="008D7DDC"/>
    <w:rsid w:val="008E1804"/>
    <w:rsid w:val="008E2D5A"/>
    <w:rsid w:val="008E6259"/>
    <w:rsid w:val="008E66C5"/>
    <w:rsid w:val="008E7031"/>
    <w:rsid w:val="008E73DA"/>
    <w:rsid w:val="008E75F3"/>
    <w:rsid w:val="008E7AB3"/>
    <w:rsid w:val="008F0492"/>
    <w:rsid w:val="008F05BD"/>
    <w:rsid w:val="008F2100"/>
    <w:rsid w:val="008F4B4D"/>
    <w:rsid w:val="008F4C94"/>
    <w:rsid w:val="008F50E1"/>
    <w:rsid w:val="008F55DE"/>
    <w:rsid w:val="008F60A5"/>
    <w:rsid w:val="008F66A5"/>
    <w:rsid w:val="009007EC"/>
    <w:rsid w:val="00900C3A"/>
    <w:rsid w:val="00903D0A"/>
    <w:rsid w:val="00904D8B"/>
    <w:rsid w:val="00905892"/>
    <w:rsid w:val="00905DC5"/>
    <w:rsid w:val="0090633C"/>
    <w:rsid w:val="00906A35"/>
    <w:rsid w:val="00907B1C"/>
    <w:rsid w:val="00907EEC"/>
    <w:rsid w:val="009104BD"/>
    <w:rsid w:val="009107D7"/>
    <w:rsid w:val="00911328"/>
    <w:rsid w:val="00911600"/>
    <w:rsid w:val="00911DB1"/>
    <w:rsid w:val="009128F8"/>
    <w:rsid w:val="00912D39"/>
    <w:rsid w:val="00913F53"/>
    <w:rsid w:val="00913F82"/>
    <w:rsid w:val="00914A74"/>
    <w:rsid w:val="00914C83"/>
    <w:rsid w:val="009150BC"/>
    <w:rsid w:val="009150D1"/>
    <w:rsid w:val="00916E24"/>
    <w:rsid w:val="00917013"/>
    <w:rsid w:val="00921022"/>
    <w:rsid w:val="009228B3"/>
    <w:rsid w:val="00922C95"/>
    <w:rsid w:val="00922D4C"/>
    <w:rsid w:val="009233EE"/>
    <w:rsid w:val="0092680B"/>
    <w:rsid w:val="00926EBA"/>
    <w:rsid w:val="00927E06"/>
    <w:rsid w:val="009300C4"/>
    <w:rsid w:val="00931024"/>
    <w:rsid w:val="009331B1"/>
    <w:rsid w:val="00933391"/>
    <w:rsid w:val="00933426"/>
    <w:rsid w:val="0093373A"/>
    <w:rsid w:val="00933CB2"/>
    <w:rsid w:val="00934164"/>
    <w:rsid w:val="00934D0A"/>
    <w:rsid w:val="00935115"/>
    <w:rsid w:val="00936A26"/>
    <w:rsid w:val="00937B5A"/>
    <w:rsid w:val="009406F4"/>
    <w:rsid w:val="00940EF4"/>
    <w:rsid w:val="009410BD"/>
    <w:rsid w:val="00941B78"/>
    <w:rsid w:val="00943EB5"/>
    <w:rsid w:val="00944499"/>
    <w:rsid w:val="009448E6"/>
    <w:rsid w:val="009449F9"/>
    <w:rsid w:val="00947E23"/>
    <w:rsid w:val="0095162B"/>
    <w:rsid w:val="009517D9"/>
    <w:rsid w:val="00951ACC"/>
    <w:rsid w:val="00952B47"/>
    <w:rsid w:val="00953282"/>
    <w:rsid w:val="009539E3"/>
    <w:rsid w:val="009542F8"/>
    <w:rsid w:val="009543E5"/>
    <w:rsid w:val="0095480E"/>
    <w:rsid w:val="009551D2"/>
    <w:rsid w:val="009555EF"/>
    <w:rsid w:val="0095719D"/>
    <w:rsid w:val="00960B0A"/>
    <w:rsid w:val="00960E46"/>
    <w:rsid w:val="00961C6B"/>
    <w:rsid w:val="009620C3"/>
    <w:rsid w:val="009632A7"/>
    <w:rsid w:val="0096370E"/>
    <w:rsid w:val="00963A20"/>
    <w:rsid w:val="00963FE1"/>
    <w:rsid w:val="00963FE5"/>
    <w:rsid w:val="0096553C"/>
    <w:rsid w:val="009655F5"/>
    <w:rsid w:val="009661DE"/>
    <w:rsid w:val="0096655A"/>
    <w:rsid w:val="009671C7"/>
    <w:rsid w:val="0097085F"/>
    <w:rsid w:val="0097153E"/>
    <w:rsid w:val="009718D4"/>
    <w:rsid w:val="009729EF"/>
    <w:rsid w:val="00972ED9"/>
    <w:rsid w:val="00973122"/>
    <w:rsid w:val="00973492"/>
    <w:rsid w:val="00974319"/>
    <w:rsid w:val="009755B6"/>
    <w:rsid w:val="00975E91"/>
    <w:rsid w:val="009770CF"/>
    <w:rsid w:val="0097735B"/>
    <w:rsid w:val="00981DE0"/>
    <w:rsid w:val="00982048"/>
    <w:rsid w:val="009822A2"/>
    <w:rsid w:val="00982B97"/>
    <w:rsid w:val="00983335"/>
    <w:rsid w:val="009836E5"/>
    <w:rsid w:val="00983707"/>
    <w:rsid w:val="009849A0"/>
    <w:rsid w:val="00984F84"/>
    <w:rsid w:val="009856B7"/>
    <w:rsid w:val="00985887"/>
    <w:rsid w:val="00985E70"/>
    <w:rsid w:val="0098602B"/>
    <w:rsid w:val="00986493"/>
    <w:rsid w:val="00986892"/>
    <w:rsid w:val="00986B34"/>
    <w:rsid w:val="0098711B"/>
    <w:rsid w:val="00987A3D"/>
    <w:rsid w:val="00987B5A"/>
    <w:rsid w:val="009906D2"/>
    <w:rsid w:val="00990B46"/>
    <w:rsid w:val="00990B5C"/>
    <w:rsid w:val="00991B3B"/>
    <w:rsid w:val="00992D3E"/>
    <w:rsid w:val="00993FAB"/>
    <w:rsid w:val="00994125"/>
    <w:rsid w:val="00994924"/>
    <w:rsid w:val="00994C2A"/>
    <w:rsid w:val="00995191"/>
    <w:rsid w:val="00995D53"/>
    <w:rsid w:val="009962BA"/>
    <w:rsid w:val="00996EB1"/>
    <w:rsid w:val="00997F0F"/>
    <w:rsid w:val="009A07A3"/>
    <w:rsid w:val="009A12BB"/>
    <w:rsid w:val="009A411D"/>
    <w:rsid w:val="009A5038"/>
    <w:rsid w:val="009A5DC7"/>
    <w:rsid w:val="009A7C76"/>
    <w:rsid w:val="009B0361"/>
    <w:rsid w:val="009B0571"/>
    <w:rsid w:val="009B0AA1"/>
    <w:rsid w:val="009B1479"/>
    <w:rsid w:val="009B16D6"/>
    <w:rsid w:val="009B1C30"/>
    <w:rsid w:val="009B31C0"/>
    <w:rsid w:val="009B32AC"/>
    <w:rsid w:val="009B3EF8"/>
    <w:rsid w:val="009B40A5"/>
    <w:rsid w:val="009B5268"/>
    <w:rsid w:val="009B5523"/>
    <w:rsid w:val="009B5945"/>
    <w:rsid w:val="009B6C79"/>
    <w:rsid w:val="009B6DF5"/>
    <w:rsid w:val="009B7325"/>
    <w:rsid w:val="009B74B0"/>
    <w:rsid w:val="009B7E3E"/>
    <w:rsid w:val="009C15AE"/>
    <w:rsid w:val="009C4016"/>
    <w:rsid w:val="009C5031"/>
    <w:rsid w:val="009C5EA1"/>
    <w:rsid w:val="009C6792"/>
    <w:rsid w:val="009C6E69"/>
    <w:rsid w:val="009C7709"/>
    <w:rsid w:val="009D01E7"/>
    <w:rsid w:val="009D03CC"/>
    <w:rsid w:val="009D0AF6"/>
    <w:rsid w:val="009D0EE0"/>
    <w:rsid w:val="009D1812"/>
    <w:rsid w:val="009D1A6F"/>
    <w:rsid w:val="009D288C"/>
    <w:rsid w:val="009D2A8F"/>
    <w:rsid w:val="009D39CB"/>
    <w:rsid w:val="009D3E44"/>
    <w:rsid w:val="009D4414"/>
    <w:rsid w:val="009D470B"/>
    <w:rsid w:val="009D5329"/>
    <w:rsid w:val="009D5D18"/>
    <w:rsid w:val="009D6B46"/>
    <w:rsid w:val="009D71F0"/>
    <w:rsid w:val="009D7583"/>
    <w:rsid w:val="009E1E7F"/>
    <w:rsid w:val="009E23AF"/>
    <w:rsid w:val="009E34BF"/>
    <w:rsid w:val="009E4A32"/>
    <w:rsid w:val="009E5550"/>
    <w:rsid w:val="009E567E"/>
    <w:rsid w:val="009E577B"/>
    <w:rsid w:val="009E5FA8"/>
    <w:rsid w:val="009E663E"/>
    <w:rsid w:val="009E67B3"/>
    <w:rsid w:val="009E7530"/>
    <w:rsid w:val="009F2A37"/>
    <w:rsid w:val="009F2BE5"/>
    <w:rsid w:val="009F4063"/>
    <w:rsid w:val="009F4940"/>
    <w:rsid w:val="009F63CF"/>
    <w:rsid w:val="009F63D3"/>
    <w:rsid w:val="009F6B4C"/>
    <w:rsid w:val="009F6EE0"/>
    <w:rsid w:val="009F7A44"/>
    <w:rsid w:val="00A003F4"/>
    <w:rsid w:val="00A0249D"/>
    <w:rsid w:val="00A02973"/>
    <w:rsid w:val="00A043CC"/>
    <w:rsid w:val="00A04577"/>
    <w:rsid w:val="00A045D0"/>
    <w:rsid w:val="00A051CF"/>
    <w:rsid w:val="00A055BB"/>
    <w:rsid w:val="00A06041"/>
    <w:rsid w:val="00A10EF5"/>
    <w:rsid w:val="00A1194C"/>
    <w:rsid w:val="00A11A2D"/>
    <w:rsid w:val="00A11FC5"/>
    <w:rsid w:val="00A123D8"/>
    <w:rsid w:val="00A126EB"/>
    <w:rsid w:val="00A140F8"/>
    <w:rsid w:val="00A14404"/>
    <w:rsid w:val="00A15A54"/>
    <w:rsid w:val="00A15F84"/>
    <w:rsid w:val="00A1600B"/>
    <w:rsid w:val="00A1665B"/>
    <w:rsid w:val="00A170C2"/>
    <w:rsid w:val="00A205AD"/>
    <w:rsid w:val="00A20686"/>
    <w:rsid w:val="00A20BAB"/>
    <w:rsid w:val="00A217E5"/>
    <w:rsid w:val="00A22511"/>
    <w:rsid w:val="00A2256E"/>
    <w:rsid w:val="00A229D1"/>
    <w:rsid w:val="00A22BB4"/>
    <w:rsid w:val="00A23B47"/>
    <w:rsid w:val="00A23E6E"/>
    <w:rsid w:val="00A248C7"/>
    <w:rsid w:val="00A24CBF"/>
    <w:rsid w:val="00A2613D"/>
    <w:rsid w:val="00A2635F"/>
    <w:rsid w:val="00A277CC"/>
    <w:rsid w:val="00A27F74"/>
    <w:rsid w:val="00A300CB"/>
    <w:rsid w:val="00A31993"/>
    <w:rsid w:val="00A31B26"/>
    <w:rsid w:val="00A32C92"/>
    <w:rsid w:val="00A32FAA"/>
    <w:rsid w:val="00A33161"/>
    <w:rsid w:val="00A33DD6"/>
    <w:rsid w:val="00A34DE1"/>
    <w:rsid w:val="00A36BCA"/>
    <w:rsid w:val="00A36FD7"/>
    <w:rsid w:val="00A37910"/>
    <w:rsid w:val="00A403EB"/>
    <w:rsid w:val="00A4203A"/>
    <w:rsid w:val="00A42A2F"/>
    <w:rsid w:val="00A42FC5"/>
    <w:rsid w:val="00A43059"/>
    <w:rsid w:val="00A43424"/>
    <w:rsid w:val="00A4478A"/>
    <w:rsid w:val="00A44852"/>
    <w:rsid w:val="00A44CCC"/>
    <w:rsid w:val="00A452F1"/>
    <w:rsid w:val="00A47A27"/>
    <w:rsid w:val="00A47F5B"/>
    <w:rsid w:val="00A5009C"/>
    <w:rsid w:val="00A510D6"/>
    <w:rsid w:val="00A5149C"/>
    <w:rsid w:val="00A52D24"/>
    <w:rsid w:val="00A5316F"/>
    <w:rsid w:val="00A539A7"/>
    <w:rsid w:val="00A55BD0"/>
    <w:rsid w:val="00A55DFC"/>
    <w:rsid w:val="00A55F83"/>
    <w:rsid w:val="00A56FB0"/>
    <w:rsid w:val="00A5792A"/>
    <w:rsid w:val="00A57D04"/>
    <w:rsid w:val="00A57F40"/>
    <w:rsid w:val="00A60961"/>
    <w:rsid w:val="00A60A26"/>
    <w:rsid w:val="00A61598"/>
    <w:rsid w:val="00A624DA"/>
    <w:rsid w:val="00A629A9"/>
    <w:rsid w:val="00A62D29"/>
    <w:rsid w:val="00A63360"/>
    <w:rsid w:val="00A63372"/>
    <w:rsid w:val="00A649E3"/>
    <w:rsid w:val="00A659BB"/>
    <w:rsid w:val="00A65E9E"/>
    <w:rsid w:val="00A66077"/>
    <w:rsid w:val="00A6658D"/>
    <w:rsid w:val="00A674FD"/>
    <w:rsid w:val="00A67626"/>
    <w:rsid w:val="00A67A7D"/>
    <w:rsid w:val="00A70147"/>
    <w:rsid w:val="00A7140F"/>
    <w:rsid w:val="00A71A61"/>
    <w:rsid w:val="00A71D56"/>
    <w:rsid w:val="00A738D8"/>
    <w:rsid w:val="00A73F5A"/>
    <w:rsid w:val="00A73F7B"/>
    <w:rsid w:val="00A7466F"/>
    <w:rsid w:val="00A75967"/>
    <w:rsid w:val="00A75D2D"/>
    <w:rsid w:val="00A7623E"/>
    <w:rsid w:val="00A7700F"/>
    <w:rsid w:val="00A77049"/>
    <w:rsid w:val="00A77D4B"/>
    <w:rsid w:val="00A8053A"/>
    <w:rsid w:val="00A81616"/>
    <w:rsid w:val="00A82701"/>
    <w:rsid w:val="00A83054"/>
    <w:rsid w:val="00A83767"/>
    <w:rsid w:val="00A8448A"/>
    <w:rsid w:val="00A84F46"/>
    <w:rsid w:val="00A8610E"/>
    <w:rsid w:val="00A868F6"/>
    <w:rsid w:val="00A86F4D"/>
    <w:rsid w:val="00A871F4"/>
    <w:rsid w:val="00A9104A"/>
    <w:rsid w:val="00A91C7F"/>
    <w:rsid w:val="00A92A1D"/>
    <w:rsid w:val="00A92D71"/>
    <w:rsid w:val="00A93244"/>
    <w:rsid w:val="00A94B56"/>
    <w:rsid w:val="00A969D1"/>
    <w:rsid w:val="00A9719D"/>
    <w:rsid w:val="00A974D6"/>
    <w:rsid w:val="00A97723"/>
    <w:rsid w:val="00AA27F6"/>
    <w:rsid w:val="00AA2971"/>
    <w:rsid w:val="00AA4106"/>
    <w:rsid w:val="00AA4D06"/>
    <w:rsid w:val="00AA6A7F"/>
    <w:rsid w:val="00AA7E86"/>
    <w:rsid w:val="00AA7FB8"/>
    <w:rsid w:val="00AB091F"/>
    <w:rsid w:val="00AB2B37"/>
    <w:rsid w:val="00AB2D14"/>
    <w:rsid w:val="00AB3924"/>
    <w:rsid w:val="00AB4068"/>
    <w:rsid w:val="00AB4FC1"/>
    <w:rsid w:val="00AB503D"/>
    <w:rsid w:val="00AB5944"/>
    <w:rsid w:val="00AB5EC4"/>
    <w:rsid w:val="00AB6321"/>
    <w:rsid w:val="00AB69A1"/>
    <w:rsid w:val="00AB7866"/>
    <w:rsid w:val="00AC0982"/>
    <w:rsid w:val="00AC1431"/>
    <w:rsid w:val="00AC1B2C"/>
    <w:rsid w:val="00AC2612"/>
    <w:rsid w:val="00AC2FBE"/>
    <w:rsid w:val="00AC30B3"/>
    <w:rsid w:val="00AC3264"/>
    <w:rsid w:val="00AC4211"/>
    <w:rsid w:val="00AC46B3"/>
    <w:rsid w:val="00AC49CE"/>
    <w:rsid w:val="00AC5064"/>
    <w:rsid w:val="00AC50A1"/>
    <w:rsid w:val="00AC5387"/>
    <w:rsid w:val="00AC5469"/>
    <w:rsid w:val="00AC62BC"/>
    <w:rsid w:val="00AC6788"/>
    <w:rsid w:val="00AC6F01"/>
    <w:rsid w:val="00AD0022"/>
    <w:rsid w:val="00AD082F"/>
    <w:rsid w:val="00AD098F"/>
    <w:rsid w:val="00AD23F9"/>
    <w:rsid w:val="00AD51E9"/>
    <w:rsid w:val="00AE07A7"/>
    <w:rsid w:val="00AE0FE2"/>
    <w:rsid w:val="00AE1BF1"/>
    <w:rsid w:val="00AE213E"/>
    <w:rsid w:val="00AE2CE3"/>
    <w:rsid w:val="00AE2D6E"/>
    <w:rsid w:val="00AE3ABD"/>
    <w:rsid w:val="00AE6087"/>
    <w:rsid w:val="00AE67BE"/>
    <w:rsid w:val="00AE75A0"/>
    <w:rsid w:val="00AF0BF1"/>
    <w:rsid w:val="00AF0DD2"/>
    <w:rsid w:val="00AF1F1E"/>
    <w:rsid w:val="00AF2E4A"/>
    <w:rsid w:val="00AF2E79"/>
    <w:rsid w:val="00AF4705"/>
    <w:rsid w:val="00AF63FF"/>
    <w:rsid w:val="00AF77F1"/>
    <w:rsid w:val="00B0009A"/>
    <w:rsid w:val="00B00844"/>
    <w:rsid w:val="00B00E15"/>
    <w:rsid w:val="00B00E31"/>
    <w:rsid w:val="00B01B7D"/>
    <w:rsid w:val="00B01C16"/>
    <w:rsid w:val="00B01C2C"/>
    <w:rsid w:val="00B035A9"/>
    <w:rsid w:val="00B03CEC"/>
    <w:rsid w:val="00B04A47"/>
    <w:rsid w:val="00B06287"/>
    <w:rsid w:val="00B06372"/>
    <w:rsid w:val="00B063B3"/>
    <w:rsid w:val="00B066BA"/>
    <w:rsid w:val="00B076FE"/>
    <w:rsid w:val="00B10314"/>
    <w:rsid w:val="00B1055A"/>
    <w:rsid w:val="00B1078F"/>
    <w:rsid w:val="00B1126B"/>
    <w:rsid w:val="00B12562"/>
    <w:rsid w:val="00B13048"/>
    <w:rsid w:val="00B13302"/>
    <w:rsid w:val="00B13392"/>
    <w:rsid w:val="00B13596"/>
    <w:rsid w:val="00B13BD6"/>
    <w:rsid w:val="00B13FAA"/>
    <w:rsid w:val="00B1414E"/>
    <w:rsid w:val="00B1510B"/>
    <w:rsid w:val="00B15366"/>
    <w:rsid w:val="00B15527"/>
    <w:rsid w:val="00B15998"/>
    <w:rsid w:val="00B160AA"/>
    <w:rsid w:val="00B16C5C"/>
    <w:rsid w:val="00B1716D"/>
    <w:rsid w:val="00B17298"/>
    <w:rsid w:val="00B17A1D"/>
    <w:rsid w:val="00B207A0"/>
    <w:rsid w:val="00B207FD"/>
    <w:rsid w:val="00B20B47"/>
    <w:rsid w:val="00B21A9D"/>
    <w:rsid w:val="00B2303C"/>
    <w:rsid w:val="00B24894"/>
    <w:rsid w:val="00B255D3"/>
    <w:rsid w:val="00B26C83"/>
    <w:rsid w:val="00B26F4B"/>
    <w:rsid w:val="00B277C3"/>
    <w:rsid w:val="00B279C8"/>
    <w:rsid w:val="00B27AF9"/>
    <w:rsid w:val="00B27F3A"/>
    <w:rsid w:val="00B27FEA"/>
    <w:rsid w:val="00B30169"/>
    <w:rsid w:val="00B30F70"/>
    <w:rsid w:val="00B318C8"/>
    <w:rsid w:val="00B325AF"/>
    <w:rsid w:val="00B32977"/>
    <w:rsid w:val="00B32A54"/>
    <w:rsid w:val="00B32D99"/>
    <w:rsid w:val="00B334A2"/>
    <w:rsid w:val="00B347F5"/>
    <w:rsid w:val="00B34DA4"/>
    <w:rsid w:val="00B34F30"/>
    <w:rsid w:val="00B363F9"/>
    <w:rsid w:val="00B36839"/>
    <w:rsid w:val="00B37264"/>
    <w:rsid w:val="00B41818"/>
    <w:rsid w:val="00B42422"/>
    <w:rsid w:val="00B42B7B"/>
    <w:rsid w:val="00B434BA"/>
    <w:rsid w:val="00B434BE"/>
    <w:rsid w:val="00B437EC"/>
    <w:rsid w:val="00B445C0"/>
    <w:rsid w:val="00B44945"/>
    <w:rsid w:val="00B451C2"/>
    <w:rsid w:val="00B4556D"/>
    <w:rsid w:val="00B465F6"/>
    <w:rsid w:val="00B50215"/>
    <w:rsid w:val="00B502E6"/>
    <w:rsid w:val="00B5034F"/>
    <w:rsid w:val="00B5040D"/>
    <w:rsid w:val="00B50812"/>
    <w:rsid w:val="00B50B53"/>
    <w:rsid w:val="00B5225F"/>
    <w:rsid w:val="00B53529"/>
    <w:rsid w:val="00B542B1"/>
    <w:rsid w:val="00B545FB"/>
    <w:rsid w:val="00B55010"/>
    <w:rsid w:val="00B55527"/>
    <w:rsid w:val="00B563A9"/>
    <w:rsid w:val="00B56E03"/>
    <w:rsid w:val="00B57009"/>
    <w:rsid w:val="00B576E4"/>
    <w:rsid w:val="00B5771E"/>
    <w:rsid w:val="00B60EA8"/>
    <w:rsid w:val="00B60F5D"/>
    <w:rsid w:val="00B61D00"/>
    <w:rsid w:val="00B6263B"/>
    <w:rsid w:val="00B6267D"/>
    <w:rsid w:val="00B62764"/>
    <w:rsid w:val="00B631D4"/>
    <w:rsid w:val="00B635B9"/>
    <w:rsid w:val="00B6444C"/>
    <w:rsid w:val="00B6460B"/>
    <w:rsid w:val="00B653A2"/>
    <w:rsid w:val="00B6548D"/>
    <w:rsid w:val="00B657D4"/>
    <w:rsid w:val="00B67997"/>
    <w:rsid w:val="00B67C4E"/>
    <w:rsid w:val="00B67E91"/>
    <w:rsid w:val="00B70778"/>
    <w:rsid w:val="00B713A9"/>
    <w:rsid w:val="00B71E72"/>
    <w:rsid w:val="00B73121"/>
    <w:rsid w:val="00B73B52"/>
    <w:rsid w:val="00B743DE"/>
    <w:rsid w:val="00B74B83"/>
    <w:rsid w:val="00B75636"/>
    <w:rsid w:val="00B7600B"/>
    <w:rsid w:val="00B773C4"/>
    <w:rsid w:val="00B77454"/>
    <w:rsid w:val="00B8080B"/>
    <w:rsid w:val="00B81DF8"/>
    <w:rsid w:val="00B826F9"/>
    <w:rsid w:val="00B8336C"/>
    <w:rsid w:val="00B84064"/>
    <w:rsid w:val="00B84395"/>
    <w:rsid w:val="00B85A7C"/>
    <w:rsid w:val="00B877B9"/>
    <w:rsid w:val="00B87C39"/>
    <w:rsid w:val="00B915BF"/>
    <w:rsid w:val="00B918C4"/>
    <w:rsid w:val="00B91EE4"/>
    <w:rsid w:val="00B92C6D"/>
    <w:rsid w:val="00B953FA"/>
    <w:rsid w:val="00B95817"/>
    <w:rsid w:val="00B96476"/>
    <w:rsid w:val="00B976B9"/>
    <w:rsid w:val="00B97D51"/>
    <w:rsid w:val="00BA0805"/>
    <w:rsid w:val="00BA0D25"/>
    <w:rsid w:val="00BA108E"/>
    <w:rsid w:val="00BA17B1"/>
    <w:rsid w:val="00BA1A65"/>
    <w:rsid w:val="00BA2918"/>
    <w:rsid w:val="00BA2BFD"/>
    <w:rsid w:val="00BA2C53"/>
    <w:rsid w:val="00BA311C"/>
    <w:rsid w:val="00BA3579"/>
    <w:rsid w:val="00BA4665"/>
    <w:rsid w:val="00BA4907"/>
    <w:rsid w:val="00BA5109"/>
    <w:rsid w:val="00BA5418"/>
    <w:rsid w:val="00BA57DD"/>
    <w:rsid w:val="00BA5C96"/>
    <w:rsid w:val="00BA6313"/>
    <w:rsid w:val="00BB0856"/>
    <w:rsid w:val="00BB0F7D"/>
    <w:rsid w:val="00BB2C82"/>
    <w:rsid w:val="00BB2FB2"/>
    <w:rsid w:val="00BB3304"/>
    <w:rsid w:val="00BB40E1"/>
    <w:rsid w:val="00BB42DC"/>
    <w:rsid w:val="00BB7987"/>
    <w:rsid w:val="00BC094E"/>
    <w:rsid w:val="00BC0A57"/>
    <w:rsid w:val="00BC0AFA"/>
    <w:rsid w:val="00BC0F46"/>
    <w:rsid w:val="00BC13D8"/>
    <w:rsid w:val="00BC1455"/>
    <w:rsid w:val="00BC24E6"/>
    <w:rsid w:val="00BC4C61"/>
    <w:rsid w:val="00BC4D6F"/>
    <w:rsid w:val="00BC4D83"/>
    <w:rsid w:val="00BC4E92"/>
    <w:rsid w:val="00BC5C69"/>
    <w:rsid w:val="00BC639F"/>
    <w:rsid w:val="00BC66B6"/>
    <w:rsid w:val="00BC74E7"/>
    <w:rsid w:val="00BC79B7"/>
    <w:rsid w:val="00BD0B6F"/>
    <w:rsid w:val="00BD15A1"/>
    <w:rsid w:val="00BD3097"/>
    <w:rsid w:val="00BD3446"/>
    <w:rsid w:val="00BD3A15"/>
    <w:rsid w:val="00BD3FA6"/>
    <w:rsid w:val="00BD4E61"/>
    <w:rsid w:val="00BD6CBE"/>
    <w:rsid w:val="00BD70ED"/>
    <w:rsid w:val="00BE0002"/>
    <w:rsid w:val="00BE065D"/>
    <w:rsid w:val="00BE1F1B"/>
    <w:rsid w:val="00BE1F90"/>
    <w:rsid w:val="00BE214A"/>
    <w:rsid w:val="00BE2794"/>
    <w:rsid w:val="00BE27B1"/>
    <w:rsid w:val="00BE2F29"/>
    <w:rsid w:val="00BE2F8F"/>
    <w:rsid w:val="00BE3509"/>
    <w:rsid w:val="00BE47B5"/>
    <w:rsid w:val="00BE47DA"/>
    <w:rsid w:val="00BE4963"/>
    <w:rsid w:val="00BE4C99"/>
    <w:rsid w:val="00BE563F"/>
    <w:rsid w:val="00BE5863"/>
    <w:rsid w:val="00BE6EA6"/>
    <w:rsid w:val="00BE74A4"/>
    <w:rsid w:val="00BE7F1C"/>
    <w:rsid w:val="00BF0145"/>
    <w:rsid w:val="00BF05FE"/>
    <w:rsid w:val="00BF0713"/>
    <w:rsid w:val="00BF07D4"/>
    <w:rsid w:val="00BF1046"/>
    <w:rsid w:val="00BF1939"/>
    <w:rsid w:val="00BF234E"/>
    <w:rsid w:val="00BF38BC"/>
    <w:rsid w:val="00BF6EFA"/>
    <w:rsid w:val="00BF74B1"/>
    <w:rsid w:val="00BF777A"/>
    <w:rsid w:val="00BF77F5"/>
    <w:rsid w:val="00BF7C9F"/>
    <w:rsid w:val="00C006C3"/>
    <w:rsid w:val="00C011F3"/>
    <w:rsid w:val="00C01235"/>
    <w:rsid w:val="00C01952"/>
    <w:rsid w:val="00C035F0"/>
    <w:rsid w:val="00C03824"/>
    <w:rsid w:val="00C03A38"/>
    <w:rsid w:val="00C03CC1"/>
    <w:rsid w:val="00C04ABF"/>
    <w:rsid w:val="00C05656"/>
    <w:rsid w:val="00C058AB"/>
    <w:rsid w:val="00C05DD6"/>
    <w:rsid w:val="00C05E44"/>
    <w:rsid w:val="00C06739"/>
    <w:rsid w:val="00C06ABB"/>
    <w:rsid w:val="00C07191"/>
    <w:rsid w:val="00C108F4"/>
    <w:rsid w:val="00C1095D"/>
    <w:rsid w:val="00C110B3"/>
    <w:rsid w:val="00C113CC"/>
    <w:rsid w:val="00C12771"/>
    <w:rsid w:val="00C12B93"/>
    <w:rsid w:val="00C1312A"/>
    <w:rsid w:val="00C13663"/>
    <w:rsid w:val="00C13B88"/>
    <w:rsid w:val="00C15259"/>
    <w:rsid w:val="00C16342"/>
    <w:rsid w:val="00C16389"/>
    <w:rsid w:val="00C164E9"/>
    <w:rsid w:val="00C17D2E"/>
    <w:rsid w:val="00C20381"/>
    <w:rsid w:val="00C209C3"/>
    <w:rsid w:val="00C20A8B"/>
    <w:rsid w:val="00C20DB8"/>
    <w:rsid w:val="00C23116"/>
    <w:rsid w:val="00C232FC"/>
    <w:rsid w:val="00C23B40"/>
    <w:rsid w:val="00C23D5A"/>
    <w:rsid w:val="00C2469E"/>
    <w:rsid w:val="00C27EFC"/>
    <w:rsid w:val="00C30D2B"/>
    <w:rsid w:val="00C322D3"/>
    <w:rsid w:val="00C32B43"/>
    <w:rsid w:val="00C32EFE"/>
    <w:rsid w:val="00C344CF"/>
    <w:rsid w:val="00C3523A"/>
    <w:rsid w:val="00C35CBD"/>
    <w:rsid w:val="00C36E7B"/>
    <w:rsid w:val="00C37D55"/>
    <w:rsid w:val="00C4017D"/>
    <w:rsid w:val="00C4064D"/>
    <w:rsid w:val="00C41536"/>
    <w:rsid w:val="00C423FA"/>
    <w:rsid w:val="00C44655"/>
    <w:rsid w:val="00C44A12"/>
    <w:rsid w:val="00C502B3"/>
    <w:rsid w:val="00C5056D"/>
    <w:rsid w:val="00C50F6C"/>
    <w:rsid w:val="00C51B6E"/>
    <w:rsid w:val="00C51BF7"/>
    <w:rsid w:val="00C52751"/>
    <w:rsid w:val="00C528EA"/>
    <w:rsid w:val="00C538A9"/>
    <w:rsid w:val="00C53B5A"/>
    <w:rsid w:val="00C54F5A"/>
    <w:rsid w:val="00C553CF"/>
    <w:rsid w:val="00C55A31"/>
    <w:rsid w:val="00C5621D"/>
    <w:rsid w:val="00C5723A"/>
    <w:rsid w:val="00C57894"/>
    <w:rsid w:val="00C57E05"/>
    <w:rsid w:val="00C57FC6"/>
    <w:rsid w:val="00C600D5"/>
    <w:rsid w:val="00C60730"/>
    <w:rsid w:val="00C61916"/>
    <w:rsid w:val="00C62901"/>
    <w:rsid w:val="00C62BD9"/>
    <w:rsid w:val="00C62E4D"/>
    <w:rsid w:val="00C64658"/>
    <w:rsid w:val="00C667D4"/>
    <w:rsid w:val="00C667EF"/>
    <w:rsid w:val="00C66919"/>
    <w:rsid w:val="00C66F86"/>
    <w:rsid w:val="00C674F0"/>
    <w:rsid w:val="00C70933"/>
    <w:rsid w:val="00C7098F"/>
    <w:rsid w:val="00C712E8"/>
    <w:rsid w:val="00C71841"/>
    <w:rsid w:val="00C7185E"/>
    <w:rsid w:val="00C72C6E"/>
    <w:rsid w:val="00C73549"/>
    <w:rsid w:val="00C73B18"/>
    <w:rsid w:val="00C74364"/>
    <w:rsid w:val="00C747D0"/>
    <w:rsid w:val="00C748F6"/>
    <w:rsid w:val="00C74B91"/>
    <w:rsid w:val="00C74BBC"/>
    <w:rsid w:val="00C755AD"/>
    <w:rsid w:val="00C766D0"/>
    <w:rsid w:val="00C76B5B"/>
    <w:rsid w:val="00C771CD"/>
    <w:rsid w:val="00C77570"/>
    <w:rsid w:val="00C80308"/>
    <w:rsid w:val="00C805DF"/>
    <w:rsid w:val="00C816D3"/>
    <w:rsid w:val="00C8170A"/>
    <w:rsid w:val="00C82636"/>
    <w:rsid w:val="00C82867"/>
    <w:rsid w:val="00C82A26"/>
    <w:rsid w:val="00C82E64"/>
    <w:rsid w:val="00C82EC4"/>
    <w:rsid w:val="00C83384"/>
    <w:rsid w:val="00C838E6"/>
    <w:rsid w:val="00C84377"/>
    <w:rsid w:val="00C84BD2"/>
    <w:rsid w:val="00C852E5"/>
    <w:rsid w:val="00C85F8C"/>
    <w:rsid w:val="00C860C0"/>
    <w:rsid w:val="00C862C9"/>
    <w:rsid w:val="00C86679"/>
    <w:rsid w:val="00C92B87"/>
    <w:rsid w:val="00C972F8"/>
    <w:rsid w:val="00C97D3F"/>
    <w:rsid w:val="00C97EC6"/>
    <w:rsid w:val="00CA0A3A"/>
    <w:rsid w:val="00CA14C9"/>
    <w:rsid w:val="00CA163F"/>
    <w:rsid w:val="00CA2502"/>
    <w:rsid w:val="00CA2881"/>
    <w:rsid w:val="00CA2A1D"/>
    <w:rsid w:val="00CA3041"/>
    <w:rsid w:val="00CA3057"/>
    <w:rsid w:val="00CA49BC"/>
    <w:rsid w:val="00CA5B50"/>
    <w:rsid w:val="00CA74FB"/>
    <w:rsid w:val="00CA7D6B"/>
    <w:rsid w:val="00CB02A0"/>
    <w:rsid w:val="00CB142F"/>
    <w:rsid w:val="00CB167B"/>
    <w:rsid w:val="00CB362B"/>
    <w:rsid w:val="00CB47C4"/>
    <w:rsid w:val="00CB52F9"/>
    <w:rsid w:val="00CB59DE"/>
    <w:rsid w:val="00CB666B"/>
    <w:rsid w:val="00CB7E1C"/>
    <w:rsid w:val="00CC047F"/>
    <w:rsid w:val="00CC0600"/>
    <w:rsid w:val="00CC074C"/>
    <w:rsid w:val="00CC0C56"/>
    <w:rsid w:val="00CC0F17"/>
    <w:rsid w:val="00CC1FAB"/>
    <w:rsid w:val="00CC25AF"/>
    <w:rsid w:val="00CC382A"/>
    <w:rsid w:val="00CC4F48"/>
    <w:rsid w:val="00CC56C5"/>
    <w:rsid w:val="00CC779E"/>
    <w:rsid w:val="00CD0A88"/>
    <w:rsid w:val="00CD236A"/>
    <w:rsid w:val="00CD482A"/>
    <w:rsid w:val="00CD48E4"/>
    <w:rsid w:val="00CD4C94"/>
    <w:rsid w:val="00CD4FBE"/>
    <w:rsid w:val="00CD5F21"/>
    <w:rsid w:val="00CD615C"/>
    <w:rsid w:val="00CD68F8"/>
    <w:rsid w:val="00CD6DCB"/>
    <w:rsid w:val="00CD7BFC"/>
    <w:rsid w:val="00CE0F34"/>
    <w:rsid w:val="00CE187A"/>
    <w:rsid w:val="00CE1A52"/>
    <w:rsid w:val="00CE1FBF"/>
    <w:rsid w:val="00CE3AC9"/>
    <w:rsid w:val="00CE44C1"/>
    <w:rsid w:val="00CE4F13"/>
    <w:rsid w:val="00CE59F9"/>
    <w:rsid w:val="00CE5A95"/>
    <w:rsid w:val="00CE5B6A"/>
    <w:rsid w:val="00CE753A"/>
    <w:rsid w:val="00CE7EE8"/>
    <w:rsid w:val="00CF01AA"/>
    <w:rsid w:val="00CF0502"/>
    <w:rsid w:val="00CF144E"/>
    <w:rsid w:val="00CF580B"/>
    <w:rsid w:val="00CF5933"/>
    <w:rsid w:val="00CF7906"/>
    <w:rsid w:val="00CF799E"/>
    <w:rsid w:val="00D016FD"/>
    <w:rsid w:val="00D01CF0"/>
    <w:rsid w:val="00D0299D"/>
    <w:rsid w:val="00D03346"/>
    <w:rsid w:val="00D034DF"/>
    <w:rsid w:val="00D03513"/>
    <w:rsid w:val="00D0442A"/>
    <w:rsid w:val="00D04468"/>
    <w:rsid w:val="00D046A4"/>
    <w:rsid w:val="00D07CA7"/>
    <w:rsid w:val="00D104E2"/>
    <w:rsid w:val="00D106AF"/>
    <w:rsid w:val="00D11660"/>
    <w:rsid w:val="00D128E0"/>
    <w:rsid w:val="00D12948"/>
    <w:rsid w:val="00D13ACB"/>
    <w:rsid w:val="00D14160"/>
    <w:rsid w:val="00D1422C"/>
    <w:rsid w:val="00D14676"/>
    <w:rsid w:val="00D14DBC"/>
    <w:rsid w:val="00D15209"/>
    <w:rsid w:val="00D15BCD"/>
    <w:rsid w:val="00D15EC1"/>
    <w:rsid w:val="00D16127"/>
    <w:rsid w:val="00D167E7"/>
    <w:rsid w:val="00D170A1"/>
    <w:rsid w:val="00D203E1"/>
    <w:rsid w:val="00D2173C"/>
    <w:rsid w:val="00D22CA1"/>
    <w:rsid w:val="00D22F09"/>
    <w:rsid w:val="00D24E49"/>
    <w:rsid w:val="00D2535C"/>
    <w:rsid w:val="00D25E69"/>
    <w:rsid w:val="00D26723"/>
    <w:rsid w:val="00D275FD"/>
    <w:rsid w:val="00D27902"/>
    <w:rsid w:val="00D30972"/>
    <w:rsid w:val="00D30982"/>
    <w:rsid w:val="00D3154F"/>
    <w:rsid w:val="00D32871"/>
    <w:rsid w:val="00D32D48"/>
    <w:rsid w:val="00D32D88"/>
    <w:rsid w:val="00D3322F"/>
    <w:rsid w:val="00D349B4"/>
    <w:rsid w:val="00D34D59"/>
    <w:rsid w:val="00D358BF"/>
    <w:rsid w:val="00D35925"/>
    <w:rsid w:val="00D366F2"/>
    <w:rsid w:val="00D37B4E"/>
    <w:rsid w:val="00D40DC5"/>
    <w:rsid w:val="00D417C4"/>
    <w:rsid w:val="00D436FE"/>
    <w:rsid w:val="00D4449A"/>
    <w:rsid w:val="00D44554"/>
    <w:rsid w:val="00D44AB2"/>
    <w:rsid w:val="00D45CD1"/>
    <w:rsid w:val="00D45F16"/>
    <w:rsid w:val="00D46509"/>
    <w:rsid w:val="00D475C4"/>
    <w:rsid w:val="00D51A16"/>
    <w:rsid w:val="00D51BB0"/>
    <w:rsid w:val="00D544B8"/>
    <w:rsid w:val="00D55432"/>
    <w:rsid w:val="00D55497"/>
    <w:rsid w:val="00D55A10"/>
    <w:rsid w:val="00D56801"/>
    <w:rsid w:val="00D5694E"/>
    <w:rsid w:val="00D56D9E"/>
    <w:rsid w:val="00D57952"/>
    <w:rsid w:val="00D57F85"/>
    <w:rsid w:val="00D60230"/>
    <w:rsid w:val="00D60604"/>
    <w:rsid w:val="00D61216"/>
    <w:rsid w:val="00D61388"/>
    <w:rsid w:val="00D61A54"/>
    <w:rsid w:val="00D621A8"/>
    <w:rsid w:val="00D62243"/>
    <w:rsid w:val="00D62337"/>
    <w:rsid w:val="00D63679"/>
    <w:rsid w:val="00D636BE"/>
    <w:rsid w:val="00D63DBE"/>
    <w:rsid w:val="00D640D4"/>
    <w:rsid w:val="00D64AF7"/>
    <w:rsid w:val="00D64DEA"/>
    <w:rsid w:val="00D652F5"/>
    <w:rsid w:val="00D654C4"/>
    <w:rsid w:val="00D6759E"/>
    <w:rsid w:val="00D67EAC"/>
    <w:rsid w:val="00D705FE"/>
    <w:rsid w:val="00D7069B"/>
    <w:rsid w:val="00D72554"/>
    <w:rsid w:val="00D728E6"/>
    <w:rsid w:val="00D731A3"/>
    <w:rsid w:val="00D735B7"/>
    <w:rsid w:val="00D73D5F"/>
    <w:rsid w:val="00D74402"/>
    <w:rsid w:val="00D752B3"/>
    <w:rsid w:val="00D765ED"/>
    <w:rsid w:val="00D77B55"/>
    <w:rsid w:val="00D8016E"/>
    <w:rsid w:val="00D806DF"/>
    <w:rsid w:val="00D80893"/>
    <w:rsid w:val="00D8177D"/>
    <w:rsid w:val="00D81DAB"/>
    <w:rsid w:val="00D823DC"/>
    <w:rsid w:val="00D82A37"/>
    <w:rsid w:val="00D82EE8"/>
    <w:rsid w:val="00D8360F"/>
    <w:rsid w:val="00D84897"/>
    <w:rsid w:val="00D8681D"/>
    <w:rsid w:val="00D8784E"/>
    <w:rsid w:val="00D87FCC"/>
    <w:rsid w:val="00D909E4"/>
    <w:rsid w:val="00D91001"/>
    <w:rsid w:val="00D913D4"/>
    <w:rsid w:val="00D91C72"/>
    <w:rsid w:val="00D92CF1"/>
    <w:rsid w:val="00D92D38"/>
    <w:rsid w:val="00D93A11"/>
    <w:rsid w:val="00D93A2F"/>
    <w:rsid w:val="00D93DA9"/>
    <w:rsid w:val="00D94B18"/>
    <w:rsid w:val="00D950F5"/>
    <w:rsid w:val="00D95CE8"/>
    <w:rsid w:val="00D9649A"/>
    <w:rsid w:val="00D9650E"/>
    <w:rsid w:val="00D97A6D"/>
    <w:rsid w:val="00DA03F0"/>
    <w:rsid w:val="00DA072E"/>
    <w:rsid w:val="00DA1252"/>
    <w:rsid w:val="00DA184C"/>
    <w:rsid w:val="00DA194F"/>
    <w:rsid w:val="00DA1C4F"/>
    <w:rsid w:val="00DA1DA3"/>
    <w:rsid w:val="00DA21E5"/>
    <w:rsid w:val="00DA29A3"/>
    <w:rsid w:val="00DA2E04"/>
    <w:rsid w:val="00DA324B"/>
    <w:rsid w:val="00DA3276"/>
    <w:rsid w:val="00DA3345"/>
    <w:rsid w:val="00DA4DC9"/>
    <w:rsid w:val="00DA5717"/>
    <w:rsid w:val="00DA6EFC"/>
    <w:rsid w:val="00DA75ED"/>
    <w:rsid w:val="00DB0B76"/>
    <w:rsid w:val="00DB0F93"/>
    <w:rsid w:val="00DB15F6"/>
    <w:rsid w:val="00DB4FD3"/>
    <w:rsid w:val="00DB51A7"/>
    <w:rsid w:val="00DB575A"/>
    <w:rsid w:val="00DB63C8"/>
    <w:rsid w:val="00DB6489"/>
    <w:rsid w:val="00DB6743"/>
    <w:rsid w:val="00DB6789"/>
    <w:rsid w:val="00DB68AA"/>
    <w:rsid w:val="00DB6C5C"/>
    <w:rsid w:val="00DB7C21"/>
    <w:rsid w:val="00DC0874"/>
    <w:rsid w:val="00DC0D8E"/>
    <w:rsid w:val="00DC1674"/>
    <w:rsid w:val="00DC1CEE"/>
    <w:rsid w:val="00DC2C16"/>
    <w:rsid w:val="00DC3008"/>
    <w:rsid w:val="00DC5218"/>
    <w:rsid w:val="00DC542F"/>
    <w:rsid w:val="00DC723D"/>
    <w:rsid w:val="00DC7981"/>
    <w:rsid w:val="00DD0F19"/>
    <w:rsid w:val="00DD13BC"/>
    <w:rsid w:val="00DD1EA7"/>
    <w:rsid w:val="00DD2B91"/>
    <w:rsid w:val="00DD3132"/>
    <w:rsid w:val="00DD4752"/>
    <w:rsid w:val="00DD50F3"/>
    <w:rsid w:val="00DE1373"/>
    <w:rsid w:val="00DE250A"/>
    <w:rsid w:val="00DE26EA"/>
    <w:rsid w:val="00DE2A26"/>
    <w:rsid w:val="00DE2C21"/>
    <w:rsid w:val="00DE2F57"/>
    <w:rsid w:val="00DE3603"/>
    <w:rsid w:val="00DE360E"/>
    <w:rsid w:val="00DE4B3D"/>
    <w:rsid w:val="00DE4B88"/>
    <w:rsid w:val="00DE4EFA"/>
    <w:rsid w:val="00DE532D"/>
    <w:rsid w:val="00DE5520"/>
    <w:rsid w:val="00DE6DE4"/>
    <w:rsid w:val="00DE7F74"/>
    <w:rsid w:val="00DE7F81"/>
    <w:rsid w:val="00DF1A18"/>
    <w:rsid w:val="00DF45FE"/>
    <w:rsid w:val="00DF544B"/>
    <w:rsid w:val="00DF5874"/>
    <w:rsid w:val="00DF7260"/>
    <w:rsid w:val="00DF744F"/>
    <w:rsid w:val="00DF7680"/>
    <w:rsid w:val="00DF77B4"/>
    <w:rsid w:val="00E00908"/>
    <w:rsid w:val="00E00B8C"/>
    <w:rsid w:val="00E01339"/>
    <w:rsid w:val="00E0276A"/>
    <w:rsid w:val="00E04768"/>
    <w:rsid w:val="00E04818"/>
    <w:rsid w:val="00E05DA3"/>
    <w:rsid w:val="00E05DEB"/>
    <w:rsid w:val="00E0630D"/>
    <w:rsid w:val="00E06442"/>
    <w:rsid w:val="00E0644A"/>
    <w:rsid w:val="00E06622"/>
    <w:rsid w:val="00E07293"/>
    <w:rsid w:val="00E0745D"/>
    <w:rsid w:val="00E10B5E"/>
    <w:rsid w:val="00E11FEA"/>
    <w:rsid w:val="00E12118"/>
    <w:rsid w:val="00E125CB"/>
    <w:rsid w:val="00E143AB"/>
    <w:rsid w:val="00E15233"/>
    <w:rsid w:val="00E15655"/>
    <w:rsid w:val="00E15740"/>
    <w:rsid w:val="00E159B1"/>
    <w:rsid w:val="00E15B4F"/>
    <w:rsid w:val="00E15C64"/>
    <w:rsid w:val="00E16B62"/>
    <w:rsid w:val="00E17B96"/>
    <w:rsid w:val="00E209A0"/>
    <w:rsid w:val="00E20D33"/>
    <w:rsid w:val="00E21279"/>
    <w:rsid w:val="00E21A92"/>
    <w:rsid w:val="00E228AF"/>
    <w:rsid w:val="00E22981"/>
    <w:rsid w:val="00E23785"/>
    <w:rsid w:val="00E23993"/>
    <w:rsid w:val="00E24AFD"/>
    <w:rsid w:val="00E25B8C"/>
    <w:rsid w:val="00E27460"/>
    <w:rsid w:val="00E302B8"/>
    <w:rsid w:val="00E30DAE"/>
    <w:rsid w:val="00E312F4"/>
    <w:rsid w:val="00E31A0C"/>
    <w:rsid w:val="00E31FCB"/>
    <w:rsid w:val="00E3203E"/>
    <w:rsid w:val="00E321AA"/>
    <w:rsid w:val="00E32958"/>
    <w:rsid w:val="00E334CF"/>
    <w:rsid w:val="00E33B6D"/>
    <w:rsid w:val="00E33C5B"/>
    <w:rsid w:val="00E34CC0"/>
    <w:rsid w:val="00E35622"/>
    <w:rsid w:val="00E36212"/>
    <w:rsid w:val="00E36FC8"/>
    <w:rsid w:val="00E370FD"/>
    <w:rsid w:val="00E37B35"/>
    <w:rsid w:val="00E408A3"/>
    <w:rsid w:val="00E419F7"/>
    <w:rsid w:val="00E41E5D"/>
    <w:rsid w:val="00E42A2B"/>
    <w:rsid w:val="00E43EE7"/>
    <w:rsid w:val="00E440A0"/>
    <w:rsid w:val="00E441C2"/>
    <w:rsid w:val="00E44A7D"/>
    <w:rsid w:val="00E459EC"/>
    <w:rsid w:val="00E4674F"/>
    <w:rsid w:val="00E477FD"/>
    <w:rsid w:val="00E47844"/>
    <w:rsid w:val="00E47B24"/>
    <w:rsid w:val="00E5030C"/>
    <w:rsid w:val="00E50470"/>
    <w:rsid w:val="00E5148D"/>
    <w:rsid w:val="00E52C74"/>
    <w:rsid w:val="00E55BE9"/>
    <w:rsid w:val="00E5601A"/>
    <w:rsid w:val="00E56C5C"/>
    <w:rsid w:val="00E57865"/>
    <w:rsid w:val="00E609F6"/>
    <w:rsid w:val="00E61297"/>
    <w:rsid w:val="00E61D6F"/>
    <w:rsid w:val="00E61F8F"/>
    <w:rsid w:val="00E63132"/>
    <w:rsid w:val="00E631CC"/>
    <w:rsid w:val="00E63639"/>
    <w:rsid w:val="00E638C5"/>
    <w:rsid w:val="00E65C85"/>
    <w:rsid w:val="00E66199"/>
    <w:rsid w:val="00E662C8"/>
    <w:rsid w:val="00E671F9"/>
    <w:rsid w:val="00E67239"/>
    <w:rsid w:val="00E6723D"/>
    <w:rsid w:val="00E70021"/>
    <w:rsid w:val="00E70C58"/>
    <w:rsid w:val="00E72926"/>
    <w:rsid w:val="00E73529"/>
    <w:rsid w:val="00E735F0"/>
    <w:rsid w:val="00E73CAB"/>
    <w:rsid w:val="00E73FCC"/>
    <w:rsid w:val="00E755EC"/>
    <w:rsid w:val="00E75B26"/>
    <w:rsid w:val="00E7624D"/>
    <w:rsid w:val="00E763B7"/>
    <w:rsid w:val="00E774AE"/>
    <w:rsid w:val="00E776B1"/>
    <w:rsid w:val="00E77D6F"/>
    <w:rsid w:val="00E8006C"/>
    <w:rsid w:val="00E8082F"/>
    <w:rsid w:val="00E81645"/>
    <w:rsid w:val="00E81AD0"/>
    <w:rsid w:val="00E829A1"/>
    <w:rsid w:val="00E8427F"/>
    <w:rsid w:val="00E86D09"/>
    <w:rsid w:val="00E87A15"/>
    <w:rsid w:val="00E87E5E"/>
    <w:rsid w:val="00E90EF4"/>
    <w:rsid w:val="00E94504"/>
    <w:rsid w:val="00EA052F"/>
    <w:rsid w:val="00EA0F30"/>
    <w:rsid w:val="00EA2478"/>
    <w:rsid w:val="00EA24B1"/>
    <w:rsid w:val="00EA34B0"/>
    <w:rsid w:val="00EA36D7"/>
    <w:rsid w:val="00EA3D42"/>
    <w:rsid w:val="00EA54E0"/>
    <w:rsid w:val="00EA59F0"/>
    <w:rsid w:val="00EA5A66"/>
    <w:rsid w:val="00EA66A2"/>
    <w:rsid w:val="00EA6B1B"/>
    <w:rsid w:val="00EA70A1"/>
    <w:rsid w:val="00EB03C9"/>
    <w:rsid w:val="00EB03EE"/>
    <w:rsid w:val="00EB0533"/>
    <w:rsid w:val="00EB05DA"/>
    <w:rsid w:val="00EB0E60"/>
    <w:rsid w:val="00EB2078"/>
    <w:rsid w:val="00EB23F3"/>
    <w:rsid w:val="00EB28BD"/>
    <w:rsid w:val="00EB28C4"/>
    <w:rsid w:val="00EB3F17"/>
    <w:rsid w:val="00EB4F74"/>
    <w:rsid w:val="00EB5BC6"/>
    <w:rsid w:val="00EB6A72"/>
    <w:rsid w:val="00EC0BD0"/>
    <w:rsid w:val="00EC0DFF"/>
    <w:rsid w:val="00EC16C2"/>
    <w:rsid w:val="00EC17D8"/>
    <w:rsid w:val="00EC1AAF"/>
    <w:rsid w:val="00EC4520"/>
    <w:rsid w:val="00EC5BA7"/>
    <w:rsid w:val="00EC602F"/>
    <w:rsid w:val="00EC7222"/>
    <w:rsid w:val="00EC76E9"/>
    <w:rsid w:val="00ED07B4"/>
    <w:rsid w:val="00ED2DF7"/>
    <w:rsid w:val="00ED2F02"/>
    <w:rsid w:val="00ED30B0"/>
    <w:rsid w:val="00ED4D4A"/>
    <w:rsid w:val="00ED6BB7"/>
    <w:rsid w:val="00ED6E15"/>
    <w:rsid w:val="00ED7185"/>
    <w:rsid w:val="00ED73C4"/>
    <w:rsid w:val="00ED7B85"/>
    <w:rsid w:val="00EE06D4"/>
    <w:rsid w:val="00EE06FC"/>
    <w:rsid w:val="00EE0958"/>
    <w:rsid w:val="00EE1791"/>
    <w:rsid w:val="00EE1951"/>
    <w:rsid w:val="00EE1BA2"/>
    <w:rsid w:val="00EE2656"/>
    <w:rsid w:val="00EE28F3"/>
    <w:rsid w:val="00EE34F2"/>
    <w:rsid w:val="00EE3716"/>
    <w:rsid w:val="00EE3E11"/>
    <w:rsid w:val="00EE4BCD"/>
    <w:rsid w:val="00EE4E35"/>
    <w:rsid w:val="00EE5823"/>
    <w:rsid w:val="00EE59FD"/>
    <w:rsid w:val="00EE63CC"/>
    <w:rsid w:val="00EE7703"/>
    <w:rsid w:val="00EF00B4"/>
    <w:rsid w:val="00EF0A38"/>
    <w:rsid w:val="00EF0AC5"/>
    <w:rsid w:val="00EF0C18"/>
    <w:rsid w:val="00EF303B"/>
    <w:rsid w:val="00EF3412"/>
    <w:rsid w:val="00EF35DC"/>
    <w:rsid w:val="00EF37E2"/>
    <w:rsid w:val="00EF38A6"/>
    <w:rsid w:val="00EF3EB2"/>
    <w:rsid w:val="00EF448D"/>
    <w:rsid w:val="00EF5110"/>
    <w:rsid w:val="00EF5CFD"/>
    <w:rsid w:val="00EF66D0"/>
    <w:rsid w:val="00EF6F0A"/>
    <w:rsid w:val="00EF7145"/>
    <w:rsid w:val="00F000B9"/>
    <w:rsid w:val="00F0015E"/>
    <w:rsid w:val="00F005AF"/>
    <w:rsid w:val="00F01AC3"/>
    <w:rsid w:val="00F03DB6"/>
    <w:rsid w:val="00F04709"/>
    <w:rsid w:val="00F04DE0"/>
    <w:rsid w:val="00F05A7D"/>
    <w:rsid w:val="00F063A8"/>
    <w:rsid w:val="00F06B46"/>
    <w:rsid w:val="00F07007"/>
    <w:rsid w:val="00F074A1"/>
    <w:rsid w:val="00F07CFD"/>
    <w:rsid w:val="00F1224A"/>
    <w:rsid w:val="00F1249B"/>
    <w:rsid w:val="00F12714"/>
    <w:rsid w:val="00F12DF1"/>
    <w:rsid w:val="00F12ECF"/>
    <w:rsid w:val="00F1347F"/>
    <w:rsid w:val="00F13713"/>
    <w:rsid w:val="00F1553B"/>
    <w:rsid w:val="00F156AF"/>
    <w:rsid w:val="00F15882"/>
    <w:rsid w:val="00F15E90"/>
    <w:rsid w:val="00F16C1A"/>
    <w:rsid w:val="00F2009D"/>
    <w:rsid w:val="00F2051A"/>
    <w:rsid w:val="00F20BD3"/>
    <w:rsid w:val="00F21499"/>
    <w:rsid w:val="00F22645"/>
    <w:rsid w:val="00F23667"/>
    <w:rsid w:val="00F23FF3"/>
    <w:rsid w:val="00F24410"/>
    <w:rsid w:val="00F26C7C"/>
    <w:rsid w:val="00F27429"/>
    <w:rsid w:val="00F27E1F"/>
    <w:rsid w:val="00F30992"/>
    <w:rsid w:val="00F309C6"/>
    <w:rsid w:val="00F31D8E"/>
    <w:rsid w:val="00F35018"/>
    <w:rsid w:val="00F353FD"/>
    <w:rsid w:val="00F35B75"/>
    <w:rsid w:val="00F35C3B"/>
    <w:rsid w:val="00F36598"/>
    <w:rsid w:val="00F373A5"/>
    <w:rsid w:val="00F37BB3"/>
    <w:rsid w:val="00F416FA"/>
    <w:rsid w:val="00F42E98"/>
    <w:rsid w:val="00F4346B"/>
    <w:rsid w:val="00F43BAC"/>
    <w:rsid w:val="00F44628"/>
    <w:rsid w:val="00F464AF"/>
    <w:rsid w:val="00F46D2E"/>
    <w:rsid w:val="00F47559"/>
    <w:rsid w:val="00F47AE8"/>
    <w:rsid w:val="00F47D5A"/>
    <w:rsid w:val="00F50AC1"/>
    <w:rsid w:val="00F51225"/>
    <w:rsid w:val="00F51630"/>
    <w:rsid w:val="00F52996"/>
    <w:rsid w:val="00F52CB5"/>
    <w:rsid w:val="00F53786"/>
    <w:rsid w:val="00F5381E"/>
    <w:rsid w:val="00F5420D"/>
    <w:rsid w:val="00F5422A"/>
    <w:rsid w:val="00F546EC"/>
    <w:rsid w:val="00F54B23"/>
    <w:rsid w:val="00F54B25"/>
    <w:rsid w:val="00F54B50"/>
    <w:rsid w:val="00F558C9"/>
    <w:rsid w:val="00F55B84"/>
    <w:rsid w:val="00F56BA7"/>
    <w:rsid w:val="00F60BE4"/>
    <w:rsid w:val="00F61B84"/>
    <w:rsid w:val="00F62762"/>
    <w:rsid w:val="00F628B8"/>
    <w:rsid w:val="00F63794"/>
    <w:rsid w:val="00F63CDA"/>
    <w:rsid w:val="00F63E68"/>
    <w:rsid w:val="00F6454E"/>
    <w:rsid w:val="00F64C7B"/>
    <w:rsid w:val="00F64DB8"/>
    <w:rsid w:val="00F659A3"/>
    <w:rsid w:val="00F6608A"/>
    <w:rsid w:val="00F66688"/>
    <w:rsid w:val="00F666F4"/>
    <w:rsid w:val="00F6672B"/>
    <w:rsid w:val="00F676DD"/>
    <w:rsid w:val="00F67EA1"/>
    <w:rsid w:val="00F70917"/>
    <w:rsid w:val="00F70AA4"/>
    <w:rsid w:val="00F70AC5"/>
    <w:rsid w:val="00F71FF9"/>
    <w:rsid w:val="00F730AA"/>
    <w:rsid w:val="00F732E7"/>
    <w:rsid w:val="00F736A6"/>
    <w:rsid w:val="00F75A26"/>
    <w:rsid w:val="00F75FD5"/>
    <w:rsid w:val="00F76747"/>
    <w:rsid w:val="00F776B4"/>
    <w:rsid w:val="00F77BC0"/>
    <w:rsid w:val="00F802F1"/>
    <w:rsid w:val="00F80BD0"/>
    <w:rsid w:val="00F8175E"/>
    <w:rsid w:val="00F81C07"/>
    <w:rsid w:val="00F81FF7"/>
    <w:rsid w:val="00F82317"/>
    <w:rsid w:val="00F8236B"/>
    <w:rsid w:val="00F826C8"/>
    <w:rsid w:val="00F82EEE"/>
    <w:rsid w:val="00F83FAD"/>
    <w:rsid w:val="00F8411B"/>
    <w:rsid w:val="00F842C7"/>
    <w:rsid w:val="00F8613E"/>
    <w:rsid w:val="00F86A32"/>
    <w:rsid w:val="00F87A4D"/>
    <w:rsid w:val="00F906A9"/>
    <w:rsid w:val="00F909EA"/>
    <w:rsid w:val="00F91555"/>
    <w:rsid w:val="00F9172D"/>
    <w:rsid w:val="00F91AFC"/>
    <w:rsid w:val="00F91DC6"/>
    <w:rsid w:val="00F934C9"/>
    <w:rsid w:val="00F937A8"/>
    <w:rsid w:val="00F93A61"/>
    <w:rsid w:val="00F93E27"/>
    <w:rsid w:val="00F949DF"/>
    <w:rsid w:val="00F95026"/>
    <w:rsid w:val="00F952A0"/>
    <w:rsid w:val="00F95D00"/>
    <w:rsid w:val="00F96786"/>
    <w:rsid w:val="00F96B37"/>
    <w:rsid w:val="00F97552"/>
    <w:rsid w:val="00F97ECA"/>
    <w:rsid w:val="00FA1CF1"/>
    <w:rsid w:val="00FA34D0"/>
    <w:rsid w:val="00FA3851"/>
    <w:rsid w:val="00FA39C1"/>
    <w:rsid w:val="00FA3C7F"/>
    <w:rsid w:val="00FA5D05"/>
    <w:rsid w:val="00FA5E75"/>
    <w:rsid w:val="00FA6022"/>
    <w:rsid w:val="00FA674A"/>
    <w:rsid w:val="00FA6A53"/>
    <w:rsid w:val="00FA7324"/>
    <w:rsid w:val="00FB1795"/>
    <w:rsid w:val="00FB17C7"/>
    <w:rsid w:val="00FB2320"/>
    <w:rsid w:val="00FB2882"/>
    <w:rsid w:val="00FB2A9A"/>
    <w:rsid w:val="00FB501A"/>
    <w:rsid w:val="00FB52D7"/>
    <w:rsid w:val="00FB74E2"/>
    <w:rsid w:val="00FB7702"/>
    <w:rsid w:val="00FC062C"/>
    <w:rsid w:val="00FC1057"/>
    <w:rsid w:val="00FC2AD9"/>
    <w:rsid w:val="00FC342B"/>
    <w:rsid w:val="00FC459D"/>
    <w:rsid w:val="00FC46B4"/>
    <w:rsid w:val="00FC4B83"/>
    <w:rsid w:val="00FC5488"/>
    <w:rsid w:val="00FC5C29"/>
    <w:rsid w:val="00FC67F7"/>
    <w:rsid w:val="00FC7900"/>
    <w:rsid w:val="00FD16A1"/>
    <w:rsid w:val="00FD1EF2"/>
    <w:rsid w:val="00FD24B6"/>
    <w:rsid w:val="00FD3739"/>
    <w:rsid w:val="00FD3A6B"/>
    <w:rsid w:val="00FD4154"/>
    <w:rsid w:val="00FD43C1"/>
    <w:rsid w:val="00FD5614"/>
    <w:rsid w:val="00FD59B4"/>
    <w:rsid w:val="00FD642E"/>
    <w:rsid w:val="00FD6B50"/>
    <w:rsid w:val="00FD6E51"/>
    <w:rsid w:val="00FD7DAC"/>
    <w:rsid w:val="00FE0BE1"/>
    <w:rsid w:val="00FE117B"/>
    <w:rsid w:val="00FE1DE9"/>
    <w:rsid w:val="00FE1E30"/>
    <w:rsid w:val="00FE25B0"/>
    <w:rsid w:val="00FE26CF"/>
    <w:rsid w:val="00FE2A3F"/>
    <w:rsid w:val="00FE2D2B"/>
    <w:rsid w:val="00FE2D52"/>
    <w:rsid w:val="00FE3390"/>
    <w:rsid w:val="00FE39C2"/>
    <w:rsid w:val="00FE4BC1"/>
    <w:rsid w:val="00FE54C5"/>
    <w:rsid w:val="00FE5ACC"/>
    <w:rsid w:val="00FE64AE"/>
    <w:rsid w:val="00FE67F2"/>
    <w:rsid w:val="00FE6E85"/>
    <w:rsid w:val="00FE773F"/>
    <w:rsid w:val="00FE79EB"/>
    <w:rsid w:val="00FF0266"/>
    <w:rsid w:val="00FF0713"/>
    <w:rsid w:val="00FF07BB"/>
    <w:rsid w:val="00FF089B"/>
    <w:rsid w:val="00FF25DD"/>
    <w:rsid w:val="00FF302E"/>
    <w:rsid w:val="00FF303D"/>
    <w:rsid w:val="00FF3C52"/>
    <w:rsid w:val="00FF4BC2"/>
    <w:rsid w:val="00FF55B1"/>
    <w:rsid w:val="00FF5A58"/>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23BFF8C"/>
  <w15:docId w15:val="{7B60F2A3-C0AC-4263-A79D-6B700C60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FD"/>
    <w:rPr>
      <w:rFonts w:ascii="Trebuchet MS" w:hAnsi="Trebuchet MS"/>
    </w:rPr>
  </w:style>
  <w:style w:type="paragraph" w:styleId="Heading1">
    <w:name w:val="heading 1"/>
    <w:basedOn w:val="Normal"/>
    <w:next w:val="Normal"/>
    <w:link w:val="Heading1Char"/>
    <w:qFormat/>
    <w:rsid w:val="00B363F9"/>
    <w:pPr>
      <w:spacing w:before="240"/>
      <w:outlineLvl w:val="0"/>
    </w:pPr>
    <w:rPr>
      <w:rFonts w:eastAsiaTheme="majorEastAsia" w:cstheme="majorBidi"/>
      <w:bCs/>
      <w:color w:val="0D45D6" w:themeColor="accent2"/>
      <w:sz w:val="32"/>
      <w:szCs w:val="28"/>
    </w:rPr>
  </w:style>
  <w:style w:type="paragraph" w:styleId="Heading2">
    <w:name w:val="heading 2"/>
    <w:basedOn w:val="Normal"/>
    <w:next w:val="Normal"/>
    <w:link w:val="Heading2Char"/>
    <w:qFormat/>
    <w:rsid w:val="00935115"/>
    <w:pPr>
      <w:tabs>
        <w:tab w:val="left" w:pos="1021"/>
      </w:tabs>
      <w:spacing w:line="240" w:lineRule="atLeast"/>
      <w:outlineLvl w:val="1"/>
    </w:pPr>
    <w:rPr>
      <w:rFonts w:eastAsiaTheme="majorEastAsia" w:cs="Arial"/>
      <w:bCs/>
      <w:color w:val="002760" w:themeColor="accent1"/>
      <w:sz w:val="28"/>
      <w:szCs w:val="26"/>
    </w:rPr>
  </w:style>
  <w:style w:type="paragraph" w:styleId="Heading3">
    <w:name w:val="heading 3"/>
    <w:basedOn w:val="Normal"/>
    <w:next w:val="Normal"/>
    <w:link w:val="Heading3Char"/>
    <w:qFormat/>
    <w:rsid w:val="00935115"/>
    <w:pPr>
      <w:spacing w:before="240"/>
      <w:outlineLvl w:val="2"/>
    </w:pPr>
    <w:rPr>
      <w:rFonts w:eastAsiaTheme="majorEastAsia" w:cstheme="majorBidi"/>
      <w:b/>
      <w:bCs/>
      <w:color w:val="000000" w:themeColor="text1"/>
      <w:sz w:val="24"/>
    </w:rPr>
  </w:style>
  <w:style w:type="paragraph" w:styleId="Heading4">
    <w:name w:val="heading 4"/>
    <w:basedOn w:val="Normal"/>
    <w:next w:val="Normal"/>
    <w:link w:val="Heading4Char"/>
    <w:qFormat/>
    <w:rsid w:val="00935115"/>
    <w:pPr>
      <w:spacing w:before="240"/>
      <w:outlineLvl w:val="3"/>
    </w:pPr>
    <w:rPr>
      <w:rFonts w:eastAsiaTheme="majorEastAsia" w:cstheme="majorBidi"/>
      <w:b/>
      <w:bCs/>
      <w:i/>
      <w:iCs/>
      <w:color w:val="002760"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00132F"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002760" w:themeColor="accent1"/>
      <w:szCs w:val="20"/>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3F9"/>
    <w:rPr>
      <w:rFonts w:ascii="Trebuchet MS" w:eastAsiaTheme="majorEastAsia" w:hAnsi="Trebuchet MS" w:cstheme="majorBidi"/>
      <w:bCs/>
      <w:color w:val="0D45D6" w:themeColor="accent2"/>
      <w:sz w:val="32"/>
      <w:szCs w:val="28"/>
    </w:rPr>
  </w:style>
  <w:style w:type="character" w:customStyle="1" w:styleId="Heading2Char">
    <w:name w:val="Heading 2 Char"/>
    <w:basedOn w:val="DefaultParagraphFont"/>
    <w:link w:val="Heading2"/>
    <w:rsid w:val="00935115"/>
    <w:rPr>
      <w:rFonts w:ascii="Trebuchet MS" w:eastAsiaTheme="majorEastAsia" w:hAnsi="Trebuchet MS" w:cs="Arial"/>
      <w:bCs/>
      <w:color w:val="002760" w:themeColor="accent1"/>
      <w:sz w:val="28"/>
      <w:szCs w:val="26"/>
    </w:rPr>
  </w:style>
  <w:style w:type="character" w:customStyle="1" w:styleId="Heading3Char">
    <w:name w:val="Heading 3 Char"/>
    <w:basedOn w:val="DefaultParagraphFont"/>
    <w:link w:val="Heading3"/>
    <w:rsid w:val="00935115"/>
    <w:rPr>
      <w:rFonts w:ascii="Trebuchet MS" w:eastAsiaTheme="majorEastAsia" w:hAnsi="Trebuchet MS" w:cstheme="majorBidi"/>
      <w:b/>
      <w:bCs/>
      <w:color w:val="000000" w:themeColor="text1"/>
      <w:sz w:val="24"/>
    </w:rPr>
  </w:style>
  <w:style w:type="character" w:customStyle="1" w:styleId="Heading4Char">
    <w:name w:val="Heading 4 Char"/>
    <w:basedOn w:val="DefaultParagraphFont"/>
    <w:link w:val="Heading4"/>
    <w:rsid w:val="00935115"/>
    <w:rPr>
      <w:rFonts w:ascii="Trebuchet MS" w:eastAsiaTheme="majorEastAsia" w:hAnsi="Trebuchet MS" w:cstheme="majorBidi"/>
      <w:b/>
      <w:bCs/>
      <w:i/>
      <w:iCs/>
      <w:color w:val="002760"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00132F"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spacing w:before="520" w:after="120"/>
    </w:pPr>
    <w:rPr>
      <w:rFonts w:ascii="Palatino Linotype" w:hAnsi="Palatino Linotype"/>
      <w:color w:val="002760"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002760"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4A1696"/>
    <w:pPr>
      <w:numPr>
        <w:numId w:val="12"/>
      </w:numPr>
      <w:tabs>
        <w:tab w:val="left" w:pos="680"/>
      </w:tabs>
    </w:pPr>
  </w:style>
  <w:style w:type="paragraph" w:customStyle="1" w:styleId="Numbered11">
    <w:name w:val="Numbered 1.1"/>
    <w:basedOn w:val="Heading2"/>
    <w:next w:val="Normal"/>
    <w:qFormat/>
    <w:rsid w:val="004A1696"/>
    <w:pPr>
      <w:numPr>
        <w:ilvl w:val="1"/>
        <w:numId w:val="12"/>
      </w:numPr>
      <w:ind w:left="432"/>
    </w:pPr>
  </w:style>
  <w:style w:type="paragraph" w:customStyle="1" w:styleId="Numbered111">
    <w:name w:val="Numbered 1.1.1"/>
    <w:basedOn w:val="Heading3"/>
    <w:next w:val="Normal"/>
    <w:qFormat/>
    <w:rsid w:val="00466877"/>
    <w:pPr>
      <w:numPr>
        <w:ilvl w:val="2"/>
        <w:numId w:val="12"/>
      </w:numPr>
      <w:tabs>
        <w:tab w:val="left" w:pos="1361"/>
      </w:tabs>
      <w:contextualSpacing/>
    </w:pPr>
  </w:style>
  <w:style w:type="paragraph" w:customStyle="1" w:styleId="Numbered1111">
    <w:name w:val="Numbered 1.1.1.1"/>
    <w:basedOn w:val="Heading4"/>
    <w:next w:val="Normal"/>
    <w:rsid w:val="004A1696"/>
    <w:pPr>
      <w:numPr>
        <w:ilvl w:val="3"/>
        <w:numId w:val="12"/>
      </w:numPr>
      <w:tabs>
        <w:tab w:val="left" w:pos="1361"/>
      </w:tabs>
    </w:pPr>
  </w:style>
  <w:style w:type="paragraph" w:customStyle="1" w:styleId="Numbered11111">
    <w:name w:val="Numbered 1.1.1.1.1"/>
    <w:basedOn w:val="Heading5"/>
    <w:next w:val="Normal"/>
    <w:uiPriority w:val="2"/>
    <w:rsid w:val="004A1696"/>
    <w:pPr>
      <w:numPr>
        <w:ilvl w:val="4"/>
        <w:numId w:val="12"/>
      </w:numPr>
      <w:tabs>
        <w:tab w:val="left" w:pos="1701"/>
      </w:tabs>
    </w:pPr>
    <w:rPr>
      <w:rFonts w:ascii="Trebuchet MS" w:hAnsi="Trebuchet MS"/>
    </w:rPr>
  </w:style>
  <w:style w:type="paragraph" w:customStyle="1" w:styleId="Numbered111111">
    <w:name w:val="Numbered 1.1.1.1.1.1"/>
    <w:basedOn w:val="Heading6"/>
    <w:next w:val="Normal"/>
    <w:uiPriority w:val="2"/>
    <w:rsid w:val="004A1696"/>
    <w:pPr>
      <w:numPr>
        <w:ilvl w:val="5"/>
        <w:numId w:val="12"/>
      </w:numPr>
      <w:tabs>
        <w:tab w:val="left" w:pos="1701"/>
      </w:tabs>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8454B5"/>
    <w:pPr>
      <w:spacing w:after="120"/>
      <w:contextualSpacing/>
    </w:pPr>
    <w:rPr>
      <w:rFonts w:asciiTheme="majorHAnsi" w:hAnsiTheme="majorHAnsi"/>
      <w:b/>
      <w:color w:val="0D45D6" w:themeColor="accent2"/>
      <w:sz w:val="24"/>
      <w:szCs w:val="24"/>
    </w:rPr>
  </w:style>
  <w:style w:type="character" w:customStyle="1" w:styleId="PullquoteheadingChar">
    <w:name w:val="Pull quote heading Char"/>
    <w:basedOn w:val="DefaultParagraphFont"/>
    <w:link w:val="Pullquoteheading"/>
    <w:uiPriority w:val="1"/>
    <w:rsid w:val="008454B5"/>
    <w:rPr>
      <w:rFonts w:asciiTheme="majorHAnsi" w:hAnsiTheme="majorHAnsi"/>
      <w:b/>
      <w:color w:val="0D45D6" w:themeColor="accent2"/>
      <w:sz w:val="24"/>
      <w:szCs w:val="24"/>
    </w:rPr>
  </w:style>
  <w:style w:type="paragraph" w:customStyle="1" w:styleId="Pullquotetext">
    <w:name w:val="Pull quote text"/>
    <w:link w:val="PullquotetextChar"/>
    <w:uiPriority w:val="1"/>
    <w:rsid w:val="008454B5"/>
    <w:pPr>
      <w:spacing w:before="120"/>
    </w:pPr>
    <w:rPr>
      <w:rFonts w:asciiTheme="majorHAnsi" w:hAnsiTheme="majorHAnsi"/>
      <w:color w:val="0D45D6" w:themeColor="accent2"/>
      <w:szCs w:val="24"/>
    </w:rPr>
  </w:style>
  <w:style w:type="character" w:customStyle="1" w:styleId="PullquotetextChar">
    <w:name w:val="Pull quote text Char"/>
    <w:basedOn w:val="PullquoteheadingChar"/>
    <w:link w:val="Pullquotetext"/>
    <w:uiPriority w:val="1"/>
    <w:rsid w:val="008454B5"/>
    <w:rPr>
      <w:rFonts w:asciiTheme="majorHAnsi" w:hAnsiTheme="majorHAnsi"/>
      <w:b w:val="0"/>
      <w:color w:val="0D45D6" w:themeColor="accent2"/>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0"/>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4B419B"/>
    <w:pPr>
      <w:spacing w:before="480" w:after="120" w:line="276" w:lineRule="auto"/>
    </w:pPr>
    <w:rPr>
      <w:rFonts w:eastAsiaTheme="majorEastAsia" w:cstheme="majorBidi"/>
      <w:bCs/>
      <w:color w:val="0D45D6" w:themeColor="accent2"/>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615AF5"/>
    <w:rPr>
      <w:rFonts w:ascii="Trebuchet MS" w:hAnsi="Trebuchet MS"/>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002760" w:themeColor="accent1"/>
      <w:szCs w:val="20"/>
    </w:rPr>
  </w:style>
  <w:style w:type="character" w:customStyle="1" w:styleId="Heading9Char">
    <w:name w:val="Heading 9 Char"/>
    <w:aliases w:val="Numbered Table Char"/>
    <w:basedOn w:val="DefaultParagraphFont"/>
    <w:link w:val="Heading9"/>
    <w:uiPriority w:val="2"/>
    <w:rsid w:val="00D64AF7"/>
    <w:rPr>
      <w:rFonts w:ascii="Trebuchet MS" w:eastAsiaTheme="majorEastAsia" w:hAnsi="Trebuchet MS" w:cstheme="majorBidi"/>
      <w:b/>
      <w:iCs/>
      <w:color w:val="000000" w:themeColor="text1"/>
      <w:sz w:val="24"/>
      <w:szCs w:val="20"/>
    </w:rPr>
  </w:style>
  <w:style w:type="paragraph" w:customStyle="1" w:styleId="Numbered1111111">
    <w:name w:val="Numbered 1.1.1.1.1.1.1"/>
    <w:basedOn w:val="Heading7"/>
    <w:next w:val="Normal"/>
    <w:uiPriority w:val="2"/>
    <w:rsid w:val="004A1696"/>
    <w:pPr>
      <w:numPr>
        <w:ilvl w:val="6"/>
        <w:numId w:val="12"/>
      </w:numPr>
      <w:tabs>
        <w:tab w:val="left" w:pos="2041"/>
      </w:tabs>
    </w:pPr>
  </w:style>
  <w:style w:type="paragraph" w:customStyle="1" w:styleId="Numbered11111111">
    <w:name w:val="Numbered 1.1.1.1.1.1.1.1"/>
    <w:basedOn w:val="Heading8"/>
    <w:next w:val="Normal"/>
    <w:uiPriority w:val="2"/>
    <w:rsid w:val="004A1696"/>
    <w:pPr>
      <w:numPr>
        <w:ilvl w:val="7"/>
        <w:numId w:val="12"/>
      </w:numPr>
      <w:tabs>
        <w:tab w:val="left" w:pos="2041"/>
      </w:tabs>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001C47" w:themeColor="accent1" w:themeShade="BF"/>
    </w:rPr>
    <w:tblPr>
      <w:tblStyleRowBandSize w:val="1"/>
      <w:tblStyleColBandSize w:val="1"/>
      <w:tblBorders>
        <w:top w:val="single" w:sz="8" w:space="0" w:color="002760" w:themeColor="accent1"/>
        <w:bottom w:val="single" w:sz="8" w:space="0" w:color="002760" w:themeColor="accent1"/>
      </w:tblBorders>
    </w:tblPr>
    <w:tblStylePr w:type="fir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la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2FF" w:themeFill="accent1" w:themeFillTint="3F"/>
      </w:tcPr>
    </w:tblStylePr>
    <w:tblStylePr w:type="band1Horz">
      <w:tblPr/>
      <w:tcPr>
        <w:tcBorders>
          <w:left w:val="nil"/>
          <w:right w:val="nil"/>
          <w:insideH w:val="nil"/>
          <w:insideV w:val="nil"/>
        </w:tcBorders>
        <w:shd w:val="clear" w:color="auto" w:fill="98C2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179170" w:themeColor="accent3" w:themeShade="BF"/>
    </w:rPr>
    <w:tblPr>
      <w:tblStyleRowBandSize w:val="1"/>
      <w:tblStyleColBandSize w:val="1"/>
      <w:tblBorders>
        <w:top w:val="single" w:sz="8" w:space="0" w:color="1FC296" w:themeColor="accent3"/>
        <w:bottom w:val="single" w:sz="8" w:space="0" w:color="1FC296" w:themeColor="accent3"/>
      </w:tblBorders>
    </w:tblPr>
    <w:tblStylePr w:type="fir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la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F5E7" w:themeFill="accent3" w:themeFillTint="3F"/>
      </w:tcPr>
    </w:tblStylePr>
    <w:tblStylePr w:type="band1Horz">
      <w:tblPr/>
      <w:tcPr>
        <w:tcBorders>
          <w:left w:val="nil"/>
          <w:right w:val="nil"/>
          <w:insideH w:val="nil"/>
          <w:insideV w:val="nil"/>
        </w:tcBorders>
        <w:shd w:val="clear" w:color="auto" w:fill="C2F5E7"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single" w:sz="8" w:space="0" w:color="0050C7" w:themeColor="accent1" w:themeTint="BF"/>
      </w:tblBorders>
    </w:tblPr>
    <w:tblStylePr w:type="firstRow">
      <w:pPr>
        <w:spacing w:before="0" w:after="0" w:line="240" w:lineRule="auto"/>
      </w:pPr>
      <w:rPr>
        <w:b/>
        <w:bCs/>
        <w:color w:val="FFFFFF" w:themeColor="background1"/>
      </w:rPr>
      <w:tblPr/>
      <w:tcPr>
        <w:tc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shd w:val="clear" w:color="auto" w:fill="002760" w:themeFill="accent1"/>
      </w:tcPr>
    </w:tblStylePr>
    <w:tblStylePr w:type="lastRow">
      <w:pPr>
        <w:spacing w:before="0" w:after="0" w:line="240" w:lineRule="auto"/>
      </w:pPr>
      <w:rPr>
        <w:b/>
        <w:bCs/>
      </w:rPr>
      <w:tblPr/>
      <w:tcPr>
        <w:tcBorders>
          <w:top w:val="double" w:sz="6"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2FF" w:themeFill="accent1" w:themeFillTint="3F"/>
      </w:tcPr>
    </w:tblStylePr>
    <w:tblStylePr w:type="band1Horz">
      <w:tblPr/>
      <w:tcPr>
        <w:tcBorders>
          <w:insideH w:val="nil"/>
          <w:insideV w:val="nil"/>
        </w:tcBorders>
        <w:shd w:val="clear" w:color="auto" w:fill="98C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single" w:sz="8" w:space="0" w:color="376BF2" w:themeColor="accent2" w:themeTint="BF"/>
      </w:tblBorders>
    </w:tblPr>
    <w:tblStylePr w:type="firstRow">
      <w:pPr>
        <w:spacing w:before="0" w:after="0" w:line="240" w:lineRule="auto"/>
      </w:pPr>
      <w:rPr>
        <w:b/>
        <w:bCs/>
        <w:color w:val="FFFFFF" w:themeColor="background1"/>
      </w:rPr>
      <w:tblPr/>
      <w:tcPr>
        <w:tc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shd w:val="clear" w:color="auto" w:fill="0D45D6" w:themeFill="accent2"/>
      </w:tcPr>
    </w:tblStylePr>
    <w:tblStylePr w:type="lastRow">
      <w:pPr>
        <w:spacing w:before="0" w:after="0" w:line="240" w:lineRule="auto"/>
      </w:pPr>
      <w:rPr>
        <w:b/>
        <w:bCs/>
      </w:rPr>
      <w:tblPr/>
      <w:tcPr>
        <w:tcBorders>
          <w:top w:val="double" w:sz="6"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CEFB" w:themeFill="accent2" w:themeFillTint="3F"/>
      </w:tcPr>
    </w:tblStylePr>
    <w:tblStylePr w:type="band1Horz">
      <w:tblPr/>
      <w:tcPr>
        <w:tcBorders>
          <w:insideH w:val="nil"/>
          <w:insideV w:val="nil"/>
        </w:tcBorders>
        <w:shd w:val="clear" w:color="auto" w:fill="BDCE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single" w:sz="8" w:space="0" w:color="46E1B7" w:themeColor="accent3" w:themeTint="BF"/>
      </w:tblBorders>
    </w:tblPr>
    <w:tblStylePr w:type="firstRow">
      <w:pPr>
        <w:spacing w:before="0" w:after="0" w:line="240" w:lineRule="auto"/>
      </w:pPr>
      <w:rPr>
        <w:b/>
        <w:bCs/>
        <w:color w:val="FFFFFF" w:themeColor="background1"/>
      </w:rPr>
      <w:tblPr/>
      <w:tcPr>
        <w:tc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shd w:val="clear" w:color="auto" w:fill="1FC296" w:themeFill="accent3"/>
      </w:tcPr>
    </w:tblStylePr>
    <w:tblStylePr w:type="lastRow">
      <w:pPr>
        <w:spacing w:before="0" w:after="0" w:line="240" w:lineRule="auto"/>
      </w:pPr>
      <w:rPr>
        <w:b/>
        <w:bCs/>
      </w:rPr>
      <w:tblPr/>
      <w:tcPr>
        <w:tcBorders>
          <w:top w:val="double" w:sz="6"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C2F5E7" w:themeFill="accent3" w:themeFillTint="3F"/>
      </w:tcPr>
    </w:tblStylePr>
    <w:tblStylePr w:type="band1Horz">
      <w:tblPr/>
      <w:tcPr>
        <w:tcBorders>
          <w:insideH w:val="nil"/>
          <w:insideV w:val="nil"/>
        </w:tcBorders>
        <w:shd w:val="clear" w:color="auto" w:fill="C2F5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7F7F7F"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insideH w:val="single" w:sz="8" w:space="0" w:color="1FC296" w:themeColor="accent3"/>
        <w:insideV w:val="single" w:sz="8" w:space="0" w:color="1FC2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18" w:space="0" w:color="1FC296" w:themeColor="accent3"/>
          <w:right w:val="single" w:sz="8" w:space="0" w:color="1FC296" w:themeColor="accent3"/>
          <w:insideH w:val="nil"/>
          <w:insideV w:val="single" w:sz="8" w:space="0" w:color="1FC2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insideH w:val="nil"/>
          <w:insideV w:val="single" w:sz="8" w:space="0" w:color="1FC2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shd w:val="clear" w:color="auto" w:fill="C2F5E7" w:themeFill="accent3" w:themeFillTint="3F"/>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shd w:val="clear" w:color="auto" w:fill="C2F5E7" w:themeFill="accent3" w:themeFillTint="3F"/>
      </w:tcPr>
    </w:tblStylePr>
    <w:tblStylePr w:type="band2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5B0D13"/>
    <w:pPr>
      <w:tabs>
        <w:tab w:val="left" w:pos="426"/>
        <w:tab w:val="right" w:leader="dot" w:pos="9016"/>
      </w:tabs>
      <w:spacing w:before="160"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935115"/>
    <w:pPr>
      <w:spacing w:before="720" w:after="120"/>
      <w:contextualSpacing/>
      <w:outlineLvl w:val="0"/>
    </w:pPr>
    <w:rPr>
      <w:rFonts w:eastAsiaTheme="majorEastAsia" w:cstheme="majorBidi"/>
      <w:b/>
      <w:color w:val="0D45D6" w:themeColor="accent2"/>
      <w:spacing w:val="5"/>
      <w:kern w:val="28"/>
      <w:sz w:val="72"/>
      <w:szCs w:val="52"/>
    </w:rPr>
  </w:style>
  <w:style w:type="character" w:customStyle="1" w:styleId="TitleChar">
    <w:name w:val="Title Char"/>
    <w:basedOn w:val="DefaultParagraphFont"/>
    <w:link w:val="Title"/>
    <w:uiPriority w:val="10"/>
    <w:rsid w:val="00935115"/>
    <w:rPr>
      <w:rFonts w:ascii="Trebuchet MS" w:eastAsiaTheme="majorEastAsia" w:hAnsi="Trebuchet MS" w:cstheme="majorBidi"/>
      <w:b/>
      <w:color w:val="0D45D6" w:themeColor="accent2"/>
      <w:spacing w:val="5"/>
      <w:kern w:val="28"/>
      <w:sz w:val="72"/>
      <w:szCs w:val="52"/>
    </w:rPr>
  </w:style>
  <w:style w:type="paragraph" w:customStyle="1" w:styleId="CoverDate">
    <w:name w:val="Cover Date"/>
    <w:rsid w:val="00935115"/>
    <w:rPr>
      <w:rFonts w:ascii="Trebuchet MS" w:hAnsi="Trebuchet MS"/>
      <w:color w:val="002760" w:themeColor="accent1"/>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tblBorders>
    </w:tblPr>
    <w:tblStylePr w:type="firstRow">
      <w:pPr>
        <w:spacing w:before="0" w:after="0" w:line="240" w:lineRule="auto"/>
      </w:pPr>
      <w:rPr>
        <w:b/>
        <w:bCs/>
        <w:color w:val="FFFFFF" w:themeColor="background1"/>
      </w:rPr>
      <w:tblPr/>
      <w:tcPr>
        <w:shd w:val="clear" w:color="auto" w:fill="002760" w:themeFill="accent1"/>
      </w:tcPr>
    </w:tblStylePr>
    <w:tblStylePr w:type="lastRow">
      <w:pPr>
        <w:spacing w:before="0" w:after="0" w:line="240" w:lineRule="auto"/>
      </w:pPr>
      <w:rPr>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tcBorders>
      </w:tcPr>
    </w:tblStylePr>
    <w:tblStylePr w:type="firstCol">
      <w:rPr>
        <w:b/>
        <w:bCs/>
      </w:rPr>
    </w:tblStylePr>
    <w:tblStylePr w:type="lastCol">
      <w:rPr>
        <w:b/>
        <w:bCs/>
      </w:r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tblBorders>
    </w:tblPr>
    <w:tblStylePr w:type="firstRow">
      <w:pPr>
        <w:spacing w:before="0" w:after="0" w:line="240" w:lineRule="auto"/>
      </w:pPr>
      <w:rPr>
        <w:b/>
        <w:bCs/>
        <w:color w:val="FFFFFF" w:themeColor="background1"/>
      </w:rPr>
      <w:tblPr/>
      <w:tcPr>
        <w:shd w:val="clear" w:color="auto" w:fill="1FC296" w:themeFill="accent3"/>
      </w:tcPr>
    </w:tblStylePr>
    <w:tblStylePr w:type="lastRow">
      <w:pPr>
        <w:spacing w:before="0" w:after="0" w:line="240" w:lineRule="auto"/>
      </w:pPr>
      <w:rPr>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tcBorders>
      </w:tcPr>
    </w:tblStylePr>
    <w:tblStylePr w:type="firstCol">
      <w:rPr>
        <w:b/>
        <w:bCs/>
      </w:rPr>
    </w:tblStylePr>
    <w:tblStylePr w:type="lastCol">
      <w:rPr>
        <w:b/>
        <w:bCs/>
      </w:r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LTS FOOTNOTE,f,fn"/>
    <w:basedOn w:val="Normal"/>
    <w:link w:val="FootnoteTextChar"/>
    <w:uiPriority w:val="99"/>
    <w:qFormat/>
    <w:rsid w:val="008454B5"/>
    <w:pPr>
      <w:tabs>
        <w:tab w:val="left" w:pos="340"/>
      </w:tabs>
      <w:spacing w:before="60"/>
      <w:ind w:left="340" w:hanging="340"/>
    </w:pPr>
    <w:rPr>
      <w:sz w:val="16"/>
      <w:szCs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LTS FOOTNOTE Char"/>
    <w:basedOn w:val="DefaultParagraphFont"/>
    <w:link w:val="FootnoteText"/>
    <w:uiPriority w:val="99"/>
    <w:qFormat/>
    <w:rsid w:val="008454B5"/>
    <w:rPr>
      <w:rFonts w:ascii="Trebuchet MS" w:hAnsi="Trebuchet MS"/>
      <w:sz w:val="16"/>
      <w:szCs w:val="20"/>
    </w:rPr>
  </w:style>
  <w:style w:type="character" w:styleId="FootnoteReference">
    <w:name w:val="footnote reference"/>
    <w:aliases w:val="Footnote Reference Number,Footnote Reference_LVL6,Footnote Reference_LVL61,Footnote Reference_LVL62,Footnote Reference_LVL63,Footnote Reference_LVL64,normal,fr,SUPERS,EN Footnote Reference,number,ftref,16 Point,Appel note de bas de p."/>
    <w:basedOn w:val="DefaultParagraphFont"/>
    <w:uiPriority w:val="99"/>
    <w:unhideWhenUsed/>
    <w:qFormat/>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935115"/>
    <w:pPr>
      <w:spacing w:before="360" w:after="120"/>
    </w:pPr>
    <w:rPr>
      <w:rFonts w:ascii="Trebuchet MS" w:hAnsi="Trebuchet MS"/>
      <w:color w:val="002760" w:themeColor="accent1"/>
      <w:sz w:val="52"/>
      <w:szCs w:val="52"/>
    </w:rPr>
  </w:style>
  <w:style w:type="character" w:customStyle="1" w:styleId="SubtitleChar">
    <w:name w:val="Subtitle Char"/>
    <w:basedOn w:val="DefaultParagraphFont"/>
    <w:link w:val="Subtitle"/>
    <w:uiPriority w:val="11"/>
    <w:rsid w:val="00935115"/>
    <w:rPr>
      <w:rFonts w:ascii="Trebuchet MS" w:hAnsi="Trebuchet MS"/>
      <w:color w:val="002760" w:themeColor="accent1"/>
      <w:sz w:val="52"/>
      <w:szCs w:val="52"/>
    </w:rPr>
  </w:style>
  <w:style w:type="table" w:styleId="LightShading-Accent4">
    <w:name w:val="Light Shading Accent 4"/>
    <w:basedOn w:val="TableNormal"/>
    <w:uiPriority w:val="60"/>
    <w:rsid w:val="00746E01"/>
    <w:pPr>
      <w:spacing w:before="0"/>
    </w:pPr>
    <w:rPr>
      <w:color w:val="5F5F5F" w:themeColor="accent4" w:themeShade="BF"/>
    </w:rPr>
    <w:tblPr>
      <w:tblStyleRowBandSize w:val="1"/>
      <w:tblStyleColBandSize w:val="1"/>
      <w:tblBorders>
        <w:top w:val="single" w:sz="8" w:space="0" w:color="7F7F7F" w:themeColor="accent4"/>
        <w:bottom w:val="single" w:sz="8" w:space="0" w:color="7F7F7F" w:themeColor="accent4"/>
      </w:tblBorders>
    </w:tblPr>
    <w:tblStylePr w:type="fir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la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tblBorders>
    </w:tblPr>
    <w:tblStylePr w:type="firstRow">
      <w:pPr>
        <w:spacing w:before="0" w:after="0" w:line="240" w:lineRule="auto"/>
      </w:pPr>
      <w:rPr>
        <w:b/>
        <w:bCs/>
        <w:color w:val="FFFFFF" w:themeColor="background1"/>
      </w:rPr>
      <w:tblPr/>
      <w:tcPr>
        <w:shd w:val="clear" w:color="auto" w:fill="0D45D6" w:themeFill="accent2"/>
      </w:tcPr>
    </w:tblStylePr>
    <w:tblStylePr w:type="lastRow">
      <w:pPr>
        <w:spacing w:before="0" w:after="0" w:line="240" w:lineRule="auto"/>
      </w:pPr>
      <w:rPr>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tcBorders>
      </w:tcPr>
    </w:tblStylePr>
    <w:tblStylePr w:type="firstCol">
      <w:rPr>
        <w:b/>
        <w:bCs/>
      </w:rPr>
    </w:tblStylePr>
    <w:tblStylePr w:type="lastCol">
      <w:rPr>
        <w:b/>
        <w:bCs/>
      </w:r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tblBorders>
    </w:tblPr>
    <w:tblStylePr w:type="firstRow">
      <w:pPr>
        <w:spacing w:before="0" w:after="0" w:line="240" w:lineRule="auto"/>
      </w:pPr>
      <w:rPr>
        <w:b/>
        <w:bCs/>
        <w:color w:val="FFFFFF" w:themeColor="background1"/>
      </w:rPr>
      <w:tblPr/>
      <w:tcPr>
        <w:shd w:val="clear" w:color="auto" w:fill="7F7F7F" w:themeFill="accent4"/>
      </w:tcPr>
    </w:tblStylePr>
    <w:tblStylePr w:type="lastRow">
      <w:pPr>
        <w:spacing w:before="0" w:after="0" w:line="240" w:lineRule="auto"/>
      </w:pPr>
      <w:rPr>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tcBorders>
      </w:tcPr>
    </w:tblStylePr>
    <w:tblStylePr w:type="firstCol">
      <w:rPr>
        <w:b/>
        <w:bCs/>
      </w:rPr>
    </w:tblStylePr>
    <w:tblStylePr w:type="lastCol">
      <w:rPr>
        <w:b/>
        <w:bCs/>
      </w:r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insideH w:val="single" w:sz="8" w:space="0" w:color="002760" w:themeColor="accent1"/>
        <w:insideV w:val="single" w:sz="8" w:space="0" w:color="00276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18" w:space="0" w:color="002760" w:themeColor="accent1"/>
          <w:right w:val="single" w:sz="8" w:space="0" w:color="002760" w:themeColor="accent1"/>
          <w:insideH w:val="nil"/>
          <w:insideV w:val="single" w:sz="8" w:space="0" w:color="00276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insideH w:val="nil"/>
          <w:insideV w:val="single" w:sz="8" w:space="0" w:color="00276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shd w:val="clear" w:color="auto" w:fill="98C2FF" w:themeFill="accent1" w:themeFillTint="3F"/>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shd w:val="clear" w:color="auto" w:fill="98C2FF" w:themeFill="accent1" w:themeFillTint="3F"/>
      </w:tcPr>
    </w:tblStylePr>
    <w:tblStylePr w:type="band2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insideH w:val="single" w:sz="8" w:space="0" w:color="0D45D6" w:themeColor="accent2"/>
        <w:insideV w:val="single" w:sz="8" w:space="0" w:color="0D45D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18" w:space="0" w:color="0D45D6" w:themeColor="accent2"/>
          <w:right w:val="single" w:sz="8" w:space="0" w:color="0D45D6" w:themeColor="accent2"/>
          <w:insideH w:val="nil"/>
          <w:insideV w:val="single" w:sz="8" w:space="0" w:color="0D45D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insideH w:val="nil"/>
          <w:insideV w:val="single" w:sz="8" w:space="0" w:color="0D45D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shd w:val="clear" w:color="auto" w:fill="BDCEFB" w:themeFill="accent2" w:themeFillTint="3F"/>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shd w:val="clear" w:color="auto" w:fill="BDCEFB" w:themeFill="accent2" w:themeFillTint="3F"/>
      </w:tcPr>
    </w:tblStylePr>
    <w:tblStylePr w:type="band2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insideH w:val="single" w:sz="8" w:space="0" w:color="7F7F7F" w:themeColor="accent4"/>
        <w:insideV w:val="single" w:sz="8" w:space="0" w:color="7F7F7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18" w:space="0" w:color="7F7F7F" w:themeColor="accent4"/>
          <w:right w:val="single" w:sz="8" w:space="0" w:color="7F7F7F" w:themeColor="accent4"/>
          <w:insideH w:val="nil"/>
          <w:insideV w:val="single" w:sz="8" w:space="0" w:color="7F7F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insideH w:val="nil"/>
          <w:insideV w:val="single" w:sz="8" w:space="0" w:color="7F7F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shd w:val="clear" w:color="auto" w:fill="DFDFDF" w:themeFill="accent4" w:themeFillTint="3F"/>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shd w:val="clear" w:color="auto" w:fill="DFDFDF" w:themeFill="accent4" w:themeFillTint="3F"/>
      </w:tcPr>
    </w:tblStylePr>
    <w:tblStylePr w:type="band2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4A1696"/>
    <w:pPr>
      <w:numPr>
        <w:ilvl w:val="8"/>
        <w:numId w:val="12"/>
      </w:numPr>
      <w:tabs>
        <w:tab w:val="left" w:pos="2381"/>
      </w:tabs>
    </w:pPr>
    <w:rPr>
      <w:sz w:val="20"/>
    </w:r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F353FD"/>
    <w:rPr>
      <w:rFonts w:ascii="Trebuchet MS" w:hAnsi="Trebuchet MS"/>
      <w:sz w:val="16"/>
      <w:vertAlign w:val="superscript"/>
    </w:rPr>
  </w:style>
  <w:style w:type="paragraph" w:customStyle="1" w:styleId="Numberedparagraph11">
    <w:name w:val="Numbered paragraph 1.1"/>
    <w:basedOn w:val="Numbered11"/>
    <w:qFormat/>
    <w:rsid w:val="00E370FD"/>
    <w:pPr>
      <w:outlineLvl w:val="9"/>
    </w:pPr>
    <w:rPr>
      <w:bCs w:val="0"/>
      <w:color w:val="auto"/>
      <w:sz w:val="22"/>
    </w:rPr>
  </w:style>
  <w:style w:type="character" w:customStyle="1" w:styleId="Numbered1Char">
    <w:name w:val="Numbered 1 Char"/>
    <w:basedOn w:val="Heading1Char"/>
    <w:link w:val="Numbered1"/>
    <w:rsid w:val="004A1696"/>
    <w:rPr>
      <w:rFonts w:ascii="Trebuchet MS" w:eastAsiaTheme="majorEastAsia" w:hAnsi="Trebuchet MS" w:cstheme="majorBidi"/>
      <w:bCs/>
      <w:color w:val="0D45D6" w:themeColor="accent2"/>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customStyle="1" w:styleId="Bullet">
    <w:name w:val="Bullet"/>
    <w:aliases w:val="b,b + line,b1,Body,Bullet + line,level 1"/>
    <w:basedOn w:val="Normal"/>
    <w:link w:val="BulletChar"/>
    <w:qFormat/>
    <w:rsid w:val="001F365E"/>
    <w:pPr>
      <w:numPr>
        <w:numId w:val="29"/>
      </w:numPr>
      <w:spacing w:before="0" w:after="160" w:line="259" w:lineRule="auto"/>
    </w:pPr>
    <w:rPr>
      <w:rFonts w:asciiTheme="majorHAnsi" w:eastAsiaTheme="majorEastAsia" w:hAnsiTheme="majorHAnsi" w:cstheme="majorBidi"/>
      <w:color w:val="001C47" w:themeColor="accent1" w:themeShade="BF"/>
      <w:sz w:val="26"/>
      <w:szCs w:val="26"/>
    </w:rPr>
  </w:style>
  <w:style w:type="character" w:customStyle="1" w:styleId="BulletChar">
    <w:name w:val="Bullet Char"/>
    <w:aliases w:val="b Char,b1 Char,b + line Char,Body Char,level 1 Char,Bullet + line Char,b + line Char Char,b Char Char,Bullets Char,L Char,List Paragraph Char,List Paragraph1 Char,List Paragraph11 Char,List Paragraph2 Char,Number Char,Recommendation Char"/>
    <w:basedOn w:val="Heading2Char"/>
    <w:link w:val="Bullet"/>
    <w:qFormat/>
    <w:rsid w:val="001F365E"/>
    <w:rPr>
      <w:rFonts w:asciiTheme="majorHAnsi" w:eastAsiaTheme="majorEastAsia" w:hAnsiTheme="majorHAnsi" w:cstheme="majorBidi"/>
      <w:bCs w:val="0"/>
      <w:color w:val="001C47" w:themeColor="accent1" w:themeShade="BF"/>
      <w:sz w:val="26"/>
      <w:szCs w:val="26"/>
    </w:rPr>
  </w:style>
  <w:style w:type="paragraph" w:customStyle="1" w:styleId="Dash">
    <w:name w:val="Dash"/>
    <w:basedOn w:val="Normal"/>
    <w:link w:val="DashChar"/>
    <w:qFormat/>
    <w:rsid w:val="001F365E"/>
    <w:pPr>
      <w:numPr>
        <w:ilvl w:val="1"/>
        <w:numId w:val="29"/>
      </w:numPr>
      <w:spacing w:before="0" w:after="160" w:line="259" w:lineRule="auto"/>
    </w:pPr>
    <w:rPr>
      <w:rFonts w:asciiTheme="majorHAnsi" w:eastAsiaTheme="majorEastAsia" w:hAnsiTheme="majorHAnsi" w:cstheme="majorBidi"/>
      <w:color w:val="001C47" w:themeColor="accent1" w:themeShade="BF"/>
      <w:sz w:val="26"/>
      <w:szCs w:val="26"/>
    </w:rPr>
  </w:style>
  <w:style w:type="paragraph" w:customStyle="1" w:styleId="DoubleDot">
    <w:name w:val="Double Dot"/>
    <w:basedOn w:val="Normal"/>
    <w:qFormat/>
    <w:rsid w:val="001F365E"/>
    <w:pPr>
      <w:numPr>
        <w:ilvl w:val="2"/>
        <w:numId w:val="29"/>
      </w:numPr>
      <w:spacing w:before="0" w:after="160" w:line="259" w:lineRule="auto"/>
    </w:pPr>
    <w:rPr>
      <w:rFonts w:asciiTheme="majorHAnsi" w:eastAsiaTheme="majorEastAsia" w:hAnsiTheme="majorHAnsi" w:cstheme="majorBidi"/>
      <w:color w:val="001C47" w:themeColor="accent1" w:themeShade="BF"/>
      <w:sz w:val="26"/>
      <w:szCs w:val="26"/>
    </w:rPr>
  </w:style>
  <w:style w:type="character" w:styleId="CommentReference">
    <w:name w:val="annotation reference"/>
    <w:basedOn w:val="DefaultParagraphFont"/>
    <w:uiPriority w:val="99"/>
    <w:semiHidden/>
    <w:unhideWhenUsed/>
    <w:rsid w:val="001F365E"/>
    <w:rPr>
      <w:sz w:val="16"/>
      <w:szCs w:val="16"/>
    </w:rPr>
  </w:style>
  <w:style w:type="paragraph" w:styleId="CommentText">
    <w:name w:val="annotation text"/>
    <w:basedOn w:val="Normal"/>
    <w:link w:val="CommentTextChar"/>
    <w:uiPriority w:val="99"/>
    <w:unhideWhenUsed/>
    <w:rsid w:val="001F365E"/>
    <w:pPr>
      <w:spacing w:before="120" w:after="120"/>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1F365E"/>
    <w:rPr>
      <w:rFonts w:ascii="Calibri" w:eastAsia="Times New Roman" w:hAnsi="Calibri" w:cs="Times New Roman"/>
      <w:sz w:val="20"/>
      <w:szCs w:val="20"/>
      <w:lang w:eastAsia="en-AU"/>
    </w:rPr>
  </w:style>
  <w:style w:type="table" w:styleId="PlainTable1">
    <w:name w:val="Plain Table 1"/>
    <w:basedOn w:val="TableNormal"/>
    <w:uiPriority w:val="41"/>
    <w:rsid w:val="00442052"/>
    <w:pPr>
      <w:spacing w:before="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EB5BC6"/>
    <w:pPr>
      <w:spacing w:before="200" w:after="0"/>
    </w:pPr>
    <w:rPr>
      <w:rFonts w:ascii="Trebuchet MS" w:eastAsiaTheme="minorHAnsi" w:hAnsi="Trebuchet MS" w:cstheme="minorBidi"/>
      <w:b/>
      <w:bCs/>
      <w:lang w:eastAsia="en-US"/>
    </w:rPr>
  </w:style>
  <w:style w:type="character" w:customStyle="1" w:styleId="CommentSubjectChar">
    <w:name w:val="Comment Subject Char"/>
    <w:basedOn w:val="CommentTextChar"/>
    <w:link w:val="CommentSubject"/>
    <w:uiPriority w:val="99"/>
    <w:semiHidden/>
    <w:rsid w:val="00EB5BC6"/>
    <w:rPr>
      <w:rFonts w:ascii="Trebuchet MS" w:eastAsia="Times New Roman" w:hAnsi="Trebuchet MS" w:cs="Times New Roman"/>
      <w:b/>
      <w:bCs/>
      <w:sz w:val="20"/>
      <w:szCs w:val="20"/>
      <w:lang w:eastAsia="en-AU"/>
    </w:rPr>
  </w:style>
  <w:style w:type="character" w:styleId="UnresolvedMention">
    <w:name w:val="Unresolved Mention"/>
    <w:basedOn w:val="DefaultParagraphFont"/>
    <w:uiPriority w:val="99"/>
    <w:semiHidden/>
    <w:unhideWhenUsed/>
    <w:rsid w:val="004C26B8"/>
    <w:rPr>
      <w:color w:val="605E5C"/>
      <w:shd w:val="clear" w:color="auto" w:fill="E1DFDD"/>
    </w:rPr>
  </w:style>
  <w:style w:type="paragraph" w:styleId="Revision">
    <w:name w:val="Revision"/>
    <w:hidden/>
    <w:uiPriority w:val="99"/>
    <w:semiHidden/>
    <w:rsid w:val="003F3135"/>
    <w:pPr>
      <w:spacing w:before="0"/>
    </w:pPr>
    <w:rPr>
      <w:rFonts w:ascii="Trebuchet MS" w:hAnsi="Trebuchet MS"/>
    </w:rPr>
  </w:style>
  <w:style w:type="paragraph" w:customStyle="1" w:styleId="ChartGraphic">
    <w:name w:val="Chart Graphic"/>
    <w:basedOn w:val="Normal"/>
    <w:next w:val="Normal"/>
    <w:rsid w:val="00DA75ED"/>
    <w:pPr>
      <w:keepNext/>
      <w:spacing w:before="0"/>
      <w:jc w:val="center"/>
    </w:pPr>
    <w:rPr>
      <w:rFonts w:ascii="Calibri Light" w:eastAsia="Times New Roman" w:hAnsi="Calibri Light" w:cs="Times New Roman"/>
      <w:color w:val="004A7F"/>
      <w:sz w:val="20"/>
      <w:szCs w:val="20"/>
      <w:lang w:eastAsia="en-AU"/>
    </w:rPr>
  </w:style>
  <w:style w:type="character" w:customStyle="1" w:styleId="DashChar">
    <w:name w:val="Dash Char"/>
    <w:basedOn w:val="Heading2Char"/>
    <w:link w:val="Dash"/>
    <w:rsid w:val="00AC2612"/>
    <w:rPr>
      <w:rFonts w:asciiTheme="majorHAnsi" w:eastAsiaTheme="majorEastAsia" w:hAnsiTheme="majorHAnsi" w:cstheme="majorBidi"/>
      <w:bCs w:val="0"/>
      <w:color w:val="001C47" w:themeColor="accent1" w:themeShade="BF"/>
      <w:sz w:val="26"/>
      <w:szCs w:val="26"/>
    </w:rPr>
  </w:style>
  <w:style w:type="paragraph" w:styleId="NormalWeb">
    <w:name w:val="Normal (Web)"/>
    <w:basedOn w:val="Normal"/>
    <w:uiPriority w:val="99"/>
    <w:unhideWhenUsed/>
    <w:rsid w:val="00AC2612"/>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1859">
      <w:bodyDiv w:val="1"/>
      <w:marLeft w:val="0"/>
      <w:marRight w:val="0"/>
      <w:marTop w:val="0"/>
      <w:marBottom w:val="0"/>
      <w:divBdr>
        <w:top w:val="none" w:sz="0" w:space="0" w:color="auto"/>
        <w:left w:val="none" w:sz="0" w:space="0" w:color="auto"/>
        <w:bottom w:val="none" w:sz="0" w:space="0" w:color="auto"/>
        <w:right w:val="none" w:sz="0" w:space="0" w:color="auto"/>
      </w:divBdr>
    </w:div>
    <w:div w:id="605231001">
      <w:bodyDiv w:val="1"/>
      <w:marLeft w:val="0"/>
      <w:marRight w:val="0"/>
      <w:marTop w:val="0"/>
      <w:marBottom w:val="0"/>
      <w:divBdr>
        <w:top w:val="none" w:sz="0" w:space="0" w:color="auto"/>
        <w:left w:val="none" w:sz="0" w:space="0" w:color="auto"/>
        <w:bottom w:val="none" w:sz="0" w:space="0" w:color="auto"/>
        <w:right w:val="none" w:sz="0" w:space="0" w:color="auto"/>
      </w:divBdr>
    </w:div>
    <w:div w:id="605696019">
      <w:bodyDiv w:val="1"/>
      <w:marLeft w:val="0"/>
      <w:marRight w:val="0"/>
      <w:marTop w:val="0"/>
      <w:marBottom w:val="0"/>
      <w:divBdr>
        <w:top w:val="none" w:sz="0" w:space="0" w:color="auto"/>
        <w:left w:val="none" w:sz="0" w:space="0" w:color="auto"/>
        <w:bottom w:val="none" w:sz="0" w:space="0" w:color="auto"/>
        <w:right w:val="none" w:sz="0" w:space="0" w:color="auto"/>
      </w:divBdr>
    </w:div>
    <w:div w:id="87746902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78946251">
      <w:bodyDiv w:val="1"/>
      <w:marLeft w:val="0"/>
      <w:marRight w:val="0"/>
      <w:marTop w:val="0"/>
      <w:marBottom w:val="0"/>
      <w:divBdr>
        <w:top w:val="none" w:sz="0" w:space="0" w:color="auto"/>
        <w:left w:val="none" w:sz="0" w:space="0" w:color="auto"/>
        <w:bottom w:val="none" w:sz="0" w:space="0" w:color="auto"/>
        <w:right w:val="none" w:sz="0" w:space="0" w:color="auto"/>
      </w:divBdr>
    </w:div>
    <w:div w:id="1319113392">
      <w:bodyDiv w:val="1"/>
      <w:marLeft w:val="0"/>
      <w:marRight w:val="0"/>
      <w:marTop w:val="0"/>
      <w:marBottom w:val="0"/>
      <w:divBdr>
        <w:top w:val="none" w:sz="0" w:space="0" w:color="auto"/>
        <w:left w:val="none" w:sz="0" w:space="0" w:color="auto"/>
        <w:bottom w:val="none" w:sz="0" w:space="0" w:color="auto"/>
        <w:right w:val="none" w:sz="0" w:space="0" w:color="auto"/>
      </w:divBdr>
    </w:div>
    <w:div w:id="1456681672">
      <w:bodyDiv w:val="1"/>
      <w:marLeft w:val="0"/>
      <w:marRight w:val="0"/>
      <w:marTop w:val="0"/>
      <w:marBottom w:val="0"/>
      <w:divBdr>
        <w:top w:val="none" w:sz="0" w:space="0" w:color="auto"/>
        <w:left w:val="none" w:sz="0" w:space="0" w:color="auto"/>
        <w:bottom w:val="none" w:sz="0" w:space="0" w:color="auto"/>
        <w:right w:val="none" w:sz="0" w:space="0" w:color="auto"/>
      </w:divBdr>
    </w:div>
    <w:div w:id="1809057083">
      <w:bodyDiv w:val="1"/>
      <w:marLeft w:val="0"/>
      <w:marRight w:val="0"/>
      <w:marTop w:val="0"/>
      <w:marBottom w:val="0"/>
      <w:divBdr>
        <w:top w:val="none" w:sz="0" w:space="0" w:color="auto"/>
        <w:left w:val="none" w:sz="0" w:space="0" w:color="auto"/>
        <w:bottom w:val="none" w:sz="0" w:space="0" w:color="auto"/>
        <w:right w:val="none" w:sz="0" w:space="0" w:color="auto"/>
      </w:divBdr>
    </w:div>
    <w:div w:id="1810394550">
      <w:bodyDiv w:val="1"/>
      <w:marLeft w:val="0"/>
      <w:marRight w:val="0"/>
      <w:marTop w:val="0"/>
      <w:marBottom w:val="0"/>
      <w:divBdr>
        <w:top w:val="none" w:sz="0" w:space="0" w:color="auto"/>
        <w:left w:val="none" w:sz="0" w:space="0" w:color="auto"/>
        <w:bottom w:val="none" w:sz="0" w:space="0" w:color="auto"/>
        <w:right w:val="none" w:sz="0" w:space="0" w:color="auto"/>
      </w:divBdr>
    </w:div>
    <w:div w:id="1909875911">
      <w:bodyDiv w:val="1"/>
      <w:marLeft w:val="0"/>
      <w:marRight w:val="0"/>
      <w:marTop w:val="0"/>
      <w:marBottom w:val="0"/>
      <w:divBdr>
        <w:top w:val="none" w:sz="0" w:space="0" w:color="auto"/>
        <w:left w:val="none" w:sz="0" w:space="0" w:color="auto"/>
        <w:bottom w:val="none" w:sz="0" w:space="0" w:color="auto"/>
        <w:right w:val="none" w:sz="0" w:space="0" w:color="auto"/>
      </w:divBdr>
    </w:div>
    <w:div w:id="2030832166">
      <w:bodyDiv w:val="1"/>
      <w:marLeft w:val="0"/>
      <w:marRight w:val="0"/>
      <w:marTop w:val="0"/>
      <w:marBottom w:val="0"/>
      <w:divBdr>
        <w:top w:val="none" w:sz="0" w:space="0" w:color="auto"/>
        <w:left w:val="none" w:sz="0" w:space="0" w:color="auto"/>
        <w:bottom w:val="none" w:sz="0" w:space="0" w:color="auto"/>
        <w:right w:val="none" w:sz="0" w:space="0" w:color="auto"/>
      </w:divBdr>
      <w:divsChild>
        <w:div w:id="753429011">
          <w:marLeft w:val="288"/>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hyperlink" Target="https://www.oaic.gov.au/consumer-data-right/compliance-and-enforcement-poli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mailto:media@treasury.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creativecommons.org/licenses/by/3.0/au/deed.en"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pmc.gov.au/government/commonwealth-coat-arm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rba.gov.au/publications/fsr/2019/apr/box-d.html" TargetMode="External"/><Relationship Id="rId2" Type="http://schemas.openxmlformats.org/officeDocument/2006/relationships/hyperlink" Target="https://treasury.gov.au/consultation/c2022-253782" TargetMode="External"/><Relationship Id="rId1" Type="http://schemas.openxmlformats.org/officeDocument/2006/relationships/hyperlink" Target="https://treasury.gov.au/publication/p2022-242997" TargetMode="External"/><Relationship Id="rId4" Type="http://schemas.openxmlformats.org/officeDocument/2006/relationships/hyperlink" Target="https://www.fintechaustralia.org.au/basiq-announces-five-new-customers-to-access-open-ban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CDR\CDR%20report%20template.dotm" TargetMode="External"/></Relationships>
</file>

<file path=word/theme/theme1.xml><?xml version="1.0" encoding="utf-8"?>
<a:theme xmlns:a="http://schemas.openxmlformats.org/drawingml/2006/main" name="Theme1">
  <a:themeElements>
    <a:clrScheme name="CDR">
      <a:dk1>
        <a:sysClr val="windowText" lastClr="000000"/>
      </a:dk1>
      <a:lt1>
        <a:sysClr val="window" lastClr="FFFFFF"/>
      </a:lt1>
      <a:dk2>
        <a:srgbClr val="003591"/>
      </a:dk2>
      <a:lt2>
        <a:srgbClr val="D5D6D2"/>
      </a:lt2>
      <a:accent1>
        <a:srgbClr val="002760"/>
      </a:accent1>
      <a:accent2>
        <a:srgbClr val="0D45D6"/>
      </a:accent2>
      <a:accent3>
        <a:srgbClr val="1FC296"/>
      </a:accent3>
      <a:accent4>
        <a:srgbClr val="7F7F7F"/>
      </a:accent4>
      <a:accent5>
        <a:srgbClr val="FFC502"/>
      </a:accent5>
      <a:accent6>
        <a:srgbClr val="FF7600"/>
      </a:accent6>
      <a:hlink>
        <a:srgbClr val="0000FF"/>
      </a:hlink>
      <a:folHlink>
        <a:srgbClr val="800080"/>
      </a:folHlink>
    </a:clrScheme>
    <a:fontScheme name="Custom 2">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2022MG-133-93652</_dlc_DocId>
    <_dlc_DocIdUrl xmlns="0f563589-9cf9-4143-b1eb-fb0534803d38">
      <Url>http://tweb/sites/mg/sbccpd/_layouts/15/DocIdRedir.aspx?ID=2022MG-133-93652</Url>
      <Description>2022MG-133-93652</Description>
    </_dlc_DocIdUrl>
    <SecurityClassification xmlns="d4dd4adf-ddb3-46a3-8d7c-fab3fb2a6bc7" xsi:nil="true"/>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8964" ma:contentTypeDescription="" ma:contentTypeScope="" ma:versionID="35f7f208f7b66c2eec5f6688b9918fb9">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9f171c4881bc829b0501d7ea54a82ac"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9"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E16EFA-020A-479F-9829-509279B61864}">
  <ds:schemaRef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dd4adf-ddb3-46a3-8d7c-fab3fb2a6bc7"/>
    <ds:schemaRef ds:uri="http://www.w3.org/XML/1998/namespace"/>
    <ds:schemaRef ds:uri="http://purl.org/dc/dcmitype/"/>
  </ds:schemaRefs>
</ds:datastoreItem>
</file>

<file path=customXml/itemProps3.xml><?xml version="1.0" encoding="utf-8"?>
<ds:datastoreItem xmlns:ds="http://schemas.openxmlformats.org/officeDocument/2006/customXml" ds:itemID="{5C59EA16-7FF9-4AAD-B05D-EC8601828082}">
  <ds:schemaRefs>
    <ds:schemaRef ds:uri="office.server.policy"/>
  </ds:schemaRefs>
</ds:datastoreItem>
</file>

<file path=customXml/itemProps4.xml><?xml version="1.0" encoding="utf-8"?>
<ds:datastoreItem xmlns:ds="http://schemas.openxmlformats.org/officeDocument/2006/customXml" ds:itemID="{521BF542-949A-4B50-95DB-F3F0C7C50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925ADF-9DB4-4EB0-8207-D6677636F0A3}">
  <ds:schemaRefs>
    <ds:schemaRef ds:uri="http://schemas.microsoft.com/sharepoint/events"/>
  </ds:schemaRefs>
</ds:datastoreItem>
</file>

<file path=customXml/itemProps6.xml><?xml version="1.0" encoding="utf-8"?>
<ds:datastoreItem xmlns:ds="http://schemas.openxmlformats.org/officeDocument/2006/customXml" ds:itemID="{5DFAFFC1-A6F0-4B84-AB13-35A22370A367}">
  <ds:schemaRefs>
    <ds:schemaRef ds:uri="http://schemas.microsoft.com/sharepoint/v3/contenttype/forms"/>
  </ds:schemaRefs>
</ds:datastoreItem>
</file>

<file path=customXml/itemProps7.xml><?xml version="1.0" encoding="utf-8"?>
<ds:datastoreItem xmlns:ds="http://schemas.openxmlformats.org/officeDocument/2006/customXml" ds:itemID="{05AC12D7-79C6-45E1-BC64-2DB2EC5F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CDR report template.dotm</Template>
  <TotalTime>4</TotalTime>
  <Pages>44</Pages>
  <Words>16476</Words>
  <Characters>92835</Characters>
  <Application>Microsoft Office Word</Application>
  <DocSecurity>0</DocSecurity>
  <Lines>2113</Lines>
  <Paragraphs>458</Paragraphs>
  <ScaleCrop>false</ScaleCrop>
  <HeadingPairs>
    <vt:vector size="2" baseType="variant">
      <vt:variant>
        <vt:lpstr>Title</vt:lpstr>
      </vt:variant>
      <vt:variant>
        <vt:i4>1</vt:i4>
      </vt:variant>
    </vt:vector>
  </HeadingPairs>
  <TitlesOfParts>
    <vt:vector size="1" baseType="lpstr">
      <vt:lpstr>Consumer data right: Non-bank lending sectoral assessment - Final report</vt:lpstr>
    </vt:vector>
  </TitlesOfParts>
  <Company/>
  <LinksUpToDate>false</LinksUpToDate>
  <CharactersWithSpaces>109057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data right: Non-bank lending sectoral assessment - Final report</dc:title>
  <dc:subject/>
  <dc:creator>Consumer Data Right</dc:creator>
  <cp:lastModifiedBy>Hill, Christine</cp:lastModifiedBy>
  <cp:revision>3</cp:revision>
  <dcterms:created xsi:type="dcterms:W3CDTF">2022-08-17T03:26:00Z</dcterms:created>
  <dcterms:modified xsi:type="dcterms:W3CDTF">2022-08-17T04:26:00Z</dcterms:modified>
</cp:coreProperties>
</file>