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E7FC" w14:textId="77777777" w:rsidR="00715914" w:rsidRPr="001104F3" w:rsidRDefault="00DA186E" w:rsidP="00B05CF4">
      <w:pPr>
        <w:rPr>
          <w:sz w:val="28"/>
        </w:rPr>
      </w:pPr>
      <w:r w:rsidRPr="001104F3">
        <w:rPr>
          <w:noProof/>
          <w:lang w:eastAsia="en-AU"/>
        </w:rPr>
        <w:drawing>
          <wp:inline distT="0" distB="0" distL="0" distR="0" wp14:anchorId="3A86E96F" wp14:editId="3A86E97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C77E56" w14:paraId="3A86E7FF" w14:textId="77777777" w:rsidTr="00C77E56">
        <w:tc>
          <w:tcPr>
            <w:tcW w:w="5000" w:type="pct"/>
            <w:shd w:val="clear" w:color="auto" w:fill="auto"/>
          </w:tcPr>
          <w:p w14:paraId="3A86E7FD" w14:textId="77777777" w:rsidR="00C77E56" w:rsidRDefault="00C77E56" w:rsidP="00C77E56">
            <w:pPr>
              <w:jc w:val="center"/>
              <w:rPr>
                <w:b/>
                <w:sz w:val="26"/>
              </w:rPr>
            </w:pPr>
            <w:r>
              <w:rPr>
                <w:b/>
                <w:sz w:val="26"/>
              </w:rPr>
              <w:t>EXPOSURE DRAFT</w:t>
            </w:r>
          </w:p>
          <w:p w14:paraId="3A86E7FE" w14:textId="77777777" w:rsidR="00C77E56" w:rsidRPr="00C77E56" w:rsidRDefault="00C77E56" w:rsidP="00C77E56">
            <w:pPr>
              <w:rPr>
                <w:b/>
                <w:sz w:val="20"/>
              </w:rPr>
            </w:pPr>
          </w:p>
        </w:tc>
      </w:tr>
    </w:tbl>
    <w:p w14:paraId="3A86E800" w14:textId="77777777" w:rsidR="00715914" w:rsidRDefault="00715914" w:rsidP="00715914">
      <w:pPr>
        <w:rPr>
          <w:sz w:val="19"/>
        </w:rPr>
      </w:pPr>
    </w:p>
    <w:p w14:paraId="3A86E801" w14:textId="77777777" w:rsidR="00C77E56" w:rsidRPr="001104F3" w:rsidRDefault="00C77E56" w:rsidP="00715914">
      <w:pPr>
        <w:rPr>
          <w:sz w:val="19"/>
        </w:rPr>
      </w:pPr>
    </w:p>
    <w:p w14:paraId="3A86E802" w14:textId="77777777" w:rsidR="00715914" w:rsidRPr="001104F3" w:rsidRDefault="00824BC5" w:rsidP="00715914">
      <w:pPr>
        <w:pStyle w:val="ShortT"/>
      </w:pPr>
      <w:r w:rsidRPr="001104F3">
        <w:t xml:space="preserve">Financial Accountability Regime Minister </w:t>
      </w:r>
      <w:r w:rsidR="00FE360B" w:rsidRPr="001104F3">
        <w:t>Rules 2</w:t>
      </w:r>
      <w:r w:rsidRPr="001104F3">
        <w:t>02</w:t>
      </w:r>
      <w:r w:rsidR="00487374" w:rsidRPr="001104F3">
        <w:t>2</w:t>
      </w:r>
    </w:p>
    <w:p w14:paraId="3A86E803" w14:textId="77777777" w:rsidR="001F6CD4" w:rsidRPr="001104F3" w:rsidRDefault="001F6CD4" w:rsidP="00715914"/>
    <w:p w14:paraId="3A86E804" w14:textId="77777777" w:rsidR="001F6CD4" w:rsidRPr="001104F3" w:rsidRDefault="001F6CD4" w:rsidP="00715914"/>
    <w:p w14:paraId="3A86E805" w14:textId="77777777" w:rsidR="001F6CD4" w:rsidRPr="001104F3" w:rsidRDefault="001F6CD4" w:rsidP="00715914"/>
    <w:p w14:paraId="3A86E806" w14:textId="77777777" w:rsidR="0044015E" w:rsidRPr="001104F3" w:rsidRDefault="0044015E" w:rsidP="0044015E">
      <w:pPr>
        <w:pStyle w:val="Portfolio"/>
      </w:pPr>
      <w:r w:rsidRPr="001104F3">
        <w:t>(</w:t>
      </w:r>
      <w:r w:rsidR="000437C1" w:rsidRPr="001104F3">
        <w:t>Minister/Maker</w:t>
      </w:r>
      <w:r w:rsidRPr="001104F3">
        <w:t>)</w:t>
      </w:r>
    </w:p>
    <w:p w14:paraId="3A86E807" w14:textId="77777777" w:rsidR="007050A2" w:rsidRPr="001104F3" w:rsidRDefault="007050A2" w:rsidP="00715914"/>
    <w:p w14:paraId="3A86E808" w14:textId="77777777" w:rsidR="001F6CD4" w:rsidRPr="001104F3" w:rsidRDefault="001F6CD4" w:rsidP="00715914"/>
    <w:p w14:paraId="3A86E809" w14:textId="77777777" w:rsidR="001F6CD4" w:rsidRPr="001104F3" w:rsidRDefault="001F6CD4" w:rsidP="00715914"/>
    <w:p w14:paraId="3A86E80A" w14:textId="77777777" w:rsidR="00715914" w:rsidRPr="00C77E56" w:rsidRDefault="00715914" w:rsidP="00715914">
      <w:pPr>
        <w:pStyle w:val="Header"/>
        <w:tabs>
          <w:tab w:val="clear" w:pos="4150"/>
          <w:tab w:val="clear" w:pos="8307"/>
        </w:tabs>
      </w:pPr>
      <w:r w:rsidRPr="00C77E56">
        <w:rPr>
          <w:rStyle w:val="CharChapNo"/>
        </w:rPr>
        <w:t xml:space="preserve"> </w:t>
      </w:r>
      <w:r w:rsidRPr="00C77E56">
        <w:rPr>
          <w:rStyle w:val="CharChapText"/>
        </w:rPr>
        <w:t xml:space="preserve"> </w:t>
      </w:r>
    </w:p>
    <w:p w14:paraId="3A86E80B" w14:textId="77777777" w:rsidR="00715914" w:rsidRPr="00C77E56" w:rsidRDefault="00715914" w:rsidP="00715914">
      <w:pPr>
        <w:pStyle w:val="Header"/>
        <w:tabs>
          <w:tab w:val="clear" w:pos="4150"/>
          <w:tab w:val="clear" w:pos="8307"/>
        </w:tabs>
      </w:pPr>
      <w:r w:rsidRPr="00C77E56">
        <w:rPr>
          <w:rStyle w:val="CharPartNo"/>
        </w:rPr>
        <w:t xml:space="preserve"> </w:t>
      </w:r>
      <w:r w:rsidRPr="00C77E56">
        <w:rPr>
          <w:rStyle w:val="CharPartText"/>
        </w:rPr>
        <w:t xml:space="preserve"> </w:t>
      </w:r>
    </w:p>
    <w:p w14:paraId="3A86E80C" w14:textId="77777777" w:rsidR="00715914" w:rsidRPr="00C77E56" w:rsidRDefault="00715914" w:rsidP="00715914">
      <w:pPr>
        <w:pStyle w:val="Header"/>
        <w:tabs>
          <w:tab w:val="clear" w:pos="4150"/>
          <w:tab w:val="clear" w:pos="8307"/>
        </w:tabs>
      </w:pPr>
      <w:r w:rsidRPr="00C77E56">
        <w:rPr>
          <w:rStyle w:val="CharDivNo"/>
        </w:rPr>
        <w:t xml:space="preserve"> </w:t>
      </w:r>
      <w:r w:rsidRPr="00C77E56">
        <w:rPr>
          <w:rStyle w:val="CharDivText"/>
        </w:rPr>
        <w:t xml:space="preserve"> </w:t>
      </w:r>
    </w:p>
    <w:p w14:paraId="3A86E80D" w14:textId="77777777" w:rsidR="00715914" w:rsidRPr="001104F3" w:rsidRDefault="00715914" w:rsidP="00715914">
      <w:pPr>
        <w:sectPr w:rsidR="00715914" w:rsidRPr="001104F3" w:rsidSect="00FA1E5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3A86E80E" w14:textId="77777777" w:rsidR="00F67BCA" w:rsidRPr="001104F3" w:rsidRDefault="00715914" w:rsidP="00715914">
      <w:pPr>
        <w:outlineLvl w:val="0"/>
        <w:rPr>
          <w:sz w:val="36"/>
        </w:rPr>
      </w:pPr>
      <w:r w:rsidRPr="001104F3">
        <w:rPr>
          <w:sz w:val="36"/>
        </w:rPr>
        <w:lastRenderedPageBreak/>
        <w:t>Contents</w:t>
      </w:r>
    </w:p>
    <w:p w14:paraId="3A86E80F" w14:textId="77777777" w:rsidR="00C77E56" w:rsidRDefault="00C77E5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77E56">
        <w:rPr>
          <w:b w:val="0"/>
          <w:noProof/>
          <w:sz w:val="18"/>
        </w:rPr>
        <w:tab/>
      </w:r>
      <w:r w:rsidRPr="00C77E56">
        <w:rPr>
          <w:b w:val="0"/>
          <w:noProof/>
          <w:sz w:val="18"/>
        </w:rPr>
        <w:fldChar w:fldCharType="begin"/>
      </w:r>
      <w:r w:rsidRPr="00C77E56">
        <w:rPr>
          <w:b w:val="0"/>
          <w:noProof/>
          <w:sz w:val="18"/>
        </w:rPr>
        <w:instrText xml:space="preserve"> PAGEREF _Toc111453511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10" w14:textId="77777777" w:rsidR="00C77E56" w:rsidRDefault="00C77E56">
      <w:pPr>
        <w:pStyle w:val="TOC5"/>
        <w:rPr>
          <w:rFonts w:asciiTheme="minorHAnsi" w:eastAsiaTheme="minorEastAsia" w:hAnsiTheme="minorHAnsi" w:cstheme="minorBidi"/>
          <w:noProof/>
          <w:kern w:val="0"/>
          <w:sz w:val="22"/>
          <w:szCs w:val="22"/>
        </w:rPr>
      </w:pPr>
      <w:r>
        <w:rPr>
          <w:noProof/>
        </w:rPr>
        <w:t>1</w:t>
      </w:r>
      <w:r>
        <w:rPr>
          <w:noProof/>
        </w:rPr>
        <w:tab/>
        <w:t>Name</w:t>
      </w:r>
      <w:r w:rsidRPr="00C77E56">
        <w:rPr>
          <w:noProof/>
        </w:rPr>
        <w:tab/>
      </w:r>
      <w:r w:rsidRPr="00C77E56">
        <w:rPr>
          <w:noProof/>
        </w:rPr>
        <w:fldChar w:fldCharType="begin"/>
      </w:r>
      <w:r w:rsidRPr="00C77E56">
        <w:rPr>
          <w:noProof/>
        </w:rPr>
        <w:instrText xml:space="preserve"> PAGEREF _Toc111453512 \h </w:instrText>
      </w:r>
      <w:r w:rsidRPr="00C77E56">
        <w:rPr>
          <w:noProof/>
        </w:rPr>
      </w:r>
      <w:r w:rsidRPr="00C77E56">
        <w:rPr>
          <w:noProof/>
        </w:rPr>
        <w:fldChar w:fldCharType="separate"/>
      </w:r>
      <w:r w:rsidR="004C6765">
        <w:rPr>
          <w:noProof/>
        </w:rPr>
        <w:t>1</w:t>
      </w:r>
      <w:r w:rsidRPr="00C77E56">
        <w:rPr>
          <w:noProof/>
        </w:rPr>
        <w:fldChar w:fldCharType="end"/>
      </w:r>
    </w:p>
    <w:p w14:paraId="3A86E811" w14:textId="77777777" w:rsidR="00C77E56" w:rsidRDefault="00C77E56">
      <w:pPr>
        <w:pStyle w:val="TOC5"/>
        <w:rPr>
          <w:rFonts w:asciiTheme="minorHAnsi" w:eastAsiaTheme="minorEastAsia" w:hAnsiTheme="minorHAnsi" w:cstheme="minorBidi"/>
          <w:noProof/>
          <w:kern w:val="0"/>
          <w:sz w:val="22"/>
          <w:szCs w:val="22"/>
        </w:rPr>
      </w:pPr>
      <w:r>
        <w:rPr>
          <w:noProof/>
        </w:rPr>
        <w:t>2</w:t>
      </w:r>
      <w:r>
        <w:rPr>
          <w:noProof/>
        </w:rPr>
        <w:tab/>
        <w:t>Commencement</w:t>
      </w:r>
      <w:r w:rsidRPr="00C77E56">
        <w:rPr>
          <w:noProof/>
        </w:rPr>
        <w:tab/>
      </w:r>
      <w:r w:rsidRPr="00C77E56">
        <w:rPr>
          <w:noProof/>
        </w:rPr>
        <w:fldChar w:fldCharType="begin"/>
      </w:r>
      <w:r w:rsidRPr="00C77E56">
        <w:rPr>
          <w:noProof/>
        </w:rPr>
        <w:instrText xml:space="preserve"> PAGEREF _Toc111453513 \h </w:instrText>
      </w:r>
      <w:r w:rsidRPr="00C77E56">
        <w:rPr>
          <w:noProof/>
        </w:rPr>
      </w:r>
      <w:r w:rsidRPr="00C77E56">
        <w:rPr>
          <w:noProof/>
        </w:rPr>
        <w:fldChar w:fldCharType="separate"/>
      </w:r>
      <w:r w:rsidR="004C6765">
        <w:rPr>
          <w:noProof/>
        </w:rPr>
        <w:t>1</w:t>
      </w:r>
      <w:r w:rsidRPr="00C77E56">
        <w:rPr>
          <w:noProof/>
        </w:rPr>
        <w:fldChar w:fldCharType="end"/>
      </w:r>
    </w:p>
    <w:p w14:paraId="3A86E812" w14:textId="77777777" w:rsidR="00C77E56" w:rsidRDefault="00C77E56">
      <w:pPr>
        <w:pStyle w:val="TOC5"/>
        <w:rPr>
          <w:rFonts w:asciiTheme="minorHAnsi" w:eastAsiaTheme="minorEastAsia" w:hAnsiTheme="minorHAnsi" w:cstheme="minorBidi"/>
          <w:noProof/>
          <w:kern w:val="0"/>
          <w:sz w:val="22"/>
          <w:szCs w:val="22"/>
        </w:rPr>
      </w:pPr>
      <w:r>
        <w:rPr>
          <w:noProof/>
        </w:rPr>
        <w:t>3</w:t>
      </w:r>
      <w:r>
        <w:rPr>
          <w:noProof/>
        </w:rPr>
        <w:tab/>
        <w:t>Authority</w:t>
      </w:r>
      <w:r w:rsidRPr="00C77E56">
        <w:rPr>
          <w:noProof/>
        </w:rPr>
        <w:tab/>
      </w:r>
      <w:r w:rsidRPr="00C77E56">
        <w:rPr>
          <w:noProof/>
        </w:rPr>
        <w:fldChar w:fldCharType="begin"/>
      </w:r>
      <w:r w:rsidRPr="00C77E56">
        <w:rPr>
          <w:noProof/>
        </w:rPr>
        <w:instrText xml:space="preserve"> PAGEREF _Toc111453514 \h </w:instrText>
      </w:r>
      <w:r w:rsidRPr="00C77E56">
        <w:rPr>
          <w:noProof/>
        </w:rPr>
      </w:r>
      <w:r w:rsidRPr="00C77E56">
        <w:rPr>
          <w:noProof/>
        </w:rPr>
        <w:fldChar w:fldCharType="separate"/>
      </w:r>
      <w:r w:rsidR="004C6765">
        <w:rPr>
          <w:noProof/>
        </w:rPr>
        <w:t>1</w:t>
      </w:r>
      <w:r w:rsidRPr="00C77E56">
        <w:rPr>
          <w:noProof/>
        </w:rPr>
        <w:fldChar w:fldCharType="end"/>
      </w:r>
    </w:p>
    <w:p w14:paraId="3A86E813" w14:textId="77777777" w:rsidR="00C77E56" w:rsidRDefault="00C77E56">
      <w:pPr>
        <w:pStyle w:val="TOC5"/>
        <w:rPr>
          <w:rFonts w:asciiTheme="minorHAnsi" w:eastAsiaTheme="minorEastAsia" w:hAnsiTheme="minorHAnsi" w:cstheme="minorBidi"/>
          <w:noProof/>
          <w:kern w:val="0"/>
          <w:sz w:val="22"/>
          <w:szCs w:val="22"/>
        </w:rPr>
      </w:pPr>
      <w:r>
        <w:rPr>
          <w:noProof/>
        </w:rPr>
        <w:t>4</w:t>
      </w:r>
      <w:r>
        <w:rPr>
          <w:noProof/>
        </w:rPr>
        <w:tab/>
        <w:t>Definitions</w:t>
      </w:r>
      <w:r w:rsidRPr="00C77E56">
        <w:rPr>
          <w:noProof/>
        </w:rPr>
        <w:tab/>
      </w:r>
      <w:r w:rsidRPr="00C77E56">
        <w:rPr>
          <w:noProof/>
        </w:rPr>
        <w:fldChar w:fldCharType="begin"/>
      </w:r>
      <w:r w:rsidRPr="00C77E56">
        <w:rPr>
          <w:noProof/>
        </w:rPr>
        <w:instrText xml:space="preserve"> PAGEREF _Toc111453515 \h </w:instrText>
      </w:r>
      <w:r w:rsidRPr="00C77E56">
        <w:rPr>
          <w:noProof/>
        </w:rPr>
      </w:r>
      <w:r w:rsidRPr="00C77E56">
        <w:rPr>
          <w:noProof/>
        </w:rPr>
        <w:fldChar w:fldCharType="separate"/>
      </w:r>
      <w:r w:rsidR="004C6765">
        <w:rPr>
          <w:noProof/>
        </w:rPr>
        <w:t>1</w:t>
      </w:r>
      <w:r w:rsidRPr="00C77E56">
        <w:rPr>
          <w:noProof/>
        </w:rPr>
        <w:fldChar w:fldCharType="end"/>
      </w:r>
    </w:p>
    <w:p w14:paraId="3A86E814" w14:textId="77777777" w:rsidR="00C77E56" w:rsidRDefault="00C77E56">
      <w:pPr>
        <w:pStyle w:val="TOC2"/>
        <w:rPr>
          <w:rFonts w:asciiTheme="minorHAnsi" w:eastAsiaTheme="minorEastAsia" w:hAnsiTheme="minorHAnsi" w:cstheme="minorBidi"/>
          <w:b w:val="0"/>
          <w:noProof/>
          <w:kern w:val="0"/>
          <w:sz w:val="22"/>
          <w:szCs w:val="22"/>
        </w:rPr>
      </w:pPr>
      <w:r>
        <w:rPr>
          <w:noProof/>
        </w:rPr>
        <w:t>Part 2—Accountable persons—prescribed responsibilities and positions</w:t>
      </w:r>
      <w:r w:rsidRPr="00C77E56">
        <w:rPr>
          <w:b w:val="0"/>
          <w:noProof/>
          <w:sz w:val="18"/>
        </w:rPr>
        <w:tab/>
      </w:r>
      <w:r w:rsidRPr="00C77E56">
        <w:rPr>
          <w:b w:val="0"/>
          <w:noProof/>
          <w:sz w:val="18"/>
        </w:rPr>
        <w:fldChar w:fldCharType="begin"/>
      </w:r>
      <w:r w:rsidRPr="00C77E56">
        <w:rPr>
          <w:b w:val="0"/>
          <w:noProof/>
          <w:sz w:val="18"/>
        </w:rPr>
        <w:instrText xml:space="preserve"> PAGEREF _Toc111453516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15" w14:textId="77777777" w:rsidR="00C77E56" w:rsidRDefault="00C77E56">
      <w:pPr>
        <w:pStyle w:val="TOC5"/>
        <w:rPr>
          <w:rFonts w:asciiTheme="minorHAnsi" w:eastAsiaTheme="minorEastAsia" w:hAnsiTheme="minorHAnsi" w:cstheme="minorBidi"/>
          <w:noProof/>
          <w:kern w:val="0"/>
          <w:sz w:val="22"/>
          <w:szCs w:val="22"/>
        </w:rPr>
      </w:pPr>
      <w:r>
        <w:rPr>
          <w:noProof/>
        </w:rPr>
        <w:t>5</w:t>
      </w:r>
      <w:r>
        <w:rPr>
          <w:noProof/>
        </w:rPr>
        <w:tab/>
        <w:t>Prescribed responsibilities for accountable entities other than foreign accountable entities and NOHCs—all sectors</w:t>
      </w:r>
      <w:r w:rsidRPr="00C77E56">
        <w:rPr>
          <w:noProof/>
        </w:rPr>
        <w:tab/>
      </w:r>
      <w:r w:rsidRPr="00C77E56">
        <w:rPr>
          <w:noProof/>
        </w:rPr>
        <w:fldChar w:fldCharType="begin"/>
      </w:r>
      <w:r w:rsidRPr="00C77E56">
        <w:rPr>
          <w:noProof/>
        </w:rPr>
        <w:instrText xml:space="preserve"> PAGEREF _Toc111453517 \h </w:instrText>
      </w:r>
      <w:r w:rsidRPr="00C77E56">
        <w:rPr>
          <w:noProof/>
        </w:rPr>
      </w:r>
      <w:r w:rsidRPr="00C77E56">
        <w:rPr>
          <w:noProof/>
        </w:rPr>
        <w:fldChar w:fldCharType="separate"/>
      </w:r>
      <w:r w:rsidR="004C6765">
        <w:rPr>
          <w:noProof/>
        </w:rPr>
        <w:t>1</w:t>
      </w:r>
      <w:r w:rsidRPr="00C77E56">
        <w:rPr>
          <w:noProof/>
        </w:rPr>
        <w:fldChar w:fldCharType="end"/>
      </w:r>
    </w:p>
    <w:p w14:paraId="3A86E816" w14:textId="77777777" w:rsidR="00C77E56" w:rsidRDefault="00C77E56">
      <w:pPr>
        <w:pStyle w:val="TOC5"/>
        <w:rPr>
          <w:rFonts w:asciiTheme="minorHAnsi" w:eastAsiaTheme="minorEastAsia" w:hAnsiTheme="minorHAnsi" w:cstheme="minorBidi"/>
          <w:noProof/>
          <w:kern w:val="0"/>
          <w:sz w:val="22"/>
          <w:szCs w:val="22"/>
        </w:rPr>
      </w:pPr>
      <w:r>
        <w:rPr>
          <w:noProof/>
        </w:rPr>
        <w:t>6</w:t>
      </w:r>
      <w:r>
        <w:rPr>
          <w:noProof/>
        </w:rPr>
        <w:tab/>
        <w:t>Prescribed positions for accountable entities other than foreign accountable entities and NOHCs—all sectors</w:t>
      </w:r>
      <w:r w:rsidRPr="00C77E56">
        <w:rPr>
          <w:noProof/>
        </w:rPr>
        <w:tab/>
      </w:r>
      <w:r w:rsidRPr="00C77E56">
        <w:rPr>
          <w:noProof/>
        </w:rPr>
        <w:fldChar w:fldCharType="begin"/>
      </w:r>
      <w:r w:rsidRPr="00C77E56">
        <w:rPr>
          <w:noProof/>
        </w:rPr>
        <w:instrText xml:space="preserve"> PAGEREF _Toc111453518 \h </w:instrText>
      </w:r>
      <w:r w:rsidRPr="00C77E56">
        <w:rPr>
          <w:noProof/>
        </w:rPr>
      </w:r>
      <w:r w:rsidRPr="00C77E56">
        <w:rPr>
          <w:noProof/>
        </w:rPr>
        <w:fldChar w:fldCharType="separate"/>
      </w:r>
      <w:r w:rsidR="004C6765">
        <w:rPr>
          <w:noProof/>
        </w:rPr>
        <w:t>1</w:t>
      </w:r>
      <w:r w:rsidRPr="00C77E56">
        <w:rPr>
          <w:noProof/>
        </w:rPr>
        <w:fldChar w:fldCharType="end"/>
      </w:r>
    </w:p>
    <w:p w14:paraId="3A86E817" w14:textId="77777777" w:rsidR="00C77E56" w:rsidRDefault="00C77E56">
      <w:pPr>
        <w:pStyle w:val="TOC5"/>
        <w:rPr>
          <w:rFonts w:asciiTheme="minorHAnsi" w:eastAsiaTheme="minorEastAsia" w:hAnsiTheme="minorHAnsi" w:cstheme="minorBidi"/>
          <w:noProof/>
          <w:kern w:val="0"/>
          <w:sz w:val="22"/>
          <w:szCs w:val="22"/>
        </w:rPr>
      </w:pPr>
      <w:r>
        <w:rPr>
          <w:noProof/>
        </w:rPr>
        <w:t>7</w:t>
      </w:r>
      <w:r>
        <w:rPr>
          <w:noProof/>
        </w:rPr>
        <w:tab/>
        <w:t>Prescribed responsibilities for accountable entities other than foreign accountable entities and NOHCs—insurance</w:t>
      </w:r>
      <w:r w:rsidRPr="00C77E56">
        <w:rPr>
          <w:noProof/>
        </w:rPr>
        <w:tab/>
      </w:r>
      <w:r w:rsidRPr="00C77E56">
        <w:rPr>
          <w:noProof/>
        </w:rPr>
        <w:fldChar w:fldCharType="begin"/>
      </w:r>
      <w:r w:rsidRPr="00C77E56">
        <w:rPr>
          <w:noProof/>
        </w:rPr>
        <w:instrText xml:space="preserve"> PAGEREF _Toc111453519 \h </w:instrText>
      </w:r>
      <w:r w:rsidRPr="00C77E56">
        <w:rPr>
          <w:noProof/>
        </w:rPr>
      </w:r>
      <w:r w:rsidRPr="00C77E56">
        <w:rPr>
          <w:noProof/>
        </w:rPr>
        <w:fldChar w:fldCharType="separate"/>
      </w:r>
      <w:r w:rsidR="004C6765">
        <w:rPr>
          <w:noProof/>
        </w:rPr>
        <w:t>1</w:t>
      </w:r>
      <w:r w:rsidRPr="00C77E56">
        <w:rPr>
          <w:noProof/>
        </w:rPr>
        <w:fldChar w:fldCharType="end"/>
      </w:r>
    </w:p>
    <w:p w14:paraId="3A86E818" w14:textId="77777777" w:rsidR="00C77E56" w:rsidRDefault="00C77E56">
      <w:pPr>
        <w:pStyle w:val="TOC5"/>
        <w:rPr>
          <w:rFonts w:asciiTheme="minorHAnsi" w:eastAsiaTheme="minorEastAsia" w:hAnsiTheme="minorHAnsi" w:cstheme="minorBidi"/>
          <w:noProof/>
          <w:kern w:val="0"/>
          <w:sz w:val="22"/>
          <w:szCs w:val="22"/>
        </w:rPr>
      </w:pPr>
      <w:r>
        <w:rPr>
          <w:noProof/>
        </w:rPr>
        <w:t>8</w:t>
      </w:r>
      <w:r>
        <w:rPr>
          <w:noProof/>
        </w:rPr>
        <w:tab/>
        <w:t>Prescribed responsibilities for accountable entities that are RSE licensees</w:t>
      </w:r>
      <w:r w:rsidRPr="00C77E56">
        <w:rPr>
          <w:noProof/>
        </w:rPr>
        <w:tab/>
      </w:r>
      <w:r w:rsidRPr="00C77E56">
        <w:rPr>
          <w:noProof/>
        </w:rPr>
        <w:fldChar w:fldCharType="begin"/>
      </w:r>
      <w:r w:rsidRPr="00C77E56">
        <w:rPr>
          <w:noProof/>
        </w:rPr>
        <w:instrText xml:space="preserve"> PAGEREF _Toc111453520 \h </w:instrText>
      </w:r>
      <w:r w:rsidRPr="00C77E56">
        <w:rPr>
          <w:noProof/>
        </w:rPr>
      </w:r>
      <w:r w:rsidRPr="00C77E56">
        <w:rPr>
          <w:noProof/>
        </w:rPr>
        <w:fldChar w:fldCharType="separate"/>
      </w:r>
      <w:r w:rsidR="004C6765">
        <w:rPr>
          <w:noProof/>
        </w:rPr>
        <w:t>1</w:t>
      </w:r>
      <w:r w:rsidRPr="00C77E56">
        <w:rPr>
          <w:noProof/>
        </w:rPr>
        <w:fldChar w:fldCharType="end"/>
      </w:r>
    </w:p>
    <w:p w14:paraId="3A86E819" w14:textId="77777777" w:rsidR="00C77E56" w:rsidRDefault="00C77E56">
      <w:pPr>
        <w:pStyle w:val="TOC5"/>
        <w:rPr>
          <w:rFonts w:asciiTheme="minorHAnsi" w:eastAsiaTheme="minorEastAsia" w:hAnsiTheme="minorHAnsi" w:cstheme="minorBidi"/>
          <w:noProof/>
          <w:kern w:val="0"/>
          <w:sz w:val="22"/>
          <w:szCs w:val="22"/>
        </w:rPr>
      </w:pPr>
      <w:r>
        <w:rPr>
          <w:noProof/>
        </w:rPr>
        <w:t>9</w:t>
      </w:r>
      <w:r>
        <w:rPr>
          <w:noProof/>
        </w:rPr>
        <w:tab/>
        <w:t>Prescribed responsibilities for accountable entities that are foreign accountable entities</w:t>
      </w:r>
      <w:r w:rsidRPr="00C77E56">
        <w:rPr>
          <w:noProof/>
        </w:rPr>
        <w:tab/>
      </w:r>
      <w:r w:rsidRPr="00C77E56">
        <w:rPr>
          <w:noProof/>
        </w:rPr>
        <w:fldChar w:fldCharType="begin"/>
      </w:r>
      <w:r w:rsidRPr="00C77E56">
        <w:rPr>
          <w:noProof/>
        </w:rPr>
        <w:instrText xml:space="preserve"> PAGEREF _Toc111453521 \h </w:instrText>
      </w:r>
      <w:r w:rsidRPr="00C77E56">
        <w:rPr>
          <w:noProof/>
        </w:rPr>
      </w:r>
      <w:r w:rsidRPr="00C77E56">
        <w:rPr>
          <w:noProof/>
        </w:rPr>
        <w:fldChar w:fldCharType="separate"/>
      </w:r>
      <w:r w:rsidR="004C6765">
        <w:rPr>
          <w:noProof/>
        </w:rPr>
        <w:t>1</w:t>
      </w:r>
      <w:r w:rsidRPr="00C77E56">
        <w:rPr>
          <w:noProof/>
        </w:rPr>
        <w:fldChar w:fldCharType="end"/>
      </w:r>
    </w:p>
    <w:p w14:paraId="3A86E81A" w14:textId="77777777" w:rsidR="00C77E56" w:rsidRDefault="00C77E56">
      <w:pPr>
        <w:pStyle w:val="TOC5"/>
        <w:rPr>
          <w:rFonts w:asciiTheme="minorHAnsi" w:eastAsiaTheme="minorEastAsia" w:hAnsiTheme="minorHAnsi" w:cstheme="minorBidi"/>
          <w:noProof/>
          <w:kern w:val="0"/>
          <w:sz w:val="22"/>
          <w:szCs w:val="22"/>
        </w:rPr>
      </w:pPr>
      <w:r>
        <w:rPr>
          <w:noProof/>
        </w:rPr>
        <w:t>10</w:t>
      </w:r>
      <w:r>
        <w:rPr>
          <w:noProof/>
        </w:rPr>
        <w:tab/>
        <w:t>Prescribed responsibilities for accountable entities that are NOHCs</w:t>
      </w:r>
      <w:r w:rsidRPr="00C77E56">
        <w:rPr>
          <w:noProof/>
        </w:rPr>
        <w:tab/>
      </w:r>
      <w:r w:rsidRPr="00C77E56">
        <w:rPr>
          <w:noProof/>
        </w:rPr>
        <w:fldChar w:fldCharType="begin"/>
      </w:r>
      <w:r w:rsidRPr="00C77E56">
        <w:rPr>
          <w:noProof/>
        </w:rPr>
        <w:instrText xml:space="preserve"> PAGEREF _Toc111453522 \h </w:instrText>
      </w:r>
      <w:r w:rsidRPr="00C77E56">
        <w:rPr>
          <w:noProof/>
        </w:rPr>
      </w:r>
      <w:r w:rsidRPr="00C77E56">
        <w:rPr>
          <w:noProof/>
        </w:rPr>
        <w:fldChar w:fldCharType="separate"/>
      </w:r>
      <w:r w:rsidR="004C6765">
        <w:rPr>
          <w:noProof/>
        </w:rPr>
        <w:t>1</w:t>
      </w:r>
      <w:r w:rsidRPr="00C77E56">
        <w:rPr>
          <w:noProof/>
        </w:rPr>
        <w:fldChar w:fldCharType="end"/>
      </w:r>
    </w:p>
    <w:p w14:paraId="3A86E81B" w14:textId="77777777" w:rsidR="00C77E56" w:rsidRDefault="00C77E56">
      <w:pPr>
        <w:pStyle w:val="TOC5"/>
        <w:rPr>
          <w:rFonts w:asciiTheme="minorHAnsi" w:eastAsiaTheme="minorEastAsia" w:hAnsiTheme="minorHAnsi" w:cstheme="minorBidi"/>
          <w:noProof/>
          <w:kern w:val="0"/>
          <w:sz w:val="22"/>
          <w:szCs w:val="22"/>
        </w:rPr>
      </w:pPr>
      <w:r>
        <w:rPr>
          <w:noProof/>
        </w:rPr>
        <w:t>11</w:t>
      </w:r>
      <w:r>
        <w:rPr>
          <w:noProof/>
        </w:rPr>
        <w:tab/>
        <w:t>Prescribed positions for accountable entities that are NOHCs</w:t>
      </w:r>
      <w:r w:rsidRPr="00C77E56">
        <w:rPr>
          <w:noProof/>
        </w:rPr>
        <w:tab/>
      </w:r>
      <w:r w:rsidRPr="00C77E56">
        <w:rPr>
          <w:noProof/>
        </w:rPr>
        <w:fldChar w:fldCharType="begin"/>
      </w:r>
      <w:r w:rsidRPr="00C77E56">
        <w:rPr>
          <w:noProof/>
        </w:rPr>
        <w:instrText xml:space="preserve"> PAGEREF _Toc111453523 \h </w:instrText>
      </w:r>
      <w:r w:rsidRPr="00C77E56">
        <w:rPr>
          <w:noProof/>
        </w:rPr>
      </w:r>
      <w:r w:rsidRPr="00C77E56">
        <w:rPr>
          <w:noProof/>
        </w:rPr>
        <w:fldChar w:fldCharType="separate"/>
      </w:r>
      <w:r w:rsidR="004C6765">
        <w:rPr>
          <w:noProof/>
        </w:rPr>
        <w:t>1</w:t>
      </w:r>
      <w:r w:rsidRPr="00C77E56">
        <w:rPr>
          <w:noProof/>
        </w:rPr>
        <w:fldChar w:fldCharType="end"/>
      </w:r>
    </w:p>
    <w:p w14:paraId="3A86E81C" w14:textId="77777777" w:rsidR="00C77E56" w:rsidRDefault="00C77E56">
      <w:pPr>
        <w:pStyle w:val="TOC5"/>
        <w:rPr>
          <w:rFonts w:asciiTheme="minorHAnsi" w:eastAsiaTheme="minorEastAsia" w:hAnsiTheme="minorHAnsi" w:cstheme="minorBidi"/>
          <w:noProof/>
          <w:kern w:val="0"/>
          <w:sz w:val="22"/>
          <w:szCs w:val="22"/>
        </w:rPr>
      </w:pPr>
      <w:r>
        <w:rPr>
          <w:noProof/>
        </w:rPr>
        <w:t>12</w:t>
      </w:r>
      <w:r>
        <w:rPr>
          <w:noProof/>
        </w:rPr>
        <w:tab/>
        <w:t>Relationship between provisions</w:t>
      </w:r>
      <w:r w:rsidRPr="00C77E56">
        <w:rPr>
          <w:noProof/>
        </w:rPr>
        <w:tab/>
      </w:r>
      <w:r w:rsidRPr="00C77E56">
        <w:rPr>
          <w:noProof/>
        </w:rPr>
        <w:fldChar w:fldCharType="begin"/>
      </w:r>
      <w:r w:rsidRPr="00C77E56">
        <w:rPr>
          <w:noProof/>
        </w:rPr>
        <w:instrText xml:space="preserve"> PAGEREF _Toc111453524 \h </w:instrText>
      </w:r>
      <w:r w:rsidRPr="00C77E56">
        <w:rPr>
          <w:noProof/>
        </w:rPr>
      </w:r>
      <w:r w:rsidRPr="00C77E56">
        <w:rPr>
          <w:noProof/>
        </w:rPr>
        <w:fldChar w:fldCharType="separate"/>
      </w:r>
      <w:r w:rsidR="004C6765">
        <w:rPr>
          <w:noProof/>
        </w:rPr>
        <w:t>1</w:t>
      </w:r>
      <w:r w:rsidRPr="00C77E56">
        <w:rPr>
          <w:noProof/>
        </w:rPr>
        <w:fldChar w:fldCharType="end"/>
      </w:r>
    </w:p>
    <w:p w14:paraId="3A86E81D" w14:textId="77777777" w:rsidR="00C77E56" w:rsidRDefault="00C77E56">
      <w:pPr>
        <w:pStyle w:val="TOC2"/>
        <w:rPr>
          <w:rFonts w:asciiTheme="minorHAnsi" w:eastAsiaTheme="minorEastAsia" w:hAnsiTheme="minorHAnsi" w:cstheme="minorBidi"/>
          <w:b w:val="0"/>
          <w:noProof/>
          <w:kern w:val="0"/>
          <w:sz w:val="22"/>
          <w:szCs w:val="22"/>
        </w:rPr>
      </w:pPr>
      <w:r>
        <w:rPr>
          <w:noProof/>
        </w:rPr>
        <w:t>Part 3—Accountable entities—enhanced notification threshold</w:t>
      </w:r>
      <w:r w:rsidRPr="00C77E56">
        <w:rPr>
          <w:b w:val="0"/>
          <w:noProof/>
          <w:sz w:val="18"/>
        </w:rPr>
        <w:tab/>
      </w:r>
      <w:r w:rsidRPr="00C77E56">
        <w:rPr>
          <w:b w:val="0"/>
          <w:noProof/>
          <w:sz w:val="18"/>
        </w:rPr>
        <w:fldChar w:fldCharType="begin"/>
      </w:r>
      <w:r w:rsidRPr="00C77E56">
        <w:rPr>
          <w:b w:val="0"/>
          <w:noProof/>
          <w:sz w:val="18"/>
        </w:rPr>
        <w:instrText xml:space="preserve"> PAGEREF _Toc111453525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1E" w14:textId="77777777" w:rsidR="00C77E56" w:rsidRDefault="00C77E56">
      <w:pPr>
        <w:pStyle w:val="TOC3"/>
        <w:rPr>
          <w:rFonts w:asciiTheme="minorHAnsi" w:eastAsiaTheme="minorEastAsia" w:hAnsiTheme="minorHAnsi" w:cstheme="minorBidi"/>
          <w:b w:val="0"/>
          <w:noProof/>
          <w:kern w:val="0"/>
          <w:szCs w:val="22"/>
        </w:rPr>
      </w:pPr>
      <w:r>
        <w:rPr>
          <w:noProof/>
        </w:rPr>
        <w:t>Division 1—Accountable entities that are ADIs</w:t>
      </w:r>
      <w:r w:rsidRPr="00C77E56">
        <w:rPr>
          <w:b w:val="0"/>
          <w:noProof/>
          <w:sz w:val="18"/>
        </w:rPr>
        <w:tab/>
      </w:r>
      <w:r w:rsidRPr="00C77E56">
        <w:rPr>
          <w:b w:val="0"/>
          <w:noProof/>
          <w:sz w:val="18"/>
        </w:rPr>
        <w:fldChar w:fldCharType="begin"/>
      </w:r>
      <w:r w:rsidRPr="00C77E56">
        <w:rPr>
          <w:b w:val="0"/>
          <w:noProof/>
          <w:sz w:val="18"/>
        </w:rPr>
        <w:instrText xml:space="preserve"> PAGEREF _Toc111453526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1F" w14:textId="77777777" w:rsidR="00C77E56" w:rsidRDefault="00C77E56">
      <w:pPr>
        <w:pStyle w:val="TOC5"/>
        <w:rPr>
          <w:rFonts w:asciiTheme="minorHAnsi" w:eastAsiaTheme="minorEastAsia" w:hAnsiTheme="minorHAnsi" w:cstheme="minorBidi"/>
          <w:noProof/>
          <w:kern w:val="0"/>
          <w:sz w:val="22"/>
          <w:szCs w:val="22"/>
        </w:rPr>
      </w:pPr>
      <w:r>
        <w:rPr>
          <w:noProof/>
        </w:rPr>
        <w:t>13</w:t>
      </w:r>
      <w:r>
        <w:rPr>
          <w:noProof/>
        </w:rPr>
        <w:tab/>
        <w:t>Determining when accountable entity meets enhanced notification threshold—ADIs</w:t>
      </w:r>
      <w:r w:rsidRPr="00C77E56">
        <w:rPr>
          <w:noProof/>
        </w:rPr>
        <w:tab/>
      </w:r>
      <w:r w:rsidRPr="00C77E56">
        <w:rPr>
          <w:noProof/>
        </w:rPr>
        <w:fldChar w:fldCharType="begin"/>
      </w:r>
      <w:r w:rsidRPr="00C77E56">
        <w:rPr>
          <w:noProof/>
        </w:rPr>
        <w:instrText xml:space="preserve"> PAGEREF _Toc111453527 \h </w:instrText>
      </w:r>
      <w:r w:rsidRPr="00C77E56">
        <w:rPr>
          <w:noProof/>
        </w:rPr>
      </w:r>
      <w:r w:rsidRPr="00C77E56">
        <w:rPr>
          <w:noProof/>
        </w:rPr>
        <w:fldChar w:fldCharType="separate"/>
      </w:r>
      <w:r w:rsidR="004C6765">
        <w:rPr>
          <w:noProof/>
        </w:rPr>
        <w:t>1</w:t>
      </w:r>
      <w:r w:rsidRPr="00C77E56">
        <w:rPr>
          <w:noProof/>
        </w:rPr>
        <w:fldChar w:fldCharType="end"/>
      </w:r>
    </w:p>
    <w:p w14:paraId="3A86E820" w14:textId="77777777" w:rsidR="00C77E56" w:rsidRDefault="00C77E56">
      <w:pPr>
        <w:pStyle w:val="TOC5"/>
        <w:rPr>
          <w:rFonts w:asciiTheme="minorHAnsi" w:eastAsiaTheme="minorEastAsia" w:hAnsiTheme="minorHAnsi" w:cstheme="minorBidi"/>
          <w:noProof/>
          <w:kern w:val="0"/>
          <w:sz w:val="22"/>
          <w:szCs w:val="22"/>
        </w:rPr>
      </w:pPr>
      <w:r>
        <w:rPr>
          <w:noProof/>
        </w:rPr>
        <w:t>14</w:t>
      </w:r>
      <w:r>
        <w:rPr>
          <w:noProof/>
        </w:rPr>
        <w:tab/>
        <w:t>Total asset size—ADIs</w:t>
      </w:r>
      <w:r w:rsidRPr="00C77E56">
        <w:rPr>
          <w:noProof/>
        </w:rPr>
        <w:tab/>
      </w:r>
      <w:r w:rsidRPr="00C77E56">
        <w:rPr>
          <w:noProof/>
        </w:rPr>
        <w:fldChar w:fldCharType="begin"/>
      </w:r>
      <w:r w:rsidRPr="00C77E56">
        <w:rPr>
          <w:noProof/>
        </w:rPr>
        <w:instrText xml:space="preserve"> PAGEREF _Toc111453528 \h </w:instrText>
      </w:r>
      <w:r w:rsidRPr="00C77E56">
        <w:rPr>
          <w:noProof/>
        </w:rPr>
      </w:r>
      <w:r w:rsidRPr="00C77E56">
        <w:rPr>
          <w:noProof/>
        </w:rPr>
        <w:fldChar w:fldCharType="separate"/>
      </w:r>
      <w:r w:rsidR="004C6765">
        <w:rPr>
          <w:noProof/>
        </w:rPr>
        <w:t>1</w:t>
      </w:r>
      <w:r w:rsidRPr="00C77E56">
        <w:rPr>
          <w:noProof/>
        </w:rPr>
        <w:fldChar w:fldCharType="end"/>
      </w:r>
    </w:p>
    <w:p w14:paraId="3A86E821" w14:textId="77777777" w:rsidR="00C77E56" w:rsidRDefault="00C77E56">
      <w:pPr>
        <w:pStyle w:val="TOC5"/>
        <w:rPr>
          <w:rFonts w:asciiTheme="minorHAnsi" w:eastAsiaTheme="minorEastAsia" w:hAnsiTheme="minorHAnsi" w:cstheme="minorBidi"/>
          <w:noProof/>
          <w:kern w:val="0"/>
          <w:sz w:val="22"/>
          <w:szCs w:val="22"/>
        </w:rPr>
      </w:pPr>
      <w:r>
        <w:rPr>
          <w:noProof/>
        </w:rPr>
        <w:t>15</w:t>
      </w:r>
      <w:r>
        <w:rPr>
          <w:noProof/>
        </w:rPr>
        <w:tab/>
        <w:t>Final report—ADIs</w:t>
      </w:r>
      <w:r w:rsidRPr="00C77E56">
        <w:rPr>
          <w:noProof/>
        </w:rPr>
        <w:tab/>
      </w:r>
      <w:r w:rsidRPr="00C77E56">
        <w:rPr>
          <w:noProof/>
        </w:rPr>
        <w:fldChar w:fldCharType="begin"/>
      </w:r>
      <w:r w:rsidRPr="00C77E56">
        <w:rPr>
          <w:noProof/>
        </w:rPr>
        <w:instrText xml:space="preserve"> PAGEREF _Toc111453529 \h </w:instrText>
      </w:r>
      <w:r w:rsidRPr="00C77E56">
        <w:rPr>
          <w:noProof/>
        </w:rPr>
      </w:r>
      <w:r w:rsidRPr="00C77E56">
        <w:rPr>
          <w:noProof/>
        </w:rPr>
        <w:fldChar w:fldCharType="separate"/>
      </w:r>
      <w:r w:rsidR="004C6765">
        <w:rPr>
          <w:noProof/>
        </w:rPr>
        <w:t>1</w:t>
      </w:r>
      <w:r w:rsidRPr="00C77E56">
        <w:rPr>
          <w:noProof/>
        </w:rPr>
        <w:fldChar w:fldCharType="end"/>
      </w:r>
    </w:p>
    <w:p w14:paraId="3A86E822" w14:textId="77777777" w:rsidR="00C77E56" w:rsidRDefault="00C77E56">
      <w:pPr>
        <w:pStyle w:val="TOC5"/>
        <w:rPr>
          <w:rFonts w:asciiTheme="minorHAnsi" w:eastAsiaTheme="minorEastAsia" w:hAnsiTheme="minorHAnsi" w:cstheme="minorBidi"/>
          <w:noProof/>
          <w:kern w:val="0"/>
          <w:sz w:val="22"/>
          <w:szCs w:val="22"/>
        </w:rPr>
      </w:pPr>
      <w:r>
        <w:rPr>
          <w:noProof/>
        </w:rPr>
        <w:t>16</w:t>
      </w:r>
      <w:r>
        <w:rPr>
          <w:noProof/>
        </w:rPr>
        <w:tab/>
        <w:t>Total assets value—ADIs</w:t>
      </w:r>
      <w:r w:rsidRPr="00C77E56">
        <w:rPr>
          <w:noProof/>
        </w:rPr>
        <w:tab/>
      </w:r>
      <w:r w:rsidRPr="00C77E56">
        <w:rPr>
          <w:noProof/>
        </w:rPr>
        <w:fldChar w:fldCharType="begin"/>
      </w:r>
      <w:r w:rsidRPr="00C77E56">
        <w:rPr>
          <w:noProof/>
        </w:rPr>
        <w:instrText xml:space="preserve"> PAGEREF _Toc111453530 \h </w:instrText>
      </w:r>
      <w:r w:rsidRPr="00C77E56">
        <w:rPr>
          <w:noProof/>
        </w:rPr>
      </w:r>
      <w:r w:rsidRPr="00C77E56">
        <w:rPr>
          <w:noProof/>
        </w:rPr>
        <w:fldChar w:fldCharType="separate"/>
      </w:r>
      <w:r w:rsidR="004C6765">
        <w:rPr>
          <w:noProof/>
        </w:rPr>
        <w:t>1</w:t>
      </w:r>
      <w:r w:rsidRPr="00C77E56">
        <w:rPr>
          <w:noProof/>
        </w:rPr>
        <w:fldChar w:fldCharType="end"/>
      </w:r>
    </w:p>
    <w:p w14:paraId="3A86E823" w14:textId="77777777" w:rsidR="00C77E56" w:rsidRDefault="00C77E56">
      <w:pPr>
        <w:pStyle w:val="TOC3"/>
        <w:rPr>
          <w:rFonts w:asciiTheme="minorHAnsi" w:eastAsiaTheme="minorEastAsia" w:hAnsiTheme="minorHAnsi" w:cstheme="minorBidi"/>
          <w:b w:val="0"/>
          <w:noProof/>
          <w:kern w:val="0"/>
          <w:szCs w:val="22"/>
        </w:rPr>
      </w:pPr>
      <w:r>
        <w:rPr>
          <w:noProof/>
        </w:rPr>
        <w:t>Division 2—Accountable entities that are general insurers</w:t>
      </w:r>
      <w:r w:rsidRPr="00C77E56">
        <w:rPr>
          <w:b w:val="0"/>
          <w:noProof/>
          <w:sz w:val="18"/>
        </w:rPr>
        <w:tab/>
      </w:r>
      <w:r w:rsidRPr="00C77E56">
        <w:rPr>
          <w:b w:val="0"/>
          <w:noProof/>
          <w:sz w:val="18"/>
        </w:rPr>
        <w:fldChar w:fldCharType="begin"/>
      </w:r>
      <w:r w:rsidRPr="00C77E56">
        <w:rPr>
          <w:b w:val="0"/>
          <w:noProof/>
          <w:sz w:val="18"/>
        </w:rPr>
        <w:instrText xml:space="preserve"> PAGEREF _Toc111453531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24" w14:textId="77777777" w:rsidR="00C77E56" w:rsidRDefault="00C77E56">
      <w:pPr>
        <w:pStyle w:val="TOC5"/>
        <w:rPr>
          <w:rFonts w:asciiTheme="minorHAnsi" w:eastAsiaTheme="minorEastAsia" w:hAnsiTheme="minorHAnsi" w:cstheme="minorBidi"/>
          <w:noProof/>
          <w:kern w:val="0"/>
          <w:sz w:val="22"/>
          <w:szCs w:val="22"/>
        </w:rPr>
      </w:pPr>
      <w:r>
        <w:rPr>
          <w:noProof/>
        </w:rPr>
        <w:t>17</w:t>
      </w:r>
      <w:r>
        <w:rPr>
          <w:noProof/>
        </w:rPr>
        <w:tab/>
        <w:t>Determining when accountable entity meets enhanced notification threshold—general insurers</w:t>
      </w:r>
      <w:r w:rsidRPr="00C77E56">
        <w:rPr>
          <w:noProof/>
        </w:rPr>
        <w:tab/>
      </w:r>
      <w:r w:rsidRPr="00C77E56">
        <w:rPr>
          <w:noProof/>
        </w:rPr>
        <w:fldChar w:fldCharType="begin"/>
      </w:r>
      <w:r w:rsidRPr="00C77E56">
        <w:rPr>
          <w:noProof/>
        </w:rPr>
        <w:instrText xml:space="preserve"> PAGEREF _Toc111453532 \h </w:instrText>
      </w:r>
      <w:r w:rsidRPr="00C77E56">
        <w:rPr>
          <w:noProof/>
        </w:rPr>
      </w:r>
      <w:r w:rsidRPr="00C77E56">
        <w:rPr>
          <w:noProof/>
        </w:rPr>
        <w:fldChar w:fldCharType="separate"/>
      </w:r>
      <w:r w:rsidR="004C6765">
        <w:rPr>
          <w:noProof/>
        </w:rPr>
        <w:t>1</w:t>
      </w:r>
      <w:r w:rsidRPr="00C77E56">
        <w:rPr>
          <w:noProof/>
        </w:rPr>
        <w:fldChar w:fldCharType="end"/>
      </w:r>
    </w:p>
    <w:p w14:paraId="3A86E825" w14:textId="77777777" w:rsidR="00C77E56" w:rsidRDefault="00C77E56">
      <w:pPr>
        <w:pStyle w:val="TOC5"/>
        <w:rPr>
          <w:rFonts w:asciiTheme="minorHAnsi" w:eastAsiaTheme="minorEastAsia" w:hAnsiTheme="minorHAnsi" w:cstheme="minorBidi"/>
          <w:noProof/>
          <w:kern w:val="0"/>
          <w:sz w:val="22"/>
          <w:szCs w:val="22"/>
        </w:rPr>
      </w:pPr>
      <w:r>
        <w:rPr>
          <w:noProof/>
        </w:rPr>
        <w:t>18</w:t>
      </w:r>
      <w:r>
        <w:rPr>
          <w:noProof/>
        </w:rPr>
        <w:tab/>
        <w:t>Total asset size—general insurers</w:t>
      </w:r>
      <w:r w:rsidRPr="00C77E56">
        <w:rPr>
          <w:noProof/>
        </w:rPr>
        <w:tab/>
      </w:r>
      <w:r w:rsidRPr="00C77E56">
        <w:rPr>
          <w:noProof/>
        </w:rPr>
        <w:fldChar w:fldCharType="begin"/>
      </w:r>
      <w:r w:rsidRPr="00C77E56">
        <w:rPr>
          <w:noProof/>
        </w:rPr>
        <w:instrText xml:space="preserve"> PAGEREF _Toc111453533 \h </w:instrText>
      </w:r>
      <w:r w:rsidRPr="00C77E56">
        <w:rPr>
          <w:noProof/>
        </w:rPr>
      </w:r>
      <w:r w:rsidRPr="00C77E56">
        <w:rPr>
          <w:noProof/>
        </w:rPr>
        <w:fldChar w:fldCharType="separate"/>
      </w:r>
      <w:r w:rsidR="004C6765">
        <w:rPr>
          <w:noProof/>
        </w:rPr>
        <w:t>1</w:t>
      </w:r>
      <w:r w:rsidRPr="00C77E56">
        <w:rPr>
          <w:noProof/>
        </w:rPr>
        <w:fldChar w:fldCharType="end"/>
      </w:r>
    </w:p>
    <w:p w14:paraId="3A86E826" w14:textId="77777777" w:rsidR="00C77E56" w:rsidRDefault="00C77E56">
      <w:pPr>
        <w:pStyle w:val="TOC5"/>
        <w:rPr>
          <w:rFonts w:asciiTheme="minorHAnsi" w:eastAsiaTheme="minorEastAsia" w:hAnsiTheme="minorHAnsi" w:cstheme="minorBidi"/>
          <w:noProof/>
          <w:kern w:val="0"/>
          <w:sz w:val="22"/>
          <w:szCs w:val="22"/>
        </w:rPr>
      </w:pPr>
      <w:r>
        <w:rPr>
          <w:noProof/>
        </w:rPr>
        <w:t>19</w:t>
      </w:r>
      <w:r>
        <w:rPr>
          <w:noProof/>
        </w:rPr>
        <w:tab/>
        <w:t>Final report—general insurers</w:t>
      </w:r>
      <w:r w:rsidRPr="00C77E56">
        <w:rPr>
          <w:noProof/>
        </w:rPr>
        <w:tab/>
      </w:r>
      <w:r w:rsidRPr="00C77E56">
        <w:rPr>
          <w:noProof/>
        </w:rPr>
        <w:fldChar w:fldCharType="begin"/>
      </w:r>
      <w:r w:rsidRPr="00C77E56">
        <w:rPr>
          <w:noProof/>
        </w:rPr>
        <w:instrText xml:space="preserve"> PAGEREF _Toc111453534 \h </w:instrText>
      </w:r>
      <w:r w:rsidRPr="00C77E56">
        <w:rPr>
          <w:noProof/>
        </w:rPr>
      </w:r>
      <w:r w:rsidRPr="00C77E56">
        <w:rPr>
          <w:noProof/>
        </w:rPr>
        <w:fldChar w:fldCharType="separate"/>
      </w:r>
      <w:r w:rsidR="004C6765">
        <w:rPr>
          <w:noProof/>
        </w:rPr>
        <w:t>1</w:t>
      </w:r>
      <w:r w:rsidRPr="00C77E56">
        <w:rPr>
          <w:noProof/>
        </w:rPr>
        <w:fldChar w:fldCharType="end"/>
      </w:r>
    </w:p>
    <w:p w14:paraId="3A86E827" w14:textId="77777777" w:rsidR="00C77E56" w:rsidRDefault="00C77E56">
      <w:pPr>
        <w:pStyle w:val="TOC5"/>
        <w:rPr>
          <w:rFonts w:asciiTheme="minorHAnsi" w:eastAsiaTheme="minorEastAsia" w:hAnsiTheme="minorHAnsi" w:cstheme="minorBidi"/>
          <w:noProof/>
          <w:kern w:val="0"/>
          <w:sz w:val="22"/>
          <w:szCs w:val="22"/>
        </w:rPr>
      </w:pPr>
      <w:r>
        <w:rPr>
          <w:noProof/>
        </w:rPr>
        <w:t>20</w:t>
      </w:r>
      <w:r>
        <w:rPr>
          <w:noProof/>
        </w:rPr>
        <w:tab/>
        <w:t>Total assets value—general insurers</w:t>
      </w:r>
      <w:r w:rsidRPr="00C77E56">
        <w:rPr>
          <w:noProof/>
        </w:rPr>
        <w:tab/>
      </w:r>
      <w:r w:rsidRPr="00C77E56">
        <w:rPr>
          <w:noProof/>
        </w:rPr>
        <w:fldChar w:fldCharType="begin"/>
      </w:r>
      <w:r w:rsidRPr="00C77E56">
        <w:rPr>
          <w:noProof/>
        </w:rPr>
        <w:instrText xml:space="preserve"> PAGEREF _Toc111453535 \h </w:instrText>
      </w:r>
      <w:r w:rsidRPr="00C77E56">
        <w:rPr>
          <w:noProof/>
        </w:rPr>
      </w:r>
      <w:r w:rsidRPr="00C77E56">
        <w:rPr>
          <w:noProof/>
        </w:rPr>
        <w:fldChar w:fldCharType="separate"/>
      </w:r>
      <w:r w:rsidR="004C6765">
        <w:rPr>
          <w:noProof/>
        </w:rPr>
        <w:t>1</w:t>
      </w:r>
      <w:r w:rsidRPr="00C77E56">
        <w:rPr>
          <w:noProof/>
        </w:rPr>
        <w:fldChar w:fldCharType="end"/>
      </w:r>
    </w:p>
    <w:p w14:paraId="3A86E828" w14:textId="77777777" w:rsidR="00C77E56" w:rsidRDefault="00C77E56">
      <w:pPr>
        <w:pStyle w:val="TOC3"/>
        <w:rPr>
          <w:rFonts w:asciiTheme="minorHAnsi" w:eastAsiaTheme="minorEastAsia" w:hAnsiTheme="minorHAnsi" w:cstheme="minorBidi"/>
          <w:b w:val="0"/>
          <w:noProof/>
          <w:kern w:val="0"/>
          <w:szCs w:val="22"/>
        </w:rPr>
      </w:pPr>
      <w:r>
        <w:rPr>
          <w:noProof/>
        </w:rPr>
        <w:t>Division 3—Accountable entities that are life companies</w:t>
      </w:r>
      <w:r w:rsidRPr="00C77E56">
        <w:rPr>
          <w:b w:val="0"/>
          <w:noProof/>
          <w:sz w:val="18"/>
        </w:rPr>
        <w:tab/>
      </w:r>
      <w:r w:rsidRPr="00C77E56">
        <w:rPr>
          <w:b w:val="0"/>
          <w:noProof/>
          <w:sz w:val="18"/>
        </w:rPr>
        <w:fldChar w:fldCharType="begin"/>
      </w:r>
      <w:r w:rsidRPr="00C77E56">
        <w:rPr>
          <w:b w:val="0"/>
          <w:noProof/>
          <w:sz w:val="18"/>
        </w:rPr>
        <w:instrText xml:space="preserve"> PAGEREF _Toc111453536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29" w14:textId="77777777" w:rsidR="00C77E56" w:rsidRDefault="00C77E56">
      <w:pPr>
        <w:pStyle w:val="TOC5"/>
        <w:rPr>
          <w:rFonts w:asciiTheme="minorHAnsi" w:eastAsiaTheme="minorEastAsia" w:hAnsiTheme="minorHAnsi" w:cstheme="minorBidi"/>
          <w:noProof/>
          <w:kern w:val="0"/>
          <w:sz w:val="22"/>
          <w:szCs w:val="22"/>
        </w:rPr>
      </w:pPr>
      <w:r>
        <w:rPr>
          <w:noProof/>
        </w:rPr>
        <w:t>21</w:t>
      </w:r>
      <w:r>
        <w:rPr>
          <w:noProof/>
        </w:rPr>
        <w:tab/>
        <w:t>Determining when accountable entity meets enhanced notification threshold—life companies</w:t>
      </w:r>
      <w:r w:rsidRPr="00C77E56">
        <w:rPr>
          <w:noProof/>
        </w:rPr>
        <w:tab/>
      </w:r>
      <w:r w:rsidRPr="00C77E56">
        <w:rPr>
          <w:noProof/>
        </w:rPr>
        <w:fldChar w:fldCharType="begin"/>
      </w:r>
      <w:r w:rsidRPr="00C77E56">
        <w:rPr>
          <w:noProof/>
        </w:rPr>
        <w:instrText xml:space="preserve"> PAGEREF _Toc111453537 \h </w:instrText>
      </w:r>
      <w:r w:rsidRPr="00C77E56">
        <w:rPr>
          <w:noProof/>
        </w:rPr>
      </w:r>
      <w:r w:rsidRPr="00C77E56">
        <w:rPr>
          <w:noProof/>
        </w:rPr>
        <w:fldChar w:fldCharType="separate"/>
      </w:r>
      <w:r w:rsidR="004C6765">
        <w:rPr>
          <w:noProof/>
        </w:rPr>
        <w:t>1</w:t>
      </w:r>
      <w:r w:rsidRPr="00C77E56">
        <w:rPr>
          <w:noProof/>
        </w:rPr>
        <w:fldChar w:fldCharType="end"/>
      </w:r>
    </w:p>
    <w:p w14:paraId="3A86E82A" w14:textId="77777777" w:rsidR="00C77E56" w:rsidRDefault="00C77E56">
      <w:pPr>
        <w:pStyle w:val="TOC5"/>
        <w:rPr>
          <w:rFonts w:asciiTheme="minorHAnsi" w:eastAsiaTheme="minorEastAsia" w:hAnsiTheme="minorHAnsi" w:cstheme="minorBidi"/>
          <w:noProof/>
          <w:kern w:val="0"/>
          <w:sz w:val="22"/>
          <w:szCs w:val="22"/>
        </w:rPr>
      </w:pPr>
      <w:r>
        <w:rPr>
          <w:noProof/>
        </w:rPr>
        <w:t>22</w:t>
      </w:r>
      <w:r>
        <w:rPr>
          <w:noProof/>
        </w:rPr>
        <w:tab/>
        <w:t>Total asset size—life companies</w:t>
      </w:r>
      <w:r w:rsidRPr="00C77E56">
        <w:rPr>
          <w:noProof/>
        </w:rPr>
        <w:tab/>
      </w:r>
      <w:r w:rsidRPr="00C77E56">
        <w:rPr>
          <w:noProof/>
        </w:rPr>
        <w:fldChar w:fldCharType="begin"/>
      </w:r>
      <w:r w:rsidRPr="00C77E56">
        <w:rPr>
          <w:noProof/>
        </w:rPr>
        <w:instrText xml:space="preserve"> PAGEREF _Toc111453538 \h </w:instrText>
      </w:r>
      <w:r w:rsidRPr="00C77E56">
        <w:rPr>
          <w:noProof/>
        </w:rPr>
      </w:r>
      <w:r w:rsidRPr="00C77E56">
        <w:rPr>
          <w:noProof/>
        </w:rPr>
        <w:fldChar w:fldCharType="separate"/>
      </w:r>
      <w:r w:rsidR="004C6765">
        <w:rPr>
          <w:noProof/>
        </w:rPr>
        <w:t>1</w:t>
      </w:r>
      <w:r w:rsidRPr="00C77E56">
        <w:rPr>
          <w:noProof/>
        </w:rPr>
        <w:fldChar w:fldCharType="end"/>
      </w:r>
    </w:p>
    <w:p w14:paraId="3A86E82B" w14:textId="77777777" w:rsidR="00C77E56" w:rsidRDefault="00C77E56">
      <w:pPr>
        <w:pStyle w:val="TOC5"/>
        <w:rPr>
          <w:rFonts w:asciiTheme="minorHAnsi" w:eastAsiaTheme="minorEastAsia" w:hAnsiTheme="minorHAnsi" w:cstheme="minorBidi"/>
          <w:noProof/>
          <w:kern w:val="0"/>
          <w:sz w:val="22"/>
          <w:szCs w:val="22"/>
        </w:rPr>
      </w:pPr>
      <w:r>
        <w:rPr>
          <w:noProof/>
        </w:rPr>
        <w:t>23</w:t>
      </w:r>
      <w:r>
        <w:rPr>
          <w:noProof/>
        </w:rPr>
        <w:tab/>
        <w:t>Final report—life companies</w:t>
      </w:r>
      <w:r w:rsidRPr="00C77E56">
        <w:rPr>
          <w:noProof/>
        </w:rPr>
        <w:tab/>
      </w:r>
      <w:r w:rsidRPr="00C77E56">
        <w:rPr>
          <w:noProof/>
        </w:rPr>
        <w:fldChar w:fldCharType="begin"/>
      </w:r>
      <w:r w:rsidRPr="00C77E56">
        <w:rPr>
          <w:noProof/>
        </w:rPr>
        <w:instrText xml:space="preserve"> PAGEREF _Toc111453539 \h </w:instrText>
      </w:r>
      <w:r w:rsidRPr="00C77E56">
        <w:rPr>
          <w:noProof/>
        </w:rPr>
      </w:r>
      <w:r w:rsidRPr="00C77E56">
        <w:rPr>
          <w:noProof/>
        </w:rPr>
        <w:fldChar w:fldCharType="separate"/>
      </w:r>
      <w:r w:rsidR="004C6765">
        <w:rPr>
          <w:noProof/>
        </w:rPr>
        <w:t>1</w:t>
      </w:r>
      <w:r w:rsidRPr="00C77E56">
        <w:rPr>
          <w:noProof/>
        </w:rPr>
        <w:fldChar w:fldCharType="end"/>
      </w:r>
    </w:p>
    <w:p w14:paraId="3A86E82C" w14:textId="77777777" w:rsidR="00C77E56" w:rsidRDefault="00C77E56">
      <w:pPr>
        <w:pStyle w:val="TOC5"/>
        <w:rPr>
          <w:rFonts w:asciiTheme="minorHAnsi" w:eastAsiaTheme="minorEastAsia" w:hAnsiTheme="minorHAnsi" w:cstheme="minorBidi"/>
          <w:noProof/>
          <w:kern w:val="0"/>
          <w:sz w:val="22"/>
          <w:szCs w:val="22"/>
        </w:rPr>
      </w:pPr>
      <w:r>
        <w:rPr>
          <w:noProof/>
        </w:rPr>
        <w:t>24</w:t>
      </w:r>
      <w:r>
        <w:rPr>
          <w:noProof/>
        </w:rPr>
        <w:tab/>
        <w:t>Total assets value—life companies</w:t>
      </w:r>
      <w:r w:rsidRPr="00C77E56">
        <w:rPr>
          <w:noProof/>
        </w:rPr>
        <w:tab/>
      </w:r>
      <w:r w:rsidRPr="00C77E56">
        <w:rPr>
          <w:noProof/>
        </w:rPr>
        <w:fldChar w:fldCharType="begin"/>
      </w:r>
      <w:r w:rsidRPr="00C77E56">
        <w:rPr>
          <w:noProof/>
        </w:rPr>
        <w:instrText xml:space="preserve"> PAGEREF _Toc111453540 \h </w:instrText>
      </w:r>
      <w:r w:rsidRPr="00C77E56">
        <w:rPr>
          <w:noProof/>
        </w:rPr>
      </w:r>
      <w:r w:rsidRPr="00C77E56">
        <w:rPr>
          <w:noProof/>
        </w:rPr>
        <w:fldChar w:fldCharType="separate"/>
      </w:r>
      <w:r w:rsidR="004C6765">
        <w:rPr>
          <w:noProof/>
        </w:rPr>
        <w:t>1</w:t>
      </w:r>
      <w:r w:rsidRPr="00C77E56">
        <w:rPr>
          <w:noProof/>
        </w:rPr>
        <w:fldChar w:fldCharType="end"/>
      </w:r>
    </w:p>
    <w:p w14:paraId="3A86E82D" w14:textId="77777777" w:rsidR="00C77E56" w:rsidRDefault="00C77E56">
      <w:pPr>
        <w:pStyle w:val="TOC3"/>
        <w:rPr>
          <w:rFonts w:asciiTheme="minorHAnsi" w:eastAsiaTheme="minorEastAsia" w:hAnsiTheme="minorHAnsi" w:cstheme="minorBidi"/>
          <w:b w:val="0"/>
          <w:noProof/>
          <w:kern w:val="0"/>
          <w:szCs w:val="22"/>
        </w:rPr>
      </w:pPr>
      <w:r>
        <w:rPr>
          <w:noProof/>
        </w:rPr>
        <w:t>Division 4—Accountable entities that are private health insurers</w:t>
      </w:r>
      <w:r w:rsidRPr="00C77E56">
        <w:rPr>
          <w:b w:val="0"/>
          <w:noProof/>
          <w:sz w:val="18"/>
        </w:rPr>
        <w:tab/>
      </w:r>
      <w:r w:rsidRPr="00C77E56">
        <w:rPr>
          <w:b w:val="0"/>
          <w:noProof/>
          <w:sz w:val="18"/>
        </w:rPr>
        <w:fldChar w:fldCharType="begin"/>
      </w:r>
      <w:r w:rsidRPr="00C77E56">
        <w:rPr>
          <w:b w:val="0"/>
          <w:noProof/>
          <w:sz w:val="18"/>
        </w:rPr>
        <w:instrText xml:space="preserve"> PAGEREF _Toc111453541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2E" w14:textId="77777777" w:rsidR="00C77E56" w:rsidRDefault="00C77E56">
      <w:pPr>
        <w:pStyle w:val="TOC5"/>
        <w:rPr>
          <w:rFonts w:asciiTheme="minorHAnsi" w:eastAsiaTheme="minorEastAsia" w:hAnsiTheme="minorHAnsi" w:cstheme="minorBidi"/>
          <w:noProof/>
          <w:kern w:val="0"/>
          <w:sz w:val="22"/>
          <w:szCs w:val="22"/>
        </w:rPr>
      </w:pPr>
      <w:r>
        <w:rPr>
          <w:noProof/>
        </w:rPr>
        <w:t>25</w:t>
      </w:r>
      <w:r>
        <w:rPr>
          <w:noProof/>
        </w:rPr>
        <w:tab/>
        <w:t>Determining when accountable entity meets enhanced notification threshold—private health insurers</w:t>
      </w:r>
      <w:r w:rsidRPr="00C77E56">
        <w:rPr>
          <w:noProof/>
        </w:rPr>
        <w:tab/>
      </w:r>
      <w:r w:rsidRPr="00C77E56">
        <w:rPr>
          <w:noProof/>
        </w:rPr>
        <w:fldChar w:fldCharType="begin"/>
      </w:r>
      <w:r w:rsidRPr="00C77E56">
        <w:rPr>
          <w:noProof/>
        </w:rPr>
        <w:instrText xml:space="preserve"> PAGEREF _Toc111453542 \h </w:instrText>
      </w:r>
      <w:r w:rsidRPr="00C77E56">
        <w:rPr>
          <w:noProof/>
        </w:rPr>
      </w:r>
      <w:r w:rsidRPr="00C77E56">
        <w:rPr>
          <w:noProof/>
        </w:rPr>
        <w:fldChar w:fldCharType="separate"/>
      </w:r>
      <w:r w:rsidR="004C6765">
        <w:rPr>
          <w:noProof/>
        </w:rPr>
        <w:t>1</w:t>
      </w:r>
      <w:r w:rsidRPr="00C77E56">
        <w:rPr>
          <w:noProof/>
        </w:rPr>
        <w:fldChar w:fldCharType="end"/>
      </w:r>
    </w:p>
    <w:p w14:paraId="3A86E82F" w14:textId="77777777" w:rsidR="00C77E56" w:rsidRDefault="00C77E56">
      <w:pPr>
        <w:pStyle w:val="TOC5"/>
        <w:rPr>
          <w:rFonts w:asciiTheme="minorHAnsi" w:eastAsiaTheme="minorEastAsia" w:hAnsiTheme="minorHAnsi" w:cstheme="minorBidi"/>
          <w:noProof/>
          <w:kern w:val="0"/>
          <w:sz w:val="22"/>
          <w:szCs w:val="22"/>
        </w:rPr>
      </w:pPr>
      <w:r>
        <w:rPr>
          <w:noProof/>
        </w:rPr>
        <w:t>26</w:t>
      </w:r>
      <w:r>
        <w:rPr>
          <w:noProof/>
        </w:rPr>
        <w:tab/>
        <w:t>Total asset size—private health insurers</w:t>
      </w:r>
      <w:r w:rsidRPr="00C77E56">
        <w:rPr>
          <w:noProof/>
        </w:rPr>
        <w:tab/>
      </w:r>
      <w:r w:rsidRPr="00C77E56">
        <w:rPr>
          <w:noProof/>
        </w:rPr>
        <w:fldChar w:fldCharType="begin"/>
      </w:r>
      <w:r w:rsidRPr="00C77E56">
        <w:rPr>
          <w:noProof/>
        </w:rPr>
        <w:instrText xml:space="preserve"> PAGEREF _Toc111453543 \h </w:instrText>
      </w:r>
      <w:r w:rsidRPr="00C77E56">
        <w:rPr>
          <w:noProof/>
        </w:rPr>
      </w:r>
      <w:r w:rsidRPr="00C77E56">
        <w:rPr>
          <w:noProof/>
        </w:rPr>
        <w:fldChar w:fldCharType="separate"/>
      </w:r>
      <w:r w:rsidR="004C6765">
        <w:rPr>
          <w:noProof/>
        </w:rPr>
        <w:t>1</w:t>
      </w:r>
      <w:r w:rsidRPr="00C77E56">
        <w:rPr>
          <w:noProof/>
        </w:rPr>
        <w:fldChar w:fldCharType="end"/>
      </w:r>
    </w:p>
    <w:p w14:paraId="3A86E830" w14:textId="77777777" w:rsidR="00C77E56" w:rsidRDefault="00C77E56">
      <w:pPr>
        <w:pStyle w:val="TOC5"/>
        <w:rPr>
          <w:rFonts w:asciiTheme="minorHAnsi" w:eastAsiaTheme="minorEastAsia" w:hAnsiTheme="minorHAnsi" w:cstheme="minorBidi"/>
          <w:noProof/>
          <w:kern w:val="0"/>
          <w:sz w:val="22"/>
          <w:szCs w:val="22"/>
        </w:rPr>
      </w:pPr>
      <w:r>
        <w:rPr>
          <w:noProof/>
        </w:rPr>
        <w:t>27</w:t>
      </w:r>
      <w:r>
        <w:rPr>
          <w:noProof/>
        </w:rPr>
        <w:tab/>
        <w:t>Final report—private health insurers</w:t>
      </w:r>
      <w:r w:rsidRPr="00C77E56">
        <w:rPr>
          <w:noProof/>
        </w:rPr>
        <w:tab/>
      </w:r>
      <w:r w:rsidRPr="00C77E56">
        <w:rPr>
          <w:noProof/>
        </w:rPr>
        <w:fldChar w:fldCharType="begin"/>
      </w:r>
      <w:r w:rsidRPr="00C77E56">
        <w:rPr>
          <w:noProof/>
        </w:rPr>
        <w:instrText xml:space="preserve"> PAGEREF _Toc111453544 \h </w:instrText>
      </w:r>
      <w:r w:rsidRPr="00C77E56">
        <w:rPr>
          <w:noProof/>
        </w:rPr>
      </w:r>
      <w:r w:rsidRPr="00C77E56">
        <w:rPr>
          <w:noProof/>
        </w:rPr>
        <w:fldChar w:fldCharType="separate"/>
      </w:r>
      <w:r w:rsidR="004C6765">
        <w:rPr>
          <w:noProof/>
        </w:rPr>
        <w:t>1</w:t>
      </w:r>
      <w:r w:rsidRPr="00C77E56">
        <w:rPr>
          <w:noProof/>
        </w:rPr>
        <w:fldChar w:fldCharType="end"/>
      </w:r>
    </w:p>
    <w:p w14:paraId="3A86E831" w14:textId="77777777" w:rsidR="00C77E56" w:rsidRDefault="00C77E56">
      <w:pPr>
        <w:pStyle w:val="TOC5"/>
        <w:rPr>
          <w:rFonts w:asciiTheme="minorHAnsi" w:eastAsiaTheme="minorEastAsia" w:hAnsiTheme="minorHAnsi" w:cstheme="minorBidi"/>
          <w:noProof/>
          <w:kern w:val="0"/>
          <w:sz w:val="22"/>
          <w:szCs w:val="22"/>
        </w:rPr>
      </w:pPr>
      <w:r>
        <w:rPr>
          <w:noProof/>
        </w:rPr>
        <w:t>28</w:t>
      </w:r>
      <w:r>
        <w:rPr>
          <w:noProof/>
        </w:rPr>
        <w:tab/>
        <w:t>Total assets value—private health insurers</w:t>
      </w:r>
      <w:r w:rsidRPr="00C77E56">
        <w:rPr>
          <w:noProof/>
        </w:rPr>
        <w:tab/>
      </w:r>
      <w:r w:rsidRPr="00C77E56">
        <w:rPr>
          <w:noProof/>
        </w:rPr>
        <w:fldChar w:fldCharType="begin"/>
      </w:r>
      <w:r w:rsidRPr="00C77E56">
        <w:rPr>
          <w:noProof/>
        </w:rPr>
        <w:instrText xml:space="preserve"> PAGEREF _Toc111453545 \h </w:instrText>
      </w:r>
      <w:r w:rsidRPr="00C77E56">
        <w:rPr>
          <w:noProof/>
        </w:rPr>
      </w:r>
      <w:r w:rsidRPr="00C77E56">
        <w:rPr>
          <w:noProof/>
        </w:rPr>
        <w:fldChar w:fldCharType="separate"/>
      </w:r>
      <w:r w:rsidR="004C6765">
        <w:rPr>
          <w:noProof/>
        </w:rPr>
        <w:t>1</w:t>
      </w:r>
      <w:r w:rsidRPr="00C77E56">
        <w:rPr>
          <w:noProof/>
        </w:rPr>
        <w:fldChar w:fldCharType="end"/>
      </w:r>
    </w:p>
    <w:p w14:paraId="3A86E832" w14:textId="77777777" w:rsidR="00C77E56" w:rsidRDefault="00C77E56">
      <w:pPr>
        <w:pStyle w:val="TOC3"/>
        <w:rPr>
          <w:rFonts w:asciiTheme="minorHAnsi" w:eastAsiaTheme="minorEastAsia" w:hAnsiTheme="minorHAnsi" w:cstheme="minorBidi"/>
          <w:b w:val="0"/>
          <w:noProof/>
          <w:kern w:val="0"/>
          <w:szCs w:val="22"/>
        </w:rPr>
      </w:pPr>
      <w:r>
        <w:rPr>
          <w:noProof/>
        </w:rPr>
        <w:t>Division 5—Accountable entities that are RSE licensees</w:t>
      </w:r>
      <w:r w:rsidRPr="00C77E56">
        <w:rPr>
          <w:b w:val="0"/>
          <w:noProof/>
          <w:sz w:val="18"/>
        </w:rPr>
        <w:tab/>
      </w:r>
      <w:r w:rsidRPr="00C77E56">
        <w:rPr>
          <w:b w:val="0"/>
          <w:noProof/>
          <w:sz w:val="18"/>
        </w:rPr>
        <w:fldChar w:fldCharType="begin"/>
      </w:r>
      <w:r w:rsidRPr="00C77E56">
        <w:rPr>
          <w:b w:val="0"/>
          <w:noProof/>
          <w:sz w:val="18"/>
        </w:rPr>
        <w:instrText xml:space="preserve"> PAGEREF _Toc111453546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33" w14:textId="77777777" w:rsidR="00C77E56" w:rsidRDefault="00C77E56">
      <w:pPr>
        <w:pStyle w:val="TOC5"/>
        <w:rPr>
          <w:rFonts w:asciiTheme="minorHAnsi" w:eastAsiaTheme="minorEastAsia" w:hAnsiTheme="minorHAnsi" w:cstheme="minorBidi"/>
          <w:noProof/>
          <w:kern w:val="0"/>
          <w:sz w:val="22"/>
          <w:szCs w:val="22"/>
        </w:rPr>
      </w:pPr>
      <w:r>
        <w:rPr>
          <w:noProof/>
        </w:rPr>
        <w:t>29</w:t>
      </w:r>
      <w:r>
        <w:rPr>
          <w:noProof/>
        </w:rPr>
        <w:tab/>
        <w:t>Determining when accountable entity meets enhanced notification threshold—RSE licensees</w:t>
      </w:r>
      <w:r w:rsidRPr="00C77E56">
        <w:rPr>
          <w:noProof/>
        </w:rPr>
        <w:tab/>
      </w:r>
      <w:r w:rsidRPr="00C77E56">
        <w:rPr>
          <w:noProof/>
        </w:rPr>
        <w:fldChar w:fldCharType="begin"/>
      </w:r>
      <w:r w:rsidRPr="00C77E56">
        <w:rPr>
          <w:noProof/>
        </w:rPr>
        <w:instrText xml:space="preserve"> PAGEREF _Toc111453547 \h </w:instrText>
      </w:r>
      <w:r w:rsidRPr="00C77E56">
        <w:rPr>
          <w:noProof/>
        </w:rPr>
      </w:r>
      <w:r w:rsidRPr="00C77E56">
        <w:rPr>
          <w:noProof/>
        </w:rPr>
        <w:fldChar w:fldCharType="separate"/>
      </w:r>
      <w:r w:rsidR="004C6765">
        <w:rPr>
          <w:noProof/>
        </w:rPr>
        <w:t>1</w:t>
      </w:r>
      <w:r w:rsidRPr="00C77E56">
        <w:rPr>
          <w:noProof/>
        </w:rPr>
        <w:fldChar w:fldCharType="end"/>
      </w:r>
    </w:p>
    <w:p w14:paraId="3A86E834" w14:textId="77777777" w:rsidR="00C77E56" w:rsidRDefault="00C77E56">
      <w:pPr>
        <w:pStyle w:val="TOC5"/>
        <w:rPr>
          <w:rFonts w:asciiTheme="minorHAnsi" w:eastAsiaTheme="minorEastAsia" w:hAnsiTheme="minorHAnsi" w:cstheme="minorBidi"/>
          <w:noProof/>
          <w:kern w:val="0"/>
          <w:sz w:val="22"/>
          <w:szCs w:val="22"/>
        </w:rPr>
      </w:pPr>
      <w:r>
        <w:rPr>
          <w:noProof/>
        </w:rPr>
        <w:t>30</w:t>
      </w:r>
      <w:r>
        <w:rPr>
          <w:noProof/>
        </w:rPr>
        <w:tab/>
        <w:t>Total asset size—RSE licensees</w:t>
      </w:r>
      <w:r w:rsidRPr="00C77E56">
        <w:rPr>
          <w:noProof/>
        </w:rPr>
        <w:tab/>
      </w:r>
      <w:r w:rsidRPr="00C77E56">
        <w:rPr>
          <w:noProof/>
        </w:rPr>
        <w:fldChar w:fldCharType="begin"/>
      </w:r>
      <w:r w:rsidRPr="00C77E56">
        <w:rPr>
          <w:noProof/>
        </w:rPr>
        <w:instrText xml:space="preserve"> PAGEREF _Toc111453548 \h </w:instrText>
      </w:r>
      <w:r w:rsidRPr="00C77E56">
        <w:rPr>
          <w:noProof/>
        </w:rPr>
      </w:r>
      <w:r w:rsidRPr="00C77E56">
        <w:rPr>
          <w:noProof/>
        </w:rPr>
        <w:fldChar w:fldCharType="separate"/>
      </w:r>
      <w:r w:rsidR="004C6765">
        <w:rPr>
          <w:noProof/>
        </w:rPr>
        <w:t>1</w:t>
      </w:r>
      <w:r w:rsidRPr="00C77E56">
        <w:rPr>
          <w:noProof/>
        </w:rPr>
        <w:fldChar w:fldCharType="end"/>
      </w:r>
    </w:p>
    <w:p w14:paraId="3A86E835" w14:textId="77777777" w:rsidR="00C77E56" w:rsidRDefault="00C77E56">
      <w:pPr>
        <w:pStyle w:val="TOC5"/>
        <w:rPr>
          <w:rFonts w:asciiTheme="minorHAnsi" w:eastAsiaTheme="minorEastAsia" w:hAnsiTheme="minorHAnsi" w:cstheme="minorBidi"/>
          <w:noProof/>
          <w:kern w:val="0"/>
          <w:sz w:val="22"/>
          <w:szCs w:val="22"/>
        </w:rPr>
      </w:pPr>
      <w:r>
        <w:rPr>
          <w:noProof/>
        </w:rPr>
        <w:t>31</w:t>
      </w:r>
      <w:r>
        <w:rPr>
          <w:noProof/>
        </w:rPr>
        <w:tab/>
        <w:t>Final report—RSE licensees</w:t>
      </w:r>
      <w:r w:rsidRPr="00C77E56">
        <w:rPr>
          <w:noProof/>
        </w:rPr>
        <w:tab/>
      </w:r>
      <w:r w:rsidRPr="00C77E56">
        <w:rPr>
          <w:noProof/>
        </w:rPr>
        <w:fldChar w:fldCharType="begin"/>
      </w:r>
      <w:r w:rsidRPr="00C77E56">
        <w:rPr>
          <w:noProof/>
        </w:rPr>
        <w:instrText xml:space="preserve"> PAGEREF _Toc111453549 \h </w:instrText>
      </w:r>
      <w:r w:rsidRPr="00C77E56">
        <w:rPr>
          <w:noProof/>
        </w:rPr>
      </w:r>
      <w:r w:rsidRPr="00C77E56">
        <w:rPr>
          <w:noProof/>
        </w:rPr>
        <w:fldChar w:fldCharType="separate"/>
      </w:r>
      <w:r w:rsidR="004C6765">
        <w:rPr>
          <w:noProof/>
        </w:rPr>
        <w:t>1</w:t>
      </w:r>
      <w:r w:rsidRPr="00C77E56">
        <w:rPr>
          <w:noProof/>
        </w:rPr>
        <w:fldChar w:fldCharType="end"/>
      </w:r>
    </w:p>
    <w:p w14:paraId="3A86E836" w14:textId="77777777" w:rsidR="00C77E56" w:rsidRDefault="00C77E56">
      <w:pPr>
        <w:pStyle w:val="TOC5"/>
        <w:rPr>
          <w:rFonts w:asciiTheme="minorHAnsi" w:eastAsiaTheme="minorEastAsia" w:hAnsiTheme="minorHAnsi" w:cstheme="minorBidi"/>
          <w:noProof/>
          <w:kern w:val="0"/>
          <w:sz w:val="22"/>
          <w:szCs w:val="22"/>
        </w:rPr>
      </w:pPr>
      <w:r>
        <w:rPr>
          <w:noProof/>
        </w:rPr>
        <w:lastRenderedPageBreak/>
        <w:t>32</w:t>
      </w:r>
      <w:r>
        <w:rPr>
          <w:noProof/>
        </w:rPr>
        <w:tab/>
        <w:t>Total assets value—RSE licensees</w:t>
      </w:r>
      <w:r w:rsidRPr="00C77E56">
        <w:rPr>
          <w:noProof/>
        </w:rPr>
        <w:tab/>
      </w:r>
      <w:r w:rsidRPr="00C77E56">
        <w:rPr>
          <w:noProof/>
        </w:rPr>
        <w:fldChar w:fldCharType="begin"/>
      </w:r>
      <w:r w:rsidRPr="00C77E56">
        <w:rPr>
          <w:noProof/>
        </w:rPr>
        <w:instrText xml:space="preserve"> PAGEREF _Toc111453550 \h </w:instrText>
      </w:r>
      <w:r w:rsidRPr="00C77E56">
        <w:rPr>
          <w:noProof/>
        </w:rPr>
      </w:r>
      <w:r w:rsidRPr="00C77E56">
        <w:rPr>
          <w:noProof/>
        </w:rPr>
        <w:fldChar w:fldCharType="separate"/>
      </w:r>
      <w:r w:rsidR="004C6765">
        <w:rPr>
          <w:noProof/>
        </w:rPr>
        <w:t>1</w:t>
      </w:r>
      <w:r w:rsidRPr="00C77E56">
        <w:rPr>
          <w:noProof/>
        </w:rPr>
        <w:fldChar w:fldCharType="end"/>
      </w:r>
    </w:p>
    <w:p w14:paraId="3A86E837" w14:textId="77777777" w:rsidR="00C77E56" w:rsidRDefault="00C77E56">
      <w:pPr>
        <w:pStyle w:val="TOC3"/>
        <w:rPr>
          <w:rFonts w:asciiTheme="minorHAnsi" w:eastAsiaTheme="minorEastAsia" w:hAnsiTheme="minorHAnsi" w:cstheme="minorBidi"/>
          <w:b w:val="0"/>
          <w:noProof/>
          <w:kern w:val="0"/>
          <w:szCs w:val="22"/>
        </w:rPr>
      </w:pPr>
      <w:r>
        <w:rPr>
          <w:noProof/>
        </w:rPr>
        <w:t>Division 6—Accountable entities that are in the same corporate group</w:t>
      </w:r>
      <w:r w:rsidRPr="00C77E56">
        <w:rPr>
          <w:b w:val="0"/>
          <w:noProof/>
          <w:sz w:val="18"/>
        </w:rPr>
        <w:tab/>
      </w:r>
      <w:r w:rsidRPr="00C77E56">
        <w:rPr>
          <w:b w:val="0"/>
          <w:noProof/>
          <w:sz w:val="18"/>
        </w:rPr>
        <w:fldChar w:fldCharType="begin"/>
      </w:r>
      <w:r w:rsidRPr="00C77E56">
        <w:rPr>
          <w:b w:val="0"/>
          <w:noProof/>
          <w:sz w:val="18"/>
        </w:rPr>
        <w:instrText xml:space="preserve"> PAGEREF _Toc111453551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38" w14:textId="77777777" w:rsidR="00C77E56" w:rsidRDefault="00C77E56">
      <w:pPr>
        <w:pStyle w:val="TOC5"/>
        <w:rPr>
          <w:rFonts w:asciiTheme="minorHAnsi" w:eastAsiaTheme="minorEastAsia" w:hAnsiTheme="minorHAnsi" w:cstheme="minorBidi"/>
          <w:noProof/>
          <w:kern w:val="0"/>
          <w:sz w:val="22"/>
          <w:szCs w:val="22"/>
        </w:rPr>
      </w:pPr>
      <w:r>
        <w:rPr>
          <w:noProof/>
        </w:rPr>
        <w:t>33</w:t>
      </w:r>
      <w:r>
        <w:rPr>
          <w:noProof/>
        </w:rPr>
        <w:tab/>
        <w:t>Related accountable entity also taken to meet enhanced notification threshold</w:t>
      </w:r>
      <w:r w:rsidRPr="00C77E56">
        <w:rPr>
          <w:noProof/>
        </w:rPr>
        <w:tab/>
      </w:r>
      <w:r w:rsidRPr="00C77E56">
        <w:rPr>
          <w:noProof/>
        </w:rPr>
        <w:fldChar w:fldCharType="begin"/>
      </w:r>
      <w:r w:rsidRPr="00C77E56">
        <w:rPr>
          <w:noProof/>
        </w:rPr>
        <w:instrText xml:space="preserve"> PAGEREF _Toc111453552 \h </w:instrText>
      </w:r>
      <w:r w:rsidRPr="00C77E56">
        <w:rPr>
          <w:noProof/>
        </w:rPr>
      </w:r>
      <w:r w:rsidRPr="00C77E56">
        <w:rPr>
          <w:noProof/>
        </w:rPr>
        <w:fldChar w:fldCharType="separate"/>
      </w:r>
      <w:r w:rsidR="004C6765">
        <w:rPr>
          <w:noProof/>
        </w:rPr>
        <w:t>1</w:t>
      </w:r>
      <w:r w:rsidRPr="00C77E56">
        <w:rPr>
          <w:noProof/>
        </w:rPr>
        <w:fldChar w:fldCharType="end"/>
      </w:r>
    </w:p>
    <w:p w14:paraId="3A86E839" w14:textId="77777777" w:rsidR="00C77E56" w:rsidRDefault="00C77E56">
      <w:pPr>
        <w:pStyle w:val="TOC3"/>
        <w:rPr>
          <w:rFonts w:asciiTheme="minorHAnsi" w:eastAsiaTheme="minorEastAsia" w:hAnsiTheme="minorHAnsi" w:cstheme="minorBidi"/>
          <w:b w:val="0"/>
          <w:noProof/>
          <w:kern w:val="0"/>
          <w:szCs w:val="22"/>
        </w:rPr>
      </w:pPr>
      <w:r>
        <w:rPr>
          <w:noProof/>
        </w:rPr>
        <w:t>Division 7—Miscellaneous</w:t>
      </w:r>
      <w:r w:rsidRPr="00C77E56">
        <w:rPr>
          <w:b w:val="0"/>
          <w:noProof/>
          <w:sz w:val="18"/>
        </w:rPr>
        <w:tab/>
      </w:r>
      <w:r w:rsidRPr="00C77E56">
        <w:rPr>
          <w:b w:val="0"/>
          <w:noProof/>
          <w:sz w:val="18"/>
        </w:rPr>
        <w:fldChar w:fldCharType="begin"/>
      </w:r>
      <w:r w:rsidRPr="00C77E56">
        <w:rPr>
          <w:b w:val="0"/>
          <w:noProof/>
          <w:sz w:val="18"/>
        </w:rPr>
        <w:instrText xml:space="preserve"> PAGEREF _Toc111453553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3A" w14:textId="77777777" w:rsidR="00C77E56" w:rsidRDefault="00C77E56">
      <w:pPr>
        <w:pStyle w:val="TOC5"/>
        <w:rPr>
          <w:rFonts w:asciiTheme="minorHAnsi" w:eastAsiaTheme="minorEastAsia" w:hAnsiTheme="minorHAnsi" w:cstheme="minorBidi"/>
          <w:noProof/>
          <w:kern w:val="0"/>
          <w:sz w:val="22"/>
          <w:szCs w:val="22"/>
        </w:rPr>
      </w:pPr>
      <w:r>
        <w:rPr>
          <w:noProof/>
        </w:rPr>
        <w:t>34</w:t>
      </w:r>
      <w:r>
        <w:rPr>
          <w:noProof/>
        </w:rPr>
        <w:tab/>
        <w:t>Reporting Standards</w:t>
      </w:r>
      <w:r w:rsidRPr="00C77E56">
        <w:rPr>
          <w:noProof/>
        </w:rPr>
        <w:tab/>
      </w:r>
      <w:r w:rsidRPr="00C77E56">
        <w:rPr>
          <w:noProof/>
        </w:rPr>
        <w:fldChar w:fldCharType="begin"/>
      </w:r>
      <w:r w:rsidRPr="00C77E56">
        <w:rPr>
          <w:noProof/>
        </w:rPr>
        <w:instrText xml:space="preserve"> PAGEREF _Toc111453554 \h </w:instrText>
      </w:r>
      <w:r w:rsidRPr="00C77E56">
        <w:rPr>
          <w:noProof/>
        </w:rPr>
      </w:r>
      <w:r w:rsidRPr="00C77E56">
        <w:rPr>
          <w:noProof/>
        </w:rPr>
        <w:fldChar w:fldCharType="separate"/>
      </w:r>
      <w:r w:rsidR="004C6765">
        <w:rPr>
          <w:noProof/>
        </w:rPr>
        <w:t>1</w:t>
      </w:r>
      <w:r w:rsidRPr="00C77E56">
        <w:rPr>
          <w:noProof/>
        </w:rPr>
        <w:fldChar w:fldCharType="end"/>
      </w:r>
    </w:p>
    <w:p w14:paraId="3A86E83B" w14:textId="77777777" w:rsidR="00C77E56" w:rsidRDefault="00C77E56">
      <w:pPr>
        <w:pStyle w:val="TOC2"/>
        <w:rPr>
          <w:rFonts w:asciiTheme="minorHAnsi" w:eastAsiaTheme="minorEastAsia" w:hAnsiTheme="minorHAnsi" w:cstheme="minorBidi"/>
          <w:b w:val="0"/>
          <w:noProof/>
          <w:kern w:val="0"/>
          <w:sz w:val="22"/>
          <w:szCs w:val="22"/>
        </w:rPr>
      </w:pPr>
      <w:r>
        <w:rPr>
          <w:noProof/>
        </w:rPr>
        <w:t>Part 4—Miscellaneous</w:t>
      </w:r>
      <w:r w:rsidRPr="00C77E56">
        <w:rPr>
          <w:b w:val="0"/>
          <w:noProof/>
          <w:sz w:val="18"/>
        </w:rPr>
        <w:tab/>
      </w:r>
      <w:r w:rsidRPr="00C77E56">
        <w:rPr>
          <w:b w:val="0"/>
          <w:noProof/>
          <w:sz w:val="18"/>
        </w:rPr>
        <w:fldChar w:fldCharType="begin"/>
      </w:r>
      <w:r w:rsidRPr="00C77E56">
        <w:rPr>
          <w:b w:val="0"/>
          <w:noProof/>
          <w:sz w:val="18"/>
        </w:rPr>
        <w:instrText xml:space="preserve"> PAGEREF _Toc111453555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3C" w14:textId="77777777" w:rsidR="00C77E56" w:rsidRDefault="00C77E56">
      <w:pPr>
        <w:pStyle w:val="TOC5"/>
        <w:rPr>
          <w:rFonts w:asciiTheme="minorHAnsi" w:eastAsiaTheme="minorEastAsia" w:hAnsiTheme="minorHAnsi" w:cstheme="minorBidi"/>
          <w:noProof/>
          <w:kern w:val="0"/>
          <w:sz w:val="22"/>
          <w:szCs w:val="22"/>
        </w:rPr>
      </w:pPr>
      <w:r>
        <w:rPr>
          <w:noProof/>
        </w:rPr>
        <w:t>35</w:t>
      </w:r>
      <w:r>
        <w:rPr>
          <w:noProof/>
        </w:rPr>
        <w:tab/>
        <w:t>Evidentiary use of certain material—manner of authentication of examination record</w:t>
      </w:r>
      <w:r w:rsidRPr="00C77E56">
        <w:rPr>
          <w:noProof/>
        </w:rPr>
        <w:tab/>
      </w:r>
      <w:r w:rsidRPr="00C77E56">
        <w:rPr>
          <w:noProof/>
        </w:rPr>
        <w:fldChar w:fldCharType="begin"/>
      </w:r>
      <w:r w:rsidRPr="00C77E56">
        <w:rPr>
          <w:noProof/>
        </w:rPr>
        <w:instrText xml:space="preserve"> PAGEREF _Toc111453556 \h </w:instrText>
      </w:r>
      <w:r w:rsidRPr="00C77E56">
        <w:rPr>
          <w:noProof/>
        </w:rPr>
      </w:r>
      <w:r w:rsidRPr="00C77E56">
        <w:rPr>
          <w:noProof/>
        </w:rPr>
        <w:fldChar w:fldCharType="separate"/>
      </w:r>
      <w:r w:rsidR="004C6765">
        <w:rPr>
          <w:noProof/>
        </w:rPr>
        <w:t>1</w:t>
      </w:r>
      <w:r w:rsidRPr="00C77E56">
        <w:rPr>
          <w:noProof/>
        </w:rPr>
        <w:fldChar w:fldCharType="end"/>
      </w:r>
    </w:p>
    <w:p w14:paraId="3A86E83D" w14:textId="77777777" w:rsidR="00C77E56" w:rsidRDefault="00C77E56">
      <w:pPr>
        <w:pStyle w:val="TOC2"/>
        <w:rPr>
          <w:rFonts w:asciiTheme="minorHAnsi" w:eastAsiaTheme="minorEastAsia" w:hAnsiTheme="minorHAnsi" w:cstheme="minorBidi"/>
          <w:b w:val="0"/>
          <w:noProof/>
          <w:kern w:val="0"/>
          <w:sz w:val="22"/>
          <w:szCs w:val="22"/>
        </w:rPr>
      </w:pPr>
      <w:r>
        <w:rPr>
          <w:noProof/>
        </w:rPr>
        <w:t>Part 5—Application and transitional provisions</w:t>
      </w:r>
      <w:r w:rsidRPr="00C77E56">
        <w:rPr>
          <w:b w:val="0"/>
          <w:noProof/>
          <w:sz w:val="18"/>
        </w:rPr>
        <w:tab/>
      </w:r>
      <w:r w:rsidRPr="00C77E56">
        <w:rPr>
          <w:b w:val="0"/>
          <w:noProof/>
          <w:sz w:val="18"/>
        </w:rPr>
        <w:fldChar w:fldCharType="begin"/>
      </w:r>
      <w:r w:rsidRPr="00C77E56">
        <w:rPr>
          <w:b w:val="0"/>
          <w:noProof/>
          <w:sz w:val="18"/>
        </w:rPr>
        <w:instrText xml:space="preserve"> PAGEREF _Toc111453557 \h </w:instrText>
      </w:r>
      <w:r w:rsidRPr="00C77E56">
        <w:rPr>
          <w:b w:val="0"/>
          <w:noProof/>
          <w:sz w:val="18"/>
        </w:rPr>
      </w:r>
      <w:r w:rsidRPr="00C77E56">
        <w:rPr>
          <w:b w:val="0"/>
          <w:noProof/>
          <w:sz w:val="18"/>
        </w:rPr>
        <w:fldChar w:fldCharType="separate"/>
      </w:r>
      <w:r w:rsidR="004C6765">
        <w:rPr>
          <w:b w:val="0"/>
          <w:noProof/>
          <w:sz w:val="18"/>
        </w:rPr>
        <w:t>1</w:t>
      </w:r>
      <w:r w:rsidRPr="00C77E56">
        <w:rPr>
          <w:b w:val="0"/>
          <w:noProof/>
          <w:sz w:val="18"/>
        </w:rPr>
        <w:fldChar w:fldCharType="end"/>
      </w:r>
    </w:p>
    <w:p w14:paraId="3A86E83E" w14:textId="77777777" w:rsidR="00C77E56" w:rsidRDefault="00C77E56">
      <w:pPr>
        <w:pStyle w:val="TOC5"/>
        <w:rPr>
          <w:rFonts w:asciiTheme="minorHAnsi" w:eastAsiaTheme="minorEastAsia" w:hAnsiTheme="minorHAnsi" w:cstheme="minorBidi"/>
          <w:noProof/>
          <w:kern w:val="0"/>
          <w:sz w:val="22"/>
          <w:szCs w:val="22"/>
        </w:rPr>
      </w:pPr>
      <w:r>
        <w:rPr>
          <w:noProof/>
        </w:rPr>
        <w:t>36</w:t>
      </w:r>
      <w:r>
        <w:rPr>
          <w:noProof/>
        </w:rPr>
        <w:tab/>
        <w:t>Application provision—total asset size</w:t>
      </w:r>
      <w:r w:rsidRPr="00C77E56">
        <w:rPr>
          <w:noProof/>
        </w:rPr>
        <w:tab/>
      </w:r>
      <w:r w:rsidRPr="00C77E56">
        <w:rPr>
          <w:noProof/>
        </w:rPr>
        <w:fldChar w:fldCharType="begin"/>
      </w:r>
      <w:r w:rsidRPr="00C77E56">
        <w:rPr>
          <w:noProof/>
        </w:rPr>
        <w:instrText xml:space="preserve"> PAGEREF _Toc111453558 \h </w:instrText>
      </w:r>
      <w:r w:rsidRPr="00C77E56">
        <w:rPr>
          <w:noProof/>
        </w:rPr>
      </w:r>
      <w:r w:rsidRPr="00C77E56">
        <w:rPr>
          <w:noProof/>
        </w:rPr>
        <w:fldChar w:fldCharType="separate"/>
      </w:r>
      <w:r w:rsidR="004C6765">
        <w:rPr>
          <w:noProof/>
        </w:rPr>
        <w:t>1</w:t>
      </w:r>
      <w:r w:rsidRPr="00C77E56">
        <w:rPr>
          <w:noProof/>
        </w:rPr>
        <w:fldChar w:fldCharType="end"/>
      </w:r>
    </w:p>
    <w:p w14:paraId="3A86E83F" w14:textId="77777777" w:rsidR="00670EA1" w:rsidRPr="001104F3" w:rsidRDefault="00C77E56" w:rsidP="00715914">
      <w:r>
        <w:fldChar w:fldCharType="end"/>
      </w:r>
    </w:p>
    <w:p w14:paraId="3A86E840" w14:textId="77777777" w:rsidR="00670EA1" w:rsidRPr="001104F3" w:rsidRDefault="00670EA1" w:rsidP="00715914">
      <w:pPr>
        <w:sectPr w:rsidR="00670EA1" w:rsidRPr="001104F3" w:rsidSect="00243018">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3A86E841" w14:textId="77777777" w:rsidR="00715914" w:rsidRPr="001104F3" w:rsidRDefault="00715914" w:rsidP="00715914">
      <w:pPr>
        <w:pStyle w:val="ActHead2"/>
      </w:pPr>
      <w:bookmarkStart w:id="0" w:name="_Toc111453511"/>
      <w:r w:rsidRPr="00C77E56">
        <w:rPr>
          <w:rStyle w:val="CharPartNo"/>
        </w:rPr>
        <w:lastRenderedPageBreak/>
        <w:t>Part 1</w:t>
      </w:r>
      <w:r w:rsidRPr="001104F3">
        <w:t>—</w:t>
      </w:r>
      <w:r w:rsidRPr="00C77E56">
        <w:rPr>
          <w:rStyle w:val="CharPartText"/>
        </w:rPr>
        <w:t>Preliminary</w:t>
      </w:r>
      <w:bookmarkEnd w:id="0"/>
    </w:p>
    <w:p w14:paraId="3A86E842" w14:textId="77777777" w:rsidR="00715914" w:rsidRPr="00C77E56" w:rsidRDefault="00715914" w:rsidP="00715914">
      <w:pPr>
        <w:pStyle w:val="Header"/>
      </w:pPr>
      <w:r w:rsidRPr="00C77E56">
        <w:rPr>
          <w:rStyle w:val="CharDivNo"/>
        </w:rPr>
        <w:t xml:space="preserve"> </w:t>
      </w:r>
      <w:r w:rsidRPr="00C77E56">
        <w:rPr>
          <w:rStyle w:val="CharDivText"/>
        </w:rPr>
        <w:t xml:space="preserve"> </w:t>
      </w:r>
    </w:p>
    <w:p w14:paraId="3A86E843" w14:textId="77777777" w:rsidR="00715914" w:rsidRPr="001104F3" w:rsidRDefault="00E33EBD" w:rsidP="00715914">
      <w:pPr>
        <w:pStyle w:val="ActHead5"/>
      </w:pPr>
      <w:bookmarkStart w:id="1" w:name="_Toc111453512"/>
      <w:r w:rsidRPr="00C77E56">
        <w:rPr>
          <w:rStyle w:val="CharSectno"/>
        </w:rPr>
        <w:t>1</w:t>
      </w:r>
      <w:r w:rsidR="00715914" w:rsidRPr="001104F3">
        <w:t xml:space="preserve">  </w:t>
      </w:r>
      <w:r w:rsidR="00CE493D" w:rsidRPr="001104F3">
        <w:t>Name</w:t>
      </w:r>
      <w:bookmarkEnd w:id="1"/>
    </w:p>
    <w:p w14:paraId="3A86E844" w14:textId="77777777" w:rsidR="00715914" w:rsidRPr="001104F3" w:rsidRDefault="00715914" w:rsidP="00715914">
      <w:pPr>
        <w:pStyle w:val="subsection"/>
      </w:pPr>
      <w:r w:rsidRPr="001104F3">
        <w:tab/>
      </w:r>
      <w:r w:rsidRPr="001104F3">
        <w:tab/>
      </w:r>
      <w:r w:rsidR="00824BC5" w:rsidRPr="001104F3">
        <w:t>This instrument is</w:t>
      </w:r>
      <w:r w:rsidR="00CE493D" w:rsidRPr="001104F3">
        <w:t xml:space="preserve"> the </w:t>
      </w:r>
      <w:r w:rsidR="00BC76AC" w:rsidRPr="001104F3">
        <w:rPr>
          <w:i/>
        </w:rPr>
        <w:fldChar w:fldCharType="begin"/>
      </w:r>
      <w:r w:rsidR="00BC76AC" w:rsidRPr="001104F3">
        <w:rPr>
          <w:i/>
        </w:rPr>
        <w:instrText xml:space="preserve"> STYLEREF  ShortT </w:instrText>
      </w:r>
      <w:r w:rsidR="00BC76AC" w:rsidRPr="001104F3">
        <w:rPr>
          <w:i/>
        </w:rPr>
        <w:fldChar w:fldCharType="separate"/>
      </w:r>
      <w:r w:rsidR="004C6765">
        <w:rPr>
          <w:i/>
          <w:noProof/>
        </w:rPr>
        <w:t>Financial Accountability Regime Minister Rules 2022</w:t>
      </w:r>
      <w:r w:rsidR="00BC76AC" w:rsidRPr="001104F3">
        <w:rPr>
          <w:i/>
        </w:rPr>
        <w:fldChar w:fldCharType="end"/>
      </w:r>
      <w:r w:rsidRPr="001104F3">
        <w:t>.</w:t>
      </w:r>
    </w:p>
    <w:p w14:paraId="3A86E845" w14:textId="77777777" w:rsidR="00715914" w:rsidRPr="001104F3" w:rsidRDefault="00E33EBD" w:rsidP="00715914">
      <w:pPr>
        <w:pStyle w:val="ActHead5"/>
      </w:pPr>
      <w:bookmarkStart w:id="2" w:name="_Toc111453513"/>
      <w:r w:rsidRPr="00C77E56">
        <w:rPr>
          <w:rStyle w:val="CharSectno"/>
        </w:rPr>
        <w:t>2</w:t>
      </w:r>
      <w:r w:rsidR="00715914" w:rsidRPr="001104F3">
        <w:t xml:space="preserve">  Commencement</w:t>
      </w:r>
      <w:bookmarkEnd w:id="2"/>
    </w:p>
    <w:p w14:paraId="3A86E846" w14:textId="77777777" w:rsidR="00AE3652" w:rsidRPr="001104F3" w:rsidRDefault="00807626" w:rsidP="00AE3652">
      <w:pPr>
        <w:pStyle w:val="subsection"/>
      </w:pPr>
      <w:r w:rsidRPr="001104F3">
        <w:tab/>
      </w:r>
      <w:r w:rsidR="00AE3652" w:rsidRPr="001104F3">
        <w:t>(1)</w:t>
      </w:r>
      <w:r w:rsidR="00AE3652" w:rsidRPr="001104F3">
        <w:tab/>
        <w:t xml:space="preserve">Each provision of </w:t>
      </w:r>
      <w:r w:rsidR="00824BC5" w:rsidRPr="001104F3">
        <w:t>this instrument</w:t>
      </w:r>
      <w:r w:rsidR="00AE3652" w:rsidRPr="001104F3">
        <w:t xml:space="preserve"> specified in column 1 of the table commences, or is taken to have commenced, in accordance with column 2 of the table. Any other statement in column 2 has effect according to its terms.</w:t>
      </w:r>
    </w:p>
    <w:p w14:paraId="3A86E847" w14:textId="77777777" w:rsidR="00AE3652" w:rsidRPr="001104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1104F3" w14:paraId="3A86E849" w14:textId="77777777" w:rsidTr="00824BC5">
        <w:trPr>
          <w:tblHeader/>
        </w:trPr>
        <w:tc>
          <w:tcPr>
            <w:tcW w:w="8364" w:type="dxa"/>
            <w:gridSpan w:val="3"/>
            <w:tcBorders>
              <w:top w:val="single" w:sz="12" w:space="0" w:color="auto"/>
              <w:bottom w:val="single" w:sz="6" w:space="0" w:color="auto"/>
            </w:tcBorders>
            <w:shd w:val="clear" w:color="auto" w:fill="auto"/>
            <w:hideMark/>
          </w:tcPr>
          <w:p w14:paraId="3A86E848" w14:textId="77777777" w:rsidR="00AE3652" w:rsidRPr="001104F3" w:rsidRDefault="00AE3652" w:rsidP="00824BC5">
            <w:pPr>
              <w:pStyle w:val="TableHeading"/>
            </w:pPr>
            <w:r w:rsidRPr="001104F3">
              <w:t>Commencement information</w:t>
            </w:r>
          </w:p>
        </w:tc>
      </w:tr>
      <w:tr w:rsidR="00AE3652" w:rsidRPr="001104F3" w14:paraId="3A86E84D" w14:textId="77777777" w:rsidTr="00824BC5">
        <w:trPr>
          <w:tblHeader/>
        </w:trPr>
        <w:tc>
          <w:tcPr>
            <w:tcW w:w="2127" w:type="dxa"/>
            <w:tcBorders>
              <w:top w:val="single" w:sz="6" w:space="0" w:color="auto"/>
              <w:bottom w:val="single" w:sz="6" w:space="0" w:color="auto"/>
            </w:tcBorders>
            <w:shd w:val="clear" w:color="auto" w:fill="auto"/>
            <w:hideMark/>
          </w:tcPr>
          <w:p w14:paraId="3A86E84A" w14:textId="77777777" w:rsidR="00AE3652" w:rsidRPr="001104F3" w:rsidRDefault="00AE3652" w:rsidP="00824BC5">
            <w:pPr>
              <w:pStyle w:val="TableHeading"/>
            </w:pPr>
            <w:r w:rsidRPr="001104F3">
              <w:t>Column 1</w:t>
            </w:r>
          </w:p>
        </w:tc>
        <w:tc>
          <w:tcPr>
            <w:tcW w:w="4394" w:type="dxa"/>
            <w:tcBorders>
              <w:top w:val="single" w:sz="6" w:space="0" w:color="auto"/>
              <w:bottom w:val="single" w:sz="6" w:space="0" w:color="auto"/>
            </w:tcBorders>
            <w:shd w:val="clear" w:color="auto" w:fill="auto"/>
            <w:hideMark/>
          </w:tcPr>
          <w:p w14:paraId="3A86E84B" w14:textId="77777777" w:rsidR="00AE3652" w:rsidRPr="001104F3" w:rsidRDefault="00AE3652" w:rsidP="00824BC5">
            <w:pPr>
              <w:pStyle w:val="TableHeading"/>
            </w:pPr>
            <w:r w:rsidRPr="001104F3">
              <w:t>Column 2</w:t>
            </w:r>
          </w:p>
        </w:tc>
        <w:tc>
          <w:tcPr>
            <w:tcW w:w="1843" w:type="dxa"/>
            <w:tcBorders>
              <w:top w:val="single" w:sz="6" w:space="0" w:color="auto"/>
              <w:bottom w:val="single" w:sz="6" w:space="0" w:color="auto"/>
            </w:tcBorders>
            <w:shd w:val="clear" w:color="auto" w:fill="auto"/>
            <w:hideMark/>
          </w:tcPr>
          <w:p w14:paraId="3A86E84C" w14:textId="77777777" w:rsidR="00AE3652" w:rsidRPr="001104F3" w:rsidRDefault="00AE3652" w:rsidP="00824BC5">
            <w:pPr>
              <w:pStyle w:val="TableHeading"/>
            </w:pPr>
            <w:r w:rsidRPr="001104F3">
              <w:t>Column 3</w:t>
            </w:r>
          </w:p>
        </w:tc>
      </w:tr>
      <w:tr w:rsidR="00AE3652" w:rsidRPr="001104F3" w14:paraId="3A86E851" w14:textId="77777777" w:rsidTr="00824BC5">
        <w:trPr>
          <w:tblHeader/>
        </w:trPr>
        <w:tc>
          <w:tcPr>
            <w:tcW w:w="2127" w:type="dxa"/>
            <w:tcBorders>
              <w:top w:val="single" w:sz="6" w:space="0" w:color="auto"/>
              <w:bottom w:val="single" w:sz="12" w:space="0" w:color="auto"/>
            </w:tcBorders>
            <w:shd w:val="clear" w:color="auto" w:fill="auto"/>
            <w:hideMark/>
          </w:tcPr>
          <w:p w14:paraId="3A86E84E" w14:textId="77777777" w:rsidR="00AE3652" w:rsidRPr="001104F3" w:rsidRDefault="00AE3652" w:rsidP="00824BC5">
            <w:pPr>
              <w:pStyle w:val="TableHeading"/>
            </w:pPr>
            <w:r w:rsidRPr="001104F3">
              <w:t>Provisions</w:t>
            </w:r>
          </w:p>
        </w:tc>
        <w:tc>
          <w:tcPr>
            <w:tcW w:w="4394" w:type="dxa"/>
            <w:tcBorders>
              <w:top w:val="single" w:sz="6" w:space="0" w:color="auto"/>
              <w:bottom w:val="single" w:sz="12" w:space="0" w:color="auto"/>
            </w:tcBorders>
            <w:shd w:val="clear" w:color="auto" w:fill="auto"/>
            <w:hideMark/>
          </w:tcPr>
          <w:p w14:paraId="3A86E84F" w14:textId="77777777" w:rsidR="00AE3652" w:rsidRPr="001104F3" w:rsidRDefault="00AE3652" w:rsidP="00824BC5">
            <w:pPr>
              <w:pStyle w:val="TableHeading"/>
            </w:pPr>
            <w:r w:rsidRPr="001104F3">
              <w:t>Commencement</w:t>
            </w:r>
          </w:p>
        </w:tc>
        <w:tc>
          <w:tcPr>
            <w:tcW w:w="1843" w:type="dxa"/>
            <w:tcBorders>
              <w:top w:val="single" w:sz="6" w:space="0" w:color="auto"/>
              <w:bottom w:val="single" w:sz="12" w:space="0" w:color="auto"/>
            </w:tcBorders>
            <w:shd w:val="clear" w:color="auto" w:fill="auto"/>
            <w:hideMark/>
          </w:tcPr>
          <w:p w14:paraId="3A86E850" w14:textId="77777777" w:rsidR="00AE3652" w:rsidRPr="001104F3" w:rsidRDefault="00AE3652" w:rsidP="00824BC5">
            <w:pPr>
              <w:pStyle w:val="TableHeading"/>
            </w:pPr>
            <w:r w:rsidRPr="001104F3">
              <w:t>Date/Details</w:t>
            </w:r>
          </w:p>
        </w:tc>
      </w:tr>
      <w:tr w:rsidR="00AE3652" w:rsidRPr="001104F3" w14:paraId="3A86E858" w14:textId="77777777" w:rsidTr="00824BC5">
        <w:tc>
          <w:tcPr>
            <w:tcW w:w="2127" w:type="dxa"/>
            <w:tcBorders>
              <w:top w:val="single" w:sz="12" w:space="0" w:color="auto"/>
              <w:bottom w:val="single" w:sz="12" w:space="0" w:color="auto"/>
            </w:tcBorders>
            <w:shd w:val="clear" w:color="auto" w:fill="auto"/>
            <w:hideMark/>
          </w:tcPr>
          <w:p w14:paraId="3A86E852" w14:textId="77777777" w:rsidR="00AE3652" w:rsidRPr="001104F3" w:rsidRDefault="00AE3652" w:rsidP="00824BC5">
            <w:pPr>
              <w:pStyle w:val="Tabletext"/>
            </w:pPr>
            <w:r w:rsidRPr="001104F3">
              <w:t xml:space="preserve">1.  The whole of </w:t>
            </w:r>
            <w:r w:rsidR="00824BC5" w:rsidRPr="001104F3">
              <w:t>this instrument</w:t>
            </w:r>
          </w:p>
        </w:tc>
        <w:tc>
          <w:tcPr>
            <w:tcW w:w="4394" w:type="dxa"/>
            <w:tcBorders>
              <w:top w:val="single" w:sz="12" w:space="0" w:color="auto"/>
              <w:bottom w:val="single" w:sz="12" w:space="0" w:color="auto"/>
            </w:tcBorders>
            <w:shd w:val="clear" w:color="auto" w:fill="auto"/>
            <w:hideMark/>
          </w:tcPr>
          <w:p w14:paraId="3A86E853" w14:textId="77777777" w:rsidR="00824BC5" w:rsidRPr="001104F3" w:rsidRDefault="00824BC5" w:rsidP="00824BC5">
            <w:pPr>
              <w:pStyle w:val="Tabletext"/>
            </w:pPr>
            <w:r w:rsidRPr="001104F3">
              <w:t>The later of:</w:t>
            </w:r>
          </w:p>
          <w:p w14:paraId="3A86E854" w14:textId="77777777" w:rsidR="00824BC5" w:rsidRPr="001104F3" w:rsidRDefault="00824BC5" w:rsidP="00824BC5">
            <w:pPr>
              <w:pStyle w:val="Tabletext"/>
            </w:pPr>
            <w:r w:rsidRPr="001104F3">
              <w:t>(a) the day after this instrument is registered; and</w:t>
            </w:r>
          </w:p>
          <w:p w14:paraId="3A86E855" w14:textId="77777777" w:rsidR="00824BC5" w:rsidRPr="001104F3" w:rsidRDefault="00824BC5" w:rsidP="00013407">
            <w:pPr>
              <w:pStyle w:val="Tablea"/>
            </w:pPr>
            <w:r w:rsidRPr="001104F3">
              <w:t xml:space="preserve">(b) the day </w:t>
            </w:r>
            <w:r w:rsidR="00760C62" w:rsidRPr="001104F3">
              <w:t xml:space="preserve">the </w:t>
            </w:r>
            <w:r w:rsidR="00760C62" w:rsidRPr="001104F3">
              <w:rPr>
                <w:i/>
              </w:rPr>
              <w:t>Financial Accountability Regime Act 202</w:t>
            </w:r>
            <w:r w:rsidR="007A78FC" w:rsidRPr="001104F3">
              <w:rPr>
                <w:i/>
              </w:rPr>
              <w:t>2</w:t>
            </w:r>
            <w:r w:rsidR="00760C62" w:rsidRPr="001104F3">
              <w:t xml:space="preserve"> </w:t>
            </w:r>
            <w:r w:rsidRPr="001104F3">
              <w:t>commences.</w:t>
            </w:r>
          </w:p>
          <w:p w14:paraId="3A86E856" w14:textId="77777777" w:rsidR="00824BC5" w:rsidRPr="001104F3" w:rsidRDefault="00824BC5" w:rsidP="00824BC5">
            <w:pPr>
              <w:pStyle w:val="Tabletext"/>
            </w:pPr>
            <w:r w:rsidRPr="001104F3">
              <w:t>However, the provisions do not commence at all if the event mentioned in paragraph (b) does not occur.</w:t>
            </w:r>
          </w:p>
        </w:tc>
        <w:tc>
          <w:tcPr>
            <w:tcW w:w="1843" w:type="dxa"/>
            <w:tcBorders>
              <w:top w:val="single" w:sz="12" w:space="0" w:color="auto"/>
              <w:bottom w:val="single" w:sz="12" w:space="0" w:color="auto"/>
            </w:tcBorders>
            <w:shd w:val="clear" w:color="auto" w:fill="auto"/>
          </w:tcPr>
          <w:p w14:paraId="3A86E857" w14:textId="77777777" w:rsidR="00AE3652" w:rsidRPr="001104F3" w:rsidRDefault="00AE3652" w:rsidP="00824BC5">
            <w:pPr>
              <w:pStyle w:val="Tabletext"/>
            </w:pPr>
          </w:p>
        </w:tc>
      </w:tr>
    </w:tbl>
    <w:p w14:paraId="3A86E859" w14:textId="77777777" w:rsidR="00AE3652" w:rsidRPr="001104F3" w:rsidRDefault="00AE3652" w:rsidP="00AE3652">
      <w:pPr>
        <w:pStyle w:val="notetext"/>
      </w:pPr>
      <w:r w:rsidRPr="001104F3">
        <w:rPr>
          <w:snapToGrid w:val="0"/>
          <w:lang w:eastAsia="en-US"/>
        </w:rPr>
        <w:t>Note:</w:t>
      </w:r>
      <w:r w:rsidRPr="001104F3">
        <w:rPr>
          <w:snapToGrid w:val="0"/>
          <w:lang w:eastAsia="en-US"/>
        </w:rPr>
        <w:tab/>
        <w:t xml:space="preserve">This table relates only to the provisions of </w:t>
      </w:r>
      <w:r w:rsidR="00824BC5" w:rsidRPr="001104F3">
        <w:rPr>
          <w:snapToGrid w:val="0"/>
          <w:lang w:eastAsia="en-US"/>
        </w:rPr>
        <w:t>this instrument</w:t>
      </w:r>
      <w:r w:rsidRPr="001104F3">
        <w:t xml:space="preserve"> </w:t>
      </w:r>
      <w:r w:rsidRPr="001104F3">
        <w:rPr>
          <w:snapToGrid w:val="0"/>
          <w:lang w:eastAsia="en-US"/>
        </w:rPr>
        <w:t xml:space="preserve">as originally made. It will not be amended to deal with any later amendments of </w:t>
      </w:r>
      <w:r w:rsidR="00824BC5" w:rsidRPr="001104F3">
        <w:rPr>
          <w:snapToGrid w:val="0"/>
          <w:lang w:eastAsia="en-US"/>
        </w:rPr>
        <w:t>this instrument</w:t>
      </w:r>
      <w:r w:rsidRPr="001104F3">
        <w:rPr>
          <w:snapToGrid w:val="0"/>
          <w:lang w:eastAsia="en-US"/>
        </w:rPr>
        <w:t>.</w:t>
      </w:r>
    </w:p>
    <w:p w14:paraId="3A86E85A" w14:textId="77777777" w:rsidR="00807626" w:rsidRPr="001104F3" w:rsidRDefault="00AE3652" w:rsidP="00AE3652">
      <w:pPr>
        <w:pStyle w:val="subsection"/>
      </w:pPr>
      <w:r w:rsidRPr="001104F3">
        <w:tab/>
        <w:t>(2)</w:t>
      </w:r>
      <w:r w:rsidRPr="001104F3">
        <w:tab/>
        <w:t xml:space="preserve">Any information in column 3 of the table is not part of </w:t>
      </w:r>
      <w:r w:rsidR="00824BC5" w:rsidRPr="001104F3">
        <w:t>this instrument</w:t>
      </w:r>
      <w:r w:rsidRPr="001104F3">
        <w:t xml:space="preserve">. Information may be inserted in this column, or information in it may be edited, in any published version of </w:t>
      </w:r>
      <w:r w:rsidR="00824BC5" w:rsidRPr="001104F3">
        <w:t>this instrument</w:t>
      </w:r>
      <w:r w:rsidRPr="001104F3">
        <w:t>.</w:t>
      </w:r>
    </w:p>
    <w:p w14:paraId="3A86E85B" w14:textId="77777777" w:rsidR="007500C8" w:rsidRPr="001104F3" w:rsidRDefault="00E33EBD" w:rsidP="007500C8">
      <w:pPr>
        <w:pStyle w:val="ActHead5"/>
      </w:pPr>
      <w:bookmarkStart w:id="3" w:name="_Toc111453514"/>
      <w:r w:rsidRPr="00C77E56">
        <w:rPr>
          <w:rStyle w:val="CharSectno"/>
        </w:rPr>
        <w:t>3</w:t>
      </w:r>
      <w:r w:rsidR="007500C8" w:rsidRPr="001104F3">
        <w:t xml:space="preserve">  Authority</w:t>
      </w:r>
      <w:bookmarkEnd w:id="3"/>
    </w:p>
    <w:p w14:paraId="3A86E85C" w14:textId="77777777" w:rsidR="00760C62" w:rsidRPr="001104F3" w:rsidRDefault="007500C8" w:rsidP="007E667A">
      <w:pPr>
        <w:pStyle w:val="subsection"/>
      </w:pPr>
      <w:r w:rsidRPr="001104F3">
        <w:tab/>
      </w:r>
      <w:r w:rsidRPr="001104F3">
        <w:tab/>
      </w:r>
      <w:r w:rsidR="00824BC5" w:rsidRPr="001104F3">
        <w:t>This instrument is</w:t>
      </w:r>
      <w:r w:rsidRPr="001104F3">
        <w:t xml:space="preserve"> made under</w:t>
      </w:r>
      <w:r w:rsidR="00760C62" w:rsidRPr="001104F3">
        <w:t xml:space="preserve"> the </w:t>
      </w:r>
      <w:r w:rsidR="00760C62" w:rsidRPr="001104F3">
        <w:rPr>
          <w:i/>
        </w:rPr>
        <w:t>Financial Accountability Regime Act 202</w:t>
      </w:r>
      <w:r w:rsidR="007A78FC" w:rsidRPr="001104F3">
        <w:rPr>
          <w:i/>
        </w:rPr>
        <w:t>2</w:t>
      </w:r>
      <w:r w:rsidR="00760C62" w:rsidRPr="001104F3">
        <w:t>.</w:t>
      </w:r>
    </w:p>
    <w:p w14:paraId="3A86E85D" w14:textId="77777777" w:rsidR="00304ABC" w:rsidRPr="001104F3" w:rsidRDefault="00E33EBD" w:rsidP="00304ABC">
      <w:pPr>
        <w:pStyle w:val="ActHead5"/>
      </w:pPr>
      <w:bookmarkStart w:id="4" w:name="_Toc111453515"/>
      <w:r w:rsidRPr="00C77E56">
        <w:rPr>
          <w:rStyle w:val="CharSectno"/>
        </w:rPr>
        <w:t>4</w:t>
      </w:r>
      <w:r w:rsidR="00304ABC" w:rsidRPr="001104F3">
        <w:t xml:space="preserve">  Definitions</w:t>
      </w:r>
      <w:bookmarkEnd w:id="4"/>
    </w:p>
    <w:p w14:paraId="3A86E85E" w14:textId="77777777" w:rsidR="00304ABC" w:rsidRPr="001104F3" w:rsidRDefault="00304ABC" w:rsidP="00304ABC">
      <w:pPr>
        <w:pStyle w:val="notetext"/>
      </w:pPr>
      <w:r w:rsidRPr="001104F3">
        <w:t>Note:</w:t>
      </w:r>
      <w:r w:rsidRPr="001104F3">
        <w:tab/>
        <w:t>A number of expressions used in this instrument are defined in the Act, including the following:</w:t>
      </w:r>
    </w:p>
    <w:p w14:paraId="3A86E85F" w14:textId="77777777" w:rsidR="00304ABC" w:rsidRPr="001104F3" w:rsidRDefault="00304ABC" w:rsidP="00304ABC">
      <w:pPr>
        <w:pStyle w:val="notepara"/>
      </w:pPr>
      <w:r w:rsidRPr="001104F3">
        <w:t>(a)</w:t>
      </w:r>
      <w:r w:rsidRPr="001104F3">
        <w:tab/>
        <w:t>accountable entity;</w:t>
      </w:r>
    </w:p>
    <w:p w14:paraId="3A86E860" w14:textId="77777777" w:rsidR="00304ABC" w:rsidRPr="001104F3" w:rsidRDefault="00304ABC" w:rsidP="00304ABC">
      <w:pPr>
        <w:pStyle w:val="notepara"/>
      </w:pPr>
      <w:r w:rsidRPr="001104F3">
        <w:t>(b)</w:t>
      </w:r>
      <w:r w:rsidRPr="001104F3">
        <w:tab/>
      </w:r>
      <w:r w:rsidR="0003686F" w:rsidRPr="001104F3">
        <w:t>accountable person</w:t>
      </w:r>
      <w:r w:rsidRPr="001104F3">
        <w:t>;</w:t>
      </w:r>
    </w:p>
    <w:p w14:paraId="3A86E861" w14:textId="77777777" w:rsidR="00304ABC" w:rsidRPr="001104F3" w:rsidRDefault="00304ABC" w:rsidP="00304ABC">
      <w:pPr>
        <w:pStyle w:val="notepara"/>
      </w:pPr>
      <w:r w:rsidRPr="001104F3">
        <w:t>(c)</w:t>
      </w:r>
      <w:r w:rsidRPr="001104F3">
        <w:tab/>
      </w:r>
      <w:r w:rsidR="0003686F" w:rsidRPr="001104F3">
        <w:t>ADI</w:t>
      </w:r>
      <w:r w:rsidR="0049221C" w:rsidRPr="001104F3">
        <w:t xml:space="preserve"> (short for authorised deposit</w:t>
      </w:r>
      <w:r w:rsidR="001104F3">
        <w:noBreakHyphen/>
      </w:r>
      <w:r w:rsidR="0049221C" w:rsidRPr="001104F3">
        <w:t>taking institution)</w:t>
      </w:r>
      <w:r w:rsidRPr="001104F3">
        <w:t>;</w:t>
      </w:r>
    </w:p>
    <w:p w14:paraId="3A86E862" w14:textId="77777777" w:rsidR="0003686F" w:rsidRPr="001104F3" w:rsidRDefault="00304ABC" w:rsidP="00304ABC">
      <w:pPr>
        <w:pStyle w:val="notepara"/>
      </w:pPr>
      <w:r w:rsidRPr="001104F3">
        <w:t>(d)</w:t>
      </w:r>
      <w:r w:rsidRPr="001104F3">
        <w:tab/>
      </w:r>
      <w:r w:rsidR="0003686F" w:rsidRPr="001104F3">
        <w:t>authorised NOH</w:t>
      </w:r>
      <w:r w:rsidR="008E2DF2" w:rsidRPr="001104F3">
        <w:t>C</w:t>
      </w:r>
      <w:r w:rsidR="0049221C" w:rsidRPr="001104F3">
        <w:t xml:space="preserve"> (short for non</w:t>
      </w:r>
      <w:r w:rsidR="001104F3">
        <w:noBreakHyphen/>
      </w:r>
      <w:r w:rsidR="0049221C" w:rsidRPr="001104F3">
        <w:t>operating holding company)</w:t>
      </w:r>
      <w:r w:rsidR="008E2DF2" w:rsidRPr="001104F3">
        <w:t>;</w:t>
      </w:r>
    </w:p>
    <w:p w14:paraId="3A86E863" w14:textId="77777777" w:rsidR="00304ABC" w:rsidRPr="001104F3" w:rsidRDefault="0003686F" w:rsidP="00304ABC">
      <w:pPr>
        <w:pStyle w:val="notepara"/>
      </w:pPr>
      <w:r w:rsidRPr="001104F3">
        <w:t>(e)</w:t>
      </w:r>
      <w:r w:rsidRPr="001104F3">
        <w:tab/>
        <w:t>foreign accountable entity</w:t>
      </w:r>
      <w:r w:rsidR="00304ABC" w:rsidRPr="001104F3">
        <w:t>;</w:t>
      </w:r>
    </w:p>
    <w:p w14:paraId="3A86E864" w14:textId="77777777" w:rsidR="00304ABC" w:rsidRPr="001104F3" w:rsidRDefault="00304ABC" w:rsidP="00304ABC">
      <w:pPr>
        <w:pStyle w:val="notepara"/>
      </w:pPr>
      <w:r w:rsidRPr="001104F3">
        <w:t>(</w:t>
      </w:r>
      <w:r w:rsidR="0003686F" w:rsidRPr="001104F3">
        <w:t>f</w:t>
      </w:r>
      <w:r w:rsidRPr="001104F3">
        <w:t>)</w:t>
      </w:r>
      <w:r w:rsidRPr="001104F3">
        <w:tab/>
      </w:r>
      <w:r w:rsidR="0003686F" w:rsidRPr="001104F3">
        <w:t>general insurer;</w:t>
      </w:r>
    </w:p>
    <w:p w14:paraId="3A86E865" w14:textId="77777777" w:rsidR="0003686F" w:rsidRPr="001104F3" w:rsidRDefault="0003686F" w:rsidP="00304ABC">
      <w:pPr>
        <w:pStyle w:val="notepara"/>
      </w:pPr>
      <w:r w:rsidRPr="001104F3">
        <w:t>(g)</w:t>
      </w:r>
      <w:r w:rsidRPr="001104F3">
        <w:tab/>
        <w:t>life company;</w:t>
      </w:r>
    </w:p>
    <w:p w14:paraId="3A86E866" w14:textId="77777777" w:rsidR="0003686F" w:rsidRPr="001104F3" w:rsidRDefault="0003686F" w:rsidP="00304ABC">
      <w:pPr>
        <w:pStyle w:val="notepara"/>
      </w:pPr>
      <w:r w:rsidRPr="001104F3">
        <w:t>(h)</w:t>
      </w:r>
      <w:r w:rsidRPr="001104F3">
        <w:tab/>
        <w:t>private health insurer;</w:t>
      </w:r>
    </w:p>
    <w:p w14:paraId="3A86E867" w14:textId="77777777" w:rsidR="0003686F" w:rsidRPr="001104F3" w:rsidRDefault="0003686F" w:rsidP="00304ABC">
      <w:pPr>
        <w:pStyle w:val="notepara"/>
      </w:pPr>
      <w:r w:rsidRPr="001104F3">
        <w:t>(</w:t>
      </w:r>
      <w:proofErr w:type="spellStart"/>
      <w:r w:rsidRPr="001104F3">
        <w:t>i</w:t>
      </w:r>
      <w:proofErr w:type="spellEnd"/>
      <w:r w:rsidRPr="001104F3">
        <w:t>)</w:t>
      </w:r>
      <w:r w:rsidRPr="001104F3">
        <w:tab/>
        <w:t>registered NOHC</w:t>
      </w:r>
      <w:r w:rsidR="0049221C" w:rsidRPr="001104F3">
        <w:t xml:space="preserve"> (short for non</w:t>
      </w:r>
      <w:r w:rsidR="001104F3">
        <w:noBreakHyphen/>
      </w:r>
      <w:r w:rsidR="0049221C" w:rsidRPr="001104F3">
        <w:t>operating holding company)</w:t>
      </w:r>
      <w:r w:rsidRPr="001104F3">
        <w:t>;</w:t>
      </w:r>
    </w:p>
    <w:p w14:paraId="3A86E868" w14:textId="77777777" w:rsidR="0003686F" w:rsidRPr="001104F3" w:rsidRDefault="0003686F" w:rsidP="00304ABC">
      <w:pPr>
        <w:pStyle w:val="notepara"/>
      </w:pPr>
      <w:r w:rsidRPr="001104F3">
        <w:t>(j)</w:t>
      </w:r>
      <w:r w:rsidRPr="001104F3">
        <w:tab/>
        <w:t>RSE licensee</w:t>
      </w:r>
      <w:r w:rsidR="0049221C" w:rsidRPr="001104F3">
        <w:t xml:space="preserve"> (RSE is short for registrable superannuation entity)</w:t>
      </w:r>
      <w:r w:rsidRPr="001104F3">
        <w:t>.</w:t>
      </w:r>
    </w:p>
    <w:p w14:paraId="3A86E869" w14:textId="77777777" w:rsidR="00304ABC" w:rsidRPr="001104F3" w:rsidRDefault="00304ABC" w:rsidP="00304ABC">
      <w:pPr>
        <w:pStyle w:val="subsection"/>
      </w:pPr>
      <w:r w:rsidRPr="001104F3">
        <w:lastRenderedPageBreak/>
        <w:tab/>
      </w:r>
      <w:r w:rsidRPr="001104F3">
        <w:tab/>
        <w:t>In this instrument:</w:t>
      </w:r>
    </w:p>
    <w:p w14:paraId="3A86E86A" w14:textId="77777777" w:rsidR="00304ABC" w:rsidRPr="001104F3" w:rsidRDefault="00304ABC" w:rsidP="00304ABC">
      <w:pPr>
        <w:pStyle w:val="Definition"/>
      </w:pPr>
      <w:r w:rsidRPr="001104F3">
        <w:rPr>
          <w:b/>
          <w:i/>
        </w:rPr>
        <w:t>Act</w:t>
      </w:r>
      <w:r w:rsidRPr="001104F3">
        <w:t xml:space="preserve"> means </w:t>
      </w:r>
      <w:r w:rsidR="00760C62" w:rsidRPr="001104F3">
        <w:t xml:space="preserve">the </w:t>
      </w:r>
      <w:r w:rsidR="00760C62" w:rsidRPr="001104F3">
        <w:rPr>
          <w:i/>
        </w:rPr>
        <w:t>Financial Accountability Regime Act 202</w:t>
      </w:r>
      <w:r w:rsidR="007A78FC" w:rsidRPr="001104F3">
        <w:rPr>
          <w:i/>
        </w:rPr>
        <w:t>2</w:t>
      </w:r>
      <w:r w:rsidRPr="001104F3">
        <w:t>.</w:t>
      </w:r>
    </w:p>
    <w:p w14:paraId="3A86E86B" w14:textId="77777777" w:rsidR="00E60CDD" w:rsidRPr="001104F3" w:rsidRDefault="00E60CDD" w:rsidP="00E60CDD">
      <w:pPr>
        <w:pStyle w:val="Definition"/>
      </w:pPr>
      <w:r w:rsidRPr="001104F3">
        <w:rPr>
          <w:b/>
          <w:i/>
          <w:lang w:eastAsia="en-US"/>
        </w:rPr>
        <w:t>eligible foreign life insurance company</w:t>
      </w:r>
      <w:r w:rsidRPr="001104F3">
        <w:t xml:space="preserve"> means an </w:t>
      </w:r>
      <w:r w:rsidRPr="001104F3">
        <w:rPr>
          <w:b/>
          <w:i/>
          <w:lang w:eastAsia="en-US"/>
        </w:rPr>
        <w:t>eligible foreign life insurance company</w:t>
      </w:r>
      <w:r w:rsidRPr="001104F3">
        <w:t xml:space="preserve"> within the meaning of the </w:t>
      </w:r>
      <w:r w:rsidRPr="001104F3">
        <w:rPr>
          <w:i/>
        </w:rPr>
        <w:t>Life Insurance Act 1995</w:t>
      </w:r>
      <w:r w:rsidRPr="001104F3">
        <w:t xml:space="preserve"> that is registered under section 21 of the </w:t>
      </w:r>
      <w:r w:rsidRPr="001104F3">
        <w:rPr>
          <w:i/>
        </w:rPr>
        <w:t>Life Insurance Act 1995</w:t>
      </w:r>
      <w:r w:rsidRPr="001104F3">
        <w:t>.</w:t>
      </w:r>
    </w:p>
    <w:p w14:paraId="3A86E86C" w14:textId="77777777" w:rsidR="00963331" w:rsidRPr="001104F3" w:rsidRDefault="00DC4495" w:rsidP="001A3311">
      <w:pPr>
        <w:pStyle w:val="Definition"/>
      </w:pPr>
      <w:r w:rsidRPr="001104F3">
        <w:rPr>
          <w:b/>
          <w:i/>
        </w:rPr>
        <w:t>final report</w:t>
      </w:r>
      <w:r w:rsidR="00963331" w:rsidRPr="001104F3">
        <w:t>:</w:t>
      </w:r>
    </w:p>
    <w:p w14:paraId="3A86E86D" w14:textId="77777777" w:rsidR="00963331" w:rsidRPr="001104F3" w:rsidRDefault="00963331" w:rsidP="00963331">
      <w:pPr>
        <w:pStyle w:val="paragraph"/>
      </w:pPr>
      <w:r w:rsidRPr="001104F3">
        <w:tab/>
        <w:t>(a)</w:t>
      </w:r>
      <w:r w:rsidRPr="001104F3">
        <w:tab/>
      </w:r>
      <w:r w:rsidR="001A3311" w:rsidRPr="001104F3">
        <w:t>in relation to an accountable entity that is an ADI</w:t>
      </w:r>
      <w:r w:rsidRPr="001104F3">
        <w:t xml:space="preserve">—see section </w:t>
      </w:r>
      <w:r w:rsidR="00E33EBD" w:rsidRPr="001104F3">
        <w:t>15</w:t>
      </w:r>
      <w:r w:rsidRPr="001104F3">
        <w:t>; or</w:t>
      </w:r>
    </w:p>
    <w:p w14:paraId="3A86E86E" w14:textId="77777777" w:rsidR="00963331" w:rsidRPr="001104F3" w:rsidRDefault="00963331" w:rsidP="00963331">
      <w:pPr>
        <w:pStyle w:val="paragraph"/>
      </w:pPr>
      <w:r w:rsidRPr="001104F3">
        <w:tab/>
        <w:t>(b)</w:t>
      </w:r>
      <w:r w:rsidRPr="001104F3">
        <w:tab/>
        <w:t xml:space="preserve">in relation to an accountable entity that is a general insurer—see section </w:t>
      </w:r>
      <w:r w:rsidR="00E33EBD" w:rsidRPr="001104F3">
        <w:t>19</w:t>
      </w:r>
      <w:r w:rsidRPr="001104F3">
        <w:t>; or</w:t>
      </w:r>
    </w:p>
    <w:p w14:paraId="3A86E86F" w14:textId="77777777" w:rsidR="00963331" w:rsidRPr="001104F3" w:rsidRDefault="00963331" w:rsidP="00963331">
      <w:pPr>
        <w:pStyle w:val="paragraph"/>
      </w:pPr>
      <w:r w:rsidRPr="001104F3">
        <w:tab/>
        <w:t>(c)</w:t>
      </w:r>
      <w:r w:rsidRPr="001104F3">
        <w:tab/>
        <w:t xml:space="preserve">in relation to an accountable entity that is a life company—see section </w:t>
      </w:r>
      <w:r w:rsidR="00E33EBD" w:rsidRPr="001104F3">
        <w:t>23</w:t>
      </w:r>
      <w:r w:rsidRPr="001104F3">
        <w:t>; or</w:t>
      </w:r>
    </w:p>
    <w:p w14:paraId="3A86E870" w14:textId="77777777" w:rsidR="00963331" w:rsidRPr="001104F3" w:rsidRDefault="00963331" w:rsidP="00963331">
      <w:pPr>
        <w:pStyle w:val="paragraph"/>
      </w:pPr>
      <w:r w:rsidRPr="001104F3">
        <w:tab/>
        <w:t>(d)</w:t>
      </w:r>
      <w:r w:rsidRPr="001104F3">
        <w:tab/>
        <w:t xml:space="preserve">in relation to an accountable entity that is a private health insurer—see section </w:t>
      </w:r>
      <w:r w:rsidR="00E33EBD" w:rsidRPr="001104F3">
        <w:t>27</w:t>
      </w:r>
      <w:r w:rsidRPr="001104F3">
        <w:t>; or</w:t>
      </w:r>
    </w:p>
    <w:p w14:paraId="3A86E871" w14:textId="77777777" w:rsidR="001A3311" w:rsidRPr="001104F3" w:rsidRDefault="00963331" w:rsidP="00963331">
      <w:pPr>
        <w:pStyle w:val="paragraph"/>
      </w:pPr>
      <w:r w:rsidRPr="001104F3">
        <w:tab/>
        <w:t>(e)</w:t>
      </w:r>
      <w:r w:rsidRPr="001104F3">
        <w:tab/>
        <w:t xml:space="preserve">in relation to an accountable entity that is an RSE licensee—see section </w:t>
      </w:r>
      <w:r w:rsidR="00E33EBD" w:rsidRPr="001104F3">
        <w:t>31</w:t>
      </w:r>
      <w:r w:rsidRPr="001104F3">
        <w:t>.</w:t>
      </w:r>
    </w:p>
    <w:p w14:paraId="3A86E872" w14:textId="77777777" w:rsidR="00E60CDD" w:rsidRPr="001104F3" w:rsidRDefault="008D562D" w:rsidP="00E60CDD">
      <w:pPr>
        <w:pStyle w:val="Definition"/>
      </w:pPr>
      <w:r w:rsidRPr="001104F3">
        <w:rPr>
          <w:b/>
          <w:i/>
        </w:rPr>
        <w:t>foreign ADI</w:t>
      </w:r>
      <w:r w:rsidRPr="001104F3">
        <w:t xml:space="preserve"> </w:t>
      </w:r>
      <w:r w:rsidR="00E60CDD" w:rsidRPr="001104F3">
        <w:t xml:space="preserve">has </w:t>
      </w:r>
      <w:r w:rsidRPr="001104F3">
        <w:t xml:space="preserve">the </w:t>
      </w:r>
      <w:r w:rsidR="00E60CDD" w:rsidRPr="001104F3">
        <w:t xml:space="preserve">same meaning as in the </w:t>
      </w:r>
      <w:r w:rsidRPr="001104F3">
        <w:rPr>
          <w:i/>
        </w:rPr>
        <w:t>Banking Act 1959</w:t>
      </w:r>
      <w:r w:rsidR="00E60CDD" w:rsidRPr="001104F3">
        <w:t>.</w:t>
      </w:r>
    </w:p>
    <w:p w14:paraId="3A86E873" w14:textId="77777777" w:rsidR="008D562D" w:rsidRPr="001104F3" w:rsidRDefault="008D562D" w:rsidP="00E60CDD">
      <w:pPr>
        <w:pStyle w:val="Definition"/>
      </w:pPr>
      <w:r w:rsidRPr="001104F3">
        <w:rPr>
          <w:b/>
          <w:i/>
        </w:rPr>
        <w:t>foreign general insurer</w:t>
      </w:r>
      <w:r w:rsidRPr="001104F3">
        <w:t xml:space="preserve"> </w:t>
      </w:r>
      <w:r w:rsidR="00E60CDD" w:rsidRPr="001104F3">
        <w:t xml:space="preserve">has the same meaning as in </w:t>
      </w:r>
      <w:r w:rsidRPr="001104F3">
        <w:t xml:space="preserve">the </w:t>
      </w:r>
      <w:r w:rsidRPr="001104F3">
        <w:rPr>
          <w:i/>
        </w:rPr>
        <w:t>Insurance Act 1973</w:t>
      </w:r>
      <w:r w:rsidR="00E60CDD" w:rsidRPr="001104F3">
        <w:t>.</w:t>
      </w:r>
    </w:p>
    <w:p w14:paraId="3A86E874" w14:textId="77777777" w:rsidR="00DC4495" w:rsidRPr="001104F3" w:rsidRDefault="00DC4495" w:rsidP="00DC4495">
      <w:pPr>
        <w:pStyle w:val="Definition"/>
      </w:pPr>
      <w:r w:rsidRPr="001104F3">
        <w:rPr>
          <w:b/>
          <w:i/>
        </w:rPr>
        <w:t>Reporting Standard</w:t>
      </w:r>
      <w:r w:rsidR="004D59E3" w:rsidRPr="001104F3">
        <w:t xml:space="preserve"> </w:t>
      </w:r>
      <w:r w:rsidR="0001290D" w:rsidRPr="001104F3">
        <w:t xml:space="preserve">has a meaning affected by section </w:t>
      </w:r>
      <w:r w:rsidR="00E33EBD" w:rsidRPr="001104F3">
        <w:t>34</w:t>
      </w:r>
      <w:r w:rsidR="0001290D" w:rsidRPr="001104F3">
        <w:t>.</w:t>
      </w:r>
    </w:p>
    <w:p w14:paraId="3A86E875" w14:textId="77777777" w:rsidR="00DC4495" w:rsidRPr="001104F3" w:rsidRDefault="00DC4495" w:rsidP="00DC4495">
      <w:pPr>
        <w:pStyle w:val="Definition"/>
      </w:pPr>
      <w:r w:rsidRPr="001104F3">
        <w:rPr>
          <w:b/>
          <w:i/>
        </w:rPr>
        <w:t>total asset size</w:t>
      </w:r>
      <w:r w:rsidR="00963331" w:rsidRPr="001104F3">
        <w:t>:</w:t>
      </w:r>
    </w:p>
    <w:p w14:paraId="3A86E876" w14:textId="77777777" w:rsidR="00963331" w:rsidRPr="001104F3" w:rsidRDefault="00963331" w:rsidP="00963331">
      <w:pPr>
        <w:pStyle w:val="paragraph"/>
      </w:pPr>
      <w:r w:rsidRPr="001104F3">
        <w:tab/>
        <w:t>(a)</w:t>
      </w:r>
      <w:r w:rsidRPr="001104F3">
        <w:tab/>
        <w:t xml:space="preserve">in relation to an accountable entity that is an ADI—see section </w:t>
      </w:r>
      <w:r w:rsidR="00E33EBD" w:rsidRPr="001104F3">
        <w:t>14</w:t>
      </w:r>
      <w:r w:rsidRPr="001104F3">
        <w:t>; or</w:t>
      </w:r>
    </w:p>
    <w:p w14:paraId="3A86E877" w14:textId="77777777" w:rsidR="00963331" w:rsidRPr="001104F3" w:rsidRDefault="00963331" w:rsidP="00963331">
      <w:pPr>
        <w:pStyle w:val="paragraph"/>
      </w:pPr>
      <w:r w:rsidRPr="001104F3">
        <w:tab/>
        <w:t>(b)</w:t>
      </w:r>
      <w:r w:rsidRPr="001104F3">
        <w:tab/>
        <w:t xml:space="preserve">in relation to an accountable entity that is a general insurer—see section </w:t>
      </w:r>
      <w:r w:rsidR="00E33EBD" w:rsidRPr="001104F3">
        <w:t>18</w:t>
      </w:r>
      <w:r w:rsidRPr="001104F3">
        <w:t>; or</w:t>
      </w:r>
    </w:p>
    <w:p w14:paraId="3A86E878" w14:textId="77777777" w:rsidR="00963331" w:rsidRPr="001104F3" w:rsidRDefault="00963331" w:rsidP="00963331">
      <w:pPr>
        <w:pStyle w:val="paragraph"/>
      </w:pPr>
      <w:r w:rsidRPr="001104F3">
        <w:tab/>
        <w:t>(c)</w:t>
      </w:r>
      <w:r w:rsidRPr="001104F3">
        <w:tab/>
        <w:t xml:space="preserve">in relation to an accountable entity that is a life company—see section </w:t>
      </w:r>
      <w:r w:rsidR="00E33EBD" w:rsidRPr="001104F3">
        <w:t>22</w:t>
      </w:r>
      <w:r w:rsidRPr="001104F3">
        <w:t>; or</w:t>
      </w:r>
    </w:p>
    <w:p w14:paraId="3A86E879" w14:textId="77777777" w:rsidR="00963331" w:rsidRPr="001104F3" w:rsidRDefault="00963331" w:rsidP="00963331">
      <w:pPr>
        <w:pStyle w:val="paragraph"/>
      </w:pPr>
      <w:r w:rsidRPr="001104F3">
        <w:tab/>
        <w:t>(d)</w:t>
      </w:r>
      <w:r w:rsidRPr="001104F3">
        <w:tab/>
        <w:t xml:space="preserve">in relation to an accountable entity that is a private health insurer—see section </w:t>
      </w:r>
      <w:r w:rsidR="00E33EBD" w:rsidRPr="001104F3">
        <w:t>26</w:t>
      </w:r>
      <w:r w:rsidRPr="001104F3">
        <w:t>; or</w:t>
      </w:r>
    </w:p>
    <w:p w14:paraId="3A86E87A" w14:textId="77777777" w:rsidR="00963331" w:rsidRPr="001104F3" w:rsidRDefault="00963331" w:rsidP="00963331">
      <w:pPr>
        <w:pStyle w:val="paragraph"/>
      </w:pPr>
      <w:r w:rsidRPr="001104F3">
        <w:tab/>
        <w:t>(e)</w:t>
      </w:r>
      <w:r w:rsidRPr="001104F3">
        <w:tab/>
        <w:t xml:space="preserve">in relation to an accountable entity that is an RSE licensee—see section </w:t>
      </w:r>
      <w:r w:rsidR="00E33EBD" w:rsidRPr="001104F3">
        <w:t>30</w:t>
      </w:r>
      <w:r w:rsidRPr="001104F3">
        <w:t>.</w:t>
      </w:r>
    </w:p>
    <w:p w14:paraId="3A86E87B" w14:textId="77777777" w:rsidR="00DC4495" w:rsidRPr="001104F3" w:rsidRDefault="00DC4495" w:rsidP="00DC4495">
      <w:pPr>
        <w:pStyle w:val="Definition"/>
      </w:pPr>
      <w:r w:rsidRPr="001104F3">
        <w:rPr>
          <w:b/>
          <w:i/>
        </w:rPr>
        <w:t>total assets value</w:t>
      </w:r>
      <w:r w:rsidR="00EC6103" w:rsidRPr="001104F3">
        <w:t>:</w:t>
      </w:r>
    </w:p>
    <w:p w14:paraId="3A86E87C" w14:textId="77777777" w:rsidR="00EC6103" w:rsidRPr="001104F3" w:rsidRDefault="00EC6103" w:rsidP="00EC6103">
      <w:pPr>
        <w:pStyle w:val="paragraph"/>
      </w:pPr>
      <w:r w:rsidRPr="001104F3">
        <w:tab/>
        <w:t>(a)</w:t>
      </w:r>
      <w:r w:rsidRPr="001104F3">
        <w:tab/>
        <w:t xml:space="preserve">in relation to an accountable entity that is an ADI—see section </w:t>
      </w:r>
      <w:r w:rsidR="00E33EBD" w:rsidRPr="001104F3">
        <w:t>16</w:t>
      </w:r>
      <w:r w:rsidRPr="001104F3">
        <w:t>; or</w:t>
      </w:r>
    </w:p>
    <w:p w14:paraId="3A86E87D" w14:textId="77777777" w:rsidR="00EC6103" w:rsidRPr="001104F3" w:rsidRDefault="00EC6103" w:rsidP="00EC6103">
      <w:pPr>
        <w:pStyle w:val="paragraph"/>
      </w:pPr>
      <w:r w:rsidRPr="001104F3">
        <w:tab/>
        <w:t>(b)</w:t>
      </w:r>
      <w:r w:rsidRPr="001104F3">
        <w:tab/>
        <w:t xml:space="preserve">in relation to an accountable entity that is a general insurer—see section </w:t>
      </w:r>
      <w:r w:rsidR="00E33EBD" w:rsidRPr="001104F3">
        <w:t>20</w:t>
      </w:r>
      <w:r w:rsidRPr="001104F3">
        <w:t>; or</w:t>
      </w:r>
    </w:p>
    <w:p w14:paraId="3A86E87E" w14:textId="77777777" w:rsidR="00EC6103" w:rsidRPr="001104F3" w:rsidRDefault="00EC6103" w:rsidP="00EC6103">
      <w:pPr>
        <w:pStyle w:val="paragraph"/>
      </w:pPr>
      <w:r w:rsidRPr="001104F3">
        <w:tab/>
        <w:t>(c)</w:t>
      </w:r>
      <w:r w:rsidRPr="001104F3">
        <w:tab/>
        <w:t xml:space="preserve">in relation to an accountable entity that is a life company—see section </w:t>
      </w:r>
      <w:r w:rsidR="00E33EBD" w:rsidRPr="001104F3">
        <w:t>24</w:t>
      </w:r>
      <w:r w:rsidRPr="001104F3">
        <w:t>; or</w:t>
      </w:r>
    </w:p>
    <w:p w14:paraId="3A86E87F" w14:textId="77777777" w:rsidR="00EC6103" w:rsidRPr="001104F3" w:rsidRDefault="00EC6103" w:rsidP="00EC6103">
      <w:pPr>
        <w:pStyle w:val="paragraph"/>
      </w:pPr>
      <w:r w:rsidRPr="001104F3">
        <w:tab/>
        <w:t>(d)</w:t>
      </w:r>
      <w:r w:rsidRPr="001104F3">
        <w:tab/>
        <w:t xml:space="preserve">in relation to an accountable entity that is a private health insurer—see section </w:t>
      </w:r>
      <w:r w:rsidR="00E33EBD" w:rsidRPr="001104F3">
        <w:t>28</w:t>
      </w:r>
      <w:r w:rsidRPr="001104F3">
        <w:t>; or</w:t>
      </w:r>
    </w:p>
    <w:p w14:paraId="3A86E880" w14:textId="77777777" w:rsidR="00DC4495" w:rsidRPr="001104F3" w:rsidRDefault="00EC6103" w:rsidP="00615807">
      <w:pPr>
        <w:pStyle w:val="paragraph"/>
      </w:pPr>
      <w:r w:rsidRPr="001104F3">
        <w:tab/>
        <w:t>(e)</w:t>
      </w:r>
      <w:r w:rsidRPr="001104F3">
        <w:tab/>
        <w:t xml:space="preserve">in relation to an accountable entity that is an RSE licensee—see section </w:t>
      </w:r>
      <w:r w:rsidR="00E33EBD" w:rsidRPr="001104F3">
        <w:t>32</w:t>
      </w:r>
      <w:r w:rsidRPr="001104F3">
        <w:t>.</w:t>
      </w:r>
    </w:p>
    <w:p w14:paraId="3A86E881" w14:textId="77777777" w:rsidR="0003686F" w:rsidRPr="001104F3" w:rsidRDefault="00025221" w:rsidP="007814EC">
      <w:pPr>
        <w:pStyle w:val="ActHead2"/>
        <w:pageBreakBefore/>
      </w:pPr>
      <w:bookmarkStart w:id="5" w:name="_Toc111453516"/>
      <w:r w:rsidRPr="00C77E56">
        <w:rPr>
          <w:rStyle w:val="CharPartNo"/>
        </w:rPr>
        <w:lastRenderedPageBreak/>
        <w:t>Part 2</w:t>
      </w:r>
      <w:r w:rsidR="0003686F" w:rsidRPr="001104F3">
        <w:t>—</w:t>
      </w:r>
      <w:r w:rsidR="00E94980" w:rsidRPr="00C77E56">
        <w:rPr>
          <w:rStyle w:val="CharPartText"/>
        </w:rPr>
        <w:t>Accountable persons</w:t>
      </w:r>
      <w:r w:rsidR="00BE4099" w:rsidRPr="00C77E56">
        <w:rPr>
          <w:rStyle w:val="CharPartText"/>
        </w:rPr>
        <w:t>—p</w:t>
      </w:r>
      <w:r w:rsidR="0003686F" w:rsidRPr="00C77E56">
        <w:rPr>
          <w:rStyle w:val="CharPartText"/>
        </w:rPr>
        <w:t>rescribed responsibilities</w:t>
      </w:r>
      <w:r w:rsidR="00663611" w:rsidRPr="00C77E56">
        <w:rPr>
          <w:rStyle w:val="CharPartText"/>
        </w:rPr>
        <w:t xml:space="preserve"> and positions</w:t>
      </w:r>
      <w:bookmarkEnd w:id="5"/>
    </w:p>
    <w:p w14:paraId="3A86E882" w14:textId="77777777" w:rsidR="00B72B5D" w:rsidRPr="00C77E56" w:rsidRDefault="00B72B5D" w:rsidP="00B72B5D">
      <w:pPr>
        <w:pStyle w:val="Header"/>
      </w:pPr>
      <w:r w:rsidRPr="00C77E56">
        <w:rPr>
          <w:rStyle w:val="CharDivNo"/>
        </w:rPr>
        <w:t xml:space="preserve"> </w:t>
      </w:r>
      <w:r w:rsidRPr="00C77E56">
        <w:rPr>
          <w:rStyle w:val="CharDivText"/>
        </w:rPr>
        <w:t xml:space="preserve"> </w:t>
      </w:r>
    </w:p>
    <w:p w14:paraId="3A86E883" w14:textId="77777777" w:rsidR="0003686F" w:rsidRPr="001104F3" w:rsidRDefault="00E33EBD" w:rsidP="007814EC">
      <w:pPr>
        <w:pStyle w:val="ActHead5"/>
      </w:pPr>
      <w:bookmarkStart w:id="6" w:name="_Toc111453517"/>
      <w:r w:rsidRPr="00C77E56">
        <w:rPr>
          <w:rStyle w:val="CharSectno"/>
        </w:rPr>
        <w:t>5</w:t>
      </w:r>
      <w:r w:rsidR="0003686F" w:rsidRPr="001104F3">
        <w:t xml:space="preserve">  </w:t>
      </w:r>
      <w:r w:rsidR="00663611" w:rsidRPr="001104F3">
        <w:t>Prescribed responsibilities for a</w:t>
      </w:r>
      <w:r w:rsidR="00750E2C" w:rsidRPr="001104F3">
        <w:t>ccountable entities other than foreign accountable entities and NOHCs</w:t>
      </w:r>
      <w:r w:rsidR="0018774D" w:rsidRPr="001104F3">
        <w:t>—all sectors</w:t>
      </w:r>
      <w:bookmarkEnd w:id="6"/>
    </w:p>
    <w:p w14:paraId="3A86E884" w14:textId="77777777" w:rsidR="008E2DF2" w:rsidRPr="001104F3" w:rsidRDefault="008E2DF2" w:rsidP="008E2DF2">
      <w:pPr>
        <w:pStyle w:val="subsection"/>
      </w:pPr>
      <w:r w:rsidRPr="001104F3">
        <w:tab/>
        <w:t>(1)</w:t>
      </w:r>
      <w:r w:rsidRPr="001104F3">
        <w:tab/>
      </w:r>
      <w:r w:rsidR="007C3476" w:rsidRPr="001104F3">
        <w:t xml:space="preserve">For the purposes of </w:t>
      </w:r>
      <w:r w:rsidR="00025221" w:rsidRPr="001104F3">
        <w:t>paragraph 1</w:t>
      </w:r>
      <w:r w:rsidR="007C3476" w:rsidRPr="001104F3">
        <w:t>0(2)(b) of the Act, this section prescribes responsibilities that cause a person to be an accountable person of an accountable entit</w:t>
      </w:r>
      <w:r w:rsidRPr="001104F3">
        <w:t>y</w:t>
      </w:r>
      <w:r w:rsidR="00B00EB8" w:rsidRPr="001104F3">
        <w:t xml:space="preserve"> that</w:t>
      </w:r>
      <w:r w:rsidRPr="001104F3">
        <w:t>:</w:t>
      </w:r>
    </w:p>
    <w:p w14:paraId="3A86E885" w14:textId="77777777" w:rsidR="00B00EB8" w:rsidRPr="001104F3" w:rsidRDefault="00B00EB8" w:rsidP="00B00EB8">
      <w:pPr>
        <w:pStyle w:val="paragraph"/>
      </w:pPr>
      <w:r w:rsidRPr="001104F3">
        <w:tab/>
        <w:t>(a)</w:t>
      </w:r>
      <w:r w:rsidRPr="001104F3">
        <w:tab/>
        <w:t>is one of the following:</w:t>
      </w:r>
    </w:p>
    <w:p w14:paraId="3A86E886" w14:textId="77777777" w:rsidR="00B00EB8" w:rsidRPr="001104F3" w:rsidRDefault="00B00EB8" w:rsidP="00B00EB8">
      <w:pPr>
        <w:pStyle w:val="paragraphsub"/>
      </w:pPr>
      <w:r w:rsidRPr="001104F3">
        <w:tab/>
        <w:t>(</w:t>
      </w:r>
      <w:proofErr w:type="spellStart"/>
      <w:r w:rsidRPr="001104F3">
        <w:t>i</w:t>
      </w:r>
      <w:proofErr w:type="spellEnd"/>
      <w:r w:rsidRPr="001104F3">
        <w:t>)</w:t>
      </w:r>
      <w:r w:rsidRPr="001104F3">
        <w:tab/>
        <w:t>an ADI;</w:t>
      </w:r>
    </w:p>
    <w:p w14:paraId="3A86E887" w14:textId="77777777" w:rsidR="00B00EB8" w:rsidRPr="001104F3" w:rsidRDefault="00B00EB8" w:rsidP="00B00EB8">
      <w:pPr>
        <w:pStyle w:val="paragraphsub"/>
      </w:pPr>
      <w:r w:rsidRPr="001104F3">
        <w:tab/>
        <w:t>(ii)</w:t>
      </w:r>
      <w:r w:rsidRPr="001104F3">
        <w:tab/>
        <w:t>a general insurer;</w:t>
      </w:r>
    </w:p>
    <w:p w14:paraId="3A86E888" w14:textId="77777777" w:rsidR="00B00EB8" w:rsidRPr="001104F3" w:rsidRDefault="00B00EB8" w:rsidP="00B00EB8">
      <w:pPr>
        <w:pStyle w:val="paragraphsub"/>
      </w:pPr>
      <w:r w:rsidRPr="001104F3">
        <w:tab/>
        <w:t>(iii)</w:t>
      </w:r>
      <w:r w:rsidRPr="001104F3">
        <w:tab/>
        <w:t>a life company;</w:t>
      </w:r>
    </w:p>
    <w:p w14:paraId="3A86E889" w14:textId="77777777" w:rsidR="00B00EB8" w:rsidRPr="001104F3" w:rsidRDefault="00B00EB8" w:rsidP="00B00EB8">
      <w:pPr>
        <w:pStyle w:val="paragraphsub"/>
      </w:pPr>
      <w:r w:rsidRPr="001104F3">
        <w:tab/>
        <w:t>(iv)</w:t>
      </w:r>
      <w:r w:rsidRPr="001104F3">
        <w:tab/>
        <w:t>a private health insurer;</w:t>
      </w:r>
    </w:p>
    <w:p w14:paraId="3A86E88A" w14:textId="77777777" w:rsidR="00B00EB8" w:rsidRPr="001104F3" w:rsidRDefault="00B00EB8" w:rsidP="00B00EB8">
      <w:pPr>
        <w:pStyle w:val="paragraphsub"/>
      </w:pPr>
      <w:r w:rsidRPr="001104F3">
        <w:tab/>
        <w:t>(v)</w:t>
      </w:r>
      <w:r w:rsidRPr="001104F3">
        <w:tab/>
        <w:t>an RSE licensee; and</w:t>
      </w:r>
    </w:p>
    <w:p w14:paraId="3A86E88B" w14:textId="77777777" w:rsidR="00B00EB8" w:rsidRPr="001104F3" w:rsidRDefault="00B00EB8" w:rsidP="00B00EB8">
      <w:pPr>
        <w:pStyle w:val="paragraph"/>
      </w:pPr>
      <w:r w:rsidRPr="001104F3">
        <w:tab/>
        <w:t>(b)</w:t>
      </w:r>
      <w:r w:rsidRPr="001104F3">
        <w:tab/>
        <w:t>is not a foreign accountable entity.</w:t>
      </w:r>
    </w:p>
    <w:p w14:paraId="3A86E88C" w14:textId="77777777" w:rsidR="008E2DF2" w:rsidRPr="001104F3" w:rsidRDefault="008E2DF2" w:rsidP="008E2DF2">
      <w:pPr>
        <w:pStyle w:val="subsection"/>
      </w:pPr>
      <w:r w:rsidRPr="001104F3">
        <w:tab/>
        <w:t>(2)</w:t>
      </w:r>
      <w:r w:rsidRPr="001104F3">
        <w:tab/>
      </w:r>
      <w:r w:rsidR="008402F3" w:rsidRPr="001104F3">
        <w:t>Each</w:t>
      </w:r>
      <w:r w:rsidR="00E94980" w:rsidRPr="001104F3">
        <w:t xml:space="preserve"> </w:t>
      </w:r>
      <w:r w:rsidR="008402F3" w:rsidRPr="001104F3">
        <w:t xml:space="preserve">of the following </w:t>
      </w:r>
      <w:r w:rsidR="00E94980" w:rsidRPr="001104F3">
        <w:t>responsibilit</w:t>
      </w:r>
      <w:r w:rsidR="008402F3" w:rsidRPr="001104F3">
        <w:t>ies</w:t>
      </w:r>
      <w:r w:rsidR="00E94980" w:rsidRPr="001104F3">
        <w:t xml:space="preserve">, relating to </w:t>
      </w:r>
      <w:r w:rsidR="008402F3" w:rsidRPr="001104F3">
        <w:t>the</w:t>
      </w:r>
      <w:r w:rsidR="00E94980" w:rsidRPr="001104F3">
        <w:t xml:space="preserve"> accountable entity</w:t>
      </w:r>
      <w:r w:rsidR="008402F3" w:rsidRPr="001104F3">
        <w:t xml:space="preserve">, are </w:t>
      </w:r>
      <w:r w:rsidR="00E94980" w:rsidRPr="001104F3">
        <w:t>prescribed</w:t>
      </w:r>
      <w:r w:rsidR="008402F3" w:rsidRPr="001104F3">
        <w:t>:</w:t>
      </w:r>
    </w:p>
    <w:p w14:paraId="3A86E88D" w14:textId="77777777" w:rsidR="007010DE" w:rsidRPr="001104F3" w:rsidRDefault="00282570" w:rsidP="007010DE">
      <w:pPr>
        <w:pStyle w:val="paragraph"/>
      </w:pPr>
      <w:r w:rsidRPr="001104F3">
        <w:tab/>
        <w:t>(</w:t>
      </w:r>
      <w:r w:rsidR="008A48AC" w:rsidRPr="001104F3">
        <w:t>a</w:t>
      </w:r>
      <w:r w:rsidRPr="001104F3">
        <w:t>)</w:t>
      </w:r>
      <w:r w:rsidRPr="001104F3">
        <w:tab/>
        <w:t xml:space="preserve">senior executive responsibility for management </w:t>
      </w:r>
      <w:r w:rsidR="00B40AE7" w:rsidRPr="001104F3">
        <w:t xml:space="preserve">or </w:t>
      </w:r>
      <w:r w:rsidRPr="001104F3">
        <w:t>control</w:t>
      </w:r>
      <w:r w:rsidR="00B40AE7" w:rsidRPr="001104F3">
        <w:t xml:space="preserve"> </w:t>
      </w:r>
      <w:r w:rsidRPr="001104F3">
        <w:t>of the accountable entity</w:t>
      </w:r>
      <w:r w:rsidR="0018774D" w:rsidRPr="001104F3">
        <w:t>’s</w:t>
      </w:r>
      <w:r w:rsidR="007010DE" w:rsidRPr="001104F3">
        <w:t>:</w:t>
      </w:r>
    </w:p>
    <w:p w14:paraId="3A86E88E" w14:textId="77777777" w:rsidR="00C65F79" w:rsidRPr="001104F3" w:rsidRDefault="007010DE" w:rsidP="007010DE">
      <w:pPr>
        <w:pStyle w:val="paragraphsub"/>
      </w:pPr>
      <w:r w:rsidRPr="001104F3">
        <w:tab/>
        <w:t>(</w:t>
      </w:r>
      <w:proofErr w:type="spellStart"/>
      <w:r w:rsidRPr="001104F3">
        <w:t>i</w:t>
      </w:r>
      <w:proofErr w:type="spellEnd"/>
      <w:r w:rsidRPr="001104F3">
        <w:t>)</w:t>
      </w:r>
      <w:r w:rsidRPr="001104F3">
        <w:tab/>
      </w:r>
      <w:r w:rsidR="0018774D" w:rsidRPr="001104F3">
        <w:t>business activities</w:t>
      </w:r>
      <w:r w:rsidR="00BC65C2" w:rsidRPr="001104F3">
        <w:t>;</w:t>
      </w:r>
      <w:r w:rsidRPr="001104F3">
        <w:t xml:space="preserve"> or</w:t>
      </w:r>
    </w:p>
    <w:p w14:paraId="3A86E88F" w14:textId="77777777" w:rsidR="00BC65C2" w:rsidRPr="001104F3" w:rsidRDefault="007010DE" w:rsidP="007010DE">
      <w:pPr>
        <w:pStyle w:val="paragraphsub"/>
      </w:pPr>
      <w:r w:rsidRPr="001104F3">
        <w:tab/>
        <w:t>(ii)</w:t>
      </w:r>
      <w:r w:rsidRPr="001104F3">
        <w:tab/>
      </w:r>
      <w:r w:rsidR="0018774D" w:rsidRPr="001104F3">
        <w:t>financial resources;</w:t>
      </w:r>
      <w:r w:rsidR="00C65F79" w:rsidRPr="001104F3">
        <w:t xml:space="preserve"> or</w:t>
      </w:r>
    </w:p>
    <w:p w14:paraId="3A86E890" w14:textId="77777777" w:rsidR="00C65F79" w:rsidRPr="001104F3" w:rsidRDefault="00C65F79" w:rsidP="007010DE">
      <w:pPr>
        <w:pStyle w:val="paragraphsub"/>
      </w:pPr>
      <w:r w:rsidRPr="001104F3">
        <w:tab/>
        <w:t>(iii)</w:t>
      </w:r>
      <w:r w:rsidRPr="001104F3">
        <w:tab/>
        <w:t>operations;</w:t>
      </w:r>
    </w:p>
    <w:p w14:paraId="3A86E891" w14:textId="77777777" w:rsidR="00B72B5D" w:rsidRPr="001104F3" w:rsidRDefault="0018774D" w:rsidP="00282570">
      <w:pPr>
        <w:pStyle w:val="paragraph"/>
      </w:pPr>
      <w:r w:rsidRPr="001104F3">
        <w:tab/>
        <w:t>(</w:t>
      </w:r>
      <w:r w:rsidR="008A48AC" w:rsidRPr="001104F3">
        <w:t>b</w:t>
      </w:r>
      <w:r w:rsidRPr="001104F3">
        <w:t>)</w:t>
      </w:r>
      <w:r w:rsidRPr="001104F3">
        <w:tab/>
        <w:t>senior executive responsibility for management</w:t>
      </w:r>
      <w:r w:rsidR="00736439" w:rsidRPr="001104F3">
        <w:t xml:space="preserve"> </w:t>
      </w:r>
      <w:r w:rsidRPr="001104F3">
        <w:t>of the accountable entity’s overall risk controls or overall risk management arrangements;</w:t>
      </w:r>
    </w:p>
    <w:p w14:paraId="3A86E892" w14:textId="77777777" w:rsidR="0018774D" w:rsidRPr="001104F3" w:rsidRDefault="0018774D" w:rsidP="00282570">
      <w:pPr>
        <w:pStyle w:val="paragraph"/>
      </w:pPr>
      <w:r w:rsidRPr="001104F3">
        <w:tab/>
        <w:t>(</w:t>
      </w:r>
      <w:r w:rsidR="008A48AC" w:rsidRPr="001104F3">
        <w:t>c</w:t>
      </w:r>
      <w:r w:rsidRPr="001104F3">
        <w:t>)</w:t>
      </w:r>
      <w:r w:rsidRPr="001104F3">
        <w:tab/>
        <w:t>senior executive responsibility for management</w:t>
      </w:r>
      <w:r w:rsidR="00736439" w:rsidRPr="001104F3">
        <w:t xml:space="preserve"> </w:t>
      </w:r>
      <w:r w:rsidRPr="001104F3">
        <w:t>of the accountable entity’s information management (including information technology systems);</w:t>
      </w:r>
    </w:p>
    <w:p w14:paraId="3A86E893" w14:textId="77777777" w:rsidR="0043649F" w:rsidRPr="001104F3" w:rsidRDefault="0018774D" w:rsidP="00282570">
      <w:pPr>
        <w:pStyle w:val="paragraph"/>
      </w:pPr>
      <w:r w:rsidRPr="001104F3">
        <w:tab/>
        <w:t>(</w:t>
      </w:r>
      <w:r w:rsidR="008A48AC" w:rsidRPr="001104F3">
        <w:t>d</w:t>
      </w:r>
      <w:r w:rsidRPr="001104F3">
        <w:t>)</w:t>
      </w:r>
      <w:r w:rsidRPr="001104F3">
        <w:tab/>
        <w:t>senior executive responsibility for management of the accountable entity’s</w:t>
      </w:r>
      <w:r w:rsidR="0043649F" w:rsidRPr="001104F3">
        <w:t>:</w:t>
      </w:r>
    </w:p>
    <w:p w14:paraId="3A86E894" w14:textId="77777777" w:rsidR="0043649F" w:rsidRPr="001104F3" w:rsidRDefault="0043649F" w:rsidP="0043649F">
      <w:pPr>
        <w:pStyle w:val="paragraphsub"/>
      </w:pPr>
      <w:r w:rsidRPr="001104F3">
        <w:tab/>
        <w:t>(</w:t>
      </w:r>
      <w:proofErr w:type="spellStart"/>
      <w:r w:rsidRPr="001104F3">
        <w:t>i</w:t>
      </w:r>
      <w:proofErr w:type="spellEnd"/>
      <w:r w:rsidRPr="001104F3">
        <w:t>)</w:t>
      </w:r>
      <w:r w:rsidRPr="001104F3">
        <w:tab/>
      </w:r>
      <w:r w:rsidR="0018774D" w:rsidRPr="001104F3">
        <w:t>internal audit function</w:t>
      </w:r>
      <w:r w:rsidR="00706724" w:rsidRPr="001104F3">
        <w:t>;</w:t>
      </w:r>
      <w:r w:rsidRPr="001104F3">
        <w:t xml:space="preserve"> or</w:t>
      </w:r>
    </w:p>
    <w:p w14:paraId="3A86E895" w14:textId="77777777" w:rsidR="00706724" w:rsidRPr="001104F3" w:rsidRDefault="0043649F" w:rsidP="0043649F">
      <w:pPr>
        <w:pStyle w:val="paragraphsub"/>
      </w:pPr>
      <w:r w:rsidRPr="001104F3">
        <w:tab/>
        <w:t>(ii)</w:t>
      </w:r>
      <w:r w:rsidRPr="001104F3">
        <w:tab/>
      </w:r>
      <w:r w:rsidR="00706724" w:rsidRPr="001104F3">
        <w:t>compliance function</w:t>
      </w:r>
      <w:r w:rsidRPr="001104F3">
        <w:t>; or</w:t>
      </w:r>
    </w:p>
    <w:p w14:paraId="3A86E896" w14:textId="77777777" w:rsidR="0043649F" w:rsidRPr="001104F3" w:rsidRDefault="0043649F" w:rsidP="0043649F">
      <w:pPr>
        <w:pStyle w:val="paragraphsub"/>
      </w:pPr>
      <w:r w:rsidRPr="001104F3">
        <w:tab/>
        <w:t>(iii)</w:t>
      </w:r>
      <w:r w:rsidRPr="001104F3">
        <w:tab/>
        <w:t>human resource function; or</w:t>
      </w:r>
    </w:p>
    <w:p w14:paraId="3A86E897" w14:textId="77777777" w:rsidR="00C65F79" w:rsidRPr="001104F3" w:rsidRDefault="0043649F" w:rsidP="0043649F">
      <w:pPr>
        <w:pStyle w:val="paragraphsub"/>
      </w:pPr>
      <w:r w:rsidRPr="001104F3">
        <w:tab/>
        <w:t>(iv)</w:t>
      </w:r>
      <w:r w:rsidRPr="001104F3">
        <w:tab/>
        <w:t>anti</w:t>
      </w:r>
      <w:r w:rsidR="001104F3">
        <w:noBreakHyphen/>
      </w:r>
      <w:r w:rsidRPr="001104F3">
        <w:t>money laundering</w:t>
      </w:r>
      <w:r w:rsidR="00C65F79" w:rsidRPr="001104F3">
        <w:t xml:space="preserve"> function; or</w:t>
      </w:r>
    </w:p>
    <w:p w14:paraId="3A86E898" w14:textId="77777777" w:rsidR="00C65F79" w:rsidRPr="001104F3" w:rsidRDefault="00C65F79" w:rsidP="0043649F">
      <w:pPr>
        <w:pStyle w:val="paragraphsub"/>
      </w:pPr>
      <w:r w:rsidRPr="001104F3">
        <w:tab/>
        <w:t>(v)</w:t>
      </w:r>
      <w:r w:rsidRPr="001104F3">
        <w:tab/>
        <w:t>dispute resolution function</w:t>
      </w:r>
      <w:r w:rsidR="00AC138B" w:rsidRPr="001104F3">
        <w:t xml:space="preserve"> (whether internal or external, or both)</w:t>
      </w:r>
      <w:r w:rsidRPr="001104F3">
        <w:t>;</w:t>
      </w:r>
    </w:p>
    <w:p w14:paraId="3A86E899" w14:textId="77777777" w:rsidR="00C65F79" w:rsidRPr="001104F3" w:rsidRDefault="00C65F79" w:rsidP="00C65F79">
      <w:pPr>
        <w:pStyle w:val="paragraph"/>
      </w:pPr>
      <w:r w:rsidRPr="001104F3">
        <w:tab/>
        <w:t>(</w:t>
      </w:r>
      <w:r w:rsidR="008A48AC" w:rsidRPr="001104F3">
        <w:t>e</w:t>
      </w:r>
      <w:r w:rsidRPr="001104F3">
        <w:t>)</w:t>
      </w:r>
      <w:r w:rsidRPr="001104F3">
        <w:tab/>
        <w:t>senior executive responsibility for management of the accountable entity’s client or member remediation programs</w:t>
      </w:r>
      <w:r w:rsidR="004B6A34" w:rsidRPr="001104F3">
        <w:t xml:space="preserve"> (including hardship arrangements)</w:t>
      </w:r>
      <w:r w:rsidRPr="001104F3">
        <w:t>;</w:t>
      </w:r>
    </w:p>
    <w:p w14:paraId="3A86E89A" w14:textId="77777777" w:rsidR="005A0ED3" w:rsidRPr="001104F3" w:rsidRDefault="00C65F79" w:rsidP="00C65F79">
      <w:pPr>
        <w:pStyle w:val="paragraph"/>
      </w:pPr>
      <w:r w:rsidRPr="001104F3">
        <w:tab/>
        <w:t>(</w:t>
      </w:r>
      <w:r w:rsidR="008A48AC" w:rsidRPr="001104F3">
        <w:t>f</w:t>
      </w:r>
      <w:r w:rsidRPr="001104F3">
        <w:t>)</w:t>
      </w:r>
      <w:r w:rsidRPr="001104F3">
        <w:tab/>
        <w:t>senior executive responsibility for management of the accountable entity’s breach reporting</w:t>
      </w:r>
      <w:r w:rsidR="008A48AC" w:rsidRPr="001104F3">
        <w:t>;</w:t>
      </w:r>
    </w:p>
    <w:p w14:paraId="3A86E89B" w14:textId="77777777" w:rsidR="008A48AC" w:rsidRPr="001104F3" w:rsidRDefault="008A48AC" w:rsidP="00C65F79">
      <w:pPr>
        <w:pStyle w:val="paragraph"/>
      </w:pPr>
      <w:r w:rsidRPr="001104F3">
        <w:tab/>
        <w:t>(g)</w:t>
      </w:r>
      <w:r w:rsidRPr="001104F3">
        <w:tab/>
        <w:t>senior executive responsibility for management or control of the business activities of a significant related entity of the accountable entity.</w:t>
      </w:r>
    </w:p>
    <w:p w14:paraId="3A86E89C" w14:textId="77777777" w:rsidR="0049221C" w:rsidRPr="001104F3" w:rsidRDefault="0049221C" w:rsidP="0049221C">
      <w:pPr>
        <w:pStyle w:val="subsection"/>
      </w:pPr>
      <w:r w:rsidRPr="001104F3">
        <w:tab/>
        <w:t>(3)</w:t>
      </w:r>
      <w:r w:rsidRPr="001104F3">
        <w:tab/>
        <w:t>For the purposes</w:t>
      </w:r>
      <w:r w:rsidR="009D258A" w:rsidRPr="001104F3">
        <w:t xml:space="preserve"> of</w:t>
      </w:r>
      <w:r w:rsidRPr="001104F3">
        <w:rPr>
          <w:i/>
        </w:rPr>
        <w:t xml:space="preserve"> </w:t>
      </w:r>
      <w:r w:rsidR="00546677" w:rsidRPr="001104F3">
        <w:t>subsection (</w:t>
      </w:r>
      <w:r w:rsidRPr="001104F3">
        <w:t>2), a person</w:t>
      </w:r>
      <w:r w:rsidR="00507971" w:rsidRPr="001104F3">
        <w:t xml:space="preserve"> does not</w:t>
      </w:r>
      <w:r w:rsidRPr="001104F3">
        <w:t xml:space="preserve"> have senior executive responsibility for management of an activity</w:t>
      </w:r>
      <w:r w:rsidR="00507971" w:rsidRPr="001104F3">
        <w:t xml:space="preserve"> or</w:t>
      </w:r>
      <w:r w:rsidRPr="001104F3">
        <w:t xml:space="preserve"> function </w:t>
      </w:r>
      <w:r w:rsidR="00507971" w:rsidRPr="001104F3">
        <w:t>merely because</w:t>
      </w:r>
      <w:r w:rsidRPr="001104F3">
        <w:t xml:space="preserve"> the person is carrying out the activity</w:t>
      </w:r>
      <w:r w:rsidR="00507971" w:rsidRPr="001104F3">
        <w:t xml:space="preserve"> or</w:t>
      </w:r>
      <w:r w:rsidRPr="001104F3">
        <w:t xml:space="preserve"> function.</w:t>
      </w:r>
    </w:p>
    <w:p w14:paraId="3A86E89D" w14:textId="77777777" w:rsidR="00663611" w:rsidRPr="001104F3" w:rsidRDefault="00E33EBD" w:rsidP="00663611">
      <w:pPr>
        <w:pStyle w:val="ActHead5"/>
      </w:pPr>
      <w:bookmarkStart w:id="7" w:name="_Toc111453518"/>
      <w:r w:rsidRPr="00C77E56">
        <w:rPr>
          <w:rStyle w:val="CharSectno"/>
        </w:rPr>
        <w:lastRenderedPageBreak/>
        <w:t>6</w:t>
      </w:r>
      <w:r w:rsidR="00663611" w:rsidRPr="001104F3">
        <w:t xml:space="preserve">  Prescribed positions for accountable entities other than foreign accountable entities and NOHCs—all sectors</w:t>
      </w:r>
      <w:bookmarkEnd w:id="7"/>
    </w:p>
    <w:p w14:paraId="3A86E89E" w14:textId="77777777" w:rsidR="00663611" w:rsidRPr="001104F3" w:rsidRDefault="00663611" w:rsidP="00663611">
      <w:pPr>
        <w:pStyle w:val="subsection"/>
      </w:pPr>
      <w:r w:rsidRPr="001104F3">
        <w:tab/>
        <w:t>(1)</w:t>
      </w:r>
      <w:r w:rsidRPr="001104F3">
        <w:tab/>
        <w:t>For the purposes of subsection 10(3) of the Act, this section prescribes positions that cause a person to be an accountable person of an accountable entity that:</w:t>
      </w:r>
    </w:p>
    <w:p w14:paraId="3A86E89F" w14:textId="77777777" w:rsidR="00663611" w:rsidRPr="001104F3" w:rsidRDefault="00663611" w:rsidP="00663611">
      <w:pPr>
        <w:pStyle w:val="paragraph"/>
      </w:pPr>
      <w:r w:rsidRPr="001104F3">
        <w:tab/>
        <w:t>(a)</w:t>
      </w:r>
      <w:r w:rsidRPr="001104F3">
        <w:tab/>
        <w:t>is one of the following:</w:t>
      </w:r>
    </w:p>
    <w:p w14:paraId="3A86E8A0" w14:textId="77777777" w:rsidR="00663611" w:rsidRPr="001104F3" w:rsidRDefault="00663611" w:rsidP="00663611">
      <w:pPr>
        <w:pStyle w:val="paragraphsub"/>
      </w:pPr>
      <w:r w:rsidRPr="001104F3">
        <w:tab/>
        <w:t>(</w:t>
      </w:r>
      <w:proofErr w:type="spellStart"/>
      <w:r w:rsidRPr="001104F3">
        <w:t>i</w:t>
      </w:r>
      <w:proofErr w:type="spellEnd"/>
      <w:r w:rsidRPr="001104F3">
        <w:t>)</w:t>
      </w:r>
      <w:r w:rsidRPr="001104F3">
        <w:tab/>
        <w:t>an ADI;</w:t>
      </w:r>
    </w:p>
    <w:p w14:paraId="3A86E8A1" w14:textId="77777777" w:rsidR="00663611" w:rsidRPr="001104F3" w:rsidRDefault="00663611" w:rsidP="00663611">
      <w:pPr>
        <w:pStyle w:val="paragraphsub"/>
      </w:pPr>
      <w:r w:rsidRPr="001104F3">
        <w:tab/>
        <w:t>(ii)</w:t>
      </w:r>
      <w:r w:rsidRPr="001104F3">
        <w:tab/>
        <w:t>a general insurer;</w:t>
      </w:r>
    </w:p>
    <w:p w14:paraId="3A86E8A2" w14:textId="77777777" w:rsidR="00663611" w:rsidRPr="001104F3" w:rsidRDefault="00663611" w:rsidP="00663611">
      <w:pPr>
        <w:pStyle w:val="paragraphsub"/>
      </w:pPr>
      <w:r w:rsidRPr="001104F3">
        <w:tab/>
        <w:t>(iii)</w:t>
      </w:r>
      <w:r w:rsidRPr="001104F3">
        <w:tab/>
        <w:t>a life company;</w:t>
      </w:r>
    </w:p>
    <w:p w14:paraId="3A86E8A3" w14:textId="77777777" w:rsidR="00663611" w:rsidRPr="001104F3" w:rsidRDefault="00663611" w:rsidP="00663611">
      <w:pPr>
        <w:pStyle w:val="paragraphsub"/>
      </w:pPr>
      <w:r w:rsidRPr="001104F3">
        <w:tab/>
        <w:t>(iv)</w:t>
      </w:r>
      <w:r w:rsidRPr="001104F3">
        <w:tab/>
        <w:t>a private health insurer;</w:t>
      </w:r>
    </w:p>
    <w:p w14:paraId="3A86E8A4" w14:textId="77777777" w:rsidR="00663611" w:rsidRPr="001104F3" w:rsidRDefault="00663611" w:rsidP="00663611">
      <w:pPr>
        <w:pStyle w:val="paragraphsub"/>
      </w:pPr>
      <w:r w:rsidRPr="001104F3">
        <w:tab/>
        <w:t>(v)</w:t>
      </w:r>
      <w:r w:rsidRPr="001104F3">
        <w:tab/>
        <w:t>an RSE licensee; and</w:t>
      </w:r>
    </w:p>
    <w:p w14:paraId="3A86E8A5" w14:textId="77777777" w:rsidR="00663611" w:rsidRPr="001104F3" w:rsidRDefault="00663611" w:rsidP="00663611">
      <w:pPr>
        <w:pStyle w:val="paragraph"/>
      </w:pPr>
      <w:r w:rsidRPr="001104F3">
        <w:tab/>
        <w:t>(b)</w:t>
      </w:r>
      <w:r w:rsidRPr="001104F3">
        <w:tab/>
        <w:t>is not a foreign accountable entity.</w:t>
      </w:r>
    </w:p>
    <w:p w14:paraId="3A86E8A6" w14:textId="77777777" w:rsidR="00663611" w:rsidRPr="001104F3" w:rsidRDefault="00663611" w:rsidP="00663611">
      <w:pPr>
        <w:pStyle w:val="subsection"/>
      </w:pPr>
      <w:r w:rsidRPr="001104F3">
        <w:tab/>
        <w:t>(2)</w:t>
      </w:r>
      <w:r w:rsidRPr="001104F3">
        <w:tab/>
        <w:t>The position of member of the board of directors (or equivalent) of the accountable entity is prescribed.</w:t>
      </w:r>
    </w:p>
    <w:p w14:paraId="3A86E8A7" w14:textId="77777777" w:rsidR="00BE4099" w:rsidRPr="001104F3" w:rsidRDefault="00E33EBD" w:rsidP="00BE4099">
      <w:pPr>
        <w:pStyle w:val="ActHead5"/>
      </w:pPr>
      <w:bookmarkStart w:id="8" w:name="_Toc111453519"/>
      <w:r w:rsidRPr="00C77E56">
        <w:rPr>
          <w:rStyle w:val="CharSectno"/>
        </w:rPr>
        <w:t>7</w:t>
      </w:r>
      <w:r w:rsidR="00BE4099" w:rsidRPr="001104F3">
        <w:t xml:space="preserve">  </w:t>
      </w:r>
      <w:r w:rsidR="00663611" w:rsidRPr="001104F3">
        <w:t xml:space="preserve">Prescribed responsibilities for accountable </w:t>
      </w:r>
      <w:r w:rsidR="00750E2C" w:rsidRPr="001104F3">
        <w:t>entities other than foreign accountable entities and NOHCs—</w:t>
      </w:r>
      <w:r w:rsidR="007C3476" w:rsidRPr="001104F3">
        <w:t>insurance</w:t>
      </w:r>
      <w:bookmarkEnd w:id="8"/>
    </w:p>
    <w:p w14:paraId="3A86E8A8" w14:textId="77777777" w:rsidR="00BE4099" w:rsidRPr="001104F3" w:rsidRDefault="00BE4099" w:rsidP="00BE4099">
      <w:pPr>
        <w:pStyle w:val="subsection"/>
      </w:pPr>
      <w:r w:rsidRPr="001104F3">
        <w:tab/>
        <w:t>(1)</w:t>
      </w:r>
      <w:r w:rsidRPr="001104F3">
        <w:tab/>
      </w:r>
      <w:r w:rsidR="007C3476" w:rsidRPr="001104F3">
        <w:t xml:space="preserve">For the purposes of </w:t>
      </w:r>
      <w:r w:rsidR="00025221" w:rsidRPr="001104F3">
        <w:t>paragraph 1</w:t>
      </w:r>
      <w:r w:rsidR="007C3476" w:rsidRPr="001104F3">
        <w:t>0(2)(b) of the Act, this section prescribes responsibilities that cause a person to be an accountable person of an accountable entity that:</w:t>
      </w:r>
    </w:p>
    <w:p w14:paraId="3A86E8A9" w14:textId="77777777" w:rsidR="00B00EB8" w:rsidRPr="001104F3" w:rsidRDefault="00B00EB8" w:rsidP="00B00EB8">
      <w:pPr>
        <w:pStyle w:val="paragraph"/>
      </w:pPr>
      <w:r w:rsidRPr="001104F3">
        <w:tab/>
        <w:t>(a)</w:t>
      </w:r>
      <w:r w:rsidRPr="001104F3">
        <w:tab/>
        <w:t>is one of the following:</w:t>
      </w:r>
    </w:p>
    <w:p w14:paraId="3A86E8AA" w14:textId="77777777" w:rsidR="00B00EB8" w:rsidRPr="001104F3" w:rsidRDefault="00B00EB8" w:rsidP="00B00EB8">
      <w:pPr>
        <w:pStyle w:val="paragraphsub"/>
      </w:pPr>
      <w:r w:rsidRPr="001104F3">
        <w:tab/>
        <w:t>(</w:t>
      </w:r>
      <w:proofErr w:type="spellStart"/>
      <w:r w:rsidRPr="001104F3">
        <w:t>i</w:t>
      </w:r>
      <w:proofErr w:type="spellEnd"/>
      <w:r w:rsidRPr="001104F3">
        <w:t>)</w:t>
      </w:r>
      <w:r w:rsidRPr="001104F3">
        <w:tab/>
        <w:t>a general insurer;</w:t>
      </w:r>
    </w:p>
    <w:p w14:paraId="3A86E8AB" w14:textId="77777777" w:rsidR="00B00EB8" w:rsidRPr="001104F3" w:rsidRDefault="00B00EB8" w:rsidP="00B00EB8">
      <w:pPr>
        <w:pStyle w:val="paragraphsub"/>
      </w:pPr>
      <w:r w:rsidRPr="001104F3">
        <w:tab/>
        <w:t>(ii)</w:t>
      </w:r>
      <w:r w:rsidRPr="001104F3">
        <w:tab/>
        <w:t>a life company;</w:t>
      </w:r>
    </w:p>
    <w:p w14:paraId="3A86E8AC" w14:textId="77777777" w:rsidR="00B00EB8" w:rsidRPr="001104F3" w:rsidRDefault="00B00EB8" w:rsidP="00B00EB8">
      <w:pPr>
        <w:pStyle w:val="paragraphsub"/>
      </w:pPr>
      <w:r w:rsidRPr="001104F3">
        <w:tab/>
        <w:t>(iii)</w:t>
      </w:r>
      <w:r w:rsidRPr="001104F3">
        <w:tab/>
        <w:t>a private health insurer; and</w:t>
      </w:r>
    </w:p>
    <w:p w14:paraId="3A86E8AD" w14:textId="77777777" w:rsidR="00B00EB8" w:rsidRPr="001104F3" w:rsidRDefault="00B00EB8" w:rsidP="00B00EB8">
      <w:pPr>
        <w:pStyle w:val="paragraph"/>
      </w:pPr>
      <w:r w:rsidRPr="001104F3">
        <w:tab/>
        <w:t>(b)</w:t>
      </w:r>
      <w:r w:rsidRPr="001104F3">
        <w:tab/>
        <w:t>is not a foreign accountable entity.</w:t>
      </w:r>
    </w:p>
    <w:p w14:paraId="3A86E8AE" w14:textId="77777777" w:rsidR="00BE4099" w:rsidRPr="001104F3" w:rsidRDefault="00BE4099" w:rsidP="00BE4099">
      <w:pPr>
        <w:pStyle w:val="subsection"/>
      </w:pPr>
      <w:r w:rsidRPr="001104F3">
        <w:tab/>
        <w:t>(2)</w:t>
      </w:r>
      <w:r w:rsidRPr="001104F3">
        <w:tab/>
      </w:r>
      <w:r w:rsidR="002B739C" w:rsidRPr="001104F3">
        <w:t>Both</w:t>
      </w:r>
      <w:r w:rsidRPr="001104F3">
        <w:t xml:space="preserve"> of the following responsibilities, relating to the accountable entity, are prescribed:</w:t>
      </w:r>
    </w:p>
    <w:p w14:paraId="3A86E8AF" w14:textId="77777777" w:rsidR="00785B70" w:rsidRPr="001104F3" w:rsidRDefault="00785B70" w:rsidP="00785B70">
      <w:pPr>
        <w:pStyle w:val="paragraph"/>
      </w:pPr>
      <w:r w:rsidRPr="001104F3">
        <w:tab/>
        <w:t>(a)</w:t>
      </w:r>
      <w:r w:rsidRPr="001104F3">
        <w:tab/>
      </w:r>
      <w:r w:rsidR="00E93DC4" w:rsidRPr="001104F3">
        <w:t>senior executive responsibility for management of the accountable entity’s actuarial function;</w:t>
      </w:r>
    </w:p>
    <w:p w14:paraId="3A86E8B0" w14:textId="77777777" w:rsidR="00E93DC4" w:rsidRPr="001104F3" w:rsidRDefault="00E93DC4" w:rsidP="00785B70">
      <w:pPr>
        <w:pStyle w:val="paragraph"/>
      </w:pPr>
      <w:r w:rsidRPr="001104F3">
        <w:tab/>
        <w:t>(b)</w:t>
      </w:r>
      <w:r w:rsidRPr="001104F3">
        <w:tab/>
        <w:t>senior executive responsibility for management of the accountable entity’s claims handling function.</w:t>
      </w:r>
    </w:p>
    <w:p w14:paraId="3A86E8B1" w14:textId="77777777" w:rsidR="00507971" w:rsidRPr="001104F3" w:rsidRDefault="00507971" w:rsidP="00507971">
      <w:pPr>
        <w:pStyle w:val="subsection"/>
      </w:pPr>
      <w:r w:rsidRPr="001104F3">
        <w:tab/>
        <w:t>(3)</w:t>
      </w:r>
      <w:r w:rsidRPr="001104F3">
        <w:tab/>
        <w:t xml:space="preserve">For the purposes </w:t>
      </w:r>
      <w:r w:rsidR="009D258A" w:rsidRPr="001104F3">
        <w:t>of</w:t>
      </w:r>
      <w:r w:rsidR="009D258A" w:rsidRPr="001104F3">
        <w:rPr>
          <w:i/>
        </w:rPr>
        <w:t xml:space="preserve"> </w:t>
      </w:r>
      <w:r w:rsidR="00546677" w:rsidRPr="001104F3">
        <w:t>subsection (</w:t>
      </w:r>
      <w:r w:rsidRPr="001104F3">
        <w:t>2), a person does not have senior executive responsibility for management of a</w:t>
      </w:r>
      <w:r w:rsidR="005D4214" w:rsidRPr="001104F3">
        <w:t>n activity or</w:t>
      </w:r>
      <w:r w:rsidRPr="001104F3">
        <w:t xml:space="preserve"> function merely because the person is carrying out the </w:t>
      </w:r>
      <w:r w:rsidR="005D4214" w:rsidRPr="001104F3">
        <w:t xml:space="preserve">activity or </w:t>
      </w:r>
      <w:r w:rsidRPr="001104F3">
        <w:t>function.</w:t>
      </w:r>
    </w:p>
    <w:p w14:paraId="3A86E8B2" w14:textId="77777777" w:rsidR="00382D35" w:rsidRPr="001104F3" w:rsidRDefault="00E33EBD" w:rsidP="00382D35">
      <w:pPr>
        <w:pStyle w:val="ActHead5"/>
      </w:pPr>
      <w:bookmarkStart w:id="9" w:name="_Toc111453520"/>
      <w:r w:rsidRPr="00C77E56">
        <w:rPr>
          <w:rStyle w:val="CharSectno"/>
        </w:rPr>
        <w:t>8</w:t>
      </w:r>
      <w:r w:rsidR="00382D35" w:rsidRPr="001104F3">
        <w:t xml:space="preserve">  </w:t>
      </w:r>
      <w:r w:rsidR="00663611" w:rsidRPr="001104F3">
        <w:t xml:space="preserve">Prescribed responsibilities for accountable </w:t>
      </w:r>
      <w:r w:rsidR="00750E2C" w:rsidRPr="001104F3">
        <w:t xml:space="preserve">entities </w:t>
      </w:r>
      <w:r w:rsidR="00435C8E" w:rsidRPr="001104F3">
        <w:t>that are RSE licensees</w:t>
      </w:r>
      <w:bookmarkEnd w:id="9"/>
    </w:p>
    <w:p w14:paraId="3A86E8B3" w14:textId="77777777" w:rsidR="00382D35" w:rsidRPr="001104F3" w:rsidRDefault="00382D35" w:rsidP="00382D35">
      <w:pPr>
        <w:pStyle w:val="subsection"/>
      </w:pPr>
      <w:r w:rsidRPr="001104F3">
        <w:tab/>
        <w:t>(1)</w:t>
      </w:r>
      <w:r w:rsidRPr="001104F3">
        <w:tab/>
        <w:t xml:space="preserve">For the purposes of </w:t>
      </w:r>
      <w:r w:rsidR="00025221" w:rsidRPr="001104F3">
        <w:t>paragraph 1</w:t>
      </w:r>
      <w:r w:rsidRPr="001104F3">
        <w:t>0(2)(b) of the Act, this section prescribes responsibilities that cause a person to be an accountable person of an accountable entity that is an RSE licensee.</w:t>
      </w:r>
    </w:p>
    <w:p w14:paraId="3A86E8B4" w14:textId="77777777" w:rsidR="00382D35" w:rsidRPr="001104F3" w:rsidRDefault="00382D35" w:rsidP="00382D35">
      <w:pPr>
        <w:pStyle w:val="subsection"/>
      </w:pPr>
      <w:r w:rsidRPr="001104F3">
        <w:tab/>
        <w:t>(2)</w:t>
      </w:r>
      <w:r w:rsidRPr="001104F3">
        <w:tab/>
        <w:t>Each of the following responsibilities, relating to the accountable entity, are prescribed:</w:t>
      </w:r>
    </w:p>
    <w:p w14:paraId="3A86E8B5" w14:textId="77777777" w:rsidR="00382D35" w:rsidRPr="001104F3" w:rsidRDefault="00382D35" w:rsidP="00382D35">
      <w:pPr>
        <w:pStyle w:val="paragraph"/>
      </w:pPr>
      <w:r w:rsidRPr="001104F3">
        <w:tab/>
        <w:t>(a)</w:t>
      </w:r>
      <w:r w:rsidRPr="001104F3">
        <w:tab/>
        <w:t>senior executive responsibility for management of the accountable entity’s member administration operations;</w:t>
      </w:r>
    </w:p>
    <w:p w14:paraId="3A86E8B6" w14:textId="77777777" w:rsidR="00382D35" w:rsidRPr="001104F3" w:rsidRDefault="00382D35" w:rsidP="00382D35">
      <w:pPr>
        <w:pStyle w:val="paragraph"/>
      </w:pPr>
      <w:r w:rsidRPr="001104F3">
        <w:lastRenderedPageBreak/>
        <w:tab/>
        <w:t>(b)</w:t>
      </w:r>
      <w:r w:rsidRPr="001104F3">
        <w:tab/>
        <w:t>senior executive responsibility for management of the accountable entity’s investment function;</w:t>
      </w:r>
    </w:p>
    <w:p w14:paraId="3A86E8B7" w14:textId="77777777" w:rsidR="00382D35" w:rsidRPr="001104F3" w:rsidRDefault="00382D35" w:rsidP="00382D35">
      <w:pPr>
        <w:pStyle w:val="paragraph"/>
      </w:pPr>
      <w:r w:rsidRPr="001104F3">
        <w:tab/>
        <w:t>(c)</w:t>
      </w:r>
      <w:r w:rsidRPr="001104F3">
        <w:tab/>
        <w:t>senior executive responsibility for management of the accountable entity’s financial advice service;</w:t>
      </w:r>
    </w:p>
    <w:p w14:paraId="3A86E8B8" w14:textId="77777777" w:rsidR="00382D35" w:rsidRPr="001104F3" w:rsidRDefault="00382D35" w:rsidP="00382D35">
      <w:pPr>
        <w:pStyle w:val="paragraph"/>
      </w:pPr>
      <w:r w:rsidRPr="001104F3">
        <w:tab/>
        <w:t>(d)</w:t>
      </w:r>
      <w:r w:rsidRPr="001104F3">
        <w:tab/>
        <w:t>senior executive responsibility for management of the accountable entity’s insurance offerings.</w:t>
      </w:r>
    </w:p>
    <w:p w14:paraId="3A86E8B9" w14:textId="77777777" w:rsidR="004B6491" w:rsidRPr="001104F3" w:rsidRDefault="004B6491" w:rsidP="004B6491">
      <w:pPr>
        <w:pStyle w:val="subsection"/>
      </w:pPr>
      <w:r w:rsidRPr="001104F3">
        <w:tab/>
        <w:t>(3)</w:t>
      </w:r>
      <w:r w:rsidRPr="001104F3">
        <w:tab/>
        <w:t xml:space="preserve">For the purposes </w:t>
      </w:r>
      <w:r w:rsidR="009D258A" w:rsidRPr="001104F3">
        <w:t>of</w:t>
      </w:r>
      <w:r w:rsidR="009D258A" w:rsidRPr="001104F3">
        <w:rPr>
          <w:i/>
        </w:rPr>
        <w:t xml:space="preserve"> </w:t>
      </w:r>
      <w:r w:rsidR="00546677" w:rsidRPr="001104F3">
        <w:t>subsection (</w:t>
      </w:r>
      <w:r w:rsidRPr="001104F3">
        <w:t>2), a person does not have senior executive responsibility for management of an activity or function merely because the person is carrying out the activity or function.</w:t>
      </w:r>
    </w:p>
    <w:p w14:paraId="3A86E8BA" w14:textId="77777777" w:rsidR="002B739C" w:rsidRPr="001104F3" w:rsidRDefault="00E33EBD" w:rsidP="002B739C">
      <w:pPr>
        <w:pStyle w:val="ActHead5"/>
      </w:pPr>
      <w:bookmarkStart w:id="10" w:name="_Toc111453521"/>
      <w:r w:rsidRPr="00C77E56">
        <w:rPr>
          <w:rStyle w:val="CharSectno"/>
        </w:rPr>
        <w:t>9</w:t>
      </w:r>
      <w:r w:rsidR="002B739C" w:rsidRPr="001104F3">
        <w:t xml:space="preserve">  </w:t>
      </w:r>
      <w:r w:rsidR="008A48AC" w:rsidRPr="001104F3">
        <w:t xml:space="preserve">Prescribed responsibilities for accountable </w:t>
      </w:r>
      <w:r w:rsidR="00750E2C" w:rsidRPr="001104F3">
        <w:t>entities that are foreign accountable entities</w:t>
      </w:r>
      <w:bookmarkEnd w:id="10"/>
    </w:p>
    <w:p w14:paraId="3A86E8BB" w14:textId="77777777" w:rsidR="002B739C" w:rsidRPr="001104F3" w:rsidRDefault="002B739C" w:rsidP="002B739C">
      <w:pPr>
        <w:pStyle w:val="subsection"/>
      </w:pPr>
      <w:r w:rsidRPr="001104F3">
        <w:tab/>
        <w:t>(1)</w:t>
      </w:r>
      <w:r w:rsidRPr="001104F3">
        <w:tab/>
        <w:t xml:space="preserve">For the purposes of </w:t>
      </w:r>
      <w:r w:rsidR="00025221" w:rsidRPr="001104F3">
        <w:t>paragraph 1</w:t>
      </w:r>
      <w:r w:rsidRPr="001104F3">
        <w:t>0(2)(b) of the Act, this section prescribes responsibilities that cause a person to be an accountable person of an accountable entity that is a foreign accountable entity.</w:t>
      </w:r>
    </w:p>
    <w:p w14:paraId="3A86E8BC" w14:textId="77777777" w:rsidR="002B739C" w:rsidRPr="001104F3" w:rsidRDefault="002B739C" w:rsidP="002B739C">
      <w:pPr>
        <w:pStyle w:val="subsection"/>
      </w:pPr>
      <w:r w:rsidRPr="001104F3">
        <w:tab/>
        <w:t>(2)</w:t>
      </w:r>
      <w:r w:rsidRPr="001104F3">
        <w:tab/>
        <w:t>Each of the following responsibilities, relating to the accountable entity, are prescribed:</w:t>
      </w:r>
    </w:p>
    <w:p w14:paraId="3A86E8BD" w14:textId="77777777" w:rsidR="00D04CA3" w:rsidRPr="001104F3" w:rsidRDefault="00D04CA3" w:rsidP="00D04CA3">
      <w:pPr>
        <w:pStyle w:val="paragraph"/>
      </w:pPr>
      <w:r w:rsidRPr="001104F3">
        <w:tab/>
        <w:t>(a)</w:t>
      </w:r>
      <w:r w:rsidRPr="001104F3">
        <w:tab/>
        <w:t>senior executive responsibility for conduct of the activities of a branch of the accountable entity that is operating in Australia;</w:t>
      </w:r>
    </w:p>
    <w:p w14:paraId="3A86E8BE" w14:textId="77777777" w:rsidR="00BD4177" w:rsidRPr="001104F3" w:rsidRDefault="00D04CA3" w:rsidP="00BD4177">
      <w:pPr>
        <w:pStyle w:val="paragraph"/>
      </w:pPr>
      <w:r w:rsidRPr="001104F3">
        <w:tab/>
        <w:t>(b)</w:t>
      </w:r>
      <w:r w:rsidRPr="001104F3">
        <w:tab/>
      </w:r>
      <w:r w:rsidR="00750E2C" w:rsidRPr="001104F3">
        <w:t>if the accountable entity is a foreign ADI or a foreign general insurer</w:t>
      </w:r>
      <w:r w:rsidR="00BD4177" w:rsidRPr="001104F3">
        <w:t>—</w:t>
      </w:r>
      <w:r w:rsidRPr="001104F3">
        <w:t xml:space="preserve">responsibility </w:t>
      </w:r>
      <w:r w:rsidR="007F0A72" w:rsidRPr="001104F3">
        <w:t xml:space="preserve">for overseeing the operation of a branch operating in Australia </w:t>
      </w:r>
      <w:r w:rsidRPr="001104F3">
        <w:t>as a senior officer outside Australia with delegated authority from the board of directors (or equivalent) of the</w:t>
      </w:r>
      <w:r w:rsidR="00BD4177" w:rsidRPr="001104F3">
        <w:t xml:space="preserve"> accountable</w:t>
      </w:r>
      <w:r w:rsidRPr="001104F3">
        <w:t xml:space="preserve"> entity;</w:t>
      </w:r>
    </w:p>
    <w:p w14:paraId="3A86E8BF" w14:textId="77777777" w:rsidR="00BD4177" w:rsidRPr="001104F3" w:rsidRDefault="00BD4177" w:rsidP="00BD4177">
      <w:pPr>
        <w:pStyle w:val="paragraph"/>
      </w:pPr>
      <w:r w:rsidRPr="001104F3">
        <w:tab/>
        <w:t>(c)</w:t>
      </w:r>
      <w:r w:rsidRPr="001104F3">
        <w:tab/>
        <w:t xml:space="preserve">if the accountable entity is an eligible foreign life insurance company—responsibility for oversight of </w:t>
      </w:r>
      <w:r w:rsidR="004C19FC" w:rsidRPr="001104F3">
        <w:t>the accountable entity as a member of its Compliance Committee</w:t>
      </w:r>
      <w:r w:rsidR="00750E2C" w:rsidRPr="001104F3">
        <w:t xml:space="preserve"> for the purposes of section 16ZF of the </w:t>
      </w:r>
      <w:r w:rsidR="00750E2C" w:rsidRPr="001104F3">
        <w:rPr>
          <w:i/>
        </w:rPr>
        <w:t>Life Insurance Act 1995</w:t>
      </w:r>
      <w:r w:rsidR="004C19FC" w:rsidRPr="001104F3">
        <w:t>;</w:t>
      </w:r>
    </w:p>
    <w:p w14:paraId="3A86E8C0" w14:textId="77777777" w:rsidR="004C19FC" w:rsidRPr="001104F3" w:rsidRDefault="004C19FC" w:rsidP="00BD4177">
      <w:pPr>
        <w:pStyle w:val="paragraph"/>
      </w:pPr>
      <w:r w:rsidRPr="001104F3">
        <w:tab/>
        <w:t>(d)</w:t>
      </w:r>
      <w:r w:rsidRPr="001104F3">
        <w:tab/>
      </w:r>
      <w:r w:rsidR="00750E2C" w:rsidRPr="001104F3">
        <w:t xml:space="preserve">if the accountable entity is a foreign general insurer—responsibility as an </w:t>
      </w:r>
      <w:r w:rsidRPr="001104F3">
        <w:t>agent in Australia for the purpose</w:t>
      </w:r>
      <w:r w:rsidR="00750E2C" w:rsidRPr="001104F3">
        <w:t>s</w:t>
      </w:r>
      <w:r w:rsidRPr="001104F3">
        <w:t xml:space="preserve"> of section 118 of the </w:t>
      </w:r>
      <w:r w:rsidR="00750E2C" w:rsidRPr="001104F3">
        <w:rPr>
          <w:i/>
        </w:rPr>
        <w:t>Insurance Act 1973</w:t>
      </w:r>
      <w:r w:rsidR="00750E2C" w:rsidRPr="001104F3">
        <w:t>.</w:t>
      </w:r>
    </w:p>
    <w:p w14:paraId="3A86E8C1" w14:textId="77777777" w:rsidR="00E60CDD" w:rsidRPr="001104F3" w:rsidRDefault="00E60CDD" w:rsidP="00E60CDD">
      <w:pPr>
        <w:pStyle w:val="notetext"/>
      </w:pPr>
      <w:r w:rsidRPr="001104F3">
        <w:t>Note:</w:t>
      </w:r>
      <w:r w:rsidRPr="001104F3">
        <w:tab/>
        <w:t>See section </w:t>
      </w:r>
      <w:r w:rsidR="00E33EBD" w:rsidRPr="001104F3">
        <w:t>4</w:t>
      </w:r>
      <w:r w:rsidRPr="001104F3">
        <w:t xml:space="preserve"> of this instrument for the definitions of </w:t>
      </w:r>
      <w:r w:rsidRPr="001104F3">
        <w:rPr>
          <w:b/>
          <w:i/>
        </w:rPr>
        <w:t>foreign ADI</w:t>
      </w:r>
      <w:r w:rsidRPr="001104F3">
        <w:t xml:space="preserve">, </w:t>
      </w:r>
      <w:r w:rsidRPr="001104F3">
        <w:rPr>
          <w:b/>
          <w:i/>
        </w:rPr>
        <w:t xml:space="preserve">foreign general </w:t>
      </w:r>
      <w:proofErr w:type="gramStart"/>
      <w:r w:rsidRPr="001104F3">
        <w:rPr>
          <w:b/>
          <w:i/>
        </w:rPr>
        <w:t>insurer</w:t>
      </w:r>
      <w:proofErr w:type="gramEnd"/>
      <w:r w:rsidRPr="001104F3">
        <w:t xml:space="preserve"> and </w:t>
      </w:r>
      <w:r w:rsidRPr="001104F3">
        <w:rPr>
          <w:b/>
          <w:i/>
        </w:rPr>
        <w:t>eligible foreign life insurance company</w:t>
      </w:r>
      <w:r w:rsidRPr="001104F3">
        <w:t>.</w:t>
      </w:r>
    </w:p>
    <w:p w14:paraId="3A86E8C2" w14:textId="77777777" w:rsidR="002B739C" w:rsidRPr="001104F3" w:rsidRDefault="00E33EBD" w:rsidP="002B739C">
      <w:pPr>
        <w:pStyle w:val="ActHead5"/>
      </w:pPr>
      <w:bookmarkStart w:id="11" w:name="_Toc111453522"/>
      <w:r w:rsidRPr="00C77E56">
        <w:rPr>
          <w:rStyle w:val="CharSectno"/>
        </w:rPr>
        <w:t>10</w:t>
      </w:r>
      <w:r w:rsidR="002B739C" w:rsidRPr="001104F3">
        <w:t xml:space="preserve">  </w:t>
      </w:r>
      <w:r w:rsidR="008A48AC" w:rsidRPr="001104F3">
        <w:t xml:space="preserve">Prescribed responsibilities for accountable </w:t>
      </w:r>
      <w:r w:rsidR="00F112EE" w:rsidRPr="001104F3">
        <w:t xml:space="preserve">entities that are </w:t>
      </w:r>
      <w:r w:rsidR="002B739C" w:rsidRPr="001104F3">
        <w:t>NOHCs</w:t>
      </w:r>
      <w:bookmarkEnd w:id="11"/>
    </w:p>
    <w:p w14:paraId="3A86E8C3" w14:textId="77777777" w:rsidR="0061007A" w:rsidRPr="001104F3" w:rsidRDefault="002B739C" w:rsidP="002B739C">
      <w:pPr>
        <w:pStyle w:val="subsection"/>
      </w:pPr>
      <w:r w:rsidRPr="001104F3">
        <w:tab/>
        <w:t>(1)</w:t>
      </w:r>
      <w:r w:rsidRPr="001104F3">
        <w:tab/>
        <w:t xml:space="preserve">For the purposes of </w:t>
      </w:r>
      <w:r w:rsidR="00025221" w:rsidRPr="001104F3">
        <w:t>paragraph 1</w:t>
      </w:r>
      <w:r w:rsidRPr="001104F3">
        <w:t>0(2)(b) of the Act, this section prescribes responsibilities that cause a person to be an accountable person of an accountable entity that is</w:t>
      </w:r>
      <w:r w:rsidR="0061007A" w:rsidRPr="001104F3">
        <w:t>:</w:t>
      </w:r>
    </w:p>
    <w:p w14:paraId="3A86E8C4" w14:textId="77777777" w:rsidR="002B739C" w:rsidRPr="001104F3" w:rsidRDefault="0061007A" w:rsidP="0061007A">
      <w:pPr>
        <w:pStyle w:val="paragraph"/>
      </w:pPr>
      <w:r w:rsidRPr="001104F3">
        <w:tab/>
        <w:t>(a)</w:t>
      </w:r>
      <w:r w:rsidRPr="001104F3">
        <w:tab/>
        <w:t>an authorised NOHC of an ADI; or</w:t>
      </w:r>
    </w:p>
    <w:p w14:paraId="3A86E8C5" w14:textId="77777777" w:rsidR="0061007A" w:rsidRPr="001104F3" w:rsidRDefault="0061007A" w:rsidP="0061007A">
      <w:pPr>
        <w:pStyle w:val="paragraph"/>
      </w:pPr>
      <w:r w:rsidRPr="001104F3">
        <w:tab/>
        <w:t>(b)</w:t>
      </w:r>
      <w:r w:rsidRPr="001104F3">
        <w:tab/>
        <w:t>an authorised NOHC of a general insurer; or</w:t>
      </w:r>
    </w:p>
    <w:p w14:paraId="3A86E8C6" w14:textId="77777777" w:rsidR="0061007A" w:rsidRPr="001104F3" w:rsidRDefault="0061007A" w:rsidP="0061007A">
      <w:pPr>
        <w:pStyle w:val="paragraph"/>
      </w:pPr>
      <w:r w:rsidRPr="001104F3">
        <w:tab/>
        <w:t>(c)</w:t>
      </w:r>
      <w:r w:rsidRPr="001104F3">
        <w:tab/>
        <w:t>a registered NOHC of a life company.</w:t>
      </w:r>
    </w:p>
    <w:p w14:paraId="3A86E8C7" w14:textId="77777777" w:rsidR="002B739C" w:rsidRPr="001104F3" w:rsidRDefault="002B739C" w:rsidP="002B739C">
      <w:pPr>
        <w:pStyle w:val="subsection"/>
      </w:pPr>
      <w:r w:rsidRPr="001104F3">
        <w:tab/>
        <w:t>(2)</w:t>
      </w:r>
      <w:r w:rsidRPr="001104F3">
        <w:tab/>
        <w:t>Each of the following responsibilities, relating to the accountable entity, are prescribed:</w:t>
      </w:r>
    </w:p>
    <w:p w14:paraId="3A86E8C8" w14:textId="77777777" w:rsidR="00750E2C" w:rsidRPr="001104F3" w:rsidRDefault="00750E2C" w:rsidP="00750E2C">
      <w:pPr>
        <w:pStyle w:val="paragraph"/>
      </w:pPr>
      <w:r w:rsidRPr="001104F3">
        <w:tab/>
        <w:t>(</w:t>
      </w:r>
      <w:r w:rsidR="008A48AC" w:rsidRPr="001104F3">
        <w:t>a</w:t>
      </w:r>
      <w:r w:rsidRPr="001104F3">
        <w:t>)</w:t>
      </w:r>
      <w:r w:rsidRPr="001104F3">
        <w:tab/>
        <w:t>senior executive responsibility for management or control of the accountable entity’s:</w:t>
      </w:r>
    </w:p>
    <w:p w14:paraId="3A86E8C9" w14:textId="77777777" w:rsidR="00750E2C" w:rsidRPr="001104F3" w:rsidRDefault="00750E2C" w:rsidP="00750E2C">
      <w:pPr>
        <w:pStyle w:val="paragraphsub"/>
      </w:pPr>
      <w:r w:rsidRPr="001104F3">
        <w:lastRenderedPageBreak/>
        <w:tab/>
        <w:t>(</w:t>
      </w:r>
      <w:proofErr w:type="spellStart"/>
      <w:r w:rsidRPr="001104F3">
        <w:t>i</w:t>
      </w:r>
      <w:proofErr w:type="spellEnd"/>
      <w:r w:rsidRPr="001104F3">
        <w:t>)</w:t>
      </w:r>
      <w:r w:rsidRPr="001104F3">
        <w:tab/>
        <w:t>business activities; or</w:t>
      </w:r>
    </w:p>
    <w:p w14:paraId="3A86E8CA" w14:textId="77777777" w:rsidR="00750E2C" w:rsidRPr="001104F3" w:rsidRDefault="00750E2C" w:rsidP="00750E2C">
      <w:pPr>
        <w:pStyle w:val="paragraphsub"/>
      </w:pPr>
      <w:r w:rsidRPr="001104F3">
        <w:tab/>
        <w:t>(ii)</w:t>
      </w:r>
      <w:r w:rsidRPr="001104F3">
        <w:tab/>
        <w:t>financial resources;</w:t>
      </w:r>
    </w:p>
    <w:p w14:paraId="3A86E8CB" w14:textId="77777777" w:rsidR="00B72B5D" w:rsidRPr="001104F3" w:rsidRDefault="00750E2C" w:rsidP="00750E2C">
      <w:pPr>
        <w:pStyle w:val="paragraph"/>
      </w:pPr>
      <w:r w:rsidRPr="001104F3">
        <w:tab/>
        <w:t>(</w:t>
      </w:r>
      <w:r w:rsidR="008A48AC" w:rsidRPr="001104F3">
        <w:t>b</w:t>
      </w:r>
      <w:r w:rsidRPr="001104F3">
        <w:t>)</w:t>
      </w:r>
      <w:r w:rsidRPr="001104F3">
        <w:tab/>
        <w:t>senior executive responsibility for management of the accountable entity’s overall risk controls or overall risk management arrangements;</w:t>
      </w:r>
    </w:p>
    <w:p w14:paraId="3A86E8CC" w14:textId="77777777" w:rsidR="002B739C" w:rsidRPr="001104F3" w:rsidRDefault="00750E2C" w:rsidP="00750E2C">
      <w:pPr>
        <w:pStyle w:val="paragraph"/>
      </w:pPr>
      <w:r w:rsidRPr="001104F3">
        <w:tab/>
        <w:t>(</w:t>
      </w:r>
      <w:r w:rsidR="008A48AC" w:rsidRPr="001104F3">
        <w:t>c</w:t>
      </w:r>
      <w:r w:rsidRPr="001104F3">
        <w:t>)</w:t>
      </w:r>
      <w:r w:rsidRPr="001104F3">
        <w:tab/>
        <w:t>senior executive responsibility for management of the accountable entity’s internal audit function</w:t>
      </w:r>
      <w:r w:rsidR="004B6A34" w:rsidRPr="001104F3">
        <w:t>;</w:t>
      </w:r>
    </w:p>
    <w:p w14:paraId="3A86E8CD" w14:textId="77777777" w:rsidR="004B6A34" w:rsidRPr="001104F3" w:rsidRDefault="004B6A34" w:rsidP="00750E2C">
      <w:pPr>
        <w:pStyle w:val="paragraph"/>
      </w:pPr>
      <w:r w:rsidRPr="001104F3">
        <w:tab/>
        <w:t>(d)</w:t>
      </w:r>
      <w:r w:rsidRPr="001104F3">
        <w:tab/>
        <w:t>senior executive responsibility for management or control of the business activities of a significant related entity of the accountable entity.</w:t>
      </w:r>
    </w:p>
    <w:p w14:paraId="3A86E8CE" w14:textId="77777777" w:rsidR="004B6491" w:rsidRPr="001104F3" w:rsidRDefault="004B6491" w:rsidP="004B6491">
      <w:pPr>
        <w:pStyle w:val="subsection"/>
      </w:pPr>
      <w:r w:rsidRPr="001104F3">
        <w:tab/>
        <w:t>(3)</w:t>
      </w:r>
      <w:r w:rsidRPr="001104F3">
        <w:tab/>
        <w:t xml:space="preserve">For the purposes </w:t>
      </w:r>
      <w:r w:rsidR="009D258A" w:rsidRPr="001104F3">
        <w:t>of</w:t>
      </w:r>
      <w:r w:rsidR="009D258A" w:rsidRPr="001104F3">
        <w:rPr>
          <w:i/>
        </w:rPr>
        <w:t xml:space="preserve"> </w:t>
      </w:r>
      <w:r w:rsidR="00546677" w:rsidRPr="001104F3">
        <w:t>subsection (</w:t>
      </w:r>
      <w:r w:rsidRPr="001104F3">
        <w:t>2), a person does not have senior executive responsibility for management of an activity or function merely because the person is carrying out the activity or function.</w:t>
      </w:r>
    </w:p>
    <w:p w14:paraId="3A86E8CF" w14:textId="77777777" w:rsidR="008A48AC" w:rsidRPr="001104F3" w:rsidRDefault="00E33EBD" w:rsidP="008A48AC">
      <w:pPr>
        <w:pStyle w:val="ActHead5"/>
      </w:pPr>
      <w:bookmarkStart w:id="12" w:name="_Toc111453523"/>
      <w:r w:rsidRPr="00C77E56">
        <w:rPr>
          <w:rStyle w:val="CharSectno"/>
        </w:rPr>
        <w:t>11</w:t>
      </w:r>
      <w:r w:rsidR="008A48AC" w:rsidRPr="001104F3">
        <w:t xml:space="preserve">  Prescribed positions for accountable entities that are NOHCs</w:t>
      </w:r>
      <w:bookmarkEnd w:id="12"/>
    </w:p>
    <w:p w14:paraId="3A86E8D0" w14:textId="77777777" w:rsidR="008A48AC" w:rsidRPr="001104F3" w:rsidRDefault="008A48AC" w:rsidP="008A48AC">
      <w:pPr>
        <w:pStyle w:val="subsection"/>
      </w:pPr>
      <w:r w:rsidRPr="001104F3">
        <w:tab/>
        <w:t>(1)</w:t>
      </w:r>
      <w:r w:rsidRPr="001104F3">
        <w:tab/>
        <w:t>For the purposes of subsection 10(3) of the Act, this section prescribes positions that cause a person to be an accountable person of an accountable entity that is:</w:t>
      </w:r>
    </w:p>
    <w:p w14:paraId="3A86E8D1" w14:textId="77777777" w:rsidR="008A48AC" w:rsidRPr="001104F3" w:rsidRDefault="008A48AC" w:rsidP="008A48AC">
      <w:pPr>
        <w:pStyle w:val="paragraph"/>
      </w:pPr>
      <w:r w:rsidRPr="001104F3">
        <w:tab/>
        <w:t>(a)</w:t>
      </w:r>
      <w:r w:rsidRPr="001104F3">
        <w:tab/>
        <w:t>an authorised NOHC of an ADI; or</w:t>
      </w:r>
    </w:p>
    <w:p w14:paraId="3A86E8D2" w14:textId="77777777" w:rsidR="008A48AC" w:rsidRPr="001104F3" w:rsidRDefault="008A48AC" w:rsidP="008A48AC">
      <w:pPr>
        <w:pStyle w:val="paragraph"/>
      </w:pPr>
      <w:r w:rsidRPr="001104F3">
        <w:tab/>
        <w:t>(b)</w:t>
      </w:r>
      <w:r w:rsidRPr="001104F3">
        <w:tab/>
        <w:t>an authorised NOHC of a general insurer; or</w:t>
      </w:r>
    </w:p>
    <w:p w14:paraId="3A86E8D3" w14:textId="77777777" w:rsidR="008A48AC" w:rsidRPr="001104F3" w:rsidRDefault="008A48AC" w:rsidP="008A48AC">
      <w:pPr>
        <w:pStyle w:val="paragraph"/>
      </w:pPr>
      <w:r w:rsidRPr="001104F3">
        <w:tab/>
        <w:t>(c)</w:t>
      </w:r>
      <w:r w:rsidRPr="001104F3">
        <w:tab/>
        <w:t>a registered NOHC of a life company.</w:t>
      </w:r>
    </w:p>
    <w:p w14:paraId="3A86E8D4" w14:textId="77777777" w:rsidR="008A48AC" w:rsidRPr="001104F3" w:rsidRDefault="008A48AC" w:rsidP="008A48AC">
      <w:pPr>
        <w:pStyle w:val="subsection"/>
      </w:pPr>
      <w:r w:rsidRPr="001104F3">
        <w:tab/>
        <w:t>(2)</w:t>
      </w:r>
      <w:r w:rsidRPr="001104F3">
        <w:tab/>
        <w:t>The position of member of the board of directors (or equivalent) of the accountable entity is prescribed.</w:t>
      </w:r>
    </w:p>
    <w:p w14:paraId="3A86E8D5" w14:textId="77777777" w:rsidR="00F112EE" w:rsidRPr="001104F3" w:rsidRDefault="00E33EBD" w:rsidP="00F112EE">
      <w:pPr>
        <w:pStyle w:val="ActHead5"/>
      </w:pPr>
      <w:bookmarkStart w:id="13" w:name="_Toc111453524"/>
      <w:r w:rsidRPr="00C77E56">
        <w:rPr>
          <w:rStyle w:val="CharSectno"/>
        </w:rPr>
        <w:t>12</w:t>
      </w:r>
      <w:r w:rsidR="00F112EE" w:rsidRPr="001104F3">
        <w:t xml:space="preserve">  Relationship between provisions</w:t>
      </w:r>
      <w:bookmarkEnd w:id="13"/>
    </w:p>
    <w:p w14:paraId="3A86E8D6" w14:textId="77777777" w:rsidR="00F112EE" w:rsidRPr="001104F3" w:rsidRDefault="00F112EE" w:rsidP="00F112EE">
      <w:pPr>
        <w:pStyle w:val="subsection"/>
      </w:pPr>
      <w:r w:rsidRPr="001104F3">
        <w:tab/>
      </w:r>
      <w:r w:rsidRPr="001104F3">
        <w:tab/>
        <w:t>Sections </w:t>
      </w:r>
      <w:r w:rsidR="00E33EBD" w:rsidRPr="001104F3">
        <w:t>5</w:t>
      </w:r>
      <w:r w:rsidRPr="001104F3">
        <w:t xml:space="preserve">, </w:t>
      </w:r>
      <w:r w:rsidR="00E33EBD" w:rsidRPr="001104F3">
        <w:t>6</w:t>
      </w:r>
      <w:r w:rsidR="008A48AC" w:rsidRPr="001104F3">
        <w:t xml:space="preserve">, </w:t>
      </w:r>
      <w:r w:rsidR="00E33EBD" w:rsidRPr="001104F3">
        <w:t>7</w:t>
      </w:r>
      <w:r w:rsidRPr="001104F3">
        <w:t xml:space="preserve">, </w:t>
      </w:r>
      <w:r w:rsidR="00E33EBD" w:rsidRPr="001104F3">
        <w:t>8</w:t>
      </w:r>
      <w:r w:rsidRPr="001104F3">
        <w:t xml:space="preserve">, </w:t>
      </w:r>
      <w:r w:rsidR="00E33EBD" w:rsidRPr="001104F3">
        <w:t>9</w:t>
      </w:r>
      <w:r w:rsidR="008A48AC" w:rsidRPr="001104F3">
        <w:t xml:space="preserve">, </w:t>
      </w:r>
      <w:r w:rsidR="00E33EBD" w:rsidRPr="001104F3">
        <w:t>10</w:t>
      </w:r>
      <w:r w:rsidRPr="001104F3">
        <w:t xml:space="preserve"> and </w:t>
      </w:r>
      <w:r w:rsidR="00E33EBD" w:rsidRPr="001104F3">
        <w:t>11</w:t>
      </w:r>
      <w:r w:rsidRPr="001104F3">
        <w:t xml:space="preserve"> do not limit each other.</w:t>
      </w:r>
    </w:p>
    <w:p w14:paraId="3A86E8D7" w14:textId="77777777" w:rsidR="00BE4099" w:rsidRPr="001104F3" w:rsidRDefault="00C633F6" w:rsidP="007814EC">
      <w:pPr>
        <w:pStyle w:val="ActHead2"/>
        <w:pageBreakBefore/>
      </w:pPr>
      <w:bookmarkStart w:id="14" w:name="f_Check_Lines_above"/>
      <w:bookmarkStart w:id="15" w:name="_Toc111453525"/>
      <w:bookmarkEnd w:id="14"/>
      <w:r w:rsidRPr="00C77E56">
        <w:rPr>
          <w:rStyle w:val="CharPartNo"/>
        </w:rPr>
        <w:lastRenderedPageBreak/>
        <w:t>Part 3</w:t>
      </w:r>
      <w:r w:rsidR="00F112EE" w:rsidRPr="001104F3">
        <w:t>—</w:t>
      </w:r>
      <w:r w:rsidR="00F112EE" w:rsidRPr="00C77E56">
        <w:rPr>
          <w:rStyle w:val="CharPartText"/>
        </w:rPr>
        <w:t>Accountable entities—enhanced notification threshold</w:t>
      </w:r>
      <w:bookmarkEnd w:id="15"/>
    </w:p>
    <w:p w14:paraId="3A86E8D8" w14:textId="77777777" w:rsidR="00B72B5D" w:rsidRPr="001104F3" w:rsidRDefault="004731B3" w:rsidP="004D30DC">
      <w:pPr>
        <w:pStyle w:val="ActHead3"/>
      </w:pPr>
      <w:bookmarkStart w:id="16" w:name="_Toc111453526"/>
      <w:r w:rsidRPr="00C77E56">
        <w:rPr>
          <w:rStyle w:val="CharDivNo"/>
        </w:rPr>
        <w:t>Division 1</w:t>
      </w:r>
      <w:r w:rsidR="00B60095" w:rsidRPr="001104F3">
        <w:t>—</w:t>
      </w:r>
      <w:r w:rsidR="00B60095" w:rsidRPr="00C77E56">
        <w:rPr>
          <w:rStyle w:val="CharDivText"/>
        </w:rPr>
        <w:t>Accountable entities that are ADIs</w:t>
      </w:r>
      <w:bookmarkEnd w:id="16"/>
    </w:p>
    <w:p w14:paraId="3A86E8D9" w14:textId="77777777" w:rsidR="003E02DD" w:rsidRPr="001104F3" w:rsidRDefault="00E33EBD" w:rsidP="007814EC">
      <w:pPr>
        <w:pStyle w:val="ActHead5"/>
      </w:pPr>
      <w:bookmarkStart w:id="17" w:name="_Toc111453527"/>
      <w:r w:rsidRPr="00C77E56">
        <w:rPr>
          <w:rStyle w:val="CharSectno"/>
        </w:rPr>
        <w:t>13</w:t>
      </w:r>
      <w:r w:rsidR="002B25E3" w:rsidRPr="001104F3">
        <w:t xml:space="preserve">  </w:t>
      </w:r>
      <w:r w:rsidR="004D30DC" w:rsidRPr="001104F3">
        <w:t>Determining when accountable entity meets enhanced notification threshold</w:t>
      </w:r>
      <w:r w:rsidR="00A25748" w:rsidRPr="001104F3">
        <w:t>—ADIs</w:t>
      </w:r>
      <w:bookmarkEnd w:id="17"/>
    </w:p>
    <w:p w14:paraId="3A86E8DA" w14:textId="77777777" w:rsidR="003E02DD" w:rsidRPr="001104F3" w:rsidRDefault="003E02DD" w:rsidP="004721F3">
      <w:pPr>
        <w:pStyle w:val="subsection"/>
      </w:pPr>
      <w:r w:rsidRPr="001104F3">
        <w:tab/>
        <w:t>(1)</w:t>
      </w:r>
      <w:r w:rsidRPr="001104F3">
        <w:tab/>
        <w:t xml:space="preserve">For the purposes of </w:t>
      </w:r>
      <w:r w:rsidR="00025221" w:rsidRPr="001104F3">
        <w:t>subsection 3</w:t>
      </w:r>
      <w:r w:rsidRPr="001104F3">
        <w:t>1(3)</w:t>
      </w:r>
      <w:r w:rsidR="004721F3" w:rsidRPr="001104F3">
        <w:t xml:space="preserve"> of the Act</w:t>
      </w:r>
      <w:r w:rsidRPr="001104F3">
        <w:t xml:space="preserve">, </w:t>
      </w:r>
      <w:r w:rsidR="004721F3" w:rsidRPr="001104F3">
        <w:t xml:space="preserve">this section sets out how to </w:t>
      </w:r>
      <w:r w:rsidRPr="001104F3">
        <w:t>determine when an accountable entity</w:t>
      </w:r>
      <w:r w:rsidR="002B25E3" w:rsidRPr="001104F3">
        <w:t xml:space="preserve"> that is an ADI</w:t>
      </w:r>
      <w:r w:rsidRPr="001104F3">
        <w:t xml:space="preserve"> meets the enhanced notification threshold.</w:t>
      </w:r>
    </w:p>
    <w:p w14:paraId="3A86E8DB" w14:textId="77777777" w:rsidR="002B25E3" w:rsidRPr="001104F3" w:rsidRDefault="002B25E3" w:rsidP="002B25E3">
      <w:pPr>
        <w:pStyle w:val="subsection"/>
      </w:pPr>
      <w:r w:rsidRPr="001104F3">
        <w:tab/>
        <w:t>(2)</w:t>
      </w:r>
      <w:r w:rsidRPr="001104F3">
        <w:tab/>
      </w:r>
      <w:r w:rsidR="007F4D19" w:rsidRPr="001104F3">
        <w:t xml:space="preserve">The accountable entity meets the enhanced notification threshold at a particular time </w:t>
      </w:r>
      <w:r w:rsidR="004D30DC" w:rsidRPr="001104F3">
        <w:t xml:space="preserve">during a financial year of the accountable entity, </w:t>
      </w:r>
      <w:r w:rsidR="007F4D19" w:rsidRPr="001104F3">
        <w:t xml:space="preserve">if, at the </w:t>
      </w:r>
      <w:r w:rsidR="004D30DC" w:rsidRPr="001104F3">
        <w:t>start of the</w:t>
      </w:r>
      <w:r w:rsidR="007F4D19" w:rsidRPr="001104F3">
        <w:t xml:space="preserve"> financial year</w:t>
      </w:r>
      <w:r w:rsidR="004D30DC" w:rsidRPr="001104F3">
        <w:t>,</w:t>
      </w:r>
      <w:r w:rsidR="005818E5" w:rsidRPr="001104F3">
        <w:t xml:space="preserve"> </w:t>
      </w:r>
      <w:r w:rsidR="004D30DC" w:rsidRPr="001104F3">
        <w:t>its</w:t>
      </w:r>
      <w:r w:rsidR="005818E5" w:rsidRPr="001104F3">
        <w:t xml:space="preserve"> total </w:t>
      </w:r>
      <w:r w:rsidR="004D30DC" w:rsidRPr="001104F3">
        <w:t>asset size</w:t>
      </w:r>
      <w:r w:rsidR="005818E5" w:rsidRPr="001104F3">
        <w:t xml:space="preserve"> </w:t>
      </w:r>
      <w:r w:rsidR="00917167" w:rsidRPr="001104F3">
        <w:t xml:space="preserve">equals or </w:t>
      </w:r>
      <w:r w:rsidR="005818E5" w:rsidRPr="001104F3">
        <w:t>exceeds $10 billion.</w:t>
      </w:r>
    </w:p>
    <w:p w14:paraId="3A86E8DC" w14:textId="77777777" w:rsidR="007F4D19" w:rsidRPr="001104F3" w:rsidRDefault="007F4D19" w:rsidP="007F4D19">
      <w:pPr>
        <w:pStyle w:val="notetext"/>
      </w:pPr>
      <w:r w:rsidRPr="001104F3">
        <w:t>Note</w:t>
      </w:r>
      <w:r w:rsidR="00DC4495" w:rsidRPr="001104F3">
        <w:t xml:space="preserve"> 1</w:t>
      </w:r>
      <w:r w:rsidRPr="001104F3">
        <w:t>:</w:t>
      </w:r>
      <w:r w:rsidRPr="001104F3">
        <w:tab/>
        <w:t xml:space="preserve">See section 8 of the Act for the definition of </w:t>
      </w:r>
      <w:r w:rsidRPr="001104F3">
        <w:rPr>
          <w:b/>
          <w:i/>
        </w:rPr>
        <w:t>financial year</w:t>
      </w:r>
      <w:r w:rsidR="00914E5E" w:rsidRPr="001104F3">
        <w:t xml:space="preserve"> and section </w:t>
      </w:r>
      <w:r w:rsidR="00E33EBD" w:rsidRPr="001104F3">
        <w:t>14</w:t>
      </w:r>
      <w:r w:rsidR="00EB6F45" w:rsidRPr="001104F3">
        <w:t xml:space="preserve"> of this instrument</w:t>
      </w:r>
      <w:r w:rsidR="00914E5E" w:rsidRPr="001104F3">
        <w:t xml:space="preserve"> for the definition of </w:t>
      </w:r>
      <w:r w:rsidR="00914E5E" w:rsidRPr="001104F3">
        <w:rPr>
          <w:b/>
          <w:i/>
        </w:rPr>
        <w:t>total asset size</w:t>
      </w:r>
      <w:r w:rsidR="00914E5E" w:rsidRPr="001104F3">
        <w:t>.</w:t>
      </w:r>
    </w:p>
    <w:p w14:paraId="3A86E8DD" w14:textId="77777777" w:rsidR="007C3E07" w:rsidRPr="001104F3" w:rsidRDefault="007C3E07" w:rsidP="007C3E07">
      <w:pPr>
        <w:pStyle w:val="notetext"/>
      </w:pPr>
      <w:r w:rsidRPr="001104F3">
        <w:t>Note 2:</w:t>
      </w:r>
      <w:r w:rsidRPr="001104F3">
        <w:tab/>
        <w:t xml:space="preserve">If an accountable entity meets the enhanced notification threshold under this subsection, any other accountable entity that is in the same corporate group is also taken to meet the enhanced notification threshold: see section </w:t>
      </w:r>
      <w:r w:rsidR="00E33EBD" w:rsidRPr="001104F3">
        <w:t>33</w:t>
      </w:r>
      <w:r w:rsidRPr="001104F3">
        <w:t>.</w:t>
      </w:r>
    </w:p>
    <w:p w14:paraId="3A86E8DE" w14:textId="77777777" w:rsidR="001F4653" w:rsidRPr="001104F3" w:rsidRDefault="00E33EBD" w:rsidP="00914E5E">
      <w:pPr>
        <w:pStyle w:val="ActHead5"/>
      </w:pPr>
      <w:bookmarkStart w:id="18" w:name="_Toc111453528"/>
      <w:r w:rsidRPr="00C77E56">
        <w:rPr>
          <w:rStyle w:val="CharSectno"/>
        </w:rPr>
        <w:t>14</w:t>
      </w:r>
      <w:r w:rsidR="00914E5E" w:rsidRPr="001104F3">
        <w:t xml:space="preserve">  </w:t>
      </w:r>
      <w:r w:rsidR="001F4653" w:rsidRPr="001104F3">
        <w:t>Total asset size</w:t>
      </w:r>
      <w:r w:rsidR="004D59E3" w:rsidRPr="001104F3">
        <w:t>—ADIs</w:t>
      </w:r>
      <w:bookmarkEnd w:id="18"/>
    </w:p>
    <w:p w14:paraId="3A86E8DF" w14:textId="77777777" w:rsidR="00A224C6" w:rsidRPr="001104F3" w:rsidRDefault="00A224C6" w:rsidP="00A224C6">
      <w:pPr>
        <w:pStyle w:val="subsection"/>
      </w:pPr>
      <w:r w:rsidRPr="001104F3">
        <w:tab/>
        <w:t>(</w:t>
      </w:r>
      <w:r w:rsidR="00914E5E" w:rsidRPr="001104F3">
        <w:t>1</w:t>
      </w:r>
      <w:r w:rsidRPr="001104F3">
        <w:t>)</w:t>
      </w:r>
      <w:r w:rsidRPr="001104F3">
        <w:tab/>
      </w:r>
      <w:r w:rsidR="004D2BE5" w:rsidRPr="001104F3">
        <w:t>The</w:t>
      </w:r>
      <w:r w:rsidRPr="001104F3">
        <w:t xml:space="preserve"> </w:t>
      </w:r>
      <w:r w:rsidRPr="001104F3">
        <w:rPr>
          <w:b/>
          <w:i/>
        </w:rPr>
        <w:t>total asset size</w:t>
      </w:r>
      <w:r w:rsidRPr="001104F3">
        <w:t xml:space="preserve"> </w:t>
      </w:r>
      <w:r w:rsidR="00EB6F45" w:rsidRPr="001104F3">
        <w:t>of a</w:t>
      </w:r>
      <w:r w:rsidR="004D2BE5" w:rsidRPr="001104F3">
        <w:t xml:space="preserve">n accountable entity that is an ADI, </w:t>
      </w:r>
      <w:r w:rsidRPr="001104F3">
        <w:t>at the start of a financial year</w:t>
      </w:r>
      <w:r w:rsidR="00E82DF3" w:rsidRPr="001104F3">
        <w:t xml:space="preserve"> of the accountable entity</w:t>
      </w:r>
      <w:r w:rsidR="004D2BE5" w:rsidRPr="001104F3">
        <w:t>,</w:t>
      </w:r>
      <w:r w:rsidRPr="001104F3">
        <w:t xml:space="preserve"> is:</w:t>
      </w:r>
    </w:p>
    <w:p w14:paraId="3A86E8E0" w14:textId="77777777" w:rsidR="00A224C6" w:rsidRPr="001104F3" w:rsidRDefault="00A224C6" w:rsidP="00A224C6">
      <w:pPr>
        <w:pStyle w:val="paragraph"/>
      </w:pPr>
      <w:r w:rsidRPr="001104F3">
        <w:tab/>
        <w:t>(a)</w:t>
      </w:r>
      <w:r w:rsidRPr="001104F3">
        <w:tab/>
        <w:t xml:space="preserve">if, as at the start of that financial year, the </w:t>
      </w:r>
      <w:r w:rsidR="001F4653" w:rsidRPr="001104F3">
        <w:t>accountable entity</w:t>
      </w:r>
      <w:r w:rsidRPr="001104F3">
        <w:t xml:space="preserve"> has submitted a final report for only one earlier financial year—the </w:t>
      </w:r>
      <w:r w:rsidR="001F4653" w:rsidRPr="001104F3">
        <w:t>accountable entity</w:t>
      </w:r>
      <w:r w:rsidRPr="001104F3">
        <w:t>’s total assets value in that final report; or</w:t>
      </w:r>
    </w:p>
    <w:p w14:paraId="3A86E8E1" w14:textId="77777777" w:rsidR="00A224C6" w:rsidRPr="001104F3" w:rsidRDefault="00A224C6" w:rsidP="00A224C6">
      <w:pPr>
        <w:pStyle w:val="paragraph"/>
      </w:pPr>
      <w:r w:rsidRPr="001104F3">
        <w:tab/>
        <w:t>(b)</w:t>
      </w:r>
      <w:r w:rsidRPr="001104F3">
        <w:tab/>
        <w:t xml:space="preserve">if, as at the start of that financial year, the </w:t>
      </w:r>
      <w:r w:rsidR="001F4653" w:rsidRPr="001104F3">
        <w:t>accountable entity</w:t>
      </w:r>
      <w:r w:rsidRPr="001104F3">
        <w:t xml:space="preserve"> has submitted final reports for only 2 earlier financial years—the average of the total assets value in the final report for each of those financial years; or</w:t>
      </w:r>
    </w:p>
    <w:p w14:paraId="3A86E8E2" w14:textId="77777777" w:rsidR="00A224C6" w:rsidRPr="001104F3" w:rsidRDefault="00A224C6" w:rsidP="00A224C6">
      <w:pPr>
        <w:pStyle w:val="paragraph"/>
      </w:pPr>
      <w:r w:rsidRPr="001104F3">
        <w:tab/>
        <w:t>(c)</w:t>
      </w:r>
      <w:r w:rsidRPr="001104F3">
        <w:tab/>
        <w:t xml:space="preserve">if, as at the start of that financial year, the </w:t>
      </w:r>
      <w:r w:rsidR="001F4653" w:rsidRPr="001104F3">
        <w:t xml:space="preserve">accountable entity </w:t>
      </w:r>
      <w:r w:rsidRPr="001104F3">
        <w:t>has submitted final reports for 3 or more earlier financial years—the average of the total assets value in the final report for each of the 3 most recent of those financial years.</w:t>
      </w:r>
    </w:p>
    <w:p w14:paraId="3A86E8E3" w14:textId="77777777" w:rsidR="001F4653" w:rsidRPr="001104F3" w:rsidRDefault="001F4653" w:rsidP="001F4653">
      <w:pPr>
        <w:pStyle w:val="notetext"/>
      </w:pPr>
      <w:r w:rsidRPr="001104F3">
        <w:t>Note:</w:t>
      </w:r>
      <w:r w:rsidRPr="001104F3">
        <w:tab/>
      </w:r>
      <w:r w:rsidR="00A25748" w:rsidRPr="001104F3">
        <w:t xml:space="preserve">See section 8 of the Act for the definition of </w:t>
      </w:r>
      <w:r w:rsidR="00A25748" w:rsidRPr="001104F3">
        <w:rPr>
          <w:b/>
          <w:i/>
        </w:rPr>
        <w:t>financial year</w:t>
      </w:r>
      <w:r w:rsidR="00A25748" w:rsidRPr="001104F3">
        <w:t xml:space="preserve">, section </w:t>
      </w:r>
      <w:r w:rsidR="00E33EBD" w:rsidRPr="001104F3">
        <w:t>15</w:t>
      </w:r>
      <w:r w:rsidR="00A25748" w:rsidRPr="001104F3">
        <w:t xml:space="preserve"> of this instrument for the definition of</w:t>
      </w:r>
      <w:r w:rsidR="00A25748" w:rsidRPr="001104F3">
        <w:rPr>
          <w:b/>
          <w:i/>
        </w:rPr>
        <w:t xml:space="preserve"> final report</w:t>
      </w:r>
      <w:r w:rsidR="00A25748" w:rsidRPr="001104F3">
        <w:t xml:space="preserve"> and section</w:t>
      </w:r>
      <w:r w:rsidRPr="001104F3">
        <w:t> </w:t>
      </w:r>
      <w:r w:rsidR="00E33EBD" w:rsidRPr="001104F3">
        <w:t>16</w:t>
      </w:r>
      <w:r w:rsidRPr="001104F3">
        <w:t xml:space="preserve"> </w:t>
      </w:r>
      <w:r w:rsidR="00A25748" w:rsidRPr="001104F3">
        <w:t xml:space="preserve">of this instrument </w:t>
      </w:r>
      <w:r w:rsidRPr="001104F3">
        <w:t xml:space="preserve">for the definition of </w:t>
      </w:r>
      <w:r w:rsidRPr="001104F3">
        <w:rPr>
          <w:b/>
          <w:i/>
        </w:rPr>
        <w:t>total assets value</w:t>
      </w:r>
      <w:r w:rsidRPr="001104F3">
        <w:t>.</w:t>
      </w:r>
    </w:p>
    <w:p w14:paraId="3A86E8E4" w14:textId="77777777" w:rsidR="007A65E5" w:rsidRPr="001104F3" w:rsidRDefault="00A224C6" w:rsidP="00076E02">
      <w:pPr>
        <w:pStyle w:val="subsection"/>
      </w:pPr>
      <w:r w:rsidRPr="001104F3">
        <w:tab/>
        <w:t>(</w:t>
      </w:r>
      <w:r w:rsidR="00914E5E" w:rsidRPr="001104F3">
        <w:t>2</w:t>
      </w:r>
      <w:r w:rsidRPr="001104F3">
        <w:t>)</w:t>
      </w:r>
      <w:r w:rsidRPr="001104F3">
        <w:tab/>
        <w:t xml:space="preserve">For the purposes of </w:t>
      </w:r>
      <w:r w:rsidR="00546677" w:rsidRPr="001104F3">
        <w:t>subsection (</w:t>
      </w:r>
      <w:r w:rsidR="00914E5E" w:rsidRPr="001104F3">
        <w:t>1</w:t>
      </w:r>
      <w:r w:rsidRPr="001104F3">
        <w:t>)</w:t>
      </w:r>
      <w:r w:rsidR="007A65E5" w:rsidRPr="001104F3">
        <w:t>:</w:t>
      </w:r>
    </w:p>
    <w:p w14:paraId="3A86E8E5" w14:textId="77777777" w:rsidR="007A65E5" w:rsidRPr="001104F3" w:rsidRDefault="007A65E5" w:rsidP="007A65E5">
      <w:pPr>
        <w:pStyle w:val="paragraph"/>
      </w:pPr>
      <w:r w:rsidRPr="001104F3">
        <w:tab/>
        <w:t>(a)</w:t>
      </w:r>
      <w:r w:rsidRPr="001104F3">
        <w:tab/>
        <w:t xml:space="preserve">if an accountable entity has submitted final reports for a financial year ending on or before 30 June 2019 under both </w:t>
      </w:r>
      <w:r w:rsidRPr="001104F3">
        <w:rPr>
          <w:color w:val="000000"/>
          <w:szCs w:val="22"/>
        </w:rPr>
        <w:t>Reporting Standard ARS 720.0 ABS/RBA Statement of Financial Position</w:t>
      </w:r>
      <w:r w:rsidRPr="001104F3">
        <w:t xml:space="preserve"> and </w:t>
      </w:r>
      <w:r w:rsidRPr="001104F3">
        <w:rPr>
          <w:color w:val="000000"/>
          <w:szCs w:val="22"/>
        </w:rPr>
        <w:t>Reporting Standard ARS 320.0 Statement of Financial Position (Domestic Books)</w:t>
      </w:r>
      <w:r w:rsidRPr="001104F3">
        <w:t xml:space="preserve">, take into account only the total assets value in the final report under </w:t>
      </w:r>
      <w:r w:rsidRPr="001104F3">
        <w:rPr>
          <w:color w:val="000000"/>
          <w:szCs w:val="22"/>
        </w:rPr>
        <w:t>Reporting Standard ARS 320.0 Statement of Financial Position (Domestic Books)</w:t>
      </w:r>
      <w:r w:rsidRPr="001104F3">
        <w:t>; and</w:t>
      </w:r>
    </w:p>
    <w:p w14:paraId="3A86E8E6" w14:textId="77777777" w:rsidR="00A224C6" w:rsidRPr="001104F3" w:rsidRDefault="007A65E5" w:rsidP="007A65E5">
      <w:pPr>
        <w:pStyle w:val="paragraph"/>
      </w:pPr>
      <w:r w:rsidRPr="001104F3">
        <w:lastRenderedPageBreak/>
        <w:tab/>
        <w:t>(b)</w:t>
      </w:r>
      <w:r w:rsidRPr="001104F3">
        <w:tab/>
      </w:r>
      <w:r w:rsidR="00A224C6" w:rsidRPr="001104F3">
        <w:t xml:space="preserve">if an </w:t>
      </w:r>
      <w:r w:rsidR="001F4653" w:rsidRPr="001104F3">
        <w:t>accountable entity</w:t>
      </w:r>
      <w:r w:rsidR="00A224C6" w:rsidRPr="001104F3">
        <w:t xml:space="preserve"> has submitted final reports for a financial year ending after </w:t>
      </w:r>
      <w:r w:rsidR="00546677" w:rsidRPr="001104F3">
        <w:t>30 June</w:t>
      </w:r>
      <w:r w:rsidR="00A224C6" w:rsidRPr="001104F3">
        <w:t xml:space="preserve"> 2019 under both</w:t>
      </w:r>
      <w:r w:rsidR="00EB6F45" w:rsidRPr="001104F3">
        <w:t xml:space="preserve"> Reporting Standard ARS 720.0 ABS/RBA Statement of Financial Position</w:t>
      </w:r>
      <w:r w:rsidR="00A224C6" w:rsidRPr="001104F3">
        <w:t xml:space="preserve"> and </w:t>
      </w:r>
      <w:r w:rsidR="00EB6F45" w:rsidRPr="001104F3">
        <w:t>Reporting Standard ARS 323.0 Statement of Financial Position (Licensed ADI)</w:t>
      </w:r>
      <w:r w:rsidR="00A224C6" w:rsidRPr="001104F3">
        <w:t xml:space="preserve">, take into account only the total assets value in the final report under </w:t>
      </w:r>
      <w:r w:rsidR="00EB6F45" w:rsidRPr="001104F3">
        <w:t>Reporting Standard ARS 720.0 ABS/RBA Statement of Financial Position</w:t>
      </w:r>
      <w:r w:rsidR="00A224C6" w:rsidRPr="001104F3">
        <w:t>.</w:t>
      </w:r>
    </w:p>
    <w:p w14:paraId="3A86E8E7" w14:textId="77777777" w:rsidR="00006255" w:rsidRPr="001104F3" w:rsidRDefault="004D59E3" w:rsidP="004D39FC">
      <w:pPr>
        <w:pStyle w:val="notetext"/>
      </w:pPr>
      <w:r w:rsidRPr="001104F3">
        <w:t>Note:</w:t>
      </w:r>
      <w:r w:rsidRPr="001104F3">
        <w:tab/>
        <w:t>See also section </w:t>
      </w:r>
      <w:r w:rsidR="00E33EBD" w:rsidRPr="001104F3">
        <w:t>34</w:t>
      </w:r>
      <w:r w:rsidRPr="001104F3">
        <w:t xml:space="preserve"> of this instrument about Reporting Standards.</w:t>
      </w:r>
    </w:p>
    <w:p w14:paraId="3A86E8E8" w14:textId="77777777" w:rsidR="004D39FC" w:rsidRPr="001104F3" w:rsidRDefault="00E33EBD" w:rsidP="004D39FC">
      <w:pPr>
        <w:pStyle w:val="ActHead5"/>
      </w:pPr>
      <w:bookmarkStart w:id="19" w:name="_Toc111453529"/>
      <w:r w:rsidRPr="00C77E56">
        <w:rPr>
          <w:rStyle w:val="CharSectno"/>
        </w:rPr>
        <w:t>15</w:t>
      </w:r>
      <w:r w:rsidR="004D39FC" w:rsidRPr="001104F3">
        <w:t xml:space="preserve">  Final report—ADIs</w:t>
      </w:r>
      <w:bookmarkEnd w:id="19"/>
    </w:p>
    <w:p w14:paraId="3A86E8E9" w14:textId="77777777" w:rsidR="007A65E5" w:rsidRPr="001104F3" w:rsidRDefault="004D39FC" w:rsidP="007A65E5">
      <w:pPr>
        <w:pStyle w:val="subsection"/>
      </w:pPr>
      <w:r w:rsidRPr="001104F3">
        <w:tab/>
      </w:r>
      <w:r w:rsidRPr="001104F3">
        <w:tab/>
        <w:t xml:space="preserve">A </w:t>
      </w:r>
      <w:r w:rsidRPr="001104F3">
        <w:rPr>
          <w:b/>
          <w:i/>
        </w:rPr>
        <w:t>final report</w:t>
      </w:r>
      <w:r w:rsidRPr="001104F3">
        <w:t>, in relation to an accountable entity that is an ADI, means a report in relation to the accountable entity’s final reporting period in a financial year of the accountable entity that is submitted by the entity to APRA under:</w:t>
      </w:r>
    </w:p>
    <w:p w14:paraId="3A86E8EA" w14:textId="77777777" w:rsidR="007A65E5" w:rsidRPr="001104F3" w:rsidRDefault="007A65E5" w:rsidP="007A65E5">
      <w:pPr>
        <w:pStyle w:val="paragraph"/>
      </w:pPr>
      <w:r w:rsidRPr="001104F3">
        <w:tab/>
        <w:t>(a)</w:t>
      </w:r>
      <w:r w:rsidRPr="001104F3">
        <w:tab/>
        <w:t>Reporting Standard ARS 320.0 Statement of Financial Position (Domestic Books); or</w:t>
      </w:r>
    </w:p>
    <w:p w14:paraId="3A86E8EB" w14:textId="77777777" w:rsidR="00F82A50" w:rsidRPr="001104F3" w:rsidRDefault="00F82A50" w:rsidP="00F82A50">
      <w:pPr>
        <w:pStyle w:val="paragraph"/>
      </w:pPr>
      <w:r w:rsidRPr="001104F3">
        <w:tab/>
        <w:t>(</w:t>
      </w:r>
      <w:r w:rsidR="007A65E5" w:rsidRPr="001104F3">
        <w:t>b</w:t>
      </w:r>
      <w:r w:rsidRPr="001104F3">
        <w:t>)</w:t>
      </w:r>
      <w:r w:rsidRPr="001104F3">
        <w:tab/>
      </w:r>
      <w:r w:rsidR="004D39FC" w:rsidRPr="001104F3">
        <w:t>Reporting Standard ARS 323.0 Statement of Financial Position (Licensed ADI); or</w:t>
      </w:r>
    </w:p>
    <w:p w14:paraId="3A86E8EC" w14:textId="77777777" w:rsidR="004D39FC" w:rsidRPr="001104F3" w:rsidRDefault="00F82A50" w:rsidP="00F82A50">
      <w:pPr>
        <w:pStyle w:val="paragraph"/>
      </w:pPr>
      <w:r w:rsidRPr="001104F3">
        <w:tab/>
        <w:t>(</w:t>
      </w:r>
      <w:r w:rsidR="007A65E5" w:rsidRPr="001104F3">
        <w:t>c</w:t>
      </w:r>
      <w:r w:rsidRPr="001104F3">
        <w:t>)</w:t>
      </w:r>
      <w:r w:rsidRPr="001104F3">
        <w:tab/>
      </w:r>
      <w:r w:rsidR="004D39FC" w:rsidRPr="001104F3">
        <w:t>Reporting Standard ARS 720.0 ABS/RBA Statement of Financial Position.</w:t>
      </w:r>
    </w:p>
    <w:p w14:paraId="3A86E8ED" w14:textId="77777777" w:rsidR="00C271C5" w:rsidRPr="001104F3" w:rsidRDefault="00C271C5" w:rsidP="00C271C5">
      <w:pPr>
        <w:pStyle w:val="notetext"/>
      </w:pPr>
      <w:r w:rsidRPr="001104F3">
        <w:t>Note 1:</w:t>
      </w:r>
      <w:r w:rsidRPr="001104F3">
        <w:tab/>
        <w:t xml:space="preserve">See section 8 of the Act for the definition of </w:t>
      </w:r>
      <w:r w:rsidRPr="001104F3">
        <w:rPr>
          <w:b/>
          <w:i/>
        </w:rPr>
        <w:t>financial year</w:t>
      </w:r>
      <w:r w:rsidRPr="001104F3">
        <w:t>.</w:t>
      </w:r>
    </w:p>
    <w:p w14:paraId="3A86E8EE" w14:textId="77777777" w:rsidR="00C271C5" w:rsidRPr="001104F3" w:rsidRDefault="00C271C5" w:rsidP="00C271C5">
      <w:pPr>
        <w:pStyle w:val="notetext"/>
      </w:pPr>
      <w:r w:rsidRPr="001104F3">
        <w:t>Note 2:</w:t>
      </w:r>
      <w:r w:rsidRPr="001104F3">
        <w:tab/>
        <w:t>See also section </w:t>
      </w:r>
      <w:r w:rsidR="00E33EBD" w:rsidRPr="001104F3">
        <w:t>34</w:t>
      </w:r>
      <w:r w:rsidRPr="001104F3">
        <w:t xml:space="preserve"> of this instrument about Reporting Standards.</w:t>
      </w:r>
    </w:p>
    <w:p w14:paraId="3A86E8EF" w14:textId="77777777" w:rsidR="00A224C6" w:rsidRPr="001104F3" w:rsidRDefault="00E33EBD" w:rsidP="00A224C6">
      <w:pPr>
        <w:pStyle w:val="ActHead5"/>
        <w:spacing w:before="180"/>
        <w:ind w:left="0" w:firstLine="0"/>
      </w:pPr>
      <w:bookmarkStart w:id="20" w:name="_Toc111453530"/>
      <w:r w:rsidRPr="00C77E56">
        <w:rPr>
          <w:rStyle w:val="CharSectno"/>
        </w:rPr>
        <w:t>16</w:t>
      </w:r>
      <w:r w:rsidR="00A224C6" w:rsidRPr="001104F3">
        <w:t xml:space="preserve">  Total assets value</w:t>
      </w:r>
      <w:r w:rsidR="004D59E3" w:rsidRPr="001104F3">
        <w:t>—ADIs</w:t>
      </w:r>
      <w:bookmarkEnd w:id="20"/>
    </w:p>
    <w:p w14:paraId="3A86E8F0" w14:textId="77777777" w:rsidR="00A224C6" w:rsidRPr="001104F3" w:rsidRDefault="00A224C6" w:rsidP="00A224C6">
      <w:pPr>
        <w:pStyle w:val="subsection"/>
      </w:pPr>
      <w:r w:rsidRPr="001104F3">
        <w:tab/>
        <w:t>(1)</w:t>
      </w:r>
      <w:r w:rsidRPr="001104F3">
        <w:tab/>
      </w:r>
      <w:r w:rsidR="004D2BE5" w:rsidRPr="001104F3">
        <w:t>The</w:t>
      </w:r>
      <w:r w:rsidRPr="001104F3">
        <w:t xml:space="preserve"> </w:t>
      </w:r>
      <w:r w:rsidRPr="001104F3">
        <w:rPr>
          <w:b/>
          <w:i/>
        </w:rPr>
        <w:t>total assets value</w:t>
      </w:r>
      <w:r w:rsidRPr="001104F3">
        <w:t xml:space="preserve"> </w:t>
      </w:r>
      <w:r w:rsidR="00F7359E" w:rsidRPr="001104F3">
        <w:t xml:space="preserve">in a final report </w:t>
      </w:r>
      <w:r w:rsidR="004D2BE5" w:rsidRPr="001104F3">
        <w:t>of an accountable entity that is an ADI</w:t>
      </w:r>
      <w:r w:rsidR="00F7359E" w:rsidRPr="001104F3">
        <w:t xml:space="preserve"> </w:t>
      </w:r>
      <w:r w:rsidRPr="001104F3">
        <w:t>is determined in accordance with this section.</w:t>
      </w:r>
    </w:p>
    <w:p w14:paraId="3A86E8F1" w14:textId="77777777" w:rsidR="00FE360B" w:rsidRPr="001104F3" w:rsidRDefault="00FE360B" w:rsidP="00FE360B">
      <w:pPr>
        <w:pStyle w:val="subsection"/>
      </w:pPr>
      <w:r w:rsidRPr="001104F3">
        <w:tab/>
        <w:t>(2)</w:t>
      </w:r>
      <w:r w:rsidRPr="001104F3">
        <w:tab/>
        <w:t xml:space="preserve">If the report is under </w:t>
      </w:r>
      <w:r w:rsidRPr="001104F3">
        <w:rPr>
          <w:color w:val="000000"/>
          <w:szCs w:val="22"/>
        </w:rPr>
        <w:t>Reporting Standard ARS 320.0 Statement of Financial Position (Domestic Books)</w:t>
      </w:r>
      <w:r w:rsidRPr="001104F3">
        <w:t>, the total assets value is the amount reported in Section A, item 10 Total assets in Form ARF 320.0 in that Reporting Standard.</w:t>
      </w:r>
    </w:p>
    <w:p w14:paraId="3A86E8F2" w14:textId="77777777" w:rsidR="00A224C6" w:rsidRPr="001104F3" w:rsidRDefault="00A224C6" w:rsidP="00A224C6">
      <w:pPr>
        <w:pStyle w:val="subsection"/>
      </w:pPr>
      <w:r w:rsidRPr="001104F3">
        <w:tab/>
        <w:t>(</w:t>
      </w:r>
      <w:r w:rsidR="00FE360B" w:rsidRPr="001104F3">
        <w:t>3</w:t>
      </w:r>
      <w:r w:rsidRPr="001104F3">
        <w:t>)</w:t>
      </w:r>
      <w:r w:rsidRPr="001104F3">
        <w:tab/>
        <w:t xml:space="preserve">If the report is under </w:t>
      </w:r>
      <w:r w:rsidR="00EB6F45" w:rsidRPr="001104F3">
        <w:rPr>
          <w:color w:val="000000"/>
          <w:szCs w:val="22"/>
        </w:rPr>
        <w:t>Reporting Standard ARS 323.0 Statement of Financial Position (Licensed ADI)</w:t>
      </w:r>
      <w:r w:rsidRPr="001104F3">
        <w:t>, the total assets value is the amount reported in Section A, item 11 Total assets in Form ARF 323.0 in that Reporting Standard.</w:t>
      </w:r>
    </w:p>
    <w:p w14:paraId="3A86E8F3" w14:textId="77777777" w:rsidR="00A224C6" w:rsidRPr="001104F3" w:rsidRDefault="00A224C6" w:rsidP="00A224C6">
      <w:pPr>
        <w:pStyle w:val="subsection"/>
      </w:pPr>
      <w:r w:rsidRPr="001104F3">
        <w:tab/>
        <w:t>(</w:t>
      </w:r>
      <w:r w:rsidR="00FE360B" w:rsidRPr="001104F3">
        <w:t>4</w:t>
      </w:r>
      <w:r w:rsidRPr="001104F3">
        <w:t>)</w:t>
      </w:r>
      <w:r w:rsidRPr="001104F3">
        <w:tab/>
        <w:t xml:space="preserve">If the report is under </w:t>
      </w:r>
      <w:r w:rsidR="00EB6F45" w:rsidRPr="001104F3">
        <w:rPr>
          <w:color w:val="000000"/>
          <w:szCs w:val="22"/>
        </w:rPr>
        <w:t>Reporting Standard ARS 720.0 ABS/RBA Statement of Financial Position</w:t>
      </w:r>
      <w:r w:rsidRPr="001104F3">
        <w:t xml:space="preserve"> and Form ARF 720.0A in that Reporting Standard, the total assets value is worked out in accordance with the following method:</w:t>
      </w:r>
    </w:p>
    <w:p w14:paraId="3A86E8F4" w14:textId="77777777" w:rsidR="00A224C6" w:rsidRPr="001104F3" w:rsidRDefault="00A224C6" w:rsidP="00A224C6">
      <w:pPr>
        <w:pStyle w:val="BoxStep"/>
        <w:rPr>
          <w:i/>
        </w:rPr>
      </w:pPr>
      <w:r w:rsidRPr="001104F3">
        <w:rPr>
          <w:i/>
        </w:rPr>
        <w:t>Method statement</w:t>
      </w:r>
    </w:p>
    <w:p w14:paraId="3A86E8F5" w14:textId="77777777" w:rsidR="00A224C6" w:rsidRPr="001104F3" w:rsidRDefault="00A224C6" w:rsidP="00A224C6">
      <w:pPr>
        <w:pStyle w:val="BoxStep"/>
        <w:ind w:left="2410" w:hanging="1276"/>
      </w:pPr>
      <w:r w:rsidRPr="001104F3">
        <w:t>Step 1.</w:t>
      </w:r>
      <w:r w:rsidRPr="001104F3">
        <w:tab/>
        <w:t>Identify the amount reported in Section A, item 13 Total assets including intra</w:t>
      </w:r>
      <w:r w:rsidR="001104F3">
        <w:noBreakHyphen/>
      </w:r>
      <w:r w:rsidRPr="001104F3">
        <w:t>group assets</w:t>
      </w:r>
      <w:r w:rsidR="00EB6F45" w:rsidRPr="001104F3">
        <w:t xml:space="preserve"> in Form ARF 720.0A in that Reporting Standard</w:t>
      </w:r>
      <w:r w:rsidRPr="001104F3">
        <w:t>.</w:t>
      </w:r>
    </w:p>
    <w:p w14:paraId="3A86E8F6" w14:textId="77777777" w:rsidR="00A224C6" w:rsidRPr="001104F3" w:rsidRDefault="00A224C6" w:rsidP="00A224C6">
      <w:pPr>
        <w:pStyle w:val="BoxStep"/>
        <w:ind w:left="2410" w:hanging="1276"/>
      </w:pPr>
      <w:r w:rsidRPr="001104F3">
        <w:t>Step 2.</w:t>
      </w:r>
      <w:r w:rsidRPr="001104F3">
        <w:tab/>
        <w:t>Subtract from the result of Step 1 the amount required to be reported in Section A, item </w:t>
      </w:r>
      <w:r w:rsidRPr="001104F3">
        <w:rPr>
          <w:rFonts w:cs="Arial"/>
          <w:color w:val="000000"/>
          <w:szCs w:val="22"/>
        </w:rPr>
        <w:t xml:space="preserve">11.1 </w:t>
      </w:r>
      <w:r w:rsidRPr="001104F3">
        <w:rPr>
          <w:rFonts w:cs="Arial"/>
          <w:bCs/>
          <w:color w:val="000000"/>
          <w:szCs w:val="22"/>
        </w:rPr>
        <w:t>Total assets excluding intra</w:t>
      </w:r>
      <w:r w:rsidR="001104F3">
        <w:rPr>
          <w:rFonts w:cs="Arial"/>
          <w:bCs/>
          <w:color w:val="000000"/>
          <w:szCs w:val="22"/>
        </w:rPr>
        <w:noBreakHyphen/>
      </w:r>
      <w:r w:rsidRPr="001104F3">
        <w:rPr>
          <w:rFonts w:cs="Arial"/>
          <w:bCs/>
          <w:color w:val="000000"/>
          <w:szCs w:val="22"/>
        </w:rPr>
        <w:t>group assets</w:t>
      </w:r>
      <w:r w:rsidRPr="001104F3">
        <w:rPr>
          <w:rFonts w:cs="Arial"/>
          <w:i/>
          <w:iCs/>
          <w:color w:val="000000"/>
          <w:szCs w:val="22"/>
        </w:rPr>
        <w:t xml:space="preserve"> of which: </w:t>
      </w:r>
      <w:r w:rsidRPr="001104F3">
        <w:rPr>
          <w:rFonts w:cs="Arial"/>
          <w:color w:val="000000"/>
          <w:szCs w:val="22"/>
        </w:rPr>
        <w:t>Due from non</w:t>
      </w:r>
      <w:r w:rsidR="001104F3">
        <w:rPr>
          <w:rFonts w:cs="Arial"/>
          <w:color w:val="000000"/>
          <w:szCs w:val="22"/>
        </w:rPr>
        <w:noBreakHyphen/>
      </w:r>
      <w:r w:rsidRPr="001104F3">
        <w:rPr>
          <w:rFonts w:cs="Arial"/>
          <w:color w:val="000000"/>
          <w:szCs w:val="22"/>
        </w:rPr>
        <w:t>residents</w:t>
      </w:r>
      <w:r w:rsidR="00EB6F45" w:rsidRPr="001104F3">
        <w:t xml:space="preserve"> in Form ARF 720.0A in that Reporting Standard.</w:t>
      </w:r>
    </w:p>
    <w:p w14:paraId="3A86E8F7" w14:textId="77777777" w:rsidR="00A224C6" w:rsidRPr="001104F3" w:rsidRDefault="00A224C6" w:rsidP="00A224C6">
      <w:pPr>
        <w:pStyle w:val="BoxStep"/>
        <w:ind w:left="2410" w:hanging="1276"/>
      </w:pPr>
      <w:r w:rsidRPr="001104F3">
        <w:lastRenderedPageBreak/>
        <w:t>Step 3.</w:t>
      </w:r>
      <w:r w:rsidRPr="001104F3">
        <w:tab/>
        <w:t xml:space="preserve">Subtract from the result of Step 2 the amount required to be reported in Section A, item 12.1 </w:t>
      </w:r>
      <w:r w:rsidRPr="001104F3">
        <w:rPr>
          <w:rFonts w:cs="Arial"/>
          <w:bCs/>
          <w:color w:val="000000"/>
          <w:szCs w:val="22"/>
        </w:rPr>
        <w:t>Total intra</w:t>
      </w:r>
      <w:r w:rsidR="001104F3">
        <w:rPr>
          <w:rFonts w:cs="Arial"/>
          <w:bCs/>
          <w:color w:val="000000"/>
          <w:szCs w:val="22"/>
        </w:rPr>
        <w:noBreakHyphen/>
      </w:r>
      <w:r w:rsidRPr="001104F3">
        <w:rPr>
          <w:rFonts w:cs="Arial"/>
          <w:bCs/>
          <w:color w:val="000000"/>
          <w:szCs w:val="22"/>
        </w:rPr>
        <w:t xml:space="preserve">group assets </w:t>
      </w:r>
      <w:r w:rsidRPr="001104F3">
        <w:rPr>
          <w:rFonts w:cs="Arial"/>
          <w:i/>
          <w:iCs/>
          <w:color w:val="000000"/>
          <w:szCs w:val="22"/>
        </w:rPr>
        <w:t xml:space="preserve">of which: </w:t>
      </w:r>
      <w:r w:rsidRPr="001104F3">
        <w:rPr>
          <w:rFonts w:cs="Arial"/>
          <w:color w:val="000000"/>
          <w:szCs w:val="22"/>
        </w:rPr>
        <w:t>Due from non</w:t>
      </w:r>
      <w:r w:rsidR="001104F3">
        <w:rPr>
          <w:rFonts w:cs="Arial"/>
          <w:color w:val="000000"/>
          <w:szCs w:val="22"/>
        </w:rPr>
        <w:noBreakHyphen/>
      </w:r>
      <w:r w:rsidRPr="001104F3">
        <w:rPr>
          <w:rFonts w:cs="Arial"/>
          <w:color w:val="000000"/>
          <w:szCs w:val="22"/>
        </w:rPr>
        <w:t>residents</w:t>
      </w:r>
      <w:r w:rsidR="00EB6F45" w:rsidRPr="001104F3">
        <w:t xml:space="preserve"> in Form ARF 720.0A in that Reporting Standard.</w:t>
      </w:r>
    </w:p>
    <w:p w14:paraId="3A86E8F8" w14:textId="77777777" w:rsidR="004D59E3" w:rsidRPr="001104F3" w:rsidRDefault="00A224C6" w:rsidP="00C271C5">
      <w:pPr>
        <w:pStyle w:val="subsection"/>
      </w:pPr>
      <w:r w:rsidRPr="001104F3">
        <w:tab/>
        <w:t>(</w:t>
      </w:r>
      <w:r w:rsidR="00FE360B" w:rsidRPr="001104F3">
        <w:t>5</w:t>
      </w:r>
      <w:r w:rsidRPr="001104F3">
        <w:t>)</w:t>
      </w:r>
      <w:r w:rsidRPr="001104F3">
        <w:tab/>
        <w:t xml:space="preserve">If the report is under </w:t>
      </w:r>
      <w:r w:rsidR="00EB6F45" w:rsidRPr="001104F3">
        <w:rPr>
          <w:color w:val="000000"/>
          <w:szCs w:val="22"/>
        </w:rPr>
        <w:t>Reporting Standard ARS 720.0 ABS/RBA Statement of Financial Position</w:t>
      </w:r>
      <w:r w:rsidRPr="001104F3">
        <w:t xml:space="preserve"> and Form ARF 720.0B in that Reporting Standard, the total assets value is the amount reported in Section A, item 13 Total assets including intra</w:t>
      </w:r>
      <w:r w:rsidR="001104F3">
        <w:noBreakHyphen/>
      </w:r>
      <w:r w:rsidRPr="001104F3">
        <w:t>group assets</w:t>
      </w:r>
      <w:r w:rsidR="00EB6F45" w:rsidRPr="001104F3">
        <w:t xml:space="preserve"> in Form ARF 720.0B in that Reporting Standard</w:t>
      </w:r>
      <w:r w:rsidRPr="001104F3">
        <w:t>.</w:t>
      </w:r>
    </w:p>
    <w:p w14:paraId="3A86E8F9" w14:textId="77777777" w:rsidR="004D30DC" w:rsidRPr="001104F3" w:rsidRDefault="004731B3" w:rsidP="00A224C6">
      <w:pPr>
        <w:pStyle w:val="ActHead3"/>
        <w:pageBreakBefore/>
      </w:pPr>
      <w:bookmarkStart w:id="21" w:name="_Toc111453531"/>
      <w:r w:rsidRPr="00C77E56">
        <w:rPr>
          <w:rStyle w:val="CharDivNo"/>
        </w:rPr>
        <w:lastRenderedPageBreak/>
        <w:t>Division 2</w:t>
      </w:r>
      <w:r w:rsidR="00A224C6" w:rsidRPr="001104F3">
        <w:t>—</w:t>
      </w:r>
      <w:r w:rsidR="00A224C6" w:rsidRPr="00C77E56">
        <w:rPr>
          <w:rStyle w:val="CharDivText"/>
        </w:rPr>
        <w:t>Accountable entities that are general insurers</w:t>
      </w:r>
      <w:bookmarkEnd w:id="21"/>
    </w:p>
    <w:p w14:paraId="3A86E8FA" w14:textId="77777777" w:rsidR="00B72B5D" w:rsidRPr="001104F3" w:rsidRDefault="00E33EBD" w:rsidP="00B72B5D">
      <w:pPr>
        <w:pStyle w:val="ActHead5"/>
      </w:pPr>
      <w:bookmarkStart w:id="22" w:name="_Toc111453532"/>
      <w:r w:rsidRPr="00C77E56">
        <w:rPr>
          <w:rStyle w:val="CharSectno"/>
        </w:rPr>
        <w:t>17</w:t>
      </w:r>
      <w:r w:rsidR="00F54387" w:rsidRPr="001104F3">
        <w:t xml:space="preserve">  </w:t>
      </w:r>
      <w:r w:rsidR="00A25748" w:rsidRPr="001104F3">
        <w:t>Determining when accountable entity meets enhanced notification threshold—general insurers</w:t>
      </w:r>
      <w:bookmarkEnd w:id="22"/>
    </w:p>
    <w:p w14:paraId="3A86E8FB" w14:textId="77777777" w:rsidR="00F54387" w:rsidRPr="001104F3" w:rsidRDefault="00F54387" w:rsidP="00B72B5D">
      <w:pPr>
        <w:pStyle w:val="subsection"/>
      </w:pPr>
      <w:r w:rsidRPr="001104F3">
        <w:tab/>
        <w:t>(1)</w:t>
      </w:r>
      <w:r w:rsidRPr="001104F3">
        <w:tab/>
        <w:t xml:space="preserve">For the purposes of </w:t>
      </w:r>
      <w:r w:rsidR="00025221" w:rsidRPr="001104F3">
        <w:t>subsection 3</w:t>
      </w:r>
      <w:r w:rsidRPr="001104F3">
        <w:t>1(3) of the Act, this section sets out how to determine when an accountable entity that is a general insurer meets the enhanced notification threshold.</w:t>
      </w:r>
    </w:p>
    <w:p w14:paraId="3A86E8FC" w14:textId="77777777" w:rsidR="00F54387" w:rsidRPr="001104F3" w:rsidRDefault="00F54387" w:rsidP="00F54387">
      <w:pPr>
        <w:pStyle w:val="subsection"/>
      </w:pPr>
      <w:r w:rsidRPr="001104F3">
        <w:tab/>
        <w:t>(2)</w:t>
      </w:r>
      <w:r w:rsidRPr="001104F3">
        <w:tab/>
        <w:t>The accountable entity meets the enhanced notification threshold at a particular time</w:t>
      </w:r>
      <w:r w:rsidR="00914E5E" w:rsidRPr="001104F3">
        <w:t xml:space="preserve"> during a financial year of the accountable entity, if, at the start of the financial year,</w:t>
      </w:r>
      <w:r w:rsidR="004D39FC" w:rsidRPr="001104F3">
        <w:t xml:space="preserve"> its total asset size </w:t>
      </w:r>
      <w:r w:rsidR="00E5436C" w:rsidRPr="001104F3">
        <w:t xml:space="preserve">equals or </w:t>
      </w:r>
      <w:r w:rsidRPr="001104F3">
        <w:t>exceeds $2 billion.</w:t>
      </w:r>
    </w:p>
    <w:p w14:paraId="3A86E8FD" w14:textId="77777777" w:rsidR="004D39FC" w:rsidRPr="001104F3" w:rsidRDefault="004D39FC" w:rsidP="004D39FC">
      <w:pPr>
        <w:pStyle w:val="notetext"/>
      </w:pPr>
      <w:r w:rsidRPr="001104F3">
        <w:t>Note 1:</w:t>
      </w:r>
      <w:r w:rsidRPr="001104F3">
        <w:tab/>
        <w:t xml:space="preserve">See section 8 of the Act for the definition of </w:t>
      </w:r>
      <w:r w:rsidRPr="001104F3">
        <w:rPr>
          <w:b/>
          <w:i/>
        </w:rPr>
        <w:t>financial year</w:t>
      </w:r>
      <w:r w:rsidRPr="001104F3">
        <w:t xml:space="preserve"> and section </w:t>
      </w:r>
      <w:r w:rsidR="00E33EBD" w:rsidRPr="001104F3">
        <w:t>18</w:t>
      </w:r>
      <w:r w:rsidRPr="001104F3">
        <w:t xml:space="preserve"> </w:t>
      </w:r>
      <w:r w:rsidR="00011C5C" w:rsidRPr="001104F3">
        <w:t xml:space="preserve">of this instrument </w:t>
      </w:r>
      <w:r w:rsidRPr="001104F3">
        <w:t xml:space="preserve">for the definition of </w:t>
      </w:r>
      <w:r w:rsidRPr="001104F3">
        <w:rPr>
          <w:b/>
          <w:i/>
        </w:rPr>
        <w:t>total asset size</w:t>
      </w:r>
      <w:r w:rsidRPr="001104F3">
        <w:t>.</w:t>
      </w:r>
    </w:p>
    <w:p w14:paraId="3A86E8FE" w14:textId="77777777" w:rsidR="007C3E07" w:rsidRPr="001104F3" w:rsidRDefault="007C3E07" w:rsidP="007C3E07">
      <w:pPr>
        <w:pStyle w:val="notetext"/>
      </w:pPr>
      <w:r w:rsidRPr="001104F3">
        <w:t>Note 2:</w:t>
      </w:r>
      <w:r w:rsidRPr="001104F3">
        <w:tab/>
        <w:t xml:space="preserve">If an accountable entity meets the enhanced notification threshold under this subsection, any other accountable entity that is in the same corporate group is also taken to meet the enhanced notification threshold: see section </w:t>
      </w:r>
      <w:r w:rsidR="00E33EBD" w:rsidRPr="001104F3">
        <w:t>33</w:t>
      </w:r>
      <w:r w:rsidRPr="001104F3">
        <w:t>.</w:t>
      </w:r>
    </w:p>
    <w:p w14:paraId="3A86E8FF" w14:textId="77777777" w:rsidR="004D39FC" w:rsidRPr="001104F3" w:rsidRDefault="00E33EBD" w:rsidP="004D39FC">
      <w:pPr>
        <w:pStyle w:val="ActHead5"/>
      </w:pPr>
      <w:bookmarkStart w:id="23" w:name="_Toc111453533"/>
      <w:r w:rsidRPr="00C77E56">
        <w:rPr>
          <w:rStyle w:val="CharSectno"/>
        </w:rPr>
        <w:t>18</w:t>
      </w:r>
      <w:r w:rsidR="004D39FC" w:rsidRPr="001104F3">
        <w:t xml:space="preserve">  Total asset size—general insurers</w:t>
      </w:r>
      <w:bookmarkEnd w:id="23"/>
    </w:p>
    <w:p w14:paraId="3A86E900" w14:textId="77777777" w:rsidR="004D39FC" w:rsidRPr="001104F3" w:rsidRDefault="004D39FC" w:rsidP="004D39FC">
      <w:pPr>
        <w:pStyle w:val="subsection"/>
      </w:pPr>
      <w:r w:rsidRPr="001104F3">
        <w:tab/>
      </w:r>
      <w:r w:rsidRPr="001104F3">
        <w:tab/>
        <w:t xml:space="preserve">The </w:t>
      </w:r>
      <w:r w:rsidRPr="001104F3">
        <w:rPr>
          <w:b/>
          <w:i/>
        </w:rPr>
        <w:t>total asset size</w:t>
      </w:r>
      <w:r w:rsidRPr="001104F3">
        <w:t xml:space="preserve"> </w:t>
      </w:r>
      <w:r w:rsidR="00EB6F45" w:rsidRPr="001104F3">
        <w:t xml:space="preserve">of </w:t>
      </w:r>
      <w:r w:rsidRPr="001104F3">
        <w:t>an accountable entity that is a general insurer, at the start of a financial year of the accountable entity, is:</w:t>
      </w:r>
    </w:p>
    <w:p w14:paraId="3A86E901" w14:textId="77777777" w:rsidR="004D39FC" w:rsidRPr="001104F3" w:rsidRDefault="004D39FC" w:rsidP="004D39FC">
      <w:pPr>
        <w:pStyle w:val="paragraph"/>
      </w:pPr>
      <w:r w:rsidRPr="001104F3">
        <w:tab/>
        <w:t>(a)</w:t>
      </w:r>
      <w:r w:rsidRPr="001104F3">
        <w:tab/>
        <w:t>if, as at the start of that financial year, the accountable entity has submitted a final report for only one earlier financial year—the accountable entity’s total assets value in that final report; or</w:t>
      </w:r>
    </w:p>
    <w:p w14:paraId="3A86E902" w14:textId="77777777" w:rsidR="004D39FC" w:rsidRPr="001104F3" w:rsidRDefault="004D39FC" w:rsidP="004D39FC">
      <w:pPr>
        <w:pStyle w:val="paragraph"/>
      </w:pPr>
      <w:r w:rsidRPr="001104F3">
        <w:tab/>
        <w:t>(b)</w:t>
      </w:r>
      <w:r w:rsidRPr="001104F3">
        <w:tab/>
        <w:t>if, as at the start of that financial year, the accountable entity has submitted final reports for only 2 earlier financial years—the average of the total assets value in the final report for each of those financial years; or</w:t>
      </w:r>
    </w:p>
    <w:p w14:paraId="3A86E903" w14:textId="77777777" w:rsidR="004D39FC" w:rsidRPr="001104F3" w:rsidRDefault="004D39FC" w:rsidP="004D39FC">
      <w:pPr>
        <w:pStyle w:val="paragraph"/>
      </w:pPr>
      <w:r w:rsidRPr="001104F3">
        <w:tab/>
        <w:t>(c)</w:t>
      </w:r>
      <w:r w:rsidRPr="001104F3">
        <w:tab/>
        <w:t>if, as at the start of that financial year, the accountable entity has submitted final reports for 3 or more earlier financial years—the average of the total assets value in the final report for each of the 3 most recent of those financial years.</w:t>
      </w:r>
    </w:p>
    <w:p w14:paraId="3A86E904" w14:textId="77777777" w:rsidR="004D39FC" w:rsidRPr="001104F3" w:rsidRDefault="004D39FC" w:rsidP="004D39FC">
      <w:pPr>
        <w:pStyle w:val="notetext"/>
      </w:pPr>
      <w:r w:rsidRPr="001104F3">
        <w:t>Note:</w:t>
      </w:r>
      <w:r w:rsidRPr="001104F3">
        <w:tab/>
        <w:t xml:space="preserve">See section 8 of the Act for the definition of </w:t>
      </w:r>
      <w:r w:rsidRPr="001104F3">
        <w:rPr>
          <w:b/>
          <w:i/>
        </w:rPr>
        <w:t>financial year</w:t>
      </w:r>
      <w:r w:rsidRPr="001104F3">
        <w:t xml:space="preserve">, section </w:t>
      </w:r>
      <w:r w:rsidR="00E33EBD" w:rsidRPr="001104F3">
        <w:t>19</w:t>
      </w:r>
      <w:r w:rsidRPr="001104F3">
        <w:t xml:space="preserve"> of this instrument for the definition of</w:t>
      </w:r>
      <w:r w:rsidRPr="001104F3">
        <w:rPr>
          <w:b/>
          <w:i/>
        </w:rPr>
        <w:t xml:space="preserve"> final report</w:t>
      </w:r>
      <w:r w:rsidRPr="001104F3">
        <w:t xml:space="preserve"> and section </w:t>
      </w:r>
      <w:r w:rsidR="00E33EBD" w:rsidRPr="001104F3">
        <w:t>20</w:t>
      </w:r>
      <w:r w:rsidRPr="001104F3">
        <w:t xml:space="preserve"> of this instrument for the definition of </w:t>
      </w:r>
      <w:r w:rsidRPr="001104F3">
        <w:rPr>
          <w:b/>
          <w:i/>
        </w:rPr>
        <w:t>total assets value</w:t>
      </w:r>
      <w:r w:rsidRPr="001104F3">
        <w:t>.</w:t>
      </w:r>
    </w:p>
    <w:p w14:paraId="3A86E905" w14:textId="77777777" w:rsidR="004D39FC" w:rsidRPr="001104F3" w:rsidRDefault="00E33EBD" w:rsidP="004D39FC">
      <w:pPr>
        <w:pStyle w:val="ActHead5"/>
      </w:pPr>
      <w:bookmarkStart w:id="24" w:name="_Toc111453534"/>
      <w:r w:rsidRPr="00C77E56">
        <w:rPr>
          <w:rStyle w:val="CharSectno"/>
        </w:rPr>
        <w:t>19</w:t>
      </w:r>
      <w:r w:rsidR="004D39FC" w:rsidRPr="001104F3">
        <w:t xml:space="preserve">  Final report—general insurers</w:t>
      </w:r>
      <w:bookmarkEnd w:id="24"/>
    </w:p>
    <w:p w14:paraId="3A86E906" w14:textId="77777777" w:rsidR="00DA6D44" w:rsidRPr="001104F3" w:rsidRDefault="004D39FC" w:rsidP="00DA6D44">
      <w:pPr>
        <w:pStyle w:val="subsection"/>
      </w:pPr>
      <w:r w:rsidRPr="001104F3">
        <w:tab/>
      </w:r>
      <w:r w:rsidRPr="001104F3">
        <w:tab/>
        <w:t xml:space="preserve">A </w:t>
      </w:r>
      <w:r w:rsidRPr="001104F3">
        <w:rPr>
          <w:b/>
          <w:i/>
        </w:rPr>
        <w:t>final report</w:t>
      </w:r>
      <w:r w:rsidRPr="001104F3">
        <w:t>, in relation to an accountable entity that is a general insurer, means a report in relation to the accountable entity’s final reporting period in a financial year of the accountable entity that is submitted by the entity to APRA under</w:t>
      </w:r>
      <w:r w:rsidR="00DA6D44" w:rsidRPr="001104F3">
        <w:t xml:space="preserve"> </w:t>
      </w:r>
      <w:r w:rsidR="00DA6D44" w:rsidRPr="001104F3">
        <w:rPr>
          <w:iCs/>
          <w:color w:val="000000"/>
          <w:shd w:val="clear" w:color="auto" w:fill="FFFFFF"/>
        </w:rPr>
        <w:t>Reporting Standard GRS 300.0 Statement of Financial Position.</w:t>
      </w:r>
    </w:p>
    <w:p w14:paraId="3A86E907" w14:textId="77777777" w:rsidR="00C271C5" w:rsidRPr="001104F3" w:rsidRDefault="00C271C5" w:rsidP="00DA6D44">
      <w:pPr>
        <w:pStyle w:val="notetext"/>
      </w:pPr>
      <w:r w:rsidRPr="001104F3">
        <w:t>Note 1:</w:t>
      </w:r>
      <w:r w:rsidRPr="001104F3">
        <w:tab/>
        <w:t xml:space="preserve">See section 8 of the Act for the definition of </w:t>
      </w:r>
      <w:r w:rsidRPr="001104F3">
        <w:rPr>
          <w:b/>
          <w:i/>
        </w:rPr>
        <w:t>financial year</w:t>
      </w:r>
      <w:r w:rsidRPr="001104F3">
        <w:t>.</w:t>
      </w:r>
    </w:p>
    <w:p w14:paraId="3A86E908" w14:textId="77777777" w:rsidR="00C271C5" w:rsidRPr="001104F3" w:rsidRDefault="00C271C5" w:rsidP="00C271C5">
      <w:pPr>
        <w:pStyle w:val="notetext"/>
      </w:pPr>
      <w:r w:rsidRPr="001104F3">
        <w:t>Note 2:</w:t>
      </w:r>
      <w:r w:rsidRPr="001104F3">
        <w:tab/>
        <w:t>See also section </w:t>
      </w:r>
      <w:r w:rsidR="00E33EBD" w:rsidRPr="001104F3">
        <w:t>34</w:t>
      </w:r>
      <w:r w:rsidRPr="001104F3">
        <w:t xml:space="preserve"> of this instrument about Reporting Standards.</w:t>
      </w:r>
    </w:p>
    <w:p w14:paraId="3A86E909" w14:textId="77777777" w:rsidR="004D39FC" w:rsidRPr="001104F3" w:rsidRDefault="00E33EBD" w:rsidP="004D39FC">
      <w:pPr>
        <w:pStyle w:val="ActHead5"/>
        <w:spacing w:before="180"/>
        <w:ind w:left="0" w:firstLine="0"/>
      </w:pPr>
      <w:bookmarkStart w:id="25" w:name="_Toc111453535"/>
      <w:r w:rsidRPr="00C77E56">
        <w:rPr>
          <w:rStyle w:val="CharSectno"/>
        </w:rPr>
        <w:lastRenderedPageBreak/>
        <w:t>20</w:t>
      </w:r>
      <w:r w:rsidR="004D39FC" w:rsidRPr="001104F3">
        <w:t xml:space="preserve">  Total assets value—general insurers</w:t>
      </w:r>
      <w:bookmarkEnd w:id="25"/>
    </w:p>
    <w:p w14:paraId="3A86E90A" w14:textId="77777777" w:rsidR="004D39FC" w:rsidRPr="001104F3" w:rsidRDefault="004D39FC" w:rsidP="004D39FC">
      <w:pPr>
        <w:pStyle w:val="subsection"/>
      </w:pPr>
      <w:r w:rsidRPr="001104F3">
        <w:tab/>
      </w:r>
      <w:r w:rsidRPr="001104F3">
        <w:tab/>
        <w:t xml:space="preserve">The </w:t>
      </w:r>
      <w:r w:rsidRPr="001104F3">
        <w:rPr>
          <w:b/>
          <w:i/>
        </w:rPr>
        <w:t>total assets value</w:t>
      </w:r>
      <w:r w:rsidRPr="001104F3">
        <w:t xml:space="preserve"> </w:t>
      </w:r>
      <w:r w:rsidR="00F7359E" w:rsidRPr="001104F3">
        <w:t xml:space="preserve">in a final report </w:t>
      </w:r>
      <w:r w:rsidRPr="001104F3">
        <w:t>of an accountable entity that is a general insurer</w:t>
      </w:r>
      <w:r w:rsidR="00F7359E" w:rsidRPr="001104F3">
        <w:t xml:space="preserve"> </w:t>
      </w:r>
      <w:r w:rsidRPr="001104F3">
        <w:t>is the amount reported in item 1</w:t>
      </w:r>
      <w:r w:rsidR="00C50D53" w:rsidRPr="001104F3">
        <w:t>3</w:t>
      </w:r>
      <w:r w:rsidRPr="001104F3">
        <w:t xml:space="preserve"> Total assets in </w:t>
      </w:r>
      <w:r w:rsidR="00C50D53" w:rsidRPr="001104F3">
        <w:rPr>
          <w:color w:val="000000"/>
          <w:shd w:val="clear" w:color="auto" w:fill="FFFFFF"/>
        </w:rPr>
        <w:t>Form GRF 300.0</w:t>
      </w:r>
      <w:r w:rsidRPr="001104F3">
        <w:t xml:space="preserve"> in </w:t>
      </w:r>
      <w:r w:rsidR="001B61C4" w:rsidRPr="001104F3">
        <w:rPr>
          <w:iCs/>
          <w:color w:val="000000"/>
          <w:shd w:val="clear" w:color="auto" w:fill="FFFFFF"/>
        </w:rPr>
        <w:t>Reporting Standard GRS 300.0 Statement of Financial Position</w:t>
      </w:r>
      <w:r w:rsidRPr="001104F3">
        <w:t>.</w:t>
      </w:r>
    </w:p>
    <w:p w14:paraId="3A86E90B" w14:textId="77777777" w:rsidR="00A224C6" w:rsidRPr="001104F3" w:rsidRDefault="004731B3" w:rsidP="00A224C6">
      <w:pPr>
        <w:pStyle w:val="ActHead3"/>
        <w:pageBreakBefore/>
      </w:pPr>
      <w:bookmarkStart w:id="26" w:name="_Toc111453536"/>
      <w:r w:rsidRPr="00C77E56">
        <w:rPr>
          <w:rStyle w:val="CharDivNo"/>
        </w:rPr>
        <w:lastRenderedPageBreak/>
        <w:t>Division 3</w:t>
      </w:r>
      <w:r w:rsidR="00A224C6" w:rsidRPr="001104F3">
        <w:t>—</w:t>
      </w:r>
      <w:r w:rsidR="00A224C6" w:rsidRPr="00C77E56">
        <w:rPr>
          <w:rStyle w:val="CharDivText"/>
        </w:rPr>
        <w:t>Accountable entities that are life companies</w:t>
      </w:r>
      <w:bookmarkEnd w:id="26"/>
    </w:p>
    <w:p w14:paraId="3A86E90C" w14:textId="77777777" w:rsidR="00B72B5D" w:rsidRPr="001104F3" w:rsidRDefault="00E33EBD" w:rsidP="00B72B5D">
      <w:pPr>
        <w:pStyle w:val="ActHead5"/>
      </w:pPr>
      <w:bookmarkStart w:id="27" w:name="_Toc111453537"/>
      <w:r w:rsidRPr="00C77E56">
        <w:rPr>
          <w:rStyle w:val="CharSectno"/>
        </w:rPr>
        <w:t>21</w:t>
      </w:r>
      <w:r w:rsidR="00F54387" w:rsidRPr="001104F3">
        <w:t xml:space="preserve">  </w:t>
      </w:r>
      <w:r w:rsidR="00A25748" w:rsidRPr="001104F3">
        <w:t>Determining when accountable entity meets enhanced notification threshold—life companies</w:t>
      </w:r>
      <w:bookmarkEnd w:id="27"/>
    </w:p>
    <w:p w14:paraId="3A86E90D" w14:textId="77777777" w:rsidR="00F54387" w:rsidRPr="001104F3" w:rsidRDefault="00F54387" w:rsidP="00B72B5D">
      <w:pPr>
        <w:pStyle w:val="subsection"/>
      </w:pPr>
      <w:r w:rsidRPr="001104F3">
        <w:tab/>
        <w:t>(1)</w:t>
      </w:r>
      <w:r w:rsidRPr="001104F3">
        <w:tab/>
        <w:t xml:space="preserve">For the purposes of </w:t>
      </w:r>
      <w:r w:rsidR="00025221" w:rsidRPr="001104F3">
        <w:t>subsection 3</w:t>
      </w:r>
      <w:r w:rsidRPr="001104F3">
        <w:t>1(3) of the Act, this section sets out how to determine when an accountable entity that is a life company meets the enhanced notification threshold.</w:t>
      </w:r>
    </w:p>
    <w:p w14:paraId="3A86E90E" w14:textId="77777777" w:rsidR="00F54387" w:rsidRPr="001104F3" w:rsidRDefault="00F54387" w:rsidP="00F54387">
      <w:pPr>
        <w:pStyle w:val="subsection"/>
      </w:pPr>
      <w:r w:rsidRPr="001104F3">
        <w:tab/>
        <w:t>(2)</w:t>
      </w:r>
      <w:r w:rsidRPr="001104F3">
        <w:tab/>
        <w:t xml:space="preserve">The accountable entity meets the enhanced notification threshold at a particular time </w:t>
      </w:r>
      <w:r w:rsidR="00914E5E" w:rsidRPr="001104F3">
        <w:t>during a financial year of the accountable entity, if, at the start of the financial year,</w:t>
      </w:r>
      <w:r w:rsidRPr="001104F3">
        <w:rPr>
          <w:i/>
        </w:rPr>
        <w:t xml:space="preserve"> </w:t>
      </w:r>
      <w:r w:rsidR="00C271C5" w:rsidRPr="001104F3">
        <w:t>its total asset size</w:t>
      </w:r>
      <w:r w:rsidRPr="001104F3">
        <w:t xml:space="preserve"> </w:t>
      </w:r>
      <w:r w:rsidR="00E5436C" w:rsidRPr="001104F3">
        <w:t xml:space="preserve">equals or </w:t>
      </w:r>
      <w:r w:rsidRPr="001104F3">
        <w:t>exceeds $4 billion.</w:t>
      </w:r>
    </w:p>
    <w:p w14:paraId="3A86E90F" w14:textId="77777777" w:rsidR="00C271C5" w:rsidRPr="001104F3" w:rsidRDefault="00C271C5" w:rsidP="00C271C5">
      <w:pPr>
        <w:pStyle w:val="notetext"/>
      </w:pPr>
      <w:r w:rsidRPr="001104F3">
        <w:t>Note 1:</w:t>
      </w:r>
      <w:r w:rsidRPr="001104F3">
        <w:tab/>
        <w:t xml:space="preserve">See section 8 of the Act for the definition of </w:t>
      </w:r>
      <w:r w:rsidRPr="001104F3">
        <w:rPr>
          <w:b/>
          <w:i/>
        </w:rPr>
        <w:t>financial year</w:t>
      </w:r>
      <w:r w:rsidRPr="001104F3">
        <w:t xml:space="preserve"> and section </w:t>
      </w:r>
      <w:r w:rsidR="00E33EBD" w:rsidRPr="001104F3">
        <w:t>22</w:t>
      </w:r>
      <w:r w:rsidR="00011C5C" w:rsidRPr="001104F3">
        <w:t xml:space="preserve"> of this instrument</w:t>
      </w:r>
      <w:r w:rsidRPr="001104F3">
        <w:t xml:space="preserve"> for the definition of </w:t>
      </w:r>
      <w:r w:rsidRPr="001104F3">
        <w:rPr>
          <w:b/>
          <w:i/>
        </w:rPr>
        <w:t>total asset size</w:t>
      </w:r>
      <w:r w:rsidRPr="001104F3">
        <w:t>.</w:t>
      </w:r>
    </w:p>
    <w:p w14:paraId="3A86E910" w14:textId="77777777" w:rsidR="007C3E07" w:rsidRPr="001104F3" w:rsidRDefault="007C3E07" w:rsidP="007C3E07">
      <w:pPr>
        <w:pStyle w:val="notetext"/>
      </w:pPr>
      <w:r w:rsidRPr="001104F3">
        <w:t>Note 2:</w:t>
      </w:r>
      <w:r w:rsidRPr="001104F3">
        <w:tab/>
        <w:t xml:space="preserve">If an accountable entity meets the enhanced notification threshold under this subsection, any other accountable entity that is in the same corporate group is also taken to meet the enhanced notification threshold: see section </w:t>
      </w:r>
      <w:r w:rsidR="00E33EBD" w:rsidRPr="001104F3">
        <w:t>33</w:t>
      </w:r>
      <w:r w:rsidRPr="001104F3">
        <w:t>.</w:t>
      </w:r>
    </w:p>
    <w:p w14:paraId="3A86E911" w14:textId="77777777" w:rsidR="00C271C5" w:rsidRPr="001104F3" w:rsidRDefault="00E33EBD" w:rsidP="00C271C5">
      <w:pPr>
        <w:pStyle w:val="ActHead5"/>
      </w:pPr>
      <w:bookmarkStart w:id="28" w:name="_Toc111453538"/>
      <w:r w:rsidRPr="00C77E56">
        <w:rPr>
          <w:rStyle w:val="CharSectno"/>
        </w:rPr>
        <w:t>22</w:t>
      </w:r>
      <w:r w:rsidR="00C271C5" w:rsidRPr="001104F3">
        <w:t xml:space="preserve">  Total asset size—life companies</w:t>
      </w:r>
      <w:bookmarkEnd w:id="28"/>
    </w:p>
    <w:p w14:paraId="3A86E912" w14:textId="77777777" w:rsidR="00C271C5" w:rsidRPr="001104F3" w:rsidRDefault="00C271C5" w:rsidP="00C271C5">
      <w:pPr>
        <w:pStyle w:val="subsection"/>
      </w:pPr>
      <w:r w:rsidRPr="001104F3">
        <w:tab/>
      </w:r>
      <w:r w:rsidRPr="001104F3">
        <w:tab/>
        <w:t xml:space="preserve">The </w:t>
      </w:r>
      <w:r w:rsidRPr="001104F3">
        <w:rPr>
          <w:b/>
          <w:i/>
        </w:rPr>
        <w:t>total asset size</w:t>
      </w:r>
      <w:r w:rsidRPr="001104F3">
        <w:t xml:space="preserve"> </w:t>
      </w:r>
      <w:r w:rsidR="00011C5C" w:rsidRPr="001104F3">
        <w:t xml:space="preserve">of </w:t>
      </w:r>
      <w:r w:rsidRPr="001104F3">
        <w:t>an accountable entity that is a life company, at the start of a financial year of the accountable entity, is:</w:t>
      </w:r>
    </w:p>
    <w:p w14:paraId="3A86E913" w14:textId="77777777" w:rsidR="00C271C5" w:rsidRPr="001104F3" w:rsidRDefault="00C271C5" w:rsidP="00C271C5">
      <w:pPr>
        <w:pStyle w:val="paragraph"/>
      </w:pPr>
      <w:r w:rsidRPr="001104F3">
        <w:tab/>
        <w:t>(a)</w:t>
      </w:r>
      <w:r w:rsidRPr="001104F3">
        <w:tab/>
        <w:t>if, as at the start of that financial year, the accountable entity has submitted a final report for only one earlier financial year—the accountable entity’s total assets value in that final report; or</w:t>
      </w:r>
    </w:p>
    <w:p w14:paraId="3A86E914" w14:textId="77777777" w:rsidR="00C271C5" w:rsidRPr="001104F3" w:rsidRDefault="00C271C5" w:rsidP="00C271C5">
      <w:pPr>
        <w:pStyle w:val="paragraph"/>
      </w:pPr>
      <w:r w:rsidRPr="001104F3">
        <w:tab/>
        <w:t>(b)</w:t>
      </w:r>
      <w:r w:rsidRPr="001104F3">
        <w:tab/>
        <w:t>if, as at the start of that financial year, the accountable entity has submitted final reports for only 2 earlier financial years—the average of the total assets value in the final report for each of those financial years; or</w:t>
      </w:r>
    </w:p>
    <w:p w14:paraId="3A86E915" w14:textId="77777777" w:rsidR="00C271C5" w:rsidRPr="001104F3" w:rsidRDefault="00C271C5" w:rsidP="00C271C5">
      <w:pPr>
        <w:pStyle w:val="paragraph"/>
      </w:pPr>
      <w:r w:rsidRPr="001104F3">
        <w:tab/>
        <w:t>(c)</w:t>
      </w:r>
      <w:r w:rsidRPr="001104F3">
        <w:tab/>
        <w:t>if, as at the start of that financial year, the accountable entity has submitted final reports for 3 or more earlier financial years—the average of the total assets value in the final report for each of the 3 most recent of those financial years.</w:t>
      </w:r>
    </w:p>
    <w:p w14:paraId="3A86E916" w14:textId="77777777" w:rsidR="00C271C5" w:rsidRPr="001104F3" w:rsidRDefault="00C271C5" w:rsidP="00C271C5">
      <w:pPr>
        <w:pStyle w:val="notetext"/>
      </w:pPr>
      <w:r w:rsidRPr="001104F3">
        <w:t>Note:</w:t>
      </w:r>
      <w:r w:rsidRPr="001104F3">
        <w:tab/>
        <w:t xml:space="preserve">See section 8 of the Act for the definition of </w:t>
      </w:r>
      <w:r w:rsidRPr="001104F3">
        <w:rPr>
          <w:b/>
          <w:i/>
        </w:rPr>
        <w:t>financial year</w:t>
      </w:r>
      <w:r w:rsidRPr="001104F3">
        <w:t xml:space="preserve">, section </w:t>
      </w:r>
      <w:r w:rsidR="00E33EBD" w:rsidRPr="001104F3">
        <w:t>23</w:t>
      </w:r>
      <w:r w:rsidRPr="001104F3">
        <w:t xml:space="preserve"> of this instrument for the definition of</w:t>
      </w:r>
      <w:r w:rsidRPr="001104F3">
        <w:rPr>
          <w:b/>
          <w:i/>
        </w:rPr>
        <w:t xml:space="preserve"> final report</w:t>
      </w:r>
      <w:r w:rsidRPr="001104F3">
        <w:t xml:space="preserve"> and section </w:t>
      </w:r>
      <w:r w:rsidR="00E33EBD" w:rsidRPr="001104F3">
        <w:t>24</w:t>
      </w:r>
      <w:r w:rsidRPr="001104F3">
        <w:t xml:space="preserve"> of this instrument for the definition of </w:t>
      </w:r>
      <w:r w:rsidRPr="001104F3">
        <w:rPr>
          <w:b/>
          <w:i/>
        </w:rPr>
        <w:t>total assets value</w:t>
      </w:r>
      <w:r w:rsidRPr="001104F3">
        <w:t>.</w:t>
      </w:r>
    </w:p>
    <w:p w14:paraId="3A86E917" w14:textId="77777777" w:rsidR="00C271C5" w:rsidRPr="001104F3" w:rsidRDefault="00E33EBD" w:rsidP="00C271C5">
      <w:pPr>
        <w:pStyle w:val="ActHead5"/>
      </w:pPr>
      <w:bookmarkStart w:id="29" w:name="_Toc111453539"/>
      <w:r w:rsidRPr="00C77E56">
        <w:rPr>
          <w:rStyle w:val="CharSectno"/>
        </w:rPr>
        <w:t>23</w:t>
      </w:r>
      <w:r w:rsidR="00C271C5" w:rsidRPr="001104F3">
        <w:t xml:space="preserve">  Final report—life companies</w:t>
      </w:r>
      <w:bookmarkEnd w:id="29"/>
    </w:p>
    <w:p w14:paraId="3A86E918" w14:textId="77777777" w:rsidR="00C50D53" w:rsidRPr="001104F3" w:rsidRDefault="00C271C5" w:rsidP="00C50D53">
      <w:pPr>
        <w:pStyle w:val="subsection"/>
        <w:rPr>
          <w:i/>
          <w:iCs/>
          <w:color w:val="000000"/>
          <w:shd w:val="clear" w:color="auto" w:fill="FFFFFF"/>
        </w:rPr>
      </w:pPr>
      <w:r w:rsidRPr="001104F3">
        <w:tab/>
      </w:r>
      <w:r w:rsidRPr="001104F3">
        <w:tab/>
        <w:t xml:space="preserve">A </w:t>
      </w:r>
      <w:r w:rsidRPr="001104F3">
        <w:rPr>
          <w:b/>
          <w:i/>
        </w:rPr>
        <w:t>final report</w:t>
      </w:r>
      <w:r w:rsidRPr="001104F3">
        <w:t>, in relation to an accountable entity that is a life company, means a report in relation to the accountable entity’s final reporting period in a financial year of the accountable entity that is submitted by the entity to APRA under</w:t>
      </w:r>
      <w:r w:rsidR="00C50D53" w:rsidRPr="001104F3">
        <w:t xml:space="preserve"> </w:t>
      </w:r>
      <w:r w:rsidR="00C50D53" w:rsidRPr="001104F3">
        <w:rPr>
          <w:iCs/>
          <w:color w:val="000000"/>
          <w:shd w:val="clear" w:color="auto" w:fill="FFFFFF"/>
        </w:rPr>
        <w:t>Reporting Standard LRS 300.0 Statement of Financial Position.</w:t>
      </w:r>
    </w:p>
    <w:p w14:paraId="3A86E919" w14:textId="77777777" w:rsidR="00C271C5" w:rsidRPr="001104F3" w:rsidRDefault="00C271C5" w:rsidP="00C50D53">
      <w:pPr>
        <w:pStyle w:val="notetext"/>
      </w:pPr>
      <w:r w:rsidRPr="001104F3">
        <w:t>Note 1:</w:t>
      </w:r>
      <w:r w:rsidRPr="001104F3">
        <w:tab/>
        <w:t xml:space="preserve">See section 8 of the Act for the definition of </w:t>
      </w:r>
      <w:r w:rsidRPr="001104F3">
        <w:rPr>
          <w:b/>
          <w:i/>
        </w:rPr>
        <w:t>financial year</w:t>
      </w:r>
      <w:r w:rsidRPr="001104F3">
        <w:t>.</w:t>
      </w:r>
    </w:p>
    <w:p w14:paraId="3A86E91A" w14:textId="77777777" w:rsidR="00C271C5" w:rsidRPr="001104F3" w:rsidRDefault="00C271C5" w:rsidP="00C271C5">
      <w:pPr>
        <w:pStyle w:val="notetext"/>
      </w:pPr>
      <w:r w:rsidRPr="001104F3">
        <w:t>Note 2:</w:t>
      </w:r>
      <w:r w:rsidRPr="001104F3">
        <w:tab/>
        <w:t>See also section </w:t>
      </w:r>
      <w:r w:rsidR="00E33EBD" w:rsidRPr="001104F3">
        <w:t>34</w:t>
      </w:r>
      <w:r w:rsidRPr="001104F3">
        <w:t xml:space="preserve"> of this instrument about Reporting Standards.</w:t>
      </w:r>
    </w:p>
    <w:p w14:paraId="3A86E91B" w14:textId="77777777" w:rsidR="00C271C5" w:rsidRPr="001104F3" w:rsidRDefault="00E33EBD" w:rsidP="00C271C5">
      <w:pPr>
        <w:pStyle w:val="ActHead5"/>
        <w:spacing w:before="180"/>
        <w:ind w:left="0" w:firstLine="0"/>
      </w:pPr>
      <w:bookmarkStart w:id="30" w:name="_Toc111453540"/>
      <w:r w:rsidRPr="00C77E56">
        <w:rPr>
          <w:rStyle w:val="CharSectno"/>
        </w:rPr>
        <w:lastRenderedPageBreak/>
        <w:t>24</w:t>
      </w:r>
      <w:r w:rsidR="00C271C5" w:rsidRPr="001104F3">
        <w:t xml:space="preserve">  Total assets value—life companies</w:t>
      </w:r>
      <w:bookmarkEnd w:id="30"/>
    </w:p>
    <w:p w14:paraId="3A86E91C" w14:textId="77777777" w:rsidR="001B61C4" w:rsidRPr="001104F3" w:rsidRDefault="00C271C5" w:rsidP="00C271C5">
      <w:pPr>
        <w:pStyle w:val="subsection"/>
      </w:pPr>
      <w:r w:rsidRPr="001104F3">
        <w:tab/>
      </w:r>
      <w:r w:rsidRPr="001104F3">
        <w:tab/>
        <w:t xml:space="preserve">The </w:t>
      </w:r>
      <w:r w:rsidRPr="001104F3">
        <w:rPr>
          <w:b/>
          <w:i/>
        </w:rPr>
        <w:t>total assets value</w:t>
      </w:r>
      <w:r w:rsidRPr="001104F3">
        <w:t xml:space="preserve"> </w:t>
      </w:r>
      <w:r w:rsidR="00F7359E" w:rsidRPr="001104F3">
        <w:t xml:space="preserve">in a final report </w:t>
      </w:r>
      <w:r w:rsidRPr="001104F3">
        <w:t>of an accountable entity that is a life company</w:t>
      </w:r>
      <w:r w:rsidR="00F7359E" w:rsidRPr="001104F3">
        <w:t xml:space="preserve"> </w:t>
      </w:r>
      <w:r w:rsidRPr="001104F3">
        <w:t>is the amount reported in item 1</w:t>
      </w:r>
      <w:r w:rsidR="001B61C4" w:rsidRPr="001104F3">
        <w:t>2</w:t>
      </w:r>
      <w:r w:rsidRPr="001104F3">
        <w:t xml:space="preserve"> Total assets in </w:t>
      </w:r>
      <w:r w:rsidR="001B61C4" w:rsidRPr="001104F3">
        <w:rPr>
          <w:iCs/>
          <w:color w:val="000000"/>
        </w:rPr>
        <w:t>Form LRF 300.2 </w:t>
      </w:r>
      <w:r w:rsidRPr="001104F3">
        <w:t xml:space="preserve">in </w:t>
      </w:r>
      <w:r w:rsidR="00C50D53" w:rsidRPr="001104F3">
        <w:rPr>
          <w:iCs/>
          <w:color w:val="000000"/>
          <w:shd w:val="clear" w:color="auto" w:fill="FFFFFF"/>
        </w:rPr>
        <w:t>Reporting Standard LRS 300.0 Statement of Financial Position</w:t>
      </w:r>
      <w:r w:rsidRPr="001104F3">
        <w:t>.</w:t>
      </w:r>
    </w:p>
    <w:p w14:paraId="3A86E91D" w14:textId="77777777" w:rsidR="00A224C6" w:rsidRPr="001104F3" w:rsidRDefault="004731B3" w:rsidP="00A224C6">
      <w:pPr>
        <w:pStyle w:val="ActHead3"/>
        <w:pageBreakBefore/>
      </w:pPr>
      <w:bookmarkStart w:id="31" w:name="_Toc111453541"/>
      <w:r w:rsidRPr="00C77E56">
        <w:rPr>
          <w:rStyle w:val="CharDivNo"/>
        </w:rPr>
        <w:lastRenderedPageBreak/>
        <w:t>Division 4</w:t>
      </w:r>
      <w:r w:rsidR="00A224C6" w:rsidRPr="001104F3">
        <w:t>—</w:t>
      </w:r>
      <w:r w:rsidR="00A224C6" w:rsidRPr="00C77E56">
        <w:rPr>
          <w:rStyle w:val="CharDivText"/>
        </w:rPr>
        <w:t>Accountable entities that are private health insurers</w:t>
      </w:r>
      <w:bookmarkEnd w:id="31"/>
    </w:p>
    <w:p w14:paraId="3A86E91E" w14:textId="77777777" w:rsidR="00F54387" w:rsidRPr="001104F3" w:rsidRDefault="00E33EBD" w:rsidP="00B72B5D">
      <w:pPr>
        <w:pStyle w:val="ActHead5"/>
      </w:pPr>
      <w:bookmarkStart w:id="32" w:name="_Toc111453542"/>
      <w:r w:rsidRPr="00C77E56">
        <w:rPr>
          <w:rStyle w:val="CharSectno"/>
        </w:rPr>
        <w:t>25</w:t>
      </w:r>
      <w:r w:rsidR="00F54387" w:rsidRPr="001104F3">
        <w:t xml:space="preserve">  </w:t>
      </w:r>
      <w:r w:rsidR="00A25748" w:rsidRPr="001104F3">
        <w:t>Determining when accountable entity meets enhanced notification threshold—private health insurers</w:t>
      </w:r>
      <w:bookmarkEnd w:id="32"/>
    </w:p>
    <w:p w14:paraId="3A86E91F" w14:textId="77777777" w:rsidR="00F54387" w:rsidRPr="001104F3" w:rsidRDefault="00F54387" w:rsidP="00F54387">
      <w:pPr>
        <w:pStyle w:val="subsection"/>
      </w:pPr>
      <w:r w:rsidRPr="001104F3">
        <w:tab/>
        <w:t>(1)</w:t>
      </w:r>
      <w:r w:rsidRPr="001104F3">
        <w:tab/>
        <w:t xml:space="preserve">For the purposes of </w:t>
      </w:r>
      <w:r w:rsidR="00025221" w:rsidRPr="001104F3">
        <w:t>subsection 3</w:t>
      </w:r>
      <w:r w:rsidRPr="001104F3">
        <w:t xml:space="preserve">1(3) of the Act, this section sets out how to determine when an accountable entity that is a </w:t>
      </w:r>
      <w:r w:rsidR="00446D2F" w:rsidRPr="001104F3">
        <w:t>private health insurer</w:t>
      </w:r>
      <w:r w:rsidRPr="001104F3">
        <w:t xml:space="preserve"> meets the enhanced notification threshold.</w:t>
      </w:r>
    </w:p>
    <w:p w14:paraId="3A86E920" w14:textId="77777777" w:rsidR="00F54387" w:rsidRPr="001104F3" w:rsidRDefault="00F54387" w:rsidP="00F54387">
      <w:pPr>
        <w:pStyle w:val="subsection"/>
      </w:pPr>
      <w:r w:rsidRPr="001104F3">
        <w:tab/>
        <w:t>(2)</w:t>
      </w:r>
      <w:r w:rsidRPr="001104F3">
        <w:tab/>
        <w:t xml:space="preserve">The accountable entity meets the enhanced notification threshold at a particular time </w:t>
      </w:r>
      <w:r w:rsidR="00914E5E" w:rsidRPr="001104F3">
        <w:t xml:space="preserve">during a financial year of the accountable entity, if, at the start of the financial year, </w:t>
      </w:r>
      <w:r w:rsidR="00C271C5" w:rsidRPr="001104F3">
        <w:t>its total asset size</w:t>
      </w:r>
      <w:r w:rsidRPr="001104F3">
        <w:t xml:space="preserve"> </w:t>
      </w:r>
      <w:r w:rsidR="00E5436C" w:rsidRPr="001104F3">
        <w:t xml:space="preserve">equals or </w:t>
      </w:r>
      <w:r w:rsidRPr="001104F3">
        <w:t>exceeds $2 billion.</w:t>
      </w:r>
    </w:p>
    <w:p w14:paraId="3A86E921" w14:textId="77777777" w:rsidR="00C271C5" w:rsidRPr="001104F3" w:rsidRDefault="00C271C5" w:rsidP="00C271C5">
      <w:pPr>
        <w:pStyle w:val="notetext"/>
      </w:pPr>
      <w:r w:rsidRPr="001104F3">
        <w:t>Note 1:</w:t>
      </w:r>
      <w:r w:rsidRPr="001104F3">
        <w:tab/>
        <w:t xml:space="preserve">See section 8 of the Act for the definition of </w:t>
      </w:r>
      <w:r w:rsidRPr="001104F3">
        <w:rPr>
          <w:b/>
          <w:i/>
        </w:rPr>
        <w:t>financial year</w:t>
      </w:r>
      <w:r w:rsidRPr="001104F3">
        <w:t xml:space="preserve"> and section </w:t>
      </w:r>
      <w:r w:rsidR="00E33EBD" w:rsidRPr="001104F3">
        <w:t>26</w:t>
      </w:r>
      <w:r w:rsidR="00011C5C" w:rsidRPr="001104F3">
        <w:t xml:space="preserve"> of this instrument</w:t>
      </w:r>
      <w:r w:rsidRPr="001104F3">
        <w:t xml:space="preserve"> for the definition of </w:t>
      </w:r>
      <w:r w:rsidRPr="001104F3">
        <w:rPr>
          <w:b/>
          <w:i/>
        </w:rPr>
        <w:t>total asset size</w:t>
      </w:r>
      <w:r w:rsidRPr="001104F3">
        <w:t>.</w:t>
      </w:r>
    </w:p>
    <w:p w14:paraId="3A86E922" w14:textId="77777777" w:rsidR="007C3E07" w:rsidRPr="001104F3" w:rsidRDefault="007C3E07" w:rsidP="007C3E07">
      <w:pPr>
        <w:pStyle w:val="notetext"/>
      </w:pPr>
      <w:r w:rsidRPr="001104F3">
        <w:t>Note 2:</w:t>
      </w:r>
      <w:r w:rsidRPr="001104F3">
        <w:tab/>
        <w:t xml:space="preserve">If an accountable entity meets the enhanced notification threshold under this subsection, any other accountable entity that is in the same corporate group is also taken to meet the enhanced notification threshold: see section </w:t>
      </w:r>
      <w:r w:rsidR="00E33EBD" w:rsidRPr="001104F3">
        <w:t>33</w:t>
      </w:r>
      <w:r w:rsidRPr="001104F3">
        <w:t>.</w:t>
      </w:r>
    </w:p>
    <w:p w14:paraId="3A86E923" w14:textId="77777777" w:rsidR="00C271C5" w:rsidRPr="001104F3" w:rsidRDefault="00E33EBD" w:rsidP="00C271C5">
      <w:pPr>
        <w:pStyle w:val="ActHead5"/>
      </w:pPr>
      <w:bookmarkStart w:id="33" w:name="_Toc111453543"/>
      <w:r w:rsidRPr="00C77E56">
        <w:rPr>
          <w:rStyle w:val="CharSectno"/>
        </w:rPr>
        <w:t>26</w:t>
      </w:r>
      <w:r w:rsidR="00C271C5" w:rsidRPr="001104F3">
        <w:t xml:space="preserve">  Total asset size—private health insurers</w:t>
      </w:r>
      <w:bookmarkEnd w:id="33"/>
    </w:p>
    <w:p w14:paraId="3A86E924" w14:textId="77777777" w:rsidR="00C271C5" w:rsidRPr="001104F3" w:rsidRDefault="00C271C5" w:rsidP="00C271C5">
      <w:pPr>
        <w:pStyle w:val="subsection"/>
      </w:pPr>
      <w:r w:rsidRPr="001104F3">
        <w:tab/>
      </w:r>
      <w:r w:rsidRPr="001104F3">
        <w:tab/>
        <w:t xml:space="preserve">The </w:t>
      </w:r>
      <w:r w:rsidRPr="001104F3">
        <w:rPr>
          <w:b/>
          <w:i/>
        </w:rPr>
        <w:t>total asset size</w:t>
      </w:r>
      <w:r w:rsidRPr="001104F3">
        <w:t xml:space="preserve"> </w:t>
      </w:r>
      <w:r w:rsidR="00011C5C" w:rsidRPr="001104F3">
        <w:t xml:space="preserve">of </w:t>
      </w:r>
      <w:r w:rsidRPr="001104F3">
        <w:t>an accountable entity that is a private health insurer, at the start of a financial year of the accountable entity, is:</w:t>
      </w:r>
    </w:p>
    <w:p w14:paraId="3A86E925" w14:textId="77777777" w:rsidR="00C271C5" w:rsidRPr="001104F3" w:rsidRDefault="00C271C5" w:rsidP="00C271C5">
      <w:pPr>
        <w:pStyle w:val="paragraph"/>
      </w:pPr>
      <w:r w:rsidRPr="001104F3">
        <w:tab/>
        <w:t>(a)</w:t>
      </w:r>
      <w:r w:rsidRPr="001104F3">
        <w:tab/>
        <w:t>if, as at the start of that financial year, the accountable entity has submitted a final report for only one earlier financial year—the accountable entity’s total assets value in that final report; or</w:t>
      </w:r>
    </w:p>
    <w:p w14:paraId="3A86E926" w14:textId="77777777" w:rsidR="00C271C5" w:rsidRPr="001104F3" w:rsidRDefault="00C271C5" w:rsidP="00C271C5">
      <w:pPr>
        <w:pStyle w:val="paragraph"/>
      </w:pPr>
      <w:r w:rsidRPr="001104F3">
        <w:tab/>
        <w:t>(b)</w:t>
      </w:r>
      <w:r w:rsidRPr="001104F3">
        <w:tab/>
        <w:t>if, as at the start of that financial year, the accountable entity has submitted final reports for only 2 earlier financial years—the average of the total assets value in the final report for each of those financial years; or</w:t>
      </w:r>
    </w:p>
    <w:p w14:paraId="3A86E927" w14:textId="77777777" w:rsidR="00C271C5" w:rsidRPr="001104F3" w:rsidRDefault="00C271C5" w:rsidP="00C271C5">
      <w:pPr>
        <w:pStyle w:val="paragraph"/>
      </w:pPr>
      <w:r w:rsidRPr="001104F3">
        <w:tab/>
        <w:t>(c)</w:t>
      </w:r>
      <w:r w:rsidRPr="001104F3">
        <w:tab/>
        <w:t>if, as at the start of that financial year, the accountable entity has submitted final reports for 3 or more earlier financial years—the average of the total assets value in the final report for each of the 3 most recent of those financial years.</w:t>
      </w:r>
    </w:p>
    <w:p w14:paraId="3A86E928" w14:textId="77777777" w:rsidR="00C271C5" w:rsidRPr="001104F3" w:rsidRDefault="00C271C5" w:rsidP="00C271C5">
      <w:pPr>
        <w:pStyle w:val="notetext"/>
      </w:pPr>
      <w:r w:rsidRPr="001104F3">
        <w:t>Note:</w:t>
      </w:r>
      <w:r w:rsidRPr="001104F3">
        <w:tab/>
        <w:t xml:space="preserve">See section 8 of the Act for the definition of </w:t>
      </w:r>
      <w:r w:rsidRPr="001104F3">
        <w:rPr>
          <w:b/>
          <w:i/>
        </w:rPr>
        <w:t>financial year</w:t>
      </w:r>
      <w:r w:rsidRPr="001104F3">
        <w:t xml:space="preserve">, section </w:t>
      </w:r>
      <w:r w:rsidR="00E33EBD" w:rsidRPr="001104F3">
        <w:t>27</w:t>
      </w:r>
      <w:r w:rsidRPr="001104F3">
        <w:t xml:space="preserve"> of this instrument for the definition of</w:t>
      </w:r>
      <w:r w:rsidRPr="001104F3">
        <w:rPr>
          <w:b/>
          <w:i/>
        </w:rPr>
        <w:t xml:space="preserve"> final report</w:t>
      </w:r>
      <w:r w:rsidRPr="001104F3">
        <w:t xml:space="preserve"> and section </w:t>
      </w:r>
      <w:r w:rsidR="00E33EBD" w:rsidRPr="001104F3">
        <w:t>28</w:t>
      </w:r>
      <w:r w:rsidRPr="001104F3">
        <w:t xml:space="preserve"> of this instrument for the definition of </w:t>
      </w:r>
      <w:r w:rsidRPr="001104F3">
        <w:rPr>
          <w:b/>
          <w:i/>
        </w:rPr>
        <w:t>total assets value</w:t>
      </w:r>
      <w:r w:rsidRPr="001104F3">
        <w:t>.</w:t>
      </w:r>
    </w:p>
    <w:p w14:paraId="3A86E929" w14:textId="77777777" w:rsidR="00C271C5" w:rsidRPr="001104F3" w:rsidRDefault="00E33EBD" w:rsidP="00C271C5">
      <w:pPr>
        <w:pStyle w:val="ActHead5"/>
      </w:pPr>
      <w:bookmarkStart w:id="34" w:name="_Toc111453544"/>
      <w:r w:rsidRPr="00C77E56">
        <w:rPr>
          <w:rStyle w:val="CharSectno"/>
        </w:rPr>
        <w:t>27</w:t>
      </w:r>
      <w:r w:rsidR="00C271C5" w:rsidRPr="001104F3">
        <w:t xml:space="preserve">  Final report—</w:t>
      </w:r>
      <w:r w:rsidR="00931DF0" w:rsidRPr="001104F3">
        <w:t>private health insurers</w:t>
      </w:r>
      <w:bookmarkEnd w:id="34"/>
    </w:p>
    <w:p w14:paraId="3A86E92A" w14:textId="77777777" w:rsidR="00F82A50" w:rsidRPr="001104F3" w:rsidRDefault="00393E40" w:rsidP="00F82A50">
      <w:pPr>
        <w:pStyle w:val="subsection"/>
        <w:rPr>
          <w:iCs/>
          <w:color w:val="000000"/>
          <w:shd w:val="clear" w:color="auto" w:fill="FFFFFF"/>
        </w:rPr>
      </w:pPr>
      <w:r w:rsidRPr="001104F3">
        <w:tab/>
      </w:r>
      <w:r w:rsidRPr="001104F3">
        <w:tab/>
      </w:r>
      <w:r w:rsidR="00C271C5" w:rsidRPr="001104F3">
        <w:t xml:space="preserve">A </w:t>
      </w:r>
      <w:r w:rsidR="00C271C5" w:rsidRPr="001104F3">
        <w:rPr>
          <w:b/>
          <w:i/>
        </w:rPr>
        <w:t>final report</w:t>
      </w:r>
      <w:r w:rsidR="00C271C5" w:rsidRPr="001104F3">
        <w:t xml:space="preserve">, in relation to an accountable entity that is a </w:t>
      </w:r>
      <w:r w:rsidR="00931DF0" w:rsidRPr="001104F3">
        <w:t>private health insurer</w:t>
      </w:r>
      <w:r w:rsidR="00C271C5" w:rsidRPr="001104F3">
        <w:t>, means a report in relation to the accountable entity’s final reporting period in a financial year of the accountable entity that is submitted by the entity to APRA under</w:t>
      </w:r>
      <w:r w:rsidR="00F7359E" w:rsidRPr="001104F3">
        <w:t xml:space="preserve"> </w:t>
      </w:r>
      <w:r w:rsidR="00F7359E" w:rsidRPr="001104F3">
        <w:rPr>
          <w:iCs/>
          <w:color w:val="000000"/>
          <w:shd w:val="clear" w:color="auto" w:fill="FFFFFF"/>
        </w:rPr>
        <w:t>Reporting Standard HRS 602.0 Financial and Capital Data.</w:t>
      </w:r>
    </w:p>
    <w:p w14:paraId="3A86E92B" w14:textId="77777777" w:rsidR="00C271C5" w:rsidRPr="001104F3" w:rsidRDefault="00C271C5" w:rsidP="00F82A50">
      <w:pPr>
        <w:pStyle w:val="notetext"/>
      </w:pPr>
      <w:r w:rsidRPr="001104F3">
        <w:t>Note 1:</w:t>
      </w:r>
      <w:r w:rsidRPr="001104F3">
        <w:tab/>
        <w:t xml:space="preserve">See section 8 of the Act for the definition of </w:t>
      </w:r>
      <w:r w:rsidRPr="001104F3">
        <w:rPr>
          <w:b/>
          <w:i/>
        </w:rPr>
        <w:t>financial year</w:t>
      </w:r>
      <w:r w:rsidRPr="001104F3">
        <w:t>.</w:t>
      </w:r>
    </w:p>
    <w:p w14:paraId="3A86E92C" w14:textId="77777777" w:rsidR="00C271C5" w:rsidRPr="001104F3" w:rsidRDefault="00C271C5" w:rsidP="00C271C5">
      <w:pPr>
        <w:pStyle w:val="notetext"/>
      </w:pPr>
      <w:r w:rsidRPr="001104F3">
        <w:t>Note 2:</w:t>
      </w:r>
      <w:r w:rsidRPr="001104F3">
        <w:tab/>
        <w:t>See also section </w:t>
      </w:r>
      <w:r w:rsidR="00E33EBD" w:rsidRPr="001104F3">
        <w:t>34</w:t>
      </w:r>
      <w:r w:rsidRPr="001104F3">
        <w:t xml:space="preserve"> of this instrument about Reporting Standards.</w:t>
      </w:r>
    </w:p>
    <w:p w14:paraId="3A86E92D" w14:textId="77777777" w:rsidR="00C271C5" w:rsidRPr="001104F3" w:rsidRDefault="00E33EBD" w:rsidP="00C271C5">
      <w:pPr>
        <w:pStyle w:val="ActHead5"/>
        <w:spacing w:before="180"/>
        <w:ind w:left="0" w:firstLine="0"/>
      </w:pPr>
      <w:bookmarkStart w:id="35" w:name="_Toc111453545"/>
      <w:r w:rsidRPr="00C77E56">
        <w:rPr>
          <w:rStyle w:val="CharSectno"/>
        </w:rPr>
        <w:t>28</w:t>
      </w:r>
      <w:r w:rsidR="00C271C5" w:rsidRPr="001104F3">
        <w:t xml:space="preserve">  Total assets value—</w:t>
      </w:r>
      <w:r w:rsidR="00931DF0" w:rsidRPr="001104F3">
        <w:t>private health insurers</w:t>
      </w:r>
      <w:bookmarkEnd w:id="35"/>
    </w:p>
    <w:p w14:paraId="3A86E92E" w14:textId="77777777" w:rsidR="00C271C5" w:rsidRPr="001104F3" w:rsidRDefault="00C271C5" w:rsidP="00C271C5">
      <w:pPr>
        <w:pStyle w:val="subsection"/>
      </w:pPr>
      <w:r w:rsidRPr="001104F3">
        <w:tab/>
      </w:r>
      <w:r w:rsidRPr="001104F3">
        <w:tab/>
        <w:t xml:space="preserve">The </w:t>
      </w:r>
      <w:r w:rsidRPr="001104F3">
        <w:rPr>
          <w:b/>
          <w:i/>
        </w:rPr>
        <w:t>total assets value</w:t>
      </w:r>
      <w:r w:rsidRPr="001104F3">
        <w:t xml:space="preserve"> </w:t>
      </w:r>
      <w:r w:rsidR="00F7359E" w:rsidRPr="001104F3">
        <w:t xml:space="preserve">in a final report </w:t>
      </w:r>
      <w:r w:rsidRPr="001104F3">
        <w:t xml:space="preserve">of an accountable entity that is a </w:t>
      </w:r>
      <w:r w:rsidR="00931DF0" w:rsidRPr="001104F3">
        <w:t>private health insurer</w:t>
      </w:r>
      <w:r w:rsidRPr="001104F3">
        <w:t xml:space="preserve"> is</w:t>
      </w:r>
      <w:r w:rsidR="00F7359E" w:rsidRPr="001104F3">
        <w:t xml:space="preserve"> </w:t>
      </w:r>
      <w:r w:rsidRPr="001104F3">
        <w:t>worked out in accordance with the following method:</w:t>
      </w:r>
    </w:p>
    <w:p w14:paraId="3A86E92F" w14:textId="77777777" w:rsidR="00C271C5" w:rsidRPr="001104F3" w:rsidRDefault="00C271C5" w:rsidP="00C271C5">
      <w:pPr>
        <w:pStyle w:val="BoxStep"/>
        <w:rPr>
          <w:i/>
        </w:rPr>
      </w:pPr>
      <w:r w:rsidRPr="001104F3">
        <w:rPr>
          <w:i/>
        </w:rPr>
        <w:lastRenderedPageBreak/>
        <w:t>Method statement</w:t>
      </w:r>
    </w:p>
    <w:p w14:paraId="3A86E930" w14:textId="77777777" w:rsidR="00C271C5" w:rsidRPr="001104F3" w:rsidRDefault="00C271C5" w:rsidP="00C271C5">
      <w:pPr>
        <w:pStyle w:val="BoxStep"/>
        <w:ind w:left="2410" w:hanging="1276"/>
      </w:pPr>
      <w:r w:rsidRPr="001104F3">
        <w:t>Step 1.</w:t>
      </w:r>
      <w:r w:rsidRPr="001104F3">
        <w:tab/>
        <w:t xml:space="preserve">Identify the amount reported in </w:t>
      </w:r>
      <w:r w:rsidR="00546677" w:rsidRPr="001104F3">
        <w:t>Section 1</w:t>
      </w:r>
      <w:r w:rsidRPr="001104F3">
        <w:t xml:space="preserve">, </w:t>
      </w:r>
      <w:r w:rsidR="00DE54B5" w:rsidRPr="001104F3">
        <w:t>Directly Held</w:t>
      </w:r>
      <w:r w:rsidRPr="001104F3">
        <w:t xml:space="preserve"> </w:t>
      </w:r>
      <w:r w:rsidR="00DE54B5" w:rsidRPr="001104F3">
        <w:t>A</w:t>
      </w:r>
      <w:r w:rsidRPr="001104F3">
        <w:t>ssets</w:t>
      </w:r>
      <w:r w:rsidR="00F7359E" w:rsidRPr="001104F3">
        <w:t xml:space="preserve"> in Form </w:t>
      </w:r>
      <w:r w:rsidR="00DE54B5" w:rsidRPr="001104F3">
        <w:t xml:space="preserve">HRF 602.6 </w:t>
      </w:r>
      <w:r w:rsidR="00F7359E" w:rsidRPr="001104F3">
        <w:t xml:space="preserve">in </w:t>
      </w:r>
      <w:r w:rsidR="00F7359E" w:rsidRPr="001104F3">
        <w:rPr>
          <w:iCs/>
          <w:color w:val="000000"/>
          <w:shd w:val="clear" w:color="auto" w:fill="FFFFFF"/>
        </w:rPr>
        <w:t>Reporting Standard HRS 602.0 Financial and Capital Data</w:t>
      </w:r>
      <w:r w:rsidRPr="001104F3">
        <w:t>.</w:t>
      </w:r>
    </w:p>
    <w:p w14:paraId="3A86E931" w14:textId="77777777" w:rsidR="00C271C5" w:rsidRPr="001104F3" w:rsidRDefault="00C271C5" w:rsidP="00C271C5">
      <w:pPr>
        <w:pStyle w:val="BoxStep"/>
        <w:ind w:left="2410" w:hanging="1276"/>
      </w:pPr>
      <w:r w:rsidRPr="001104F3">
        <w:t>Step 2.</w:t>
      </w:r>
      <w:r w:rsidRPr="001104F3">
        <w:tab/>
      </w:r>
      <w:r w:rsidR="00F7359E" w:rsidRPr="001104F3">
        <w:t xml:space="preserve">Identify the amount reported in </w:t>
      </w:r>
      <w:r w:rsidR="00546677" w:rsidRPr="001104F3">
        <w:t>Section 2</w:t>
      </w:r>
      <w:r w:rsidR="00DE54B5" w:rsidRPr="001104F3">
        <w:t xml:space="preserve">, Indirectly Held Assets in Form HRF 602.6 in </w:t>
      </w:r>
      <w:r w:rsidR="00DE54B5" w:rsidRPr="001104F3">
        <w:rPr>
          <w:iCs/>
          <w:color w:val="000000"/>
          <w:shd w:val="clear" w:color="auto" w:fill="FFFFFF"/>
        </w:rPr>
        <w:t>Reporting Standard HRS 602.0 Financial and Capital Data</w:t>
      </w:r>
      <w:r w:rsidRPr="001104F3">
        <w:t>.</w:t>
      </w:r>
    </w:p>
    <w:p w14:paraId="3A86E932" w14:textId="77777777" w:rsidR="00C271C5" w:rsidRPr="001104F3" w:rsidRDefault="00C271C5" w:rsidP="00C271C5">
      <w:pPr>
        <w:pStyle w:val="BoxStep"/>
        <w:ind w:left="2410" w:hanging="1276"/>
      </w:pPr>
      <w:r w:rsidRPr="001104F3">
        <w:t>Step 3.</w:t>
      </w:r>
      <w:r w:rsidRPr="001104F3">
        <w:tab/>
      </w:r>
      <w:r w:rsidR="00F7359E" w:rsidRPr="001104F3">
        <w:t xml:space="preserve">Identify the amount reported in </w:t>
      </w:r>
      <w:r w:rsidR="00546677" w:rsidRPr="001104F3">
        <w:t>Section 3</w:t>
      </w:r>
      <w:r w:rsidR="00DE54B5" w:rsidRPr="001104F3">
        <w:t xml:space="preserve">, Other Assets in Form HRF 602.6 in </w:t>
      </w:r>
      <w:r w:rsidR="00DE54B5" w:rsidRPr="001104F3">
        <w:rPr>
          <w:iCs/>
          <w:color w:val="000000"/>
          <w:shd w:val="clear" w:color="auto" w:fill="FFFFFF"/>
        </w:rPr>
        <w:t>Reporting Standard HRS 602.0 Financial and Capital Data.</w:t>
      </w:r>
    </w:p>
    <w:p w14:paraId="3A86E933" w14:textId="77777777" w:rsidR="00F7359E" w:rsidRPr="001104F3" w:rsidRDefault="00F7359E" w:rsidP="00C271C5">
      <w:pPr>
        <w:pStyle w:val="BoxStep"/>
        <w:ind w:left="2410" w:hanging="1276"/>
      </w:pPr>
      <w:r w:rsidRPr="001104F3">
        <w:t>Step 4.</w:t>
      </w:r>
      <w:r w:rsidRPr="001104F3">
        <w:tab/>
        <w:t>Add together all of the amounts worked out under steps 1, 2 and 3.</w:t>
      </w:r>
    </w:p>
    <w:p w14:paraId="3A86E934" w14:textId="77777777" w:rsidR="00A224C6" w:rsidRPr="001104F3" w:rsidRDefault="004731B3" w:rsidP="00A224C6">
      <w:pPr>
        <w:pStyle w:val="ActHead3"/>
        <w:pageBreakBefore/>
      </w:pPr>
      <w:bookmarkStart w:id="36" w:name="_Toc111453546"/>
      <w:r w:rsidRPr="00C77E56">
        <w:rPr>
          <w:rStyle w:val="CharDivNo"/>
        </w:rPr>
        <w:lastRenderedPageBreak/>
        <w:t>Division 5</w:t>
      </w:r>
      <w:r w:rsidR="00A224C6" w:rsidRPr="001104F3">
        <w:t>—</w:t>
      </w:r>
      <w:r w:rsidR="00A224C6" w:rsidRPr="00C77E56">
        <w:rPr>
          <w:rStyle w:val="CharDivText"/>
        </w:rPr>
        <w:t>Accountable entities that are RSE licensees</w:t>
      </w:r>
      <w:bookmarkEnd w:id="36"/>
    </w:p>
    <w:p w14:paraId="3A86E935" w14:textId="77777777" w:rsidR="00446D2F" w:rsidRPr="001104F3" w:rsidRDefault="00E33EBD" w:rsidP="00B72B5D">
      <w:pPr>
        <w:pStyle w:val="ActHead5"/>
      </w:pPr>
      <w:bookmarkStart w:id="37" w:name="_Toc111453547"/>
      <w:r w:rsidRPr="00C77E56">
        <w:rPr>
          <w:rStyle w:val="CharSectno"/>
        </w:rPr>
        <w:t>29</w:t>
      </w:r>
      <w:r w:rsidR="00446D2F" w:rsidRPr="001104F3">
        <w:t xml:space="preserve">  </w:t>
      </w:r>
      <w:r w:rsidR="00A25748" w:rsidRPr="001104F3">
        <w:t>Determining when accountable entity meets enhanced notification threshold—</w:t>
      </w:r>
      <w:r w:rsidR="00446D2F" w:rsidRPr="001104F3">
        <w:t>RSE licensees</w:t>
      </w:r>
      <w:bookmarkEnd w:id="37"/>
    </w:p>
    <w:p w14:paraId="3A86E936" w14:textId="77777777" w:rsidR="00446D2F" w:rsidRPr="001104F3" w:rsidRDefault="00446D2F" w:rsidP="00446D2F">
      <w:pPr>
        <w:pStyle w:val="subsection"/>
      </w:pPr>
      <w:r w:rsidRPr="001104F3">
        <w:tab/>
        <w:t>(1)</w:t>
      </w:r>
      <w:r w:rsidRPr="001104F3">
        <w:tab/>
        <w:t xml:space="preserve">For the purposes of </w:t>
      </w:r>
      <w:r w:rsidR="00025221" w:rsidRPr="001104F3">
        <w:t>subsection 3</w:t>
      </w:r>
      <w:r w:rsidRPr="001104F3">
        <w:t>1(3) of the Act, this section sets out how to determine when an accountable entity that is an RSE licensee meets the enhanced notification threshold.</w:t>
      </w:r>
    </w:p>
    <w:p w14:paraId="3A86E937" w14:textId="77777777" w:rsidR="00446D2F" w:rsidRPr="001104F3" w:rsidRDefault="00446D2F" w:rsidP="00446D2F">
      <w:pPr>
        <w:pStyle w:val="subsection"/>
      </w:pPr>
      <w:r w:rsidRPr="001104F3">
        <w:tab/>
        <w:t>(2)</w:t>
      </w:r>
      <w:r w:rsidRPr="001104F3">
        <w:tab/>
        <w:t xml:space="preserve">The accountable entity meets the enhanced notification threshold at a particular time </w:t>
      </w:r>
      <w:r w:rsidR="00914E5E" w:rsidRPr="001104F3">
        <w:t>during a financial year of the accountable entity, if, at the start of the financial year,</w:t>
      </w:r>
      <w:r w:rsidRPr="001104F3">
        <w:t xml:space="preserve"> </w:t>
      </w:r>
      <w:r w:rsidR="00931DF0" w:rsidRPr="001104F3">
        <w:t>its total asset size</w:t>
      </w:r>
      <w:r w:rsidR="00011C5C" w:rsidRPr="001104F3">
        <w:t xml:space="preserve"> </w:t>
      </w:r>
      <w:r w:rsidR="00E5436C" w:rsidRPr="001104F3">
        <w:t xml:space="preserve">equals or </w:t>
      </w:r>
      <w:r w:rsidRPr="001104F3">
        <w:t>exceeds $</w:t>
      </w:r>
      <w:r w:rsidR="000B553F" w:rsidRPr="001104F3">
        <w:t>10</w:t>
      </w:r>
      <w:r w:rsidRPr="001104F3">
        <w:t xml:space="preserve"> billion.</w:t>
      </w:r>
    </w:p>
    <w:p w14:paraId="3A86E938" w14:textId="77777777" w:rsidR="00931DF0" w:rsidRPr="001104F3" w:rsidRDefault="00931DF0" w:rsidP="00931DF0">
      <w:pPr>
        <w:pStyle w:val="notetext"/>
      </w:pPr>
      <w:r w:rsidRPr="001104F3">
        <w:t>Note 1:</w:t>
      </w:r>
      <w:r w:rsidRPr="001104F3">
        <w:tab/>
        <w:t xml:space="preserve">See section 8 of the Act for the definition of </w:t>
      </w:r>
      <w:r w:rsidRPr="001104F3">
        <w:rPr>
          <w:b/>
          <w:i/>
        </w:rPr>
        <w:t>financial year</w:t>
      </w:r>
      <w:r w:rsidRPr="001104F3">
        <w:t xml:space="preserve"> and section </w:t>
      </w:r>
      <w:r w:rsidR="00E33EBD" w:rsidRPr="001104F3">
        <w:t>30</w:t>
      </w:r>
      <w:r w:rsidRPr="001104F3">
        <w:t xml:space="preserve"> </w:t>
      </w:r>
      <w:r w:rsidR="00011C5C" w:rsidRPr="001104F3">
        <w:t xml:space="preserve">of this instrument </w:t>
      </w:r>
      <w:r w:rsidRPr="001104F3">
        <w:t xml:space="preserve">for the definition of </w:t>
      </w:r>
      <w:r w:rsidRPr="001104F3">
        <w:rPr>
          <w:b/>
          <w:i/>
        </w:rPr>
        <w:t>total asset size</w:t>
      </w:r>
      <w:r w:rsidRPr="001104F3">
        <w:t>.</w:t>
      </w:r>
    </w:p>
    <w:p w14:paraId="3A86E939" w14:textId="77777777" w:rsidR="007C3E07" w:rsidRPr="001104F3" w:rsidRDefault="007C3E07" w:rsidP="007C3E07">
      <w:pPr>
        <w:pStyle w:val="notetext"/>
      </w:pPr>
      <w:r w:rsidRPr="001104F3">
        <w:t>Note 2:</w:t>
      </w:r>
      <w:r w:rsidRPr="001104F3">
        <w:tab/>
        <w:t xml:space="preserve">If an accountable entity meets the enhanced notification threshold under this subsection, any other accountable entity that is in the same corporate group is also taken to meet the enhanced notification threshold: see section </w:t>
      </w:r>
      <w:r w:rsidR="00E33EBD" w:rsidRPr="001104F3">
        <w:t>33</w:t>
      </w:r>
      <w:r w:rsidRPr="001104F3">
        <w:t>.</w:t>
      </w:r>
    </w:p>
    <w:p w14:paraId="3A86E93A" w14:textId="77777777" w:rsidR="00931DF0" w:rsidRPr="001104F3" w:rsidRDefault="00E33EBD" w:rsidP="00931DF0">
      <w:pPr>
        <w:pStyle w:val="ActHead5"/>
      </w:pPr>
      <w:bookmarkStart w:id="38" w:name="_Toc111453548"/>
      <w:r w:rsidRPr="00C77E56">
        <w:rPr>
          <w:rStyle w:val="CharSectno"/>
        </w:rPr>
        <w:t>30</w:t>
      </w:r>
      <w:r w:rsidR="00931DF0" w:rsidRPr="001104F3">
        <w:t xml:space="preserve">  Total asset size—RSE licensees</w:t>
      </w:r>
      <w:bookmarkEnd w:id="38"/>
    </w:p>
    <w:p w14:paraId="3A86E93B" w14:textId="77777777" w:rsidR="00931DF0" w:rsidRPr="001104F3" w:rsidRDefault="00931DF0" w:rsidP="00931DF0">
      <w:pPr>
        <w:pStyle w:val="subsection"/>
      </w:pPr>
      <w:r w:rsidRPr="001104F3">
        <w:tab/>
      </w:r>
      <w:r w:rsidRPr="001104F3">
        <w:tab/>
        <w:t xml:space="preserve">The </w:t>
      </w:r>
      <w:r w:rsidRPr="001104F3">
        <w:rPr>
          <w:b/>
          <w:i/>
        </w:rPr>
        <w:t>total asset size</w:t>
      </w:r>
      <w:r w:rsidRPr="001104F3">
        <w:t xml:space="preserve"> an accountable entity that is an RSE licensee, at the start of a financial year of the accountable entity, is:</w:t>
      </w:r>
    </w:p>
    <w:p w14:paraId="3A86E93C" w14:textId="77777777" w:rsidR="00931DF0" w:rsidRPr="001104F3" w:rsidRDefault="00931DF0" w:rsidP="00931DF0">
      <w:pPr>
        <w:pStyle w:val="paragraph"/>
      </w:pPr>
      <w:r w:rsidRPr="001104F3">
        <w:tab/>
        <w:t>(a)</w:t>
      </w:r>
      <w:r w:rsidRPr="001104F3">
        <w:tab/>
        <w:t>if, as at the start of that financial year, the accountable entity has submitted a final report for only one earlier financial year—the accountable entity’s total assets value in that final report; or</w:t>
      </w:r>
    </w:p>
    <w:p w14:paraId="3A86E93D" w14:textId="77777777" w:rsidR="00931DF0" w:rsidRPr="001104F3" w:rsidRDefault="00931DF0" w:rsidP="00931DF0">
      <w:pPr>
        <w:pStyle w:val="paragraph"/>
      </w:pPr>
      <w:r w:rsidRPr="001104F3">
        <w:tab/>
        <w:t>(b)</w:t>
      </w:r>
      <w:r w:rsidRPr="001104F3">
        <w:tab/>
        <w:t>if, as at the start of that financial year, the accountable entity has submitted final reports for only 2 earlier financial years—the average of the total assets value in the final report for each of those financial years; or</w:t>
      </w:r>
    </w:p>
    <w:p w14:paraId="3A86E93E" w14:textId="77777777" w:rsidR="00931DF0" w:rsidRPr="001104F3" w:rsidRDefault="00931DF0" w:rsidP="00931DF0">
      <w:pPr>
        <w:pStyle w:val="paragraph"/>
      </w:pPr>
      <w:r w:rsidRPr="001104F3">
        <w:tab/>
        <w:t>(c)</w:t>
      </w:r>
      <w:r w:rsidRPr="001104F3">
        <w:tab/>
        <w:t>if, as at the start of that financial year, the accountable entity has submitted final reports for 3 or more earlier financial years—the average of the total assets value in the final report for each of the 3 most recent of those financial years.</w:t>
      </w:r>
    </w:p>
    <w:p w14:paraId="3A86E93F" w14:textId="77777777" w:rsidR="00931DF0" w:rsidRPr="001104F3" w:rsidRDefault="00931DF0" w:rsidP="00931DF0">
      <w:pPr>
        <w:pStyle w:val="notetext"/>
      </w:pPr>
      <w:r w:rsidRPr="001104F3">
        <w:t>Note:</w:t>
      </w:r>
      <w:r w:rsidRPr="001104F3">
        <w:tab/>
        <w:t xml:space="preserve">See section 8 of the Act for the definition of </w:t>
      </w:r>
      <w:r w:rsidRPr="001104F3">
        <w:rPr>
          <w:b/>
          <w:i/>
        </w:rPr>
        <w:t>financial year</w:t>
      </w:r>
      <w:r w:rsidRPr="001104F3">
        <w:t xml:space="preserve">, section </w:t>
      </w:r>
      <w:r w:rsidR="00E33EBD" w:rsidRPr="001104F3">
        <w:t>31</w:t>
      </w:r>
      <w:r w:rsidRPr="001104F3">
        <w:t xml:space="preserve"> of this instrument for the definition of</w:t>
      </w:r>
      <w:r w:rsidRPr="001104F3">
        <w:rPr>
          <w:b/>
          <w:i/>
        </w:rPr>
        <w:t xml:space="preserve"> final report</w:t>
      </w:r>
      <w:r w:rsidRPr="001104F3">
        <w:t xml:space="preserve"> and section </w:t>
      </w:r>
      <w:r w:rsidR="00E33EBD" w:rsidRPr="001104F3">
        <w:t>32</w:t>
      </w:r>
      <w:r w:rsidRPr="001104F3">
        <w:t xml:space="preserve"> of this instrument for the definition of </w:t>
      </w:r>
      <w:r w:rsidRPr="001104F3">
        <w:rPr>
          <w:b/>
          <w:i/>
        </w:rPr>
        <w:t>total assets value</w:t>
      </w:r>
      <w:r w:rsidRPr="001104F3">
        <w:t>.</w:t>
      </w:r>
    </w:p>
    <w:p w14:paraId="3A86E940" w14:textId="77777777" w:rsidR="00931DF0" w:rsidRPr="001104F3" w:rsidRDefault="00E33EBD" w:rsidP="00931DF0">
      <w:pPr>
        <w:pStyle w:val="ActHead5"/>
      </w:pPr>
      <w:bookmarkStart w:id="39" w:name="_Toc111453549"/>
      <w:r w:rsidRPr="00C77E56">
        <w:rPr>
          <w:rStyle w:val="CharSectno"/>
        </w:rPr>
        <w:t>31</w:t>
      </w:r>
      <w:r w:rsidR="00931DF0" w:rsidRPr="001104F3">
        <w:t xml:space="preserve">  Final report—RSE licensees</w:t>
      </w:r>
      <w:bookmarkEnd w:id="39"/>
    </w:p>
    <w:p w14:paraId="3A86E941" w14:textId="77777777" w:rsidR="00C66150" w:rsidRPr="001104F3" w:rsidRDefault="00931DF0" w:rsidP="00C66150">
      <w:pPr>
        <w:pStyle w:val="subsection"/>
        <w:rPr>
          <w:color w:val="000000"/>
          <w:szCs w:val="22"/>
        </w:rPr>
      </w:pPr>
      <w:r w:rsidRPr="001104F3">
        <w:tab/>
      </w:r>
      <w:r w:rsidRPr="001104F3">
        <w:tab/>
        <w:t xml:space="preserve">A </w:t>
      </w:r>
      <w:r w:rsidRPr="001104F3">
        <w:rPr>
          <w:b/>
          <w:i/>
        </w:rPr>
        <w:t>final report</w:t>
      </w:r>
      <w:r w:rsidRPr="001104F3">
        <w:t>, in relation to an accountable entity that is an RSE licensee</w:t>
      </w:r>
      <w:r w:rsidR="00C66150" w:rsidRPr="001104F3">
        <w:t>,</w:t>
      </w:r>
      <w:r w:rsidRPr="001104F3">
        <w:t xml:space="preserve"> means a report in relation to the accountable entity’s final reporting period in a financial year of the accountable entity that is submitted by the entity to APRA under</w:t>
      </w:r>
      <w:r w:rsidR="00C66150" w:rsidRPr="001104F3">
        <w:t xml:space="preserve"> Reporting Standard SRS 320.0 Statement of Financial Position.</w:t>
      </w:r>
    </w:p>
    <w:p w14:paraId="3A86E942" w14:textId="77777777" w:rsidR="00931DF0" w:rsidRPr="001104F3" w:rsidRDefault="00931DF0" w:rsidP="00C66150">
      <w:pPr>
        <w:pStyle w:val="notetext"/>
      </w:pPr>
      <w:r w:rsidRPr="001104F3">
        <w:t>Note 1:</w:t>
      </w:r>
      <w:r w:rsidRPr="001104F3">
        <w:tab/>
        <w:t xml:space="preserve">See section 8 of the Act for the definition of </w:t>
      </w:r>
      <w:r w:rsidRPr="001104F3">
        <w:rPr>
          <w:b/>
          <w:i/>
        </w:rPr>
        <w:t>financial year</w:t>
      </w:r>
      <w:r w:rsidRPr="001104F3">
        <w:t>.</w:t>
      </w:r>
    </w:p>
    <w:p w14:paraId="3A86E943" w14:textId="77777777" w:rsidR="00931DF0" w:rsidRPr="001104F3" w:rsidRDefault="00931DF0" w:rsidP="00931DF0">
      <w:pPr>
        <w:pStyle w:val="notetext"/>
      </w:pPr>
      <w:r w:rsidRPr="001104F3">
        <w:t>Note 2:</w:t>
      </w:r>
      <w:r w:rsidRPr="001104F3">
        <w:tab/>
        <w:t>See also section </w:t>
      </w:r>
      <w:r w:rsidR="00E33EBD" w:rsidRPr="001104F3">
        <w:t>34</w:t>
      </w:r>
      <w:r w:rsidRPr="001104F3">
        <w:t xml:space="preserve"> of this instrument about Reporting Standards.</w:t>
      </w:r>
    </w:p>
    <w:p w14:paraId="3A86E944" w14:textId="77777777" w:rsidR="00931DF0" w:rsidRPr="001104F3" w:rsidRDefault="00E33EBD" w:rsidP="00931DF0">
      <w:pPr>
        <w:pStyle w:val="ActHead5"/>
        <w:spacing w:before="180"/>
        <w:ind w:left="0" w:firstLine="0"/>
      </w:pPr>
      <w:bookmarkStart w:id="40" w:name="_Toc111453550"/>
      <w:r w:rsidRPr="00C77E56">
        <w:rPr>
          <w:rStyle w:val="CharSectno"/>
        </w:rPr>
        <w:t>32</w:t>
      </w:r>
      <w:r w:rsidR="00931DF0" w:rsidRPr="001104F3">
        <w:t xml:space="preserve">  Total assets value—RSE licensees</w:t>
      </w:r>
      <w:bookmarkEnd w:id="40"/>
    </w:p>
    <w:p w14:paraId="3A86E945" w14:textId="77777777" w:rsidR="00011C5C" w:rsidRPr="001104F3" w:rsidRDefault="00011C5C" w:rsidP="00011C5C">
      <w:pPr>
        <w:pStyle w:val="subsection"/>
      </w:pPr>
      <w:r w:rsidRPr="001104F3">
        <w:tab/>
      </w:r>
      <w:r w:rsidRPr="001104F3">
        <w:tab/>
        <w:t xml:space="preserve">The </w:t>
      </w:r>
      <w:r w:rsidRPr="001104F3">
        <w:rPr>
          <w:b/>
          <w:i/>
        </w:rPr>
        <w:t>total assets value</w:t>
      </w:r>
      <w:r w:rsidRPr="001104F3">
        <w:t xml:space="preserve"> in a final report of an accountable entity that is a</w:t>
      </w:r>
      <w:r w:rsidR="00B6483C" w:rsidRPr="001104F3">
        <w:t>n</w:t>
      </w:r>
      <w:r w:rsidRPr="001104F3">
        <w:t xml:space="preserve"> </w:t>
      </w:r>
      <w:r w:rsidR="00B6483C" w:rsidRPr="001104F3">
        <w:t>RSE licensee</w:t>
      </w:r>
      <w:r w:rsidRPr="001104F3">
        <w:t xml:space="preserve"> is worked out in accordance with the following method:</w:t>
      </w:r>
    </w:p>
    <w:p w14:paraId="3A86E946" w14:textId="77777777" w:rsidR="00011C5C" w:rsidRPr="001104F3" w:rsidRDefault="00011C5C" w:rsidP="00011C5C">
      <w:pPr>
        <w:pStyle w:val="BoxStep"/>
        <w:rPr>
          <w:i/>
        </w:rPr>
      </w:pPr>
      <w:r w:rsidRPr="001104F3">
        <w:rPr>
          <w:i/>
        </w:rPr>
        <w:lastRenderedPageBreak/>
        <w:t>Method statement</w:t>
      </w:r>
    </w:p>
    <w:p w14:paraId="3A86E947" w14:textId="77777777" w:rsidR="00011C5C" w:rsidRPr="001104F3" w:rsidRDefault="00011C5C" w:rsidP="00011C5C">
      <w:pPr>
        <w:pStyle w:val="BoxStep"/>
        <w:ind w:left="2410" w:hanging="1276"/>
      </w:pPr>
      <w:r w:rsidRPr="001104F3">
        <w:t>Step 1.</w:t>
      </w:r>
      <w:r w:rsidRPr="001104F3">
        <w:tab/>
      </w:r>
      <w:r w:rsidR="00B6483C" w:rsidRPr="001104F3">
        <w:t>For each registrable superannuation entity of which the accountable entity is an RSE licensee, i</w:t>
      </w:r>
      <w:r w:rsidRPr="001104F3">
        <w:t>dentify the amount reported in item 11 Total assets in Form SRF 320.0 in Reporting Standard SRS 320.0 Statement of Financial Position.</w:t>
      </w:r>
    </w:p>
    <w:p w14:paraId="3A86E948" w14:textId="77777777" w:rsidR="00011C5C" w:rsidRPr="001104F3" w:rsidRDefault="00011C5C" w:rsidP="00011C5C">
      <w:pPr>
        <w:pStyle w:val="BoxStep"/>
        <w:ind w:left="2410" w:hanging="1276"/>
      </w:pPr>
      <w:r w:rsidRPr="001104F3">
        <w:t xml:space="preserve">Step </w:t>
      </w:r>
      <w:r w:rsidR="00B6483C" w:rsidRPr="001104F3">
        <w:t>2</w:t>
      </w:r>
      <w:r w:rsidRPr="001104F3">
        <w:t>.</w:t>
      </w:r>
      <w:r w:rsidRPr="001104F3">
        <w:tab/>
        <w:t>Add together all of the amounts worked out under step 1.</w:t>
      </w:r>
    </w:p>
    <w:p w14:paraId="3A86E949" w14:textId="77777777" w:rsidR="00324029" w:rsidRPr="001104F3" w:rsidRDefault="00324029" w:rsidP="00324029">
      <w:pPr>
        <w:pStyle w:val="ActHead3"/>
        <w:pageBreakBefore/>
      </w:pPr>
      <w:bookmarkStart w:id="41" w:name="_Toc111453551"/>
      <w:r w:rsidRPr="00C77E56">
        <w:rPr>
          <w:rStyle w:val="CharDivNo"/>
        </w:rPr>
        <w:lastRenderedPageBreak/>
        <w:t>Division 6</w:t>
      </w:r>
      <w:r w:rsidRPr="001104F3">
        <w:t>—</w:t>
      </w:r>
      <w:r w:rsidRPr="00C77E56">
        <w:rPr>
          <w:rStyle w:val="CharDivText"/>
        </w:rPr>
        <w:t xml:space="preserve">Accountable entities that are </w:t>
      </w:r>
      <w:r w:rsidR="00E122B8" w:rsidRPr="00C77E56">
        <w:rPr>
          <w:rStyle w:val="CharDivText"/>
        </w:rPr>
        <w:t>in the same corporate group</w:t>
      </w:r>
      <w:bookmarkEnd w:id="41"/>
    </w:p>
    <w:p w14:paraId="3A86E94A" w14:textId="77777777" w:rsidR="00324029" w:rsidRPr="001104F3" w:rsidRDefault="00E33EBD" w:rsidP="00324029">
      <w:pPr>
        <w:pStyle w:val="ActHead5"/>
      </w:pPr>
      <w:bookmarkStart w:id="42" w:name="_Toc111453552"/>
      <w:r w:rsidRPr="00C77E56">
        <w:rPr>
          <w:rStyle w:val="CharSectno"/>
        </w:rPr>
        <w:t>33</w:t>
      </w:r>
      <w:r w:rsidR="00324029" w:rsidRPr="001104F3">
        <w:t xml:space="preserve">  </w:t>
      </w:r>
      <w:r w:rsidR="009E71BF" w:rsidRPr="001104F3">
        <w:t>Related a</w:t>
      </w:r>
      <w:r w:rsidR="00324029" w:rsidRPr="001104F3">
        <w:t xml:space="preserve">ccountable entity </w:t>
      </w:r>
      <w:r w:rsidR="00BA3895" w:rsidRPr="001104F3">
        <w:t xml:space="preserve">also </w:t>
      </w:r>
      <w:r w:rsidR="009E71BF" w:rsidRPr="001104F3">
        <w:t xml:space="preserve">taken to </w:t>
      </w:r>
      <w:r w:rsidR="00324029" w:rsidRPr="001104F3">
        <w:t>meet enhanced notification threshold</w:t>
      </w:r>
      <w:bookmarkEnd w:id="42"/>
    </w:p>
    <w:p w14:paraId="3A86E94B" w14:textId="77777777" w:rsidR="00E122B8" w:rsidRPr="001104F3" w:rsidRDefault="00324029" w:rsidP="00324029">
      <w:pPr>
        <w:pStyle w:val="subsection"/>
      </w:pPr>
      <w:r w:rsidRPr="001104F3">
        <w:tab/>
      </w:r>
      <w:r w:rsidRPr="001104F3">
        <w:tab/>
        <w:t>For the purposes of subsection 31(3) of the Act</w:t>
      </w:r>
      <w:r w:rsidR="00E122B8" w:rsidRPr="001104F3">
        <w:t>, if:</w:t>
      </w:r>
    </w:p>
    <w:p w14:paraId="3A86E94C" w14:textId="77777777" w:rsidR="00BA3895" w:rsidRPr="001104F3" w:rsidRDefault="00BA3895" w:rsidP="00BA3895">
      <w:pPr>
        <w:pStyle w:val="paragraph"/>
      </w:pPr>
      <w:r w:rsidRPr="001104F3">
        <w:tab/>
        <w:t>(a)</w:t>
      </w:r>
      <w:r w:rsidRPr="001104F3">
        <w:tab/>
        <w:t xml:space="preserve">an accountable entity (the </w:t>
      </w:r>
      <w:r w:rsidRPr="001104F3">
        <w:rPr>
          <w:b/>
          <w:i/>
        </w:rPr>
        <w:t>first accountable entity</w:t>
      </w:r>
      <w:r w:rsidRPr="001104F3">
        <w:t>) meets the enhanced notification</w:t>
      </w:r>
      <w:r w:rsidR="007C3E07" w:rsidRPr="001104F3">
        <w:t xml:space="preserve"> threshold</w:t>
      </w:r>
      <w:r w:rsidRPr="001104F3">
        <w:t xml:space="preserve"> at a particular time during a financial year of the first accountable entity under subsection </w:t>
      </w:r>
      <w:r w:rsidR="00E33EBD" w:rsidRPr="001104F3">
        <w:t>13</w:t>
      </w:r>
      <w:r w:rsidRPr="001104F3">
        <w:t xml:space="preserve">(2), </w:t>
      </w:r>
      <w:r w:rsidR="00E33EBD" w:rsidRPr="001104F3">
        <w:t>17</w:t>
      </w:r>
      <w:r w:rsidRPr="001104F3">
        <w:t xml:space="preserve">(2), </w:t>
      </w:r>
      <w:r w:rsidR="00E33EBD" w:rsidRPr="001104F3">
        <w:t>21</w:t>
      </w:r>
      <w:r w:rsidRPr="001104F3">
        <w:t xml:space="preserve">(2), </w:t>
      </w:r>
      <w:r w:rsidR="00E33EBD" w:rsidRPr="001104F3">
        <w:t>25</w:t>
      </w:r>
      <w:r w:rsidRPr="001104F3">
        <w:t xml:space="preserve">(2) or </w:t>
      </w:r>
      <w:r w:rsidR="00E33EBD" w:rsidRPr="001104F3">
        <w:t>29</w:t>
      </w:r>
      <w:r w:rsidRPr="001104F3">
        <w:t>(2); and</w:t>
      </w:r>
    </w:p>
    <w:p w14:paraId="3A86E94D" w14:textId="77777777" w:rsidR="00E122B8" w:rsidRPr="001104F3" w:rsidRDefault="00E122B8" w:rsidP="00E122B8">
      <w:pPr>
        <w:pStyle w:val="paragraph"/>
      </w:pPr>
      <w:r w:rsidRPr="001104F3">
        <w:tab/>
        <w:t>(</w:t>
      </w:r>
      <w:r w:rsidR="00BA3895" w:rsidRPr="001104F3">
        <w:t>b</w:t>
      </w:r>
      <w:r w:rsidRPr="001104F3">
        <w:t>)</w:t>
      </w:r>
      <w:r w:rsidRPr="001104F3">
        <w:tab/>
      </w:r>
      <w:r w:rsidR="00BA3895" w:rsidRPr="001104F3">
        <w:t>the first accountable entity</w:t>
      </w:r>
      <w:r w:rsidRPr="001104F3">
        <w:t xml:space="preserve"> is related to another accountable entity (the </w:t>
      </w:r>
      <w:r w:rsidRPr="001104F3">
        <w:rPr>
          <w:b/>
          <w:i/>
        </w:rPr>
        <w:t>second accountable entity</w:t>
      </w:r>
      <w:r w:rsidRPr="001104F3">
        <w:t>)</w:t>
      </w:r>
      <w:r w:rsidR="00BA3895" w:rsidRPr="001104F3">
        <w:t>;</w:t>
      </w:r>
    </w:p>
    <w:p w14:paraId="3A86E94E" w14:textId="77777777" w:rsidR="00E122B8" w:rsidRPr="001104F3" w:rsidRDefault="00E122B8" w:rsidP="00E122B8">
      <w:pPr>
        <w:pStyle w:val="subsection2"/>
      </w:pPr>
      <w:r w:rsidRPr="001104F3">
        <w:t xml:space="preserve">the </w:t>
      </w:r>
      <w:r w:rsidR="00BA3895" w:rsidRPr="001104F3">
        <w:t>second</w:t>
      </w:r>
      <w:r w:rsidRPr="001104F3">
        <w:t xml:space="preserve"> accountable entity </w:t>
      </w:r>
      <w:r w:rsidR="00503B11" w:rsidRPr="001104F3">
        <w:t>also meets the enhanced notification</w:t>
      </w:r>
      <w:r w:rsidR="007C3E07" w:rsidRPr="001104F3">
        <w:t xml:space="preserve"> threshold</w:t>
      </w:r>
      <w:r w:rsidR="00503B11" w:rsidRPr="001104F3">
        <w:t xml:space="preserve"> at that time.</w:t>
      </w:r>
    </w:p>
    <w:p w14:paraId="3A86E94F" w14:textId="77777777" w:rsidR="00324029" w:rsidRPr="001104F3" w:rsidRDefault="00324029" w:rsidP="00324029">
      <w:pPr>
        <w:pStyle w:val="notetext"/>
      </w:pPr>
      <w:r w:rsidRPr="001104F3">
        <w:t>Note:</w:t>
      </w:r>
      <w:r w:rsidRPr="001104F3">
        <w:tab/>
        <w:t xml:space="preserve">See section 8 of the Act for the definition of </w:t>
      </w:r>
      <w:r w:rsidRPr="001104F3">
        <w:rPr>
          <w:b/>
          <w:i/>
        </w:rPr>
        <w:t>financial year</w:t>
      </w:r>
      <w:r w:rsidR="00503B11" w:rsidRPr="001104F3">
        <w:rPr>
          <w:b/>
          <w:i/>
        </w:rPr>
        <w:t xml:space="preserve"> </w:t>
      </w:r>
      <w:r w:rsidR="00420777" w:rsidRPr="001104F3">
        <w:t xml:space="preserve">and for when bodies corporate </w:t>
      </w:r>
      <w:proofErr w:type="gramStart"/>
      <w:r w:rsidR="00420777" w:rsidRPr="001104F3">
        <w:t>are</w:t>
      </w:r>
      <w:proofErr w:type="gramEnd"/>
      <w:r w:rsidR="00420777" w:rsidRPr="001104F3">
        <w:t xml:space="preserve"> </w:t>
      </w:r>
      <w:r w:rsidR="00420777" w:rsidRPr="001104F3">
        <w:rPr>
          <w:b/>
          <w:i/>
        </w:rPr>
        <w:t>related</w:t>
      </w:r>
      <w:r w:rsidRPr="001104F3">
        <w:t>.</w:t>
      </w:r>
    </w:p>
    <w:p w14:paraId="3A86E950" w14:textId="77777777" w:rsidR="00A224C6" w:rsidRPr="001104F3" w:rsidRDefault="004731B3" w:rsidP="00A224C6">
      <w:pPr>
        <w:pStyle w:val="ActHead3"/>
        <w:pageBreakBefore/>
      </w:pPr>
      <w:bookmarkStart w:id="43" w:name="_Toc111453553"/>
      <w:r w:rsidRPr="00C77E56">
        <w:rPr>
          <w:rStyle w:val="CharDivNo"/>
        </w:rPr>
        <w:lastRenderedPageBreak/>
        <w:t>Division </w:t>
      </w:r>
      <w:r w:rsidR="002101AD" w:rsidRPr="00C77E56">
        <w:rPr>
          <w:rStyle w:val="CharDivNo"/>
        </w:rPr>
        <w:t>7</w:t>
      </w:r>
      <w:r w:rsidR="00A224C6" w:rsidRPr="001104F3">
        <w:t>—</w:t>
      </w:r>
      <w:r w:rsidR="004D59E3" w:rsidRPr="00C77E56">
        <w:rPr>
          <w:rStyle w:val="CharDivText"/>
        </w:rPr>
        <w:t>Miscell</w:t>
      </w:r>
      <w:r w:rsidR="004D39FC" w:rsidRPr="00C77E56">
        <w:rPr>
          <w:rStyle w:val="CharDivText"/>
        </w:rPr>
        <w:t>a</w:t>
      </w:r>
      <w:r w:rsidR="004D59E3" w:rsidRPr="00C77E56">
        <w:rPr>
          <w:rStyle w:val="CharDivText"/>
        </w:rPr>
        <w:t>n</w:t>
      </w:r>
      <w:r w:rsidR="004D39FC" w:rsidRPr="00C77E56">
        <w:rPr>
          <w:rStyle w:val="CharDivText"/>
        </w:rPr>
        <w:t>e</w:t>
      </w:r>
      <w:r w:rsidR="004D59E3" w:rsidRPr="00C77E56">
        <w:rPr>
          <w:rStyle w:val="CharDivText"/>
        </w:rPr>
        <w:t>ous</w:t>
      </w:r>
      <w:bookmarkEnd w:id="43"/>
    </w:p>
    <w:p w14:paraId="3A86E951" w14:textId="77777777" w:rsidR="004D59E3" w:rsidRPr="001104F3" w:rsidRDefault="00E33EBD" w:rsidP="004D59E3">
      <w:pPr>
        <w:pStyle w:val="ActHead5"/>
        <w:ind w:left="0" w:firstLine="0"/>
      </w:pPr>
      <w:bookmarkStart w:id="44" w:name="_Toc111453554"/>
      <w:r w:rsidRPr="00C77E56">
        <w:rPr>
          <w:rStyle w:val="CharSectno"/>
        </w:rPr>
        <w:t>34</w:t>
      </w:r>
      <w:r w:rsidR="004D59E3" w:rsidRPr="001104F3">
        <w:t xml:space="preserve">  Reporting Standards</w:t>
      </w:r>
      <w:bookmarkEnd w:id="44"/>
    </w:p>
    <w:p w14:paraId="3A86E952" w14:textId="77777777" w:rsidR="004D59E3" w:rsidRPr="001104F3" w:rsidRDefault="004D59E3" w:rsidP="004D59E3">
      <w:pPr>
        <w:pStyle w:val="subsection"/>
      </w:pPr>
      <w:r w:rsidRPr="001104F3">
        <w:tab/>
        <w:t>(1)</w:t>
      </w:r>
      <w:r w:rsidRPr="001104F3">
        <w:tab/>
        <w:t xml:space="preserve">If a provision (the </w:t>
      </w:r>
      <w:r w:rsidRPr="001104F3">
        <w:rPr>
          <w:b/>
          <w:i/>
        </w:rPr>
        <w:t>referring provision</w:t>
      </w:r>
      <w:r w:rsidRPr="001104F3">
        <w:t xml:space="preserve">) of this instrument refers, in relation to an accountable entity’s final reporting period in a financial year, to a Reporting Standard with a particular identifier, the referring provision is to be taken to refer to the version of the Reporting Standard with that identifier that applied to that reporting period because of a determination made under section 13 of the </w:t>
      </w:r>
      <w:r w:rsidRPr="001104F3">
        <w:rPr>
          <w:i/>
        </w:rPr>
        <w:t>Financial Sector (Collection of Data) Act 2001</w:t>
      </w:r>
      <w:r w:rsidRPr="001104F3">
        <w:t>.</w:t>
      </w:r>
    </w:p>
    <w:p w14:paraId="3A86E953" w14:textId="77777777" w:rsidR="004D59E3" w:rsidRPr="001104F3" w:rsidRDefault="004D59E3" w:rsidP="004D59E3">
      <w:pPr>
        <w:pStyle w:val="notetext"/>
      </w:pPr>
      <w:r w:rsidRPr="001104F3">
        <w:t>Example:</w:t>
      </w:r>
      <w:r w:rsidRPr="001104F3">
        <w:tab/>
        <w:t>Reporting Standard ARS 323.0 Statement of Financial Position (Licensed ADI).</w:t>
      </w:r>
    </w:p>
    <w:p w14:paraId="3A86E954" w14:textId="77777777" w:rsidR="004D59E3" w:rsidRPr="001104F3" w:rsidRDefault="004D59E3" w:rsidP="004D59E3">
      <w:pPr>
        <w:pStyle w:val="subsection"/>
      </w:pPr>
      <w:r w:rsidRPr="001104F3">
        <w:tab/>
        <w:t>(2)</w:t>
      </w:r>
      <w:r w:rsidRPr="001104F3">
        <w:tab/>
        <w:t>However, if no version of that Reporting Standard applies to that reporting period because that Reporting Standard has been replaced by a Reporting Standard with a different identifier:</w:t>
      </w:r>
    </w:p>
    <w:p w14:paraId="3A86E955" w14:textId="77777777" w:rsidR="004D59E3" w:rsidRPr="001104F3" w:rsidRDefault="004D59E3" w:rsidP="004D59E3">
      <w:pPr>
        <w:pStyle w:val="paragraph"/>
      </w:pPr>
      <w:r w:rsidRPr="001104F3">
        <w:tab/>
        <w:t>(a)</w:t>
      </w:r>
      <w:r w:rsidRPr="001104F3">
        <w:tab/>
      </w:r>
      <w:r w:rsidR="00546677" w:rsidRPr="001104F3">
        <w:t>subsection (</w:t>
      </w:r>
      <w:r w:rsidRPr="001104F3">
        <w:t>1) applies as if the referring provision referred instead to the Reporting Standard with the different identifier; and</w:t>
      </w:r>
    </w:p>
    <w:p w14:paraId="3A86E956" w14:textId="77777777" w:rsidR="004D59E3" w:rsidRPr="001104F3" w:rsidRDefault="004D59E3" w:rsidP="004D59E3">
      <w:pPr>
        <w:pStyle w:val="paragraph"/>
      </w:pPr>
      <w:r w:rsidRPr="001104F3">
        <w:tab/>
        <w:t>(b)</w:t>
      </w:r>
      <w:r w:rsidRPr="001104F3">
        <w:tab/>
        <w:t>if the referring provision also refers to particular material in the Reporting Standard that has been replaced, it is taken to refer instead to the corresponding material in the applicable version of the Reporting Standard with the different identifier.</w:t>
      </w:r>
    </w:p>
    <w:p w14:paraId="3A86E957" w14:textId="77777777" w:rsidR="004D59E3" w:rsidRPr="001104F3" w:rsidRDefault="004D59E3" w:rsidP="004D59E3">
      <w:pPr>
        <w:pStyle w:val="subsection"/>
      </w:pPr>
      <w:r w:rsidRPr="001104F3">
        <w:tab/>
        <w:t>(3)</w:t>
      </w:r>
      <w:r w:rsidRPr="001104F3">
        <w:tab/>
        <w:t>In this section:</w:t>
      </w:r>
    </w:p>
    <w:p w14:paraId="3A86E958" w14:textId="77777777" w:rsidR="004D39FC" w:rsidRPr="001104F3" w:rsidRDefault="004D59E3" w:rsidP="004D59E3">
      <w:pPr>
        <w:pStyle w:val="Definition"/>
      </w:pPr>
      <w:r w:rsidRPr="001104F3">
        <w:rPr>
          <w:b/>
          <w:i/>
        </w:rPr>
        <w:t>identifier</w:t>
      </w:r>
      <w:r w:rsidRPr="001104F3">
        <w:t xml:space="preserve"> means a combination of letters and numbers (with or without punctuation marks, and whether or not followed by a title)</w:t>
      </w:r>
      <w:r w:rsidR="004D39FC" w:rsidRPr="001104F3">
        <w:t>.</w:t>
      </w:r>
    </w:p>
    <w:p w14:paraId="3A86E959" w14:textId="77777777" w:rsidR="00076E02" w:rsidRPr="001104F3" w:rsidRDefault="00076E02" w:rsidP="00076E02">
      <w:pPr>
        <w:pStyle w:val="ActHead2"/>
        <w:pageBreakBefore/>
      </w:pPr>
      <w:bookmarkStart w:id="45" w:name="_Toc111453555"/>
      <w:r w:rsidRPr="00C77E56">
        <w:rPr>
          <w:rStyle w:val="CharPartNo"/>
        </w:rPr>
        <w:lastRenderedPageBreak/>
        <w:t>Part 4</w:t>
      </w:r>
      <w:r w:rsidRPr="001104F3">
        <w:t>—</w:t>
      </w:r>
      <w:r w:rsidRPr="00C77E56">
        <w:rPr>
          <w:rStyle w:val="CharPartText"/>
        </w:rPr>
        <w:t>Miscellaneous</w:t>
      </w:r>
      <w:bookmarkEnd w:id="45"/>
    </w:p>
    <w:p w14:paraId="3A86E95A" w14:textId="77777777" w:rsidR="00076E02" w:rsidRPr="00C77E56" w:rsidRDefault="00076E02" w:rsidP="00076E02">
      <w:pPr>
        <w:pStyle w:val="Header"/>
      </w:pPr>
      <w:r w:rsidRPr="00C77E56">
        <w:rPr>
          <w:rStyle w:val="CharDivNo"/>
        </w:rPr>
        <w:t xml:space="preserve"> </w:t>
      </w:r>
      <w:r w:rsidRPr="00C77E56">
        <w:rPr>
          <w:rStyle w:val="CharDivText"/>
        </w:rPr>
        <w:t xml:space="preserve"> </w:t>
      </w:r>
    </w:p>
    <w:p w14:paraId="3A86E95B" w14:textId="77777777" w:rsidR="00076E02" w:rsidRPr="001104F3" w:rsidRDefault="00E33EBD" w:rsidP="00076E02">
      <w:pPr>
        <w:pStyle w:val="ActHead5"/>
      </w:pPr>
      <w:bookmarkStart w:id="46" w:name="_Toc111453556"/>
      <w:proofErr w:type="gramStart"/>
      <w:r w:rsidRPr="00C77E56">
        <w:rPr>
          <w:rStyle w:val="CharSectno"/>
        </w:rPr>
        <w:t>35</w:t>
      </w:r>
      <w:r w:rsidR="00076E02" w:rsidRPr="001104F3">
        <w:t xml:space="preserve">  Evidentiary</w:t>
      </w:r>
      <w:proofErr w:type="gramEnd"/>
      <w:r w:rsidR="00076E02" w:rsidRPr="001104F3">
        <w:t xml:space="preserve"> use of certain material</w:t>
      </w:r>
      <w:r w:rsidR="00BC56D6" w:rsidRPr="001104F3">
        <w:t>—</w:t>
      </w:r>
      <w:r w:rsidR="00F9333A" w:rsidRPr="001104F3">
        <w:t xml:space="preserve">manner of authentication of </w:t>
      </w:r>
      <w:r w:rsidR="00BC56D6" w:rsidRPr="001104F3">
        <w:t>examination record</w:t>
      </w:r>
      <w:bookmarkEnd w:id="46"/>
    </w:p>
    <w:p w14:paraId="3A86E95C" w14:textId="77777777" w:rsidR="00F9333A" w:rsidRPr="001104F3" w:rsidRDefault="00BC56D6" w:rsidP="00E5129B">
      <w:pPr>
        <w:pStyle w:val="subsection"/>
      </w:pPr>
      <w:r w:rsidRPr="001104F3">
        <w:tab/>
      </w:r>
      <w:r w:rsidRPr="001104F3">
        <w:tab/>
        <w:t xml:space="preserve">For the purposes of </w:t>
      </w:r>
      <w:r w:rsidR="0068072D" w:rsidRPr="001104F3">
        <w:t>subsection 5</w:t>
      </w:r>
      <w:r w:rsidRPr="001104F3">
        <w:t xml:space="preserve">4(7) of the Act, </w:t>
      </w:r>
      <w:r w:rsidR="00F9333A" w:rsidRPr="001104F3">
        <w:t>it is a prescribed manner of authentication of a written record of an examination mentioned in that subsection if:</w:t>
      </w:r>
    </w:p>
    <w:p w14:paraId="3A86E95D" w14:textId="77777777" w:rsidR="00E5129B" w:rsidRPr="001104F3" w:rsidRDefault="00F9333A" w:rsidP="00F9333A">
      <w:pPr>
        <w:pStyle w:val="paragraph"/>
      </w:pPr>
      <w:r w:rsidRPr="001104F3">
        <w:tab/>
        <w:t>(a)</w:t>
      </w:r>
      <w:r w:rsidRPr="001104F3">
        <w:tab/>
      </w:r>
      <w:r w:rsidR="00E5129B" w:rsidRPr="001104F3">
        <w:t>the written record is produced as soon as practicable after the conclusion of the examination; and</w:t>
      </w:r>
    </w:p>
    <w:p w14:paraId="3A86E95E" w14:textId="77777777" w:rsidR="00E5129B" w:rsidRPr="001104F3" w:rsidRDefault="00E5129B" w:rsidP="00F9333A">
      <w:pPr>
        <w:pStyle w:val="paragraph"/>
      </w:pPr>
      <w:r w:rsidRPr="001104F3">
        <w:tab/>
        <w:t>(b)</w:t>
      </w:r>
      <w:r w:rsidRPr="001104F3">
        <w:tab/>
        <w:t xml:space="preserve">the written record is endorsed by a person (the </w:t>
      </w:r>
      <w:r w:rsidRPr="001104F3">
        <w:rPr>
          <w:b/>
          <w:i/>
        </w:rPr>
        <w:t>endorser</w:t>
      </w:r>
      <w:r w:rsidRPr="001104F3">
        <w:t>) other than the person examined at the examination; and</w:t>
      </w:r>
    </w:p>
    <w:p w14:paraId="3A86E95F" w14:textId="77777777" w:rsidR="00E5129B" w:rsidRPr="001104F3" w:rsidRDefault="00E5129B" w:rsidP="00F9333A">
      <w:pPr>
        <w:pStyle w:val="paragraph"/>
      </w:pPr>
      <w:r w:rsidRPr="001104F3">
        <w:tab/>
        <w:t>(c)</w:t>
      </w:r>
      <w:r w:rsidRPr="001104F3">
        <w:tab/>
        <w:t>the endorser:</w:t>
      </w:r>
    </w:p>
    <w:p w14:paraId="3A86E960" w14:textId="77777777" w:rsidR="00E5129B" w:rsidRPr="001104F3" w:rsidRDefault="00E5129B" w:rsidP="00F9333A">
      <w:pPr>
        <w:pStyle w:val="paragraphsub"/>
      </w:pPr>
      <w:r w:rsidRPr="001104F3">
        <w:tab/>
        <w:t>(</w:t>
      </w:r>
      <w:proofErr w:type="spellStart"/>
      <w:r w:rsidRPr="001104F3">
        <w:t>i</w:t>
      </w:r>
      <w:proofErr w:type="spellEnd"/>
      <w:r w:rsidRPr="001104F3">
        <w:t>)</w:t>
      </w:r>
      <w:r w:rsidRPr="001104F3">
        <w:tab/>
        <w:t>was present throughout the examination; and</w:t>
      </w:r>
    </w:p>
    <w:p w14:paraId="3A86E961" w14:textId="77777777" w:rsidR="00E5129B" w:rsidRPr="001104F3" w:rsidRDefault="00E5129B" w:rsidP="00F9333A">
      <w:pPr>
        <w:pStyle w:val="paragraphsub"/>
      </w:pPr>
      <w:r w:rsidRPr="001104F3">
        <w:tab/>
        <w:t>(ii)</w:t>
      </w:r>
      <w:r w:rsidRPr="001104F3">
        <w:tab/>
        <w:t>reads and endorses the written record as soon as practicable after it is produced; and</w:t>
      </w:r>
    </w:p>
    <w:p w14:paraId="3A86E962" w14:textId="77777777" w:rsidR="00E5129B" w:rsidRPr="001104F3" w:rsidRDefault="00E5129B" w:rsidP="00F9333A">
      <w:pPr>
        <w:pStyle w:val="paragraph"/>
      </w:pPr>
      <w:r w:rsidRPr="001104F3">
        <w:tab/>
        <w:t>(d)</w:t>
      </w:r>
      <w:r w:rsidRPr="001104F3">
        <w:tab/>
        <w:t>the endorsement:</w:t>
      </w:r>
    </w:p>
    <w:p w14:paraId="3A86E963" w14:textId="77777777" w:rsidR="00E5129B" w:rsidRPr="001104F3" w:rsidRDefault="00E5129B" w:rsidP="00F9333A">
      <w:pPr>
        <w:pStyle w:val="paragraphsub"/>
      </w:pPr>
      <w:r w:rsidRPr="001104F3">
        <w:tab/>
        <w:t>(</w:t>
      </w:r>
      <w:proofErr w:type="spellStart"/>
      <w:r w:rsidRPr="001104F3">
        <w:t>i</w:t>
      </w:r>
      <w:proofErr w:type="spellEnd"/>
      <w:r w:rsidRPr="001104F3">
        <w:t>)</w:t>
      </w:r>
      <w:r w:rsidRPr="001104F3">
        <w:tab/>
        <w:t>is to the effect that the record is a true record of what was said in the examination; and</w:t>
      </w:r>
    </w:p>
    <w:p w14:paraId="3A86E964" w14:textId="77777777" w:rsidR="00BC56D6" w:rsidRPr="001104F3" w:rsidRDefault="00E5129B" w:rsidP="00393E40">
      <w:pPr>
        <w:pStyle w:val="paragraphsub"/>
      </w:pPr>
      <w:r w:rsidRPr="001104F3">
        <w:tab/>
        <w:t>(ii)</w:t>
      </w:r>
      <w:r w:rsidRPr="001104F3">
        <w:tab/>
        <w:t>is signed and dated by the endorser.</w:t>
      </w:r>
    </w:p>
    <w:p w14:paraId="3A86E965" w14:textId="77777777" w:rsidR="00C825E3" w:rsidRPr="001104F3" w:rsidRDefault="00C825E3" w:rsidP="00C825E3">
      <w:pPr>
        <w:pStyle w:val="ActHead2"/>
        <w:pageBreakBefore/>
      </w:pPr>
      <w:bookmarkStart w:id="47" w:name="_Toc111453557"/>
      <w:r w:rsidRPr="00C77E56">
        <w:rPr>
          <w:rStyle w:val="CharPartNo"/>
        </w:rPr>
        <w:lastRenderedPageBreak/>
        <w:t>Part </w:t>
      </w:r>
      <w:r w:rsidR="00076E02" w:rsidRPr="00C77E56">
        <w:rPr>
          <w:rStyle w:val="CharPartNo"/>
        </w:rPr>
        <w:t>5</w:t>
      </w:r>
      <w:r w:rsidRPr="001104F3">
        <w:t>—</w:t>
      </w:r>
      <w:r w:rsidRPr="00C77E56">
        <w:rPr>
          <w:rStyle w:val="CharPartText"/>
        </w:rPr>
        <w:t>Application and transitional provisions</w:t>
      </w:r>
      <w:bookmarkEnd w:id="47"/>
    </w:p>
    <w:p w14:paraId="3A86E966" w14:textId="77777777" w:rsidR="00C825E3" w:rsidRPr="00C77E56" w:rsidRDefault="00C825E3" w:rsidP="00C825E3">
      <w:pPr>
        <w:pStyle w:val="Header"/>
      </w:pPr>
      <w:r w:rsidRPr="00C77E56">
        <w:rPr>
          <w:rStyle w:val="CharDivNo"/>
        </w:rPr>
        <w:t xml:space="preserve"> </w:t>
      </w:r>
      <w:r w:rsidRPr="00C77E56">
        <w:rPr>
          <w:rStyle w:val="CharDivText"/>
        </w:rPr>
        <w:t xml:space="preserve"> </w:t>
      </w:r>
    </w:p>
    <w:p w14:paraId="3A86E967" w14:textId="77777777" w:rsidR="00FD7D52" w:rsidRPr="001104F3" w:rsidRDefault="00E33EBD" w:rsidP="00FA1691">
      <w:pPr>
        <w:pStyle w:val="ActHead5"/>
      </w:pPr>
      <w:bookmarkStart w:id="48" w:name="_Toc111453558"/>
      <w:r w:rsidRPr="00C77E56">
        <w:rPr>
          <w:rStyle w:val="CharSectno"/>
        </w:rPr>
        <w:t>36</w:t>
      </w:r>
      <w:r w:rsidR="00C825E3" w:rsidRPr="001104F3">
        <w:t xml:space="preserve">  Application</w:t>
      </w:r>
      <w:r w:rsidR="00E5436C" w:rsidRPr="001104F3">
        <w:t xml:space="preserve"> provision—</w:t>
      </w:r>
      <w:r w:rsidR="00CF2728" w:rsidRPr="001104F3">
        <w:t>total asset size</w:t>
      </w:r>
      <w:bookmarkEnd w:id="48"/>
    </w:p>
    <w:p w14:paraId="3A86E968" w14:textId="77777777" w:rsidR="000E4D3E" w:rsidRPr="001104F3" w:rsidRDefault="000E4D3E" w:rsidP="000E4D3E">
      <w:pPr>
        <w:pStyle w:val="subsection"/>
      </w:pPr>
      <w:r w:rsidRPr="001104F3">
        <w:tab/>
      </w:r>
      <w:r w:rsidRPr="001104F3">
        <w:tab/>
      </w:r>
      <w:r w:rsidR="00E62002" w:rsidRPr="001104F3">
        <w:t xml:space="preserve">For the purposes of </w:t>
      </w:r>
      <w:r w:rsidR="00C633F6" w:rsidRPr="001104F3">
        <w:t>Part 3</w:t>
      </w:r>
      <w:r w:rsidR="00BE3EB3" w:rsidRPr="001104F3">
        <w:t xml:space="preserve">, </w:t>
      </w:r>
      <w:r w:rsidR="009B379B" w:rsidRPr="001104F3">
        <w:t>in</w:t>
      </w:r>
      <w:r w:rsidR="00BE3EB3" w:rsidRPr="001104F3">
        <w:t xml:space="preserve"> </w:t>
      </w:r>
      <w:r w:rsidR="00E62002" w:rsidRPr="001104F3">
        <w:t xml:space="preserve">working out the total asset size of an accountable entity </w:t>
      </w:r>
      <w:r w:rsidR="009B379B" w:rsidRPr="001104F3">
        <w:t>at the start of</w:t>
      </w:r>
      <w:r w:rsidR="000F2768" w:rsidRPr="001104F3">
        <w:t xml:space="preserve"> a financial year of the accountable entity</w:t>
      </w:r>
      <w:r w:rsidR="00E62002" w:rsidRPr="001104F3">
        <w:t>, th</w:t>
      </w:r>
      <w:r w:rsidR="00CF2728" w:rsidRPr="001104F3">
        <w:t xml:space="preserve">e start of the financial year </w:t>
      </w:r>
      <w:r w:rsidR="00E62002" w:rsidRPr="001104F3">
        <w:t>may be</w:t>
      </w:r>
      <w:r w:rsidRPr="001104F3">
        <w:t>:</w:t>
      </w:r>
    </w:p>
    <w:p w14:paraId="3A86E969" w14:textId="77777777" w:rsidR="000E4D3E" w:rsidRPr="001104F3" w:rsidRDefault="000E4D3E" w:rsidP="000E4D3E">
      <w:pPr>
        <w:pStyle w:val="paragraph"/>
      </w:pPr>
      <w:r w:rsidRPr="001104F3">
        <w:tab/>
        <w:t>(a)</w:t>
      </w:r>
      <w:r w:rsidRPr="001104F3">
        <w:tab/>
      </w:r>
      <w:r w:rsidR="009B379B" w:rsidRPr="001104F3">
        <w:t xml:space="preserve">before </w:t>
      </w:r>
      <w:r w:rsidR="001F026F" w:rsidRPr="001104F3">
        <w:t xml:space="preserve">the </w:t>
      </w:r>
      <w:r w:rsidRPr="001104F3">
        <w:t>commencement</w:t>
      </w:r>
      <w:r w:rsidR="001F026F" w:rsidRPr="001104F3">
        <w:t xml:space="preserve"> of this instrument</w:t>
      </w:r>
      <w:r w:rsidRPr="001104F3">
        <w:t>;</w:t>
      </w:r>
      <w:r w:rsidR="00E62002" w:rsidRPr="001104F3">
        <w:t xml:space="preserve"> or</w:t>
      </w:r>
    </w:p>
    <w:p w14:paraId="3A86E96A" w14:textId="77777777" w:rsidR="000E4D3E" w:rsidRPr="001104F3" w:rsidRDefault="000E4D3E" w:rsidP="000E4D3E">
      <w:pPr>
        <w:pStyle w:val="paragraph"/>
      </w:pPr>
      <w:r w:rsidRPr="001104F3">
        <w:tab/>
        <w:t>(b)</w:t>
      </w:r>
      <w:r w:rsidRPr="001104F3">
        <w:tab/>
      </w:r>
      <w:r w:rsidR="009B379B" w:rsidRPr="001104F3">
        <w:t xml:space="preserve">before </w:t>
      </w:r>
      <w:r w:rsidRPr="001104F3">
        <w:t xml:space="preserve">the </w:t>
      </w:r>
      <w:r w:rsidR="009B379B" w:rsidRPr="001104F3">
        <w:t xml:space="preserve">time when the </w:t>
      </w:r>
      <w:r w:rsidRPr="001104F3">
        <w:t>accountable entity starts being an accountable entity.</w:t>
      </w:r>
    </w:p>
    <w:p w14:paraId="3A86E96B" w14:textId="77777777" w:rsidR="00CF2728" w:rsidRPr="001104F3" w:rsidRDefault="00CF2728" w:rsidP="00CF2728">
      <w:pPr>
        <w:pStyle w:val="notetext"/>
      </w:pPr>
      <w:r w:rsidRPr="001104F3">
        <w:t>Example</w:t>
      </w:r>
      <w:r w:rsidR="00C47E19" w:rsidRPr="001104F3">
        <w:t xml:space="preserve"> 1</w:t>
      </w:r>
      <w:r w:rsidRPr="001104F3">
        <w:t>:</w:t>
      </w:r>
      <w:r w:rsidRPr="001104F3">
        <w:tab/>
        <w:t xml:space="preserve">The financial year for an ADI starts on </w:t>
      </w:r>
      <w:r w:rsidR="00675DAF" w:rsidRPr="001104F3">
        <w:t>1 </w:t>
      </w:r>
      <w:r w:rsidR="0077526C">
        <w:t>November</w:t>
      </w:r>
      <w:r w:rsidR="005D1B78" w:rsidRPr="001104F3">
        <w:t xml:space="preserve"> 2022</w:t>
      </w:r>
      <w:r w:rsidRPr="001104F3">
        <w:t xml:space="preserve">. </w:t>
      </w:r>
      <w:r w:rsidR="005D1B78" w:rsidRPr="001104F3">
        <w:t xml:space="preserve">If the Act commences on </w:t>
      </w:r>
      <w:r w:rsidR="00C633F6" w:rsidRPr="001104F3">
        <w:t>1 </w:t>
      </w:r>
      <w:r w:rsidR="0077526C">
        <w:t>December</w:t>
      </w:r>
      <w:r w:rsidR="005D1B78" w:rsidRPr="001104F3">
        <w:t xml:space="preserve"> 2022, t</w:t>
      </w:r>
      <w:r w:rsidRPr="001104F3">
        <w:t xml:space="preserve">he ADI starts being an accountable </w:t>
      </w:r>
      <w:r w:rsidR="001F026F" w:rsidRPr="001104F3">
        <w:t>entity</w:t>
      </w:r>
      <w:r w:rsidR="00E010D5" w:rsidRPr="001104F3">
        <w:t xml:space="preserve"> 6 months later</w:t>
      </w:r>
      <w:r w:rsidR="001F026F" w:rsidRPr="001104F3">
        <w:t xml:space="preserve"> </w:t>
      </w:r>
      <w:r w:rsidRPr="001104F3">
        <w:t xml:space="preserve">on </w:t>
      </w:r>
      <w:r w:rsidR="00C633F6" w:rsidRPr="001104F3">
        <w:t>1 </w:t>
      </w:r>
      <w:r w:rsidR="00E14C89">
        <w:t>June</w:t>
      </w:r>
      <w:r w:rsidR="00E010D5" w:rsidRPr="001104F3">
        <w:t xml:space="preserve"> 202</w:t>
      </w:r>
      <w:r w:rsidR="00E14C89">
        <w:t>3</w:t>
      </w:r>
      <w:r w:rsidR="00E010D5" w:rsidRPr="001104F3">
        <w:t xml:space="preserve"> (see </w:t>
      </w:r>
      <w:r w:rsidR="00C633F6" w:rsidRPr="001104F3">
        <w:t>paragraph 9</w:t>
      </w:r>
      <w:r w:rsidR="00E010D5" w:rsidRPr="001104F3">
        <w:t>(2)(</w:t>
      </w:r>
      <w:r w:rsidR="00416974">
        <w:t>a</w:t>
      </w:r>
      <w:r w:rsidR="00E010D5" w:rsidRPr="001104F3">
        <w:t>) of the Act)</w:t>
      </w:r>
      <w:r w:rsidRPr="001104F3">
        <w:t xml:space="preserve">. Under subsection </w:t>
      </w:r>
      <w:r w:rsidR="00E33EBD" w:rsidRPr="001104F3">
        <w:t>13</w:t>
      </w:r>
      <w:r w:rsidRPr="001104F3">
        <w:t xml:space="preserve">(2) of this instrument, the ADI meets the enhanced notification threshold if the ADI’s total asset size on </w:t>
      </w:r>
      <w:r w:rsidR="00675DAF" w:rsidRPr="001104F3">
        <w:t>1 </w:t>
      </w:r>
      <w:r w:rsidR="00E14C89">
        <w:t>November</w:t>
      </w:r>
      <w:r w:rsidR="005D1B78" w:rsidRPr="001104F3">
        <w:t xml:space="preserve"> 2022</w:t>
      </w:r>
      <w:r w:rsidRPr="001104F3">
        <w:t xml:space="preserve"> equals or exceeds $10 billion.</w:t>
      </w:r>
    </w:p>
    <w:p w14:paraId="3A86E96C" w14:textId="77777777" w:rsidR="00C47E19" w:rsidRPr="001104F3" w:rsidRDefault="00C47E19" w:rsidP="00CF2728">
      <w:pPr>
        <w:pStyle w:val="notetext"/>
      </w:pPr>
      <w:r w:rsidRPr="001104F3">
        <w:t>Example 2:</w:t>
      </w:r>
      <w:r w:rsidRPr="001104F3">
        <w:tab/>
        <w:t xml:space="preserve">The financial year for a general insurer starts on 1 July 2023. If the Act commences on </w:t>
      </w:r>
      <w:r w:rsidR="00C633F6" w:rsidRPr="001104F3">
        <w:t>1 </w:t>
      </w:r>
      <w:r w:rsidR="00E14C89">
        <w:t>December</w:t>
      </w:r>
      <w:r w:rsidRPr="001104F3">
        <w:t xml:space="preserve"> 2022, the general insurer starts being an accountable entity 18 months later on </w:t>
      </w:r>
      <w:r w:rsidR="00C633F6" w:rsidRPr="001104F3">
        <w:t>1 </w:t>
      </w:r>
      <w:r w:rsidR="00E14C89">
        <w:t>June</w:t>
      </w:r>
      <w:r w:rsidRPr="001104F3">
        <w:t xml:space="preserve"> 202</w:t>
      </w:r>
      <w:r w:rsidR="00E14C89">
        <w:t>4</w:t>
      </w:r>
      <w:r w:rsidRPr="001104F3">
        <w:t xml:space="preserve"> (see </w:t>
      </w:r>
      <w:r w:rsidR="00C633F6" w:rsidRPr="001104F3">
        <w:t>paragraph 9</w:t>
      </w:r>
      <w:r w:rsidRPr="001104F3">
        <w:t>(4)(</w:t>
      </w:r>
      <w:r w:rsidR="00416974">
        <w:t>a</w:t>
      </w:r>
      <w:r w:rsidRPr="001104F3">
        <w:t>) of the Act). Under subsection 17(2) of this instrument, the general insurer meets the enhanced notification threshold if the general insurer’s total asset size on 1 July 2023 equals or exceeds $2 billion.</w:t>
      </w:r>
    </w:p>
    <w:p w14:paraId="3A86E96D" w14:textId="77777777" w:rsidR="000E4D3E" w:rsidRPr="001104F3" w:rsidRDefault="000E4D3E" w:rsidP="000E4D3E">
      <w:pPr>
        <w:pStyle w:val="notetext"/>
        <w:rPr>
          <w:i/>
        </w:rPr>
      </w:pPr>
      <w:r w:rsidRPr="001104F3">
        <w:t>Note 1:</w:t>
      </w:r>
      <w:r w:rsidRPr="001104F3">
        <w:tab/>
        <w:t xml:space="preserve">See section 8 of the Act for the definition of </w:t>
      </w:r>
      <w:r w:rsidRPr="001104F3">
        <w:rPr>
          <w:b/>
          <w:i/>
        </w:rPr>
        <w:t>financial year</w:t>
      </w:r>
      <w:r w:rsidRPr="001104F3">
        <w:rPr>
          <w:i/>
        </w:rPr>
        <w:t>.</w:t>
      </w:r>
    </w:p>
    <w:p w14:paraId="3A86E96E" w14:textId="77777777" w:rsidR="000135E7" w:rsidRPr="001104F3" w:rsidRDefault="000E4D3E" w:rsidP="0071270D">
      <w:pPr>
        <w:pStyle w:val="notetext"/>
      </w:pPr>
      <w:r w:rsidRPr="001104F3">
        <w:t>Note 2:</w:t>
      </w:r>
      <w:r w:rsidRPr="001104F3">
        <w:tab/>
        <w:t xml:space="preserve">For when a </w:t>
      </w:r>
      <w:proofErr w:type="gramStart"/>
      <w:r w:rsidRPr="001104F3">
        <w:t>body corporate starts</w:t>
      </w:r>
      <w:proofErr w:type="gramEnd"/>
      <w:r w:rsidRPr="001104F3">
        <w:t xml:space="preserve"> being an accountable entity, see </w:t>
      </w:r>
      <w:r w:rsidR="00675DAF" w:rsidRPr="001104F3">
        <w:t>subsections 9</w:t>
      </w:r>
      <w:r w:rsidRPr="001104F3">
        <w:t xml:space="preserve">(2) </w:t>
      </w:r>
      <w:r w:rsidR="00CF2728" w:rsidRPr="001104F3">
        <w:t>and</w:t>
      </w:r>
      <w:r w:rsidRPr="001104F3">
        <w:t xml:space="preserve"> (4) of the Act.</w:t>
      </w:r>
      <w:bookmarkStart w:id="49" w:name="opcCurrentPosition"/>
      <w:bookmarkEnd w:id="49"/>
    </w:p>
    <w:sectPr w:rsidR="000135E7" w:rsidRPr="001104F3" w:rsidSect="00243018">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E973" w14:textId="77777777" w:rsidR="0077526C" w:rsidRDefault="0077526C" w:rsidP="00715914">
      <w:pPr>
        <w:spacing w:line="240" w:lineRule="auto"/>
      </w:pPr>
      <w:r>
        <w:separator/>
      </w:r>
    </w:p>
  </w:endnote>
  <w:endnote w:type="continuationSeparator" w:id="0">
    <w:p w14:paraId="3A86E974" w14:textId="77777777" w:rsidR="0077526C" w:rsidRDefault="0077526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77526C" w14:paraId="3A86E978" w14:textId="77777777" w:rsidTr="00824BC5">
      <w:tc>
        <w:tcPr>
          <w:tcW w:w="8472" w:type="dxa"/>
        </w:tcPr>
        <w:p w14:paraId="3A86E977" w14:textId="77777777" w:rsidR="0077526C" w:rsidRDefault="0077526C" w:rsidP="00335BC6">
          <w:pPr>
            <w:jc w:val="right"/>
            <w:rPr>
              <w:sz w:val="18"/>
            </w:rPr>
          </w:pPr>
          <w:r>
            <w:rPr>
              <w:i/>
              <w:noProof/>
              <w:sz w:val="18"/>
              <w:lang w:eastAsia="en-AU"/>
            </w:rPr>
            <mc:AlternateContent>
              <mc:Choice Requires="wps">
                <w:drawing>
                  <wp:anchor distT="0" distB="0" distL="114300" distR="114300" simplePos="0" relativeHeight="251664384" behindDoc="1" locked="0" layoutInCell="1" allowOverlap="1" wp14:anchorId="3A86E9BA" wp14:editId="3A86E9BB">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DD" w14:textId="77777777"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p w14:paraId="3A86E9DE"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BA"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GTiAIAAIY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URy8WUF5R47xkE7TN7yucLqLZgPj8zh9GDB&#10;cSOEB/xIDZh86E6UbMD9+tt7xGNTo5SSGqexoP7nljlBif5msN3H/eEwjm+6DEfXA7y4c8nqXGK2&#10;1QywKfq4eyxPx4gP+nCUDqpnXBzT6BVFzHD0XdBwOM5CuyNw8XAxnSYQDqxlYWGWlh8GJfbmU/PM&#10;nO0aOGDr38Nhbln+po9bbKyPgek2gFSpyU9Z7fKPw57GpFtMcZuc3xPqtD4nvwE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IEV&#10;wZOIAgAAhgUAAA4AAAAAAAAAAAAAAAAALgIAAGRycy9lMm9Eb2MueG1sUEsBAi0AFAAGAAgAAAAh&#10;AGxSxpzaAAAABAEAAA8AAAAAAAAAAAAAAAAA4gQAAGRycy9kb3ducmV2LnhtbFBLBQYAAAAABAAE&#10;APMAAADpBQAAAAA=&#10;" stroked="f" strokeweight=".5pt">
                    <v:path arrowok="t"/>
                    <v:textbox>
                      <w:txbxContent>
                        <w:p w14:paraId="3A86E9DD" w14:textId="77777777"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p w14:paraId="3A86E9DE" w14:textId="77777777" w:rsidR="0077526C" w:rsidRPr="00E14C89" w:rsidRDefault="0077526C" w:rsidP="00E14C89">
                          <w:pPr>
                            <w:jc w:val="center"/>
                            <w:rPr>
                              <w:rFonts w:ascii="Arial" w:hAnsi="Arial" w:cs="Arial"/>
                              <w:b/>
                              <w:sz w:val="40"/>
                            </w:rPr>
                          </w:pPr>
                        </w:p>
                      </w:txbxContent>
                    </v:textbox>
                    <w10:wrap anchorx="page"/>
                  </v:shape>
                </w:pict>
              </mc:Fallback>
            </mc:AlternateContent>
          </w:r>
          <w:r w:rsidRPr="00ED79B6">
            <w:rPr>
              <w:i/>
              <w:sz w:val="18"/>
            </w:rPr>
            <w:t xml:space="preserve"> </w:t>
          </w:r>
        </w:p>
      </w:tc>
    </w:tr>
  </w:tbl>
  <w:p w14:paraId="3A86E979" w14:textId="77777777" w:rsidR="0077526C" w:rsidRPr="007500C8" w:rsidRDefault="0077526C"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7A" w14:textId="77777777" w:rsidR="0077526C" w:rsidRDefault="0077526C" w:rsidP="007500C8">
    <w:pPr>
      <w:pStyle w:val="Footer"/>
    </w:pPr>
    <w:r>
      <w:rPr>
        <w:noProof/>
      </w:rPr>
      <mc:AlternateContent>
        <mc:Choice Requires="wps">
          <w:drawing>
            <wp:anchor distT="0" distB="0" distL="114300" distR="114300" simplePos="0" relativeHeight="251662336" behindDoc="1" locked="0" layoutInCell="1" allowOverlap="1" wp14:anchorId="3A86E9BC" wp14:editId="3A86E9BD">
              <wp:simplePos x="0" y="0"/>
              <wp:positionH relativeFrom="page">
                <wp:align>center</wp:align>
              </wp:positionH>
              <wp:positionV relativeFrom="paragraph">
                <wp:posOffset>327660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DF" w14:textId="5A9E3374"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0"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BC" id="_x0000_t202" coordsize="21600,21600" o:spt="202" path="m,l,21600r21600,l21600,xe">
              <v:stroke joinstyle="miter"/>
              <v:path gradientshapeok="t" o:connecttype="rect"/>
            </v:shapetype>
            <v:shape id="Text Box 5" o:spid="_x0000_s1029" type="#_x0000_t202" alt="Sec-primary" style="position:absolute;margin-left:0;margin-top:25.8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" stroked="f" strokeweight=".5pt">
              <v:path arrowok="t"/>
              <v:textbox>
                <w:txbxContent>
                  <w:p w14:paraId="3A86E9DF" w14:textId="5A9E3374"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0" w14:textId="77777777" w:rsidR="0077526C" w:rsidRPr="00E14C89" w:rsidRDefault="0077526C" w:rsidP="00E14C89">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77526C" w14:paraId="3A86E97C" w14:textId="77777777" w:rsidTr="00824BC5">
      <w:tc>
        <w:tcPr>
          <w:tcW w:w="8472" w:type="dxa"/>
        </w:tcPr>
        <w:p w14:paraId="3A86E97B" w14:textId="77777777" w:rsidR="0077526C" w:rsidRDefault="0077526C" w:rsidP="00824BC5">
          <w:pPr>
            <w:rPr>
              <w:sz w:val="18"/>
            </w:rPr>
          </w:pPr>
          <w:r w:rsidRPr="00ED79B6">
            <w:rPr>
              <w:i/>
              <w:sz w:val="18"/>
            </w:rPr>
            <w:t xml:space="preserve"> </w:t>
          </w:r>
        </w:p>
      </w:tc>
    </w:tr>
  </w:tbl>
  <w:p w14:paraId="3A86E97D" w14:textId="77777777" w:rsidR="0077526C" w:rsidRPr="007500C8" w:rsidRDefault="0077526C"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7F" w14:textId="77777777" w:rsidR="0077526C" w:rsidRPr="00ED79B6" w:rsidRDefault="0077526C" w:rsidP="00BA220B">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3A86E9C0" wp14:editId="3A86E9C1">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2"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C0"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U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EsZiQXX9ZQHrBjHLTD5C1fKqzeivlwzxxODxYc&#10;N0K4w4/UgMmH7kTJFtyvv71HPDY1SimpcRoL6n/umBOU6G8G2302Go/j+KbLeHJxhhf3UrJ+KTG7&#10;6hqwKUa4eyxPx4gPuj9KB9UTLo5F9IoiZjj6Lmjoj9eh3RG4eLhYLBIIB9aysDIPlveDEnvzsXli&#10;znYNHLD1b6GfW5a/6eMWG+tjYLELIFVq8lNWu/zjsKcx6RZT3CYv7wl1Wp/z3wA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D8A&#10;vNSIAgAAhgUAAA4AAAAAAAAAAAAAAAAALgIAAGRycy9lMm9Eb2MueG1sUEsBAi0AFAAGAAgAAAAh&#10;AGxSxpzaAAAABAEAAA8AAAAAAAAAAAAAAAAA4gQAAGRycy9kb3ducmV2LnhtbFBLBQYAAAAABAAE&#10;APMAAADpBQAAAAA=&#10;" stroked="f" strokeweight=".5pt">
              <v:path arrowok="t"/>
              <v:textbox>
                <w:txbxContent>
                  <w:p w14:paraId="3A86E9E2"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3A86E9C2" wp14:editId="3A86E9C3">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3"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E9C2" id="Text Box 3"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w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HMYCQXX9ZQHrBjHLTD5C1fKqzeivlwzxxODxYc&#10;N0K4w4/UgMmH7kTJFtyvv71HPDY1SimpcRoL6n/umBOU6G8G2302Go/j+KbLeHJxhhf3UrJ+KTG7&#10;6hqwKUa4eyxPx4gPuj9KB9UTLo5F9IoiZjj6Lmjoj9eh3RG4eLhYLBIIB9aysDIPlveDEnvzsXli&#10;znYNHLD1b6GfW5a/6eMWG+tjYLELIFVq8lNWu/zjsKcx6RZT3CYv7wl1Wp/z3wA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P/Q&#10;HXCIAgAAhgUAAA4AAAAAAAAAAAAAAAAALgIAAGRycy9lMm9Eb2MueG1sUEsBAi0AFAAGAAgAAAAh&#10;AGxSxpzaAAAABAEAAA8AAAAAAAAAAAAAAAAA4gQAAGRycy9kb3ducmV2LnhtbFBLBQYAAAAABAAE&#10;APMAAADpBQAAAAA=&#10;" stroked="f" strokeweight=".5pt">
              <v:path arrowok="t"/>
              <v:textbox>
                <w:txbxContent>
                  <w:p w14:paraId="3A86E9E3"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82" w14:textId="7746E058" w:rsidR="0077526C" w:rsidRPr="00E33C1C" w:rsidRDefault="0077526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526C" w14:paraId="3A86E986" w14:textId="77777777" w:rsidTr="00B33709">
      <w:tc>
        <w:tcPr>
          <w:tcW w:w="709" w:type="dxa"/>
          <w:tcBorders>
            <w:top w:val="nil"/>
            <w:left w:val="nil"/>
            <w:bottom w:val="nil"/>
            <w:right w:val="nil"/>
          </w:tcBorders>
        </w:tcPr>
        <w:p w14:paraId="3A86E983" w14:textId="77777777" w:rsidR="0077526C" w:rsidRDefault="0077526C" w:rsidP="00824B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A86E984" w14:textId="77777777" w:rsidR="0077526C" w:rsidRDefault="0077526C" w:rsidP="00824B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6765">
            <w:rPr>
              <w:i/>
              <w:sz w:val="18"/>
            </w:rPr>
            <w:t>Financial Accountability Regime Minister Rules 2022</w:t>
          </w:r>
          <w:r w:rsidRPr="007A1328">
            <w:rPr>
              <w:i/>
              <w:sz w:val="18"/>
            </w:rPr>
            <w:fldChar w:fldCharType="end"/>
          </w:r>
        </w:p>
      </w:tc>
      <w:tc>
        <w:tcPr>
          <w:tcW w:w="1383" w:type="dxa"/>
          <w:tcBorders>
            <w:top w:val="nil"/>
            <w:left w:val="nil"/>
            <w:bottom w:val="nil"/>
            <w:right w:val="nil"/>
          </w:tcBorders>
        </w:tcPr>
        <w:p w14:paraId="3A86E985" w14:textId="77777777" w:rsidR="0077526C" w:rsidRDefault="0077526C" w:rsidP="00824BC5">
          <w:pPr>
            <w:spacing w:line="0" w:lineRule="atLeast"/>
            <w:jc w:val="right"/>
            <w:rPr>
              <w:sz w:val="18"/>
            </w:rPr>
          </w:pPr>
        </w:p>
      </w:tc>
    </w:tr>
    <w:tr w:rsidR="0077526C" w14:paraId="3A86E98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86E987" w14:textId="77777777" w:rsidR="0077526C" w:rsidRDefault="0077526C" w:rsidP="00824BC5">
          <w:pPr>
            <w:jc w:val="right"/>
            <w:rPr>
              <w:sz w:val="18"/>
            </w:rPr>
          </w:pPr>
          <w:r w:rsidRPr="00ED79B6">
            <w:rPr>
              <w:i/>
              <w:sz w:val="18"/>
            </w:rPr>
            <w:t xml:space="preserve"> </w:t>
          </w:r>
        </w:p>
      </w:tc>
    </w:tr>
  </w:tbl>
  <w:p w14:paraId="3A86E989" w14:textId="7519847B" w:rsidR="0077526C" w:rsidRPr="00ED79B6" w:rsidRDefault="0043278B" w:rsidP="007500C8">
    <w:pPr>
      <w:rPr>
        <w:i/>
        <w:sz w:val="18"/>
      </w:rPr>
    </w:pPr>
    <w:r>
      <w:rPr>
        <w:noProof/>
        <w:sz w:val="16"/>
        <w:szCs w:val="16"/>
        <w:lang w:eastAsia="en-AU"/>
      </w:rPr>
      <mc:AlternateContent>
        <mc:Choice Requires="wps">
          <w:drawing>
            <wp:anchor distT="0" distB="0" distL="114300" distR="114300" simplePos="0" relativeHeight="251670528" behindDoc="1" locked="0" layoutInCell="1" allowOverlap="1" wp14:anchorId="3A86E9C8" wp14:editId="6D8873FA">
              <wp:simplePos x="0" y="0"/>
              <wp:positionH relativeFrom="page">
                <wp:posOffset>834390</wp:posOffset>
              </wp:positionH>
              <wp:positionV relativeFrom="paragraph">
                <wp:posOffset>21590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8" w14:textId="0E25B8EA"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9"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C8" id="_x0000_t202" coordsize="21600,21600" o:spt="202" path="m,l,21600r21600,l21600,xe">
              <v:stroke joinstyle="miter"/>
              <v:path gradientshapeok="t" o:connecttype="rect"/>
            </v:shapetype>
            <v:shape id="Text Box 13" o:spid="_x0000_s1035" type="#_x0000_t202" alt="Sec-evenpage" style="position:absolute;margin-left:65.7pt;margin-top:1.7pt;width:453.5pt;height:31.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griAIAAIY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" stroked="f" strokeweight=".5pt">
              <v:path arrowok="t"/>
              <v:textbox>
                <w:txbxContent>
                  <w:p w14:paraId="3A86E9E8" w14:textId="0E25B8EA"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9" w14:textId="77777777" w:rsidR="0077526C" w:rsidRPr="00E14C89" w:rsidRDefault="0077526C" w:rsidP="00E14C89">
                    <w:pPr>
                      <w:jc w:val="center"/>
                      <w:rPr>
                        <w:rFonts w:ascii="Arial" w:hAnsi="Arial" w:cs="Arial"/>
                        <w:b/>
                        <w:sz w:val="40"/>
                      </w:rPr>
                    </w:pP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8A" w14:textId="77777777" w:rsidR="0077526C" w:rsidRPr="00E33C1C" w:rsidRDefault="0077526C"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3A86E9CA" wp14:editId="3A86E9CB">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A" w14:textId="41299129"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B"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CA"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" stroked="f" strokeweight=".5pt">
              <v:path arrowok="t"/>
              <v:textbox>
                <w:txbxContent>
                  <w:p w14:paraId="3A86E9EA" w14:textId="41299129"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B" w14:textId="77777777" w:rsidR="0077526C" w:rsidRPr="00E14C89" w:rsidRDefault="0077526C" w:rsidP="00E14C89">
                    <w:pPr>
                      <w:jc w:val="center"/>
                      <w:rPr>
                        <w:rFonts w:ascii="Arial" w:hAnsi="Arial" w:cs="Arial"/>
                        <w:b/>
                        <w:sz w:val="40"/>
                      </w:rPr>
                    </w:pP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77526C" w14:paraId="3A86E98E" w14:textId="77777777" w:rsidTr="00B33709">
      <w:tc>
        <w:tcPr>
          <w:tcW w:w="1383" w:type="dxa"/>
          <w:tcBorders>
            <w:top w:val="nil"/>
            <w:left w:val="nil"/>
            <w:bottom w:val="nil"/>
            <w:right w:val="nil"/>
          </w:tcBorders>
        </w:tcPr>
        <w:p w14:paraId="3A86E98B" w14:textId="77777777" w:rsidR="0077526C" w:rsidRDefault="0077526C" w:rsidP="00824BC5">
          <w:pPr>
            <w:spacing w:line="0" w:lineRule="atLeast"/>
            <w:rPr>
              <w:sz w:val="18"/>
            </w:rPr>
          </w:pPr>
        </w:p>
      </w:tc>
      <w:tc>
        <w:tcPr>
          <w:tcW w:w="6380" w:type="dxa"/>
          <w:tcBorders>
            <w:top w:val="nil"/>
            <w:left w:val="nil"/>
            <w:bottom w:val="nil"/>
            <w:right w:val="nil"/>
          </w:tcBorders>
        </w:tcPr>
        <w:p w14:paraId="3A86E98C" w14:textId="77777777" w:rsidR="0077526C" w:rsidRDefault="0077526C" w:rsidP="00824B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6765">
            <w:rPr>
              <w:i/>
              <w:sz w:val="18"/>
            </w:rPr>
            <w:t>Financial Accountability Regime Minister Rules 2022</w:t>
          </w:r>
          <w:r w:rsidRPr="007A1328">
            <w:rPr>
              <w:i/>
              <w:sz w:val="18"/>
            </w:rPr>
            <w:fldChar w:fldCharType="end"/>
          </w:r>
        </w:p>
      </w:tc>
      <w:tc>
        <w:tcPr>
          <w:tcW w:w="709" w:type="dxa"/>
          <w:tcBorders>
            <w:top w:val="nil"/>
            <w:left w:val="nil"/>
            <w:bottom w:val="nil"/>
            <w:right w:val="nil"/>
          </w:tcBorders>
        </w:tcPr>
        <w:p w14:paraId="3A86E98D" w14:textId="77777777" w:rsidR="0077526C" w:rsidRDefault="0077526C" w:rsidP="00824B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77526C" w14:paraId="3A86E99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86E98F" w14:textId="77777777" w:rsidR="0077526C" w:rsidRDefault="0077526C" w:rsidP="00824BC5">
          <w:pPr>
            <w:rPr>
              <w:sz w:val="18"/>
            </w:rPr>
          </w:pPr>
          <w:r w:rsidRPr="00ED79B6">
            <w:rPr>
              <w:i/>
              <w:sz w:val="18"/>
            </w:rPr>
            <w:t xml:space="preserve"> </w:t>
          </w:r>
        </w:p>
      </w:tc>
    </w:tr>
  </w:tbl>
  <w:p w14:paraId="3A86E991" w14:textId="77777777" w:rsidR="0077526C" w:rsidRPr="00ED79B6" w:rsidRDefault="0077526C"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9D" w14:textId="2AC7FD25" w:rsidR="0077526C" w:rsidRPr="00E33C1C" w:rsidRDefault="0077526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526C" w14:paraId="3A86E9A1" w14:textId="77777777" w:rsidTr="00B33709">
      <w:tc>
        <w:tcPr>
          <w:tcW w:w="709" w:type="dxa"/>
          <w:tcBorders>
            <w:top w:val="nil"/>
            <w:left w:val="nil"/>
            <w:bottom w:val="nil"/>
            <w:right w:val="nil"/>
          </w:tcBorders>
        </w:tcPr>
        <w:p w14:paraId="3A86E99E" w14:textId="77777777" w:rsidR="0077526C" w:rsidRDefault="0077526C" w:rsidP="00824B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A86E99F" w14:textId="77777777" w:rsidR="0077526C" w:rsidRDefault="0077526C" w:rsidP="00824B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6765">
            <w:rPr>
              <w:i/>
              <w:sz w:val="18"/>
            </w:rPr>
            <w:t>Financial Accountability Regime Minister Rules 2022</w:t>
          </w:r>
          <w:r w:rsidRPr="007A1328">
            <w:rPr>
              <w:i/>
              <w:sz w:val="18"/>
            </w:rPr>
            <w:fldChar w:fldCharType="end"/>
          </w:r>
        </w:p>
      </w:tc>
      <w:tc>
        <w:tcPr>
          <w:tcW w:w="1383" w:type="dxa"/>
          <w:tcBorders>
            <w:top w:val="nil"/>
            <w:left w:val="nil"/>
            <w:bottom w:val="nil"/>
            <w:right w:val="nil"/>
          </w:tcBorders>
        </w:tcPr>
        <w:p w14:paraId="3A86E9A0" w14:textId="77777777" w:rsidR="0077526C" w:rsidRDefault="0077526C" w:rsidP="00824BC5">
          <w:pPr>
            <w:spacing w:line="0" w:lineRule="atLeast"/>
            <w:jc w:val="right"/>
            <w:rPr>
              <w:sz w:val="18"/>
            </w:rPr>
          </w:pPr>
        </w:p>
      </w:tc>
    </w:tr>
    <w:tr w:rsidR="0077526C" w14:paraId="3A86E9A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86E9A2" w14:textId="4D0E9CC6" w:rsidR="0077526C" w:rsidRDefault="0077526C" w:rsidP="00824BC5">
          <w:pPr>
            <w:jc w:val="right"/>
            <w:rPr>
              <w:sz w:val="18"/>
            </w:rPr>
          </w:pPr>
          <w:r w:rsidRPr="00ED79B6">
            <w:rPr>
              <w:i/>
              <w:sz w:val="18"/>
            </w:rPr>
            <w:t xml:space="preserve"> </w:t>
          </w:r>
        </w:p>
      </w:tc>
    </w:tr>
  </w:tbl>
  <w:p w14:paraId="3A86E9A4" w14:textId="44A12C26" w:rsidR="0077526C" w:rsidRPr="00ED79B6" w:rsidRDefault="009E4919" w:rsidP="007500C8">
    <w:pPr>
      <w:rPr>
        <w:i/>
        <w:sz w:val="18"/>
      </w:rPr>
    </w:pPr>
    <w:r>
      <w:rPr>
        <w:noProof/>
        <w:sz w:val="16"/>
        <w:szCs w:val="16"/>
        <w:lang w:eastAsia="en-AU"/>
      </w:rPr>
      <mc:AlternateContent>
        <mc:Choice Requires="wps">
          <w:drawing>
            <wp:anchor distT="0" distB="0" distL="114300" distR="114300" simplePos="0" relativeHeight="251676672" behindDoc="1" locked="0" layoutInCell="1" allowOverlap="1" wp14:anchorId="3A86E9D2" wp14:editId="6FAB12A6">
              <wp:simplePos x="0" y="0"/>
              <wp:positionH relativeFrom="page">
                <wp:posOffset>901065</wp:posOffset>
              </wp:positionH>
              <wp:positionV relativeFrom="paragraph">
                <wp:posOffset>31115</wp:posOffset>
              </wp:positionV>
              <wp:extent cx="5759450" cy="395605"/>
              <wp:effectExtent l="0" t="0" r="0" b="4445"/>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F1" w14:textId="77CE9E9A"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F2"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D2" id="_x0000_t202" coordsize="21600,21600" o:spt="202" path="m,l,21600r21600,l21600,xe">
              <v:stroke joinstyle="miter"/>
              <v:path gradientshapeok="t" o:connecttype="rect"/>
            </v:shapetype>
            <v:shape id="Text Box 19" o:spid="_x0000_s1040" type="#_x0000_t202" alt="Sec-evenpage" style="position:absolute;margin-left:70.95pt;margin-top:2.45pt;width:453.5pt;height:31.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seiQIAAIc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" stroked="f" strokeweight=".5pt">
              <v:path arrowok="t"/>
              <v:textbox>
                <w:txbxContent>
                  <w:p w14:paraId="3A86E9F1" w14:textId="77CE9E9A"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F2" w14:textId="77777777" w:rsidR="0077526C" w:rsidRPr="00E14C89" w:rsidRDefault="0077526C" w:rsidP="00E14C89">
                    <w:pPr>
                      <w:jc w:val="center"/>
                      <w:rPr>
                        <w:rFonts w:ascii="Arial" w:hAnsi="Arial" w:cs="Arial"/>
                        <w:b/>
                        <w:sz w:val="40"/>
                      </w:rPr>
                    </w:pPr>
                  </w:p>
                </w:txbxContent>
              </v:textbox>
              <w10:wrap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A5" w14:textId="77777777" w:rsidR="0077526C" w:rsidRPr="00E33C1C" w:rsidRDefault="0077526C"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4624" behindDoc="1" locked="0" layoutInCell="1" allowOverlap="1" wp14:anchorId="3A86E9D4" wp14:editId="3A86E9D5">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F3" w14:textId="68F87216"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F4"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D4" id="_x0000_t202" coordsize="21600,21600" o:spt="202" path="m,l,21600r21600,l21600,xe">
              <v:stroke joinstyle="miter"/>
              <v:path gradientshapeok="t" o:connecttype="rect"/>
            </v:shapetype>
            <v:shape id="Text Box 17" o:spid="_x0000_s1041" type="#_x0000_t202" alt="Sec-primary" style="position:absolute;margin-left:0;margin-top:40.8pt;width:453.75pt;height:3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" stroked="f" strokeweight=".5pt">
              <v:path arrowok="t"/>
              <v:textbox>
                <w:txbxContent>
                  <w:p w14:paraId="3A86E9F3" w14:textId="68F87216"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F4" w14:textId="77777777" w:rsidR="0077526C" w:rsidRPr="00E14C89" w:rsidRDefault="0077526C" w:rsidP="00E14C89">
                    <w:pPr>
                      <w:jc w:val="center"/>
                      <w:rPr>
                        <w:rFonts w:ascii="Arial" w:hAnsi="Arial" w:cs="Arial"/>
                        <w:b/>
                        <w:sz w:val="40"/>
                      </w:rPr>
                    </w:pPr>
                  </w:p>
                </w:txbxContent>
              </v:textbox>
              <w10:wrap anchorx="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77526C" w14:paraId="3A86E9A9" w14:textId="77777777" w:rsidTr="00824BC5">
      <w:tc>
        <w:tcPr>
          <w:tcW w:w="1384" w:type="dxa"/>
          <w:tcBorders>
            <w:top w:val="nil"/>
            <w:left w:val="nil"/>
            <w:bottom w:val="nil"/>
            <w:right w:val="nil"/>
          </w:tcBorders>
        </w:tcPr>
        <w:p w14:paraId="3A86E9A6" w14:textId="77777777" w:rsidR="0077526C" w:rsidRDefault="0077526C" w:rsidP="00824BC5">
          <w:pPr>
            <w:spacing w:line="0" w:lineRule="atLeast"/>
            <w:rPr>
              <w:sz w:val="18"/>
            </w:rPr>
          </w:pPr>
        </w:p>
      </w:tc>
      <w:tc>
        <w:tcPr>
          <w:tcW w:w="6379" w:type="dxa"/>
          <w:tcBorders>
            <w:top w:val="nil"/>
            <w:left w:val="nil"/>
            <w:bottom w:val="nil"/>
            <w:right w:val="nil"/>
          </w:tcBorders>
        </w:tcPr>
        <w:p w14:paraId="3A86E9A7" w14:textId="77777777" w:rsidR="0077526C" w:rsidRDefault="0077526C" w:rsidP="00824B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6765">
            <w:rPr>
              <w:i/>
              <w:sz w:val="18"/>
            </w:rPr>
            <w:t>Financial Accountability Regime Minister Rules 2022</w:t>
          </w:r>
          <w:r w:rsidRPr="007A1328">
            <w:rPr>
              <w:i/>
              <w:sz w:val="18"/>
            </w:rPr>
            <w:fldChar w:fldCharType="end"/>
          </w:r>
        </w:p>
      </w:tc>
      <w:tc>
        <w:tcPr>
          <w:tcW w:w="709" w:type="dxa"/>
          <w:tcBorders>
            <w:top w:val="nil"/>
            <w:left w:val="nil"/>
            <w:bottom w:val="nil"/>
            <w:right w:val="nil"/>
          </w:tcBorders>
        </w:tcPr>
        <w:p w14:paraId="3A86E9A8" w14:textId="77777777" w:rsidR="0077526C" w:rsidRDefault="0077526C" w:rsidP="00824B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7526C" w14:paraId="3A86E9AB" w14:textId="77777777" w:rsidTr="00824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86E9AA" w14:textId="77777777" w:rsidR="0077526C" w:rsidRDefault="0077526C" w:rsidP="00824BC5">
          <w:pPr>
            <w:rPr>
              <w:sz w:val="18"/>
            </w:rPr>
          </w:pPr>
          <w:r w:rsidRPr="00ED79B6">
            <w:rPr>
              <w:i/>
              <w:sz w:val="18"/>
            </w:rPr>
            <w:t xml:space="preserve"> </w:t>
          </w:r>
        </w:p>
      </w:tc>
    </w:tr>
  </w:tbl>
  <w:p w14:paraId="3A86E9AC" w14:textId="77777777" w:rsidR="0077526C" w:rsidRPr="00ED79B6" w:rsidRDefault="0077526C"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AE" w14:textId="77777777" w:rsidR="0077526C" w:rsidRPr="00E33C1C" w:rsidRDefault="0077526C" w:rsidP="007500C8">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72576" behindDoc="1" locked="0" layoutInCell="1" allowOverlap="1" wp14:anchorId="3A86E9D8" wp14:editId="3A86E9D9">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F6" w14:textId="3F810E52"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278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D8" id="_x0000_t202" coordsize="21600,21600" o:spt="202" path="m,l,21600r21600,l21600,xe">
              <v:stroke joinstyle="miter"/>
              <v:path gradientshapeok="t" o:connecttype="rect"/>
            </v:shapetype>
            <v:shape id="Text Box 15" o:spid="_x0000_s1043" type="#_x0000_t202" alt="Sec-firstpage" style="position:absolute;margin-left:0;margin-top:0;width:453.5pt;height:31.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" stroked="f" strokeweight=".5pt">
              <v:path arrowok="t"/>
              <v:textbox>
                <w:txbxContent>
                  <w:p w14:paraId="3A86E9F6" w14:textId="3F810E52"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3278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77526C" w14:paraId="3A86E9B2" w14:textId="77777777" w:rsidTr="00B33709">
      <w:tc>
        <w:tcPr>
          <w:tcW w:w="1384" w:type="dxa"/>
          <w:tcBorders>
            <w:top w:val="nil"/>
            <w:left w:val="nil"/>
            <w:bottom w:val="nil"/>
            <w:right w:val="nil"/>
          </w:tcBorders>
        </w:tcPr>
        <w:p w14:paraId="3A86E9AF" w14:textId="77777777" w:rsidR="0077526C" w:rsidRDefault="0077526C" w:rsidP="00824BC5">
          <w:pPr>
            <w:spacing w:line="0" w:lineRule="atLeast"/>
            <w:rPr>
              <w:sz w:val="18"/>
            </w:rPr>
          </w:pPr>
        </w:p>
      </w:tc>
      <w:tc>
        <w:tcPr>
          <w:tcW w:w="6379" w:type="dxa"/>
          <w:tcBorders>
            <w:top w:val="nil"/>
            <w:left w:val="nil"/>
            <w:bottom w:val="nil"/>
            <w:right w:val="nil"/>
          </w:tcBorders>
        </w:tcPr>
        <w:p w14:paraId="3A86E9B0" w14:textId="77777777" w:rsidR="0077526C" w:rsidRDefault="0077526C" w:rsidP="00824B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6765">
            <w:rPr>
              <w:i/>
              <w:sz w:val="18"/>
            </w:rPr>
            <w:t>Financial Accountability Regime Minister Rules 2022</w:t>
          </w:r>
          <w:r w:rsidRPr="007A1328">
            <w:rPr>
              <w:i/>
              <w:sz w:val="18"/>
            </w:rPr>
            <w:fldChar w:fldCharType="end"/>
          </w:r>
        </w:p>
      </w:tc>
      <w:tc>
        <w:tcPr>
          <w:tcW w:w="709" w:type="dxa"/>
          <w:tcBorders>
            <w:top w:val="nil"/>
            <w:left w:val="nil"/>
            <w:bottom w:val="nil"/>
            <w:right w:val="nil"/>
          </w:tcBorders>
        </w:tcPr>
        <w:p w14:paraId="3A86E9B1" w14:textId="77777777" w:rsidR="0077526C" w:rsidRDefault="0077526C" w:rsidP="00824B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7526C" w14:paraId="3A86E9B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86E9B3" w14:textId="77777777" w:rsidR="0077526C" w:rsidRDefault="0077526C" w:rsidP="00824BC5">
          <w:pPr>
            <w:rPr>
              <w:sz w:val="18"/>
            </w:rPr>
          </w:pPr>
          <w:r w:rsidRPr="00ED79B6">
            <w:rPr>
              <w:i/>
              <w:sz w:val="18"/>
            </w:rPr>
            <w:t xml:space="preserve"> </w:t>
          </w:r>
        </w:p>
      </w:tc>
    </w:tr>
  </w:tbl>
  <w:p w14:paraId="3A86E9B5" w14:textId="77777777" w:rsidR="0077526C" w:rsidRPr="00ED79B6" w:rsidRDefault="0077526C"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E971" w14:textId="77777777" w:rsidR="0077526C" w:rsidRDefault="0077526C" w:rsidP="00715914">
      <w:pPr>
        <w:spacing w:line="240" w:lineRule="auto"/>
      </w:pPr>
      <w:r>
        <w:separator/>
      </w:r>
    </w:p>
  </w:footnote>
  <w:footnote w:type="continuationSeparator" w:id="0">
    <w:p w14:paraId="3A86E972" w14:textId="77777777" w:rsidR="0077526C" w:rsidRDefault="0077526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75" w14:textId="77777777" w:rsidR="0077526C" w:rsidRPr="005F1388" w:rsidRDefault="0077526C" w:rsidP="00715914">
    <w:pPr>
      <w:pStyle w:val="Header"/>
      <w:tabs>
        <w:tab w:val="clear" w:pos="4150"/>
        <w:tab w:val="clear" w:pos="8307"/>
      </w:tabs>
    </w:pPr>
    <w:r>
      <w:rPr>
        <w:noProof/>
      </w:rPr>
      <mc:AlternateContent>
        <mc:Choice Requires="wps">
          <w:drawing>
            <wp:anchor distT="0" distB="0" distL="114300" distR="114300" simplePos="0" relativeHeight="251663360" behindDoc="1" locked="0" layoutInCell="1" allowOverlap="1" wp14:anchorId="3A86E9B6" wp14:editId="3A86E9B7">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DA" w14:textId="77777777"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p w14:paraId="3A86E9DB"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B6"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mTgwIAAH8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" stroked="f" strokeweight=".5pt">
              <v:path arrowok="t"/>
              <v:textbox>
                <w:txbxContent>
                  <w:p w14:paraId="3A86E9DA" w14:textId="77777777"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p w14:paraId="3A86E9DB" w14:textId="77777777" w:rsidR="0077526C" w:rsidRPr="00E14C89" w:rsidRDefault="0077526C" w:rsidP="00E14C89">
                    <w:pPr>
                      <w:jc w:val="center"/>
                      <w:rPr>
                        <w:rFonts w:ascii="Arial" w:hAnsi="Arial" w:cs="Arial"/>
                        <w:b/>
                        <w:sz w:val="40"/>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76" w14:textId="77777777" w:rsidR="0077526C" w:rsidRPr="005F1388" w:rsidRDefault="0077526C" w:rsidP="00715914">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14:anchorId="3A86E9B8" wp14:editId="3A86E9B9">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DC" w14:textId="7DB8D652" w:rsidR="0077526C"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B8"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" stroked="f" strokeweight=".5pt">
              <v:path arrowok="t"/>
              <v:textbox>
                <w:txbxContent>
                  <w:p w14:paraId="3A86E9DC" w14:textId="7DB8D652" w:rsidR="0077526C"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7E" w14:textId="77777777" w:rsidR="0077526C" w:rsidRPr="005F1388" w:rsidRDefault="0077526C"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3A86E9BE" wp14:editId="3A86E9BF">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1"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BE"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MB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PGCjiO5+LKG8oAd46AdJm/5UmH1VsyHe+ZwerDg&#10;uBHCHX6kBkw+dCdKtuB+/e094rGpUUpJjdNYUP9zx5ygRH8z2O6z0XgcxzddxpOLM7y4l5L1S4nZ&#10;VdeATTHC3WN5OkZ80P1ROqiecHEsolcUMcPRd0FDf7wO7Y7AxcPFYpFAOLCWhZV5sLwflNibj80T&#10;c7Zr4ICtfwv93LL8TR+32FgfA4tdAKlSk5+y2uUfhz2NSbeY4jZ5eU+o0/qc/wY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BA&#10;svMBiAIAAIYFAAAOAAAAAAAAAAAAAAAAAC4CAABkcnMvZTJvRG9jLnhtbFBLAQItABQABgAIAAAA&#10;IQB0YpYu2wAAAAcBAAAPAAAAAAAAAAAAAAAAAOIEAABkcnMvZG93bnJldi54bWxQSwUGAAAAAAQA&#10;BADzAAAA6gUAAAAA&#10;" stroked="f" strokeweight=".5pt">
              <v:path arrowok="t"/>
              <v:textbox>
                <w:txbxContent>
                  <w:p w14:paraId="3A86E9E1"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80" w14:textId="77777777" w:rsidR="0077526C" w:rsidRPr="00ED79B6" w:rsidRDefault="0077526C"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9504" behindDoc="1" locked="0" layoutInCell="1" allowOverlap="1" wp14:anchorId="3A86E9C4" wp14:editId="3A86E9C5">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4" w14:textId="58D005A9"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5"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C4"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CA&#10;YlKliAIAAIYFAAAOAAAAAAAAAAAAAAAAAC4CAABkcnMvZTJvRG9jLnhtbFBLAQItABQABgAIAAAA&#10;IQB0YpYu2wAAAAcBAAAPAAAAAAAAAAAAAAAAAOIEAABkcnMvZG93bnJldi54bWxQSwUGAAAAAAQA&#10;BADzAAAA6gUAAAAA&#10;" stroked="f" strokeweight=".5pt">
              <v:path arrowok="t"/>
              <v:textbox>
                <w:txbxContent>
                  <w:p w14:paraId="3A86E9E4" w14:textId="58D005A9"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5" w14:textId="77777777" w:rsidR="0077526C" w:rsidRPr="00E14C89" w:rsidRDefault="0077526C" w:rsidP="00E14C89">
                    <w:pPr>
                      <w:jc w:val="center"/>
                      <w:rPr>
                        <w:rFonts w:ascii="Arial" w:hAnsi="Arial" w:cs="Arial"/>
                        <w:b/>
                        <w:sz w:val="40"/>
                      </w:rPr>
                    </w:pP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81" w14:textId="77777777" w:rsidR="0077526C" w:rsidRPr="00ED79B6" w:rsidRDefault="0077526C"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7456" behindDoc="1" locked="0" layoutInCell="1" allowOverlap="1" wp14:anchorId="3A86E9C6" wp14:editId="3A86E9C7">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6" w14:textId="3D5ED19F"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7"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C6"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" stroked="f" strokeweight=".5pt">
              <v:path arrowok="t"/>
              <v:textbox>
                <w:txbxContent>
                  <w:p w14:paraId="3A86E9E6" w14:textId="3D5ED19F"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7" w14:textId="77777777" w:rsidR="0077526C" w:rsidRPr="00E14C89" w:rsidRDefault="0077526C" w:rsidP="00E14C89">
                    <w:pPr>
                      <w:jc w:val="center"/>
                      <w:rPr>
                        <w:rFonts w:ascii="Arial" w:hAnsi="Arial" w:cs="Arial"/>
                        <w:b/>
                        <w:sz w:val="40"/>
                      </w:rPr>
                    </w:pP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92" w14:textId="77777777" w:rsidR="0077526C" w:rsidRPr="00ED79B6" w:rsidRDefault="0077526C" w:rsidP="00715914">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3A86E9CC" wp14:editId="3A86E9CD">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C"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CC"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gohwIAAIc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" stroked="f" strokeweight=".5pt">
              <v:path arrowok="t"/>
              <v:textbox>
                <w:txbxContent>
                  <w:p w14:paraId="3A86E9EC"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93" w14:textId="78C5A751" w:rsidR="0077526C" w:rsidRDefault="0077526C" w:rsidP="00715914">
    <w:pPr>
      <w:rPr>
        <w:sz w:val="20"/>
      </w:rPr>
    </w:pPr>
    <w:r>
      <w:rPr>
        <w:b/>
        <w:noProof/>
        <w:sz w:val="20"/>
        <w:lang w:eastAsia="en-AU"/>
      </w:rPr>
      <mc:AlternateContent>
        <mc:Choice Requires="wps">
          <w:drawing>
            <wp:anchor distT="0" distB="0" distL="114300" distR="114300" simplePos="0" relativeHeight="251675648" behindDoc="1" locked="0" layoutInCell="1" allowOverlap="1" wp14:anchorId="3A86E9CE" wp14:editId="3A86E9CF">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D" w14:textId="1E463F4F"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E"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CE"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mMiQIAAIc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" stroked="f" strokeweight=".5pt">
              <v:path arrowok="t"/>
              <v:textbox>
                <w:txbxContent>
                  <w:p w14:paraId="3A86E9ED" w14:textId="1E463F4F"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EE" w14:textId="77777777" w:rsidR="0077526C" w:rsidRPr="00E14C89" w:rsidRDefault="0077526C" w:rsidP="00E14C89">
                    <w:pPr>
                      <w:jc w:val="center"/>
                      <w:rPr>
                        <w:rFonts w:ascii="Arial" w:hAnsi="Arial" w:cs="Arial"/>
                        <w:b/>
                        <w:sz w:val="40"/>
                      </w:rPr>
                    </w:pPr>
                  </w:p>
                </w:txbxContent>
              </v:textbox>
              <w10:wrap anchorx="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A86E994" w14:textId="1DD60BA7" w:rsidR="0077526C" w:rsidRDefault="0077526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D4924">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D4924">
      <w:rPr>
        <w:noProof/>
        <w:sz w:val="20"/>
      </w:rPr>
      <w:t>Accountable entities—enhanced notification threshold</w:t>
    </w:r>
    <w:r>
      <w:rPr>
        <w:sz w:val="20"/>
      </w:rPr>
      <w:fldChar w:fldCharType="end"/>
    </w:r>
  </w:p>
  <w:p w14:paraId="3A86E995" w14:textId="0C1AAC47" w:rsidR="0077526C" w:rsidRPr="007A1328" w:rsidRDefault="0077526C" w:rsidP="00715914">
    <w:pPr>
      <w:rPr>
        <w:sz w:val="20"/>
      </w:rPr>
    </w:pPr>
    <w:r>
      <w:rPr>
        <w:b/>
        <w:sz w:val="20"/>
      </w:rPr>
      <w:fldChar w:fldCharType="begin"/>
    </w:r>
    <w:r>
      <w:rPr>
        <w:b/>
        <w:sz w:val="20"/>
      </w:rPr>
      <w:instrText xml:space="preserve"> STYLEREF CharDivNo </w:instrText>
    </w:r>
    <w:r w:rsidR="005D4924">
      <w:rPr>
        <w:b/>
        <w:sz w:val="20"/>
      </w:rPr>
      <w:fldChar w:fldCharType="separate"/>
    </w:r>
    <w:r w:rsidR="005D4924">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D4924">
      <w:rPr>
        <w:sz w:val="20"/>
      </w:rPr>
      <w:fldChar w:fldCharType="separate"/>
    </w:r>
    <w:r w:rsidR="005D4924">
      <w:rPr>
        <w:noProof/>
        <w:sz w:val="20"/>
      </w:rPr>
      <w:t>Accountable entities that are RSE licensees</w:t>
    </w:r>
    <w:r>
      <w:rPr>
        <w:sz w:val="20"/>
      </w:rPr>
      <w:fldChar w:fldCharType="end"/>
    </w:r>
  </w:p>
  <w:p w14:paraId="3A86E996" w14:textId="77777777" w:rsidR="0077526C" w:rsidRPr="007A1328" w:rsidRDefault="0077526C" w:rsidP="00715914">
    <w:pPr>
      <w:rPr>
        <w:b/>
        <w:sz w:val="24"/>
      </w:rPr>
    </w:pPr>
  </w:p>
  <w:p w14:paraId="3A86E997" w14:textId="6D8BA534" w:rsidR="0077526C" w:rsidRPr="007A1328" w:rsidRDefault="0077526C"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C676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D4924">
      <w:rPr>
        <w:noProof/>
        <w:sz w:val="24"/>
      </w:rPr>
      <w:t>29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98" w14:textId="4AC124BB" w:rsidR="0077526C" w:rsidRPr="007A1328" w:rsidRDefault="0077526C" w:rsidP="00715914">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3A86E9D0" wp14:editId="3A86E9D1">
              <wp:simplePos x="0" y="0"/>
              <wp:positionH relativeFrom="page">
                <wp:align>center</wp:align>
              </wp:positionH>
              <wp:positionV relativeFrom="paragraph">
                <wp:posOffset>-317500</wp:posOffset>
              </wp:positionV>
              <wp:extent cx="5762625" cy="400050"/>
              <wp:effectExtent l="0" t="0" r="9525" b="0"/>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EF" w14:textId="532CB6EA"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F0" w14:textId="77777777" w:rsidR="0077526C" w:rsidRPr="00E14C89" w:rsidRDefault="0077526C" w:rsidP="00E14C8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D0"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75pt;height:3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" stroked="f" strokeweight=".5pt">
              <v:path arrowok="t"/>
              <v:textbox>
                <w:txbxContent>
                  <w:p w14:paraId="3A86E9EF" w14:textId="532CB6EA" w:rsidR="00E14C89" w:rsidRPr="00E14C89" w:rsidRDefault="00E14C89" w:rsidP="00E14C8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D4924">
                      <w:rPr>
                        <w:rFonts w:ascii="Arial" w:hAnsi="Arial" w:cs="Arial"/>
                        <w:b/>
                        <w:noProof/>
                        <w:sz w:val="40"/>
                      </w:rPr>
                      <w:t>EXPOSURE DRAFT</w:t>
                    </w:r>
                    <w:r>
                      <w:rPr>
                        <w:rFonts w:ascii="Arial" w:hAnsi="Arial" w:cs="Arial"/>
                        <w:b/>
                        <w:sz w:val="40"/>
                      </w:rPr>
                      <w:fldChar w:fldCharType="end"/>
                    </w:r>
                  </w:p>
                  <w:p w14:paraId="3A86E9F0" w14:textId="77777777" w:rsidR="0077526C" w:rsidRPr="00E14C89" w:rsidRDefault="0077526C" w:rsidP="00E14C89">
                    <w:pPr>
                      <w:jc w:val="center"/>
                      <w:rPr>
                        <w:rFonts w:ascii="Arial" w:hAnsi="Arial" w:cs="Arial"/>
                        <w:b/>
                        <w:sz w:val="40"/>
                      </w:rPr>
                    </w:pP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A86E999" w14:textId="7CE8FA14" w:rsidR="0077526C" w:rsidRPr="007A1328" w:rsidRDefault="0077526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D4924">
      <w:rPr>
        <w:noProof/>
        <w:sz w:val="20"/>
      </w:rPr>
      <w:t>Accountable entities—enhanced notification threshold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D4924">
      <w:rPr>
        <w:b/>
        <w:noProof/>
        <w:sz w:val="20"/>
      </w:rPr>
      <w:t>Part 3</w:t>
    </w:r>
    <w:r>
      <w:rPr>
        <w:b/>
        <w:sz w:val="20"/>
      </w:rPr>
      <w:fldChar w:fldCharType="end"/>
    </w:r>
  </w:p>
  <w:p w14:paraId="3A86E99A" w14:textId="5693C40F" w:rsidR="0077526C" w:rsidRPr="007A1328" w:rsidRDefault="0077526C" w:rsidP="00715914">
    <w:pPr>
      <w:jc w:val="right"/>
      <w:rPr>
        <w:sz w:val="20"/>
      </w:rPr>
    </w:pPr>
    <w:r w:rsidRPr="007A1328">
      <w:rPr>
        <w:sz w:val="20"/>
      </w:rPr>
      <w:fldChar w:fldCharType="begin"/>
    </w:r>
    <w:r w:rsidRPr="007A1328">
      <w:rPr>
        <w:sz w:val="20"/>
      </w:rPr>
      <w:instrText xml:space="preserve"> STYLEREF CharDivText </w:instrText>
    </w:r>
    <w:r w:rsidR="005D4924">
      <w:rPr>
        <w:sz w:val="20"/>
      </w:rPr>
      <w:fldChar w:fldCharType="separate"/>
    </w:r>
    <w:r w:rsidR="005D4924">
      <w:rPr>
        <w:noProof/>
        <w:sz w:val="20"/>
      </w:rPr>
      <w:t>Accountable entities that are RSE licensees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D4924">
      <w:rPr>
        <w:b/>
        <w:sz w:val="20"/>
      </w:rPr>
      <w:fldChar w:fldCharType="separate"/>
    </w:r>
    <w:r w:rsidR="005D4924">
      <w:rPr>
        <w:b/>
        <w:noProof/>
        <w:sz w:val="20"/>
      </w:rPr>
      <w:t>Division 5</w:t>
    </w:r>
    <w:r>
      <w:rPr>
        <w:b/>
        <w:sz w:val="20"/>
      </w:rPr>
      <w:fldChar w:fldCharType="end"/>
    </w:r>
  </w:p>
  <w:p w14:paraId="3A86E99B" w14:textId="77777777" w:rsidR="0077526C" w:rsidRPr="007A1328" w:rsidRDefault="0077526C" w:rsidP="00715914">
    <w:pPr>
      <w:jc w:val="right"/>
      <w:rPr>
        <w:b/>
        <w:sz w:val="24"/>
      </w:rPr>
    </w:pPr>
  </w:p>
  <w:p w14:paraId="3A86E99C" w14:textId="7CFFAAA9" w:rsidR="0077526C" w:rsidRPr="007A1328" w:rsidRDefault="0077526C"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C676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D4924">
      <w:rPr>
        <w:noProof/>
        <w:sz w:val="24"/>
      </w:rPr>
      <w:t>32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9AD" w14:textId="77777777" w:rsidR="0077526C" w:rsidRPr="007A1328" w:rsidRDefault="0077526C" w:rsidP="00715914">
    <w:r>
      <w:rPr>
        <w:noProof/>
        <w:lang w:eastAsia="en-AU"/>
      </w:rPr>
      <mc:AlternateContent>
        <mc:Choice Requires="wps">
          <w:drawing>
            <wp:anchor distT="0" distB="0" distL="114300" distR="114300" simplePos="0" relativeHeight="251671552" behindDoc="1" locked="0" layoutInCell="1" allowOverlap="1" wp14:anchorId="3A86E9D6" wp14:editId="3A86E9D7">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6E9F5"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6E9D6" id="_x0000_t202" coordsize="21600,21600" o:spt="202" path="m,l,21600r21600,l21600,xe">
              <v:stroke joinstyle="miter"/>
              <v:path gradientshapeok="t" o:connecttype="rect"/>
            </v:shapetype>
            <v:shape id="Text Box 14" o:spid="_x0000_s1042" type="#_x0000_t202" alt="Sec-firstpage" style="position:absolute;margin-left:0;margin-top:-25pt;width:453.5pt;height:31.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" stroked="f" strokeweight=".5pt">
              <v:path arrowok="t"/>
              <v:textbox>
                <w:txbxContent>
                  <w:p w14:paraId="3A86E9F5" w14:textId="77777777" w:rsidR="0077526C" w:rsidRPr="009B5AB3" w:rsidRDefault="0077526C"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C676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C676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C676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00694"/>
    <w:multiLevelType w:val="hybridMultilevel"/>
    <w:tmpl w:val="0CC6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143676"/>
    <w:multiLevelType w:val="hybridMultilevel"/>
    <w:tmpl w:val="1AD6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C917298"/>
    <w:multiLevelType w:val="hybridMultilevel"/>
    <w:tmpl w:val="053C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3"/>
  </w:num>
  <w:num w:numId="14">
    <w:abstractNumId w:val="15"/>
  </w:num>
  <w:num w:numId="15">
    <w:abstractNumId w:val="14"/>
  </w:num>
  <w:num w:numId="16">
    <w:abstractNumId w:val="11"/>
  </w:num>
  <w:num w:numId="17">
    <w:abstractNumId w:val="19"/>
  </w:num>
  <w:num w:numId="18">
    <w:abstractNumId w:val="18"/>
  </w:num>
  <w:num w:numId="19">
    <w:abstractNumId w:val="17"/>
  </w:num>
  <w:num w:numId="20">
    <w:abstractNumId w:val="1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4BC5"/>
    <w:rsid w:val="00001C73"/>
    <w:rsid w:val="00003DE7"/>
    <w:rsid w:val="00004470"/>
    <w:rsid w:val="00006255"/>
    <w:rsid w:val="000066FD"/>
    <w:rsid w:val="00011C5C"/>
    <w:rsid w:val="0001290D"/>
    <w:rsid w:val="00013407"/>
    <w:rsid w:val="000135E7"/>
    <w:rsid w:val="000136AF"/>
    <w:rsid w:val="00017D6F"/>
    <w:rsid w:val="00025221"/>
    <w:rsid w:val="0003686F"/>
    <w:rsid w:val="0003782E"/>
    <w:rsid w:val="000437C1"/>
    <w:rsid w:val="000500CE"/>
    <w:rsid w:val="0005365D"/>
    <w:rsid w:val="000614BF"/>
    <w:rsid w:val="00070C24"/>
    <w:rsid w:val="00072AB7"/>
    <w:rsid w:val="00072DD8"/>
    <w:rsid w:val="0007476A"/>
    <w:rsid w:val="00076E02"/>
    <w:rsid w:val="000770A5"/>
    <w:rsid w:val="00095771"/>
    <w:rsid w:val="000B5491"/>
    <w:rsid w:val="000B553F"/>
    <w:rsid w:val="000B58FA"/>
    <w:rsid w:val="000B7E30"/>
    <w:rsid w:val="000D05EF"/>
    <w:rsid w:val="000D5F78"/>
    <w:rsid w:val="000E2261"/>
    <w:rsid w:val="000E4D3E"/>
    <w:rsid w:val="000F21C1"/>
    <w:rsid w:val="000F2768"/>
    <w:rsid w:val="00106CC4"/>
    <w:rsid w:val="0010745C"/>
    <w:rsid w:val="001104F3"/>
    <w:rsid w:val="00117F3D"/>
    <w:rsid w:val="00126AC6"/>
    <w:rsid w:val="00132CEB"/>
    <w:rsid w:val="001357D4"/>
    <w:rsid w:val="00142957"/>
    <w:rsid w:val="00142B62"/>
    <w:rsid w:val="00142FC6"/>
    <w:rsid w:val="0014539C"/>
    <w:rsid w:val="0015202E"/>
    <w:rsid w:val="001534A9"/>
    <w:rsid w:val="00153893"/>
    <w:rsid w:val="00157B8B"/>
    <w:rsid w:val="00166C2F"/>
    <w:rsid w:val="001721AC"/>
    <w:rsid w:val="001809D7"/>
    <w:rsid w:val="0018774D"/>
    <w:rsid w:val="001939E1"/>
    <w:rsid w:val="00194C3E"/>
    <w:rsid w:val="00195382"/>
    <w:rsid w:val="001A185D"/>
    <w:rsid w:val="001A3311"/>
    <w:rsid w:val="001B61C4"/>
    <w:rsid w:val="001C0B40"/>
    <w:rsid w:val="001C31FD"/>
    <w:rsid w:val="001C61C5"/>
    <w:rsid w:val="001C69C4"/>
    <w:rsid w:val="001D37EF"/>
    <w:rsid w:val="001E11B3"/>
    <w:rsid w:val="001E3590"/>
    <w:rsid w:val="001E7407"/>
    <w:rsid w:val="001F026F"/>
    <w:rsid w:val="001F4653"/>
    <w:rsid w:val="001F5D5E"/>
    <w:rsid w:val="001F6219"/>
    <w:rsid w:val="001F6CD4"/>
    <w:rsid w:val="00206C4D"/>
    <w:rsid w:val="002101AD"/>
    <w:rsid w:val="0021053C"/>
    <w:rsid w:val="002150FD"/>
    <w:rsid w:val="00215AF1"/>
    <w:rsid w:val="002176E6"/>
    <w:rsid w:val="002221C7"/>
    <w:rsid w:val="00226562"/>
    <w:rsid w:val="00230E07"/>
    <w:rsid w:val="002321E8"/>
    <w:rsid w:val="00236EEC"/>
    <w:rsid w:val="0024010F"/>
    <w:rsid w:val="00240749"/>
    <w:rsid w:val="00243018"/>
    <w:rsid w:val="002564A4"/>
    <w:rsid w:val="0026736C"/>
    <w:rsid w:val="00281308"/>
    <w:rsid w:val="00282570"/>
    <w:rsid w:val="00284719"/>
    <w:rsid w:val="00286283"/>
    <w:rsid w:val="00297ECB"/>
    <w:rsid w:val="002A28D7"/>
    <w:rsid w:val="002A2948"/>
    <w:rsid w:val="002A668C"/>
    <w:rsid w:val="002A7BCF"/>
    <w:rsid w:val="002B25E3"/>
    <w:rsid w:val="002B4ED0"/>
    <w:rsid w:val="002B739C"/>
    <w:rsid w:val="002C4A40"/>
    <w:rsid w:val="002D043A"/>
    <w:rsid w:val="002D4268"/>
    <w:rsid w:val="002D6224"/>
    <w:rsid w:val="002E3F4B"/>
    <w:rsid w:val="003026D5"/>
    <w:rsid w:val="00304ABC"/>
    <w:rsid w:val="00304F8B"/>
    <w:rsid w:val="00316EF9"/>
    <w:rsid w:val="00324029"/>
    <w:rsid w:val="003315A0"/>
    <w:rsid w:val="003354D2"/>
    <w:rsid w:val="00335BC6"/>
    <w:rsid w:val="003415D3"/>
    <w:rsid w:val="00344701"/>
    <w:rsid w:val="00352B0F"/>
    <w:rsid w:val="00353E76"/>
    <w:rsid w:val="00356690"/>
    <w:rsid w:val="00360459"/>
    <w:rsid w:val="00371AE9"/>
    <w:rsid w:val="00381A3A"/>
    <w:rsid w:val="00382D35"/>
    <w:rsid w:val="003924F8"/>
    <w:rsid w:val="00393E40"/>
    <w:rsid w:val="003A0CE2"/>
    <w:rsid w:val="003B77A7"/>
    <w:rsid w:val="003C6231"/>
    <w:rsid w:val="003D0BFE"/>
    <w:rsid w:val="003D5700"/>
    <w:rsid w:val="003E02DD"/>
    <w:rsid w:val="003E241F"/>
    <w:rsid w:val="003E341B"/>
    <w:rsid w:val="003F02EE"/>
    <w:rsid w:val="004116CD"/>
    <w:rsid w:val="004144EC"/>
    <w:rsid w:val="00416974"/>
    <w:rsid w:val="00417EB9"/>
    <w:rsid w:val="00420777"/>
    <w:rsid w:val="00424CA9"/>
    <w:rsid w:val="00431E9B"/>
    <w:rsid w:val="0043278B"/>
    <w:rsid w:val="00435C8E"/>
    <w:rsid w:val="0043649F"/>
    <w:rsid w:val="004379E3"/>
    <w:rsid w:val="00437E5C"/>
    <w:rsid w:val="0044015E"/>
    <w:rsid w:val="0044291A"/>
    <w:rsid w:val="00444ABD"/>
    <w:rsid w:val="00446D2F"/>
    <w:rsid w:val="00461C81"/>
    <w:rsid w:val="00463950"/>
    <w:rsid w:val="00467661"/>
    <w:rsid w:val="004705B7"/>
    <w:rsid w:val="004721F3"/>
    <w:rsid w:val="00472DBE"/>
    <w:rsid w:val="004731B3"/>
    <w:rsid w:val="00474A19"/>
    <w:rsid w:val="00487374"/>
    <w:rsid w:val="0049221C"/>
    <w:rsid w:val="00496F97"/>
    <w:rsid w:val="004B04E0"/>
    <w:rsid w:val="004B6491"/>
    <w:rsid w:val="004B6A34"/>
    <w:rsid w:val="004C19FC"/>
    <w:rsid w:val="004C6765"/>
    <w:rsid w:val="004C6AE8"/>
    <w:rsid w:val="004C7800"/>
    <w:rsid w:val="004D2BE5"/>
    <w:rsid w:val="004D30DC"/>
    <w:rsid w:val="004D3593"/>
    <w:rsid w:val="004D39FC"/>
    <w:rsid w:val="004D591D"/>
    <w:rsid w:val="004D59E3"/>
    <w:rsid w:val="004E063A"/>
    <w:rsid w:val="004E7BEC"/>
    <w:rsid w:val="004F53FA"/>
    <w:rsid w:val="00503B11"/>
    <w:rsid w:val="00505D3D"/>
    <w:rsid w:val="00506AF6"/>
    <w:rsid w:val="00507971"/>
    <w:rsid w:val="0051195E"/>
    <w:rsid w:val="0051501E"/>
    <w:rsid w:val="00516B8D"/>
    <w:rsid w:val="00517D4D"/>
    <w:rsid w:val="0052668E"/>
    <w:rsid w:val="00530622"/>
    <w:rsid w:val="00537FBC"/>
    <w:rsid w:val="00541EE0"/>
    <w:rsid w:val="00542238"/>
    <w:rsid w:val="00546677"/>
    <w:rsid w:val="00554954"/>
    <w:rsid w:val="005574D1"/>
    <w:rsid w:val="00572D52"/>
    <w:rsid w:val="005818E5"/>
    <w:rsid w:val="00583977"/>
    <w:rsid w:val="00584811"/>
    <w:rsid w:val="00584F26"/>
    <w:rsid w:val="00585784"/>
    <w:rsid w:val="00593AA6"/>
    <w:rsid w:val="00594161"/>
    <w:rsid w:val="00594749"/>
    <w:rsid w:val="005A0ED3"/>
    <w:rsid w:val="005A2CA5"/>
    <w:rsid w:val="005B4067"/>
    <w:rsid w:val="005C3F41"/>
    <w:rsid w:val="005D1B78"/>
    <w:rsid w:val="005D2D09"/>
    <w:rsid w:val="005D4214"/>
    <w:rsid w:val="005D4924"/>
    <w:rsid w:val="005D6560"/>
    <w:rsid w:val="00600219"/>
    <w:rsid w:val="00601D21"/>
    <w:rsid w:val="00603DC4"/>
    <w:rsid w:val="0061007A"/>
    <w:rsid w:val="00615131"/>
    <w:rsid w:val="00615807"/>
    <w:rsid w:val="00620076"/>
    <w:rsid w:val="00624A5E"/>
    <w:rsid w:val="00625738"/>
    <w:rsid w:val="00662A67"/>
    <w:rsid w:val="00663611"/>
    <w:rsid w:val="00663E6B"/>
    <w:rsid w:val="00670EA1"/>
    <w:rsid w:val="00675DAF"/>
    <w:rsid w:val="00677CC2"/>
    <w:rsid w:val="0068072D"/>
    <w:rsid w:val="006824FB"/>
    <w:rsid w:val="006862B1"/>
    <w:rsid w:val="0068777A"/>
    <w:rsid w:val="006905DE"/>
    <w:rsid w:val="0069207B"/>
    <w:rsid w:val="006934CB"/>
    <w:rsid w:val="006944A8"/>
    <w:rsid w:val="00695C4F"/>
    <w:rsid w:val="006B3D7C"/>
    <w:rsid w:val="006B447D"/>
    <w:rsid w:val="006B5789"/>
    <w:rsid w:val="006C30C5"/>
    <w:rsid w:val="006C7F8C"/>
    <w:rsid w:val="006D43F4"/>
    <w:rsid w:val="006E6246"/>
    <w:rsid w:val="006F318F"/>
    <w:rsid w:val="006F4226"/>
    <w:rsid w:val="006F6D93"/>
    <w:rsid w:val="0070017E"/>
    <w:rsid w:val="00700B2C"/>
    <w:rsid w:val="007010DE"/>
    <w:rsid w:val="007050A2"/>
    <w:rsid w:val="00706724"/>
    <w:rsid w:val="00711731"/>
    <w:rsid w:val="0071270D"/>
    <w:rsid w:val="00713084"/>
    <w:rsid w:val="00714F20"/>
    <w:rsid w:val="0071590F"/>
    <w:rsid w:val="00715914"/>
    <w:rsid w:val="0072382D"/>
    <w:rsid w:val="007315AF"/>
    <w:rsid w:val="00731E00"/>
    <w:rsid w:val="00736439"/>
    <w:rsid w:val="007440B7"/>
    <w:rsid w:val="007500C8"/>
    <w:rsid w:val="00750E2C"/>
    <w:rsid w:val="00756272"/>
    <w:rsid w:val="00760C62"/>
    <w:rsid w:val="00764AAA"/>
    <w:rsid w:val="0076681A"/>
    <w:rsid w:val="007715C9"/>
    <w:rsid w:val="00771613"/>
    <w:rsid w:val="007738FD"/>
    <w:rsid w:val="00774EDD"/>
    <w:rsid w:val="0077526C"/>
    <w:rsid w:val="007757EC"/>
    <w:rsid w:val="007814EC"/>
    <w:rsid w:val="00783E89"/>
    <w:rsid w:val="00785B70"/>
    <w:rsid w:val="00793915"/>
    <w:rsid w:val="00794946"/>
    <w:rsid w:val="00795D08"/>
    <w:rsid w:val="007A65E5"/>
    <w:rsid w:val="007A78FC"/>
    <w:rsid w:val="007C2253"/>
    <w:rsid w:val="007C2DDF"/>
    <w:rsid w:val="007C3476"/>
    <w:rsid w:val="007C3E07"/>
    <w:rsid w:val="007C53AD"/>
    <w:rsid w:val="007D5A63"/>
    <w:rsid w:val="007D7B81"/>
    <w:rsid w:val="007E163D"/>
    <w:rsid w:val="007E667A"/>
    <w:rsid w:val="007F0A72"/>
    <w:rsid w:val="007F1D31"/>
    <w:rsid w:val="007F28C9"/>
    <w:rsid w:val="007F4D19"/>
    <w:rsid w:val="008025C8"/>
    <w:rsid w:val="00803587"/>
    <w:rsid w:val="00807626"/>
    <w:rsid w:val="008117E9"/>
    <w:rsid w:val="00816AA3"/>
    <w:rsid w:val="00824498"/>
    <w:rsid w:val="00824BC5"/>
    <w:rsid w:val="0083131D"/>
    <w:rsid w:val="008402F3"/>
    <w:rsid w:val="00851364"/>
    <w:rsid w:val="00856A31"/>
    <w:rsid w:val="0085750A"/>
    <w:rsid w:val="00864B24"/>
    <w:rsid w:val="008652B3"/>
    <w:rsid w:val="00867B37"/>
    <w:rsid w:val="008754D0"/>
    <w:rsid w:val="008855C9"/>
    <w:rsid w:val="00886456"/>
    <w:rsid w:val="008A46E1"/>
    <w:rsid w:val="008A48AC"/>
    <w:rsid w:val="008A4F43"/>
    <w:rsid w:val="008B2706"/>
    <w:rsid w:val="008D0EE0"/>
    <w:rsid w:val="008D3989"/>
    <w:rsid w:val="008D3E82"/>
    <w:rsid w:val="008D4764"/>
    <w:rsid w:val="008D4790"/>
    <w:rsid w:val="008D562D"/>
    <w:rsid w:val="008E22FD"/>
    <w:rsid w:val="008E2DF2"/>
    <w:rsid w:val="008E6067"/>
    <w:rsid w:val="008F120D"/>
    <w:rsid w:val="008F319D"/>
    <w:rsid w:val="008F54E7"/>
    <w:rsid w:val="00903422"/>
    <w:rsid w:val="009078D6"/>
    <w:rsid w:val="00914E5E"/>
    <w:rsid w:val="00915DF9"/>
    <w:rsid w:val="00917167"/>
    <w:rsid w:val="009254C3"/>
    <w:rsid w:val="00927E89"/>
    <w:rsid w:val="00931DF0"/>
    <w:rsid w:val="00932377"/>
    <w:rsid w:val="00947D5A"/>
    <w:rsid w:val="009532A5"/>
    <w:rsid w:val="00962327"/>
    <w:rsid w:val="00963331"/>
    <w:rsid w:val="00977B20"/>
    <w:rsid w:val="00982242"/>
    <w:rsid w:val="009868E9"/>
    <w:rsid w:val="009933AD"/>
    <w:rsid w:val="00996391"/>
    <w:rsid w:val="009A0818"/>
    <w:rsid w:val="009A291B"/>
    <w:rsid w:val="009B2EE7"/>
    <w:rsid w:val="009B379B"/>
    <w:rsid w:val="009B5AB3"/>
    <w:rsid w:val="009D258A"/>
    <w:rsid w:val="009E4919"/>
    <w:rsid w:val="009E5CFC"/>
    <w:rsid w:val="009E71BF"/>
    <w:rsid w:val="009F6A81"/>
    <w:rsid w:val="00A079CB"/>
    <w:rsid w:val="00A12128"/>
    <w:rsid w:val="00A2194A"/>
    <w:rsid w:val="00A224C6"/>
    <w:rsid w:val="00A22C98"/>
    <w:rsid w:val="00A231E2"/>
    <w:rsid w:val="00A25748"/>
    <w:rsid w:val="00A347F6"/>
    <w:rsid w:val="00A359DD"/>
    <w:rsid w:val="00A44420"/>
    <w:rsid w:val="00A56FB9"/>
    <w:rsid w:val="00A637CB"/>
    <w:rsid w:val="00A64912"/>
    <w:rsid w:val="00A707E9"/>
    <w:rsid w:val="00A708BE"/>
    <w:rsid w:val="00A70A74"/>
    <w:rsid w:val="00A8576A"/>
    <w:rsid w:val="00A90002"/>
    <w:rsid w:val="00A9287C"/>
    <w:rsid w:val="00AC138B"/>
    <w:rsid w:val="00AD31BF"/>
    <w:rsid w:val="00AD5641"/>
    <w:rsid w:val="00AD7889"/>
    <w:rsid w:val="00AE3652"/>
    <w:rsid w:val="00AE700D"/>
    <w:rsid w:val="00AF021B"/>
    <w:rsid w:val="00AF02D2"/>
    <w:rsid w:val="00AF06CF"/>
    <w:rsid w:val="00AF4CD0"/>
    <w:rsid w:val="00AF600B"/>
    <w:rsid w:val="00B00EB8"/>
    <w:rsid w:val="00B05CF4"/>
    <w:rsid w:val="00B07CDB"/>
    <w:rsid w:val="00B16A31"/>
    <w:rsid w:val="00B17DFD"/>
    <w:rsid w:val="00B24326"/>
    <w:rsid w:val="00B308FE"/>
    <w:rsid w:val="00B33709"/>
    <w:rsid w:val="00B33B3C"/>
    <w:rsid w:val="00B40AE7"/>
    <w:rsid w:val="00B433C7"/>
    <w:rsid w:val="00B50ADC"/>
    <w:rsid w:val="00B566B1"/>
    <w:rsid w:val="00B57E7E"/>
    <w:rsid w:val="00B60095"/>
    <w:rsid w:val="00B63834"/>
    <w:rsid w:val="00B6483C"/>
    <w:rsid w:val="00B65F8A"/>
    <w:rsid w:val="00B72734"/>
    <w:rsid w:val="00B72B5D"/>
    <w:rsid w:val="00B74D83"/>
    <w:rsid w:val="00B80199"/>
    <w:rsid w:val="00B83204"/>
    <w:rsid w:val="00BA0C87"/>
    <w:rsid w:val="00BA220B"/>
    <w:rsid w:val="00BA3895"/>
    <w:rsid w:val="00BA3A57"/>
    <w:rsid w:val="00BA691F"/>
    <w:rsid w:val="00BB4E1A"/>
    <w:rsid w:val="00BC015E"/>
    <w:rsid w:val="00BC2A0F"/>
    <w:rsid w:val="00BC56D6"/>
    <w:rsid w:val="00BC65C2"/>
    <w:rsid w:val="00BC76AC"/>
    <w:rsid w:val="00BD0ECB"/>
    <w:rsid w:val="00BD1E94"/>
    <w:rsid w:val="00BD4177"/>
    <w:rsid w:val="00BD47CC"/>
    <w:rsid w:val="00BE2155"/>
    <w:rsid w:val="00BE2213"/>
    <w:rsid w:val="00BE3EB3"/>
    <w:rsid w:val="00BE4099"/>
    <w:rsid w:val="00BE719A"/>
    <w:rsid w:val="00BE720A"/>
    <w:rsid w:val="00BF0D73"/>
    <w:rsid w:val="00BF0E58"/>
    <w:rsid w:val="00BF2465"/>
    <w:rsid w:val="00C065BC"/>
    <w:rsid w:val="00C11191"/>
    <w:rsid w:val="00C15514"/>
    <w:rsid w:val="00C16D83"/>
    <w:rsid w:val="00C22CBA"/>
    <w:rsid w:val="00C25E7F"/>
    <w:rsid w:val="00C271C5"/>
    <w:rsid w:val="00C2746F"/>
    <w:rsid w:val="00C324A0"/>
    <w:rsid w:val="00C3300F"/>
    <w:rsid w:val="00C34A29"/>
    <w:rsid w:val="00C36755"/>
    <w:rsid w:val="00C42BF8"/>
    <w:rsid w:val="00C47E19"/>
    <w:rsid w:val="00C50043"/>
    <w:rsid w:val="00C50D53"/>
    <w:rsid w:val="00C5503A"/>
    <w:rsid w:val="00C633F6"/>
    <w:rsid w:val="00C65F79"/>
    <w:rsid w:val="00C66150"/>
    <w:rsid w:val="00C7573B"/>
    <w:rsid w:val="00C77E56"/>
    <w:rsid w:val="00C825E3"/>
    <w:rsid w:val="00C93C03"/>
    <w:rsid w:val="00C94F52"/>
    <w:rsid w:val="00CA36C0"/>
    <w:rsid w:val="00CB2C8E"/>
    <w:rsid w:val="00CB602E"/>
    <w:rsid w:val="00CE051D"/>
    <w:rsid w:val="00CE1335"/>
    <w:rsid w:val="00CE493D"/>
    <w:rsid w:val="00CF07FA"/>
    <w:rsid w:val="00CF0BB2"/>
    <w:rsid w:val="00CF2728"/>
    <w:rsid w:val="00CF3EE8"/>
    <w:rsid w:val="00D04CA3"/>
    <w:rsid w:val="00D050E6"/>
    <w:rsid w:val="00D13441"/>
    <w:rsid w:val="00D150E7"/>
    <w:rsid w:val="00D20EB5"/>
    <w:rsid w:val="00D23B32"/>
    <w:rsid w:val="00D32F65"/>
    <w:rsid w:val="00D52DC2"/>
    <w:rsid w:val="00D53BCC"/>
    <w:rsid w:val="00D67E8A"/>
    <w:rsid w:val="00D70814"/>
    <w:rsid w:val="00D70DFB"/>
    <w:rsid w:val="00D766DF"/>
    <w:rsid w:val="00DA186E"/>
    <w:rsid w:val="00DA4116"/>
    <w:rsid w:val="00DA6D44"/>
    <w:rsid w:val="00DB251C"/>
    <w:rsid w:val="00DB2F09"/>
    <w:rsid w:val="00DB4630"/>
    <w:rsid w:val="00DC284C"/>
    <w:rsid w:val="00DC4495"/>
    <w:rsid w:val="00DC4F88"/>
    <w:rsid w:val="00DD3637"/>
    <w:rsid w:val="00DD5CFB"/>
    <w:rsid w:val="00DE54B5"/>
    <w:rsid w:val="00DF7A17"/>
    <w:rsid w:val="00E008D2"/>
    <w:rsid w:val="00E010D5"/>
    <w:rsid w:val="00E05704"/>
    <w:rsid w:val="00E07473"/>
    <w:rsid w:val="00E11E44"/>
    <w:rsid w:val="00E122B8"/>
    <w:rsid w:val="00E13ABA"/>
    <w:rsid w:val="00E14C89"/>
    <w:rsid w:val="00E3270E"/>
    <w:rsid w:val="00E338EF"/>
    <w:rsid w:val="00E33EBD"/>
    <w:rsid w:val="00E36E36"/>
    <w:rsid w:val="00E45529"/>
    <w:rsid w:val="00E5129B"/>
    <w:rsid w:val="00E5436C"/>
    <w:rsid w:val="00E544BB"/>
    <w:rsid w:val="00E544FA"/>
    <w:rsid w:val="00E6065F"/>
    <w:rsid w:val="00E60CDD"/>
    <w:rsid w:val="00E62002"/>
    <w:rsid w:val="00E662CB"/>
    <w:rsid w:val="00E74DC7"/>
    <w:rsid w:val="00E753D9"/>
    <w:rsid w:val="00E76806"/>
    <w:rsid w:val="00E77FDC"/>
    <w:rsid w:val="00E8075A"/>
    <w:rsid w:val="00E82DF3"/>
    <w:rsid w:val="00E93DC4"/>
    <w:rsid w:val="00E94980"/>
    <w:rsid w:val="00E94D5E"/>
    <w:rsid w:val="00EA7100"/>
    <w:rsid w:val="00EA7F9F"/>
    <w:rsid w:val="00EB1274"/>
    <w:rsid w:val="00EB6AD0"/>
    <w:rsid w:val="00EB6F45"/>
    <w:rsid w:val="00EC6103"/>
    <w:rsid w:val="00ED2BB6"/>
    <w:rsid w:val="00ED34E1"/>
    <w:rsid w:val="00ED3B8D"/>
    <w:rsid w:val="00ED5316"/>
    <w:rsid w:val="00ED659C"/>
    <w:rsid w:val="00ED7DEB"/>
    <w:rsid w:val="00EF2E3A"/>
    <w:rsid w:val="00F072A7"/>
    <w:rsid w:val="00F078DC"/>
    <w:rsid w:val="00F112EE"/>
    <w:rsid w:val="00F20045"/>
    <w:rsid w:val="00F26DA6"/>
    <w:rsid w:val="00F32BA8"/>
    <w:rsid w:val="00F349F1"/>
    <w:rsid w:val="00F413D1"/>
    <w:rsid w:val="00F4350D"/>
    <w:rsid w:val="00F43EB8"/>
    <w:rsid w:val="00F54387"/>
    <w:rsid w:val="00F567F7"/>
    <w:rsid w:val="00F62036"/>
    <w:rsid w:val="00F65B52"/>
    <w:rsid w:val="00F67BCA"/>
    <w:rsid w:val="00F7359E"/>
    <w:rsid w:val="00F73BD6"/>
    <w:rsid w:val="00F82A50"/>
    <w:rsid w:val="00F831C7"/>
    <w:rsid w:val="00F83989"/>
    <w:rsid w:val="00F85099"/>
    <w:rsid w:val="00F9333A"/>
    <w:rsid w:val="00F9379C"/>
    <w:rsid w:val="00F9632C"/>
    <w:rsid w:val="00FA1691"/>
    <w:rsid w:val="00FA1E52"/>
    <w:rsid w:val="00FA5F8C"/>
    <w:rsid w:val="00FB1409"/>
    <w:rsid w:val="00FD7D52"/>
    <w:rsid w:val="00FE360B"/>
    <w:rsid w:val="00FE4688"/>
    <w:rsid w:val="00FE46CD"/>
    <w:rsid w:val="00FF2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A86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360B"/>
    <w:pPr>
      <w:spacing w:line="260" w:lineRule="atLeast"/>
    </w:pPr>
    <w:rPr>
      <w:sz w:val="22"/>
    </w:rPr>
  </w:style>
  <w:style w:type="paragraph" w:styleId="Heading1">
    <w:name w:val="heading 1"/>
    <w:basedOn w:val="Normal"/>
    <w:next w:val="Normal"/>
    <w:link w:val="Heading1Char"/>
    <w:uiPriority w:val="9"/>
    <w:qFormat/>
    <w:rsid w:val="00FE360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0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360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360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360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360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360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360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360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360B"/>
  </w:style>
  <w:style w:type="paragraph" w:customStyle="1" w:styleId="OPCParaBase">
    <w:name w:val="OPCParaBase"/>
    <w:qFormat/>
    <w:rsid w:val="00FE360B"/>
    <w:pPr>
      <w:spacing w:line="260" w:lineRule="atLeast"/>
    </w:pPr>
    <w:rPr>
      <w:rFonts w:eastAsia="Times New Roman" w:cs="Times New Roman"/>
      <w:sz w:val="22"/>
      <w:lang w:eastAsia="en-AU"/>
    </w:rPr>
  </w:style>
  <w:style w:type="paragraph" w:customStyle="1" w:styleId="ShortT">
    <w:name w:val="ShortT"/>
    <w:basedOn w:val="OPCParaBase"/>
    <w:next w:val="Normal"/>
    <w:qFormat/>
    <w:rsid w:val="00FE360B"/>
    <w:pPr>
      <w:spacing w:line="240" w:lineRule="auto"/>
    </w:pPr>
    <w:rPr>
      <w:b/>
      <w:sz w:val="40"/>
    </w:rPr>
  </w:style>
  <w:style w:type="paragraph" w:customStyle="1" w:styleId="ActHead1">
    <w:name w:val="ActHead 1"/>
    <w:aliases w:val="c"/>
    <w:basedOn w:val="OPCParaBase"/>
    <w:next w:val="Normal"/>
    <w:qFormat/>
    <w:rsid w:val="00FE36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36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36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36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36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36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36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36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36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360B"/>
  </w:style>
  <w:style w:type="paragraph" w:customStyle="1" w:styleId="Blocks">
    <w:name w:val="Blocks"/>
    <w:aliases w:val="bb"/>
    <w:basedOn w:val="OPCParaBase"/>
    <w:qFormat/>
    <w:rsid w:val="00FE360B"/>
    <w:pPr>
      <w:spacing w:line="240" w:lineRule="auto"/>
    </w:pPr>
    <w:rPr>
      <w:sz w:val="24"/>
    </w:rPr>
  </w:style>
  <w:style w:type="paragraph" w:customStyle="1" w:styleId="BoxText">
    <w:name w:val="BoxText"/>
    <w:aliases w:val="bt"/>
    <w:basedOn w:val="OPCParaBase"/>
    <w:qFormat/>
    <w:rsid w:val="00FE36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360B"/>
    <w:rPr>
      <w:b/>
    </w:rPr>
  </w:style>
  <w:style w:type="paragraph" w:customStyle="1" w:styleId="BoxHeadItalic">
    <w:name w:val="BoxHeadItalic"/>
    <w:aliases w:val="bhi"/>
    <w:basedOn w:val="BoxText"/>
    <w:next w:val="BoxStep"/>
    <w:qFormat/>
    <w:rsid w:val="00FE360B"/>
    <w:rPr>
      <w:i/>
    </w:rPr>
  </w:style>
  <w:style w:type="paragraph" w:customStyle="1" w:styleId="BoxList">
    <w:name w:val="BoxList"/>
    <w:aliases w:val="bl"/>
    <w:basedOn w:val="BoxText"/>
    <w:qFormat/>
    <w:rsid w:val="00FE360B"/>
    <w:pPr>
      <w:ind w:left="1559" w:hanging="425"/>
    </w:pPr>
  </w:style>
  <w:style w:type="paragraph" w:customStyle="1" w:styleId="BoxNote">
    <w:name w:val="BoxNote"/>
    <w:aliases w:val="bn"/>
    <w:basedOn w:val="BoxText"/>
    <w:qFormat/>
    <w:rsid w:val="00FE360B"/>
    <w:pPr>
      <w:tabs>
        <w:tab w:val="left" w:pos="1985"/>
      </w:tabs>
      <w:spacing w:before="122" w:line="198" w:lineRule="exact"/>
      <w:ind w:left="2948" w:hanging="1814"/>
    </w:pPr>
    <w:rPr>
      <w:sz w:val="18"/>
    </w:rPr>
  </w:style>
  <w:style w:type="paragraph" w:customStyle="1" w:styleId="BoxPara">
    <w:name w:val="BoxPara"/>
    <w:aliases w:val="bp"/>
    <w:basedOn w:val="BoxText"/>
    <w:qFormat/>
    <w:rsid w:val="00FE360B"/>
    <w:pPr>
      <w:tabs>
        <w:tab w:val="right" w:pos="2268"/>
      </w:tabs>
      <w:ind w:left="2552" w:hanging="1418"/>
    </w:pPr>
  </w:style>
  <w:style w:type="paragraph" w:customStyle="1" w:styleId="BoxStep">
    <w:name w:val="BoxStep"/>
    <w:aliases w:val="bs"/>
    <w:basedOn w:val="BoxText"/>
    <w:qFormat/>
    <w:rsid w:val="00FE360B"/>
    <w:pPr>
      <w:ind w:left="1985" w:hanging="851"/>
    </w:pPr>
  </w:style>
  <w:style w:type="character" w:customStyle="1" w:styleId="CharAmPartNo">
    <w:name w:val="CharAmPartNo"/>
    <w:basedOn w:val="OPCCharBase"/>
    <w:qFormat/>
    <w:rsid w:val="00FE360B"/>
  </w:style>
  <w:style w:type="character" w:customStyle="1" w:styleId="CharAmPartText">
    <w:name w:val="CharAmPartText"/>
    <w:basedOn w:val="OPCCharBase"/>
    <w:qFormat/>
    <w:rsid w:val="00FE360B"/>
  </w:style>
  <w:style w:type="character" w:customStyle="1" w:styleId="CharAmSchNo">
    <w:name w:val="CharAmSchNo"/>
    <w:basedOn w:val="OPCCharBase"/>
    <w:qFormat/>
    <w:rsid w:val="00FE360B"/>
  </w:style>
  <w:style w:type="character" w:customStyle="1" w:styleId="CharAmSchText">
    <w:name w:val="CharAmSchText"/>
    <w:basedOn w:val="OPCCharBase"/>
    <w:qFormat/>
    <w:rsid w:val="00FE360B"/>
  </w:style>
  <w:style w:type="character" w:customStyle="1" w:styleId="CharBoldItalic">
    <w:name w:val="CharBoldItalic"/>
    <w:basedOn w:val="OPCCharBase"/>
    <w:uiPriority w:val="1"/>
    <w:qFormat/>
    <w:rsid w:val="00FE360B"/>
    <w:rPr>
      <w:b/>
      <w:i/>
    </w:rPr>
  </w:style>
  <w:style w:type="character" w:customStyle="1" w:styleId="CharChapNo">
    <w:name w:val="CharChapNo"/>
    <w:basedOn w:val="OPCCharBase"/>
    <w:uiPriority w:val="1"/>
    <w:qFormat/>
    <w:rsid w:val="00FE360B"/>
  </w:style>
  <w:style w:type="character" w:customStyle="1" w:styleId="CharChapText">
    <w:name w:val="CharChapText"/>
    <w:basedOn w:val="OPCCharBase"/>
    <w:uiPriority w:val="1"/>
    <w:qFormat/>
    <w:rsid w:val="00FE360B"/>
  </w:style>
  <w:style w:type="character" w:customStyle="1" w:styleId="CharDivNo">
    <w:name w:val="CharDivNo"/>
    <w:basedOn w:val="OPCCharBase"/>
    <w:uiPriority w:val="1"/>
    <w:qFormat/>
    <w:rsid w:val="00FE360B"/>
  </w:style>
  <w:style w:type="character" w:customStyle="1" w:styleId="CharDivText">
    <w:name w:val="CharDivText"/>
    <w:basedOn w:val="OPCCharBase"/>
    <w:uiPriority w:val="1"/>
    <w:qFormat/>
    <w:rsid w:val="00FE360B"/>
  </w:style>
  <w:style w:type="character" w:customStyle="1" w:styleId="CharItalic">
    <w:name w:val="CharItalic"/>
    <w:basedOn w:val="OPCCharBase"/>
    <w:uiPriority w:val="1"/>
    <w:qFormat/>
    <w:rsid w:val="00FE360B"/>
    <w:rPr>
      <w:i/>
    </w:rPr>
  </w:style>
  <w:style w:type="character" w:customStyle="1" w:styleId="CharPartNo">
    <w:name w:val="CharPartNo"/>
    <w:basedOn w:val="OPCCharBase"/>
    <w:uiPriority w:val="1"/>
    <w:qFormat/>
    <w:rsid w:val="00FE360B"/>
  </w:style>
  <w:style w:type="character" w:customStyle="1" w:styleId="CharPartText">
    <w:name w:val="CharPartText"/>
    <w:basedOn w:val="OPCCharBase"/>
    <w:uiPriority w:val="1"/>
    <w:qFormat/>
    <w:rsid w:val="00FE360B"/>
  </w:style>
  <w:style w:type="character" w:customStyle="1" w:styleId="CharSectno">
    <w:name w:val="CharSectno"/>
    <w:basedOn w:val="OPCCharBase"/>
    <w:qFormat/>
    <w:rsid w:val="00FE360B"/>
  </w:style>
  <w:style w:type="character" w:customStyle="1" w:styleId="CharSubdNo">
    <w:name w:val="CharSubdNo"/>
    <w:basedOn w:val="OPCCharBase"/>
    <w:uiPriority w:val="1"/>
    <w:qFormat/>
    <w:rsid w:val="00FE360B"/>
  </w:style>
  <w:style w:type="character" w:customStyle="1" w:styleId="CharSubdText">
    <w:name w:val="CharSubdText"/>
    <w:basedOn w:val="OPCCharBase"/>
    <w:uiPriority w:val="1"/>
    <w:qFormat/>
    <w:rsid w:val="00FE360B"/>
  </w:style>
  <w:style w:type="paragraph" w:customStyle="1" w:styleId="CTA--">
    <w:name w:val="CTA --"/>
    <w:basedOn w:val="OPCParaBase"/>
    <w:next w:val="Normal"/>
    <w:rsid w:val="00FE360B"/>
    <w:pPr>
      <w:spacing w:before="60" w:line="240" w:lineRule="atLeast"/>
      <w:ind w:left="142" w:hanging="142"/>
    </w:pPr>
    <w:rPr>
      <w:sz w:val="20"/>
    </w:rPr>
  </w:style>
  <w:style w:type="paragraph" w:customStyle="1" w:styleId="CTA-">
    <w:name w:val="CTA -"/>
    <w:basedOn w:val="OPCParaBase"/>
    <w:rsid w:val="00FE360B"/>
    <w:pPr>
      <w:spacing w:before="60" w:line="240" w:lineRule="atLeast"/>
      <w:ind w:left="85" w:hanging="85"/>
    </w:pPr>
    <w:rPr>
      <w:sz w:val="20"/>
    </w:rPr>
  </w:style>
  <w:style w:type="paragraph" w:customStyle="1" w:styleId="CTA---">
    <w:name w:val="CTA ---"/>
    <w:basedOn w:val="OPCParaBase"/>
    <w:next w:val="Normal"/>
    <w:rsid w:val="00FE360B"/>
    <w:pPr>
      <w:spacing w:before="60" w:line="240" w:lineRule="atLeast"/>
      <w:ind w:left="198" w:hanging="198"/>
    </w:pPr>
    <w:rPr>
      <w:sz w:val="20"/>
    </w:rPr>
  </w:style>
  <w:style w:type="paragraph" w:customStyle="1" w:styleId="CTA----">
    <w:name w:val="CTA ----"/>
    <w:basedOn w:val="OPCParaBase"/>
    <w:next w:val="Normal"/>
    <w:rsid w:val="00FE360B"/>
    <w:pPr>
      <w:spacing w:before="60" w:line="240" w:lineRule="atLeast"/>
      <w:ind w:left="255" w:hanging="255"/>
    </w:pPr>
    <w:rPr>
      <w:sz w:val="20"/>
    </w:rPr>
  </w:style>
  <w:style w:type="paragraph" w:customStyle="1" w:styleId="CTA1a">
    <w:name w:val="CTA 1(a)"/>
    <w:basedOn w:val="OPCParaBase"/>
    <w:rsid w:val="00FE360B"/>
    <w:pPr>
      <w:tabs>
        <w:tab w:val="right" w:pos="414"/>
      </w:tabs>
      <w:spacing w:before="40" w:line="240" w:lineRule="atLeast"/>
      <w:ind w:left="675" w:hanging="675"/>
    </w:pPr>
    <w:rPr>
      <w:sz w:val="20"/>
    </w:rPr>
  </w:style>
  <w:style w:type="paragraph" w:customStyle="1" w:styleId="CTA1ai">
    <w:name w:val="CTA 1(a)(i)"/>
    <w:basedOn w:val="OPCParaBase"/>
    <w:rsid w:val="00FE360B"/>
    <w:pPr>
      <w:tabs>
        <w:tab w:val="right" w:pos="1004"/>
      </w:tabs>
      <w:spacing w:before="40" w:line="240" w:lineRule="atLeast"/>
      <w:ind w:left="1253" w:hanging="1253"/>
    </w:pPr>
    <w:rPr>
      <w:sz w:val="20"/>
    </w:rPr>
  </w:style>
  <w:style w:type="paragraph" w:customStyle="1" w:styleId="CTA2a">
    <w:name w:val="CTA 2(a)"/>
    <w:basedOn w:val="OPCParaBase"/>
    <w:rsid w:val="00FE360B"/>
    <w:pPr>
      <w:tabs>
        <w:tab w:val="right" w:pos="482"/>
      </w:tabs>
      <w:spacing w:before="40" w:line="240" w:lineRule="atLeast"/>
      <w:ind w:left="748" w:hanging="748"/>
    </w:pPr>
    <w:rPr>
      <w:sz w:val="20"/>
    </w:rPr>
  </w:style>
  <w:style w:type="paragraph" w:customStyle="1" w:styleId="CTA2ai">
    <w:name w:val="CTA 2(a)(i)"/>
    <w:basedOn w:val="OPCParaBase"/>
    <w:rsid w:val="00FE360B"/>
    <w:pPr>
      <w:tabs>
        <w:tab w:val="right" w:pos="1089"/>
      </w:tabs>
      <w:spacing w:before="40" w:line="240" w:lineRule="atLeast"/>
      <w:ind w:left="1327" w:hanging="1327"/>
    </w:pPr>
    <w:rPr>
      <w:sz w:val="20"/>
    </w:rPr>
  </w:style>
  <w:style w:type="paragraph" w:customStyle="1" w:styleId="CTA3a">
    <w:name w:val="CTA 3(a)"/>
    <w:basedOn w:val="OPCParaBase"/>
    <w:rsid w:val="00FE360B"/>
    <w:pPr>
      <w:tabs>
        <w:tab w:val="right" w:pos="556"/>
      </w:tabs>
      <w:spacing w:before="40" w:line="240" w:lineRule="atLeast"/>
      <w:ind w:left="805" w:hanging="805"/>
    </w:pPr>
    <w:rPr>
      <w:sz w:val="20"/>
    </w:rPr>
  </w:style>
  <w:style w:type="paragraph" w:customStyle="1" w:styleId="CTA3ai">
    <w:name w:val="CTA 3(a)(i)"/>
    <w:basedOn w:val="OPCParaBase"/>
    <w:rsid w:val="00FE360B"/>
    <w:pPr>
      <w:tabs>
        <w:tab w:val="right" w:pos="1140"/>
      </w:tabs>
      <w:spacing w:before="40" w:line="240" w:lineRule="atLeast"/>
      <w:ind w:left="1361" w:hanging="1361"/>
    </w:pPr>
    <w:rPr>
      <w:sz w:val="20"/>
    </w:rPr>
  </w:style>
  <w:style w:type="paragraph" w:customStyle="1" w:styleId="CTA4a">
    <w:name w:val="CTA 4(a)"/>
    <w:basedOn w:val="OPCParaBase"/>
    <w:rsid w:val="00FE360B"/>
    <w:pPr>
      <w:tabs>
        <w:tab w:val="right" w:pos="624"/>
      </w:tabs>
      <w:spacing w:before="40" w:line="240" w:lineRule="atLeast"/>
      <w:ind w:left="873" w:hanging="873"/>
    </w:pPr>
    <w:rPr>
      <w:sz w:val="20"/>
    </w:rPr>
  </w:style>
  <w:style w:type="paragraph" w:customStyle="1" w:styleId="CTA4ai">
    <w:name w:val="CTA 4(a)(i)"/>
    <w:basedOn w:val="OPCParaBase"/>
    <w:rsid w:val="00FE360B"/>
    <w:pPr>
      <w:tabs>
        <w:tab w:val="right" w:pos="1213"/>
      </w:tabs>
      <w:spacing w:before="40" w:line="240" w:lineRule="atLeast"/>
      <w:ind w:left="1452" w:hanging="1452"/>
    </w:pPr>
    <w:rPr>
      <w:sz w:val="20"/>
    </w:rPr>
  </w:style>
  <w:style w:type="paragraph" w:customStyle="1" w:styleId="CTACAPS">
    <w:name w:val="CTA CAPS"/>
    <w:basedOn w:val="OPCParaBase"/>
    <w:rsid w:val="00FE360B"/>
    <w:pPr>
      <w:spacing w:before="60" w:line="240" w:lineRule="atLeast"/>
    </w:pPr>
    <w:rPr>
      <w:sz w:val="20"/>
    </w:rPr>
  </w:style>
  <w:style w:type="paragraph" w:customStyle="1" w:styleId="CTAright">
    <w:name w:val="CTA right"/>
    <w:basedOn w:val="OPCParaBase"/>
    <w:rsid w:val="00FE360B"/>
    <w:pPr>
      <w:spacing w:before="60" w:line="240" w:lineRule="auto"/>
      <w:jc w:val="right"/>
    </w:pPr>
    <w:rPr>
      <w:sz w:val="20"/>
    </w:rPr>
  </w:style>
  <w:style w:type="paragraph" w:customStyle="1" w:styleId="subsection">
    <w:name w:val="subsection"/>
    <w:aliases w:val="ss,Subsection"/>
    <w:basedOn w:val="OPCParaBase"/>
    <w:link w:val="subsectionChar"/>
    <w:rsid w:val="00FE360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E360B"/>
    <w:pPr>
      <w:spacing w:before="180" w:line="240" w:lineRule="auto"/>
      <w:ind w:left="1134"/>
    </w:pPr>
  </w:style>
  <w:style w:type="paragraph" w:customStyle="1" w:styleId="EndNotespara">
    <w:name w:val="EndNotes(para)"/>
    <w:aliases w:val="eta"/>
    <w:basedOn w:val="OPCParaBase"/>
    <w:next w:val="EndNotessubpara"/>
    <w:rsid w:val="00FE36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36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36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360B"/>
    <w:pPr>
      <w:tabs>
        <w:tab w:val="right" w:pos="1412"/>
      </w:tabs>
      <w:spacing w:before="60" w:line="240" w:lineRule="auto"/>
      <w:ind w:left="1525" w:hanging="1525"/>
    </w:pPr>
    <w:rPr>
      <w:sz w:val="20"/>
    </w:rPr>
  </w:style>
  <w:style w:type="paragraph" w:customStyle="1" w:styleId="Formula">
    <w:name w:val="Formula"/>
    <w:basedOn w:val="OPCParaBase"/>
    <w:rsid w:val="00FE360B"/>
    <w:pPr>
      <w:spacing w:line="240" w:lineRule="auto"/>
      <w:ind w:left="1134"/>
    </w:pPr>
    <w:rPr>
      <w:sz w:val="20"/>
    </w:rPr>
  </w:style>
  <w:style w:type="paragraph" w:styleId="Header">
    <w:name w:val="header"/>
    <w:basedOn w:val="OPCParaBase"/>
    <w:link w:val="HeaderChar"/>
    <w:unhideWhenUsed/>
    <w:rsid w:val="00FE36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360B"/>
    <w:rPr>
      <w:rFonts w:eastAsia="Times New Roman" w:cs="Times New Roman"/>
      <w:sz w:val="16"/>
      <w:lang w:eastAsia="en-AU"/>
    </w:rPr>
  </w:style>
  <w:style w:type="paragraph" w:customStyle="1" w:styleId="House">
    <w:name w:val="House"/>
    <w:basedOn w:val="OPCParaBase"/>
    <w:rsid w:val="00FE360B"/>
    <w:pPr>
      <w:spacing w:line="240" w:lineRule="auto"/>
    </w:pPr>
    <w:rPr>
      <w:sz w:val="28"/>
    </w:rPr>
  </w:style>
  <w:style w:type="paragraph" w:customStyle="1" w:styleId="Item">
    <w:name w:val="Item"/>
    <w:aliases w:val="i"/>
    <w:basedOn w:val="OPCParaBase"/>
    <w:next w:val="ItemHead"/>
    <w:rsid w:val="00FE360B"/>
    <w:pPr>
      <w:keepLines/>
      <w:spacing w:before="80" w:line="240" w:lineRule="auto"/>
      <w:ind w:left="709"/>
    </w:pPr>
  </w:style>
  <w:style w:type="paragraph" w:customStyle="1" w:styleId="ItemHead">
    <w:name w:val="ItemHead"/>
    <w:aliases w:val="ih"/>
    <w:basedOn w:val="OPCParaBase"/>
    <w:next w:val="Item"/>
    <w:rsid w:val="00FE36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360B"/>
    <w:pPr>
      <w:spacing w:line="240" w:lineRule="auto"/>
    </w:pPr>
    <w:rPr>
      <w:b/>
      <w:sz w:val="32"/>
    </w:rPr>
  </w:style>
  <w:style w:type="paragraph" w:customStyle="1" w:styleId="notedraft">
    <w:name w:val="note(draft)"/>
    <w:aliases w:val="nd"/>
    <w:basedOn w:val="OPCParaBase"/>
    <w:rsid w:val="00FE360B"/>
    <w:pPr>
      <w:spacing w:before="240" w:line="240" w:lineRule="auto"/>
      <w:ind w:left="284" w:hanging="284"/>
    </w:pPr>
    <w:rPr>
      <w:i/>
      <w:sz w:val="24"/>
    </w:rPr>
  </w:style>
  <w:style w:type="paragraph" w:customStyle="1" w:styleId="notemargin">
    <w:name w:val="note(margin)"/>
    <w:aliases w:val="nm"/>
    <w:basedOn w:val="OPCParaBase"/>
    <w:rsid w:val="00FE360B"/>
    <w:pPr>
      <w:tabs>
        <w:tab w:val="left" w:pos="709"/>
      </w:tabs>
      <w:spacing w:before="122" w:line="198" w:lineRule="exact"/>
      <w:ind w:left="709" w:hanging="709"/>
    </w:pPr>
    <w:rPr>
      <w:sz w:val="18"/>
    </w:rPr>
  </w:style>
  <w:style w:type="paragraph" w:customStyle="1" w:styleId="noteToPara">
    <w:name w:val="noteToPara"/>
    <w:aliases w:val="ntp"/>
    <w:basedOn w:val="OPCParaBase"/>
    <w:rsid w:val="00FE360B"/>
    <w:pPr>
      <w:spacing w:before="122" w:line="198" w:lineRule="exact"/>
      <w:ind w:left="2353" w:hanging="709"/>
    </w:pPr>
    <w:rPr>
      <w:sz w:val="18"/>
    </w:rPr>
  </w:style>
  <w:style w:type="paragraph" w:customStyle="1" w:styleId="noteParlAmend">
    <w:name w:val="note(ParlAmend)"/>
    <w:aliases w:val="npp"/>
    <w:basedOn w:val="OPCParaBase"/>
    <w:next w:val="ParlAmend"/>
    <w:rsid w:val="00FE360B"/>
    <w:pPr>
      <w:spacing w:line="240" w:lineRule="auto"/>
      <w:jc w:val="right"/>
    </w:pPr>
    <w:rPr>
      <w:rFonts w:ascii="Arial" w:hAnsi="Arial"/>
      <w:b/>
      <w:i/>
    </w:rPr>
  </w:style>
  <w:style w:type="paragraph" w:customStyle="1" w:styleId="Page1">
    <w:name w:val="Page1"/>
    <w:basedOn w:val="OPCParaBase"/>
    <w:rsid w:val="00FE360B"/>
    <w:pPr>
      <w:spacing w:before="5600" w:line="240" w:lineRule="auto"/>
    </w:pPr>
    <w:rPr>
      <w:b/>
      <w:sz w:val="32"/>
    </w:rPr>
  </w:style>
  <w:style w:type="paragraph" w:customStyle="1" w:styleId="PageBreak">
    <w:name w:val="PageBreak"/>
    <w:aliases w:val="pb"/>
    <w:basedOn w:val="OPCParaBase"/>
    <w:rsid w:val="00FE360B"/>
    <w:pPr>
      <w:spacing w:line="240" w:lineRule="auto"/>
    </w:pPr>
    <w:rPr>
      <w:sz w:val="20"/>
    </w:rPr>
  </w:style>
  <w:style w:type="paragraph" w:customStyle="1" w:styleId="paragraphsub">
    <w:name w:val="paragraph(sub)"/>
    <w:aliases w:val="aa"/>
    <w:basedOn w:val="OPCParaBase"/>
    <w:rsid w:val="00FE360B"/>
    <w:pPr>
      <w:tabs>
        <w:tab w:val="right" w:pos="1985"/>
      </w:tabs>
      <w:spacing w:before="40" w:line="240" w:lineRule="auto"/>
      <w:ind w:left="2098" w:hanging="2098"/>
    </w:pPr>
  </w:style>
  <w:style w:type="paragraph" w:customStyle="1" w:styleId="paragraphsub-sub">
    <w:name w:val="paragraph(sub-sub)"/>
    <w:aliases w:val="aaa"/>
    <w:basedOn w:val="OPCParaBase"/>
    <w:rsid w:val="00FE360B"/>
    <w:pPr>
      <w:tabs>
        <w:tab w:val="right" w:pos="2722"/>
      </w:tabs>
      <w:spacing w:before="40" w:line="240" w:lineRule="auto"/>
      <w:ind w:left="2835" w:hanging="2835"/>
    </w:pPr>
  </w:style>
  <w:style w:type="paragraph" w:customStyle="1" w:styleId="paragraph">
    <w:name w:val="paragraph"/>
    <w:aliases w:val="a"/>
    <w:basedOn w:val="OPCParaBase"/>
    <w:link w:val="paragraphChar"/>
    <w:rsid w:val="00FE360B"/>
    <w:pPr>
      <w:tabs>
        <w:tab w:val="right" w:pos="1531"/>
      </w:tabs>
      <w:spacing w:before="40" w:line="240" w:lineRule="auto"/>
      <w:ind w:left="1644" w:hanging="1644"/>
    </w:pPr>
  </w:style>
  <w:style w:type="paragraph" w:customStyle="1" w:styleId="ParlAmend">
    <w:name w:val="ParlAmend"/>
    <w:aliases w:val="pp"/>
    <w:basedOn w:val="OPCParaBase"/>
    <w:rsid w:val="00FE360B"/>
    <w:pPr>
      <w:spacing w:before="240" w:line="240" w:lineRule="atLeast"/>
      <w:ind w:hanging="567"/>
    </w:pPr>
    <w:rPr>
      <w:sz w:val="24"/>
    </w:rPr>
  </w:style>
  <w:style w:type="paragraph" w:customStyle="1" w:styleId="Penalty">
    <w:name w:val="Penalty"/>
    <w:basedOn w:val="OPCParaBase"/>
    <w:rsid w:val="00FE360B"/>
    <w:pPr>
      <w:tabs>
        <w:tab w:val="left" w:pos="2977"/>
      </w:tabs>
      <w:spacing w:before="180" w:line="240" w:lineRule="auto"/>
      <w:ind w:left="1985" w:hanging="851"/>
    </w:pPr>
  </w:style>
  <w:style w:type="paragraph" w:customStyle="1" w:styleId="Portfolio">
    <w:name w:val="Portfolio"/>
    <w:basedOn w:val="OPCParaBase"/>
    <w:rsid w:val="00FE360B"/>
    <w:pPr>
      <w:spacing w:line="240" w:lineRule="auto"/>
    </w:pPr>
    <w:rPr>
      <w:i/>
      <w:sz w:val="20"/>
    </w:rPr>
  </w:style>
  <w:style w:type="paragraph" w:customStyle="1" w:styleId="Preamble">
    <w:name w:val="Preamble"/>
    <w:basedOn w:val="OPCParaBase"/>
    <w:next w:val="Normal"/>
    <w:rsid w:val="00FE36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360B"/>
    <w:pPr>
      <w:spacing w:line="240" w:lineRule="auto"/>
    </w:pPr>
    <w:rPr>
      <w:i/>
      <w:sz w:val="20"/>
    </w:rPr>
  </w:style>
  <w:style w:type="paragraph" w:customStyle="1" w:styleId="Session">
    <w:name w:val="Session"/>
    <w:basedOn w:val="OPCParaBase"/>
    <w:rsid w:val="00FE360B"/>
    <w:pPr>
      <w:spacing w:line="240" w:lineRule="auto"/>
    </w:pPr>
    <w:rPr>
      <w:sz w:val="28"/>
    </w:rPr>
  </w:style>
  <w:style w:type="paragraph" w:customStyle="1" w:styleId="Sponsor">
    <w:name w:val="Sponsor"/>
    <w:basedOn w:val="OPCParaBase"/>
    <w:rsid w:val="00FE360B"/>
    <w:pPr>
      <w:spacing w:line="240" w:lineRule="auto"/>
    </w:pPr>
    <w:rPr>
      <w:i/>
    </w:rPr>
  </w:style>
  <w:style w:type="paragraph" w:customStyle="1" w:styleId="Subitem">
    <w:name w:val="Subitem"/>
    <w:aliases w:val="iss"/>
    <w:basedOn w:val="OPCParaBase"/>
    <w:rsid w:val="00FE360B"/>
    <w:pPr>
      <w:spacing w:before="180" w:line="240" w:lineRule="auto"/>
      <w:ind w:left="709" w:hanging="709"/>
    </w:pPr>
  </w:style>
  <w:style w:type="paragraph" w:customStyle="1" w:styleId="SubitemHead">
    <w:name w:val="SubitemHead"/>
    <w:aliases w:val="issh"/>
    <w:basedOn w:val="OPCParaBase"/>
    <w:rsid w:val="00FE36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E360B"/>
    <w:pPr>
      <w:spacing w:before="40" w:line="240" w:lineRule="auto"/>
      <w:ind w:left="1134"/>
    </w:pPr>
  </w:style>
  <w:style w:type="paragraph" w:customStyle="1" w:styleId="SubsectionHead">
    <w:name w:val="SubsectionHead"/>
    <w:aliases w:val="ssh"/>
    <w:basedOn w:val="OPCParaBase"/>
    <w:next w:val="subsection"/>
    <w:rsid w:val="00FE360B"/>
    <w:pPr>
      <w:keepNext/>
      <w:keepLines/>
      <w:spacing w:before="240" w:line="240" w:lineRule="auto"/>
      <w:ind w:left="1134"/>
    </w:pPr>
    <w:rPr>
      <w:i/>
    </w:rPr>
  </w:style>
  <w:style w:type="paragraph" w:customStyle="1" w:styleId="Tablea">
    <w:name w:val="Table(a)"/>
    <w:aliases w:val="ta"/>
    <w:basedOn w:val="OPCParaBase"/>
    <w:rsid w:val="00FE360B"/>
    <w:pPr>
      <w:spacing w:before="60" w:line="240" w:lineRule="auto"/>
      <w:ind w:left="284" w:hanging="284"/>
    </w:pPr>
    <w:rPr>
      <w:sz w:val="20"/>
    </w:rPr>
  </w:style>
  <w:style w:type="paragraph" w:customStyle="1" w:styleId="TableAA">
    <w:name w:val="Table(AA)"/>
    <w:aliases w:val="taaa"/>
    <w:basedOn w:val="OPCParaBase"/>
    <w:rsid w:val="00FE36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36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360B"/>
    <w:pPr>
      <w:spacing w:before="60" w:line="240" w:lineRule="atLeast"/>
    </w:pPr>
    <w:rPr>
      <w:sz w:val="20"/>
    </w:rPr>
  </w:style>
  <w:style w:type="paragraph" w:customStyle="1" w:styleId="TLPBoxTextnote">
    <w:name w:val="TLPBoxText(note"/>
    <w:aliases w:val="right)"/>
    <w:basedOn w:val="OPCParaBase"/>
    <w:rsid w:val="00FE36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36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360B"/>
    <w:pPr>
      <w:spacing w:before="122" w:line="198" w:lineRule="exact"/>
      <w:ind w:left="1985" w:hanging="851"/>
      <w:jc w:val="right"/>
    </w:pPr>
    <w:rPr>
      <w:sz w:val="18"/>
    </w:rPr>
  </w:style>
  <w:style w:type="paragraph" w:customStyle="1" w:styleId="TLPTableBullet">
    <w:name w:val="TLPTableBullet"/>
    <w:aliases w:val="ttb"/>
    <w:basedOn w:val="OPCParaBase"/>
    <w:rsid w:val="00FE360B"/>
    <w:pPr>
      <w:spacing w:line="240" w:lineRule="exact"/>
      <w:ind w:left="284" w:hanging="284"/>
    </w:pPr>
    <w:rPr>
      <w:sz w:val="20"/>
    </w:rPr>
  </w:style>
  <w:style w:type="paragraph" w:styleId="TOC1">
    <w:name w:val="toc 1"/>
    <w:basedOn w:val="Normal"/>
    <w:next w:val="Normal"/>
    <w:uiPriority w:val="39"/>
    <w:unhideWhenUsed/>
    <w:rsid w:val="00FE360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360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360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360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360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360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360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360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360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360B"/>
    <w:pPr>
      <w:keepLines/>
      <w:spacing w:before="240" w:after="120" w:line="240" w:lineRule="auto"/>
      <w:ind w:left="794"/>
    </w:pPr>
    <w:rPr>
      <w:b/>
      <w:kern w:val="28"/>
      <w:sz w:val="20"/>
    </w:rPr>
  </w:style>
  <w:style w:type="paragraph" w:customStyle="1" w:styleId="TofSectsHeading">
    <w:name w:val="TofSects(Heading)"/>
    <w:basedOn w:val="OPCParaBase"/>
    <w:rsid w:val="00FE360B"/>
    <w:pPr>
      <w:spacing w:before="240" w:after="120" w:line="240" w:lineRule="auto"/>
    </w:pPr>
    <w:rPr>
      <w:b/>
      <w:sz w:val="24"/>
    </w:rPr>
  </w:style>
  <w:style w:type="paragraph" w:customStyle="1" w:styleId="TofSectsSection">
    <w:name w:val="TofSects(Section)"/>
    <w:basedOn w:val="OPCParaBase"/>
    <w:rsid w:val="00FE360B"/>
    <w:pPr>
      <w:keepLines/>
      <w:spacing w:before="40" w:line="240" w:lineRule="auto"/>
      <w:ind w:left="1588" w:hanging="794"/>
    </w:pPr>
    <w:rPr>
      <w:kern w:val="28"/>
      <w:sz w:val="18"/>
    </w:rPr>
  </w:style>
  <w:style w:type="paragraph" w:customStyle="1" w:styleId="TofSectsSubdiv">
    <w:name w:val="TofSects(Subdiv)"/>
    <w:basedOn w:val="OPCParaBase"/>
    <w:rsid w:val="00FE360B"/>
    <w:pPr>
      <w:keepLines/>
      <w:spacing w:before="80" w:line="240" w:lineRule="auto"/>
      <w:ind w:left="1588" w:hanging="794"/>
    </w:pPr>
    <w:rPr>
      <w:kern w:val="28"/>
    </w:rPr>
  </w:style>
  <w:style w:type="paragraph" w:customStyle="1" w:styleId="WRStyle">
    <w:name w:val="WR Style"/>
    <w:aliases w:val="WR"/>
    <w:basedOn w:val="OPCParaBase"/>
    <w:rsid w:val="00FE360B"/>
    <w:pPr>
      <w:spacing w:before="240" w:line="240" w:lineRule="auto"/>
      <w:ind w:left="284" w:hanging="284"/>
    </w:pPr>
    <w:rPr>
      <w:b/>
      <w:i/>
      <w:kern w:val="28"/>
      <w:sz w:val="24"/>
    </w:rPr>
  </w:style>
  <w:style w:type="paragraph" w:customStyle="1" w:styleId="notepara">
    <w:name w:val="note(para)"/>
    <w:aliases w:val="na"/>
    <w:basedOn w:val="OPCParaBase"/>
    <w:rsid w:val="00FE360B"/>
    <w:pPr>
      <w:spacing w:before="40" w:line="198" w:lineRule="exact"/>
      <w:ind w:left="2354" w:hanging="369"/>
    </w:pPr>
    <w:rPr>
      <w:sz w:val="18"/>
    </w:rPr>
  </w:style>
  <w:style w:type="paragraph" w:styleId="Footer">
    <w:name w:val="footer"/>
    <w:link w:val="FooterChar"/>
    <w:rsid w:val="00FE36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360B"/>
    <w:rPr>
      <w:rFonts w:eastAsia="Times New Roman" w:cs="Times New Roman"/>
      <w:sz w:val="22"/>
      <w:szCs w:val="24"/>
      <w:lang w:eastAsia="en-AU"/>
    </w:rPr>
  </w:style>
  <w:style w:type="character" w:styleId="LineNumber">
    <w:name w:val="line number"/>
    <w:basedOn w:val="OPCCharBase"/>
    <w:uiPriority w:val="99"/>
    <w:unhideWhenUsed/>
    <w:rsid w:val="00FE360B"/>
    <w:rPr>
      <w:sz w:val="16"/>
    </w:rPr>
  </w:style>
  <w:style w:type="table" w:customStyle="1" w:styleId="CFlag">
    <w:name w:val="CFlag"/>
    <w:basedOn w:val="TableNormal"/>
    <w:uiPriority w:val="99"/>
    <w:rsid w:val="00FE360B"/>
    <w:rPr>
      <w:rFonts w:eastAsia="Times New Roman" w:cs="Times New Roman"/>
      <w:lang w:eastAsia="en-AU"/>
    </w:rPr>
    <w:tblPr/>
  </w:style>
  <w:style w:type="paragraph" w:styleId="BalloonText">
    <w:name w:val="Balloon Text"/>
    <w:basedOn w:val="Normal"/>
    <w:link w:val="BalloonTextChar"/>
    <w:uiPriority w:val="99"/>
    <w:unhideWhenUsed/>
    <w:rsid w:val="00FE36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360B"/>
    <w:rPr>
      <w:rFonts w:ascii="Tahoma" w:hAnsi="Tahoma" w:cs="Tahoma"/>
      <w:sz w:val="16"/>
      <w:szCs w:val="16"/>
    </w:rPr>
  </w:style>
  <w:style w:type="table" w:styleId="TableGrid">
    <w:name w:val="Table Grid"/>
    <w:basedOn w:val="TableNormal"/>
    <w:uiPriority w:val="59"/>
    <w:rsid w:val="00FE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360B"/>
    <w:rPr>
      <w:b/>
      <w:sz w:val="28"/>
      <w:szCs w:val="32"/>
    </w:rPr>
  </w:style>
  <w:style w:type="paragraph" w:customStyle="1" w:styleId="LegislationMadeUnder">
    <w:name w:val="LegislationMadeUnder"/>
    <w:basedOn w:val="OPCParaBase"/>
    <w:next w:val="Normal"/>
    <w:rsid w:val="00FE360B"/>
    <w:rPr>
      <w:i/>
      <w:sz w:val="32"/>
      <w:szCs w:val="32"/>
    </w:rPr>
  </w:style>
  <w:style w:type="paragraph" w:customStyle="1" w:styleId="SignCoverPageEnd">
    <w:name w:val="SignCoverPageEnd"/>
    <w:basedOn w:val="OPCParaBase"/>
    <w:next w:val="Normal"/>
    <w:rsid w:val="00FE36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360B"/>
    <w:pPr>
      <w:pBdr>
        <w:top w:val="single" w:sz="4" w:space="1" w:color="auto"/>
      </w:pBdr>
      <w:spacing w:before="360"/>
      <w:ind w:right="397"/>
      <w:jc w:val="both"/>
    </w:pPr>
  </w:style>
  <w:style w:type="paragraph" w:customStyle="1" w:styleId="NotesHeading1">
    <w:name w:val="NotesHeading 1"/>
    <w:basedOn w:val="OPCParaBase"/>
    <w:next w:val="Normal"/>
    <w:rsid w:val="00FE360B"/>
    <w:rPr>
      <w:b/>
      <w:sz w:val="28"/>
      <w:szCs w:val="28"/>
    </w:rPr>
  </w:style>
  <w:style w:type="paragraph" w:customStyle="1" w:styleId="NotesHeading2">
    <w:name w:val="NotesHeading 2"/>
    <w:basedOn w:val="OPCParaBase"/>
    <w:next w:val="Normal"/>
    <w:rsid w:val="00FE360B"/>
    <w:rPr>
      <w:b/>
      <w:sz w:val="28"/>
      <w:szCs w:val="28"/>
    </w:rPr>
  </w:style>
  <w:style w:type="paragraph" w:customStyle="1" w:styleId="CompiledActNo">
    <w:name w:val="CompiledActNo"/>
    <w:basedOn w:val="OPCParaBase"/>
    <w:next w:val="Normal"/>
    <w:rsid w:val="00FE360B"/>
    <w:rPr>
      <w:b/>
      <w:sz w:val="24"/>
      <w:szCs w:val="24"/>
    </w:rPr>
  </w:style>
  <w:style w:type="paragraph" w:customStyle="1" w:styleId="ENotesText">
    <w:name w:val="ENotesText"/>
    <w:aliases w:val="Ent"/>
    <w:basedOn w:val="OPCParaBase"/>
    <w:next w:val="Normal"/>
    <w:rsid w:val="00FE360B"/>
    <w:pPr>
      <w:spacing w:before="120"/>
    </w:pPr>
  </w:style>
  <w:style w:type="paragraph" w:customStyle="1" w:styleId="CompiledMadeUnder">
    <w:name w:val="CompiledMadeUnder"/>
    <w:basedOn w:val="OPCParaBase"/>
    <w:next w:val="Normal"/>
    <w:rsid w:val="00FE360B"/>
    <w:rPr>
      <w:i/>
      <w:sz w:val="24"/>
      <w:szCs w:val="24"/>
    </w:rPr>
  </w:style>
  <w:style w:type="paragraph" w:customStyle="1" w:styleId="Paragraphsub-sub-sub">
    <w:name w:val="Paragraph(sub-sub-sub)"/>
    <w:aliases w:val="aaaa"/>
    <w:basedOn w:val="OPCParaBase"/>
    <w:rsid w:val="00FE360B"/>
    <w:pPr>
      <w:tabs>
        <w:tab w:val="right" w:pos="3402"/>
      </w:tabs>
      <w:spacing w:before="40" w:line="240" w:lineRule="auto"/>
      <w:ind w:left="3402" w:hanging="3402"/>
    </w:pPr>
  </w:style>
  <w:style w:type="paragraph" w:customStyle="1" w:styleId="TableTextEndNotes">
    <w:name w:val="TableTextEndNotes"/>
    <w:aliases w:val="Tten"/>
    <w:basedOn w:val="Normal"/>
    <w:rsid w:val="00FE360B"/>
    <w:pPr>
      <w:spacing w:before="60" w:line="240" w:lineRule="auto"/>
    </w:pPr>
    <w:rPr>
      <w:rFonts w:cs="Arial"/>
      <w:sz w:val="20"/>
      <w:szCs w:val="22"/>
    </w:rPr>
  </w:style>
  <w:style w:type="paragraph" w:customStyle="1" w:styleId="NoteToSubpara">
    <w:name w:val="NoteToSubpara"/>
    <w:aliases w:val="nts"/>
    <w:basedOn w:val="OPCParaBase"/>
    <w:rsid w:val="00FE360B"/>
    <w:pPr>
      <w:spacing w:before="40" w:line="198" w:lineRule="exact"/>
      <w:ind w:left="2835" w:hanging="709"/>
    </w:pPr>
    <w:rPr>
      <w:sz w:val="18"/>
    </w:rPr>
  </w:style>
  <w:style w:type="paragraph" w:customStyle="1" w:styleId="ENoteTableHeading">
    <w:name w:val="ENoteTableHeading"/>
    <w:aliases w:val="enth"/>
    <w:basedOn w:val="OPCParaBase"/>
    <w:rsid w:val="00FE360B"/>
    <w:pPr>
      <w:keepNext/>
      <w:spacing w:before="60" w:line="240" w:lineRule="atLeast"/>
    </w:pPr>
    <w:rPr>
      <w:rFonts w:ascii="Arial" w:hAnsi="Arial"/>
      <w:b/>
      <w:sz w:val="16"/>
    </w:rPr>
  </w:style>
  <w:style w:type="paragraph" w:customStyle="1" w:styleId="ENoteTTi">
    <w:name w:val="ENoteTTi"/>
    <w:aliases w:val="entti"/>
    <w:basedOn w:val="OPCParaBase"/>
    <w:rsid w:val="00FE360B"/>
    <w:pPr>
      <w:keepNext/>
      <w:spacing w:before="60" w:line="240" w:lineRule="atLeast"/>
      <w:ind w:left="170"/>
    </w:pPr>
    <w:rPr>
      <w:sz w:val="16"/>
    </w:rPr>
  </w:style>
  <w:style w:type="paragraph" w:customStyle="1" w:styleId="ENotesHeading1">
    <w:name w:val="ENotesHeading 1"/>
    <w:aliases w:val="Enh1"/>
    <w:basedOn w:val="OPCParaBase"/>
    <w:next w:val="Normal"/>
    <w:rsid w:val="00FE360B"/>
    <w:pPr>
      <w:spacing w:before="120"/>
      <w:outlineLvl w:val="1"/>
    </w:pPr>
    <w:rPr>
      <w:b/>
      <w:sz w:val="28"/>
      <w:szCs w:val="28"/>
    </w:rPr>
  </w:style>
  <w:style w:type="paragraph" w:customStyle="1" w:styleId="ENotesHeading2">
    <w:name w:val="ENotesHeading 2"/>
    <w:aliases w:val="Enh2"/>
    <w:basedOn w:val="OPCParaBase"/>
    <w:next w:val="Normal"/>
    <w:rsid w:val="00FE360B"/>
    <w:pPr>
      <w:spacing w:before="120" w:after="120"/>
      <w:outlineLvl w:val="2"/>
    </w:pPr>
    <w:rPr>
      <w:b/>
      <w:sz w:val="24"/>
      <w:szCs w:val="28"/>
    </w:rPr>
  </w:style>
  <w:style w:type="paragraph" w:customStyle="1" w:styleId="ENoteTTIndentHeading">
    <w:name w:val="ENoteTTIndentHeading"/>
    <w:aliases w:val="enTTHi"/>
    <w:basedOn w:val="OPCParaBase"/>
    <w:rsid w:val="00FE36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360B"/>
    <w:pPr>
      <w:spacing w:before="60" w:line="240" w:lineRule="atLeast"/>
    </w:pPr>
    <w:rPr>
      <w:sz w:val="16"/>
    </w:rPr>
  </w:style>
  <w:style w:type="paragraph" w:customStyle="1" w:styleId="MadeunderText">
    <w:name w:val="MadeunderText"/>
    <w:basedOn w:val="OPCParaBase"/>
    <w:next w:val="Normal"/>
    <w:rsid w:val="00FE360B"/>
    <w:pPr>
      <w:spacing w:before="240"/>
    </w:pPr>
    <w:rPr>
      <w:sz w:val="24"/>
      <w:szCs w:val="24"/>
    </w:rPr>
  </w:style>
  <w:style w:type="paragraph" w:customStyle="1" w:styleId="ENotesHeading3">
    <w:name w:val="ENotesHeading 3"/>
    <w:aliases w:val="Enh3"/>
    <w:basedOn w:val="OPCParaBase"/>
    <w:next w:val="Normal"/>
    <w:rsid w:val="00FE360B"/>
    <w:pPr>
      <w:keepNext/>
      <w:spacing w:before="120" w:line="240" w:lineRule="auto"/>
      <w:outlineLvl w:val="4"/>
    </w:pPr>
    <w:rPr>
      <w:b/>
      <w:szCs w:val="24"/>
    </w:rPr>
  </w:style>
  <w:style w:type="character" w:customStyle="1" w:styleId="CharSubPartTextCASA">
    <w:name w:val="CharSubPartText(CASA)"/>
    <w:basedOn w:val="OPCCharBase"/>
    <w:uiPriority w:val="1"/>
    <w:rsid w:val="00FE360B"/>
  </w:style>
  <w:style w:type="character" w:customStyle="1" w:styleId="CharSubPartNoCASA">
    <w:name w:val="CharSubPartNo(CASA)"/>
    <w:basedOn w:val="OPCCharBase"/>
    <w:uiPriority w:val="1"/>
    <w:rsid w:val="00FE360B"/>
  </w:style>
  <w:style w:type="paragraph" w:customStyle="1" w:styleId="ENoteTTIndentHeadingSub">
    <w:name w:val="ENoteTTIndentHeadingSub"/>
    <w:aliases w:val="enTTHis"/>
    <w:basedOn w:val="OPCParaBase"/>
    <w:rsid w:val="00FE360B"/>
    <w:pPr>
      <w:keepNext/>
      <w:spacing w:before="60" w:line="240" w:lineRule="atLeast"/>
      <w:ind w:left="340"/>
    </w:pPr>
    <w:rPr>
      <w:b/>
      <w:sz w:val="16"/>
    </w:rPr>
  </w:style>
  <w:style w:type="paragraph" w:customStyle="1" w:styleId="ENoteTTiSub">
    <w:name w:val="ENoteTTiSub"/>
    <w:aliases w:val="enttis"/>
    <w:basedOn w:val="OPCParaBase"/>
    <w:rsid w:val="00FE360B"/>
    <w:pPr>
      <w:keepNext/>
      <w:spacing w:before="60" w:line="240" w:lineRule="atLeast"/>
      <w:ind w:left="340"/>
    </w:pPr>
    <w:rPr>
      <w:sz w:val="16"/>
    </w:rPr>
  </w:style>
  <w:style w:type="paragraph" w:customStyle="1" w:styleId="SubDivisionMigration">
    <w:name w:val="SubDivisionMigration"/>
    <w:aliases w:val="sdm"/>
    <w:basedOn w:val="OPCParaBase"/>
    <w:rsid w:val="00FE36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36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360B"/>
    <w:pPr>
      <w:spacing w:before="122" w:line="240" w:lineRule="auto"/>
      <w:ind w:left="1985" w:hanging="851"/>
    </w:pPr>
    <w:rPr>
      <w:sz w:val="18"/>
    </w:rPr>
  </w:style>
  <w:style w:type="paragraph" w:customStyle="1" w:styleId="FreeForm">
    <w:name w:val="FreeForm"/>
    <w:rsid w:val="00FE360B"/>
    <w:rPr>
      <w:rFonts w:ascii="Arial" w:hAnsi="Arial"/>
      <w:sz w:val="22"/>
    </w:rPr>
  </w:style>
  <w:style w:type="paragraph" w:customStyle="1" w:styleId="SOText">
    <w:name w:val="SO Text"/>
    <w:aliases w:val="sot"/>
    <w:link w:val="SOTextChar"/>
    <w:rsid w:val="00FE36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360B"/>
    <w:rPr>
      <w:sz w:val="22"/>
    </w:rPr>
  </w:style>
  <w:style w:type="paragraph" w:customStyle="1" w:styleId="SOTextNote">
    <w:name w:val="SO TextNote"/>
    <w:aliases w:val="sont"/>
    <w:basedOn w:val="SOText"/>
    <w:qFormat/>
    <w:rsid w:val="00FE360B"/>
    <w:pPr>
      <w:spacing w:before="122" w:line="198" w:lineRule="exact"/>
      <w:ind w:left="1843" w:hanging="709"/>
    </w:pPr>
    <w:rPr>
      <w:sz w:val="18"/>
    </w:rPr>
  </w:style>
  <w:style w:type="paragraph" w:customStyle="1" w:styleId="SOPara">
    <w:name w:val="SO Para"/>
    <w:aliases w:val="soa"/>
    <w:basedOn w:val="SOText"/>
    <w:link w:val="SOParaChar"/>
    <w:qFormat/>
    <w:rsid w:val="00FE360B"/>
    <w:pPr>
      <w:tabs>
        <w:tab w:val="right" w:pos="1786"/>
      </w:tabs>
      <w:spacing w:before="40"/>
      <w:ind w:left="2070" w:hanging="936"/>
    </w:pPr>
  </w:style>
  <w:style w:type="character" w:customStyle="1" w:styleId="SOParaChar">
    <w:name w:val="SO Para Char"/>
    <w:aliases w:val="soa Char"/>
    <w:basedOn w:val="DefaultParagraphFont"/>
    <w:link w:val="SOPara"/>
    <w:rsid w:val="00FE360B"/>
    <w:rPr>
      <w:sz w:val="22"/>
    </w:rPr>
  </w:style>
  <w:style w:type="paragraph" w:customStyle="1" w:styleId="FileName">
    <w:name w:val="FileName"/>
    <w:basedOn w:val="Normal"/>
    <w:rsid w:val="00FE360B"/>
  </w:style>
  <w:style w:type="paragraph" w:customStyle="1" w:styleId="TableHeading">
    <w:name w:val="TableHeading"/>
    <w:aliases w:val="th"/>
    <w:basedOn w:val="OPCParaBase"/>
    <w:next w:val="Tabletext"/>
    <w:rsid w:val="00FE360B"/>
    <w:pPr>
      <w:keepNext/>
      <w:spacing w:before="60" w:line="240" w:lineRule="atLeast"/>
    </w:pPr>
    <w:rPr>
      <w:b/>
      <w:sz w:val="20"/>
    </w:rPr>
  </w:style>
  <w:style w:type="paragraph" w:customStyle="1" w:styleId="SOHeadBold">
    <w:name w:val="SO HeadBold"/>
    <w:aliases w:val="sohb"/>
    <w:basedOn w:val="SOText"/>
    <w:next w:val="SOText"/>
    <w:link w:val="SOHeadBoldChar"/>
    <w:qFormat/>
    <w:rsid w:val="00FE360B"/>
    <w:rPr>
      <w:b/>
    </w:rPr>
  </w:style>
  <w:style w:type="character" w:customStyle="1" w:styleId="SOHeadBoldChar">
    <w:name w:val="SO HeadBold Char"/>
    <w:aliases w:val="sohb Char"/>
    <w:basedOn w:val="DefaultParagraphFont"/>
    <w:link w:val="SOHeadBold"/>
    <w:rsid w:val="00FE360B"/>
    <w:rPr>
      <w:b/>
      <w:sz w:val="22"/>
    </w:rPr>
  </w:style>
  <w:style w:type="paragraph" w:customStyle="1" w:styleId="SOHeadItalic">
    <w:name w:val="SO HeadItalic"/>
    <w:aliases w:val="sohi"/>
    <w:basedOn w:val="SOText"/>
    <w:next w:val="SOText"/>
    <w:link w:val="SOHeadItalicChar"/>
    <w:qFormat/>
    <w:rsid w:val="00FE360B"/>
    <w:rPr>
      <w:i/>
    </w:rPr>
  </w:style>
  <w:style w:type="character" w:customStyle="1" w:styleId="SOHeadItalicChar">
    <w:name w:val="SO HeadItalic Char"/>
    <w:aliases w:val="sohi Char"/>
    <w:basedOn w:val="DefaultParagraphFont"/>
    <w:link w:val="SOHeadItalic"/>
    <w:rsid w:val="00FE360B"/>
    <w:rPr>
      <w:i/>
      <w:sz w:val="22"/>
    </w:rPr>
  </w:style>
  <w:style w:type="paragraph" w:customStyle="1" w:styleId="SOBullet">
    <w:name w:val="SO Bullet"/>
    <w:aliases w:val="sotb"/>
    <w:basedOn w:val="SOText"/>
    <w:link w:val="SOBulletChar"/>
    <w:qFormat/>
    <w:rsid w:val="00FE360B"/>
    <w:pPr>
      <w:ind w:left="1559" w:hanging="425"/>
    </w:pPr>
  </w:style>
  <w:style w:type="character" w:customStyle="1" w:styleId="SOBulletChar">
    <w:name w:val="SO Bullet Char"/>
    <w:aliases w:val="sotb Char"/>
    <w:basedOn w:val="DefaultParagraphFont"/>
    <w:link w:val="SOBullet"/>
    <w:rsid w:val="00FE360B"/>
    <w:rPr>
      <w:sz w:val="22"/>
    </w:rPr>
  </w:style>
  <w:style w:type="paragraph" w:customStyle="1" w:styleId="SOBulletNote">
    <w:name w:val="SO BulletNote"/>
    <w:aliases w:val="sonb"/>
    <w:basedOn w:val="SOTextNote"/>
    <w:link w:val="SOBulletNoteChar"/>
    <w:qFormat/>
    <w:rsid w:val="00FE360B"/>
    <w:pPr>
      <w:tabs>
        <w:tab w:val="left" w:pos="1560"/>
      </w:tabs>
      <w:ind w:left="2268" w:hanging="1134"/>
    </w:pPr>
  </w:style>
  <w:style w:type="character" w:customStyle="1" w:styleId="SOBulletNoteChar">
    <w:name w:val="SO BulletNote Char"/>
    <w:aliases w:val="sonb Char"/>
    <w:basedOn w:val="DefaultParagraphFont"/>
    <w:link w:val="SOBulletNote"/>
    <w:rsid w:val="00FE360B"/>
    <w:rPr>
      <w:sz w:val="18"/>
    </w:rPr>
  </w:style>
  <w:style w:type="paragraph" w:customStyle="1" w:styleId="SOText2">
    <w:name w:val="SO Text2"/>
    <w:aliases w:val="sot2"/>
    <w:basedOn w:val="Normal"/>
    <w:next w:val="SOText"/>
    <w:link w:val="SOText2Char"/>
    <w:rsid w:val="00FE36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360B"/>
    <w:rPr>
      <w:sz w:val="22"/>
    </w:rPr>
  </w:style>
  <w:style w:type="paragraph" w:customStyle="1" w:styleId="SubPartCASA">
    <w:name w:val="SubPart(CASA)"/>
    <w:aliases w:val="csp"/>
    <w:basedOn w:val="OPCParaBase"/>
    <w:next w:val="ActHead3"/>
    <w:rsid w:val="00FE360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360B"/>
    <w:rPr>
      <w:rFonts w:eastAsia="Times New Roman" w:cs="Times New Roman"/>
      <w:sz w:val="22"/>
      <w:lang w:eastAsia="en-AU"/>
    </w:rPr>
  </w:style>
  <w:style w:type="character" w:customStyle="1" w:styleId="notetextChar">
    <w:name w:val="note(text) Char"/>
    <w:aliases w:val="n Char"/>
    <w:basedOn w:val="DefaultParagraphFont"/>
    <w:link w:val="notetext"/>
    <w:rsid w:val="00FE360B"/>
    <w:rPr>
      <w:rFonts w:eastAsia="Times New Roman" w:cs="Times New Roman"/>
      <w:sz w:val="18"/>
      <w:lang w:eastAsia="en-AU"/>
    </w:rPr>
  </w:style>
  <w:style w:type="character" w:customStyle="1" w:styleId="Heading1Char">
    <w:name w:val="Heading 1 Char"/>
    <w:basedOn w:val="DefaultParagraphFont"/>
    <w:link w:val="Heading1"/>
    <w:uiPriority w:val="9"/>
    <w:rsid w:val="00FE36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6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36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36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36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36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36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36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360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E360B"/>
    <w:rPr>
      <w:rFonts w:ascii="Arial" w:hAnsi="Arial" w:cs="Arial" w:hint="default"/>
      <w:b/>
      <w:bCs/>
      <w:sz w:val="28"/>
      <w:szCs w:val="28"/>
    </w:rPr>
  </w:style>
  <w:style w:type="paragraph" w:styleId="Index1">
    <w:name w:val="index 1"/>
    <w:basedOn w:val="Normal"/>
    <w:next w:val="Normal"/>
    <w:autoRedefine/>
    <w:rsid w:val="00FE360B"/>
    <w:pPr>
      <w:ind w:left="240" w:hanging="240"/>
    </w:pPr>
  </w:style>
  <w:style w:type="paragraph" w:styleId="Index2">
    <w:name w:val="index 2"/>
    <w:basedOn w:val="Normal"/>
    <w:next w:val="Normal"/>
    <w:autoRedefine/>
    <w:rsid w:val="00FE360B"/>
    <w:pPr>
      <w:ind w:left="480" w:hanging="240"/>
    </w:pPr>
  </w:style>
  <w:style w:type="paragraph" w:styleId="Index3">
    <w:name w:val="index 3"/>
    <w:basedOn w:val="Normal"/>
    <w:next w:val="Normal"/>
    <w:autoRedefine/>
    <w:rsid w:val="00FE360B"/>
    <w:pPr>
      <w:ind w:left="720" w:hanging="240"/>
    </w:pPr>
  </w:style>
  <w:style w:type="paragraph" w:styleId="Index4">
    <w:name w:val="index 4"/>
    <w:basedOn w:val="Normal"/>
    <w:next w:val="Normal"/>
    <w:autoRedefine/>
    <w:rsid w:val="00FE360B"/>
    <w:pPr>
      <w:ind w:left="960" w:hanging="240"/>
    </w:pPr>
  </w:style>
  <w:style w:type="paragraph" w:styleId="Index5">
    <w:name w:val="index 5"/>
    <w:basedOn w:val="Normal"/>
    <w:next w:val="Normal"/>
    <w:autoRedefine/>
    <w:rsid w:val="00FE360B"/>
    <w:pPr>
      <w:ind w:left="1200" w:hanging="240"/>
    </w:pPr>
  </w:style>
  <w:style w:type="paragraph" w:styleId="Index6">
    <w:name w:val="index 6"/>
    <w:basedOn w:val="Normal"/>
    <w:next w:val="Normal"/>
    <w:autoRedefine/>
    <w:rsid w:val="00FE360B"/>
    <w:pPr>
      <w:ind w:left="1440" w:hanging="240"/>
    </w:pPr>
  </w:style>
  <w:style w:type="paragraph" w:styleId="Index7">
    <w:name w:val="index 7"/>
    <w:basedOn w:val="Normal"/>
    <w:next w:val="Normal"/>
    <w:autoRedefine/>
    <w:rsid w:val="00FE360B"/>
    <w:pPr>
      <w:ind w:left="1680" w:hanging="240"/>
    </w:pPr>
  </w:style>
  <w:style w:type="paragraph" w:styleId="Index8">
    <w:name w:val="index 8"/>
    <w:basedOn w:val="Normal"/>
    <w:next w:val="Normal"/>
    <w:autoRedefine/>
    <w:rsid w:val="00FE360B"/>
    <w:pPr>
      <w:ind w:left="1920" w:hanging="240"/>
    </w:pPr>
  </w:style>
  <w:style w:type="paragraph" w:styleId="Index9">
    <w:name w:val="index 9"/>
    <w:basedOn w:val="Normal"/>
    <w:next w:val="Normal"/>
    <w:autoRedefine/>
    <w:rsid w:val="00FE360B"/>
    <w:pPr>
      <w:ind w:left="2160" w:hanging="240"/>
    </w:pPr>
  </w:style>
  <w:style w:type="paragraph" w:styleId="NormalIndent">
    <w:name w:val="Normal Indent"/>
    <w:basedOn w:val="Normal"/>
    <w:rsid w:val="00FE360B"/>
    <w:pPr>
      <w:ind w:left="720"/>
    </w:pPr>
  </w:style>
  <w:style w:type="paragraph" w:styleId="FootnoteText">
    <w:name w:val="footnote text"/>
    <w:basedOn w:val="Normal"/>
    <w:link w:val="FootnoteTextChar"/>
    <w:rsid w:val="00FE360B"/>
    <w:rPr>
      <w:sz w:val="20"/>
    </w:rPr>
  </w:style>
  <w:style w:type="character" w:customStyle="1" w:styleId="FootnoteTextChar">
    <w:name w:val="Footnote Text Char"/>
    <w:basedOn w:val="DefaultParagraphFont"/>
    <w:link w:val="FootnoteText"/>
    <w:rsid w:val="00FE360B"/>
  </w:style>
  <w:style w:type="paragraph" w:styleId="CommentText">
    <w:name w:val="annotation text"/>
    <w:basedOn w:val="Normal"/>
    <w:link w:val="CommentTextChar"/>
    <w:rsid w:val="00FE360B"/>
    <w:rPr>
      <w:sz w:val="20"/>
    </w:rPr>
  </w:style>
  <w:style w:type="character" w:customStyle="1" w:styleId="CommentTextChar">
    <w:name w:val="Comment Text Char"/>
    <w:basedOn w:val="DefaultParagraphFont"/>
    <w:link w:val="CommentText"/>
    <w:rsid w:val="00FE360B"/>
  </w:style>
  <w:style w:type="paragraph" w:styleId="IndexHeading">
    <w:name w:val="index heading"/>
    <w:basedOn w:val="Normal"/>
    <w:next w:val="Index1"/>
    <w:rsid w:val="00FE360B"/>
    <w:rPr>
      <w:rFonts w:ascii="Arial" w:hAnsi="Arial" w:cs="Arial"/>
      <w:b/>
      <w:bCs/>
    </w:rPr>
  </w:style>
  <w:style w:type="paragraph" w:styleId="Caption">
    <w:name w:val="caption"/>
    <w:basedOn w:val="Normal"/>
    <w:next w:val="Normal"/>
    <w:qFormat/>
    <w:rsid w:val="00FE360B"/>
    <w:pPr>
      <w:spacing w:before="120" w:after="120"/>
    </w:pPr>
    <w:rPr>
      <w:b/>
      <w:bCs/>
      <w:sz w:val="20"/>
    </w:rPr>
  </w:style>
  <w:style w:type="paragraph" w:styleId="TableofFigures">
    <w:name w:val="table of figures"/>
    <w:basedOn w:val="Normal"/>
    <w:next w:val="Normal"/>
    <w:rsid w:val="00FE360B"/>
    <w:pPr>
      <w:ind w:left="480" w:hanging="480"/>
    </w:pPr>
  </w:style>
  <w:style w:type="paragraph" w:styleId="EnvelopeAddress">
    <w:name w:val="envelope address"/>
    <w:basedOn w:val="Normal"/>
    <w:rsid w:val="00FE360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360B"/>
    <w:rPr>
      <w:rFonts w:ascii="Arial" w:hAnsi="Arial" w:cs="Arial"/>
      <w:sz w:val="20"/>
    </w:rPr>
  </w:style>
  <w:style w:type="character" w:styleId="FootnoteReference">
    <w:name w:val="footnote reference"/>
    <w:basedOn w:val="DefaultParagraphFont"/>
    <w:rsid w:val="00FE360B"/>
    <w:rPr>
      <w:rFonts w:ascii="Times New Roman" w:hAnsi="Times New Roman"/>
      <w:sz w:val="20"/>
      <w:vertAlign w:val="superscript"/>
    </w:rPr>
  </w:style>
  <w:style w:type="character" w:styleId="CommentReference">
    <w:name w:val="annotation reference"/>
    <w:basedOn w:val="DefaultParagraphFont"/>
    <w:rsid w:val="00FE360B"/>
    <w:rPr>
      <w:sz w:val="16"/>
      <w:szCs w:val="16"/>
    </w:rPr>
  </w:style>
  <w:style w:type="character" w:styleId="PageNumber">
    <w:name w:val="page number"/>
    <w:basedOn w:val="DefaultParagraphFont"/>
    <w:rsid w:val="00FE360B"/>
  </w:style>
  <w:style w:type="character" w:styleId="EndnoteReference">
    <w:name w:val="endnote reference"/>
    <w:basedOn w:val="DefaultParagraphFont"/>
    <w:rsid w:val="00FE360B"/>
    <w:rPr>
      <w:vertAlign w:val="superscript"/>
    </w:rPr>
  </w:style>
  <w:style w:type="paragraph" w:styleId="EndnoteText">
    <w:name w:val="endnote text"/>
    <w:basedOn w:val="Normal"/>
    <w:link w:val="EndnoteTextChar"/>
    <w:rsid w:val="00FE360B"/>
    <w:rPr>
      <w:sz w:val="20"/>
    </w:rPr>
  </w:style>
  <w:style w:type="character" w:customStyle="1" w:styleId="EndnoteTextChar">
    <w:name w:val="Endnote Text Char"/>
    <w:basedOn w:val="DefaultParagraphFont"/>
    <w:link w:val="EndnoteText"/>
    <w:rsid w:val="00FE360B"/>
  </w:style>
  <w:style w:type="paragraph" w:styleId="TableofAuthorities">
    <w:name w:val="table of authorities"/>
    <w:basedOn w:val="Normal"/>
    <w:next w:val="Normal"/>
    <w:rsid w:val="00FE360B"/>
    <w:pPr>
      <w:ind w:left="240" w:hanging="240"/>
    </w:pPr>
  </w:style>
  <w:style w:type="paragraph" w:styleId="MacroText">
    <w:name w:val="macro"/>
    <w:link w:val="MacroTextChar"/>
    <w:rsid w:val="00FE360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360B"/>
    <w:rPr>
      <w:rFonts w:ascii="Courier New" w:eastAsia="Times New Roman" w:hAnsi="Courier New" w:cs="Courier New"/>
      <w:lang w:eastAsia="en-AU"/>
    </w:rPr>
  </w:style>
  <w:style w:type="paragraph" w:styleId="TOAHeading">
    <w:name w:val="toa heading"/>
    <w:basedOn w:val="Normal"/>
    <w:next w:val="Normal"/>
    <w:rsid w:val="00FE360B"/>
    <w:pPr>
      <w:spacing w:before="120"/>
    </w:pPr>
    <w:rPr>
      <w:rFonts w:ascii="Arial" w:hAnsi="Arial" w:cs="Arial"/>
      <w:b/>
      <w:bCs/>
    </w:rPr>
  </w:style>
  <w:style w:type="paragraph" w:styleId="List">
    <w:name w:val="List"/>
    <w:basedOn w:val="Normal"/>
    <w:rsid w:val="00FE360B"/>
    <w:pPr>
      <w:ind w:left="283" w:hanging="283"/>
    </w:pPr>
  </w:style>
  <w:style w:type="paragraph" w:styleId="ListBullet">
    <w:name w:val="List Bullet"/>
    <w:basedOn w:val="Normal"/>
    <w:autoRedefine/>
    <w:rsid w:val="00FE360B"/>
    <w:pPr>
      <w:tabs>
        <w:tab w:val="num" w:pos="360"/>
      </w:tabs>
      <w:ind w:left="360" w:hanging="360"/>
    </w:pPr>
  </w:style>
  <w:style w:type="paragraph" w:styleId="ListNumber">
    <w:name w:val="List Number"/>
    <w:basedOn w:val="Normal"/>
    <w:rsid w:val="00FE360B"/>
    <w:pPr>
      <w:tabs>
        <w:tab w:val="num" w:pos="360"/>
      </w:tabs>
      <w:ind w:left="360" w:hanging="360"/>
    </w:pPr>
  </w:style>
  <w:style w:type="paragraph" w:styleId="List2">
    <w:name w:val="List 2"/>
    <w:basedOn w:val="Normal"/>
    <w:rsid w:val="00FE360B"/>
    <w:pPr>
      <w:ind w:left="566" w:hanging="283"/>
    </w:pPr>
  </w:style>
  <w:style w:type="paragraph" w:styleId="List3">
    <w:name w:val="List 3"/>
    <w:basedOn w:val="Normal"/>
    <w:rsid w:val="00FE360B"/>
    <w:pPr>
      <w:ind w:left="849" w:hanging="283"/>
    </w:pPr>
  </w:style>
  <w:style w:type="paragraph" w:styleId="List4">
    <w:name w:val="List 4"/>
    <w:basedOn w:val="Normal"/>
    <w:rsid w:val="00FE360B"/>
    <w:pPr>
      <w:ind w:left="1132" w:hanging="283"/>
    </w:pPr>
  </w:style>
  <w:style w:type="paragraph" w:styleId="List5">
    <w:name w:val="List 5"/>
    <w:basedOn w:val="Normal"/>
    <w:rsid w:val="00FE360B"/>
    <w:pPr>
      <w:ind w:left="1415" w:hanging="283"/>
    </w:pPr>
  </w:style>
  <w:style w:type="paragraph" w:styleId="ListBullet2">
    <w:name w:val="List Bullet 2"/>
    <w:basedOn w:val="Normal"/>
    <w:autoRedefine/>
    <w:rsid w:val="00FE360B"/>
    <w:pPr>
      <w:tabs>
        <w:tab w:val="num" w:pos="360"/>
      </w:tabs>
    </w:pPr>
  </w:style>
  <w:style w:type="paragraph" w:styleId="ListBullet3">
    <w:name w:val="List Bullet 3"/>
    <w:basedOn w:val="Normal"/>
    <w:autoRedefine/>
    <w:rsid w:val="00FE360B"/>
    <w:pPr>
      <w:tabs>
        <w:tab w:val="num" w:pos="926"/>
      </w:tabs>
      <w:ind w:left="926" w:hanging="360"/>
    </w:pPr>
  </w:style>
  <w:style w:type="paragraph" w:styleId="ListBullet4">
    <w:name w:val="List Bullet 4"/>
    <w:basedOn w:val="Normal"/>
    <w:autoRedefine/>
    <w:rsid w:val="00FE360B"/>
    <w:pPr>
      <w:tabs>
        <w:tab w:val="num" w:pos="1209"/>
      </w:tabs>
      <w:ind w:left="1209" w:hanging="360"/>
    </w:pPr>
  </w:style>
  <w:style w:type="paragraph" w:styleId="ListBullet5">
    <w:name w:val="List Bullet 5"/>
    <w:basedOn w:val="Normal"/>
    <w:autoRedefine/>
    <w:rsid w:val="00FE360B"/>
    <w:pPr>
      <w:tabs>
        <w:tab w:val="num" w:pos="1492"/>
      </w:tabs>
      <w:ind w:left="1492" w:hanging="360"/>
    </w:pPr>
  </w:style>
  <w:style w:type="paragraph" w:styleId="ListNumber2">
    <w:name w:val="List Number 2"/>
    <w:basedOn w:val="Normal"/>
    <w:rsid w:val="00FE360B"/>
    <w:pPr>
      <w:tabs>
        <w:tab w:val="num" w:pos="643"/>
      </w:tabs>
      <w:ind w:left="643" w:hanging="360"/>
    </w:pPr>
  </w:style>
  <w:style w:type="paragraph" w:styleId="ListNumber3">
    <w:name w:val="List Number 3"/>
    <w:basedOn w:val="Normal"/>
    <w:rsid w:val="00FE360B"/>
    <w:pPr>
      <w:tabs>
        <w:tab w:val="num" w:pos="926"/>
      </w:tabs>
      <w:ind w:left="926" w:hanging="360"/>
    </w:pPr>
  </w:style>
  <w:style w:type="paragraph" w:styleId="ListNumber4">
    <w:name w:val="List Number 4"/>
    <w:basedOn w:val="Normal"/>
    <w:rsid w:val="00FE360B"/>
    <w:pPr>
      <w:tabs>
        <w:tab w:val="num" w:pos="1209"/>
      </w:tabs>
      <w:ind w:left="1209" w:hanging="360"/>
    </w:pPr>
  </w:style>
  <w:style w:type="paragraph" w:styleId="ListNumber5">
    <w:name w:val="List Number 5"/>
    <w:basedOn w:val="Normal"/>
    <w:rsid w:val="00FE360B"/>
    <w:pPr>
      <w:tabs>
        <w:tab w:val="num" w:pos="1492"/>
      </w:tabs>
      <w:ind w:left="1492" w:hanging="360"/>
    </w:pPr>
  </w:style>
  <w:style w:type="paragraph" w:styleId="Title">
    <w:name w:val="Title"/>
    <w:basedOn w:val="Normal"/>
    <w:link w:val="TitleChar"/>
    <w:qFormat/>
    <w:rsid w:val="00FE360B"/>
    <w:pPr>
      <w:spacing w:before="240" w:after="60"/>
    </w:pPr>
    <w:rPr>
      <w:rFonts w:ascii="Arial" w:hAnsi="Arial" w:cs="Arial"/>
      <w:b/>
      <w:bCs/>
      <w:sz w:val="40"/>
      <w:szCs w:val="40"/>
    </w:rPr>
  </w:style>
  <w:style w:type="character" w:customStyle="1" w:styleId="TitleChar">
    <w:name w:val="Title Char"/>
    <w:basedOn w:val="DefaultParagraphFont"/>
    <w:link w:val="Title"/>
    <w:rsid w:val="00FE360B"/>
    <w:rPr>
      <w:rFonts w:ascii="Arial" w:hAnsi="Arial" w:cs="Arial"/>
      <w:b/>
      <w:bCs/>
      <w:sz w:val="40"/>
      <w:szCs w:val="40"/>
    </w:rPr>
  </w:style>
  <w:style w:type="paragraph" w:styleId="Closing">
    <w:name w:val="Closing"/>
    <w:basedOn w:val="Normal"/>
    <w:link w:val="ClosingChar"/>
    <w:rsid w:val="00FE360B"/>
    <w:pPr>
      <w:ind w:left="4252"/>
    </w:pPr>
  </w:style>
  <w:style w:type="character" w:customStyle="1" w:styleId="ClosingChar">
    <w:name w:val="Closing Char"/>
    <w:basedOn w:val="DefaultParagraphFont"/>
    <w:link w:val="Closing"/>
    <w:rsid w:val="00FE360B"/>
    <w:rPr>
      <w:sz w:val="22"/>
    </w:rPr>
  </w:style>
  <w:style w:type="paragraph" w:styleId="Signature">
    <w:name w:val="Signature"/>
    <w:basedOn w:val="Normal"/>
    <w:link w:val="SignatureChar"/>
    <w:rsid w:val="00FE360B"/>
    <w:pPr>
      <w:ind w:left="4252"/>
    </w:pPr>
  </w:style>
  <w:style w:type="character" w:customStyle="1" w:styleId="SignatureChar">
    <w:name w:val="Signature Char"/>
    <w:basedOn w:val="DefaultParagraphFont"/>
    <w:link w:val="Signature"/>
    <w:rsid w:val="00FE360B"/>
    <w:rPr>
      <w:sz w:val="22"/>
    </w:rPr>
  </w:style>
  <w:style w:type="paragraph" w:styleId="BodyText">
    <w:name w:val="Body Text"/>
    <w:basedOn w:val="Normal"/>
    <w:link w:val="BodyTextChar"/>
    <w:rsid w:val="00FE360B"/>
    <w:pPr>
      <w:spacing w:after="120"/>
    </w:pPr>
  </w:style>
  <w:style w:type="character" w:customStyle="1" w:styleId="BodyTextChar">
    <w:name w:val="Body Text Char"/>
    <w:basedOn w:val="DefaultParagraphFont"/>
    <w:link w:val="BodyText"/>
    <w:rsid w:val="00FE360B"/>
    <w:rPr>
      <w:sz w:val="22"/>
    </w:rPr>
  </w:style>
  <w:style w:type="paragraph" w:styleId="BodyTextIndent">
    <w:name w:val="Body Text Indent"/>
    <w:basedOn w:val="Normal"/>
    <w:link w:val="BodyTextIndentChar"/>
    <w:rsid w:val="00FE360B"/>
    <w:pPr>
      <w:spacing w:after="120"/>
      <w:ind w:left="283"/>
    </w:pPr>
  </w:style>
  <w:style w:type="character" w:customStyle="1" w:styleId="BodyTextIndentChar">
    <w:name w:val="Body Text Indent Char"/>
    <w:basedOn w:val="DefaultParagraphFont"/>
    <w:link w:val="BodyTextIndent"/>
    <w:rsid w:val="00FE360B"/>
    <w:rPr>
      <w:sz w:val="22"/>
    </w:rPr>
  </w:style>
  <w:style w:type="paragraph" w:styleId="ListContinue">
    <w:name w:val="List Continue"/>
    <w:basedOn w:val="Normal"/>
    <w:rsid w:val="00FE360B"/>
    <w:pPr>
      <w:spacing w:after="120"/>
      <w:ind w:left="283"/>
    </w:pPr>
  </w:style>
  <w:style w:type="paragraph" w:styleId="ListContinue2">
    <w:name w:val="List Continue 2"/>
    <w:basedOn w:val="Normal"/>
    <w:rsid w:val="00FE360B"/>
    <w:pPr>
      <w:spacing w:after="120"/>
      <w:ind w:left="566"/>
    </w:pPr>
  </w:style>
  <w:style w:type="paragraph" w:styleId="ListContinue3">
    <w:name w:val="List Continue 3"/>
    <w:basedOn w:val="Normal"/>
    <w:rsid w:val="00FE360B"/>
    <w:pPr>
      <w:spacing w:after="120"/>
      <w:ind w:left="849"/>
    </w:pPr>
  </w:style>
  <w:style w:type="paragraph" w:styleId="ListContinue4">
    <w:name w:val="List Continue 4"/>
    <w:basedOn w:val="Normal"/>
    <w:rsid w:val="00FE360B"/>
    <w:pPr>
      <w:spacing w:after="120"/>
      <w:ind w:left="1132"/>
    </w:pPr>
  </w:style>
  <w:style w:type="paragraph" w:styleId="ListContinue5">
    <w:name w:val="List Continue 5"/>
    <w:basedOn w:val="Normal"/>
    <w:rsid w:val="00FE360B"/>
    <w:pPr>
      <w:spacing w:after="120"/>
      <w:ind w:left="1415"/>
    </w:pPr>
  </w:style>
  <w:style w:type="paragraph" w:styleId="MessageHeader">
    <w:name w:val="Message Header"/>
    <w:basedOn w:val="Normal"/>
    <w:link w:val="MessageHeaderChar"/>
    <w:rsid w:val="00FE36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360B"/>
    <w:rPr>
      <w:rFonts w:ascii="Arial" w:hAnsi="Arial" w:cs="Arial"/>
      <w:sz w:val="22"/>
      <w:shd w:val="pct20" w:color="auto" w:fill="auto"/>
    </w:rPr>
  </w:style>
  <w:style w:type="paragraph" w:styleId="Subtitle">
    <w:name w:val="Subtitle"/>
    <w:basedOn w:val="Normal"/>
    <w:link w:val="SubtitleChar"/>
    <w:qFormat/>
    <w:rsid w:val="00FE360B"/>
    <w:pPr>
      <w:spacing w:after="60"/>
      <w:jc w:val="center"/>
      <w:outlineLvl w:val="1"/>
    </w:pPr>
    <w:rPr>
      <w:rFonts w:ascii="Arial" w:hAnsi="Arial" w:cs="Arial"/>
    </w:rPr>
  </w:style>
  <w:style w:type="character" w:customStyle="1" w:styleId="SubtitleChar">
    <w:name w:val="Subtitle Char"/>
    <w:basedOn w:val="DefaultParagraphFont"/>
    <w:link w:val="Subtitle"/>
    <w:rsid w:val="00FE360B"/>
    <w:rPr>
      <w:rFonts w:ascii="Arial" w:hAnsi="Arial" w:cs="Arial"/>
      <w:sz w:val="22"/>
    </w:rPr>
  </w:style>
  <w:style w:type="paragraph" w:styleId="Salutation">
    <w:name w:val="Salutation"/>
    <w:basedOn w:val="Normal"/>
    <w:next w:val="Normal"/>
    <w:link w:val="SalutationChar"/>
    <w:rsid w:val="00FE360B"/>
  </w:style>
  <w:style w:type="character" w:customStyle="1" w:styleId="SalutationChar">
    <w:name w:val="Salutation Char"/>
    <w:basedOn w:val="DefaultParagraphFont"/>
    <w:link w:val="Salutation"/>
    <w:rsid w:val="00FE360B"/>
    <w:rPr>
      <w:sz w:val="22"/>
    </w:rPr>
  </w:style>
  <w:style w:type="paragraph" w:styleId="Date">
    <w:name w:val="Date"/>
    <w:basedOn w:val="Normal"/>
    <w:next w:val="Normal"/>
    <w:link w:val="DateChar"/>
    <w:rsid w:val="00FE360B"/>
  </w:style>
  <w:style w:type="character" w:customStyle="1" w:styleId="DateChar">
    <w:name w:val="Date Char"/>
    <w:basedOn w:val="DefaultParagraphFont"/>
    <w:link w:val="Date"/>
    <w:rsid w:val="00FE360B"/>
    <w:rPr>
      <w:sz w:val="22"/>
    </w:rPr>
  </w:style>
  <w:style w:type="paragraph" w:styleId="BodyTextFirstIndent">
    <w:name w:val="Body Text First Indent"/>
    <w:basedOn w:val="BodyText"/>
    <w:link w:val="BodyTextFirstIndentChar"/>
    <w:rsid w:val="00FE360B"/>
    <w:pPr>
      <w:ind w:firstLine="210"/>
    </w:pPr>
  </w:style>
  <w:style w:type="character" w:customStyle="1" w:styleId="BodyTextFirstIndentChar">
    <w:name w:val="Body Text First Indent Char"/>
    <w:basedOn w:val="BodyTextChar"/>
    <w:link w:val="BodyTextFirstIndent"/>
    <w:rsid w:val="00FE360B"/>
    <w:rPr>
      <w:sz w:val="22"/>
    </w:rPr>
  </w:style>
  <w:style w:type="paragraph" w:styleId="BodyTextFirstIndent2">
    <w:name w:val="Body Text First Indent 2"/>
    <w:basedOn w:val="BodyTextIndent"/>
    <w:link w:val="BodyTextFirstIndent2Char"/>
    <w:rsid w:val="00FE360B"/>
    <w:pPr>
      <w:ind w:firstLine="210"/>
    </w:pPr>
  </w:style>
  <w:style w:type="character" w:customStyle="1" w:styleId="BodyTextFirstIndent2Char">
    <w:name w:val="Body Text First Indent 2 Char"/>
    <w:basedOn w:val="BodyTextIndentChar"/>
    <w:link w:val="BodyTextFirstIndent2"/>
    <w:rsid w:val="00FE360B"/>
    <w:rPr>
      <w:sz w:val="22"/>
    </w:rPr>
  </w:style>
  <w:style w:type="paragraph" w:styleId="BodyText2">
    <w:name w:val="Body Text 2"/>
    <w:basedOn w:val="Normal"/>
    <w:link w:val="BodyText2Char"/>
    <w:rsid w:val="00FE360B"/>
    <w:pPr>
      <w:spacing w:after="120" w:line="480" w:lineRule="auto"/>
    </w:pPr>
  </w:style>
  <w:style w:type="character" w:customStyle="1" w:styleId="BodyText2Char">
    <w:name w:val="Body Text 2 Char"/>
    <w:basedOn w:val="DefaultParagraphFont"/>
    <w:link w:val="BodyText2"/>
    <w:rsid w:val="00FE360B"/>
    <w:rPr>
      <w:sz w:val="22"/>
    </w:rPr>
  </w:style>
  <w:style w:type="paragraph" w:styleId="BodyText3">
    <w:name w:val="Body Text 3"/>
    <w:basedOn w:val="Normal"/>
    <w:link w:val="BodyText3Char"/>
    <w:rsid w:val="00FE360B"/>
    <w:pPr>
      <w:spacing w:after="120"/>
    </w:pPr>
    <w:rPr>
      <w:sz w:val="16"/>
      <w:szCs w:val="16"/>
    </w:rPr>
  </w:style>
  <w:style w:type="character" w:customStyle="1" w:styleId="BodyText3Char">
    <w:name w:val="Body Text 3 Char"/>
    <w:basedOn w:val="DefaultParagraphFont"/>
    <w:link w:val="BodyText3"/>
    <w:rsid w:val="00FE360B"/>
    <w:rPr>
      <w:sz w:val="16"/>
      <w:szCs w:val="16"/>
    </w:rPr>
  </w:style>
  <w:style w:type="paragraph" w:styleId="BodyTextIndent2">
    <w:name w:val="Body Text Indent 2"/>
    <w:basedOn w:val="Normal"/>
    <w:link w:val="BodyTextIndent2Char"/>
    <w:rsid w:val="00FE360B"/>
    <w:pPr>
      <w:spacing w:after="120" w:line="480" w:lineRule="auto"/>
      <w:ind w:left="283"/>
    </w:pPr>
  </w:style>
  <w:style w:type="character" w:customStyle="1" w:styleId="BodyTextIndent2Char">
    <w:name w:val="Body Text Indent 2 Char"/>
    <w:basedOn w:val="DefaultParagraphFont"/>
    <w:link w:val="BodyTextIndent2"/>
    <w:rsid w:val="00FE360B"/>
    <w:rPr>
      <w:sz w:val="22"/>
    </w:rPr>
  </w:style>
  <w:style w:type="paragraph" w:styleId="BodyTextIndent3">
    <w:name w:val="Body Text Indent 3"/>
    <w:basedOn w:val="Normal"/>
    <w:link w:val="BodyTextIndent3Char"/>
    <w:rsid w:val="00FE360B"/>
    <w:pPr>
      <w:spacing w:after="120"/>
      <w:ind w:left="283"/>
    </w:pPr>
    <w:rPr>
      <w:sz w:val="16"/>
      <w:szCs w:val="16"/>
    </w:rPr>
  </w:style>
  <w:style w:type="character" w:customStyle="1" w:styleId="BodyTextIndent3Char">
    <w:name w:val="Body Text Indent 3 Char"/>
    <w:basedOn w:val="DefaultParagraphFont"/>
    <w:link w:val="BodyTextIndent3"/>
    <w:rsid w:val="00FE360B"/>
    <w:rPr>
      <w:sz w:val="16"/>
      <w:szCs w:val="16"/>
    </w:rPr>
  </w:style>
  <w:style w:type="paragraph" w:styleId="BlockText">
    <w:name w:val="Block Text"/>
    <w:basedOn w:val="Normal"/>
    <w:rsid w:val="00FE360B"/>
    <w:pPr>
      <w:spacing w:after="120"/>
      <w:ind w:left="1440" w:right="1440"/>
    </w:pPr>
  </w:style>
  <w:style w:type="character" w:styleId="Hyperlink">
    <w:name w:val="Hyperlink"/>
    <w:basedOn w:val="DefaultParagraphFont"/>
    <w:rsid w:val="00FE360B"/>
    <w:rPr>
      <w:color w:val="0000FF"/>
      <w:u w:val="single"/>
    </w:rPr>
  </w:style>
  <w:style w:type="character" w:styleId="FollowedHyperlink">
    <w:name w:val="FollowedHyperlink"/>
    <w:basedOn w:val="DefaultParagraphFont"/>
    <w:rsid w:val="00FE360B"/>
    <w:rPr>
      <w:color w:val="800080"/>
      <w:u w:val="single"/>
    </w:rPr>
  </w:style>
  <w:style w:type="character" w:styleId="Strong">
    <w:name w:val="Strong"/>
    <w:basedOn w:val="DefaultParagraphFont"/>
    <w:qFormat/>
    <w:rsid w:val="00FE360B"/>
    <w:rPr>
      <w:b/>
      <w:bCs/>
    </w:rPr>
  </w:style>
  <w:style w:type="character" w:styleId="Emphasis">
    <w:name w:val="Emphasis"/>
    <w:basedOn w:val="DefaultParagraphFont"/>
    <w:qFormat/>
    <w:rsid w:val="00FE360B"/>
    <w:rPr>
      <w:i/>
      <w:iCs/>
    </w:rPr>
  </w:style>
  <w:style w:type="paragraph" w:styleId="DocumentMap">
    <w:name w:val="Document Map"/>
    <w:basedOn w:val="Normal"/>
    <w:link w:val="DocumentMapChar"/>
    <w:rsid w:val="00FE360B"/>
    <w:pPr>
      <w:shd w:val="clear" w:color="auto" w:fill="000080"/>
    </w:pPr>
    <w:rPr>
      <w:rFonts w:ascii="Tahoma" w:hAnsi="Tahoma" w:cs="Tahoma"/>
    </w:rPr>
  </w:style>
  <w:style w:type="character" w:customStyle="1" w:styleId="DocumentMapChar">
    <w:name w:val="Document Map Char"/>
    <w:basedOn w:val="DefaultParagraphFont"/>
    <w:link w:val="DocumentMap"/>
    <w:rsid w:val="00FE360B"/>
    <w:rPr>
      <w:rFonts w:ascii="Tahoma" w:hAnsi="Tahoma" w:cs="Tahoma"/>
      <w:sz w:val="22"/>
      <w:shd w:val="clear" w:color="auto" w:fill="000080"/>
    </w:rPr>
  </w:style>
  <w:style w:type="paragraph" w:styleId="PlainText">
    <w:name w:val="Plain Text"/>
    <w:basedOn w:val="Normal"/>
    <w:link w:val="PlainTextChar"/>
    <w:rsid w:val="00FE360B"/>
    <w:rPr>
      <w:rFonts w:ascii="Courier New" w:hAnsi="Courier New" w:cs="Courier New"/>
      <w:sz w:val="20"/>
    </w:rPr>
  </w:style>
  <w:style w:type="character" w:customStyle="1" w:styleId="PlainTextChar">
    <w:name w:val="Plain Text Char"/>
    <w:basedOn w:val="DefaultParagraphFont"/>
    <w:link w:val="PlainText"/>
    <w:rsid w:val="00FE360B"/>
    <w:rPr>
      <w:rFonts w:ascii="Courier New" w:hAnsi="Courier New" w:cs="Courier New"/>
    </w:rPr>
  </w:style>
  <w:style w:type="paragraph" w:styleId="E-mailSignature">
    <w:name w:val="E-mail Signature"/>
    <w:basedOn w:val="Normal"/>
    <w:link w:val="E-mailSignatureChar"/>
    <w:rsid w:val="00FE360B"/>
  </w:style>
  <w:style w:type="character" w:customStyle="1" w:styleId="E-mailSignatureChar">
    <w:name w:val="E-mail Signature Char"/>
    <w:basedOn w:val="DefaultParagraphFont"/>
    <w:link w:val="E-mailSignature"/>
    <w:rsid w:val="00FE360B"/>
    <w:rPr>
      <w:sz w:val="22"/>
    </w:rPr>
  </w:style>
  <w:style w:type="paragraph" w:styleId="NormalWeb">
    <w:name w:val="Normal (Web)"/>
    <w:basedOn w:val="Normal"/>
    <w:rsid w:val="00FE360B"/>
  </w:style>
  <w:style w:type="character" w:styleId="HTMLAcronym">
    <w:name w:val="HTML Acronym"/>
    <w:basedOn w:val="DefaultParagraphFont"/>
    <w:rsid w:val="00FE360B"/>
  </w:style>
  <w:style w:type="paragraph" w:styleId="HTMLAddress">
    <w:name w:val="HTML Address"/>
    <w:basedOn w:val="Normal"/>
    <w:link w:val="HTMLAddressChar"/>
    <w:rsid w:val="00FE360B"/>
    <w:rPr>
      <w:i/>
      <w:iCs/>
    </w:rPr>
  </w:style>
  <w:style w:type="character" w:customStyle="1" w:styleId="HTMLAddressChar">
    <w:name w:val="HTML Address Char"/>
    <w:basedOn w:val="DefaultParagraphFont"/>
    <w:link w:val="HTMLAddress"/>
    <w:rsid w:val="00FE360B"/>
    <w:rPr>
      <w:i/>
      <w:iCs/>
      <w:sz w:val="22"/>
    </w:rPr>
  </w:style>
  <w:style w:type="character" w:styleId="HTMLCite">
    <w:name w:val="HTML Cite"/>
    <w:basedOn w:val="DefaultParagraphFont"/>
    <w:rsid w:val="00FE360B"/>
    <w:rPr>
      <w:i/>
      <w:iCs/>
    </w:rPr>
  </w:style>
  <w:style w:type="character" w:styleId="HTMLCode">
    <w:name w:val="HTML Code"/>
    <w:basedOn w:val="DefaultParagraphFont"/>
    <w:rsid w:val="00FE360B"/>
    <w:rPr>
      <w:rFonts w:ascii="Courier New" w:hAnsi="Courier New" w:cs="Courier New"/>
      <w:sz w:val="20"/>
      <w:szCs w:val="20"/>
    </w:rPr>
  </w:style>
  <w:style w:type="character" w:styleId="HTMLDefinition">
    <w:name w:val="HTML Definition"/>
    <w:basedOn w:val="DefaultParagraphFont"/>
    <w:rsid w:val="00FE360B"/>
    <w:rPr>
      <w:i/>
      <w:iCs/>
    </w:rPr>
  </w:style>
  <w:style w:type="character" w:styleId="HTMLKeyboard">
    <w:name w:val="HTML Keyboard"/>
    <w:basedOn w:val="DefaultParagraphFont"/>
    <w:rsid w:val="00FE360B"/>
    <w:rPr>
      <w:rFonts w:ascii="Courier New" w:hAnsi="Courier New" w:cs="Courier New"/>
      <w:sz w:val="20"/>
      <w:szCs w:val="20"/>
    </w:rPr>
  </w:style>
  <w:style w:type="paragraph" w:styleId="HTMLPreformatted">
    <w:name w:val="HTML Preformatted"/>
    <w:basedOn w:val="Normal"/>
    <w:link w:val="HTMLPreformattedChar"/>
    <w:rsid w:val="00FE360B"/>
    <w:rPr>
      <w:rFonts w:ascii="Courier New" w:hAnsi="Courier New" w:cs="Courier New"/>
      <w:sz w:val="20"/>
    </w:rPr>
  </w:style>
  <w:style w:type="character" w:customStyle="1" w:styleId="HTMLPreformattedChar">
    <w:name w:val="HTML Preformatted Char"/>
    <w:basedOn w:val="DefaultParagraphFont"/>
    <w:link w:val="HTMLPreformatted"/>
    <w:rsid w:val="00FE360B"/>
    <w:rPr>
      <w:rFonts w:ascii="Courier New" w:hAnsi="Courier New" w:cs="Courier New"/>
    </w:rPr>
  </w:style>
  <w:style w:type="character" w:styleId="HTMLSample">
    <w:name w:val="HTML Sample"/>
    <w:basedOn w:val="DefaultParagraphFont"/>
    <w:rsid w:val="00FE360B"/>
    <w:rPr>
      <w:rFonts w:ascii="Courier New" w:hAnsi="Courier New" w:cs="Courier New"/>
    </w:rPr>
  </w:style>
  <w:style w:type="character" w:styleId="HTMLTypewriter">
    <w:name w:val="HTML Typewriter"/>
    <w:basedOn w:val="DefaultParagraphFont"/>
    <w:rsid w:val="00FE360B"/>
    <w:rPr>
      <w:rFonts w:ascii="Courier New" w:hAnsi="Courier New" w:cs="Courier New"/>
      <w:sz w:val="20"/>
      <w:szCs w:val="20"/>
    </w:rPr>
  </w:style>
  <w:style w:type="character" w:styleId="HTMLVariable">
    <w:name w:val="HTML Variable"/>
    <w:basedOn w:val="DefaultParagraphFont"/>
    <w:rsid w:val="00FE360B"/>
    <w:rPr>
      <w:i/>
      <w:iCs/>
    </w:rPr>
  </w:style>
  <w:style w:type="paragraph" w:styleId="CommentSubject">
    <w:name w:val="annotation subject"/>
    <w:basedOn w:val="CommentText"/>
    <w:next w:val="CommentText"/>
    <w:link w:val="CommentSubjectChar"/>
    <w:rsid w:val="00FE360B"/>
    <w:rPr>
      <w:b/>
      <w:bCs/>
    </w:rPr>
  </w:style>
  <w:style w:type="character" w:customStyle="1" w:styleId="CommentSubjectChar">
    <w:name w:val="Comment Subject Char"/>
    <w:basedOn w:val="CommentTextChar"/>
    <w:link w:val="CommentSubject"/>
    <w:rsid w:val="00FE360B"/>
    <w:rPr>
      <w:b/>
      <w:bCs/>
    </w:rPr>
  </w:style>
  <w:style w:type="numbering" w:styleId="1ai">
    <w:name w:val="Outline List 1"/>
    <w:basedOn w:val="NoList"/>
    <w:rsid w:val="00FE360B"/>
    <w:pPr>
      <w:numPr>
        <w:numId w:val="14"/>
      </w:numPr>
    </w:pPr>
  </w:style>
  <w:style w:type="numbering" w:styleId="111111">
    <w:name w:val="Outline List 2"/>
    <w:basedOn w:val="NoList"/>
    <w:rsid w:val="00FE360B"/>
    <w:pPr>
      <w:numPr>
        <w:numId w:val="15"/>
      </w:numPr>
    </w:pPr>
  </w:style>
  <w:style w:type="numbering" w:styleId="ArticleSection">
    <w:name w:val="Outline List 3"/>
    <w:basedOn w:val="NoList"/>
    <w:rsid w:val="00FE360B"/>
    <w:pPr>
      <w:numPr>
        <w:numId w:val="17"/>
      </w:numPr>
    </w:pPr>
  </w:style>
  <w:style w:type="table" w:styleId="TableSimple1">
    <w:name w:val="Table Simple 1"/>
    <w:basedOn w:val="TableNormal"/>
    <w:rsid w:val="00FE360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360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36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36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36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360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360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360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360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360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360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360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360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360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360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36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360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360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360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36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36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360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360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360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360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360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36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36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36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360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36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360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360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360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360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360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36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360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360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360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360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360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360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E360B"/>
    <w:rPr>
      <w:rFonts w:eastAsia="Times New Roman" w:cs="Times New Roman"/>
      <w:b/>
      <w:kern w:val="28"/>
      <w:sz w:val="24"/>
      <w:lang w:eastAsia="en-AU"/>
    </w:rPr>
  </w:style>
  <w:style w:type="paragraph" w:customStyle="1" w:styleId="ETAsubitem">
    <w:name w:val="ETA(subitem)"/>
    <w:basedOn w:val="OPCParaBase"/>
    <w:rsid w:val="00FE360B"/>
    <w:pPr>
      <w:tabs>
        <w:tab w:val="right" w:pos="340"/>
      </w:tabs>
      <w:spacing w:before="60" w:line="240" w:lineRule="auto"/>
      <w:ind w:left="454" w:hanging="454"/>
    </w:pPr>
    <w:rPr>
      <w:sz w:val="20"/>
    </w:rPr>
  </w:style>
  <w:style w:type="paragraph" w:customStyle="1" w:styleId="ETApara">
    <w:name w:val="ETA(para)"/>
    <w:basedOn w:val="OPCParaBase"/>
    <w:rsid w:val="00FE360B"/>
    <w:pPr>
      <w:tabs>
        <w:tab w:val="right" w:pos="754"/>
      </w:tabs>
      <w:spacing w:before="60" w:line="240" w:lineRule="auto"/>
      <w:ind w:left="828" w:hanging="828"/>
    </w:pPr>
    <w:rPr>
      <w:sz w:val="20"/>
    </w:rPr>
  </w:style>
  <w:style w:type="paragraph" w:customStyle="1" w:styleId="ETAsubpara">
    <w:name w:val="ETA(subpara)"/>
    <w:basedOn w:val="OPCParaBase"/>
    <w:rsid w:val="00FE360B"/>
    <w:pPr>
      <w:tabs>
        <w:tab w:val="right" w:pos="1083"/>
      </w:tabs>
      <w:spacing w:before="60" w:line="240" w:lineRule="auto"/>
      <w:ind w:left="1191" w:hanging="1191"/>
    </w:pPr>
    <w:rPr>
      <w:sz w:val="20"/>
    </w:rPr>
  </w:style>
  <w:style w:type="paragraph" w:customStyle="1" w:styleId="ETAsub-subpara">
    <w:name w:val="ETA(sub-subpara)"/>
    <w:basedOn w:val="OPCParaBase"/>
    <w:rsid w:val="00FE360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E360B"/>
  </w:style>
  <w:style w:type="character" w:customStyle="1" w:styleId="DefinitionChar">
    <w:name w:val="Definition Char"/>
    <w:aliases w:val="dd Char"/>
    <w:link w:val="Definition"/>
    <w:rsid w:val="00DC4495"/>
    <w:rPr>
      <w:rFonts w:eastAsia="Times New Roman" w:cs="Times New Roman"/>
      <w:sz w:val="22"/>
      <w:lang w:eastAsia="en-AU"/>
    </w:rPr>
  </w:style>
  <w:style w:type="character" w:customStyle="1" w:styleId="paragraphChar">
    <w:name w:val="paragraph Char"/>
    <w:aliases w:val="a Char"/>
    <w:link w:val="paragraph"/>
    <w:rsid w:val="00DC4495"/>
    <w:rPr>
      <w:rFonts w:eastAsia="Times New Roman" w:cs="Times New Roman"/>
      <w:sz w:val="22"/>
      <w:lang w:eastAsia="en-AU"/>
    </w:rPr>
  </w:style>
  <w:style w:type="character" w:customStyle="1" w:styleId="subsection2Char">
    <w:name w:val="subsection2 Char"/>
    <w:aliases w:val="ss2 Char"/>
    <w:basedOn w:val="DefaultParagraphFont"/>
    <w:link w:val="subsection2"/>
    <w:rsid w:val="00A224C6"/>
    <w:rPr>
      <w:rFonts w:eastAsia="Times New Roman" w:cs="Times New Roman"/>
      <w:sz w:val="22"/>
      <w:lang w:eastAsia="en-AU"/>
    </w:rPr>
  </w:style>
  <w:style w:type="paragraph" w:customStyle="1" w:styleId="definition0">
    <w:name w:val="definition"/>
    <w:basedOn w:val="Normal"/>
    <w:rsid w:val="001A3311"/>
    <w:pPr>
      <w:spacing w:before="100" w:beforeAutospacing="1" w:after="100" w:afterAutospacing="1" w:line="240" w:lineRule="auto"/>
    </w:pPr>
    <w:rPr>
      <w:rFonts w:eastAsia="Times New Roman" w:cs="Times New Roman"/>
      <w:sz w:val="24"/>
      <w:szCs w:val="24"/>
      <w:lang w:eastAsia="en-AU"/>
    </w:rPr>
  </w:style>
  <w:style w:type="paragraph" w:customStyle="1" w:styleId="acttitle">
    <w:name w:val="acttitle"/>
    <w:basedOn w:val="Normal"/>
    <w:rsid w:val="00126AC6"/>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87278">
      <w:bodyDiv w:val="1"/>
      <w:marLeft w:val="0"/>
      <w:marRight w:val="0"/>
      <w:marTop w:val="0"/>
      <w:marBottom w:val="0"/>
      <w:divBdr>
        <w:top w:val="none" w:sz="0" w:space="0" w:color="auto"/>
        <w:left w:val="none" w:sz="0" w:space="0" w:color="auto"/>
        <w:bottom w:val="none" w:sz="0" w:space="0" w:color="auto"/>
        <w:right w:val="none" w:sz="0" w:space="0" w:color="auto"/>
      </w:divBdr>
      <w:divsChild>
        <w:div w:id="97606935">
          <w:marLeft w:val="0"/>
          <w:marRight w:val="0"/>
          <w:marTop w:val="0"/>
          <w:marBottom w:val="0"/>
          <w:divBdr>
            <w:top w:val="none" w:sz="0" w:space="0" w:color="auto"/>
            <w:left w:val="none" w:sz="0" w:space="0" w:color="auto"/>
            <w:bottom w:val="single" w:sz="8" w:space="3" w:color="auto"/>
            <w:right w:val="none" w:sz="0" w:space="0" w:color="auto"/>
          </w:divBdr>
        </w:div>
      </w:divsChild>
    </w:div>
    <w:div w:id="19284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_dlc_DocId xmlns="0f563589-9cf9-4143-b1eb-fb0534803d38">2022RG-136-79221</_dlc_DocId>
    <_dlc_DocIdUrl xmlns="0f563589-9cf9-4143-b1eb-fb0534803d38">
      <Url>http://tweb/sites/rg/ldp/_layouts/15/DocIdRedir.aspx?ID=2022RG-136-79221</Url>
      <Description>2022RG-136-79221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9576" ma:contentTypeDescription="" ma:contentTypeScope="" ma:versionID="495eb6ac72175ce65bda7f59102af10a">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687b78b0-2ddd-4441-8a8b-c9638c2a1939" targetNamespace="http://schemas.microsoft.com/office/2006/metadata/properties" ma:root="true" ma:fieldsID="a71f4731fd3f17c9b31e59af0eb0bc94" ns1:_="" ns2:_="" ns3:_="" ns4:_="" ns5:_="">
    <xsd:import namespace="http://schemas.microsoft.com/sharepoint/v3"/>
    <xsd:import namespace="0f563589-9cf9-4143-b1eb-fb0534803d38"/>
    <xsd:import namespace="9f7bc583-7cbe-45b9-a2bd-8bbb6543b37e"/>
    <xsd:import namespace="http://schemas.microsoft.com/sharepoint/v4"/>
    <xsd:import namespace="687b78b0-2ddd-4441-8a8b-c9638c2a193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LMU_x0020_Number" minOccurs="0"/>
                <xsd:element ref="ns5:Status" minOccurs="0"/>
                <xsd:element ref="ns5:Number_x0020_version" minOccurs="0"/>
                <xsd:element ref="ns5:NAture_x0020_of_x0020_documents1" minOccurs="0"/>
                <xsd:element ref="ns5:Parliamentary_x0020_session" minOccurs="0"/>
                <xsd:element ref="ns5: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4"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7" nillable="true" ma:displayName="LMU Number" ma:internalName="LMU_x0020_Number">
      <xsd:simpleType>
        <xsd:restriction base="dms:Text">
          <xsd:maxLength value="255"/>
        </xsd:restriction>
      </xsd:simpleType>
    </xsd:element>
    <xsd:element name="Status" ma:index="18"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19" nillable="true" ma:displayName="Number version" ma:internalName="Number_x0020_version">
      <xsd:simpleType>
        <xsd:restriction base="dms:Text">
          <xsd:maxLength value="255"/>
        </xsd:restriction>
      </xsd:simpleType>
    </xsd:element>
    <xsd:element name="NAture_x0020_of_x0020_documents1" ma:index="20"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1"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2"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A4338-5CA9-4737-949D-442DFB36DD2A}">
  <ds:schemaRefs>
    <ds:schemaRef ds:uri="http://www.w3.org/XML/1998/namespace"/>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purl.org/dc/elements/1.1/"/>
    <ds:schemaRef ds:uri="9f7bc583-7cbe-45b9-a2bd-8bbb6543b37e"/>
    <ds:schemaRef ds:uri="687b78b0-2ddd-4441-8a8b-c9638c2a1939"/>
    <ds:schemaRef ds:uri="http://schemas.microsoft.com/sharepoint/v4"/>
    <ds:schemaRef ds:uri="0f563589-9cf9-4143-b1eb-fb0534803d38"/>
  </ds:schemaRefs>
</ds:datastoreItem>
</file>

<file path=customXml/itemProps2.xml><?xml version="1.0" encoding="utf-8"?>
<ds:datastoreItem xmlns:ds="http://schemas.openxmlformats.org/officeDocument/2006/customXml" ds:itemID="{BDA34CDA-CD4C-43A3-8D13-1981D47BBB0E}">
  <ds:schemaRefs>
    <ds:schemaRef ds:uri="http://schemas.openxmlformats.org/officeDocument/2006/bibliography"/>
  </ds:schemaRefs>
</ds:datastoreItem>
</file>

<file path=customXml/itemProps3.xml><?xml version="1.0" encoding="utf-8"?>
<ds:datastoreItem xmlns:ds="http://schemas.openxmlformats.org/officeDocument/2006/customXml" ds:itemID="{EC2383EB-7C3E-4535-80D1-B7286ADA3C4F}">
  <ds:schemaRefs>
    <ds:schemaRef ds:uri="http://schemas.microsoft.com/sharepoint/events"/>
  </ds:schemaRefs>
</ds:datastoreItem>
</file>

<file path=customXml/itemProps4.xml><?xml version="1.0" encoding="utf-8"?>
<ds:datastoreItem xmlns:ds="http://schemas.openxmlformats.org/officeDocument/2006/customXml" ds:itemID="{9BECBBF5-1B22-4774-B229-7FD6CE831E7E}">
  <ds:schemaRefs>
    <ds:schemaRef ds:uri="office.server.policy"/>
  </ds:schemaRefs>
</ds:datastoreItem>
</file>

<file path=customXml/itemProps5.xml><?xml version="1.0" encoding="utf-8"?>
<ds:datastoreItem xmlns:ds="http://schemas.openxmlformats.org/officeDocument/2006/customXml" ds:itemID="{F28B943F-A315-40E3-8FBE-D47B0FFF5AD0}">
  <ds:schemaRefs>
    <ds:schemaRef ds:uri="http://schemas.microsoft.com/sharepoint/v3/contenttype/forms"/>
  </ds:schemaRefs>
</ds:datastoreItem>
</file>

<file path=customXml/itemProps6.xml><?xml version="1.0" encoding="utf-8"?>
<ds:datastoreItem xmlns:ds="http://schemas.openxmlformats.org/officeDocument/2006/customXml" ds:itemID="{5C2F9B72-4B3A-4D8C-AAF7-3ED326B9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687b78b0-2ddd-4441-8a8b-c9638c2a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25</Pages>
  <Words>5992</Words>
  <Characters>31039</Characters>
  <Application>Microsoft Office Word</Application>
  <DocSecurity>2</DocSecurity>
  <PresentationFormat/>
  <Lines>674</Lines>
  <Paragraphs>425</Paragraphs>
  <ScaleCrop>false</ScaleCrop>
  <HeadingPairs>
    <vt:vector size="2" baseType="variant">
      <vt:variant>
        <vt:lpstr>Title</vt:lpstr>
      </vt:variant>
      <vt:variant>
        <vt:i4>1</vt:i4>
      </vt:variant>
    </vt:vector>
  </HeadingPairs>
  <TitlesOfParts>
    <vt:vector size="1" baseType="lpstr">
      <vt:lpstr>Financial Accountability Regime Minister Rules 2022 - Exposure draft</vt:lpstr>
    </vt:vector>
  </TitlesOfParts>
  <Manager/>
  <Company/>
  <LinksUpToDate>false</LinksUpToDate>
  <CharactersWithSpaces>36606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Accountability Regime Minister Rules 2022 - Exposure draft</dc:title>
  <dc:subject/>
  <dc:creator/>
  <cp:keywords/>
  <dc:description/>
  <cp:lastModifiedBy/>
  <cp:revision>1</cp:revision>
  <cp:lastPrinted>2022-01-21T07:58:00Z</cp:lastPrinted>
  <dcterms:created xsi:type="dcterms:W3CDTF">2022-08-15T01:01:00Z</dcterms:created>
  <dcterms:modified xsi:type="dcterms:W3CDTF">2022-09-12T06:36:00Z</dcterms:modified>
  <cp:category/>
  <cp:contentStatus/>
  <dc:language/>
  <cp:version/>
</cp:coreProperties>
</file>