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85645642"/>
        <w:docPartObj>
          <w:docPartGallery w:val="Cover Pages"/>
          <w:docPartUnique/>
        </w:docPartObj>
      </w:sdtPr>
      <w:sdtEndPr/>
      <w:sdtContent>
        <w:p w14:paraId="5EDD89F0" w14:textId="36297A52" w:rsidR="00604EEF" w:rsidRPr="006F09F2" w:rsidRDefault="00604EEF" w:rsidP="001452E6">
          <w:pPr>
            <w:pStyle w:val="ListParagraph"/>
          </w:pPr>
          <w:r w:rsidRPr="00701B06">
            <w:rPr>
              <w:noProof/>
            </w:rPr>
            <w:drawing>
              <wp:anchor distT="0" distB="0" distL="114300" distR="114300" simplePos="0" relativeHeight="251658240" behindDoc="1" locked="0" layoutInCell="1" allowOverlap="1" wp14:anchorId="4E5AFEAE" wp14:editId="443A7A63">
                <wp:simplePos x="0" y="0"/>
                <wp:positionH relativeFrom="page">
                  <wp:align>center</wp:align>
                </wp:positionH>
                <wp:positionV relativeFrom="page">
                  <wp:align>center</wp:align>
                </wp:positionV>
                <wp:extent cx="7570800" cy="10709018"/>
                <wp:effectExtent l="0" t="0" r="0" b="0"/>
                <wp:wrapNone/>
                <wp:docPr id="4" name="Picture 1" descr="Aerial view of Moruya,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erial view of Moruya, New South Wale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70800" cy="107090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01AE27" w14:textId="42052129" w:rsidR="00604EEF" w:rsidRPr="008B47E9" w:rsidRDefault="00604EEF" w:rsidP="00301755">
          <w:pPr>
            <w:pStyle w:val="Crest"/>
            <w:spacing w:after="1200"/>
            <w:jc w:val="right"/>
          </w:pPr>
        </w:p>
        <w:p w14:paraId="7F82F291" w14:textId="6CB3C8DA" w:rsidR="00604EEF" w:rsidRPr="002334A3" w:rsidRDefault="00570A7B" w:rsidP="002A7A31">
          <w:pPr>
            <w:pStyle w:val="Title"/>
            <w:tabs>
              <w:tab w:val="left" w:pos="6379"/>
            </w:tabs>
            <w:spacing w:after="120" w:line="720" w:lineRule="exact"/>
            <w:ind w:right="1982"/>
            <w:rPr>
              <w:color w:val="2C384A" w:themeColor="accent1"/>
            </w:rPr>
          </w:pPr>
          <w:r w:rsidRPr="002334A3">
            <w:rPr>
              <w:color w:val="2C384A" w:themeColor="accent1"/>
            </w:rPr>
            <w:t>Regional Banking Taskforce</w:t>
          </w:r>
        </w:p>
        <w:p w14:paraId="5DA0B429" w14:textId="0A204518" w:rsidR="00604EEF" w:rsidRPr="002334A3" w:rsidRDefault="00EE3C2A" w:rsidP="004C2902">
          <w:pPr>
            <w:pStyle w:val="Subtitle"/>
            <w:spacing w:after="360"/>
            <w:rPr>
              <w:color w:val="2C384A" w:themeColor="accent1"/>
            </w:rPr>
          </w:pPr>
          <w:r w:rsidRPr="002334A3">
            <w:rPr>
              <w:color w:val="2C384A" w:themeColor="accent1"/>
            </w:rPr>
            <w:t>Final Report</w:t>
          </w:r>
        </w:p>
        <w:p w14:paraId="792C8319" w14:textId="46438671" w:rsidR="00604EEF" w:rsidRPr="002334A3" w:rsidRDefault="001351FC" w:rsidP="006923DF">
          <w:pPr>
            <w:pStyle w:val="ReportDate"/>
            <w:rPr>
              <w:color w:val="2C384A" w:themeColor="accent1"/>
            </w:rPr>
          </w:pPr>
          <w:r w:rsidRPr="002334A3">
            <w:rPr>
              <w:rStyle w:val="ReportDateChar"/>
              <w:color w:val="2C384A" w:themeColor="accent1"/>
            </w:rPr>
            <w:t>September</w:t>
          </w:r>
          <w:r w:rsidR="00433F7F" w:rsidRPr="002334A3">
            <w:rPr>
              <w:rStyle w:val="ReportDateChar"/>
              <w:color w:val="2C384A" w:themeColor="accent1"/>
            </w:rPr>
            <w:t xml:space="preserve"> 2022</w:t>
          </w:r>
        </w:p>
        <w:p w14:paraId="6D535E11" w14:textId="48591AAC" w:rsidR="00604EEF" w:rsidRPr="008415CD" w:rsidRDefault="00604EEF">
          <w:pPr>
            <w:spacing w:before="0" w:after="160" w:line="259" w:lineRule="auto"/>
          </w:pPr>
          <w:r w:rsidRPr="00E45F34">
            <w:br w:type="page"/>
          </w:r>
        </w:p>
      </w:sdtContent>
    </w:sdt>
    <w:p w14:paraId="60B97B72" w14:textId="74C973AB" w:rsidR="000E0B74" w:rsidRPr="006F09F2" w:rsidRDefault="000E0B74" w:rsidP="005877AC">
      <w:pPr>
        <w:spacing w:before="0" w:after="160" w:line="259" w:lineRule="auto"/>
      </w:pPr>
      <w:r w:rsidRPr="006F09F2">
        <w:lastRenderedPageBreak/>
        <w:t>© Commonwealth of Australia 20</w:t>
      </w:r>
      <w:r w:rsidR="00E4234D" w:rsidRPr="006F09F2">
        <w:t>22</w:t>
      </w:r>
      <w:r w:rsidR="0006520F" w:rsidRPr="006F09F2">
        <w:t xml:space="preserve"> </w:t>
      </w:r>
    </w:p>
    <w:p w14:paraId="46C1C19F" w14:textId="515BC376" w:rsidR="006469CC" w:rsidRPr="008415CD" w:rsidRDefault="006469CC" w:rsidP="005877AC">
      <w:pPr>
        <w:spacing w:before="0" w:after="160" w:line="259" w:lineRule="auto"/>
      </w:pPr>
      <w:r w:rsidRPr="006F09F2">
        <w:t>ISBN:</w:t>
      </w:r>
      <w:r w:rsidR="007038BB" w:rsidRPr="007038BB">
        <w:t xml:space="preserve"> 978-1-925832-58-7</w:t>
      </w:r>
    </w:p>
    <w:p w14:paraId="122DB83F" w14:textId="21D8A28C" w:rsidR="000E0B74" w:rsidRPr="006F09F2" w:rsidRDefault="000E0B74" w:rsidP="000E0B74">
      <w:pPr>
        <w:tabs>
          <w:tab w:val="left" w:pos="1650"/>
        </w:tabs>
        <w:spacing w:before="240"/>
        <w:rPr>
          <w:rFonts w:cstheme="minorBidi"/>
          <w:sz w:val="24"/>
          <w:szCs w:val="24"/>
        </w:rPr>
      </w:pPr>
      <w:r w:rsidRPr="006F09F2">
        <w:t>This publication is available for your use under a</w:t>
      </w:r>
      <w:r w:rsidRPr="006F09F2">
        <w:rPr>
          <w:rFonts w:cstheme="minorHAnsi"/>
          <w:sz w:val="24"/>
          <w:szCs w:val="24"/>
        </w:rPr>
        <w:t xml:space="preserve"> </w:t>
      </w:r>
      <w:hyperlink r:id="rId13" w:history="1">
        <w:r w:rsidRPr="008B47E9">
          <w:rPr>
            <w:rStyle w:val="Hyperlink"/>
          </w:rPr>
          <w:t>Creative Commons Attribution 3.0 Australia</w:t>
        </w:r>
      </w:hyperlink>
      <w:r w:rsidRPr="006F09F2">
        <w:rPr>
          <w:rFonts w:cstheme="minorHAnsi"/>
          <w:sz w:val="24"/>
          <w:szCs w:val="24"/>
        </w:rPr>
        <w:t xml:space="preserve"> </w:t>
      </w:r>
      <w:r w:rsidRPr="008B47E9">
        <w:t>licence, with the exception of the Commonwealth Coat of Arms, the Treasury logo</w:t>
      </w:r>
      <w:r w:rsidRPr="006F09F2">
        <w:t>, photographs, images, signatures and where otherwise stated. The full licence terms are available from</w:t>
      </w:r>
      <w:r w:rsidRPr="006F09F2">
        <w:rPr>
          <w:rFonts w:cstheme="minorHAnsi"/>
          <w:sz w:val="24"/>
          <w:szCs w:val="24"/>
        </w:rPr>
        <w:t xml:space="preserve"> </w:t>
      </w:r>
      <w:hyperlink r:id="rId14" w:history="1">
        <w:r w:rsidRPr="008B47E9">
          <w:rPr>
            <w:rStyle w:val="Hyperlink"/>
          </w:rPr>
          <w:t>http://creativecommons.org/licenses/by/3.0/au/legalcode</w:t>
        </w:r>
      </w:hyperlink>
      <w:r w:rsidRPr="006F09F2">
        <w:rPr>
          <w:rStyle w:val="Hyperlink"/>
        </w:rPr>
        <w:t>.</w:t>
      </w:r>
      <w:r w:rsidRPr="008B47E9">
        <w:rPr>
          <w:sz w:val="24"/>
          <w:szCs w:val="24"/>
        </w:rPr>
        <w:t xml:space="preserve"> </w:t>
      </w:r>
    </w:p>
    <w:p w14:paraId="7F02074C" w14:textId="77777777" w:rsidR="000E0B74" w:rsidRPr="006F09F2" w:rsidRDefault="000E0B74" w:rsidP="000E0B74">
      <w:pPr>
        <w:pStyle w:val="ChartGraphic"/>
        <w:jc w:val="left"/>
      </w:pPr>
      <w:r w:rsidRPr="00701B06">
        <w:rPr>
          <w:noProof/>
        </w:rPr>
        <w:drawing>
          <wp:inline distT="0" distB="0" distL="0" distR="0" wp14:anchorId="20B0D062" wp14:editId="3A370F67">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0BDEFA94" w14:textId="77777777" w:rsidR="000E0B74" w:rsidRPr="006F09F2" w:rsidRDefault="000E0B74" w:rsidP="000E0B74">
      <w:pPr>
        <w:tabs>
          <w:tab w:val="left" w:pos="1650"/>
        </w:tabs>
        <w:spacing w:before="240"/>
      </w:pPr>
      <w:r w:rsidRPr="008B47E9">
        <w:t>Use of Treasury material under a</w:t>
      </w:r>
      <w:r w:rsidRPr="006F09F2">
        <w:rPr>
          <w:rFonts w:cstheme="minorHAnsi"/>
          <w:sz w:val="24"/>
          <w:szCs w:val="24"/>
        </w:rPr>
        <w:t xml:space="preserve"> </w:t>
      </w:r>
      <w:hyperlink r:id="rId16" w:history="1">
        <w:r w:rsidRPr="008B47E9">
          <w:rPr>
            <w:rStyle w:val="Hyperlink"/>
          </w:rPr>
          <w:t>Creative Commons Attribution 3.0 Australia</w:t>
        </w:r>
      </w:hyperlink>
      <w:r w:rsidRPr="006F09F2">
        <w:rPr>
          <w:rStyle w:val="Hyperlink"/>
        </w:rPr>
        <w:t xml:space="preserve"> </w:t>
      </w:r>
      <w:r w:rsidRPr="008B47E9">
        <w:t>licence requires you to attribute the work (but not in any way that suggests that the Treasury endorse</w:t>
      </w:r>
      <w:r w:rsidRPr="006F09F2">
        <w:t>s you or your use of the work).</w:t>
      </w:r>
    </w:p>
    <w:p w14:paraId="043FBEEF" w14:textId="326BF72F" w:rsidR="000E0B74" w:rsidRPr="006F09F2" w:rsidRDefault="000E0B74" w:rsidP="006469CC">
      <w:pPr>
        <w:spacing w:before="240"/>
        <w:rPr>
          <w:b/>
        </w:rPr>
      </w:pPr>
      <w:r w:rsidRPr="006F09F2">
        <w:rPr>
          <w:b/>
        </w:rPr>
        <w:t xml:space="preserve">Treasury material used </w:t>
      </w:r>
      <w:r w:rsidR="001D4A21">
        <w:rPr>
          <w:b/>
        </w:rPr>
        <w:t>‘</w:t>
      </w:r>
      <w:r w:rsidRPr="006F09F2">
        <w:rPr>
          <w:b/>
        </w:rPr>
        <w:t>as supplied</w:t>
      </w:r>
      <w:r w:rsidR="001D4A21">
        <w:rPr>
          <w:b/>
        </w:rPr>
        <w:t>’</w:t>
      </w:r>
      <w:r w:rsidRPr="006F09F2">
        <w:rPr>
          <w:b/>
        </w:rPr>
        <w:t>.</w:t>
      </w:r>
    </w:p>
    <w:p w14:paraId="1C8C8F06" w14:textId="5BCEA6E9" w:rsidR="000E0B74" w:rsidRPr="006F09F2" w:rsidRDefault="000E0B74" w:rsidP="000E0B74">
      <w:pPr>
        <w:spacing w:before="240"/>
      </w:pPr>
      <w:r w:rsidRPr="006F09F2">
        <w:t>Provided you have not modified or transformed Treasury material in any way including, for example, by changing the Treasury text; calculating percentage changes; graphing or charting data; or deriving new statistics from published Treasury statistics</w:t>
      </w:r>
      <w:r w:rsidR="00DF162F" w:rsidRPr="006F09F2">
        <w:t xml:space="preserve"> – </w:t>
      </w:r>
      <w:r w:rsidRPr="006F09F2">
        <w:t xml:space="preserve">then Treasury prefers the following attribution: </w:t>
      </w:r>
    </w:p>
    <w:p w14:paraId="5757957F" w14:textId="76FAC4C5" w:rsidR="000E0B74" w:rsidRPr="006F09F2" w:rsidRDefault="000E0B74" w:rsidP="000E0B74">
      <w:pPr>
        <w:ind w:firstLine="720"/>
      </w:pPr>
      <w:r w:rsidRPr="006F09F2">
        <w:rPr>
          <w:i/>
        </w:rPr>
        <w:t xml:space="preserve">Source: The </w:t>
      </w:r>
      <w:r w:rsidRPr="006F09F2">
        <w:rPr>
          <w:i/>
          <w:iCs/>
        </w:rPr>
        <w:t>Australian Government the Treasury</w:t>
      </w:r>
      <w:r w:rsidR="006276CC" w:rsidRPr="006F09F2">
        <w:t>.</w:t>
      </w:r>
    </w:p>
    <w:p w14:paraId="560F0B71" w14:textId="77777777" w:rsidR="000E0B74" w:rsidRPr="006F09F2" w:rsidRDefault="000E0B74" w:rsidP="000E0B74">
      <w:pPr>
        <w:spacing w:before="240"/>
      </w:pPr>
      <w:r w:rsidRPr="006F09F2">
        <w:rPr>
          <w:b/>
        </w:rPr>
        <w:t>Derivative</w:t>
      </w:r>
      <w:r w:rsidRPr="006F09F2">
        <w:t xml:space="preserve"> </w:t>
      </w:r>
      <w:r w:rsidRPr="006F09F2">
        <w:rPr>
          <w:b/>
        </w:rPr>
        <w:t>material</w:t>
      </w:r>
    </w:p>
    <w:p w14:paraId="1A36D3E2" w14:textId="77777777" w:rsidR="000E0B74" w:rsidRPr="006F09F2" w:rsidRDefault="000E0B74" w:rsidP="000E0B74">
      <w:r w:rsidRPr="006F09F2">
        <w:t xml:space="preserve">If you have modified or transformed Treasury material, or derived new material from those of the Treasury in any way, then Treasury prefers the following attribution: </w:t>
      </w:r>
    </w:p>
    <w:p w14:paraId="446B32CF" w14:textId="2DFE661D" w:rsidR="000E0B74" w:rsidRPr="006F09F2" w:rsidRDefault="000E0B74" w:rsidP="000E0B74">
      <w:pPr>
        <w:ind w:firstLine="720"/>
      </w:pPr>
      <w:r w:rsidRPr="006F09F2">
        <w:rPr>
          <w:i/>
        </w:rPr>
        <w:t>Based on The Australian Government the Treasury data</w:t>
      </w:r>
      <w:r w:rsidR="006276CC" w:rsidRPr="006F09F2">
        <w:t>.</w:t>
      </w:r>
    </w:p>
    <w:p w14:paraId="5F890165" w14:textId="77777777" w:rsidR="000E0B74" w:rsidRPr="006F09F2" w:rsidRDefault="000E0B74" w:rsidP="000E0B74">
      <w:pPr>
        <w:spacing w:before="240"/>
        <w:rPr>
          <w:b/>
        </w:rPr>
      </w:pPr>
      <w:r w:rsidRPr="006F09F2">
        <w:rPr>
          <w:b/>
        </w:rPr>
        <w:t>Use of the Coat of Arms</w:t>
      </w:r>
    </w:p>
    <w:p w14:paraId="2607637F" w14:textId="2214141F" w:rsidR="005C503A" w:rsidRPr="008B47E9" w:rsidRDefault="005C503A" w:rsidP="005C503A">
      <w:pPr>
        <w:spacing w:before="240"/>
      </w:pPr>
      <w:r w:rsidRPr="006F09F2">
        <w:t xml:space="preserve">The terms under which the Coat of Arms can be used are set out on the Department of the Prime Minister and Cabinet website (see </w:t>
      </w:r>
      <w:hyperlink r:id="rId17" w:history="1">
        <w:r w:rsidR="00F669CD" w:rsidRPr="008B47E9">
          <w:rPr>
            <w:rStyle w:val="Hyperlink"/>
          </w:rPr>
          <w:t>http://www.pmc.gov.au/government/commonwealth</w:t>
        </w:r>
        <w:r w:rsidR="001D4A21">
          <w:rPr>
            <w:rStyle w:val="Hyperlink"/>
          </w:rPr>
          <w:noBreakHyphen/>
        </w:r>
        <w:r w:rsidR="00F669CD" w:rsidRPr="006F09F2">
          <w:rPr>
            <w:rStyle w:val="Hyperlink"/>
          </w:rPr>
          <w:t>coat</w:t>
        </w:r>
        <w:r w:rsidR="001D4A21">
          <w:rPr>
            <w:rStyle w:val="Hyperlink"/>
          </w:rPr>
          <w:noBreakHyphen/>
        </w:r>
        <w:r w:rsidR="00F669CD" w:rsidRPr="006F09F2">
          <w:rPr>
            <w:rStyle w:val="Hyperlink"/>
          </w:rPr>
          <w:t>arms</w:t>
        </w:r>
      </w:hyperlink>
      <w:r w:rsidRPr="006F09F2">
        <w:t>).</w:t>
      </w:r>
    </w:p>
    <w:p w14:paraId="0480D6E2" w14:textId="77777777" w:rsidR="000E0B74" w:rsidRPr="006F09F2" w:rsidRDefault="000E0B74" w:rsidP="000E0B74">
      <w:pPr>
        <w:spacing w:before="240"/>
        <w:rPr>
          <w:b/>
        </w:rPr>
      </w:pPr>
      <w:r w:rsidRPr="006F09F2">
        <w:rPr>
          <w:b/>
        </w:rPr>
        <w:t>Other uses</w:t>
      </w:r>
    </w:p>
    <w:p w14:paraId="5DC0441D" w14:textId="77777777" w:rsidR="000E0B74" w:rsidRPr="006F09F2" w:rsidRDefault="000E0B74" w:rsidP="000E0B74">
      <w:r w:rsidRPr="006F09F2">
        <w:t>Enquiries regarding this licence and any other use of this document are welcome at:</w:t>
      </w:r>
    </w:p>
    <w:p w14:paraId="18320A47" w14:textId="77777777" w:rsidR="00C45510" w:rsidRDefault="000E0B74" w:rsidP="00C45510">
      <w:pPr>
        <w:ind w:left="720"/>
        <w:rPr>
          <w:rStyle w:val="Hyperlink"/>
        </w:rPr>
        <w:sectPr w:rsidR="00C45510" w:rsidSect="00042B50">
          <w:footerReference w:type="default" r:id="rId18"/>
          <w:footerReference w:type="first" r:id="rId19"/>
          <w:pgSz w:w="11906" w:h="16838" w:code="9"/>
          <w:pgMar w:top="1843" w:right="1418" w:bottom="1418" w:left="1418" w:header="709" w:footer="709" w:gutter="0"/>
          <w:pgNumType w:start="1"/>
          <w:cols w:space="708"/>
          <w:titlePg/>
          <w:docGrid w:linePitch="360"/>
        </w:sectPr>
      </w:pPr>
      <w:r w:rsidRPr="006F09F2">
        <w:t>Manager</w:t>
      </w:r>
      <w:r w:rsidR="00A72960" w:rsidRPr="006F09F2">
        <w:br/>
      </w:r>
      <w:r w:rsidRPr="006F09F2">
        <w:t>Media and Speeches Unit</w:t>
      </w:r>
      <w:r w:rsidRPr="006F09F2">
        <w:br/>
        <w:t>The Treasury</w:t>
      </w:r>
      <w:r w:rsidRPr="006F09F2">
        <w:br/>
        <w:t xml:space="preserve">Langton Crescent </w:t>
      </w:r>
      <w:r w:rsidRPr="006F09F2">
        <w:br/>
        <w:t xml:space="preserve">Parkes </w:t>
      </w:r>
      <w:r w:rsidR="007C4491">
        <w:t xml:space="preserve"> </w:t>
      </w:r>
      <w:r w:rsidRPr="006F09F2">
        <w:t xml:space="preserve">ACT </w:t>
      </w:r>
      <w:r w:rsidR="007C4491">
        <w:t xml:space="preserve"> </w:t>
      </w:r>
      <w:r w:rsidRPr="006F09F2">
        <w:t>2600</w:t>
      </w:r>
      <w:r w:rsidRPr="006F09F2">
        <w:br/>
        <w:t xml:space="preserve">Email: </w:t>
      </w:r>
      <w:hyperlink r:id="rId20" w:history="1">
        <w:r w:rsidRPr="008B47E9">
          <w:rPr>
            <w:rStyle w:val="Hyperlink"/>
          </w:rPr>
          <w:t>media@treasury.gov.au</w:t>
        </w:r>
      </w:hyperlink>
      <w:bookmarkStart w:id="0" w:name="_Toc97140105"/>
      <w:bookmarkStart w:id="1" w:name="_Toc97904365"/>
      <w:bookmarkStart w:id="2" w:name="_Toc98245349"/>
      <w:bookmarkStart w:id="3" w:name="_Toc98508530"/>
      <w:bookmarkStart w:id="4" w:name="_Toc115190882"/>
    </w:p>
    <w:p w14:paraId="777A7A77" w14:textId="52641BD2" w:rsidR="000E0B74" w:rsidRPr="00136106" w:rsidRDefault="000E0B74" w:rsidP="00042B50">
      <w:pPr>
        <w:pStyle w:val="Heading1"/>
      </w:pPr>
      <w:r w:rsidRPr="00136106">
        <w:lastRenderedPageBreak/>
        <w:t>Contents</w:t>
      </w:r>
      <w:bookmarkEnd w:id="0"/>
      <w:bookmarkEnd w:id="1"/>
      <w:bookmarkEnd w:id="2"/>
      <w:bookmarkEnd w:id="3"/>
      <w:bookmarkEnd w:id="4"/>
    </w:p>
    <w:p w14:paraId="69DA0F7D" w14:textId="14837555" w:rsidR="00136106" w:rsidRDefault="000E0B74">
      <w:pPr>
        <w:pStyle w:val="TOC1"/>
        <w:rPr>
          <w:rFonts w:asciiTheme="minorHAnsi" w:eastAsiaTheme="minorEastAsia" w:hAnsiTheme="minorHAnsi" w:cstheme="minorBidi"/>
          <w:b w:val="0"/>
          <w:color w:val="auto"/>
        </w:rPr>
      </w:pPr>
      <w:r w:rsidRPr="00701B06">
        <w:rPr>
          <w:noProof w:val="0"/>
          <w:color w:val="004A7F"/>
        </w:rPr>
        <w:fldChar w:fldCharType="begin"/>
      </w:r>
      <w:r w:rsidRPr="008415CD">
        <w:rPr>
          <w:noProof w:val="0"/>
        </w:rPr>
        <w:instrText xml:space="preserve"> TOC \o "1-3" \h \z \u </w:instrText>
      </w:r>
      <w:r w:rsidRPr="00701B06">
        <w:rPr>
          <w:noProof w:val="0"/>
          <w:color w:val="004A7F"/>
        </w:rPr>
        <w:fldChar w:fldCharType="separate"/>
      </w:r>
    </w:p>
    <w:p w14:paraId="6D911211" w14:textId="63305B6A" w:rsidR="00136106" w:rsidRDefault="008958F7">
      <w:pPr>
        <w:pStyle w:val="TOC1"/>
        <w:rPr>
          <w:rFonts w:asciiTheme="minorHAnsi" w:eastAsiaTheme="minorEastAsia" w:hAnsiTheme="minorHAnsi" w:cstheme="minorBidi"/>
          <w:b w:val="0"/>
          <w:color w:val="auto"/>
        </w:rPr>
      </w:pPr>
      <w:hyperlink w:anchor="_Toc115190883" w:history="1">
        <w:r w:rsidR="00136106" w:rsidRPr="00A31ADA">
          <w:rPr>
            <w:rStyle w:val="Hyperlink"/>
          </w:rPr>
          <w:t>Executive summary</w:t>
        </w:r>
        <w:r w:rsidR="00136106">
          <w:rPr>
            <w:webHidden/>
          </w:rPr>
          <w:tab/>
        </w:r>
        <w:r w:rsidR="00136106">
          <w:rPr>
            <w:webHidden/>
          </w:rPr>
          <w:fldChar w:fldCharType="begin"/>
        </w:r>
        <w:r w:rsidR="00136106">
          <w:rPr>
            <w:webHidden/>
          </w:rPr>
          <w:instrText xml:space="preserve"> PAGEREF _Toc115190883 \h </w:instrText>
        </w:r>
        <w:r w:rsidR="00136106">
          <w:rPr>
            <w:webHidden/>
          </w:rPr>
        </w:r>
        <w:r w:rsidR="00136106">
          <w:rPr>
            <w:webHidden/>
          </w:rPr>
          <w:fldChar w:fldCharType="separate"/>
        </w:r>
        <w:r w:rsidR="00875B32">
          <w:rPr>
            <w:webHidden/>
          </w:rPr>
          <w:t>1</w:t>
        </w:r>
        <w:r w:rsidR="00136106">
          <w:rPr>
            <w:webHidden/>
          </w:rPr>
          <w:fldChar w:fldCharType="end"/>
        </w:r>
      </w:hyperlink>
    </w:p>
    <w:p w14:paraId="6EE30E67" w14:textId="3C20C070" w:rsidR="00136106" w:rsidRDefault="008958F7">
      <w:pPr>
        <w:pStyle w:val="TOC1"/>
        <w:rPr>
          <w:rFonts w:asciiTheme="minorHAnsi" w:eastAsiaTheme="minorEastAsia" w:hAnsiTheme="minorHAnsi" w:cstheme="minorBidi"/>
          <w:b w:val="0"/>
          <w:color w:val="auto"/>
        </w:rPr>
      </w:pPr>
      <w:hyperlink w:anchor="_Toc115190887" w:history="1">
        <w:r w:rsidR="00136106" w:rsidRPr="00A31ADA">
          <w:rPr>
            <w:rStyle w:val="Hyperlink"/>
          </w:rPr>
          <w:t>Bank branch closures</w:t>
        </w:r>
        <w:r w:rsidR="00136106">
          <w:rPr>
            <w:webHidden/>
          </w:rPr>
          <w:tab/>
        </w:r>
        <w:r w:rsidR="00136106">
          <w:rPr>
            <w:webHidden/>
          </w:rPr>
          <w:fldChar w:fldCharType="begin"/>
        </w:r>
        <w:r w:rsidR="00136106">
          <w:rPr>
            <w:webHidden/>
          </w:rPr>
          <w:instrText xml:space="preserve"> PAGEREF _Toc115190887 \h </w:instrText>
        </w:r>
        <w:r w:rsidR="00136106">
          <w:rPr>
            <w:webHidden/>
          </w:rPr>
        </w:r>
        <w:r w:rsidR="00136106">
          <w:rPr>
            <w:webHidden/>
          </w:rPr>
          <w:fldChar w:fldCharType="separate"/>
        </w:r>
        <w:r w:rsidR="00875B32">
          <w:rPr>
            <w:webHidden/>
          </w:rPr>
          <w:t>5</w:t>
        </w:r>
        <w:r w:rsidR="00136106">
          <w:rPr>
            <w:webHidden/>
          </w:rPr>
          <w:fldChar w:fldCharType="end"/>
        </w:r>
      </w:hyperlink>
    </w:p>
    <w:p w14:paraId="05799862" w14:textId="7F502039" w:rsidR="00136106" w:rsidRDefault="008958F7">
      <w:pPr>
        <w:pStyle w:val="TOC1"/>
        <w:rPr>
          <w:rFonts w:asciiTheme="minorHAnsi" w:eastAsiaTheme="minorEastAsia" w:hAnsiTheme="minorHAnsi" w:cstheme="minorBidi"/>
          <w:b w:val="0"/>
          <w:color w:val="auto"/>
        </w:rPr>
      </w:pPr>
      <w:hyperlink w:anchor="_Toc115190891" w:history="1">
        <w:r w:rsidR="00136106" w:rsidRPr="00A31ADA">
          <w:rPr>
            <w:rStyle w:val="Hyperlink"/>
          </w:rPr>
          <w:t>Findings and recommendations</w:t>
        </w:r>
        <w:r w:rsidR="00136106">
          <w:rPr>
            <w:webHidden/>
          </w:rPr>
          <w:tab/>
        </w:r>
        <w:r w:rsidR="00136106">
          <w:rPr>
            <w:webHidden/>
          </w:rPr>
          <w:fldChar w:fldCharType="begin"/>
        </w:r>
        <w:r w:rsidR="00136106">
          <w:rPr>
            <w:webHidden/>
          </w:rPr>
          <w:instrText xml:space="preserve"> PAGEREF _Toc115190891 \h </w:instrText>
        </w:r>
        <w:r w:rsidR="00136106">
          <w:rPr>
            <w:webHidden/>
          </w:rPr>
        </w:r>
        <w:r w:rsidR="00136106">
          <w:rPr>
            <w:webHidden/>
          </w:rPr>
          <w:fldChar w:fldCharType="separate"/>
        </w:r>
        <w:r w:rsidR="00875B32">
          <w:rPr>
            <w:webHidden/>
          </w:rPr>
          <w:t>9</w:t>
        </w:r>
        <w:r w:rsidR="00136106">
          <w:rPr>
            <w:webHidden/>
          </w:rPr>
          <w:fldChar w:fldCharType="end"/>
        </w:r>
      </w:hyperlink>
    </w:p>
    <w:p w14:paraId="27ADEED8" w14:textId="77777777" w:rsidR="00CA168A" w:rsidRDefault="000E0B74" w:rsidP="00CA168A">
      <w:pPr>
        <w:pStyle w:val="SingleParagraph"/>
        <w:ind w:right="-2"/>
        <w:sectPr w:rsidR="00CA168A" w:rsidSect="00042B50">
          <w:footerReference w:type="default" r:id="rId21"/>
          <w:pgSz w:w="11906" w:h="16838" w:code="9"/>
          <w:pgMar w:top="1843" w:right="1418" w:bottom="1418" w:left="1418" w:header="709" w:footer="709" w:gutter="0"/>
          <w:pgNumType w:fmt="lowerRoman" w:start="1"/>
          <w:cols w:space="708"/>
          <w:titlePg/>
          <w:docGrid w:linePitch="360"/>
        </w:sectPr>
      </w:pPr>
      <w:r w:rsidRPr="00701B06">
        <w:fldChar w:fldCharType="end"/>
      </w:r>
      <w:bookmarkStart w:id="5" w:name="_Toc115190883"/>
    </w:p>
    <w:p w14:paraId="54D4C839" w14:textId="5E835884" w:rsidR="00417851" w:rsidRPr="00FF1401" w:rsidRDefault="00417851" w:rsidP="00042B50">
      <w:pPr>
        <w:pStyle w:val="Heading1"/>
      </w:pPr>
      <w:r w:rsidRPr="00FF1401">
        <w:lastRenderedPageBreak/>
        <w:t xml:space="preserve">Executive </w:t>
      </w:r>
      <w:r w:rsidR="00E965AA" w:rsidRPr="00FF1401">
        <w:t>s</w:t>
      </w:r>
      <w:r w:rsidRPr="00FF1401">
        <w:t>ummary</w:t>
      </w:r>
      <w:bookmarkEnd w:id="5"/>
    </w:p>
    <w:p w14:paraId="6E5DA618" w14:textId="1A41C94C" w:rsidR="00A13592" w:rsidRPr="00136106" w:rsidRDefault="00A13592" w:rsidP="00136106">
      <w:pPr>
        <w:pStyle w:val="Heading2"/>
      </w:pPr>
      <w:bookmarkStart w:id="6" w:name="_Toc97809907"/>
      <w:bookmarkStart w:id="7" w:name="_Toc97904367"/>
      <w:bookmarkStart w:id="8" w:name="_Toc98245351"/>
      <w:bookmarkStart w:id="9" w:name="_Toc98508532"/>
      <w:bookmarkStart w:id="10" w:name="_Toc107323266"/>
      <w:bookmarkStart w:id="11" w:name="_Toc107987036"/>
      <w:bookmarkStart w:id="12" w:name="_Toc115190884"/>
      <w:r w:rsidRPr="00136106">
        <w:rPr>
          <w:rFonts w:eastAsia="Calibri"/>
        </w:rPr>
        <w:t>The Regional Banking Taskforce</w:t>
      </w:r>
      <w:bookmarkEnd w:id="6"/>
      <w:bookmarkEnd w:id="7"/>
      <w:bookmarkEnd w:id="8"/>
      <w:bookmarkEnd w:id="9"/>
      <w:bookmarkEnd w:id="10"/>
      <w:bookmarkEnd w:id="11"/>
      <w:bookmarkEnd w:id="12"/>
    </w:p>
    <w:p w14:paraId="391ED597" w14:textId="66BB1D59" w:rsidR="00404119" w:rsidRPr="006F09F2" w:rsidRDefault="00C63B97" w:rsidP="00404119">
      <w:r>
        <w:rPr>
          <w:rFonts w:cs="Calibri Light"/>
        </w:rPr>
        <w:t>The Regional Banking Taskforce was established</w:t>
      </w:r>
      <w:r w:rsidR="007E251F" w:rsidRPr="00F010CD">
        <w:rPr>
          <w:rFonts w:cs="Calibri Light"/>
        </w:rPr>
        <w:t xml:space="preserve"> on </w:t>
      </w:r>
      <w:r w:rsidR="007E251F" w:rsidRPr="7D173DD7">
        <w:rPr>
          <w:rFonts w:cs="Calibri Light"/>
        </w:rPr>
        <w:t>22</w:t>
      </w:r>
      <w:r w:rsidR="007E251F" w:rsidRPr="00F010CD">
        <w:rPr>
          <w:rFonts w:cs="Calibri Light"/>
        </w:rPr>
        <w:t xml:space="preserve"> </w:t>
      </w:r>
      <w:r w:rsidR="007E251F" w:rsidRPr="66A3DDA9">
        <w:rPr>
          <w:rFonts w:cs="Calibri Light"/>
        </w:rPr>
        <w:t>October</w:t>
      </w:r>
      <w:r w:rsidR="007E251F" w:rsidRPr="00F010CD">
        <w:rPr>
          <w:rFonts w:cs="Calibri Light"/>
        </w:rPr>
        <w:t xml:space="preserve"> 2021 </w:t>
      </w:r>
      <w:r w:rsidR="00701A50">
        <w:rPr>
          <w:rFonts w:cs="Calibri Light"/>
        </w:rPr>
        <w:t xml:space="preserve">by the former Government </w:t>
      </w:r>
      <w:r w:rsidR="007E251F" w:rsidRPr="00F010CD">
        <w:rPr>
          <w:rFonts w:cs="Calibri Light"/>
        </w:rPr>
        <w:t>to bring banks and other key stakeholders to work together in partnership to</w:t>
      </w:r>
      <w:r w:rsidR="00404119" w:rsidRPr="006F09F2">
        <w:t xml:space="preserve">: </w:t>
      </w:r>
    </w:p>
    <w:p w14:paraId="6EF4E6A2" w14:textId="40AD437B" w:rsidR="00404119" w:rsidRPr="006F09F2" w:rsidRDefault="00D67AFC" w:rsidP="002170D5">
      <w:pPr>
        <w:pStyle w:val="Bullet"/>
      </w:pPr>
      <w:r>
        <w:t>a</w:t>
      </w:r>
      <w:r w:rsidR="00404119" w:rsidRPr="006F09F2">
        <w:t>nalys</w:t>
      </w:r>
      <w:r w:rsidR="00C63B97">
        <w:t>e</w:t>
      </w:r>
      <w:r w:rsidR="00404119" w:rsidRPr="006F09F2">
        <w:t xml:space="preserve"> the trends in bank branch closures in regional and remote Australia</w:t>
      </w:r>
    </w:p>
    <w:p w14:paraId="4440BA74" w14:textId="098A7E9A" w:rsidR="00404119" w:rsidRPr="006F09F2" w:rsidRDefault="00D67AFC" w:rsidP="002170D5">
      <w:pPr>
        <w:pStyle w:val="Bullet"/>
      </w:pPr>
      <w:r>
        <w:t>a</w:t>
      </w:r>
      <w:r w:rsidR="00404119" w:rsidRPr="006F09F2">
        <w:t xml:space="preserve">ssess the impacts of these branch closures on individuals, businesses, community organisations and regional </w:t>
      </w:r>
      <w:r w:rsidR="00404119" w:rsidRPr="0029329E">
        <w:t xml:space="preserve">industries </w:t>
      </w:r>
      <w:r w:rsidR="00404119" w:rsidRPr="00807434">
        <w:t>(including business and land values)</w:t>
      </w:r>
      <w:r w:rsidR="00404119" w:rsidRPr="0029329E">
        <w:t xml:space="preserve"> and determin</w:t>
      </w:r>
      <w:r w:rsidR="00C100FF">
        <w:t>e</w:t>
      </w:r>
      <w:r w:rsidR="00404119" w:rsidRPr="006F09F2">
        <w:t xml:space="preserve"> accessibility issues and wider impacts on communities from these branch closures for banking facilities, services and products</w:t>
      </w:r>
    </w:p>
    <w:p w14:paraId="023DD9AC" w14:textId="32F88FD8" w:rsidR="00404119" w:rsidRPr="006F09F2" w:rsidRDefault="00D67AFC" w:rsidP="002170D5">
      <w:pPr>
        <w:pStyle w:val="Bullet"/>
      </w:pPr>
      <w:r>
        <w:t>a</w:t>
      </w:r>
      <w:r w:rsidR="00404119" w:rsidRPr="008B47E9">
        <w:t>ssess how banks transition their services and delivery models to communities where they have closed (or will close) branches</w:t>
      </w:r>
    </w:p>
    <w:p w14:paraId="1B7A7B4D" w14:textId="0F471EF6" w:rsidR="007E251F" w:rsidRPr="00404119" w:rsidRDefault="00D67AFC" w:rsidP="002170D5">
      <w:pPr>
        <w:pStyle w:val="Bullet"/>
      </w:pPr>
      <w:r>
        <w:t>i</w:t>
      </w:r>
      <w:r w:rsidR="00404119" w:rsidRPr="006F09F2">
        <w:t xml:space="preserve">dentify alternatives to bank branch models that would maintain or improve banking services and accessibility in areas where branches have been closed and potential solutions to overcome accessibility issues. </w:t>
      </w:r>
    </w:p>
    <w:p w14:paraId="321725F9" w14:textId="77777777" w:rsidR="00931778" w:rsidRPr="006F09F2" w:rsidRDefault="00931778" w:rsidP="00931778">
      <w:r w:rsidRPr="006F09F2">
        <w:t xml:space="preserve">The Taskforce brought together senior representatives from: </w:t>
      </w:r>
    </w:p>
    <w:p w14:paraId="3D1888DD" w14:textId="5EDD976C" w:rsidR="00931778" w:rsidRPr="006F09F2" w:rsidRDefault="00B34C5B" w:rsidP="002170D5">
      <w:pPr>
        <w:pStyle w:val="Bullet"/>
      </w:pPr>
      <w:r>
        <w:t>b</w:t>
      </w:r>
      <w:r w:rsidR="00931778">
        <w:t>anks: Australia and New Zealand Banking Group</w:t>
      </w:r>
      <w:r w:rsidR="00BC2D01">
        <w:t xml:space="preserve"> (ANZ)</w:t>
      </w:r>
      <w:r w:rsidR="00931778">
        <w:t>, Commonwealth Bank of Australia</w:t>
      </w:r>
      <w:r w:rsidR="00806488">
        <w:t xml:space="preserve"> (CBA)</w:t>
      </w:r>
      <w:r w:rsidR="00931778">
        <w:t>, National Australia Bank</w:t>
      </w:r>
      <w:r w:rsidR="007A1AB9">
        <w:t xml:space="preserve"> (NAB)</w:t>
      </w:r>
      <w:r w:rsidR="00931778">
        <w:t>, Westpac Banking Corporation, Bendigo and Adelaide Bank, Bank</w:t>
      </w:r>
      <w:r w:rsidR="00585C89">
        <w:t> </w:t>
      </w:r>
      <w:r w:rsidR="00931778">
        <w:t>of</w:t>
      </w:r>
      <w:r w:rsidR="00585C89">
        <w:t> </w:t>
      </w:r>
      <w:r w:rsidR="00931778">
        <w:t>Queensland</w:t>
      </w:r>
    </w:p>
    <w:p w14:paraId="71476418" w14:textId="087AA51D" w:rsidR="00931778" w:rsidRPr="006F09F2" w:rsidRDefault="00B34C5B" w:rsidP="002170D5">
      <w:pPr>
        <w:pStyle w:val="Bullet"/>
      </w:pPr>
      <w:r>
        <w:t>p</w:t>
      </w:r>
      <w:r w:rsidR="00931778" w:rsidRPr="006F09F2">
        <w:t>eak bodies: the Australian Banking Association (ABA), the Customer Owned Banking Association (COBA), the Council of Small Business Organisations Australia, the Australian Chamber of Commerce and Industry</w:t>
      </w:r>
    </w:p>
    <w:p w14:paraId="5AD7D671" w14:textId="47AD278E" w:rsidR="00931778" w:rsidRPr="006F09F2" w:rsidRDefault="00931778" w:rsidP="002170D5">
      <w:pPr>
        <w:pStyle w:val="Bullet"/>
      </w:pPr>
      <w:r w:rsidRPr="006F09F2">
        <w:t>Australia Post</w:t>
      </w:r>
    </w:p>
    <w:p w14:paraId="254A9248" w14:textId="77777777" w:rsidR="00931778" w:rsidRPr="006F09F2" w:rsidRDefault="00931778" w:rsidP="002170D5">
      <w:pPr>
        <w:pStyle w:val="Bullet"/>
      </w:pPr>
      <w:r w:rsidRPr="006F09F2">
        <w:t>the Australian Local Government Association.</w:t>
      </w:r>
    </w:p>
    <w:p w14:paraId="36798BFD" w14:textId="77D52309" w:rsidR="00931778" w:rsidRPr="00807434" w:rsidRDefault="0076449F" w:rsidP="00931778">
      <w:r>
        <w:t xml:space="preserve">The Taskforce </w:t>
      </w:r>
      <w:r w:rsidR="009A113F">
        <w:t xml:space="preserve">released </w:t>
      </w:r>
      <w:r>
        <w:t xml:space="preserve">an Issues </w:t>
      </w:r>
      <w:r w:rsidR="00592553">
        <w:t>P</w:t>
      </w:r>
      <w:r>
        <w:t>aper to encourage submissions and over 400 submissions were received which informed the Taskforce</w:t>
      </w:r>
      <w:r w:rsidR="001D4A21">
        <w:t>’</w:t>
      </w:r>
      <w:r>
        <w:t>s work</w:t>
      </w:r>
      <w:r w:rsidR="000D468E" w:rsidRPr="00712B43">
        <w:t>.</w:t>
      </w:r>
      <w:r w:rsidR="00AF773D" w:rsidRPr="00712B43">
        <w:t xml:space="preserve"> </w:t>
      </w:r>
      <w:r w:rsidR="00C72508" w:rsidRPr="00807434">
        <w:t xml:space="preserve">The Taskforce </w:t>
      </w:r>
      <w:r w:rsidR="00C72508">
        <w:t xml:space="preserve">also </w:t>
      </w:r>
      <w:r w:rsidR="00C72508" w:rsidRPr="00807434">
        <w:t xml:space="preserve">came together for meetings in Sydney, Orange, Mildura </w:t>
      </w:r>
      <w:r w:rsidR="00C72508">
        <w:t xml:space="preserve">and </w:t>
      </w:r>
      <w:r w:rsidR="00C72508" w:rsidRPr="00934DD0">
        <w:t>Canberra</w:t>
      </w:r>
      <w:r w:rsidR="00C72508">
        <w:t xml:space="preserve"> </w:t>
      </w:r>
      <w:r w:rsidR="00C72508" w:rsidRPr="00807434">
        <w:t xml:space="preserve">to </w:t>
      </w:r>
      <w:r w:rsidR="00C72508">
        <w:t>hear and discuss</w:t>
      </w:r>
      <w:r w:rsidR="00C72508" w:rsidRPr="00807434">
        <w:t xml:space="preserve"> how bank branch closures have impacted </w:t>
      </w:r>
      <w:r w:rsidR="00C72508">
        <w:t xml:space="preserve">individuals and </w:t>
      </w:r>
      <w:r w:rsidR="00C72508" w:rsidRPr="00807434">
        <w:t>regional communities</w:t>
      </w:r>
      <w:r w:rsidR="00C72508">
        <w:t>,</w:t>
      </w:r>
      <w:r w:rsidR="00C72508" w:rsidRPr="00807434">
        <w:t xml:space="preserve"> </w:t>
      </w:r>
      <w:r w:rsidR="00C72508" w:rsidRPr="00807434" w:rsidDel="00F54B5D">
        <w:t xml:space="preserve">and </w:t>
      </w:r>
      <w:r w:rsidR="00C72508" w:rsidRPr="00807434">
        <w:t>to work collaboratively to identify possible solutions.</w:t>
      </w:r>
    </w:p>
    <w:p w14:paraId="28C99856" w14:textId="77777777" w:rsidR="009726F1" w:rsidRPr="002170D5" w:rsidRDefault="009726F1" w:rsidP="002170D5">
      <w:pPr>
        <w:pStyle w:val="Heading2"/>
      </w:pPr>
      <w:bookmarkStart w:id="13" w:name="_Toc115190885"/>
      <w:r w:rsidRPr="002170D5">
        <w:t>Submissions</w:t>
      </w:r>
      <w:bookmarkEnd w:id="13"/>
    </w:p>
    <w:p w14:paraId="58E5E69E" w14:textId="5EF29BE5" w:rsidR="009726F1" w:rsidRPr="00807434" w:rsidRDefault="009726F1" w:rsidP="009726F1">
      <w:r>
        <w:t>On 18 November 2021, the Taskforce released an Issues Paper and sought submissions from the public on their concerns and on ways of maintaining and improving banking services</w:t>
      </w:r>
      <w:r w:rsidR="00A849E8">
        <w:t xml:space="preserve"> in regional Australia</w:t>
      </w:r>
      <w:r>
        <w:t>.</w:t>
      </w:r>
    </w:p>
    <w:p w14:paraId="06CD3144" w14:textId="12C00529" w:rsidR="009726F1" w:rsidRDefault="000E6D50" w:rsidP="009726F1">
      <w:r>
        <w:t>S</w:t>
      </w:r>
      <w:r w:rsidR="009726F1">
        <w:t xml:space="preserve">ubmissions were received from individuals and organisations (including businesses and local councils, as well as consumer, worker and small business advocacy groups). Some of these submissions </w:t>
      </w:r>
      <w:r w:rsidR="009726F1">
        <w:lastRenderedPageBreak/>
        <w:t>reported the results of their own surveys. The Taskforce thanks all those who spent time to share their views and experiences, which helped inform the Taskforce</w:t>
      </w:r>
      <w:r w:rsidR="001D4A21">
        <w:t>’</w:t>
      </w:r>
      <w:r w:rsidR="009726F1">
        <w:t>s deliberations.</w:t>
      </w:r>
    </w:p>
    <w:p w14:paraId="08E7A678" w14:textId="31147392" w:rsidR="009726F1" w:rsidRDefault="00B32646" w:rsidP="009726F1">
      <w:r>
        <w:t>S</w:t>
      </w:r>
      <w:r w:rsidR="009726F1">
        <w:t>ubmissions raised a rich variety of issues</w:t>
      </w:r>
      <w:r>
        <w:t>. S</w:t>
      </w:r>
      <w:r w:rsidR="009726F1">
        <w:t>ome themes included:</w:t>
      </w:r>
    </w:p>
    <w:p w14:paraId="39E9F5E1" w14:textId="12A54656" w:rsidR="009726F1" w:rsidRPr="00AB2850" w:rsidRDefault="00D806A9" w:rsidP="009609B9">
      <w:pPr>
        <w:pStyle w:val="Bullet"/>
      </w:pPr>
      <w:r>
        <w:t>T</w:t>
      </w:r>
      <w:r w:rsidR="009726F1" w:rsidRPr="0001133D">
        <w:t xml:space="preserve">he </w:t>
      </w:r>
      <w:r w:rsidR="009726F1" w:rsidRPr="0001133D">
        <w:rPr>
          <w:b/>
          <w:bCs/>
        </w:rPr>
        <w:t>importance of banking services and access to cash</w:t>
      </w:r>
      <w:r w:rsidR="009726F1" w:rsidRPr="00A51D76">
        <w:t xml:space="preserve"> for regional communities, especially when there are emergencies. One submissio</w:t>
      </w:r>
      <w:r w:rsidR="009726F1" w:rsidRPr="00D13607">
        <w:t xml:space="preserve">n </w:t>
      </w:r>
      <w:r w:rsidR="009726F1" w:rsidRPr="00A50A38">
        <w:t xml:space="preserve">recounted </w:t>
      </w:r>
      <w:r w:rsidR="001D4A21">
        <w:t>‘</w:t>
      </w:r>
      <w:r w:rsidR="009726F1" w:rsidRPr="00861A7D">
        <w:t>When the system goes down without a bank branch or an ATM in your town how do you access your cash savings in an emergency? You could not get fuel for your car or food for the family to eat. It was a terrible time for all of us.</w:t>
      </w:r>
      <w:r w:rsidR="001D4A21">
        <w:t>’</w:t>
      </w:r>
    </w:p>
    <w:p w14:paraId="5F8A79A0" w14:textId="1F852A67" w:rsidR="009726F1" w:rsidRPr="00AB2850" w:rsidRDefault="009726F1" w:rsidP="009609B9">
      <w:pPr>
        <w:pStyle w:val="Bullet"/>
      </w:pPr>
      <w:r w:rsidRPr="6DAF8B36">
        <w:rPr>
          <w:b/>
        </w:rPr>
        <w:t>Consumer groups</w:t>
      </w:r>
      <w:r w:rsidRPr="6DAF8B36">
        <w:t xml:space="preserve"> said that branch closures had created large areas of regional Australia with no access to in</w:t>
      </w:r>
      <w:r w:rsidR="001D4A21">
        <w:noBreakHyphen/>
      </w:r>
      <w:r w:rsidRPr="6DAF8B36">
        <w:t>person banking</w:t>
      </w:r>
      <w:r w:rsidR="0068385F">
        <w:t>,</w:t>
      </w:r>
      <w:r w:rsidRPr="6DAF8B36">
        <w:t xml:space="preserve"> meaning that regional consumers, businesses and community organisations were unable to conduct basic business and had to pay a premium for basic financial inclusion, including paying high fees to access cash. They also noted the impact on the local community</w:t>
      </w:r>
      <w:r w:rsidR="00644457">
        <w:t>,</w:t>
      </w:r>
      <w:r w:rsidRPr="6DAF8B36">
        <w:t xml:space="preserve"> including community sector organisations</w:t>
      </w:r>
      <w:r w:rsidR="00644457">
        <w:t>,</w:t>
      </w:r>
      <w:r w:rsidRPr="6DAF8B36">
        <w:t xml:space="preserve"> and discussed issues for First Nations communities. These included the need to visit a bank branch in person to establish a bank account (which can be difficult for those that live in remote communities) and the challenges of doing banking over the phone or online (when English may not be their first language) (CHOICE et al. 2021)</w:t>
      </w:r>
      <w:r w:rsidR="006A5F33" w:rsidRPr="6DAF8B36">
        <w:t>.</w:t>
      </w:r>
    </w:p>
    <w:p w14:paraId="5E68D480" w14:textId="43553709" w:rsidR="009726F1" w:rsidRPr="00861A7D" w:rsidRDefault="009726F1" w:rsidP="009609B9">
      <w:pPr>
        <w:pStyle w:val="Bullet"/>
      </w:pPr>
      <w:r w:rsidRPr="0001133D">
        <w:t>People experiencin</w:t>
      </w:r>
      <w:r w:rsidRPr="00A51D76">
        <w:t xml:space="preserve">g </w:t>
      </w:r>
      <w:r w:rsidRPr="00997FE8">
        <w:rPr>
          <w:b/>
          <w:bCs/>
        </w:rPr>
        <w:t>vulnerability</w:t>
      </w:r>
      <w:r w:rsidRPr="00997FE8">
        <w:t xml:space="preserve"> (such as the elderly and people with disabilities) face particular challenges with </w:t>
      </w:r>
      <w:r w:rsidR="00D53508" w:rsidRPr="00537B71">
        <w:t>one</w:t>
      </w:r>
      <w:r w:rsidRPr="00997FE8">
        <w:t xml:space="preserve"> submission noting the poor and elderly are most affected by service cuts and high fees</w:t>
      </w:r>
      <w:r w:rsidRPr="00A50A38">
        <w:t>.</w:t>
      </w:r>
    </w:p>
    <w:p w14:paraId="76AD297C" w14:textId="22497718" w:rsidR="009726F1" w:rsidRPr="0001133D" w:rsidRDefault="009726F1" w:rsidP="009609B9">
      <w:pPr>
        <w:pStyle w:val="Bullet"/>
      </w:pPr>
      <w:r w:rsidRPr="007169CD">
        <w:rPr>
          <w:b/>
        </w:rPr>
        <w:t>Farmers and small businesses</w:t>
      </w:r>
      <w:r w:rsidRPr="007169CD">
        <w:t xml:space="preserve"> noted a variety of issues with the transition away from branch banking. Alternatives like call centres can lead to dealing with staff that lack flexibility to work with the customer</w:t>
      </w:r>
      <w:r w:rsidR="001D4A21">
        <w:t>’</w:t>
      </w:r>
      <w:r w:rsidRPr="007169CD">
        <w:t xml:space="preserve">s specific situation. This loss of an ongoing, direct banking relationship can be frustrating and lead to unsatisfactory or untimely responses, which can result in lost opportunities. Branch closures increase security risks due to cash being carried for longer periods of time and create added costs to visit branches to </w:t>
      </w:r>
      <w:r w:rsidR="00C81968">
        <w:t>withdraw</w:t>
      </w:r>
      <w:r w:rsidRPr="007169CD">
        <w:t xml:space="preserve"> or deposit cash. The closure of branches </w:t>
      </w:r>
      <w:r w:rsidR="00CC0DBF">
        <w:t>led to</w:t>
      </w:r>
      <w:r w:rsidRPr="007169CD">
        <w:t xml:space="preserve"> the loss of </w:t>
      </w:r>
      <w:r w:rsidR="00B1686A">
        <w:t>r</w:t>
      </w:r>
      <w:r w:rsidRPr="007169CD">
        <w:t>ural bank managers who work with rural businesses in distress.</w:t>
      </w:r>
    </w:p>
    <w:p w14:paraId="6C1D64F8" w14:textId="0509FC46" w:rsidR="009726F1" w:rsidRPr="007169CD" w:rsidRDefault="009726F1" w:rsidP="009609B9">
      <w:pPr>
        <w:pStyle w:val="Bullet"/>
      </w:pPr>
      <w:r w:rsidRPr="00A51D76">
        <w:t>The</w:t>
      </w:r>
      <w:r w:rsidRPr="00AB2850">
        <w:t xml:space="preserve"> </w:t>
      </w:r>
      <w:r w:rsidRPr="0001133D">
        <w:rPr>
          <w:b/>
          <w:bCs/>
        </w:rPr>
        <w:t xml:space="preserve">Finance Sector </w:t>
      </w:r>
      <w:r w:rsidRPr="00A51D76">
        <w:rPr>
          <w:b/>
          <w:bCs/>
        </w:rPr>
        <w:t>Union</w:t>
      </w:r>
      <w:r w:rsidRPr="00997FE8">
        <w:t xml:space="preserve"> (FSU) noted the significant number of branch closures over recent years. The union reported concerns of their members about finding a new job if their branch closes (with 86 per cent of respondents to </w:t>
      </w:r>
      <w:r w:rsidR="00F313EA">
        <w:t>an</w:t>
      </w:r>
      <w:r w:rsidRPr="00997FE8">
        <w:t xml:space="preserve"> FSU survey of regional members saying th</w:t>
      </w:r>
      <w:r w:rsidRPr="00D13607">
        <w:t>at</w:t>
      </w:r>
      <w:r w:rsidRPr="00A50A38">
        <w:t>, if their local branch closes, they would find it difficult to get a new job) and feeling pressured to migrate consumers to digital banking (91 per cent of respondents).</w:t>
      </w:r>
    </w:p>
    <w:p w14:paraId="3EB75FBA" w14:textId="0A702F6C" w:rsidR="009726F1" w:rsidRPr="007169CD" w:rsidRDefault="009726F1" w:rsidP="009609B9">
      <w:pPr>
        <w:pStyle w:val="Bullet"/>
      </w:pPr>
      <w:r w:rsidRPr="007169CD">
        <w:t xml:space="preserve">The </w:t>
      </w:r>
      <w:r w:rsidRPr="007169CD">
        <w:rPr>
          <w:b/>
        </w:rPr>
        <w:t>banking industry</w:t>
      </w:r>
      <w:r w:rsidRPr="007169CD">
        <w:t xml:space="preserve"> noted that new technology has allowed customers to bank in different ways and means less customers need to attend a branch to do their banking. Banks discussed some of their innovations to improve banking service accessibility for regional Australia in their submissions, including the use of video, mobile services, smart ATMs and a variety of co</w:t>
      </w:r>
      <w:r w:rsidR="001D4A21">
        <w:noBreakHyphen/>
      </w:r>
      <w:r w:rsidRPr="007169CD">
        <w:t>location models. The ABA noted that while digital banking allows families and businesses to do their banking from their home or their office, banks understood that there are some customers who want to do banking in person and some who need extra support in the transition to digital services.</w:t>
      </w:r>
    </w:p>
    <w:p w14:paraId="1BE03020" w14:textId="5B39A5FE" w:rsidR="009726F1" w:rsidRPr="00997FE8" w:rsidRDefault="009726F1" w:rsidP="009609B9">
      <w:pPr>
        <w:pStyle w:val="Bullet"/>
      </w:pPr>
      <w:r w:rsidRPr="007169CD">
        <w:rPr>
          <w:b/>
        </w:rPr>
        <w:t>Digital connectivity and digital literacy</w:t>
      </w:r>
      <w:r w:rsidRPr="00AB2850">
        <w:rPr>
          <w:b/>
          <w:bCs/>
        </w:rPr>
        <w:t xml:space="preserve"> </w:t>
      </w:r>
      <w:r w:rsidRPr="0001133D">
        <w:t xml:space="preserve">were identified by a number of stakeholders as important for the delivery of banking services, with a number of banks noting initiatives they </w:t>
      </w:r>
      <w:r w:rsidRPr="00A51D76">
        <w:t xml:space="preserve">had taken to improve the digital accessibility of banking services. </w:t>
      </w:r>
    </w:p>
    <w:p w14:paraId="3FB8AA3F" w14:textId="26BD27C3" w:rsidR="009726F1" w:rsidRPr="007169CD" w:rsidRDefault="009726F1" w:rsidP="00306398">
      <w:pPr>
        <w:pStyle w:val="Bullet"/>
        <w:numPr>
          <w:ilvl w:val="0"/>
          <w:numId w:val="0"/>
        </w:numPr>
        <w:ind w:left="284"/>
      </w:pPr>
      <w:r w:rsidRPr="00997FE8">
        <w:lastRenderedPageBreak/>
        <w:t>However, submissions also noted ongoing challenges in this area. While significant improvements in technology have improved the capability for online service delivery broadly, n</w:t>
      </w:r>
      <w:r w:rsidRPr="00D13607">
        <w:t>ot all regional residents have certainty of access to the digital connectivity they desire.</w:t>
      </w:r>
      <w:r w:rsidR="00B1686A">
        <w:t xml:space="preserve"> </w:t>
      </w:r>
      <w:r w:rsidR="00C314BA">
        <w:t>T</w:t>
      </w:r>
      <w:r w:rsidRPr="00F24B4E">
        <w:t>he</w:t>
      </w:r>
      <w:r w:rsidRPr="00D13607">
        <w:t xml:space="preserve"> Queensland F</w:t>
      </w:r>
      <w:r w:rsidRPr="00A50A38">
        <w:t>armers</w:t>
      </w:r>
      <w:r w:rsidR="001D4A21">
        <w:t>’</w:t>
      </w:r>
      <w:r w:rsidRPr="00A50A38">
        <w:t xml:space="preserve"> Federation noted that parts of Queensland are less digitally included</w:t>
      </w:r>
      <w:bookmarkStart w:id="14" w:name="_Hlk110870557"/>
      <w:r w:rsidR="00EE2F71">
        <w:t xml:space="preserve"> and the</w:t>
      </w:r>
      <w:r w:rsidRPr="00D12DA2">
        <w:t xml:space="preserve"> Banana Shire Council </w:t>
      </w:r>
      <w:r w:rsidR="00C03D04">
        <w:t>received feedback from</w:t>
      </w:r>
      <w:r w:rsidR="00FB5754">
        <w:t xml:space="preserve"> </w:t>
      </w:r>
      <w:r w:rsidR="00746807" w:rsidRPr="004E4F11">
        <w:t xml:space="preserve">regional businesses and residents </w:t>
      </w:r>
      <w:r w:rsidR="00FB69A1" w:rsidRPr="004E4F11">
        <w:t>report</w:t>
      </w:r>
      <w:r w:rsidR="00FB69A1">
        <w:t>ing</w:t>
      </w:r>
      <w:r w:rsidR="00FB69A1" w:rsidRPr="004E4F11">
        <w:t xml:space="preserve"> </w:t>
      </w:r>
      <w:r w:rsidR="001D4A21">
        <w:t>‘</w:t>
      </w:r>
      <w:r w:rsidRPr="00D12DA2">
        <w:t>unreliable internet connectivity has impacted on our business</w:t>
      </w:r>
      <w:r w:rsidR="001D4A21">
        <w:t>’</w:t>
      </w:r>
      <w:r w:rsidRPr="00D12DA2">
        <w:t>s ability to process payments.</w:t>
      </w:r>
      <w:bookmarkEnd w:id="14"/>
      <w:r w:rsidR="001D4A21">
        <w:t>’</w:t>
      </w:r>
      <w:r w:rsidRPr="007169CD">
        <w:t xml:space="preserve"> </w:t>
      </w:r>
      <w:r w:rsidR="002B6544" w:rsidRPr="00EA5DE6">
        <w:t>T</w:t>
      </w:r>
      <w:r w:rsidRPr="00EA5DE6">
        <w:t xml:space="preserve">he NSW Law Society noted that their members had </w:t>
      </w:r>
      <w:r w:rsidR="00AF49BD">
        <w:t xml:space="preserve">reported </w:t>
      </w:r>
      <w:r w:rsidRPr="00EA5DE6">
        <w:t>issues accessing online banking as the text message code (for the two</w:t>
      </w:r>
      <w:r w:rsidR="001D4A21">
        <w:noBreakHyphen/>
      </w:r>
      <w:r w:rsidRPr="00EA5DE6">
        <w:t>step verification process) times out before it can be entered into the banking platform</w:t>
      </w:r>
      <w:r w:rsidR="003A6EF9">
        <w:t xml:space="preserve">, resulting in </w:t>
      </w:r>
      <w:r w:rsidRPr="00EA5DE6">
        <w:t>a measure intended to ensure secure banking hindering access to banking services.</w:t>
      </w:r>
    </w:p>
    <w:p w14:paraId="2A681067" w14:textId="0F2E7115" w:rsidR="009726F1" w:rsidRPr="007169CD" w:rsidRDefault="009726F1" w:rsidP="009609B9">
      <w:pPr>
        <w:pStyle w:val="Bullet"/>
      </w:pPr>
      <w:r w:rsidRPr="007169CD">
        <w:rPr>
          <w:b/>
        </w:rPr>
        <w:t>Bank@Post</w:t>
      </w:r>
      <w:r w:rsidRPr="007169CD">
        <w:t xml:space="preserve"> (the service provided through Australia Post on behalf of some banks and other financial institutions) was recognised by some submissions as an important provider of banking services in regional Australia. However, submissions suggested there may be scope for improving the service by, for example, embedding banking staff at the post office, providing more banking options and improving facilities (with one submission noting that the post office has steps making it difficult for the elderly and those using wheelchairs). </w:t>
      </w:r>
    </w:p>
    <w:p w14:paraId="7549FDE8" w14:textId="1234B168" w:rsidR="009726F1" w:rsidRPr="00D13607" w:rsidRDefault="009726F1" w:rsidP="009609B9">
      <w:pPr>
        <w:pStyle w:val="Bullet"/>
      </w:pPr>
      <w:r w:rsidRPr="007169CD">
        <w:t xml:space="preserve">Submissions recommended </w:t>
      </w:r>
      <w:r w:rsidRPr="007169CD">
        <w:rPr>
          <w:b/>
        </w:rPr>
        <w:t>information sessions and support</w:t>
      </w:r>
      <w:r w:rsidRPr="00AB2850">
        <w:t xml:space="preserve"> </w:t>
      </w:r>
      <w:r w:rsidRPr="0001133D">
        <w:t xml:space="preserve">to assist customers </w:t>
      </w:r>
      <w:r w:rsidR="00C90301">
        <w:t xml:space="preserve">to </w:t>
      </w:r>
      <w:r w:rsidRPr="0001133D">
        <w:t>mak</w:t>
      </w:r>
      <w:r w:rsidR="00C90301">
        <w:t>e</w:t>
      </w:r>
      <w:r w:rsidRPr="0001133D">
        <w:t xml:space="preserve"> the most of banking services, such as internet banking information sessions, information guides on how to use phone banking and help with identifying banking scams.</w:t>
      </w:r>
    </w:p>
    <w:p w14:paraId="1D6B888D" w14:textId="6D2BD4A6" w:rsidR="00A13592" w:rsidRPr="006F09F2" w:rsidRDefault="00EE3C2A" w:rsidP="00A13592">
      <w:pPr>
        <w:pStyle w:val="Heading2"/>
      </w:pPr>
      <w:bookmarkStart w:id="15" w:name="_Toc97904368"/>
      <w:bookmarkStart w:id="16" w:name="_Toc98245353"/>
      <w:bookmarkStart w:id="17" w:name="_Toc98508534"/>
      <w:bookmarkStart w:id="18" w:name="_Toc107323268"/>
      <w:bookmarkStart w:id="19" w:name="_Toc107987037"/>
      <w:bookmarkStart w:id="20" w:name="_Toc115190886"/>
      <w:r w:rsidRPr="006F09F2">
        <w:t>Summary of taskforce recommendations</w:t>
      </w:r>
      <w:bookmarkEnd w:id="15"/>
      <w:bookmarkEnd w:id="16"/>
      <w:bookmarkEnd w:id="17"/>
      <w:bookmarkEnd w:id="18"/>
      <w:bookmarkEnd w:id="19"/>
      <w:bookmarkEnd w:id="20"/>
    </w:p>
    <w:p w14:paraId="439D6271" w14:textId="2B0232A0" w:rsidR="00DD068E" w:rsidRPr="006F09F2" w:rsidRDefault="00417851" w:rsidP="00931778">
      <w:r w:rsidRPr="006F09F2">
        <w:t>This report pr</w:t>
      </w:r>
      <w:r w:rsidR="003A6EF9">
        <w:t>esents</w:t>
      </w:r>
      <w:r w:rsidRPr="006F09F2">
        <w:t xml:space="preserve"> the findings and recommendations of the Taskforce</w:t>
      </w:r>
      <w:r w:rsidR="00114BA4">
        <w:t>. It provides</w:t>
      </w:r>
      <w:r w:rsidRPr="006F09F2">
        <w:t xml:space="preserve"> a way forward to help maintain and improve banking services in</w:t>
      </w:r>
      <w:r w:rsidR="003A6EF9">
        <w:t xml:space="preserve"> regional Australia</w:t>
      </w:r>
      <w:r w:rsidR="00004A2E" w:rsidRPr="006F09F2">
        <w:t>, as banking services transition from branches to alternative delivery platforms</w:t>
      </w:r>
      <w:r w:rsidR="00E54E5A" w:rsidRPr="006F09F2">
        <w:t>.</w:t>
      </w:r>
    </w:p>
    <w:p w14:paraId="340DB4B0" w14:textId="2E82BB95" w:rsidR="00027439" w:rsidRDefault="00DD068E" w:rsidP="00931778">
      <w:bookmarkStart w:id="21" w:name="_Hlk98937481"/>
      <w:r w:rsidRPr="006F09F2">
        <w:t>The Ta</w:t>
      </w:r>
      <w:r w:rsidR="00A8658F" w:rsidRPr="006F09F2">
        <w:t>sk</w:t>
      </w:r>
      <w:r w:rsidRPr="006F09F2">
        <w:t>force found that</w:t>
      </w:r>
      <w:r w:rsidR="00177A4D">
        <w:t>:</w:t>
      </w:r>
      <w:r w:rsidRPr="006F09F2">
        <w:t xml:space="preserve"> </w:t>
      </w:r>
    </w:p>
    <w:p w14:paraId="23BCEC3F" w14:textId="4112519C" w:rsidR="00027439" w:rsidRPr="00731B2B" w:rsidRDefault="00DD068E" w:rsidP="009609B9">
      <w:pPr>
        <w:pStyle w:val="Bullet"/>
      </w:pPr>
      <w:r w:rsidRPr="00731B2B">
        <w:t xml:space="preserve">banks can do more to communicate and consult with </w:t>
      </w:r>
      <w:r w:rsidR="00EE3C2A" w:rsidRPr="00731B2B">
        <w:t xml:space="preserve">individuals and </w:t>
      </w:r>
      <w:r w:rsidRPr="00731B2B">
        <w:t xml:space="preserve">communities when </w:t>
      </w:r>
      <w:r w:rsidR="0004542A">
        <w:t xml:space="preserve">closing a </w:t>
      </w:r>
      <w:r w:rsidR="00E20E63">
        <w:t xml:space="preserve">regional </w:t>
      </w:r>
      <w:r w:rsidR="0004542A">
        <w:t>branch</w:t>
      </w:r>
    </w:p>
    <w:p w14:paraId="4B05317A" w14:textId="4BDE5A9A" w:rsidR="007B2DC8" w:rsidRPr="00731B2B" w:rsidRDefault="007B2DC8" w:rsidP="009609B9">
      <w:pPr>
        <w:pStyle w:val="Bullet"/>
      </w:pPr>
      <w:r w:rsidRPr="00731B2B">
        <w:t>w</w:t>
      </w:r>
      <w:r w:rsidR="00857798" w:rsidRPr="00731B2B">
        <w:t>hen branches do close</w:t>
      </w:r>
      <w:r w:rsidR="002F6FDE" w:rsidRPr="00731B2B">
        <w:t>,</w:t>
      </w:r>
      <w:r w:rsidR="00857798" w:rsidRPr="00731B2B">
        <w:t xml:space="preserve"> alternatives like Bank@Post can </w:t>
      </w:r>
      <w:r w:rsidR="00B14F1C" w:rsidRPr="00731B2B">
        <w:t>assist</w:t>
      </w:r>
      <w:r w:rsidR="00857798" w:rsidRPr="00731B2B" w:rsidDel="006B0D32">
        <w:t xml:space="preserve"> </w:t>
      </w:r>
      <w:r w:rsidR="00C63B97">
        <w:t xml:space="preserve">to </w:t>
      </w:r>
      <w:r w:rsidR="00857798" w:rsidRPr="00731B2B">
        <w:t>maintain banking services</w:t>
      </w:r>
    </w:p>
    <w:bookmarkEnd w:id="21"/>
    <w:p w14:paraId="5097694D" w14:textId="0CE4ABD8" w:rsidR="006462FB" w:rsidRPr="00731B2B" w:rsidRDefault="006462FB" w:rsidP="009609B9">
      <w:pPr>
        <w:pStyle w:val="Bullet"/>
      </w:pPr>
      <w:r w:rsidRPr="00731B2B">
        <w:t xml:space="preserve">it is important to maintain access to cash, which is </w:t>
      </w:r>
      <w:r w:rsidR="00FB7871">
        <w:t xml:space="preserve">crucial </w:t>
      </w:r>
      <w:r w:rsidRPr="00731B2B">
        <w:t>for many in regional Australia</w:t>
      </w:r>
    </w:p>
    <w:p w14:paraId="106D1EDE" w14:textId="1DCD3DD5" w:rsidR="006462FB" w:rsidRPr="00731B2B" w:rsidRDefault="006462FB" w:rsidP="009609B9">
      <w:pPr>
        <w:pStyle w:val="Bullet"/>
      </w:pPr>
      <w:r w:rsidRPr="00731B2B">
        <w:t>people experiencing vulnerability face particular challenges and need support in accessing banking services</w:t>
      </w:r>
    </w:p>
    <w:p w14:paraId="7A3505FB" w14:textId="755A5C87" w:rsidR="007B2DC8" w:rsidRPr="00731B2B" w:rsidRDefault="00857798" w:rsidP="009609B9">
      <w:pPr>
        <w:pStyle w:val="Bullet"/>
      </w:pPr>
      <w:r w:rsidRPr="00731B2B">
        <w:t xml:space="preserve">continuing to support digital connectivity and literacy will help </w:t>
      </w:r>
      <w:r w:rsidR="002F6FDE" w:rsidRPr="00731B2B">
        <w:t xml:space="preserve">regional </w:t>
      </w:r>
      <w:r w:rsidRPr="00731B2B">
        <w:t xml:space="preserve">customers </w:t>
      </w:r>
      <w:r w:rsidR="00777BFE">
        <w:t>to access</w:t>
      </w:r>
      <w:r w:rsidRPr="00731B2B">
        <w:t xml:space="preserve"> bankin</w:t>
      </w:r>
      <w:r w:rsidR="002F6FDE" w:rsidRPr="00731B2B">
        <w:t>g</w:t>
      </w:r>
      <w:r w:rsidR="003A6EF9">
        <w:t xml:space="preserve"> services</w:t>
      </w:r>
    </w:p>
    <w:p w14:paraId="5534FC2B" w14:textId="4418F923" w:rsidR="00BF3D87" w:rsidRPr="00731B2B" w:rsidRDefault="007B2DC8" w:rsidP="009609B9">
      <w:pPr>
        <w:pStyle w:val="Bullet"/>
      </w:pPr>
      <w:bookmarkStart w:id="22" w:name="_Hlk98505811"/>
      <w:bookmarkStart w:id="23" w:name="_Hlk98510817"/>
      <w:r w:rsidRPr="00731B2B">
        <w:t>i</w:t>
      </w:r>
      <w:r w:rsidR="00A64C6F" w:rsidRPr="00731B2B">
        <w:t>t</w:t>
      </w:r>
      <w:r w:rsidR="002F6FDE" w:rsidRPr="00731B2B">
        <w:t xml:space="preserve"> </w:t>
      </w:r>
      <w:r w:rsidRPr="00731B2B">
        <w:t xml:space="preserve">is </w:t>
      </w:r>
      <w:r w:rsidR="002F6FDE" w:rsidRPr="00731B2B">
        <w:t>important to have</w:t>
      </w:r>
      <w:r w:rsidR="003A6EF9">
        <w:t xml:space="preserve"> </w:t>
      </w:r>
      <w:r w:rsidR="002F6FDE" w:rsidRPr="00731B2B">
        <w:t xml:space="preserve">data </w:t>
      </w:r>
      <w:r w:rsidR="00B14FF0" w:rsidRPr="00731B2B">
        <w:t xml:space="preserve">to </w:t>
      </w:r>
      <w:r w:rsidR="002F6FDE" w:rsidRPr="00731B2B">
        <w:t>monitor and understand the transition to alternative</w:t>
      </w:r>
      <w:r w:rsidR="00134FBB" w:rsidRPr="00731B2B">
        <w:t xml:space="preserve"> ways </w:t>
      </w:r>
      <w:r w:rsidR="00035071" w:rsidRPr="00731B2B">
        <w:t>of providing banking services</w:t>
      </w:r>
      <w:r w:rsidR="002F6FDE" w:rsidRPr="00731B2B">
        <w:t xml:space="preserve">. </w:t>
      </w:r>
      <w:bookmarkStart w:id="24" w:name="_Hlk98514041"/>
      <w:bookmarkStart w:id="25" w:name="_Hlk96323724"/>
      <w:bookmarkStart w:id="26" w:name="_Toc96329495"/>
    </w:p>
    <w:tbl>
      <w:tblPr>
        <w:tblW w:w="5000" w:type="pct"/>
        <w:shd w:val="clear" w:color="auto" w:fill="F2F9FC"/>
        <w:tblCellMar>
          <w:top w:w="227" w:type="dxa"/>
          <w:left w:w="227" w:type="dxa"/>
          <w:bottom w:w="227" w:type="dxa"/>
          <w:right w:w="227" w:type="dxa"/>
        </w:tblCellMar>
        <w:tblLook w:val="04A0" w:firstRow="1" w:lastRow="0" w:firstColumn="1" w:lastColumn="0" w:noHBand="0" w:noVBand="1"/>
      </w:tblPr>
      <w:tblGrid>
        <w:gridCol w:w="9070"/>
      </w:tblGrid>
      <w:tr w:rsidR="00E92DD2" w:rsidRPr="006F09F2" w14:paraId="2077660B" w14:textId="7D9EB098" w:rsidTr="00AE558B">
        <w:trPr>
          <w:trHeight w:val="908"/>
        </w:trPr>
        <w:tc>
          <w:tcPr>
            <w:tcW w:w="9072" w:type="dxa"/>
            <w:shd w:val="clear" w:color="auto" w:fill="F2F9FC"/>
          </w:tcPr>
          <w:p w14:paraId="725B063D" w14:textId="5F4AC653" w:rsidR="00E92DD2" w:rsidRPr="006F09F2" w:rsidRDefault="00E92DD2" w:rsidP="00E1010A">
            <w:pPr>
              <w:pStyle w:val="BoxHeading"/>
            </w:pPr>
            <w:r w:rsidRPr="00C36D7D">
              <w:lastRenderedPageBreak/>
              <w:t>Recommendation 1</w:t>
            </w:r>
            <w:r w:rsidR="001D4A21">
              <w:t xml:space="preserve"> – </w:t>
            </w:r>
            <w:r w:rsidR="00D74687" w:rsidRPr="00C36D7D">
              <w:t>Review</w:t>
            </w:r>
            <w:r w:rsidRPr="00C36D7D">
              <w:t xml:space="preserve"> and strengthen </w:t>
            </w:r>
            <w:r w:rsidR="007B5A95">
              <w:t xml:space="preserve">the </w:t>
            </w:r>
            <w:r w:rsidRPr="00C36D7D">
              <w:t>ABA</w:t>
            </w:r>
            <w:r w:rsidR="001D4A21">
              <w:t>’</w:t>
            </w:r>
            <w:r w:rsidR="007B5A95">
              <w:t>s</w:t>
            </w:r>
            <w:r w:rsidRPr="00C36D7D">
              <w:t xml:space="preserve"> Branch Closure Protocol</w:t>
            </w:r>
          </w:p>
          <w:p w14:paraId="57FACB1B" w14:textId="56A53F79" w:rsidR="004B5A52" w:rsidRDefault="004B5A52" w:rsidP="004B5A52">
            <w:pPr>
              <w:rPr>
                <w:rFonts w:cs="Calibri Light"/>
                <w:szCs w:val="22"/>
              </w:rPr>
            </w:pPr>
            <w:r w:rsidRPr="0050327B">
              <w:rPr>
                <w:rFonts w:cs="Calibri Light"/>
                <w:szCs w:val="22"/>
              </w:rPr>
              <w:t xml:space="preserve">The ABA </w:t>
            </w:r>
            <w:r w:rsidRPr="009C42ED">
              <w:rPr>
                <w:rFonts w:cs="Calibri Light"/>
                <w:szCs w:val="22"/>
              </w:rPr>
              <w:t>should</w:t>
            </w:r>
            <w:r w:rsidRPr="00854782">
              <w:rPr>
                <w:rFonts w:cs="Calibri Light"/>
                <w:szCs w:val="22"/>
              </w:rPr>
              <w:t xml:space="preserve"> </w:t>
            </w:r>
            <w:r>
              <w:rPr>
                <w:rFonts w:cs="Calibri Light"/>
                <w:szCs w:val="22"/>
              </w:rPr>
              <w:t>review and strengthen</w:t>
            </w:r>
            <w:r w:rsidRPr="00854782">
              <w:rPr>
                <w:rFonts w:cs="Calibri Light"/>
                <w:szCs w:val="22"/>
              </w:rPr>
              <w:t xml:space="preserve"> its </w:t>
            </w:r>
            <w:r>
              <w:rPr>
                <w:rFonts w:cs="Calibri Light"/>
                <w:szCs w:val="22"/>
              </w:rPr>
              <w:t>B</w:t>
            </w:r>
            <w:r w:rsidRPr="00854782">
              <w:rPr>
                <w:rFonts w:cs="Calibri Light"/>
                <w:szCs w:val="22"/>
              </w:rPr>
              <w:t xml:space="preserve">ranch </w:t>
            </w:r>
            <w:r>
              <w:rPr>
                <w:rFonts w:cs="Calibri Light"/>
                <w:szCs w:val="22"/>
              </w:rPr>
              <w:t>C</w:t>
            </w:r>
            <w:r w:rsidRPr="00854782">
              <w:rPr>
                <w:rFonts w:cs="Calibri Light"/>
                <w:szCs w:val="22"/>
              </w:rPr>
              <w:t xml:space="preserve">losure </w:t>
            </w:r>
            <w:r>
              <w:rPr>
                <w:rFonts w:cs="Calibri Light"/>
                <w:szCs w:val="22"/>
              </w:rPr>
              <w:t>P</w:t>
            </w:r>
            <w:r w:rsidRPr="00854782">
              <w:rPr>
                <w:rFonts w:cs="Calibri Light"/>
                <w:szCs w:val="22"/>
              </w:rPr>
              <w:t>rotocol and introduce an ABA Customer Care</w:t>
            </w:r>
            <w:r w:rsidRPr="009A6110">
              <w:rPr>
                <w:rFonts w:cs="Calibri Light"/>
                <w:szCs w:val="22"/>
              </w:rPr>
              <w:t xml:space="preserve"> Standard</w:t>
            </w:r>
            <w:r w:rsidR="00E06926">
              <w:rPr>
                <w:rFonts w:cs="Calibri Light"/>
                <w:szCs w:val="22"/>
              </w:rPr>
              <w:t xml:space="preserve"> </w:t>
            </w:r>
            <w:r w:rsidR="00E06926">
              <w:t>by mid</w:t>
            </w:r>
            <w:r w:rsidR="001D4A21">
              <w:noBreakHyphen/>
            </w:r>
            <w:r w:rsidR="00E06926">
              <w:t>2023, to improve communication and support when regional branches close or their hours are being permanently and materially reduced</w:t>
            </w:r>
            <w:r w:rsidR="00307156">
              <w:t>.</w:t>
            </w:r>
          </w:p>
          <w:p w14:paraId="00D4B564" w14:textId="3E7F1C57" w:rsidR="00E54CF1" w:rsidRPr="006F09F2" w:rsidRDefault="00E54CF1" w:rsidP="00A91A4B">
            <w:pPr>
              <w:pStyle w:val="BoxHeading"/>
            </w:pPr>
            <w:r w:rsidRPr="006F09F2">
              <w:t>Recommendation 2</w:t>
            </w:r>
            <w:r w:rsidR="001D4A21">
              <w:t xml:space="preserve"> – </w:t>
            </w:r>
            <w:r w:rsidR="002D4059">
              <w:t>Impl</w:t>
            </w:r>
            <w:r w:rsidR="00091836">
              <w:t>ement</w:t>
            </w:r>
            <w:r w:rsidRPr="006F09F2">
              <w:t xml:space="preserve"> branch closure impact assessments</w:t>
            </w:r>
          </w:p>
          <w:p w14:paraId="0032B9CD" w14:textId="176024BE" w:rsidR="00E92DD2" w:rsidRPr="0086172A" w:rsidRDefault="00796443" w:rsidP="00E97333">
            <w:r w:rsidRPr="0050327B">
              <w:rPr>
                <w:rFonts w:cs="Calibri Light"/>
                <w:szCs w:val="22"/>
              </w:rPr>
              <w:t xml:space="preserve">Banks should establish a process for conducting </w:t>
            </w:r>
            <w:r>
              <w:rPr>
                <w:rFonts w:cs="Calibri Light"/>
                <w:szCs w:val="22"/>
              </w:rPr>
              <w:t xml:space="preserve">and publishing </w:t>
            </w:r>
            <w:r w:rsidR="006A634C">
              <w:rPr>
                <w:rFonts w:cs="Calibri Light"/>
                <w:szCs w:val="22"/>
              </w:rPr>
              <w:t xml:space="preserve">regional </w:t>
            </w:r>
            <w:r w:rsidRPr="0050327B">
              <w:rPr>
                <w:rFonts w:cs="Calibri Light"/>
                <w:szCs w:val="22"/>
              </w:rPr>
              <w:t xml:space="preserve">branch closure impact </w:t>
            </w:r>
            <w:r w:rsidRPr="00D960F8">
              <w:rPr>
                <w:rFonts w:cs="Calibri Light"/>
                <w:szCs w:val="22"/>
              </w:rPr>
              <w:t>assessments</w:t>
            </w:r>
            <w:r w:rsidRPr="00D960F8">
              <w:rPr>
                <w:rStyle w:val="FootnoteReference"/>
                <w:vertAlign w:val="superscript"/>
              </w:rPr>
              <w:t xml:space="preserve"> </w:t>
            </w:r>
            <w:r w:rsidRPr="00D960F8">
              <w:rPr>
                <w:rFonts w:cs="Calibri Light"/>
                <w:szCs w:val="22"/>
              </w:rPr>
              <w:t>by mid</w:t>
            </w:r>
            <w:r w:rsidR="001D4A21">
              <w:rPr>
                <w:rFonts w:cs="Calibri Light"/>
                <w:szCs w:val="22"/>
              </w:rPr>
              <w:noBreakHyphen/>
            </w:r>
            <w:r w:rsidRPr="00D960F8">
              <w:rPr>
                <w:rFonts w:cs="Calibri Light"/>
                <w:szCs w:val="22"/>
              </w:rPr>
              <w:t>2023</w:t>
            </w:r>
            <w:r w:rsidR="00E42783" w:rsidRPr="00D960F8">
              <w:rPr>
                <w:rFonts w:cs="Calibri Light"/>
                <w:szCs w:val="22"/>
              </w:rPr>
              <w:t xml:space="preserve">. </w:t>
            </w:r>
            <w:r w:rsidR="002415D7">
              <w:rPr>
                <w:rFonts w:cs="Calibri Light"/>
                <w:szCs w:val="22"/>
              </w:rPr>
              <w:t>A</w:t>
            </w:r>
            <w:r w:rsidR="006A634C">
              <w:rPr>
                <w:rFonts w:cs="Calibri Light"/>
                <w:szCs w:val="22"/>
              </w:rPr>
              <w:t>ssessments</w:t>
            </w:r>
            <w:r w:rsidR="00E42783" w:rsidRPr="00D960F8">
              <w:rPr>
                <w:rFonts w:cs="Calibri Light"/>
                <w:szCs w:val="22"/>
              </w:rPr>
              <w:t xml:space="preserve"> </w:t>
            </w:r>
            <w:r w:rsidR="00C914FB" w:rsidRPr="00D960F8">
              <w:rPr>
                <w:rFonts w:cs="Calibri Light"/>
                <w:szCs w:val="22"/>
              </w:rPr>
              <w:t>should</w:t>
            </w:r>
            <w:r w:rsidR="00E42783" w:rsidRPr="00D960F8">
              <w:rPr>
                <w:rFonts w:cs="Calibri Light"/>
                <w:szCs w:val="22"/>
              </w:rPr>
              <w:t xml:space="preserve"> provide</w:t>
            </w:r>
            <w:r w:rsidRPr="00D960F8">
              <w:rPr>
                <w:rFonts w:cs="Calibri Light"/>
                <w:szCs w:val="22"/>
              </w:rPr>
              <w:t xml:space="preserve"> clear reasons for the closure</w:t>
            </w:r>
            <w:r w:rsidR="00214195" w:rsidRPr="00D960F8">
              <w:rPr>
                <w:rFonts w:cs="Calibri Light"/>
              </w:rPr>
              <w:t xml:space="preserve"> and the engagement that will occur with customers, local government and other stakeholders following the announcement of the closure</w:t>
            </w:r>
            <w:r w:rsidRPr="00D960F8">
              <w:rPr>
                <w:rFonts w:cs="Calibri Light"/>
                <w:szCs w:val="22"/>
              </w:rPr>
              <w:t>.</w:t>
            </w:r>
            <w:r>
              <w:rPr>
                <w:rFonts w:cs="Calibri Light"/>
                <w:szCs w:val="22"/>
              </w:rPr>
              <w:t xml:space="preserve"> </w:t>
            </w:r>
          </w:p>
          <w:p w14:paraId="3F1CDA8D" w14:textId="194E72FA" w:rsidR="00245404" w:rsidRPr="006F09F2" w:rsidRDefault="00245404" w:rsidP="00245404">
            <w:pPr>
              <w:pStyle w:val="BoxHeading"/>
            </w:pPr>
            <w:r w:rsidRPr="006F09F2">
              <w:t>Recommendation 3</w:t>
            </w:r>
            <w:r w:rsidR="001D4A21">
              <w:t xml:space="preserve"> – </w:t>
            </w:r>
            <w:r w:rsidR="008627D9">
              <w:t>Promote</w:t>
            </w:r>
            <w:r w:rsidRPr="006F09F2">
              <w:t xml:space="preserve"> and </w:t>
            </w:r>
            <w:r w:rsidR="008627D9">
              <w:t>support</w:t>
            </w:r>
            <w:r w:rsidRPr="006F09F2">
              <w:t xml:space="preserve"> Bank@Post services</w:t>
            </w:r>
          </w:p>
          <w:p w14:paraId="4AB4E06E" w14:textId="14821769" w:rsidR="00CF7339" w:rsidRDefault="00C54AA7" w:rsidP="00C54AA7">
            <w:pPr>
              <w:rPr>
                <w:rFonts w:cs="Calibri Light"/>
                <w:szCs w:val="22"/>
              </w:rPr>
            </w:pPr>
            <w:r>
              <w:rPr>
                <w:rFonts w:cs="Calibri Light"/>
                <w:szCs w:val="22"/>
              </w:rPr>
              <w:t>A</w:t>
            </w:r>
            <w:r w:rsidRPr="0050327B">
              <w:rPr>
                <w:rFonts w:cs="Calibri Light"/>
                <w:szCs w:val="22"/>
              </w:rPr>
              <w:t>ustralia Post and participating banks should</w:t>
            </w:r>
            <w:r>
              <w:rPr>
                <w:rFonts w:cs="Calibri Light"/>
                <w:szCs w:val="22"/>
              </w:rPr>
              <w:t xml:space="preserve"> collaborate to </w:t>
            </w:r>
            <w:r w:rsidRPr="0050327B">
              <w:rPr>
                <w:rFonts w:cs="Calibri Light"/>
                <w:szCs w:val="22"/>
              </w:rPr>
              <w:t>promote Bank@Post services more widely and help their customers utilise the banking services available to them</w:t>
            </w:r>
            <w:r>
              <w:rPr>
                <w:rFonts w:cs="Calibri Light"/>
                <w:szCs w:val="22"/>
              </w:rPr>
              <w:t xml:space="preserve">. </w:t>
            </w:r>
            <w:r w:rsidR="00A82FB8">
              <w:rPr>
                <w:rFonts w:cs="Calibri Light"/>
                <w:szCs w:val="22"/>
              </w:rPr>
              <w:t xml:space="preserve">This </w:t>
            </w:r>
            <w:r w:rsidR="00E86A88">
              <w:rPr>
                <w:rFonts w:cs="Calibri Light"/>
                <w:szCs w:val="22"/>
              </w:rPr>
              <w:t>should</w:t>
            </w:r>
            <w:r w:rsidR="00A82FB8">
              <w:rPr>
                <w:rFonts w:cs="Calibri Light"/>
                <w:szCs w:val="22"/>
              </w:rPr>
              <w:t xml:space="preserve"> include </w:t>
            </w:r>
            <w:r>
              <w:rPr>
                <w:rFonts w:cs="Calibri Light"/>
                <w:szCs w:val="22"/>
              </w:rPr>
              <w:t>work</w:t>
            </w:r>
            <w:r w:rsidR="00A82FB8">
              <w:rPr>
                <w:rFonts w:cs="Calibri Light"/>
                <w:szCs w:val="22"/>
              </w:rPr>
              <w:t>ing</w:t>
            </w:r>
            <w:r>
              <w:rPr>
                <w:rFonts w:cs="Calibri Light"/>
                <w:szCs w:val="22"/>
              </w:rPr>
              <w:t xml:space="preserve"> together to </w:t>
            </w:r>
            <w:r w:rsidRPr="009A6110">
              <w:rPr>
                <w:rFonts w:cs="Calibri Light"/>
                <w:szCs w:val="22"/>
              </w:rPr>
              <w:t xml:space="preserve">formalise and expand programs </w:t>
            </w:r>
            <w:r w:rsidRPr="00466BAB">
              <w:rPr>
                <w:rFonts w:cs="Calibri Light"/>
                <w:szCs w:val="22"/>
              </w:rPr>
              <w:t xml:space="preserve">to support </w:t>
            </w:r>
            <w:r>
              <w:rPr>
                <w:rFonts w:cs="Calibri Light"/>
                <w:szCs w:val="22"/>
              </w:rPr>
              <w:t xml:space="preserve">transition to </w:t>
            </w:r>
            <w:r w:rsidRPr="00466BAB">
              <w:rPr>
                <w:rFonts w:cs="Calibri Light"/>
                <w:szCs w:val="22"/>
              </w:rPr>
              <w:t xml:space="preserve">Bank@Post </w:t>
            </w:r>
            <w:r>
              <w:rPr>
                <w:rFonts w:cs="Calibri Light"/>
                <w:szCs w:val="22"/>
              </w:rPr>
              <w:t>when branches close</w:t>
            </w:r>
            <w:r w:rsidRPr="002029C6" w:rsidDel="001F2515">
              <w:rPr>
                <w:rFonts w:cs="Calibri Light"/>
                <w:szCs w:val="22"/>
              </w:rPr>
              <w:t>.</w:t>
            </w:r>
            <w:r>
              <w:rPr>
                <w:rFonts w:cs="Calibri Light"/>
                <w:szCs w:val="22"/>
              </w:rPr>
              <w:t xml:space="preserve"> </w:t>
            </w:r>
          </w:p>
          <w:p w14:paraId="1E2C76E8" w14:textId="45C4D3FB" w:rsidR="00245404" w:rsidRPr="006E71E7" w:rsidRDefault="00245404" w:rsidP="00245404">
            <w:pPr>
              <w:pStyle w:val="BoxHeading"/>
            </w:pPr>
            <w:r w:rsidRPr="006E71E7">
              <w:t xml:space="preserve">Recommendation </w:t>
            </w:r>
            <w:r w:rsidR="00E35FA3" w:rsidRPr="006E71E7">
              <w:t>4</w:t>
            </w:r>
            <w:r w:rsidR="001D4A21">
              <w:t xml:space="preserve"> – </w:t>
            </w:r>
            <w:r w:rsidRPr="006E71E7">
              <w:t>Maintain access to cash</w:t>
            </w:r>
          </w:p>
          <w:p w14:paraId="20821739" w14:textId="62A9F2F8" w:rsidR="004D2BEE" w:rsidRPr="003C3C69" w:rsidRDefault="004D2BEE" w:rsidP="004D2BEE">
            <w:pPr>
              <w:rPr>
                <w:rFonts w:ascii="Calibri" w:hAnsi="Calibri"/>
                <w:highlight w:val="yellow"/>
              </w:rPr>
            </w:pPr>
            <w:r>
              <w:t xml:space="preserve">Australia </w:t>
            </w:r>
            <w:r w:rsidRPr="00D960F8">
              <w:t>Post should consider</w:t>
            </w:r>
            <w:r w:rsidRPr="00B70FBA">
              <w:t xml:space="preserve"> how the cash float </w:t>
            </w:r>
            <w:r w:rsidR="00D84D7C">
              <w:t xml:space="preserve">and </w:t>
            </w:r>
            <w:r w:rsidRPr="00B70FBA">
              <w:t>deposit needs of small businesses and community group customers can be met</w:t>
            </w:r>
            <w:r w:rsidR="00695B23" w:rsidRPr="00B70FBA">
              <w:t>.</w:t>
            </w:r>
          </w:p>
          <w:p w14:paraId="39C1A971" w14:textId="21707ECB" w:rsidR="004D2BEE" w:rsidRPr="00412D76" w:rsidRDefault="004D2BEE" w:rsidP="004D2BEE">
            <w:r w:rsidRPr="00EF69D2">
              <w:t xml:space="preserve">Australia Post and Bank@Post partners </w:t>
            </w:r>
            <w:r w:rsidR="008579C6">
              <w:t xml:space="preserve">should </w:t>
            </w:r>
            <w:r w:rsidRPr="00EF69D2">
              <w:t>work towards standardising deposit and withdrawal limits to</w:t>
            </w:r>
            <w:r w:rsidRPr="004C2A06">
              <w:t xml:space="preserve"> enable easier promotion to customers and communities.</w:t>
            </w:r>
          </w:p>
          <w:p w14:paraId="4099C730" w14:textId="45852D7E" w:rsidR="004D2BEE" w:rsidRPr="001250A0" w:rsidRDefault="004D2BEE" w:rsidP="00FB0A86">
            <w:r w:rsidRPr="00EF69D2">
              <w:t>The major banks should commit to continue to provide (and expand where possible given competition restrictions) access to fee</w:t>
            </w:r>
            <w:r w:rsidR="001D4A21">
              <w:noBreakHyphen/>
            </w:r>
            <w:r w:rsidRPr="00EF69D2">
              <w:t>free ATMs in remote Indigenous areas.</w:t>
            </w:r>
          </w:p>
          <w:p w14:paraId="5DA12AC1" w14:textId="7BFC3944" w:rsidR="005F7AF5" w:rsidRPr="00A07073" w:rsidRDefault="005F7AF5" w:rsidP="005F7AF5">
            <w:pPr>
              <w:pStyle w:val="BoxHeading"/>
            </w:pPr>
            <w:r w:rsidRPr="00A07073">
              <w:t xml:space="preserve">Recommendation </w:t>
            </w:r>
            <w:r>
              <w:t>5</w:t>
            </w:r>
            <w:r w:rsidR="001D4A21">
              <w:t xml:space="preserve"> – </w:t>
            </w:r>
            <w:r w:rsidRPr="00833DFC">
              <w:t xml:space="preserve">Improve support for </w:t>
            </w:r>
            <w:r w:rsidR="003F0BF5">
              <w:t xml:space="preserve">regional </w:t>
            </w:r>
            <w:r w:rsidRPr="00833DFC">
              <w:t>consumers experiencing vulnerability</w:t>
            </w:r>
          </w:p>
          <w:p w14:paraId="75649CB1" w14:textId="26843938" w:rsidR="00FE7501" w:rsidRPr="00FE7501" w:rsidRDefault="00FE7501" w:rsidP="00E97333">
            <w:r w:rsidRPr="00BD2417">
              <w:t>Banks should provide</w:t>
            </w:r>
            <w:r w:rsidRPr="00D04840">
              <w:t xml:space="preserve"> additional support for those experiencing vuln</w:t>
            </w:r>
            <w:r w:rsidRPr="0086172A">
              <w:t>erability,</w:t>
            </w:r>
            <w:r w:rsidRPr="004F2D2E">
              <w:t xml:space="preserve"> including</w:t>
            </w:r>
            <w:r w:rsidRPr="003A292F">
              <w:t xml:space="preserve"> target</w:t>
            </w:r>
            <w:r>
              <w:t xml:space="preserve">ing </w:t>
            </w:r>
            <w:r w:rsidRPr="003A292F">
              <w:t>transitional support when a branch closes</w:t>
            </w:r>
            <w:r>
              <w:t xml:space="preserve"> and helping customers on</w:t>
            </w:r>
            <w:r w:rsidRPr="005A5ACE">
              <w:t>to fee</w:t>
            </w:r>
            <w:r w:rsidR="001D4A21">
              <w:noBreakHyphen/>
            </w:r>
            <w:r w:rsidRPr="005A5ACE">
              <w:t>free b</w:t>
            </w:r>
            <w:r w:rsidRPr="008A619F">
              <w:t>ankin</w:t>
            </w:r>
            <w:r w:rsidRPr="001D7D02">
              <w:t xml:space="preserve">g </w:t>
            </w:r>
            <w:r w:rsidRPr="005A5ACE">
              <w:t>accounts</w:t>
            </w:r>
            <w:r>
              <w:t>.</w:t>
            </w:r>
            <w:r w:rsidRPr="003A292F">
              <w:t xml:space="preserve"> </w:t>
            </w:r>
            <w:r w:rsidRPr="00DA077D">
              <w:t>This includes engaging with First Nation communities on their banking needs in regional Australia</w:t>
            </w:r>
            <w:r>
              <w:t>, promoting services and</w:t>
            </w:r>
            <w:r w:rsidRPr="00DA077D">
              <w:t xml:space="preserve"> reviewing the effectiveness of </w:t>
            </w:r>
            <w:r>
              <w:t xml:space="preserve">dedicated </w:t>
            </w:r>
            <w:r w:rsidRPr="00DA077D">
              <w:t>resources</w:t>
            </w:r>
            <w:r>
              <w:t>.</w:t>
            </w:r>
          </w:p>
          <w:p w14:paraId="23FDE2DF" w14:textId="787B16CD" w:rsidR="00245404" w:rsidRPr="00A07073" w:rsidRDefault="00245404" w:rsidP="00245404">
            <w:pPr>
              <w:pStyle w:val="BoxHeading"/>
            </w:pPr>
            <w:r w:rsidRPr="00A07073">
              <w:t xml:space="preserve">Recommendation </w:t>
            </w:r>
            <w:r w:rsidR="005F7AF5">
              <w:t>6</w:t>
            </w:r>
            <w:r w:rsidR="001D4A21">
              <w:t xml:space="preserve"> – </w:t>
            </w:r>
            <w:r w:rsidRPr="00A07073">
              <w:t>Continue to support and improve digital connectivity and literacy in regional areas</w:t>
            </w:r>
          </w:p>
          <w:p w14:paraId="6B90BA4E" w14:textId="3BFF17FF" w:rsidR="00387142" w:rsidRDefault="00DF2B45" w:rsidP="00DF2B45">
            <w:r>
              <w:t>The Australian Government</w:t>
            </w:r>
            <w:r w:rsidR="00F175BF">
              <w:t xml:space="preserve"> to</w:t>
            </w:r>
            <w:r>
              <w:t xml:space="preserve"> invest in telecommunication services through its Better Connectivity for Rural and Regional Australia Plan, which will provide significant improvement in regional connectivity. The Government </w:t>
            </w:r>
            <w:r w:rsidR="00F175BF">
              <w:t xml:space="preserve">to </w:t>
            </w:r>
            <w:r>
              <w:t>encourage co</w:t>
            </w:r>
            <w:r w:rsidR="001D4A21">
              <w:noBreakHyphen/>
            </w:r>
            <w:r>
              <w:t xml:space="preserve">investment by industry and States and Territories to maximise outcomes. </w:t>
            </w:r>
            <w:r w:rsidRPr="004D52FF">
              <w:t xml:space="preserve">Banks </w:t>
            </w:r>
            <w:r>
              <w:t xml:space="preserve">should continue to provide digital literacy support for people experiencing vulnerability </w:t>
            </w:r>
            <w:r w:rsidRPr="004D52FF">
              <w:t xml:space="preserve">and coordinate </w:t>
            </w:r>
            <w:r>
              <w:t xml:space="preserve">with the Government on </w:t>
            </w:r>
            <w:r w:rsidRPr="004D52FF">
              <w:t>digital education programs</w:t>
            </w:r>
            <w:r>
              <w:t>,</w:t>
            </w:r>
            <w:r w:rsidRPr="004D52FF">
              <w:t xml:space="preserve"> </w:t>
            </w:r>
            <w:r>
              <w:t>such as</w:t>
            </w:r>
            <w:r w:rsidRPr="004D52FF">
              <w:t xml:space="preserve"> the Government</w:t>
            </w:r>
            <w:r w:rsidR="001D4A21">
              <w:t>’</w:t>
            </w:r>
            <w:r w:rsidRPr="004D52FF">
              <w:t xml:space="preserve">s </w:t>
            </w:r>
            <w:r w:rsidR="001D4A21">
              <w:t>‘</w:t>
            </w:r>
            <w:r w:rsidRPr="004D52FF">
              <w:t>Be Connected</w:t>
            </w:r>
            <w:r w:rsidR="001D4A21">
              <w:t>’</w:t>
            </w:r>
            <w:r w:rsidRPr="004D52FF">
              <w:t xml:space="preserve"> program for improving digital literacy for older Australians</w:t>
            </w:r>
            <w:r>
              <w:t>.</w:t>
            </w:r>
          </w:p>
          <w:p w14:paraId="08CC3CFA" w14:textId="5AD02A49" w:rsidR="00245404" w:rsidRPr="006F09F2" w:rsidRDefault="00A91A4B" w:rsidP="005A4B60">
            <w:pPr>
              <w:pStyle w:val="BoxHeading"/>
            </w:pPr>
            <w:r w:rsidRPr="006F09F2">
              <w:lastRenderedPageBreak/>
              <w:t xml:space="preserve">Recommendation </w:t>
            </w:r>
            <w:r w:rsidR="006D286A">
              <w:t>7</w:t>
            </w:r>
            <w:r w:rsidR="001D4A21">
              <w:t xml:space="preserve"> – </w:t>
            </w:r>
            <w:r w:rsidRPr="006F09F2">
              <w:t xml:space="preserve">Review the APRA </w:t>
            </w:r>
            <w:r w:rsidR="00F94AA6">
              <w:t>P</w:t>
            </w:r>
            <w:r w:rsidRPr="006F09F2">
              <w:t xml:space="preserve">oints of </w:t>
            </w:r>
            <w:r w:rsidR="00F94AA6">
              <w:t>P</w:t>
            </w:r>
            <w:r w:rsidRPr="006F09F2">
              <w:t>resence collection</w:t>
            </w:r>
          </w:p>
          <w:p w14:paraId="309D5FF7" w14:textId="2B9464FA" w:rsidR="00796636" w:rsidRPr="006F09F2" w:rsidRDefault="00A44365" w:rsidP="00E97333">
            <w:pPr>
              <w:rPr>
                <w:rFonts w:cs="Calibri Light"/>
                <w:szCs w:val="28"/>
              </w:rPr>
            </w:pPr>
            <w:r w:rsidRPr="00312998">
              <w:rPr>
                <w:rFonts w:cs="Calibri Light"/>
                <w:szCs w:val="22"/>
              </w:rPr>
              <w:t xml:space="preserve">Australian Prudential </w:t>
            </w:r>
            <w:r w:rsidR="006B091C">
              <w:rPr>
                <w:rFonts w:cs="Calibri Light"/>
                <w:szCs w:val="22"/>
              </w:rPr>
              <w:t>Regulation</w:t>
            </w:r>
            <w:r w:rsidR="006B091C" w:rsidRPr="00312998">
              <w:rPr>
                <w:rFonts w:cs="Calibri Light"/>
                <w:szCs w:val="22"/>
              </w:rPr>
              <w:t xml:space="preserve"> </w:t>
            </w:r>
            <w:r w:rsidRPr="00312998">
              <w:rPr>
                <w:rFonts w:cs="Calibri Light"/>
                <w:szCs w:val="22"/>
              </w:rPr>
              <w:t xml:space="preserve">Authority (APRA) to commence </w:t>
            </w:r>
            <w:r>
              <w:rPr>
                <w:rFonts w:cs="Calibri Light"/>
                <w:szCs w:val="22"/>
              </w:rPr>
              <w:t xml:space="preserve">in 2022 </w:t>
            </w:r>
            <w:r w:rsidRPr="00312998">
              <w:rPr>
                <w:rFonts w:cs="Calibri Light"/>
                <w:szCs w:val="22"/>
              </w:rPr>
              <w:t>a review of its Authorised Deposit</w:t>
            </w:r>
            <w:r w:rsidR="001D4A21">
              <w:rPr>
                <w:rFonts w:cs="Calibri Light"/>
                <w:szCs w:val="22"/>
              </w:rPr>
              <w:noBreakHyphen/>
            </w:r>
            <w:r w:rsidRPr="00312998">
              <w:rPr>
                <w:rFonts w:cs="Calibri Light"/>
                <w:szCs w:val="22"/>
              </w:rPr>
              <w:t>taking Institutions (ADI) Points of Presence collection</w:t>
            </w:r>
            <w:r w:rsidR="00B1686A">
              <w:rPr>
                <w:rFonts w:cs="Calibri Light"/>
                <w:szCs w:val="22"/>
              </w:rPr>
              <w:t xml:space="preserve"> </w:t>
            </w:r>
            <w:r w:rsidRPr="00312998">
              <w:rPr>
                <w:rFonts w:cs="Calibri Light"/>
                <w:szCs w:val="22"/>
              </w:rPr>
              <w:t xml:space="preserve">to better capture indicators </w:t>
            </w:r>
            <w:r>
              <w:rPr>
                <w:rFonts w:cs="Calibri Light"/>
                <w:szCs w:val="22"/>
              </w:rPr>
              <w:t>on</w:t>
            </w:r>
            <w:r w:rsidRPr="00312998">
              <w:rPr>
                <w:rFonts w:cs="Calibri Light"/>
                <w:szCs w:val="22"/>
              </w:rPr>
              <w:t xml:space="preserve"> how banking services are accessed</w:t>
            </w:r>
            <w:r w:rsidR="00B1686A">
              <w:rPr>
                <w:rFonts w:cs="Calibri Light"/>
                <w:szCs w:val="22"/>
              </w:rPr>
              <w:t>, with public consultation in early 2023</w:t>
            </w:r>
            <w:r w:rsidR="00F72952" w:rsidRPr="00466BAB" w:rsidDel="00466BAB">
              <w:rPr>
                <w:rFonts w:cs="Calibri Light"/>
                <w:szCs w:val="22"/>
              </w:rPr>
              <w:t>.</w:t>
            </w:r>
          </w:p>
        </w:tc>
      </w:tr>
    </w:tbl>
    <w:p w14:paraId="0676D53D" w14:textId="19B62E17" w:rsidR="00667A10" w:rsidRPr="009609B9" w:rsidRDefault="00667A10" w:rsidP="0090357C">
      <w:pPr>
        <w:pStyle w:val="Heading1"/>
        <w:spacing w:before="480"/>
      </w:pPr>
      <w:bookmarkStart w:id="27" w:name="_Toc115190887"/>
      <w:bookmarkEnd w:id="22"/>
      <w:bookmarkEnd w:id="24"/>
      <w:r w:rsidRPr="009609B9">
        <w:lastRenderedPageBreak/>
        <w:t xml:space="preserve">Bank </w:t>
      </w:r>
      <w:r w:rsidR="00E965AA" w:rsidRPr="009609B9">
        <w:t>b</w:t>
      </w:r>
      <w:r w:rsidRPr="009609B9">
        <w:t xml:space="preserve">ranch </w:t>
      </w:r>
      <w:r w:rsidR="00E965AA" w:rsidRPr="009609B9">
        <w:t>c</w:t>
      </w:r>
      <w:r w:rsidRPr="009609B9">
        <w:t>losures</w:t>
      </w:r>
      <w:bookmarkEnd w:id="27"/>
    </w:p>
    <w:p w14:paraId="067F1B7C" w14:textId="1B3C0168" w:rsidR="00370511" w:rsidRPr="006F09F2" w:rsidRDefault="00E04794" w:rsidP="0090357C">
      <w:pPr>
        <w:pStyle w:val="Heading2"/>
        <w:spacing w:before="240"/>
      </w:pPr>
      <w:bookmarkStart w:id="28" w:name="_Toc97809911"/>
      <w:bookmarkStart w:id="29" w:name="_Toc97904370"/>
      <w:bookmarkStart w:id="30" w:name="_Toc98245355"/>
      <w:bookmarkStart w:id="31" w:name="_Toc98508536"/>
      <w:bookmarkStart w:id="32" w:name="_Toc107323270"/>
      <w:bookmarkStart w:id="33" w:name="_Toc107987039"/>
      <w:bookmarkStart w:id="34" w:name="_Toc115190888"/>
      <w:bookmarkEnd w:id="23"/>
      <w:r w:rsidRPr="006F09F2">
        <w:t xml:space="preserve">Transition in </w:t>
      </w:r>
      <w:r w:rsidR="00B127E1">
        <w:t xml:space="preserve">the </w:t>
      </w:r>
      <w:r w:rsidR="003B2F79">
        <w:t xml:space="preserve">provision of </w:t>
      </w:r>
      <w:r w:rsidRPr="006F09F2">
        <w:t>banking services</w:t>
      </w:r>
      <w:bookmarkEnd w:id="28"/>
      <w:bookmarkEnd w:id="29"/>
      <w:bookmarkEnd w:id="30"/>
      <w:bookmarkEnd w:id="31"/>
      <w:bookmarkEnd w:id="32"/>
      <w:bookmarkEnd w:id="33"/>
      <w:bookmarkEnd w:id="34"/>
    </w:p>
    <w:p w14:paraId="10EE4E92" w14:textId="26507B86" w:rsidR="00BE301F" w:rsidRPr="006F09F2" w:rsidRDefault="0F01FD67" w:rsidP="4D55EDD0">
      <w:pPr>
        <w:rPr>
          <w:rFonts w:cs="Calibri Light"/>
          <w:color w:val="000000" w:themeColor="text1"/>
        </w:rPr>
      </w:pPr>
      <w:r w:rsidRPr="4D55EDD0">
        <w:rPr>
          <w:rFonts w:cs="Calibri Light"/>
          <w:color w:val="000000" w:themeColor="text1"/>
        </w:rPr>
        <w:t>Australia</w:t>
      </w:r>
      <w:r w:rsidR="001D4A21">
        <w:rPr>
          <w:rFonts w:cs="Calibri Light"/>
          <w:color w:val="000000" w:themeColor="text1"/>
        </w:rPr>
        <w:t>’</w:t>
      </w:r>
      <w:r w:rsidRPr="4D55EDD0">
        <w:rPr>
          <w:rFonts w:cs="Calibri Light"/>
          <w:color w:val="000000" w:themeColor="text1"/>
        </w:rPr>
        <w:t xml:space="preserve">s financial and insurance services industry </w:t>
      </w:r>
      <w:r w:rsidR="047008D6" w:rsidRPr="4D55EDD0">
        <w:rPr>
          <w:rFonts w:cs="Calibri Light"/>
          <w:color w:val="000000" w:themeColor="text1"/>
        </w:rPr>
        <w:t xml:space="preserve">(which includes banks) </w:t>
      </w:r>
      <w:r w:rsidR="5B87471A" w:rsidRPr="4D55EDD0">
        <w:rPr>
          <w:rFonts w:cs="Calibri Light"/>
          <w:color w:val="000000" w:themeColor="text1"/>
        </w:rPr>
        <w:t xml:space="preserve">plays a key role in the Australian economy. It provides financial intermediation for the economy and </w:t>
      </w:r>
      <w:r w:rsidRPr="4D55EDD0">
        <w:rPr>
          <w:rFonts w:cs="Calibri Light"/>
          <w:color w:val="000000" w:themeColor="text1"/>
        </w:rPr>
        <w:t>accounted for around $1</w:t>
      </w:r>
      <w:r w:rsidR="4F631614" w:rsidRPr="4D55EDD0">
        <w:rPr>
          <w:rFonts w:cs="Calibri Light"/>
          <w:color w:val="000000" w:themeColor="text1"/>
        </w:rPr>
        <w:t>54</w:t>
      </w:r>
      <w:r w:rsidRPr="4D55EDD0">
        <w:rPr>
          <w:rFonts w:cs="Calibri Light"/>
          <w:color w:val="000000" w:themeColor="text1"/>
        </w:rPr>
        <w:t xml:space="preserve"> billion of total economic activities (Real Gross Value Added) and employed around 4</w:t>
      </w:r>
      <w:r w:rsidR="4F631614" w:rsidRPr="4D55EDD0">
        <w:rPr>
          <w:rFonts w:cs="Calibri Light"/>
          <w:color w:val="000000" w:themeColor="text1"/>
        </w:rPr>
        <w:t>80</w:t>
      </w:r>
      <w:r w:rsidRPr="4D55EDD0">
        <w:rPr>
          <w:rFonts w:cs="Calibri Light"/>
          <w:color w:val="000000" w:themeColor="text1"/>
        </w:rPr>
        <w:t>,</w:t>
      </w:r>
      <w:r w:rsidR="68E80DCC" w:rsidRPr="4D55EDD0">
        <w:rPr>
          <w:rFonts w:cs="Calibri Light"/>
          <w:color w:val="000000" w:themeColor="text1"/>
        </w:rPr>
        <w:t>000</w:t>
      </w:r>
      <w:r w:rsidRPr="4D55EDD0">
        <w:rPr>
          <w:rFonts w:cs="Calibri Light"/>
          <w:color w:val="000000" w:themeColor="text1"/>
        </w:rPr>
        <w:t xml:space="preserve"> people in 2020</w:t>
      </w:r>
      <w:r w:rsidR="001D4A21">
        <w:rPr>
          <w:rFonts w:cs="Calibri Light"/>
          <w:color w:val="000000" w:themeColor="text1"/>
        </w:rPr>
        <w:noBreakHyphen/>
      </w:r>
      <w:r w:rsidRPr="4D55EDD0">
        <w:rPr>
          <w:rFonts w:cs="Calibri Light"/>
          <w:color w:val="000000" w:themeColor="text1"/>
        </w:rPr>
        <w:t>21</w:t>
      </w:r>
      <w:r w:rsidR="68E80DCC" w:rsidRPr="4D55EDD0">
        <w:rPr>
          <w:rFonts w:cs="Calibri Light"/>
          <w:color w:val="000000" w:themeColor="text1"/>
        </w:rPr>
        <w:t xml:space="preserve"> (in</w:t>
      </w:r>
      <w:r w:rsidR="2619CAA1" w:rsidRPr="4D55EDD0">
        <w:rPr>
          <w:rFonts w:cs="Calibri Light"/>
          <w:color w:val="000000" w:themeColor="text1"/>
        </w:rPr>
        <w:t xml:space="preserve"> original</w:t>
      </w:r>
      <w:r w:rsidR="68E80DCC" w:rsidRPr="4D55EDD0">
        <w:rPr>
          <w:rFonts w:cs="Calibri Light"/>
          <w:color w:val="000000" w:themeColor="text1"/>
        </w:rPr>
        <w:t xml:space="preserve"> terms) </w:t>
      </w:r>
      <w:r w:rsidR="6834CF50" w:rsidRPr="4D55EDD0">
        <w:rPr>
          <w:rFonts w:cs="Calibri Light"/>
          <w:color w:val="000000" w:themeColor="text1"/>
        </w:rPr>
        <w:t>(ABS 2021,</w:t>
      </w:r>
      <w:r w:rsidR="00EF06E5">
        <w:rPr>
          <w:rFonts w:cs="Calibri Light"/>
          <w:color w:val="000000" w:themeColor="text1"/>
        </w:rPr>
        <w:t xml:space="preserve"> </w:t>
      </w:r>
      <w:r w:rsidR="6834CF50" w:rsidRPr="4D55EDD0">
        <w:rPr>
          <w:rFonts w:cs="Calibri Light"/>
          <w:color w:val="000000" w:themeColor="text1"/>
        </w:rPr>
        <w:t>2022)</w:t>
      </w:r>
      <w:r w:rsidR="001D4A21">
        <w:rPr>
          <w:rFonts w:cs="Calibri Light"/>
          <w:color w:val="000000" w:themeColor="text1"/>
        </w:rPr>
        <w:t xml:space="preserve">. </w:t>
      </w:r>
    </w:p>
    <w:p w14:paraId="4A6BE946" w14:textId="34658568" w:rsidR="00483B3B" w:rsidRPr="00483B3B" w:rsidRDefault="00BE301F" w:rsidP="00483B3B">
      <w:pPr>
        <w:rPr>
          <w:rFonts w:cs="Calibri Light"/>
          <w:szCs w:val="22"/>
        </w:rPr>
      </w:pPr>
      <w:r w:rsidRPr="006F09F2">
        <w:rPr>
          <w:rFonts w:cs="Calibri Light"/>
          <w:szCs w:val="22"/>
        </w:rPr>
        <w:t xml:space="preserve">Banks provide a wide </w:t>
      </w:r>
      <w:r w:rsidR="002949A5" w:rsidRPr="006F09F2">
        <w:rPr>
          <w:rFonts w:cs="Calibri Light"/>
          <w:szCs w:val="22"/>
        </w:rPr>
        <w:t>range</w:t>
      </w:r>
      <w:r w:rsidRPr="006F09F2">
        <w:rPr>
          <w:rFonts w:cs="Calibri Light"/>
          <w:szCs w:val="22"/>
        </w:rPr>
        <w:t xml:space="preserve"> of services to their customers. Historically banks delivered these services through branches, which are open at certain times. However, like other sectors of the economy, how banking services are provided has changed over time. </w:t>
      </w:r>
      <w:r w:rsidR="002949A5" w:rsidRPr="006F09F2">
        <w:rPr>
          <w:rFonts w:cs="Calibri Light"/>
          <w:szCs w:val="22"/>
        </w:rPr>
        <w:t>Since at least the 1990s, a</w:t>
      </w:r>
      <w:r w:rsidRPr="006F09F2">
        <w:rPr>
          <w:rFonts w:cs="Calibri Light"/>
          <w:szCs w:val="22"/>
        </w:rPr>
        <w:t xml:space="preserve"> variety of factors including technological developments, shifts in consumer demand, demographic shifts to larger cities and towns</w:t>
      </w:r>
      <w:r w:rsidR="00BE36F3">
        <w:rPr>
          <w:rFonts w:cs="Calibri Light"/>
          <w:szCs w:val="22"/>
        </w:rPr>
        <w:t>,</w:t>
      </w:r>
      <w:r w:rsidRPr="006F09F2">
        <w:rPr>
          <w:rFonts w:cs="Calibri Light"/>
          <w:szCs w:val="22"/>
        </w:rPr>
        <w:t xml:space="preserve"> and changes in financial regulation have contributed to pressure on banks to </w:t>
      </w:r>
      <w:r w:rsidR="00A92DE1" w:rsidRPr="006F09F2">
        <w:rPr>
          <w:rFonts w:cs="Calibri Light"/>
          <w:szCs w:val="22"/>
        </w:rPr>
        <w:t xml:space="preserve">consolidate </w:t>
      </w:r>
      <w:r w:rsidRPr="006F09F2">
        <w:rPr>
          <w:rFonts w:cs="Calibri Light"/>
          <w:szCs w:val="22"/>
        </w:rPr>
        <w:t>their branch networks.</w:t>
      </w:r>
    </w:p>
    <w:p w14:paraId="70455BA0" w14:textId="4FA1AD59" w:rsidR="003D126D" w:rsidRDefault="00A30490" w:rsidP="00875617">
      <w:pPr>
        <w:rPr>
          <w:rFonts w:cs="Calibri Light"/>
          <w:szCs w:val="22"/>
        </w:rPr>
      </w:pPr>
      <w:r>
        <w:rPr>
          <w:rFonts w:cs="Calibri Light"/>
          <w:szCs w:val="22"/>
        </w:rPr>
        <w:t xml:space="preserve">This </w:t>
      </w:r>
      <w:r w:rsidR="00333662">
        <w:rPr>
          <w:rFonts w:cs="Calibri Light"/>
          <w:szCs w:val="22"/>
        </w:rPr>
        <w:t>trend</w:t>
      </w:r>
      <w:r>
        <w:rPr>
          <w:rFonts w:cs="Calibri Light"/>
          <w:szCs w:val="22"/>
        </w:rPr>
        <w:t xml:space="preserve"> has</w:t>
      </w:r>
      <w:r w:rsidR="00483B3B" w:rsidRPr="00483B3B">
        <w:rPr>
          <w:rFonts w:cs="Calibri Light"/>
          <w:szCs w:val="22"/>
        </w:rPr>
        <w:t xml:space="preserve"> continued, with the number of bank branches in regional and remote Australia having fallen from around 2,500 to 1,900 in the four years to June 2021</w:t>
      </w:r>
      <w:r w:rsidR="00563BDF">
        <w:rPr>
          <w:rFonts w:cs="Calibri Light"/>
          <w:szCs w:val="22"/>
        </w:rPr>
        <w:t>,</w:t>
      </w:r>
      <w:r w:rsidR="00483B3B" w:rsidRPr="00483B3B">
        <w:rPr>
          <w:rFonts w:cs="Calibri Light"/>
          <w:szCs w:val="22"/>
        </w:rPr>
        <w:t xml:space="preserve"> a </w:t>
      </w:r>
      <w:r w:rsidR="00FF061C">
        <w:rPr>
          <w:rFonts w:cs="Calibri Light"/>
          <w:szCs w:val="22"/>
        </w:rPr>
        <w:t>23 per cent decline</w:t>
      </w:r>
      <w:r w:rsidR="00483B3B" w:rsidRPr="00483B3B">
        <w:rPr>
          <w:rFonts w:cs="Calibri Light"/>
          <w:szCs w:val="22"/>
        </w:rPr>
        <w:t xml:space="preserve"> (APRA 2021). This trend is not unique to regional and remote Australia, with major cities also </w:t>
      </w:r>
      <w:r w:rsidR="008A6590">
        <w:rPr>
          <w:rFonts w:cs="Calibri Light"/>
          <w:szCs w:val="22"/>
        </w:rPr>
        <w:t>experiencing</w:t>
      </w:r>
      <w:r w:rsidR="00483B3B" w:rsidRPr="00483B3B">
        <w:rPr>
          <w:rFonts w:cs="Calibri Light"/>
          <w:szCs w:val="22"/>
        </w:rPr>
        <w:t xml:space="preserve"> a similar decline. At a national level, the total number of branches declined from around 5,800 to 4,500, over the four years to June 2021</w:t>
      </w:r>
      <w:r w:rsidR="00BC0B4E">
        <w:rPr>
          <w:rFonts w:cs="Calibri Light"/>
          <w:szCs w:val="22"/>
        </w:rPr>
        <w:t xml:space="preserve">, </w:t>
      </w:r>
      <w:r w:rsidR="00483B3B" w:rsidRPr="00483B3B">
        <w:rPr>
          <w:rFonts w:cs="Calibri Light"/>
          <w:szCs w:val="22"/>
        </w:rPr>
        <w:t>a 23</w:t>
      </w:r>
      <w:r w:rsidR="00C92DD4">
        <w:rPr>
          <w:rFonts w:cs="Calibri Light"/>
          <w:szCs w:val="22"/>
        </w:rPr>
        <w:t xml:space="preserve"> </w:t>
      </w:r>
      <w:r w:rsidR="00483B3B" w:rsidRPr="00483B3B">
        <w:rPr>
          <w:rFonts w:cs="Calibri Light"/>
          <w:szCs w:val="22"/>
        </w:rPr>
        <w:t>percent decline (Figures 1 and 2).</w:t>
      </w:r>
    </w:p>
    <w:p w14:paraId="7BDC446A" w14:textId="4C375C4E" w:rsidR="003D126D" w:rsidRPr="006F09F2" w:rsidRDefault="003D126D" w:rsidP="003D126D">
      <w:r>
        <w:t>APRA data indicate that other face</w:t>
      </w:r>
      <w:r w:rsidR="001D4A21">
        <w:noBreakHyphen/>
      </w:r>
      <w:r>
        <w:t>to</w:t>
      </w:r>
      <w:r w:rsidR="001D4A21">
        <w:noBreakHyphen/>
      </w:r>
      <w:r>
        <w:t>face points of presence in regional and remote Australia for banks have seen a more modest decline from around 2,500 to 2,400 in the four years to June 2021, with Bank@Post numbers remaining steady at around 1,900 over th</w:t>
      </w:r>
      <w:r w:rsidR="00666486">
        <w:t>e same</w:t>
      </w:r>
      <w:r>
        <w:t xml:space="preserve"> period (APRA 2021)</w:t>
      </w:r>
      <w:r w:rsidR="00D46BD1">
        <w:t>.</w:t>
      </w:r>
      <w:r w:rsidR="00E51FAD" w:rsidRPr="00D46BD1">
        <w:rPr>
          <w:rStyle w:val="FootnoteReference"/>
          <w:vertAlign w:val="superscript"/>
        </w:rPr>
        <w:footnoteReference w:id="2"/>
      </w:r>
    </w:p>
    <w:p w14:paraId="7DB75BAE" w14:textId="1A344934" w:rsidR="00EF6116" w:rsidRPr="003D126D" w:rsidRDefault="006C7DCB" w:rsidP="00875617">
      <w:pPr>
        <w:rPr>
          <w:rFonts w:cs="Calibri Light"/>
          <w:szCs w:val="22"/>
        </w:rPr>
      </w:pPr>
      <w:r>
        <w:t xml:space="preserve">Analysis published by the </w:t>
      </w:r>
      <w:r w:rsidR="00CA60A7">
        <w:t>Rese</w:t>
      </w:r>
      <w:r w:rsidR="00E255B5">
        <w:t>r</w:t>
      </w:r>
      <w:r w:rsidR="00CA60A7">
        <w:t>ve Bank of Australia (</w:t>
      </w:r>
      <w:r>
        <w:t>RBA</w:t>
      </w:r>
      <w:r w:rsidR="00CA60A7">
        <w:t>)</w:t>
      </w:r>
      <w:r>
        <w:t xml:space="preserve"> </w:t>
      </w:r>
      <w:r w:rsidR="00833B02">
        <w:t>found</w:t>
      </w:r>
      <w:r>
        <w:t xml:space="preserve"> that </w:t>
      </w:r>
      <w:r w:rsidR="009E21B4">
        <w:t>t</w:t>
      </w:r>
      <w:r w:rsidR="003D126D">
        <w:t>he number of ATMs has also declined, with the total number of active ATMs nationally having fallen by around 20 per cent since its peak in late 2016</w:t>
      </w:r>
      <w:r w:rsidR="00184681">
        <w:t xml:space="preserve">. </w:t>
      </w:r>
      <w:r w:rsidR="007F1265">
        <w:t>Australians generally do not have to travel far to reach their nearest cash access point, with a</w:t>
      </w:r>
      <w:r w:rsidR="00124E77">
        <w:t xml:space="preserve">round 95 </w:t>
      </w:r>
      <w:r w:rsidR="00184681">
        <w:t>p</w:t>
      </w:r>
      <w:r w:rsidR="00373D5D">
        <w:t>er cent of people</w:t>
      </w:r>
      <w:r w:rsidR="0001276C">
        <w:t xml:space="preserve"> living within 4 </w:t>
      </w:r>
      <w:r w:rsidR="0086596D">
        <w:t>kilometres</w:t>
      </w:r>
      <w:r w:rsidR="002A6E9E">
        <w:t xml:space="preserve"> of a cash withdrawal point</w:t>
      </w:r>
      <w:r w:rsidR="00373D5D">
        <w:t xml:space="preserve"> </w:t>
      </w:r>
      <w:r w:rsidR="002A6E9E">
        <w:t>in 2021</w:t>
      </w:r>
      <w:r w:rsidR="007D785A">
        <w:t>. However</w:t>
      </w:r>
      <w:r w:rsidR="00991B67">
        <w:t>,</w:t>
      </w:r>
      <w:r w:rsidR="00184681">
        <w:t xml:space="preserve"> </w:t>
      </w:r>
      <w:r w:rsidR="00CB2BCD">
        <w:t>there are parts of regional and remote Australia with limited access to cash</w:t>
      </w:r>
      <w:r w:rsidR="007D785A">
        <w:t xml:space="preserve">. </w:t>
      </w:r>
      <w:r w:rsidR="00C01B37">
        <w:t>In addition to longer distances to cash access points, these areas also have fewer alternative access points nearby</w:t>
      </w:r>
      <w:r w:rsidR="006A4A6B">
        <w:t xml:space="preserve">. This means these </w:t>
      </w:r>
      <w:r w:rsidR="0086596D">
        <w:t>regions</w:t>
      </w:r>
      <w:r w:rsidR="006A4A6B">
        <w:t xml:space="preserve"> are more vulnerable to any further removal of cash access points</w:t>
      </w:r>
      <w:r w:rsidR="00FC3F22">
        <w:t xml:space="preserve"> and an increasing number of localities are down to their last cash access point</w:t>
      </w:r>
      <w:r w:rsidR="003D126D">
        <w:t xml:space="preserve"> (Caddy and Zhang 2021</w:t>
      </w:r>
      <w:r w:rsidR="00FC3F22">
        <w:t xml:space="preserve"> and RBA 2022</w:t>
      </w:r>
      <w:r w:rsidR="003D126D">
        <w:t>).</w:t>
      </w:r>
    </w:p>
    <w:tbl>
      <w:tblPr>
        <w:tblStyle w:val="TableGrid"/>
        <w:tblW w:w="9123" w:type="dxa"/>
        <w:jc w:val="center"/>
        <w:tblLook w:val="04A0" w:firstRow="1" w:lastRow="0" w:firstColumn="1" w:lastColumn="0" w:noHBand="0" w:noVBand="1"/>
      </w:tblPr>
      <w:tblGrid>
        <w:gridCol w:w="4806"/>
        <w:gridCol w:w="4775"/>
      </w:tblGrid>
      <w:tr w:rsidR="00242F58" w14:paraId="28DA1C77" w14:textId="77777777" w:rsidTr="00EA0BAE">
        <w:trPr>
          <w:cnfStyle w:val="100000000000" w:firstRow="1" w:lastRow="0" w:firstColumn="0" w:lastColumn="0" w:oddVBand="0" w:evenVBand="0" w:oddHBand="0" w:evenHBand="0" w:firstRowFirstColumn="0" w:firstRowLastColumn="0" w:lastRowFirstColumn="0" w:lastRowLastColumn="0"/>
          <w:trHeight w:val="611"/>
          <w:jc w:val="center"/>
        </w:trPr>
        <w:tc>
          <w:tcPr>
            <w:tcW w:w="4531" w:type="dxa"/>
            <w:shd w:val="clear" w:color="auto" w:fill="FFFFFF" w:themeFill="background1"/>
          </w:tcPr>
          <w:p w14:paraId="7F803A44" w14:textId="55A09E7F" w:rsidR="00242F58" w:rsidRPr="00AB2850" w:rsidRDefault="00242F58" w:rsidP="009609B9">
            <w:pPr>
              <w:pStyle w:val="ChartMainHeading"/>
              <w:rPr>
                <w:rFonts w:cs="Calibri Light"/>
                <w:sz w:val="22"/>
              </w:rPr>
            </w:pPr>
            <w:r w:rsidRPr="00D16F51">
              <w:lastRenderedPageBreak/>
              <w:t>Figure 1: Change in bank points of presence (2017</w:t>
            </w:r>
            <w:r w:rsidR="0040430E">
              <w:rPr>
                <w:rFonts w:cs="Calibri"/>
              </w:rPr>
              <w:t>–</w:t>
            </w:r>
            <w:r w:rsidRPr="00D16F51">
              <w:t>2021)</w:t>
            </w:r>
          </w:p>
        </w:tc>
        <w:tc>
          <w:tcPr>
            <w:tcW w:w="4592" w:type="dxa"/>
            <w:shd w:val="clear" w:color="auto" w:fill="FFFFFF" w:themeFill="background1"/>
          </w:tcPr>
          <w:p w14:paraId="6CFFB545" w14:textId="2F5E333B" w:rsidR="00242F58" w:rsidRPr="00AB2850" w:rsidRDefault="00242F58" w:rsidP="009609B9">
            <w:pPr>
              <w:pStyle w:val="ChartMainHeading"/>
              <w:rPr>
                <w:rFonts w:cs="Calibri Light"/>
                <w:sz w:val="22"/>
              </w:rPr>
            </w:pPr>
            <w:r w:rsidRPr="007A5369">
              <w:t>Figure 2: Bank branches</w:t>
            </w:r>
          </w:p>
        </w:tc>
      </w:tr>
      <w:tr w:rsidR="00242F58" w14:paraId="53C14EE6" w14:textId="77777777" w:rsidTr="00EA0BAE">
        <w:trPr>
          <w:jc w:val="center"/>
        </w:trPr>
        <w:tc>
          <w:tcPr>
            <w:tcW w:w="4531" w:type="dxa"/>
          </w:tcPr>
          <w:p w14:paraId="5282D992" w14:textId="675A8FD6" w:rsidR="00242F58" w:rsidRDefault="00E8633B" w:rsidP="009C66B0">
            <w:pPr>
              <w:pStyle w:val="ChartGraphic"/>
              <w:rPr>
                <w:rFonts w:cs="Calibri Light"/>
                <w:szCs w:val="22"/>
              </w:rPr>
            </w:pPr>
            <w:r w:rsidRPr="00E8633B">
              <w:rPr>
                <w:rFonts w:cs="Calibri Light"/>
                <w:noProof/>
                <w:szCs w:val="22"/>
              </w:rPr>
              <w:drawing>
                <wp:inline distT="0" distB="0" distL="0" distR="0" wp14:anchorId="0B0F832B" wp14:editId="28F6C79C">
                  <wp:extent cx="2905760" cy="2883535"/>
                  <wp:effectExtent l="0" t="0" r="8890" b="0"/>
                  <wp:docPr id="14" name="Picture 14" descr="This chart shows the change in bank points of presence in Australia from 2017 to 2021. It reports declines in bank points of presence for Major cities, Regional and remote areas and in total, for both Branches and Other face-to-face points of presence. The percentage declines in branches for both Major cities and Regional and remote areas were quite similar, with total branches falling nationally by 23 per cent.  The declines in Other face- to-face points of presence was smaller, with the national total falling by less than 10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chart shows the change in bank points of presence in Australia from 2017 to 2021. It reports declines in bank points of presence for Major cities, Regional and remote areas and in total, for both Branches and Other face-to-face points of presence. The percentage declines in branches for both Major cities and Regional and remote areas were quite similar, with total branches falling nationally by 23 per cent.  The declines in Other face- to-face points of presence was smaller, with the national total falling by less than 10 per cen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5760" cy="2883535"/>
                          </a:xfrm>
                          <a:prstGeom prst="rect">
                            <a:avLst/>
                          </a:prstGeom>
                          <a:noFill/>
                          <a:ln>
                            <a:noFill/>
                          </a:ln>
                        </pic:spPr>
                      </pic:pic>
                    </a:graphicData>
                  </a:graphic>
                </wp:inline>
              </w:drawing>
            </w:r>
          </w:p>
        </w:tc>
        <w:tc>
          <w:tcPr>
            <w:tcW w:w="4592" w:type="dxa"/>
          </w:tcPr>
          <w:p w14:paraId="693C9231" w14:textId="7628C958" w:rsidR="00242F58" w:rsidRPr="0029329E" w:rsidRDefault="00796CD5" w:rsidP="00227CFE">
            <w:pPr>
              <w:pStyle w:val="ChartGraphic"/>
            </w:pPr>
            <w:r w:rsidRPr="00796CD5">
              <w:rPr>
                <w:noProof/>
              </w:rPr>
              <w:drawing>
                <wp:inline distT="0" distB="0" distL="0" distR="0" wp14:anchorId="4741A81D" wp14:editId="58CD77D2">
                  <wp:extent cx="2894965" cy="2883535"/>
                  <wp:effectExtent l="0" t="0" r="0" b="0"/>
                  <wp:docPr id="12" name="Picture 12" descr="This chart shows the number of bank branches in Australia from 2017 to 2021, in total and for both Major cities and Regional and remote areas. There have been declines in branches for both Major cities and Regional and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chart shows the number of bank branches in Australia from 2017 to 2021, in total and for both Major cities and Regional and remote areas. There have been declines in branches for both Major cities and Regional and remote are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4965" cy="2883535"/>
                          </a:xfrm>
                          <a:prstGeom prst="rect">
                            <a:avLst/>
                          </a:prstGeom>
                          <a:noFill/>
                          <a:ln>
                            <a:noFill/>
                          </a:ln>
                        </pic:spPr>
                      </pic:pic>
                    </a:graphicData>
                  </a:graphic>
                </wp:inline>
              </w:drawing>
            </w:r>
          </w:p>
        </w:tc>
      </w:tr>
    </w:tbl>
    <w:p w14:paraId="025FA097" w14:textId="77777777" w:rsidR="00B903D0" w:rsidRDefault="0085411A" w:rsidP="009609B9">
      <w:pPr>
        <w:pStyle w:val="ChartorTableNote"/>
        <w:rPr>
          <w:bCs/>
        </w:rPr>
      </w:pPr>
      <w:r w:rsidRPr="00091836">
        <w:t>N</w:t>
      </w:r>
      <w:r w:rsidR="00EC4BBC" w:rsidRPr="00091836">
        <w:t>ote: Data for June of the relevant year.</w:t>
      </w:r>
      <w:r w:rsidR="002F6F23" w:rsidRPr="00091836">
        <w:rPr>
          <w:bCs/>
        </w:rPr>
        <w:t xml:space="preserve"> </w:t>
      </w:r>
    </w:p>
    <w:p w14:paraId="6AAD8D45" w14:textId="400B08DB" w:rsidR="00F3778C" w:rsidRPr="00091836" w:rsidRDefault="00F175EC" w:rsidP="009609B9">
      <w:pPr>
        <w:pStyle w:val="ChartorTableNote"/>
        <w:rPr>
          <w:rFonts w:cs="Calibri Light"/>
        </w:rPr>
      </w:pPr>
      <w:r w:rsidRPr="00091836">
        <w:t>Source: APRA</w:t>
      </w:r>
      <w:r w:rsidR="007F4457" w:rsidRPr="00091836">
        <w:t xml:space="preserve"> (2021)</w:t>
      </w:r>
      <w:r w:rsidR="001C749F" w:rsidRPr="00091836">
        <w:t xml:space="preserve">, </w:t>
      </w:r>
      <w:r w:rsidR="00927299" w:rsidRPr="00091836">
        <w:t>Treasury</w:t>
      </w:r>
      <w:r w:rsidR="00F702ED" w:rsidRPr="00091836">
        <w:t>.</w:t>
      </w:r>
      <w:r w:rsidR="00BE301F" w:rsidRPr="00091836">
        <w:rPr>
          <w:rFonts w:cs="Calibri Light"/>
        </w:rPr>
        <w:t xml:space="preserve"> </w:t>
      </w:r>
    </w:p>
    <w:p w14:paraId="2C2B8167" w14:textId="20A5C0A2" w:rsidR="00762B68" w:rsidRDefault="00762B68" w:rsidP="00762B68">
      <w:pPr>
        <w:rPr>
          <w:rFonts w:cs="Calibri Light"/>
          <w:szCs w:val="22"/>
        </w:rPr>
      </w:pPr>
      <w:r>
        <w:rPr>
          <w:rFonts w:cs="Calibri Light"/>
          <w:szCs w:val="22"/>
        </w:rPr>
        <w:t xml:space="preserve">Reflecting the decline in branch numbers, </w:t>
      </w:r>
      <w:r w:rsidRPr="006F09F2">
        <w:rPr>
          <w:rFonts w:cs="Calibri Light"/>
          <w:szCs w:val="22"/>
        </w:rPr>
        <w:t xml:space="preserve">major banks </w:t>
      </w:r>
      <w:r w:rsidR="00915B3B">
        <w:rPr>
          <w:rFonts w:cs="Calibri Light"/>
          <w:szCs w:val="22"/>
        </w:rPr>
        <w:t>reported that over</w:t>
      </w:r>
      <w:r w:rsidR="001D4A21">
        <w:rPr>
          <w:rFonts w:cs="Calibri Light"/>
          <w:szCs w:val="22"/>
        </w:rPr>
        <w:noBreakHyphen/>
      </w:r>
      <w:r w:rsidR="00915B3B">
        <w:rPr>
          <w:rFonts w:cs="Calibri Light"/>
          <w:szCs w:val="22"/>
        </w:rPr>
        <w:t>the</w:t>
      </w:r>
      <w:r w:rsidR="001D4A21">
        <w:rPr>
          <w:rFonts w:cs="Calibri Light"/>
          <w:szCs w:val="22"/>
        </w:rPr>
        <w:noBreakHyphen/>
      </w:r>
      <w:r w:rsidR="00915B3B">
        <w:rPr>
          <w:rFonts w:cs="Calibri Light"/>
          <w:szCs w:val="22"/>
        </w:rPr>
        <w:t xml:space="preserve">counter transactions </w:t>
      </w:r>
      <w:r w:rsidR="00E24E22">
        <w:rPr>
          <w:rFonts w:cs="Calibri Light"/>
          <w:szCs w:val="22"/>
        </w:rPr>
        <w:t>declined</w:t>
      </w:r>
      <w:r w:rsidR="00E24E22" w:rsidRPr="006F09F2">
        <w:rPr>
          <w:rFonts w:cs="Calibri Light"/>
          <w:szCs w:val="22"/>
        </w:rPr>
        <w:t xml:space="preserve"> </w:t>
      </w:r>
      <w:r w:rsidRPr="006F09F2">
        <w:rPr>
          <w:rFonts w:cs="Calibri Light"/>
          <w:szCs w:val="22"/>
        </w:rPr>
        <w:t>by up to 68 per cent over the five years</w:t>
      </w:r>
      <w:r>
        <w:rPr>
          <w:rFonts w:cs="Calibri Light"/>
          <w:szCs w:val="22"/>
        </w:rPr>
        <w:t>.</w:t>
      </w:r>
    </w:p>
    <w:p w14:paraId="0769CB2B" w14:textId="7BE5D265" w:rsidR="00DB6EB4" w:rsidRDefault="00E04D4B" w:rsidP="00242CD5">
      <w:pPr>
        <w:rPr>
          <w:rFonts w:cs="Calibri Light"/>
        </w:rPr>
      </w:pPr>
      <w:r w:rsidRPr="006F09F2">
        <w:t xml:space="preserve">Branch closures are not unique to Australia. </w:t>
      </w:r>
      <w:r w:rsidR="00C81D0E" w:rsidRPr="006F09F2">
        <w:t>I</w:t>
      </w:r>
      <w:r w:rsidRPr="006F09F2">
        <w:t>n New Zealand</w:t>
      </w:r>
      <w:r w:rsidR="00550D14">
        <w:t>,</w:t>
      </w:r>
      <w:r w:rsidRPr="000C5DEC">
        <w:rPr>
          <w:rFonts w:cs="Calibri Light"/>
        </w:rPr>
        <w:t xml:space="preserve"> just under a quarter of the branches that were operating in September 2019 </w:t>
      </w:r>
      <w:r w:rsidR="002949A5" w:rsidRPr="007B5A95">
        <w:rPr>
          <w:rFonts w:cs="Calibri Light"/>
        </w:rPr>
        <w:t xml:space="preserve">were </w:t>
      </w:r>
      <w:r w:rsidRPr="007B5A95">
        <w:rPr>
          <w:rFonts w:cs="Calibri Light"/>
        </w:rPr>
        <w:t>clos</w:t>
      </w:r>
      <w:r w:rsidR="002949A5" w:rsidRPr="007B5A95">
        <w:rPr>
          <w:rFonts w:cs="Calibri Light"/>
        </w:rPr>
        <w:t>ed</w:t>
      </w:r>
      <w:r w:rsidRPr="006C0E3C">
        <w:rPr>
          <w:rFonts w:cs="Calibri Light"/>
        </w:rPr>
        <w:t xml:space="preserve"> by March 2021</w:t>
      </w:r>
      <w:r w:rsidR="007E592E" w:rsidRPr="006C0E3C">
        <w:rPr>
          <w:rFonts w:cs="Calibri Light"/>
        </w:rPr>
        <w:t xml:space="preserve"> </w:t>
      </w:r>
      <w:r w:rsidR="00592691" w:rsidRPr="009426E0">
        <w:rPr>
          <w:rFonts w:cs="Calibri Light"/>
        </w:rPr>
        <w:t>(</w:t>
      </w:r>
      <w:r w:rsidR="002C71D5" w:rsidRPr="0075763E">
        <w:rPr>
          <w:rFonts w:cs="Calibri Light"/>
        </w:rPr>
        <w:t xml:space="preserve">RBNZ 2021) </w:t>
      </w:r>
      <w:r w:rsidR="007E592E" w:rsidRPr="003B78AB">
        <w:rPr>
          <w:rFonts w:cs="Calibri Light"/>
        </w:rPr>
        <w:t xml:space="preserve">and </w:t>
      </w:r>
      <w:r w:rsidR="00F848F5" w:rsidRPr="00E26CF6">
        <w:rPr>
          <w:rFonts w:cs="Calibri Light"/>
        </w:rPr>
        <w:t>in the UK the number of bank branches roug</w:t>
      </w:r>
      <w:r w:rsidR="00EB704C" w:rsidRPr="00E143A7">
        <w:rPr>
          <w:rFonts w:cs="Calibri Light"/>
        </w:rPr>
        <w:t>h</w:t>
      </w:r>
      <w:r w:rsidR="00F848F5" w:rsidRPr="008E7B53">
        <w:rPr>
          <w:rFonts w:cs="Calibri Light"/>
        </w:rPr>
        <w:t>ly halved from 1986 to 2014</w:t>
      </w:r>
      <w:r w:rsidR="00423A55" w:rsidRPr="00425D66">
        <w:rPr>
          <w:rFonts w:cs="Calibri Light"/>
        </w:rPr>
        <w:t xml:space="preserve"> (Bennett 2020)</w:t>
      </w:r>
      <w:r w:rsidR="002764EA" w:rsidRPr="00676198">
        <w:rPr>
          <w:rFonts w:cs="Calibri Light"/>
        </w:rPr>
        <w:t>.</w:t>
      </w:r>
    </w:p>
    <w:p w14:paraId="1009883F" w14:textId="1116AF32" w:rsidR="00C32D05" w:rsidRDefault="463F0385" w:rsidP="00412A75">
      <w:r w:rsidRPr="4D55EDD0">
        <w:rPr>
          <w:rFonts w:cs="Calibri Light"/>
        </w:rPr>
        <w:t xml:space="preserve">As the provision of banking services transitions away from bank branches, alternatives such as </w:t>
      </w:r>
      <w:r w:rsidR="01D0A235" w:rsidRPr="4D55EDD0">
        <w:rPr>
          <w:rFonts w:cs="Calibri Light"/>
        </w:rPr>
        <w:t>online</w:t>
      </w:r>
      <w:r w:rsidRPr="4D55EDD0">
        <w:rPr>
          <w:rFonts w:cs="Calibri Light"/>
        </w:rPr>
        <w:t xml:space="preserve"> and telephone banking have emerged. </w:t>
      </w:r>
      <w:r w:rsidR="728F2897" w:rsidRPr="4D55EDD0">
        <w:rPr>
          <w:rFonts w:cs="Calibri Light"/>
        </w:rPr>
        <w:t>Table 1</w:t>
      </w:r>
      <w:r w:rsidRPr="4D55EDD0">
        <w:rPr>
          <w:rFonts w:cs="Calibri Light"/>
        </w:rPr>
        <w:t xml:space="preserve"> below summarises the banking services available </w:t>
      </w:r>
      <w:r w:rsidR="00965ED6">
        <w:rPr>
          <w:rFonts w:cs="Calibri Light"/>
        </w:rPr>
        <w:t>via</w:t>
      </w:r>
      <w:r w:rsidR="00965ED6" w:rsidRPr="4D55EDD0">
        <w:rPr>
          <w:rFonts w:cs="Calibri Light"/>
        </w:rPr>
        <w:t xml:space="preserve"> </w:t>
      </w:r>
      <w:r w:rsidRPr="4D55EDD0">
        <w:rPr>
          <w:rFonts w:cs="Calibri Light"/>
        </w:rPr>
        <w:t>different modes of delivery.</w:t>
      </w:r>
      <w:r w:rsidR="19ABD368">
        <w:t xml:space="preserve"> </w:t>
      </w:r>
      <w:r w:rsidR="50FB2524">
        <w:t>Virtual banking through telephone calls, online or mobile apps provide many services that are fast, secure, easy to use and available at a time and location convenient to customer</w:t>
      </w:r>
      <w:r w:rsidR="00475AF7">
        <w:t>s</w:t>
      </w:r>
      <w:r w:rsidR="50FB2524">
        <w:t xml:space="preserve">. </w:t>
      </w:r>
    </w:p>
    <w:p w14:paraId="72A3417A" w14:textId="77777777" w:rsidR="00F0203E" w:rsidRDefault="00242CD5" w:rsidP="003D72B3">
      <w:r>
        <w:rPr>
          <w:rFonts w:cs="Calibri Light"/>
          <w:szCs w:val="22"/>
        </w:rPr>
        <w:t>There has been a shift to online activity. H</w:t>
      </w:r>
      <w:r w:rsidRPr="006F09F2">
        <w:t xml:space="preserve">ome internet access and online banking are at </w:t>
      </w:r>
      <w:r>
        <w:t>the highest levels of all time</w:t>
      </w:r>
      <w:r w:rsidRPr="006F09F2">
        <w:t xml:space="preserve">, with </w:t>
      </w:r>
      <w:r>
        <w:t>88</w:t>
      </w:r>
      <w:r w:rsidRPr="006F09F2">
        <w:t xml:space="preserve"> per cent of adult Australians in regional areas </w:t>
      </w:r>
      <w:r>
        <w:t xml:space="preserve">having </w:t>
      </w:r>
      <w:r w:rsidRPr="006F09F2">
        <w:t xml:space="preserve">internet access at home and 89 per cent of internet users in regional areas </w:t>
      </w:r>
      <w:r>
        <w:t xml:space="preserve">having </w:t>
      </w:r>
      <w:r w:rsidRPr="006F09F2">
        <w:t xml:space="preserve">performed banking activities online in the past six months </w:t>
      </w:r>
      <w:r>
        <w:t xml:space="preserve">in June 2021 </w:t>
      </w:r>
      <w:r w:rsidRPr="006F09F2">
        <w:t>(up from 82 per cent in May 2019)</w:t>
      </w:r>
      <w:r>
        <w:t xml:space="preserve"> (ACMA 2021)</w:t>
      </w:r>
      <w:r w:rsidRPr="006F09F2">
        <w:t xml:space="preserve">. </w:t>
      </w:r>
    </w:p>
    <w:p w14:paraId="47FC5351" w14:textId="36CF688B" w:rsidR="00585C89" w:rsidRDefault="003D72B3" w:rsidP="003D72B3">
      <w:r>
        <w:t>As of June 2022, around 80 per cent of regional Australians generally used internet banking or mobile apps to pay bills, while 5 per cent used a branch (RFi Group da</w:t>
      </w:r>
      <w:r w:rsidR="00363997">
        <w:t>ta</w:t>
      </w:r>
      <w:r>
        <w:t>, Figure 3).</w:t>
      </w:r>
    </w:p>
    <w:p w14:paraId="4DEA69D2" w14:textId="77777777" w:rsidR="00585C89" w:rsidRDefault="00585C89">
      <w:pPr>
        <w:spacing w:before="0" w:after="160" w:line="259" w:lineRule="auto"/>
      </w:pPr>
      <w:r>
        <w:br w:type="page"/>
      </w:r>
    </w:p>
    <w:tbl>
      <w:tblPr>
        <w:tblStyle w:val="TableGrid"/>
        <w:tblW w:w="5361" w:type="dxa"/>
        <w:jc w:val="center"/>
        <w:tblLook w:val="04A0" w:firstRow="1" w:lastRow="0" w:firstColumn="1" w:lastColumn="0" w:noHBand="0" w:noVBand="1"/>
      </w:tblPr>
      <w:tblGrid>
        <w:gridCol w:w="5361"/>
      </w:tblGrid>
      <w:tr w:rsidR="000D04F5" w14:paraId="204BD53B" w14:textId="77777777" w:rsidTr="00585C89">
        <w:trPr>
          <w:cnfStyle w:val="100000000000" w:firstRow="1" w:lastRow="0" w:firstColumn="0" w:lastColumn="0" w:oddVBand="0" w:evenVBand="0" w:oddHBand="0" w:evenHBand="0" w:firstRowFirstColumn="0" w:firstRowLastColumn="0" w:lastRowFirstColumn="0" w:lastRowLastColumn="0"/>
          <w:jc w:val="center"/>
        </w:trPr>
        <w:tc>
          <w:tcPr>
            <w:tcW w:w="5361" w:type="dxa"/>
            <w:shd w:val="clear" w:color="auto" w:fill="FFFFFF" w:themeFill="background1"/>
          </w:tcPr>
          <w:p w14:paraId="5CF98F90" w14:textId="1DE7CBD4" w:rsidR="007C3CAD" w:rsidRPr="00AB2850" w:rsidRDefault="007C3CAD" w:rsidP="009609B9">
            <w:pPr>
              <w:pStyle w:val="ChartMainHeading"/>
              <w:rPr>
                <w:rFonts w:cs="Calibri Light"/>
                <w:sz w:val="22"/>
              </w:rPr>
            </w:pPr>
            <w:r w:rsidRPr="00D16F51">
              <w:lastRenderedPageBreak/>
              <w:t xml:space="preserve">Figure </w:t>
            </w:r>
            <w:r w:rsidR="00892305">
              <w:t>3</w:t>
            </w:r>
            <w:r w:rsidRPr="00D16F51">
              <w:t xml:space="preserve">: </w:t>
            </w:r>
            <w:r w:rsidR="00892305">
              <w:t>Generally used channels for paying a</w:t>
            </w:r>
            <w:r w:rsidR="00704CC4">
              <w:t> </w:t>
            </w:r>
            <w:r w:rsidR="00892305">
              <w:t>bill</w:t>
            </w:r>
            <w:r w:rsidRPr="00D16F51">
              <w:t xml:space="preserve"> (</w:t>
            </w:r>
            <w:r w:rsidR="007E6942">
              <w:t>Regional Australia</w:t>
            </w:r>
            <w:r w:rsidRPr="00D16F51">
              <w:t>)</w:t>
            </w:r>
          </w:p>
        </w:tc>
      </w:tr>
      <w:tr w:rsidR="000D04F5" w14:paraId="39B1E001" w14:textId="77777777" w:rsidTr="00585C89">
        <w:trPr>
          <w:jc w:val="center"/>
        </w:trPr>
        <w:tc>
          <w:tcPr>
            <w:tcW w:w="5361" w:type="dxa"/>
          </w:tcPr>
          <w:p w14:paraId="71118CA1" w14:textId="68F48257" w:rsidR="007C3CAD" w:rsidRDefault="00D968B0" w:rsidP="003071AE">
            <w:pPr>
              <w:pStyle w:val="ChartGraphic"/>
              <w:rPr>
                <w:rFonts w:cs="Calibri Light"/>
                <w:szCs w:val="22"/>
              </w:rPr>
            </w:pPr>
            <w:r w:rsidRPr="00D968B0">
              <w:rPr>
                <w:rFonts w:cs="Calibri Light"/>
                <w:noProof/>
                <w:szCs w:val="22"/>
              </w:rPr>
              <w:drawing>
                <wp:inline distT="0" distB="0" distL="0" distR="0" wp14:anchorId="1594527A" wp14:editId="23886AA1">
                  <wp:extent cx="2905125" cy="2886075"/>
                  <wp:effectExtent l="0" t="0" r="9525" b="9525"/>
                  <wp:docPr id="13" name="Picture 13" descr="This chart reports the generally used channels for paying a bill in regional Australia, showing the portions of regional Australians generally using the payment channels of Internet banking, Mobile banking apps, Branch and Telephone call in September 2020 and June 2022. The chart shows that the two most generally used channels for paying a bill in regional Australia for both periods had been internet banking and mobile banking apps. As of June 2022, around 80 per cent of regional Australians generally used internet banking or mobile apps to pay bills, while 5 per cent used a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chart reports the generally used channels for paying a bill in regional Australia, showing the portions of regional Australians generally using the payment channels of Internet banking, Mobile banking apps, Branch and Telephone call in September 2020 and June 2022. The chart shows that the two most generally used channels for paying a bill in regional Australia for both periods had been internet banking and mobile banking apps. As of June 2022, around 80 per cent of regional Australians generally used internet banking or mobile apps to pay bills, while 5 per cent used a branc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5125" cy="2886075"/>
                          </a:xfrm>
                          <a:prstGeom prst="rect">
                            <a:avLst/>
                          </a:prstGeom>
                          <a:noFill/>
                          <a:ln>
                            <a:noFill/>
                          </a:ln>
                        </pic:spPr>
                      </pic:pic>
                    </a:graphicData>
                  </a:graphic>
                </wp:inline>
              </w:drawing>
            </w:r>
            <w:r w:rsidR="005C6DD4" w:rsidRPr="005C6DD4" w:rsidDel="001D1FD9">
              <w:rPr>
                <w:rFonts w:cs="Calibri Light"/>
                <w:noProof/>
                <w:szCs w:val="22"/>
              </w:rPr>
              <w:t xml:space="preserve"> </w:t>
            </w:r>
          </w:p>
        </w:tc>
      </w:tr>
    </w:tbl>
    <w:p w14:paraId="31AF48F4" w14:textId="10F7E714" w:rsidR="007C3CAD" w:rsidRPr="00210733" w:rsidRDefault="007C3CAD" w:rsidP="009609B9">
      <w:pPr>
        <w:pStyle w:val="ChartorTableNote"/>
      </w:pPr>
      <w:r w:rsidRPr="00091836">
        <w:t xml:space="preserve">Note: </w:t>
      </w:r>
      <w:r w:rsidR="00210733" w:rsidRPr="00C22DA4">
        <w:t xml:space="preserve">There is a slight change in data collection methodology in the two time periods resulting in data for September </w:t>
      </w:r>
      <w:r w:rsidR="002C0E2B">
        <w:t xml:space="preserve">2020 </w:t>
      </w:r>
      <w:r w:rsidR="00210733" w:rsidRPr="00C22DA4">
        <w:t>summing to &gt;100% due to an option for multiple response, while data for June</w:t>
      </w:r>
      <w:r w:rsidR="00911591">
        <w:t xml:space="preserve"> 2022</w:t>
      </w:r>
      <w:r w:rsidR="00210733" w:rsidRPr="00C22DA4">
        <w:t xml:space="preserve"> sums to &lt;100% as data is single response and excludes the category </w:t>
      </w:r>
      <w:r w:rsidR="001D4A21">
        <w:t>‘</w:t>
      </w:r>
      <w:r w:rsidR="00210733" w:rsidRPr="00C22DA4">
        <w:t>other</w:t>
      </w:r>
      <w:r w:rsidR="001D4A21">
        <w:t>’</w:t>
      </w:r>
      <w:r w:rsidR="00210733">
        <w:t>.</w:t>
      </w:r>
      <w:r w:rsidRPr="0079546E">
        <w:t xml:space="preserve"> </w:t>
      </w:r>
    </w:p>
    <w:p w14:paraId="2C29941A" w14:textId="335FC9DA" w:rsidR="00242CD5" w:rsidRPr="00404334" w:rsidRDefault="007C3CAD" w:rsidP="009609B9">
      <w:pPr>
        <w:pStyle w:val="ChartorTableNote"/>
      </w:pPr>
      <w:r w:rsidRPr="00091836">
        <w:t xml:space="preserve">Source: </w:t>
      </w:r>
      <w:r w:rsidR="0079546E" w:rsidRPr="00404334">
        <w:t>RFi Group.</w:t>
      </w:r>
    </w:p>
    <w:p w14:paraId="17E13BA4" w14:textId="77777777" w:rsidR="00242CD5" w:rsidRPr="00E0440E" w:rsidRDefault="00242CD5" w:rsidP="00E0440E">
      <w:pPr>
        <w:pStyle w:val="SingleParagraph"/>
        <w:rPr>
          <w:sz w:val="16"/>
          <w:szCs w:val="16"/>
        </w:rPr>
      </w:pPr>
    </w:p>
    <w:p w14:paraId="2451CB19" w14:textId="52D7F0DB" w:rsidR="00A817FF" w:rsidRPr="00B34533" w:rsidRDefault="00A817FF" w:rsidP="009609B9">
      <w:pPr>
        <w:pStyle w:val="TableMainHeading"/>
        <w:rPr>
          <w:b/>
          <w:bCs/>
        </w:rPr>
      </w:pPr>
      <w:bookmarkStart w:id="35" w:name="_Toc115190889"/>
      <w:bookmarkStart w:id="36" w:name="_Toc107987040"/>
      <w:r w:rsidRPr="00B34533">
        <w:rPr>
          <w:b/>
          <w:bCs/>
        </w:rPr>
        <w:t xml:space="preserve">Table 1: </w:t>
      </w:r>
      <w:r w:rsidR="007B49CD" w:rsidRPr="00B34533">
        <w:rPr>
          <w:b/>
          <w:bCs/>
        </w:rPr>
        <w:t xml:space="preserve">Selected </w:t>
      </w:r>
      <w:r w:rsidR="00930264" w:rsidRPr="00B34533">
        <w:rPr>
          <w:b/>
          <w:bCs/>
        </w:rPr>
        <w:t>b</w:t>
      </w:r>
      <w:r w:rsidRPr="00B34533">
        <w:rPr>
          <w:b/>
          <w:bCs/>
        </w:rPr>
        <w:t>ank services by mode of delivery</w:t>
      </w:r>
      <w:bookmarkEnd w:id="35"/>
      <w:r w:rsidRPr="00B34533">
        <w:rPr>
          <w:b/>
          <w:bCs/>
        </w:rPr>
        <w:t xml:space="preserve"> </w:t>
      </w:r>
      <w:bookmarkEnd w:id="36"/>
    </w:p>
    <w:tbl>
      <w:tblPr>
        <w:tblStyle w:val="TableGrid"/>
        <w:tblW w:w="5000" w:type="pct"/>
        <w:tblLayout w:type="fixed"/>
        <w:tblCellMar>
          <w:left w:w="0" w:type="dxa"/>
          <w:right w:w="28" w:type="dxa"/>
        </w:tblCellMar>
        <w:tblLook w:val="04A0" w:firstRow="1" w:lastRow="0" w:firstColumn="1" w:lastColumn="0" w:noHBand="0" w:noVBand="1"/>
      </w:tblPr>
      <w:tblGrid>
        <w:gridCol w:w="2943"/>
        <w:gridCol w:w="842"/>
        <w:gridCol w:w="1261"/>
        <w:gridCol w:w="1445"/>
        <w:gridCol w:w="1199"/>
        <w:gridCol w:w="1380"/>
      </w:tblGrid>
      <w:tr w:rsidR="00A817FF" w:rsidRPr="006F09F2" w14:paraId="03A2A7FA" w14:textId="77777777" w:rsidTr="006477D1">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2C384A" w:themeFill="accent1"/>
          </w:tcPr>
          <w:p w14:paraId="70E93C58" w14:textId="77777777" w:rsidR="00A817FF" w:rsidRPr="006F09F2" w:rsidRDefault="00A817FF" w:rsidP="00AB2850">
            <w:pPr>
              <w:pStyle w:val="TableTextLeft"/>
              <w:jc w:val="right"/>
            </w:pPr>
          </w:p>
        </w:tc>
        <w:tc>
          <w:tcPr>
            <w:tcW w:w="851" w:type="dxa"/>
            <w:shd w:val="clear" w:color="auto" w:fill="2C384A" w:themeFill="accent1"/>
          </w:tcPr>
          <w:p w14:paraId="3EBCFA00" w14:textId="77777777" w:rsidR="00A817FF" w:rsidRPr="00E0440E" w:rsidRDefault="00A817FF" w:rsidP="001F5563">
            <w:pPr>
              <w:pStyle w:val="TableColumnHeadingCentred"/>
              <w:rPr>
                <w:rStyle w:val="Strong"/>
                <w:color w:val="FFFFFF" w:themeColor="background1"/>
              </w:rPr>
            </w:pPr>
            <w:r w:rsidRPr="00E0440E">
              <w:rPr>
                <w:rStyle w:val="Strong"/>
                <w:color w:val="FFFFFF" w:themeColor="background1"/>
              </w:rPr>
              <w:t>Branch</w:t>
            </w:r>
          </w:p>
        </w:tc>
        <w:tc>
          <w:tcPr>
            <w:tcW w:w="1275" w:type="dxa"/>
            <w:shd w:val="clear" w:color="auto" w:fill="2C384A" w:themeFill="accent1"/>
          </w:tcPr>
          <w:p w14:paraId="72CF998E" w14:textId="77777777" w:rsidR="00A817FF" w:rsidRPr="00E0440E" w:rsidRDefault="00A817FF" w:rsidP="001F5563">
            <w:pPr>
              <w:pStyle w:val="TableColumnHeadingCentred"/>
              <w:rPr>
                <w:rStyle w:val="Strong"/>
                <w:color w:val="FFFFFF" w:themeColor="background1"/>
              </w:rPr>
            </w:pPr>
            <w:r w:rsidRPr="00E0440E">
              <w:rPr>
                <w:rStyle w:val="Strong"/>
                <w:color w:val="FFFFFF" w:themeColor="background1"/>
              </w:rPr>
              <w:t>Bank@Post</w:t>
            </w:r>
          </w:p>
        </w:tc>
        <w:tc>
          <w:tcPr>
            <w:tcW w:w="1461" w:type="dxa"/>
            <w:shd w:val="clear" w:color="auto" w:fill="2C384A" w:themeFill="accent1"/>
          </w:tcPr>
          <w:p w14:paraId="2142C856" w14:textId="77777777" w:rsidR="00A817FF" w:rsidRPr="00E0440E" w:rsidRDefault="00A817FF" w:rsidP="001F5563">
            <w:pPr>
              <w:pStyle w:val="TableColumnHeadingCentred"/>
              <w:rPr>
                <w:rStyle w:val="Strong"/>
                <w:color w:val="FFFFFF" w:themeColor="background1"/>
              </w:rPr>
            </w:pPr>
            <w:r w:rsidRPr="00E0440E">
              <w:rPr>
                <w:rStyle w:val="Strong"/>
                <w:color w:val="FFFFFF" w:themeColor="background1"/>
              </w:rPr>
              <w:t>App/Internet Banking</w:t>
            </w:r>
          </w:p>
        </w:tc>
        <w:tc>
          <w:tcPr>
            <w:tcW w:w="1213" w:type="dxa"/>
            <w:shd w:val="clear" w:color="auto" w:fill="2C384A" w:themeFill="accent1"/>
          </w:tcPr>
          <w:p w14:paraId="1A0C4683" w14:textId="77777777" w:rsidR="00A817FF" w:rsidRPr="00E0440E" w:rsidRDefault="00A817FF" w:rsidP="001F5563">
            <w:pPr>
              <w:pStyle w:val="TableColumnHeadingCentred"/>
              <w:rPr>
                <w:rStyle w:val="Strong"/>
                <w:color w:val="FFFFFF" w:themeColor="background1"/>
              </w:rPr>
            </w:pPr>
            <w:r w:rsidRPr="00E0440E">
              <w:rPr>
                <w:rStyle w:val="Strong"/>
                <w:color w:val="FFFFFF" w:themeColor="background1"/>
              </w:rPr>
              <w:t>Telephone/ Video</w:t>
            </w:r>
          </w:p>
        </w:tc>
        <w:tc>
          <w:tcPr>
            <w:tcW w:w="1396" w:type="dxa"/>
            <w:shd w:val="clear" w:color="auto" w:fill="2C384A" w:themeFill="accent1"/>
          </w:tcPr>
          <w:p w14:paraId="63F9DD10" w14:textId="77777777" w:rsidR="00A817FF" w:rsidRPr="00E0440E" w:rsidRDefault="00A817FF" w:rsidP="001F5563">
            <w:pPr>
              <w:pStyle w:val="TableColumnHeadingCentred"/>
              <w:rPr>
                <w:rStyle w:val="Strong"/>
                <w:color w:val="FFFFFF" w:themeColor="background1"/>
              </w:rPr>
            </w:pPr>
            <w:r w:rsidRPr="00E0440E">
              <w:rPr>
                <w:rStyle w:val="Strong"/>
                <w:color w:val="FFFFFF" w:themeColor="background1"/>
              </w:rPr>
              <w:t>ATM</w:t>
            </w:r>
          </w:p>
        </w:tc>
      </w:tr>
      <w:tr w:rsidR="00A817FF" w:rsidRPr="006F09F2" w14:paraId="7721E65D" w14:textId="77777777" w:rsidTr="006477D1">
        <w:tc>
          <w:tcPr>
            <w:tcW w:w="2977" w:type="dxa"/>
          </w:tcPr>
          <w:p w14:paraId="1212CA49" w14:textId="77777777" w:rsidR="00A817FF" w:rsidRPr="006F09F2" w:rsidRDefault="00A817FF" w:rsidP="00E0440E">
            <w:pPr>
              <w:pStyle w:val="TableColumnHeadingLeft"/>
              <w:rPr>
                <w:sz w:val="22"/>
              </w:rPr>
            </w:pPr>
            <w:r w:rsidRPr="006F09F2">
              <w:t>Open and close savings accounts </w:t>
            </w:r>
          </w:p>
        </w:tc>
        <w:tc>
          <w:tcPr>
            <w:tcW w:w="851" w:type="dxa"/>
          </w:tcPr>
          <w:p w14:paraId="75E7094A" w14:textId="77777777" w:rsidR="00A817FF" w:rsidRPr="006F09F2" w:rsidRDefault="00A817FF" w:rsidP="001F5563">
            <w:pPr>
              <w:pStyle w:val="TableTextCentered"/>
              <w:rPr>
                <w:sz w:val="22"/>
              </w:rPr>
            </w:pPr>
            <w:r w:rsidRPr="006F09F2">
              <w:t>Yes</w:t>
            </w:r>
          </w:p>
        </w:tc>
        <w:tc>
          <w:tcPr>
            <w:tcW w:w="1275" w:type="dxa"/>
          </w:tcPr>
          <w:p w14:paraId="3B5C539E" w14:textId="77777777" w:rsidR="00A817FF" w:rsidRPr="006F09F2" w:rsidRDefault="00A817FF" w:rsidP="001F5563">
            <w:pPr>
              <w:pStyle w:val="TableTextCentered"/>
              <w:rPr>
                <w:sz w:val="22"/>
              </w:rPr>
            </w:pPr>
            <w:r w:rsidRPr="006F09F2">
              <w:rPr>
                <w:color w:val="FF0000"/>
              </w:rPr>
              <w:t>No</w:t>
            </w:r>
          </w:p>
        </w:tc>
        <w:tc>
          <w:tcPr>
            <w:tcW w:w="1461" w:type="dxa"/>
          </w:tcPr>
          <w:p w14:paraId="6000B86D" w14:textId="77777777" w:rsidR="00A817FF" w:rsidRPr="006F09F2" w:rsidRDefault="00A817FF" w:rsidP="001F5563">
            <w:pPr>
              <w:pStyle w:val="TableTextCentered"/>
              <w:rPr>
                <w:sz w:val="22"/>
              </w:rPr>
            </w:pPr>
            <w:r w:rsidRPr="006F09F2">
              <w:t>Yes (open only)</w:t>
            </w:r>
          </w:p>
        </w:tc>
        <w:tc>
          <w:tcPr>
            <w:tcW w:w="1213" w:type="dxa"/>
          </w:tcPr>
          <w:p w14:paraId="16B01A3F" w14:textId="77777777" w:rsidR="00A817FF" w:rsidRPr="006F09F2" w:rsidRDefault="00A817FF" w:rsidP="001F5563">
            <w:pPr>
              <w:pStyle w:val="TableTextCentered"/>
            </w:pPr>
            <w:r w:rsidRPr="006F09F2">
              <w:t>Yes</w:t>
            </w:r>
          </w:p>
        </w:tc>
        <w:tc>
          <w:tcPr>
            <w:tcW w:w="1396" w:type="dxa"/>
          </w:tcPr>
          <w:p w14:paraId="7CEBA4E5" w14:textId="77777777" w:rsidR="00A817FF" w:rsidRPr="006F09F2" w:rsidRDefault="00A817FF" w:rsidP="001F5563">
            <w:pPr>
              <w:pStyle w:val="TableTextCentered"/>
              <w:rPr>
                <w:sz w:val="22"/>
              </w:rPr>
            </w:pPr>
            <w:r w:rsidRPr="006F09F2">
              <w:rPr>
                <w:color w:val="FF0000"/>
              </w:rPr>
              <w:t>No</w:t>
            </w:r>
          </w:p>
        </w:tc>
      </w:tr>
      <w:tr w:rsidR="00A817FF" w:rsidRPr="006F09F2" w14:paraId="0D34349A" w14:textId="77777777" w:rsidTr="006477D1">
        <w:tc>
          <w:tcPr>
            <w:tcW w:w="2977" w:type="dxa"/>
          </w:tcPr>
          <w:p w14:paraId="6A8F83AE" w14:textId="77777777" w:rsidR="00A817FF" w:rsidRPr="006F09F2" w:rsidRDefault="00A817FF" w:rsidP="00E0440E">
            <w:pPr>
              <w:pStyle w:val="TableColumnHeadingLeft"/>
              <w:rPr>
                <w:sz w:val="22"/>
              </w:rPr>
            </w:pPr>
            <w:r w:rsidRPr="006F09F2">
              <w:t>Withdraw cash </w:t>
            </w:r>
          </w:p>
        </w:tc>
        <w:tc>
          <w:tcPr>
            <w:tcW w:w="851" w:type="dxa"/>
          </w:tcPr>
          <w:p w14:paraId="1EBB9AD5" w14:textId="77777777" w:rsidR="00A817FF" w:rsidRPr="006F09F2" w:rsidRDefault="00A817FF" w:rsidP="001F5563">
            <w:pPr>
              <w:pStyle w:val="TableTextCentered"/>
              <w:rPr>
                <w:sz w:val="22"/>
              </w:rPr>
            </w:pPr>
            <w:r w:rsidRPr="006F09F2">
              <w:t>Yes</w:t>
            </w:r>
          </w:p>
        </w:tc>
        <w:tc>
          <w:tcPr>
            <w:tcW w:w="1275" w:type="dxa"/>
          </w:tcPr>
          <w:p w14:paraId="1E2F9115" w14:textId="77777777" w:rsidR="00A817FF" w:rsidRPr="006F09F2" w:rsidRDefault="00A817FF" w:rsidP="001F5563">
            <w:pPr>
              <w:pStyle w:val="TableTextCentered"/>
              <w:rPr>
                <w:sz w:val="22"/>
              </w:rPr>
            </w:pPr>
            <w:r w:rsidRPr="006F09F2">
              <w:t>Yes</w:t>
            </w:r>
          </w:p>
        </w:tc>
        <w:tc>
          <w:tcPr>
            <w:tcW w:w="1461" w:type="dxa"/>
          </w:tcPr>
          <w:p w14:paraId="21DD92D8" w14:textId="77777777" w:rsidR="00A817FF" w:rsidRPr="006F09F2" w:rsidRDefault="00A817FF" w:rsidP="001F5563">
            <w:pPr>
              <w:pStyle w:val="TableTextCentered"/>
              <w:rPr>
                <w:sz w:val="22"/>
              </w:rPr>
            </w:pPr>
            <w:r w:rsidRPr="006F09F2">
              <w:rPr>
                <w:color w:val="FF0000"/>
              </w:rPr>
              <w:t>No</w:t>
            </w:r>
          </w:p>
        </w:tc>
        <w:tc>
          <w:tcPr>
            <w:tcW w:w="1213" w:type="dxa"/>
          </w:tcPr>
          <w:p w14:paraId="4C57357F" w14:textId="77777777" w:rsidR="00A817FF" w:rsidRPr="006F09F2" w:rsidRDefault="00A817FF" w:rsidP="001F5563">
            <w:pPr>
              <w:pStyle w:val="TableTextCentered"/>
              <w:rPr>
                <w:color w:val="FF0000"/>
              </w:rPr>
            </w:pPr>
            <w:r w:rsidRPr="006F09F2">
              <w:rPr>
                <w:color w:val="FF0000"/>
              </w:rPr>
              <w:t>No</w:t>
            </w:r>
          </w:p>
        </w:tc>
        <w:tc>
          <w:tcPr>
            <w:tcW w:w="1396" w:type="dxa"/>
          </w:tcPr>
          <w:p w14:paraId="48AC187C" w14:textId="77777777" w:rsidR="00A817FF" w:rsidRPr="006F09F2" w:rsidRDefault="00A817FF" w:rsidP="001F5563">
            <w:pPr>
              <w:pStyle w:val="TableTextCentered"/>
              <w:rPr>
                <w:sz w:val="22"/>
              </w:rPr>
            </w:pPr>
            <w:r w:rsidRPr="006F09F2">
              <w:t>Yes</w:t>
            </w:r>
          </w:p>
        </w:tc>
      </w:tr>
      <w:tr w:rsidR="00A817FF" w:rsidRPr="006F09F2" w14:paraId="7F385827" w14:textId="77777777" w:rsidTr="006477D1">
        <w:tc>
          <w:tcPr>
            <w:tcW w:w="2977" w:type="dxa"/>
          </w:tcPr>
          <w:p w14:paraId="26D2AC79" w14:textId="77777777" w:rsidR="00A817FF" w:rsidRPr="006F09F2" w:rsidRDefault="00A817FF" w:rsidP="00E0440E">
            <w:pPr>
              <w:pStyle w:val="TableColumnHeadingLeft"/>
              <w:rPr>
                <w:sz w:val="22"/>
              </w:rPr>
            </w:pPr>
            <w:r w:rsidRPr="006F09F2">
              <w:t>Deposit cash </w:t>
            </w:r>
          </w:p>
        </w:tc>
        <w:tc>
          <w:tcPr>
            <w:tcW w:w="851" w:type="dxa"/>
          </w:tcPr>
          <w:p w14:paraId="7B2F5E18" w14:textId="77777777" w:rsidR="00A817FF" w:rsidRPr="006F09F2" w:rsidRDefault="00A817FF" w:rsidP="001F5563">
            <w:pPr>
              <w:pStyle w:val="TableTextCentered"/>
              <w:rPr>
                <w:sz w:val="22"/>
              </w:rPr>
            </w:pPr>
            <w:r w:rsidRPr="006F09F2">
              <w:t>Yes</w:t>
            </w:r>
          </w:p>
        </w:tc>
        <w:tc>
          <w:tcPr>
            <w:tcW w:w="1275" w:type="dxa"/>
          </w:tcPr>
          <w:p w14:paraId="6339AB23" w14:textId="77777777" w:rsidR="00A817FF" w:rsidRPr="006F09F2" w:rsidRDefault="00A817FF" w:rsidP="001F5563">
            <w:pPr>
              <w:pStyle w:val="TableTextCentered"/>
              <w:rPr>
                <w:sz w:val="22"/>
              </w:rPr>
            </w:pPr>
            <w:r w:rsidRPr="006F09F2">
              <w:t>Yes</w:t>
            </w:r>
          </w:p>
        </w:tc>
        <w:tc>
          <w:tcPr>
            <w:tcW w:w="1461" w:type="dxa"/>
          </w:tcPr>
          <w:p w14:paraId="366757A0" w14:textId="77777777" w:rsidR="00A817FF" w:rsidRPr="006F09F2" w:rsidRDefault="00A817FF" w:rsidP="001F5563">
            <w:pPr>
              <w:pStyle w:val="TableTextCentered"/>
              <w:rPr>
                <w:sz w:val="22"/>
              </w:rPr>
            </w:pPr>
            <w:r w:rsidRPr="006F09F2">
              <w:rPr>
                <w:color w:val="FF0000"/>
              </w:rPr>
              <w:t>No</w:t>
            </w:r>
          </w:p>
        </w:tc>
        <w:tc>
          <w:tcPr>
            <w:tcW w:w="1213" w:type="dxa"/>
          </w:tcPr>
          <w:p w14:paraId="35995CE8" w14:textId="77777777" w:rsidR="00A817FF" w:rsidRPr="006F09F2" w:rsidRDefault="00A817FF" w:rsidP="001F5563">
            <w:pPr>
              <w:pStyle w:val="TableTextCentered"/>
              <w:rPr>
                <w:color w:val="FF0000"/>
              </w:rPr>
            </w:pPr>
            <w:r w:rsidRPr="006F09F2">
              <w:rPr>
                <w:color w:val="FF0000"/>
              </w:rPr>
              <w:t>No</w:t>
            </w:r>
          </w:p>
        </w:tc>
        <w:tc>
          <w:tcPr>
            <w:tcW w:w="1396" w:type="dxa"/>
          </w:tcPr>
          <w:p w14:paraId="578E0A92" w14:textId="77777777" w:rsidR="00A817FF" w:rsidRPr="006F09F2" w:rsidRDefault="00A817FF" w:rsidP="001F5563">
            <w:pPr>
              <w:pStyle w:val="TableTextCentered"/>
              <w:rPr>
                <w:sz w:val="22"/>
              </w:rPr>
            </w:pPr>
            <w:r w:rsidRPr="006F09F2">
              <w:t>Smart ATMs</w:t>
            </w:r>
          </w:p>
        </w:tc>
      </w:tr>
      <w:tr w:rsidR="00A817FF" w:rsidRPr="006F09F2" w14:paraId="7743EFB0" w14:textId="77777777" w:rsidTr="006477D1">
        <w:tc>
          <w:tcPr>
            <w:tcW w:w="2977" w:type="dxa"/>
          </w:tcPr>
          <w:p w14:paraId="2F9ADD8F" w14:textId="77777777" w:rsidR="00A817FF" w:rsidRPr="006F09F2" w:rsidRDefault="00A817FF" w:rsidP="00E0440E">
            <w:pPr>
              <w:pStyle w:val="TableColumnHeadingLeft"/>
              <w:rPr>
                <w:sz w:val="22"/>
              </w:rPr>
            </w:pPr>
            <w:r w:rsidRPr="006F09F2">
              <w:t>Check account details &amp; balance </w:t>
            </w:r>
          </w:p>
        </w:tc>
        <w:tc>
          <w:tcPr>
            <w:tcW w:w="851" w:type="dxa"/>
          </w:tcPr>
          <w:p w14:paraId="6332877F" w14:textId="77777777" w:rsidR="00A817FF" w:rsidRPr="006F09F2" w:rsidRDefault="00A817FF" w:rsidP="001F5563">
            <w:pPr>
              <w:pStyle w:val="TableTextCentered"/>
              <w:rPr>
                <w:sz w:val="22"/>
              </w:rPr>
            </w:pPr>
            <w:r w:rsidRPr="006F09F2">
              <w:t>Yes</w:t>
            </w:r>
          </w:p>
        </w:tc>
        <w:tc>
          <w:tcPr>
            <w:tcW w:w="1275" w:type="dxa"/>
          </w:tcPr>
          <w:p w14:paraId="2484F718" w14:textId="77777777" w:rsidR="00A817FF" w:rsidRPr="006F09F2" w:rsidRDefault="00A817FF" w:rsidP="001F5563">
            <w:pPr>
              <w:pStyle w:val="TableTextCentered"/>
              <w:rPr>
                <w:sz w:val="22"/>
              </w:rPr>
            </w:pPr>
            <w:r w:rsidRPr="006F09F2">
              <w:t>Yes</w:t>
            </w:r>
          </w:p>
        </w:tc>
        <w:tc>
          <w:tcPr>
            <w:tcW w:w="1461" w:type="dxa"/>
          </w:tcPr>
          <w:p w14:paraId="1C081309" w14:textId="77777777" w:rsidR="00A817FF" w:rsidRPr="006F09F2" w:rsidRDefault="00A817FF" w:rsidP="001F5563">
            <w:pPr>
              <w:pStyle w:val="TableTextCentered"/>
              <w:rPr>
                <w:sz w:val="22"/>
              </w:rPr>
            </w:pPr>
            <w:r w:rsidRPr="006F09F2">
              <w:t>Yes</w:t>
            </w:r>
          </w:p>
        </w:tc>
        <w:tc>
          <w:tcPr>
            <w:tcW w:w="1213" w:type="dxa"/>
          </w:tcPr>
          <w:p w14:paraId="7CCF0666" w14:textId="77777777" w:rsidR="00A817FF" w:rsidRPr="006F09F2" w:rsidRDefault="00A817FF" w:rsidP="001F5563">
            <w:pPr>
              <w:pStyle w:val="TableTextCentered"/>
            </w:pPr>
            <w:r w:rsidRPr="006F09F2">
              <w:t>Yes</w:t>
            </w:r>
          </w:p>
        </w:tc>
        <w:tc>
          <w:tcPr>
            <w:tcW w:w="1396" w:type="dxa"/>
          </w:tcPr>
          <w:p w14:paraId="2D3577DC" w14:textId="77777777" w:rsidR="00A817FF" w:rsidRPr="006F09F2" w:rsidRDefault="00A817FF" w:rsidP="001F5563">
            <w:pPr>
              <w:pStyle w:val="TableTextCentered"/>
              <w:rPr>
                <w:sz w:val="22"/>
              </w:rPr>
            </w:pPr>
            <w:r w:rsidRPr="006F09F2">
              <w:t>Yes</w:t>
            </w:r>
          </w:p>
        </w:tc>
      </w:tr>
      <w:tr w:rsidR="00A817FF" w:rsidRPr="006F09F2" w14:paraId="7A491FCF" w14:textId="77777777" w:rsidTr="006477D1">
        <w:tc>
          <w:tcPr>
            <w:tcW w:w="2977" w:type="dxa"/>
          </w:tcPr>
          <w:p w14:paraId="044F18B2" w14:textId="77777777" w:rsidR="00A817FF" w:rsidRPr="006F09F2" w:rsidRDefault="00A817FF" w:rsidP="00E0440E">
            <w:pPr>
              <w:pStyle w:val="TableColumnHeadingLeft"/>
              <w:rPr>
                <w:sz w:val="22"/>
              </w:rPr>
            </w:pPr>
            <w:r w:rsidRPr="006F09F2">
              <w:t>Deposit cheques </w:t>
            </w:r>
          </w:p>
        </w:tc>
        <w:tc>
          <w:tcPr>
            <w:tcW w:w="851" w:type="dxa"/>
          </w:tcPr>
          <w:p w14:paraId="69730B8D" w14:textId="77777777" w:rsidR="00A817FF" w:rsidRPr="006F09F2" w:rsidRDefault="00A817FF" w:rsidP="001F5563">
            <w:pPr>
              <w:pStyle w:val="TableTextCentered"/>
              <w:rPr>
                <w:sz w:val="22"/>
              </w:rPr>
            </w:pPr>
            <w:r w:rsidRPr="006F09F2">
              <w:t>Yes</w:t>
            </w:r>
          </w:p>
        </w:tc>
        <w:tc>
          <w:tcPr>
            <w:tcW w:w="1275" w:type="dxa"/>
          </w:tcPr>
          <w:p w14:paraId="7D8F0479" w14:textId="77777777" w:rsidR="00A817FF" w:rsidRPr="006F09F2" w:rsidRDefault="00A817FF" w:rsidP="001F5563">
            <w:pPr>
              <w:pStyle w:val="TableTextCentered"/>
              <w:rPr>
                <w:sz w:val="22"/>
              </w:rPr>
            </w:pPr>
            <w:r w:rsidRPr="006F09F2">
              <w:t>Yes</w:t>
            </w:r>
          </w:p>
        </w:tc>
        <w:tc>
          <w:tcPr>
            <w:tcW w:w="1461" w:type="dxa"/>
          </w:tcPr>
          <w:p w14:paraId="72AB9781" w14:textId="5AC693DF" w:rsidR="00A817FF" w:rsidRPr="006F09F2" w:rsidRDefault="00A817FF" w:rsidP="001F5563">
            <w:pPr>
              <w:pStyle w:val="TableTextCentered"/>
              <w:rPr>
                <w:sz w:val="22"/>
              </w:rPr>
            </w:pPr>
            <w:r w:rsidRPr="000121E9">
              <w:t>Yes</w:t>
            </w:r>
            <w:r w:rsidRPr="000121E9">
              <w:rPr>
                <w:sz w:val="22"/>
              </w:rPr>
              <w:t xml:space="preserve"> </w:t>
            </w:r>
            <w:r w:rsidRPr="000121E9">
              <w:t>(</w:t>
            </w:r>
            <w:r w:rsidR="000D7B4A">
              <w:t>u</w:t>
            </w:r>
            <w:r w:rsidRPr="000121E9">
              <w:t>p</w:t>
            </w:r>
            <w:r w:rsidRPr="000121E9">
              <w:rPr>
                <w:sz w:val="22"/>
              </w:rPr>
              <w:t xml:space="preserve"> </w:t>
            </w:r>
            <w:r w:rsidRPr="000121E9">
              <w:t>to a limit)</w:t>
            </w:r>
          </w:p>
        </w:tc>
        <w:tc>
          <w:tcPr>
            <w:tcW w:w="1213" w:type="dxa"/>
          </w:tcPr>
          <w:p w14:paraId="3BE03250" w14:textId="77777777" w:rsidR="00A817FF" w:rsidRPr="006F09F2" w:rsidRDefault="00A817FF" w:rsidP="001F5563">
            <w:pPr>
              <w:pStyle w:val="TableTextCentered"/>
              <w:rPr>
                <w:color w:val="FF0000"/>
              </w:rPr>
            </w:pPr>
            <w:r w:rsidRPr="008B47E9">
              <w:rPr>
                <w:color w:val="FF0000"/>
              </w:rPr>
              <w:t>No</w:t>
            </w:r>
          </w:p>
        </w:tc>
        <w:tc>
          <w:tcPr>
            <w:tcW w:w="1396" w:type="dxa"/>
          </w:tcPr>
          <w:p w14:paraId="22F70A0B" w14:textId="0F23C961" w:rsidR="00A817FF" w:rsidRPr="006F09F2" w:rsidRDefault="00A817FF" w:rsidP="001F5563">
            <w:pPr>
              <w:pStyle w:val="TableTextCentered"/>
              <w:rPr>
                <w:sz w:val="22"/>
              </w:rPr>
            </w:pPr>
            <w:r w:rsidRPr="000121E9">
              <w:t>Yes (</w:t>
            </w:r>
            <w:r w:rsidR="000D7B4A">
              <w:t>w</w:t>
            </w:r>
            <w:r w:rsidRPr="000121E9">
              <w:t>ith limits)</w:t>
            </w:r>
          </w:p>
        </w:tc>
      </w:tr>
      <w:tr w:rsidR="00A817FF" w:rsidRPr="006F09F2" w14:paraId="70666DD5" w14:textId="77777777" w:rsidTr="006477D1">
        <w:tc>
          <w:tcPr>
            <w:tcW w:w="2977" w:type="dxa"/>
          </w:tcPr>
          <w:p w14:paraId="625643E7" w14:textId="77777777" w:rsidR="00A817FF" w:rsidRPr="006F09F2" w:rsidRDefault="00A817FF" w:rsidP="00E0440E">
            <w:pPr>
              <w:pStyle w:val="TableColumnHeadingLeft"/>
              <w:rPr>
                <w:sz w:val="22"/>
              </w:rPr>
            </w:pPr>
            <w:r w:rsidRPr="006F09F2">
              <w:t>Change for business floats </w:t>
            </w:r>
          </w:p>
        </w:tc>
        <w:tc>
          <w:tcPr>
            <w:tcW w:w="851" w:type="dxa"/>
          </w:tcPr>
          <w:p w14:paraId="2277F0ED" w14:textId="77777777" w:rsidR="00A817FF" w:rsidRPr="006F09F2" w:rsidRDefault="00A817FF" w:rsidP="001F5563">
            <w:pPr>
              <w:pStyle w:val="TableTextCentered"/>
              <w:rPr>
                <w:sz w:val="22"/>
              </w:rPr>
            </w:pPr>
            <w:r w:rsidRPr="006F09F2">
              <w:t>Yes</w:t>
            </w:r>
          </w:p>
        </w:tc>
        <w:tc>
          <w:tcPr>
            <w:tcW w:w="1275" w:type="dxa"/>
          </w:tcPr>
          <w:p w14:paraId="6E627F2C" w14:textId="77777777" w:rsidR="00A817FF" w:rsidRPr="006F09F2" w:rsidRDefault="00A817FF" w:rsidP="001F5563">
            <w:pPr>
              <w:pStyle w:val="TableTextCentered"/>
              <w:rPr>
                <w:sz w:val="22"/>
              </w:rPr>
            </w:pPr>
            <w:r w:rsidRPr="006F09F2">
              <w:t>Yes</w:t>
            </w:r>
          </w:p>
        </w:tc>
        <w:tc>
          <w:tcPr>
            <w:tcW w:w="1461" w:type="dxa"/>
          </w:tcPr>
          <w:p w14:paraId="53B5BB56" w14:textId="77777777" w:rsidR="00A817FF" w:rsidRPr="006F09F2" w:rsidRDefault="00A817FF" w:rsidP="001F5563">
            <w:pPr>
              <w:pStyle w:val="TableTextCentered"/>
              <w:rPr>
                <w:sz w:val="22"/>
              </w:rPr>
            </w:pPr>
            <w:r w:rsidRPr="006F09F2">
              <w:rPr>
                <w:color w:val="FF0000"/>
              </w:rPr>
              <w:t>No</w:t>
            </w:r>
          </w:p>
        </w:tc>
        <w:tc>
          <w:tcPr>
            <w:tcW w:w="1213" w:type="dxa"/>
          </w:tcPr>
          <w:p w14:paraId="7DE0B1EC" w14:textId="77777777" w:rsidR="00A817FF" w:rsidRPr="006F09F2" w:rsidRDefault="00A817FF" w:rsidP="001F5563">
            <w:pPr>
              <w:pStyle w:val="TableTextCentered"/>
              <w:rPr>
                <w:color w:val="FF0000"/>
              </w:rPr>
            </w:pPr>
            <w:r w:rsidRPr="006F09F2">
              <w:rPr>
                <w:color w:val="FF0000"/>
              </w:rPr>
              <w:t>No</w:t>
            </w:r>
          </w:p>
        </w:tc>
        <w:tc>
          <w:tcPr>
            <w:tcW w:w="1396" w:type="dxa"/>
          </w:tcPr>
          <w:p w14:paraId="3016A937" w14:textId="77777777" w:rsidR="00A817FF" w:rsidRPr="006F09F2" w:rsidRDefault="00A817FF" w:rsidP="001F5563">
            <w:pPr>
              <w:pStyle w:val="TableTextCentered"/>
              <w:rPr>
                <w:sz w:val="22"/>
              </w:rPr>
            </w:pPr>
            <w:r w:rsidRPr="006F09F2">
              <w:rPr>
                <w:color w:val="FF0000"/>
              </w:rPr>
              <w:t>No</w:t>
            </w:r>
          </w:p>
        </w:tc>
      </w:tr>
      <w:tr w:rsidR="00A817FF" w:rsidRPr="006F09F2" w14:paraId="2A6ABCD4" w14:textId="77777777" w:rsidTr="006477D1">
        <w:tc>
          <w:tcPr>
            <w:tcW w:w="2977" w:type="dxa"/>
          </w:tcPr>
          <w:p w14:paraId="24906FD4" w14:textId="77777777" w:rsidR="00A817FF" w:rsidRPr="006F09F2" w:rsidRDefault="00A817FF" w:rsidP="00E0440E">
            <w:pPr>
              <w:pStyle w:val="TableColumnHeadingLeft"/>
              <w:rPr>
                <w:sz w:val="22"/>
              </w:rPr>
            </w:pPr>
            <w:r w:rsidRPr="006F09F2">
              <w:t xml:space="preserve">Lock card/report card stolen </w:t>
            </w:r>
          </w:p>
        </w:tc>
        <w:tc>
          <w:tcPr>
            <w:tcW w:w="851" w:type="dxa"/>
          </w:tcPr>
          <w:p w14:paraId="541EDDC6" w14:textId="77777777" w:rsidR="00A817FF" w:rsidRPr="006F09F2" w:rsidRDefault="00A817FF" w:rsidP="001F5563">
            <w:pPr>
              <w:pStyle w:val="TableTextCentered"/>
              <w:rPr>
                <w:sz w:val="22"/>
              </w:rPr>
            </w:pPr>
            <w:r w:rsidRPr="006F09F2">
              <w:t>Yes</w:t>
            </w:r>
          </w:p>
        </w:tc>
        <w:tc>
          <w:tcPr>
            <w:tcW w:w="1275" w:type="dxa"/>
          </w:tcPr>
          <w:p w14:paraId="3F2ED2E4" w14:textId="77777777" w:rsidR="00A817FF" w:rsidRPr="006F09F2" w:rsidRDefault="00A817FF" w:rsidP="001F5563">
            <w:pPr>
              <w:pStyle w:val="TableTextCentered"/>
              <w:rPr>
                <w:color w:val="FF0000"/>
              </w:rPr>
            </w:pPr>
            <w:r w:rsidRPr="006F09F2">
              <w:rPr>
                <w:color w:val="FF0000"/>
              </w:rPr>
              <w:t>No</w:t>
            </w:r>
          </w:p>
        </w:tc>
        <w:tc>
          <w:tcPr>
            <w:tcW w:w="1461" w:type="dxa"/>
          </w:tcPr>
          <w:p w14:paraId="025D4621" w14:textId="77777777" w:rsidR="00A817FF" w:rsidRPr="006F09F2" w:rsidRDefault="00A817FF" w:rsidP="001F5563">
            <w:pPr>
              <w:pStyle w:val="TableTextCentered"/>
              <w:rPr>
                <w:sz w:val="22"/>
              </w:rPr>
            </w:pPr>
            <w:r w:rsidRPr="006F09F2">
              <w:t>Yes</w:t>
            </w:r>
          </w:p>
        </w:tc>
        <w:tc>
          <w:tcPr>
            <w:tcW w:w="1213" w:type="dxa"/>
          </w:tcPr>
          <w:p w14:paraId="4F581689" w14:textId="77777777" w:rsidR="00A817FF" w:rsidRPr="006F09F2" w:rsidRDefault="00A817FF" w:rsidP="001F5563">
            <w:pPr>
              <w:pStyle w:val="TableTextCentered"/>
            </w:pPr>
            <w:r w:rsidRPr="006F09F2">
              <w:t>Yes</w:t>
            </w:r>
          </w:p>
        </w:tc>
        <w:tc>
          <w:tcPr>
            <w:tcW w:w="1396" w:type="dxa"/>
          </w:tcPr>
          <w:p w14:paraId="0165689B" w14:textId="77777777" w:rsidR="00A817FF" w:rsidRPr="006F09F2" w:rsidRDefault="00A817FF" w:rsidP="001F5563">
            <w:pPr>
              <w:pStyle w:val="TableTextCentered"/>
              <w:rPr>
                <w:sz w:val="22"/>
              </w:rPr>
            </w:pPr>
            <w:r w:rsidRPr="006F09F2">
              <w:rPr>
                <w:color w:val="FF0000"/>
              </w:rPr>
              <w:t>No</w:t>
            </w:r>
          </w:p>
        </w:tc>
      </w:tr>
      <w:tr w:rsidR="00A817FF" w:rsidRPr="006F09F2" w14:paraId="5CFF030B" w14:textId="77777777" w:rsidTr="006477D1">
        <w:tc>
          <w:tcPr>
            <w:tcW w:w="2977" w:type="dxa"/>
          </w:tcPr>
          <w:p w14:paraId="5BDAE589" w14:textId="77777777" w:rsidR="00A817FF" w:rsidRPr="006F09F2" w:rsidRDefault="00A817FF" w:rsidP="00E0440E">
            <w:pPr>
              <w:pStyle w:val="TableColumnHeadingLeft"/>
              <w:rPr>
                <w:sz w:val="22"/>
              </w:rPr>
            </w:pPr>
            <w:r w:rsidRPr="006F09F2">
              <w:t>Card activation </w:t>
            </w:r>
          </w:p>
        </w:tc>
        <w:tc>
          <w:tcPr>
            <w:tcW w:w="851" w:type="dxa"/>
          </w:tcPr>
          <w:p w14:paraId="77A499E9" w14:textId="77777777" w:rsidR="00A817FF" w:rsidRPr="006F09F2" w:rsidRDefault="00A817FF" w:rsidP="001F5563">
            <w:pPr>
              <w:pStyle w:val="TableTextCentered"/>
              <w:rPr>
                <w:sz w:val="22"/>
              </w:rPr>
            </w:pPr>
            <w:r w:rsidRPr="006F09F2">
              <w:t>Yes</w:t>
            </w:r>
          </w:p>
        </w:tc>
        <w:tc>
          <w:tcPr>
            <w:tcW w:w="1275" w:type="dxa"/>
          </w:tcPr>
          <w:p w14:paraId="00B17FC7" w14:textId="77777777" w:rsidR="00A817FF" w:rsidRPr="006F09F2" w:rsidRDefault="00A817FF" w:rsidP="001F5563">
            <w:pPr>
              <w:pStyle w:val="TableTextCentered"/>
              <w:rPr>
                <w:color w:val="FF0000"/>
              </w:rPr>
            </w:pPr>
            <w:r w:rsidRPr="006F09F2">
              <w:rPr>
                <w:color w:val="FF0000"/>
              </w:rPr>
              <w:t>No</w:t>
            </w:r>
          </w:p>
        </w:tc>
        <w:tc>
          <w:tcPr>
            <w:tcW w:w="1461" w:type="dxa"/>
          </w:tcPr>
          <w:p w14:paraId="347F99C9" w14:textId="77777777" w:rsidR="00A817FF" w:rsidRPr="006F09F2" w:rsidRDefault="00A817FF" w:rsidP="001F5563">
            <w:pPr>
              <w:pStyle w:val="TableTextCentered"/>
              <w:rPr>
                <w:sz w:val="22"/>
              </w:rPr>
            </w:pPr>
            <w:r w:rsidRPr="006F09F2">
              <w:t>Yes</w:t>
            </w:r>
          </w:p>
        </w:tc>
        <w:tc>
          <w:tcPr>
            <w:tcW w:w="1213" w:type="dxa"/>
          </w:tcPr>
          <w:p w14:paraId="1E3B791B" w14:textId="77777777" w:rsidR="00A817FF" w:rsidRPr="006F09F2" w:rsidRDefault="00A817FF" w:rsidP="001F5563">
            <w:pPr>
              <w:pStyle w:val="TableTextCentered"/>
            </w:pPr>
            <w:r w:rsidRPr="006F09F2">
              <w:t>Yes</w:t>
            </w:r>
          </w:p>
        </w:tc>
        <w:tc>
          <w:tcPr>
            <w:tcW w:w="1396" w:type="dxa"/>
          </w:tcPr>
          <w:p w14:paraId="6AA1D1EB" w14:textId="77777777" w:rsidR="00A817FF" w:rsidRPr="006F09F2" w:rsidRDefault="00A817FF" w:rsidP="001F5563">
            <w:pPr>
              <w:pStyle w:val="TableTextCentered"/>
              <w:rPr>
                <w:sz w:val="22"/>
              </w:rPr>
            </w:pPr>
            <w:r w:rsidRPr="006F09F2">
              <w:rPr>
                <w:color w:val="FF0000"/>
              </w:rPr>
              <w:t>No</w:t>
            </w:r>
          </w:p>
        </w:tc>
      </w:tr>
      <w:tr w:rsidR="00A817FF" w:rsidRPr="006F09F2" w14:paraId="583671C2" w14:textId="77777777" w:rsidTr="006477D1">
        <w:tc>
          <w:tcPr>
            <w:tcW w:w="2977" w:type="dxa"/>
          </w:tcPr>
          <w:p w14:paraId="3E2496E9" w14:textId="77777777" w:rsidR="00A817FF" w:rsidRPr="006F09F2" w:rsidRDefault="00A817FF" w:rsidP="00E0440E">
            <w:pPr>
              <w:pStyle w:val="TableColumnHeadingLeft"/>
              <w:rPr>
                <w:sz w:val="22"/>
              </w:rPr>
            </w:pPr>
            <w:r w:rsidRPr="006F09F2">
              <w:t>Set or change a card PIN </w:t>
            </w:r>
          </w:p>
        </w:tc>
        <w:tc>
          <w:tcPr>
            <w:tcW w:w="851" w:type="dxa"/>
          </w:tcPr>
          <w:p w14:paraId="1CBE414A" w14:textId="77777777" w:rsidR="00A817FF" w:rsidRPr="006F09F2" w:rsidRDefault="00A817FF" w:rsidP="001F5563">
            <w:pPr>
              <w:pStyle w:val="TableTextCentered"/>
              <w:rPr>
                <w:sz w:val="22"/>
              </w:rPr>
            </w:pPr>
            <w:r w:rsidRPr="006F09F2">
              <w:t>Yes</w:t>
            </w:r>
          </w:p>
        </w:tc>
        <w:tc>
          <w:tcPr>
            <w:tcW w:w="1275" w:type="dxa"/>
          </w:tcPr>
          <w:p w14:paraId="49DB62CA" w14:textId="77777777" w:rsidR="00A817FF" w:rsidRPr="006F09F2" w:rsidRDefault="00A817FF" w:rsidP="001F5563">
            <w:pPr>
              <w:pStyle w:val="TableTextCentered"/>
              <w:rPr>
                <w:color w:val="FF0000"/>
              </w:rPr>
            </w:pPr>
            <w:r w:rsidRPr="006F09F2">
              <w:rPr>
                <w:color w:val="FF0000"/>
              </w:rPr>
              <w:t>No</w:t>
            </w:r>
          </w:p>
        </w:tc>
        <w:tc>
          <w:tcPr>
            <w:tcW w:w="1461" w:type="dxa"/>
          </w:tcPr>
          <w:p w14:paraId="0069ADFD" w14:textId="77777777" w:rsidR="00A817FF" w:rsidRPr="006F09F2" w:rsidRDefault="00A817FF" w:rsidP="001F5563">
            <w:pPr>
              <w:pStyle w:val="TableTextCentered"/>
              <w:rPr>
                <w:sz w:val="22"/>
              </w:rPr>
            </w:pPr>
            <w:r w:rsidRPr="006F09F2">
              <w:t>Yes</w:t>
            </w:r>
          </w:p>
        </w:tc>
        <w:tc>
          <w:tcPr>
            <w:tcW w:w="1213" w:type="dxa"/>
          </w:tcPr>
          <w:p w14:paraId="714464C6" w14:textId="77777777" w:rsidR="00A817FF" w:rsidRPr="006F09F2" w:rsidRDefault="00A817FF" w:rsidP="001F5563">
            <w:pPr>
              <w:pStyle w:val="TableTextCentered"/>
              <w:rPr>
                <w:color w:val="FF0000"/>
              </w:rPr>
            </w:pPr>
            <w:r w:rsidRPr="006F09F2">
              <w:rPr>
                <w:color w:val="FF0000"/>
              </w:rPr>
              <w:t>No</w:t>
            </w:r>
          </w:p>
        </w:tc>
        <w:tc>
          <w:tcPr>
            <w:tcW w:w="1396" w:type="dxa"/>
          </w:tcPr>
          <w:p w14:paraId="67DB0407" w14:textId="77777777" w:rsidR="00A817FF" w:rsidRPr="006F09F2" w:rsidRDefault="00A817FF" w:rsidP="001F5563">
            <w:pPr>
              <w:pStyle w:val="TableTextCentered"/>
              <w:rPr>
                <w:sz w:val="22"/>
              </w:rPr>
            </w:pPr>
            <w:r w:rsidRPr="000121E9">
              <w:t>Yes</w:t>
            </w:r>
          </w:p>
        </w:tc>
      </w:tr>
      <w:tr w:rsidR="00A817FF" w:rsidRPr="006F09F2" w14:paraId="7317D4FC" w14:textId="77777777" w:rsidTr="006477D1">
        <w:tc>
          <w:tcPr>
            <w:tcW w:w="2977" w:type="dxa"/>
          </w:tcPr>
          <w:p w14:paraId="3BB70AED" w14:textId="77777777" w:rsidR="00A817FF" w:rsidRPr="006F09F2" w:rsidRDefault="00A817FF" w:rsidP="00E0440E">
            <w:pPr>
              <w:pStyle w:val="TableColumnHeadingLeft"/>
            </w:pPr>
            <w:r w:rsidRPr="006F09F2">
              <w:t xml:space="preserve">Apply for a personal </w:t>
            </w:r>
          </w:p>
          <w:p w14:paraId="782AEBB4" w14:textId="77777777" w:rsidR="00A817FF" w:rsidRPr="006F09F2" w:rsidRDefault="00A817FF" w:rsidP="00E0440E">
            <w:pPr>
              <w:pStyle w:val="TableColumnHeadingLeft"/>
              <w:rPr>
                <w:sz w:val="22"/>
              </w:rPr>
            </w:pPr>
            <w:r w:rsidRPr="006F09F2">
              <w:t>or business loan </w:t>
            </w:r>
          </w:p>
        </w:tc>
        <w:tc>
          <w:tcPr>
            <w:tcW w:w="851" w:type="dxa"/>
          </w:tcPr>
          <w:p w14:paraId="21A14EC8" w14:textId="77777777" w:rsidR="00A817FF" w:rsidRPr="006F09F2" w:rsidRDefault="00A817FF" w:rsidP="001F5563">
            <w:pPr>
              <w:pStyle w:val="TableTextCentered"/>
            </w:pPr>
          </w:p>
          <w:p w14:paraId="445801D5" w14:textId="77777777" w:rsidR="00A817FF" w:rsidRPr="006F09F2" w:rsidRDefault="00A817FF" w:rsidP="001F5563">
            <w:pPr>
              <w:pStyle w:val="TableTextCentered"/>
              <w:rPr>
                <w:sz w:val="22"/>
              </w:rPr>
            </w:pPr>
            <w:r w:rsidRPr="006F09F2">
              <w:t>Yes</w:t>
            </w:r>
          </w:p>
        </w:tc>
        <w:tc>
          <w:tcPr>
            <w:tcW w:w="1275" w:type="dxa"/>
          </w:tcPr>
          <w:p w14:paraId="7F4B248A" w14:textId="77777777" w:rsidR="00A817FF" w:rsidRPr="006F09F2" w:rsidRDefault="00A817FF" w:rsidP="001F5563">
            <w:pPr>
              <w:pStyle w:val="TableTextCentered"/>
              <w:rPr>
                <w:color w:val="FF0000"/>
              </w:rPr>
            </w:pPr>
          </w:p>
          <w:p w14:paraId="00C5AC03" w14:textId="77777777" w:rsidR="00A817FF" w:rsidRPr="006F09F2" w:rsidRDefault="00A817FF" w:rsidP="001F5563">
            <w:pPr>
              <w:pStyle w:val="TableTextCentered"/>
              <w:rPr>
                <w:color w:val="FF0000"/>
              </w:rPr>
            </w:pPr>
            <w:r w:rsidRPr="006F09F2">
              <w:rPr>
                <w:color w:val="FF0000"/>
              </w:rPr>
              <w:t>No</w:t>
            </w:r>
          </w:p>
        </w:tc>
        <w:tc>
          <w:tcPr>
            <w:tcW w:w="1461" w:type="dxa"/>
          </w:tcPr>
          <w:p w14:paraId="3A649587" w14:textId="77777777" w:rsidR="00A817FF" w:rsidRPr="006F09F2" w:rsidRDefault="00A817FF" w:rsidP="001F5563">
            <w:pPr>
              <w:pStyle w:val="TableTextCentered"/>
            </w:pPr>
          </w:p>
          <w:p w14:paraId="3FC93CDA" w14:textId="77777777" w:rsidR="00A817FF" w:rsidRPr="006F09F2" w:rsidRDefault="00A817FF" w:rsidP="001F5563">
            <w:pPr>
              <w:pStyle w:val="TableTextCentered"/>
              <w:rPr>
                <w:sz w:val="22"/>
              </w:rPr>
            </w:pPr>
            <w:r w:rsidRPr="006F09F2">
              <w:t>Yes*</w:t>
            </w:r>
          </w:p>
        </w:tc>
        <w:tc>
          <w:tcPr>
            <w:tcW w:w="1213" w:type="dxa"/>
          </w:tcPr>
          <w:p w14:paraId="26305036" w14:textId="77777777" w:rsidR="00A817FF" w:rsidRPr="006F09F2" w:rsidRDefault="00A817FF" w:rsidP="001F5563">
            <w:pPr>
              <w:pStyle w:val="TableTextCentered"/>
            </w:pPr>
          </w:p>
          <w:p w14:paraId="2681F95E" w14:textId="77777777" w:rsidR="00A817FF" w:rsidRPr="006F09F2" w:rsidRDefault="00A817FF" w:rsidP="001F5563">
            <w:pPr>
              <w:pStyle w:val="TableTextCentered"/>
            </w:pPr>
            <w:r w:rsidRPr="006F09F2">
              <w:t>Yes</w:t>
            </w:r>
          </w:p>
        </w:tc>
        <w:tc>
          <w:tcPr>
            <w:tcW w:w="1396" w:type="dxa"/>
          </w:tcPr>
          <w:p w14:paraId="63484524" w14:textId="77777777" w:rsidR="00A817FF" w:rsidRPr="006F09F2" w:rsidRDefault="00A817FF" w:rsidP="001F5563">
            <w:pPr>
              <w:pStyle w:val="TableTextCentered"/>
              <w:rPr>
                <w:color w:val="FF0000"/>
              </w:rPr>
            </w:pPr>
          </w:p>
          <w:p w14:paraId="6691668B" w14:textId="77777777" w:rsidR="00A817FF" w:rsidRPr="006F09F2" w:rsidRDefault="00A817FF" w:rsidP="001F5563">
            <w:pPr>
              <w:pStyle w:val="TableTextCentered"/>
              <w:rPr>
                <w:sz w:val="22"/>
              </w:rPr>
            </w:pPr>
            <w:r w:rsidRPr="006F09F2">
              <w:rPr>
                <w:color w:val="FF0000"/>
              </w:rPr>
              <w:t>No</w:t>
            </w:r>
          </w:p>
        </w:tc>
      </w:tr>
      <w:tr w:rsidR="00A817FF" w:rsidRPr="006F09F2" w14:paraId="552D8070" w14:textId="77777777" w:rsidTr="006477D1">
        <w:tc>
          <w:tcPr>
            <w:tcW w:w="2977" w:type="dxa"/>
          </w:tcPr>
          <w:p w14:paraId="7452B65D" w14:textId="77777777" w:rsidR="00A817FF" w:rsidRPr="006F09F2" w:rsidRDefault="00A817FF" w:rsidP="00E0440E">
            <w:pPr>
              <w:pStyle w:val="TableColumnHeadingLeft"/>
              <w:rPr>
                <w:sz w:val="22"/>
              </w:rPr>
            </w:pPr>
            <w:r w:rsidRPr="006F09F2">
              <w:t>Apply for a mortgage  </w:t>
            </w:r>
          </w:p>
        </w:tc>
        <w:tc>
          <w:tcPr>
            <w:tcW w:w="851" w:type="dxa"/>
          </w:tcPr>
          <w:p w14:paraId="242B0081" w14:textId="77777777" w:rsidR="00A817FF" w:rsidRPr="006F09F2" w:rsidRDefault="00A817FF" w:rsidP="001F5563">
            <w:pPr>
              <w:pStyle w:val="TableTextCentered"/>
              <w:rPr>
                <w:sz w:val="22"/>
              </w:rPr>
            </w:pPr>
            <w:r w:rsidRPr="006F09F2">
              <w:t>Yes</w:t>
            </w:r>
          </w:p>
        </w:tc>
        <w:tc>
          <w:tcPr>
            <w:tcW w:w="1275" w:type="dxa"/>
          </w:tcPr>
          <w:p w14:paraId="20BF0BF0" w14:textId="77777777" w:rsidR="00A817FF" w:rsidRPr="006F09F2" w:rsidRDefault="00A817FF" w:rsidP="001F5563">
            <w:pPr>
              <w:pStyle w:val="TableTextCentered"/>
              <w:rPr>
                <w:color w:val="FF0000"/>
              </w:rPr>
            </w:pPr>
            <w:r w:rsidRPr="006F09F2">
              <w:rPr>
                <w:color w:val="FF0000"/>
              </w:rPr>
              <w:t>No</w:t>
            </w:r>
          </w:p>
        </w:tc>
        <w:tc>
          <w:tcPr>
            <w:tcW w:w="1461" w:type="dxa"/>
          </w:tcPr>
          <w:p w14:paraId="5C39BD11" w14:textId="77777777" w:rsidR="00A817FF" w:rsidRPr="006F09F2" w:rsidRDefault="00A817FF" w:rsidP="001F5563">
            <w:pPr>
              <w:pStyle w:val="TableTextCentered"/>
              <w:rPr>
                <w:sz w:val="22"/>
              </w:rPr>
            </w:pPr>
            <w:r w:rsidRPr="006F09F2">
              <w:t>Yes*</w:t>
            </w:r>
          </w:p>
        </w:tc>
        <w:tc>
          <w:tcPr>
            <w:tcW w:w="1213" w:type="dxa"/>
          </w:tcPr>
          <w:p w14:paraId="2E172EF0" w14:textId="77777777" w:rsidR="00A817FF" w:rsidRPr="006F09F2" w:rsidRDefault="00A817FF" w:rsidP="001F5563">
            <w:pPr>
              <w:pStyle w:val="TableTextCentered"/>
            </w:pPr>
            <w:r w:rsidRPr="006F09F2">
              <w:t>Yes</w:t>
            </w:r>
          </w:p>
        </w:tc>
        <w:tc>
          <w:tcPr>
            <w:tcW w:w="1396" w:type="dxa"/>
          </w:tcPr>
          <w:p w14:paraId="4A706708" w14:textId="77777777" w:rsidR="00A817FF" w:rsidRPr="006F09F2" w:rsidRDefault="00A817FF" w:rsidP="001F5563">
            <w:pPr>
              <w:pStyle w:val="TableTextCentered"/>
              <w:rPr>
                <w:sz w:val="22"/>
              </w:rPr>
            </w:pPr>
            <w:r w:rsidRPr="006F09F2">
              <w:rPr>
                <w:color w:val="FF0000"/>
              </w:rPr>
              <w:t>No</w:t>
            </w:r>
          </w:p>
        </w:tc>
      </w:tr>
      <w:tr w:rsidR="00A817FF" w:rsidRPr="006F09F2" w14:paraId="58394C27" w14:textId="77777777" w:rsidTr="006477D1">
        <w:tc>
          <w:tcPr>
            <w:tcW w:w="2977" w:type="dxa"/>
          </w:tcPr>
          <w:p w14:paraId="4DA51D0E" w14:textId="77777777" w:rsidR="00A817FF" w:rsidRPr="006F09F2" w:rsidRDefault="00A817FF" w:rsidP="00E0440E">
            <w:pPr>
              <w:pStyle w:val="TableColumnHeadingLeft"/>
              <w:rPr>
                <w:sz w:val="22"/>
              </w:rPr>
            </w:pPr>
            <w:r w:rsidRPr="006F09F2">
              <w:t>Pay a bill and transfer funds </w:t>
            </w:r>
          </w:p>
        </w:tc>
        <w:tc>
          <w:tcPr>
            <w:tcW w:w="851" w:type="dxa"/>
          </w:tcPr>
          <w:p w14:paraId="52589028" w14:textId="77777777" w:rsidR="00A817FF" w:rsidRPr="006F09F2" w:rsidRDefault="00A817FF" w:rsidP="001F5563">
            <w:pPr>
              <w:pStyle w:val="TableTextCentered"/>
              <w:rPr>
                <w:sz w:val="22"/>
              </w:rPr>
            </w:pPr>
            <w:r w:rsidRPr="006F09F2">
              <w:t>Yes</w:t>
            </w:r>
          </w:p>
        </w:tc>
        <w:tc>
          <w:tcPr>
            <w:tcW w:w="1275" w:type="dxa"/>
          </w:tcPr>
          <w:p w14:paraId="2A9F21DA" w14:textId="77777777" w:rsidR="00A817FF" w:rsidRPr="006F09F2" w:rsidRDefault="00A817FF" w:rsidP="001F5563">
            <w:pPr>
              <w:pStyle w:val="TableTextCentered"/>
            </w:pPr>
            <w:r w:rsidRPr="006F09F2">
              <w:t>Yes</w:t>
            </w:r>
          </w:p>
        </w:tc>
        <w:tc>
          <w:tcPr>
            <w:tcW w:w="1461" w:type="dxa"/>
          </w:tcPr>
          <w:p w14:paraId="35E28170" w14:textId="77777777" w:rsidR="00A817FF" w:rsidRPr="006F09F2" w:rsidRDefault="00A817FF" w:rsidP="001F5563">
            <w:pPr>
              <w:pStyle w:val="TableTextCentered"/>
              <w:rPr>
                <w:sz w:val="22"/>
              </w:rPr>
            </w:pPr>
            <w:r w:rsidRPr="006F09F2">
              <w:t>Yes</w:t>
            </w:r>
          </w:p>
        </w:tc>
        <w:tc>
          <w:tcPr>
            <w:tcW w:w="1213" w:type="dxa"/>
          </w:tcPr>
          <w:p w14:paraId="4D8C65FA" w14:textId="77777777" w:rsidR="00A817FF" w:rsidRPr="006F09F2" w:rsidRDefault="00A817FF" w:rsidP="001F5563">
            <w:pPr>
              <w:pStyle w:val="TableTextCentered"/>
            </w:pPr>
            <w:r w:rsidRPr="006F09F2">
              <w:t>Yes</w:t>
            </w:r>
          </w:p>
        </w:tc>
        <w:tc>
          <w:tcPr>
            <w:tcW w:w="1396" w:type="dxa"/>
          </w:tcPr>
          <w:p w14:paraId="1E30FBD1" w14:textId="77777777" w:rsidR="00A817FF" w:rsidRPr="006F09F2" w:rsidRDefault="00A817FF" w:rsidP="001F5563">
            <w:pPr>
              <w:pStyle w:val="TableTextCentered"/>
              <w:rPr>
                <w:sz w:val="22"/>
              </w:rPr>
            </w:pPr>
            <w:r w:rsidRPr="006F09F2">
              <w:rPr>
                <w:color w:val="FF0000"/>
              </w:rPr>
              <w:t>No</w:t>
            </w:r>
          </w:p>
        </w:tc>
      </w:tr>
      <w:tr w:rsidR="00A817FF" w:rsidRPr="006F09F2" w14:paraId="6602B3C1" w14:textId="77777777" w:rsidTr="006477D1">
        <w:tc>
          <w:tcPr>
            <w:tcW w:w="2977" w:type="dxa"/>
          </w:tcPr>
          <w:p w14:paraId="292B5C18" w14:textId="77777777" w:rsidR="00A817FF" w:rsidRPr="006F09F2" w:rsidRDefault="00A817FF" w:rsidP="00E0440E">
            <w:pPr>
              <w:pStyle w:val="TableColumnHeadingLeft"/>
              <w:rPr>
                <w:sz w:val="22"/>
              </w:rPr>
            </w:pPr>
            <w:r w:rsidRPr="006F09F2">
              <w:t>Credit card repayments </w:t>
            </w:r>
          </w:p>
        </w:tc>
        <w:tc>
          <w:tcPr>
            <w:tcW w:w="851" w:type="dxa"/>
          </w:tcPr>
          <w:p w14:paraId="7F78DC15" w14:textId="77777777" w:rsidR="00A817FF" w:rsidRPr="006F09F2" w:rsidRDefault="00A817FF" w:rsidP="001F5563">
            <w:pPr>
              <w:pStyle w:val="TableTextCentered"/>
              <w:rPr>
                <w:sz w:val="22"/>
              </w:rPr>
            </w:pPr>
            <w:r w:rsidRPr="006F09F2">
              <w:t>Yes</w:t>
            </w:r>
          </w:p>
        </w:tc>
        <w:tc>
          <w:tcPr>
            <w:tcW w:w="1275" w:type="dxa"/>
          </w:tcPr>
          <w:p w14:paraId="5AA009E3" w14:textId="77777777" w:rsidR="00A817FF" w:rsidRPr="006F09F2" w:rsidRDefault="00A817FF" w:rsidP="001F5563">
            <w:pPr>
              <w:pStyle w:val="TableTextCentered"/>
            </w:pPr>
            <w:r w:rsidRPr="006F09F2">
              <w:t>Yes</w:t>
            </w:r>
          </w:p>
        </w:tc>
        <w:tc>
          <w:tcPr>
            <w:tcW w:w="1461" w:type="dxa"/>
          </w:tcPr>
          <w:p w14:paraId="48A837D6" w14:textId="77777777" w:rsidR="00A817FF" w:rsidRPr="006F09F2" w:rsidRDefault="00A817FF" w:rsidP="001F5563">
            <w:pPr>
              <w:pStyle w:val="TableTextCentered"/>
              <w:rPr>
                <w:sz w:val="22"/>
              </w:rPr>
            </w:pPr>
            <w:r w:rsidRPr="006F09F2">
              <w:t>Yes</w:t>
            </w:r>
          </w:p>
        </w:tc>
        <w:tc>
          <w:tcPr>
            <w:tcW w:w="1213" w:type="dxa"/>
          </w:tcPr>
          <w:p w14:paraId="7872D592" w14:textId="77777777" w:rsidR="00A817FF" w:rsidRPr="006F09F2" w:rsidRDefault="00A817FF" w:rsidP="001F5563">
            <w:pPr>
              <w:pStyle w:val="TableTextCentered"/>
            </w:pPr>
            <w:r w:rsidRPr="006F09F2">
              <w:t>Yes</w:t>
            </w:r>
          </w:p>
        </w:tc>
        <w:tc>
          <w:tcPr>
            <w:tcW w:w="1396" w:type="dxa"/>
          </w:tcPr>
          <w:p w14:paraId="68783128" w14:textId="6AF13FEA" w:rsidR="00A817FF" w:rsidRPr="006F09F2" w:rsidRDefault="00A817FF" w:rsidP="001F5563">
            <w:pPr>
              <w:pStyle w:val="TableTextCentered"/>
              <w:rPr>
                <w:sz w:val="22"/>
              </w:rPr>
            </w:pPr>
            <w:r w:rsidRPr="006F09F2">
              <w:t>Yes (</w:t>
            </w:r>
            <w:r w:rsidR="000D7B4A">
              <w:t>c</w:t>
            </w:r>
            <w:r w:rsidRPr="006F09F2">
              <w:t>ash only)</w:t>
            </w:r>
          </w:p>
        </w:tc>
      </w:tr>
      <w:tr w:rsidR="009609B9" w:rsidRPr="006F09F2" w14:paraId="19A52897" w14:textId="77777777" w:rsidTr="006477D1">
        <w:tc>
          <w:tcPr>
            <w:tcW w:w="2977" w:type="dxa"/>
          </w:tcPr>
          <w:p w14:paraId="3560A675" w14:textId="77777777" w:rsidR="009609B9" w:rsidRPr="006F09F2" w:rsidRDefault="009609B9" w:rsidP="001F5563">
            <w:pPr>
              <w:pStyle w:val="TableTextLeft"/>
              <w:rPr>
                <w:rFonts w:asciiTheme="minorHAnsi" w:hAnsiTheme="minorHAnsi" w:cstheme="minorHAnsi"/>
                <w:szCs w:val="22"/>
              </w:rPr>
            </w:pPr>
          </w:p>
        </w:tc>
        <w:tc>
          <w:tcPr>
            <w:tcW w:w="851" w:type="dxa"/>
          </w:tcPr>
          <w:p w14:paraId="57DE966B" w14:textId="77777777" w:rsidR="009609B9" w:rsidRPr="006F09F2" w:rsidRDefault="009609B9" w:rsidP="001F5563">
            <w:pPr>
              <w:pStyle w:val="TableTextCentered"/>
            </w:pPr>
          </w:p>
        </w:tc>
        <w:tc>
          <w:tcPr>
            <w:tcW w:w="1275" w:type="dxa"/>
          </w:tcPr>
          <w:p w14:paraId="113D5E64" w14:textId="77777777" w:rsidR="009609B9" w:rsidRPr="006F09F2" w:rsidRDefault="009609B9" w:rsidP="001F5563">
            <w:pPr>
              <w:pStyle w:val="TableTextCentered"/>
            </w:pPr>
          </w:p>
        </w:tc>
        <w:tc>
          <w:tcPr>
            <w:tcW w:w="1461" w:type="dxa"/>
          </w:tcPr>
          <w:p w14:paraId="7A5ADBCB" w14:textId="77777777" w:rsidR="009609B9" w:rsidRPr="006F09F2" w:rsidRDefault="009609B9" w:rsidP="001F5563">
            <w:pPr>
              <w:pStyle w:val="TableTextCentered"/>
            </w:pPr>
          </w:p>
        </w:tc>
        <w:tc>
          <w:tcPr>
            <w:tcW w:w="1213" w:type="dxa"/>
          </w:tcPr>
          <w:p w14:paraId="0AAF072A" w14:textId="77777777" w:rsidR="009609B9" w:rsidRPr="006F09F2" w:rsidRDefault="009609B9" w:rsidP="001F5563">
            <w:pPr>
              <w:pStyle w:val="TableTextCentered"/>
            </w:pPr>
          </w:p>
        </w:tc>
        <w:tc>
          <w:tcPr>
            <w:tcW w:w="1396" w:type="dxa"/>
          </w:tcPr>
          <w:p w14:paraId="77B29904" w14:textId="77777777" w:rsidR="009609B9" w:rsidRPr="006F09F2" w:rsidRDefault="009609B9" w:rsidP="001F5563">
            <w:pPr>
              <w:pStyle w:val="TableTextCentered"/>
            </w:pPr>
          </w:p>
        </w:tc>
      </w:tr>
    </w:tbl>
    <w:p w14:paraId="6FDFA9A0" w14:textId="77777777" w:rsidR="00B903D0" w:rsidRPr="009609B9" w:rsidRDefault="00A817FF" w:rsidP="009609B9">
      <w:pPr>
        <w:pStyle w:val="ChartorTableNote"/>
      </w:pPr>
      <w:r w:rsidRPr="009609B9">
        <w:t xml:space="preserve">*Depending on </w:t>
      </w:r>
      <w:r w:rsidR="000D7B4A" w:rsidRPr="009609B9">
        <w:t xml:space="preserve">the </w:t>
      </w:r>
      <w:r w:rsidRPr="009609B9">
        <w:t xml:space="preserve">bank, </w:t>
      </w:r>
      <w:r w:rsidR="000D7B4A" w:rsidRPr="009609B9">
        <w:t>may be</w:t>
      </w:r>
      <w:r w:rsidRPr="009609B9">
        <w:t xml:space="preserve"> available only on internet. </w:t>
      </w:r>
    </w:p>
    <w:p w14:paraId="10B6E65B" w14:textId="74CD414B" w:rsidR="00F33489" w:rsidRDefault="00A817FF" w:rsidP="009609B9">
      <w:pPr>
        <w:pStyle w:val="ChartorTableNote"/>
      </w:pPr>
      <w:r w:rsidRPr="009609B9">
        <w:t>Source: ABA</w:t>
      </w:r>
    </w:p>
    <w:p w14:paraId="014EDC40" w14:textId="77777777" w:rsidR="00F33489" w:rsidRDefault="00F33489">
      <w:pPr>
        <w:spacing w:before="0" w:after="160" w:line="259" w:lineRule="auto"/>
        <w:rPr>
          <w:rFonts w:ascii="Calibri" w:hAnsi="Calibri"/>
          <w:color w:val="000000"/>
          <w:sz w:val="18"/>
        </w:rPr>
      </w:pPr>
      <w:r>
        <w:br w:type="page"/>
      </w:r>
    </w:p>
    <w:p w14:paraId="5C1C7607" w14:textId="1857EDE0" w:rsidR="00866742" w:rsidRDefault="00235D00" w:rsidP="00F3778C">
      <w:bookmarkStart w:id="37" w:name="_Hlk98250867"/>
      <w:bookmarkStart w:id="38" w:name="_Hlk98235801"/>
      <w:r>
        <w:lastRenderedPageBreak/>
        <w:t xml:space="preserve">In addition, </w:t>
      </w:r>
      <w:r w:rsidR="00622F78">
        <w:t xml:space="preserve">there are a variety of alternative models for delivering </w:t>
      </w:r>
      <w:r w:rsidR="00622F78" w:rsidRPr="00B63964">
        <w:t>bank services</w:t>
      </w:r>
      <w:r w:rsidR="00622F78">
        <w:t xml:space="preserve"> </w:t>
      </w:r>
      <w:r w:rsidR="005854A5">
        <w:t>to traditional bank branches</w:t>
      </w:r>
      <w:r w:rsidR="001D213E">
        <w:t>,</w:t>
      </w:r>
      <w:r w:rsidR="00622F78">
        <w:t xml:space="preserve"> including: </w:t>
      </w:r>
    </w:p>
    <w:p w14:paraId="77D2F64A" w14:textId="23DDBA78" w:rsidR="00866742" w:rsidRPr="00412A75" w:rsidRDefault="00866742" w:rsidP="00E0440E">
      <w:pPr>
        <w:pStyle w:val="Bullet"/>
      </w:pPr>
      <w:r w:rsidRPr="00412A75">
        <w:t>co</w:t>
      </w:r>
      <w:r w:rsidR="001D4A21">
        <w:noBreakHyphen/>
      </w:r>
      <w:r w:rsidRPr="00412A75">
        <w:t>location (where banking services are co</w:t>
      </w:r>
      <w:r w:rsidR="001D4A21">
        <w:noBreakHyphen/>
      </w:r>
      <w:r w:rsidRPr="00412A75">
        <w:t>located with other businesses at the same location)</w:t>
      </w:r>
    </w:p>
    <w:p w14:paraId="733F6E6A" w14:textId="052DFCC6" w:rsidR="00866742" w:rsidRPr="00412A75" w:rsidRDefault="00866742" w:rsidP="00E0440E">
      <w:pPr>
        <w:pStyle w:val="Bullet"/>
      </w:pPr>
      <w:r w:rsidRPr="00412A75">
        <w:t>co</w:t>
      </w:r>
      <w:r w:rsidR="001D4A21">
        <w:noBreakHyphen/>
      </w:r>
      <w:r w:rsidRPr="00412A75">
        <w:t xml:space="preserve">branding (where different </w:t>
      </w:r>
      <w:r w:rsidR="000D7B4A">
        <w:t>bank brands</w:t>
      </w:r>
      <w:r w:rsidRPr="00412A75">
        <w:t xml:space="preserve"> are co</w:t>
      </w:r>
      <w:r w:rsidR="001D4A21">
        <w:noBreakHyphen/>
      </w:r>
      <w:r w:rsidRPr="00412A75">
        <w:t>located)</w:t>
      </w:r>
    </w:p>
    <w:p w14:paraId="637BCA52" w14:textId="78943906" w:rsidR="00866742" w:rsidRPr="00412A75" w:rsidRDefault="00866742" w:rsidP="00E0440E">
      <w:pPr>
        <w:pStyle w:val="Bullet"/>
      </w:pPr>
      <w:r w:rsidRPr="00412A75">
        <w:t>community banks (where there is a franchise or joint venture relationship between a bank and local company)</w:t>
      </w:r>
    </w:p>
    <w:p w14:paraId="1F0DA8B2" w14:textId="695C8A12" w:rsidR="00866742" w:rsidRPr="00412A75" w:rsidRDefault="00866742" w:rsidP="00E0440E">
      <w:pPr>
        <w:pStyle w:val="Bullet"/>
      </w:pPr>
      <w:r w:rsidRPr="00412A75">
        <w:t>reduced opening hours (where branches continued to operate by reducing their opening hours)</w:t>
      </w:r>
    </w:p>
    <w:p w14:paraId="6A0D86A2" w14:textId="492F8412" w:rsidR="00866742" w:rsidRPr="00412A75" w:rsidRDefault="00866742" w:rsidP="00E0440E">
      <w:pPr>
        <w:pStyle w:val="Bullet"/>
      </w:pPr>
      <w:r w:rsidRPr="00412A75">
        <w:t xml:space="preserve">banking hubs (where </w:t>
      </w:r>
      <w:r w:rsidR="000D7B4A" w:rsidRPr="00412A75">
        <w:t>several</w:t>
      </w:r>
      <w:r w:rsidRPr="00412A75">
        <w:t xml:space="preserve"> banks use a common space to provide in</w:t>
      </w:r>
      <w:r w:rsidR="001D4A21">
        <w:noBreakHyphen/>
      </w:r>
      <w:r w:rsidRPr="00412A75">
        <w:t>person banking services)</w:t>
      </w:r>
    </w:p>
    <w:p w14:paraId="23F2EA1E" w14:textId="6E4A75AC" w:rsidR="00866742" w:rsidRPr="00412A75" w:rsidRDefault="00866742" w:rsidP="00E0440E">
      <w:pPr>
        <w:pStyle w:val="Bullet"/>
      </w:pPr>
      <w:r w:rsidRPr="00412A75">
        <w:t>advisory hubs (where banks provide information)</w:t>
      </w:r>
    </w:p>
    <w:p w14:paraId="390C3EA4" w14:textId="14896759" w:rsidR="00866742" w:rsidRPr="00412A75" w:rsidRDefault="00866742" w:rsidP="00E0440E">
      <w:pPr>
        <w:pStyle w:val="Bullet"/>
      </w:pPr>
      <w:r w:rsidRPr="00412A75">
        <w:t>mobile branches (where bankers travel to their customers)</w:t>
      </w:r>
    </w:p>
    <w:p w14:paraId="1A633746" w14:textId="7A954069" w:rsidR="00866742" w:rsidRPr="00866742" w:rsidRDefault="00866742" w:rsidP="00E0440E">
      <w:pPr>
        <w:pStyle w:val="Bullet"/>
      </w:pPr>
      <w:r w:rsidRPr="00412A75">
        <w:t>smart ATMs (which provide a broader variety of services than standard ATMs including the ability to deposit cash)</w:t>
      </w:r>
      <w:r>
        <w:t>.</w:t>
      </w:r>
    </w:p>
    <w:p w14:paraId="74444E3B" w14:textId="0356387A" w:rsidR="00EF32FC" w:rsidRDefault="00037EC6" w:rsidP="004E4F11">
      <w:r>
        <w:t>W</w:t>
      </w:r>
      <w:r w:rsidR="00793362">
        <w:t>h</w:t>
      </w:r>
      <w:r>
        <w:t>ile some of these models may not be appropriate for all situations and may not provide all the banking services available at a branch, t</w:t>
      </w:r>
      <w:r w:rsidR="003C35A9">
        <w:t xml:space="preserve">hese </w:t>
      </w:r>
      <w:r w:rsidR="009D4982">
        <w:t xml:space="preserve">alternatives (and others such as the Bank@Post service described in detail below) </w:t>
      </w:r>
      <w:r w:rsidR="003C35A9">
        <w:t>may help provide banking services when branches close</w:t>
      </w:r>
      <w:r w:rsidR="00EC6EB1">
        <w:t xml:space="preserve">. </w:t>
      </w:r>
      <w:r w:rsidR="00AD08DB">
        <w:t>T</w:t>
      </w:r>
      <w:r w:rsidR="00847AF0">
        <w:t xml:space="preserve">he Taskforce </w:t>
      </w:r>
      <w:r w:rsidR="00E90669">
        <w:t>learned</w:t>
      </w:r>
      <w:r w:rsidR="004939F4">
        <w:t xml:space="preserve"> about a number of </w:t>
      </w:r>
      <w:r w:rsidR="00E90669">
        <w:t xml:space="preserve">examples where </w:t>
      </w:r>
      <w:r w:rsidR="004939F4">
        <w:t xml:space="preserve">these models </w:t>
      </w:r>
      <w:r w:rsidR="00E90669">
        <w:t xml:space="preserve">were </w:t>
      </w:r>
      <w:r w:rsidR="004939F4">
        <w:t>being used</w:t>
      </w:r>
      <w:r w:rsidR="001C5061">
        <w:t xml:space="preserve">. </w:t>
      </w:r>
      <w:bookmarkStart w:id="39" w:name="_Toc107987041"/>
    </w:p>
    <w:p w14:paraId="0CA59728" w14:textId="68432DE3" w:rsidR="005A0BA4" w:rsidRPr="006F09F2" w:rsidRDefault="005A0BA4" w:rsidP="005A0BA4">
      <w:pPr>
        <w:pStyle w:val="Heading2"/>
      </w:pPr>
      <w:bookmarkStart w:id="40" w:name="_Toc115190890"/>
      <w:r w:rsidRPr="006F09F2">
        <w:t>Impacts of branch closures</w:t>
      </w:r>
      <w:bookmarkEnd w:id="39"/>
      <w:bookmarkEnd w:id="40"/>
    </w:p>
    <w:p w14:paraId="47A4910E" w14:textId="0FDCB661" w:rsidR="005A0BA4" w:rsidRDefault="005A65DC" w:rsidP="005A0BA4">
      <w:pPr>
        <w:rPr>
          <w:rFonts w:cs="Calibri Light"/>
          <w:szCs w:val="22"/>
        </w:rPr>
      </w:pPr>
      <w:r>
        <w:rPr>
          <w:rFonts w:cs="Calibri Light"/>
          <w:szCs w:val="22"/>
        </w:rPr>
        <w:t>Local bank branches are an important part of regional communities</w:t>
      </w:r>
      <w:r w:rsidR="009C0CA4">
        <w:rPr>
          <w:rFonts w:cs="Calibri Light"/>
          <w:szCs w:val="22"/>
        </w:rPr>
        <w:t xml:space="preserve"> with elderly residents and community groups and businesses all relying on their local bank branch for their </w:t>
      </w:r>
      <w:r w:rsidR="00EC0CB9">
        <w:rPr>
          <w:rFonts w:cs="Calibri Light"/>
          <w:szCs w:val="22"/>
        </w:rPr>
        <w:t xml:space="preserve">banking needs. </w:t>
      </w:r>
      <w:r w:rsidR="00FA5D7C">
        <w:rPr>
          <w:rFonts w:cs="Calibri Light"/>
          <w:szCs w:val="22"/>
        </w:rPr>
        <w:t>Closures of branches</w:t>
      </w:r>
      <w:r w:rsidR="005A0BA4" w:rsidRPr="008B47E9">
        <w:rPr>
          <w:rFonts w:cs="Calibri Light"/>
          <w:szCs w:val="22"/>
        </w:rPr>
        <w:t xml:space="preserve"> can impact the accessibility of banking services for </w:t>
      </w:r>
      <w:r w:rsidR="00EC0CB9">
        <w:rPr>
          <w:rFonts w:cs="Calibri Light"/>
          <w:szCs w:val="22"/>
        </w:rPr>
        <w:t>these</w:t>
      </w:r>
      <w:r w:rsidR="00DE379D">
        <w:rPr>
          <w:rFonts w:cs="Calibri Light"/>
          <w:szCs w:val="22"/>
        </w:rPr>
        <w:t xml:space="preserve"> and other</w:t>
      </w:r>
      <w:r w:rsidR="00EC0CB9">
        <w:rPr>
          <w:rFonts w:cs="Calibri Light"/>
          <w:szCs w:val="22"/>
        </w:rPr>
        <w:t xml:space="preserve"> </w:t>
      </w:r>
      <w:r w:rsidR="005A0BA4" w:rsidRPr="008B47E9">
        <w:rPr>
          <w:rFonts w:cs="Calibri Light"/>
          <w:szCs w:val="22"/>
        </w:rPr>
        <w:t>customers, limiting the</w:t>
      </w:r>
      <w:r w:rsidR="005A0BA4">
        <w:rPr>
          <w:rFonts w:cs="Calibri Light"/>
          <w:szCs w:val="22"/>
        </w:rPr>
        <w:t>ir</w:t>
      </w:r>
      <w:r w:rsidR="005A0BA4" w:rsidRPr="008B47E9">
        <w:rPr>
          <w:rFonts w:cs="Calibri Light"/>
          <w:szCs w:val="22"/>
        </w:rPr>
        <w:t xml:space="preserve"> ability to use and benefit from </w:t>
      </w:r>
      <w:r w:rsidR="00DE379D">
        <w:rPr>
          <w:rFonts w:cs="Calibri Light"/>
          <w:szCs w:val="22"/>
        </w:rPr>
        <w:t xml:space="preserve">important </w:t>
      </w:r>
      <w:r w:rsidR="005A0BA4" w:rsidRPr="008B47E9">
        <w:rPr>
          <w:rFonts w:cs="Calibri Light"/>
          <w:szCs w:val="22"/>
        </w:rPr>
        <w:t xml:space="preserve">banking services. </w:t>
      </w:r>
    </w:p>
    <w:p w14:paraId="0F5D906B" w14:textId="58ED9EA7" w:rsidR="005A0BA4" w:rsidRDefault="005A0BA4" w:rsidP="005A0BA4">
      <w:pPr>
        <w:rPr>
          <w:rFonts w:cs="Calibri Light"/>
          <w:szCs w:val="22"/>
        </w:rPr>
      </w:pPr>
      <w:r w:rsidRPr="00E333F0">
        <w:rPr>
          <w:rFonts w:cs="Calibri Light"/>
          <w:szCs w:val="22"/>
        </w:rPr>
        <w:t>The</w:t>
      </w:r>
      <w:r w:rsidRPr="00274EF3">
        <w:rPr>
          <w:rFonts w:cs="Calibri Light"/>
          <w:szCs w:val="22"/>
        </w:rPr>
        <w:t xml:space="preserve">re </w:t>
      </w:r>
      <w:r w:rsidRPr="00DF4F5C">
        <w:rPr>
          <w:rFonts w:cs="Calibri Light"/>
          <w:szCs w:val="22"/>
        </w:rPr>
        <w:t xml:space="preserve">can </w:t>
      </w:r>
      <w:r w:rsidRPr="00EB52E3">
        <w:rPr>
          <w:rFonts w:cs="Calibri Light"/>
          <w:szCs w:val="22"/>
        </w:rPr>
        <w:t>be ch</w:t>
      </w:r>
      <w:r w:rsidRPr="00105B44">
        <w:rPr>
          <w:rFonts w:cs="Calibri Light"/>
          <w:szCs w:val="22"/>
        </w:rPr>
        <w:t>al</w:t>
      </w:r>
      <w:r w:rsidRPr="00A92C26">
        <w:rPr>
          <w:rFonts w:cs="Calibri Light"/>
          <w:szCs w:val="22"/>
        </w:rPr>
        <w:t xml:space="preserve">lenges </w:t>
      </w:r>
      <w:r w:rsidR="00CF1802">
        <w:rPr>
          <w:rFonts w:cs="Calibri Light"/>
          <w:szCs w:val="22"/>
        </w:rPr>
        <w:t>rearranging</w:t>
      </w:r>
      <w:r w:rsidRPr="00A92C26">
        <w:rPr>
          <w:rFonts w:cs="Calibri Light"/>
          <w:szCs w:val="22"/>
        </w:rPr>
        <w:t xml:space="preserve"> or transfer</w:t>
      </w:r>
      <w:r w:rsidR="009A0448">
        <w:rPr>
          <w:rFonts w:cs="Calibri Light"/>
          <w:szCs w:val="22"/>
        </w:rPr>
        <w:t>r</w:t>
      </w:r>
      <w:r w:rsidR="00CF1802">
        <w:rPr>
          <w:rFonts w:cs="Calibri Light"/>
          <w:szCs w:val="22"/>
        </w:rPr>
        <w:t>ing</w:t>
      </w:r>
      <w:r w:rsidRPr="00A92C26">
        <w:rPr>
          <w:rFonts w:cs="Calibri Light"/>
          <w:szCs w:val="22"/>
        </w:rPr>
        <w:t xml:space="preserve"> bank accounts and </w:t>
      </w:r>
      <w:r w:rsidRPr="00EB52E3">
        <w:rPr>
          <w:rFonts w:cs="Calibri Light"/>
          <w:szCs w:val="22"/>
        </w:rPr>
        <w:t>learn</w:t>
      </w:r>
      <w:r w:rsidR="00CF1802">
        <w:rPr>
          <w:rFonts w:cs="Calibri Light"/>
          <w:szCs w:val="22"/>
        </w:rPr>
        <w:t>ing</w:t>
      </w:r>
      <w:r w:rsidRPr="00105B44">
        <w:rPr>
          <w:rFonts w:cs="Calibri Light"/>
          <w:szCs w:val="22"/>
        </w:rPr>
        <w:t xml:space="preserve"> n</w:t>
      </w:r>
      <w:r w:rsidRPr="00A92C26">
        <w:rPr>
          <w:rFonts w:cs="Calibri Light"/>
          <w:szCs w:val="22"/>
        </w:rPr>
        <w:t xml:space="preserve">ew ways of banking when a branch </w:t>
      </w:r>
      <w:r>
        <w:rPr>
          <w:rFonts w:cs="Calibri Light"/>
          <w:szCs w:val="22"/>
        </w:rPr>
        <w:t>closes</w:t>
      </w:r>
      <w:r w:rsidR="002C127D">
        <w:rPr>
          <w:rFonts w:cs="Calibri Light"/>
          <w:szCs w:val="22"/>
        </w:rPr>
        <w:t>, with some submissions raising concerns about scams</w:t>
      </w:r>
      <w:r w:rsidRPr="00A92C26">
        <w:rPr>
          <w:rFonts w:cs="Calibri Light"/>
          <w:szCs w:val="22"/>
        </w:rPr>
        <w:t>.</w:t>
      </w:r>
    </w:p>
    <w:p w14:paraId="137A138B" w14:textId="4B313F38" w:rsidR="005A0BA4" w:rsidRDefault="005A0BA4" w:rsidP="005A0BA4">
      <w:r>
        <w:rPr>
          <w:rFonts w:cs="Calibri Light"/>
          <w:szCs w:val="22"/>
        </w:rPr>
        <w:t xml:space="preserve">There </w:t>
      </w:r>
      <w:r w:rsidR="0018178E">
        <w:rPr>
          <w:rFonts w:cs="Calibri Light"/>
          <w:szCs w:val="22"/>
        </w:rPr>
        <w:t xml:space="preserve">are </w:t>
      </w:r>
      <w:r>
        <w:rPr>
          <w:rFonts w:cs="Calibri Light"/>
          <w:szCs w:val="22"/>
        </w:rPr>
        <w:t>inconvenience</w:t>
      </w:r>
      <w:r w:rsidR="00BC6CB1">
        <w:rPr>
          <w:rFonts w:cs="Calibri Light"/>
          <w:szCs w:val="22"/>
        </w:rPr>
        <w:t>s</w:t>
      </w:r>
      <w:r>
        <w:rPr>
          <w:rFonts w:cs="Calibri Light"/>
          <w:szCs w:val="22"/>
        </w:rPr>
        <w:t xml:space="preserve"> and extra costs associated </w:t>
      </w:r>
      <w:r w:rsidRPr="00451F9B">
        <w:rPr>
          <w:rFonts w:cs="Calibri Light"/>
          <w:szCs w:val="22"/>
        </w:rPr>
        <w:t>with having to travel to the next branch</w:t>
      </w:r>
      <w:r w:rsidR="00542A0B" w:rsidRPr="00451F9B">
        <w:rPr>
          <w:rFonts w:cs="Calibri Light"/>
          <w:szCs w:val="22"/>
        </w:rPr>
        <w:t xml:space="preserve">. </w:t>
      </w:r>
      <w:r w:rsidR="000464C3" w:rsidRPr="00451F9B">
        <w:rPr>
          <w:rFonts w:cs="Calibri Light"/>
          <w:szCs w:val="22"/>
        </w:rPr>
        <w:t>O</w:t>
      </w:r>
      <w:r w:rsidRPr="005A5B53">
        <w:rPr>
          <w:rFonts w:cs="Calibri Light"/>
          <w:szCs w:val="22"/>
        </w:rPr>
        <w:t xml:space="preserve">ne respondent </w:t>
      </w:r>
      <w:r w:rsidR="00451F9B">
        <w:rPr>
          <w:rFonts w:cs="Calibri Light"/>
          <w:szCs w:val="22"/>
        </w:rPr>
        <w:t>(</w:t>
      </w:r>
      <w:r w:rsidR="0072230B" w:rsidRPr="00451F9B">
        <w:rPr>
          <w:rFonts w:cs="Calibri Light"/>
          <w:szCs w:val="22"/>
        </w:rPr>
        <w:t xml:space="preserve">to </w:t>
      </w:r>
      <w:r w:rsidR="00451F9B">
        <w:rPr>
          <w:rFonts w:cs="Calibri Light"/>
          <w:szCs w:val="22"/>
        </w:rPr>
        <w:t xml:space="preserve">the </w:t>
      </w:r>
      <w:r w:rsidR="0072230B" w:rsidRPr="00451F9B">
        <w:rPr>
          <w:rFonts w:cs="Calibri Light"/>
          <w:szCs w:val="22"/>
        </w:rPr>
        <w:t>surve</w:t>
      </w:r>
      <w:r w:rsidR="0072230B" w:rsidRPr="005A5B53">
        <w:rPr>
          <w:rFonts w:cs="Calibri Light"/>
          <w:szCs w:val="22"/>
        </w:rPr>
        <w:t xml:space="preserve">y </w:t>
      </w:r>
      <w:r w:rsidR="0072230B" w:rsidRPr="001F28AC">
        <w:rPr>
          <w:rFonts w:cs="Calibri Light"/>
          <w:szCs w:val="22"/>
        </w:rPr>
        <w:t>CHOICE c</w:t>
      </w:r>
      <w:r w:rsidR="0072230B" w:rsidRPr="00246D69">
        <w:rPr>
          <w:rFonts w:cs="Calibri Light"/>
          <w:szCs w:val="22"/>
        </w:rPr>
        <w:t>o</w:t>
      </w:r>
      <w:r w:rsidR="0072230B" w:rsidRPr="001A409A">
        <w:rPr>
          <w:rFonts w:cs="Calibri Light"/>
          <w:szCs w:val="22"/>
        </w:rPr>
        <w:t>nducted t</w:t>
      </w:r>
      <w:r w:rsidR="0072230B" w:rsidRPr="009165E2">
        <w:rPr>
          <w:rFonts w:cs="Calibri Light"/>
          <w:szCs w:val="22"/>
        </w:rPr>
        <w:t>o in</w:t>
      </w:r>
      <w:r w:rsidR="0072230B" w:rsidRPr="00692AC8">
        <w:rPr>
          <w:rFonts w:cs="Calibri Light"/>
          <w:szCs w:val="22"/>
        </w:rPr>
        <w:t>fo</w:t>
      </w:r>
      <w:r w:rsidR="0072230B" w:rsidRPr="001E6CFD">
        <w:rPr>
          <w:rFonts w:cs="Calibri Light"/>
          <w:szCs w:val="22"/>
        </w:rPr>
        <w:t xml:space="preserve">rm the work </w:t>
      </w:r>
      <w:r w:rsidR="0072230B" w:rsidRPr="002E4DEE">
        <w:rPr>
          <w:rFonts w:cs="Calibri Light"/>
          <w:szCs w:val="22"/>
        </w:rPr>
        <w:t>o</w:t>
      </w:r>
      <w:r w:rsidR="0072230B" w:rsidRPr="00C80232">
        <w:rPr>
          <w:rFonts w:cs="Calibri Light"/>
          <w:szCs w:val="22"/>
        </w:rPr>
        <w:t xml:space="preserve">f </w:t>
      </w:r>
      <w:r w:rsidR="0072230B" w:rsidRPr="00FC0015">
        <w:rPr>
          <w:rFonts w:cs="Calibri Light"/>
          <w:szCs w:val="22"/>
        </w:rPr>
        <w:t>the T</w:t>
      </w:r>
      <w:r w:rsidR="0072230B" w:rsidRPr="002840D6">
        <w:rPr>
          <w:rFonts w:cs="Calibri Light"/>
          <w:szCs w:val="22"/>
        </w:rPr>
        <w:t>askforce</w:t>
      </w:r>
      <w:r w:rsidR="00451F9B">
        <w:rPr>
          <w:rFonts w:cs="Calibri Light"/>
          <w:szCs w:val="22"/>
        </w:rPr>
        <w:t>)</w:t>
      </w:r>
      <w:r w:rsidRPr="005A5B53">
        <w:rPr>
          <w:rFonts w:cs="Calibri Light"/>
          <w:szCs w:val="22"/>
        </w:rPr>
        <w:t xml:space="preserve"> </w:t>
      </w:r>
      <w:r w:rsidRPr="001A409A">
        <w:rPr>
          <w:rFonts w:cs="Calibri Light"/>
          <w:szCs w:val="22"/>
        </w:rPr>
        <w:t>not</w:t>
      </w:r>
      <w:r w:rsidR="000464C3" w:rsidRPr="001A409A">
        <w:rPr>
          <w:rFonts w:cs="Calibri Light"/>
          <w:szCs w:val="22"/>
        </w:rPr>
        <w:t>ed</w:t>
      </w:r>
      <w:r w:rsidRPr="001A409A">
        <w:rPr>
          <w:rFonts w:cs="Calibri Light"/>
          <w:szCs w:val="22"/>
        </w:rPr>
        <w:t xml:space="preserve"> </w:t>
      </w:r>
      <w:r w:rsidR="001D4A21">
        <w:rPr>
          <w:rFonts w:cs="Calibri Light"/>
          <w:szCs w:val="22"/>
        </w:rPr>
        <w:t>‘</w:t>
      </w:r>
      <w:r w:rsidRPr="001A409A">
        <w:t>I live in a small country town, with an aging population. We have lost all banks now. Elderly folk have to drive 25km on a dangerous</w:t>
      </w:r>
      <w:r w:rsidRPr="00692AC8">
        <w:t xml:space="preserve"> badly</w:t>
      </w:r>
      <w:r>
        <w:t xml:space="preserve"> maintained highway to get to a bank that is only now open in the mornings.</w:t>
      </w:r>
      <w:r w:rsidR="001D4A21">
        <w:t>’</w:t>
      </w:r>
    </w:p>
    <w:p w14:paraId="4D4C7797" w14:textId="05C4DE81" w:rsidR="005A0BA4" w:rsidRDefault="005A0BA4" w:rsidP="005A0BA4">
      <w:pPr>
        <w:rPr>
          <w:rFonts w:cs="Calibri Light"/>
          <w:bCs/>
          <w:szCs w:val="22"/>
        </w:rPr>
      </w:pPr>
      <w:r>
        <w:t>Branch closures can also have an impact on local jobs and the community</w:t>
      </w:r>
      <w:r w:rsidR="001D4A21">
        <w:t>’</w:t>
      </w:r>
      <w:r>
        <w:t>s economy</w:t>
      </w:r>
      <w:r w:rsidR="006D764A">
        <w:t>.</w:t>
      </w:r>
      <w:r>
        <w:t xml:space="preserve"> Legal Aid Queensland</w:t>
      </w:r>
      <w:r w:rsidR="001D4A21">
        <w:t>’</w:t>
      </w:r>
      <w:r w:rsidR="006D764A">
        <w:t xml:space="preserve">s submission to the Taskforce </w:t>
      </w:r>
      <w:r>
        <w:rPr>
          <w:rFonts w:cs="Calibri Light"/>
          <w:bCs/>
          <w:szCs w:val="22"/>
        </w:rPr>
        <w:t>not</w:t>
      </w:r>
      <w:r w:rsidR="006D764A">
        <w:rPr>
          <w:rFonts w:cs="Calibri Light"/>
          <w:bCs/>
          <w:szCs w:val="22"/>
        </w:rPr>
        <w:t>ed</w:t>
      </w:r>
      <w:r>
        <w:rPr>
          <w:rFonts w:cs="Calibri Light"/>
          <w:bCs/>
          <w:szCs w:val="22"/>
        </w:rPr>
        <w:t xml:space="preserve"> that</w:t>
      </w:r>
      <w:r w:rsidRPr="005032B3">
        <w:rPr>
          <w:rFonts w:cs="Calibri Light"/>
          <w:bCs/>
          <w:szCs w:val="22"/>
        </w:rPr>
        <w:t xml:space="preserve"> </w:t>
      </w:r>
      <w:r w:rsidR="001D4A21">
        <w:rPr>
          <w:rFonts w:cs="Calibri Light"/>
          <w:bCs/>
          <w:szCs w:val="22"/>
        </w:rPr>
        <w:t>‘</w:t>
      </w:r>
      <w:r>
        <w:rPr>
          <w:rFonts w:cs="Calibri Light"/>
          <w:bCs/>
          <w:szCs w:val="22"/>
        </w:rPr>
        <w:t>r</w:t>
      </w:r>
      <w:r w:rsidRPr="00914BED">
        <w:rPr>
          <w:rFonts w:cs="Calibri Light"/>
          <w:bCs/>
          <w:szCs w:val="22"/>
        </w:rPr>
        <w:t xml:space="preserve">educing bank services usually sees the senior staff and more highly paid bankers leave the area for larger centres. Most often, the remaining staff have been drawn from the local area and can be out of work when </w:t>
      </w:r>
      <w:r>
        <w:rPr>
          <w:rFonts w:cs="Calibri Light"/>
          <w:bCs/>
          <w:szCs w:val="22"/>
        </w:rPr>
        <w:t xml:space="preserve">[the] </w:t>
      </w:r>
      <w:r w:rsidRPr="00914BED">
        <w:rPr>
          <w:rFonts w:cs="Calibri Light"/>
          <w:bCs/>
          <w:szCs w:val="22"/>
        </w:rPr>
        <w:t>bank closes its doors in the town. This adds to the unemployment in the area, leaving their families with few options.</w:t>
      </w:r>
      <w:r w:rsidR="001D4A21">
        <w:rPr>
          <w:rFonts w:cs="Calibri Light"/>
          <w:bCs/>
          <w:szCs w:val="22"/>
        </w:rPr>
        <w:t>’</w:t>
      </w:r>
      <w:r w:rsidR="00BF706C">
        <w:rPr>
          <w:rFonts w:cs="Calibri Light"/>
          <w:bCs/>
          <w:szCs w:val="22"/>
        </w:rPr>
        <w:t xml:space="preserve"> </w:t>
      </w:r>
    </w:p>
    <w:p w14:paraId="0994A943" w14:textId="39CED11F" w:rsidR="005A0BA4" w:rsidRDefault="005A0BA4" w:rsidP="005A0BA4">
      <w:pPr>
        <w:rPr>
          <w:rFonts w:cs="Calibri Light"/>
          <w:bCs/>
          <w:szCs w:val="22"/>
        </w:rPr>
      </w:pPr>
      <w:r>
        <w:rPr>
          <w:rFonts w:cs="Calibri Light"/>
          <w:bCs/>
          <w:szCs w:val="22"/>
        </w:rPr>
        <w:t xml:space="preserve">Less branches </w:t>
      </w:r>
      <w:r w:rsidR="002B255C">
        <w:rPr>
          <w:rFonts w:cs="Calibri Light"/>
          <w:bCs/>
          <w:szCs w:val="22"/>
        </w:rPr>
        <w:t>leads to</w:t>
      </w:r>
      <w:r>
        <w:rPr>
          <w:rFonts w:cs="Calibri Light"/>
          <w:bCs/>
          <w:szCs w:val="22"/>
        </w:rPr>
        <w:t xml:space="preserve"> safety and security implications </w:t>
      </w:r>
      <w:r w:rsidR="002B255C">
        <w:rPr>
          <w:rFonts w:cs="Calibri Light"/>
          <w:bCs/>
          <w:szCs w:val="22"/>
        </w:rPr>
        <w:t xml:space="preserve">as </w:t>
      </w:r>
      <w:r>
        <w:rPr>
          <w:rFonts w:cs="Calibri Light"/>
          <w:bCs/>
          <w:szCs w:val="22"/>
        </w:rPr>
        <w:t xml:space="preserve">customers need to </w:t>
      </w:r>
      <w:r w:rsidR="00475AF7">
        <w:rPr>
          <w:rFonts w:cs="Calibri Light"/>
          <w:bCs/>
          <w:szCs w:val="22"/>
        </w:rPr>
        <w:t>keep</w:t>
      </w:r>
      <w:r>
        <w:rPr>
          <w:rFonts w:cs="Calibri Light"/>
          <w:bCs/>
          <w:szCs w:val="22"/>
        </w:rPr>
        <w:t xml:space="preserve"> larger amounts of cash</w:t>
      </w:r>
      <w:r w:rsidR="002C61F0">
        <w:rPr>
          <w:rFonts w:cs="Calibri Light"/>
          <w:bCs/>
          <w:szCs w:val="22"/>
        </w:rPr>
        <w:t>.</w:t>
      </w:r>
      <w:r>
        <w:rPr>
          <w:rFonts w:cs="Calibri Light"/>
          <w:bCs/>
          <w:szCs w:val="22"/>
        </w:rPr>
        <w:t xml:space="preserve"> Legal Aid Queensland</w:t>
      </w:r>
      <w:r w:rsidR="001D4A21">
        <w:rPr>
          <w:rFonts w:cs="Calibri Light"/>
          <w:bCs/>
          <w:szCs w:val="22"/>
        </w:rPr>
        <w:t>’</w:t>
      </w:r>
      <w:r w:rsidR="004D197A">
        <w:rPr>
          <w:rFonts w:cs="Calibri Light"/>
          <w:bCs/>
          <w:szCs w:val="22"/>
        </w:rPr>
        <w:t>s submission</w:t>
      </w:r>
      <w:r>
        <w:rPr>
          <w:rFonts w:cs="Calibri Light"/>
          <w:bCs/>
          <w:szCs w:val="22"/>
        </w:rPr>
        <w:t xml:space="preserve"> </w:t>
      </w:r>
      <w:r w:rsidR="00DE53E4">
        <w:rPr>
          <w:rFonts w:cs="Calibri Light"/>
          <w:bCs/>
          <w:szCs w:val="22"/>
        </w:rPr>
        <w:t>note</w:t>
      </w:r>
      <w:r w:rsidR="00D53407">
        <w:rPr>
          <w:rFonts w:cs="Calibri Light"/>
          <w:bCs/>
          <w:szCs w:val="22"/>
        </w:rPr>
        <w:t>d</w:t>
      </w:r>
      <w:r w:rsidR="00DE53E4">
        <w:rPr>
          <w:rFonts w:cs="Calibri Light"/>
          <w:bCs/>
          <w:szCs w:val="22"/>
        </w:rPr>
        <w:t xml:space="preserve"> </w:t>
      </w:r>
      <w:r>
        <w:rPr>
          <w:rFonts w:cs="Calibri Light"/>
          <w:bCs/>
          <w:szCs w:val="22"/>
        </w:rPr>
        <w:t xml:space="preserve">that </w:t>
      </w:r>
      <w:r w:rsidR="001D4A21">
        <w:rPr>
          <w:rFonts w:cs="Calibri Light"/>
          <w:bCs/>
          <w:szCs w:val="22"/>
        </w:rPr>
        <w:t>‘</w:t>
      </w:r>
      <w:r>
        <w:rPr>
          <w:rFonts w:cs="Calibri Light"/>
          <w:bCs/>
          <w:szCs w:val="22"/>
        </w:rPr>
        <w:t>r</w:t>
      </w:r>
      <w:r w:rsidRPr="00914BED">
        <w:rPr>
          <w:rFonts w:cs="Calibri Light"/>
          <w:bCs/>
          <w:szCs w:val="22"/>
        </w:rPr>
        <w:t>etaining large amounts of cash on premises exposes the business to criminal activity putting staff/ owners/ customers/ buildings and facilities at risk.</w:t>
      </w:r>
      <w:r w:rsidR="001D4A21">
        <w:rPr>
          <w:rFonts w:cs="Calibri Light"/>
          <w:bCs/>
          <w:szCs w:val="22"/>
        </w:rPr>
        <w:t>’</w:t>
      </w:r>
    </w:p>
    <w:p w14:paraId="2DE0F5C8" w14:textId="5E22F4AE" w:rsidR="005A0BA4" w:rsidRPr="00EA20C6" w:rsidRDefault="005A0BA4" w:rsidP="005A0BA4">
      <w:pPr>
        <w:rPr>
          <w:rFonts w:cs="Calibri Light"/>
          <w:szCs w:val="22"/>
        </w:rPr>
      </w:pPr>
      <w:r w:rsidRPr="00412A75">
        <w:rPr>
          <w:rFonts w:cs="Calibri Light"/>
          <w:szCs w:val="22"/>
        </w:rPr>
        <w:t xml:space="preserve">As branches close, there is </w:t>
      </w:r>
      <w:r>
        <w:rPr>
          <w:rFonts w:cs="Calibri Light"/>
          <w:szCs w:val="22"/>
        </w:rPr>
        <w:t xml:space="preserve">also </w:t>
      </w:r>
      <w:r w:rsidRPr="00412A75">
        <w:rPr>
          <w:rFonts w:cs="Calibri Light"/>
          <w:szCs w:val="22"/>
        </w:rPr>
        <w:t>l</w:t>
      </w:r>
      <w:r w:rsidRPr="00E333F0">
        <w:rPr>
          <w:rFonts w:cs="Calibri Light"/>
          <w:szCs w:val="22"/>
        </w:rPr>
        <w:t>ess</w:t>
      </w:r>
      <w:r w:rsidRPr="00274EF3">
        <w:rPr>
          <w:rFonts w:cs="Calibri Light"/>
          <w:szCs w:val="22"/>
        </w:rPr>
        <w:t xml:space="preserve"> c</w:t>
      </w:r>
      <w:r w:rsidRPr="00DF4F5C">
        <w:rPr>
          <w:rFonts w:cs="Calibri Light"/>
          <w:szCs w:val="22"/>
        </w:rPr>
        <w:t>ompe</w:t>
      </w:r>
      <w:r w:rsidRPr="00EB52E3">
        <w:rPr>
          <w:rFonts w:cs="Calibri Light"/>
          <w:szCs w:val="22"/>
        </w:rPr>
        <w:t>titi</w:t>
      </w:r>
      <w:r w:rsidRPr="00105B44">
        <w:rPr>
          <w:rFonts w:cs="Calibri Light"/>
          <w:szCs w:val="22"/>
        </w:rPr>
        <w:t>on</w:t>
      </w:r>
      <w:r>
        <w:rPr>
          <w:rFonts w:cs="Calibri Light"/>
          <w:szCs w:val="22"/>
        </w:rPr>
        <w:t>,</w:t>
      </w:r>
      <w:r w:rsidRPr="00A92C26">
        <w:rPr>
          <w:rFonts w:cs="Calibri Light"/>
          <w:szCs w:val="22"/>
        </w:rPr>
        <w:t xml:space="preserve"> leaving customers with </w:t>
      </w:r>
      <w:r w:rsidR="00CA1E5D">
        <w:rPr>
          <w:rFonts w:cs="Calibri Light"/>
          <w:szCs w:val="22"/>
        </w:rPr>
        <w:t>less</w:t>
      </w:r>
      <w:r w:rsidRPr="00A92C26">
        <w:rPr>
          <w:rFonts w:cs="Calibri Light"/>
          <w:szCs w:val="22"/>
        </w:rPr>
        <w:t xml:space="preserve"> choice in financial services available to them</w:t>
      </w:r>
      <w:r w:rsidR="00BD372E">
        <w:rPr>
          <w:rFonts w:cs="Calibri Light"/>
          <w:szCs w:val="22"/>
        </w:rPr>
        <w:t>,</w:t>
      </w:r>
      <w:r w:rsidRPr="00A92C26">
        <w:rPr>
          <w:rFonts w:cs="Calibri Light"/>
          <w:szCs w:val="22"/>
        </w:rPr>
        <w:t xml:space="preserve"> which could lead to lost opportunities</w:t>
      </w:r>
      <w:r>
        <w:rPr>
          <w:rFonts w:cs="Calibri Light"/>
          <w:szCs w:val="22"/>
        </w:rPr>
        <w:t>.</w:t>
      </w:r>
      <w:r w:rsidRPr="00E333F0">
        <w:rPr>
          <w:rFonts w:cs="Calibri Light"/>
          <w:szCs w:val="22"/>
        </w:rPr>
        <w:t xml:space="preserve"> </w:t>
      </w:r>
      <w:r w:rsidRPr="00412A75">
        <w:rPr>
          <w:rFonts w:cs="Calibri Light"/>
          <w:szCs w:val="22"/>
        </w:rPr>
        <w:t>T</w:t>
      </w:r>
      <w:r w:rsidRPr="00E333F0">
        <w:rPr>
          <w:rFonts w:cs="Calibri Light"/>
          <w:szCs w:val="22"/>
        </w:rPr>
        <w:t xml:space="preserve">he </w:t>
      </w:r>
      <w:r w:rsidRPr="00274EF3">
        <w:rPr>
          <w:rFonts w:cs="Calibri Light"/>
          <w:szCs w:val="22"/>
        </w:rPr>
        <w:t>la</w:t>
      </w:r>
      <w:r w:rsidRPr="00DF4F5C">
        <w:rPr>
          <w:rFonts w:cs="Calibri Light"/>
          <w:szCs w:val="22"/>
        </w:rPr>
        <w:t>ck o</w:t>
      </w:r>
      <w:r w:rsidRPr="00EB52E3">
        <w:rPr>
          <w:rFonts w:cs="Calibri Light"/>
          <w:szCs w:val="22"/>
        </w:rPr>
        <w:t>f re</w:t>
      </w:r>
      <w:r w:rsidRPr="00105B44">
        <w:rPr>
          <w:rFonts w:cs="Calibri Light"/>
          <w:szCs w:val="22"/>
        </w:rPr>
        <w:t>ad</w:t>
      </w:r>
      <w:r w:rsidRPr="00D71C3B">
        <w:rPr>
          <w:rFonts w:cs="Calibri Light"/>
          <w:szCs w:val="22"/>
        </w:rPr>
        <w:t xml:space="preserve">ily available </w:t>
      </w:r>
      <w:r w:rsidRPr="00412A75">
        <w:rPr>
          <w:rFonts w:cs="Calibri Light"/>
          <w:szCs w:val="22"/>
        </w:rPr>
        <w:lastRenderedPageBreak/>
        <w:t xml:space="preserve">information </w:t>
      </w:r>
      <w:r>
        <w:rPr>
          <w:rFonts w:cs="Calibri Light"/>
          <w:szCs w:val="22"/>
        </w:rPr>
        <w:t xml:space="preserve">and </w:t>
      </w:r>
      <w:r w:rsidRPr="00E333F0">
        <w:rPr>
          <w:rFonts w:cs="Calibri Light"/>
          <w:szCs w:val="22"/>
        </w:rPr>
        <w:t>adv</w:t>
      </w:r>
      <w:r w:rsidRPr="00274EF3">
        <w:rPr>
          <w:rFonts w:cs="Calibri Light"/>
          <w:szCs w:val="22"/>
        </w:rPr>
        <w:t>ic</w:t>
      </w:r>
      <w:r w:rsidRPr="00DF4F5C">
        <w:rPr>
          <w:rFonts w:cs="Calibri Light"/>
          <w:szCs w:val="22"/>
        </w:rPr>
        <w:t>e fr</w:t>
      </w:r>
      <w:r w:rsidRPr="00EB52E3">
        <w:rPr>
          <w:rFonts w:cs="Calibri Light"/>
          <w:szCs w:val="22"/>
        </w:rPr>
        <w:t>om l</w:t>
      </w:r>
      <w:r w:rsidRPr="00105B44">
        <w:rPr>
          <w:rFonts w:cs="Calibri Light"/>
          <w:szCs w:val="22"/>
        </w:rPr>
        <w:t>oc</w:t>
      </w:r>
      <w:r w:rsidRPr="00D71C3B">
        <w:rPr>
          <w:rFonts w:cs="Calibri Light"/>
          <w:szCs w:val="22"/>
        </w:rPr>
        <w:t xml:space="preserve">al bank staff who understand the </w:t>
      </w:r>
      <w:r w:rsidRPr="00412A75">
        <w:rPr>
          <w:rFonts w:cs="Calibri Light"/>
          <w:szCs w:val="22"/>
        </w:rPr>
        <w:t>community can also lead to a deterioration in the quality of service.</w:t>
      </w:r>
      <w:r w:rsidRPr="00E333F0">
        <w:rPr>
          <w:rFonts w:cs="Calibri Light"/>
          <w:szCs w:val="22"/>
        </w:rPr>
        <w:t xml:space="preserve"> </w:t>
      </w:r>
    </w:p>
    <w:p w14:paraId="703B39CC" w14:textId="4CB5AD6D" w:rsidR="00D617CE" w:rsidRDefault="008B4B1E" w:rsidP="005A0BA4">
      <w:r>
        <w:rPr>
          <w:rFonts w:cs="Calibri Light"/>
          <w:szCs w:val="22"/>
        </w:rPr>
        <w:t>Farmers and s</w:t>
      </w:r>
      <w:r w:rsidR="005A0BA4">
        <w:rPr>
          <w:rFonts w:cs="Calibri Light"/>
          <w:szCs w:val="22"/>
        </w:rPr>
        <w:t xml:space="preserve">mall businesses also face challenges when branches close. For example, the loss of a local branch can lead to stress, inconvenience, and higher costs, including from paying a cash provider. </w:t>
      </w:r>
      <w:r w:rsidR="005A0BA4">
        <w:t>The transition from a branch can lead to a loss of an ongoing direct relationship with a banker who understands the business</w:t>
      </w:r>
      <w:r w:rsidR="00E13E44">
        <w:t xml:space="preserve"> and has worked with rural businesses in distress</w:t>
      </w:r>
      <w:r w:rsidR="005A0BA4">
        <w:t xml:space="preserve">. Farmers and small business owners noted that if they are dealing with a call centre, they </w:t>
      </w:r>
      <w:r w:rsidR="00526E0D">
        <w:t>often don</w:t>
      </w:r>
      <w:r w:rsidR="001D4A21">
        <w:t>’</w:t>
      </w:r>
      <w:r w:rsidR="00526E0D">
        <w:t>t</w:t>
      </w:r>
      <w:r w:rsidR="005A0BA4">
        <w:t xml:space="preserve"> get to speak to the same person twice. It can also lead to unsatisfactory or untimely responses, leading to lost opportunities. The lack of a direct relationship may also mean that it is harder for businesses to obtain a loan and can be particularly challenging when a business is under stress</w:t>
      </w:r>
      <w:r w:rsidR="001D4A21">
        <w:t xml:space="preserve">. </w:t>
      </w:r>
    </w:p>
    <w:p w14:paraId="4B8CC25D" w14:textId="301B95D9" w:rsidR="00D617CE" w:rsidRDefault="00D617CE" w:rsidP="00D617CE">
      <w:r>
        <w:rPr>
          <w:rFonts w:cs="Calibri Light"/>
          <w:szCs w:val="22"/>
        </w:rPr>
        <w:t xml:space="preserve">Branch closures may mean some small businesses look for services outside the regulated financial system, increasing administrative costs and the level of risk for business owners. </w:t>
      </w:r>
    </w:p>
    <w:p w14:paraId="30238053" w14:textId="07B207ED" w:rsidR="005A0BA4" w:rsidRDefault="005A0BA4" w:rsidP="005A0BA4">
      <w:pPr>
        <w:rPr>
          <w:rFonts w:cs="Calibri Light"/>
          <w:szCs w:val="22"/>
        </w:rPr>
      </w:pPr>
      <w:r>
        <w:t xml:space="preserve">Community groups and businesses may also find it more difficult to get cash and change for floats and this may </w:t>
      </w:r>
      <w:r w:rsidR="00A909DE">
        <w:t>affect</w:t>
      </w:r>
      <w:r>
        <w:t xml:space="preserve"> fundraising opportunities.</w:t>
      </w:r>
    </w:p>
    <w:p w14:paraId="7BBF8DDC" w14:textId="2BC12C69" w:rsidR="00A909DE" w:rsidRPr="00C40254" w:rsidRDefault="005A0BA4" w:rsidP="00A909DE">
      <w:pPr>
        <w:rPr>
          <w:rFonts w:cs="Calibri Light"/>
        </w:rPr>
      </w:pPr>
      <w:r w:rsidRPr="35517BA7">
        <w:rPr>
          <w:rFonts w:cs="Calibri Light"/>
        </w:rPr>
        <w:t xml:space="preserve">Significantly, the impact of branch closures in a small community is not limited to </w:t>
      </w:r>
      <w:r w:rsidR="008457F6" w:rsidRPr="35517BA7">
        <w:rPr>
          <w:rFonts w:cs="Calibri Light"/>
        </w:rPr>
        <w:t xml:space="preserve">the provision of </w:t>
      </w:r>
      <w:r w:rsidR="008457F6" w:rsidRPr="00CA5AB0">
        <w:rPr>
          <w:rFonts w:cs="Calibri Light"/>
        </w:rPr>
        <w:t>bank</w:t>
      </w:r>
      <w:r w:rsidR="008457F6" w:rsidRPr="35517BA7">
        <w:rPr>
          <w:rFonts w:cs="Calibri Light"/>
        </w:rPr>
        <w:t xml:space="preserve"> services</w:t>
      </w:r>
      <w:r w:rsidRPr="35517BA7">
        <w:rPr>
          <w:rFonts w:cs="Calibri Light"/>
        </w:rPr>
        <w:t>. If a person or business is forced to travel to the next town to do their banking, they are likely to buy other goods and services in that town as well</w:t>
      </w:r>
      <w:r w:rsidR="416208AE" w:rsidRPr="35517BA7">
        <w:rPr>
          <w:rFonts w:cs="Calibri Light"/>
        </w:rPr>
        <w:t>,</w:t>
      </w:r>
      <w:r w:rsidR="00F7065A" w:rsidRPr="35517BA7">
        <w:rPr>
          <w:rFonts w:cs="Calibri Light"/>
        </w:rPr>
        <w:t xml:space="preserve"> </w:t>
      </w:r>
      <w:r w:rsidR="009165E2" w:rsidRPr="35517BA7">
        <w:rPr>
          <w:rFonts w:cs="Calibri Light"/>
        </w:rPr>
        <w:t xml:space="preserve">thus </w:t>
      </w:r>
      <w:r w:rsidR="00473574" w:rsidRPr="35517BA7">
        <w:rPr>
          <w:rFonts w:cs="Calibri Light"/>
        </w:rPr>
        <w:t>impacting</w:t>
      </w:r>
      <w:r w:rsidR="00F7065A" w:rsidRPr="35517BA7">
        <w:rPr>
          <w:rFonts w:cs="Calibri Light"/>
        </w:rPr>
        <w:t xml:space="preserve"> commerce in the </w:t>
      </w:r>
      <w:r w:rsidR="00BD574E" w:rsidRPr="35517BA7">
        <w:rPr>
          <w:rFonts w:cs="Calibri Light"/>
        </w:rPr>
        <w:t>town with the branch closure.</w:t>
      </w:r>
      <w:r w:rsidR="006B5B9F" w:rsidRPr="35517BA7">
        <w:rPr>
          <w:rFonts w:cs="Calibri Light"/>
        </w:rPr>
        <w:t xml:space="preserve"> </w:t>
      </w:r>
      <w:bookmarkEnd w:id="37"/>
      <w:bookmarkEnd w:id="38"/>
    </w:p>
    <w:p w14:paraId="36C17BA0" w14:textId="7F543E7B" w:rsidR="00AF2C9C" w:rsidRPr="00E0440E" w:rsidRDefault="009D481E" w:rsidP="00E0440E">
      <w:pPr>
        <w:pStyle w:val="Heading1"/>
      </w:pPr>
      <w:bookmarkStart w:id="41" w:name="_Toc115190891"/>
      <w:r w:rsidRPr="00E0440E">
        <w:t>F</w:t>
      </w:r>
      <w:r w:rsidR="00AF2C9C" w:rsidRPr="00E0440E">
        <w:t>indings</w:t>
      </w:r>
      <w:r w:rsidR="002764EA" w:rsidRPr="00E0440E">
        <w:t xml:space="preserve"> and </w:t>
      </w:r>
      <w:r w:rsidR="007405B0" w:rsidRPr="00E0440E">
        <w:t>r</w:t>
      </w:r>
      <w:r w:rsidR="002764EA" w:rsidRPr="00E0440E">
        <w:t>ecommendations</w:t>
      </w:r>
      <w:bookmarkEnd w:id="41"/>
    </w:p>
    <w:p w14:paraId="405C46CA" w14:textId="19146DF4" w:rsidR="00690D99" w:rsidRPr="006F09F2" w:rsidRDefault="00690D99" w:rsidP="00E0440E">
      <w:pPr>
        <w:pStyle w:val="Heading2"/>
      </w:pPr>
      <w:bookmarkStart w:id="42" w:name="_Toc97809916"/>
      <w:bookmarkStart w:id="43" w:name="_Toc97904375"/>
      <w:bookmarkStart w:id="44" w:name="_Toc98245359"/>
      <w:bookmarkStart w:id="45" w:name="_Toc98508540"/>
      <w:bookmarkStart w:id="46" w:name="_Toc107323274"/>
      <w:bookmarkStart w:id="47" w:name="_Toc107987043"/>
      <w:bookmarkStart w:id="48" w:name="_Toc115190892"/>
      <w:bookmarkStart w:id="49" w:name="_Toc96085861"/>
      <w:bookmarkStart w:id="50" w:name="_Toc96329500"/>
      <w:r w:rsidRPr="006F09F2">
        <w:t xml:space="preserve">Banks can improve communication and consultation </w:t>
      </w:r>
      <w:r w:rsidR="00F00C77">
        <w:t xml:space="preserve">with regional communities </w:t>
      </w:r>
      <w:r w:rsidRPr="006F09F2">
        <w:t>when branches close</w:t>
      </w:r>
      <w:bookmarkEnd w:id="42"/>
      <w:bookmarkEnd w:id="43"/>
      <w:bookmarkEnd w:id="44"/>
      <w:bookmarkEnd w:id="45"/>
      <w:bookmarkEnd w:id="46"/>
      <w:bookmarkEnd w:id="47"/>
      <w:bookmarkEnd w:id="48"/>
    </w:p>
    <w:bookmarkEnd w:id="49"/>
    <w:bookmarkEnd w:id="50"/>
    <w:p w14:paraId="5E80DA4B" w14:textId="39E40D48" w:rsidR="00474CFB" w:rsidRPr="00D36F4F" w:rsidRDefault="008E245B" w:rsidP="00E1010A">
      <w:pPr>
        <w:rPr>
          <w:rFonts w:cs="Calibri Light"/>
          <w:szCs w:val="22"/>
        </w:rPr>
      </w:pPr>
      <w:r w:rsidRPr="006F09F2">
        <w:rPr>
          <w:rFonts w:cs="Calibri Light"/>
          <w:szCs w:val="22"/>
        </w:rPr>
        <w:t xml:space="preserve">The Taskforce found that </w:t>
      </w:r>
      <w:r w:rsidR="00C947F3" w:rsidRPr="006F09F2">
        <w:rPr>
          <w:rFonts w:cs="Calibri Light"/>
          <w:szCs w:val="22"/>
        </w:rPr>
        <w:t xml:space="preserve">while regional communities </w:t>
      </w:r>
      <w:r w:rsidR="004A01E5" w:rsidRPr="006F09F2">
        <w:rPr>
          <w:rFonts w:cs="Calibri Light"/>
          <w:szCs w:val="22"/>
        </w:rPr>
        <w:t>understand</w:t>
      </w:r>
      <w:r w:rsidR="00C947F3" w:rsidRPr="006F09F2">
        <w:rPr>
          <w:rFonts w:cs="Calibri Light"/>
          <w:szCs w:val="22"/>
        </w:rPr>
        <w:t xml:space="preserve"> the </w:t>
      </w:r>
      <w:r w:rsidR="004A01E5" w:rsidRPr="006F09F2">
        <w:rPr>
          <w:rFonts w:cs="Calibri Light"/>
          <w:szCs w:val="22"/>
        </w:rPr>
        <w:t>factors that lead to branch closures</w:t>
      </w:r>
      <w:r w:rsidR="002D1ED4" w:rsidRPr="006F09F2">
        <w:rPr>
          <w:rFonts w:cs="Calibri Light"/>
          <w:szCs w:val="22"/>
        </w:rPr>
        <w:t>,</w:t>
      </w:r>
      <w:r w:rsidR="004A01E5" w:rsidRPr="006F09F2">
        <w:rPr>
          <w:rFonts w:cs="Calibri Light"/>
          <w:szCs w:val="22"/>
        </w:rPr>
        <w:t xml:space="preserve"> </w:t>
      </w:r>
      <w:r w:rsidR="00BD4BA2" w:rsidRPr="006F09F2">
        <w:rPr>
          <w:rFonts w:cs="Calibri Light"/>
          <w:szCs w:val="22"/>
        </w:rPr>
        <w:t>banks</w:t>
      </w:r>
      <w:r w:rsidR="001D4A21">
        <w:rPr>
          <w:rFonts w:cs="Calibri Light"/>
          <w:szCs w:val="22"/>
        </w:rPr>
        <w:t>’</w:t>
      </w:r>
      <w:r w:rsidR="00BD4BA2" w:rsidRPr="006F09F2">
        <w:rPr>
          <w:rFonts w:cs="Calibri Light"/>
          <w:szCs w:val="22"/>
        </w:rPr>
        <w:t xml:space="preserve"> communication and consultation processes </w:t>
      </w:r>
      <w:r w:rsidR="0064007E" w:rsidRPr="006F09F2">
        <w:rPr>
          <w:rFonts w:cs="Calibri Light"/>
          <w:szCs w:val="22"/>
        </w:rPr>
        <w:t xml:space="preserve">do not meet expectations. </w:t>
      </w:r>
      <w:r w:rsidR="006D4A3B" w:rsidRPr="006F09F2">
        <w:rPr>
          <w:rFonts w:cs="Calibri Light"/>
          <w:szCs w:val="22"/>
        </w:rPr>
        <w:t>A lack of forewarning and transitional support</w:t>
      </w:r>
      <w:r w:rsidR="00C323AE" w:rsidRPr="006F09F2">
        <w:rPr>
          <w:rFonts w:cs="Calibri Light"/>
          <w:szCs w:val="22"/>
        </w:rPr>
        <w:t xml:space="preserve"> can</w:t>
      </w:r>
      <w:r w:rsidR="006D4A3B" w:rsidRPr="006F09F2">
        <w:rPr>
          <w:rFonts w:cs="Calibri Light"/>
          <w:szCs w:val="22"/>
        </w:rPr>
        <w:t xml:space="preserve"> </w:t>
      </w:r>
      <w:r w:rsidR="00CF7E77" w:rsidRPr="006F09F2">
        <w:rPr>
          <w:rFonts w:cs="Calibri Light"/>
          <w:szCs w:val="22"/>
        </w:rPr>
        <w:t>leave branch</w:t>
      </w:r>
      <w:r w:rsidR="00386D31">
        <w:rPr>
          <w:rFonts w:cs="Calibri Light"/>
          <w:szCs w:val="22"/>
        </w:rPr>
        <w:t xml:space="preserve"> </w:t>
      </w:r>
      <w:r w:rsidR="00CF7E77" w:rsidRPr="00386D31">
        <w:rPr>
          <w:rFonts w:cs="Calibri Light"/>
          <w:szCs w:val="22"/>
        </w:rPr>
        <w:t>d</w:t>
      </w:r>
      <w:r w:rsidR="00CF7E77" w:rsidRPr="00684B76">
        <w:rPr>
          <w:rFonts w:cs="Calibri Light"/>
          <w:szCs w:val="22"/>
        </w:rPr>
        <w:t>e</w:t>
      </w:r>
      <w:r w:rsidR="00CF7E77" w:rsidRPr="008B47E9">
        <w:rPr>
          <w:rFonts w:cs="Calibri Light"/>
          <w:szCs w:val="22"/>
        </w:rPr>
        <w:t>pen</w:t>
      </w:r>
      <w:r w:rsidR="00CF7E77" w:rsidRPr="00270A25">
        <w:rPr>
          <w:rFonts w:cs="Calibri Light"/>
          <w:szCs w:val="22"/>
        </w:rPr>
        <w:t>d</w:t>
      </w:r>
      <w:r w:rsidR="00CF7E77" w:rsidRPr="00B5763A">
        <w:rPr>
          <w:rFonts w:cs="Calibri Light"/>
          <w:szCs w:val="22"/>
        </w:rPr>
        <w:t>e</w:t>
      </w:r>
      <w:r w:rsidR="00CF7E77" w:rsidRPr="005D3662">
        <w:rPr>
          <w:rFonts w:cs="Calibri Light"/>
          <w:szCs w:val="22"/>
        </w:rPr>
        <w:t>n</w:t>
      </w:r>
      <w:r w:rsidR="00CF7E77" w:rsidRPr="00FB5E24">
        <w:rPr>
          <w:rFonts w:cs="Calibri Light"/>
          <w:szCs w:val="22"/>
        </w:rPr>
        <w:t>t</w:t>
      </w:r>
      <w:r w:rsidR="006D7DB7" w:rsidRPr="00100C06">
        <w:rPr>
          <w:rFonts w:cs="Calibri Light"/>
          <w:szCs w:val="22"/>
        </w:rPr>
        <w:t xml:space="preserve"> </w:t>
      </w:r>
      <w:r w:rsidR="006D7DB7" w:rsidRPr="006F09F2">
        <w:rPr>
          <w:rFonts w:cs="Calibri Light"/>
          <w:szCs w:val="22"/>
        </w:rPr>
        <w:t>customers</w:t>
      </w:r>
      <w:r w:rsidR="00CF7E77" w:rsidRPr="006F09F2">
        <w:rPr>
          <w:rFonts w:cs="Calibri Light"/>
          <w:szCs w:val="22"/>
        </w:rPr>
        <w:t xml:space="preserve"> </w:t>
      </w:r>
      <w:r w:rsidR="00C323AE" w:rsidRPr="006F09F2">
        <w:rPr>
          <w:rFonts w:cs="Calibri Light"/>
          <w:szCs w:val="22"/>
        </w:rPr>
        <w:t>frustrated</w:t>
      </w:r>
      <w:r w:rsidR="006D7DB7" w:rsidRPr="006F09F2">
        <w:rPr>
          <w:rFonts w:cs="Calibri Light"/>
          <w:szCs w:val="22"/>
        </w:rPr>
        <w:t xml:space="preserve">, </w:t>
      </w:r>
      <w:r w:rsidR="0022187C" w:rsidRPr="006F09F2">
        <w:rPr>
          <w:rFonts w:cs="Calibri Light"/>
          <w:szCs w:val="22"/>
        </w:rPr>
        <w:t>disappointed,</w:t>
      </w:r>
      <w:r w:rsidR="00BD4BA2" w:rsidRPr="006F09F2">
        <w:rPr>
          <w:rFonts w:cs="Calibri Light"/>
          <w:szCs w:val="22"/>
        </w:rPr>
        <w:t xml:space="preserve"> </w:t>
      </w:r>
      <w:r w:rsidR="006D7DB7" w:rsidRPr="006F09F2">
        <w:rPr>
          <w:rFonts w:cs="Calibri Light"/>
          <w:szCs w:val="22"/>
        </w:rPr>
        <w:t xml:space="preserve">and confused about </w:t>
      </w:r>
      <w:r w:rsidR="007C694B" w:rsidRPr="006F09F2">
        <w:rPr>
          <w:rFonts w:cs="Calibri Light"/>
          <w:szCs w:val="22"/>
        </w:rPr>
        <w:t>how to do their banking.</w:t>
      </w:r>
      <w:r w:rsidR="00D36F4F">
        <w:rPr>
          <w:rFonts w:cs="Calibri Light"/>
          <w:szCs w:val="22"/>
        </w:rPr>
        <w:t xml:space="preserve"> Branch closures can also come as a surprise to </w:t>
      </w:r>
      <w:r w:rsidR="00E91313">
        <w:rPr>
          <w:rFonts w:cs="Calibri Light"/>
          <w:szCs w:val="22"/>
        </w:rPr>
        <w:t>local governments</w:t>
      </w:r>
      <w:r w:rsidR="00577244">
        <w:rPr>
          <w:rFonts w:cs="Calibri Light"/>
          <w:szCs w:val="22"/>
        </w:rPr>
        <w:t>, small businesses</w:t>
      </w:r>
      <w:r w:rsidR="00B67992">
        <w:rPr>
          <w:rFonts w:cs="Calibri Light"/>
          <w:szCs w:val="22"/>
        </w:rPr>
        <w:t>,</w:t>
      </w:r>
      <w:r w:rsidR="00E91313">
        <w:rPr>
          <w:rFonts w:cs="Calibri Light"/>
          <w:szCs w:val="22"/>
        </w:rPr>
        <w:t xml:space="preserve"> and community groups</w:t>
      </w:r>
      <w:r w:rsidR="005B74A6">
        <w:rPr>
          <w:rFonts w:cs="Calibri Light"/>
          <w:szCs w:val="22"/>
        </w:rPr>
        <w:t xml:space="preserve">, </w:t>
      </w:r>
      <w:r w:rsidR="00A5788B">
        <w:rPr>
          <w:rFonts w:cs="Calibri Light"/>
          <w:szCs w:val="22"/>
        </w:rPr>
        <w:t>which</w:t>
      </w:r>
      <w:r w:rsidR="005B74A6">
        <w:rPr>
          <w:rFonts w:cs="Calibri Light"/>
          <w:szCs w:val="22"/>
        </w:rPr>
        <w:t xml:space="preserve"> </w:t>
      </w:r>
      <w:r w:rsidR="002F0BFF">
        <w:rPr>
          <w:rFonts w:cs="Calibri Light"/>
          <w:szCs w:val="22"/>
        </w:rPr>
        <w:t xml:space="preserve">may </w:t>
      </w:r>
      <w:r w:rsidR="005B74A6">
        <w:rPr>
          <w:rFonts w:cs="Calibri Light"/>
          <w:szCs w:val="22"/>
        </w:rPr>
        <w:t>rely on physical banking services.</w:t>
      </w:r>
    </w:p>
    <w:p w14:paraId="3A4B7ADF" w14:textId="2C0DEEB9" w:rsidR="00136C39" w:rsidRDefault="2264F8D9" w:rsidP="4D55EDD0">
      <w:pPr>
        <w:rPr>
          <w:rFonts w:cs="Calibri Light"/>
        </w:rPr>
      </w:pPr>
      <w:bookmarkStart w:id="51" w:name="_Hlk98227330"/>
      <w:r w:rsidRPr="4D55EDD0">
        <w:rPr>
          <w:rFonts w:cs="Calibri Light"/>
        </w:rPr>
        <w:t>The ABA</w:t>
      </w:r>
      <w:r w:rsidR="001D4A21">
        <w:rPr>
          <w:rFonts w:cs="Calibri Light"/>
        </w:rPr>
        <w:t>’</w:t>
      </w:r>
      <w:r w:rsidRPr="4D55EDD0">
        <w:rPr>
          <w:rFonts w:cs="Calibri Light"/>
        </w:rPr>
        <w:t>s Branch Closure Protocol</w:t>
      </w:r>
      <w:r w:rsidR="10937DAD" w:rsidRPr="4D55EDD0">
        <w:rPr>
          <w:rFonts w:cs="Calibri Light"/>
        </w:rPr>
        <w:t xml:space="preserve"> (ABA 2015)</w:t>
      </w:r>
      <w:r w:rsidRPr="4D55EDD0">
        <w:rPr>
          <w:rFonts w:cs="Calibri Light"/>
        </w:rPr>
        <w:t xml:space="preserve">, which is </w:t>
      </w:r>
      <w:r w:rsidR="0DFFF82D" w:rsidRPr="4D55EDD0">
        <w:rPr>
          <w:rFonts w:cs="Calibri Light"/>
        </w:rPr>
        <w:t xml:space="preserve">incorporated by </w:t>
      </w:r>
      <w:r w:rsidRPr="4D55EDD0">
        <w:rPr>
          <w:rFonts w:cs="Calibri Light"/>
        </w:rPr>
        <w:t>reference in</w:t>
      </w:r>
      <w:r w:rsidR="5363A0FF" w:rsidRPr="4D55EDD0">
        <w:rPr>
          <w:rFonts w:cs="Calibri Light"/>
        </w:rPr>
        <w:t>to</w:t>
      </w:r>
      <w:r w:rsidRPr="4D55EDD0">
        <w:rPr>
          <w:rFonts w:cs="Calibri Light"/>
        </w:rPr>
        <w:t xml:space="preserve"> the ABA Banking Code</w:t>
      </w:r>
      <w:r w:rsidR="7BD463DB" w:rsidRPr="4D55EDD0">
        <w:rPr>
          <w:rFonts w:cs="Calibri Light"/>
        </w:rPr>
        <w:t xml:space="preserve"> of Practice</w:t>
      </w:r>
      <w:r w:rsidR="10937DAD" w:rsidRPr="4D55EDD0">
        <w:rPr>
          <w:rFonts w:cs="Calibri Light"/>
        </w:rPr>
        <w:t xml:space="preserve"> (ABA 2021)</w:t>
      </w:r>
      <w:r w:rsidRPr="4D55EDD0">
        <w:rPr>
          <w:rFonts w:cs="Calibri Light"/>
        </w:rPr>
        <w:t xml:space="preserve">, </w:t>
      </w:r>
      <w:bookmarkEnd w:id="51"/>
      <w:r w:rsidRPr="4D55EDD0">
        <w:rPr>
          <w:rFonts w:cs="Calibri Light"/>
        </w:rPr>
        <w:t>outlines the banking industry</w:t>
      </w:r>
      <w:r w:rsidR="001D4A21">
        <w:rPr>
          <w:rFonts w:cs="Calibri Light"/>
        </w:rPr>
        <w:t>’</w:t>
      </w:r>
      <w:r w:rsidRPr="4D55EDD0">
        <w:rPr>
          <w:rFonts w:cs="Calibri Light"/>
        </w:rPr>
        <w:t xml:space="preserve">s commitment to provide customers in remote, rural, and regional areas </w:t>
      </w:r>
      <w:r w:rsidR="5363A0FF" w:rsidRPr="4D55EDD0">
        <w:rPr>
          <w:rFonts w:cs="Calibri Light"/>
        </w:rPr>
        <w:t>with</w:t>
      </w:r>
      <w:r w:rsidRPr="4D55EDD0">
        <w:rPr>
          <w:rFonts w:cs="Calibri Light"/>
        </w:rPr>
        <w:t xml:space="preserve"> ongoing face</w:t>
      </w:r>
      <w:r w:rsidR="001D4A21">
        <w:rPr>
          <w:rFonts w:cs="Calibri Light"/>
        </w:rPr>
        <w:noBreakHyphen/>
      </w:r>
      <w:r w:rsidRPr="4D55EDD0">
        <w:rPr>
          <w:rFonts w:cs="Calibri Light"/>
        </w:rPr>
        <w:t>to</w:t>
      </w:r>
      <w:r w:rsidR="001D4A21">
        <w:rPr>
          <w:rFonts w:cs="Calibri Light"/>
        </w:rPr>
        <w:noBreakHyphen/>
      </w:r>
      <w:r w:rsidRPr="4D55EDD0">
        <w:rPr>
          <w:rFonts w:cs="Calibri Light"/>
        </w:rPr>
        <w:t xml:space="preserve">face banking services when a branch closes. It details what processes ABA members will go through including notification, waiving fees, and providing information if a branch closes. </w:t>
      </w:r>
    </w:p>
    <w:p w14:paraId="135C3EC5" w14:textId="3C5F1D97" w:rsidR="00690D99" w:rsidRPr="002B4FA1" w:rsidRDefault="00392A5F" w:rsidP="00690D99">
      <w:r>
        <w:t>I</w:t>
      </w:r>
      <w:r w:rsidR="000B7B41" w:rsidRPr="006F09F2">
        <w:t>n the current protocol</w:t>
      </w:r>
      <w:r w:rsidR="00B93B61">
        <w:t>,</w:t>
      </w:r>
      <w:r w:rsidR="000B7B41" w:rsidRPr="006F09F2">
        <w:t xml:space="preserve"> </w:t>
      </w:r>
      <w:r w:rsidR="00690D99" w:rsidRPr="006F09F2">
        <w:t>when a branch closes ABA member banks will provide ongoing locally available face</w:t>
      </w:r>
      <w:r w:rsidR="001D4A21">
        <w:noBreakHyphen/>
      </w:r>
      <w:r w:rsidR="00690D99" w:rsidRPr="006F09F2">
        <w:t>to</w:t>
      </w:r>
      <w:r w:rsidR="001D4A21">
        <w:noBreakHyphen/>
      </w:r>
      <w:r w:rsidR="00690D99" w:rsidRPr="006F09F2">
        <w:t>face services with cash deposit and withdrawal facilities where it is commercially viable. The bank will give customers and relevant organisations written notice of the intention to close the branch</w:t>
      </w:r>
      <w:r w:rsidR="00265BBB">
        <w:t>,</w:t>
      </w:r>
      <w:r w:rsidR="00690D99" w:rsidRPr="006F09F2">
        <w:t xml:space="preserve"> provide customers with information about accessing services and offer help </w:t>
      </w:r>
      <w:r w:rsidR="00601AE3">
        <w:t xml:space="preserve">to </w:t>
      </w:r>
      <w:r w:rsidR="00690D99" w:rsidRPr="006F09F2">
        <w:t xml:space="preserve">customers </w:t>
      </w:r>
      <w:r w:rsidR="00601AE3">
        <w:t>to</w:t>
      </w:r>
      <w:r w:rsidR="00690D99" w:rsidRPr="006F09F2">
        <w:t xml:space="preserve"> adjust to the change.</w:t>
      </w:r>
    </w:p>
    <w:p w14:paraId="54E0D166" w14:textId="35B3BE94" w:rsidR="00690D99" w:rsidRPr="006F09F2" w:rsidRDefault="00690D99" w:rsidP="00690D99">
      <w:r w:rsidRPr="008B47E9">
        <w:t>If it is not commercially viable to maintain branch services</w:t>
      </w:r>
      <w:r w:rsidR="0012483E">
        <w:t>,</w:t>
      </w:r>
      <w:r w:rsidRPr="008B47E9">
        <w:t xml:space="preserve"> and local face</w:t>
      </w:r>
      <w:r w:rsidR="001D4A21">
        <w:noBreakHyphen/>
      </w:r>
      <w:r w:rsidRPr="008B47E9">
        <w:t>to</w:t>
      </w:r>
      <w:r w:rsidR="001D4A21">
        <w:noBreakHyphen/>
      </w:r>
      <w:r w:rsidRPr="008B47E9">
        <w:t>face services are not available, banks wil</w:t>
      </w:r>
      <w:r w:rsidRPr="00FB5E24">
        <w:t xml:space="preserve">l undertake to identify other retail banking service options prior to closure. The bank will provide information about accessing services and offer training and assistance to help customers adjust to the change, </w:t>
      </w:r>
      <w:r w:rsidR="00783E5D">
        <w:t>as well as</w:t>
      </w:r>
      <w:r w:rsidR="00783E5D" w:rsidRPr="00FB5E24">
        <w:t xml:space="preserve"> </w:t>
      </w:r>
      <w:r w:rsidRPr="00FB5E24">
        <w:t>waive any fees and charges associat</w:t>
      </w:r>
      <w:r w:rsidRPr="006F09F2">
        <w:t xml:space="preserve">ed with transferring accounts to other financial institutions that offer alternative banking services in the same area. </w:t>
      </w:r>
    </w:p>
    <w:p w14:paraId="3DE99560" w14:textId="31BC75FE" w:rsidR="00AA37D9" w:rsidRDefault="0073297F" w:rsidP="003261BA">
      <w:pPr>
        <w:rPr>
          <w:rFonts w:cs="Calibri Light"/>
          <w:szCs w:val="22"/>
        </w:rPr>
      </w:pPr>
      <w:r w:rsidRPr="006F09F2">
        <w:rPr>
          <w:rFonts w:cs="Calibri Light"/>
          <w:szCs w:val="22"/>
        </w:rPr>
        <w:lastRenderedPageBreak/>
        <w:t xml:space="preserve">While </w:t>
      </w:r>
      <w:r w:rsidR="00703A54" w:rsidRPr="006F09F2">
        <w:rPr>
          <w:rFonts w:cs="Calibri Light"/>
          <w:szCs w:val="22"/>
        </w:rPr>
        <w:t>the</w:t>
      </w:r>
      <w:r w:rsidR="00620D3F" w:rsidRPr="006F09F2">
        <w:rPr>
          <w:rFonts w:cs="Calibri Light"/>
          <w:szCs w:val="22"/>
        </w:rPr>
        <w:t xml:space="preserve"> current</w:t>
      </w:r>
      <w:r w:rsidR="00703A54" w:rsidRPr="006F09F2">
        <w:rPr>
          <w:rFonts w:cs="Calibri Light"/>
          <w:szCs w:val="22"/>
        </w:rPr>
        <w:t xml:space="preserve"> </w:t>
      </w:r>
      <w:r w:rsidR="0014586D" w:rsidRPr="006F09F2">
        <w:rPr>
          <w:rFonts w:cs="Calibri Light"/>
          <w:szCs w:val="22"/>
        </w:rPr>
        <w:t xml:space="preserve">Branch Closure Protocol </w:t>
      </w:r>
      <w:r w:rsidR="00703A54" w:rsidRPr="006F09F2">
        <w:rPr>
          <w:rFonts w:cs="Calibri Light"/>
          <w:szCs w:val="22"/>
        </w:rPr>
        <w:t>is a useful commitment by ABA memb</w:t>
      </w:r>
      <w:r w:rsidR="000B7B41" w:rsidRPr="006F09F2">
        <w:rPr>
          <w:rFonts w:cs="Calibri Light"/>
          <w:szCs w:val="22"/>
        </w:rPr>
        <w:t>e</w:t>
      </w:r>
      <w:r w:rsidR="00703A54" w:rsidRPr="006F09F2">
        <w:rPr>
          <w:rFonts w:cs="Calibri Light"/>
          <w:szCs w:val="22"/>
        </w:rPr>
        <w:t>rs</w:t>
      </w:r>
      <w:r w:rsidRPr="006F09F2">
        <w:rPr>
          <w:rFonts w:cs="Calibri Light"/>
          <w:szCs w:val="22"/>
        </w:rPr>
        <w:t xml:space="preserve">, </w:t>
      </w:r>
      <w:r w:rsidR="00E936F6" w:rsidRPr="006F09F2">
        <w:rPr>
          <w:rFonts w:cs="Calibri Light"/>
          <w:szCs w:val="22"/>
        </w:rPr>
        <w:t>it can be improved to ensure</w:t>
      </w:r>
      <w:r w:rsidR="00376586">
        <w:rPr>
          <w:rFonts w:cs="Calibri Light"/>
          <w:szCs w:val="22"/>
        </w:rPr>
        <w:t xml:space="preserve"> it meets</w:t>
      </w:r>
      <w:r w:rsidR="00E936F6" w:rsidRPr="00376586">
        <w:rPr>
          <w:rFonts w:cs="Calibri Light"/>
          <w:szCs w:val="22"/>
        </w:rPr>
        <w:t xml:space="preserve"> community</w:t>
      </w:r>
      <w:r w:rsidR="00E936F6" w:rsidRPr="00B5763A">
        <w:rPr>
          <w:rFonts w:cs="Calibri Light"/>
          <w:szCs w:val="22"/>
        </w:rPr>
        <w:t xml:space="preserve"> </w:t>
      </w:r>
      <w:r w:rsidR="00E936F6" w:rsidRPr="005D3662">
        <w:rPr>
          <w:rFonts w:cs="Calibri Light"/>
          <w:szCs w:val="22"/>
        </w:rPr>
        <w:t>e</w:t>
      </w:r>
      <w:r w:rsidR="00E936F6" w:rsidRPr="00FB5E24">
        <w:rPr>
          <w:rFonts w:cs="Calibri Light"/>
          <w:szCs w:val="22"/>
        </w:rPr>
        <w:t>x</w:t>
      </w:r>
      <w:r w:rsidR="00E936F6" w:rsidRPr="006F09F2">
        <w:rPr>
          <w:rFonts w:cs="Calibri Light"/>
          <w:szCs w:val="22"/>
        </w:rPr>
        <w:t>pectations</w:t>
      </w:r>
      <w:r w:rsidR="001D4A21">
        <w:rPr>
          <w:rFonts w:cs="Calibri Light"/>
          <w:szCs w:val="22"/>
        </w:rPr>
        <w:t xml:space="preserve">. </w:t>
      </w:r>
    </w:p>
    <w:p w14:paraId="04D96F4A" w14:textId="54DD5AD1" w:rsidR="007B4274" w:rsidRDefault="003261BA" w:rsidP="00E1010A">
      <w:pPr>
        <w:rPr>
          <w:rFonts w:cs="Calibri Light"/>
          <w:szCs w:val="22"/>
        </w:rPr>
      </w:pPr>
      <w:r>
        <w:rPr>
          <w:rFonts w:cs="Calibri Light"/>
          <w:szCs w:val="22"/>
        </w:rPr>
        <w:t xml:space="preserve">Some stakeholders </w:t>
      </w:r>
      <w:r w:rsidR="009D08E4">
        <w:rPr>
          <w:rFonts w:cs="Calibri Light"/>
          <w:szCs w:val="22"/>
        </w:rPr>
        <w:t xml:space="preserve">would like </w:t>
      </w:r>
      <w:r>
        <w:rPr>
          <w:rFonts w:cs="Calibri Light"/>
          <w:szCs w:val="22"/>
        </w:rPr>
        <w:t>a commitment to</w:t>
      </w:r>
      <w:r w:rsidR="00C75A2B">
        <w:rPr>
          <w:rFonts w:cs="Calibri Light"/>
          <w:szCs w:val="22"/>
        </w:rPr>
        <w:t xml:space="preserve"> more com</w:t>
      </w:r>
      <w:r w:rsidR="007669F4">
        <w:rPr>
          <w:rFonts w:cs="Calibri Light"/>
          <w:szCs w:val="22"/>
        </w:rPr>
        <w:t>munications and support</w:t>
      </w:r>
      <w:r w:rsidDel="00C75A2B">
        <w:rPr>
          <w:rFonts w:cs="Calibri Light"/>
          <w:szCs w:val="22"/>
        </w:rPr>
        <w:t xml:space="preserve"> </w:t>
      </w:r>
      <w:r>
        <w:rPr>
          <w:rFonts w:cs="Calibri Light"/>
          <w:szCs w:val="22"/>
        </w:rPr>
        <w:t>prior to closing a branch. This commitment could include finding ways to meaningfully continue to support access to banking services, including face</w:t>
      </w:r>
      <w:r w:rsidR="001D4A21">
        <w:rPr>
          <w:rFonts w:cs="Calibri Light"/>
          <w:szCs w:val="22"/>
        </w:rPr>
        <w:noBreakHyphen/>
      </w:r>
      <w:r>
        <w:rPr>
          <w:rFonts w:cs="Calibri Light"/>
          <w:szCs w:val="22"/>
        </w:rPr>
        <w:t>to</w:t>
      </w:r>
      <w:r w:rsidR="001D4A21">
        <w:rPr>
          <w:rFonts w:cs="Calibri Light"/>
          <w:szCs w:val="22"/>
        </w:rPr>
        <w:noBreakHyphen/>
      </w:r>
      <w:r>
        <w:rPr>
          <w:rFonts w:cs="Calibri Light"/>
          <w:szCs w:val="22"/>
        </w:rPr>
        <w:t>face services.</w:t>
      </w:r>
      <w:r w:rsidR="00A74819">
        <w:rPr>
          <w:rFonts w:cs="Calibri Light"/>
          <w:szCs w:val="22"/>
        </w:rPr>
        <w:t xml:space="preserve"> D</w:t>
      </w:r>
      <w:r w:rsidR="007B4274">
        <w:rPr>
          <w:rFonts w:cs="Calibri Light"/>
          <w:szCs w:val="22"/>
        </w:rPr>
        <w:t xml:space="preserve">iscussion at the </w:t>
      </w:r>
      <w:r w:rsidR="000309BC">
        <w:rPr>
          <w:rFonts w:cs="Calibri Light"/>
          <w:szCs w:val="22"/>
        </w:rPr>
        <w:t>Taskforce</w:t>
      </w:r>
      <w:r w:rsidR="007B4274">
        <w:rPr>
          <w:rFonts w:cs="Calibri Light"/>
          <w:szCs w:val="22"/>
        </w:rPr>
        <w:t xml:space="preserve"> </w:t>
      </w:r>
      <w:r w:rsidR="00A74819">
        <w:rPr>
          <w:rFonts w:cs="Calibri Light"/>
          <w:szCs w:val="22"/>
        </w:rPr>
        <w:t xml:space="preserve">also </w:t>
      </w:r>
      <w:r w:rsidR="007B4274">
        <w:rPr>
          <w:rFonts w:cs="Calibri Light"/>
          <w:szCs w:val="22"/>
        </w:rPr>
        <w:t xml:space="preserve">suggested that the </w:t>
      </w:r>
      <w:r w:rsidR="007D5291">
        <w:rPr>
          <w:rFonts w:cs="Calibri Light"/>
          <w:szCs w:val="22"/>
        </w:rPr>
        <w:t>P</w:t>
      </w:r>
      <w:r w:rsidR="007B4274">
        <w:rPr>
          <w:rFonts w:cs="Calibri Light"/>
          <w:szCs w:val="22"/>
        </w:rPr>
        <w:t xml:space="preserve">rotocol may not have been consistently followed </w:t>
      </w:r>
      <w:r w:rsidR="00D6523D">
        <w:rPr>
          <w:rFonts w:cs="Calibri Light"/>
          <w:szCs w:val="22"/>
        </w:rPr>
        <w:t>or</w:t>
      </w:r>
      <w:r w:rsidR="007B4274">
        <w:rPr>
          <w:rFonts w:cs="Calibri Light"/>
          <w:szCs w:val="22"/>
        </w:rPr>
        <w:t xml:space="preserve"> that the </w:t>
      </w:r>
      <w:r w:rsidR="005F78CE">
        <w:rPr>
          <w:rFonts w:cs="Calibri Light"/>
          <w:szCs w:val="22"/>
        </w:rPr>
        <w:t>P</w:t>
      </w:r>
      <w:r w:rsidR="007B4274">
        <w:rPr>
          <w:rFonts w:cs="Calibri Light"/>
          <w:szCs w:val="22"/>
        </w:rPr>
        <w:t>rotocol may no</w:t>
      </w:r>
      <w:r w:rsidR="00AA37D9">
        <w:rPr>
          <w:rFonts w:cs="Calibri Light"/>
          <w:szCs w:val="22"/>
        </w:rPr>
        <w:t>t be sufficient.</w:t>
      </w:r>
    </w:p>
    <w:p w14:paraId="236503AC" w14:textId="4BE06BF3" w:rsidR="006E7F73" w:rsidRDefault="00DB1FBB" w:rsidP="00E1010A">
      <w:pPr>
        <w:rPr>
          <w:rFonts w:cs="Calibri Light"/>
          <w:szCs w:val="22"/>
        </w:rPr>
      </w:pPr>
      <w:r>
        <w:rPr>
          <w:rFonts w:cs="Calibri Light"/>
          <w:szCs w:val="22"/>
        </w:rPr>
        <w:t xml:space="preserve">The recent independent </w:t>
      </w:r>
      <w:r w:rsidR="004D141B">
        <w:rPr>
          <w:rFonts w:cs="Calibri Light"/>
          <w:szCs w:val="22"/>
        </w:rPr>
        <w:t xml:space="preserve">ABA </w:t>
      </w:r>
      <w:r w:rsidR="00E43FF2" w:rsidRPr="00FB5E24">
        <w:rPr>
          <w:rFonts w:cs="Calibri Light"/>
          <w:szCs w:val="22"/>
        </w:rPr>
        <w:t xml:space="preserve">Banking Code of Practice </w:t>
      </w:r>
      <w:r w:rsidR="004075AF">
        <w:rPr>
          <w:rFonts w:cs="Calibri Light"/>
          <w:szCs w:val="22"/>
        </w:rPr>
        <w:t>Review</w:t>
      </w:r>
      <w:r w:rsidR="00076603">
        <w:rPr>
          <w:rFonts w:cs="Calibri Light"/>
          <w:szCs w:val="22"/>
        </w:rPr>
        <w:t xml:space="preserve"> </w:t>
      </w:r>
      <w:r w:rsidR="00E43FF2" w:rsidRPr="006F09F2">
        <w:rPr>
          <w:rFonts w:cs="Calibri Light"/>
          <w:szCs w:val="22"/>
        </w:rPr>
        <w:t xml:space="preserve">recommended that the </w:t>
      </w:r>
      <w:r w:rsidR="004075AF">
        <w:rPr>
          <w:rFonts w:cs="Calibri Light"/>
          <w:szCs w:val="22"/>
        </w:rPr>
        <w:t>P</w:t>
      </w:r>
      <w:r w:rsidR="00E43FF2" w:rsidRPr="006F09F2">
        <w:rPr>
          <w:rFonts w:cs="Calibri Light"/>
          <w:szCs w:val="22"/>
        </w:rPr>
        <w:t>rotocol be updated and strengthened</w:t>
      </w:r>
      <w:r w:rsidR="00604E89">
        <w:rPr>
          <w:rFonts w:cs="Calibri Light"/>
          <w:szCs w:val="22"/>
        </w:rPr>
        <w:t xml:space="preserve"> (Callaghan 2021)</w:t>
      </w:r>
      <w:r w:rsidR="009C28AC">
        <w:rPr>
          <w:rFonts w:cs="Calibri Light"/>
          <w:szCs w:val="22"/>
        </w:rPr>
        <w:t>. It</w:t>
      </w:r>
      <w:r w:rsidR="003B02F6">
        <w:rPr>
          <w:rFonts w:cs="Calibri Light"/>
          <w:szCs w:val="22"/>
        </w:rPr>
        <w:t xml:space="preserve"> not</w:t>
      </w:r>
      <w:r w:rsidR="009C28AC">
        <w:rPr>
          <w:rFonts w:cs="Calibri Light"/>
          <w:szCs w:val="22"/>
        </w:rPr>
        <w:t>ed</w:t>
      </w:r>
      <w:r w:rsidR="00304248">
        <w:rPr>
          <w:rFonts w:cs="Calibri Light"/>
          <w:szCs w:val="22"/>
        </w:rPr>
        <w:t xml:space="preserve"> that banks need to be more innovative in </w:t>
      </w:r>
      <w:r w:rsidR="004F1C07">
        <w:rPr>
          <w:rFonts w:cs="Calibri Light"/>
          <w:szCs w:val="22"/>
        </w:rPr>
        <w:t xml:space="preserve">dealing with a declining number of branches </w:t>
      </w:r>
      <w:r w:rsidR="00C11950">
        <w:rPr>
          <w:rFonts w:cs="Calibri Light"/>
          <w:szCs w:val="22"/>
        </w:rPr>
        <w:t xml:space="preserve">and need to </w:t>
      </w:r>
      <w:r w:rsidR="00855608">
        <w:rPr>
          <w:rFonts w:cs="Calibri Light"/>
          <w:szCs w:val="22"/>
        </w:rPr>
        <w:t>look at what changes they may need to make to their procedures and processes</w:t>
      </w:r>
      <w:r w:rsidR="007242EE">
        <w:rPr>
          <w:rFonts w:cs="Calibri Light"/>
          <w:szCs w:val="22"/>
        </w:rPr>
        <w:t>.</w:t>
      </w:r>
    </w:p>
    <w:p w14:paraId="58BB4EAE" w14:textId="0454B858" w:rsidR="0073297F" w:rsidRPr="006F09F2" w:rsidRDefault="00105C31" w:rsidP="00E1010A">
      <w:pPr>
        <w:rPr>
          <w:rFonts w:cs="Calibri Light"/>
          <w:szCs w:val="22"/>
        </w:rPr>
      </w:pPr>
      <w:bookmarkStart w:id="52" w:name="_Hlk98937428"/>
      <w:r>
        <w:rPr>
          <w:rFonts w:cs="Calibri Light"/>
          <w:szCs w:val="22"/>
        </w:rPr>
        <w:t>T</w:t>
      </w:r>
      <w:r w:rsidR="00703A54" w:rsidRPr="006F09F2">
        <w:rPr>
          <w:rFonts w:cs="Calibri Light"/>
          <w:szCs w:val="22"/>
        </w:rPr>
        <w:t>he</w:t>
      </w:r>
      <w:r w:rsidR="0073297F" w:rsidRPr="006F09F2">
        <w:rPr>
          <w:rFonts w:cs="Calibri Light"/>
          <w:szCs w:val="22"/>
        </w:rPr>
        <w:t xml:space="preserve"> Taskforce heard </w:t>
      </w:r>
      <w:r w:rsidR="007A31DC">
        <w:rPr>
          <w:rFonts w:cs="Calibri Light"/>
          <w:szCs w:val="22"/>
        </w:rPr>
        <w:t>about negative branch closure experiences</w:t>
      </w:r>
      <w:r w:rsidR="00E729D1">
        <w:rPr>
          <w:rFonts w:cs="Calibri Light"/>
          <w:szCs w:val="22"/>
        </w:rPr>
        <w:t>, where there had been a</w:t>
      </w:r>
      <w:r w:rsidR="009C547E">
        <w:rPr>
          <w:rFonts w:cs="Calibri Light"/>
          <w:szCs w:val="22"/>
        </w:rPr>
        <w:t xml:space="preserve"> lack of engagement, consultation and communication in the lead up to the closures</w:t>
      </w:r>
      <w:r w:rsidR="0073297F" w:rsidRPr="006F09F2">
        <w:rPr>
          <w:rFonts w:cs="Calibri Light"/>
          <w:szCs w:val="22"/>
        </w:rPr>
        <w:t>.</w:t>
      </w:r>
      <w:r w:rsidR="009C547E">
        <w:rPr>
          <w:rFonts w:cs="Calibri Light"/>
          <w:szCs w:val="22"/>
        </w:rPr>
        <w:t xml:space="preserve"> </w:t>
      </w:r>
      <w:r w:rsidR="0095675D">
        <w:rPr>
          <w:rFonts w:cs="Calibri Light"/>
          <w:szCs w:val="22"/>
        </w:rPr>
        <w:t>C</w:t>
      </w:r>
      <w:r w:rsidR="009C547E">
        <w:rPr>
          <w:rFonts w:cs="Calibri Light"/>
          <w:szCs w:val="22"/>
        </w:rPr>
        <w:t xml:space="preserve">ustomers did not feel </w:t>
      </w:r>
      <w:r w:rsidR="00C27B85">
        <w:rPr>
          <w:rFonts w:cs="Calibri Light"/>
          <w:szCs w:val="22"/>
        </w:rPr>
        <w:t xml:space="preserve">that </w:t>
      </w:r>
      <w:r w:rsidR="009C547E">
        <w:rPr>
          <w:rFonts w:cs="Calibri Light"/>
          <w:szCs w:val="22"/>
        </w:rPr>
        <w:t>they were adequately supported to transition to alternatives like Bank@Post.</w:t>
      </w:r>
      <w:r w:rsidR="0073297F" w:rsidRPr="006F09F2">
        <w:rPr>
          <w:rFonts w:cs="Calibri Light"/>
          <w:szCs w:val="22"/>
        </w:rPr>
        <w:t xml:space="preserve"> </w:t>
      </w:r>
      <w:r w:rsidR="00446C9C">
        <w:rPr>
          <w:rFonts w:cs="Calibri Light"/>
          <w:szCs w:val="22"/>
        </w:rPr>
        <w:t xml:space="preserve">Community groups felt abandoned and </w:t>
      </w:r>
      <w:r w:rsidR="00913999">
        <w:rPr>
          <w:rFonts w:cs="Calibri Light"/>
          <w:szCs w:val="22"/>
        </w:rPr>
        <w:t xml:space="preserve">left </w:t>
      </w:r>
      <w:r w:rsidR="00446C9C">
        <w:rPr>
          <w:rFonts w:cs="Calibri Light"/>
          <w:szCs w:val="22"/>
        </w:rPr>
        <w:t xml:space="preserve">without reasonable access to services, </w:t>
      </w:r>
      <w:r w:rsidR="00C27B85">
        <w:rPr>
          <w:rFonts w:cs="Calibri Light"/>
          <w:szCs w:val="22"/>
        </w:rPr>
        <w:t xml:space="preserve">such as </w:t>
      </w:r>
      <w:r w:rsidR="00446C9C">
        <w:rPr>
          <w:rFonts w:cs="Calibri Light"/>
          <w:szCs w:val="22"/>
        </w:rPr>
        <w:t xml:space="preserve">cash floats and deposit facilities. </w:t>
      </w:r>
      <w:r w:rsidR="0042073A" w:rsidRPr="006F09F2">
        <w:rPr>
          <w:rFonts w:cs="Calibri Light"/>
          <w:szCs w:val="22"/>
        </w:rPr>
        <w:t>T</w:t>
      </w:r>
      <w:r w:rsidR="0073297F" w:rsidRPr="006F09F2">
        <w:rPr>
          <w:rFonts w:cs="Calibri Light"/>
          <w:szCs w:val="22"/>
        </w:rPr>
        <w:t>he</w:t>
      </w:r>
      <w:r w:rsidR="00E961D0" w:rsidRPr="006F09F2">
        <w:rPr>
          <w:rFonts w:cs="Calibri Light"/>
          <w:szCs w:val="22"/>
        </w:rPr>
        <w:t xml:space="preserve"> closures</w:t>
      </w:r>
      <w:r w:rsidR="0073297F" w:rsidRPr="006F09F2">
        <w:rPr>
          <w:rFonts w:cs="Calibri Light"/>
          <w:szCs w:val="22"/>
        </w:rPr>
        <w:t xml:space="preserve"> were</w:t>
      </w:r>
      <w:r w:rsidR="0042073A" w:rsidRPr="006F09F2">
        <w:rPr>
          <w:rFonts w:cs="Calibri Light"/>
          <w:szCs w:val="22"/>
        </w:rPr>
        <w:t xml:space="preserve"> also</w:t>
      </w:r>
      <w:r w:rsidR="0073297F" w:rsidRPr="006F09F2">
        <w:rPr>
          <w:rFonts w:cs="Calibri Light"/>
          <w:szCs w:val="22"/>
        </w:rPr>
        <w:t xml:space="preserve"> not effectively communicated </w:t>
      </w:r>
      <w:r w:rsidR="0073297F" w:rsidRPr="00404334">
        <w:rPr>
          <w:rFonts w:cs="Calibri Light"/>
          <w:szCs w:val="22"/>
        </w:rPr>
        <w:t>to community leaders (</w:t>
      </w:r>
      <w:r w:rsidR="0087156F" w:rsidRPr="00404334">
        <w:rPr>
          <w:rFonts w:cs="Calibri Light"/>
          <w:szCs w:val="22"/>
        </w:rPr>
        <w:t>e.g.</w:t>
      </w:r>
      <w:r w:rsidR="0073297F" w:rsidRPr="00404334">
        <w:rPr>
          <w:rFonts w:cs="Calibri Light"/>
          <w:szCs w:val="22"/>
        </w:rPr>
        <w:t xml:space="preserve"> mayors),</w:t>
      </w:r>
      <w:r w:rsidR="0073297F" w:rsidRPr="006F09F2">
        <w:rPr>
          <w:rFonts w:cs="Calibri Light"/>
          <w:szCs w:val="22"/>
        </w:rPr>
        <w:t xml:space="preserve"> who </w:t>
      </w:r>
      <w:r w:rsidR="00703A54" w:rsidRPr="006F09F2">
        <w:rPr>
          <w:rFonts w:cs="Calibri Light"/>
          <w:szCs w:val="22"/>
        </w:rPr>
        <w:t>could have</w:t>
      </w:r>
      <w:r w:rsidR="0073297F" w:rsidRPr="006F09F2">
        <w:rPr>
          <w:rFonts w:cs="Calibri Light"/>
          <w:szCs w:val="22"/>
        </w:rPr>
        <w:t xml:space="preserve"> help</w:t>
      </w:r>
      <w:r w:rsidR="007A31DC">
        <w:rPr>
          <w:rFonts w:cs="Calibri Light"/>
          <w:szCs w:val="22"/>
        </w:rPr>
        <w:t>ed</w:t>
      </w:r>
      <w:r w:rsidR="0073297F" w:rsidRPr="006F09F2">
        <w:rPr>
          <w:rFonts w:cs="Calibri Light"/>
          <w:szCs w:val="22"/>
        </w:rPr>
        <w:t xml:space="preserve"> with communicating changes </w:t>
      </w:r>
      <w:r w:rsidR="009C547E">
        <w:rPr>
          <w:rFonts w:cs="Calibri Light"/>
          <w:szCs w:val="22"/>
        </w:rPr>
        <w:t>to the wider community</w:t>
      </w:r>
      <w:r w:rsidR="001D4A21">
        <w:rPr>
          <w:rFonts w:cs="Calibri Light"/>
          <w:szCs w:val="22"/>
        </w:rPr>
        <w:t xml:space="preserve">. </w:t>
      </w:r>
    </w:p>
    <w:p w14:paraId="4B1E71DC" w14:textId="3B5F9F2E" w:rsidR="00C12EB9" w:rsidRDefault="0073297F" w:rsidP="00547273">
      <w:pPr>
        <w:rPr>
          <w:rFonts w:cs="Calibri Light"/>
          <w:szCs w:val="22"/>
        </w:rPr>
      </w:pPr>
      <w:bookmarkStart w:id="53" w:name="_Hlk97879174"/>
      <w:bookmarkEnd w:id="52"/>
      <w:r w:rsidRPr="006F09F2">
        <w:rPr>
          <w:rFonts w:cs="Calibri Light"/>
          <w:szCs w:val="22"/>
        </w:rPr>
        <w:t xml:space="preserve">As a result of the work of the Taskforce, </w:t>
      </w:r>
      <w:r w:rsidR="005048CC" w:rsidRPr="006F09F2">
        <w:rPr>
          <w:rFonts w:cs="Calibri Light"/>
          <w:szCs w:val="22"/>
        </w:rPr>
        <w:t xml:space="preserve">the ABA </w:t>
      </w:r>
      <w:r w:rsidR="00A96A95" w:rsidRPr="006F09F2">
        <w:rPr>
          <w:rFonts w:cs="Calibri Light"/>
          <w:szCs w:val="22"/>
        </w:rPr>
        <w:t xml:space="preserve">has committed to </w:t>
      </w:r>
      <w:r w:rsidR="00371E85">
        <w:rPr>
          <w:rFonts w:cs="Calibri Light"/>
          <w:szCs w:val="22"/>
        </w:rPr>
        <w:t xml:space="preserve">building on and </w:t>
      </w:r>
      <w:r w:rsidR="00A96A95" w:rsidRPr="006F09F2">
        <w:rPr>
          <w:rFonts w:cs="Calibri Light"/>
          <w:szCs w:val="22"/>
        </w:rPr>
        <w:t>updating</w:t>
      </w:r>
      <w:r w:rsidR="005048CC" w:rsidRPr="006F09F2">
        <w:rPr>
          <w:rFonts w:cs="Calibri Light"/>
          <w:szCs w:val="22"/>
        </w:rPr>
        <w:t xml:space="preserve"> its Branch Closure Protocol to better explain the range of and access to banking services for customers. The </w:t>
      </w:r>
      <w:r w:rsidR="007D5291">
        <w:rPr>
          <w:rFonts w:cs="Calibri Light"/>
          <w:szCs w:val="22"/>
        </w:rPr>
        <w:t>P</w:t>
      </w:r>
      <w:r w:rsidR="005048CC" w:rsidRPr="006F09F2">
        <w:rPr>
          <w:rFonts w:cs="Calibri Light"/>
          <w:szCs w:val="22"/>
        </w:rPr>
        <w:t xml:space="preserve">rotocol will be ready </w:t>
      </w:r>
      <w:r w:rsidR="00256976">
        <w:rPr>
          <w:rFonts w:cs="Calibri Light"/>
          <w:szCs w:val="22"/>
        </w:rPr>
        <w:t>by mid</w:t>
      </w:r>
      <w:r w:rsidR="001D4A21">
        <w:rPr>
          <w:rFonts w:cs="Calibri Light"/>
          <w:szCs w:val="22"/>
        </w:rPr>
        <w:noBreakHyphen/>
      </w:r>
      <w:r w:rsidR="005D6280" w:rsidRPr="00AB2850">
        <w:rPr>
          <w:rFonts w:cs="Calibri Light"/>
          <w:szCs w:val="22"/>
        </w:rPr>
        <w:t>2023</w:t>
      </w:r>
      <w:r w:rsidR="005048CC" w:rsidRPr="00451F9B">
        <w:rPr>
          <w:rFonts w:cs="Calibri Light"/>
          <w:szCs w:val="22"/>
        </w:rPr>
        <w:t>.</w:t>
      </w:r>
      <w:bookmarkStart w:id="54" w:name="_Hlk97714658"/>
      <w:r w:rsidR="005048CC" w:rsidRPr="00451F9B">
        <w:rPr>
          <w:rFonts w:cs="Calibri Light"/>
          <w:szCs w:val="22"/>
        </w:rPr>
        <w:t xml:space="preserve"> </w:t>
      </w:r>
      <w:bookmarkEnd w:id="54"/>
      <w:r w:rsidR="005048CC" w:rsidRPr="00451F9B">
        <w:rPr>
          <w:rFonts w:cs="Calibri Light"/>
          <w:szCs w:val="22"/>
        </w:rPr>
        <w:t>A</w:t>
      </w:r>
      <w:r w:rsidR="005048CC" w:rsidRPr="006F09F2">
        <w:rPr>
          <w:rFonts w:cs="Calibri Light"/>
          <w:szCs w:val="22"/>
        </w:rPr>
        <w:t>s part of this</w:t>
      </w:r>
      <w:r w:rsidR="00E82ED1" w:rsidRPr="006F09F2">
        <w:rPr>
          <w:rFonts w:cs="Calibri Light"/>
          <w:szCs w:val="22"/>
        </w:rPr>
        <w:t xml:space="preserve"> update</w:t>
      </w:r>
      <w:r w:rsidR="005048CC" w:rsidRPr="006F09F2">
        <w:rPr>
          <w:rFonts w:cs="Calibri Light"/>
          <w:szCs w:val="22"/>
        </w:rPr>
        <w:t>, the</w:t>
      </w:r>
      <w:r w:rsidRPr="006F09F2">
        <w:rPr>
          <w:rFonts w:cs="Calibri Light"/>
          <w:szCs w:val="22"/>
        </w:rPr>
        <w:t xml:space="preserve"> ABA will introduce an ABA Customer Care </w:t>
      </w:r>
      <w:r w:rsidRPr="00AB2850">
        <w:rPr>
          <w:rFonts w:cs="Calibri Light"/>
          <w:szCs w:val="22"/>
        </w:rPr>
        <w:t>Standard.</w:t>
      </w:r>
      <w:r w:rsidRPr="006F09F2">
        <w:rPr>
          <w:rFonts w:cs="Calibri Light"/>
          <w:szCs w:val="22"/>
        </w:rPr>
        <w:t xml:space="preserve"> This will ensure better communication</w:t>
      </w:r>
      <w:r w:rsidR="009F1D82" w:rsidRPr="00A05F30">
        <w:rPr>
          <w:rFonts w:cs="Calibri Light"/>
          <w:szCs w:val="22"/>
        </w:rPr>
        <w:t xml:space="preserve"> </w:t>
      </w:r>
      <w:r w:rsidR="009F1D82" w:rsidRPr="00AB6235">
        <w:rPr>
          <w:rFonts w:cs="Calibri Light"/>
          <w:szCs w:val="22"/>
        </w:rPr>
        <w:t xml:space="preserve">with community engagement standards in the revised Protocol </w:t>
      </w:r>
      <w:r w:rsidR="008734C2">
        <w:rPr>
          <w:rFonts w:cs="Calibri Light"/>
          <w:szCs w:val="22"/>
        </w:rPr>
        <w:t>to</w:t>
      </w:r>
      <w:r w:rsidR="001C5FAE">
        <w:rPr>
          <w:rFonts w:cs="Calibri Light"/>
          <w:szCs w:val="22"/>
        </w:rPr>
        <w:t xml:space="preserve"> </w:t>
      </w:r>
      <w:r w:rsidR="009F1D82" w:rsidRPr="00AB6235">
        <w:rPr>
          <w:rFonts w:cs="Calibri Light"/>
          <w:szCs w:val="22"/>
        </w:rPr>
        <w:t>ensure the right people, including local government and small businesses, are notified of any closures.</w:t>
      </w:r>
      <w:r w:rsidR="00424583" w:rsidRPr="00AB6235">
        <w:rPr>
          <w:rFonts w:cs="Calibri Light"/>
          <w:szCs w:val="22"/>
        </w:rPr>
        <w:t xml:space="preserve"> The ABA Branch Closure Protocol should require </w:t>
      </w:r>
      <w:r w:rsidR="00F007E8">
        <w:rPr>
          <w:rFonts w:cs="Calibri Light"/>
          <w:szCs w:val="22"/>
        </w:rPr>
        <w:t>banks to ensure that their customer care or other contact points are able to p</w:t>
      </w:r>
      <w:r w:rsidR="00012C10">
        <w:rPr>
          <w:rFonts w:cs="Calibri Light"/>
          <w:szCs w:val="22"/>
        </w:rPr>
        <w:t>rovide support</w:t>
      </w:r>
      <w:r w:rsidR="00424583" w:rsidRPr="00AB6235">
        <w:rPr>
          <w:rFonts w:cs="Calibri Light"/>
          <w:szCs w:val="22"/>
        </w:rPr>
        <w:t xml:space="preserve">. </w:t>
      </w:r>
      <w:r w:rsidR="00424583" w:rsidRPr="006F09F2">
        <w:rPr>
          <w:rFonts w:cs="Calibri Light"/>
          <w:szCs w:val="22"/>
        </w:rPr>
        <w:t>The support service should be available to explain why the branch is closing and how banking services can be accessed through another branch or alternative banking methods such as Bank@Post, online, telephone and mobile banking.</w:t>
      </w:r>
      <w:r w:rsidR="00424583">
        <w:rPr>
          <w:rFonts w:cs="Calibri Light"/>
          <w:szCs w:val="22"/>
        </w:rPr>
        <w:t xml:space="preserve"> </w:t>
      </w:r>
      <w:r w:rsidR="007E0E94">
        <w:rPr>
          <w:rFonts w:cs="Calibri Light"/>
          <w:szCs w:val="22"/>
        </w:rPr>
        <w:t>S</w:t>
      </w:r>
      <w:r w:rsidR="00424583" w:rsidRPr="006F09F2">
        <w:rPr>
          <w:rFonts w:cs="Calibri Light"/>
          <w:szCs w:val="22"/>
        </w:rPr>
        <w:t xml:space="preserve">upport </w:t>
      </w:r>
      <w:r w:rsidR="002D2BD1">
        <w:rPr>
          <w:rFonts w:cs="Calibri Light"/>
          <w:szCs w:val="22"/>
        </w:rPr>
        <w:t>for</w:t>
      </w:r>
      <w:r w:rsidR="00424583" w:rsidRPr="006F09F2">
        <w:rPr>
          <w:rFonts w:cs="Calibri Light"/>
          <w:szCs w:val="22"/>
        </w:rPr>
        <w:t xml:space="preserve"> these alternatives should be offered to customers, particularly </w:t>
      </w:r>
      <w:r w:rsidR="00424583">
        <w:rPr>
          <w:rFonts w:cs="Calibri Light"/>
          <w:szCs w:val="22"/>
        </w:rPr>
        <w:t>if</w:t>
      </w:r>
      <w:r w:rsidR="00424583" w:rsidRPr="006F09F2">
        <w:rPr>
          <w:rFonts w:cs="Calibri Light"/>
          <w:szCs w:val="22"/>
        </w:rPr>
        <w:t xml:space="preserve"> they are branch</w:t>
      </w:r>
      <w:r w:rsidR="00424583">
        <w:rPr>
          <w:rFonts w:cs="Calibri Light"/>
          <w:szCs w:val="22"/>
        </w:rPr>
        <w:t xml:space="preserve"> </w:t>
      </w:r>
      <w:r w:rsidR="00424583" w:rsidRPr="006F09F2">
        <w:rPr>
          <w:rFonts w:cs="Calibri Light"/>
          <w:szCs w:val="22"/>
        </w:rPr>
        <w:t>dependent.</w:t>
      </w:r>
      <w:bookmarkEnd w:id="53"/>
      <w:r w:rsidR="00E325B4">
        <w:rPr>
          <w:rFonts w:cs="Calibri Light"/>
          <w:szCs w:val="22"/>
        </w:rPr>
        <w:t xml:space="preserve"> </w:t>
      </w:r>
    </w:p>
    <w:p w14:paraId="6065DAAC" w14:textId="756D0579" w:rsidR="00A352D6" w:rsidRDefault="00A352D6" w:rsidP="00547273">
      <w:pPr>
        <w:rPr>
          <w:rFonts w:cs="Calibri Light"/>
          <w:szCs w:val="22"/>
        </w:rPr>
      </w:pPr>
      <w:r w:rsidRPr="0004364D">
        <w:rPr>
          <w:rFonts w:cs="Calibri Light"/>
          <w:szCs w:val="22"/>
        </w:rPr>
        <w:t xml:space="preserve">Where the branch closing is the last in town, the impact </w:t>
      </w:r>
      <w:r w:rsidR="00612028" w:rsidRPr="0004364D">
        <w:rPr>
          <w:rFonts w:cs="Calibri Light"/>
          <w:szCs w:val="22"/>
        </w:rPr>
        <w:t xml:space="preserve">of a closure </w:t>
      </w:r>
      <w:r w:rsidRPr="0004364D">
        <w:rPr>
          <w:rFonts w:cs="Calibri Light"/>
          <w:szCs w:val="22"/>
        </w:rPr>
        <w:t xml:space="preserve">can be especially significant because the community cannot easily switch to an alternative bank with a local branch. Banks faced with this situation should </w:t>
      </w:r>
      <w:r w:rsidR="003E4538" w:rsidRPr="0004364D">
        <w:rPr>
          <w:rFonts w:cs="Calibri Light"/>
          <w:szCs w:val="22"/>
        </w:rPr>
        <w:t>consider</w:t>
      </w:r>
      <w:r w:rsidRPr="0004364D">
        <w:rPr>
          <w:rFonts w:cs="Calibri Light"/>
          <w:szCs w:val="22"/>
        </w:rPr>
        <w:t xml:space="preserve"> options to keep the branch open, including transitioning to more sustainable models for maintaining a physical presence</w:t>
      </w:r>
      <w:r w:rsidR="00751355" w:rsidRPr="0004364D">
        <w:rPr>
          <w:rFonts w:cs="Calibri Light"/>
          <w:szCs w:val="22"/>
        </w:rPr>
        <w:t xml:space="preserve">, </w:t>
      </w:r>
      <w:r w:rsidR="00483FB5" w:rsidRPr="0004364D">
        <w:rPr>
          <w:rFonts w:cs="Calibri Light"/>
          <w:szCs w:val="22"/>
        </w:rPr>
        <w:t>subject to commercial considerations</w:t>
      </w:r>
      <w:r w:rsidR="000E248A" w:rsidRPr="0004364D">
        <w:rPr>
          <w:rFonts w:cs="Calibri Light"/>
          <w:szCs w:val="22"/>
        </w:rPr>
        <w:t xml:space="preserve"> and </w:t>
      </w:r>
      <w:r w:rsidR="00A849E8">
        <w:rPr>
          <w:rFonts w:cs="Calibri Light"/>
          <w:szCs w:val="22"/>
        </w:rPr>
        <w:t>recognising that</w:t>
      </w:r>
      <w:r w:rsidR="000E248A" w:rsidRPr="0004364D">
        <w:rPr>
          <w:rFonts w:cs="Calibri Light"/>
          <w:szCs w:val="22"/>
        </w:rPr>
        <w:t xml:space="preserve"> </w:t>
      </w:r>
      <w:r w:rsidR="00372102" w:rsidRPr="0004364D">
        <w:rPr>
          <w:rFonts w:cs="Calibri Light"/>
          <w:szCs w:val="22"/>
        </w:rPr>
        <w:t xml:space="preserve">often the bank </w:t>
      </w:r>
      <w:r w:rsidR="00341F0E" w:rsidRPr="0004364D">
        <w:rPr>
          <w:rFonts w:cs="Calibri Light"/>
          <w:szCs w:val="22"/>
        </w:rPr>
        <w:t xml:space="preserve">running the last branch in town has been </w:t>
      </w:r>
      <w:r w:rsidR="00F71E0C" w:rsidRPr="0004364D">
        <w:rPr>
          <w:rFonts w:cs="Calibri Light"/>
          <w:szCs w:val="22"/>
        </w:rPr>
        <w:t xml:space="preserve">trying to stay in the community for </w:t>
      </w:r>
      <w:r w:rsidR="005B43B7">
        <w:rPr>
          <w:rFonts w:cs="Calibri Light"/>
          <w:szCs w:val="22"/>
        </w:rPr>
        <w:t>as long as possible</w:t>
      </w:r>
      <w:r w:rsidR="008D398A" w:rsidRPr="0004364D">
        <w:rPr>
          <w:rFonts w:cs="Calibri Light"/>
          <w:szCs w:val="22"/>
        </w:rPr>
        <w:t>.</w:t>
      </w:r>
    </w:p>
    <w:p w14:paraId="60D5FE0F" w14:textId="60640788" w:rsidR="00547273" w:rsidRPr="008B47E9" w:rsidRDefault="00F47622" w:rsidP="00547273">
      <w:pPr>
        <w:rPr>
          <w:rFonts w:cs="Calibri Light"/>
          <w:szCs w:val="22"/>
        </w:rPr>
      </w:pPr>
      <w:r>
        <w:rPr>
          <w:rFonts w:cs="Calibri Light"/>
          <w:szCs w:val="22"/>
        </w:rPr>
        <w:t>More generally</w:t>
      </w:r>
      <w:r w:rsidR="006F61E7">
        <w:rPr>
          <w:rFonts w:cs="Calibri Light"/>
          <w:szCs w:val="22"/>
        </w:rPr>
        <w:t xml:space="preserve"> it may be beneficial, </w:t>
      </w:r>
      <w:r w:rsidR="007E25D2">
        <w:rPr>
          <w:rFonts w:cs="Calibri Light"/>
          <w:szCs w:val="22"/>
        </w:rPr>
        <w:t>appropriate</w:t>
      </w:r>
      <w:r w:rsidR="006F61E7">
        <w:rPr>
          <w:rFonts w:cs="Calibri Light"/>
          <w:szCs w:val="22"/>
        </w:rPr>
        <w:t xml:space="preserve"> and workable to </w:t>
      </w:r>
      <w:r w:rsidR="00FC3BC3">
        <w:rPr>
          <w:rFonts w:cs="Calibri Light"/>
          <w:szCs w:val="22"/>
        </w:rPr>
        <w:t>expand communications around branch closures</w:t>
      </w:r>
      <w:r w:rsidR="00092471">
        <w:rPr>
          <w:rFonts w:cs="Calibri Light"/>
          <w:szCs w:val="22"/>
        </w:rPr>
        <w:t xml:space="preserve"> (e.g.</w:t>
      </w:r>
      <w:r w:rsidR="00FC3BC3">
        <w:rPr>
          <w:rFonts w:cs="Calibri Light"/>
          <w:szCs w:val="22"/>
        </w:rPr>
        <w:t xml:space="preserve"> in</w:t>
      </w:r>
      <w:r w:rsidR="00727FD2">
        <w:rPr>
          <w:rFonts w:cs="Calibri Light"/>
          <w:szCs w:val="22"/>
        </w:rPr>
        <w:t xml:space="preserve"> </w:t>
      </w:r>
      <w:r w:rsidR="00092471">
        <w:rPr>
          <w:rFonts w:cs="Calibri Light"/>
          <w:szCs w:val="22"/>
        </w:rPr>
        <w:t xml:space="preserve">some </w:t>
      </w:r>
      <w:r w:rsidR="00727FD2">
        <w:rPr>
          <w:rFonts w:cs="Calibri Light"/>
          <w:szCs w:val="22"/>
        </w:rPr>
        <w:t>suburban areas</w:t>
      </w:r>
      <w:r w:rsidR="00092471">
        <w:rPr>
          <w:rFonts w:cs="Calibri Light"/>
          <w:szCs w:val="22"/>
        </w:rPr>
        <w:t>)</w:t>
      </w:r>
      <w:r w:rsidR="00CD320C">
        <w:rPr>
          <w:rFonts w:cs="Calibri Light"/>
          <w:szCs w:val="22"/>
        </w:rPr>
        <w:t>,</w:t>
      </w:r>
      <w:r w:rsidR="00727FD2">
        <w:rPr>
          <w:rFonts w:cs="Calibri Light"/>
          <w:szCs w:val="22"/>
        </w:rPr>
        <w:t xml:space="preserve"> </w:t>
      </w:r>
      <w:r w:rsidR="007E25D2">
        <w:rPr>
          <w:rFonts w:cs="Calibri Light"/>
          <w:szCs w:val="22"/>
        </w:rPr>
        <w:t xml:space="preserve">so </w:t>
      </w:r>
      <w:r w:rsidR="00727FD2">
        <w:rPr>
          <w:rFonts w:cs="Calibri Light"/>
          <w:szCs w:val="22"/>
        </w:rPr>
        <w:t>t</w:t>
      </w:r>
      <w:r w:rsidR="00E325B4">
        <w:rPr>
          <w:rFonts w:cs="Calibri Light"/>
          <w:szCs w:val="22"/>
        </w:rPr>
        <w:t>he ABA should</w:t>
      </w:r>
      <w:r w:rsidR="008A0FE1">
        <w:rPr>
          <w:rFonts w:cs="Calibri Light"/>
          <w:szCs w:val="22"/>
        </w:rPr>
        <w:t xml:space="preserve"> </w:t>
      </w:r>
      <w:r w:rsidR="00E325B4">
        <w:rPr>
          <w:rFonts w:cs="Calibri Light"/>
          <w:szCs w:val="22"/>
        </w:rPr>
        <w:t>explore expanding the operation of the ABA Branch Closure Protocol to ensure appropriately targeted services are available to customers affected by a branch closure.</w:t>
      </w:r>
    </w:p>
    <w:tbl>
      <w:tblPr>
        <w:tblW w:w="5000" w:type="pct"/>
        <w:shd w:val="clear" w:color="auto" w:fill="F2F9FC"/>
        <w:tblCellMar>
          <w:top w:w="227" w:type="dxa"/>
          <w:left w:w="227" w:type="dxa"/>
          <w:bottom w:w="227" w:type="dxa"/>
          <w:right w:w="227" w:type="dxa"/>
        </w:tblCellMar>
        <w:tblLook w:val="04A0" w:firstRow="1" w:lastRow="0" w:firstColumn="1" w:lastColumn="0" w:noHBand="0" w:noVBand="1"/>
      </w:tblPr>
      <w:tblGrid>
        <w:gridCol w:w="9070"/>
      </w:tblGrid>
      <w:tr w:rsidR="00547273" w:rsidRPr="006F09F2" w14:paraId="7349B75C" w14:textId="77777777" w:rsidTr="00E97333">
        <w:trPr>
          <w:trHeight w:val="1333"/>
        </w:trPr>
        <w:tc>
          <w:tcPr>
            <w:tcW w:w="9072" w:type="dxa"/>
            <w:shd w:val="clear" w:color="auto" w:fill="F2F9FC"/>
          </w:tcPr>
          <w:p w14:paraId="0C80662F" w14:textId="6BDA35DB" w:rsidR="00547273" w:rsidRPr="006F09F2" w:rsidRDefault="00547273" w:rsidP="000B7B41">
            <w:pPr>
              <w:pStyle w:val="BoxHeading"/>
            </w:pPr>
            <w:r w:rsidRPr="00FB5E24">
              <w:lastRenderedPageBreak/>
              <w:t xml:space="preserve">Recommendation </w:t>
            </w:r>
            <w:r w:rsidRPr="006F09F2">
              <w:t>1</w:t>
            </w:r>
            <w:r w:rsidR="001D4A21">
              <w:t xml:space="preserve"> – </w:t>
            </w:r>
            <w:r w:rsidR="0036575C">
              <w:t>Review</w:t>
            </w:r>
            <w:r w:rsidRPr="006F09F2">
              <w:t xml:space="preserve"> and strengthen </w:t>
            </w:r>
            <w:r w:rsidR="00F175BF">
              <w:t xml:space="preserve">the </w:t>
            </w:r>
            <w:r w:rsidRPr="006F09F2">
              <w:t>ABA</w:t>
            </w:r>
            <w:r w:rsidR="001D4A21">
              <w:t>’</w:t>
            </w:r>
            <w:r w:rsidR="00F175BF">
              <w:t>s</w:t>
            </w:r>
            <w:r w:rsidRPr="006F09F2">
              <w:t xml:space="preserve"> Branch Closure Protocol</w:t>
            </w:r>
          </w:p>
          <w:p w14:paraId="7681F966" w14:textId="02841D51" w:rsidR="00547273" w:rsidRPr="00585C89" w:rsidRDefault="00A07B95" w:rsidP="00E97333">
            <w:pPr>
              <w:rPr>
                <w:rFonts w:cs="Calibri Light"/>
                <w:szCs w:val="22"/>
              </w:rPr>
            </w:pPr>
            <w:r w:rsidRPr="0050327B">
              <w:rPr>
                <w:rFonts w:cs="Calibri Light"/>
                <w:szCs w:val="22"/>
              </w:rPr>
              <w:t xml:space="preserve">The ABA </w:t>
            </w:r>
            <w:r w:rsidRPr="009C42ED">
              <w:rPr>
                <w:rFonts w:cs="Calibri Light"/>
                <w:szCs w:val="22"/>
              </w:rPr>
              <w:t>should</w:t>
            </w:r>
            <w:r w:rsidRPr="00854782">
              <w:rPr>
                <w:rFonts w:cs="Calibri Light"/>
                <w:szCs w:val="22"/>
              </w:rPr>
              <w:t xml:space="preserve"> </w:t>
            </w:r>
            <w:r w:rsidR="0036575C">
              <w:rPr>
                <w:rFonts w:cs="Calibri Light"/>
                <w:szCs w:val="22"/>
              </w:rPr>
              <w:t>review</w:t>
            </w:r>
            <w:r>
              <w:rPr>
                <w:rFonts w:cs="Calibri Light"/>
                <w:szCs w:val="22"/>
              </w:rPr>
              <w:t xml:space="preserve"> and strengthen</w:t>
            </w:r>
            <w:r w:rsidRPr="00854782">
              <w:rPr>
                <w:rFonts w:cs="Calibri Light"/>
                <w:szCs w:val="22"/>
              </w:rPr>
              <w:t xml:space="preserve"> its </w:t>
            </w:r>
            <w:r>
              <w:rPr>
                <w:rFonts w:cs="Calibri Light"/>
                <w:szCs w:val="22"/>
              </w:rPr>
              <w:t>B</w:t>
            </w:r>
            <w:r w:rsidRPr="00854782">
              <w:rPr>
                <w:rFonts w:cs="Calibri Light"/>
                <w:szCs w:val="22"/>
              </w:rPr>
              <w:t xml:space="preserve">ranch </w:t>
            </w:r>
            <w:r>
              <w:rPr>
                <w:rFonts w:cs="Calibri Light"/>
                <w:szCs w:val="22"/>
              </w:rPr>
              <w:t>C</w:t>
            </w:r>
            <w:r w:rsidRPr="00854782">
              <w:rPr>
                <w:rFonts w:cs="Calibri Light"/>
                <w:szCs w:val="22"/>
              </w:rPr>
              <w:t xml:space="preserve">losure </w:t>
            </w:r>
            <w:r>
              <w:rPr>
                <w:rFonts w:cs="Calibri Light"/>
                <w:szCs w:val="22"/>
              </w:rPr>
              <w:t>P</w:t>
            </w:r>
            <w:r w:rsidRPr="00854782">
              <w:rPr>
                <w:rFonts w:cs="Calibri Light"/>
                <w:szCs w:val="22"/>
              </w:rPr>
              <w:t>rotocol and introduce an ABA Customer Care</w:t>
            </w:r>
            <w:r w:rsidRPr="009A6110">
              <w:rPr>
                <w:rFonts w:cs="Calibri Light"/>
                <w:szCs w:val="22"/>
              </w:rPr>
              <w:t xml:space="preserve"> Standard </w:t>
            </w:r>
            <w:r w:rsidR="004D57FB">
              <w:t>by mid</w:t>
            </w:r>
            <w:r w:rsidR="001D4A21">
              <w:noBreakHyphen/>
            </w:r>
            <w:r w:rsidR="004D57FB">
              <w:t>2023, to improve communication and support when regional branches close or their hours are being permanently and materially reduced.</w:t>
            </w:r>
          </w:p>
        </w:tc>
      </w:tr>
    </w:tbl>
    <w:p w14:paraId="5E0BB367" w14:textId="4170241B" w:rsidR="008C509D" w:rsidRPr="006F09F2" w:rsidRDefault="008C509D" w:rsidP="00E0440E">
      <w:pPr>
        <w:pStyle w:val="Heading2"/>
        <w:rPr>
          <w:b/>
        </w:rPr>
      </w:pPr>
      <w:bookmarkStart w:id="55" w:name="_Toc97809917"/>
      <w:bookmarkStart w:id="56" w:name="_Toc97904376"/>
      <w:bookmarkStart w:id="57" w:name="_Toc98245360"/>
      <w:bookmarkStart w:id="58" w:name="_Toc98508541"/>
      <w:bookmarkStart w:id="59" w:name="_Toc107323275"/>
      <w:bookmarkStart w:id="60" w:name="_Toc107987044"/>
      <w:bookmarkStart w:id="61" w:name="_Toc115190893"/>
      <w:r w:rsidRPr="006F09F2">
        <w:t xml:space="preserve">Banks can better assess the impact </w:t>
      </w:r>
      <w:r w:rsidR="00600AE8">
        <w:t xml:space="preserve">of </w:t>
      </w:r>
      <w:r w:rsidRPr="006F09F2">
        <w:t>branch closures have on regional communities</w:t>
      </w:r>
      <w:bookmarkEnd w:id="55"/>
      <w:bookmarkEnd w:id="56"/>
      <w:bookmarkEnd w:id="57"/>
      <w:bookmarkEnd w:id="58"/>
      <w:bookmarkEnd w:id="59"/>
      <w:bookmarkEnd w:id="60"/>
      <w:bookmarkEnd w:id="61"/>
    </w:p>
    <w:p w14:paraId="7E3E12A4" w14:textId="1860A0D6" w:rsidR="00453273" w:rsidRDefault="001C1D5C" w:rsidP="00E1010A">
      <w:pPr>
        <w:rPr>
          <w:rFonts w:cs="Calibri Light"/>
          <w:szCs w:val="22"/>
        </w:rPr>
      </w:pPr>
      <w:r w:rsidRPr="006F09F2">
        <w:rPr>
          <w:rFonts w:cs="Calibri Light"/>
          <w:szCs w:val="22"/>
        </w:rPr>
        <w:t xml:space="preserve">Feedback received by the Taskforce highlighted </w:t>
      </w:r>
      <w:r w:rsidR="00C30C4E" w:rsidRPr="006F09F2">
        <w:rPr>
          <w:rFonts w:cs="Calibri Light"/>
          <w:szCs w:val="22"/>
        </w:rPr>
        <w:t xml:space="preserve">both the challenges faced by customers when branches close and the need for better communication and </w:t>
      </w:r>
      <w:r w:rsidR="008F5920" w:rsidRPr="006F09F2">
        <w:rPr>
          <w:rFonts w:cs="Calibri Light"/>
          <w:szCs w:val="22"/>
        </w:rPr>
        <w:t>engagement</w:t>
      </w:r>
      <w:r w:rsidR="00C30C4E" w:rsidRPr="006F09F2">
        <w:rPr>
          <w:rFonts w:cs="Calibri Light"/>
          <w:szCs w:val="22"/>
        </w:rPr>
        <w:t xml:space="preserve"> around branch closures. </w:t>
      </w:r>
      <w:r w:rsidR="00356249">
        <w:rPr>
          <w:rFonts w:cs="Calibri Light"/>
          <w:szCs w:val="22"/>
        </w:rPr>
        <w:t xml:space="preserve">The Taskforce heard that regional communities felt </w:t>
      </w:r>
      <w:r w:rsidR="00E2169E">
        <w:rPr>
          <w:rFonts w:cs="Calibri Light"/>
          <w:szCs w:val="22"/>
        </w:rPr>
        <w:t>that the impact on their community was not properly considered when a closure decision was made. This frustration is often exacerbated by a lack of transparency around how these decisions are made.</w:t>
      </w:r>
      <w:r w:rsidR="00772987">
        <w:rPr>
          <w:rFonts w:cs="Calibri Light"/>
          <w:szCs w:val="22"/>
        </w:rPr>
        <w:t xml:space="preserve"> </w:t>
      </w:r>
    </w:p>
    <w:p w14:paraId="22FEF557" w14:textId="624D4183" w:rsidR="00363927" w:rsidRDefault="00AF2AA1" w:rsidP="00E1010A">
      <w:pPr>
        <w:rPr>
          <w:rFonts w:cs="Calibri Light"/>
          <w:szCs w:val="22"/>
        </w:rPr>
      </w:pPr>
      <w:r w:rsidRPr="006F09F2">
        <w:rPr>
          <w:rFonts w:cs="Calibri Light"/>
          <w:szCs w:val="22"/>
        </w:rPr>
        <w:t xml:space="preserve">While closing a branch is </w:t>
      </w:r>
      <w:r w:rsidR="00913999">
        <w:rPr>
          <w:rFonts w:cs="Calibri Light"/>
          <w:szCs w:val="22"/>
        </w:rPr>
        <w:t xml:space="preserve">ultimately </w:t>
      </w:r>
      <w:r w:rsidRPr="006F09F2">
        <w:rPr>
          <w:rFonts w:cs="Calibri Light"/>
          <w:szCs w:val="22"/>
        </w:rPr>
        <w:t>a commercial decision for a bank, f</w:t>
      </w:r>
      <w:r w:rsidR="005825AB" w:rsidRPr="006F09F2">
        <w:rPr>
          <w:rFonts w:cs="Calibri Light"/>
          <w:szCs w:val="22"/>
        </w:rPr>
        <w:t>ormalising good closure impact assessment</w:t>
      </w:r>
      <w:r w:rsidR="00A137C1" w:rsidRPr="006F09F2">
        <w:rPr>
          <w:rFonts w:cs="Calibri Light"/>
          <w:szCs w:val="22"/>
        </w:rPr>
        <w:t xml:space="preserve"> processes</w:t>
      </w:r>
      <w:r w:rsidR="00E22D60">
        <w:rPr>
          <w:rFonts w:cs="Calibri Light"/>
          <w:szCs w:val="22"/>
        </w:rPr>
        <w:t xml:space="preserve"> for regional branches</w:t>
      </w:r>
      <w:r w:rsidR="005825AB" w:rsidRPr="006F09F2">
        <w:rPr>
          <w:rFonts w:cs="Calibri Light"/>
          <w:szCs w:val="22"/>
        </w:rPr>
        <w:t xml:space="preserve"> </w:t>
      </w:r>
      <w:r w:rsidR="000F15DA">
        <w:rPr>
          <w:rFonts w:cs="Calibri Light"/>
          <w:szCs w:val="22"/>
        </w:rPr>
        <w:t xml:space="preserve">would </w:t>
      </w:r>
      <w:r w:rsidR="00181FAA">
        <w:rPr>
          <w:rFonts w:cs="Calibri Light"/>
          <w:szCs w:val="22"/>
        </w:rPr>
        <w:t xml:space="preserve">help </w:t>
      </w:r>
      <w:r w:rsidR="000F15DA">
        <w:rPr>
          <w:rFonts w:cs="Calibri Light"/>
          <w:szCs w:val="22"/>
        </w:rPr>
        <w:t xml:space="preserve">promote </w:t>
      </w:r>
      <w:r w:rsidR="00CC49FA">
        <w:rPr>
          <w:rFonts w:cs="Calibri Light"/>
          <w:szCs w:val="22"/>
        </w:rPr>
        <w:t xml:space="preserve">good decision </w:t>
      </w:r>
      <w:r w:rsidR="000F15DA">
        <w:rPr>
          <w:rFonts w:cs="Calibri Light"/>
          <w:szCs w:val="22"/>
        </w:rPr>
        <w:t xml:space="preserve">making </w:t>
      </w:r>
      <w:r w:rsidR="00181FAA">
        <w:rPr>
          <w:rFonts w:cs="Calibri Light"/>
          <w:szCs w:val="22"/>
        </w:rPr>
        <w:t>and</w:t>
      </w:r>
      <w:r w:rsidR="005825AB" w:rsidRPr="006F09F2">
        <w:rPr>
          <w:rFonts w:cs="Calibri Light"/>
          <w:szCs w:val="22"/>
        </w:rPr>
        <w:t xml:space="preserve"> best practice communication of branch closures to customers and other relevant parties</w:t>
      </w:r>
      <w:r w:rsidR="006B4F17">
        <w:rPr>
          <w:rFonts w:cs="Calibri Light"/>
          <w:szCs w:val="22"/>
        </w:rPr>
        <w:t>,</w:t>
      </w:r>
      <w:r w:rsidR="005825AB" w:rsidRPr="006F09F2">
        <w:rPr>
          <w:rFonts w:cs="Calibri Light"/>
          <w:szCs w:val="22"/>
        </w:rPr>
        <w:t xml:space="preserve"> </w:t>
      </w:r>
      <w:r w:rsidR="00913999">
        <w:rPr>
          <w:rFonts w:cs="Calibri Light"/>
          <w:szCs w:val="22"/>
        </w:rPr>
        <w:t>along with</w:t>
      </w:r>
      <w:r w:rsidR="005825AB" w:rsidRPr="006F09F2">
        <w:rPr>
          <w:rFonts w:cs="Calibri Light"/>
          <w:szCs w:val="22"/>
        </w:rPr>
        <w:t xml:space="preserve"> the provision of </w:t>
      </w:r>
      <w:r w:rsidR="00011328" w:rsidRPr="006F09F2">
        <w:rPr>
          <w:rFonts w:cs="Calibri Light"/>
          <w:szCs w:val="22"/>
        </w:rPr>
        <w:t>appropriate</w:t>
      </w:r>
      <w:r w:rsidR="005825AB" w:rsidRPr="006F09F2">
        <w:rPr>
          <w:rFonts w:cs="Calibri Light"/>
          <w:szCs w:val="22"/>
        </w:rPr>
        <w:t xml:space="preserve"> support.</w:t>
      </w:r>
      <w:r w:rsidR="005825AB" w:rsidRPr="006F09F2">
        <w:rPr>
          <w:rFonts w:cs="Calibri Light"/>
          <w:szCs w:val="22"/>
          <w:vertAlign w:val="superscript"/>
        </w:rPr>
        <w:t xml:space="preserve"> </w:t>
      </w:r>
    </w:p>
    <w:p w14:paraId="4038B231" w14:textId="15B7A926" w:rsidR="00121D3F" w:rsidRDefault="33983E47" w:rsidP="00E1010A">
      <w:pPr>
        <w:rPr>
          <w:rFonts w:cs="Calibri Light"/>
          <w:szCs w:val="22"/>
        </w:rPr>
      </w:pPr>
      <w:r w:rsidRPr="4D55EDD0">
        <w:rPr>
          <w:rFonts w:cs="Calibri Light"/>
        </w:rPr>
        <w:t>A</w:t>
      </w:r>
      <w:r w:rsidR="0003423C">
        <w:rPr>
          <w:rFonts w:cs="Calibri Light"/>
        </w:rPr>
        <w:t xml:space="preserve">n </w:t>
      </w:r>
      <w:r w:rsidR="7C5CD255" w:rsidRPr="4D55EDD0">
        <w:rPr>
          <w:rFonts w:cs="Calibri Light"/>
        </w:rPr>
        <w:t xml:space="preserve">impact assessment </w:t>
      </w:r>
      <w:r w:rsidR="325784B6" w:rsidRPr="4D55EDD0">
        <w:rPr>
          <w:rFonts w:cs="Calibri Light"/>
        </w:rPr>
        <w:t xml:space="preserve">procedure </w:t>
      </w:r>
      <w:r w:rsidR="2BDA4CD5" w:rsidRPr="4D55EDD0">
        <w:rPr>
          <w:rFonts w:cs="Calibri Light"/>
        </w:rPr>
        <w:t>sh</w:t>
      </w:r>
      <w:r w:rsidR="325784B6" w:rsidRPr="4D55EDD0">
        <w:rPr>
          <w:rFonts w:cs="Calibri Light"/>
        </w:rPr>
        <w:t>ould require banks to assess the impact a proposed branch closure will have on that specific community.</w:t>
      </w:r>
      <w:r w:rsidR="00A04E13" w:rsidRPr="003C3C69">
        <w:rPr>
          <w:rStyle w:val="FootnoteReference"/>
          <w:rFonts w:cs="Calibri Light"/>
          <w:vertAlign w:val="superscript"/>
        </w:rPr>
        <w:footnoteReference w:id="3"/>
      </w:r>
      <w:r w:rsidR="325784B6" w:rsidRPr="4D55EDD0">
        <w:rPr>
          <w:rFonts w:cs="Calibri Light"/>
        </w:rPr>
        <w:t xml:space="preserve"> </w:t>
      </w:r>
      <w:r w:rsidR="00171D49">
        <w:rPr>
          <w:rFonts w:cs="Calibri Light"/>
        </w:rPr>
        <w:t>While not disclosing any confidential information, i</w:t>
      </w:r>
      <w:r w:rsidR="2D15977F" w:rsidRPr="4D55EDD0">
        <w:rPr>
          <w:rFonts w:cs="Calibri Light"/>
        </w:rPr>
        <w:t>mpact assessments should provide clear reasons for the closure, what information was used to make the decision, and a summary of what engagement</w:t>
      </w:r>
      <w:r w:rsidR="0F12539E" w:rsidRPr="4D55EDD0">
        <w:rPr>
          <w:rFonts w:cs="Calibri Light"/>
        </w:rPr>
        <w:t xml:space="preserve"> </w:t>
      </w:r>
      <w:r w:rsidR="2D96BA12" w:rsidRPr="4D55EDD0">
        <w:rPr>
          <w:rFonts w:cs="Calibri Light"/>
        </w:rPr>
        <w:t xml:space="preserve">will be conducted </w:t>
      </w:r>
      <w:r w:rsidR="2D15977F" w:rsidRPr="4D55EDD0">
        <w:rPr>
          <w:rFonts w:cs="Calibri Light"/>
        </w:rPr>
        <w:t>with customers and the local community</w:t>
      </w:r>
      <w:r w:rsidR="37141400" w:rsidRPr="4D55EDD0">
        <w:rPr>
          <w:rFonts w:cs="Calibri Light"/>
        </w:rPr>
        <w:t xml:space="preserve"> </w:t>
      </w:r>
      <w:r w:rsidR="00FF1C7E">
        <w:rPr>
          <w:rFonts w:cs="Calibri Light"/>
        </w:rPr>
        <w:t>following</w:t>
      </w:r>
      <w:r w:rsidR="37141400" w:rsidRPr="4D55EDD0">
        <w:rPr>
          <w:rFonts w:cs="Calibri Light"/>
        </w:rPr>
        <w:t xml:space="preserve"> </w:t>
      </w:r>
      <w:r w:rsidR="00A849E8">
        <w:rPr>
          <w:rFonts w:cs="Calibri Light"/>
        </w:rPr>
        <w:t xml:space="preserve">the </w:t>
      </w:r>
      <w:r w:rsidR="37141400" w:rsidRPr="4D55EDD0">
        <w:rPr>
          <w:rFonts w:cs="Calibri Light"/>
        </w:rPr>
        <w:t>public announcement of changes</w:t>
      </w:r>
      <w:r w:rsidR="2D15977F" w:rsidRPr="4D55EDD0">
        <w:rPr>
          <w:rFonts w:cs="Calibri Light"/>
        </w:rPr>
        <w:t>.</w:t>
      </w:r>
      <w:r w:rsidR="77407F64" w:rsidRPr="4D55EDD0">
        <w:rPr>
          <w:rFonts w:cs="Calibri Light"/>
        </w:rPr>
        <w:t xml:space="preserve"> </w:t>
      </w:r>
      <w:r w:rsidR="2D15977F" w:rsidRPr="4D55EDD0">
        <w:rPr>
          <w:rFonts w:cs="Calibri Light"/>
        </w:rPr>
        <w:t xml:space="preserve">Impact assessment documents for each closure should be communicated directly to </w:t>
      </w:r>
      <w:r w:rsidR="002F5CF9">
        <w:rPr>
          <w:rFonts w:cs="Calibri Light"/>
        </w:rPr>
        <w:t xml:space="preserve">relevant </w:t>
      </w:r>
      <w:r w:rsidR="2D15977F" w:rsidRPr="4D55EDD0">
        <w:rPr>
          <w:rFonts w:cs="Calibri Light"/>
        </w:rPr>
        <w:t>stakeholders and published publicly on the bank</w:t>
      </w:r>
      <w:r w:rsidR="001D4A21">
        <w:rPr>
          <w:rFonts w:cs="Calibri Light"/>
        </w:rPr>
        <w:t>’</w:t>
      </w:r>
      <w:r w:rsidR="2D15977F" w:rsidRPr="4D55EDD0">
        <w:rPr>
          <w:rFonts w:cs="Calibri Light"/>
        </w:rPr>
        <w:t>s website.</w:t>
      </w:r>
      <w:r w:rsidR="5BF85692" w:rsidRPr="4D55EDD0">
        <w:rPr>
          <w:rFonts w:cs="Calibri Light"/>
        </w:rPr>
        <w:t xml:space="preserve"> </w:t>
      </w:r>
      <w:r w:rsidR="0099374B">
        <w:rPr>
          <w:rFonts w:cs="Calibri Light"/>
        </w:rPr>
        <w:t>Following</w:t>
      </w:r>
      <w:r w:rsidR="009F64A5">
        <w:rPr>
          <w:rFonts w:cs="Calibri Light"/>
        </w:rPr>
        <w:t xml:space="preserve"> the</w:t>
      </w:r>
      <w:r w:rsidR="0099374B">
        <w:rPr>
          <w:rFonts w:cs="Calibri Light"/>
        </w:rPr>
        <w:t xml:space="preserve"> public announcement of </w:t>
      </w:r>
      <w:r w:rsidR="00111CF4">
        <w:rPr>
          <w:rFonts w:cs="Calibri Light"/>
        </w:rPr>
        <w:t>branch closures</w:t>
      </w:r>
      <w:r w:rsidR="007E0413">
        <w:rPr>
          <w:rFonts w:cs="Calibri Light"/>
        </w:rPr>
        <w:t>,</w:t>
      </w:r>
      <w:r w:rsidR="0099374B">
        <w:rPr>
          <w:rFonts w:cs="Calibri Light"/>
        </w:rPr>
        <w:t xml:space="preserve"> b</w:t>
      </w:r>
      <w:r w:rsidR="2D15977F" w:rsidRPr="4D55EDD0">
        <w:rPr>
          <w:rFonts w:cs="Calibri Light"/>
        </w:rPr>
        <w:t xml:space="preserve">anks should undertake genuine engagement with </w:t>
      </w:r>
      <w:r w:rsidR="54EA89BF" w:rsidRPr="001446D2">
        <w:rPr>
          <w:rFonts w:cs="Calibri Light"/>
        </w:rPr>
        <w:t>community leaders</w:t>
      </w:r>
      <w:r w:rsidR="5BF56A8B" w:rsidRPr="001446D2">
        <w:rPr>
          <w:rFonts w:cs="Calibri Light"/>
        </w:rPr>
        <w:t>,</w:t>
      </w:r>
      <w:r w:rsidR="54EA89BF" w:rsidRPr="001446D2">
        <w:rPr>
          <w:rFonts w:cs="Calibri Light"/>
        </w:rPr>
        <w:t xml:space="preserve"> </w:t>
      </w:r>
      <w:r w:rsidR="5BF56A8B" w:rsidRPr="001446D2">
        <w:rPr>
          <w:rFonts w:cs="Calibri Light"/>
        </w:rPr>
        <w:t xml:space="preserve">such as </w:t>
      </w:r>
      <w:r w:rsidR="2D15977F" w:rsidRPr="001446D2">
        <w:rPr>
          <w:rFonts w:cs="Calibri Light"/>
        </w:rPr>
        <w:t>mayors</w:t>
      </w:r>
      <w:r w:rsidR="00785D1C" w:rsidRPr="001446D2">
        <w:rPr>
          <w:rFonts w:cs="Calibri Light"/>
        </w:rPr>
        <w:t>/</w:t>
      </w:r>
      <w:r w:rsidR="2D15977F" w:rsidRPr="001446D2">
        <w:rPr>
          <w:rFonts w:cs="Calibri Light"/>
        </w:rPr>
        <w:t>local government leaders</w:t>
      </w:r>
      <w:r w:rsidR="2D15977F" w:rsidRPr="4D55EDD0">
        <w:rPr>
          <w:rFonts w:cs="Calibri Light"/>
        </w:rPr>
        <w:t>.</w:t>
      </w:r>
      <w:r w:rsidR="00121D3F">
        <w:rPr>
          <w:rFonts w:cs="Calibri Light"/>
          <w:szCs w:val="22"/>
        </w:rPr>
        <w:t xml:space="preserve"> </w:t>
      </w:r>
      <w:r w:rsidR="006F70C8">
        <w:rPr>
          <w:rFonts w:cs="Calibri Light"/>
          <w:szCs w:val="22"/>
        </w:rPr>
        <w:t>The i</w:t>
      </w:r>
      <w:r w:rsidR="006F70C8" w:rsidRPr="006F09F2">
        <w:rPr>
          <w:rFonts w:cs="Calibri Light"/>
          <w:szCs w:val="22"/>
        </w:rPr>
        <w:t xml:space="preserve">nformation provided and the explanation for the closure should be tailored to local circumstances. </w:t>
      </w:r>
    </w:p>
    <w:p w14:paraId="1BAC1DF1" w14:textId="5C0454D0" w:rsidR="00363927" w:rsidRDefault="001C75D2" w:rsidP="00E1010A">
      <w:pPr>
        <w:rPr>
          <w:rFonts w:cs="Calibri Light"/>
          <w:szCs w:val="22"/>
        </w:rPr>
      </w:pPr>
      <w:r>
        <w:rPr>
          <w:rFonts w:cs="Calibri Light"/>
          <w:szCs w:val="22"/>
        </w:rPr>
        <w:t>This</w:t>
      </w:r>
      <w:r w:rsidR="00A80EAA">
        <w:rPr>
          <w:rFonts w:cs="Calibri Light"/>
          <w:szCs w:val="22"/>
        </w:rPr>
        <w:t xml:space="preserve"> requirement to conduct impact assessments </w:t>
      </w:r>
      <w:r w:rsidR="007C2A01">
        <w:rPr>
          <w:rFonts w:cs="Calibri Light"/>
          <w:szCs w:val="22"/>
        </w:rPr>
        <w:t xml:space="preserve">will ensure banks </w:t>
      </w:r>
      <w:r w:rsidR="00CB11CA">
        <w:rPr>
          <w:rFonts w:cs="Calibri Light"/>
          <w:szCs w:val="22"/>
        </w:rPr>
        <w:t xml:space="preserve">are held accountable for their branch closure decisions. </w:t>
      </w:r>
      <w:r>
        <w:rPr>
          <w:rFonts w:cs="Calibri Light"/>
          <w:szCs w:val="22"/>
        </w:rPr>
        <w:t xml:space="preserve">It would help ensure that banks are transparent about </w:t>
      </w:r>
      <w:r w:rsidR="00AA7F76">
        <w:rPr>
          <w:rFonts w:cs="Calibri Light"/>
          <w:szCs w:val="22"/>
        </w:rPr>
        <w:t>the decision, about the factors considered in making the decision</w:t>
      </w:r>
      <w:r w:rsidR="005B367F">
        <w:rPr>
          <w:rFonts w:cs="Calibri Light"/>
          <w:szCs w:val="22"/>
        </w:rPr>
        <w:t>,</w:t>
      </w:r>
      <w:r w:rsidR="00AA7F76">
        <w:rPr>
          <w:rFonts w:cs="Calibri Light"/>
          <w:szCs w:val="22"/>
        </w:rPr>
        <w:t xml:space="preserve"> and </w:t>
      </w:r>
      <w:r w:rsidR="00762D27">
        <w:rPr>
          <w:rFonts w:cs="Calibri Light"/>
          <w:szCs w:val="22"/>
        </w:rPr>
        <w:t>about the planned support and engagement with the affected community going forward</w:t>
      </w:r>
      <w:r w:rsidR="006B17B9">
        <w:rPr>
          <w:rFonts w:cs="Calibri Light"/>
          <w:szCs w:val="22"/>
        </w:rPr>
        <w:t xml:space="preserve">. </w:t>
      </w:r>
      <w:r w:rsidR="00B81E75">
        <w:rPr>
          <w:rFonts w:cs="Calibri Light"/>
          <w:szCs w:val="22"/>
        </w:rPr>
        <w:t xml:space="preserve">The scope of the engagement would depend on the situation </w:t>
      </w:r>
      <w:r w:rsidR="005C429F">
        <w:rPr>
          <w:rFonts w:cs="Calibri Light"/>
          <w:szCs w:val="22"/>
        </w:rPr>
        <w:t>(for example broad engagement may be less appropriate for branches in particular situations such as on military bases)</w:t>
      </w:r>
      <w:r w:rsidR="00C85266">
        <w:rPr>
          <w:rFonts w:cs="Calibri Light"/>
          <w:szCs w:val="22"/>
        </w:rPr>
        <w:t xml:space="preserve">, </w:t>
      </w:r>
      <w:r w:rsidR="00785F47">
        <w:rPr>
          <w:rFonts w:cs="Calibri Light"/>
          <w:szCs w:val="22"/>
        </w:rPr>
        <w:t xml:space="preserve">providing </w:t>
      </w:r>
      <w:r w:rsidR="007174C4">
        <w:rPr>
          <w:rFonts w:cs="Calibri Light"/>
          <w:szCs w:val="22"/>
        </w:rPr>
        <w:t xml:space="preserve">information about how the decision </w:t>
      </w:r>
      <w:r w:rsidR="009B03C6">
        <w:rPr>
          <w:rFonts w:cs="Calibri Light"/>
          <w:szCs w:val="22"/>
        </w:rPr>
        <w:t>was made</w:t>
      </w:r>
      <w:r w:rsidR="00C85266">
        <w:rPr>
          <w:rFonts w:cs="Calibri Light"/>
          <w:szCs w:val="22"/>
        </w:rPr>
        <w:t xml:space="preserve"> </w:t>
      </w:r>
      <w:r w:rsidR="00785F47">
        <w:rPr>
          <w:rFonts w:cs="Calibri Light"/>
          <w:szCs w:val="22"/>
        </w:rPr>
        <w:t>without</w:t>
      </w:r>
      <w:r w:rsidR="009B03C6">
        <w:rPr>
          <w:rFonts w:cs="Calibri Light"/>
          <w:szCs w:val="22"/>
        </w:rPr>
        <w:t xml:space="preserve"> revisiting the decision </w:t>
      </w:r>
      <w:r w:rsidR="00785F47">
        <w:rPr>
          <w:rFonts w:cs="Calibri Light"/>
          <w:szCs w:val="22"/>
        </w:rPr>
        <w:t>or</w:t>
      </w:r>
      <w:r w:rsidR="00E42A5E">
        <w:rPr>
          <w:rFonts w:cs="Calibri Light"/>
          <w:szCs w:val="22"/>
        </w:rPr>
        <w:t xml:space="preserve"> </w:t>
      </w:r>
      <w:r w:rsidR="00785F47">
        <w:rPr>
          <w:rFonts w:cs="Calibri Light"/>
          <w:szCs w:val="22"/>
        </w:rPr>
        <w:t xml:space="preserve">disclosing </w:t>
      </w:r>
      <w:r w:rsidR="00E42A5E">
        <w:rPr>
          <w:rFonts w:cs="Calibri Light"/>
          <w:szCs w:val="22"/>
        </w:rPr>
        <w:t>commercial in confidence information</w:t>
      </w:r>
      <w:r w:rsidR="001D4A21">
        <w:rPr>
          <w:rFonts w:cs="Calibri Light"/>
          <w:szCs w:val="22"/>
        </w:rPr>
        <w:t>.</w:t>
      </w:r>
    </w:p>
    <w:p w14:paraId="73577778" w14:textId="0427289D" w:rsidR="009923AA" w:rsidRPr="006F09F2" w:rsidRDefault="008A32B5" w:rsidP="009923AA">
      <w:pPr>
        <w:rPr>
          <w:rFonts w:cs="Calibri Light"/>
          <w:szCs w:val="22"/>
        </w:rPr>
      </w:pPr>
      <w:r>
        <w:rPr>
          <w:rFonts w:cs="Calibri Light"/>
          <w:szCs w:val="22"/>
        </w:rPr>
        <w:t>Another</w:t>
      </w:r>
      <w:r w:rsidDel="00B47799">
        <w:rPr>
          <w:rFonts w:cs="Calibri Light"/>
          <w:szCs w:val="22"/>
        </w:rPr>
        <w:t xml:space="preserve"> </w:t>
      </w:r>
      <w:r>
        <w:rPr>
          <w:rFonts w:cs="Calibri Light"/>
          <w:szCs w:val="22"/>
        </w:rPr>
        <w:t>consideration is the perception that financial service provide</w:t>
      </w:r>
      <w:r w:rsidR="00A302BD">
        <w:rPr>
          <w:rFonts w:cs="Calibri Light"/>
          <w:szCs w:val="22"/>
        </w:rPr>
        <w:t>r</w:t>
      </w:r>
      <w:r>
        <w:rPr>
          <w:rFonts w:cs="Calibri Light"/>
          <w:szCs w:val="22"/>
        </w:rPr>
        <w:t>s occupy a special position of responsibility and trust in their community</w:t>
      </w:r>
      <w:r w:rsidR="00AD4E80">
        <w:rPr>
          <w:rFonts w:cs="Calibri Light"/>
          <w:szCs w:val="22"/>
        </w:rPr>
        <w:t>.</w:t>
      </w:r>
      <w:r>
        <w:rPr>
          <w:rFonts w:cs="Calibri Light"/>
          <w:szCs w:val="22"/>
        </w:rPr>
        <w:t xml:space="preserve"> </w:t>
      </w:r>
      <w:r w:rsidR="00AD4E80">
        <w:rPr>
          <w:rFonts w:cs="Calibri Light"/>
          <w:szCs w:val="22"/>
        </w:rPr>
        <w:t>O</w:t>
      </w:r>
      <w:r>
        <w:rPr>
          <w:rFonts w:cs="Calibri Light"/>
          <w:szCs w:val="22"/>
        </w:rPr>
        <w:t>ne of the main challenges for these providers is satisfying public expectation that they meet the needs of the communit</w:t>
      </w:r>
      <w:r w:rsidR="00AD4E80">
        <w:rPr>
          <w:rFonts w:cs="Calibri Light"/>
          <w:szCs w:val="22"/>
        </w:rPr>
        <w:t>ies</w:t>
      </w:r>
      <w:r>
        <w:rPr>
          <w:rFonts w:cs="Calibri Light"/>
          <w:szCs w:val="22"/>
        </w:rPr>
        <w:t xml:space="preserve"> they serve</w:t>
      </w:r>
      <w:r w:rsidR="005027C0">
        <w:rPr>
          <w:rFonts w:cs="Calibri Light"/>
          <w:szCs w:val="22"/>
        </w:rPr>
        <w:t xml:space="preserve"> (</w:t>
      </w:r>
      <w:r w:rsidR="007772FD">
        <w:rPr>
          <w:rFonts w:cs="Calibri Light"/>
          <w:szCs w:val="22"/>
        </w:rPr>
        <w:t>PJCCFS</w:t>
      </w:r>
      <w:r w:rsidR="005027C0">
        <w:rPr>
          <w:rFonts w:cs="Calibri Light"/>
          <w:szCs w:val="22"/>
        </w:rPr>
        <w:t xml:space="preserve"> 2004)</w:t>
      </w:r>
      <w:r>
        <w:rPr>
          <w:rFonts w:cs="Calibri Light"/>
          <w:szCs w:val="22"/>
        </w:rPr>
        <w:t>. While the exact nature of th</w:t>
      </w:r>
      <w:r w:rsidR="00E21A7D">
        <w:rPr>
          <w:rFonts w:cs="Calibri Light"/>
          <w:szCs w:val="22"/>
        </w:rPr>
        <w:t>ese</w:t>
      </w:r>
      <w:r>
        <w:rPr>
          <w:rFonts w:cs="Calibri Light"/>
          <w:szCs w:val="22"/>
        </w:rPr>
        <w:t xml:space="preserve"> expectation</w:t>
      </w:r>
      <w:r w:rsidR="00DC3D86">
        <w:rPr>
          <w:rFonts w:cs="Calibri Light"/>
          <w:szCs w:val="22"/>
        </w:rPr>
        <w:t>s may not be clear and</w:t>
      </w:r>
      <w:r>
        <w:rPr>
          <w:rFonts w:cs="Calibri Light"/>
          <w:szCs w:val="22"/>
        </w:rPr>
        <w:t xml:space="preserve"> may evolve</w:t>
      </w:r>
      <w:r w:rsidR="00DC3D86">
        <w:rPr>
          <w:rFonts w:cs="Calibri Light"/>
          <w:szCs w:val="22"/>
        </w:rPr>
        <w:t xml:space="preserve"> over time</w:t>
      </w:r>
      <w:r w:rsidR="00E21A7D">
        <w:rPr>
          <w:rFonts w:cs="Calibri Light"/>
          <w:szCs w:val="22"/>
        </w:rPr>
        <w:t>, i</w:t>
      </w:r>
      <w:r w:rsidR="00E21A7D" w:rsidRPr="00BF1994">
        <w:rPr>
          <w:rFonts w:cs="Calibri Light"/>
          <w:szCs w:val="22"/>
        </w:rPr>
        <w:t>ncreased communication and transparency around branch closures, including impact assessments</w:t>
      </w:r>
      <w:r w:rsidR="00E21A7D">
        <w:rPr>
          <w:rFonts w:cs="Calibri Light"/>
          <w:szCs w:val="22"/>
        </w:rPr>
        <w:t xml:space="preserve">, would help </w:t>
      </w:r>
      <w:r w:rsidR="00E21A7D">
        <w:rPr>
          <w:rFonts w:cs="Calibri Light"/>
          <w:szCs w:val="22"/>
        </w:rPr>
        <w:lastRenderedPageBreak/>
        <w:t xml:space="preserve">satisfy </w:t>
      </w:r>
      <w:r w:rsidR="00DC3D86">
        <w:rPr>
          <w:rFonts w:cs="Calibri Light"/>
          <w:szCs w:val="22"/>
        </w:rPr>
        <w:t xml:space="preserve">the public that banks are </w:t>
      </w:r>
      <w:r w:rsidR="00AD4E80">
        <w:rPr>
          <w:rFonts w:cs="Calibri Light"/>
          <w:szCs w:val="22"/>
        </w:rPr>
        <w:t>considering</w:t>
      </w:r>
      <w:r w:rsidR="00111B29">
        <w:rPr>
          <w:rFonts w:cs="Calibri Light"/>
          <w:szCs w:val="22"/>
        </w:rPr>
        <w:t xml:space="preserve"> customers</w:t>
      </w:r>
      <w:r w:rsidR="001D4A21">
        <w:rPr>
          <w:rFonts w:cs="Calibri Light"/>
          <w:szCs w:val="22"/>
        </w:rPr>
        <w:t>’</w:t>
      </w:r>
      <w:r w:rsidR="00111B29">
        <w:rPr>
          <w:rFonts w:cs="Calibri Light"/>
          <w:szCs w:val="22"/>
        </w:rPr>
        <w:t xml:space="preserve"> </w:t>
      </w:r>
      <w:r w:rsidR="005F78CE">
        <w:rPr>
          <w:rFonts w:cs="Calibri Light"/>
          <w:szCs w:val="22"/>
        </w:rPr>
        <w:t>and the community</w:t>
      </w:r>
      <w:r w:rsidR="001D4A21">
        <w:rPr>
          <w:rFonts w:cs="Calibri Light"/>
          <w:szCs w:val="22"/>
        </w:rPr>
        <w:t>’</w:t>
      </w:r>
      <w:r w:rsidR="005F78CE">
        <w:rPr>
          <w:rFonts w:cs="Calibri Light"/>
          <w:szCs w:val="22"/>
        </w:rPr>
        <w:t xml:space="preserve">s </w:t>
      </w:r>
      <w:r w:rsidR="00111B29">
        <w:rPr>
          <w:rFonts w:cs="Calibri Light"/>
          <w:szCs w:val="22"/>
        </w:rPr>
        <w:t>needs when making decisions</w:t>
      </w:r>
      <w:r w:rsidR="00371D43">
        <w:rPr>
          <w:rFonts w:cs="Calibri Light"/>
          <w:szCs w:val="22"/>
        </w:rPr>
        <w:t>.</w:t>
      </w:r>
      <w:r w:rsidR="00E21A7D" w:rsidRPr="00E753C9">
        <w:rPr>
          <w:rStyle w:val="FootnoteReference"/>
          <w:rFonts w:cs="Calibri Light"/>
          <w:szCs w:val="22"/>
          <w:vertAlign w:val="superscript"/>
        </w:rPr>
        <w:footnoteReference w:id="4"/>
      </w:r>
    </w:p>
    <w:tbl>
      <w:tblPr>
        <w:tblW w:w="5000" w:type="pct"/>
        <w:shd w:val="clear" w:color="auto" w:fill="F2F9FC"/>
        <w:tblCellMar>
          <w:top w:w="227" w:type="dxa"/>
          <w:left w:w="227" w:type="dxa"/>
          <w:bottom w:w="227" w:type="dxa"/>
          <w:right w:w="227" w:type="dxa"/>
        </w:tblCellMar>
        <w:tblLook w:val="04A0" w:firstRow="1" w:lastRow="0" w:firstColumn="1" w:lastColumn="0" w:noHBand="0" w:noVBand="1"/>
      </w:tblPr>
      <w:tblGrid>
        <w:gridCol w:w="9070"/>
      </w:tblGrid>
      <w:tr w:rsidR="009923AA" w:rsidRPr="006F09F2" w14:paraId="1DA8D216" w14:textId="77777777" w:rsidTr="00242CD5">
        <w:trPr>
          <w:trHeight w:val="1837"/>
        </w:trPr>
        <w:tc>
          <w:tcPr>
            <w:tcW w:w="9072" w:type="dxa"/>
            <w:shd w:val="clear" w:color="auto" w:fill="F2F9FC"/>
          </w:tcPr>
          <w:p w14:paraId="00EF01C9" w14:textId="7AEE7D3D" w:rsidR="0068642B" w:rsidRPr="006F09F2" w:rsidRDefault="009923AA" w:rsidP="0068642B">
            <w:pPr>
              <w:pStyle w:val="BoxHeading"/>
            </w:pPr>
            <w:r w:rsidRPr="006F09F2">
              <w:t xml:space="preserve">Recommendation 2 </w:t>
            </w:r>
            <w:r w:rsidR="00106F9C">
              <w:t>–</w:t>
            </w:r>
            <w:r w:rsidR="0068642B" w:rsidRPr="006F09F2">
              <w:t xml:space="preserve"> </w:t>
            </w:r>
            <w:r w:rsidR="00106F9C">
              <w:t xml:space="preserve">Implement </w:t>
            </w:r>
            <w:r w:rsidR="0068642B" w:rsidRPr="006F09F2">
              <w:t>branch closure impact assessments</w:t>
            </w:r>
          </w:p>
          <w:p w14:paraId="5EDE9FE4" w14:textId="44F97C4B" w:rsidR="009923AA" w:rsidRPr="00372457" w:rsidRDefault="0068642B" w:rsidP="00E97333">
            <w:r w:rsidRPr="0050327B">
              <w:rPr>
                <w:rFonts w:cs="Calibri Light"/>
                <w:szCs w:val="22"/>
              </w:rPr>
              <w:t xml:space="preserve">Banks should establish a process for conducting </w:t>
            </w:r>
            <w:r w:rsidR="00305ACF">
              <w:rPr>
                <w:rFonts w:cs="Calibri Light"/>
                <w:szCs w:val="22"/>
              </w:rPr>
              <w:t xml:space="preserve">and publishing </w:t>
            </w:r>
            <w:r w:rsidR="00643267">
              <w:rPr>
                <w:rFonts w:cs="Calibri Light"/>
                <w:szCs w:val="22"/>
              </w:rPr>
              <w:t xml:space="preserve">regional </w:t>
            </w:r>
            <w:r w:rsidRPr="0050327B">
              <w:rPr>
                <w:rFonts w:cs="Calibri Light"/>
                <w:szCs w:val="22"/>
              </w:rPr>
              <w:t>branch closure impact assessments</w:t>
            </w:r>
            <w:r w:rsidR="00BD3503">
              <w:rPr>
                <w:rFonts w:cs="Calibri Light"/>
                <w:szCs w:val="22"/>
              </w:rPr>
              <w:t xml:space="preserve"> by mid</w:t>
            </w:r>
            <w:r w:rsidR="001D4A21">
              <w:rPr>
                <w:rFonts w:cs="Calibri Light"/>
                <w:szCs w:val="22"/>
              </w:rPr>
              <w:noBreakHyphen/>
            </w:r>
            <w:r w:rsidR="00BD3503">
              <w:rPr>
                <w:rFonts w:cs="Calibri Light"/>
                <w:szCs w:val="22"/>
              </w:rPr>
              <w:t>2023</w:t>
            </w:r>
            <w:r w:rsidR="0059685A">
              <w:rPr>
                <w:rFonts w:cs="Calibri Light"/>
              </w:rPr>
              <w:t xml:space="preserve">. </w:t>
            </w:r>
            <w:r w:rsidR="00FF318C">
              <w:rPr>
                <w:rFonts w:cs="Calibri Light"/>
              </w:rPr>
              <w:t>A</w:t>
            </w:r>
            <w:r w:rsidR="00A06021">
              <w:rPr>
                <w:rFonts w:cs="Calibri Light"/>
              </w:rPr>
              <w:t>ssessments</w:t>
            </w:r>
            <w:r w:rsidR="00321AE0">
              <w:rPr>
                <w:rFonts w:cs="Calibri Light"/>
              </w:rPr>
              <w:t xml:space="preserve"> should provide clear reasons for the closure and the engagement that will occur with customers, local government and other stakeholders following the announcement of the closure</w:t>
            </w:r>
            <w:r w:rsidR="00134773">
              <w:rPr>
                <w:rFonts w:cs="Calibri Light"/>
                <w:szCs w:val="22"/>
              </w:rPr>
              <w:t>.</w:t>
            </w:r>
          </w:p>
        </w:tc>
      </w:tr>
    </w:tbl>
    <w:p w14:paraId="0EBE9173" w14:textId="5CF4F8B3" w:rsidR="00DA2B13" w:rsidRPr="006F09F2" w:rsidRDefault="00DA2B13" w:rsidP="00E0440E">
      <w:pPr>
        <w:pStyle w:val="Heading2"/>
        <w:rPr>
          <w:b/>
        </w:rPr>
      </w:pPr>
      <w:bookmarkStart w:id="62" w:name="_Toc97809918"/>
      <w:bookmarkStart w:id="63" w:name="_Toc97904377"/>
      <w:bookmarkStart w:id="64" w:name="_Toc98245361"/>
      <w:bookmarkStart w:id="65" w:name="_Toc98508542"/>
      <w:bookmarkStart w:id="66" w:name="_Toc107323276"/>
      <w:bookmarkStart w:id="67" w:name="_Toc107987045"/>
      <w:bookmarkStart w:id="68" w:name="_Toc115190894"/>
      <w:r w:rsidRPr="006F09F2">
        <w:t>Australia Post</w:t>
      </w:r>
      <w:r w:rsidR="001D4A21">
        <w:t>’</w:t>
      </w:r>
      <w:r w:rsidRPr="006F09F2">
        <w:t xml:space="preserve">s Bank@Post is a good alternative but </w:t>
      </w:r>
      <w:r w:rsidR="00FF124C">
        <w:t>may</w:t>
      </w:r>
      <w:r w:rsidRPr="006F09F2">
        <w:t xml:space="preserve"> not </w:t>
      </w:r>
      <w:r w:rsidR="00EB0D96">
        <w:t xml:space="preserve">be </w:t>
      </w:r>
      <w:r w:rsidRPr="006F09F2">
        <w:t>well known and may be underutilised</w:t>
      </w:r>
      <w:bookmarkEnd w:id="62"/>
      <w:bookmarkEnd w:id="63"/>
      <w:bookmarkEnd w:id="64"/>
      <w:bookmarkEnd w:id="65"/>
      <w:bookmarkEnd w:id="66"/>
      <w:r w:rsidR="00C013F9">
        <w:t xml:space="preserve"> in regional communities</w:t>
      </w:r>
      <w:bookmarkEnd w:id="67"/>
      <w:bookmarkEnd w:id="68"/>
    </w:p>
    <w:p w14:paraId="5E37E915" w14:textId="527AB3C2" w:rsidR="00F47F29" w:rsidRDefault="00361DC4" w:rsidP="009D737C">
      <w:pPr>
        <w:rPr>
          <w:rFonts w:cs="Calibri Light"/>
          <w:szCs w:val="22"/>
        </w:rPr>
      </w:pPr>
      <w:r>
        <w:rPr>
          <w:rFonts w:cs="Calibri Light"/>
          <w:szCs w:val="22"/>
        </w:rPr>
        <w:t>Taskforce</w:t>
      </w:r>
      <w:r w:rsidR="009D737C" w:rsidRPr="006F09F2" w:rsidDel="00361DC4">
        <w:rPr>
          <w:rFonts w:cs="Calibri Light"/>
          <w:szCs w:val="22"/>
        </w:rPr>
        <w:t xml:space="preserve"> m</w:t>
      </w:r>
      <w:r w:rsidR="009D737C" w:rsidRPr="006F09F2">
        <w:rPr>
          <w:rFonts w:cs="Calibri Light"/>
          <w:szCs w:val="22"/>
        </w:rPr>
        <w:t xml:space="preserve">embers </w:t>
      </w:r>
      <w:r w:rsidR="00874A4E">
        <w:rPr>
          <w:rFonts w:cs="Calibri Light"/>
          <w:szCs w:val="22"/>
        </w:rPr>
        <w:t xml:space="preserve">and submissions </w:t>
      </w:r>
      <w:r w:rsidR="009D737C" w:rsidRPr="006F09F2">
        <w:rPr>
          <w:rFonts w:cs="Calibri Light"/>
          <w:szCs w:val="22"/>
        </w:rPr>
        <w:t>re</w:t>
      </w:r>
      <w:r w:rsidR="00227B9C" w:rsidRPr="006F09F2">
        <w:rPr>
          <w:rFonts w:cs="Calibri Light"/>
          <w:szCs w:val="22"/>
        </w:rPr>
        <w:t>c</w:t>
      </w:r>
      <w:r w:rsidR="009D737C" w:rsidRPr="006F09F2">
        <w:rPr>
          <w:rFonts w:cs="Calibri Light"/>
          <w:szCs w:val="22"/>
        </w:rPr>
        <w:t>o</w:t>
      </w:r>
      <w:r w:rsidR="000B7B41" w:rsidRPr="006F09F2">
        <w:rPr>
          <w:rFonts w:cs="Calibri Light"/>
          <w:szCs w:val="22"/>
        </w:rPr>
        <w:t>g</w:t>
      </w:r>
      <w:r w:rsidR="009D737C" w:rsidRPr="006F09F2">
        <w:rPr>
          <w:rFonts w:cs="Calibri Light"/>
          <w:szCs w:val="22"/>
        </w:rPr>
        <w:t xml:space="preserve">nised the important role Australia Post plays in the provision of banking services in regional communities. Bank@Post involves post offices acting as an agent and providing services to customers of over 80 banks and other financial institutions. This is a commercial partnership that banks have entered for Australia Post to deliver </w:t>
      </w:r>
      <w:r w:rsidR="0094609E">
        <w:rPr>
          <w:rFonts w:cs="Calibri Light"/>
          <w:szCs w:val="22"/>
        </w:rPr>
        <w:t xml:space="preserve">Agency </w:t>
      </w:r>
      <w:r w:rsidR="00AE03E7">
        <w:rPr>
          <w:rFonts w:cs="Calibri Light"/>
          <w:szCs w:val="22"/>
        </w:rPr>
        <w:t>Banking S</w:t>
      </w:r>
      <w:r w:rsidR="009D737C" w:rsidRPr="006F09F2">
        <w:rPr>
          <w:rFonts w:cs="Calibri Light"/>
          <w:szCs w:val="22"/>
        </w:rPr>
        <w:t xml:space="preserve">ervices and </w:t>
      </w:r>
      <w:r w:rsidR="00830241">
        <w:rPr>
          <w:rFonts w:cs="Calibri Light"/>
          <w:szCs w:val="22"/>
        </w:rPr>
        <w:t>involves</w:t>
      </w:r>
      <w:r w:rsidR="009D737C" w:rsidRPr="006F09F2">
        <w:rPr>
          <w:rFonts w:cs="Calibri Light"/>
          <w:szCs w:val="22"/>
        </w:rPr>
        <w:t xml:space="preserve"> substantial investments in the capability, technology, and security of Bank@Post outlets so customers can bank in a way that suits them. </w:t>
      </w:r>
    </w:p>
    <w:p w14:paraId="02A24B7C" w14:textId="73A1F2F7" w:rsidR="000C1BC2" w:rsidRPr="006F09F2" w:rsidRDefault="00D64EBA" w:rsidP="009D737C">
      <w:pPr>
        <w:rPr>
          <w:rFonts w:cs="Calibri Light"/>
          <w:szCs w:val="22"/>
        </w:rPr>
      </w:pPr>
      <w:r>
        <w:rPr>
          <w:rFonts w:cs="Calibri Light"/>
          <w:szCs w:val="22"/>
        </w:rPr>
        <w:t xml:space="preserve">Australia Post enables customers to conduct a range of essential banking services via its Post Office Network </w:t>
      </w:r>
      <w:r w:rsidR="007C46A3">
        <w:rPr>
          <w:rFonts w:cs="Calibri Light"/>
          <w:szCs w:val="22"/>
        </w:rPr>
        <w:t xml:space="preserve">including withdrawal, deposit, credit card deposits and balances enquiry via </w:t>
      </w:r>
      <w:r w:rsidR="00E00878" w:rsidRPr="006F09F2">
        <w:rPr>
          <w:rFonts w:cs="Calibri Light"/>
          <w:szCs w:val="22"/>
        </w:rPr>
        <w:t>Bank@Post</w:t>
      </w:r>
      <w:r w:rsidR="009D737C" w:rsidRPr="006F09F2">
        <w:rPr>
          <w:rFonts w:cs="Calibri Light"/>
          <w:szCs w:val="22"/>
        </w:rPr>
        <w:t xml:space="preserve"> </w:t>
      </w:r>
      <w:r w:rsidR="00F71917">
        <w:rPr>
          <w:rFonts w:cs="Calibri Light"/>
          <w:szCs w:val="22"/>
        </w:rPr>
        <w:t>as well as payment of bills via Post Bill</w:t>
      </w:r>
      <w:r w:rsidR="003117B5">
        <w:rPr>
          <w:rFonts w:cs="Calibri Light"/>
          <w:szCs w:val="22"/>
        </w:rPr>
        <w:t>p</w:t>
      </w:r>
      <w:r w:rsidR="00F71917">
        <w:rPr>
          <w:rFonts w:cs="Calibri Light"/>
          <w:szCs w:val="22"/>
        </w:rPr>
        <w:t>ay. While Australia Post seeks to provide a broad range of services</w:t>
      </w:r>
      <w:r w:rsidR="00275DB6">
        <w:rPr>
          <w:rFonts w:cs="Calibri Light"/>
          <w:szCs w:val="22"/>
        </w:rPr>
        <w:t>,</w:t>
      </w:r>
      <w:r w:rsidR="00F71917">
        <w:rPr>
          <w:rFonts w:cs="Calibri Light"/>
          <w:szCs w:val="22"/>
        </w:rPr>
        <w:t xml:space="preserve"> the provision of these services varies depending on the commercial arrangements for each institution.</w:t>
      </w:r>
      <w:r w:rsidR="00E9608B">
        <w:rPr>
          <w:rFonts w:cs="Calibri Light"/>
          <w:szCs w:val="22"/>
        </w:rPr>
        <w:t xml:space="preserve"> </w:t>
      </w:r>
      <w:r w:rsidR="0011379C">
        <w:rPr>
          <w:rFonts w:cs="Calibri Light"/>
          <w:szCs w:val="22"/>
        </w:rPr>
        <w:t xml:space="preserve">Australia Post actively promotes its Bank@Post services </w:t>
      </w:r>
      <w:r w:rsidR="00FC0BDB">
        <w:rPr>
          <w:rFonts w:cs="Calibri Light"/>
          <w:szCs w:val="22"/>
        </w:rPr>
        <w:t>through</w:t>
      </w:r>
      <w:r w:rsidR="00A849E8">
        <w:rPr>
          <w:rFonts w:cs="Calibri Light"/>
          <w:szCs w:val="22"/>
        </w:rPr>
        <w:t>,</w:t>
      </w:r>
      <w:r w:rsidR="00FC0BDB">
        <w:rPr>
          <w:rFonts w:cs="Calibri Light"/>
          <w:szCs w:val="22"/>
        </w:rPr>
        <w:t xml:space="preserve"> for example</w:t>
      </w:r>
      <w:r w:rsidR="00A849E8">
        <w:rPr>
          <w:rFonts w:cs="Calibri Light"/>
          <w:szCs w:val="22"/>
        </w:rPr>
        <w:t>,</w:t>
      </w:r>
      <w:r w:rsidR="00FC0BDB">
        <w:rPr>
          <w:rFonts w:cs="Calibri Light"/>
          <w:szCs w:val="22"/>
        </w:rPr>
        <w:t xml:space="preserve"> local marketing activities and in store signage.</w:t>
      </w:r>
    </w:p>
    <w:p w14:paraId="6B3F63F9" w14:textId="63B428A3" w:rsidR="00495B4B" w:rsidRDefault="00B9571D" w:rsidP="009D737C">
      <w:pPr>
        <w:rPr>
          <w:rFonts w:cs="Calibri Light"/>
          <w:szCs w:val="22"/>
        </w:rPr>
      </w:pPr>
      <w:r w:rsidRPr="006F09F2">
        <w:rPr>
          <w:rFonts w:cs="Calibri Light"/>
          <w:szCs w:val="22"/>
        </w:rPr>
        <w:t>There are more than 1,</w:t>
      </w:r>
      <w:r w:rsidR="00AE03E7">
        <w:rPr>
          <w:rFonts w:cs="Calibri Light"/>
          <w:szCs w:val="22"/>
        </w:rPr>
        <w:t>8</w:t>
      </w:r>
      <w:r w:rsidRPr="006F09F2">
        <w:rPr>
          <w:rFonts w:cs="Calibri Light"/>
          <w:szCs w:val="22"/>
        </w:rPr>
        <w:t>00 Bank@Post offices in rural and remote locations. Over 1,</w:t>
      </w:r>
      <w:r w:rsidR="00B46B78">
        <w:rPr>
          <w:rFonts w:cs="Calibri Light"/>
          <w:szCs w:val="22"/>
        </w:rPr>
        <w:t>15</w:t>
      </w:r>
      <w:r w:rsidRPr="006F09F2">
        <w:rPr>
          <w:rFonts w:cs="Calibri Light"/>
          <w:szCs w:val="22"/>
        </w:rPr>
        <w:t>0 of these offices are in communities with no bank branch and play a particularly important role in providing in</w:t>
      </w:r>
      <w:r w:rsidR="001D4A21">
        <w:rPr>
          <w:rFonts w:cs="Calibri Light"/>
          <w:szCs w:val="22"/>
        </w:rPr>
        <w:noBreakHyphen/>
      </w:r>
      <w:r w:rsidRPr="006F09F2">
        <w:rPr>
          <w:rFonts w:cs="Calibri Light"/>
          <w:szCs w:val="22"/>
        </w:rPr>
        <w:t>person banking services in regional Australia</w:t>
      </w:r>
      <w:r w:rsidR="00872A81">
        <w:rPr>
          <w:rFonts w:cs="Calibri Light"/>
          <w:szCs w:val="22"/>
        </w:rPr>
        <w:t xml:space="preserve"> (see Figure </w:t>
      </w:r>
      <w:r w:rsidR="00F365F2">
        <w:rPr>
          <w:rFonts w:cs="Calibri Light"/>
          <w:szCs w:val="22"/>
        </w:rPr>
        <w:t>4</w:t>
      </w:r>
      <w:r w:rsidR="00872A81">
        <w:rPr>
          <w:rFonts w:cs="Calibri Light"/>
          <w:szCs w:val="22"/>
        </w:rPr>
        <w:t xml:space="preserve"> </w:t>
      </w:r>
      <w:r w:rsidR="006C3FA0">
        <w:rPr>
          <w:rFonts w:cs="Calibri Light"/>
          <w:szCs w:val="22"/>
        </w:rPr>
        <w:t xml:space="preserve">below </w:t>
      </w:r>
      <w:r w:rsidR="00872A81">
        <w:rPr>
          <w:rFonts w:cs="Calibri Light"/>
          <w:szCs w:val="22"/>
        </w:rPr>
        <w:t xml:space="preserve">which reports in red Bank@Post locations and in orange communities which are serviced by a Bank@Post but not a </w:t>
      </w:r>
      <w:r w:rsidR="006C3FA0">
        <w:rPr>
          <w:rFonts w:cs="Calibri Light"/>
          <w:szCs w:val="22"/>
        </w:rPr>
        <w:t xml:space="preserve">bank </w:t>
      </w:r>
      <w:r w:rsidR="00872A81">
        <w:rPr>
          <w:rFonts w:cs="Calibri Light"/>
          <w:szCs w:val="22"/>
        </w:rPr>
        <w:t>branch)</w:t>
      </w:r>
      <w:r w:rsidRPr="006F09F2">
        <w:rPr>
          <w:rFonts w:cs="Calibri Light"/>
          <w:szCs w:val="22"/>
        </w:rPr>
        <w:t>.</w:t>
      </w:r>
      <w:r w:rsidR="00227C70" w:rsidRPr="00F010CD">
        <w:rPr>
          <w:rStyle w:val="FootnoteReference"/>
          <w:rFonts w:cs="Calibri Light"/>
          <w:szCs w:val="22"/>
          <w:vertAlign w:val="superscript"/>
        </w:rPr>
        <w:footnoteReference w:id="5"/>
      </w:r>
      <w:r w:rsidRPr="00F010CD">
        <w:rPr>
          <w:rFonts w:cs="Calibri Light"/>
          <w:szCs w:val="22"/>
          <w:vertAlign w:val="superscript"/>
        </w:rPr>
        <w:t xml:space="preserve"> </w:t>
      </w:r>
      <w:r w:rsidRPr="006F09F2">
        <w:rPr>
          <w:rFonts w:cs="Calibri Light"/>
          <w:szCs w:val="22"/>
        </w:rPr>
        <w:t xml:space="preserve">Where branch closures would lead to Bank@Post being the only physical </w:t>
      </w:r>
      <w:r w:rsidR="003638E9" w:rsidRPr="006F09F2">
        <w:rPr>
          <w:rFonts w:cs="Calibri Light"/>
          <w:szCs w:val="22"/>
        </w:rPr>
        <w:t>banking service</w:t>
      </w:r>
      <w:r w:rsidR="00DC240C">
        <w:rPr>
          <w:rFonts w:cs="Calibri Light"/>
          <w:szCs w:val="22"/>
        </w:rPr>
        <w:t xml:space="preserve"> remaining</w:t>
      </w:r>
      <w:r w:rsidR="003638E9" w:rsidRPr="006F09F2">
        <w:rPr>
          <w:rFonts w:cs="Calibri Light"/>
          <w:szCs w:val="22"/>
        </w:rPr>
        <w:t xml:space="preserve"> in a town</w:t>
      </w:r>
      <w:r w:rsidRPr="006F09F2">
        <w:rPr>
          <w:rFonts w:cs="Calibri Light"/>
          <w:szCs w:val="22"/>
        </w:rPr>
        <w:t>, it is</w:t>
      </w:r>
      <w:r w:rsidR="0039498A">
        <w:rPr>
          <w:rFonts w:cs="Calibri Light"/>
          <w:szCs w:val="22"/>
        </w:rPr>
        <w:t xml:space="preserve"> particularly</w:t>
      </w:r>
      <w:r w:rsidRPr="006F09F2">
        <w:rPr>
          <w:rFonts w:cs="Calibri Light"/>
          <w:szCs w:val="22"/>
        </w:rPr>
        <w:t xml:space="preserve"> important</w:t>
      </w:r>
      <w:r w:rsidR="00062321">
        <w:rPr>
          <w:rFonts w:cs="Calibri Light"/>
          <w:szCs w:val="22"/>
        </w:rPr>
        <w:t xml:space="preserve"> for both Australia Post and participating banks</w:t>
      </w:r>
      <w:r w:rsidRPr="006F09F2">
        <w:rPr>
          <w:rFonts w:cs="Calibri Light"/>
          <w:szCs w:val="22"/>
        </w:rPr>
        <w:t xml:space="preserve"> to promote and support this valuable option.</w:t>
      </w:r>
    </w:p>
    <w:p w14:paraId="41A56EBD" w14:textId="14415390" w:rsidR="005E381A" w:rsidRPr="00E0440E" w:rsidRDefault="006B4F17" w:rsidP="00E449FB">
      <w:pPr>
        <w:rPr>
          <w:rFonts w:cs="Calibri Light"/>
          <w:szCs w:val="22"/>
        </w:rPr>
      </w:pPr>
      <w:r w:rsidRPr="0029329E">
        <w:rPr>
          <w:rFonts w:cs="Calibri Light"/>
          <w:szCs w:val="22"/>
        </w:rPr>
        <w:t xml:space="preserve">Although it is a valuable alternative in many rural and remote </w:t>
      </w:r>
      <w:r w:rsidRPr="00F46573">
        <w:rPr>
          <w:rFonts w:cs="Calibri Light"/>
          <w:szCs w:val="22"/>
        </w:rPr>
        <w:t xml:space="preserve">communities, </w:t>
      </w:r>
      <w:r w:rsidR="00D76055">
        <w:rPr>
          <w:rFonts w:cs="Calibri Light"/>
          <w:szCs w:val="22"/>
        </w:rPr>
        <w:t>awareness of the brea</w:t>
      </w:r>
      <w:r w:rsidR="00385201">
        <w:rPr>
          <w:rFonts w:cs="Calibri Light"/>
          <w:szCs w:val="22"/>
        </w:rPr>
        <w:t>d</w:t>
      </w:r>
      <w:r w:rsidR="00D76055">
        <w:rPr>
          <w:rFonts w:cs="Calibri Light"/>
          <w:szCs w:val="22"/>
        </w:rPr>
        <w:t xml:space="preserve">th </w:t>
      </w:r>
      <w:r w:rsidR="0023686A">
        <w:rPr>
          <w:rFonts w:cs="Calibri Light"/>
          <w:szCs w:val="22"/>
        </w:rPr>
        <w:t>of participating banks and banking services available through post offices varies</w:t>
      </w:r>
      <w:r w:rsidRPr="0029329E">
        <w:rPr>
          <w:rFonts w:cs="Calibri Light"/>
          <w:szCs w:val="22"/>
        </w:rPr>
        <w:t xml:space="preserve">. </w:t>
      </w:r>
      <w:r w:rsidR="005E381A">
        <w:rPr>
          <w:rFonts w:cs="Calibri Light"/>
          <w:b/>
          <w:bCs/>
          <w:szCs w:val="22"/>
        </w:rPr>
        <w:br w:type="page"/>
      </w:r>
    </w:p>
    <w:p w14:paraId="350DC122" w14:textId="0C0980A9" w:rsidR="00290D5D" w:rsidRPr="0009649D" w:rsidRDefault="00872A81" w:rsidP="00DF5CC8">
      <w:pPr>
        <w:pStyle w:val="ChartMainHeading"/>
        <w:spacing w:after="120"/>
        <w:rPr>
          <w:b/>
          <w:bCs/>
        </w:rPr>
      </w:pPr>
      <w:r w:rsidRPr="0009649D">
        <w:rPr>
          <w:b/>
          <w:bCs/>
        </w:rPr>
        <w:lastRenderedPageBreak/>
        <w:t xml:space="preserve">Figure </w:t>
      </w:r>
      <w:r w:rsidR="00DB027A" w:rsidRPr="0009649D">
        <w:rPr>
          <w:b/>
          <w:bCs/>
        </w:rPr>
        <w:t>4</w:t>
      </w:r>
      <w:r w:rsidRPr="0009649D">
        <w:rPr>
          <w:b/>
          <w:bCs/>
        </w:rPr>
        <w:t xml:space="preserve">: Bank@Post locations </w:t>
      </w:r>
    </w:p>
    <w:p w14:paraId="27CF67CA" w14:textId="67E49ECD" w:rsidR="00AD4E80" w:rsidRDefault="715B5470">
      <w:pPr>
        <w:spacing w:before="0" w:after="160" w:line="259" w:lineRule="auto"/>
        <w:rPr>
          <w:rFonts w:cs="Calibri Light"/>
        </w:rPr>
      </w:pPr>
      <w:r>
        <w:rPr>
          <w:noProof/>
        </w:rPr>
        <w:drawing>
          <wp:inline distT="0" distB="0" distL="0" distR="0" wp14:anchorId="10A9764D" wp14:editId="6FE63141">
            <wp:extent cx="7858125" cy="5841662"/>
            <wp:effectExtent l="0" t="1270" r="8255" b="8255"/>
            <wp:docPr id="1" name="Picture 6" descr="This figure is a picture of Australia, covered in orange areas and red dots. The orange areas indicate communities serviced by a Bank@Post but with no bank branches, while the red dots indicate the locations of Bank@Post outlets. A substantial part of Australia is covered in orange areas, reflecting that over 1,150 of Bank@Post offices in rural and remote locations are in communities with no bank branch. The figure also depicts many red dots near centres such as Brisbane, Sydney and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This figure is a picture of Australia, covered in orange areas and red dots. The orange areas indicate communities serviced by a Bank@Post but with no bank branches, while the red dots indicate the locations of Bank@Post outlets. A substantial part of Australia is covered in orange areas, reflecting that over 1,150 of Bank@Post offices in rural and remote locations are in communities with no bank branch. The figure also depicts many red dots near centres such as Brisbane, Sydney and Melbourne."/>
                    <pic:cNvPicPr/>
                  </pic:nvPicPr>
                  <pic:blipFill>
                    <a:blip r:embed="rId25">
                      <a:extLst>
                        <a:ext uri="{28A0092B-C50C-407E-A947-70E740481C1C}">
                          <a14:useLocalDpi xmlns:a14="http://schemas.microsoft.com/office/drawing/2010/main" val="0"/>
                        </a:ext>
                      </a:extLst>
                    </a:blip>
                    <a:stretch>
                      <a:fillRect/>
                    </a:stretch>
                  </pic:blipFill>
                  <pic:spPr>
                    <a:xfrm rot="16200000">
                      <a:off x="0" y="0"/>
                      <a:ext cx="7858125" cy="5841662"/>
                    </a:xfrm>
                    <a:prstGeom prst="rect">
                      <a:avLst/>
                    </a:prstGeom>
                  </pic:spPr>
                </pic:pic>
              </a:graphicData>
            </a:graphic>
          </wp:inline>
        </w:drawing>
      </w:r>
    </w:p>
    <w:p w14:paraId="5998EF71" w14:textId="70CB9A72" w:rsidR="00317BB3" w:rsidRDefault="00E0440E" w:rsidP="00E0440E">
      <w:pPr>
        <w:pStyle w:val="ChartorTableNote"/>
        <w:rPr>
          <w:rFonts w:cs="Calibri Light"/>
          <w:szCs w:val="22"/>
        </w:rPr>
      </w:pPr>
      <w:r w:rsidRPr="00412A75">
        <w:t>Source: Australia Post</w:t>
      </w:r>
    </w:p>
    <w:p w14:paraId="718F4C21" w14:textId="221C3DE4" w:rsidR="003B75B9" w:rsidRPr="00D960F8" w:rsidRDefault="00705B16" w:rsidP="003B75B9">
      <w:pPr>
        <w:rPr>
          <w:rFonts w:cs="Calibri Light"/>
          <w:szCs w:val="22"/>
        </w:rPr>
      </w:pPr>
      <w:r>
        <w:rPr>
          <w:rFonts w:cs="Calibri Light"/>
          <w:szCs w:val="22"/>
        </w:rPr>
        <w:lastRenderedPageBreak/>
        <w:t>Within the constraints of competition law,</w:t>
      </w:r>
      <w:r w:rsidDel="00592C90">
        <w:rPr>
          <w:rFonts w:cs="Calibri Light"/>
          <w:szCs w:val="22"/>
        </w:rPr>
        <w:t xml:space="preserve"> </w:t>
      </w:r>
      <w:r>
        <w:rPr>
          <w:rFonts w:cs="Calibri Light"/>
          <w:szCs w:val="22"/>
        </w:rPr>
        <w:t>there is scope for p</w:t>
      </w:r>
      <w:r w:rsidRPr="008B47E9">
        <w:rPr>
          <w:rFonts w:cs="Calibri Light"/>
          <w:szCs w:val="22"/>
        </w:rPr>
        <w:t xml:space="preserve">articipating banks and Australia Post </w:t>
      </w:r>
      <w:r>
        <w:rPr>
          <w:rFonts w:cs="Calibri Light"/>
          <w:szCs w:val="22"/>
        </w:rPr>
        <w:t>to</w:t>
      </w:r>
      <w:r w:rsidRPr="008B47E9">
        <w:rPr>
          <w:rFonts w:cs="Calibri Light"/>
          <w:szCs w:val="22"/>
        </w:rPr>
        <w:t xml:space="preserve"> work together to</w:t>
      </w:r>
      <w:r>
        <w:rPr>
          <w:rFonts w:cs="Calibri Light"/>
          <w:szCs w:val="22"/>
        </w:rPr>
        <w:t xml:space="preserve"> better</w:t>
      </w:r>
      <w:r w:rsidRPr="008B47E9">
        <w:rPr>
          <w:rFonts w:cs="Calibri Light"/>
          <w:szCs w:val="22"/>
        </w:rPr>
        <w:t xml:space="preserve"> promote and support the use of banking services through Bank@Post. </w:t>
      </w:r>
      <w:r>
        <w:rPr>
          <w:rFonts w:cs="Calibri Light"/>
          <w:szCs w:val="22"/>
        </w:rPr>
        <w:t xml:space="preserve">In </w:t>
      </w:r>
      <w:r w:rsidR="003B75B9" w:rsidRPr="00D960F8">
        <w:rPr>
          <w:rFonts w:cs="Calibri Light"/>
          <w:szCs w:val="22"/>
        </w:rPr>
        <w:t>particular, targeted transitional support and communication when branches close would be a cost</w:t>
      </w:r>
      <w:r w:rsidR="001D4A21">
        <w:rPr>
          <w:rFonts w:cs="Calibri Light"/>
          <w:szCs w:val="22"/>
        </w:rPr>
        <w:noBreakHyphen/>
      </w:r>
      <w:r w:rsidR="003B75B9" w:rsidRPr="00D960F8">
        <w:rPr>
          <w:rFonts w:cs="Calibri Light"/>
          <w:szCs w:val="22"/>
        </w:rPr>
        <w:t xml:space="preserve">effective way of increasing the use of Bank@Post when it is needed most. </w:t>
      </w:r>
    </w:p>
    <w:p w14:paraId="21688B6C" w14:textId="3B0A1045" w:rsidR="003B75B9" w:rsidRPr="00D960F8" w:rsidRDefault="003B75B9" w:rsidP="003B75B9">
      <w:pPr>
        <w:rPr>
          <w:rFonts w:cs="Calibri Light"/>
          <w:szCs w:val="22"/>
        </w:rPr>
      </w:pPr>
      <w:r w:rsidRPr="00D960F8">
        <w:rPr>
          <w:rFonts w:cs="Calibri Light"/>
          <w:szCs w:val="22"/>
        </w:rPr>
        <w:t>Australia Post and participating banks should work together to identify barriers to greater uptake of Bank@Post in regional areas and to better support transition to Bank@Post when branches close, including to provide appropriate assistance for First Nations people. This would build on Australia Post</w:t>
      </w:r>
      <w:r w:rsidR="001D4A21">
        <w:rPr>
          <w:rFonts w:cs="Calibri Light"/>
          <w:szCs w:val="22"/>
        </w:rPr>
        <w:t>’</w:t>
      </w:r>
      <w:r w:rsidRPr="00D960F8">
        <w:rPr>
          <w:rFonts w:cs="Calibri Light"/>
          <w:szCs w:val="22"/>
        </w:rPr>
        <w:t xml:space="preserve">s existing work conducting local area market trials to test the most effective ways to raise awareness and engage customers. </w:t>
      </w:r>
    </w:p>
    <w:p w14:paraId="42B96468" w14:textId="5542AA0F" w:rsidR="003B75B9" w:rsidRPr="00D960F8" w:rsidRDefault="003B75B9" w:rsidP="003B75B9">
      <w:pPr>
        <w:rPr>
          <w:rFonts w:cs="Calibri Light"/>
          <w:szCs w:val="22"/>
        </w:rPr>
      </w:pPr>
      <w:r w:rsidRPr="00D960F8">
        <w:rPr>
          <w:rFonts w:cs="Calibri Light"/>
          <w:szCs w:val="22"/>
        </w:rPr>
        <w:t>Bank programs which embed staff in post offices after a branch closes have also been helpful. For example, the Commonwealth Bank and NAB have embedded customer service staff in post offices to provide face</w:t>
      </w:r>
      <w:r w:rsidR="001D4A21">
        <w:rPr>
          <w:rFonts w:cs="Calibri Light"/>
          <w:szCs w:val="22"/>
        </w:rPr>
        <w:noBreakHyphen/>
      </w:r>
      <w:r w:rsidRPr="00D960F8">
        <w:rPr>
          <w:rFonts w:cs="Calibri Light"/>
          <w:szCs w:val="22"/>
        </w:rPr>
        <w:t>to</w:t>
      </w:r>
      <w:r w:rsidR="001D4A21">
        <w:rPr>
          <w:rFonts w:cs="Calibri Light"/>
          <w:szCs w:val="22"/>
        </w:rPr>
        <w:noBreakHyphen/>
      </w:r>
      <w:r w:rsidRPr="00D960F8">
        <w:rPr>
          <w:rFonts w:cs="Calibri Light"/>
          <w:szCs w:val="22"/>
        </w:rPr>
        <w:t xml:space="preserve">face support to customers who are transitioning to Bank@Post. Australia Post and participating banks should look for opportunities to work together to expand and promote these type of Community Banker programs as part of branch closure processes. </w:t>
      </w:r>
    </w:p>
    <w:p w14:paraId="5D4DD022" w14:textId="1C0B1A9D" w:rsidR="003B75B9" w:rsidRPr="00D960F8" w:rsidRDefault="003B75B9" w:rsidP="003B75B9">
      <w:pPr>
        <w:rPr>
          <w:rFonts w:cs="Calibri Light"/>
          <w:szCs w:val="22"/>
        </w:rPr>
      </w:pPr>
      <w:r w:rsidRPr="00D960F8">
        <w:rPr>
          <w:rFonts w:cs="Calibri Light"/>
          <w:szCs w:val="22"/>
        </w:rPr>
        <w:t>Since 2018, Australia Post</w:t>
      </w:r>
      <w:r w:rsidR="001D4A21">
        <w:rPr>
          <w:rFonts w:cs="Calibri Light"/>
          <w:szCs w:val="22"/>
        </w:rPr>
        <w:t>’</w:t>
      </w:r>
      <w:r w:rsidRPr="00D960F8">
        <w:rPr>
          <w:rFonts w:cs="Calibri Light"/>
          <w:szCs w:val="22"/>
        </w:rPr>
        <w:t xml:space="preserve">s arrangement to provide Bank@Post services includes banks paying a Community Representation Fee as well as transaction fees. This funding arrangement enables Australia Post to invest in the post office network to provide banking services. </w:t>
      </w:r>
    </w:p>
    <w:p w14:paraId="0D3686D7" w14:textId="05DF2E97" w:rsidR="003B75B9" w:rsidRPr="00D960F8" w:rsidRDefault="003B75B9" w:rsidP="003B75B9">
      <w:pPr>
        <w:rPr>
          <w:rFonts w:cs="Calibri Light"/>
          <w:szCs w:val="22"/>
        </w:rPr>
      </w:pPr>
      <w:r w:rsidRPr="00D960F8">
        <w:rPr>
          <w:rFonts w:cs="Calibri Light"/>
          <w:szCs w:val="22"/>
        </w:rPr>
        <w:t xml:space="preserve">Importantly the participation in Bank@Post is a commercial decision for Australia Post, the banks and the Licensed Post Offices. As such, the recommendations of the Taskforce need to be implemented </w:t>
      </w:r>
      <w:r w:rsidR="00054874">
        <w:rPr>
          <w:rFonts w:cs="Calibri Light"/>
          <w:szCs w:val="22"/>
        </w:rPr>
        <w:t>in a manner that</w:t>
      </w:r>
      <w:r w:rsidRPr="00D960F8">
        <w:rPr>
          <w:rFonts w:cs="Calibri Light"/>
          <w:szCs w:val="22"/>
        </w:rPr>
        <w:t xml:space="preserve"> is commercially viable for all parties. </w:t>
      </w:r>
    </w:p>
    <w:p w14:paraId="7FDF9B73" w14:textId="77777777" w:rsidR="003B75B9" w:rsidRDefault="003B75B9" w:rsidP="003B75B9">
      <w:pPr>
        <w:rPr>
          <w:rFonts w:cs="Calibri Light"/>
          <w:szCs w:val="22"/>
          <w:vertAlign w:val="superscript"/>
        </w:rPr>
      </w:pPr>
      <w:r w:rsidRPr="00D960F8">
        <w:rPr>
          <w:rFonts w:cs="Calibri Light"/>
          <w:szCs w:val="22"/>
        </w:rPr>
        <w:t>Banks should consider options for ensuring that regional customers have physical access to banking services. For those banks not participating in Bank@Post, this could include considering participating in Bank@Post or other options, taking into account their commercial situation.</w:t>
      </w:r>
    </w:p>
    <w:p w14:paraId="42CC2FF1" w14:textId="77777777" w:rsidR="00317BB3" w:rsidRDefault="00317BB3" w:rsidP="00317BB3">
      <w:pPr>
        <w:rPr>
          <w:rFonts w:cs="Calibri Light"/>
          <w:szCs w:val="22"/>
        </w:rPr>
      </w:pPr>
      <w:r>
        <w:rPr>
          <w:rFonts w:cs="Calibri Light"/>
          <w:szCs w:val="22"/>
        </w:rPr>
        <w:t>Similar issues were considered in the UK where the finance industry and the post office launched an action plan which included (UK Finance 2018):</w:t>
      </w:r>
    </w:p>
    <w:p w14:paraId="2E581BD9" w14:textId="2CE9CEA2" w:rsidR="00317BB3" w:rsidRPr="00AA715E" w:rsidRDefault="00317BB3" w:rsidP="00E0440E">
      <w:pPr>
        <w:pStyle w:val="Bullet"/>
      </w:pPr>
      <w:r w:rsidRPr="00AA715E">
        <w:t>raising awareness of</w:t>
      </w:r>
      <w:r w:rsidRPr="000E56BB">
        <w:t xml:space="preserve"> </w:t>
      </w:r>
      <w:r w:rsidRPr="00AA715E">
        <w:t>banking services via regional and targeted localised pilot media campaigns</w:t>
      </w:r>
      <w:r>
        <w:t>,</w:t>
      </w:r>
      <w:r w:rsidRPr="00AA715E">
        <w:t xml:space="preserve"> timed to coincide with in</w:t>
      </w:r>
      <w:r w:rsidR="001D4A21">
        <w:noBreakHyphen/>
      </w:r>
      <w:r w:rsidRPr="00AA715E">
        <w:t>branch</w:t>
      </w:r>
      <w:r>
        <w:t xml:space="preserve"> bank</w:t>
      </w:r>
      <w:r w:rsidRPr="00AA715E">
        <w:t xml:space="preserve"> campaigns</w:t>
      </w:r>
    </w:p>
    <w:p w14:paraId="3CD0E8FA" w14:textId="6A49B1B3" w:rsidR="00317BB3" w:rsidRPr="00317BB3" w:rsidRDefault="00317BB3" w:rsidP="00E0440E">
      <w:pPr>
        <w:pStyle w:val="Bullet"/>
      </w:pPr>
      <w:r w:rsidRPr="00AA715E">
        <w:t xml:space="preserve">supporting specific communities, including those impacted by bank branch closures, through information leaflets, joint </w:t>
      </w:r>
      <w:r>
        <w:t>p</w:t>
      </w:r>
      <w:r w:rsidRPr="00AA715E">
        <w:t xml:space="preserve">ost </w:t>
      </w:r>
      <w:r>
        <w:t>o</w:t>
      </w:r>
      <w:r w:rsidRPr="00AA715E">
        <w:t>ffice and bank outreach to communities and improved collaboration with the banks during any bank branch closures</w:t>
      </w:r>
    </w:p>
    <w:p w14:paraId="4C023D79" w14:textId="73FA38D4" w:rsidR="001F0036" w:rsidRPr="00AA715E" w:rsidRDefault="001F0036" w:rsidP="00E0440E">
      <w:pPr>
        <w:pStyle w:val="Bullet"/>
      </w:pPr>
      <w:r>
        <w:t>p</w:t>
      </w:r>
      <w:r w:rsidRPr="00AA715E">
        <w:t>romot</w:t>
      </w:r>
      <w:r>
        <w:t>ing</w:t>
      </w:r>
      <w:r w:rsidRPr="00AA715E">
        <w:t xml:space="preserve"> </w:t>
      </w:r>
      <w:r>
        <w:t>the post office</w:t>
      </w:r>
      <w:r w:rsidRPr="00AA715E">
        <w:t xml:space="preserve"> as a </w:t>
      </w:r>
      <w:r>
        <w:t xml:space="preserve">channel for </w:t>
      </w:r>
      <w:r w:rsidRPr="00AA715E">
        <w:t>day</w:t>
      </w:r>
      <w:r w:rsidR="001D4A21">
        <w:noBreakHyphen/>
      </w:r>
      <w:r w:rsidRPr="00AA715E">
        <w:t>to</w:t>
      </w:r>
      <w:r w:rsidR="001D4A21">
        <w:noBreakHyphen/>
      </w:r>
      <w:r w:rsidRPr="00AA715E">
        <w:t>day banking, with clear and prominent information for customers in banks</w:t>
      </w:r>
      <w:r w:rsidR="001D4A21">
        <w:t>’</w:t>
      </w:r>
      <w:r w:rsidRPr="00AA715E">
        <w:t xml:space="preserve"> literature, on websites and telephony channels</w:t>
      </w:r>
      <w:r>
        <w:t>.</w:t>
      </w:r>
    </w:p>
    <w:p w14:paraId="0786B6D0" w14:textId="3208C33B" w:rsidR="00DF7892" w:rsidRPr="006F09F2" w:rsidRDefault="00DF7892" w:rsidP="006C3FA0">
      <w:pPr>
        <w:rPr>
          <w:rFonts w:cs="Calibri Light"/>
          <w:szCs w:val="22"/>
        </w:rPr>
      </w:pPr>
      <w:r w:rsidRPr="0029329E">
        <w:rPr>
          <w:rFonts w:cs="Calibri Light"/>
          <w:szCs w:val="22"/>
        </w:rPr>
        <w:t xml:space="preserve">A number of submissions </w:t>
      </w:r>
      <w:r w:rsidR="00EE2A00">
        <w:rPr>
          <w:rFonts w:cs="Calibri Light"/>
          <w:szCs w:val="22"/>
        </w:rPr>
        <w:t xml:space="preserve">to the Taskforce </w:t>
      </w:r>
      <w:r w:rsidRPr="0029329E">
        <w:rPr>
          <w:rFonts w:cs="Calibri Light"/>
          <w:szCs w:val="22"/>
        </w:rPr>
        <w:t xml:space="preserve">suggested </w:t>
      </w:r>
      <w:r w:rsidR="00F54731">
        <w:rPr>
          <w:rFonts w:cs="Calibri Light"/>
          <w:szCs w:val="22"/>
        </w:rPr>
        <w:t>making</w:t>
      </w:r>
      <w:r w:rsidRPr="0029329E">
        <w:rPr>
          <w:rFonts w:cs="Calibri Light"/>
          <w:szCs w:val="22"/>
        </w:rPr>
        <w:t xml:space="preserve"> Australia Post a bank. However, it is important to recognise that this</w:t>
      </w:r>
      <w:r w:rsidRPr="004F39E1">
        <w:rPr>
          <w:rFonts w:cs="Calibri Light"/>
          <w:szCs w:val="22"/>
        </w:rPr>
        <w:t xml:space="preserve"> would</w:t>
      </w:r>
      <w:r>
        <w:rPr>
          <w:rFonts w:cs="Calibri Light"/>
          <w:szCs w:val="22"/>
        </w:rPr>
        <w:t xml:space="preserve"> </w:t>
      </w:r>
      <w:r w:rsidR="00D93D5F">
        <w:rPr>
          <w:rFonts w:cs="Calibri Light"/>
          <w:szCs w:val="22"/>
        </w:rPr>
        <w:t>significantly</w:t>
      </w:r>
      <w:r w:rsidRPr="0029329E">
        <w:rPr>
          <w:rFonts w:cs="Calibri Light"/>
          <w:szCs w:val="22"/>
        </w:rPr>
        <w:t xml:space="preserve"> duplicate the services already offered through Bank@Post. </w:t>
      </w:r>
      <w:r>
        <w:rPr>
          <w:rFonts w:cs="Calibri Light"/>
          <w:szCs w:val="22"/>
        </w:rPr>
        <w:t>S</w:t>
      </w:r>
      <w:r w:rsidRPr="0029329E">
        <w:rPr>
          <w:rFonts w:cs="Calibri Light"/>
          <w:szCs w:val="22"/>
        </w:rPr>
        <w:t xml:space="preserve">uch a service may also lead to other banks not renewing their Bank@Post arrangements with Australia Post, reducing consumer choice in rural areas. </w:t>
      </w:r>
      <w:r w:rsidR="003F172C">
        <w:rPr>
          <w:rFonts w:cs="Calibri Light"/>
          <w:szCs w:val="22"/>
        </w:rPr>
        <w:t>T</w:t>
      </w:r>
      <w:r w:rsidRPr="0029329E">
        <w:rPr>
          <w:rFonts w:cs="Calibri Light"/>
          <w:szCs w:val="22"/>
        </w:rPr>
        <w:t>here are likely to be other issues around making Australia Post a bank</w:t>
      </w:r>
      <w:r w:rsidR="008869E4">
        <w:rPr>
          <w:rFonts w:cs="Calibri Light"/>
          <w:szCs w:val="22"/>
        </w:rPr>
        <w:t>. I</w:t>
      </w:r>
      <w:r>
        <w:rPr>
          <w:rFonts w:cs="Calibri Light"/>
          <w:szCs w:val="22"/>
        </w:rPr>
        <w:t xml:space="preserve">t would raise </w:t>
      </w:r>
      <w:r w:rsidRPr="0029329E">
        <w:rPr>
          <w:rFonts w:cs="Calibri Light"/>
          <w:szCs w:val="22"/>
        </w:rPr>
        <w:t>significant competitive neutrality concerns (as the new bank would be government backed)</w:t>
      </w:r>
      <w:r>
        <w:rPr>
          <w:rFonts w:cs="Calibri Light"/>
          <w:szCs w:val="22"/>
        </w:rPr>
        <w:t xml:space="preserve"> and would require significant legislative change and capital investment</w:t>
      </w:r>
      <w:r w:rsidRPr="0029329E">
        <w:rPr>
          <w:rFonts w:cs="Calibri Light"/>
          <w:szCs w:val="22"/>
        </w:rPr>
        <w:t>. There are also likely to be strong tensions between operating in a commercially viable way and meeting social obligations. Importantly</w:t>
      </w:r>
      <w:r w:rsidR="00CF6DC3">
        <w:rPr>
          <w:rFonts w:cs="Calibri Light"/>
          <w:szCs w:val="22"/>
        </w:rPr>
        <w:t>,</w:t>
      </w:r>
      <w:r w:rsidRPr="0029329E">
        <w:rPr>
          <w:rFonts w:cs="Calibri Light"/>
          <w:szCs w:val="22"/>
        </w:rPr>
        <w:t xml:space="preserve"> this additional function could divert focus away from Australia Post</w:t>
      </w:r>
      <w:r w:rsidR="001D4A21">
        <w:rPr>
          <w:rFonts w:cs="Calibri Light"/>
          <w:szCs w:val="22"/>
        </w:rPr>
        <w:t>’</w:t>
      </w:r>
      <w:r w:rsidRPr="0029329E">
        <w:rPr>
          <w:rFonts w:cs="Calibri Light"/>
          <w:szCs w:val="22"/>
        </w:rPr>
        <w:t>s core function to deliver letters and parcels.</w:t>
      </w:r>
      <w:r w:rsidRPr="006F09F2">
        <w:rPr>
          <w:rFonts w:cs="Calibri Light"/>
          <w:szCs w:val="22"/>
        </w:rPr>
        <w:t xml:space="preserve"> </w:t>
      </w:r>
    </w:p>
    <w:tbl>
      <w:tblPr>
        <w:tblW w:w="5000" w:type="pct"/>
        <w:shd w:val="clear" w:color="auto" w:fill="F2F9FC"/>
        <w:tblCellMar>
          <w:top w:w="227" w:type="dxa"/>
          <w:left w:w="227" w:type="dxa"/>
          <w:bottom w:w="227" w:type="dxa"/>
          <w:right w:w="227" w:type="dxa"/>
        </w:tblCellMar>
        <w:tblLook w:val="04A0" w:firstRow="1" w:lastRow="0" w:firstColumn="1" w:lastColumn="0" w:noHBand="0" w:noVBand="1"/>
      </w:tblPr>
      <w:tblGrid>
        <w:gridCol w:w="9070"/>
      </w:tblGrid>
      <w:tr w:rsidR="006C3FA0" w:rsidRPr="006F09F2" w14:paraId="4B2833BE" w14:textId="77777777" w:rsidTr="005033BB">
        <w:trPr>
          <w:trHeight w:val="1947"/>
        </w:trPr>
        <w:tc>
          <w:tcPr>
            <w:tcW w:w="9072" w:type="dxa"/>
            <w:shd w:val="clear" w:color="auto" w:fill="F2F9FC"/>
          </w:tcPr>
          <w:p w14:paraId="5C837E82" w14:textId="78631F79" w:rsidR="001F2515" w:rsidRPr="006F09F2" w:rsidRDefault="006C3FA0" w:rsidP="001F2515">
            <w:pPr>
              <w:pStyle w:val="BoxHeading"/>
            </w:pPr>
            <w:r w:rsidRPr="006F09F2">
              <w:lastRenderedPageBreak/>
              <w:t>Recommendation 3</w:t>
            </w:r>
            <w:r w:rsidR="001D4A21">
              <w:t xml:space="preserve"> – </w:t>
            </w:r>
            <w:r w:rsidR="001F2515">
              <w:t>Promote</w:t>
            </w:r>
            <w:r w:rsidR="001F2515" w:rsidRPr="006F09F2">
              <w:t xml:space="preserve"> and </w:t>
            </w:r>
            <w:r w:rsidR="001F2515">
              <w:t>support</w:t>
            </w:r>
            <w:r w:rsidR="001F2515" w:rsidRPr="006F09F2">
              <w:t xml:space="preserve"> Bank@Post services</w:t>
            </w:r>
          </w:p>
          <w:p w14:paraId="4DBC4823" w14:textId="52A1F4AB" w:rsidR="006C3FA0" w:rsidRPr="006F09F2" w:rsidRDefault="0090184B" w:rsidP="00DE3267">
            <w:pPr>
              <w:rPr>
                <w:rFonts w:cs="Calibri Light"/>
                <w:szCs w:val="22"/>
              </w:rPr>
            </w:pPr>
            <w:r w:rsidRPr="00D960F8">
              <w:rPr>
                <w:rFonts w:cs="Calibri Light"/>
                <w:szCs w:val="22"/>
              </w:rPr>
              <w:t xml:space="preserve">Australia Post and participating banks should collaborate to promote Bank@Post services more widely and help their customers utilise the banking services available to them. This </w:t>
            </w:r>
            <w:r w:rsidR="00CA1EE7" w:rsidRPr="00D960F8">
              <w:rPr>
                <w:rFonts w:cs="Calibri Light"/>
                <w:szCs w:val="22"/>
              </w:rPr>
              <w:t>sh</w:t>
            </w:r>
            <w:r w:rsidRPr="00D960F8">
              <w:rPr>
                <w:rFonts w:cs="Calibri Light"/>
                <w:szCs w:val="22"/>
              </w:rPr>
              <w:t>ould</w:t>
            </w:r>
            <w:r>
              <w:rPr>
                <w:rFonts w:cs="Calibri Light"/>
                <w:szCs w:val="22"/>
              </w:rPr>
              <w:t xml:space="preserve"> include working together to </w:t>
            </w:r>
            <w:r w:rsidRPr="009A6110">
              <w:rPr>
                <w:rFonts w:cs="Calibri Light"/>
                <w:szCs w:val="22"/>
              </w:rPr>
              <w:t xml:space="preserve">formalise and expand programs </w:t>
            </w:r>
            <w:r w:rsidRPr="00466BAB">
              <w:rPr>
                <w:rFonts w:cs="Calibri Light"/>
                <w:szCs w:val="22"/>
              </w:rPr>
              <w:t xml:space="preserve">to support </w:t>
            </w:r>
            <w:r>
              <w:rPr>
                <w:rFonts w:cs="Calibri Light"/>
                <w:szCs w:val="22"/>
              </w:rPr>
              <w:t xml:space="preserve">transition to </w:t>
            </w:r>
            <w:r w:rsidRPr="00466BAB">
              <w:rPr>
                <w:rFonts w:cs="Calibri Light"/>
                <w:szCs w:val="22"/>
              </w:rPr>
              <w:t xml:space="preserve">Bank@Post </w:t>
            </w:r>
            <w:r>
              <w:rPr>
                <w:rFonts w:cs="Calibri Light"/>
                <w:szCs w:val="22"/>
              </w:rPr>
              <w:t>when branches close</w:t>
            </w:r>
            <w:r w:rsidRPr="002029C6" w:rsidDel="001F2515">
              <w:rPr>
                <w:rFonts w:cs="Calibri Light"/>
                <w:szCs w:val="22"/>
              </w:rPr>
              <w:t>.</w:t>
            </w:r>
            <w:r>
              <w:rPr>
                <w:rFonts w:cs="Calibri Light"/>
                <w:szCs w:val="22"/>
              </w:rPr>
              <w:t xml:space="preserve"> </w:t>
            </w:r>
          </w:p>
        </w:tc>
      </w:tr>
    </w:tbl>
    <w:p w14:paraId="762396F2" w14:textId="3E1C7F60" w:rsidR="00962580" w:rsidRPr="006F09F2" w:rsidRDefault="00962580" w:rsidP="00E0440E">
      <w:pPr>
        <w:pStyle w:val="Heading2"/>
        <w:rPr>
          <w:b/>
        </w:rPr>
      </w:pPr>
      <w:bookmarkStart w:id="69" w:name="_Toc107987046"/>
      <w:bookmarkStart w:id="70" w:name="_Toc115190895"/>
      <w:bookmarkStart w:id="71" w:name="_Toc97809920"/>
      <w:bookmarkStart w:id="72" w:name="_Toc97904379"/>
      <w:bookmarkStart w:id="73" w:name="_Toc98245363"/>
      <w:bookmarkStart w:id="74" w:name="_Toc98508544"/>
      <w:bookmarkStart w:id="75" w:name="_Toc107323277"/>
      <w:bookmarkStart w:id="76" w:name="_Hlk98937738"/>
      <w:r w:rsidRPr="006F09F2">
        <w:t xml:space="preserve">Access to cash </w:t>
      </w:r>
      <w:r w:rsidR="006D6904">
        <w:t>is</w:t>
      </w:r>
      <w:r w:rsidRPr="006F09F2">
        <w:t xml:space="preserve"> important to individuals, small businesses and community groups</w:t>
      </w:r>
      <w:bookmarkEnd w:id="69"/>
      <w:bookmarkEnd w:id="70"/>
      <w:r w:rsidRPr="006F09F2" w:rsidDel="00442CDA">
        <w:t xml:space="preserve"> </w:t>
      </w:r>
      <w:bookmarkEnd w:id="71"/>
      <w:bookmarkEnd w:id="72"/>
      <w:bookmarkEnd w:id="73"/>
      <w:bookmarkEnd w:id="74"/>
      <w:bookmarkEnd w:id="75"/>
    </w:p>
    <w:p w14:paraId="6CFE3061" w14:textId="65D4F118" w:rsidR="00962580" w:rsidRPr="008B47E9" w:rsidRDefault="00A17175" w:rsidP="00962580">
      <w:pPr>
        <w:rPr>
          <w:rFonts w:cs="Calibri Light"/>
          <w:szCs w:val="22"/>
        </w:rPr>
      </w:pPr>
      <w:r>
        <w:rPr>
          <w:rFonts w:cs="Calibri Light"/>
          <w:szCs w:val="22"/>
        </w:rPr>
        <w:t>While there has been a shift away from the use of cash in transactions</w:t>
      </w:r>
      <w:r w:rsidR="00834027">
        <w:rPr>
          <w:rFonts w:cs="Calibri Light"/>
          <w:szCs w:val="22"/>
        </w:rPr>
        <w:t>,</w:t>
      </w:r>
      <w:r w:rsidR="00962580" w:rsidRPr="008B47E9">
        <w:rPr>
          <w:rFonts w:cs="Calibri Light"/>
          <w:szCs w:val="22"/>
        </w:rPr>
        <w:t xml:space="preserve"> cash remains a </w:t>
      </w:r>
      <w:r w:rsidR="007B0575" w:rsidRPr="008B47E9">
        <w:rPr>
          <w:rFonts w:cs="Calibri Light"/>
          <w:szCs w:val="22"/>
        </w:rPr>
        <w:t>vital</w:t>
      </w:r>
      <w:r w:rsidR="00962580" w:rsidRPr="00FB5E24">
        <w:rPr>
          <w:rFonts w:cs="Calibri Light"/>
          <w:szCs w:val="22"/>
        </w:rPr>
        <w:t xml:space="preserve"> means of payment for some m</w:t>
      </w:r>
      <w:r w:rsidR="00962580" w:rsidRPr="006F09F2">
        <w:rPr>
          <w:rFonts w:cs="Calibri Light"/>
          <w:szCs w:val="22"/>
        </w:rPr>
        <w:t>embers of the community</w:t>
      </w:r>
      <w:r w:rsidR="00B94AC3">
        <w:rPr>
          <w:rFonts w:cs="Calibri Light"/>
          <w:szCs w:val="22"/>
        </w:rPr>
        <w:t>.</w:t>
      </w:r>
      <w:r w:rsidR="00962580" w:rsidRPr="00282C5C">
        <w:rPr>
          <w:rStyle w:val="FootnoteReference"/>
          <w:rFonts w:cs="Calibri Light"/>
          <w:sz w:val="22"/>
          <w:szCs w:val="22"/>
          <w:vertAlign w:val="superscript"/>
        </w:rPr>
        <w:t xml:space="preserve"> </w:t>
      </w:r>
      <w:r w:rsidR="00282C5C" w:rsidRPr="006F09F2">
        <w:rPr>
          <w:rStyle w:val="FootnoteReference"/>
          <w:rFonts w:cs="Calibri Light"/>
          <w:sz w:val="22"/>
          <w:szCs w:val="22"/>
          <w:vertAlign w:val="superscript"/>
        </w:rPr>
        <w:footnoteReference w:id="6"/>
      </w:r>
      <w:r w:rsidR="00962580" w:rsidRPr="006F09F2">
        <w:rPr>
          <w:rFonts w:cs="Calibri Light"/>
          <w:szCs w:val="22"/>
        </w:rPr>
        <w:t xml:space="preserve"> </w:t>
      </w:r>
      <w:r w:rsidR="007733C9" w:rsidRPr="006F09F2">
        <w:rPr>
          <w:rFonts w:cs="Calibri Light"/>
          <w:szCs w:val="22"/>
        </w:rPr>
        <w:t>T</w:t>
      </w:r>
      <w:r w:rsidR="00962580" w:rsidRPr="006F09F2">
        <w:rPr>
          <w:rFonts w:cs="Calibri Light"/>
          <w:szCs w:val="22"/>
        </w:rPr>
        <w:t xml:space="preserve">he </w:t>
      </w:r>
      <w:r w:rsidR="00D65247">
        <w:rPr>
          <w:rFonts w:cs="Calibri Light"/>
          <w:szCs w:val="22"/>
        </w:rPr>
        <w:t>RBA</w:t>
      </w:r>
      <w:r w:rsidR="001D4A21">
        <w:rPr>
          <w:rFonts w:cs="Calibri Light"/>
          <w:szCs w:val="22"/>
        </w:rPr>
        <w:t>’</w:t>
      </w:r>
      <w:r w:rsidR="00D65247">
        <w:rPr>
          <w:rFonts w:cs="Calibri Light"/>
          <w:szCs w:val="22"/>
        </w:rPr>
        <w:t xml:space="preserve">s </w:t>
      </w:r>
      <w:r w:rsidR="00962580" w:rsidRPr="006F09F2">
        <w:rPr>
          <w:rFonts w:cs="Calibri Light"/>
          <w:szCs w:val="22"/>
        </w:rPr>
        <w:t xml:space="preserve">2019 Consumer Payment Survey </w:t>
      </w:r>
      <w:r w:rsidR="00D518EA">
        <w:rPr>
          <w:rFonts w:cs="Calibri Light"/>
          <w:szCs w:val="22"/>
        </w:rPr>
        <w:t>indicated</w:t>
      </w:r>
      <w:r w:rsidR="00D518EA" w:rsidRPr="006F09F2">
        <w:rPr>
          <w:rFonts w:cs="Calibri Light"/>
          <w:szCs w:val="22"/>
        </w:rPr>
        <w:t xml:space="preserve"> </w:t>
      </w:r>
      <w:r w:rsidR="00962580" w:rsidRPr="006F09F2">
        <w:rPr>
          <w:rFonts w:cs="Calibri Light"/>
          <w:szCs w:val="22"/>
        </w:rPr>
        <w:t>that around 15 per cent of people used cash for 80 per cent or more of their in</w:t>
      </w:r>
      <w:r w:rsidR="001D4A21">
        <w:rPr>
          <w:rFonts w:cs="Calibri Light"/>
          <w:szCs w:val="22"/>
        </w:rPr>
        <w:noBreakHyphen/>
      </w:r>
      <w:r w:rsidR="00962580" w:rsidRPr="006F09F2">
        <w:rPr>
          <w:rFonts w:cs="Calibri Light"/>
          <w:szCs w:val="22"/>
        </w:rPr>
        <w:t>person transactions. These high cash users are more likely to be older, have lower household income</w:t>
      </w:r>
      <w:r w:rsidR="004C1D15">
        <w:rPr>
          <w:rFonts w:cs="Calibri Light"/>
          <w:szCs w:val="22"/>
        </w:rPr>
        <w:t>s</w:t>
      </w:r>
      <w:r w:rsidR="00962580" w:rsidRPr="006F09F2">
        <w:rPr>
          <w:rFonts w:cs="Calibri Light"/>
          <w:szCs w:val="22"/>
        </w:rPr>
        <w:t>, live in regional areas, and/or have limited internet access</w:t>
      </w:r>
      <w:r w:rsidR="00C61B4F" w:rsidRPr="006F09F2">
        <w:rPr>
          <w:rFonts w:cs="Calibri Light"/>
          <w:szCs w:val="22"/>
        </w:rPr>
        <w:t>, with around 18</w:t>
      </w:r>
      <w:r w:rsidR="008D1803" w:rsidRPr="006F09F2">
        <w:rPr>
          <w:rFonts w:cs="Calibri Light"/>
          <w:szCs w:val="22"/>
        </w:rPr>
        <w:t> </w:t>
      </w:r>
      <w:r w:rsidR="00C61B4F" w:rsidRPr="006F09F2">
        <w:rPr>
          <w:rFonts w:cs="Calibri Light"/>
          <w:szCs w:val="22"/>
        </w:rPr>
        <w:t>per cent of those living in regional areas being high cash users</w:t>
      </w:r>
      <w:r w:rsidR="00962580" w:rsidRPr="006F09F2">
        <w:rPr>
          <w:rFonts w:cs="Calibri Light"/>
          <w:szCs w:val="22"/>
        </w:rPr>
        <w:t>. The majority of high cash users indicated they would suffer a major inconvenience or genuine hardship if they could no longer withdraw cash or if retailers stopped accepting cash</w:t>
      </w:r>
      <w:r w:rsidR="008B4763">
        <w:rPr>
          <w:rFonts w:cs="Calibri Light"/>
          <w:szCs w:val="22"/>
        </w:rPr>
        <w:t xml:space="preserve"> (Delaney </w:t>
      </w:r>
      <w:r w:rsidR="008B4763" w:rsidRPr="00091836">
        <w:rPr>
          <w:rFonts w:cs="Calibri Light"/>
          <w:szCs w:val="22"/>
        </w:rPr>
        <w:t>et al.</w:t>
      </w:r>
      <w:r w:rsidR="008B4763">
        <w:rPr>
          <w:rFonts w:cs="Calibri Light"/>
          <w:szCs w:val="22"/>
        </w:rPr>
        <w:t xml:space="preserve"> 2020)</w:t>
      </w:r>
      <w:r w:rsidR="00C61B4F" w:rsidRPr="006F09F2">
        <w:rPr>
          <w:rFonts w:cs="Calibri Light"/>
          <w:szCs w:val="22"/>
        </w:rPr>
        <w:t>.</w:t>
      </w:r>
    </w:p>
    <w:p w14:paraId="26E6D0A4" w14:textId="55282F9A" w:rsidR="00680C3C" w:rsidRDefault="00680C3C" w:rsidP="00C61B4F">
      <w:pPr>
        <w:rPr>
          <w:rFonts w:cs="Calibri Light"/>
        </w:rPr>
      </w:pPr>
      <w:r w:rsidRPr="04959CE6">
        <w:rPr>
          <w:rFonts w:cs="Calibri Light"/>
        </w:rPr>
        <w:t>Consistent with this</w:t>
      </w:r>
      <w:r w:rsidR="004E0611" w:rsidRPr="04959CE6">
        <w:rPr>
          <w:rFonts w:cs="Calibri Light"/>
        </w:rPr>
        <w:t>,</w:t>
      </w:r>
      <w:r w:rsidRPr="04959CE6">
        <w:rPr>
          <w:rFonts w:cs="Calibri Light"/>
        </w:rPr>
        <w:t xml:space="preserve"> the Taskforce heard that reduced availability of cash is a challenge</w:t>
      </w:r>
      <w:r w:rsidR="00162E18">
        <w:rPr>
          <w:rFonts w:cs="Calibri Light"/>
        </w:rPr>
        <w:t>.</w:t>
      </w:r>
      <w:r w:rsidRPr="04959CE6">
        <w:rPr>
          <w:rFonts w:cs="Calibri Light"/>
        </w:rPr>
        <w:t xml:space="preserve"> </w:t>
      </w:r>
      <w:r w:rsidR="00162E18">
        <w:rPr>
          <w:rFonts w:cs="Calibri Light"/>
        </w:rPr>
        <w:t>C</w:t>
      </w:r>
      <w:r w:rsidRPr="04959CE6">
        <w:rPr>
          <w:rFonts w:cs="Calibri Light"/>
        </w:rPr>
        <w:t xml:space="preserve">ash </w:t>
      </w:r>
      <w:r w:rsidR="00133256">
        <w:rPr>
          <w:rFonts w:cs="Calibri Light"/>
        </w:rPr>
        <w:t>is</w:t>
      </w:r>
      <w:r w:rsidR="00BB5BC7">
        <w:rPr>
          <w:rFonts w:cs="Calibri Light"/>
        </w:rPr>
        <w:t xml:space="preserve"> </w:t>
      </w:r>
      <w:r w:rsidRPr="04959CE6">
        <w:rPr>
          <w:rFonts w:cs="Calibri Light"/>
        </w:rPr>
        <w:t>important for individuals, businesses and local community groups</w:t>
      </w:r>
      <w:r w:rsidR="00213B73" w:rsidRPr="04959CE6" w:rsidDel="00133256">
        <w:rPr>
          <w:rFonts w:cs="Calibri Light"/>
        </w:rPr>
        <w:t xml:space="preserve"> </w:t>
      </w:r>
      <w:r w:rsidR="007E0A9F">
        <w:rPr>
          <w:rFonts w:cs="Calibri Light"/>
        </w:rPr>
        <w:t>(</w:t>
      </w:r>
      <w:r w:rsidR="00213B73" w:rsidRPr="04959CE6">
        <w:rPr>
          <w:rFonts w:cs="Calibri Light"/>
        </w:rPr>
        <w:t>which may experience negative impacts on fundraising opportunities without cash and change for floats</w:t>
      </w:r>
      <w:r w:rsidR="007E0A9F">
        <w:rPr>
          <w:rFonts w:cs="Calibri Light"/>
        </w:rPr>
        <w:t>)</w:t>
      </w:r>
      <w:r w:rsidR="00213B73" w:rsidRPr="04959CE6">
        <w:rPr>
          <w:rFonts w:cs="Calibri Light"/>
        </w:rPr>
        <w:t>.</w:t>
      </w:r>
      <w:r w:rsidR="00281474" w:rsidRPr="04959CE6">
        <w:rPr>
          <w:rFonts w:cs="Calibri Light"/>
        </w:rPr>
        <w:t xml:space="preserve"> </w:t>
      </w:r>
      <w:r w:rsidR="008D7251">
        <w:rPr>
          <w:rFonts w:cs="Calibri Light"/>
        </w:rPr>
        <w:t>S</w:t>
      </w:r>
      <w:r w:rsidR="00281474" w:rsidRPr="04959CE6">
        <w:rPr>
          <w:rFonts w:cs="Calibri Light"/>
        </w:rPr>
        <w:t>ubmissions raised examples of high fees to access cash</w:t>
      </w:r>
      <w:r w:rsidR="006F03DA">
        <w:rPr>
          <w:rFonts w:cs="Calibri Light"/>
        </w:rPr>
        <w:t>,</w:t>
      </w:r>
      <w:r w:rsidR="00281474" w:rsidRPr="04959CE6">
        <w:rPr>
          <w:rFonts w:cs="Calibri Light"/>
        </w:rPr>
        <w:t xml:space="preserve"> with one </w:t>
      </w:r>
      <w:r w:rsidR="00BD504A">
        <w:rPr>
          <w:rFonts w:cs="Calibri Light"/>
        </w:rPr>
        <w:t>respondent to CHOICE</w:t>
      </w:r>
      <w:r w:rsidR="001D4A21">
        <w:rPr>
          <w:rFonts w:cs="Calibri Light"/>
        </w:rPr>
        <w:t>’</w:t>
      </w:r>
      <w:r w:rsidR="00BD504A">
        <w:rPr>
          <w:rFonts w:cs="Calibri Light"/>
        </w:rPr>
        <w:t>s survey</w:t>
      </w:r>
      <w:r w:rsidR="00281474" w:rsidRPr="04959CE6">
        <w:rPr>
          <w:rFonts w:cs="Calibri Light"/>
        </w:rPr>
        <w:t xml:space="preserve"> noting that </w:t>
      </w:r>
      <w:r w:rsidR="001D4A21">
        <w:rPr>
          <w:rFonts w:cs="Calibri Light"/>
        </w:rPr>
        <w:t>‘</w:t>
      </w:r>
      <w:r w:rsidR="00281474" w:rsidRPr="04959CE6">
        <w:rPr>
          <w:rFonts w:cs="Calibri Light"/>
        </w:rPr>
        <w:t>The only ATM</w:t>
      </w:r>
      <w:r w:rsidR="00913F4E">
        <w:rPr>
          <w:rFonts w:cs="Calibri Light"/>
        </w:rPr>
        <w:t>s</w:t>
      </w:r>
      <w:r w:rsidR="00281474" w:rsidRPr="04959CE6">
        <w:rPr>
          <w:rFonts w:cs="Calibri Light"/>
        </w:rPr>
        <w:t xml:space="preserve"> in town cost $2.00 per withdrawal and will only dispense $200 at a time, so $400 costs $</w:t>
      </w:r>
      <w:r w:rsidR="000210A9" w:rsidRPr="04959CE6">
        <w:rPr>
          <w:rFonts w:cs="Calibri Light"/>
        </w:rPr>
        <w:t>4 to withdraw…</w:t>
      </w:r>
      <w:r w:rsidR="001D4A21">
        <w:rPr>
          <w:rFonts w:cs="Calibri Light"/>
        </w:rPr>
        <w:t>’</w:t>
      </w:r>
      <w:r w:rsidR="000B5359">
        <w:rPr>
          <w:rFonts w:cs="Calibri Light"/>
        </w:rPr>
        <w:t xml:space="preserve"> </w:t>
      </w:r>
    </w:p>
    <w:p w14:paraId="1A2278D6" w14:textId="67AD7B53" w:rsidR="009D5D92" w:rsidRPr="006F09F2" w:rsidRDefault="00CD4973" w:rsidP="00C61B4F">
      <w:pPr>
        <w:rPr>
          <w:rFonts w:cs="Calibri Light"/>
        </w:rPr>
      </w:pPr>
      <w:r>
        <w:rPr>
          <w:rFonts w:cs="Calibri Light"/>
        </w:rPr>
        <w:t xml:space="preserve">Cash access is likely to be a particular issue </w:t>
      </w:r>
      <w:r w:rsidR="00A71BD7">
        <w:rPr>
          <w:rFonts w:cs="Calibri Light"/>
        </w:rPr>
        <w:t>in</w:t>
      </w:r>
      <w:r>
        <w:rPr>
          <w:rFonts w:cs="Calibri Light"/>
        </w:rPr>
        <w:t xml:space="preserve"> remote</w:t>
      </w:r>
      <w:r w:rsidR="00D409FC">
        <w:rPr>
          <w:rFonts w:cs="Calibri Light"/>
        </w:rPr>
        <w:t xml:space="preserve"> locations</w:t>
      </w:r>
      <w:r w:rsidR="00417185">
        <w:rPr>
          <w:rFonts w:cs="Calibri Light"/>
        </w:rPr>
        <w:t>,</w:t>
      </w:r>
      <w:r>
        <w:rPr>
          <w:rFonts w:cs="Calibri Light"/>
        </w:rPr>
        <w:t xml:space="preserve"> </w:t>
      </w:r>
      <w:r w:rsidR="000B20D5">
        <w:rPr>
          <w:rFonts w:cs="Calibri Light"/>
        </w:rPr>
        <w:t xml:space="preserve">including remote Indigenous </w:t>
      </w:r>
      <w:r w:rsidR="00E055E0">
        <w:rPr>
          <w:rFonts w:cs="Calibri Light"/>
        </w:rPr>
        <w:t>areas</w:t>
      </w:r>
      <w:r w:rsidR="000B20D5">
        <w:rPr>
          <w:rFonts w:cs="Calibri Light"/>
        </w:rPr>
        <w:t>.</w:t>
      </w:r>
    </w:p>
    <w:p w14:paraId="0800A82F" w14:textId="0838E148" w:rsidR="008F26B2" w:rsidRDefault="008F26B2" w:rsidP="008F26B2">
      <w:r w:rsidRPr="006F09F2">
        <w:t>The banking industry is committed to providing a cash solution for coin exchange, deposits and withdrawals through Bank@Post, Smart Safes, fee</w:t>
      </w:r>
      <w:r w:rsidR="001D4A21">
        <w:noBreakHyphen/>
      </w:r>
      <w:r w:rsidRPr="006F09F2">
        <w:t xml:space="preserve">free ATMs, </w:t>
      </w:r>
      <w:r w:rsidR="0075263C" w:rsidRPr="006F09F2">
        <w:t>smart</w:t>
      </w:r>
      <w:r w:rsidRPr="006F09F2">
        <w:t xml:space="preserve"> ATMs, and courier service</w:t>
      </w:r>
      <w:r w:rsidR="001841C1">
        <w:t>s</w:t>
      </w:r>
      <w:r w:rsidRPr="006F09F2">
        <w:t>. For example,</w:t>
      </w:r>
      <w:r w:rsidR="00474471">
        <w:t xml:space="preserve"> </w:t>
      </w:r>
      <w:r w:rsidR="00474471" w:rsidRPr="006F09F2">
        <w:t>Bank@Post</w:t>
      </w:r>
      <w:r w:rsidR="00474471">
        <w:t xml:space="preserve"> provides</w:t>
      </w:r>
      <w:r w:rsidRPr="006F09F2">
        <w:t xml:space="preserve"> </w:t>
      </w:r>
      <w:r w:rsidR="00474471" w:rsidRPr="006F09F2">
        <w:t xml:space="preserve">a cash float service </w:t>
      </w:r>
      <w:r w:rsidRPr="006F09F2">
        <w:t xml:space="preserve">for small businesses and community groups. Where a larger float or coin usage is </w:t>
      </w:r>
      <w:r w:rsidR="00F35ACC" w:rsidRPr="006F09F2">
        <w:t>required,</w:t>
      </w:r>
      <w:r w:rsidRPr="006F09F2">
        <w:t xml:space="preserve"> banks recommend utilising a courier service.</w:t>
      </w:r>
    </w:p>
    <w:p w14:paraId="54225297" w14:textId="3F970652" w:rsidR="006E0AD9" w:rsidRDefault="005D26D5" w:rsidP="008F26B2">
      <w:r>
        <w:t xml:space="preserve">Banks have </w:t>
      </w:r>
      <w:r w:rsidR="00726455">
        <w:t xml:space="preserve">also </w:t>
      </w:r>
      <w:r>
        <w:t xml:space="preserve">taken a number of initiatives to provide ATM services without fees. </w:t>
      </w:r>
      <w:r w:rsidRPr="00412A75">
        <w:t xml:space="preserve">Since 2017 the major banks have abolished fees </w:t>
      </w:r>
      <w:r w:rsidR="005428D2">
        <w:t>at</w:t>
      </w:r>
      <w:r w:rsidRPr="00412A75">
        <w:t xml:space="preserve"> their ATMs. In addition</w:t>
      </w:r>
      <w:r>
        <w:t xml:space="preserve">, </w:t>
      </w:r>
      <w:r w:rsidR="00935223">
        <w:t xml:space="preserve">ABA members </w:t>
      </w:r>
      <w:r>
        <w:t xml:space="preserve">have </w:t>
      </w:r>
      <w:r w:rsidR="00935223">
        <w:t>worked together to provide up to 85 fee</w:t>
      </w:r>
      <w:r w:rsidR="001D4A21">
        <w:noBreakHyphen/>
      </w:r>
      <w:r w:rsidR="00935223">
        <w:t>free ATMs in remote locations</w:t>
      </w:r>
      <w:r>
        <w:t>, enabling</w:t>
      </w:r>
      <w:r w:rsidR="00935223">
        <w:t xml:space="preserve"> customers </w:t>
      </w:r>
      <w:r>
        <w:t>to</w:t>
      </w:r>
      <w:r w:rsidR="00935223">
        <w:t xml:space="preserve"> check balances and make cash withdrawals </w:t>
      </w:r>
      <w:r w:rsidR="00921403">
        <w:t>for</w:t>
      </w:r>
      <w:r w:rsidR="00935223">
        <w:t xml:space="preserve"> free.</w:t>
      </w:r>
    </w:p>
    <w:p w14:paraId="26B5F1C2" w14:textId="6899C32B" w:rsidR="00015CE0" w:rsidRDefault="00927C01" w:rsidP="008F26B2">
      <w:bookmarkStart w:id="77" w:name="_Hlk111128339"/>
      <w:r w:rsidRPr="00D960F8">
        <w:t>In addition, Australia Post is currently developing trials of Express Business Deposits and Cash Floats to support business customers</w:t>
      </w:r>
      <w:r w:rsidR="001D4A21">
        <w:t>’</w:t>
      </w:r>
      <w:r w:rsidRPr="00D960F8">
        <w:t xml:space="preserve"> needs. Once launched these services can be adopted by </w:t>
      </w:r>
      <w:r w:rsidR="00F65025" w:rsidRPr="00D960F8">
        <w:t>other</w:t>
      </w:r>
      <w:r w:rsidR="00232FD2" w:rsidRPr="00D960F8">
        <w:t xml:space="preserve"> Bank@Post partner</w:t>
      </w:r>
      <w:r w:rsidRPr="00D960F8">
        <w:t xml:space="preserve"> financial institutions.</w:t>
      </w:r>
      <w:bookmarkEnd w:id="77"/>
    </w:p>
    <w:p w14:paraId="2CF07E45" w14:textId="426B3AA7" w:rsidR="00B07B05" w:rsidRPr="006F09F2" w:rsidRDefault="008F4A76" w:rsidP="008F26B2">
      <w:r w:rsidRPr="007669DF">
        <w:rPr>
          <w:rFonts w:cs="Calibri Light"/>
          <w:szCs w:val="22"/>
        </w:rPr>
        <w:lastRenderedPageBreak/>
        <w:t xml:space="preserve">Australia Post and banks should work together </w:t>
      </w:r>
      <w:r w:rsidR="00B07B05" w:rsidRPr="006F09F2">
        <w:t xml:space="preserve">to </w:t>
      </w:r>
      <w:r w:rsidR="004B3F73">
        <w:t>standardise</w:t>
      </w:r>
      <w:r w:rsidR="003906E6">
        <w:t xml:space="preserve"> </w:t>
      </w:r>
      <w:r w:rsidR="00B07B05" w:rsidRPr="006F09F2">
        <w:t>a basic level of service for Bank@Post</w:t>
      </w:r>
      <w:r w:rsidR="003938AD">
        <w:t xml:space="preserve">, </w:t>
      </w:r>
      <w:r w:rsidR="00F91E6F">
        <w:t>where</w:t>
      </w:r>
      <w:r w:rsidR="00EA6F50">
        <w:t xml:space="preserve"> </w:t>
      </w:r>
      <w:r w:rsidR="002F76F2">
        <w:t xml:space="preserve">customers </w:t>
      </w:r>
      <w:r w:rsidR="003906E6">
        <w:t xml:space="preserve">are </w:t>
      </w:r>
      <w:r w:rsidR="008709A3" w:rsidRPr="00F46573">
        <w:t xml:space="preserve">able </w:t>
      </w:r>
      <w:r w:rsidR="008709A3" w:rsidRPr="00AB2850">
        <w:t xml:space="preserve">to </w:t>
      </w:r>
      <w:r w:rsidR="00BB63E9" w:rsidRPr="00AB2850">
        <w:t xml:space="preserve">withdraw and deposit </w:t>
      </w:r>
      <w:r w:rsidR="00387142">
        <w:t>standard maximum and</w:t>
      </w:r>
      <w:r w:rsidR="00BB63E9" w:rsidRPr="00AB2850">
        <w:t xml:space="preserve"> minimum amounts</w:t>
      </w:r>
      <w:r w:rsidR="00387142">
        <w:t xml:space="preserve"> that could be easily communicated to customers</w:t>
      </w:r>
      <w:r w:rsidR="00BB63E9" w:rsidRPr="00F46573">
        <w:t>.</w:t>
      </w:r>
      <w:r w:rsidR="002F76F2">
        <w:t xml:space="preserve"> </w:t>
      </w:r>
    </w:p>
    <w:p w14:paraId="72F78786" w14:textId="71F6A5E6" w:rsidR="001F446D" w:rsidRDefault="00E7578C" w:rsidP="00213B73">
      <w:r>
        <w:t>The key elements of Australia</w:t>
      </w:r>
      <w:r w:rsidR="001D4A21">
        <w:t>’</w:t>
      </w:r>
      <w:r>
        <w:t>s bank note distribution system have been in place since 2001 and were established when cash was the most commonly used retail payment method</w:t>
      </w:r>
      <w:r w:rsidR="00351C54">
        <w:t xml:space="preserve">. </w:t>
      </w:r>
      <w:r w:rsidR="0067181E">
        <w:t>T</w:t>
      </w:r>
      <w:r w:rsidR="00351C54">
        <w:t xml:space="preserve">he declining use of cash for retail payments has put </w:t>
      </w:r>
      <w:r w:rsidR="009A1B67">
        <w:t xml:space="preserve">financial </w:t>
      </w:r>
      <w:r w:rsidR="00351C54">
        <w:t xml:space="preserve">pressure on </w:t>
      </w:r>
      <w:r w:rsidR="00632A58">
        <w:t>parts</w:t>
      </w:r>
      <w:r w:rsidR="00351C54">
        <w:t xml:space="preserve"> of the cash</w:t>
      </w:r>
      <w:r w:rsidR="001D4A21">
        <w:noBreakHyphen/>
      </w:r>
      <w:r w:rsidR="00351C54">
        <w:t>in</w:t>
      </w:r>
      <w:r w:rsidR="001D4A21">
        <w:noBreakHyphen/>
      </w:r>
      <w:r w:rsidR="00351C54">
        <w:t xml:space="preserve">transit industry and the ongoing </w:t>
      </w:r>
      <w:r w:rsidR="00E319F0">
        <w:t>provision</w:t>
      </w:r>
      <w:r w:rsidR="00351C54">
        <w:t xml:space="preserve"> of cash</w:t>
      </w:r>
      <w:r w:rsidR="00921403">
        <w:t>.</w:t>
      </w:r>
      <w:r w:rsidR="00351C54">
        <w:t xml:space="preserve"> Reflecting this</w:t>
      </w:r>
      <w:r w:rsidR="008F26B2" w:rsidRPr="006F09F2">
        <w:t xml:space="preserve">, the </w:t>
      </w:r>
      <w:r w:rsidR="009E113B">
        <w:t>Reserve Bank of Australia (</w:t>
      </w:r>
      <w:r w:rsidR="00AB0637">
        <w:t>RBA</w:t>
      </w:r>
      <w:r w:rsidR="009E113B">
        <w:t>)</w:t>
      </w:r>
      <w:r w:rsidR="008F26B2" w:rsidRPr="006F09F2">
        <w:t xml:space="preserve"> </w:t>
      </w:r>
      <w:r w:rsidR="00B35295">
        <w:t>has recently</w:t>
      </w:r>
      <w:r w:rsidR="008F26B2" w:rsidRPr="006F09F2">
        <w:t xml:space="preserve"> conduct</w:t>
      </w:r>
      <w:r w:rsidR="00B35295">
        <w:t>ed</w:t>
      </w:r>
      <w:r w:rsidR="008F26B2" w:rsidRPr="006F09F2">
        <w:t xml:space="preserve"> a Review of Banknote Distribution Arrangements to determine what changes could make the banknote distribution system more effective, efficient, sustainable, and resilient</w:t>
      </w:r>
      <w:r w:rsidR="00483887">
        <w:t xml:space="preserve"> (RBA 2021)</w:t>
      </w:r>
      <w:r w:rsidR="00351C54">
        <w:t xml:space="preserve">. </w:t>
      </w:r>
      <w:r w:rsidR="00D56E07">
        <w:t xml:space="preserve">The review </w:t>
      </w:r>
      <w:r w:rsidR="001167E3">
        <w:t>covered</w:t>
      </w:r>
      <w:r w:rsidR="00BA13C5">
        <w:t xml:space="preserve"> the arrangements that govern how </w:t>
      </w:r>
      <w:r w:rsidR="00B57BF4">
        <w:t>industry</w:t>
      </w:r>
      <w:r w:rsidR="00BA13C5">
        <w:t xml:space="preserve"> participants transact with the </w:t>
      </w:r>
      <w:r w:rsidR="00346270">
        <w:t>RBA</w:t>
      </w:r>
      <w:r w:rsidR="00BA13C5">
        <w:t xml:space="preserve"> to purchase and return banknotes, the arrangements in place to manage the quality of bank notes in circulation</w:t>
      </w:r>
      <w:r w:rsidR="00B57BF4">
        <w:t>,</w:t>
      </w:r>
      <w:r w:rsidR="00BA13C5">
        <w:t xml:space="preserve"> </w:t>
      </w:r>
      <w:r w:rsidR="00CB29F2">
        <w:t xml:space="preserve">as well as </w:t>
      </w:r>
      <w:r w:rsidR="00BA13C5">
        <w:t xml:space="preserve">the operation and ownership </w:t>
      </w:r>
      <w:r w:rsidR="00B57BF4">
        <w:t xml:space="preserve">of the infrastructure necessary for the wholesale storing, processing and transportation of banknotes. </w:t>
      </w:r>
    </w:p>
    <w:p w14:paraId="2EE01BFB" w14:textId="35092689" w:rsidR="00C976F9" w:rsidRDefault="00C976F9" w:rsidP="00213B73">
      <w:r>
        <w:t xml:space="preserve">The RBA review </w:t>
      </w:r>
      <w:r w:rsidR="00D972C1">
        <w:t>found that</w:t>
      </w:r>
      <w:r w:rsidR="00D647F7">
        <w:t xml:space="preserve"> t</w:t>
      </w:r>
      <w:r w:rsidR="00D972C1">
        <w:t xml:space="preserve">he current system for banknote distribution is effective in enabling </w:t>
      </w:r>
      <w:r w:rsidR="00F546A7">
        <w:t xml:space="preserve">the </w:t>
      </w:r>
      <w:r w:rsidR="00D972C1">
        <w:t>demand for banknotes</w:t>
      </w:r>
      <w:r w:rsidR="00BA44C0">
        <w:t xml:space="preserve"> across the country</w:t>
      </w:r>
      <w:r w:rsidR="00BE36DE">
        <w:t xml:space="preserve"> </w:t>
      </w:r>
      <w:r w:rsidR="00E13FBA">
        <w:t>to be</w:t>
      </w:r>
      <w:r w:rsidR="00BA44C0">
        <w:t xml:space="preserve"> met</w:t>
      </w:r>
      <w:r w:rsidR="00B05E33">
        <w:t>,</w:t>
      </w:r>
      <w:r w:rsidR="00BA44C0">
        <w:t xml:space="preserve"> and </w:t>
      </w:r>
      <w:r w:rsidR="00BE36DE">
        <w:t xml:space="preserve">it </w:t>
      </w:r>
      <w:r w:rsidR="00BA44C0">
        <w:t>supports</w:t>
      </w:r>
      <w:r w:rsidR="008606A5">
        <w:t xml:space="preserve"> </w:t>
      </w:r>
      <w:r w:rsidR="00BA44C0">
        <w:t>the maintenance of good</w:t>
      </w:r>
      <w:r w:rsidR="001D4A21">
        <w:noBreakHyphen/>
      </w:r>
      <w:r w:rsidR="00BA44C0">
        <w:t>quality banknotes in distribution</w:t>
      </w:r>
      <w:r w:rsidR="00BE36DE">
        <w:t>. However</w:t>
      </w:r>
      <w:r w:rsidR="0079330D">
        <w:t>,</w:t>
      </w:r>
      <w:r w:rsidR="00BE36DE">
        <w:t xml:space="preserve"> </w:t>
      </w:r>
      <w:r w:rsidR="00D06492">
        <w:t xml:space="preserve">the RBA notes that </w:t>
      </w:r>
      <w:r w:rsidR="00BE36DE">
        <w:t>t</w:t>
      </w:r>
      <w:r w:rsidR="00BA44C0">
        <w:t>here is evidence that the cash distribution industry is under financial pressure</w:t>
      </w:r>
      <w:r w:rsidR="00531B84">
        <w:t xml:space="preserve">, </w:t>
      </w:r>
      <w:r w:rsidR="00291190">
        <w:t xml:space="preserve">with </w:t>
      </w:r>
      <w:r w:rsidR="00BE36DE">
        <w:t>t</w:t>
      </w:r>
      <w:r w:rsidR="00531B84">
        <w:t xml:space="preserve">he two largest </w:t>
      </w:r>
      <w:r w:rsidR="007E3267">
        <w:t>c</w:t>
      </w:r>
      <w:r w:rsidR="00291190">
        <w:t>ash</w:t>
      </w:r>
      <w:r w:rsidR="001D4A21">
        <w:noBreakHyphen/>
      </w:r>
      <w:r w:rsidR="00291190">
        <w:t>in</w:t>
      </w:r>
      <w:r w:rsidR="001D4A21">
        <w:noBreakHyphen/>
      </w:r>
      <w:r w:rsidR="007E3267">
        <w:t>t</w:t>
      </w:r>
      <w:r w:rsidR="00291190">
        <w:t>ransit</w:t>
      </w:r>
      <w:r w:rsidR="00531B84">
        <w:t xml:space="preserve"> companies </w:t>
      </w:r>
      <w:r w:rsidR="00291190">
        <w:t xml:space="preserve">(Armaguard and Prosegur) </w:t>
      </w:r>
      <w:r w:rsidR="00531B84">
        <w:t>hav</w:t>
      </w:r>
      <w:r w:rsidR="00291190">
        <w:t>ing</w:t>
      </w:r>
      <w:r w:rsidR="00531B84">
        <w:t xml:space="preserve"> recently proposed a merger </w:t>
      </w:r>
      <w:r w:rsidR="00577F62">
        <w:t>(</w:t>
      </w:r>
      <w:r w:rsidR="0079330D">
        <w:t xml:space="preserve">which is </w:t>
      </w:r>
      <w:r w:rsidR="00531B84">
        <w:t xml:space="preserve">subject to </w:t>
      </w:r>
      <w:r w:rsidR="00577F62">
        <w:t xml:space="preserve">regulatory </w:t>
      </w:r>
      <w:r w:rsidR="00531B84">
        <w:t>review</w:t>
      </w:r>
      <w:r w:rsidR="00577F62">
        <w:t>)</w:t>
      </w:r>
      <w:r w:rsidR="0085799E">
        <w:t xml:space="preserve">. The </w:t>
      </w:r>
      <w:r w:rsidR="00701204">
        <w:t>RBA</w:t>
      </w:r>
      <w:r w:rsidR="009D2591">
        <w:t xml:space="preserve"> </w:t>
      </w:r>
      <w:r w:rsidR="0085799E">
        <w:t xml:space="preserve">has announced </w:t>
      </w:r>
      <w:r w:rsidR="006179A6">
        <w:t xml:space="preserve">intended changes </w:t>
      </w:r>
      <w:r w:rsidR="001F6A81">
        <w:t>to</w:t>
      </w:r>
      <w:r w:rsidR="006179A6">
        <w:t xml:space="preserve"> </w:t>
      </w:r>
      <w:r w:rsidR="00A5061A">
        <w:t xml:space="preserve">increase transparency around </w:t>
      </w:r>
      <w:r w:rsidR="00F00E95">
        <w:t xml:space="preserve">banknote distribution </w:t>
      </w:r>
      <w:r w:rsidR="00074C63">
        <w:t>arrangement</w:t>
      </w:r>
      <w:r w:rsidR="009F4385">
        <w:t>s</w:t>
      </w:r>
      <w:r w:rsidR="000D1557">
        <w:t xml:space="preserve">, </w:t>
      </w:r>
      <w:r w:rsidR="00EC76EF">
        <w:t xml:space="preserve">to </w:t>
      </w:r>
      <w:r w:rsidR="00F00E95">
        <w:t>potentially remov</w:t>
      </w:r>
      <w:r w:rsidR="002D042E">
        <w:t xml:space="preserve">e </w:t>
      </w:r>
      <w:r w:rsidR="00F00E95">
        <w:t>some impediments to industry</w:t>
      </w:r>
      <w:r w:rsidR="001D4A21">
        <w:noBreakHyphen/>
      </w:r>
      <w:r w:rsidR="00F00E95">
        <w:t>led efficiency gains</w:t>
      </w:r>
      <w:r w:rsidR="001F6A81">
        <w:t>,</w:t>
      </w:r>
      <w:r w:rsidR="00F00E95">
        <w:t xml:space="preserve"> and </w:t>
      </w:r>
      <w:r w:rsidR="00EC76EF">
        <w:t xml:space="preserve">to </w:t>
      </w:r>
      <w:r w:rsidR="00F00E95">
        <w:t>ensure the quality of banknotes in circulation is maintained</w:t>
      </w:r>
      <w:r w:rsidR="0069103B">
        <w:t>. The R</w:t>
      </w:r>
      <w:r w:rsidR="00701204">
        <w:t>BA</w:t>
      </w:r>
      <w:r w:rsidR="0069103B">
        <w:t xml:space="preserve"> will continue to monitor the ability of consumers to access and pay with cash, with a particular focus on regional communities</w:t>
      </w:r>
      <w:r w:rsidR="00371CE6">
        <w:t xml:space="preserve">. </w:t>
      </w:r>
      <w:r w:rsidR="00DB00CD">
        <w:t>It will also</w:t>
      </w:r>
      <w:r w:rsidR="00371CE6">
        <w:t xml:space="preserve"> continue to engage with other public sector agencies to inform any further solutions that may need to be developed to support the public</w:t>
      </w:r>
      <w:r w:rsidR="001D4A21">
        <w:t>’</w:t>
      </w:r>
      <w:r w:rsidR="00371CE6">
        <w:t>s access to cash</w:t>
      </w:r>
      <w:r w:rsidR="00284186">
        <w:t xml:space="preserve"> (RBA 2022)</w:t>
      </w:r>
      <w:r w:rsidR="001D4A21">
        <w:t xml:space="preserve">. </w:t>
      </w:r>
    </w:p>
    <w:p w14:paraId="7FB03504" w14:textId="05808B3E" w:rsidR="00243B8B" w:rsidRPr="006F09F2" w:rsidRDefault="00FB56FF" w:rsidP="00213B73">
      <w:r>
        <w:t xml:space="preserve">AusPayNet </w:t>
      </w:r>
      <w:r w:rsidR="00A2406D">
        <w:t>(</w:t>
      </w:r>
      <w:r w:rsidR="00543E1B">
        <w:t>the self</w:t>
      </w:r>
      <w:r w:rsidR="001D4A21">
        <w:noBreakHyphen/>
      </w:r>
      <w:r w:rsidR="00543E1B">
        <w:t>regulator of the payments industry)</w:t>
      </w:r>
      <w:r w:rsidR="00153729">
        <w:t xml:space="preserve"> </w:t>
      </w:r>
      <w:r w:rsidR="00CB4700">
        <w:t>in their</w:t>
      </w:r>
      <w:r w:rsidR="009E04C2">
        <w:t xml:space="preserve"> </w:t>
      </w:r>
      <w:r w:rsidR="00CB4700" w:rsidRPr="004E4F11">
        <w:t>Future State of Payments Action Plan</w:t>
      </w:r>
      <w:r w:rsidR="00765261">
        <w:t xml:space="preserve"> 2021 Update</w:t>
      </w:r>
      <w:r w:rsidR="00CB4700">
        <w:t xml:space="preserve"> </w:t>
      </w:r>
      <w:r w:rsidR="000A067A">
        <w:t xml:space="preserve">has </w:t>
      </w:r>
      <w:r w:rsidR="00690338">
        <w:t xml:space="preserve">indicated that they will continue to monitor developments to ensure the decline in cash </w:t>
      </w:r>
      <w:r w:rsidR="00D361BE">
        <w:t xml:space="preserve">use </w:t>
      </w:r>
      <w:r w:rsidR="00690338">
        <w:t>is appropriately managed</w:t>
      </w:r>
      <w:r w:rsidR="000A067A">
        <w:t>.</w:t>
      </w:r>
    </w:p>
    <w:p w14:paraId="3491B979" w14:textId="26B40A34" w:rsidR="00113C0C" w:rsidRPr="006F09F2" w:rsidRDefault="00A268C6" w:rsidP="00113C0C">
      <w:r>
        <w:rPr>
          <w:rFonts w:cs="Calibri Light"/>
        </w:rPr>
        <w:t>In the UK</w:t>
      </w:r>
      <w:r w:rsidR="009419FC" w:rsidRPr="270B3E65">
        <w:rPr>
          <w:rFonts w:cs="Calibri Light"/>
        </w:rPr>
        <w:t xml:space="preserve"> there have been c</w:t>
      </w:r>
      <w:r w:rsidR="008D1803" w:rsidRPr="270B3E65">
        <w:rPr>
          <w:rFonts w:cs="Calibri Light"/>
        </w:rPr>
        <w:t xml:space="preserve">hallenges </w:t>
      </w:r>
      <w:r w:rsidR="008D1803" w:rsidRPr="270B3E65" w:rsidDel="00A268C6">
        <w:rPr>
          <w:rFonts w:cs="Calibri Light"/>
        </w:rPr>
        <w:t>access</w:t>
      </w:r>
      <w:r w:rsidR="009419FC" w:rsidRPr="270B3E65" w:rsidDel="00A268C6">
        <w:rPr>
          <w:rFonts w:cs="Calibri Light"/>
        </w:rPr>
        <w:t>ing</w:t>
      </w:r>
      <w:r w:rsidR="008D1803" w:rsidRPr="270B3E65">
        <w:rPr>
          <w:rFonts w:cs="Calibri Light"/>
        </w:rPr>
        <w:t xml:space="preserve"> cash</w:t>
      </w:r>
      <w:r>
        <w:rPr>
          <w:rFonts w:cs="Calibri Light"/>
        </w:rPr>
        <w:t>,</w:t>
      </w:r>
      <w:r w:rsidR="008D1803" w:rsidRPr="270B3E65">
        <w:rPr>
          <w:rFonts w:cs="Calibri Light"/>
        </w:rPr>
        <w:t xml:space="preserve"> which has had both an Access to Cash Review and Community Access to Cash Pilots </w:t>
      </w:r>
      <w:r w:rsidR="00AB0637" w:rsidRPr="270B3E65">
        <w:rPr>
          <w:rFonts w:cs="Calibri Light"/>
        </w:rPr>
        <w:t>scheme</w:t>
      </w:r>
      <w:r w:rsidR="008D1803" w:rsidRPr="270B3E65">
        <w:rPr>
          <w:rFonts w:cs="Calibri Light"/>
        </w:rPr>
        <w:t xml:space="preserve"> to try to address the issue.</w:t>
      </w:r>
      <w:r w:rsidR="00B670E4" w:rsidRPr="270B3E65">
        <w:rPr>
          <w:rFonts w:cs="Calibri Light"/>
        </w:rPr>
        <w:t xml:space="preserve"> </w:t>
      </w:r>
      <w:r w:rsidR="00E53158" w:rsidRPr="270B3E65">
        <w:rPr>
          <w:rFonts w:cs="Calibri Light"/>
        </w:rPr>
        <w:t>Las</w:t>
      </w:r>
      <w:r w:rsidR="00333ACB" w:rsidRPr="270B3E65">
        <w:rPr>
          <w:rFonts w:cs="Calibri Light"/>
        </w:rPr>
        <w:t>t</w:t>
      </w:r>
      <w:r w:rsidR="00E53158" w:rsidRPr="270B3E65">
        <w:rPr>
          <w:rFonts w:cs="Calibri Light"/>
        </w:rPr>
        <w:t xml:space="preserve"> year</w:t>
      </w:r>
      <w:r w:rsidR="00090E76" w:rsidRPr="270B3E65">
        <w:rPr>
          <w:rFonts w:cs="Calibri Light"/>
        </w:rPr>
        <w:t xml:space="preserve"> it was announced that</w:t>
      </w:r>
      <w:r w:rsidR="00BC355A">
        <w:rPr>
          <w:rFonts w:cs="Calibri Light"/>
        </w:rPr>
        <w:t>,</w:t>
      </w:r>
      <w:r w:rsidR="00090E76" w:rsidRPr="270B3E65">
        <w:rPr>
          <w:rFonts w:cs="Calibri Light"/>
        </w:rPr>
        <w:t xml:space="preserve"> in light of this work</w:t>
      </w:r>
      <w:r w:rsidR="008F1EC6">
        <w:rPr>
          <w:rFonts w:cs="Calibri Light"/>
        </w:rPr>
        <w:t>,</w:t>
      </w:r>
      <w:r w:rsidR="00090E76" w:rsidRPr="270B3E65">
        <w:rPr>
          <w:rFonts w:cs="Calibri Light"/>
        </w:rPr>
        <w:t xml:space="preserve"> UK banks agreed to share services to ensure that communities have fair access to cash. Shared banking hubs will be rolled out alongside free ATMs, enhanced </w:t>
      </w:r>
      <w:r w:rsidR="005D79D4" w:rsidRPr="270B3E65">
        <w:rPr>
          <w:rFonts w:cs="Calibri Light"/>
        </w:rPr>
        <w:t>p</w:t>
      </w:r>
      <w:r w:rsidR="00090E76" w:rsidRPr="270B3E65">
        <w:rPr>
          <w:rFonts w:cs="Calibri Light"/>
        </w:rPr>
        <w:t xml:space="preserve">ost </w:t>
      </w:r>
      <w:r w:rsidR="005D79D4" w:rsidRPr="270B3E65">
        <w:rPr>
          <w:rFonts w:cs="Calibri Light"/>
        </w:rPr>
        <w:t>o</w:t>
      </w:r>
      <w:r w:rsidR="00090E76" w:rsidRPr="270B3E65">
        <w:rPr>
          <w:rFonts w:cs="Calibri Light"/>
        </w:rPr>
        <w:t>ffice services and cashback without purchase. Communities</w:t>
      </w:r>
      <w:r w:rsidR="001D4A21">
        <w:rPr>
          <w:rFonts w:cs="Calibri Light"/>
        </w:rPr>
        <w:t>’</w:t>
      </w:r>
      <w:r w:rsidR="00090E76" w:rsidRPr="270B3E65">
        <w:rPr>
          <w:rFonts w:cs="Calibri Light"/>
        </w:rPr>
        <w:t xml:space="preserve"> cash needs will be independently a</w:t>
      </w:r>
      <w:r w:rsidR="00180962" w:rsidRPr="270B3E65">
        <w:rPr>
          <w:rFonts w:cs="Calibri Light"/>
        </w:rPr>
        <w:t>ss</w:t>
      </w:r>
      <w:r w:rsidR="00090E76" w:rsidRPr="270B3E65">
        <w:rPr>
          <w:rFonts w:cs="Calibri Light"/>
        </w:rPr>
        <w:t>essed with the power to commission services to meet community cash needs</w:t>
      </w:r>
      <w:r w:rsidR="00CD25A8" w:rsidRPr="270B3E65">
        <w:rPr>
          <w:rFonts w:cs="Calibri Light"/>
        </w:rPr>
        <w:t xml:space="preserve"> (</w:t>
      </w:r>
      <w:r w:rsidR="005A5419" w:rsidRPr="270B3E65">
        <w:rPr>
          <w:rFonts w:cs="Calibri Light"/>
        </w:rPr>
        <w:t>UK Finance 2</w:t>
      </w:r>
      <w:r w:rsidR="00A4390A" w:rsidRPr="270B3E65">
        <w:rPr>
          <w:rFonts w:cs="Calibri Light"/>
        </w:rPr>
        <w:t>02</w:t>
      </w:r>
      <w:r w:rsidR="005A5419" w:rsidRPr="270B3E65">
        <w:rPr>
          <w:rFonts w:cs="Calibri Light"/>
        </w:rPr>
        <w:t>1)</w:t>
      </w:r>
      <w:r w:rsidR="00090E76" w:rsidRPr="270B3E65">
        <w:rPr>
          <w:rFonts w:cs="Calibri Light"/>
        </w:rPr>
        <w:t>.</w:t>
      </w:r>
      <w:bookmarkEnd w:id="76"/>
    </w:p>
    <w:tbl>
      <w:tblPr>
        <w:tblW w:w="5000" w:type="pct"/>
        <w:shd w:val="clear" w:color="auto" w:fill="F2F9FC"/>
        <w:tblCellMar>
          <w:top w:w="227" w:type="dxa"/>
          <w:left w:w="227" w:type="dxa"/>
          <w:bottom w:w="227" w:type="dxa"/>
          <w:right w:w="227" w:type="dxa"/>
        </w:tblCellMar>
        <w:tblLook w:val="04A0" w:firstRow="1" w:lastRow="0" w:firstColumn="1" w:lastColumn="0" w:noHBand="0" w:noVBand="1"/>
      </w:tblPr>
      <w:tblGrid>
        <w:gridCol w:w="9070"/>
      </w:tblGrid>
      <w:tr w:rsidR="00113C0C" w:rsidRPr="006F09F2" w14:paraId="4CBF2118" w14:textId="77777777" w:rsidTr="004E4F11">
        <w:trPr>
          <w:trHeight w:val="2325"/>
        </w:trPr>
        <w:tc>
          <w:tcPr>
            <w:tcW w:w="9072" w:type="dxa"/>
            <w:shd w:val="clear" w:color="auto" w:fill="F2F9FC"/>
          </w:tcPr>
          <w:p w14:paraId="7458F338" w14:textId="65985082" w:rsidR="00E41C4F" w:rsidRPr="00372457" w:rsidRDefault="00113C0C" w:rsidP="00372457">
            <w:pPr>
              <w:pStyle w:val="BoxHeading"/>
            </w:pPr>
            <w:bookmarkStart w:id="78" w:name="_Hlk98937757"/>
            <w:r w:rsidRPr="006F09F2">
              <w:lastRenderedPageBreak/>
              <w:t xml:space="preserve">Recommendation </w:t>
            </w:r>
            <w:r w:rsidR="004D7A40">
              <w:t>4</w:t>
            </w:r>
            <w:r w:rsidR="001D4A21">
              <w:t xml:space="preserve"> – </w:t>
            </w:r>
            <w:r w:rsidR="006C2970" w:rsidRPr="006E71E7">
              <w:t>Maintain access to cash</w:t>
            </w:r>
          </w:p>
          <w:p w14:paraId="625007BC" w14:textId="0AA74EFB" w:rsidR="001250A0" w:rsidRPr="008C5DD6" w:rsidRDefault="00BC45BA" w:rsidP="001250A0">
            <w:pPr>
              <w:rPr>
                <w:rFonts w:ascii="Calibri" w:hAnsi="Calibri"/>
              </w:rPr>
            </w:pPr>
            <w:r w:rsidRPr="00D960F8">
              <w:t xml:space="preserve">Australia </w:t>
            </w:r>
            <w:r w:rsidR="001250A0" w:rsidRPr="00D960F8">
              <w:t>Post should consider how</w:t>
            </w:r>
            <w:r w:rsidR="001250A0" w:rsidRPr="008C5DD6">
              <w:t xml:space="preserve"> the cash float </w:t>
            </w:r>
            <w:r w:rsidR="00640CA6">
              <w:t xml:space="preserve">and </w:t>
            </w:r>
            <w:r w:rsidR="001250A0" w:rsidRPr="008C5DD6">
              <w:t>deposit needs of small businesses and community group customers can be met</w:t>
            </w:r>
            <w:r w:rsidR="00056C41">
              <w:t>.</w:t>
            </w:r>
          </w:p>
          <w:p w14:paraId="3345933C" w14:textId="6B6A8C8C" w:rsidR="001250A0" w:rsidRPr="008C5DD6" w:rsidRDefault="001250A0" w:rsidP="001250A0">
            <w:r w:rsidRPr="008C5DD6">
              <w:t xml:space="preserve">Australia Post and Bank@Post partners </w:t>
            </w:r>
            <w:r w:rsidR="00414662">
              <w:t>should</w:t>
            </w:r>
            <w:r w:rsidR="00251F66" w:rsidRPr="008C5DD6">
              <w:t xml:space="preserve"> </w:t>
            </w:r>
            <w:r w:rsidRPr="008C5DD6">
              <w:t>work towards standardising deposit and withdrawal limits to enable easier promotion to customers and communities.</w:t>
            </w:r>
          </w:p>
          <w:p w14:paraId="7193C37A" w14:textId="0A6D6610" w:rsidR="005D7027" w:rsidRPr="00585C89" w:rsidRDefault="001250A0" w:rsidP="00E97333">
            <w:r w:rsidRPr="008C5DD6">
              <w:t>The major banks should commit to continue to provide (and expand where possible given competition restrictions) access to fee</w:t>
            </w:r>
            <w:r w:rsidR="001D4A21">
              <w:noBreakHyphen/>
            </w:r>
            <w:r w:rsidRPr="008C5DD6">
              <w:t>free ATMs in remote Indigenous areas.</w:t>
            </w:r>
            <w:bookmarkEnd w:id="78"/>
          </w:p>
        </w:tc>
      </w:tr>
    </w:tbl>
    <w:p w14:paraId="0104EFCB" w14:textId="77777777" w:rsidR="005F7AF5" w:rsidRPr="006F09F2" w:rsidRDefault="005F7AF5" w:rsidP="00E0440E">
      <w:pPr>
        <w:pStyle w:val="Heading2"/>
        <w:rPr>
          <w:b/>
        </w:rPr>
      </w:pPr>
      <w:bookmarkStart w:id="79" w:name="_Toc107987047"/>
      <w:bookmarkStart w:id="80" w:name="_Toc115190896"/>
      <w:r w:rsidRPr="006F09F2">
        <w:t>Consumers experiencing vulnerabilities face greater challenges when bank branches close</w:t>
      </w:r>
      <w:bookmarkEnd w:id="79"/>
      <w:bookmarkEnd w:id="80"/>
    </w:p>
    <w:p w14:paraId="356FEF73" w14:textId="41288C9C" w:rsidR="005F7AF5" w:rsidRDefault="005F7AF5" w:rsidP="005F7AF5">
      <w:pPr>
        <w:rPr>
          <w:rFonts w:cs="Calibri Light"/>
          <w:szCs w:val="22"/>
        </w:rPr>
      </w:pPr>
      <w:r w:rsidRPr="006F09F2">
        <w:rPr>
          <w:rFonts w:cs="Calibri Light"/>
          <w:szCs w:val="22"/>
        </w:rPr>
        <w:t xml:space="preserve">Submissions identified that some </w:t>
      </w:r>
      <w:r>
        <w:rPr>
          <w:rFonts w:cs="Calibri Light"/>
          <w:szCs w:val="22"/>
        </w:rPr>
        <w:t>consumers</w:t>
      </w:r>
      <w:r w:rsidRPr="006F09F2">
        <w:rPr>
          <w:rFonts w:cs="Calibri Light"/>
          <w:szCs w:val="22"/>
        </w:rPr>
        <w:t xml:space="preserve">, such as </w:t>
      </w:r>
      <w:r>
        <w:rPr>
          <w:rFonts w:cs="Calibri Light"/>
          <w:szCs w:val="22"/>
        </w:rPr>
        <w:t>older Australians</w:t>
      </w:r>
      <w:r w:rsidRPr="006F09F2">
        <w:rPr>
          <w:rFonts w:cs="Calibri Light"/>
          <w:szCs w:val="22"/>
        </w:rPr>
        <w:t xml:space="preserve">, </w:t>
      </w:r>
      <w:r>
        <w:rPr>
          <w:rFonts w:cs="Calibri Light"/>
          <w:szCs w:val="22"/>
        </w:rPr>
        <w:t>persons with disabilities, migrant communities,</w:t>
      </w:r>
      <w:r w:rsidRPr="006F09F2">
        <w:rPr>
          <w:rFonts w:cs="Calibri Light"/>
          <w:szCs w:val="22"/>
        </w:rPr>
        <w:t xml:space="preserve"> and First Nations people</w:t>
      </w:r>
      <w:r w:rsidR="00BA0821">
        <w:rPr>
          <w:rFonts w:cs="Calibri Light"/>
          <w:szCs w:val="22"/>
        </w:rPr>
        <w:t>s</w:t>
      </w:r>
      <w:r w:rsidRPr="006F09F2">
        <w:rPr>
          <w:rFonts w:cs="Calibri Light"/>
          <w:szCs w:val="22"/>
        </w:rPr>
        <w:t>, may face greater challenges and need more assistance in accessing banking services.</w:t>
      </w:r>
      <w:r w:rsidR="00F774E3">
        <w:rPr>
          <w:rFonts w:cs="Calibri Light"/>
          <w:szCs w:val="22"/>
        </w:rPr>
        <w:t xml:space="preserve"> Submissions </w:t>
      </w:r>
      <w:r w:rsidR="00EB3FEA">
        <w:rPr>
          <w:rFonts w:cs="Calibri Light"/>
          <w:szCs w:val="22"/>
        </w:rPr>
        <w:t>reported</w:t>
      </w:r>
      <w:r w:rsidR="00F774E3">
        <w:rPr>
          <w:rFonts w:cs="Calibri Light"/>
          <w:szCs w:val="22"/>
        </w:rPr>
        <w:t xml:space="preserve"> </w:t>
      </w:r>
      <w:r w:rsidR="00EB3FEA">
        <w:rPr>
          <w:rFonts w:cs="Calibri Light"/>
          <w:szCs w:val="22"/>
        </w:rPr>
        <w:t>some of these challenges</w:t>
      </w:r>
      <w:r w:rsidR="00990F28">
        <w:rPr>
          <w:rFonts w:cs="Calibri Light"/>
          <w:szCs w:val="22"/>
        </w:rPr>
        <w:t>. F</w:t>
      </w:r>
      <w:r w:rsidR="00AA7634">
        <w:rPr>
          <w:rFonts w:cs="Calibri Light"/>
          <w:szCs w:val="22"/>
        </w:rPr>
        <w:t>or example</w:t>
      </w:r>
      <w:r w:rsidR="003C224B">
        <w:rPr>
          <w:rFonts w:cs="Calibri Light"/>
          <w:szCs w:val="22"/>
        </w:rPr>
        <w:t>,</w:t>
      </w:r>
      <w:r w:rsidR="006435D2">
        <w:rPr>
          <w:rFonts w:cs="Calibri Light"/>
          <w:szCs w:val="22"/>
        </w:rPr>
        <w:t xml:space="preserve"> </w:t>
      </w:r>
      <w:r w:rsidR="00F774E3">
        <w:rPr>
          <w:rFonts w:cs="Calibri Light"/>
          <w:szCs w:val="22"/>
        </w:rPr>
        <w:t xml:space="preserve">a couple (both with health issues) </w:t>
      </w:r>
      <w:r w:rsidR="00AA7634">
        <w:rPr>
          <w:rFonts w:cs="Calibri Light"/>
          <w:szCs w:val="22"/>
        </w:rPr>
        <w:t>not</w:t>
      </w:r>
      <w:r w:rsidR="00990F28">
        <w:rPr>
          <w:rFonts w:cs="Calibri Light"/>
          <w:szCs w:val="22"/>
        </w:rPr>
        <w:t>ed</w:t>
      </w:r>
      <w:r w:rsidR="00F774E3">
        <w:rPr>
          <w:rFonts w:cs="Calibri Light"/>
          <w:szCs w:val="22"/>
        </w:rPr>
        <w:t xml:space="preserve"> that they had to allow two to three hours to get to a branch.</w:t>
      </w:r>
    </w:p>
    <w:p w14:paraId="2241EB2B" w14:textId="6F2D6B08" w:rsidR="005F7AF5" w:rsidRDefault="005F7AF5" w:rsidP="005F7AF5">
      <w:pPr>
        <w:rPr>
          <w:rFonts w:cs="Calibri Light"/>
        </w:rPr>
      </w:pPr>
      <w:r w:rsidRPr="65C47157">
        <w:rPr>
          <w:rFonts w:cs="Calibri Light"/>
        </w:rPr>
        <w:t xml:space="preserve">Consumers experiencing vulnerability can also require more support when branches close. </w:t>
      </w:r>
      <w:r w:rsidR="0030649B">
        <w:rPr>
          <w:rFonts w:cs="Calibri Light"/>
        </w:rPr>
        <w:t>O</w:t>
      </w:r>
      <w:r w:rsidRPr="65C47157">
        <w:rPr>
          <w:rFonts w:cs="Calibri Light"/>
        </w:rPr>
        <w:t xml:space="preserve">lder Australians face difficulties when transitioning to digital alternatives or physical alternatives like Bank@Post. Many of these consumers are </w:t>
      </w:r>
      <w:r w:rsidR="00431BA3" w:rsidRPr="65C47157">
        <w:rPr>
          <w:rFonts w:cs="Calibri Light"/>
        </w:rPr>
        <w:t xml:space="preserve">loyal, </w:t>
      </w:r>
      <w:r w:rsidRPr="65C47157">
        <w:rPr>
          <w:rFonts w:cs="Calibri Light"/>
        </w:rPr>
        <w:t>long</w:t>
      </w:r>
      <w:r w:rsidR="001D4A21">
        <w:rPr>
          <w:rFonts w:cs="Calibri Light"/>
        </w:rPr>
        <w:noBreakHyphen/>
      </w:r>
      <w:r w:rsidRPr="65C47157">
        <w:rPr>
          <w:rFonts w:cs="Calibri Light"/>
        </w:rPr>
        <w:t xml:space="preserve">term customers. Without adequate support to transition, these consumers can be left frustrated, confused and </w:t>
      </w:r>
      <w:r w:rsidR="009079AC" w:rsidRPr="65C47157">
        <w:rPr>
          <w:rFonts w:cs="Calibri Light"/>
        </w:rPr>
        <w:t xml:space="preserve">feeling excluded from accessing </w:t>
      </w:r>
      <w:r w:rsidRPr="65C47157">
        <w:rPr>
          <w:rFonts w:cs="Calibri Light"/>
        </w:rPr>
        <w:t xml:space="preserve">financial </w:t>
      </w:r>
      <w:r w:rsidR="009079AC" w:rsidRPr="65C47157">
        <w:rPr>
          <w:rFonts w:cs="Calibri Light"/>
        </w:rPr>
        <w:t>services</w:t>
      </w:r>
      <w:r w:rsidRPr="65C47157">
        <w:rPr>
          <w:rFonts w:cs="Calibri Light"/>
        </w:rPr>
        <w:t>.</w:t>
      </w:r>
    </w:p>
    <w:p w14:paraId="55E78E23" w14:textId="3F451DCC" w:rsidR="005F7AF5" w:rsidRDefault="005F7AF5" w:rsidP="005F7AF5">
      <w:pPr>
        <w:rPr>
          <w:rFonts w:cs="Calibri Light"/>
          <w:szCs w:val="22"/>
        </w:rPr>
      </w:pPr>
      <w:r w:rsidRPr="00412A75">
        <w:rPr>
          <w:rFonts w:cs="Calibri Light"/>
          <w:szCs w:val="22"/>
        </w:rPr>
        <w:t xml:space="preserve">Submissions noted </w:t>
      </w:r>
      <w:r w:rsidR="0064197F">
        <w:rPr>
          <w:rFonts w:cs="Calibri Light"/>
          <w:szCs w:val="22"/>
        </w:rPr>
        <w:t xml:space="preserve">the fees </w:t>
      </w:r>
      <w:r w:rsidR="00F35CA6">
        <w:rPr>
          <w:rFonts w:cs="Calibri Light"/>
          <w:szCs w:val="22"/>
        </w:rPr>
        <w:t>associated with banking</w:t>
      </w:r>
      <w:r w:rsidRPr="00412A75">
        <w:rPr>
          <w:rFonts w:cs="Calibri Light"/>
          <w:szCs w:val="22"/>
        </w:rPr>
        <w:t>.</w:t>
      </w:r>
      <w:r w:rsidR="00D62FD5" w:rsidRPr="00D62FD5">
        <w:rPr>
          <w:rFonts w:cs="Calibri Light"/>
          <w:szCs w:val="22"/>
        </w:rPr>
        <w:t xml:space="preserve"> </w:t>
      </w:r>
      <w:r w:rsidR="00D62FD5">
        <w:rPr>
          <w:rFonts w:cs="Calibri Light"/>
          <w:szCs w:val="22"/>
        </w:rPr>
        <w:t>B</w:t>
      </w:r>
      <w:r w:rsidR="00D62FD5" w:rsidRPr="00412A75">
        <w:rPr>
          <w:rFonts w:cs="Calibri Light"/>
          <w:szCs w:val="22"/>
        </w:rPr>
        <w:t>anks should</w:t>
      </w:r>
      <w:r w:rsidRPr="00412A75">
        <w:rPr>
          <w:rFonts w:cs="Calibri Light"/>
          <w:szCs w:val="22"/>
        </w:rPr>
        <w:t xml:space="preserve"> </w:t>
      </w:r>
      <w:r w:rsidR="006C2713">
        <w:rPr>
          <w:rFonts w:cs="Calibri Light"/>
          <w:szCs w:val="22"/>
        </w:rPr>
        <w:t xml:space="preserve">move </w:t>
      </w:r>
      <w:r w:rsidR="006B44F1" w:rsidRPr="00412A75">
        <w:rPr>
          <w:rFonts w:cs="Calibri Light"/>
          <w:szCs w:val="22"/>
        </w:rPr>
        <w:t>consumers experiencing vulnerability</w:t>
      </w:r>
      <w:r w:rsidR="006C2713">
        <w:rPr>
          <w:rFonts w:cs="Calibri Light"/>
          <w:szCs w:val="22"/>
        </w:rPr>
        <w:t xml:space="preserve"> </w:t>
      </w:r>
      <w:r w:rsidR="006B44F1">
        <w:rPr>
          <w:rFonts w:cs="Calibri Light"/>
          <w:szCs w:val="22"/>
        </w:rPr>
        <w:t>onto fee</w:t>
      </w:r>
      <w:r w:rsidR="001D4A21">
        <w:rPr>
          <w:rFonts w:cs="Calibri Light"/>
          <w:szCs w:val="22"/>
        </w:rPr>
        <w:noBreakHyphen/>
      </w:r>
      <w:r w:rsidR="006B44F1">
        <w:rPr>
          <w:rFonts w:cs="Calibri Light"/>
          <w:szCs w:val="22"/>
        </w:rPr>
        <w:t>free banking accounts and any other available assistance</w:t>
      </w:r>
      <w:r w:rsidR="006B44F1" w:rsidRPr="00412A75">
        <w:rPr>
          <w:rFonts w:cs="Calibri Light"/>
          <w:szCs w:val="22"/>
        </w:rPr>
        <w:t xml:space="preserve"> </w:t>
      </w:r>
      <w:r w:rsidRPr="00412A75">
        <w:rPr>
          <w:rFonts w:cs="Calibri Light"/>
          <w:szCs w:val="22"/>
        </w:rPr>
        <w:t>to provide support</w:t>
      </w:r>
      <w:r w:rsidR="007D1775">
        <w:rPr>
          <w:rFonts w:cs="Calibri Light"/>
          <w:szCs w:val="22"/>
        </w:rPr>
        <w:t>, especially to those</w:t>
      </w:r>
      <w:r w:rsidRPr="00412A75">
        <w:rPr>
          <w:rFonts w:cs="Calibri Light"/>
          <w:szCs w:val="22"/>
        </w:rPr>
        <w:t xml:space="preserve"> who are likely to need in</w:t>
      </w:r>
      <w:r w:rsidR="001D4A21">
        <w:rPr>
          <w:rFonts w:cs="Calibri Light"/>
          <w:szCs w:val="22"/>
        </w:rPr>
        <w:noBreakHyphen/>
      </w:r>
      <w:r w:rsidRPr="00412A75">
        <w:rPr>
          <w:rFonts w:cs="Calibri Light"/>
          <w:szCs w:val="22"/>
        </w:rPr>
        <w:t>person services</w:t>
      </w:r>
      <w:r>
        <w:rPr>
          <w:rFonts w:cs="Calibri Light"/>
          <w:szCs w:val="22"/>
        </w:rPr>
        <w:t>.</w:t>
      </w:r>
      <w:r w:rsidRPr="00412A75">
        <w:rPr>
          <w:rFonts w:cs="Calibri Light"/>
          <w:szCs w:val="22"/>
        </w:rPr>
        <w:t xml:space="preserve"> </w:t>
      </w:r>
    </w:p>
    <w:p w14:paraId="2F44B36D" w14:textId="39C24277" w:rsidR="005F7AF5" w:rsidRDefault="005F7AF5" w:rsidP="005F7AF5">
      <w:pPr>
        <w:rPr>
          <w:rFonts w:cs="Calibri Light"/>
          <w:szCs w:val="22"/>
        </w:rPr>
      </w:pPr>
      <w:r>
        <w:rPr>
          <w:rFonts w:cs="Calibri Light"/>
          <w:szCs w:val="22"/>
        </w:rPr>
        <w:t>Many banks have targeted engagement processes in place to provide transitional support. For example, ANZ has customer care teams who use available data to identify customers who are more likely to use face</w:t>
      </w:r>
      <w:r w:rsidR="001D4A21">
        <w:rPr>
          <w:rFonts w:cs="Calibri Light"/>
          <w:szCs w:val="22"/>
        </w:rPr>
        <w:noBreakHyphen/>
      </w:r>
      <w:r>
        <w:rPr>
          <w:rFonts w:cs="Calibri Light"/>
          <w:szCs w:val="22"/>
        </w:rPr>
        <w:t>to</w:t>
      </w:r>
      <w:r w:rsidR="001D4A21">
        <w:rPr>
          <w:rFonts w:cs="Calibri Light"/>
          <w:szCs w:val="22"/>
        </w:rPr>
        <w:noBreakHyphen/>
      </w:r>
      <w:r>
        <w:rPr>
          <w:rFonts w:cs="Calibri Light"/>
          <w:szCs w:val="22"/>
        </w:rPr>
        <w:t>face banking or may be experiencing vulnerability. Once identified, these customers are offered ongoing training and support. Metrics used to target this support include customers who hold a passbook account and rely on a branch for day</w:t>
      </w:r>
      <w:r w:rsidR="001D4A21">
        <w:rPr>
          <w:rFonts w:cs="Calibri Light"/>
          <w:szCs w:val="22"/>
        </w:rPr>
        <w:noBreakHyphen/>
      </w:r>
      <w:r>
        <w:rPr>
          <w:rFonts w:cs="Calibri Light"/>
          <w:szCs w:val="22"/>
        </w:rPr>
        <w:t>to</w:t>
      </w:r>
      <w:r w:rsidR="001D4A21">
        <w:rPr>
          <w:rFonts w:cs="Calibri Light"/>
          <w:szCs w:val="22"/>
        </w:rPr>
        <w:noBreakHyphen/>
      </w:r>
      <w:r>
        <w:rPr>
          <w:rFonts w:cs="Calibri Light"/>
          <w:szCs w:val="22"/>
        </w:rPr>
        <w:t>day transactions, are over 65, have used a branch at least twice in six</w:t>
      </w:r>
      <w:r w:rsidR="00001741">
        <w:rPr>
          <w:rFonts w:cs="Calibri Light"/>
          <w:szCs w:val="22"/>
        </w:rPr>
        <w:t xml:space="preserve"> </w:t>
      </w:r>
      <w:r>
        <w:rPr>
          <w:rFonts w:cs="Calibri Light"/>
          <w:szCs w:val="22"/>
        </w:rPr>
        <w:t>months, or small business customers who have recently used a branch.</w:t>
      </w:r>
    </w:p>
    <w:p w14:paraId="159E648A" w14:textId="60F4CF07" w:rsidR="0066133C" w:rsidRDefault="00FD1F2B" w:rsidP="005F7AF5">
      <w:pPr>
        <w:rPr>
          <w:rFonts w:cs="Calibri Light"/>
          <w:szCs w:val="22"/>
        </w:rPr>
      </w:pPr>
      <w:r w:rsidRPr="00653228">
        <w:rPr>
          <w:rFonts w:cs="Calibri Light"/>
          <w:szCs w:val="22"/>
        </w:rPr>
        <w:t>B</w:t>
      </w:r>
      <w:r w:rsidR="005F7AF5" w:rsidRPr="00653228">
        <w:rPr>
          <w:rFonts w:cs="Calibri Light"/>
          <w:szCs w:val="22"/>
        </w:rPr>
        <w:t>anks should review or implement processes for</w:t>
      </w:r>
      <w:r w:rsidR="005F7AF5" w:rsidRPr="00653228">
        <w:t xml:space="preserve"> </w:t>
      </w:r>
      <w:r w:rsidR="005F7AF5" w:rsidRPr="00653228">
        <w:rPr>
          <w:rFonts w:cs="Calibri Light"/>
          <w:szCs w:val="22"/>
        </w:rPr>
        <w:t>identifying consumers who are experiencing vulnerability and targeting transitional support when branches close</w:t>
      </w:r>
      <w:r w:rsidR="00CF2475" w:rsidRPr="00653228">
        <w:rPr>
          <w:rFonts w:cs="Calibri Light"/>
          <w:szCs w:val="22"/>
        </w:rPr>
        <w:t xml:space="preserve"> by mid</w:t>
      </w:r>
      <w:r w:rsidR="001D4A21">
        <w:rPr>
          <w:rFonts w:cs="Calibri Light"/>
          <w:szCs w:val="22"/>
        </w:rPr>
        <w:noBreakHyphen/>
      </w:r>
      <w:r w:rsidR="00CF2475" w:rsidRPr="00653228">
        <w:rPr>
          <w:rFonts w:cs="Calibri Light"/>
          <w:szCs w:val="22"/>
        </w:rPr>
        <w:t xml:space="preserve">2023 </w:t>
      </w:r>
      <w:r w:rsidR="00EF3283" w:rsidRPr="00653228">
        <w:rPr>
          <w:rFonts w:cs="Calibri Light"/>
          <w:szCs w:val="22"/>
        </w:rPr>
        <w:t xml:space="preserve">(noting that it may be challenging for banks to identify </w:t>
      </w:r>
      <w:r w:rsidR="000B7BF8" w:rsidRPr="00653228">
        <w:rPr>
          <w:rFonts w:cs="Calibri Light"/>
          <w:szCs w:val="22"/>
        </w:rPr>
        <w:t>customers who are experi</w:t>
      </w:r>
      <w:r w:rsidR="0045431A" w:rsidRPr="00653228">
        <w:rPr>
          <w:rFonts w:cs="Calibri Light"/>
          <w:szCs w:val="22"/>
        </w:rPr>
        <w:t>encing vulnerability)</w:t>
      </w:r>
      <w:r w:rsidR="005F7AF5" w:rsidRPr="00653228">
        <w:rPr>
          <w:rFonts w:cs="Calibri Light"/>
          <w:szCs w:val="22"/>
        </w:rPr>
        <w:t xml:space="preserve">. </w:t>
      </w:r>
    </w:p>
    <w:p w14:paraId="79A426D9" w14:textId="4BA70E58" w:rsidR="005F7AF5" w:rsidRPr="006F09F2" w:rsidRDefault="005F7AF5" w:rsidP="005F7AF5">
      <w:pPr>
        <w:rPr>
          <w:rFonts w:cs="Calibri Light"/>
          <w:szCs w:val="22"/>
        </w:rPr>
      </w:pPr>
      <w:r>
        <w:rPr>
          <w:rFonts w:cs="Calibri Light"/>
          <w:szCs w:val="22"/>
        </w:rPr>
        <w:t xml:space="preserve">These targeted support services should be cohort appropriate, recognising that the needs of older Australians are different to </w:t>
      </w:r>
      <w:r w:rsidR="00E56C26">
        <w:rPr>
          <w:rFonts w:cs="Calibri Light"/>
          <w:szCs w:val="22"/>
        </w:rPr>
        <w:t>other cohorts such as</w:t>
      </w:r>
      <w:r>
        <w:rPr>
          <w:rFonts w:cs="Calibri Light"/>
          <w:szCs w:val="22"/>
        </w:rPr>
        <w:t xml:space="preserve"> First Nations Australians living in regional communities or linguistically diverse migrants. </w:t>
      </w:r>
    </w:p>
    <w:p w14:paraId="29735343" w14:textId="4476BFDC" w:rsidR="005F7AF5" w:rsidRPr="006F09F2" w:rsidRDefault="005F7AF5" w:rsidP="005F7AF5">
      <w:pPr>
        <w:rPr>
          <w:rFonts w:ascii="Calibri" w:hAnsi="Calibri"/>
        </w:rPr>
      </w:pPr>
      <w:r w:rsidRPr="008B47E9">
        <w:t>Many financial service providers offer financial education services to consumers both online and face</w:t>
      </w:r>
      <w:r w:rsidR="001D4A21">
        <w:noBreakHyphen/>
      </w:r>
      <w:r w:rsidRPr="008B47E9">
        <w:t>to</w:t>
      </w:r>
      <w:r w:rsidR="001D4A21">
        <w:noBreakHyphen/>
      </w:r>
      <w:r w:rsidRPr="008B47E9">
        <w:t>face, either directly or in partnership with not</w:t>
      </w:r>
      <w:r w:rsidR="001D4A21">
        <w:noBreakHyphen/>
      </w:r>
      <w:r w:rsidRPr="008B47E9">
        <w:t>for</w:t>
      </w:r>
      <w:r w:rsidR="001D4A21">
        <w:noBreakHyphen/>
      </w:r>
      <w:r w:rsidRPr="008B47E9">
        <w:t xml:space="preserve">profit organisations. One example aimed at </w:t>
      </w:r>
      <w:r>
        <w:t>First Nations</w:t>
      </w:r>
      <w:r w:rsidRPr="008B47E9">
        <w:t xml:space="preserve"> peoples in remote communities is ANZ</w:t>
      </w:r>
      <w:r w:rsidR="001D4A21">
        <w:t>’</w:t>
      </w:r>
      <w:r w:rsidRPr="008B47E9">
        <w:t xml:space="preserve">s MoneyBusiness program. ANZ developed MoneyBusiness in partnership with </w:t>
      </w:r>
      <w:r>
        <w:t>t</w:t>
      </w:r>
      <w:r w:rsidRPr="008B47E9">
        <w:t>he Gov</w:t>
      </w:r>
      <w:r w:rsidRPr="00FB5E24">
        <w:t>ernment in 2005. MoneyBusiness is an adult financial education program developed to promote a stronger savings culture and build money management skills and confidence.</w:t>
      </w:r>
    </w:p>
    <w:p w14:paraId="713E615A" w14:textId="1A3DEED3" w:rsidR="005F7AF5" w:rsidRPr="006F09F2" w:rsidRDefault="005F7AF5" w:rsidP="005F7AF5">
      <w:pPr>
        <w:rPr>
          <w:rFonts w:cs="Calibri Light"/>
          <w:szCs w:val="22"/>
        </w:rPr>
      </w:pPr>
      <w:r w:rsidRPr="006F09F2">
        <w:rPr>
          <w:rFonts w:cs="Calibri Light"/>
          <w:szCs w:val="22"/>
        </w:rPr>
        <w:lastRenderedPageBreak/>
        <w:t xml:space="preserve">ABA </w:t>
      </w:r>
      <w:r w:rsidR="002146B3">
        <w:rPr>
          <w:rFonts w:cs="Calibri Light"/>
          <w:szCs w:val="22"/>
        </w:rPr>
        <w:t>member</w:t>
      </w:r>
      <w:r w:rsidRPr="006F09F2">
        <w:rPr>
          <w:rFonts w:cs="Calibri Light"/>
          <w:szCs w:val="22"/>
        </w:rPr>
        <w:t xml:space="preserve"> </w:t>
      </w:r>
      <w:r>
        <w:rPr>
          <w:rFonts w:cs="Calibri Light"/>
          <w:szCs w:val="22"/>
        </w:rPr>
        <w:t xml:space="preserve">banks </w:t>
      </w:r>
      <w:r w:rsidR="00295271">
        <w:rPr>
          <w:rFonts w:cs="Calibri Light"/>
          <w:szCs w:val="22"/>
        </w:rPr>
        <w:t>have</w:t>
      </w:r>
      <w:r w:rsidR="009B2EBB">
        <w:rPr>
          <w:rFonts w:cs="Calibri Light"/>
          <w:szCs w:val="22"/>
        </w:rPr>
        <w:t xml:space="preserve"> committed </w:t>
      </w:r>
      <w:r w:rsidR="004F4225">
        <w:rPr>
          <w:rFonts w:cs="Calibri Light"/>
          <w:szCs w:val="22"/>
        </w:rPr>
        <w:t>to providing banking services which are inclusive of all people (as</w:t>
      </w:r>
      <w:r w:rsidR="00585C89">
        <w:rPr>
          <w:rFonts w:cs="Calibri Light"/>
          <w:szCs w:val="22"/>
        </w:rPr>
        <w:t> </w:t>
      </w:r>
      <w:r w:rsidR="004F4225">
        <w:rPr>
          <w:rFonts w:cs="Calibri Light"/>
          <w:szCs w:val="22"/>
        </w:rPr>
        <w:t>reflected in Chapter 13 of the Banking Code)</w:t>
      </w:r>
      <w:r w:rsidR="00503A56">
        <w:rPr>
          <w:rFonts w:cs="Calibri Light"/>
          <w:szCs w:val="22"/>
        </w:rPr>
        <w:t xml:space="preserve">. They </w:t>
      </w:r>
      <w:r>
        <w:rPr>
          <w:rFonts w:cs="Calibri Light"/>
          <w:szCs w:val="22"/>
        </w:rPr>
        <w:t>are</w:t>
      </w:r>
      <w:r w:rsidRPr="006F09F2">
        <w:rPr>
          <w:rFonts w:cs="Calibri Light"/>
          <w:szCs w:val="22"/>
        </w:rPr>
        <w:t xml:space="preserve"> seeking to support customers who may face particular challenges when a branch </w:t>
      </w:r>
      <w:r w:rsidRPr="001227C0">
        <w:rPr>
          <w:rFonts w:cs="Calibri Light"/>
          <w:szCs w:val="22"/>
        </w:rPr>
        <w:t>closes by seeking to make additional contact including with</w:t>
      </w:r>
      <w:r>
        <w:rPr>
          <w:rFonts w:cs="Calibri Light"/>
          <w:szCs w:val="22"/>
        </w:rPr>
        <w:t xml:space="preserve"> </w:t>
      </w:r>
      <w:r w:rsidRPr="006F09F2">
        <w:rPr>
          <w:rFonts w:cs="Calibri Light"/>
          <w:szCs w:val="22"/>
        </w:rPr>
        <w:t>those who are over 65</w:t>
      </w:r>
      <w:r>
        <w:rPr>
          <w:rFonts w:cs="Calibri Light"/>
          <w:szCs w:val="22"/>
        </w:rPr>
        <w:t xml:space="preserve"> </w:t>
      </w:r>
      <w:r w:rsidRPr="006F09F2">
        <w:rPr>
          <w:rFonts w:cs="Calibri Light"/>
          <w:szCs w:val="22"/>
        </w:rPr>
        <w:t xml:space="preserve">years of age, hold </w:t>
      </w:r>
      <w:r>
        <w:rPr>
          <w:rFonts w:cs="Calibri Light"/>
          <w:szCs w:val="22"/>
        </w:rPr>
        <w:t>specially discounted</w:t>
      </w:r>
      <w:r w:rsidRPr="006F09F2">
        <w:rPr>
          <w:rFonts w:cs="Calibri Light"/>
          <w:szCs w:val="22"/>
        </w:rPr>
        <w:t xml:space="preserve"> bank accounts, hold a passbook account and rely on a branch for their day</w:t>
      </w:r>
      <w:r w:rsidR="001D4A21">
        <w:rPr>
          <w:rFonts w:cs="Calibri Light"/>
          <w:szCs w:val="22"/>
        </w:rPr>
        <w:noBreakHyphen/>
      </w:r>
      <w:r w:rsidRPr="006F09F2">
        <w:rPr>
          <w:rFonts w:cs="Calibri Light"/>
          <w:szCs w:val="22"/>
        </w:rPr>
        <w:t>to</w:t>
      </w:r>
      <w:r w:rsidR="001D4A21">
        <w:rPr>
          <w:rFonts w:cs="Calibri Light"/>
          <w:szCs w:val="22"/>
        </w:rPr>
        <w:noBreakHyphen/>
      </w:r>
      <w:r w:rsidRPr="006F09F2">
        <w:rPr>
          <w:rFonts w:cs="Calibri Light"/>
          <w:szCs w:val="22"/>
        </w:rPr>
        <w:t xml:space="preserve">day transactions, are First Nations </w:t>
      </w:r>
      <w:r w:rsidRPr="002F013A">
        <w:rPr>
          <w:rFonts w:cs="Calibri Light"/>
          <w:szCs w:val="22"/>
        </w:rPr>
        <w:t>customers or</w:t>
      </w:r>
      <w:r w:rsidRPr="00364EFF">
        <w:rPr>
          <w:rFonts w:cs="Calibri Light"/>
          <w:szCs w:val="22"/>
        </w:rPr>
        <w:t xml:space="preserve"> speak</w:t>
      </w:r>
      <w:r w:rsidRPr="006F09F2">
        <w:rPr>
          <w:rFonts w:cs="Calibri Light"/>
          <w:szCs w:val="22"/>
        </w:rPr>
        <w:t xml:space="preserve"> a language other than English.</w:t>
      </w:r>
    </w:p>
    <w:p w14:paraId="0129A72B" w14:textId="2243E4AD" w:rsidR="005F7AF5" w:rsidRPr="006F09F2" w:rsidRDefault="00F46573" w:rsidP="005F7AF5">
      <w:pPr>
        <w:rPr>
          <w:rFonts w:cs="Calibri Light"/>
          <w:szCs w:val="22"/>
        </w:rPr>
      </w:pPr>
      <w:r>
        <w:rPr>
          <w:rFonts w:cs="Calibri Light"/>
          <w:szCs w:val="22"/>
        </w:rPr>
        <w:t>T</w:t>
      </w:r>
      <w:r w:rsidR="005F7AF5" w:rsidRPr="006F09F2">
        <w:rPr>
          <w:rFonts w:cs="Calibri Light"/>
          <w:szCs w:val="22"/>
        </w:rPr>
        <w:t>he ABA plans to revise its Accessibility Principles for Banking Services to help promote best practice and ensure the accessibility of banking products and services for all Australians (including those who are experiencing vulnerabilities). This includes ensuring that new and existing technology is inclusive by design, such as designing text alternatives to web contents. The ABA is also currently in the process of developing industry guidance on best practice to support customers experiencing vulnerability, including on how and when to provide extra care to customers.</w:t>
      </w:r>
    </w:p>
    <w:p w14:paraId="35FEDEA2" w14:textId="0C5DF9DC" w:rsidR="005F7AF5" w:rsidRPr="006F09F2" w:rsidRDefault="005F7AF5" w:rsidP="005F7AF5">
      <w:pPr>
        <w:rPr>
          <w:rFonts w:cs="Calibri Light"/>
          <w:szCs w:val="22"/>
        </w:rPr>
      </w:pPr>
      <w:r w:rsidRPr="00091836">
        <w:rPr>
          <w:rFonts w:cs="Calibri Light"/>
          <w:szCs w:val="22"/>
        </w:rPr>
        <w:t>COBA has recently revised its Customer Owned Banking Code of Practice (COBCOP</w:t>
      </w:r>
      <w:r w:rsidRPr="005A5ACE">
        <w:rPr>
          <w:rFonts w:cs="Calibri Light"/>
          <w:szCs w:val="22"/>
        </w:rPr>
        <w:t>)</w:t>
      </w:r>
      <w:r w:rsidR="009B6F24" w:rsidRPr="005A5ACE">
        <w:rPr>
          <w:rFonts w:cs="Calibri Light"/>
          <w:szCs w:val="22"/>
        </w:rPr>
        <w:t>.</w:t>
      </w:r>
      <w:r w:rsidR="009B6F24">
        <w:rPr>
          <w:rFonts w:cs="Calibri Light"/>
          <w:szCs w:val="22"/>
        </w:rPr>
        <w:t xml:space="preserve"> The revised COBCOP </w:t>
      </w:r>
      <w:r w:rsidRPr="006F09F2">
        <w:rPr>
          <w:rFonts w:cs="Calibri Light"/>
          <w:szCs w:val="22"/>
        </w:rPr>
        <w:t xml:space="preserve">has new obligations on signatory banks to provide inclusive banking services and support for customers experiencing vulnerable circumstances. It also obliges signatories to train staff on how to identify customers experiencing vulnerability, and how to adapt customer service standards for them in a sensitive and helpful way. The revised COBCOP will take effect from </w:t>
      </w:r>
      <w:r w:rsidRPr="00AB2850">
        <w:rPr>
          <w:rFonts w:cs="Calibri Light"/>
          <w:szCs w:val="22"/>
        </w:rPr>
        <w:t>the end of October</w:t>
      </w:r>
      <w:r w:rsidR="006435D2">
        <w:rPr>
          <w:rFonts w:cs="Calibri Light"/>
          <w:szCs w:val="22"/>
        </w:rPr>
        <w:t xml:space="preserve"> this year</w:t>
      </w:r>
      <w:r w:rsidRPr="006F09F2">
        <w:rPr>
          <w:rFonts w:cs="Calibri Light"/>
          <w:szCs w:val="22"/>
        </w:rPr>
        <w:t>.</w:t>
      </w:r>
    </w:p>
    <w:p w14:paraId="0DAFC7AB" w14:textId="43DC321C" w:rsidR="005F7AF5" w:rsidRPr="006F09F2" w:rsidRDefault="009E2D0B" w:rsidP="005F7AF5">
      <w:pPr>
        <w:rPr>
          <w:rFonts w:cs="Calibri Light"/>
          <w:szCs w:val="22"/>
        </w:rPr>
      </w:pPr>
      <w:r>
        <w:t>In addition, financial capability can assist Australians to respond and adapt to new challenges and opportunities presented by social, economic and technological change. Equipping individuals with the appropriate skills and the right information at the right time enables them to make informed decisions that are appropriate for their circumstances. There are a range of Government programs with building financial capability as one of their aims, including</w:t>
      </w:r>
      <w:r w:rsidR="005F7AF5" w:rsidRPr="006F09F2">
        <w:rPr>
          <w:rFonts w:cs="Calibri Light"/>
          <w:szCs w:val="22"/>
        </w:rPr>
        <w:t>:</w:t>
      </w:r>
    </w:p>
    <w:p w14:paraId="2B8BAFC2" w14:textId="2ABCA738" w:rsidR="005F7AF5" w:rsidRPr="00412A75" w:rsidRDefault="005F7AF5" w:rsidP="00E0440E">
      <w:pPr>
        <w:pStyle w:val="Bullet"/>
      </w:pPr>
      <w:r w:rsidRPr="00412A75">
        <w:t>Moneysmart (ASIC)</w:t>
      </w:r>
      <w:r w:rsidR="001D4A21">
        <w:t xml:space="preserve"> – </w:t>
      </w:r>
      <w:r w:rsidR="008869E4">
        <w:t>a</w:t>
      </w:r>
      <w:r w:rsidRPr="00412A75">
        <w:t xml:space="preserve"> website of consumer education helping Australians to be in control of their financial lives. </w:t>
      </w:r>
      <w:r w:rsidR="00F35ACC">
        <w:t>It includes</w:t>
      </w:r>
      <w:r w:rsidRPr="00412A75">
        <w:t xml:space="preserve"> Moneysmart for </w:t>
      </w:r>
      <w:r w:rsidR="00F35ACC">
        <w:t>t</w:t>
      </w:r>
      <w:r w:rsidRPr="00412A75">
        <w:t xml:space="preserve">eachers. </w:t>
      </w:r>
    </w:p>
    <w:p w14:paraId="28E267A4" w14:textId="0566F8E6" w:rsidR="005F7AF5" w:rsidRPr="00412A75" w:rsidRDefault="005F7AF5" w:rsidP="00E0440E">
      <w:pPr>
        <w:pStyle w:val="Bullet"/>
      </w:pPr>
      <w:r w:rsidRPr="00412A75">
        <w:t>Manage Your Money (Services Australia)</w:t>
      </w:r>
      <w:r w:rsidR="001D4A21">
        <w:t xml:space="preserve"> – </w:t>
      </w:r>
      <w:r w:rsidR="008869E4">
        <w:t>f</w:t>
      </w:r>
      <w:r w:rsidRPr="00412A75">
        <w:t>inancial information such as how to budget, manage debts, access financial counselling and savings/retirement.</w:t>
      </w:r>
    </w:p>
    <w:p w14:paraId="10AEC0F8" w14:textId="47C26D39" w:rsidR="005F7AF5" w:rsidRPr="00412A75" w:rsidRDefault="005F7AF5" w:rsidP="00E0440E">
      <w:pPr>
        <w:pStyle w:val="Bullet"/>
      </w:pPr>
      <w:r w:rsidRPr="00412A75">
        <w:t>Commonwealth Financial Counselling and Financial Capability (Department of Social Services)</w:t>
      </w:r>
      <w:r w:rsidR="001D4A21">
        <w:t xml:space="preserve"> – </w:t>
      </w:r>
      <w:r w:rsidR="008869E4">
        <w:t>v</w:t>
      </w:r>
      <w:r w:rsidRPr="00412A75">
        <w:t>oluntary, free and confidential services to help eligible people to address their financial problems, make informed financial choices and build their financial capability.</w:t>
      </w:r>
    </w:p>
    <w:p w14:paraId="1B2D9B06" w14:textId="5499C2BA" w:rsidR="005F7AF5" w:rsidRPr="00E961E3" w:rsidRDefault="005F7AF5" w:rsidP="00E0440E">
      <w:pPr>
        <w:pStyle w:val="Bullet"/>
      </w:pPr>
      <w:r w:rsidRPr="00412A75">
        <w:t xml:space="preserve">Indigenous Outreach Program (ASIC) – </w:t>
      </w:r>
      <w:r w:rsidR="008869E4">
        <w:t>p</w:t>
      </w:r>
      <w:r w:rsidRPr="00412A75">
        <w:t>rovides support to First Nations consumers who want to know more about money matters. The team also works with industry and consumer</w:t>
      </w:r>
      <w:r w:rsidRPr="006F09F2">
        <w:t xml:space="preserve"> advocates to improve services provided to Indigenous Australians.</w:t>
      </w:r>
    </w:p>
    <w:p w14:paraId="0FDA8847" w14:textId="7456467D" w:rsidR="00CE6322" w:rsidRDefault="005F7AF5" w:rsidP="005F7AF5">
      <w:pPr>
        <w:rPr>
          <w:rFonts w:cs="Calibri Light"/>
          <w:szCs w:val="22"/>
        </w:rPr>
      </w:pPr>
      <w:r>
        <w:rPr>
          <w:rFonts w:cs="Calibri Light"/>
          <w:szCs w:val="22"/>
        </w:rPr>
        <w:t xml:space="preserve">First Nations people continue to face unique challenges when banking. </w:t>
      </w:r>
      <w:r w:rsidRPr="006F09F2">
        <w:rPr>
          <w:rFonts w:cs="Calibri Light"/>
          <w:szCs w:val="22"/>
        </w:rPr>
        <w:t xml:space="preserve">There are many reasons why it can be difficult for some First Nations people to access banking services. For example, there may be </w:t>
      </w:r>
      <w:r w:rsidR="00CE6322">
        <w:rPr>
          <w:rFonts w:cs="Calibri Light"/>
          <w:szCs w:val="22"/>
        </w:rPr>
        <w:t>challenges</w:t>
      </w:r>
      <w:r w:rsidRPr="006F09F2">
        <w:rPr>
          <w:rFonts w:cs="Calibri Light"/>
          <w:szCs w:val="22"/>
        </w:rPr>
        <w:t xml:space="preserve"> with</w:t>
      </w:r>
      <w:r w:rsidR="007B0D63">
        <w:rPr>
          <w:rFonts w:cs="Calibri Light"/>
          <w:szCs w:val="22"/>
        </w:rPr>
        <w:t>:</w:t>
      </w:r>
      <w:r w:rsidRPr="006F09F2">
        <w:rPr>
          <w:rFonts w:cs="Calibri Light"/>
          <w:szCs w:val="22"/>
        </w:rPr>
        <w:t xml:space="preserve"> </w:t>
      </w:r>
    </w:p>
    <w:p w14:paraId="63AF6D29" w14:textId="2481DE0F" w:rsidR="00CE6322" w:rsidRPr="001D411D" w:rsidRDefault="005F7AF5" w:rsidP="00E0440E">
      <w:pPr>
        <w:pStyle w:val="Bullet"/>
      </w:pPr>
      <w:r w:rsidRPr="009C0A45">
        <w:t xml:space="preserve">connectivity </w:t>
      </w:r>
      <w:r w:rsidR="00557349" w:rsidRPr="009C0A45">
        <w:t>or going to a bank branch in person to establish a bank acc</w:t>
      </w:r>
      <w:r w:rsidR="00557349" w:rsidRPr="009F7D7D">
        <w:t xml:space="preserve">ount </w:t>
      </w:r>
      <w:r w:rsidRPr="001D411D">
        <w:t>(especially for those in very remote communities)</w:t>
      </w:r>
    </w:p>
    <w:p w14:paraId="59372A59" w14:textId="77777777" w:rsidR="00557349" w:rsidRPr="001D411D" w:rsidRDefault="00CE6322" w:rsidP="00E0440E">
      <w:pPr>
        <w:pStyle w:val="Bullet"/>
      </w:pPr>
      <w:r w:rsidRPr="001D411D">
        <w:t>banking over the phone or online when English may not be their first language</w:t>
      </w:r>
      <w:r w:rsidR="00557349" w:rsidRPr="001D411D">
        <w:t>.</w:t>
      </w:r>
    </w:p>
    <w:p w14:paraId="3FA1001C" w14:textId="33E61C18" w:rsidR="005F7AF5" w:rsidRPr="006F09F2" w:rsidRDefault="00557349" w:rsidP="00986D8B">
      <w:pPr>
        <w:pStyle w:val="Bullet"/>
        <w:numPr>
          <w:ilvl w:val="0"/>
          <w:numId w:val="0"/>
        </w:numPr>
      </w:pPr>
      <w:r>
        <w:t>There</w:t>
      </w:r>
      <w:r w:rsidR="005F7AF5" w:rsidRPr="006F09F2">
        <w:t xml:space="preserve"> </w:t>
      </w:r>
      <w:r w:rsidR="005F7AF5">
        <w:t xml:space="preserve">may </w:t>
      </w:r>
      <w:r w:rsidR="005F7AF5" w:rsidRPr="006F09F2">
        <w:t>be significant levels of disempowerment due to intergenerational trauma and discrimination which can affect people</w:t>
      </w:r>
      <w:r w:rsidR="001D4A21">
        <w:t>’</w:t>
      </w:r>
      <w:r w:rsidR="005F7AF5" w:rsidRPr="006F09F2">
        <w:t>s willingness to use technology and their ability to express their needs</w:t>
      </w:r>
      <w:r w:rsidR="00E44C28">
        <w:t xml:space="preserve"> (C</w:t>
      </w:r>
      <w:r w:rsidR="00250C2C">
        <w:t>HOICE</w:t>
      </w:r>
      <w:r w:rsidR="00E44C28">
        <w:t xml:space="preserve"> </w:t>
      </w:r>
      <w:r w:rsidR="00E44C28" w:rsidRPr="00091836">
        <w:rPr>
          <w:iCs/>
        </w:rPr>
        <w:t>et al.</w:t>
      </w:r>
      <w:r w:rsidR="00E44C28">
        <w:t xml:space="preserve"> 2021)</w:t>
      </w:r>
      <w:r w:rsidR="005F7AF5" w:rsidRPr="006F09F2">
        <w:t>.</w:t>
      </w:r>
    </w:p>
    <w:p w14:paraId="1E8DFE3A" w14:textId="3DF2556F" w:rsidR="005F7AF5" w:rsidRPr="007C527B" w:rsidRDefault="005F7AF5" w:rsidP="005F7AF5">
      <w:pPr>
        <w:rPr>
          <w:rStyle w:val="Hyperlink"/>
          <w:rFonts w:cs="Calibri Light"/>
          <w:szCs w:val="22"/>
          <w:shd w:val="clear" w:color="auto" w:fill="FFFFFF"/>
        </w:rPr>
      </w:pPr>
      <w:r w:rsidRPr="006F09F2">
        <w:rPr>
          <w:rFonts w:cs="Calibri Light"/>
          <w:szCs w:val="22"/>
        </w:rPr>
        <w:lastRenderedPageBreak/>
        <w:t xml:space="preserve">The banking industry has measures in place to support First Nations customers, with specific provisions in the ABA Banking Code of Practice including providing cultural awareness training and </w:t>
      </w:r>
      <w:r w:rsidR="00B71153">
        <w:rPr>
          <w:rFonts w:cs="Calibri Light"/>
          <w:szCs w:val="22"/>
        </w:rPr>
        <w:t xml:space="preserve">the </w:t>
      </w:r>
      <w:r w:rsidRPr="006F09F2">
        <w:rPr>
          <w:rFonts w:cs="Calibri Light"/>
          <w:szCs w:val="22"/>
        </w:rPr>
        <w:t xml:space="preserve">provision of services in remote communities. </w:t>
      </w:r>
      <w:r>
        <w:rPr>
          <w:rFonts w:cs="Calibri Light"/>
          <w:szCs w:val="22"/>
        </w:rPr>
        <w:t>As noted above, t</w:t>
      </w:r>
      <w:r w:rsidRPr="006F09F2">
        <w:rPr>
          <w:rFonts w:cs="Calibri Light"/>
          <w:szCs w:val="22"/>
        </w:rPr>
        <w:t>he industry also provides up to 85</w:t>
      </w:r>
      <w:r w:rsidR="00585C89">
        <w:rPr>
          <w:rFonts w:cs="Calibri Light"/>
          <w:szCs w:val="22"/>
        </w:rPr>
        <w:t> </w:t>
      </w:r>
      <w:r w:rsidRPr="006F09F2">
        <w:rPr>
          <w:rFonts w:cs="Calibri Light"/>
          <w:szCs w:val="22"/>
        </w:rPr>
        <w:t>fee</w:t>
      </w:r>
      <w:r w:rsidR="001D4A21">
        <w:rPr>
          <w:rFonts w:cs="Calibri Light"/>
          <w:szCs w:val="22"/>
        </w:rPr>
        <w:noBreakHyphen/>
      </w:r>
      <w:r w:rsidRPr="006F09F2">
        <w:rPr>
          <w:rFonts w:cs="Calibri Light"/>
          <w:szCs w:val="22"/>
        </w:rPr>
        <w:t xml:space="preserve">free ATMs in remote locations across Australia. More details including information on dedicated First Nations customer assistance phone lines (including interpreter support), assistance on better internet availability and reconciliation action plans can be found at </w:t>
      </w:r>
      <w:hyperlink r:id="rId26" w:history="1">
        <w:r w:rsidRPr="007C527B">
          <w:rPr>
            <w:rStyle w:val="Hyperlink"/>
            <w:rFonts w:cs="Calibri Light"/>
            <w:szCs w:val="22"/>
            <w:shd w:val="clear" w:color="auto" w:fill="FFFFFF"/>
          </w:rPr>
          <w:t>ABA Industry Statement: Supporting Aboriginal and Torres Strait Islander peoples</w:t>
        </w:r>
      </w:hyperlink>
      <w:r w:rsidRPr="007C527B">
        <w:rPr>
          <w:rStyle w:val="Hyperlink"/>
          <w:rFonts w:cs="Calibri Light"/>
          <w:szCs w:val="22"/>
          <w:shd w:val="clear" w:color="auto" w:fill="FFFFFF"/>
        </w:rPr>
        <w:t>.</w:t>
      </w:r>
    </w:p>
    <w:p w14:paraId="091F4E78" w14:textId="3DF35578" w:rsidR="00194CEA" w:rsidRPr="007C527B" w:rsidRDefault="00D5245B" w:rsidP="000A59BA">
      <w:pPr>
        <w:rPr>
          <w:rStyle w:val="Hyperlink"/>
          <w:rFonts w:cs="Calibri Light"/>
          <w:color w:val="auto"/>
          <w:szCs w:val="22"/>
          <w:shd w:val="clear" w:color="auto" w:fill="FFFFFF"/>
        </w:rPr>
      </w:pPr>
      <w:r w:rsidRPr="007C527B">
        <w:rPr>
          <w:rStyle w:val="Hyperlink"/>
          <w:color w:val="auto"/>
          <w:szCs w:val="22"/>
          <w:shd w:val="clear" w:color="auto" w:fill="FFFFFF"/>
        </w:rPr>
        <w:t>Banks should continue to engage with First Nations people on their banking needs. Specialist assistance, including phone lines, should be visible and well</w:t>
      </w:r>
      <w:r w:rsidR="001D4A21">
        <w:rPr>
          <w:rStyle w:val="Hyperlink"/>
          <w:color w:val="auto"/>
          <w:szCs w:val="22"/>
          <w:shd w:val="clear" w:color="auto" w:fill="FFFFFF"/>
        </w:rPr>
        <w:noBreakHyphen/>
      </w:r>
      <w:r w:rsidRPr="007C527B">
        <w:rPr>
          <w:rStyle w:val="Hyperlink"/>
          <w:color w:val="auto"/>
          <w:szCs w:val="22"/>
          <w:shd w:val="clear" w:color="auto" w:fill="FFFFFF"/>
        </w:rPr>
        <w:t>promoted.</w:t>
      </w:r>
    </w:p>
    <w:tbl>
      <w:tblPr>
        <w:tblW w:w="5000" w:type="pct"/>
        <w:shd w:val="clear" w:color="auto" w:fill="F2F9FC"/>
        <w:tblCellMar>
          <w:top w:w="227" w:type="dxa"/>
          <w:left w:w="227" w:type="dxa"/>
          <w:bottom w:w="227" w:type="dxa"/>
          <w:right w:w="227" w:type="dxa"/>
        </w:tblCellMar>
        <w:tblLook w:val="04A0" w:firstRow="1" w:lastRow="0" w:firstColumn="1" w:lastColumn="0" w:noHBand="0" w:noVBand="1"/>
      </w:tblPr>
      <w:tblGrid>
        <w:gridCol w:w="9070"/>
      </w:tblGrid>
      <w:tr w:rsidR="005F7AF5" w:rsidRPr="006F09F2" w14:paraId="13F52A5A" w14:textId="77777777" w:rsidTr="005D5487">
        <w:trPr>
          <w:trHeight w:val="1669"/>
        </w:trPr>
        <w:tc>
          <w:tcPr>
            <w:tcW w:w="9072" w:type="dxa"/>
            <w:shd w:val="clear" w:color="auto" w:fill="F2F9FC"/>
          </w:tcPr>
          <w:p w14:paraId="485EB88F" w14:textId="543E9143" w:rsidR="005F7AF5" w:rsidRPr="00A07073" w:rsidRDefault="005F7AF5" w:rsidP="005D5487">
            <w:pPr>
              <w:pStyle w:val="BoxHeading"/>
            </w:pPr>
            <w:r w:rsidRPr="006F09F2">
              <w:t xml:space="preserve">Recommendation </w:t>
            </w:r>
            <w:r w:rsidR="002D4EF8">
              <w:t>5</w:t>
            </w:r>
            <w:r w:rsidR="001D4A21">
              <w:t xml:space="preserve"> – </w:t>
            </w:r>
            <w:r w:rsidRPr="00833DFC">
              <w:t xml:space="preserve">Improve support for </w:t>
            </w:r>
            <w:r w:rsidR="00A818C2">
              <w:t xml:space="preserve">regional </w:t>
            </w:r>
            <w:r w:rsidRPr="00833DFC">
              <w:t>consumers experiencing vulnerability</w:t>
            </w:r>
          </w:p>
          <w:p w14:paraId="74DB1658" w14:textId="3B704C82" w:rsidR="005F7AF5" w:rsidRPr="00372457" w:rsidRDefault="00B23AB4" w:rsidP="005D5487">
            <w:pPr>
              <w:rPr>
                <w:rFonts w:cs="Calibri Light"/>
                <w:szCs w:val="22"/>
              </w:rPr>
            </w:pPr>
            <w:r w:rsidRPr="00BD2417">
              <w:t>Banks should provide</w:t>
            </w:r>
            <w:r w:rsidRPr="00D04840">
              <w:t xml:space="preserve"> additional support for those experiencing vuln</w:t>
            </w:r>
            <w:r w:rsidRPr="0086172A">
              <w:t>erability,</w:t>
            </w:r>
            <w:r w:rsidRPr="004F2D2E">
              <w:t xml:space="preserve"> including</w:t>
            </w:r>
            <w:r w:rsidRPr="003A292F">
              <w:t xml:space="preserve"> target</w:t>
            </w:r>
            <w:r>
              <w:t xml:space="preserve">ing </w:t>
            </w:r>
            <w:r w:rsidRPr="003A292F">
              <w:t>transitional support when a branch closes</w:t>
            </w:r>
            <w:r>
              <w:t xml:space="preserve"> and </w:t>
            </w:r>
            <w:r w:rsidR="004C7E56">
              <w:t xml:space="preserve">helping </w:t>
            </w:r>
            <w:r w:rsidR="00354FF9">
              <w:t xml:space="preserve">customers </w:t>
            </w:r>
            <w:r w:rsidR="005F73F0">
              <w:t>on</w:t>
            </w:r>
            <w:r w:rsidR="00354FF9" w:rsidRPr="005A5ACE">
              <w:t>to fee</w:t>
            </w:r>
            <w:r w:rsidR="001D4A21">
              <w:noBreakHyphen/>
            </w:r>
            <w:r w:rsidR="00354FF9" w:rsidRPr="005A5ACE">
              <w:t>free b</w:t>
            </w:r>
            <w:r w:rsidR="00354FF9" w:rsidRPr="008A619F">
              <w:t>ankin</w:t>
            </w:r>
            <w:r w:rsidR="00354FF9" w:rsidRPr="001D7D02">
              <w:t xml:space="preserve">g </w:t>
            </w:r>
            <w:r w:rsidR="00354FF9" w:rsidRPr="005A5ACE">
              <w:t>accounts</w:t>
            </w:r>
            <w:r>
              <w:t>.</w:t>
            </w:r>
            <w:r w:rsidRPr="003A292F">
              <w:t xml:space="preserve"> </w:t>
            </w:r>
            <w:r w:rsidRPr="00DA077D">
              <w:t>This includes engaging with First Nation communities on their banking needs in regional Australia</w:t>
            </w:r>
            <w:r>
              <w:t>, promoting services and</w:t>
            </w:r>
            <w:r w:rsidRPr="00DA077D">
              <w:t xml:space="preserve"> reviewing the effectiveness of </w:t>
            </w:r>
            <w:r>
              <w:t xml:space="preserve">dedicated </w:t>
            </w:r>
            <w:r w:rsidRPr="00DA077D">
              <w:t>resources</w:t>
            </w:r>
            <w:r>
              <w:t>.</w:t>
            </w:r>
            <w:r w:rsidRPr="003A292F">
              <w:t xml:space="preserve"> </w:t>
            </w:r>
          </w:p>
        </w:tc>
      </w:tr>
    </w:tbl>
    <w:p w14:paraId="5009D6E7" w14:textId="17CE122C" w:rsidR="00113C0C" w:rsidRPr="006F09F2" w:rsidRDefault="00113C0C" w:rsidP="00E0440E">
      <w:pPr>
        <w:pStyle w:val="Heading2"/>
        <w:rPr>
          <w:b/>
        </w:rPr>
      </w:pPr>
      <w:bookmarkStart w:id="81" w:name="_Toc97809921"/>
      <w:bookmarkStart w:id="82" w:name="_Toc97904380"/>
      <w:bookmarkStart w:id="83" w:name="_Toc98245364"/>
      <w:bookmarkStart w:id="84" w:name="_Toc98508545"/>
      <w:bookmarkStart w:id="85" w:name="_Toc107323278"/>
      <w:bookmarkStart w:id="86" w:name="_Toc107987048"/>
      <w:bookmarkStart w:id="87" w:name="_Toc115190897"/>
      <w:bookmarkStart w:id="88" w:name="_Hlk99110389"/>
      <w:r w:rsidRPr="006F09F2">
        <w:t>Digital inclusion</w:t>
      </w:r>
      <w:r w:rsidRPr="006F09F2" w:rsidDel="00437616">
        <w:t xml:space="preserve"> </w:t>
      </w:r>
      <w:r w:rsidR="003657BF">
        <w:t xml:space="preserve">in regional areas </w:t>
      </w:r>
      <w:r w:rsidRPr="006F09F2">
        <w:t>is important as banks transition to digital services</w:t>
      </w:r>
      <w:bookmarkEnd w:id="81"/>
      <w:bookmarkEnd w:id="82"/>
      <w:bookmarkEnd w:id="83"/>
      <w:bookmarkEnd w:id="84"/>
      <w:bookmarkEnd w:id="85"/>
      <w:bookmarkEnd w:id="86"/>
      <w:bookmarkEnd w:id="87"/>
    </w:p>
    <w:p w14:paraId="279EEDE2" w14:textId="3B2978EF" w:rsidR="00491602" w:rsidRDefault="00243B8B" w:rsidP="00E97333">
      <w:bookmarkStart w:id="89" w:name="_Hlk97880931"/>
      <w:r w:rsidRPr="006F09F2">
        <w:t xml:space="preserve">With the move towards the digital provision of banking services, the submissions </w:t>
      </w:r>
      <w:r w:rsidR="0033761E" w:rsidRPr="006F09F2">
        <w:t xml:space="preserve">and Taskforce discussion </w:t>
      </w:r>
      <w:r w:rsidRPr="006F09F2">
        <w:t>highlighted the importance of resilient digital connectivity and investment in digital infrastructure</w:t>
      </w:r>
      <w:r w:rsidR="00023678">
        <w:t xml:space="preserve">, which is important for both </w:t>
      </w:r>
      <w:r w:rsidR="00023678" w:rsidRPr="00D960F8">
        <w:t xml:space="preserve">digital banking and </w:t>
      </w:r>
      <w:r w:rsidR="0056665F" w:rsidRPr="00D960F8">
        <w:t>electronic payments</w:t>
      </w:r>
      <w:r w:rsidR="00023678" w:rsidRPr="00D960F8">
        <w:t>.</w:t>
      </w:r>
      <w:r w:rsidR="00023678">
        <w:t xml:space="preserve"> </w:t>
      </w:r>
    </w:p>
    <w:bookmarkEnd w:id="89"/>
    <w:p w14:paraId="1EF9A9C1" w14:textId="6329B61E" w:rsidR="00232760" w:rsidRPr="00412A75" w:rsidRDefault="005E380C" w:rsidP="00E97333">
      <w:r>
        <w:t>Submissions also noted ongoing challenges</w:t>
      </w:r>
      <w:r w:rsidR="006B091C">
        <w:t xml:space="preserve">. </w:t>
      </w:r>
      <w:r w:rsidR="002C6547">
        <w:t xml:space="preserve">These </w:t>
      </w:r>
      <w:r w:rsidR="00232760">
        <w:t xml:space="preserve">can impact on </w:t>
      </w:r>
      <w:r w:rsidR="00232760" w:rsidRPr="00243D40">
        <w:t>business</w:t>
      </w:r>
      <w:r w:rsidR="006E0BAE" w:rsidRPr="00243D40">
        <w:t>es</w:t>
      </w:r>
      <w:r w:rsidR="001D4A21">
        <w:t>’</w:t>
      </w:r>
      <w:r w:rsidR="00232760">
        <w:t xml:space="preserve"> ability to process payments. </w:t>
      </w:r>
      <w:r w:rsidR="00A92170">
        <w:t>I</w:t>
      </w:r>
      <w:r w:rsidR="00232760">
        <w:t xml:space="preserve">t was noted that some had issues </w:t>
      </w:r>
      <w:r w:rsidR="00232760" w:rsidRPr="00F11242">
        <w:t xml:space="preserve">accessing online banking as the text message code </w:t>
      </w:r>
      <w:r w:rsidR="00232760" w:rsidRPr="005E13DB">
        <w:t>(for the two</w:t>
      </w:r>
      <w:r w:rsidR="001D4A21">
        <w:noBreakHyphen/>
      </w:r>
      <w:r w:rsidR="00232760" w:rsidRPr="005E13DB">
        <w:t>step verification process) times out before it can be entered into the banking platform</w:t>
      </w:r>
      <w:r w:rsidR="004C3FD8">
        <w:t>,</w:t>
      </w:r>
      <w:r w:rsidR="00232760" w:rsidRPr="005E13DB">
        <w:t xml:space="preserve"> meaning a measure intended to ensure secure banking is hindering access</w:t>
      </w:r>
      <w:r w:rsidR="00232760">
        <w:t xml:space="preserve"> to</w:t>
      </w:r>
      <w:r w:rsidR="00232760" w:rsidRPr="005E13DB">
        <w:t xml:space="preserve"> banking services.</w:t>
      </w:r>
    </w:p>
    <w:p w14:paraId="01539D23" w14:textId="7633905A" w:rsidR="00243B8B" w:rsidRPr="006F09F2" w:rsidRDefault="009579BC" w:rsidP="00243B8B">
      <w:r>
        <w:t xml:space="preserve">The importance of </w:t>
      </w:r>
      <w:r w:rsidR="00947F13">
        <w:t xml:space="preserve">effective </w:t>
      </w:r>
      <w:r w:rsidR="00F50384">
        <w:t xml:space="preserve">digital connectivity </w:t>
      </w:r>
      <w:r w:rsidR="00E1316A">
        <w:t>to banking</w:t>
      </w:r>
      <w:r w:rsidR="00C90362">
        <w:t xml:space="preserve"> was also raised with</w:t>
      </w:r>
      <w:r w:rsidR="00243B8B" w:rsidRPr="006F09F2">
        <w:t xml:space="preserve"> the 2021 Regional Telecommunications Review and </w:t>
      </w:r>
      <w:r w:rsidR="00C90362">
        <w:t>is</w:t>
      </w:r>
      <w:r w:rsidR="00243B8B" w:rsidRPr="006F09F2">
        <w:t xml:space="preserve"> reflected in the review</w:t>
      </w:r>
      <w:r w:rsidR="001D4A21">
        <w:t>’</w:t>
      </w:r>
      <w:r w:rsidR="00243B8B" w:rsidRPr="006F09F2">
        <w:t>s report</w:t>
      </w:r>
      <w:r w:rsidR="00915121">
        <w:t>,</w:t>
      </w:r>
      <w:r w:rsidR="00243B8B" w:rsidRPr="006F09F2">
        <w:t xml:space="preserve"> </w:t>
      </w:r>
      <w:r w:rsidR="00243B8B" w:rsidRPr="006F09F2">
        <w:rPr>
          <w:i/>
          <w:iCs/>
        </w:rPr>
        <w:t>A step change in demand</w:t>
      </w:r>
      <w:r w:rsidR="00435835">
        <w:t xml:space="preserve">. The </w:t>
      </w:r>
      <w:r w:rsidR="00435835" w:rsidRPr="00CF44F8">
        <w:t>report notes the importance of digital connectivity for banking</w:t>
      </w:r>
      <w:r w:rsidR="00151C86" w:rsidRPr="00CF44F8">
        <w:t>,</w:t>
      </w:r>
      <w:r w:rsidR="00243B8B" w:rsidRPr="00CF44F8">
        <w:t xml:space="preserve"> including</w:t>
      </w:r>
      <w:r w:rsidR="00151C86" w:rsidRPr="00CF44F8">
        <w:t xml:space="preserve"> robust </w:t>
      </w:r>
      <w:r w:rsidR="00151C86" w:rsidRPr="00C57F61">
        <w:t>support for eftpos</w:t>
      </w:r>
      <w:r w:rsidR="00243B8B" w:rsidRPr="00C57F61">
        <w:t xml:space="preserve"> terminals</w:t>
      </w:r>
      <w:r w:rsidR="00243B8B" w:rsidRPr="00CF44F8">
        <w:t>.</w:t>
      </w:r>
      <w:r w:rsidR="00CA0086" w:rsidRPr="00CF44F8">
        <w:t xml:space="preserve"> It also points to the importance of reliable power supply for digital connectivity and the services, like banking, that depend on connectivity.</w:t>
      </w:r>
    </w:p>
    <w:p w14:paraId="335727ED" w14:textId="3255C17A" w:rsidR="002939AE" w:rsidRPr="006F09F2" w:rsidRDefault="00243B8B" w:rsidP="00243B8B">
      <w:r w:rsidRPr="006F09F2">
        <w:t xml:space="preserve">The National Broadband Network </w:t>
      </w:r>
      <w:r w:rsidR="0002405B">
        <w:t xml:space="preserve">(NBN) </w:t>
      </w:r>
      <w:r w:rsidRPr="006F09F2">
        <w:t xml:space="preserve">build </w:t>
      </w:r>
      <w:r w:rsidR="002A3D86">
        <w:t xml:space="preserve">was </w:t>
      </w:r>
      <w:r w:rsidRPr="006F09F2">
        <w:t xml:space="preserve">completed in 2020 and the expansion of mobile coverage by industry and uptake of mobile </w:t>
      </w:r>
      <w:r w:rsidR="006052C9">
        <w:t xml:space="preserve">technology </w:t>
      </w:r>
      <w:r w:rsidRPr="006F09F2">
        <w:t xml:space="preserve">have been important for digital connectivity in </w:t>
      </w:r>
      <w:r w:rsidRPr="00051CAB">
        <w:t>supporting online banking. In less populous areas, additional mobile coverage has been supported by the Australian Government</w:t>
      </w:r>
      <w:r w:rsidR="001D4A21">
        <w:t>’</w:t>
      </w:r>
      <w:r w:rsidRPr="00051CAB">
        <w:t xml:space="preserve">s Mobile Black Spot Program, and the Regional Connectivity Program </w:t>
      </w:r>
      <w:r w:rsidR="00F72944" w:rsidRPr="00051CAB">
        <w:t>has been</w:t>
      </w:r>
      <w:r w:rsidRPr="00051CAB">
        <w:t xml:space="preserve"> improving services more generally.</w:t>
      </w:r>
      <w:r w:rsidR="00F72944" w:rsidRPr="00051CAB">
        <w:t xml:space="preserve"> Co</w:t>
      </w:r>
      <w:r w:rsidR="001D4A21">
        <w:noBreakHyphen/>
      </w:r>
      <w:r w:rsidR="00F72944" w:rsidRPr="00051CAB">
        <w:t>investment by industry and States and Territories under these programs ha</w:t>
      </w:r>
      <w:r w:rsidR="001D530A">
        <w:t>s</w:t>
      </w:r>
      <w:r w:rsidR="00F72944" w:rsidRPr="00051CAB">
        <w:t xml:space="preserve"> leveraged better outcomes for regional communities.</w:t>
      </w:r>
      <w:r w:rsidRPr="006F09F2">
        <w:t xml:space="preserve"> </w:t>
      </w:r>
    </w:p>
    <w:p w14:paraId="7FBFFA4A" w14:textId="678501F8" w:rsidR="00243B8B" w:rsidRPr="00E97333" w:rsidRDefault="002232D0" w:rsidP="00243B8B">
      <w:pPr>
        <w:rPr>
          <w:rFonts w:ascii="Calibri" w:hAnsi="Calibri"/>
        </w:rPr>
      </w:pPr>
      <w:r>
        <w:t>T</w:t>
      </w:r>
      <w:r w:rsidR="00243B8B" w:rsidRPr="006F09F2">
        <w:t>he Regional Tech Hub, managed by the National Farmers</w:t>
      </w:r>
      <w:r w:rsidR="001D4A21">
        <w:t>’</w:t>
      </w:r>
      <w:r w:rsidR="00243B8B" w:rsidRPr="006F09F2">
        <w:t xml:space="preserve"> Federation,</w:t>
      </w:r>
      <w:r>
        <w:t xml:space="preserve"> has been providing</w:t>
      </w:r>
      <w:r w:rsidR="00243B8B" w:rsidRPr="006F09F2">
        <w:t xml:space="preserve"> a range of practical resources for </w:t>
      </w:r>
      <w:r w:rsidR="005F662D">
        <w:t xml:space="preserve">regional </w:t>
      </w:r>
      <w:r w:rsidR="00243B8B" w:rsidRPr="006F09F2">
        <w:t>consumers</w:t>
      </w:r>
      <w:r w:rsidR="00503A56">
        <w:t>,</w:t>
      </w:r>
      <w:r w:rsidR="00243B8B" w:rsidRPr="006F09F2">
        <w:t xml:space="preserve"> including how to select the most appropriate telecommunications option, troubleshooting mobile phone and internet issues, escalating faults with service providers, and helping users to understand their consumer rights. </w:t>
      </w:r>
    </w:p>
    <w:p w14:paraId="547BC4B5" w14:textId="243BA892" w:rsidR="00697501" w:rsidRDefault="00DD7F0C" w:rsidP="00114BAA">
      <w:bookmarkStart w:id="90" w:name="_Hlk97727350"/>
      <w:r w:rsidRPr="00412A75">
        <w:lastRenderedPageBreak/>
        <w:t>The</w:t>
      </w:r>
      <w:r w:rsidR="00697501">
        <w:t xml:space="preserve"> Australian</w:t>
      </w:r>
      <w:r w:rsidRPr="00412A75">
        <w:t xml:space="preserve"> Government will continue to prioritise </w:t>
      </w:r>
      <w:r w:rsidR="00697501">
        <w:t>digital inclusion given the fundamental and increasing role of digital connectivity in our everyday lives.</w:t>
      </w:r>
    </w:p>
    <w:p w14:paraId="40186977" w14:textId="003936E5" w:rsidR="00114BAA" w:rsidRPr="00074678" w:rsidRDefault="002666F8" w:rsidP="00114BAA">
      <w:pPr>
        <w:rPr>
          <w:rFonts w:ascii="Calibri" w:hAnsi="Calibri"/>
        </w:rPr>
      </w:pPr>
      <w:r>
        <w:t>In</w:t>
      </w:r>
      <w:r w:rsidR="00A5456B">
        <w:t xml:space="preserve"> </w:t>
      </w:r>
      <w:r w:rsidR="00114BAA" w:rsidRPr="00E97333">
        <w:t xml:space="preserve">its </w:t>
      </w:r>
      <w:r w:rsidR="00114BAA" w:rsidRPr="004E4F11">
        <w:rPr>
          <w:i/>
          <w:iCs/>
        </w:rPr>
        <w:t>Better Connectivity for Rural and Regional Australia Plan</w:t>
      </w:r>
      <w:r w:rsidR="007C61E7">
        <w:t>,</w:t>
      </w:r>
      <w:r w:rsidR="00114BAA" w:rsidRPr="00E97333">
        <w:t xml:space="preserve"> the Government has committed to</w:t>
      </w:r>
      <w:r w:rsidR="00222E60">
        <w:t xml:space="preserve"> over $1.1 billion in funding</w:t>
      </w:r>
      <w:r w:rsidR="00114BAA" w:rsidRPr="00E97333">
        <w:t xml:space="preserve"> for regional telecommunications. </w:t>
      </w:r>
      <w:r w:rsidR="00AF5F8F">
        <w:t>Under the</w:t>
      </w:r>
      <w:r w:rsidR="00114BAA" w:rsidRPr="00E97333">
        <w:t xml:space="preserve"> plan, the Government will boost NBN speeds, deliver better mobile coverage on roads</w:t>
      </w:r>
      <w:r w:rsidR="000C0922">
        <w:t xml:space="preserve"> and </w:t>
      </w:r>
      <w:r w:rsidR="009837B4">
        <w:t xml:space="preserve">in </w:t>
      </w:r>
      <w:r w:rsidR="000C0922">
        <w:t>communities</w:t>
      </w:r>
      <w:r w:rsidR="00114BAA" w:rsidRPr="00E97333">
        <w:t>, and improve connectivity for regional communities and on farms.</w:t>
      </w:r>
    </w:p>
    <w:p w14:paraId="346E163C" w14:textId="2E1C90E3" w:rsidR="00114BAA" w:rsidRDefault="000C0922" w:rsidP="00114BAA">
      <w:r>
        <w:t>In June 2022, t</w:t>
      </w:r>
      <w:r w:rsidR="00114BAA" w:rsidRPr="00E97333">
        <w:t>he Government provided $480 million to NBN Co towards a significant upgrade and expansion of the NBN fixed wireless network. All 755,000 premises in the expanded fixed wireless footprint will benefit from access to increased download speeds of up to 100 Megabits per second (Mbps), with up to 85 per cent able to access 250 Mbps</w:t>
      </w:r>
      <w:r w:rsidR="00C51531">
        <w:t xml:space="preserve">. </w:t>
      </w:r>
      <w:r w:rsidR="00C51531" w:rsidRPr="00D07777">
        <w:t>T</w:t>
      </w:r>
      <w:r w:rsidR="00114BAA" w:rsidRPr="00D07777">
        <w:t xml:space="preserve">he 300,000 premises that remain in the satellite footprint </w:t>
      </w:r>
      <w:r w:rsidR="00D07777">
        <w:t xml:space="preserve">have already </w:t>
      </w:r>
      <w:r w:rsidR="00114BAA" w:rsidRPr="00D07777">
        <w:t>benefit</w:t>
      </w:r>
      <w:r w:rsidR="00D07777">
        <w:t>ed</w:t>
      </w:r>
      <w:r w:rsidR="00114BAA" w:rsidRPr="00D07777">
        <w:t xml:space="preserve"> from increases in Sky Muster data allowances and product inclusions, with further enhancements to follow after the upgrades are complete.</w:t>
      </w:r>
    </w:p>
    <w:p w14:paraId="24B7EBE3" w14:textId="0AC8A038" w:rsidR="00F56E34" w:rsidRPr="00E97333" w:rsidRDefault="00F56E34" w:rsidP="00114BAA">
      <w:r>
        <w:t>The Plan also provides for full fibre access to a further 660,000 homes and businesses in the regions.</w:t>
      </w:r>
    </w:p>
    <w:p w14:paraId="7E57D7CE" w14:textId="57B1E39E" w:rsidR="00114BAA" w:rsidRDefault="00114BAA" w:rsidP="00114BAA">
      <w:r w:rsidRPr="00E97333">
        <w:t xml:space="preserve">On mobile connectivity, the Government will undertake an independent audit of mobile coverage to better identify black spots and guide investment priorities. </w:t>
      </w:r>
      <w:r w:rsidR="006B287B">
        <w:t xml:space="preserve">The Plan provides </w:t>
      </w:r>
      <w:r w:rsidRPr="00E97333">
        <w:t xml:space="preserve">$400 million </w:t>
      </w:r>
      <w:r w:rsidR="006B287B">
        <w:t>for</w:t>
      </w:r>
      <w:r w:rsidRPr="00E97333">
        <w:t xml:space="preserve"> mult</w:t>
      </w:r>
      <w:r w:rsidR="006C1291">
        <w:t>i</w:t>
      </w:r>
      <w:r w:rsidR="001D4A21">
        <w:noBreakHyphen/>
      </w:r>
      <w:r w:rsidRPr="00E97333">
        <w:t xml:space="preserve">carrier mobile coverage on roads with coverage black spots and </w:t>
      </w:r>
      <w:r w:rsidR="00962F14">
        <w:t xml:space="preserve">improving coverage </w:t>
      </w:r>
      <w:r w:rsidRPr="00E97333">
        <w:t>in regional communities</w:t>
      </w:r>
      <w:r w:rsidR="009770F1">
        <w:t>. The Plan provides a further</w:t>
      </w:r>
      <w:r w:rsidRPr="00E97333">
        <w:t xml:space="preserve"> $200 million </w:t>
      </w:r>
      <w:r w:rsidR="009770F1">
        <w:t>for</w:t>
      </w:r>
      <w:r w:rsidRPr="00E97333">
        <w:t xml:space="preserve"> place</w:t>
      </w:r>
      <w:r w:rsidR="001D4A21">
        <w:noBreakHyphen/>
      </w:r>
      <w:r w:rsidRPr="00E97333">
        <w:t xml:space="preserve">based regional telecommunications projects, such as mobile or targeted fibre, to meet community needs. </w:t>
      </w:r>
      <w:r w:rsidR="009A03C5">
        <w:t>A</w:t>
      </w:r>
      <w:r w:rsidRPr="00E97333">
        <w:t xml:space="preserve"> $30 million program will enable more farmers to extend connectivity in their fields and take advantage of connected machinery and sensor technology</w:t>
      </w:r>
      <w:r>
        <w:rPr>
          <w:color w:val="FF0000"/>
        </w:rPr>
        <w:t>.</w:t>
      </w:r>
      <w:r w:rsidR="009A03C5">
        <w:rPr>
          <w:color w:val="FF0000"/>
        </w:rPr>
        <w:t xml:space="preserve"> </w:t>
      </w:r>
      <w:r w:rsidR="009A03C5" w:rsidRPr="004E4F11">
        <w:rPr>
          <w:color w:val="000000" w:themeColor="text1"/>
        </w:rPr>
        <w:t>The Government has also committed $6 million for the Regional Tech Hub to serve as a trusted intermediary and source of free and independent advice.</w:t>
      </w:r>
    </w:p>
    <w:p w14:paraId="2CE9A0EE" w14:textId="3D9286C2" w:rsidR="0023126E" w:rsidRPr="006F09F2" w:rsidRDefault="00243B8B" w:rsidP="0023126E">
      <w:bookmarkStart w:id="91" w:name="_Hlk97881107"/>
      <w:bookmarkStart w:id="92" w:name="_Hlk97802238"/>
      <w:bookmarkEnd w:id="90"/>
      <w:r w:rsidRPr="006F09F2">
        <w:t xml:space="preserve">Digital literacy was also identified by submissions </w:t>
      </w:r>
      <w:r w:rsidR="00DC3215">
        <w:t xml:space="preserve">to </w:t>
      </w:r>
      <w:r w:rsidR="00F102B2">
        <w:t xml:space="preserve">the Regional Banking Taskforce </w:t>
      </w:r>
      <w:r w:rsidRPr="006F09F2">
        <w:t xml:space="preserve">as important for </w:t>
      </w:r>
      <w:r w:rsidR="004E692E">
        <w:t xml:space="preserve">the </w:t>
      </w:r>
      <w:r w:rsidRPr="006F09F2">
        <w:t xml:space="preserve">greater use of digital banking and a number of banks have been looking </w:t>
      </w:r>
      <w:r w:rsidR="00A67322" w:rsidRPr="006F09F2">
        <w:t xml:space="preserve">for </w:t>
      </w:r>
      <w:r w:rsidRPr="006F09F2">
        <w:t xml:space="preserve">and finding ways to support the digital literacy of their customers. </w:t>
      </w:r>
      <w:bookmarkEnd w:id="91"/>
      <w:r w:rsidR="00FF21D0">
        <w:t xml:space="preserve">Building financial capability will also support customers to make more informed decisions and better understand the opportunities and </w:t>
      </w:r>
      <w:r w:rsidR="00FF21D0" w:rsidRPr="00DC384C">
        <w:t>risks associated</w:t>
      </w:r>
      <w:r w:rsidR="00FF21D0">
        <w:t xml:space="preserve"> with using digital financial products.</w:t>
      </w:r>
    </w:p>
    <w:p w14:paraId="29A4ED8A" w14:textId="268D2239" w:rsidR="00113C0C" w:rsidRDefault="0023126E" w:rsidP="00113C0C">
      <w:bookmarkStart w:id="93" w:name="_Hlk97881126"/>
      <w:r w:rsidRPr="006F09F2">
        <w:t>Digital connectivity can be more challenging for Australian</w:t>
      </w:r>
      <w:r w:rsidR="00C95BFD">
        <w:t>s</w:t>
      </w:r>
      <w:r w:rsidRPr="006F09F2">
        <w:t xml:space="preserve"> </w:t>
      </w:r>
      <w:r w:rsidR="004B369A">
        <w:t>experiencing vulnerability</w:t>
      </w:r>
      <w:r w:rsidR="00414B1C">
        <w:t>,</w:t>
      </w:r>
      <w:r w:rsidR="004B369A">
        <w:t xml:space="preserve"> including </w:t>
      </w:r>
      <w:r w:rsidR="00414B1C">
        <w:t xml:space="preserve">older Australians, </w:t>
      </w:r>
      <w:r w:rsidR="00824850" w:rsidRPr="006F09F2">
        <w:t xml:space="preserve">so they may need more support. </w:t>
      </w:r>
      <w:bookmarkEnd w:id="93"/>
      <w:r w:rsidR="00824850" w:rsidRPr="006F09F2">
        <w:t>T</w:t>
      </w:r>
      <w:r w:rsidRPr="006F09F2">
        <w:t>he Commonwealth</w:t>
      </w:r>
      <w:r w:rsidR="001D4A21">
        <w:t>’</w:t>
      </w:r>
      <w:r w:rsidRPr="006F09F2">
        <w:t>s</w:t>
      </w:r>
      <w:r w:rsidRPr="006F09F2">
        <w:rPr>
          <w:rFonts w:cs="Calibri Light"/>
          <w:szCs w:val="22"/>
        </w:rPr>
        <w:t xml:space="preserve"> Be Connected program </w:t>
      </w:r>
      <w:r w:rsidR="00A847C4">
        <w:rPr>
          <w:rFonts w:cs="Calibri Light"/>
          <w:szCs w:val="22"/>
        </w:rPr>
        <w:t xml:space="preserve">(which includes an interactive online banking module and resources developed in consultation with the Australian banking sector) </w:t>
      </w:r>
      <w:r w:rsidRPr="006F09F2">
        <w:rPr>
          <w:rFonts w:cs="Calibri Light"/>
          <w:szCs w:val="22"/>
        </w:rPr>
        <w:t>aims to increase the confidence, skills and online safety of older Australia</w:t>
      </w:r>
      <w:r w:rsidR="00C95BFD">
        <w:rPr>
          <w:rFonts w:cs="Calibri Light"/>
          <w:szCs w:val="22"/>
        </w:rPr>
        <w:t>ns</w:t>
      </w:r>
      <w:r w:rsidRPr="006F09F2">
        <w:rPr>
          <w:rFonts w:cs="Calibri Light"/>
          <w:szCs w:val="22"/>
        </w:rPr>
        <w:t xml:space="preserve"> (aged over 50) in using digital technology. It enables learners to benefit from the social and economic benefits of digital technologies</w:t>
      </w:r>
      <w:r w:rsidR="002C2A52">
        <w:rPr>
          <w:rFonts w:cs="Calibri Light"/>
          <w:szCs w:val="22"/>
        </w:rPr>
        <w:t xml:space="preserve"> and has dedicated interactive learning modules to make online banking both safer and more accessible to older Australians</w:t>
      </w:r>
      <w:r w:rsidRPr="006F09F2">
        <w:rPr>
          <w:rFonts w:cs="Calibri Light"/>
          <w:szCs w:val="22"/>
        </w:rPr>
        <w:t>. The current program engages with around 280,000 learners annually and is supported by around 3,</w:t>
      </w:r>
      <w:r w:rsidR="00DA39F7">
        <w:rPr>
          <w:rFonts w:cs="Calibri Light"/>
          <w:szCs w:val="22"/>
        </w:rPr>
        <w:t>7</w:t>
      </w:r>
      <w:r w:rsidRPr="006F09F2">
        <w:rPr>
          <w:rFonts w:cs="Calibri Light"/>
          <w:szCs w:val="22"/>
        </w:rPr>
        <w:t>00 Network Partners and 15,000 digital mentors.</w:t>
      </w:r>
      <w:bookmarkEnd w:id="92"/>
    </w:p>
    <w:tbl>
      <w:tblPr>
        <w:tblW w:w="5000" w:type="pct"/>
        <w:shd w:val="clear" w:color="auto" w:fill="F2F9FC"/>
        <w:tblCellMar>
          <w:top w:w="227" w:type="dxa"/>
          <w:left w:w="227" w:type="dxa"/>
          <w:bottom w:w="227" w:type="dxa"/>
          <w:right w:w="227" w:type="dxa"/>
        </w:tblCellMar>
        <w:tblLook w:val="04A0" w:firstRow="1" w:lastRow="0" w:firstColumn="1" w:lastColumn="0" w:noHBand="0" w:noVBand="1"/>
      </w:tblPr>
      <w:tblGrid>
        <w:gridCol w:w="9070"/>
      </w:tblGrid>
      <w:tr w:rsidR="00113C0C" w:rsidRPr="006F09F2" w14:paraId="72F5E467" w14:textId="77777777" w:rsidTr="00BE193D">
        <w:trPr>
          <w:trHeight w:val="2609"/>
        </w:trPr>
        <w:tc>
          <w:tcPr>
            <w:tcW w:w="9072" w:type="dxa"/>
            <w:shd w:val="clear" w:color="auto" w:fill="F2F9FC"/>
          </w:tcPr>
          <w:p w14:paraId="19357ECD" w14:textId="5FF5E606" w:rsidR="00BC3FF0" w:rsidRPr="00A07073" w:rsidRDefault="00113C0C" w:rsidP="00BC3FF0">
            <w:pPr>
              <w:pStyle w:val="BoxHeading"/>
            </w:pPr>
            <w:r w:rsidRPr="006F09F2">
              <w:lastRenderedPageBreak/>
              <w:t xml:space="preserve">Recommendation </w:t>
            </w:r>
            <w:r w:rsidR="002D4EF8">
              <w:t>6</w:t>
            </w:r>
            <w:r w:rsidR="001D4A21">
              <w:t xml:space="preserve"> – </w:t>
            </w:r>
            <w:r w:rsidR="00BC3FF0" w:rsidRPr="00A07073">
              <w:t>Continue to support and improve digital connectivity and literacy in regional areas</w:t>
            </w:r>
          </w:p>
          <w:p w14:paraId="189DA5FF" w14:textId="5F5A4597" w:rsidR="000D2385" w:rsidRPr="006F09F2" w:rsidRDefault="009C0A45" w:rsidP="008505E1">
            <w:pPr>
              <w:spacing w:before="0" w:after="0"/>
            </w:pPr>
            <w:r>
              <w:t xml:space="preserve">The </w:t>
            </w:r>
            <w:r w:rsidR="006054EA">
              <w:t xml:space="preserve">Australian </w:t>
            </w:r>
            <w:r>
              <w:t xml:space="preserve">Government </w:t>
            </w:r>
            <w:r w:rsidR="00010F27">
              <w:t xml:space="preserve">to </w:t>
            </w:r>
            <w:r>
              <w:t xml:space="preserve">invest in telecommunication services through its </w:t>
            </w:r>
            <w:r w:rsidR="005116DB">
              <w:t>Better Connectivity for Rural and Regional Australia Plan</w:t>
            </w:r>
            <w:r>
              <w:t>, which will provide significant improvement in regional connectivity</w:t>
            </w:r>
            <w:r w:rsidR="00F51755">
              <w:t>. T</w:t>
            </w:r>
            <w:r w:rsidR="00463D03">
              <w:t xml:space="preserve">he Government </w:t>
            </w:r>
            <w:r w:rsidR="00010F27">
              <w:t xml:space="preserve">to </w:t>
            </w:r>
            <w:r w:rsidR="00463D03">
              <w:t>encourage co</w:t>
            </w:r>
            <w:r w:rsidR="001D4A21">
              <w:noBreakHyphen/>
            </w:r>
            <w:r w:rsidR="00463D03">
              <w:t xml:space="preserve">investment </w:t>
            </w:r>
            <w:r w:rsidR="00F81AC9">
              <w:t>by</w:t>
            </w:r>
            <w:r w:rsidR="00463D03">
              <w:t xml:space="preserve"> industry and States and Territories</w:t>
            </w:r>
            <w:r w:rsidR="00DB25B0">
              <w:t xml:space="preserve"> to maximise outcomes</w:t>
            </w:r>
            <w:r w:rsidR="008D5410">
              <w:t>.</w:t>
            </w:r>
            <w:r w:rsidR="00141908">
              <w:rPr>
                <w:color w:val="000000"/>
              </w:rPr>
              <w:t xml:space="preserve"> </w:t>
            </w:r>
            <w:r w:rsidRPr="004D52FF">
              <w:t xml:space="preserve">Banks </w:t>
            </w:r>
            <w:r>
              <w:t xml:space="preserve">should continue to provide digital literacy support for </w:t>
            </w:r>
            <w:r w:rsidR="000904B9">
              <w:t>people experiencing vulnerability</w:t>
            </w:r>
            <w:r>
              <w:t xml:space="preserve"> </w:t>
            </w:r>
            <w:r w:rsidRPr="004D52FF">
              <w:t xml:space="preserve">and coordinate </w:t>
            </w:r>
            <w:r w:rsidR="00C86EE9">
              <w:t xml:space="preserve">with </w:t>
            </w:r>
            <w:r w:rsidR="000357EA">
              <w:t xml:space="preserve">the Government </w:t>
            </w:r>
            <w:r w:rsidR="000B712F">
              <w:t xml:space="preserve">on </w:t>
            </w:r>
            <w:r w:rsidRPr="004D52FF">
              <w:t>digital education programs</w:t>
            </w:r>
            <w:r w:rsidR="000B712F">
              <w:t>,</w:t>
            </w:r>
            <w:r w:rsidRPr="004D52FF">
              <w:t xml:space="preserve"> </w:t>
            </w:r>
            <w:r w:rsidR="000904B9">
              <w:t>such as</w:t>
            </w:r>
            <w:r w:rsidRPr="004D52FF">
              <w:t xml:space="preserve"> the Government</w:t>
            </w:r>
            <w:r w:rsidR="001D4A21">
              <w:t>’</w:t>
            </w:r>
            <w:r w:rsidRPr="004D52FF">
              <w:t xml:space="preserve">s </w:t>
            </w:r>
            <w:r w:rsidR="001D4A21">
              <w:t>‘</w:t>
            </w:r>
            <w:r w:rsidRPr="004D52FF">
              <w:t>Be Connected</w:t>
            </w:r>
            <w:r w:rsidR="001D4A21">
              <w:t>’</w:t>
            </w:r>
            <w:r w:rsidRPr="004D52FF">
              <w:t xml:space="preserve"> program for improving digital literacy for older Australians</w:t>
            </w:r>
            <w:r>
              <w:t>.</w:t>
            </w:r>
          </w:p>
        </w:tc>
      </w:tr>
    </w:tbl>
    <w:p w14:paraId="0A69D5BC" w14:textId="3638FDC0" w:rsidR="00B02136" w:rsidRPr="006F09F2" w:rsidRDefault="00B02136" w:rsidP="00E0440E">
      <w:pPr>
        <w:pStyle w:val="Heading2"/>
        <w:rPr>
          <w:b/>
        </w:rPr>
      </w:pPr>
      <w:bookmarkStart w:id="94" w:name="_Toc97809923"/>
      <w:bookmarkStart w:id="95" w:name="_Toc97904382"/>
      <w:bookmarkStart w:id="96" w:name="_Toc98245366"/>
      <w:bookmarkStart w:id="97" w:name="_Toc98508547"/>
      <w:bookmarkStart w:id="98" w:name="_Toc107323280"/>
      <w:bookmarkStart w:id="99" w:name="_Toc107987049"/>
      <w:bookmarkStart w:id="100" w:name="_Toc115190898"/>
      <w:bookmarkEnd w:id="88"/>
      <w:r w:rsidRPr="006F09F2">
        <w:t>There are gaps in current points of presence data collection and reporting arrangements</w:t>
      </w:r>
      <w:bookmarkEnd w:id="94"/>
      <w:bookmarkEnd w:id="95"/>
      <w:bookmarkEnd w:id="96"/>
      <w:bookmarkEnd w:id="97"/>
      <w:bookmarkEnd w:id="98"/>
      <w:bookmarkEnd w:id="99"/>
      <w:bookmarkEnd w:id="100"/>
      <w:r w:rsidRPr="006F09F2">
        <w:t xml:space="preserve"> </w:t>
      </w:r>
    </w:p>
    <w:p w14:paraId="22930256" w14:textId="38056165" w:rsidR="002C42E7" w:rsidRDefault="00B02136" w:rsidP="00B02136">
      <w:pPr>
        <w:rPr>
          <w:rFonts w:cs="Calibri Light"/>
          <w:szCs w:val="22"/>
        </w:rPr>
      </w:pPr>
      <w:r w:rsidRPr="006F09F2">
        <w:rPr>
          <w:rFonts w:cs="Calibri Light"/>
          <w:szCs w:val="22"/>
        </w:rPr>
        <w:t xml:space="preserve">Currently </w:t>
      </w:r>
      <w:r w:rsidR="008A63B0">
        <w:rPr>
          <w:rFonts w:cs="Calibri Light"/>
          <w:szCs w:val="22"/>
        </w:rPr>
        <w:t>APRA</w:t>
      </w:r>
      <w:r w:rsidRPr="006F09F2">
        <w:rPr>
          <w:rFonts w:cs="Calibri Light"/>
          <w:szCs w:val="22"/>
        </w:rPr>
        <w:t xml:space="preserve"> collects and publishes points of presence data </w:t>
      </w:r>
      <w:r w:rsidR="002C42E7">
        <w:rPr>
          <w:rFonts w:cs="Calibri Light"/>
          <w:szCs w:val="22"/>
        </w:rPr>
        <w:t>annually</w:t>
      </w:r>
      <w:r w:rsidRPr="006F09F2">
        <w:rPr>
          <w:rFonts w:cs="Calibri Light"/>
          <w:szCs w:val="22"/>
        </w:rPr>
        <w:t xml:space="preserve"> for</w:t>
      </w:r>
      <w:r w:rsidRPr="006F09F2" w:rsidDel="00206B8B">
        <w:rPr>
          <w:rFonts w:cs="Calibri Light"/>
          <w:szCs w:val="22"/>
        </w:rPr>
        <w:t xml:space="preserve"> Authorised Deposit</w:t>
      </w:r>
      <w:r w:rsidR="001D4A21">
        <w:rPr>
          <w:rFonts w:cs="Calibri Light"/>
          <w:szCs w:val="22"/>
        </w:rPr>
        <w:noBreakHyphen/>
      </w:r>
      <w:r w:rsidRPr="006F09F2" w:rsidDel="00206B8B">
        <w:rPr>
          <w:rFonts w:cs="Calibri Light"/>
          <w:szCs w:val="22"/>
        </w:rPr>
        <w:t>taking Institutions (</w:t>
      </w:r>
      <w:r w:rsidR="00D25111" w:rsidDel="00206B8B">
        <w:rPr>
          <w:rFonts w:cs="Calibri Light"/>
          <w:szCs w:val="22"/>
        </w:rPr>
        <w:t xml:space="preserve">ADIs or </w:t>
      </w:r>
      <w:r w:rsidRPr="006F09F2" w:rsidDel="00206B8B">
        <w:rPr>
          <w:rFonts w:cs="Calibri Light"/>
          <w:szCs w:val="22"/>
        </w:rPr>
        <w:t>banks</w:t>
      </w:r>
      <w:r w:rsidRPr="006F09F2">
        <w:rPr>
          <w:rFonts w:cs="Calibri Light"/>
          <w:szCs w:val="22"/>
        </w:rPr>
        <w:t xml:space="preserve">). </w:t>
      </w:r>
      <w:r w:rsidR="00CC766D">
        <w:rPr>
          <w:rFonts w:cs="Calibri Light"/>
          <w:szCs w:val="22"/>
        </w:rPr>
        <w:t xml:space="preserve">The APRA </w:t>
      </w:r>
      <w:r w:rsidR="001E4EF4">
        <w:rPr>
          <w:rFonts w:cs="Calibri Light"/>
          <w:szCs w:val="22"/>
        </w:rPr>
        <w:t>P</w:t>
      </w:r>
      <w:r w:rsidR="00CC766D">
        <w:rPr>
          <w:rFonts w:cs="Calibri Light"/>
          <w:szCs w:val="22"/>
        </w:rPr>
        <w:t xml:space="preserve">oints of </w:t>
      </w:r>
      <w:r w:rsidR="001E4EF4">
        <w:rPr>
          <w:rFonts w:cs="Calibri Light"/>
          <w:szCs w:val="22"/>
        </w:rPr>
        <w:t>P</w:t>
      </w:r>
      <w:r w:rsidR="00CC766D">
        <w:rPr>
          <w:rFonts w:cs="Calibri Light"/>
          <w:szCs w:val="22"/>
        </w:rPr>
        <w:t>resence</w:t>
      </w:r>
      <w:r w:rsidR="00CC766D" w:rsidRPr="006F09F2">
        <w:rPr>
          <w:rFonts w:cs="Calibri Light"/>
          <w:szCs w:val="22"/>
        </w:rPr>
        <w:t xml:space="preserve"> </w:t>
      </w:r>
      <w:r w:rsidRPr="006F09F2">
        <w:rPr>
          <w:rFonts w:cs="Calibri Light"/>
          <w:szCs w:val="22"/>
        </w:rPr>
        <w:t xml:space="preserve">publication provides </w:t>
      </w:r>
      <w:r w:rsidR="00C3627A">
        <w:rPr>
          <w:rFonts w:cs="Calibri Light"/>
          <w:szCs w:val="22"/>
        </w:rPr>
        <w:t>information on</w:t>
      </w:r>
      <w:r w:rsidRPr="006F09F2">
        <w:rPr>
          <w:rFonts w:cs="Calibri Light"/>
          <w:szCs w:val="22"/>
        </w:rPr>
        <w:t xml:space="preserve"> the physical banking service channels provided to Australians by ADIs</w:t>
      </w:r>
      <w:r w:rsidR="00C3627A">
        <w:rPr>
          <w:rFonts w:cs="Calibri Light"/>
          <w:szCs w:val="22"/>
        </w:rPr>
        <w:t>, including</w:t>
      </w:r>
      <w:r w:rsidRPr="006F09F2">
        <w:rPr>
          <w:rFonts w:cs="Calibri Light"/>
          <w:szCs w:val="22"/>
        </w:rPr>
        <w:t xml:space="preserve">: </w:t>
      </w:r>
    </w:p>
    <w:p w14:paraId="738ECAE1" w14:textId="22D60A2C" w:rsidR="002C42E7" w:rsidRPr="00CC766D" w:rsidRDefault="00B02136" w:rsidP="00585C89">
      <w:pPr>
        <w:pStyle w:val="Bullet"/>
      </w:pPr>
      <w:r w:rsidRPr="00CC766D">
        <w:t>face</w:t>
      </w:r>
      <w:r w:rsidR="001D4A21">
        <w:noBreakHyphen/>
      </w:r>
      <w:r w:rsidRPr="00CC766D">
        <w:t>to</w:t>
      </w:r>
      <w:r w:rsidR="001D4A21">
        <w:noBreakHyphen/>
      </w:r>
      <w:r w:rsidRPr="00CC766D">
        <w:t xml:space="preserve">face points of presence offering a branch level of service </w:t>
      </w:r>
    </w:p>
    <w:p w14:paraId="374AFD79" w14:textId="21BC0940" w:rsidR="002C42E7" w:rsidRPr="00CC766D" w:rsidRDefault="00B02136" w:rsidP="00585C89">
      <w:pPr>
        <w:pStyle w:val="Bullet"/>
      </w:pPr>
      <w:r w:rsidRPr="00CC766D">
        <w:t>other face</w:t>
      </w:r>
      <w:r w:rsidR="001D4A21">
        <w:noBreakHyphen/>
      </w:r>
      <w:r w:rsidRPr="00CC766D">
        <w:t>to</w:t>
      </w:r>
      <w:r w:rsidR="001D4A21">
        <w:noBreakHyphen/>
      </w:r>
      <w:r w:rsidRPr="00CC766D">
        <w:t xml:space="preserve">face points of presence </w:t>
      </w:r>
    </w:p>
    <w:p w14:paraId="380235F0" w14:textId="54BC7437" w:rsidR="002C42E7" w:rsidRPr="00CC766D" w:rsidRDefault="00B02136" w:rsidP="00585C89">
      <w:pPr>
        <w:pStyle w:val="Bullet"/>
      </w:pPr>
      <w:r w:rsidRPr="00CC766D">
        <w:t xml:space="preserve">ATMs </w:t>
      </w:r>
    </w:p>
    <w:p w14:paraId="7ACF5C45" w14:textId="5D46A013" w:rsidR="002C42E7" w:rsidRPr="00CC766D" w:rsidRDefault="00F96BE7" w:rsidP="00585C89">
      <w:pPr>
        <w:pStyle w:val="Bullet"/>
      </w:pPr>
      <w:r>
        <w:t>eftpos</w:t>
      </w:r>
      <w:r w:rsidR="00B02136" w:rsidRPr="00CC766D">
        <w:t xml:space="preserve"> machines. </w:t>
      </w:r>
    </w:p>
    <w:p w14:paraId="17134F87" w14:textId="3A50EDD1" w:rsidR="00B02136" w:rsidRPr="006F09F2" w:rsidRDefault="00ED2470" w:rsidP="00B02136">
      <w:pPr>
        <w:rPr>
          <w:rFonts w:cs="Calibri Light"/>
          <w:szCs w:val="22"/>
        </w:rPr>
      </w:pPr>
      <w:r w:rsidRPr="006F09F2">
        <w:rPr>
          <w:rFonts w:cs="Calibri Light"/>
          <w:szCs w:val="22"/>
        </w:rPr>
        <w:t xml:space="preserve">The publication </w:t>
      </w:r>
      <w:r w:rsidR="00B66A29">
        <w:rPr>
          <w:rFonts w:cs="Calibri Light"/>
          <w:szCs w:val="22"/>
        </w:rPr>
        <w:t>includes</w:t>
      </w:r>
      <w:r w:rsidRPr="006F09F2" w:rsidDel="00B66A29">
        <w:rPr>
          <w:rFonts w:cs="Calibri Light"/>
          <w:szCs w:val="22"/>
        </w:rPr>
        <w:t xml:space="preserve"> </w:t>
      </w:r>
      <w:r w:rsidRPr="006F09F2">
        <w:rPr>
          <w:rFonts w:cs="Calibri Light"/>
          <w:szCs w:val="22"/>
        </w:rPr>
        <w:t xml:space="preserve">how many branches </w:t>
      </w:r>
      <w:r w:rsidR="002C42E7">
        <w:rPr>
          <w:rFonts w:cs="Calibri Light"/>
          <w:szCs w:val="22"/>
        </w:rPr>
        <w:t xml:space="preserve">and ATMs </w:t>
      </w:r>
      <w:r w:rsidRPr="006F09F2">
        <w:rPr>
          <w:rFonts w:cs="Calibri Light"/>
          <w:szCs w:val="22"/>
        </w:rPr>
        <w:t>are in regional areas and each branch</w:t>
      </w:r>
      <w:r w:rsidR="001D4A21">
        <w:rPr>
          <w:rFonts w:cs="Calibri Light"/>
          <w:szCs w:val="22"/>
        </w:rPr>
        <w:t>’</w:t>
      </w:r>
      <w:r w:rsidRPr="006F09F2">
        <w:rPr>
          <w:rFonts w:cs="Calibri Light"/>
          <w:szCs w:val="22"/>
        </w:rPr>
        <w:t xml:space="preserve">s geospatial location. </w:t>
      </w:r>
      <w:r w:rsidR="00B81633">
        <w:rPr>
          <w:rFonts w:cs="Calibri Light"/>
          <w:szCs w:val="22"/>
        </w:rPr>
        <w:t xml:space="preserve">It currently provides helpful information on the decline in physical points of presence over time. </w:t>
      </w:r>
      <w:r w:rsidR="00B02136" w:rsidRPr="006F09F2">
        <w:rPr>
          <w:rFonts w:cs="Calibri Light"/>
          <w:szCs w:val="22"/>
        </w:rPr>
        <w:t xml:space="preserve">However, the </w:t>
      </w:r>
      <w:r w:rsidR="00FD701F">
        <w:rPr>
          <w:rFonts w:cs="Calibri Light"/>
          <w:szCs w:val="22"/>
        </w:rPr>
        <w:t>report does not include data on</w:t>
      </w:r>
      <w:r w:rsidR="00B02136" w:rsidRPr="006F09F2">
        <w:rPr>
          <w:rFonts w:cs="Calibri Light"/>
          <w:szCs w:val="22"/>
        </w:rPr>
        <w:t xml:space="preserve"> banking services provided online or via mobile banking applications, a key issue in a</w:t>
      </w:r>
      <w:r w:rsidR="0048269D" w:rsidRPr="006F09F2">
        <w:rPr>
          <w:rFonts w:cs="Calibri Light"/>
          <w:szCs w:val="22"/>
        </w:rPr>
        <w:t>n</w:t>
      </w:r>
      <w:r w:rsidR="00277628" w:rsidRPr="006F09F2">
        <w:rPr>
          <w:rFonts w:cs="Calibri Light"/>
          <w:szCs w:val="22"/>
        </w:rPr>
        <w:t xml:space="preserve"> increasingly</w:t>
      </w:r>
      <w:r w:rsidR="00B02136" w:rsidRPr="006F09F2">
        <w:rPr>
          <w:rFonts w:cs="Calibri Light"/>
          <w:szCs w:val="22"/>
        </w:rPr>
        <w:t xml:space="preserve"> digital world.</w:t>
      </w:r>
    </w:p>
    <w:p w14:paraId="6A11F63C" w14:textId="627EF2B8" w:rsidR="00B02136" w:rsidRPr="006F09F2" w:rsidRDefault="00B02136" w:rsidP="00B02136">
      <w:pPr>
        <w:rPr>
          <w:rFonts w:cs="Calibri Light"/>
          <w:szCs w:val="22"/>
        </w:rPr>
      </w:pPr>
      <w:r w:rsidRPr="006F09F2">
        <w:rPr>
          <w:rFonts w:cs="Calibri Light"/>
          <w:szCs w:val="22"/>
        </w:rPr>
        <w:t>To better understand and plan the transition away from branches, it is important to know what banking options are available and where (including virtual</w:t>
      </w:r>
      <w:r w:rsidR="009E113B">
        <w:rPr>
          <w:rFonts w:cs="Calibri Light"/>
          <w:szCs w:val="22"/>
        </w:rPr>
        <w:t xml:space="preserve"> options</w:t>
      </w:r>
      <w:r w:rsidRPr="006F09F2">
        <w:rPr>
          <w:rFonts w:cs="Calibri Light"/>
          <w:szCs w:val="22"/>
        </w:rPr>
        <w:t>). In light of this</w:t>
      </w:r>
      <w:r w:rsidR="002C42E7">
        <w:rPr>
          <w:rFonts w:cs="Calibri Light"/>
          <w:szCs w:val="22"/>
        </w:rPr>
        <w:t>,</w:t>
      </w:r>
      <w:r w:rsidRPr="006F09F2">
        <w:rPr>
          <w:rFonts w:cs="Calibri Light"/>
          <w:szCs w:val="22"/>
        </w:rPr>
        <w:t xml:space="preserve"> the Taskforce recommends APRA review its </w:t>
      </w:r>
      <w:r w:rsidR="00EF19D9">
        <w:rPr>
          <w:rFonts w:cs="Calibri Light"/>
          <w:szCs w:val="22"/>
        </w:rPr>
        <w:t>P</w:t>
      </w:r>
      <w:r w:rsidRPr="006F09F2">
        <w:rPr>
          <w:rFonts w:cs="Calibri Light"/>
          <w:szCs w:val="22"/>
        </w:rPr>
        <w:t xml:space="preserve">oints of </w:t>
      </w:r>
      <w:r w:rsidR="00EF19D9">
        <w:rPr>
          <w:rFonts w:cs="Calibri Light"/>
          <w:szCs w:val="22"/>
        </w:rPr>
        <w:t>P</w:t>
      </w:r>
      <w:r w:rsidRPr="006F09F2">
        <w:rPr>
          <w:rFonts w:cs="Calibri Light"/>
          <w:szCs w:val="22"/>
        </w:rPr>
        <w:t>resence collection</w:t>
      </w:r>
      <w:r w:rsidR="00CC03FB">
        <w:rPr>
          <w:rFonts w:cs="Calibri Light"/>
          <w:szCs w:val="22"/>
        </w:rPr>
        <w:t xml:space="preserve"> to better </w:t>
      </w:r>
      <w:r w:rsidR="00CC03FB" w:rsidRPr="00CC03FB">
        <w:rPr>
          <w:rFonts w:cs="Calibri Light"/>
          <w:szCs w:val="22"/>
        </w:rPr>
        <w:t xml:space="preserve">capture indicators </w:t>
      </w:r>
      <w:r w:rsidR="005D38D2">
        <w:rPr>
          <w:rFonts w:cs="Calibri Light"/>
          <w:szCs w:val="22"/>
        </w:rPr>
        <w:t>of</w:t>
      </w:r>
      <w:r w:rsidR="00CC03FB" w:rsidRPr="00CC03FB">
        <w:rPr>
          <w:rFonts w:cs="Calibri Light"/>
          <w:szCs w:val="22"/>
        </w:rPr>
        <w:t xml:space="preserve"> how banking services are accessed, including through digital channels</w:t>
      </w:r>
      <w:r w:rsidR="00CC03FB">
        <w:rPr>
          <w:rFonts w:cs="Calibri Light"/>
          <w:szCs w:val="22"/>
        </w:rPr>
        <w:t>. Th</w:t>
      </w:r>
      <w:r w:rsidR="008A6D2C">
        <w:rPr>
          <w:rFonts w:cs="Calibri Light"/>
          <w:szCs w:val="22"/>
        </w:rPr>
        <w:t xml:space="preserve">is </w:t>
      </w:r>
      <w:r w:rsidR="002D41F2">
        <w:rPr>
          <w:rFonts w:cs="Calibri Light"/>
          <w:szCs w:val="22"/>
        </w:rPr>
        <w:t>sh</w:t>
      </w:r>
      <w:r w:rsidR="00816258">
        <w:rPr>
          <w:rFonts w:cs="Calibri Light"/>
          <w:szCs w:val="22"/>
        </w:rPr>
        <w:t xml:space="preserve">ould be undertaken in consultation with industry and data users and </w:t>
      </w:r>
      <w:r w:rsidR="00CC03FB">
        <w:rPr>
          <w:rFonts w:cs="Calibri Light"/>
          <w:szCs w:val="22"/>
        </w:rPr>
        <w:t xml:space="preserve">include consideration of how to assess </w:t>
      </w:r>
      <w:r w:rsidR="005D38D2">
        <w:rPr>
          <w:rFonts w:cs="Calibri Light"/>
          <w:szCs w:val="22"/>
        </w:rPr>
        <w:t>how banking services are accessed in different ways</w:t>
      </w:r>
      <w:r w:rsidR="00C3627A">
        <w:rPr>
          <w:rFonts w:cs="Calibri Light"/>
          <w:szCs w:val="22"/>
        </w:rPr>
        <w:t xml:space="preserve">. </w:t>
      </w:r>
      <w:bookmarkEnd w:id="25"/>
      <w:bookmarkEnd w:id="26"/>
    </w:p>
    <w:tbl>
      <w:tblPr>
        <w:tblW w:w="5000" w:type="pct"/>
        <w:shd w:val="clear" w:color="auto" w:fill="F2F9FC"/>
        <w:tblCellMar>
          <w:top w:w="227" w:type="dxa"/>
          <w:left w:w="227" w:type="dxa"/>
          <w:bottom w:w="227" w:type="dxa"/>
          <w:right w:w="227" w:type="dxa"/>
        </w:tblCellMar>
        <w:tblLook w:val="04A0" w:firstRow="1" w:lastRow="0" w:firstColumn="1" w:lastColumn="0" w:noHBand="0" w:noVBand="1"/>
      </w:tblPr>
      <w:tblGrid>
        <w:gridCol w:w="9070"/>
      </w:tblGrid>
      <w:tr w:rsidR="00B02136" w:rsidRPr="006F09F2" w14:paraId="7592AF66" w14:textId="77777777" w:rsidTr="00E97333">
        <w:trPr>
          <w:trHeight w:val="1900"/>
        </w:trPr>
        <w:tc>
          <w:tcPr>
            <w:tcW w:w="9072" w:type="dxa"/>
            <w:shd w:val="clear" w:color="auto" w:fill="F2F9FC"/>
          </w:tcPr>
          <w:p w14:paraId="4424EC39" w14:textId="709D0994" w:rsidR="00312998" w:rsidRPr="006F09F2" w:rsidRDefault="00B02136" w:rsidP="00312998">
            <w:pPr>
              <w:pStyle w:val="BoxHeading"/>
            </w:pPr>
            <w:r w:rsidRPr="006F09F2">
              <w:t xml:space="preserve">Recommendation </w:t>
            </w:r>
            <w:r w:rsidR="00F076F8">
              <w:t>7</w:t>
            </w:r>
            <w:r w:rsidR="001D4A21">
              <w:t xml:space="preserve"> – </w:t>
            </w:r>
            <w:r w:rsidR="00312998" w:rsidRPr="006F09F2">
              <w:t xml:space="preserve">Review the APRA </w:t>
            </w:r>
            <w:r w:rsidR="00312998">
              <w:t>P</w:t>
            </w:r>
            <w:r w:rsidR="00312998" w:rsidRPr="006F09F2">
              <w:t xml:space="preserve">oints of </w:t>
            </w:r>
            <w:r w:rsidR="00312998">
              <w:t>P</w:t>
            </w:r>
            <w:r w:rsidR="00312998" w:rsidRPr="006F09F2">
              <w:t>resence collection</w:t>
            </w:r>
          </w:p>
          <w:p w14:paraId="3EBD0C6E" w14:textId="1CFCCADF" w:rsidR="00B02136" w:rsidRPr="003A292F" w:rsidRDefault="00312998" w:rsidP="00E97333">
            <w:pPr>
              <w:rPr>
                <w:szCs w:val="28"/>
              </w:rPr>
            </w:pPr>
            <w:r w:rsidRPr="00312998">
              <w:rPr>
                <w:rFonts w:cs="Calibri Light"/>
                <w:szCs w:val="22"/>
              </w:rPr>
              <w:t xml:space="preserve">Australian Prudential </w:t>
            </w:r>
            <w:r w:rsidR="006B091C">
              <w:rPr>
                <w:rFonts w:cs="Calibri Light"/>
                <w:szCs w:val="22"/>
              </w:rPr>
              <w:t>Regulation</w:t>
            </w:r>
            <w:r w:rsidR="006B091C" w:rsidRPr="00312998">
              <w:rPr>
                <w:rFonts w:cs="Calibri Light"/>
                <w:szCs w:val="22"/>
              </w:rPr>
              <w:t xml:space="preserve"> </w:t>
            </w:r>
            <w:r w:rsidRPr="00312998">
              <w:rPr>
                <w:rFonts w:cs="Calibri Light"/>
                <w:szCs w:val="22"/>
              </w:rPr>
              <w:t xml:space="preserve">Authority (APRA) to commence </w:t>
            </w:r>
            <w:r w:rsidR="000134E8">
              <w:rPr>
                <w:rFonts w:cs="Calibri Light"/>
                <w:szCs w:val="22"/>
              </w:rPr>
              <w:t xml:space="preserve">in 2022 </w:t>
            </w:r>
            <w:r w:rsidRPr="00312998">
              <w:rPr>
                <w:rFonts w:cs="Calibri Light"/>
                <w:szCs w:val="22"/>
              </w:rPr>
              <w:t>a review of its Authorised Deposit</w:t>
            </w:r>
            <w:r w:rsidR="001D4A21">
              <w:rPr>
                <w:rFonts w:cs="Calibri Light"/>
                <w:szCs w:val="22"/>
              </w:rPr>
              <w:noBreakHyphen/>
            </w:r>
            <w:r w:rsidRPr="00312998">
              <w:rPr>
                <w:rFonts w:cs="Calibri Light"/>
                <w:szCs w:val="22"/>
              </w:rPr>
              <w:t xml:space="preserve">taking Institutions (ADI) Points of Presence collection to better capture indicators </w:t>
            </w:r>
            <w:r w:rsidR="000134E8">
              <w:rPr>
                <w:rFonts w:cs="Calibri Light"/>
                <w:szCs w:val="22"/>
              </w:rPr>
              <w:t>on</w:t>
            </w:r>
            <w:r w:rsidRPr="00312998">
              <w:rPr>
                <w:rFonts w:cs="Calibri Light"/>
                <w:szCs w:val="22"/>
              </w:rPr>
              <w:t xml:space="preserve"> how banking services are accessed</w:t>
            </w:r>
            <w:r w:rsidR="00E17731">
              <w:rPr>
                <w:rFonts w:cs="Calibri Light"/>
                <w:szCs w:val="22"/>
              </w:rPr>
              <w:t>, with public consultation in early 2023</w:t>
            </w:r>
            <w:r w:rsidR="00B02136" w:rsidRPr="00312998" w:rsidDel="00312998">
              <w:rPr>
                <w:rFonts w:cs="Calibri Light"/>
                <w:szCs w:val="22"/>
              </w:rPr>
              <w:t>.</w:t>
            </w:r>
          </w:p>
        </w:tc>
      </w:tr>
    </w:tbl>
    <w:p w14:paraId="79ECBAC4" w14:textId="77777777" w:rsidR="00925CB8" w:rsidRDefault="00925CB8">
      <w:pPr>
        <w:spacing w:before="0" w:after="160" w:line="259" w:lineRule="auto"/>
        <w:rPr>
          <w:rFonts w:asciiTheme="minorHAnsi" w:hAnsiTheme="minorHAnsi" w:cstheme="minorHAnsi"/>
          <w:szCs w:val="22"/>
          <w:highlight w:val="yellow"/>
        </w:rPr>
      </w:pPr>
      <w:r>
        <w:rPr>
          <w:rFonts w:asciiTheme="minorHAnsi" w:hAnsiTheme="minorHAnsi" w:cstheme="minorHAnsi"/>
          <w:szCs w:val="22"/>
          <w:highlight w:val="yellow"/>
        </w:rPr>
        <w:br w:type="page"/>
      </w:r>
    </w:p>
    <w:p w14:paraId="678C9C9F" w14:textId="693035EC" w:rsidR="00925CB8" w:rsidRDefault="00925CB8" w:rsidP="00925CB8">
      <w:pPr>
        <w:pStyle w:val="Heading2"/>
      </w:pPr>
      <w:bookmarkStart w:id="101" w:name="_Toc88123452"/>
      <w:bookmarkStart w:id="102" w:name="_Toc107987050"/>
      <w:bookmarkStart w:id="103" w:name="_Toc115190899"/>
      <w:r>
        <w:lastRenderedPageBreak/>
        <w:t>References</w:t>
      </w:r>
      <w:bookmarkEnd w:id="101"/>
      <w:bookmarkEnd w:id="102"/>
      <w:bookmarkEnd w:id="103"/>
    </w:p>
    <w:p w14:paraId="1C9D7F42" w14:textId="77777777" w:rsidR="00531EF6" w:rsidRDefault="00531EF6" w:rsidP="00531EF6">
      <w:pPr>
        <w:rPr>
          <w:rFonts w:asciiTheme="minorHAnsi" w:hAnsiTheme="minorHAnsi" w:cstheme="minorHAnsi"/>
        </w:rPr>
      </w:pPr>
      <w:r>
        <w:rPr>
          <w:rFonts w:asciiTheme="minorHAnsi" w:hAnsiTheme="minorHAnsi" w:cstheme="minorHAnsi"/>
        </w:rPr>
        <w:t xml:space="preserve">ABA (Australian Banking Association) (2015) </w:t>
      </w:r>
      <w:hyperlink r:id="rId27" w:history="1">
        <w:r w:rsidRPr="00531EF6">
          <w:rPr>
            <w:rStyle w:val="Hyperlink"/>
            <w:rFonts w:asciiTheme="minorHAnsi" w:hAnsiTheme="minorHAnsi" w:cstheme="minorHAnsi"/>
            <w:i/>
            <w:iCs/>
          </w:rPr>
          <w:t>Branch Closure Protocol</w:t>
        </w:r>
      </w:hyperlink>
      <w:r>
        <w:rPr>
          <w:rFonts w:asciiTheme="minorHAnsi" w:hAnsiTheme="minorHAnsi" w:cstheme="minorHAnsi"/>
        </w:rPr>
        <w:t xml:space="preserve">, ABA. </w:t>
      </w:r>
    </w:p>
    <w:p w14:paraId="7178EEFC" w14:textId="7084BD1A" w:rsidR="00EC5EE3" w:rsidRDefault="00EC5EE3" w:rsidP="00081F4E">
      <w:pPr>
        <w:rPr>
          <w:rFonts w:asciiTheme="minorHAnsi" w:hAnsiTheme="minorHAnsi" w:cstheme="minorHAnsi"/>
        </w:rPr>
      </w:pPr>
      <w:r>
        <w:rPr>
          <w:rFonts w:asciiTheme="minorHAnsi" w:hAnsiTheme="minorHAnsi" w:cstheme="minorHAnsi"/>
        </w:rPr>
        <w:t>ABA</w:t>
      </w:r>
      <w:r w:rsidR="007E2649">
        <w:rPr>
          <w:rFonts w:asciiTheme="minorHAnsi" w:hAnsiTheme="minorHAnsi" w:cstheme="minorHAnsi"/>
        </w:rPr>
        <w:t xml:space="preserve"> </w:t>
      </w:r>
      <w:r w:rsidR="00C137DD">
        <w:rPr>
          <w:rFonts w:asciiTheme="minorHAnsi" w:hAnsiTheme="minorHAnsi" w:cstheme="minorHAnsi"/>
        </w:rPr>
        <w:t>(</w:t>
      </w:r>
      <w:r w:rsidR="006721C8">
        <w:rPr>
          <w:rFonts w:asciiTheme="minorHAnsi" w:hAnsiTheme="minorHAnsi" w:cstheme="minorHAnsi"/>
        </w:rPr>
        <w:t xml:space="preserve">2021) </w:t>
      </w:r>
      <w:hyperlink r:id="rId28" w:history="1">
        <w:r w:rsidR="00081F4E" w:rsidRPr="00351CAC">
          <w:rPr>
            <w:rStyle w:val="Hyperlink"/>
            <w:rFonts w:asciiTheme="minorHAnsi" w:hAnsiTheme="minorHAnsi" w:cstheme="minorHAnsi"/>
            <w:i/>
            <w:iCs/>
          </w:rPr>
          <w:t>Banking Code of Practice</w:t>
        </w:r>
      </w:hyperlink>
      <w:r w:rsidR="00284BA9">
        <w:rPr>
          <w:rFonts w:asciiTheme="minorHAnsi" w:hAnsiTheme="minorHAnsi" w:cstheme="minorHAnsi"/>
        </w:rPr>
        <w:t>, ABA</w:t>
      </w:r>
      <w:r w:rsidR="00F548DE">
        <w:rPr>
          <w:rFonts w:asciiTheme="minorHAnsi" w:hAnsiTheme="minorHAnsi" w:cstheme="minorHAnsi"/>
        </w:rPr>
        <w:t>.</w:t>
      </w:r>
    </w:p>
    <w:p w14:paraId="21036E4C" w14:textId="05465529" w:rsidR="00410D22" w:rsidRPr="008933D2" w:rsidRDefault="00410D22" w:rsidP="00410D22">
      <w:pPr>
        <w:rPr>
          <w:rFonts w:asciiTheme="minorHAnsi" w:hAnsiTheme="minorHAnsi" w:cstheme="minorHAnsi"/>
        </w:rPr>
      </w:pPr>
      <w:r>
        <w:rPr>
          <w:rFonts w:asciiTheme="minorHAnsi" w:hAnsiTheme="minorHAnsi" w:cstheme="minorHAnsi"/>
        </w:rPr>
        <w:t>ABS (</w:t>
      </w:r>
      <w:r w:rsidRPr="008933D2">
        <w:rPr>
          <w:rFonts w:asciiTheme="minorHAnsi" w:hAnsiTheme="minorHAnsi" w:cstheme="minorHAnsi"/>
        </w:rPr>
        <w:t>Australian Bureau of Statistics</w:t>
      </w:r>
      <w:r>
        <w:rPr>
          <w:rFonts w:asciiTheme="minorHAnsi" w:hAnsiTheme="minorHAnsi" w:cstheme="minorHAnsi"/>
        </w:rPr>
        <w:t>)</w:t>
      </w:r>
      <w:r w:rsidRPr="008933D2">
        <w:rPr>
          <w:rFonts w:asciiTheme="minorHAnsi" w:hAnsiTheme="minorHAnsi" w:cstheme="minorHAnsi"/>
        </w:rPr>
        <w:t xml:space="preserve"> (202</w:t>
      </w:r>
      <w:r>
        <w:rPr>
          <w:rFonts w:asciiTheme="minorHAnsi" w:hAnsiTheme="minorHAnsi" w:cstheme="minorHAnsi"/>
        </w:rPr>
        <w:t>1</w:t>
      </w:r>
      <w:r w:rsidRPr="008933D2">
        <w:rPr>
          <w:rFonts w:asciiTheme="minorHAnsi" w:hAnsiTheme="minorHAnsi" w:cstheme="minorHAnsi"/>
        </w:rPr>
        <w:t>)</w:t>
      </w:r>
      <w:r w:rsidR="006F2E2D" w:rsidRPr="006F2E2D">
        <w:rPr>
          <w:rStyle w:val="Hyperlink"/>
          <w:rFonts w:ascii="Calibri" w:hAnsi="Calibri" w:cs="Calibri"/>
          <w:i/>
          <w:szCs w:val="22"/>
        </w:rPr>
        <w:t xml:space="preserve"> </w:t>
      </w:r>
      <w:hyperlink r:id="rId29" w:history="1">
        <w:r w:rsidR="006F2E2D" w:rsidRPr="00545440">
          <w:rPr>
            <w:rStyle w:val="Hyperlink"/>
            <w:rFonts w:ascii="Calibri" w:hAnsi="Calibri" w:cs="Calibri"/>
            <w:i/>
            <w:szCs w:val="22"/>
          </w:rPr>
          <w:t>Australian System of National Accounts</w:t>
        </w:r>
      </w:hyperlink>
      <w:r>
        <w:rPr>
          <w:rFonts w:ascii="Calibri" w:hAnsi="Calibri" w:cs="Calibri"/>
          <w:szCs w:val="22"/>
        </w:rPr>
        <w:t>,</w:t>
      </w:r>
      <w:r w:rsidRPr="008933D2">
        <w:rPr>
          <w:rFonts w:asciiTheme="minorHAnsi" w:hAnsiTheme="minorHAnsi" w:cstheme="minorHAnsi"/>
          <w:i/>
          <w:iCs/>
        </w:rPr>
        <w:t> </w:t>
      </w:r>
      <w:r w:rsidRPr="008933D2">
        <w:rPr>
          <w:rFonts w:asciiTheme="minorHAnsi" w:hAnsiTheme="minorHAnsi" w:cstheme="minorHAnsi"/>
        </w:rPr>
        <w:t>ABS</w:t>
      </w:r>
      <w:r w:rsidR="00CB6AA8">
        <w:rPr>
          <w:rFonts w:asciiTheme="minorHAnsi" w:hAnsiTheme="minorHAnsi" w:cstheme="minorHAnsi"/>
        </w:rPr>
        <w:t xml:space="preserve"> Website</w:t>
      </w:r>
      <w:r w:rsidR="00816578">
        <w:rPr>
          <w:rFonts w:asciiTheme="minorHAnsi" w:hAnsiTheme="minorHAnsi" w:cstheme="minorHAnsi"/>
        </w:rPr>
        <w:t>, accessed July 5 2022</w:t>
      </w:r>
      <w:r w:rsidR="00F548DE">
        <w:rPr>
          <w:rFonts w:asciiTheme="minorHAnsi" w:hAnsiTheme="minorHAnsi" w:cstheme="minorHAnsi"/>
        </w:rPr>
        <w:t>.</w:t>
      </w:r>
    </w:p>
    <w:p w14:paraId="780AB6A2" w14:textId="5D963B39" w:rsidR="00A557BF" w:rsidRPr="000254AE" w:rsidRDefault="00403925" w:rsidP="00081F4E">
      <w:pPr>
        <w:rPr>
          <w:rFonts w:asciiTheme="minorHAnsi" w:hAnsiTheme="minorHAnsi" w:cstheme="minorHAnsi"/>
        </w:rPr>
      </w:pPr>
      <w:r>
        <w:rPr>
          <w:rFonts w:asciiTheme="minorHAnsi" w:hAnsiTheme="minorHAnsi" w:cstheme="minorHAnsi"/>
        </w:rPr>
        <w:t>ABS</w:t>
      </w:r>
      <w:r w:rsidRPr="008933D2">
        <w:rPr>
          <w:rFonts w:asciiTheme="minorHAnsi" w:hAnsiTheme="minorHAnsi" w:cstheme="minorHAnsi"/>
        </w:rPr>
        <w:t xml:space="preserve"> (202</w:t>
      </w:r>
      <w:r w:rsidR="00410D22">
        <w:rPr>
          <w:rFonts w:asciiTheme="minorHAnsi" w:hAnsiTheme="minorHAnsi" w:cstheme="minorHAnsi"/>
        </w:rPr>
        <w:t>2</w:t>
      </w:r>
      <w:r w:rsidRPr="008933D2">
        <w:rPr>
          <w:rFonts w:asciiTheme="minorHAnsi" w:hAnsiTheme="minorHAnsi" w:cstheme="minorHAnsi"/>
        </w:rPr>
        <w:t>) </w:t>
      </w:r>
      <w:hyperlink r:id="rId30" w:history="1">
        <w:r w:rsidR="007C74DA" w:rsidRPr="00C60CA2">
          <w:rPr>
            <w:rStyle w:val="Hyperlink"/>
            <w:rFonts w:asciiTheme="minorHAnsi" w:hAnsiTheme="minorHAnsi" w:cstheme="minorHAnsi"/>
            <w:i/>
            <w:iCs/>
          </w:rPr>
          <w:t>Labour Force, Australia, Detailed</w:t>
        </w:r>
      </w:hyperlink>
      <w:r w:rsidR="000254AE">
        <w:rPr>
          <w:rFonts w:asciiTheme="minorHAnsi" w:hAnsiTheme="minorHAnsi" w:cstheme="minorHAnsi"/>
        </w:rPr>
        <w:t>, ABS</w:t>
      </w:r>
      <w:r w:rsidR="00CB6AA8">
        <w:rPr>
          <w:rFonts w:asciiTheme="minorHAnsi" w:hAnsiTheme="minorHAnsi" w:cstheme="minorHAnsi"/>
        </w:rPr>
        <w:t xml:space="preserve"> Website</w:t>
      </w:r>
      <w:r w:rsidR="00BE43E9">
        <w:rPr>
          <w:rFonts w:asciiTheme="minorHAnsi" w:hAnsiTheme="minorHAnsi" w:cstheme="minorHAnsi"/>
        </w:rPr>
        <w:t xml:space="preserve">, accessed </w:t>
      </w:r>
      <w:r w:rsidR="00816578">
        <w:rPr>
          <w:rFonts w:asciiTheme="minorHAnsi" w:hAnsiTheme="minorHAnsi" w:cstheme="minorHAnsi"/>
        </w:rPr>
        <w:t>July 5 2022</w:t>
      </w:r>
      <w:r w:rsidR="00F548DE">
        <w:rPr>
          <w:rFonts w:asciiTheme="minorHAnsi" w:hAnsiTheme="minorHAnsi" w:cstheme="minorHAnsi"/>
        </w:rPr>
        <w:t>.</w:t>
      </w:r>
    </w:p>
    <w:p w14:paraId="35890D49" w14:textId="0FFC95F0" w:rsidR="008255FD" w:rsidRPr="002E6831" w:rsidRDefault="008255FD" w:rsidP="008255FD">
      <w:pPr>
        <w:rPr>
          <w:rFonts w:ascii="Calibri" w:hAnsi="Calibri" w:cs="Calibri"/>
          <w:szCs w:val="22"/>
        </w:rPr>
      </w:pPr>
      <w:r w:rsidRPr="002E6831">
        <w:rPr>
          <w:rFonts w:ascii="Calibri" w:hAnsi="Calibri" w:cs="Calibri"/>
          <w:szCs w:val="22"/>
        </w:rPr>
        <w:t xml:space="preserve">ACMA (Australian Communications and Media Authority) (2021) </w:t>
      </w:r>
      <w:hyperlink r:id="rId31" w:history="1">
        <w:r w:rsidRPr="002E6831">
          <w:rPr>
            <w:rStyle w:val="Hyperlink"/>
            <w:rFonts w:ascii="Calibri" w:hAnsi="Calibri" w:cs="Calibri"/>
            <w:i/>
            <w:iCs/>
            <w:szCs w:val="22"/>
          </w:rPr>
          <w:t>Communications and media in Australia: How we use the internet</w:t>
        </w:r>
      </w:hyperlink>
      <w:r w:rsidRPr="002E6831">
        <w:rPr>
          <w:rFonts w:ascii="Calibri" w:hAnsi="Calibri" w:cs="Calibri"/>
          <w:szCs w:val="22"/>
        </w:rPr>
        <w:t xml:space="preserve">, ACMA, Australian Government. </w:t>
      </w:r>
    </w:p>
    <w:p w14:paraId="0E3323AA" w14:textId="78E375B0" w:rsidR="00B46BC7" w:rsidRPr="00B9619E" w:rsidRDefault="008C2C15" w:rsidP="00B46BC7">
      <w:pPr>
        <w:rPr>
          <w:rFonts w:asciiTheme="minorHAnsi" w:hAnsiTheme="minorHAnsi" w:cstheme="minorHAnsi"/>
          <w:szCs w:val="22"/>
        </w:rPr>
      </w:pPr>
      <w:r>
        <w:rPr>
          <w:rFonts w:ascii="Calibri" w:hAnsi="Calibri" w:cs="Calibri"/>
          <w:szCs w:val="22"/>
        </w:rPr>
        <w:t>APRA</w:t>
      </w:r>
      <w:r w:rsidR="003728B6">
        <w:rPr>
          <w:rFonts w:ascii="Calibri" w:hAnsi="Calibri" w:cs="Calibri"/>
          <w:szCs w:val="22"/>
        </w:rPr>
        <w:t xml:space="preserve"> (Australian Prudential </w:t>
      </w:r>
      <w:r w:rsidR="008F11F9">
        <w:rPr>
          <w:rFonts w:ascii="Calibri" w:hAnsi="Calibri" w:cs="Calibri"/>
          <w:szCs w:val="22"/>
        </w:rPr>
        <w:t>Regulation</w:t>
      </w:r>
      <w:r w:rsidR="003728B6">
        <w:rPr>
          <w:rFonts w:ascii="Calibri" w:hAnsi="Calibri" w:cs="Calibri"/>
          <w:szCs w:val="22"/>
        </w:rPr>
        <w:t xml:space="preserve"> Authority)</w:t>
      </w:r>
      <w:r w:rsidR="008F11F9">
        <w:rPr>
          <w:rFonts w:ascii="Calibri" w:hAnsi="Calibri" w:cs="Calibri"/>
          <w:szCs w:val="22"/>
        </w:rPr>
        <w:t xml:space="preserve"> (</w:t>
      </w:r>
      <w:r w:rsidR="00B848DC">
        <w:rPr>
          <w:rFonts w:ascii="Calibri" w:hAnsi="Calibri" w:cs="Calibri"/>
          <w:szCs w:val="22"/>
        </w:rPr>
        <w:t xml:space="preserve">2021) </w:t>
      </w:r>
      <w:hyperlink r:id="rId32" w:history="1">
        <w:r w:rsidR="00B46BC7" w:rsidRPr="00E330D5">
          <w:rPr>
            <w:rStyle w:val="Hyperlink"/>
            <w:rFonts w:asciiTheme="minorHAnsi" w:hAnsiTheme="minorHAnsi" w:cstheme="minorHAnsi"/>
            <w:i/>
            <w:iCs/>
            <w:szCs w:val="22"/>
          </w:rPr>
          <w:t xml:space="preserve">Authorised </w:t>
        </w:r>
        <w:r w:rsidR="00817AF2">
          <w:rPr>
            <w:rStyle w:val="Hyperlink"/>
            <w:rFonts w:asciiTheme="minorHAnsi" w:hAnsiTheme="minorHAnsi" w:cstheme="minorHAnsi"/>
            <w:i/>
            <w:iCs/>
            <w:szCs w:val="22"/>
          </w:rPr>
          <w:t>D</w:t>
        </w:r>
        <w:r w:rsidR="00B46BC7" w:rsidRPr="00E330D5">
          <w:rPr>
            <w:rStyle w:val="Hyperlink"/>
            <w:rFonts w:asciiTheme="minorHAnsi" w:hAnsiTheme="minorHAnsi" w:cstheme="minorHAnsi"/>
            <w:i/>
            <w:iCs/>
            <w:szCs w:val="22"/>
          </w:rPr>
          <w:t>eposit</w:t>
        </w:r>
        <w:r w:rsidR="001D4A21">
          <w:rPr>
            <w:rStyle w:val="Hyperlink"/>
            <w:rFonts w:asciiTheme="minorHAnsi" w:hAnsiTheme="minorHAnsi" w:cstheme="minorHAnsi"/>
            <w:i/>
            <w:iCs/>
            <w:szCs w:val="22"/>
          </w:rPr>
          <w:noBreakHyphen/>
        </w:r>
        <w:r w:rsidR="00B46BC7" w:rsidRPr="00E330D5">
          <w:rPr>
            <w:rStyle w:val="Hyperlink"/>
            <w:rFonts w:asciiTheme="minorHAnsi" w:hAnsiTheme="minorHAnsi" w:cstheme="minorHAnsi"/>
            <w:i/>
            <w:iCs/>
            <w:szCs w:val="22"/>
          </w:rPr>
          <w:t xml:space="preserve">taking </w:t>
        </w:r>
        <w:r w:rsidR="00817AF2">
          <w:rPr>
            <w:rStyle w:val="Hyperlink"/>
            <w:rFonts w:asciiTheme="minorHAnsi" w:hAnsiTheme="minorHAnsi" w:cstheme="minorHAnsi"/>
            <w:i/>
            <w:iCs/>
            <w:szCs w:val="22"/>
          </w:rPr>
          <w:t>I</w:t>
        </w:r>
        <w:r w:rsidR="00B46BC7" w:rsidRPr="00E330D5">
          <w:rPr>
            <w:rStyle w:val="Hyperlink"/>
            <w:rFonts w:asciiTheme="minorHAnsi" w:hAnsiTheme="minorHAnsi" w:cstheme="minorHAnsi"/>
            <w:i/>
            <w:iCs/>
            <w:szCs w:val="22"/>
          </w:rPr>
          <w:t>nstitutions</w:t>
        </w:r>
        <w:r w:rsidR="001D4A21">
          <w:rPr>
            <w:rStyle w:val="Hyperlink"/>
            <w:rFonts w:asciiTheme="minorHAnsi" w:hAnsiTheme="minorHAnsi" w:cstheme="minorHAnsi"/>
            <w:i/>
            <w:iCs/>
            <w:szCs w:val="22"/>
          </w:rPr>
          <w:t>’</w:t>
        </w:r>
        <w:r w:rsidR="00B46BC7" w:rsidRPr="00E330D5">
          <w:rPr>
            <w:rStyle w:val="Hyperlink"/>
            <w:rFonts w:asciiTheme="minorHAnsi" w:hAnsiTheme="minorHAnsi" w:cstheme="minorHAnsi"/>
            <w:i/>
            <w:iCs/>
            <w:szCs w:val="22"/>
          </w:rPr>
          <w:t xml:space="preserve"> </w:t>
        </w:r>
        <w:r w:rsidR="00817AF2">
          <w:rPr>
            <w:rStyle w:val="Hyperlink"/>
            <w:rFonts w:asciiTheme="minorHAnsi" w:hAnsiTheme="minorHAnsi" w:cstheme="minorHAnsi"/>
            <w:i/>
            <w:iCs/>
            <w:szCs w:val="22"/>
          </w:rPr>
          <w:t>P</w:t>
        </w:r>
        <w:r w:rsidR="00B46BC7" w:rsidRPr="00E330D5">
          <w:rPr>
            <w:rStyle w:val="Hyperlink"/>
            <w:rFonts w:asciiTheme="minorHAnsi" w:hAnsiTheme="minorHAnsi" w:cstheme="minorHAnsi"/>
            <w:i/>
            <w:iCs/>
            <w:szCs w:val="22"/>
          </w:rPr>
          <w:t xml:space="preserve">oints of </w:t>
        </w:r>
        <w:r w:rsidR="00817AF2">
          <w:rPr>
            <w:rStyle w:val="Hyperlink"/>
            <w:rFonts w:asciiTheme="minorHAnsi" w:hAnsiTheme="minorHAnsi" w:cstheme="minorHAnsi"/>
            <w:i/>
            <w:iCs/>
            <w:szCs w:val="22"/>
          </w:rPr>
          <w:t>P</w:t>
        </w:r>
        <w:r w:rsidR="00B46BC7" w:rsidRPr="00E330D5">
          <w:rPr>
            <w:rStyle w:val="Hyperlink"/>
            <w:rFonts w:asciiTheme="minorHAnsi" w:hAnsiTheme="minorHAnsi" w:cstheme="minorHAnsi"/>
            <w:i/>
            <w:iCs/>
            <w:szCs w:val="22"/>
          </w:rPr>
          <w:t xml:space="preserve">resence </w:t>
        </w:r>
        <w:r w:rsidR="00817AF2">
          <w:rPr>
            <w:rStyle w:val="Hyperlink"/>
            <w:rFonts w:asciiTheme="minorHAnsi" w:hAnsiTheme="minorHAnsi" w:cstheme="minorHAnsi"/>
            <w:i/>
            <w:iCs/>
            <w:szCs w:val="22"/>
          </w:rPr>
          <w:t>S</w:t>
        </w:r>
        <w:r w:rsidR="00B46BC7" w:rsidRPr="00E330D5">
          <w:rPr>
            <w:rStyle w:val="Hyperlink"/>
            <w:rFonts w:asciiTheme="minorHAnsi" w:hAnsiTheme="minorHAnsi" w:cstheme="minorHAnsi"/>
            <w:i/>
            <w:iCs/>
            <w:szCs w:val="22"/>
          </w:rPr>
          <w:t>tatistics</w:t>
        </w:r>
      </w:hyperlink>
      <w:r w:rsidR="00B46BC7" w:rsidRPr="00B9619E">
        <w:rPr>
          <w:rFonts w:asciiTheme="minorHAnsi" w:hAnsiTheme="minorHAnsi" w:cstheme="minorHAnsi"/>
          <w:szCs w:val="22"/>
        </w:rPr>
        <w:t>, APRA</w:t>
      </w:r>
      <w:r w:rsidR="00AD2D89">
        <w:rPr>
          <w:rFonts w:asciiTheme="minorHAnsi" w:hAnsiTheme="minorHAnsi" w:cstheme="minorHAnsi"/>
          <w:szCs w:val="22"/>
        </w:rPr>
        <w:t>.</w:t>
      </w:r>
    </w:p>
    <w:p w14:paraId="3A57766D" w14:textId="02193539" w:rsidR="008255FD" w:rsidRPr="002E6831" w:rsidRDefault="008255FD" w:rsidP="008255FD">
      <w:pPr>
        <w:rPr>
          <w:rFonts w:ascii="Calibri" w:hAnsi="Calibri" w:cs="Calibri"/>
          <w:szCs w:val="22"/>
        </w:rPr>
      </w:pPr>
      <w:r w:rsidRPr="002E6831">
        <w:rPr>
          <w:rFonts w:ascii="Calibri" w:hAnsi="Calibri" w:cs="Calibri"/>
          <w:szCs w:val="22"/>
        </w:rPr>
        <w:t xml:space="preserve">Bennett O (2020) </w:t>
      </w:r>
      <w:hyperlink r:id="rId33" w:history="1">
        <w:r w:rsidRPr="002E6831">
          <w:rPr>
            <w:rStyle w:val="Hyperlink"/>
            <w:rFonts w:ascii="Calibri" w:hAnsi="Calibri" w:cs="Calibri"/>
            <w:i/>
            <w:iCs/>
          </w:rPr>
          <w:t>Bank branches: why are they closing and what is the impact?</w:t>
        </w:r>
      </w:hyperlink>
      <w:r w:rsidRPr="002E6831">
        <w:rPr>
          <w:rFonts w:ascii="Calibri" w:hAnsi="Calibri" w:cs="Calibri"/>
        </w:rPr>
        <w:t xml:space="preserve">, House of Commons Library Briefing Paper 8740. </w:t>
      </w:r>
    </w:p>
    <w:p w14:paraId="18C1A5F4" w14:textId="766D65AA" w:rsidR="006A5101" w:rsidRPr="002E6831" w:rsidRDefault="003D5869" w:rsidP="006A5101">
      <w:pPr>
        <w:rPr>
          <w:rFonts w:ascii="Calibri" w:hAnsi="Calibri" w:cs="Calibri"/>
        </w:rPr>
      </w:pPr>
      <w:r>
        <w:rPr>
          <w:rFonts w:ascii="Calibri" w:hAnsi="Calibri" w:cs="Calibri"/>
        </w:rPr>
        <w:t>Caddy J</w:t>
      </w:r>
      <w:r w:rsidR="00F369F9">
        <w:rPr>
          <w:rFonts w:ascii="Calibri" w:hAnsi="Calibri" w:cs="Calibri"/>
        </w:rPr>
        <w:t xml:space="preserve">, Delaney L, Fisher C and Noone C (2020) </w:t>
      </w:r>
      <w:r w:rsidR="001D4A21">
        <w:rPr>
          <w:rFonts w:ascii="Calibri" w:hAnsi="Calibri" w:cs="Calibri"/>
        </w:rPr>
        <w:t>‘</w:t>
      </w:r>
      <w:hyperlink r:id="rId34" w:history="1">
        <w:r w:rsidR="00950943" w:rsidRPr="00582CBC">
          <w:rPr>
            <w:rStyle w:val="Hyperlink"/>
            <w:rFonts w:ascii="Calibri" w:hAnsi="Calibri" w:cs="Calibri"/>
          </w:rPr>
          <w:t>Consumer Payment Behaviour in Australia</w:t>
        </w:r>
      </w:hyperlink>
      <w:r w:rsidR="001D4A21">
        <w:rPr>
          <w:rFonts w:ascii="Calibri" w:hAnsi="Calibri" w:cs="Calibri"/>
        </w:rPr>
        <w:t>‘</w:t>
      </w:r>
      <w:r w:rsidR="006A5101">
        <w:rPr>
          <w:rFonts w:ascii="Calibri" w:hAnsi="Calibri" w:cs="Calibri"/>
        </w:rPr>
        <w:t xml:space="preserve">, </w:t>
      </w:r>
      <w:r w:rsidR="006A5101" w:rsidRPr="002E6831">
        <w:rPr>
          <w:rFonts w:ascii="Calibri" w:hAnsi="Calibri" w:cs="Calibri"/>
          <w:i/>
        </w:rPr>
        <w:t>Reserve Bank of Australia Bulletin</w:t>
      </w:r>
      <w:r w:rsidR="006A5101" w:rsidRPr="002E6831">
        <w:rPr>
          <w:rFonts w:ascii="Calibri" w:hAnsi="Calibri" w:cs="Calibri"/>
        </w:rPr>
        <w:t>,</w:t>
      </w:r>
      <w:r w:rsidR="00EB09AB">
        <w:rPr>
          <w:rFonts w:ascii="Calibri" w:hAnsi="Calibri" w:cs="Calibri"/>
        </w:rPr>
        <w:t xml:space="preserve"> March</w:t>
      </w:r>
      <w:r w:rsidR="006A5101" w:rsidRPr="002E6831">
        <w:rPr>
          <w:rFonts w:ascii="Calibri" w:hAnsi="Calibri" w:cs="Calibri"/>
        </w:rPr>
        <w:t xml:space="preserve"> 202</w:t>
      </w:r>
      <w:r w:rsidR="006A5101">
        <w:rPr>
          <w:rFonts w:ascii="Calibri" w:hAnsi="Calibri" w:cs="Calibri"/>
        </w:rPr>
        <w:t>0</w:t>
      </w:r>
      <w:r w:rsidR="006A5101" w:rsidRPr="002E6831">
        <w:rPr>
          <w:rFonts w:ascii="Calibri" w:hAnsi="Calibri" w:cs="Calibri"/>
        </w:rPr>
        <w:t xml:space="preserve">: </w:t>
      </w:r>
      <w:r w:rsidR="00F25763">
        <w:rPr>
          <w:rFonts w:ascii="Calibri" w:hAnsi="Calibri" w:cs="Calibri"/>
        </w:rPr>
        <w:t>9</w:t>
      </w:r>
      <w:r w:rsidR="001D4A21">
        <w:rPr>
          <w:rFonts w:ascii="Calibri" w:hAnsi="Calibri" w:cs="Calibri"/>
        </w:rPr>
        <w:noBreakHyphen/>
      </w:r>
      <w:r w:rsidR="00F25763">
        <w:rPr>
          <w:rFonts w:ascii="Calibri" w:hAnsi="Calibri" w:cs="Calibri"/>
        </w:rPr>
        <w:t>19</w:t>
      </w:r>
      <w:r w:rsidR="00094818">
        <w:rPr>
          <w:rFonts w:ascii="Calibri" w:hAnsi="Calibri" w:cs="Calibri"/>
        </w:rPr>
        <w:t>.</w:t>
      </w:r>
    </w:p>
    <w:p w14:paraId="635CC24A" w14:textId="5EC71A2F" w:rsidR="008255FD" w:rsidRPr="002E6831" w:rsidRDefault="008255FD" w:rsidP="008255FD">
      <w:pPr>
        <w:rPr>
          <w:rFonts w:ascii="Calibri" w:hAnsi="Calibri" w:cs="Calibri"/>
        </w:rPr>
      </w:pPr>
      <w:r w:rsidRPr="002E6831">
        <w:rPr>
          <w:rFonts w:ascii="Calibri" w:hAnsi="Calibri" w:cs="Calibri"/>
        </w:rPr>
        <w:t xml:space="preserve">Caddy J and Zhang Z (2021) </w:t>
      </w:r>
      <w:r w:rsidR="001D4A21">
        <w:rPr>
          <w:rFonts w:ascii="Calibri" w:hAnsi="Calibri" w:cs="Calibri"/>
        </w:rPr>
        <w:t>‘</w:t>
      </w:r>
      <w:hyperlink r:id="rId35" w:history="1">
        <w:r w:rsidRPr="002E6831">
          <w:rPr>
            <w:rStyle w:val="Hyperlink"/>
            <w:rFonts w:ascii="Calibri" w:hAnsi="Calibri" w:cs="Calibri"/>
          </w:rPr>
          <w:t>How Far Do Australians Need to Travel to Access Cash?</w:t>
        </w:r>
      </w:hyperlink>
      <w:r w:rsidR="001D4A21">
        <w:rPr>
          <w:rFonts w:ascii="Calibri" w:hAnsi="Calibri" w:cs="Calibri"/>
        </w:rPr>
        <w:t>‘</w:t>
      </w:r>
      <w:r w:rsidRPr="002E6831">
        <w:rPr>
          <w:rFonts w:ascii="Calibri" w:hAnsi="Calibri" w:cs="Calibri"/>
        </w:rPr>
        <w:t xml:space="preserve">, </w:t>
      </w:r>
      <w:r w:rsidRPr="002E6831">
        <w:rPr>
          <w:rFonts w:ascii="Calibri" w:hAnsi="Calibri" w:cs="Calibri"/>
          <w:i/>
        </w:rPr>
        <w:t>Reserve Bank of Australia Bulletin</w:t>
      </w:r>
      <w:r w:rsidRPr="002E6831">
        <w:rPr>
          <w:rFonts w:ascii="Calibri" w:hAnsi="Calibri" w:cs="Calibri"/>
        </w:rPr>
        <w:t>, June 2021: 10</w:t>
      </w:r>
      <w:r w:rsidR="001D4A21">
        <w:rPr>
          <w:rFonts w:ascii="Calibri" w:hAnsi="Calibri" w:cs="Calibri"/>
        </w:rPr>
        <w:noBreakHyphen/>
      </w:r>
      <w:r w:rsidRPr="002E6831">
        <w:rPr>
          <w:rFonts w:ascii="Calibri" w:hAnsi="Calibri" w:cs="Calibri"/>
        </w:rPr>
        <w:t>17</w:t>
      </w:r>
      <w:r w:rsidR="00094818">
        <w:rPr>
          <w:rFonts w:ascii="Calibri" w:hAnsi="Calibri" w:cs="Calibri"/>
        </w:rPr>
        <w:t>.</w:t>
      </w:r>
    </w:p>
    <w:p w14:paraId="37F922EE" w14:textId="59CE43E9" w:rsidR="00DD0F0A" w:rsidRDefault="00CA341D" w:rsidP="00925CB8">
      <w:pPr>
        <w:rPr>
          <w:rFonts w:ascii="Calibri" w:hAnsi="Calibri" w:cs="Calibri"/>
          <w:szCs w:val="22"/>
        </w:rPr>
      </w:pPr>
      <w:r>
        <w:rPr>
          <w:rFonts w:ascii="Calibri" w:hAnsi="Calibri" w:cs="Calibri"/>
          <w:szCs w:val="22"/>
        </w:rPr>
        <w:t xml:space="preserve">Callaghan </w:t>
      </w:r>
      <w:r w:rsidR="00960271">
        <w:rPr>
          <w:rFonts w:ascii="Calibri" w:hAnsi="Calibri" w:cs="Calibri"/>
          <w:szCs w:val="22"/>
        </w:rPr>
        <w:t xml:space="preserve">M (2021) </w:t>
      </w:r>
      <w:hyperlink r:id="rId36" w:history="1">
        <w:r w:rsidR="0067421D" w:rsidRPr="0003783F">
          <w:rPr>
            <w:rStyle w:val="Hyperlink"/>
            <w:rFonts w:ascii="Calibri" w:hAnsi="Calibri" w:cs="Calibri"/>
            <w:i/>
            <w:iCs/>
            <w:szCs w:val="22"/>
          </w:rPr>
          <w:t xml:space="preserve">Independent Review of the Banking Code </w:t>
        </w:r>
        <w:r w:rsidR="00810E2C" w:rsidRPr="0003783F">
          <w:rPr>
            <w:rStyle w:val="Hyperlink"/>
            <w:rFonts w:ascii="Calibri" w:hAnsi="Calibri" w:cs="Calibri"/>
            <w:i/>
            <w:iCs/>
            <w:szCs w:val="22"/>
          </w:rPr>
          <w:t>of Practi</w:t>
        </w:r>
        <w:r w:rsidR="003C2D87" w:rsidRPr="0003783F">
          <w:rPr>
            <w:rStyle w:val="Hyperlink"/>
            <w:rFonts w:ascii="Calibri" w:hAnsi="Calibri" w:cs="Calibri"/>
            <w:i/>
            <w:iCs/>
            <w:szCs w:val="22"/>
          </w:rPr>
          <w:t>c</w:t>
        </w:r>
        <w:r w:rsidR="00810E2C" w:rsidRPr="0003783F">
          <w:rPr>
            <w:rStyle w:val="Hyperlink"/>
            <w:rFonts w:ascii="Calibri" w:hAnsi="Calibri" w:cs="Calibri"/>
            <w:i/>
            <w:iCs/>
            <w:szCs w:val="22"/>
          </w:rPr>
          <w:t>e</w:t>
        </w:r>
        <w:r w:rsidR="003C2D87" w:rsidRPr="0003783F">
          <w:rPr>
            <w:rStyle w:val="Hyperlink"/>
            <w:rFonts w:ascii="Calibri" w:hAnsi="Calibri" w:cs="Calibri"/>
            <w:i/>
            <w:iCs/>
            <w:szCs w:val="22"/>
          </w:rPr>
          <w:t xml:space="preserve"> 2021</w:t>
        </w:r>
        <w:r w:rsidR="00810E2C" w:rsidRPr="0003783F">
          <w:rPr>
            <w:rStyle w:val="Hyperlink"/>
            <w:rFonts w:ascii="Calibri" w:hAnsi="Calibri" w:cs="Calibri"/>
            <w:i/>
            <w:iCs/>
            <w:szCs w:val="22"/>
          </w:rPr>
          <w:t xml:space="preserve">: </w:t>
        </w:r>
        <w:r w:rsidR="002D597C" w:rsidRPr="0003783F">
          <w:rPr>
            <w:rStyle w:val="Hyperlink"/>
            <w:rFonts w:ascii="Calibri" w:hAnsi="Calibri" w:cs="Calibri"/>
            <w:i/>
            <w:iCs/>
            <w:szCs w:val="22"/>
          </w:rPr>
          <w:t>Final Report</w:t>
        </w:r>
      </w:hyperlink>
      <w:r w:rsidR="000D63B8">
        <w:rPr>
          <w:rFonts w:ascii="Calibri" w:hAnsi="Calibri" w:cs="Calibri"/>
          <w:szCs w:val="22"/>
        </w:rPr>
        <w:t>.</w:t>
      </w:r>
    </w:p>
    <w:p w14:paraId="6CD376CB" w14:textId="02F7C927" w:rsidR="00925CB8" w:rsidRDefault="00160742" w:rsidP="00925CB8">
      <w:pPr>
        <w:rPr>
          <w:rStyle w:val="Hyperlink"/>
          <w:rFonts w:ascii="Calibri" w:hAnsi="Calibri" w:cs="Calibri"/>
          <w:szCs w:val="22"/>
        </w:rPr>
      </w:pPr>
      <w:r w:rsidRPr="00160742">
        <w:rPr>
          <w:rFonts w:ascii="Calibri" w:hAnsi="Calibri" w:cs="Calibri"/>
          <w:szCs w:val="22"/>
        </w:rPr>
        <w:t>CHOICE, Consumer Action Law Centre, Financial Counselling Australia, Financial Rights Legal Centre, Indigenous Consumer Assistance Network, Super Consumers Australia, Uniting Communities Consumer Credit Law Centre SA and Victorian Aboriginal Legal Service (2021)</w:t>
      </w:r>
      <w:r>
        <w:t xml:space="preserve"> </w:t>
      </w:r>
      <w:hyperlink r:id="rId37" w:history="1">
        <w:r w:rsidR="00925CB8" w:rsidRPr="002E6831">
          <w:rPr>
            <w:rStyle w:val="Hyperlink"/>
            <w:rFonts w:ascii="Calibri" w:hAnsi="Calibri" w:cs="Calibri"/>
            <w:i/>
            <w:iCs/>
          </w:rPr>
          <w:t>Joint Consumer Submission to Regional Banking Taskforce</w:t>
        </w:r>
      </w:hyperlink>
      <w:r w:rsidR="00925CB8" w:rsidRPr="002E6831">
        <w:rPr>
          <w:rFonts w:ascii="Calibri" w:hAnsi="Calibri" w:cs="Calibri"/>
        </w:rPr>
        <w:t>.</w:t>
      </w:r>
      <w:r w:rsidR="00E0150A">
        <w:rPr>
          <w:rStyle w:val="Hyperlink"/>
          <w:rFonts w:ascii="Calibri" w:hAnsi="Calibri" w:cs="Calibri"/>
          <w:szCs w:val="22"/>
        </w:rPr>
        <w:t xml:space="preserve"> </w:t>
      </w:r>
    </w:p>
    <w:p w14:paraId="1800FD00" w14:textId="0F9F8996" w:rsidR="008255FD" w:rsidRDefault="008255FD" w:rsidP="008255FD">
      <w:pPr>
        <w:rPr>
          <w:rFonts w:ascii="Calibri" w:hAnsi="Calibri" w:cs="Calibri"/>
        </w:rPr>
      </w:pPr>
      <w:r w:rsidRPr="002E6831">
        <w:rPr>
          <w:rFonts w:ascii="Calibri" w:hAnsi="Calibri" w:cs="Calibri"/>
        </w:rPr>
        <w:t xml:space="preserve">Delaney L, McClure N and Findlay R (2020) </w:t>
      </w:r>
      <w:r w:rsidR="001D4A21">
        <w:rPr>
          <w:rFonts w:ascii="Calibri" w:hAnsi="Calibri" w:cs="Calibri"/>
        </w:rPr>
        <w:t>‘</w:t>
      </w:r>
      <w:hyperlink r:id="rId38" w:history="1">
        <w:r w:rsidRPr="002E6831">
          <w:rPr>
            <w:rStyle w:val="Hyperlink"/>
            <w:rFonts w:ascii="Calibri" w:hAnsi="Calibri" w:cs="Calibri"/>
          </w:rPr>
          <w:t>Cash Use in Australia: Results from the 2019 Consumer Payments Survey</w:t>
        </w:r>
      </w:hyperlink>
      <w:r w:rsidR="001D4A21">
        <w:rPr>
          <w:rFonts w:ascii="Calibri" w:hAnsi="Calibri" w:cs="Calibri"/>
        </w:rPr>
        <w:t>‘</w:t>
      </w:r>
      <w:r w:rsidRPr="002E6831">
        <w:rPr>
          <w:rFonts w:ascii="Calibri" w:hAnsi="Calibri" w:cs="Calibri"/>
        </w:rPr>
        <w:t xml:space="preserve">, </w:t>
      </w:r>
      <w:r w:rsidRPr="002E6831">
        <w:rPr>
          <w:rFonts w:ascii="Calibri" w:hAnsi="Calibri" w:cs="Calibri"/>
          <w:i/>
        </w:rPr>
        <w:t>Reserve Bank of Australia Bulletin</w:t>
      </w:r>
      <w:r w:rsidRPr="002E6831">
        <w:rPr>
          <w:rFonts w:ascii="Calibri" w:hAnsi="Calibri" w:cs="Calibri"/>
        </w:rPr>
        <w:t>, June 2020: 43</w:t>
      </w:r>
      <w:r w:rsidR="001D4A21">
        <w:rPr>
          <w:rFonts w:ascii="Calibri" w:hAnsi="Calibri" w:cs="Calibri"/>
        </w:rPr>
        <w:noBreakHyphen/>
      </w:r>
      <w:r w:rsidRPr="002E6831">
        <w:rPr>
          <w:rFonts w:ascii="Calibri" w:hAnsi="Calibri" w:cs="Calibri"/>
        </w:rPr>
        <w:t>54</w:t>
      </w:r>
      <w:r w:rsidR="00094818">
        <w:rPr>
          <w:rFonts w:ascii="Calibri" w:hAnsi="Calibri" w:cs="Calibri"/>
        </w:rPr>
        <w:t>.</w:t>
      </w:r>
    </w:p>
    <w:p w14:paraId="19A04EAC" w14:textId="570ED72D" w:rsidR="00323614" w:rsidRDefault="00323614" w:rsidP="00323614">
      <w:pPr>
        <w:rPr>
          <w:rStyle w:val="Hyperlink"/>
          <w:rFonts w:ascii="Calibri" w:hAnsi="Calibri" w:cs="Calibri"/>
          <w:iCs/>
          <w:color w:val="000000" w:themeColor="text1"/>
          <w:szCs w:val="22"/>
        </w:rPr>
      </w:pPr>
      <w:r w:rsidRPr="002E6831">
        <w:rPr>
          <w:rFonts w:ascii="Calibri" w:hAnsi="Calibri" w:cs="Calibri"/>
          <w:szCs w:val="22"/>
        </w:rPr>
        <w:t xml:space="preserve">PJCCFS (Parliamentary Joint Committee on Corporations and Financial Services) (2004) </w:t>
      </w:r>
      <w:hyperlink r:id="rId39" w:history="1">
        <w:r w:rsidRPr="002E6831">
          <w:rPr>
            <w:rStyle w:val="Hyperlink"/>
            <w:rFonts w:ascii="Calibri" w:hAnsi="Calibri" w:cs="Calibri"/>
            <w:i/>
            <w:iCs/>
            <w:szCs w:val="22"/>
          </w:rPr>
          <w:t>Money Matters in the Bush: Inquiry into the Level of Banking and Financial Services in Rural, Regional and Remote Areas of Australia</w:t>
        </w:r>
      </w:hyperlink>
      <w:r w:rsidRPr="002E6831">
        <w:rPr>
          <w:rStyle w:val="Hyperlink"/>
          <w:rFonts w:ascii="Calibri" w:hAnsi="Calibri" w:cs="Calibri"/>
          <w:iCs/>
          <w:color w:val="000000" w:themeColor="text1"/>
          <w:szCs w:val="22"/>
        </w:rPr>
        <w:t xml:space="preserve">, Parliament of Australia. </w:t>
      </w:r>
    </w:p>
    <w:p w14:paraId="5AA38AF0" w14:textId="561D8427" w:rsidR="00323614" w:rsidRDefault="00323614" w:rsidP="00323614">
      <w:pPr>
        <w:rPr>
          <w:rFonts w:ascii="Calibri" w:hAnsi="Calibri" w:cs="Calibri"/>
        </w:rPr>
      </w:pPr>
      <w:r w:rsidRPr="002E6831">
        <w:rPr>
          <w:rFonts w:ascii="Calibri" w:hAnsi="Calibri" w:cs="Calibri"/>
          <w:szCs w:val="22"/>
        </w:rPr>
        <w:t xml:space="preserve">RBA (Reserve Bank of Australia) (2021) </w:t>
      </w:r>
      <w:hyperlink r:id="rId40" w:history="1">
        <w:r w:rsidRPr="002E6831">
          <w:rPr>
            <w:rStyle w:val="Hyperlink"/>
            <w:rFonts w:ascii="Calibri" w:hAnsi="Calibri" w:cs="Calibri"/>
            <w:i/>
            <w:iCs/>
          </w:rPr>
          <w:t>Review of Banknote Distribution Arrangements: Issues Paper</w:t>
        </w:r>
      </w:hyperlink>
      <w:r w:rsidRPr="002E6831">
        <w:rPr>
          <w:rFonts w:ascii="Calibri" w:hAnsi="Calibri" w:cs="Calibri"/>
        </w:rPr>
        <w:t xml:space="preserve">, RBA. </w:t>
      </w:r>
    </w:p>
    <w:p w14:paraId="2517B55A" w14:textId="70441DCE" w:rsidR="001F3549" w:rsidRPr="002E6831" w:rsidRDefault="001F3549" w:rsidP="00323614">
      <w:pPr>
        <w:rPr>
          <w:rFonts w:ascii="Calibri" w:hAnsi="Calibri" w:cs="Calibri"/>
          <w:szCs w:val="22"/>
        </w:rPr>
      </w:pPr>
      <w:r w:rsidRPr="002E6831">
        <w:rPr>
          <w:rFonts w:ascii="Calibri" w:hAnsi="Calibri" w:cs="Calibri"/>
          <w:szCs w:val="22"/>
        </w:rPr>
        <w:t>RBA (202</w:t>
      </w:r>
      <w:r w:rsidR="00E10CED">
        <w:rPr>
          <w:rFonts w:ascii="Calibri" w:hAnsi="Calibri" w:cs="Calibri"/>
          <w:szCs w:val="22"/>
        </w:rPr>
        <w:t>2</w:t>
      </w:r>
      <w:r w:rsidRPr="002E6831">
        <w:rPr>
          <w:rFonts w:ascii="Calibri" w:hAnsi="Calibri" w:cs="Calibri"/>
          <w:szCs w:val="22"/>
        </w:rPr>
        <w:t xml:space="preserve">) </w:t>
      </w:r>
      <w:hyperlink r:id="rId41" w:history="1">
        <w:r w:rsidRPr="00934A4B">
          <w:rPr>
            <w:rStyle w:val="Hyperlink"/>
            <w:rFonts w:ascii="Calibri" w:hAnsi="Calibri" w:cs="Calibri"/>
            <w:i/>
            <w:iCs/>
          </w:rPr>
          <w:t xml:space="preserve">Review of Banknote Distribution Arrangements: </w:t>
        </w:r>
        <w:r w:rsidR="005054B9" w:rsidRPr="00934A4B">
          <w:rPr>
            <w:rStyle w:val="Hyperlink"/>
            <w:rFonts w:ascii="Calibri" w:hAnsi="Calibri" w:cs="Calibri"/>
            <w:i/>
            <w:iCs/>
          </w:rPr>
          <w:t>Conclusions Paper</w:t>
        </w:r>
      </w:hyperlink>
      <w:r w:rsidRPr="002E6831">
        <w:rPr>
          <w:rFonts w:ascii="Calibri" w:hAnsi="Calibri" w:cs="Calibri"/>
        </w:rPr>
        <w:t xml:space="preserve">, RBA. </w:t>
      </w:r>
    </w:p>
    <w:p w14:paraId="6F6FE576" w14:textId="0DB8A747" w:rsidR="0035586E" w:rsidRPr="00F11CC7" w:rsidRDefault="000E4167" w:rsidP="0035586E">
      <w:pPr>
        <w:rPr>
          <w:rFonts w:ascii="Calibri" w:hAnsi="Calibri" w:cs="Calibri"/>
          <w:color w:val="000000" w:themeColor="text1"/>
          <w:szCs w:val="22"/>
        </w:rPr>
      </w:pPr>
      <w:r w:rsidRPr="002E6831">
        <w:rPr>
          <w:rFonts w:ascii="Calibri" w:hAnsi="Calibri" w:cs="Calibri"/>
          <w:szCs w:val="22"/>
        </w:rPr>
        <w:t xml:space="preserve">RBNZ </w:t>
      </w:r>
      <w:r w:rsidR="00B64CC6" w:rsidRPr="002E6831">
        <w:rPr>
          <w:rFonts w:ascii="Calibri" w:hAnsi="Calibri" w:cs="Calibri"/>
          <w:szCs w:val="22"/>
        </w:rPr>
        <w:t>(</w:t>
      </w:r>
      <w:r w:rsidR="003A6D2F" w:rsidRPr="002E6831">
        <w:rPr>
          <w:rFonts w:ascii="Calibri" w:hAnsi="Calibri" w:cs="Calibri"/>
          <w:szCs w:val="22"/>
        </w:rPr>
        <w:t xml:space="preserve">Reserve Bank of New </w:t>
      </w:r>
      <w:r w:rsidR="00B64CC6" w:rsidRPr="002E6831">
        <w:rPr>
          <w:rFonts w:ascii="Calibri" w:hAnsi="Calibri" w:cs="Calibri"/>
          <w:szCs w:val="22"/>
        </w:rPr>
        <w:t xml:space="preserve">Zealand) </w:t>
      </w:r>
      <w:r w:rsidRPr="002E6831">
        <w:rPr>
          <w:rFonts w:ascii="Calibri" w:hAnsi="Calibri" w:cs="Calibri"/>
          <w:szCs w:val="22"/>
        </w:rPr>
        <w:t>(</w:t>
      </w:r>
      <w:r w:rsidR="00DA0AA9" w:rsidRPr="002E6831">
        <w:rPr>
          <w:rFonts w:ascii="Calibri" w:hAnsi="Calibri" w:cs="Calibri"/>
          <w:szCs w:val="22"/>
        </w:rPr>
        <w:t xml:space="preserve">2021) </w:t>
      </w:r>
      <w:hyperlink r:id="rId42" w:history="1">
        <w:r w:rsidR="000B4C56" w:rsidRPr="002E6831">
          <w:rPr>
            <w:rStyle w:val="Hyperlink"/>
            <w:rFonts w:ascii="Calibri" w:hAnsi="Calibri" w:cs="Calibri"/>
            <w:i/>
            <w:iCs/>
          </w:rPr>
          <w:t>Cash and payments data update: COVID</w:t>
        </w:r>
        <w:r w:rsidR="001D4A21">
          <w:rPr>
            <w:rStyle w:val="Hyperlink"/>
            <w:rFonts w:ascii="Calibri" w:hAnsi="Calibri" w:cs="Calibri"/>
            <w:i/>
            <w:iCs/>
          </w:rPr>
          <w:noBreakHyphen/>
        </w:r>
        <w:r w:rsidR="000B4C56" w:rsidRPr="002E6831">
          <w:rPr>
            <w:rStyle w:val="Hyperlink"/>
            <w:rFonts w:ascii="Calibri" w:hAnsi="Calibri" w:cs="Calibri"/>
            <w:i/>
            <w:iCs/>
          </w:rPr>
          <w:t>19 special</w:t>
        </w:r>
      </w:hyperlink>
      <w:r w:rsidR="00BC3648" w:rsidRPr="002E6831">
        <w:rPr>
          <w:rFonts w:ascii="Calibri" w:hAnsi="Calibri" w:cs="Calibri"/>
          <w:color w:val="000000" w:themeColor="text1"/>
        </w:rPr>
        <w:t>,</w:t>
      </w:r>
      <w:r w:rsidR="00F11CC7" w:rsidRPr="002E6831">
        <w:rPr>
          <w:rFonts w:ascii="Calibri" w:hAnsi="Calibri" w:cs="Calibri"/>
          <w:color w:val="0070C0"/>
        </w:rPr>
        <w:t xml:space="preserve"> </w:t>
      </w:r>
      <w:r w:rsidR="00A70337" w:rsidRPr="002E6831">
        <w:rPr>
          <w:rFonts w:ascii="Calibri" w:hAnsi="Calibri" w:cs="Calibri"/>
          <w:color w:val="000000" w:themeColor="text1"/>
        </w:rPr>
        <w:t>RBNZ</w:t>
      </w:r>
      <w:r w:rsidR="00B85CB8" w:rsidRPr="002E6831">
        <w:rPr>
          <w:rFonts w:ascii="Calibri" w:hAnsi="Calibri" w:cs="Calibri"/>
          <w:color w:val="000000" w:themeColor="text1"/>
        </w:rPr>
        <w:t>.</w:t>
      </w:r>
    </w:p>
    <w:p w14:paraId="786CC228" w14:textId="1E8DA28A" w:rsidR="008A360D" w:rsidRDefault="00087C72" w:rsidP="00087C72">
      <w:pPr>
        <w:rPr>
          <w:rFonts w:ascii="Calibri" w:hAnsi="Calibri" w:cs="Calibri"/>
        </w:rPr>
      </w:pPr>
      <w:r>
        <w:rPr>
          <w:rFonts w:ascii="Calibri" w:hAnsi="Calibri" w:cs="Calibri"/>
        </w:rPr>
        <w:t>RTIRC (</w:t>
      </w:r>
      <w:r w:rsidRPr="00013A00">
        <w:rPr>
          <w:rFonts w:ascii="Calibri" w:hAnsi="Calibri" w:cs="Calibri"/>
        </w:rPr>
        <w:t>Regional Telecommunications Independent Review Committee</w:t>
      </w:r>
      <w:r>
        <w:rPr>
          <w:rFonts w:ascii="Calibri" w:hAnsi="Calibri" w:cs="Calibri"/>
        </w:rPr>
        <w:t xml:space="preserve">) (2022) </w:t>
      </w:r>
      <w:hyperlink r:id="rId43" w:history="1">
        <w:r w:rsidRPr="00087C72">
          <w:rPr>
            <w:rStyle w:val="Hyperlink"/>
            <w:rFonts w:ascii="Calibri" w:hAnsi="Calibri" w:cs="Calibri"/>
            <w:i/>
            <w:iCs/>
          </w:rPr>
          <w:t>2021 Regional Telecommunications Review</w:t>
        </w:r>
        <w:r w:rsidR="001D4A21">
          <w:rPr>
            <w:rStyle w:val="Hyperlink"/>
            <w:rFonts w:ascii="Calibri" w:hAnsi="Calibri" w:cs="Calibri"/>
            <w:i/>
            <w:iCs/>
          </w:rPr>
          <w:noBreakHyphen/>
        </w:r>
        <w:r w:rsidRPr="00087C72">
          <w:rPr>
            <w:rStyle w:val="Hyperlink"/>
            <w:rFonts w:ascii="Calibri" w:hAnsi="Calibri" w:cs="Calibri"/>
            <w:i/>
            <w:iCs/>
          </w:rPr>
          <w:t>A step change in demand</w:t>
        </w:r>
      </w:hyperlink>
      <w:r>
        <w:rPr>
          <w:rFonts w:ascii="Calibri" w:hAnsi="Calibri" w:cs="Calibri"/>
        </w:rPr>
        <w:t>, RTIRC, Parliament of Australia.</w:t>
      </w:r>
    </w:p>
    <w:p w14:paraId="431C7F02" w14:textId="3C8E2F84" w:rsidR="00D777FC" w:rsidRDefault="4E3631B8" w:rsidP="00D777FC">
      <w:pPr>
        <w:rPr>
          <w:rFonts w:ascii="Calibri" w:hAnsi="Calibri" w:cs="Calibri"/>
        </w:rPr>
      </w:pPr>
      <w:r w:rsidRPr="27841A69">
        <w:rPr>
          <w:rFonts w:ascii="Calibri" w:hAnsi="Calibri" w:cs="Calibri"/>
        </w:rPr>
        <w:t>UK Finance (</w:t>
      </w:r>
      <w:r w:rsidR="2AF3F616" w:rsidRPr="27841A69">
        <w:rPr>
          <w:rFonts w:ascii="Calibri" w:hAnsi="Calibri" w:cs="Calibri"/>
        </w:rPr>
        <w:t xml:space="preserve">29 </w:t>
      </w:r>
      <w:r w:rsidR="748EF6C4" w:rsidRPr="27841A69">
        <w:rPr>
          <w:rFonts w:ascii="Calibri" w:hAnsi="Calibri" w:cs="Calibri"/>
        </w:rPr>
        <w:t xml:space="preserve">March </w:t>
      </w:r>
      <w:r w:rsidRPr="27841A69">
        <w:rPr>
          <w:rFonts w:ascii="Calibri" w:hAnsi="Calibri" w:cs="Calibri"/>
        </w:rPr>
        <w:t>20</w:t>
      </w:r>
      <w:r w:rsidR="7FE2973F" w:rsidRPr="27841A69">
        <w:rPr>
          <w:rFonts w:ascii="Calibri" w:hAnsi="Calibri" w:cs="Calibri"/>
        </w:rPr>
        <w:t>18</w:t>
      </w:r>
      <w:r w:rsidRPr="27841A69">
        <w:rPr>
          <w:rFonts w:ascii="Calibri" w:hAnsi="Calibri" w:cs="Calibri"/>
        </w:rPr>
        <w:t xml:space="preserve">), </w:t>
      </w:r>
      <w:hyperlink r:id="rId44">
        <w:r w:rsidR="591DF30E" w:rsidRPr="27841A69">
          <w:rPr>
            <w:rStyle w:val="Hyperlink"/>
            <w:rFonts w:ascii="Calibri" w:hAnsi="Calibri" w:cs="Calibri"/>
            <w:i/>
            <w:iCs/>
          </w:rPr>
          <w:t>Banks and Post Office to raise greater awareness of banking services available in local post office branches</w:t>
        </w:r>
      </w:hyperlink>
      <w:r w:rsidRPr="27841A69">
        <w:rPr>
          <w:rFonts w:ascii="Calibri" w:hAnsi="Calibri" w:cs="Calibri"/>
        </w:rPr>
        <w:t>, UK Finance Website</w:t>
      </w:r>
      <w:r w:rsidR="008C034A">
        <w:rPr>
          <w:rFonts w:ascii="Calibri" w:hAnsi="Calibri" w:cs="Calibri"/>
        </w:rPr>
        <w:t>.</w:t>
      </w:r>
      <w:r w:rsidR="00D777FC">
        <w:rPr>
          <w:rFonts w:ascii="Calibri" w:hAnsi="Calibri" w:cs="Calibri"/>
        </w:rPr>
        <w:t xml:space="preserve"> </w:t>
      </w:r>
    </w:p>
    <w:p w14:paraId="358C3087" w14:textId="3287FDEC" w:rsidR="00BB64EC" w:rsidRPr="00AB2850" w:rsidRDefault="00047E4C" w:rsidP="005F5FEF">
      <w:pPr>
        <w:rPr>
          <w:rFonts w:ascii="Calibri" w:hAnsi="Calibri" w:cs="Calibri"/>
        </w:rPr>
      </w:pPr>
      <w:r>
        <w:rPr>
          <w:rFonts w:ascii="Calibri" w:hAnsi="Calibri" w:cs="Calibri"/>
        </w:rPr>
        <w:t>UK Finance (</w:t>
      </w:r>
      <w:r w:rsidR="00124047">
        <w:rPr>
          <w:rFonts w:ascii="Calibri" w:hAnsi="Calibri" w:cs="Calibri"/>
        </w:rPr>
        <w:t xml:space="preserve">15 </w:t>
      </w:r>
      <w:r w:rsidR="002B6066">
        <w:rPr>
          <w:rFonts w:ascii="Calibri" w:hAnsi="Calibri" w:cs="Calibri"/>
        </w:rPr>
        <w:t>December 2021</w:t>
      </w:r>
      <w:r>
        <w:rPr>
          <w:rFonts w:ascii="Calibri" w:hAnsi="Calibri" w:cs="Calibri"/>
        </w:rPr>
        <w:t>),</w:t>
      </w:r>
      <w:r w:rsidR="0014232E">
        <w:rPr>
          <w:rFonts w:ascii="Calibri" w:hAnsi="Calibri" w:cs="Calibri"/>
        </w:rPr>
        <w:t xml:space="preserve"> </w:t>
      </w:r>
      <w:hyperlink r:id="rId45" w:history="1">
        <w:r w:rsidR="009D1047" w:rsidRPr="009513A4">
          <w:rPr>
            <w:rStyle w:val="Hyperlink"/>
            <w:rFonts w:ascii="Calibri" w:hAnsi="Calibri" w:cs="Calibri"/>
            <w:i/>
            <w:iCs/>
          </w:rPr>
          <w:t>Pivotal moment as banks, consumer groups, Post Office and Link join forces</w:t>
        </w:r>
        <w:r w:rsidR="004044BE" w:rsidRPr="009513A4">
          <w:rPr>
            <w:rStyle w:val="Hyperlink"/>
            <w:rFonts w:ascii="Calibri" w:hAnsi="Calibri" w:cs="Calibri"/>
            <w:i/>
            <w:iCs/>
          </w:rPr>
          <w:t xml:space="preserve"> to help protect cash services</w:t>
        </w:r>
      </w:hyperlink>
      <w:r w:rsidR="0014232E">
        <w:rPr>
          <w:rFonts w:ascii="Calibri" w:hAnsi="Calibri" w:cs="Calibri"/>
        </w:rPr>
        <w:t>, UK Finance Website</w:t>
      </w:r>
      <w:r w:rsidR="008C034A">
        <w:rPr>
          <w:rFonts w:ascii="Calibri" w:hAnsi="Calibri" w:cs="Calibri"/>
        </w:rPr>
        <w:t>.</w:t>
      </w:r>
      <w:r w:rsidR="0014232E">
        <w:rPr>
          <w:rFonts w:ascii="Calibri" w:hAnsi="Calibri" w:cs="Calibri"/>
        </w:rPr>
        <w:t xml:space="preserve"> </w:t>
      </w:r>
    </w:p>
    <w:sectPr w:rsidR="00BB64EC" w:rsidRPr="00AB2850" w:rsidSect="0046129F">
      <w:headerReference w:type="default" r:id="rId46"/>
      <w:footerReference w:type="default" r:id="rId47"/>
      <w:pgSz w:w="11906" w:h="16838" w:code="9"/>
      <w:pgMar w:top="1843"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DA6C3" w14:textId="77777777" w:rsidR="00D562DF" w:rsidRDefault="00D562DF">
      <w:pPr>
        <w:spacing w:before="0" w:after="0"/>
      </w:pPr>
      <w:r>
        <w:separator/>
      </w:r>
    </w:p>
  </w:endnote>
  <w:endnote w:type="continuationSeparator" w:id="0">
    <w:p w14:paraId="5D3EEA12" w14:textId="77777777" w:rsidR="00D562DF" w:rsidRDefault="00D562DF">
      <w:pPr>
        <w:spacing w:before="0" w:after="0"/>
      </w:pPr>
      <w:r>
        <w:continuationSeparator/>
      </w:r>
    </w:p>
  </w:endnote>
  <w:endnote w:type="continuationNotice" w:id="1">
    <w:p w14:paraId="00547286" w14:textId="77777777" w:rsidR="00D562DF" w:rsidRDefault="00D562D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F2560" w14:textId="018D9A43" w:rsidR="00D86AAF" w:rsidRDefault="00D86AAF" w:rsidP="00D86AAF">
    <w:pPr>
      <w:pStyle w:val="FooterEven"/>
      <w:tabs>
        <w:tab w:val="center" w:pos="9072"/>
      </w:tabs>
      <w:jc w:val="right"/>
    </w:pPr>
    <w:r w:rsidRPr="00742366">
      <w:drawing>
        <wp:anchor distT="0" distB="0" distL="114300" distR="114300" simplePos="0" relativeHeight="251658242" behindDoc="1" locked="1" layoutInCell="1" allowOverlap="1" wp14:anchorId="478991FE" wp14:editId="03B28702">
          <wp:simplePos x="0" y="0"/>
          <wp:positionH relativeFrom="margin">
            <wp:posOffset>5459095</wp:posOffset>
          </wp:positionH>
          <wp:positionV relativeFrom="page">
            <wp:posOffset>3280410</wp:posOffset>
          </wp:positionV>
          <wp:extent cx="7574280" cy="1043940"/>
          <wp:effectExtent l="7620" t="0" r="0" b="0"/>
          <wp:wrapNone/>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sidRPr="00742366">
      <w:drawing>
        <wp:anchor distT="0" distB="0" distL="114300" distR="114300" simplePos="0" relativeHeight="251658243" behindDoc="1" locked="1" layoutInCell="1" allowOverlap="1" wp14:anchorId="72F20102" wp14:editId="491DAD27">
          <wp:simplePos x="0" y="0"/>
          <wp:positionH relativeFrom="margin">
            <wp:posOffset>5459095</wp:posOffset>
          </wp:positionH>
          <wp:positionV relativeFrom="page">
            <wp:posOffset>3280410</wp:posOffset>
          </wp:positionV>
          <wp:extent cx="7574280" cy="1043940"/>
          <wp:effectExtent l="7620" t="0" r="0" b="0"/>
          <wp:wrapNone/>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sidRPr="00742366">
      <w:drawing>
        <wp:anchor distT="0" distB="0" distL="114300" distR="114300" simplePos="0" relativeHeight="251658240" behindDoc="1" locked="1" layoutInCell="1" allowOverlap="1" wp14:anchorId="120BC9C1" wp14:editId="69479946">
          <wp:simplePos x="0" y="0"/>
          <wp:positionH relativeFrom="margin">
            <wp:posOffset>5459095</wp:posOffset>
          </wp:positionH>
          <wp:positionV relativeFrom="page">
            <wp:posOffset>3280410</wp:posOffset>
          </wp:positionV>
          <wp:extent cx="7574280" cy="1043940"/>
          <wp:effectExtent l="7620" t="0" r="0" b="0"/>
          <wp:wrapNone/>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sidRPr="00742366">
      <w:drawing>
        <wp:anchor distT="0" distB="0" distL="114300" distR="114300" simplePos="0" relativeHeight="251658241" behindDoc="1" locked="1" layoutInCell="1" allowOverlap="1" wp14:anchorId="7ACFFA0D" wp14:editId="17B8CCF2">
          <wp:simplePos x="0" y="0"/>
          <wp:positionH relativeFrom="margin">
            <wp:posOffset>5459095</wp:posOffset>
          </wp:positionH>
          <wp:positionV relativeFrom="page">
            <wp:posOffset>3280410</wp:posOffset>
          </wp:positionV>
          <wp:extent cx="7574280" cy="1043940"/>
          <wp:effectExtent l="762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E824B" w14:textId="1F20DD0A" w:rsidR="00042B50" w:rsidRDefault="00042B50" w:rsidP="00042B50">
    <w:pPr>
      <w:pStyle w:val="FooterEven"/>
      <w:tabs>
        <w:tab w:val="center" w:pos="9072"/>
      </w:tabs>
      <w:jc w:val="right"/>
    </w:pPr>
    <w:r w:rsidRPr="00742366">
      <w:drawing>
        <wp:anchor distT="0" distB="0" distL="114300" distR="114300" simplePos="0" relativeHeight="251658255" behindDoc="1" locked="1" layoutInCell="1" allowOverlap="1" wp14:anchorId="77F95042" wp14:editId="3288EC16">
          <wp:simplePos x="0" y="0"/>
          <wp:positionH relativeFrom="margin">
            <wp:posOffset>5459095</wp:posOffset>
          </wp:positionH>
          <wp:positionV relativeFrom="page">
            <wp:posOffset>3280410</wp:posOffset>
          </wp:positionV>
          <wp:extent cx="7574280" cy="1043940"/>
          <wp:effectExtent l="7620" t="0" r="0" b="0"/>
          <wp:wrapNone/>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sidRPr="00742366">
      <w:drawing>
        <wp:anchor distT="0" distB="0" distL="114300" distR="114300" simplePos="0" relativeHeight="251658256" behindDoc="1" locked="1" layoutInCell="1" allowOverlap="1" wp14:anchorId="49D5E86D" wp14:editId="2E426EAC">
          <wp:simplePos x="0" y="0"/>
          <wp:positionH relativeFrom="margin">
            <wp:posOffset>5459095</wp:posOffset>
          </wp:positionH>
          <wp:positionV relativeFrom="page">
            <wp:posOffset>3280410</wp:posOffset>
          </wp:positionV>
          <wp:extent cx="7574280" cy="1043940"/>
          <wp:effectExtent l="7620" t="0" r="0" b="0"/>
          <wp:wrapNone/>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sidRPr="00EF03E1">
      <w:rPr>
        <w:position w:val="-10"/>
      </w:rPr>
      <w:drawing>
        <wp:inline distT="0" distB="0" distL="0" distR="0" wp14:anchorId="459C847E" wp14:editId="20939E9B">
          <wp:extent cx="1324800" cy="201600"/>
          <wp:effectExtent l="0" t="0" r="0" b="8255"/>
          <wp:docPr id="42" name="Picture 1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r w:rsidR="008958F7">
      <w:fldChar w:fldCharType="begin"/>
    </w:r>
    <w:r w:rsidR="008958F7">
      <w:instrText>STYLEREF  "Heading 1</w:instrText>
    </w:r>
    <w:r w:rsidR="008958F7">
      <w:instrText>"  \* MERGEFORMAT</w:instrText>
    </w:r>
    <w:r w:rsidR="008958F7">
      <w:fldChar w:fldCharType="separate"/>
    </w:r>
    <w:r w:rsidR="008958F7">
      <w:t>Contents</w:t>
    </w:r>
    <w:r w:rsidR="008958F7">
      <w:fldChar w:fldCharType="end"/>
    </w:r>
    <w:r>
      <w:t xml:space="preserve"> | </w:t>
    </w:r>
    <w:r>
      <w:rPr>
        <w:noProof w:val="0"/>
      </w:rPr>
      <w:fldChar w:fldCharType="begin"/>
    </w:r>
    <w:r>
      <w:instrText xml:space="preserve"> PAGE   \* MERGEFORMAT </w:instrText>
    </w:r>
    <w:r>
      <w:rPr>
        <w:noProof w:val="0"/>
      </w:rPr>
      <w:fldChar w:fldCharType="separate"/>
    </w:r>
    <w:r>
      <w:rPr>
        <w:noProof w:val="0"/>
      </w:rPr>
      <w:t>1</w:t>
    </w:r>
    <w:r>
      <w:fldChar w:fldCharType="end"/>
    </w:r>
    <w:r w:rsidRPr="00742366">
      <w:drawing>
        <wp:anchor distT="0" distB="0" distL="114300" distR="114300" simplePos="0" relativeHeight="251658253" behindDoc="1" locked="1" layoutInCell="1" allowOverlap="1" wp14:anchorId="5A386910" wp14:editId="412372F7">
          <wp:simplePos x="0" y="0"/>
          <wp:positionH relativeFrom="margin">
            <wp:posOffset>5459095</wp:posOffset>
          </wp:positionH>
          <wp:positionV relativeFrom="page">
            <wp:posOffset>3280410</wp:posOffset>
          </wp:positionV>
          <wp:extent cx="7574280" cy="1043940"/>
          <wp:effectExtent l="7620" t="0" r="0" b="0"/>
          <wp:wrapNone/>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sidRPr="00742366">
      <w:drawing>
        <wp:anchor distT="0" distB="0" distL="114300" distR="114300" simplePos="0" relativeHeight="251658254" behindDoc="1" locked="1" layoutInCell="1" allowOverlap="1" wp14:anchorId="07FE33A4" wp14:editId="3E0FE01D">
          <wp:simplePos x="0" y="0"/>
          <wp:positionH relativeFrom="margin">
            <wp:posOffset>5459095</wp:posOffset>
          </wp:positionH>
          <wp:positionV relativeFrom="page">
            <wp:posOffset>3280410</wp:posOffset>
          </wp:positionV>
          <wp:extent cx="7574280" cy="1043940"/>
          <wp:effectExtent l="762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A7990" w14:textId="746CCA20" w:rsidR="00042B50" w:rsidRDefault="00042B50" w:rsidP="00D86AAF">
    <w:pPr>
      <w:pStyle w:val="FooterEven"/>
      <w:tabs>
        <w:tab w:val="center" w:pos="9072"/>
      </w:tabs>
      <w:jc w:val="right"/>
    </w:pPr>
    <w:r w:rsidRPr="00742366">
      <w:drawing>
        <wp:anchor distT="0" distB="0" distL="114300" distR="114300" simplePos="0" relativeHeight="251658250" behindDoc="1" locked="1" layoutInCell="1" allowOverlap="1" wp14:anchorId="21B67DAE" wp14:editId="7100330E">
          <wp:simplePos x="0" y="0"/>
          <wp:positionH relativeFrom="margin">
            <wp:posOffset>5459095</wp:posOffset>
          </wp:positionH>
          <wp:positionV relativeFrom="page">
            <wp:posOffset>3280410</wp:posOffset>
          </wp:positionV>
          <wp:extent cx="7574280" cy="1043940"/>
          <wp:effectExtent l="7620" t="0" r="0" b="0"/>
          <wp:wrapNone/>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sidRPr="00742366">
      <w:drawing>
        <wp:anchor distT="0" distB="0" distL="114300" distR="114300" simplePos="0" relativeHeight="251658251" behindDoc="1" locked="1" layoutInCell="1" allowOverlap="1" wp14:anchorId="2FB39ECA" wp14:editId="18DF8B38">
          <wp:simplePos x="0" y="0"/>
          <wp:positionH relativeFrom="margin">
            <wp:posOffset>5459095</wp:posOffset>
          </wp:positionH>
          <wp:positionV relativeFrom="page">
            <wp:posOffset>3280410</wp:posOffset>
          </wp:positionV>
          <wp:extent cx="7574280" cy="1043940"/>
          <wp:effectExtent l="7620" t="0" r="0" b="0"/>
          <wp:wrapNone/>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sidRPr="00EF03E1">
      <w:rPr>
        <w:position w:val="-10"/>
      </w:rPr>
      <w:drawing>
        <wp:inline distT="0" distB="0" distL="0" distR="0" wp14:anchorId="52ECA308" wp14:editId="5B3752E1">
          <wp:extent cx="1324800" cy="201600"/>
          <wp:effectExtent l="0" t="0" r="0" b="8255"/>
          <wp:docPr id="31" name="Picture 1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fldSimple w:instr="STYLEREF  &quot;Heading 1&quot;  \* MERGEFORMAT">
      <w:r w:rsidR="00875B32">
        <w:t>Contents</w:t>
      </w:r>
    </w:fldSimple>
    <w:r>
      <w:t xml:space="preserve"> | </w:t>
    </w:r>
    <w:r>
      <w:rPr>
        <w:noProof w:val="0"/>
      </w:rPr>
      <w:fldChar w:fldCharType="begin"/>
    </w:r>
    <w:r>
      <w:instrText xml:space="preserve"> PAGE   \* MERGEFORMAT </w:instrText>
    </w:r>
    <w:r>
      <w:rPr>
        <w:noProof w:val="0"/>
      </w:rPr>
      <w:fldChar w:fldCharType="separate"/>
    </w:r>
    <w:r>
      <w:t>ii</w:t>
    </w:r>
    <w:r>
      <w:fldChar w:fldCharType="end"/>
    </w:r>
    <w:r w:rsidRPr="00742366">
      <w:drawing>
        <wp:anchor distT="0" distB="0" distL="114300" distR="114300" simplePos="0" relativeHeight="251658248" behindDoc="1" locked="1" layoutInCell="1" allowOverlap="1" wp14:anchorId="74736DEF" wp14:editId="0B4D4EC2">
          <wp:simplePos x="0" y="0"/>
          <wp:positionH relativeFrom="margin">
            <wp:posOffset>5459095</wp:posOffset>
          </wp:positionH>
          <wp:positionV relativeFrom="page">
            <wp:posOffset>3280410</wp:posOffset>
          </wp:positionV>
          <wp:extent cx="7574280" cy="1043940"/>
          <wp:effectExtent l="762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sidRPr="00742366">
      <w:drawing>
        <wp:anchor distT="0" distB="0" distL="114300" distR="114300" simplePos="0" relativeHeight="251658249" behindDoc="1" locked="1" layoutInCell="1" allowOverlap="1" wp14:anchorId="2FD30F5E" wp14:editId="4F01470A">
          <wp:simplePos x="0" y="0"/>
          <wp:positionH relativeFrom="margin">
            <wp:posOffset>5459095</wp:posOffset>
          </wp:positionH>
          <wp:positionV relativeFrom="page">
            <wp:posOffset>3280410</wp:posOffset>
          </wp:positionV>
          <wp:extent cx="7574280" cy="1043940"/>
          <wp:effectExtent l="762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FA7C4" w14:textId="25CFEB92" w:rsidR="00CA168A" w:rsidRDefault="00CA168A" w:rsidP="00D86AAF">
    <w:pPr>
      <w:pStyle w:val="FooterEven"/>
      <w:tabs>
        <w:tab w:val="center" w:pos="9072"/>
      </w:tabs>
      <w:jc w:val="right"/>
    </w:pPr>
    <w:r w:rsidRPr="00742366">
      <w:drawing>
        <wp:anchor distT="0" distB="0" distL="114300" distR="114300" simplePos="0" relativeHeight="251658246" behindDoc="1" locked="1" layoutInCell="1" allowOverlap="1" wp14:anchorId="4633DAC0" wp14:editId="4E5BDBB4">
          <wp:simplePos x="0" y="0"/>
          <wp:positionH relativeFrom="margin">
            <wp:posOffset>5459095</wp:posOffset>
          </wp:positionH>
          <wp:positionV relativeFrom="page">
            <wp:posOffset>3280410</wp:posOffset>
          </wp:positionV>
          <wp:extent cx="7574280" cy="1043940"/>
          <wp:effectExtent l="7620" t="0" r="0" b="0"/>
          <wp:wrapNone/>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sidRPr="00742366">
      <w:drawing>
        <wp:anchor distT="0" distB="0" distL="114300" distR="114300" simplePos="0" relativeHeight="251658247" behindDoc="1" locked="1" layoutInCell="1" allowOverlap="1" wp14:anchorId="35086E12" wp14:editId="1F736EAD">
          <wp:simplePos x="0" y="0"/>
          <wp:positionH relativeFrom="margin">
            <wp:posOffset>5459095</wp:posOffset>
          </wp:positionH>
          <wp:positionV relativeFrom="page">
            <wp:posOffset>3280410</wp:posOffset>
          </wp:positionV>
          <wp:extent cx="7574280" cy="1043940"/>
          <wp:effectExtent l="7620" t="0" r="0" b="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sidRPr="00EF03E1">
      <w:rPr>
        <w:position w:val="-10"/>
      </w:rPr>
      <w:drawing>
        <wp:inline distT="0" distB="0" distL="0" distR="0" wp14:anchorId="2A6996ED" wp14:editId="2FCFBECA">
          <wp:extent cx="1324800" cy="201600"/>
          <wp:effectExtent l="0" t="0" r="0" b="8255"/>
          <wp:docPr id="7" name="Picture 1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fldSimple w:instr="STYLEREF  &quot;Heading 1&quot;  \* MERGEFORMAT">
      <w:r w:rsidR="008958F7">
        <w:t>Findings and recommendations</w:t>
      </w:r>
    </w:fldSimple>
    <w:r>
      <w:t xml:space="preserve"> | </w:t>
    </w:r>
    <w:r>
      <w:rPr>
        <w:noProof w:val="0"/>
      </w:rPr>
      <w:fldChar w:fldCharType="begin"/>
    </w:r>
    <w:r>
      <w:instrText xml:space="preserve"> PAGE   \* MERGEFORMAT </w:instrText>
    </w:r>
    <w:r>
      <w:rPr>
        <w:noProof w:val="0"/>
      </w:rPr>
      <w:fldChar w:fldCharType="separate"/>
    </w:r>
    <w:r>
      <w:t>ii</w:t>
    </w:r>
    <w:r>
      <w:fldChar w:fldCharType="end"/>
    </w:r>
    <w:r w:rsidRPr="00742366">
      <w:drawing>
        <wp:anchor distT="0" distB="0" distL="114300" distR="114300" simplePos="0" relativeHeight="251658244" behindDoc="1" locked="1" layoutInCell="1" allowOverlap="1" wp14:anchorId="4FD72A2B" wp14:editId="0C7984D9">
          <wp:simplePos x="0" y="0"/>
          <wp:positionH relativeFrom="margin">
            <wp:posOffset>5459095</wp:posOffset>
          </wp:positionH>
          <wp:positionV relativeFrom="page">
            <wp:posOffset>3280410</wp:posOffset>
          </wp:positionV>
          <wp:extent cx="7574280" cy="1043940"/>
          <wp:effectExtent l="7620" t="0" r="0" b="0"/>
          <wp:wrapNone/>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sidRPr="00742366">
      <w:drawing>
        <wp:anchor distT="0" distB="0" distL="114300" distR="114300" simplePos="0" relativeHeight="251658245" behindDoc="1" locked="1" layoutInCell="1" allowOverlap="1" wp14:anchorId="2CEA286A" wp14:editId="2E1D2B19">
          <wp:simplePos x="0" y="0"/>
          <wp:positionH relativeFrom="margin">
            <wp:posOffset>5459095</wp:posOffset>
          </wp:positionH>
          <wp:positionV relativeFrom="page">
            <wp:posOffset>3280410</wp:posOffset>
          </wp:positionV>
          <wp:extent cx="7574280" cy="1043940"/>
          <wp:effectExtent l="762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6499E" w14:textId="77777777" w:rsidR="00D562DF" w:rsidRPr="00ED5A20" w:rsidRDefault="00D562DF" w:rsidP="000F6233">
      <w:pPr>
        <w:pStyle w:val="Footnoteseperator"/>
        <w:rPr>
          <w:color w:val="4D7861" w:themeColor="accent2"/>
        </w:rPr>
      </w:pPr>
      <w:r w:rsidRPr="00ED5A20">
        <w:rPr>
          <w:color w:val="4D7861" w:themeColor="accent2"/>
        </w:rPr>
        <w:separator/>
      </w:r>
    </w:p>
  </w:footnote>
  <w:footnote w:type="continuationSeparator" w:id="0">
    <w:p w14:paraId="5FC785AC" w14:textId="77777777" w:rsidR="00D562DF" w:rsidRPr="00B737EB" w:rsidRDefault="00D562DF">
      <w:pPr>
        <w:spacing w:before="0" w:after="0"/>
        <w:rPr>
          <w:color w:val="2C384A" w:themeColor="accent1"/>
        </w:rPr>
      </w:pPr>
      <w:r w:rsidRPr="00B737EB">
        <w:rPr>
          <w:color w:val="2C384A" w:themeColor="accent1"/>
        </w:rPr>
        <w:continuationSeparator/>
      </w:r>
    </w:p>
  </w:footnote>
  <w:footnote w:type="continuationNotice" w:id="1">
    <w:p w14:paraId="74D893D9" w14:textId="77777777" w:rsidR="00D562DF" w:rsidRDefault="00D562DF">
      <w:pPr>
        <w:spacing w:before="0" w:after="0"/>
      </w:pPr>
    </w:p>
  </w:footnote>
  <w:footnote w:id="2">
    <w:p w14:paraId="750515C6" w14:textId="61932356" w:rsidR="00E51FAD" w:rsidRDefault="00377200">
      <w:pPr>
        <w:pStyle w:val="FootnoteText"/>
      </w:pPr>
      <w:r w:rsidRPr="00377200">
        <w:rPr>
          <w:rStyle w:val="FootnoteReference"/>
        </w:rPr>
        <w:footnoteRef/>
      </w:r>
      <w:r w:rsidR="00E51FAD">
        <w:t xml:space="preserve"> </w:t>
      </w:r>
      <w:r w:rsidR="00E6065F" w:rsidRPr="007C4491">
        <w:t xml:space="preserve"> </w:t>
      </w:r>
      <w:r w:rsidR="007C4491">
        <w:tab/>
      </w:r>
      <w:r w:rsidR="00E6065F" w:rsidRPr="007C4491">
        <w:t>In the APRA statistics, branches are face</w:t>
      </w:r>
      <w:r w:rsidR="001D4A21" w:rsidRPr="007C4491">
        <w:noBreakHyphen/>
      </w:r>
      <w:r w:rsidR="00E6065F" w:rsidRPr="007C4491">
        <w:t>to</w:t>
      </w:r>
      <w:r w:rsidR="001D4A21" w:rsidRPr="007C4491">
        <w:noBreakHyphen/>
      </w:r>
      <w:r w:rsidR="00E6065F" w:rsidRPr="007C4491">
        <w:t>face points of presence that (1) accept cash and other deposits (including business deposits) and provide change, (2) facilitate the keeping of accounts for customer access, (3) open and close accounts, (4) can facilitate or arrange the assessment of credit risk for existing and potential customers and (5) offer additional services such as financial services, business banking and specialist lending. Other face</w:t>
      </w:r>
      <w:r w:rsidR="001D4A21" w:rsidRPr="007C4491">
        <w:noBreakHyphen/>
      </w:r>
      <w:r w:rsidR="00E6065F" w:rsidRPr="007C4491">
        <w:t>to</w:t>
      </w:r>
      <w:r w:rsidR="001D4A21" w:rsidRPr="007C4491">
        <w:noBreakHyphen/>
      </w:r>
      <w:r w:rsidR="00E6065F" w:rsidRPr="007C4491">
        <w:t>face points of presence (which include Bank@Post) provide face</w:t>
      </w:r>
      <w:r w:rsidR="001D4A21" w:rsidRPr="007C4491">
        <w:noBreakHyphen/>
      </w:r>
      <w:r w:rsidR="00E6065F" w:rsidRPr="007C4491">
        <w:t>to</w:t>
      </w:r>
      <w:r w:rsidR="001D4A21" w:rsidRPr="007C4491">
        <w:noBreakHyphen/>
      </w:r>
      <w:r w:rsidR="00E6065F" w:rsidRPr="007C4491">
        <w:t>face services and maintain a fixed address, but do not meet all the requirements to be a branch. Banks include building societies and credit unions.</w:t>
      </w:r>
    </w:p>
  </w:footnote>
  <w:footnote w:id="3">
    <w:p w14:paraId="78A2E7FA" w14:textId="794432B2" w:rsidR="00A04E13" w:rsidRDefault="00377200">
      <w:pPr>
        <w:pStyle w:val="FootnoteText"/>
      </w:pPr>
      <w:r w:rsidRPr="00377200">
        <w:rPr>
          <w:rStyle w:val="FootnoteReference"/>
        </w:rPr>
        <w:footnoteRef/>
      </w:r>
      <w:r w:rsidR="00A04E13">
        <w:t xml:space="preserve"> </w:t>
      </w:r>
      <w:r>
        <w:tab/>
      </w:r>
      <w:r w:rsidR="00A04E13" w:rsidRPr="006C515A">
        <w:t xml:space="preserve">Impact assessments </w:t>
      </w:r>
      <w:r w:rsidR="00936050">
        <w:t>would</w:t>
      </w:r>
      <w:r w:rsidR="00A04E13" w:rsidRPr="006C515A">
        <w:t xml:space="preserve"> not</w:t>
      </w:r>
      <w:r w:rsidR="00A04E13">
        <w:t xml:space="preserve"> </w:t>
      </w:r>
      <w:r w:rsidR="00DF0015">
        <w:t xml:space="preserve">be </w:t>
      </w:r>
      <w:r w:rsidR="00A04E13" w:rsidRPr="006C515A">
        <w:t>require</w:t>
      </w:r>
      <w:r w:rsidR="00A04E13">
        <w:t>d</w:t>
      </w:r>
      <w:r w:rsidR="00A04E13" w:rsidRPr="006C515A">
        <w:t xml:space="preserve"> if a bank provid</w:t>
      </w:r>
      <w:r w:rsidR="00A84433">
        <w:t>es</w:t>
      </w:r>
      <w:r w:rsidR="00A04E13">
        <w:t xml:space="preserve"> or </w:t>
      </w:r>
      <w:r w:rsidR="00A04E13" w:rsidRPr="006C515A">
        <w:t>retain</w:t>
      </w:r>
      <w:r w:rsidR="00A84433">
        <w:t>s</w:t>
      </w:r>
      <w:r w:rsidR="00A04E13" w:rsidRPr="006C515A">
        <w:t xml:space="preserve"> an alternate branch service for customers in the same regional town or city (for example, if a bank co</w:t>
      </w:r>
      <w:r w:rsidR="001D4A21">
        <w:noBreakHyphen/>
      </w:r>
      <w:r w:rsidR="00A04E13" w:rsidRPr="006C515A">
        <w:t>locates a branch service).</w:t>
      </w:r>
    </w:p>
  </w:footnote>
  <w:footnote w:id="4">
    <w:p w14:paraId="40014D44" w14:textId="6734A80D" w:rsidR="006D1994" w:rsidRDefault="00377200">
      <w:pPr>
        <w:pStyle w:val="FootnoteText"/>
      </w:pPr>
      <w:r w:rsidRPr="00377200">
        <w:rPr>
          <w:rStyle w:val="FootnoteReference"/>
        </w:rPr>
        <w:footnoteRef/>
      </w:r>
      <w:r w:rsidR="004D5A1D">
        <w:t xml:space="preserve"> </w:t>
      </w:r>
      <w:r>
        <w:tab/>
      </w:r>
      <w:r w:rsidR="00E753C9" w:rsidRPr="00E753C9">
        <w:t xml:space="preserve">Taskforce submissions suggest that banks see a role for them in serving their customers with the ABA noting </w:t>
      </w:r>
      <w:r w:rsidR="001D4A21">
        <w:t>‘</w:t>
      </w:r>
      <w:r w:rsidR="00E753C9" w:rsidRPr="00E753C9">
        <w:t>Australian banks take seriously their responsibility to ensure that regional customers are getting the services they need</w:t>
      </w:r>
      <w:r w:rsidR="001D4A21">
        <w:t>’</w:t>
      </w:r>
      <w:r w:rsidR="00E753C9" w:rsidRPr="00E753C9">
        <w:t xml:space="preserve"> and that there are special expectations in the community on banks with the Berigan Shire Council submission expressing an expectation of the </w:t>
      </w:r>
      <w:r w:rsidR="001D4A21">
        <w:t>‘</w:t>
      </w:r>
      <w:r w:rsidR="00E753C9" w:rsidRPr="00E753C9">
        <w:t>social responsibilities banks have to the entire Australian community.</w:t>
      </w:r>
      <w:r w:rsidR="001D4A21">
        <w:t>’</w:t>
      </w:r>
    </w:p>
  </w:footnote>
  <w:footnote w:id="5">
    <w:p w14:paraId="6ACCFE1E" w14:textId="1F87BFA0" w:rsidR="006D1994" w:rsidRDefault="00377200">
      <w:pPr>
        <w:pStyle w:val="FootnoteText"/>
      </w:pPr>
      <w:r w:rsidRPr="00377200">
        <w:rPr>
          <w:rStyle w:val="FootnoteReference"/>
        </w:rPr>
        <w:footnoteRef/>
      </w:r>
      <w:r w:rsidR="006D1994">
        <w:t xml:space="preserve"> </w:t>
      </w:r>
      <w:r>
        <w:tab/>
      </w:r>
      <w:r w:rsidR="006D1994">
        <w:t>Around 65 per cent of Bank@Post offices in regional and remote Australia are in communities with no bank branch.</w:t>
      </w:r>
    </w:p>
  </w:footnote>
  <w:footnote w:id="6">
    <w:p w14:paraId="1A128619" w14:textId="3EE473D4" w:rsidR="00282C5C" w:rsidRDefault="00377200" w:rsidP="00282C5C">
      <w:pPr>
        <w:pStyle w:val="FootnoteText"/>
      </w:pPr>
      <w:r w:rsidRPr="00377200">
        <w:rPr>
          <w:rStyle w:val="FootnoteReference"/>
        </w:rPr>
        <w:footnoteRef/>
      </w:r>
      <w:r w:rsidR="00282C5C">
        <w:t xml:space="preserve"> </w:t>
      </w:r>
      <w:r>
        <w:tab/>
      </w:r>
      <w:r w:rsidR="00282C5C">
        <w:t>Based on the Consumer Payments Survey, cash payments</w:t>
      </w:r>
      <w:r w:rsidR="001D4A21">
        <w:t>’</w:t>
      </w:r>
      <w:r w:rsidR="00282C5C">
        <w:t xml:space="preserve"> share of the total number of payments fell from 69</w:t>
      </w:r>
      <w:r w:rsidR="00704CC4">
        <w:t> </w:t>
      </w:r>
      <w:r w:rsidR="00282C5C">
        <w:t xml:space="preserve">per cent in 2007 to 27 per cent in 2019 (Caddy </w:t>
      </w:r>
      <w:r w:rsidR="00282C5C" w:rsidRPr="00DE21E0">
        <w:t>et al.</w:t>
      </w:r>
      <w:r w:rsidR="00282C5C">
        <w:t xml:space="preserve"> 2020)</w:t>
      </w:r>
      <w:r w:rsidR="001D4A21">
        <w:t xml:space="preserve">. </w:t>
      </w:r>
      <w:r w:rsidR="00282C5C">
        <w:t>Submissions also provided evidence that the COVID</w:t>
      </w:r>
      <w:r w:rsidR="001D4A21">
        <w:noBreakHyphen/>
      </w:r>
      <w:r w:rsidR="00282C5C">
        <w:t>19 pandemic had changed Australians</w:t>
      </w:r>
      <w:r w:rsidR="001D4A21">
        <w:t>’</w:t>
      </w:r>
      <w:r w:rsidR="00282C5C">
        <w:t xml:space="preserve"> cash use, with the value of cash withdrawals having fallen significantly lower since the onset of the pandemic.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8A975" w14:textId="22C162E2" w:rsidR="00042B50" w:rsidRDefault="00042B50">
    <w:pPr>
      <w:pStyle w:val="Header"/>
    </w:pPr>
    <w:r>
      <w:rPr>
        <w:noProof/>
      </w:rPr>
      <w:drawing>
        <wp:anchor distT="0" distB="0" distL="114300" distR="114300" simplePos="0" relativeHeight="251658252" behindDoc="1" locked="1" layoutInCell="1" allowOverlap="1" wp14:anchorId="6FFB2E92" wp14:editId="29EA11BF">
          <wp:simplePos x="0" y="0"/>
          <wp:positionH relativeFrom="page">
            <wp:posOffset>-10160</wp:posOffset>
          </wp:positionH>
          <wp:positionV relativeFrom="page">
            <wp:posOffset>-7620</wp:posOffset>
          </wp:positionV>
          <wp:extent cx="7570470" cy="104394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extLst>
                      <a:ext uri="{28A0092B-C50C-407E-A947-70E740481C1C}">
                        <a14:useLocalDpi xmlns:a14="http://schemas.microsoft.com/office/drawing/2010/main" val="0"/>
                      </a:ext>
                    </a:extLst>
                  </a:blip>
                  <a:stretch>
                    <a:fillRect/>
                  </a:stretch>
                </pic:blipFill>
                <pic:spPr>
                  <a:xfrm>
                    <a:off x="0" y="0"/>
                    <a:ext cx="7570470" cy="10439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4564F9D"/>
    <w:multiLevelType w:val="multilevel"/>
    <w:tmpl w:val="B0402706"/>
    <w:lvl w:ilvl="0">
      <w:start w:val="1"/>
      <w:numFmt w:val="bullet"/>
      <w:lvlRestart w:val="0"/>
      <w:pStyle w:val="Boxbullet"/>
      <w:lvlText w:val="•"/>
      <w:lvlJc w:val="left"/>
      <w:pPr>
        <w:tabs>
          <w:tab w:val="num" w:pos="283"/>
        </w:tabs>
        <w:ind w:left="284" w:hanging="284"/>
      </w:pPr>
      <w:rPr>
        <w:rFonts w:ascii="Times New Roman" w:hAnsi="Times New Roman" w:cs="Times New Roman" w:hint="default"/>
        <w:b w:val="0"/>
        <w:i w:val="0"/>
      </w:rPr>
    </w:lvl>
    <w:lvl w:ilvl="1">
      <w:start w:val="1"/>
      <w:numFmt w:val="bullet"/>
      <w:pStyle w:val="Boxdash"/>
      <w:lvlText w:val="–"/>
      <w:lvlJc w:val="left"/>
      <w:pPr>
        <w:tabs>
          <w:tab w:val="num" w:pos="567"/>
        </w:tabs>
        <w:ind w:left="568" w:hanging="284"/>
      </w:pPr>
      <w:rPr>
        <w:rFonts w:ascii="Times New Roman" w:hAnsi="Times New Roman" w:cs="Times New Roman" w:hint="default"/>
        <w:b w:val="0"/>
        <w:i w:val="0"/>
      </w:rPr>
    </w:lvl>
    <w:lvl w:ilvl="2">
      <w:start w:val="1"/>
      <w:numFmt w:val="bullet"/>
      <w:pStyle w:val="Boxdoubledo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3"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EE02CB9"/>
    <w:multiLevelType w:val="hybridMultilevel"/>
    <w:tmpl w:val="BECE6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7"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C181079"/>
    <w:multiLevelType w:val="multilevel"/>
    <w:tmpl w:val="6F92BA82"/>
    <w:lvl w:ilvl="0">
      <w:start w:val="1"/>
      <w:numFmt w:val="bullet"/>
      <w:pStyle w:val="Bullet"/>
      <w:lvlText w:val="•"/>
      <w:lvlJc w:val="left"/>
      <w:pPr>
        <w:ind w:left="284" w:hanging="284"/>
      </w:pPr>
      <w:rPr>
        <w:rFonts w:ascii="Times New Roman" w:hAnsi="Times New Roman" w:cs="Times New Roman" w:hint="default"/>
      </w:rPr>
    </w:lvl>
    <w:lvl w:ilvl="1">
      <w:start w:val="1"/>
      <w:numFmt w:val="bullet"/>
      <w:pStyle w:val="Dash"/>
      <w:lvlText w:val="–"/>
      <w:lvlJc w:val="left"/>
      <w:pPr>
        <w:ind w:left="568" w:hanging="284"/>
      </w:pPr>
      <w:rPr>
        <w:rFonts w:ascii="Times New Roman" w:hAnsi="Times New Roman" w:cs="Times New Roman" w:hint="default"/>
      </w:rPr>
    </w:lvl>
    <w:lvl w:ilvl="2">
      <w:start w:val="1"/>
      <w:numFmt w:val="bullet"/>
      <w:pStyle w:val="DoubleDo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0" w15:restartNumberingAfterBreak="0">
    <w:nsid w:val="7D6B5224"/>
    <w:multiLevelType w:val="multilevel"/>
    <w:tmpl w:val="57000EF8"/>
    <w:name w:val="StandardBulletedList"/>
    <w:lvl w:ilvl="0">
      <w:start w:val="1"/>
      <w:numFmt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5"/>
  </w:num>
  <w:num w:numId="3">
    <w:abstractNumId w:val="0"/>
  </w:num>
  <w:num w:numId="4">
    <w:abstractNumId w:val="9"/>
  </w:num>
  <w:num w:numId="5">
    <w:abstractNumId w:val="2"/>
  </w:num>
  <w:num w:numId="6">
    <w:abstractNumId w:val="6"/>
  </w:num>
  <w:num w:numId="7">
    <w:abstractNumId w:val="7"/>
  </w:num>
  <w:num w:numId="8">
    <w:abstractNumId w:val="3"/>
  </w:num>
  <w:num w:numId="9">
    <w:abstractNumId w:val="8"/>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OIClassificationInHeader" w:val="False"/>
    <w:docVar w:name="SecurityClassificationInHeader" w:val="False"/>
    <w:docVar w:name="SecurityDLMInHeader" w:val="False"/>
  </w:docVars>
  <w:rsids>
    <w:rsidRoot w:val="00570A7B"/>
    <w:rsid w:val="00000760"/>
    <w:rsid w:val="00000B65"/>
    <w:rsid w:val="00000E28"/>
    <w:rsid w:val="00001090"/>
    <w:rsid w:val="00001741"/>
    <w:rsid w:val="000018D0"/>
    <w:rsid w:val="00001A16"/>
    <w:rsid w:val="00001D50"/>
    <w:rsid w:val="000028F5"/>
    <w:rsid w:val="00002B4E"/>
    <w:rsid w:val="00003013"/>
    <w:rsid w:val="000030AA"/>
    <w:rsid w:val="00003FFC"/>
    <w:rsid w:val="00004887"/>
    <w:rsid w:val="00004A2E"/>
    <w:rsid w:val="0000580B"/>
    <w:rsid w:val="00005FEA"/>
    <w:rsid w:val="00006B07"/>
    <w:rsid w:val="00006BA3"/>
    <w:rsid w:val="00006BF6"/>
    <w:rsid w:val="00006C64"/>
    <w:rsid w:val="00006EDE"/>
    <w:rsid w:val="0000707C"/>
    <w:rsid w:val="00007575"/>
    <w:rsid w:val="00007986"/>
    <w:rsid w:val="00007C4B"/>
    <w:rsid w:val="00007DF3"/>
    <w:rsid w:val="000102A6"/>
    <w:rsid w:val="0001032B"/>
    <w:rsid w:val="00010748"/>
    <w:rsid w:val="00010812"/>
    <w:rsid w:val="00010CF6"/>
    <w:rsid w:val="00010F27"/>
    <w:rsid w:val="00010F52"/>
    <w:rsid w:val="00011328"/>
    <w:rsid w:val="0001133D"/>
    <w:rsid w:val="00011725"/>
    <w:rsid w:val="0001184C"/>
    <w:rsid w:val="00011A02"/>
    <w:rsid w:val="000120F5"/>
    <w:rsid w:val="000121E9"/>
    <w:rsid w:val="0001276C"/>
    <w:rsid w:val="00012C10"/>
    <w:rsid w:val="00012C62"/>
    <w:rsid w:val="000130F3"/>
    <w:rsid w:val="000134E8"/>
    <w:rsid w:val="0001396A"/>
    <w:rsid w:val="00013A00"/>
    <w:rsid w:val="00013A2C"/>
    <w:rsid w:val="000146D4"/>
    <w:rsid w:val="00014EC4"/>
    <w:rsid w:val="00015CE0"/>
    <w:rsid w:val="000161F8"/>
    <w:rsid w:val="00016537"/>
    <w:rsid w:val="000169E8"/>
    <w:rsid w:val="00016EF2"/>
    <w:rsid w:val="00017332"/>
    <w:rsid w:val="00017983"/>
    <w:rsid w:val="00017F7D"/>
    <w:rsid w:val="00020632"/>
    <w:rsid w:val="000207D9"/>
    <w:rsid w:val="000208D5"/>
    <w:rsid w:val="000210A9"/>
    <w:rsid w:val="0002158F"/>
    <w:rsid w:val="000218BE"/>
    <w:rsid w:val="00021B15"/>
    <w:rsid w:val="00021E08"/>
    <w:rsid w:val="00022909"/>
    <w:rsid w:val="00022A24"/>
    <w:rsid w:val="00023678"/>
    <w:rsid w:val="000238CF"/>
    <w:rsid w:val="000239DE"/>
    <w:rsid w:val="00023DB5"/>
    <w:rsid w:val="0002405B"/>
    <w:rsid w:val="00024885"/>
    <w:rsid w:val="00024A14"/>
    <w:rsid w:val="00024C28"/>
    <w:rsid w:val="00024CF9"/>
    <w:rsid w:val="0002544D"/>
    <w:rsid w:val="000254AE"/>
    <w:rsid w:val="00025573"/>
    <w:rsid w:val="00025A0F"/>
    <w:rsid w:val="00025A5D"/>
    <w:rsid w:val="00025E4C"/>
    <w:rsid w:val="000267F2"/>
    <w:rsid w:val="00026AC5"/>
    <w:rsid w:val="00026E3C"/>
    <w:rsid w:val="00027439"/>
    <w:rsid w:val="00027513"/>
    <w:rsid w:val="00027932"/>
    <w:rsid w:val="00027968"/>
    <w:rsid w:val="00030588"/>
    <w:rsid w:val="000309BC"/>
    <w:rsid w:val="00030C89"/>
    <w:rsid w:val="000310A7"/>
    <w:rsid w:val="000312D4"/>
    <w:rsid w:val="00031779"/>
    <w:rsid w:val="00032157"/>
    <w:rsid w:val="00032A28"/>
    <w:rsid w:val="00032C26"/>
    <w:rsid w:val="00033205"/>
    <w:rsid w:val="00033515"/>
    <w:rsid w:val="00033BFA"/>
    <w:rsid w:val="00033CD4"/>
    <w:rsid w:val="000341B0"/>
    <w:rsid w:val="0003423C"/>
    <w:rsid w:val="00035071"/>
    <w:rsid w:val="00035517"/>
    <w:rsid w:val="00035580"/>
    <w:rsid w:val="000357EA"/>
    <w:rsid w:val="000359BE"/>
    <w:rsid w:val="00035A99"/>
    <w:rsid w:val="00036604"/>
    <w:rsid w:val="0003685F"/>
    <w:rsid w:val="00036B22"/>
    <w:rsid w:val="0003720F"/>
    <w:rsid w:val="00037462"/>
    <w:rsid w:val="0003780F"/>
    <w:rsid w:val="0003783F"/>
    <w:rsid w:val="00037DF6"/>
    <w:rsid w:val="00037EC6"/>
    <w:rsid w:val="00040263"/>
    <w:rsid w:val="0004092E"/>
    <w:rsid w:val="00040CE8"/>
    <w:rsid w:val="00041147"/>
    <w:rsid w:val="00041150"/>
    <w:rsid w:val="00041850"/>
    <w:rsid w:val="0004247B"/>
    <w:rsid w:val="0004274D"/>
    <w:rsid w:val="00042A59"/>
    <w:rsid w:val="00042B50"/>
    <w:rsid w:val="00042FEF"/>
    <w:rsid w:val="00043348"/>
    <w:rsid w:val="00043577"/>
    <w:rsid w:val="0004364D"/>
    <w:rsid w:val="000436B4"/>
    <w:rsid w:val="00043A90"/>
    <w:rsid w:val="00043F39"/>
    <w:rsid w:val="00044125"/>
    <w:rsid w:val="0004483F"/>
    <w:rsid w:val="00044A74"/>
    <w:rsid w:val="00044EEC"/>
    <w:rsid w:val="00044F14"/>
    <w:rsid w:val="00045223"/>
    <w:rsid w:val="0004542A"/>
    <w:rsid w:val="00045B93"/>
    <w:rsid w:val="000464C3"/>
    <w:rsid w:val="000464D3"/>
    <w:rsid w:val="00046774"/>
    <w:rsid w:val="0004694A"/>
    <w:rsid w:val="00046CB4"/>
    <w:rsid w:val="00046CDF"/>
    <w:rsid w:val="00046DA9"/>
    <w:rsid w:val="00046E4B"/>
    <w:rsid w:val="00046FFF"/>
    <w:rsid w:val="00047A9F"/>
    <w:rsid w:val="00047E21"/>
    <w:rsid w:val="00047E4C"/>
    <w:rsid w:val="00050549"/>
    <w:rsid w:val="00050B9E"/>
    <w:rsid w:val="00050CD7"/>
    <w:rsid w:val="00050E75"/>
    <w:rsid w:val="0005100E"/>
    <w:rsid w:val="000512A7"/>
    <w:rsid w:val="0005138B"/>
    <w:rsid w:val="000513B2"/>
    <w:rsid w:val="00051CAB"/>
    <w:rsid w:val="00051D9B"/>
    <w:rsid w:val="000522B7"/>
    <w:rsid w:val="000528E7"/>
    <w:rsid w:val="00052EEB"/>
    <w:rsid w:val="000536DC"/>
    <w:rsid w:val="00053717"/>
    <w:rsid w:val="00053A80"/>
    <w:rsid w:val="00053BEA"/>
    <w:rsid w:val="0005475D"/>
    <w:rsid w:val="00054874"/>
    <w:rsid w:val="0005510E"/>
    <w:rsid w:val="000551B9"/>
    <w:rsid w:val="000558AA"/>
    <w:rsid w:val="0005606A"/>
    <w:rsid w:val="0005622E"/>
    <w:rsid w:val="00056880"/>
    <w:rsid w:val="00056C41"/>
    <w:rsid w:val="00060551"/>
    <w:rsid w:val="0006217B"/>
    <w:rsid w:val="00062321"/>
    <w:rsid w:val="00062CF5"/>
    <w:rsid w:val="00063353"/>
    <w:rsid w:val="000636EC"/>
    <w:rsid w:val="000638D2"/>
    <w:rsid w:val="00064196"/>
    <w:rsid w:val="00064240"/>
    <w:rsid w:val="0006444A"/>
    <w:rsid w:val="00064525"/>
    <w:rsid w:val="00064BC4"/>
    <w:rsid w:val="00064C22"/>
    <w:rsid w:val="00064E30"/>
    <w:rsid w:val="0006520F"/>
    <w:rsid w:val="0006652D"/>
    <w:rsid w:val="000668F6"/>
    <w:rsid w:val="000675D1"/>
    <w:rsid w:val="00067FB7"/>
    <w:rsid w:val="00070095"/>
    <w:rsid w:val="0007032A"/>
    <w:rsid w:val="00070F6D"/>
    <w:rsid w:val="00071826"/>
    <w:rsid w:val="000718EC"/>
    <w:rsid w:val="00071DCF"/>
    <w:rsid w:val="000720EF"/>
    <w:rsid w:val="000729DA"/>
    <w:rsid w:val="00072BA4"/>
    <w:rsid w:val="0007338E"/>
    <w:rsid w:val="0007348F"/>
    <w:rsid w:val="00073521"/>
    <w:rsid w:val="000739BC"/>
    <w:rsid w:val="00073CE2"/>
    <w:rsid w:val="00073CFD"/>
    <w:rsid w:val="00074552"/>
    <w:rsid w:val="00074678"/>
    <w:rsid w:val="00074926"/>
    <w:rsid w:val="00074B22"/>
    <w:rsid w:val="00074C63"/>
    <w:rsid w:val="00074C87"/>
    <w:rsid w:val="00075181"/>
    <w:rsid w:val="00076603"/>
    <w:rsid w:val="00076C6D"/>
    <w:rsid w:val="00077269"/>
    <w:rsid w:val="000774A9"/>
    <w:rsid w:val="000775DE"/>
    <w:rsid w:val="00077D5D"/>
    <w:rsid w:val="000803DF"/>
    <w:rsid w:val="000815C8"/>
    <w:rsid w:val="000816D7"/>
    <w:rsid w:val="00081B18"/>
    <w:rsid w:val="00081CDB"/>
    <w:rsid w:val="00081F4E"/>
    <w:rsid w:val="000821ED"/>
    <w:rsid w:val="000824EE"/>
    <w:rsid w:val="00082741"/>
    <w:rsid w:val="00082F7A"/>
    <w:rsid w:val="0008313D"/>
    <w:rsid w:val="00083787"/>
    <w:rsid w:val="0008389D"/>
    <w:rsid w:val="00083DD0"/>
    <w:rsid w:val="00084825"/>
    <w:rsid w:val="00084909"/>
    <w:rsid w:val="00084AB0"/>
    <w:rsid w:val="00084B63"/>
    <w:rsid w:val="000852AD"/>
    <w:rsid w:val="000862EA"/>
    <w:rsid w:val="00086F8C"/>
    <w:rsid w:val="0008764F"/>
    <w:rsid w:val="000876F4"/>
    <w:rsid w:val="00087C72"/>
    <w:rsid w:val="00087FAF"/>
    <w:rsid w:val="0009001E"/>
    <w:rsid w:val="000904B9"/>
    <w:rsid w:val="00090A3E"/>
    <w:rsid w:val="00090B0E"/>
    <w:rsid w:val="00090D7C"/>
    <w:rsid w:val="00090E76"/>
    <w:rsid w:val="000911E3"/>
    <w:rsid w:val="000912F1"/>
    <w:rsid w:val="0009148F"/>
    <w:rsid w:val="000914E8"/>
    <w:rsid w:val="00091836"/>
    <w:rsid w:val="00092072"/>
    <w:rsid w:val="00092471"/>
    <w:rsid w:val="000930DB"/>
    <w:rsid w:val="000937DB"/>
    <w:rsid w:val="0009389C"/>
    <w:rsid w:val="00093C73"/>
    <w:rsid w:val="00093D48"/>
    <w:rsid w:val="0009442D"/>
    <w:rsid w:val="00094818"/>
    <w:rsid w:val="00094C18"/>
    <w:rsid w:val="0009569F"/>
    <w:rsid w:val="0009582B"/>
    <w:rsid w:val="00095985"/>
    <w:rsid w:val="0009649D"/>
    <w:rsid w:val="00096537"/>
    <w:rsid w:val="000966AC"/>
    <w:rsid w:val="00096996"/>
    <w:rsid w:val="00096D14"/>
    <w:rsid w:val="00097085"/>
    <w:rsid w:val="000971C3"/>
    <w:rsid w:val="00097308"/>
    <w:rsid w:val="00097554"/>
    <w:rsid w:val="00097B4A"/>
    <w:rsid w:val="00097D07"/>
    <w:rsid w:val="000A0204"/>
    <w:rsid w:val="000A067A"/>
    <w:rsid w:val="000A0897"/>
    <w:rsid w:val="000A0B91"/>
    <w:rsid w:val="000A13F0"/>
    <w:rsid w:val="000A1831"/>
    <w:rsid w:val="000A185D"/>
    <w:rsid w:val="000A1C3F"/>
    <w:rsid w:val="000A2041"/>
    <w:rsid w:val="000A20A6"/>
    <w:rsid w:val="000A253D"/>
    <w:rsid w:val="000A2581"/>
    <w:rsid w:val="000A29B2"/>
    <w:rsid w:val="000A2C1E"/>
    <w:rsid w:val="000A3207"/>
    <w:rsid w:val="000A33F7"/>
    <w:rsid w:val="000A4BAD"/>
    <w:rsid w:val="000A5934"/>
    <w:rsid w:val="000A59BA"/>
    <w:rsid w:val="000A5ADE"/>
    <w:rsid w:val="000A5CF3"/>
    <w:rsid w:val="000A6219"/>
    <w:rsid w:val="000A678A"/>
    <w:rsid w:val="000A6F4B"/>
    <w:rsid w:val="000A77DF"/>
    <w:rsid w:val="000A7BA8"/>
    <w:rsid w:val="000B03F8"/>
    <w:rsid w:val="000B093F"/>
    <w:rsid w:val="000B0ADB"/>
    <w:rsid w:val="000B0D37"/>
    <w:rsid w:val="000B0E63"/>
    <w:rsid w:val="000B11F9"/>
    <w:rsid w:val="000B20D5"/>
    <w:rsid w:val="000B2585"/>
    <w:rsid w:val="000B2CBD"/>
    <w:rsid w:val="000B2D2D"/>
    <w:rsid w:val="000B2E59"/>
    <w:rsid w:val="000B3009"/>
    <w:rsid w:val="000B314A"/>
    <w:rsid w:val="000B369B"/>
    <w:rsid w:val="000B3DA6"/>
    <w:rsid w:val="000B3E0A"/>
    <w:rsid w:val="000B48E0"/>
    <w:rsid w:val="000B4909"/>
    <w:rsid w:val="000B4964"/>
    <w:rsid w:val="000B4C56"/>
    <w:rsid w:val="000B4F15"/>
    <w:rsid w:val="000B5359"/>
    <w:rsid w:val="000B5612"/>
    <w:rsid w:val="000B5819"/>
    <w:rsid w:val="000B5871"/>
    <w:rsid w:val="000B5973"/>
    <w:rsid w:val="000B5C85"/>
    <w:rsid w:val="000B6367"/>
    <w:rsid w:val="000B670A"/>
    <w:rsid w:val="000B712F"/>
    <w:rsid w:val="000B7B41"/>
    <w:rsid w:val="000B7BF8"/>
    <w:rsid w:val="000C0107"/>
    <w:rsid w:val="000C018D"/>
    <w:rsid w:val="000C06CE"/>
    <w:rsid w:val="000C0922"/>
    <w:rsid w:val="000C1BC2"/>
    <w:rsid w:val="000C1DC4"/>
    <w:rsid w:val="000C2326"/>
    <w:rsid w:val="000C2840"/>
    <w:rsid w:val="000C2845"/>
    <w:rsid w:val="000C348C"/>
    <w:rsid w:val="000C3838"/>
    <w:rsid w:val="000C4340"/>
    <w:rsid w:val="000C4E37"/>
    <w:rsid w:val="000C50CA"/>
    <w:rsid w:val="000C5209"/>
    <w:rsid w:val="000C571D"/>
    <w:rsid w:val="000C59B7"/>
    <w:rsid w:val="000C59F5"/>
    <w:rsid w:val="000C5CA6"/>
    <w:rsid w:val="000C5DEC"/>
    <w:rsid w:val="000C5F40"/>
    <w:rsid w:val="000C61EA"/>
    <w:rsid w:val="000C6433"/>
    <w:rsid w:val="000C7A2C"/>
    <w:rsid w:val="000D04F5"/>
    <w:rsid w:val="000D07AD"/>
    <w:rsid w:val="000D0877"/>
    <w:rsid w:val="000D0E4F"/>
    <w:rsid w:val="000D1013"/>
    <w:rsid w:val="000D1557"/>
    <w:rsid w:val="000D1B1C"/>
    <w:rsid w:val="000D1F6E"/>
    <w:rsid w:val="000D2385"/>
    <w:rsid w:val="000D2FE3"/>
    <w:rsid w:val="000D325F"/>
    <w:rsid w:val="000D3A5C"/>
    <w:rsid w:val="000D3E9F"/>
    <w:rsid w:val="000D430F"/>
    <w:rsid w:val="000D468E"/>
    <w:rsid w:val="000D48F5"/>
    <w:rsid w:val="000D517D"/>
    <w:rsid w:val="000D52FF"/>
    <w:rsid w:val="000D58F6"/>
    <w:rsid w:val="000D62B5"/>
    <w:rsid w:val="000D63B8"/>
    <w:rsid w:val="000D7763"/>
    <w:rsid w:val="000D790B"/>
    <w:rsid w:val="000D7B4A"/>
    <w:rsid w:val="000D7C18"/>
    <w:rsid w:val="000E059E"/>
    <w:rsid w:val="000E0AC1"/>
    <w:rsid w:val="000E0B74"/>
    <w:rsid w:val="000E0F35"/>
    <w:rsid w:val="000E10D4"/>
    <w:rsid w:val="000E10EB"/>
    <w:rsid w:val="000E1A95"/>
    <w:rsid w:val="000E210E"/>
    <w:rsid w:val="000E214D"/>
    <w:rsid w:val="000E21BC"/>
    <w:rsid w:val="000E21E3"/>
    <w:rsid w:val="000E248A"/>
    <w:rsid w:val="000E24A9"/>
    <w:rsid w:val="000E31DB"/>
    <w:rsid w:val="000E325A"/>
    <w:rsid w:val="000E3370"/>
    <w:rsid w:val="000E34BE"/>
    <w:rsid w:val="000E359C"/>
    <w:rsid w:val="000E3F8E"/>
    <w:rsid w:val="000E4167"/>
    <w:rsid w:val="000E4664"/>
    <w:rsid w:val="000E48D0"/>
    <w:rsid w:val="000E501F"/>
    <w:rsid w:val="000E56BB"/>
    <w:rsid w:val="000E56CE"/>
    <w:rsid w:val="000E5FAF"/>
    <w:rsid w:val="000E6D50"/>
    <w:rsid w:val="000E6EA0"/>
    <w:rsid w:val="000E76FB"/>
    <w:rsid w:val="000E7901"/>
    <w:rsid w:val="000E7BDD"/>
    <w:rsid w:val="000E7C7B"/>
    <w:rsid w:val="000E7DF6"/>
    <w:rsid w:val="000F015B"/>
    <w:rsid w:val="000F06E7"/>
    <w:rsid w:val="000F1325"/>
    <w:rsid w:val="000F1398"/>
    <w:rsid w:val="000F1428"/>
    <w:rsid w:val="000F15DA"/>
    <w:rsid w:val="000F2C38"/>
    <w:rsid w:val="000F2EEB"/>
    <w:rsid w:val="000F318D"/>
    <w:rsid w:val="000F41B7"/>
    <w:rsid w:val="000F4536"/>
    <w:rsid w:val="000F4823"/>
    <w:rsid w:val="000F4A6D"/>
    <w:rsid w:val="000F4F48"/>
    <w:rsid w:val="000F513F"/>
    <w:rsid w:val="000F6066"/>
    <w:rsid w:val="000F6233"/>
    <w:rsid w:val="000F65DD"/>
    <w:rsid w:val="000F697A"/>
    <w:rsid w:val="000F69C4"/>
    <w:rsid w:val="000F69EF"/>
    <w:rsid w:val="000F6C94"/>
    <w:rsid w:val="000F6CB6"/>
    <w:rsid w:val="000F71A3"/>
    <w:rsid w:val="000F7C31"/>
    <w:rsid w:val="000F7ED5"/>
    <w:rsid w:val="00100AA3"/>
    <w:rsid w:val="00100C06"/>
    <w:rsid w:val="00100FD2"/>
    <w:rsid w:val="00101759"/>
    <w:rsid w:val="00101900"/>
    <w:rsid w:val="00101904"/>
    <w:rsid w:val="00102631"/>
    <w:rsid w:val="00102966"/>
    <w:rsid w:val="00102A26"/>
    <w:rsid w:val="001034AB"/>
    <w:rsid w:val="00103562"/>
    <w:rsid w:val="00103EA2"/>
    <w:rsid w:val="00104077"/>
    <w:rsid w:val="001048D9"/>
    <w:rsid w:val="0010508D"/>
    <w:rsid w:val="00105466"/>
    <w:rsid w:val="001057E3"/>
    <w:rsid w:val="00105B44"/>
    <w:rsid w:val="00105C31"/>
    <w:rsid w:val="00105D35"/>
    <w:rsid w:val="00106729"/>
    <w:rsid w:val="00106D46"/>
    <w:rsid w:val="00106F9C"/>
    <w:rsid w:val="001070C5"/>
    <w:rsid w:val="0010728D"/>
    <w:rsid w:val="001072E5"/>
    <w:rsid w:val="001073A4"/>
    <w:rsid w:val="0010757F"/>
    <w:rsid w:val="001079C6"/>
    <w:rsid w:val="001100EE"/>
    <w:rsid w:val="00110282"/>
    <w:rsid w:val="001103E5"/>
    <w:rsid w:val="001104E2"/>
    <w:rsid w:val="00110C49"/>
    <w:rsid w:val="00110D8F"/>
    <w:rsid w:val="00111274"/>
    <w:rsid w:val="001116E6"/>
    <w:rsid w:val="00111B29"/>
    <w:rsid w:val="00111CF4"/>
    <w:rsid w:val="00112048"/>
    <w:rsid w:val="0011213E"/>
    <w:rsid w:val="0011222B"/>
    <w:rsid w:val="00112665"/>
    <w:rsid w:val="001128E1"/>
    <w:rsid w:val="00112A47"/>
    <w:rsid w:val="00112D5D"/>
    <w:rsid w:val="00113098"/>
    <w:rsid w:val="0011379C"/>
    <w:rsid w:val="00113C0C"/>
    <w:rsid w:val="001144F3"/>
    <w:rsid w:val="00114561"/>
    <w:rsid w:val="001147D8"/>
    <w:rsid w:val="00114B0D"/>
    <w:rsid w:val="00114BA4"/>
    <w:rsid w:val="00114BAA"/>
    <w:rsid w:val="00114DFC"/>
    <w:rsid w:val="001152AE"/>
    <w:rsid w:val="00115803"/>
    <w:rsid w:val="00115878"/>
    <w:rsid w:val="00115C80"/>
    <w:rsid w:val="001167E3"/>
    <w:rsid w:val="00117187"/>
    <w:rsid w:val="001172C3"/>
    <w:rsid w:val="00117412"/>
    <w:rsid w:val="001174DC"/>
    <w:rsid w:val="00117650"/>
    <w:rsid w:val="001176AA"/>
    <w:rsid w:val="00117A7B"/>
    <w:rsid w:val="0012025F"/>
    <w:rsid w:val="00120445"/>
    <w:rsid w:val="00120866"/>
    <w:rsid w:val="00121206"/>
    <w:rsid w:val="00121823"/>
    <w:rsid w:val="001218B2"/>
    <w:rsid w:val="00121AE8"/>
    <w:rsid w:val="00121D3F"/>
    <w:rsid w:val="001227C0"/>
    <w:rsid w:val="001230F3"/>
    <w:rsid w:val="00123300"/>
    <w:rsid w:val="0012350F"/>
    <w:rsid w:val="001237CD"/>
    <w:rsid w:val="0012388D"/>
    <w:rsid w:val="00123CDA"/>
    <w:rsid w:val="00124047"/>
    <w:rsid w:val="0012483E"/>
    <w:rsid w:val="00124E77"/>
    <w:rsid w:val="001250A0"/>
    <w:rsid w:val="00125134"/>
    <w:rsid w:val="001256AB"/>
    <w:rsid w:val="00127142"/>
    <w:rsid w:val="001278C2"/>
    <w:rsid w:val="00127BC5"/>
    <w:rsid w:val="001308B9"/>
    <w:rsid w:val="00130F9B"/>
    <w:rsid w:val="001314A3"/>
    <w:rsid w:val="001315B3"/>
    <w:rsid w:val="00131783"/>
    <w:rsid w:val="00131DC3"/>
    <w:rsid w:val="00131FB9"/>
    <w:rsid w:val="001320C6"/>
    <w:rsid w:val="0013225E"/>
    <w:rsid w:val="0013286F"/>
    <w:rsid w:val="00132892"/>
    <w:rsid w:val="00132C98"/>
    <w:rsid w:val="00133256"/>
    <w:rsid w:val="00133614"/>
    <w:rsid w:val="00133708"/>
    <w:rsid w:val="00133839"/>
    <w:rsid w:val="00133A14"/>
    <w:rsid w:val="00133C1B"/>
    <w:rsid w:val="00133EC9"/>
    <w:rsid w:val="00134773"/>
    <w:rsid w:val="00134D79"/>
    <w:rsid w:val="00134D8B"/>
    <w:rsid w:val="00134FBB"/>
    <w:rsid w:val="001351FC"/>
    <w:rsid w:val="001352BA"/>
    <w:rsid w:val="001354BC"/>
    <w:rsid w:val="00135DED"/>
    <w:rsid w:val="00135E4C"/>
    <w:rsid w:val="00135EE3"/>
    <w:rsid w:val="001360F1"/>
    <w:rsid w:val="00136106"/>
    <w:rsid w:val="001361AB"/>
    <w:rsid w:val="00136873"/>
    <w:rsid w:val="00136A84"/>
    <w:rsid w:val="00136C39"/>
    <w:rsid w:val="001371D2"/>
    <w:rsid w:val="001373F5"/>
    <w:rsid w:val="0013755B"/>
    <w:rsid w:val="00137627"/>
    <w:rsid w:val="001377A0"/>
    <w:rsid w:val="001377D2"/>
    <w:rsid w:val="00137DD4"/>
    <w:rsid w:val="00137E3F"/>
    <w:rsid w:val="00140973"/>
    <w:rsid w:val="00140AF3"/>
    <w:rsid w:val="00140EE3"/>
    <w:rsid w:val="00141908"/>
    <w:rsid w:val="0014232E"/>
    <w:rsid w:val="00142ABE"/>
    <w:rsid w:val="00142F10"/>
    <w:rsid w:val="00142F4F"/>
    <w:rsid w:val="00143571"/>
    <w:rsid w:val="001446D2"/>
    <w:rsid w:val="00144AD6"/>
    <w:rsid w:val="001452E6"/>
    <w:rsid w:val="00145345"/>
    <w:rsid w:val="0014586D"/>
    <w:rsid w:val="00145E5C"/>
    <w:rsid w:val="00146140"/>
    <w:rsid w:val="00146923"/>
    <w:rsid w:val="00146FCF"/>
    <w:rsid w:val="00147AA2"/>
    <w:rsid w:val="00147C3B"/>
    <w:rsid w:val="00147F6C"/>
    <w:rsid w:val="00150795"/>
    <w:rsid w:val="00151143"/>
    <w:rsid w:val="00151C43"/>
    <w:rsid w:val="00151C7C"/>
    <w:rsid w:val="00151C86"/>
    <w:rsid w:val="00152628"/>
    <w:rsid w:val="001529CB"/>
    <w:rsid w:val="00152ABE"/>
    <w:rsid w:val="00152BD3"/>
    <w:rsid w:val="001531D0"/>
    <w:rsid w:val="00153390"/>
    <w:rsid w:val="001533D2"/>
    <w:rsid w:val="00153439"/>
    <w:rsid w:val="0015343D"/>
    <w:rsid w:val="00153552"/>
    <w:rsid w:val="00153729"/>
    <w:rsid w:val="00153F1F"/>
    <w:rsid w:val="00154A3E"/>
    <w:rsid w:val="00154C83"/>
    <w:rsid w:val="00154D1D"/>
    <w:rsid w:val="0015540C"/>
    <w:rsid w:val="00155EC3"/>
    <w:rsid w:val="0015635C"/>
    <w:rsid w:val="00156DFC"/>
    <w:rsid w:val="00156FEF"/>
    <w:rsid w:val="001574C0"/>
    <w:rsid w:val="00157692"/>
    <w:rsid w:val="00157953"/>
    <w:rsid w:val="00157DAB"/>
    <w:rsid w:val="001601C0"/>
    <w:rsid w:val="001604C5"/>
    <w:rsid w:val="00160650"/>
    <w:rsid w:val="001606CF"/>
    <w:rsid w:val="00160742"/>
    <w:rsid w:val="001610A1"/>
    <w:rsid w:val="001610DC"/>
    <w:rsid w:val="0016128D"/>
    <w:rsid w:val="0016179B"/>
    <w:rsid w:val="0016192E"/>
    <w:rsid w:val="00162E18"/>
    <w:rsid w:val="001638AF"/>
    <w:rsid w:val="001638B2"/>
    <w:rsid w:val="00164502"/>
    <w:rsid w:val="00164599"/>
    <w:rsid w:val="00164E58"/>
    <w:rsid w:val="00164F3C"/>
    <w:rsid w:val="0016524A"/>
    <w:rsid w:val="001658FE"/>
    <w:rsid w:val="001661AD"/>
    <w:rsid w:val="001662D7"/>
    <w:rsid w:val="00166300"/>
    <w:rsid w:val="001670B9"/>
    <w:rsid w:val="001671FA"/>
    <w:rsid w:val="001672E1"/>
    <w:rsid w:val="001678B9"/>
    <w:rsid w:val="0017006A"/>
    <w:rsid w:val="001700C5"/>
    <w:rsid w:val="001706DF"/>
    <w:rsid w:val="0017089D"/>
    <w:rsid w:val="00170D9A"/>
    <w:rsid w:val="0017126C"/>
    <w:rsid w:val="0017135F"/>
    <w:rsid w:val="00171ACE"/>
    <w:rsid w:val="00171B70"/>
    <w:rsid w:val="00171B80"/>
    <w:rsid w:val="00171C53"/>
    <w:rsid w:val="00171D49"/>
    <w:rsid w:val="00172370"/>
    <w:rsid w:val="00172588"/>
    <w:rsid w:val="00172DBD"/>
    <w:rsid w:val="00173C00"/>
    <w:rsid w:val="00173D78"/>
    <w:rsid w:val="001743F7"/>
    <w:rsid w:val="0017456A"/>
    <w:rsid w:val="00174741"/>
    <w:rsid w:val="00175397"/>
    <w:rsid w:val="001755EB"/>
    <w:rsid w:val="001758AC"/>
    <w:rsid w:val="00177147"/>
    <w:rsid w:val="00177A4D"/>
    <w:rsid w:val="00177BE4"/>
    <w:rsid w:val="00177F1D"/>
    <w:rsid w:val="00180250"/>
    <w:rsid w:val="001805A8"/>
    <w:rsid w:val="001807AE"/>
    <w:rsid w:val="00180962"/>
    <w:rsid w:val="00180987"/>
    <w:rsid w:val="00180D5B"/>
    <w:rsid w:val="001811DC"/>
    <w:rsid w:val="0018178E"/>
    <w:rsid w:val="00181FAA"/>
    <w:rsid w:val="001822B4"/>
    <w:rsid w:val="001829B7"/>
    <w:rsid w:val="00182BA2"/>
    <w:rsid w:val="00182DB9"/>
    <w:rsid w:val="00183916"/>
    <w:rsid w:val="001841C1"/>
    <w:rsid w:val="001841F5"/>
    <w:rsid w:val="00184681"/>
    <w:rsid w:val="00185934"/>
    <w:rsid w:val="00185FA8"/>
    <w:rsid w:val="0018610E"/>
    <w:rsid w:val="00186256"/>
    <w:rsid w:val="00186AD1"/>
    <w:rsid w:val="001875C1"/>
    <w:rsid w:val="001904C2"/>
    <w:rsid w:val="00190AA7"/>
    <w:rsid w:val="0019101A"/>
    <w:rsid w:val="00191139"/>
    <w:rsid w:val="001917F6"/>
    <w:rsid w:val="00191CA0"/>
    <w:rsid w:val="001920A3"/>
    <w:rsid w:val="00192122"/>
    <w:rsid w:val="00192715"/>
    <w:rsid w:val="00192B8E"/>
    <w:rsid w:val="00192DBB"/>
    <w:rsid w:val="00193C10"/>
    <w:rsid w:val="001947DE"/>
    <w:rsid w:val="00194CEA"/>
    <w:rsid w:val="001959F5"/>
    <w:rsid w:val="001966EF"/>
    <w:rsid w:val="0019679C"/>
    <w:rsid w:val="00196B8D"/>
    <w:rsid w:val="0019700C"/>
    <w:rsid w:val="00197067"/>
    <w:rsid w:val="001971F5"/>
    <w:rsid w:val="001972D2"/>
    <w:rsid w:val="001A0A42"/>
    <w:rsid w:val="001A0C61"/>
    <w:rsid w:val="001A0D21"/>
    <w:rsid w:val="001A252E"/>
    <w:rsid w:val="001A259F"/>
    <w:rsid w:val="001A2DDD"/>
    <w:rsid w:val="001A2DFD"/>
    <w:rsid w:val="001A327F"/>
    <w:rsid w:val="001A3B72"/>
    <w:rsid w:val="001A3D0D"/>
    <w:rsid w:val="001A403E"/>
    <w:rsid w:val="001A406D"/>
    <w:rsid w:val="001A409A"/>
    <w:rsid w:val="001A481A"/>
    <w:rsid w:val="001A4E1B"/>
    <w:rsid w:val="001A522D"/>
    <w:rsid w:val="001A5283"/>
    <w:rsid w:val="001A53A1"/>
    <w:rsid w:val="001A55D8"/>
    <w:rsid w:val="001A5D71"/>
    <w:rsid w:val="001A5FCB"/>
    <w:rsid w:val="001A6070"/>
    <w:rsid w:val="001A65B1"/>
    <w:rsid w:val="001A710D"/>
    <w:rsid w:val="001A7242"/>
    <w:rsid w:val="001A79BC"/>
    <w:rsid w:val="001A7DF0"/>
    <w:rsid w:val="001B010A"/>
    <w:rsid w:val="001B10C7"/>
    <w:rsid w:val="001B1B7F"/>
    <w:rsid w:val="001B1CD2"/>
    <w:rsid w:val="001B1FCF"/>
    <w:rsid w:val="001B2616"/>
    <w:rsid w:val="001B27AF"/>
    <w:rsid w:val="001B2A47"/>
    <w:rsid w:val="001B2B32"/>
    <w:rsid w:val="001B3B9C"/>
    <w:rsid w:val="001B3BC3"/>
    <w:rsid w:val="001B3E02"/>
    <w:rsid w:val="001B3E56"/>
    <w:rsid w:val="001B3E6F"/>
    <w:rsid w:val="001B3E72"/>
    <w:rsid w:val="001B42FE"/>
    <w:rsid w:val="001B4952"/>
    <w:rsid w:val="001B4A33"/>
    <w:rsid w:val="001B4A9C"/>
    <w:rsid w:val="001B4D5A"/>
    <w:rsid w:val="001B5AF8"/>
    <w:rsid w:val="001B5B13"/>
    <w:rsid w:val="001B5C4F"/>
    <w:rsid w:val="001B622B"/>
    <w:rsid w:val="001B62F6"/>
    <w:rsid w:val="001B6456"/>
    <w:rsid w:val="001B65AA"/>
    <w:rsid w:val="001B69D8"/>
    <w:rsid w:val="001B6ADA"/>
    <w:rsid w:val="001B6D54"/>
    <w:rsid w:val="001B75E3"/>
    <w:rsid w:val="001B7B36"/>
    <w:rsid w:val="001C0041"/>
    <w:rsid w:val="001C049E"/>
    <w:rsid w:val="001C1507"/>
    <w:rsid w:val="001C1D5C"/>
    <w:rsid w:val="001C1E1B"/>
    <w:rsid w:val="001C24D8"/>
    <w:rsid w:val="001C25DE"/>
    <w:rsid w:val="001C25FC"/>
    <w:rsid w:val="001C2847"/>
    <w:rsid w:val="001C2956"/>
    <w:rsid w:val="001C2AB4"/>
    <w:rsid w:val="001C3196"/>
    <w:rsid w:val="001C358D"/>
    <w:rsid w:val="001C389E"/>
    <w:rsid w:val="001C39E5"/>
    <w:rsid w:val="001C403B"/>
    <w:rsid w:val="001C40A0"/>
    <w:rsid w:val="001C4196"/>
    <w:rsid w:val="001C4198"/>
    <w:rsid w:val="001C41FE"/>
    <w:rsid w:val="001C465F"/>
    <w:rsid w:val="001C47A7"/>
    <w:rsid w:val="001C47B3"/>
    <w:rsid w:val="001C49E6"/>
    <w:rsid w:val="001C4F82"/>
    <w:rsid w:val="001C5061"/>
    <w:rsid w:val="001C5B81"/>
    <w:rsid w:val="001C5D9D"/>
    <w:rsid w:val="001C5DD6"/>
    <w:rsid w:val="001C5FAE"/>
    <w:rsid w:val="001C61B0"/>
    <w:rsid w:val="001C749F"/>
    <w:rsid w:val="001C75D2"/>
    <w:rsid w:val="001C7FE3"/>
    <w:rsid w:val="001D012C"/>
    <w:rsid w:val="001D0258"/>
    <w:rsid w:val="001D03C8"/>
    <w:rsid w:val="001D04D3"/>
    <w:rsid w:val="001D0763"/>
    <w:rsid w:val="001D1668"/>
    <w:rsid w:val="001D16B0"/>
    <w:rsid w:val="001D1FD9"/>
    <w:rsid w:val="001D213E"/>
    <w:rsid w:val="001D259B"/>
    <w:rsid w:val="001D30BD"/>
    <w:rsid w:val="001D371F"/>
    <w:rsid w:val="001D37AF"/>
    <w:rsid w:val="001D3FB2"/>
    <w:rsid w:val="001D411D"/>
    <w:rsid w:val="001D43C8"/>
    <w:rsid w:val="001D445A"/>
    <w:rsid w:val="001D48BB"/>
    <w:rsid w:val="001D48DD"/>
    <w:rsid w:val="001D4A21"/>
    <w:rsid w:val="001D4C3B"/>
    <w:rsid w:val="001D530A"/>
    <w:rsid w:val="001D5477"/>
    <w:rsid w:val="001D648C"/>
    <w:rsid w:val="001D64CB"/>
    <w:rsid w:val="001D7351"/>
    <w:rsid w:val="001D75AD"/>
    <w:rsid w:val="001D75C4"/>
    <w:rsid w:val="001D7B75"/>
    <w:rsid w:val="001D7D02"/>
    <w:rsid w:val="001D7F37"/>
    <w:rsid w:val="001E096A"/>
    <w:rsid w:val="001E0CC4"/>
    <w:rsid w:val="001E0CE4"/>
    <w:rsid w:val="001E128E"/>
    <w:rsid w:val="001E16DE"/>
    <w:rsid w:val="001E193D"/>
    <w:rsid w:val="001E1B32"/>
    <w:rsid w:val="001E213A"/>
    <w:rsid w:val="001E242C"/>
    <w:rsid w:val="001E2D06"/>
    <w:rsid w:val="001E374B"/>
    <w:rsid w:val="001E3CC8"/>
    <w:rsid w:val="001E3F06"/>
    <w:rsid w:val="001E4991"/>
    <w:rsid w:val="001E4EF4"/>
    <w:rsid w:val="001E512F"/>
    <w:rsid w:val="001E54F7"/>
    <w:rsid w:val="001E5D76"/>
    <w:rsid w:val="001E6460"/>
    <w:rsid w:val="001E64FB"/>
    <w:rsid w:val="001E6ACB"/>
    <w:rsid w:val="001E6CFD"/>
    <w:rsid w:val="001E73D4"/>
    <w:rsid w:val="001E770A"/>
    <w:rsid w:val="001E77DA"/>
    <w:rsid w:val="001E77F0"/>
    <w:rsid w:val="001E7A1D"/>
    <w:rsid w:val="001E7F8D"/>
    <w:rsid w:val="001F0036"/>
    <w:rsid w:val="001F02D7"/>
    <w:rsid w:val="001F0686"/>
    <w:rsid w:val="001F080A"/>
    <w:rsid w:val="001F1344"/>
    <w:rsid w:val="001F158B"/>
    <w:rsid w:val="001F160D"/>
    <w:rsid w:val="001F163B"/>
    <w:rsid w:val="001F193E"/>
    <w:rsid w:val="001F1B27"/>
    <w:rsid w:val="001F1EA3"/>
    <w:rsid w:val="001F1F0A"/>
    <w:rsid w:val="001F1F48"/>
    <w:rsid w:val="001F2515"/>
    <w:rsid w:val="001F2834"/>
    <w:rsid w:val="001F28AC"/>
    <w:rsid w:val="001F3549"/>
    <w:rsid w:val="001F400A"/>
    <w:rsid w:val="001F446D"/>
    <w:rsid w:val="001F4E77"/>
    <w:rsid w:val="001F5563"/>
    <w:rsid w:val="001F5CAC"/>
    <w:rsid w:val="001F5E8C"/>
    <w:rsid w:val="001F6105"/>
    <w:rsid w:val="001F6A81"/>
    <w:rsid w:val="001F6E94"/>
    <w:rsid w:val="001F792E"/>
    <w:rsid w:val="001F7A7C"/>
    <w:rsid w:val="001F7C10"/>
    <w:rsid w:val="002000D4"/>
    <w:rsid w:val="00200219"/>
    <w:rsid w:val="002003B8"/>
    <w:rsid w:val="002004FD"/>
    <w:rsid w:val="00200BF7"/>
    <w:rsid w:val="002015D6"/>
    <w:rsid w:val="00201BF6"/>
    <w:rsid w:val="002020B9"/>
    <w:rsid w:val="00202446"/>
    <w:rsid w:val="002029C6"/>
    <w:rsid w:val="00203ADA"/>
    <w:rsid w:val="002043B9"/>
    <w:rsid w:val="00204922"/>
    <w:rsid w:val="00204ECE"/>
    <w:rsid w:val="00205CE7"/>
    <w:rsid w:val="00206B8B"/>
    <w:rsid w:val="002070A9"/>
    <w:rsid w:val="00207496"/>
    <w:rsid w:val="0021021D"/>
    <w:rsid w:val="00210733"/>
    <w:rsid w:val="00210A50"/>
    <w:rsid w:val="00211095"/>
    <w:rsid w:val="00211CA0"/>
    <w:rsid w:val="00212401"/>
    <w:rsid w:val="00213194"/>
    <w:rsid w:val="002132AE"/>
    <w:rsid w:val="0021335E"/>
    <w:rsid w:val="0021356F"/>
    <w:rsid w:val="00213B73"/>
    <w:rsid w:val="00213EF7"/>
    <w:rsid w:val="00214161"/>
    <w:rsid w:val="00214195"/>
    <w:rsid w:val="002146B3"/>
    <w:rsid w:val="00214741"/>
    <w:rsid w:val="00214750"/>
    <w:rsid w:val="00214EE0"/>
    <w:rsid w:val="00215115"/>
    <w:rsid w:val="0021566E"/>
    <w:rsid w:val="00215CD5"/>
    <w:rsid w:val="00215DD6"/>
    <w:rsid w:val="00216166"/>
    <w:rsid w:val="00216432"/>
    <w:rsid w:val="00216442"/>
    <w:rsid w:val="0021696A"/>
    <w:rsid w:val="002170D5"/>
    <w:rsid w:val="00217721"/>
    <w:rsid w:val="00217779"/>
    <w:rsid w:val="00220864"/>
    <w:rsid w:val="00220A12"/>
    <w:rsid w:val="00220C22"/>
    <w:rsid w:val="00220DC7"/>
    <w:rsid w:val="002210AA"/>
    <w:rsid w:val="00221631"/>
    <w:rsid w:val="0022187C"/>
    <w:rsid w:val="00221EC0"/>
    <w:rsid w:val="00221F18"/>
    <w:rsid w:val="0022260F"/>
    <w:rsid w:val="00222D33"/>
    <w:rsid w:val="00222E60"/>
    <w:rsid w:val="002232D0"/>
    <w:rsid w:val="00223BCB"/>
    <w:rsid w:val="00223D05"/>
    <w:rsid w:val="00223D86"/>
    <w:rsid w:val="0022400F"/>
    <w:rsid w:val="00224015"/>
    <w:rsid w:val="0022428C"/>
    <w:rsid w:val="00224C71"/>
    <w:rsid w:val="00225172"/>
    <w:rsid w:val="002253D7"/>
    <w:rsid w:val="0022578D"/>
    <w:rsid w:val="00225FEB"/>
    <w:rsid w:val="00225FF0"/>
    <w:rsid w:val="00226952"/>
    <w:rsid w:val="0022749F"/>
    <w:rsid w:val="002275AE"/>
    <w:rsid w:val="002275EE"/>
    <w:rsid w:val="002278DB"/>
    <w:rsid w:val="002278E3"/>
    <w:rsid w:val="00227AF6"/>
    <w:rsid w:val="00227B9C"/>
    <w:rsid w:val="00227C70"/>
    <w:rsid w:val="00227CFE"/>
    <w:rsid w:val="00227EAA"/>
    <w:rsid w:val="00230616"/>
    <w:rsid w:val="00231049"/>
    <w:rsid w:val="0023126E"/>
    <w:rsid w:val="002314D2"/>
    <w:rsid w:val="00232760"/>
    <w:rsid w:val="00232DA8"/>
    <w:rsid w:val="00232DF0"/>
    <w:rsid w:val="00232FD2"/>
    <w:rsid w:val="0023305C"/>
    <w:rsid w:val="002334A3"/>
    <w:rsid w:val="002346E7"/>
    <w:rsid w:val="00235978"/>
    <w:rsid w:val="00235A72"/>
    <w:rsid w:val="00235D00"/>
    <w:rsid w:val="0023686A"/>
    <w:rsid w:val="00236B57"/>
    <w:rsid w:val="00236ECC"/>
    <w:rsid w:val="00237026"/>
    <w:rsid w:val="00240067"/>
    <w:rsid w:val="00240873"/>
    <w:rsid w:val="00240C0F"/>
    <w:rsid w:val="00240FE3"/>
    <w:rsid w:val="00241579"/>
    <w:rsid w:val="002415D7"/>
    <w:rsid w:val="00241881"/>
    <w:rsid w:val="00241BD5"/>
    <w:rsid w:val="00241F72"/>
    <w:rsid w:val="0024200C"/>
    <w:rsid w:val="0024294C"/>
    <w:rsid w:val="00242CD5"/>
    <w:rsid w:val="00242F58"/>
    <w:rsid w:val="00243B8B"/>
    <w:rsid w:val="00243C2B"/>
    <w:rsid w:val="00243D40"/>
    <w:rsid w:val="002441A4"/>
    <w:rsid w:val="002441AD"/>
    <w:rsid w:val="00244237"/>
    <w:rsid w:val="00244E04"/>
    <w:rsid w:val="00244E8A"/>
    <w:rsid w:val="00245404"/>
    <w:rsid w:val="00245CF6"/>
    <w:rsid w:val="00245E6A"/>
    <w:rsid w:val="002461BA"/>
    <w:rsid w:val="002466BE"/>
    <w:rsid w:val="0024677A"/>
    <w:rsid w:val="00246AF5"/>
    <w:rsid w:val="00246D69"/>
    <w:rsid w:val="00246E2D"/>
    <w:rsid w:val="0024721B"/>
    <w:rsid w:val="00247884"/>
    <w:rsid w:val="002478CB"/>
    <w:rsid w:val="002504B5"/>
    <w:rsid w:val="002505A9"/>
    <w:rsid w:val="00250889"/>
    <w:rsid w:val="00250C2C"/>
    <w:rsid w:val="0025163E"/>
    <w:rsid w:val="00251B61"/>
    <w:rsid w:val="00251F66"/>
    <w:rsid w:val="00252316"/>
    <w:rsid w:val="002524DA"/>
    <w:rsid w:val="00252AB4"/>
    <w:rsid w:val="00252F5A"/>
    <w:rsid w:val="00254216"/>
    <w:rsid w:val="002542D2"/>
    <w:rsid w:val="00254C08"/>
    <w:rsid w:val="00254D2E"/>
    <w:rsid w:val="002553D5"/>
    <w:rsid w:val="00255835"/>
    <w:rsid w:val="00255B64"/>
    <w:rsid w:val="00255C3F"/>
    <w:rsid w:val="00255E50"/>
    <w:rsid w:val="00255EBD"/>
    <w:rsid w:val="00255EDF"/>
    <w:rsid w:val="00255F00"/>
    <w:rsid w:val="0025625B"/>
    <w:rsid w:val="0025652F"/>
    <w:rsid w:val="0025663C"/>
    <w:rsid w:val="00256976"/>
    <w:rsid w:val="00257353"/>
    <w:rsid w:val="00257C14"/>
    <w:rsid w:val="0026070C"/>
    <w:rsid w:val="0026136A"/>
    <w:rsid w:val="00261407"/>
    <w:rsid w:val="00261D71"/>
    <w:rsid w:val="0026201D"/>
    <w:rsid w:val="0026261A"/>
    <w:rsid w:val="00262D43"/>
    <w:rsid w:val="00263475"/>
    <w:rsid w:val="0026361F"/>
    <w:rsid w:val="002636EF"/>
    <w:rsid w:val="002639AF"/>
    <w:rsid w:val="00263B6C"/>
    <w:rsid w:val="00263C1B"/>
    <w:rsid w:val="00263F1E"/>
    <w:rsid w:val="002640CD"/>
    <w:rsid w:val="00264913"/>
    <w:rsid w:val="00264C11"/>
    <w:rsid w:val="0026503B"/>
    <w:rsid w:val="0026506D"/>
    <w:rsid w:val="00265186"/>
    <w:rsid w:val="002651B2"/>
    <w:rsid w:val="002657F4"/>
    <w:rsid w:val="00265B7C"/>
    <w:rsid w:val="00265BBB"/>
    <w:rsid w:val="00266082"/>
    <w:rsid w:val="00266300"/>
    <w:rsid w:val="00266597"/>
    <w:rsid w:val="002665AC"/>
    <w:rsid w:val="002666F8"/>
    <w:rsid w:val="00266BE4"/>
    <w:rsid w:val="00266E2F"/>
    <w:rsid w:val="002677F1"/>
    <w:rsid w:val="002679A1"/>
    <w:rsid w:val="00267ED9"/>
    <w:rsid w:val="002702BE"/>
    <w:rsid w:val="0027098A"/>
    <w:rsid w:val="00270A25"/>
    <w:rsid w:val="00270C04"/>
    <w:rsid w:val="002712B6"/>
    <w:rsid w:val="0027214E"/>
    <w:rsid w:val="002723E3"/>
    <w:rsid w:val="002727A6"/>
    <w:rsid w:val="00272939"/>
    <w:rsid w:val="00272A10"/>
    <w:rsid w:val="00272BF8"/>
    <w:rsid w:val="00273265"/>
    <w:rsid w:val="00273284"/>
    <w:rsid w:val="002738D8"/>
    <w:rsid w:val="00273910"/>
    <w:rsid w:val="00273D67"/>
    <w:rsid w:val="00273FF9"/>
    <w:rsid w:val="00274546"/>
    <w:rsid w:val="00274DA7"/>
    <w:rsid w:val="00274EF3"/>
    <w:rsid w:val="00275287"/>
    <w:rsid w:val="002753D7"/>
    <w:rsid w:val="0027569D"/>
    <w:rsid w:val="0027590B"/>
    <w:rsid w:val="00275DB6"/>
    <w:rsid w:val="0027622F"/>
    <w:rsid w:val="002764EA"/>
    <w:rsid w:val="00276677"/>
    <w:rsid w:val="00276900"/>
    <w:rsid w:val="00276D6C"/>
    <w:rsid w:val="00276ED7"/>
    <w:rsid w:val="002770C6"/>
    <w:rsid w:val="002770DB"/>
    <w:rsid w:val="00277577"/>
    <w:rsid w:val="00277628"/>
    <w:rsid w:val="002778B2"/>
    <w:rsid w:val="002800AA"/>
    <w:rsid w:val="002808D2"/>
    <w:rsid w:val="00280C72"/>
    <w:rsid w:val="00280E4A"/>
    <w:rsid w:val="00281474"/>
    <w:rsid w:val="002816CE"/>
    <w:rsid w:val="00282C5C"/>
    <w:rsid w:val="00282DFA"/>
    <w:rsid w:val="00282FF5"/>
    <w:rsid w:val="002833DC"/>
    <w:rsid w:val="00283693"/>
    <w:rsid w:val="00283AD8"/>
    <w:rsid w:val="00283B59"/>
    <w:rsid w:val="002840D6"/>
    <w:rsid w:val="00284186"/>
    <w:rsid w:val="0028420A"/>
    <w:rsid w:val="0028456E"/>
    <w:rsid w:val="00284BA9"/>
    <w:rsid w:val="00284F86"/>
    <w:rsid w:val="00284FB4"/>
    <w:rsid w:val="00284FFE"/>
    <w:rsid w:val="0028505F"/>
    <w:rsid w:val="00285969"/>
    <w:rsid w:val="00285B19"/>
    <w:rsid w:val="00285DBC"/>
    <w:rsid w:val="002861F1"/>
    <w:rsid w:val="002870F2"/>
    <w:rsid w:val="002877A7"/>
    <w:rsid w:val="00287F9D"/>
    <w:rsid w:val="00290A0E"/>
    <w:rsid w:val="00290B42"/>
    <w:rsid w:val="00290D5D"/>
    <w:rsid w:val="00291190"/>
    <w:rsid w:val="0029142A"/>
    <w:rsid w:val="002915D8"/>
    <w:rsid w:val="00291765"/>
    <w:rsid w:val="00291C30"/>
    <w:rsid w:val="00292667"/>
    <w:rsid w:val="00293065"/>
    <w:rsid w:val="0029329E"/>
    <w:rsid w:val="002933EB"/>
    <w:rsid w:val="00293440"/>
    <w:rsid w:val="00293485"/>
    <w:rsid w:val="00293699"/>
    <w:rsid w:val="002937E6"/>
    <w:rsid w:val="002939AE"/>
    <w:rsid w:val="00293A45"/>
    <w:rsid w:val="002949A5"/>
    <w:rsid w:val="00294A87"/>
    <w:rsid w:val="00294F36"/>
    <w:rsid w:val="00295271"/>
    <w:rsid w:val="0029533A"/>
    <w:rsid w:val="00295572"/>
    <w:rsid w:val="00295878"/>
    <w:rsid w:val="00295B30"/>
    <w:rsid w:val="00295F3D"/>
    <w:rsid w:val="002966B9"/>
    <w:rsid w:val="002968D4"/>
    <w:rsid w:val="0029768D"/>
    <w:rsid w:val="002A03B0"/>
    <w:rsid w:val="002A044F"/>
    <w:rsid w:val="002A06F1"/>
    <w:rsid w:val="002A0D13"/>
    <w:rsid w:val="002A1556"/>
    <w:rsid w:val="002A1798"/>
    <w:rsid w:val="002A18D7"/>
    <w:rsid w:val="002A1BA7"/>
    <w:rsid w:val="002A1E4C"/>
    <w:rsid w:val="002A1FED"/>
    <w:rsid w:val="002A2664"/>
    <w:rsid w:val="002A27B6"/>
    <w:rsid w:val="002A2819"/>
    <w:rsid w:val="002A3818"/>
    <w:rsid w:val="002A3843"/>
    <w:rsid w:val="002A3C7D"/>
    <w:rsid w:val="002A3D86"/>
    <w:rsid w:val="002A44A7"/>
    <w:rsid w:val="002A5113"/>
    <w:rsid w:val="002A51C2"/>
    <w:rsid w:val="002A61F1"/>
    <w:rsid w:val="002A6958"/>
    <w:rsid w:val="002A6B8B"/>
    <w:rsid w:val="002A6E9E"/>
    <w:rsid w:val="002A74EF"/>
    <w:rsid w:val="002A79A1"/>
    <w:rsid w:val="002A7A31"/>
    <w:rsid w:val="002A7C84"/>
    <w:rsid w:val="002B01A8"/>
    <w:rsid w:val="002B21FF"/>
    <w:rsid w:val="002B2414"/>
    <w:rsid w:val="002B255C"/>
    <w:rsid w:val="002B2598"/>
    <w:rsid w:val="002B2727"/>
    <w:rsid w:val="002B2884"/>
    <w:rsid w:val="002B2DE2"/>
    <w:rsid w:val="002B2E96"/>
    <w:rsid w:val="002B2FBF"/>
    <w:rsid w:val="002B3589"/>
    <w:rsid w:val="002B3829"/>
    <w:rsid w:val="002B3A96"/>
    <w:rsid w:val="002B3C9B"/>
    <w:rsid w:val="002B473C"/>
    <w:rsid w:val="002B4FA1"/>
    <w:rsid w:val="002B4FE8"/>
    <w:rsid w:val="002B5034"/>
    <w:rsid w:val="002B59CD"/>
    <w:rsid w:val="002B5B36"/>
    <w:rsid w:val="002B5BDB"/>
    <w:rsid w:val="002B5DA1"/>
    <w:rsid w:val="002B6066"/>
    <w:rsid w:val="002B6110"/>
    <w:rsid w:val="002B6125"/>
    <w:rsid w:val="002B6544"/>
    <w:rsid w:val="002B71F2"/>
    <w:rsid w:val="002B71F5"/>
    <w:rsid w:val="002B7466"/>
    <w:rsid w:val="002B76F8"/>
    <w:rsid w:val="002B7AC1"/>
    <w:rsid w:val="002B7B93"/>
    <w:rsid w:val="002C066C"/>
    <w:rsid w:val="002C0E2B"/>
    <w:rsid w:val="002C108F"/>
    <w:rsid w:val="002C127D"/>
    <w:rsid w:val="002C22EF"/>
    <w:rsid w:val="002C2A52"/>
    <w:rsid w:val="002C2C32"/>
    <w:rsid w:val="002C2EEB"/>
    <w:rsid w:val="002C33EC"/>
    <w:rsid w:val="002C39F5"/>
    <w:rsid w:val="002C3AC1"/>
    <w:rsid w:val="002C42E7"/>
    <w:rsid w:val="002C45E0"/>
    <w:rsid w:val="002C45FE"/>
    <w:rsid w:val="002C5E86"/>
    <w:rsid w:val="002C61F0"/>
    <w:rsid w:val="002C639B"/>
    <w:rsid w:val="002C6547"/>
    <w:rsid w:val="002C6B49"/>
    <w:rsid w:val="002C707D"/>
    <w:rsid w:val="002C710B"/>
    <w:rsid w:val="002C71D5"/>
    <w:rsid w:val="002C7A8D"/>
    <w:rsid w:val="002D042E"/>
    <w:rsid w:val="002D07B0"/>
    <w:rsid w:val="002D093B"/>
    <w:rsid w:val="002D09CA"/>
    <w:rsid w:val="002D0A9A"/>
    <w:rsid w:val="002D1ED4"/>
    <w:rsid w:val="002D2060"/>
    <w:rsid w:val="002D27D8"/>
    <w:rsid w:val="002D2953"/>
    <w:rsid w:val="002D2AB1"/>
    <w:rsid w:val="002D2BD1"/>
    <w:rsid w:val="002D35DC"/>
    <w:rsid w:val="002D4059"/>
    <w:rsid w:val="002D41F2"/>
    <w:rsid w:val="002D46A4"/>
    <w:rsid w:val="002D4A48"/>
    <w:rsid w:val="002D4EF8"/>
    <w:rsid w:val="002D5293"/>
    <w:rsid w:val="002D597C"/>
    <w:rsid w:val="002D5BD1"/>
    <w:rsid w:val="002D6FE9"/>
    <w:rsid w:val="002D713F"/>
    <w:rsid w:val="002D7799"/>
    <w:rsid w:val="002D77AD"/>
    <w:rsid w:val="002D7C1B"/>
    <w:rsid w:val="002D7E35"/>
    <w:rsid w:val="002D7FB0"/>
    <w:rsid w:val="002E03CD"/>
    <w:rsid w:val="002E1136"/>
    <w:rsid w:val="002E1E80"/>
    <w:rsid w:val="002E1FB6"/>
    <w:rsid w:val="002E2404"/>
    <w:rsid w:val="002E2682"/>
    <w:rsid w:val="002E2DAD"/>
    <w:rsid w:val="002E341E"/>
    <w:rsid w:val="002E3468"/>
    <w:rsid w:val="002E4290"/>
    <w:rsid w:val="002E454C"/>
    <w:rsid w:val="002E4CDB"/>
    <w:rsid w:val="002E4DEE"/>
    <w:rsid w:val="002E5378"/>
    <w:rsid w:val="002E5F5E"/>
    <w:rsid w:val="002E6240"/>
    <w:rsid w:val="002E6733"/>
    <w:rsid w:val="002E6831"/>
    <w:rsid w:val="002E686B"/>
    <w:rsid w:val="002E7181"/>
    <w:rsid w:val="002E7286"/>
    <w:rsid w:val="002E7357"/>
    <w:rsid w:val="002E7801"/>
    <w:rsid w:val="002E7A3C"/>
    <w:rsid w:val="002F013A"/>
    <w:rsid w:val="002F01E8"/>
    <w:rsid w:val="002F02EB"/>
    <w:rsid w:val="002F098E"/>
    <w:rsid w:val="002F0BFF"/>
    <w:rsid w:val="002F0F21"/>
    <w:rsid w:val="002F154E"/>
    <w:rsid w:val="002F31EA"/>
    <w:rsid w:val="002F3318"/>
    <w:rsid w:val="002F33A5"/>
    <w:rsid w:val="002F39AA"/>
    <w:rsid w:val="002F3AC4"/>
    <w:rsid w:val="002F3B2C"/>
    <w:rsid w:val="002F49D7"/>
    <w:rsid w:val="002F4A8D"/>
    <w:rsid w:val="002F53BF"/>
    <w:rsid w:val="002F5412"/>
    <w:rsid w:val="002F581D"/>
    <w:rsid w:val="002F5CF9"/>
    <w:rsid w:val="002F617F"/>
    <w:rsid w:val="002F6275"/>
    <w:rsid w:val="002F66FC"/>
    <w:rsid w:val="002F6F23"/>
    <w:rsid w:val="002F6FDE"/>
    <w:rsid w:val="002F76F2"/>
    <w:rsid w:val="002F7A2B"/>
    <w:rsid w:val="002F7E31"/>
    <w:rsid w:val="00300109"/>
    <w:rsid w:val="00300DD3"/>
    <w:rsid w:val="00301596"/>
    <w:rsid w:val="00301755"/>
    <w:rsid w:val="003018BD"/>
    <w:rsid w:val="003019CA"/>
    <w:rsid w:val="00302299"/>
    <w:rsid w:val="0030255D"/>
    <w:rsid w:val="00303C5F"/>
    <w:rsid w:val="00304248"/>
    <w:rsid w:val="003059A5"/>
    <w:rsid w:val="00305ACF"/>
    <w:rsid w:val="00306307"/>
    <w:rsid w:val="00306398"/>
    <w:rsid w:val="0030639D"/>
    <w:rsid w:val="0030649B"/>
    <w:rsid w:val="0030665E"/>
    <w:rsid w:val="00306894"/>
    <w:rsid w:val="0030704D"/>
    <w:rsid w:val="00307125"/>
    <w:rsid w:val="00307156"/>
    <w:rsid w:val="003071AE"/>
    <w:rsid w:val="0030775A"/>
    <w:rsid w:val="00307D3C"/>
    <w:rsid w:val="00307DFC"/>
    <w:rsid w:val="003103F4"/>
    <w:rsid w:val="0031064D"/>
    <w:rsid w:val="0031068E"/>
    <w:rsid w:val="003108E3"/>
    <w:rsid w:val="0031137A"/>
    <w:rsid w:val="003117B5"/>
    <w:rsid w:val="00311842"/>
    <w:rsid w:val="00311BB2"/>
    <w:rsid w:val="00312071"/>
    <w:rsid w:val="003122AC"/>
    <w:rsid w:val="003122F4"/>
    <w:rsid w:val="003126DA"/>
    <w:rsid w:val="003128E2"/>
    <w:rsid w:val="00312998"/>
    <w:rsid w:val="00312B72"/>
    <w:rsid w:val="0031455B"/>
    <w:rsid w:val="00314700"/>
    <w:rsid w:val="00314BE9"/>
    <w:rsid w:val="00314C1E"/>
    <w:rsid w:val="00314CBA"/>
    <w:rsid w:val="00314F90"/>
    <w:rsid w:val="0031525B"/>
    <w:rsid w:val="003154D4"/>
    <w:rsid w:val="003155C1"/>
    <w:rsid w:val="00315C7E"/>
    <w:rsid w:val="00316180"/>
    <w:rsid w:val="003163E6"/>
    <w:rsid w:val="00317008"/>
    <w:rsid w:val="003179B4"/>
    <w:rsid w:val="003179C8"/>
    <w:rsid w:val="00317BB3"/>
    <w:rsid w:val="00317C64"/>
    <w:rsid w:val="00317D91"/>
    <w:rsid w:val="00320CB2"/>
    <w:rsid w:val="00320F65"/>
    <w:rsid w:val="00320F8E"/>
    <w:rsid w:val="0032177F"/>
    <w:rsid w:val="00321ADF"/>
    <w:rsid w:val="00321AE0"/>
    <w:rsid w:val="00321DD6"/>
    <w:rsid w:val="00322080"/>
    <w:rsid w:val="00322730"/>
    <w:rsid w:val="0032294A"/>
    <w:rsid w:val="003229C0"/>
    <w:rsid w:val="003232C6"/>
    <w:rsid w:val="00323547"/>
    <w:rsid w:val="003235D3"/>
    <w:rsid w:val="00323614"/>
    <w:rsid w:val="00323BB2"/>
    <w:rsid w:val="00323C46"/>
    <w:rsid w:val="00323C67"/>
    <w:rsid w:val="00323D53"/>
    <w:rsid w:val="0032421D"/>
    <w:rsid w:val="00324AB3"/>
    <w:rsid w:val="00324E4F"/>
    <w:rsid w:val="00324EFB"/>
    <w:rsid w:val="00325C2D"/>
    <w:rsid w:val="00325E1B"/>
    <w:rsid w:val="00325E44"/>
    <w:rsid w:val="003261BA"/>
    <w:rsid w:val="003267D8"/>
    <w:rsid w:val="003268D5"/>
    <w:rsid w:val="0032693E"/>
    <w:rsid w:val="00327072"/>
    <w:rsid w:val="00327448"/>
    <w:rsid w:val="00327941"/>
    <w:rsid w:val="003305F6"/>
    <w:rsid w:val="0033089E"/>
    <w:rsid w:val="00330D2A"/>
    <w:rsid w:val="003315CE"/>
    <w:rsid w:val="00331712"/>
    <w:rsid w:val="00331791"/>
    <w:rsid w:val="00331C84"/>
    <w:rsid w:val="00331CA1"/>
    <w:rsid w:val="00331F0E"/>
    <w:rsid w:val="00332CA9"/>
    <w:rsid w:val="00333662"/>
    <w:rsid w:val="00333ACB"/>
    <w:rsid w:val="00333DDC"/>
    <w:rsid w:val="00333F02"/>
    <w:rsid w:val="00335521"/>
    <w:rsid w:val="003358C5"/>
    <w:rsid w:val="00335930"/>
    <w:rsid w:val="003362E9"/>
    <w:rsid w:val="00336CF8"/>
    <w:rsid w:val="0033755F"/>
    <w:rsid w:val="0033761E"/>
    <w:rsid w:val="00337E5F"/>
    <w:rsid w:val="00340389"/>
    <w:rsid w:val="0034070A"/>
    <w:rsid w:val="00340BAA"/>
    <w:rsid w:val="0034117E"/>
    <w:rsid w:val="0034184E"/>
    <w:rsid w:val="00341C16"/>
    <w:rsid w:val="00341CD1"/>
    <w:rsid w:val="00341F0E"/>
    <w:rsid w:val="00342209"/>
    <w:rsid w:val="003422CD"/>
    <w:rsid w:val="0034243C"/>
    <w:rsid w:val="00342B1F"/>
    <w:rsid w:val="00343070"/>
    <w:rsid w:val="003438AA"/>
    <w:rsid w:val="00343B69"/>
    <w:rsid w:val="00343FF5"/>
    <w:rsid w:val="00344027"/>
    <w:rsid w:val="003443A7"/>
    <w:rsid w:val="003448F6"/>
    <w:rsid w:val="00344A4F"/>
    <w:rsid w:val="00344C28"/>
    <w:rsid w:val="00344D90"/>
    <w:rsid w:val="00344DAF"/>
    <w:rsid w:val="00345B87"/>
    <w:rsid w:val="00346270"/>
    <w:rsid w:val="003469B9"/>
    <w:rsid w:val="003478BC"/>
    <w:rsid w:val="003503D2"/>
    <w:rsid w:val="00350759"/>
    <w:rsid w:val="003509EB"/>
    <w:rsid w:val="0035100F"/>
    <w:rsid w:val="00351059"/>
    <w:rsid w:val="00351C54"/>
    <w:rsid w:val="00351CAC"/>
    <w:rsid w:val="00351EA8"/>
    <w:rsid w:val="003524C7"/>
    <w:rsid w:val="0035252B"/>
    <w:rsid w:val="003526B5"/>
    <w:rsid w:val="00352E74"/>
    <w:rsid w:val="003534ED"/>
    <w:rsid w:val="00353FAD"/>
    <w:rsid w:val="00354098"/>
    <w:rsid w:val="0035447B"/>
    <w:rsid w:val="003547EF"/>
    <w:rsid w:val="00354C63"/>
    <w:rsid w:val="00354D27"/>
    <w:rsid w:val="00354FF9"/>
    <w:rsid w:val="0035516D"/>
    <w:rsid w:val="003555B1"/>
    <w:rsid w:val="0035586E"/>
    <w:rsid w:val="00356181"/>
    <w:rsid w:val="00356249"/>
    <w:rsid w:val="0035631F"/>
    <w:rsid w:val="0035641B"/>
    <w:rsid w:val="00357314"/>
    <w:rsid w:val="0035738A"/>
    <w:rsid w:val="003574C1"/>
    <w:rsid w:val="0035780A"/>
    <w:rsid w:val="0035797A"/>
    <w:rsid w:val="003606E1"/>
    <w:rsid w:val="00360957"/>
    <w:rsid w:val="00361850"/>
    <w:rsid w:val="0036193E"/>
    <w:rsid w:val="00361DC4"/>
    <w:rsid w:val="003622DF"/>
    <w:rsid w:val="0036241B"/>
    <w:rsid w:val="003624D0"/>
    <w:rsid w:val="00362641"/>
    <w:rsid w:val="00362ACA"/>
    <w:rsid w:val="00362BE1"/>
    <w:rsid w:val="00362C6B"/>
    <w:rsid w:val="00363564"/>
    <w:rsid w:val="003638E9"/>
    <w:rsid w:val="00363927"/>
    <w:rsid w:val="00363997"/>
    <w:rsid w:val="00363A42"/>
    <w:rsid w:val="00363E03"/>
    <w:rsid w:val="00363FC0"/>
    <w:rsid w:val="00364A14"/>
    <w:rsid w:val="00364A37"/>
    <w:rsid w:val="00364ADD"/>
    <w:rsid w:val="00364D16"/>
    <w:rsid w:val="00364D87"/>
    <w:rsid w:val="00364EFF"/>
    <w:rsid w:val="00364F12"/>
    <w:rsid w:val="00365570"/>
    <w:rsid w:val="00365581"/>
    <w:rsid w:val="0036575C"/>
    <w:rsid w:val="003657BF"/>
    <w:rsid w:val="00365A3C"/>
    <w:rsid w:val="00366B86"/>
    <w:rsid w:val="00366CCA"/>
    <w:rsid w:val="00366D7B"/>
    <w:rsid w:val="00370221"/>
    <w:rsid w:val="00370511"/>
    <w:rsid w:val="003706C1"/>
    <w:rsid w:val="00370993"/>
    <w:rsid w:val="003712AF"/>
    <w:rsid w:val="003714CF"/>
    <w:rsid w:val="00371CE6"/>
    <w:rsid w:val="00371D43"/>
    <w:rsid w:val="00371E85"/>
    <w:rsid w:val="00371FA8"/>
    <w:rsid w:val="00372102"/>
    <w:rsid w:val="003722EA"/>
    <w:rsid w:val="00372457"/>
    <w:rsid w:val="003728B6"/>
    <w:rsid w:val="003730A8"/>
    <w:rsid w:val="003732F3"/>
    <w:rsid w:val="0037381F"/>
    <w:rsid w:val="00373D5D"/>
    <w:rsid w:val="00374024"/>
    <w:rsid w:val="003747E2"/>
    <w:rsid w:val="00374999"/>
    <w:rsid w:val="003749A3"/>
    <w:rsid w:val="00374BD4"/>
    <w:rsid w:val="003750FD"/>
    <w:rsid w:val="00375655"/>
    <w:rsid w:val="003758FE"/>
    <w:rsid w:val="00375B98"/>
    <w:rsid w:val="00375E49"/>
    <w:rsid w:val="00375EA5"/>
    <w:rsid w:val="00376586"/>
    <w:rsid w:val="003770A5"/>
    <w:rsid w:val="00377200"/>
    <w:rsid w:val="003803B8"/>
    <w:rsid w:val="00380823"/>
    <w:rsid w:val="00380867"/>
    <w:rsid w:val="00381062"/>
    <w:rsid w:val="00381082"/>
    <w:rsid w:val="00381813"/>
    <w:rsid w:val="003821BF"/>
    <w:rsid w:val="003822C4"/>
    <w:rsid w:val="00382B47"/>
    <w:rsid w:val="00382EAE"/>
    <w:rsid w:val="003830DE"/>
    <w:rsid w:val="0038310F"/>
    <w:rsid w:val="0038331B"/>
    <w:rsid w:val="003835BC"/>
    <w:rsid w:val="003847F1"/>
    <w:rsid w:val="00384821"/>
    <w:rsid w:val="00384C13"/>
    <w:rsid w:val="00385201"/>
    <w:rsid w:val="003858A6"/>
    <w:rsid w:val="00385DF4"/>
    <w:rsid w:val="00385EC8"/>
    <w:rsid w:val="00385FD4"/>
    <w:rsid w:val="00386105"/>
    <w:rsid w:val="0038614E"/>
    <w:rsid w:val="00386394"/>
    <w:rsid w:val="003864EC"/>
    <w:rsid w:val="003865A1"/>
    <w:rsid w:val="00386D31"/>
    <w:rsid w:val="00387027"/>
    <w:rsid w:val="00387142"/>
    <w:rsid w:val="00387660"/>
    <w:rsid w:val="003876B9"/>
    <w:rsid w:val="00387731"/>
    <w:rsid w:val="003905D9"/>
    <w:rsid w:val="003906E6"/>
    <w:rsid w:val="003907A8"/>
    <w:rsid w:val="00390F62"/>
    <w:rsid w:val="003916AD"/>
    <w:rsid w:val="003929BD"/>
    <w:rsid w:val="00392A5F"/>
    <w:rsid w:val="00392DCC"/>
    <w:rsid w:val="003938AD"/>
    <w:rsid w:val="00393A4D"/>
    <w:rsid w:val="0039498A"/>
    <w:rsid w:val="00394B72"/>
    <w:rsid w:val="00394F75"/>
    <w:rsid w:val="00394FCA"/>
    <w:rsid w:val="003953EB"/>
    <w:rsid w:val="00395991"/>
    <w:rsid w:val="00395A4D"/>
    <w:rsid w:val="00395A52"/>
    <w:rsid w:val="00396382"/>
    <w:rsid w:val="00397AC8"/>
    <w:rsid w:val="00397ACD"/>
    <w:rsid w:val="00397B84"/>
    <w:rsid w:val="00397BB5"/>
    <w:rsid w:val="00397D97"/>
    <w:rsid w:val="00397E90"/>
    <w:rsid w:val="003A0045"/>
    <w:rsid w:val="003A0F45"/>
    <w:rsid w:val="003A1046"/>
    <w:rsid w:val="003A1914"/>
    <w:rsid w:val="003A1E4A"/>
    <w:rsid w:val="003A23E8"/>
    <w:rsid w:val="003A2672"/>
    <w:rsid w:val="003A292F"/>
    <w:rsid w:val="003A2D6E"/>
    <w:rsid w:val="003A2F4B"/>
    <w:rsid w:val="003A582A"/>
    <w:rsid w:val="003A58F2"/>
    <w:rsid w:val="003A5AEE"/>
    <w:rsid w:val="003A5B36"/>
    <w:rsid w:val="003A5F8A"/>
    <w:rsid w:val="003A616B"/>
    <w:rsid w:val="003A65B1"/>
    <w:rsid w:val="003A6638"/>
    <w:rsid w:val="003A6674"/>
    <w:rsid w:val="003A6D2F"/>
    <w:rsid w:val="003A6EF9"/>
    <w:rsid w:val="003A6F5A"/>
    <w:rsid w:val="003A7314"/>
    <w:rsid w:val="003A7401"/>
    <w:rsid w:val="003B02F6"/>
    <w:rsid w:val="003B03BD"/>
    <w:rsid w:val="003B0D61"/>
    <w:rsid w:val="003B16FF"/>
    <w:rsid w:val="003B1ACC"/>
    <w:rsid w:val="003B1B82"/>
    <w:rsid w:val="003B1E12"/>
    <w:rsid w:val="003B2312"/>
    <w:rsid w:val="003B2996"/>
    <w:rsid w:val="003B2AE1"/>
    <w:rsid w:val="003B2F79"/>
    <w:rsid w:val="003B3B04"/>
    <w:rsid w:val="003B3DE4"/>
    <w:rsid w:val="003B3FE0"/>
    <w:rsid w:val="003B45A9"/>
    <w:rsid w:val="003B4C55"/>
    <w:rsid w:val="003B505B"/>
    <w:rsid w:val="003B5726"/>
    <w:rsid w:val="003B5A9F"/>
    <w:rsid w:val="003B62C5"/>
    <w:rsid w:val="003B6940"/>
    <w:rsid w:val="003B6AD8"/>
    <w:rsid w:val="003B6D4B"/>
    <w:rsid w:val="003B71AF"/>
    <w:rsid w:val="003B73B1"/>
    <w:rsid w:val="003B75B9"/>
    <w:rsid w:val="003B78AB"/>
    <w:rsid w:val="003B7A05"/>
    <w:rsid w:val="003B7C46"/>
    <w:rsid w:val="003C1088"/>
    <w:rsid w:val="003C162F"/>
    <w:rsid w:val="003C16F8"/>
    <w:rsid w:val="003C1791"/>
    <w:rsid w:val="003C1A80"/>
    <w:rsid w:val="003C21AD"/>
    <w:rsid w:val="003C224B"/>
    <w:rsid w:val="003C2365"/>
    <w:rsid w:val="003C24B4"/>
    <w:rsid w:val="003C2708"/>
    <w:rsid w:val="003C2B70"/>
    <w:rsid w:val="003C2D87"/>
    <w:rsid w:val="003C3326"/>
    <w:rsid w:val="003C35A9"/>
    <w:rsid w:val="003C370D"/>
    <w:rsid w:val="003C3AB7"/>
    <w:rsid w:val="003C3C69"/>
    <w:rsid w:val="003C44D0"/>
    <w:rsid w:val="003C4A4E"/>
    <w:rsid w:val="003C4F70"/>
    <w:rsid w:val="003C5911"/>
    <w:rsid w:val="003C5F1F"/>
    <w:rsid w:val="003C65FF"/>
    <w:rsid w:val="003C6815"/>
    <w:rsid w:val="003C725C"/>
    <w:rsid w:val="003D052B"/>
    <w:rsid w:val="003D058B"/>
    <w:rsid w:val="003D098D"/>
    <w:rsid w:val="003D0BC7"/>
    <w:rsid w:val="003D0E2C"/>
    <w:rsid w:val="003D0E8D"/>
    <w:rsid w:val="003D1210"/>
    <w:rsid w:val="003D1238"/>
    <w:rsid w:val="003D126D"/>
    <w:rsid w:val="003D1F77"/>
    <w:rsid w:val="003D2118"/>
    <w:rsid w:val="003D21BC"/>
    <w:rsid w:val="003D2D37"/>
    <w:rsid w:val="003D2ED6"/>
    <w:rsid w:val="003D3691"/>
    <w:rsid w:val="003D386F"/>
    <w:rsid w:val="003D4043"/>
    <w:rsid w:val="003D4107"/>
    <w:rsid w:val="003D43D3"/>
    <w:rsid w:val="003D533C"/>
    <w:rsid w:val="003D5869"/>
    <w:rsid w:val="003D5C77"/>
    <w:rsid w:val="003D5E7B"/>
    <w:rsid w:val="003D61A8"/>
    <w:rsid w:val="003D64AC"/>
    <w:rsid w:val="003D66C2"/>
    <w:rsid w:val="003D72B3"/>
    <w:rsid w:val="003D79E1"/>
    <w:rsid w:val="003D7A4B"/>
    <w:rsid w:val="003D7C43"/>
    <w:rsid w:val="003D7CF8"/>
    <w:rsid w:val="003E03F5"/>
    <w:rsid w:val="003E049E"/>
    <w:rsid w:val="003E0A60"/>
    <w:rsid w:val="003E1D93"/>
    <w:rsid w:val="003E1EE8"/>
    <w:rsid w:val="003E20D6"/>
    <w:rsid w:val="003E2F91"/>
    <w:rsid w:val="003E3398"/>
    <w:rsid w:val="003E3458"/>
    <w:rsid w:val="003E36DA"/>
    <w:rsid w:val="003E38E4"/>
    <w:rsid w:val="003E3A13"/>
    <w:rsid w:val="003E3E1B"/>
    <w:rsid w:val="003E3E86"/>
    <w:rsid w:val="003E448D"/>
    <w:rsid w:val="003E4538"/>
    <w:rsid w:val="003E467D"/>
    <w:rsid w:val="003E46BC"/>
    <w:rsid w:val="003E4D87"/>
    <w:rsid w:val="003E5935"/>
    <w:rsid w:val="003E5D53"/>
    <w:rsid w:val="003E61F6"/>
    <w:rsid w:val="003E6343"/>
    <w:rsid w:val="003E724D"/>
    <w:rsid w:val="003E7C95"/>
    <w:rsid w:val="003E7F15"/>
    <w:rsid w:val="003F04EB"/>
    <w:rsid w:val="003F08CC"/>
    <w:rsid w:val="003F0BF5"/>
    <w:rsid w:val="003F172C"/>
    <w:rsid w:val="003F1D15"/>
    <w:rsid w:val="003F1EF4"/>
    <w:rsid w:val="003F294F"/>
    <w:rsid w:val="003F2D1C"/>
    <w:rsid w:val="003F3840"/>
    <w:rsid w:val="003F41A4"/>
    <w:rsid w:val="003F46C4"/>
    <w:rsid w:val="003F48ED"/>
    <w:rsid w:val="003F4A82"/>
    <w:rsid w:val="003F4BE4"/>
    <w:rsid w:val="003F4C3D"/>
    <w:rsid w:val="003F4CE9"/>
    <w:rsid w:val="003F5E9C"/>
    <w:rsid w:val="003F6095"/>
    <w:rsid w:val="003F6569"/>
    <w:rsid w:val="003F67CC"/>
    <w:rsid w:val="003F6A3B"/>
    <w:rsid w:val="003F6FAD"/>
    <w:rsid w:val="003F7654"/>
    <w:rsid w:val="003F78DF"/>
    <w:rsid w:val="004007F9"/>
    <w:rsid w:val="00400CEF"/>
    <w:rsid w:val="00400EAB"/>
    <w:rsid w:val="00401082"/>
    <w:rsid w:val="004012CE"/>
    <w:rsid w:val="00401365"/>
    <w:rsid w:val="00402EEB"/>
    <w:rsid w:val="0040354C"/>
    <w:rsid w:val="004035AE"/>
    <w:rsid w:val="00403649"/>
    <w:rsid w:val="00403925"/>
    <w:rsid w:val="00403BBD"/>
    <w:rsid w:val="00403D7C"/>
    <w:rsid w:val="00404119"/>
    <w:rsid w:val="0040430E"/>
    <w:rsid w:val="00404334"/>
    <w:rsid w:val="004043A1"/>
    <w:rsid w:val="004044BE"/>
    <w:rsid w:val="00404586"/>
    <w:rsid w:val="0040463F"/>
    <w:rsid w:val="00404A6D"/>
    <w:rsid w:val="00404C4D"/>
    <w:rsid w:val="00405D49"/>
    <w:rsid w:val="004061BD"/>
    <w:rsid w:val="004070FC"/>
    <w:rsid w:val="004075AF"/>
    <w:rsid w:val="00407EBB"/>
    <w:rsid w:val="00410488"/>
    <w:rsid w:val="0041073E"/>
    <w:rsid w:val="00410819"/>
    <w:rsid w:val="00410BE8"/>
    <w:rsid w:val="00410D22"/>
    <w:rsid w:val="00411D7A"/>
    <w:rsid w:val="00411F9E"/>
    <w:rsid w:val="0041203C"/>
    <w:rsid w:val="0041218C"/>
    <w:rsid w:val="00412A75"/>
    <w:rsid w:val="00412CFD"/>
    <w:rsid w:val="00412D62"/>
    <w:rsid w:val="00412D76"/>
    <w:rsid w:val="00413063"/>
    <w:rsid w:val="00414622"/>
    <w:rsid w:val="00414662"/>
    <w:rsid w:val="00414668"/>
    <w:rsid w:val="0041498C"/>
    <w:rsid w:val="00414B1C"/>
    <w:rsid w:val="00415A57"/>
    <w:rsid w:val="004163B3"/>
    <w:rsid w:val="0041643B"/>
    <w:rsid w:val="00416671"/>
    <w:rsid w:val="00416762"/>
    <w:rsid w:val="00416B10"/>
    <w:rsid w:val="00416E55"/>
    <w:rsid w:val="00416F4E"/>
    <w:rsid w:val="00417185"/>
    <w:rsid w:val="00417739"/>
    <w:rsid w:val="00417851"/>
    <w:rsid w:val="00417959"/>
    <w:rsid w:val="00417ECA"/>
    <w:rsid w:val="00420521"/>
    <w:rsid w:val="0042073A"/>
    <w:rsid w:val="00420D06"/>
    <w:rsid w:val="0042126C"/>
    <w:rsid w:val="00421301"/>
    <w:rsid w:val="00421494"/>
    <w:rsid w:val="00421775"/>
    <w:rsid w:val="00421821"/>
    <w:rsid w:val="00421955"/>
    <w:rsid w:val="00421A35"/>
    <w:rsid w:val="0042207A"/>
    <w:rsid w:val="004223CD"/>
    <w:rsid w:val="0042316B"/>
    <w:rsid w:val="00423A55"/>
    <w:rsid w:val="00423D63"/>
    <w:rsid w:val="0042400F"/>
    <w:rsid w:val="00424583"/>
    <w:rsid w:val="004246B7"/>
    <w:rsid w:val="004246DA"/>
    <w:rsid w:val="00424EF8"/>
    <w:rsid w:val="004250E2"/>
    <w:rsid w:val="0042518A"/>
    <w:rsid w:val="00425A07"/>
    <w:rsid w:val="00425D66"/>
    <w:rsid w:val="00426C51"/>
    <w:rsid w:val="00426DCC"/>
    <w:rsid w:val="0042718C"/>
    <w:rsid w:val="0042753C"/>
    <w:rsid w:val="004276A0"/>
    <w:rsid w:val="00427CC5"/>
    <w:rsid w:val="00427ED7"/>
    <w:rsid w:val="00430215"/>
    <w:rsid w:val="00431308"/>
    <w:rsid w:val="00431BA3"/>
    <w:rsid w:val="00431F99"/>
    <w:rsid w:val="00431FD7"/>
    <w:rsid w:val="00432281"/>
    <w:rsid w:val="004323AD"/>
    <w:rsid w:val="00432EE5"/>
    <w:rsid w:val="00432F7F"/>
    <w:rsid w:val="0043340B"/>
    <w:rsid w:val="004336BD"/>
    <w:rsid w:val="00433F7F"/>
    <w:rsid w:val="004344D6"/>
    <w:rsid w:val="00435835"/>
    <w:rsid w:val="0043586B"/>
    <w:rsid w:val="004359CF"/>
    <w:rsid w:val="00435CBE"/>
    <w:rsid w:val="004362A7"/>
    <w:rsid w:val="004364DF"/>
    <w:rsid w:val="004366AB"/>
    <w:rsid w:val="00436980"/>
    <w:rsid w:val="004369CC"/>
    <w:rsid w:val="00436E55"/>
    <w:rsid w:val="00437616"/>
    <w:rsid w:val="00437809"/>
    <w:rsid w:val="004378AA"/>
    <w:rsid w:val="00437C6D"/>
    <w:rsid w:val="00437CBA"/>
    <w:rsid w:val="00440920"/>
    <w:rsid w:val="00440C3E"/>
    <w:rsid w:val="00441244"/>
    <w:rsid w:val="0044134C"/>
    <w:rsid w:val="00441440"/>
    <w:rsid w:val="00441BE9"/>
    <w:rsid w:val="00442A33"/>
    <w:rsid w:val="00442AC4"/>
    <w:rsid w:val="00442CDA"/>
    <w:rsid w:val="004437FA"/>
    <w:rsid w:val="00443CA3"/>
    <w:rsid w:val="00444014"/>
    <w:rsid w:val="004443F6"/>
    <w:rsid w:val="00444A63"/>
    <w:rsid w:val="00444B41"/>
    <w:rsid w:val="004450DB"/>
    <w:rsid w:val="00445265"/>
    <w:rsid w:val="004467D6"/>
    <w:rsid w:val="00446C9C"/>
    <w:rsid w:val="00446FBA"/>
    <w:rsid w:val="004471CB"/>
    <w:rsid w:val="00447F83"/>
    <w:rsid w:val="00450141"/>
    <w:rsid w:val="0045054F"/>
    <w:rsid w:val="00450E0A"/>
    <w:rsid w:val="004515B5"/>
    <w:rsid w:val="004517B9"/>
    <w:rsid w:val="004517CA"/>
    <w:rsid w:val="00451832"/>
    <w:rsid w:val="00451917"/>
    <w:rsid w:val="00451F9B"/>
    <w:rsid w:val="004526D2"/>
    <w:rsid w:val="00453273"/>
    <w:rsid w:val="00453A0C"/>
    <w:rsid w:val="00453B24"/>
    <w:rsid w:val="00453C45"/>
    <w:rsid w:val="004542D2"/>
    <w:rsid w:val="0045431A"/>
    <w:rsid w:val="00454CDC"/>
    <w:rsid w:val="00455215"/>
    <w:rsid w:val="0045526A"/>
    <w:rsid w:val="004559CE"/>
    <w:rsid w:val="00456523"/>
    <w:rsid w:val="00456764"/>
    <w:rsid w:val="00457581"/>
    <w:rsid w:val="00457769"/>
    <w:rsid w:val="00457DAC"/>
    <w:rsid w:val="004603D1"/>
    <w:rsid w:val="00460E1A"/>
    <w:rsid w:val="00460E99"/>
    <w:rsid w:val="0046129F"/>
    <w:rsid w:val="00462392"/>
    <w:rsid w:val="004627A7"/>
    <w:rsid w:val="00462D47"/>
    <w:rsid w:val="00463782"/>
    <w:rsid w:val="00463B76"/>
    <w:rsid w:val="00463D03"/>
    <w:rsid w:val="00463DF8"/>
    <w:rsid w:val="00464825"/>
    <w:rsid w:val="0046487E"/>
    <w:rsid w:val="004649E2"/>
    <w:rsid w:val="00465220"/>
    <w:rsid w:val="0046552A"/>
    <w:rsid w:val="00465597"/>
    <w:rsid w:val="00466BAB"/>
    <w:rsid w:val="004672E8"/>
    <w:rsid w:val="004675CB"/>
    <w:rsid w:val="004676BC"/>
    <w:rsid w:val="00467981"/>
    <w:rsid w:val="00467B34"/>
    <w:rsid w:val="0047006F"/>
    <w:rsid w:val="0047009E"/>
    <w:rsid w:val="00470B9E"/>
    <w:rsid w:val="004713D0"/>
    <w:rsid w:val="00471DDD"/>
    <w:rsid w:val="00471EBD"/>
    <w:rsid w:val="00471F22"/>
    <w:rsid w:val="0047242E"/>
    <w:rsid w:val="00472BFF"/>
    <w:rsid w:val="00472DE5"/>
    <w:rsid w:val="00473377"/>
    <w:rsid w:val="00473574"/>
    <w:rsid w:val="004740FA"/>
    <w:rsid w:val="00474471"/>
    <w:rsid w:val="00474605"/>
    <w:rsid w:val="00474B11"/>
    <w:rsid w:val="00474CFB"/>
    <w:rsid w:val="00475085"/>
    <w:rsid w:val="004755D0"/>
    <w:rsid w:val="00475A8D"/>
    <w:rsid w:val="00475AF7"/>
    <w:rsid w:val="00475B86"/>
    <w:rsid w:val="00475E5D"/>
    <w:rsid w:val="00476013"/>
    <w:rsid w:val="004760BB"/>
    <w:rsid w:val="0047613B"/>
    <w:rsid w:val="00476C01"/>
    <w:rsid w:val="00476CF6"/>
    <w:rsid w:val="00477178"/>
    <w:rsid w:val="004772BA"/>
    <w:rsid w:val="00477AA8"/>
    <w:rsid w:val="004802FC"/>
    <w:rsid w:val="00481324"/>
    <w:rsid w:val="00481399"/>
    <w:rsid w:val="0048149E"/>
    <w:rsid w:val="0048187C"/>
    <w:rsid w:val="004819E6"/>
    <w:rsid w:val="00481F3B"/>
    <w:rsid w:val="00482505"/>
    <w:rsid w:val="0048257E"/>
    <w:rsid w:val="0048269D"/>
    <w:rsid w:val="0048286D"/>
    <w:rsid w:val="00482C77"/>
    <w:rsid w:val="00483825"/>
    <w:rsid w:val="00483887"/>
    <w:rsid w:val="00483B3B"/>
    <w:rsid w:val="00483BBE"/>
    <w:rsid w:val="00483FB5"/>
    <w:rsid w:val="00484200"/>
    <w:rsid w:val="00484AC9"/>
    <w:rsid w:val="0048551A"/>
    <w:rsid w:val="004856B1"/>
    <w:rsid w:val="00485D00"/>
    <w:rsid w:val="00485E1A"/>
    <w:rsid w:val="00486E5E"/>
    <w:rsid w:val="0048735E"/>
    <w:rsid w:val="00487570"/>
    <w:rsid w:val="00487721"/>
    <w:rsid w:val="00487B0E"/>
    <w:rsid w:val="00487E71"/>
    <w:rsid w:val="0049005F"/>
    <w:rsid w:val="004902BF"/>
    <w:rsid w:val="00490481"/>
    <w:rsid w:val="004907F0"/>
    <w:rsid w:val="0049115F"/>
    <w:rsid w:val="004914E1"/>
    <w:rsid w:val="00491602"/>
    <w:rsid w:val="00491C45"/>
    <w:rsid w:val="00492509"/>
    <w:rsid w:val="00492FCB"/>
    <w:rsid w:val="004939F4"/>
    <w:rsid w:val="00493AA0"/>
    <w:rsid w:val="00494688"/>
    <w:rsid w:val="00494A31"/>
    <w:rsid w:val="00494BDF"/>
    <w:rsid w:val="00495919"/>
    <w:rsid w:val="00495A3D"/>
    <w:rsid w:val="00495B4B"/>
    <w:rsid w:val="00495BFF"/>
    <w:rsid w:val="00495C04"/>
    <w:rsid w:val="00496577"/>
    <w:rsid w:val="00496F48"/>
    <w:rsid w:val="004970D9"/>
    <w:rsid w:val="004976F4"/>
    <w:rsid w:val="00497973"/>
    <w:rsid w:val="00497BC2"/>
    <w:rsid w:val="00497E77"/>
    <w:rsid w:val="004A001E"/>
    <w:rsid w:val="004A0191"/>
    <w:rsid w:val="004A01E5"/>
    <w:rsid w:val="004A0239"/>
    <w:rsid w:val="004A09D4"/>
    <w:rsid w:val="004A0F11"/>
    <w:rsid w:val="004A0FF2"/>
    <w:rsid w:val="004A115C"/>
    <w:rsid w:val="004A157D"/>
    <w:rsid w:val="004A1AAC"/>
    <w:rsid w:val="004A2438"/>
    <w:rsid w:val="004A30CB"/>
    <w:rsid w:val="004A3EAA"/>
    <w:rsid w:val="004A4E38"/>
    <w:rsid w:val="004A4F0B"/>
    <w:rsid w:val="004A5AAD"/>
    <w:rsid w:val="004A6414"/>
    <w:rsid w:val="004A65C4"/>
    <w:rsid w:val="004A6747"/>
    <w:rsid w:val="004A7049"/>
    <w:rsid w:val="004A72A7"/>
    <w:rsid w:val="004A7914"/>
    <w:rsid w:val="004A7D97"/>
    <w:rsid w:val="004A7E94"/>
    <w:rsid w:val="004B0354"/>
    <w:rsid w:val="004B0795"/>
    <w:rsid w:val="004B1082"/>
    <w:rsid w:val="004B10C3"/>
    <w:rsid w:val="004B12D2"/>
    <w:rsid w:val="004B1667"/>
    <w:rsid w:val="004B1B1C"/>
    <w:rsid w:val="004B22AA"/>
    <w:rsid w:val="004B289F"/>
    <w:rsid w:val="004B28BC"/>
    <w:rsid w:val="004B35DA"/>
    <w:rsid w:val="004B369A"/>
    <w:rsid w:val="004B385A"/>
    <w:rsid w:val="004B3F73"/>
    <w:rsid w:val="004B404F"/>
    <w:rsid w:val="004B480C"/>
    <w:rsid w:val="004B4E3D"/>
    <w:rsid w:val="004B5133"/>
    <w:rsid w:val="004B52A1"/>
    <w:rsid w:val="004B558D"/>
    <w:rsid w:val="004B5A52"/>
    <w:rsid w:val="004B5DA9"/>
    <w:rsid w:val="004B6371"/>
    <w:rsid w:val="004B68CA"/>
    <w:rsid w:val="004B6A1D"/>
    <w:rsid w:val="004B6D3B"/>
    <w:rsid w:val="004B7301"/>
    <w:rsid w:val="004B75C7"/>
    <w:rsid w:val="004B78F3"/>
    <w:rsid w:val="004B793D"/>
    <w:rsid w:val="004C0129"/>
    <w:rsid w:val="004C1C4A"/>
    <w:rsid w:val="004C1D15"/>
    <w:rsid w:val="004C2902"/>
    <w:rsid w:val="004C29C5"/>
    <w:rsid w:val="004C2A06"/>
    <w:rsid w:val="004C30A1"/>
    <w:rsid w:val="004C3531"/>
    <w:rsid w:val="004C3A89"/>
    <w:rsid w:val="004C3E08"/>
    <w:rsid w:val="004C3FD8"/>
    <w:rsid w:val="004C41B6"/>
    <w:rsid w:val="004C4C88"/>
    <w:rsid w:val="004C4CEC"/>
    <w:rsid w:val="004C55A0"/>
    <w:rsid w:val="004C6294"/>
    <w:rsid w:val="004C747B"/>
    <w:rsid w:val="004C76C8"/>
    <w:rsid w:val="004C7E56"/>
    <w:rsid w:val="004D002C"/>
    <w:rsid w:val="004D0F97"/>
    <w:rsid w:val="004D1045"/>
    <w:rsid w:val="004D1382"/>
    <w:rsid w:val="004D13F9"/>
    <w:rsid w:val="004D141B"/>
    <w:rsid w:val="004D159E"/>
    <w:rsid w:val="004D197A"/>
    <w:rsid w:val="004D1A93"/>
    <w:rsid w:val="004D1DC3"/>
    <w:rsid w:val="004D2080"/>
    <w:rsid w:val="004D2BEE"/>
    <w:rsid w:val="004D3F65"/>
    <w:rsid w:val="004D4AD3"/>
    <w:rsid w:val="004D4B88"/>
    <w:rsid w:val="004D52FF"/>
    <w:rsid w:val="004D57FB"/>
    <w:rsid w:val="004D58B4"/>
    <w:rsid w:val="004D5A1D"/>
    <w:rsid w:val="004D647A"/>
    <w:rsid w:val="004D6E37"/>
    <w:rsid w:val="004D741E"/>
    <w:rsid w:val="004D7701"/>
    <w:rsid w:val="004D7A40"/>
    <w:rsid w:val="004D7EAC"/>
    <w:rsid w:val="004E00EA"/>
    <w:rsid w:val="004E021D"/>
    <w:rsid w:val="004E0611"/>
    <w:rsid w:val="004E0684"/>
    <w:rsid w:val="004E074A"/>
    <w:rsid w:val="004E08B0"/>
    <w:rsid w:val="004E0996"/>
    <w:rsid w:val="004E0AF7"/>
    <w:rsid w:val="004E1045"/>
    <w:rsid w:val="004E19E2"/>
    <w:rsid w:val="004E1B27"/>
    <w:rsid w:val="004E1D2B"/>
    <w:rsid w:val="004E1E52"/>
    <w:rsid w:val="004E2646"/>
    <w:rsid w:val="004E2FE4"/>
    <w:rsid w:val="004E381C"/>
    <w:rsid w:val="004E3912"/>
    <w:rsid w:val="004E4F11"/>
    <w:rsid w:val="004E5BF8"/>
    <w:rsid w:val="004E5E5A"/>
    <w:rsid w:val="004E614B"/>
    <w:rsid w:val="004E6897"/>
    <w:rsid w:val="004E692E"/>
    <w:rsid w:val="004E6B14"/>
    <w:rsid w:val="004E6C7E"/>
    <w:rsid w:val="004E6EA2"/>
    <w:rsid w:val="004E6EA4"/>
    <w:rsid w:val="004E6FBC"/>
    <w:rsid w:val="004E70D3"/>
    <w:rsid w:val="004E77E0"/>
    <w:rsid w:val="004E798B"/>
    <w:rsid w:val="004E7F59"/>
    <w:rsid w:val="004F1508"/>
    <w:rsid w:val="004F1783"/>
    <w:rsid w:val="004F1C07"/>
    <w:rsid w:val="004F200A"/>
    <w:rsid w:val="004F22C1"/>
    <w:rsid w:val="004F2D2E"/>
    <w:rsid w:val="004F2DC1"/>
    <w:rsid w:val="004F39E1"/>
    <w:rsid w:val="004F3A1B"/>
    <w:rsid w:val="004F3BA8"/>
    <w:rsid w:val="004F4225"/>
    <w:rsid w:val="004F42E2"/>
    <w:rsid w:val="004F4B92"/>
    <w:rsid w:val="004F4CA4"/>
    <w:rsid w:val="004F4D66"/>
    <w:rsid w:val="004F4EF5"/>
    <w:rsid w:val="004F5EC3"/>
    <w:rsid w:val="004F61A2"/>
    <w:rsid w:val="004F6BEE"/>
    <w:rsid w:val="004F6DDB"/>
    <w:rsid w:val="004F71EA"/>
    <w:rsid w:val="004F789C"/>
    <w:rsid w:val="004F7B6E"/>
    <w:rsid w:val="00500647"/>
    <w:rsid w:val="005010FB"/>
    <w:rsid w:val="005011FC"/>
    <w:rsid w:val="00501B6C"/>
    <w:rsid w:val="00501F42"/>
    <w:rsid w:val="00501F92"/>
    <w:rsid w:val="005021A2"/>
    <w:rsid w:val="0050231B"/>
    <w:rsid w:val="00502746"/>
    <w:rsid w:val="005027C0"/>
    <w:rsid w:val="00502934"/>
    <w:rsid w:val="005029DE"/>
    <w:rsid w:val="00502A9D"/>
    <w:rsid w:val="00502E6A"/>
    <w:rsid w:val="00503094"/>
    <w:rsid w:val="0050327B"/>
    <w:rsid w:val="005032AD"/>
    <w:rsid w:val="005032B3"/>
    <w:rsid w:val="005033BB"/>
    <w:rsid w:val="00503A56"/>
    <w:rsid w:val="005048CC"/>
    <w:rsid w:val="005051EE"/>
    <w:rsid w:val="005054B9"/>
    <w:rsid w:val="00505934"/>
    <w:rsid w:val="005059FD"/>
    <w:rsid w:val="00505AB1"/>
    <w:rsid w:val="00505E9E"/>
    <w:rsid w:val="00506115"/>
    <w:rsid w:val="00506252"/>
    <w:rsid w:val="005076EA"/>
    <w:rsid w:val="00510107"/>
    <w:rsid w:val="0051035D"/>
    <w:rsid w:val="00510581"/>
    <w:rsid w:val="0051138E"/>
    <w:rsid w:val="005116DB"/>
    <w:rsid w:val="005118B9"/>
    <w:rsid w:val="00511913"/>
    <w:rsid w:val="0051192B"/>
    <w:rsid w:val="00511FE8"/>
    <w:rsid w:val="00512AA3"/>
    <w:rsid w:val="00512C63"/>
    <w:rsid w:val="00512D70"/>
    <w:rsid w:val="0051360D"/>
    <w:rsid w:val="00513734"/>
    <w:rsid w:val="005139AA"/>
    <w:rsid w:val="00513C8B"/>
    <w:rsid w:val="00513CC7"/>
    <w:rsid w:val="0051421C"/>
    <w:rsid w:val="00514D69"/>
    <w:rsid w:val="005153CC"/>
    <w:rsid w:val="005154B6"/>
    <w:rsid w:val="005157D2"/>
    <w:rsid w:val="00515B58"/>
    <w:rsid w:val="005162A0"/>
    <w:rsid w:val="005166F9"/>
    <w:rsid w:val="00516785"/>
    <w:rsid w:val="00516A32"/>
    <w:rsid w:val="00516A5D"/>
    <w:rsid w:val="005172D6"/>
    <w:rsid w:val="00517B9E"/>
    <w:rsid w:val="0052188E"/>
    <w:rsid w:val="00521C1E"/>
    <w:rsid w:val="00522051"/>
    <w:rsid w:val="00522850"/>
    <w:rsid w:val="0052308A"/>
    <w:rsid w:val="00523517"/>
    <w:rsid w:val="0052376C"/>
    <w:rsid w:val="00523CF7"/>
    <w:rsid w:val="00523D8F"/>
    <w:rsid w:val="005240D6"/>
    <w:rsid w:val="0052419D"/>
    <w:rsid w:val="00524309"/>
    <w:rsid w:val="00524B6A"/>
    <w:rsid w:val="00525582"/>
    <w:rsid w:val="005256B5"/>
    <w:rsid w:val="00526269"/>
    <w:rsid w:val="0052629D"/>
    <w:rsid w:val="00526721"/>
    <w:rsid w:val="0052681D"/>
    <w:rsid w:val="00526BDD"/>
    <w:rsid w:val="00526D2B"/>
    <w:rsid w:val="00526E0D"/>
    <w:rsid w:val="00527B12"/>
    <w:rsid w:val="00527CA0"/>
    <w:rsid w:val="00527D0F"/>
    <w:rsid w:val="00527F1D"/>
    <w:rsid w:val="005301F8"/>
    <w:rsid w:val="005302FB"/>
    <w:rsid w:val="0053032E"/>
    <w:rsid w:val="005312FC"/>
    <w:rsid w:val="00531532"/>
    <w:rsid w:val="00531B84"/>
    <w:rsid w:val="00531EF6"/>
    <w:rsid w:val="00532406"/>
    <w:rsid w:val="0053244B"/>
    <w:rsid w:val="00532692"/>
    <w:rsid w:val="005328D4"/>
    <w:rsid w:val="0053291C"/>
    <w:rsid w:val="00532C6D"/>
    <w:rsid w:val="00532E83"/>
    <w:rsid w:val="00533079"/>
    <w:rsid w:val="0053343B"/>
    <w:rsid w:val="00534302"/>
    <w:rsid w:val="005343C3"/>
    <w:rsid w:val="0053528A"/>
    <w:rsid w:val="0053569E"/>
    <w:rsid w:val="00535ABB"/>
    <w:rsid w:val="0053603D"/>
    <w:rsid w:val="00536371"/>
    <w:rsid w:val="00536C6E"/>
    <w:rsid w:val="00537017"/>
    <w:rsid w:val="00537205"/>
    <w:rsid w:val="0053742A"/>
    <w:rsid w:val="005376A7"/>
    <w:rsid w:val="00537B71"/>
    <w:rsid w:val="00537C85"/>
    <w:rsid w:val="00537D34"/>
    <w:rsid w:val="00537E46"/>
    <w:rsid w:val="00540C69"/>
    <w:rsid w:val="00540E1A"/>
    <w:rsid w:val="00541960"/>
    <w:rsid w:val="00541C70"/>
    <w:rsid w:val="00541CC4"/>
    <w:rsid w:val="00541D29"/>
    <w:rsid w:val="00541DD6"/>
    <w:rsid w:val="005428D2"/>
    <w:rsid w:val="00542A0B"/>
    <w:rsid w:val="00543235"/>
    <w:rsid w:val="00543294"/>
    <w:rsid w:val="00543788"/>
    <w:rsid w:val="00543B6E"/>
    <w:rsid w:val="00543D94"/>
    <w:rsid w:val="00543E1B"/>
    <w:rsid w:val="00543EEF"/>
    <w:rsid w:val="00543F23"/>
    <w:rsid w:val="00544505"/>
    <w:rsid w:val="00544F4A"/>
    <w:rsid w:val="005450DE"/>
    <w:rsid w:val="00545117"/>
    <w:rsid w:val="00545440"/>
    <w:rsid w:val="0054559C"/>
    <w:rsid w:val="00545B68"/>
    <w:rsid w:val="00545DC1"/>
    <w:rsid w:val="0054713E"/>
    <w:rsid w:val="00547273"/>
    <w:rsid w:val="00547A67"/>
    <w:rsid w:val="00547CC0"/>
    <w:rsid w:val="00547D7B"/>
    <w:rsid w:val="00547F58"/>
    <w:rsid w:val="005503D9"/>
    <w:rsid w:val="00550458"/>
    <w:rsid w:val="00550D14"/>
    <w:rsid w:val="0055144F"/>
    <w:rsid w:val="00551492"/>
    <w:rsid w:val="00551928"/>
    <w:rsid w:val="00551E1C"/>
    <w:rsid w:val="005522AF"/>
    <w:rsid w:val="0055269A"/>
    <w:rsid w:val="00552CFB"/>
    <w:rsid w:val="00553092"/>
    <w:rsid w:val="00553177"/>
    <w:rsid w:val="00553798"/>
    <w:rsid w:val="00553B92"/>
    <w:rsid w:val="00554009"/>
    <w:rsid w:val="00554082"/>
    <w:rsid w:val="005541D0"/>
    <w:rsid w:val="00554882"/>
    <w:rsid w:val="00554907"/>
    <w:rsid w:val="005549AA"/>
    <w:rsid w:val="005551BB"/>
    <w:rsid w:val="0055588F"/>
    <w:rsid w:val="00555A94"/>
    <w:rsid w:val="00555B38"/>
    <w:rsid w:val="00556361"/>
    <w:rsid w:val="00556457"/>
    <w:rsid w:val="00556876"/>
    <w:rsid w:val="0055689D"/>
    <w:rsid w:val="00557032"/>
    <w:rsid w:val="00557349"/>
    <w:rsid w:val="0055742C"/>
    <w:rsid w:val="00557E90"/>
    <w:rsid w:val="00560834"/>
    <w:rsid w:val="00560A0C"/>
    <w:rsid w:val="00560BE9"/>
    <w:rsid w:val="00560C03"/>
    <w:rsid w:val="00561378"/>
    <w:rsid w:val="0056148E"/>
    <w:rsid w:val="00561A98"/>
    <w:rsid w:val="00561E5E"/>
    <w:rsid w:val="00561FAA"/>
    <w:rsid w:val="00562206"/>
    <w:rsid w:val="005625D6"/>
    <w:rsid w:val="005627E4"/>
    <w:rsid w:val="00562DAC"/>
    <w:rsid w:val="00562E61"/>
    <w:rsid w:val="00562F17"/>
    <w:rsid w:val="00563246"/>
    <w:rsid w:val="0056325D"/>
    <w:rsid w:val="00563B35"/>
    <w:rsid w:val="00563BBE"/>
    <w:rsid w:val="00563BDF"/>
    <w:rsid w:val="0056409F"/>
    <w:rsid w:val="005641C9"/>
    <w:rsid w:val="00564286"/>
    <w:rsid w:val="00564E2D"/>
    <w:rsid w:val="00565018"/>
    <w:rsid w:val="00565659"/>
    <w:rsid w:val="0056582C"/>
    <w:rsid w:val="00565A93"/>
    <w:rsid w:val="00566493"/>
    <w:rsid w:val="0056665F"/>
    <w:rsid w:val="00566B22"/>
    <w:rsid w:val="00566B2C"/>
    <w:rsid w:val="00566D30"/>
    <w:rsid w:val="005673E4"/>
    <w:rsid w:val="00567501"/>
    <w:rsid w:val="00567639"/>
    <w:rsid w:val="00567FF3"/>
    <w:rsid w:val="00570527"/>
    <w:rsid w:val="00570544"/>
    <w:rsid w:val="005708A2"/>
    <w:rsid w:val="00570A7B"/>
    <w:rsid w:val="005719EF"/>
    <w:rsid w:val="00572203"/>
    <w:rsid w:val="00572A69"/>
    <w:rsid w:val="00573185"/>
    <w:rsid w:val="00573C31"/>
    <w:rsid w:val="00574146"/>
    <w:rsid w:val="00574921"/>
    <w:rsid w:val="00574EBB"/>
    <w:rsid w:val="00574FB7"/>
    <w:rsid w:val="005766E0"/>
    <w:rsid w:val="005768FA"/>
    <w:rsid w:val="00576B0A"/>
    <w:rsid w:val="00576B8E"/>
    <w:rsid w:val="00576FDC"/>
    <w:rsid w:val="00577244"/>
    <w:rsid w:val="00577450"/>
    <w:rsid w:val="005776B2"/>
    <w:rsid w:val="00577F62"/>
    <w:rsid w:val="005800C0"/>
    <w:rsid w:val="00580F68"/>
    <w:rsid w:val="00581493"/>
    <w:rsid w:val="005816CB"/>
    <w:rsid w:val="00581DB1"/>
    <w:rsid w:val="00582112"/>
    <w:rsid w:val="00582348"/>
    <w:rsid w:val="005825AB"/>
    <w:rsid w:val="005825D6"/>
    <w:rsid w:val="00582820"/>
    <w:rsid w:val="00582AE2"/>
    <w:rsid w:val="00582CBC"/>
    <w:rsid w:val="005838F0"/>
    <w:rsid w:val="00583AA2"/>
    <w:rsid w:val="00583D86"/>
    <w:rsid w:val="00583E6A"/>
    <w:rsid w:val="00584C12"/>
    <w:rsid w:val="005850AA"/>
    <w:rsid w:val="00585430"/>
    <w:rsid w:val="005854A5"/>
    <w:rsid w:val="005859F7"/>
    <w:rsid w:val="00585C89"/>
    <w:rsid w:val="00585F23"/>
    <w:rsid w:val="00585F85"/>
    <w:rsid w:val="00586451"/>
    <w:rsid w:val="00586605"/>
    <w:rsid w:val="00586622"/>
    <w:rsid w:val="005868DE"/>
    <w:rsid w:val="00586F4C"/>
    <w:rsid w:val="005877AC"/>
    <w:rsid w:val="005878D5"/>
    <w:rsid w:val="005904D3"/>
    <w:rsid w:val="00590580"/>
    <w:rsid w:val="005905F1"/>
    <w:rsid w:val="005909BA"/>
    <w:rsid w:val="005911AA"/>
    <w:rsid w:val="005913D6"/>
    <w:rsid w:val="00591432"/>
    <w:rsid w:val="0059152C"/>
    <w:rsid w:val="005918ED"/>
    <w:rsid w:val="00591BAD"/>
    <w:rsid w:val="00592079"/>
    <w:rsid w:val="00592084"/>
    <w:rsid w:val="00592553"/>
    <w:rsid w:val="00592691"/>
    <w:rsid w:val="0059271A"/>
    <w:rsid w:val="005928D7"/>
    <w:rsid w:val="00592C90"/>
    <w:rsid w:val="0059311B"/>
    <w:rsid w:val="005934B8"/>
    <w:rsid w:val="00593547"/>
    <w:rsid w:val="00593771"/>
    <w:rsid w:val="0059379C"/>
    <w:rsid w:val="005944CE"/>
    <w:rsid w:val="00594E07"/>
    <w:rsid w:val="00595EE5"/>
    <w:rsid w:val="00596131"/>
    <w:rsid w:val="005966B7"/>
    <w:rsid w:val="0059685A"/>
    <w:rsid w:val="00597173"/>
    <w:rsid w:val="00597292"/>
    <w:rsid w:val="005979C0"/>
    <w:rsid w:val="005A098D"/>
    <w:rsid w:val="005A0A7C"/>
    <w:rsid w:val="005A0BA4"/>
    <w:rsid w:val="005A1FB2"/>
    <w:rsid w:val="005A2188"/>
    <w:rsid w:val="005A2431"/>
    <w:rsid w:val="005A2F53"/>
    <w:rsid w:val="005A3B6B"/>
    <w:rsid w:val="005A45B0"/>
    <w:rsid w:val="005A4B60"/>
    <w:rsid w:val="005A539F"/>
    <w:rsid w:val="005A5419"/>
    <w:rsid w:val="005A5ACE"/>
    <w:rsid w:val="005A5ADB"/>
    <w:rsid w:val="005A5B53"/>
    <w:rsid w:val="005A640C"/>
    <w:rsid w:val="005A64A4"/>
    <w:rsid w:val="005A65DC"/>
    <w:rsid w:val="005A664B"/>
    <w:rsid w:val="005A69F7"/>
    <w:rsid w:val="005A6AD6"/>
    <w:rsid w:val="005A6C62"/>
    <w:rsid w:val="005B0443"/>
    <w:rsid w:val="005B1005"/>
    <w:rsid w:val="005B1054"/>
    <w:rsid w:val="005B13FE"/>
    <w:rsid w:val="005B20B4"/>
    <w:rsid w:val="005B22AB"/>
    <w:rsid w:val="005B34C7"/>
    <w:rsid w:val="005B34E4"/>
    <w:rsid w:val="005B3672"/>
    <w:rsid w:val="005B367F"/>
    <w:rsid w:val="005B4297"/>
    <w:rsid w:val="005B43B7"/>
    <w:rsid w:val="005B44F0"/>
    <w:rsid w:val="005B48D1"/>
    <w:rsid w:val="005B49D0"/>
    <w:rsid w:val="005B4DE6"/>
    <w:rsid w:val="005B4E70"/>
    <w:rsid w:val="005B4E99"/>
    <w:rsid w:val="005B4F85"/>
    <w:rsid w:val="005B54DF"/>
    <w:rsid w:val="005B5E2A"/>
    <w:rsid w:val="005B629C"/>
    <w:rsid w:val="005B66A0"/>
    <w:rsid w:val="005B70B4"/>
    <w:rsid w:val="005B74A6"/>
    <w:rsid w:val="005B7BA2"/>
    <w:rsid w:val="005C0000"/>
    <w:rsid w:val="005C02A4"/>
    <w:rsid w:val="005C095C"/>
    <w:rsid w:val="005C0F61"/>
    <w:rsid w:val="005C1358"/>
    <w:rsid w:val="005C135A"/>
    <w:rsid w:val="005C1533"/>
    <w:rsid w:val="005C1A86"/>
    <w:rsid w:val="005C1E1A"/>
    <w:rsid w:val="005C20D2"/>
    <w:rsid w:val="005C24BA"/>
    <w:rsid w:val="005C2581"/>
    <w:rsid w:val="005C258C"/>
    <w:rsid w:val="005C32FE"/>
    <w:rsid w:val="005C3AC6"/>
    <w:rsid w:val="005C429F"/>
    <w:rsid w:val="005C503A"/>
    <w:rsid w:val="005C5412"/>
    <w:rsid w:val="005C68E1"/>
    <w:rsid w:val="005C6B27"/>
    <w:rsid w:val="005C6D8A"/>
    <w:rsid w:val="005C6DD4"/>
    <w:rsid w:val="005C6FF0"/>
    <w:rsid w:val="005C738A"/>
    <w:rsid w:val="005C77F1"/>
    <w:rsid w:val="005C7A3B"/>
    <w:rsid w:val="005D024A"/>
    <w:rsid w:val="005D0338"/>
    <w:rsid w:val="005D0D30"/>
    <w:rsid w:val="005D1127"/>
    <w:rsid w:val="005D13ED"/>
    <w:rsid w:val="005D16C0"/>
    <w:rsid w:val="005D1EF6"/>
    <w:rsid w:val="005D2361"/>
    <w:rsid w:val="005D26D5"/>
    <w:rsid w:val="005D3477"/>
    <w:rsid w:val="005D3662"/>
    <w:rsid w:val="005D38D2"/>
    <w:rsid w:val="005D405F"/>
    <w:rsid w:val="005D4841"/>
    <w:rsid w:val="005D4BD6"/>
    <w:rsid w:val="005D4FD4"/>
    <w:rsid w:val="005D5487"/>
    <w:rsid w:val="005D5975"/>
    <w:rsid w:val="005D5C3C"/>
    <w:rsid w:val="005D5FF6"/>
    <w:rsid w:val="005D6216"/>
    <w:rsid w:val="005D6280"/>
    <w:rsid w:val="005D64F4"/>
    <w:rsid w:val="005D66F0"/>
    <w:rsid w:val="005D6809"/>
    <w:rsid w:val="005D6B76"/>
    <w:rsid w:val="005D6D64"/>
    <w:rsid w:val="005D6EF2"/>
    <w:rsid w:val="005D7027"/>
    <w:rsid w:val="005D763A"/>
    <w:rsid w:val="005D79D4"/>
    <w:rsid w:val="005D7DFD"/>
    <w:rsid w:val="005D7E77"/>
    <w:rsid w:val="005E016C"/>
    <w:rsid w:val="005E06B9"/>
    <w:rsid w:val="005E0A0C"/>
    <w:rsid w:val="005E13D8"/>
    <w:rsid w:val="005E13DB"/>
    <w:rsid w:val="005E2D8A"/>
    <w:rsid w:val="005E3151"/>
    <w:rsid w:val="005E34E2"/>
    <w:rsid w:val="005E380C"/>
    <w:rsid w:val="005E381A"/>
    <w:rsid w:val="005E393D"/>
    <w:rsid w:val="005E42A1"/>
    <w:rsid w:val="005E4BEB"/>
    <w:rsid w:val="005E5E9F"/>
    <w:rsid w:val="005E6C12"/>
    <w:rsid w:val="005E6CD5"/>
    <w:rsid w:val="005E770C"/>
    <w:rsid w:val="005F02D8"/>
    <w:rsid w:val="005F0773"/>
    <w:rsid w:val="005F14FB"/>
    <w:rsid w:val="005F19E7"/>
    <w:rsid w:val="005F1ABC"/>
    <w:rsid w:val="005F1E39"/>
    <w:rsid w:val="005F1E9B"/>
    <w:rsid w:val="005F2033"/>
    <w:rsid w:val="005F3A7B"/>
    <w:rsid w:val="005F3D5F"/>
    <w:rsid w:val="005F485D"/>
    <w:rsid w:val="005F4D64"/>
    <w:rsid w:val="005F593E"/>
    <w:rsid w:val="005F5E61"/>
    <w:rsid w:val="005F5F72"/>
    <w:rsid w:val="005F5FEF"/>
    <w:rsid w:val="005F60AC"/>
    <w:rsid w:val="005F61E5"/>
    <w:rsid w:val="005F662D"/>
    <w:rsid w:val="005F69C8"/>
    <w:rsid w:val="005F6B4E"/>
    <w:rsid w:val="005F6C2F"/>
    <w:rsid w:val="005F73D6"/>
    <w:rsid w:val="005F73F0"/>
    <w:rsid w:val="005F74AA"/>
    <w:rsid w:val="005F78CE"/>
    <w:rsid w:val="005F7AF5"/>
    <w:rsid w:val="005F7BC9"/>
    <w:rsid w:val="005F7DC7"/>
    <w:rsid w:val="006007BC"/>
    <w:rsid w:val="006009BE"/>
    <w:rsid w:val="00600A1D"/>
    <w:rsid w:val="00600AE8"/>
    <w:rsid w:val="00600FA7"/>
    <w:rsid w:val="00601413"/>
    <w:rsid w:val="00601650"/>
    <w:rsid w:val="00601AE3"/>
    <w:rsid w:val="00601E97"/>
    <w:rsid w:val="00602821"/>
    <w:rsid w:val="006032C3"/>
    <w:rsid w:val="006037CE"/>
    <w:rsid w:val="006039FE"/>
    <w:rsid w:val="00603FA5"/>
    <w:rsid w:val="00604E89"/>
    <w:rsid w:val="00604EEF"/>
    <w:rsid w:val="00605053"/>
    <w:rsid w:val="006052C9"/>
    <w:rsid w:val="00605372"/>
    <w:rsid w:val="006053D3"/>
    <w:rsid w:val="006054EA"/>
    <w:rsid w:val="00605AFD"/>
    <w:rsid w:val="00606210"/>
    <w:rsid w:val="0060665B"/>
    <w:rsid w:val="00606BEB"/>
    <w:rsid w:val="00606EC6"/>
    <w:rsid w:val="00607195"/>
    <w:rsid w:val="00607A87"/>
    <w:rsid w:val="00607EBA"/>
    <w:rsid w:val="006101DF"/>
    <w:rsid w:val="00610FEC"/>
    <w:rsid w:val="006119B4"/>
    <w:rsid w:val="00611C09"/>
    <w:rsid w:val="00611CD7"/>
    <w:rsid w:val="00612028"/>
    <w:rsid w:val="00612327"/>
    <w:rsid w:val="006123D4"/>
    <w:rsid w:val="00613048"/>
    <w:rsid w:val="00613267"/>
    <w:rsid w:val="006139F0"/>
    <w:rsid w:val="00613A32"/>
    <w:rsid w:val="00613B32"/>
    <w:rsid w:val="00613B56"/>
    <w:rsid w:val="00613BA4"/>
    <w:rsid w:val="0061445B"/>
    <w:rsid w:val="00614CDF"/>
    <w:rsid w:val="00615854"/>
    <w:rsid w:val="0061655F"/>
    <w:rsid w:val="00616DE9"/>
    <w:rsid w:val="00616EAF"/>
    <w:rsid w:val="00617411"/>
    <w:rsid w:val="006179A6"/>
    <w:rsid w:val="00620D3F"/>
    <w:rsid w:val="00620FEE"/>
    <w:rsid w:val="00621288"/>
    <w:rsid w:val="0062246C"/>
    <w:rsid w:val="00622504"/>
    <w:rsid w:val="0062274F"/>
    <w:rsid w:val="00622E2F"/>
    <w:rsid w:val="00622E91"/>
    <w:rsid w:val="00622F78"/>
    <w:rsid w:val="006237A3"/>
    <w:rsid w:val="00623B8F"/>
    <w:rsid w:val="006241BF"/>
    <w:rsid w:val="0062467C"/>
    <w:rsid w:val="00624C4B"/>
    <w:rsid w:val="0062540A"/>
    <w:rsid w:val="00625686"/>
    <w:rsid w:val="00626201"/>
    <w:rsid w:val="0062656B"/>
    <w:rsid w:val="0062659E"/>
    <w:rsid w:val="00626BD4"/>
    <w:rsid w:val="00626DCE"/>
    <w:rsid w:val="00627030"/>
    <w:rsid w:val="006272F7"/>
    <w:rsid w:val="0062737D"/>
    <w:rsid w:val="00627618"/>
    <w:rsid w:val="006276CC"/>
    <w:rsid w:val="006278EF"/>
    <w:rsid w:val="00627B5E"/>
    <w:rsid w:val="0063004E"/>
    <w:rsid w:val="006305BF"/>
    <w:rsid w:val="00631368"/>
    <w:rsid w:val="00631718"/>
    <w:rsid w:val="00631AA8"/>
    <w:rsid w:val="00632A58"/>
    <w:rsid w:val="006336D3"/>
    <w:rsid w:val="00633761"/>
    <w:rsid w:val="00633F1A"/>
    <w:rsid w:val="0063465C"/>
    <w:rsid w:val="00634821"/>
    <w:rsid w:val="00634AAA"/>
    <w:rsid w:val="00634C47"/>
    <w:rsid w:val="00635088"/>
    <w:rsid w:val="006359A8"/>
    <w:rsid w:val="00635A29"/>
    <w:rsid w:val="00635B11"/>
    <w:rsid w:val="00635C4A"/>
    <w:rsid w:val="00635EED"/>
    <w:rsid w:val="00636909"/>
    <w:rsid w:val="00637413"/>
    <w:rsid w:val="0063769C"/>
    <w:rsid w:val="0064007E"/>
    <w:rsid w:val="006402F4"/>
    <w:rsid w:val="00640CA6"/>
    <w:rsid w:val="00641861"/>
    <w:rsid w:val="0064197F"/>
    <w:rsid w:val="00641E7D"/>
    <w:rsid w:val="00641EF8"/>
    <w:rsid w:val="00641FBF"/>
    <w:rsid w:val="0064281A"/>
    <w:rsid w:val="00643116"/>
    <w:rsid w:val="00643267"/>
    <w:rsid w:val="00643431"/>
    <w:rsid w:val="006434D8"/>
    <w:rsid w:val="006435D2"/>
    <w:rsid w:val="00643A64"/>
    <w:rsid w:val="00644142"/>
    <w:rsid w:val="00644457"/>
    <w:rsid w:val="00644A07"/>
    <w:rsid w:val="00644F86"/>
    <w:rsid w:val="006453C6"/>
    <w:rsid w:val="00645AB6"/>
    <w:rsid w:val="00645BDF"/>
    <w:rsid w:val="006462FB"/>
    <w:rsid w:val="006464FF"/>
    <w:rsid w:val="006469BF"/>
    <w:rsid w:val="006469CC"/>
    <w:rsid w:val="00646EDB"/>
    <w:rsid w:val="00646F91"/>
    <w:rsid w:val="006477D1"/>
    <w:rsid w:val="00647AE9"/>
    <w:rsid w:val="00647CB8"/>
    <w:rsid w:val="00650F09"/>
    <w:rsid w:val="00650FF8"/>
    <w:rsid w:val="00651467"/>
    <w:rsid w:val="006515DB"/>
    <w:rsid w:val="006516E0"/>
    <w:rsid w:val="00651E4B"/>
    <w:rsid w:val="00652039"/>
    <w:rsid w:val="006521BB"/>
    <w:rsid w:val="00653228"/>
    <w:rsid w:val="006538A5"/>
    <w:rsid w:val="00653FD1"/>
    <w:rsid w:val="00654398"/>
    <w:rsid w:val="006549AC"/>
    <w:rsid w:val="00655058"/>
    <w:rsid w:val="00655334"/>
    <w:rsid w:val="0065560A"/>
    <w:rsid w:val="0065621E"/>
    <w:rsid w:val="0065633C"/>
    <w:rsid w:val="00656493"/>
    <w:rsid w:val="006567C9"/>
    <w:rsid w:val="006567F5"/>
    <w:rsid w:val="00656C8F"/>
    <w:rsid w:val="00656D4A"/>
    <w:rsid w:val="006576A6"/>
    <w:rsid w:val="0065789F"/>
    <w:rsid w:val="00657CF1"/>
    <w:rsid w:val="00660C6E"/>
    <w:rsid w:val="00660D85"/>
    <w:rsid w:val="0066133C"/>
    <w:rsid w:val="00661660"/>
    <w:rsid w:val="00661853"/>
    <w:rsid w:val="006625BE"/>
    <w:rsid w:val="00662A8D"/>
    <w:rsid w:val="0066300B"/>
    <w:rsid w:val="00663209"/>
    <w:rsid w:val="00663CBD"/>
    <w:rsid w:val="00663D3E"/>
    <w:rsid w:val="00664374"/>
    <w:rsid w:val="00664A45"/>
    <w:rsid w:val="0066564D"/>
    <w:rsid w:val="0066571A"/>
    <w:rsid w:val="00665957"/>
    <w:rsid w:val="00665B0B"/>
    <w:rsid w:val="00665C00"/>
    <w:rsid w:val="00665D19"/>
    <w:rsid w:val="006660B6"/>
    <w:rsid w:val="00666486"/>
    <w:rsid w:val="00666ADF"/>
    <w:rsid w:val="00666D02"/>
    <w:rsid w:val="00667386"/>
    <w:rsid w:val="00667453"/>
    <w:rsid w:val="00667A10"/>
    <w:rsid w:val="00667C06"/>
    <w:rsid w:val="006702E6"/>
    <w:rsid w:val="006708D3"/>
    <w:rsid w:val="00671024"/>
    <w:rsid w:val="006710E3"/>
    <w:rsid w:val="006711FA"/>
    <w:rsid w:val="0067137C"/>
    <w:rsid w:val="0067149A"/>
    <w:rsid w:val="006714FD"/>
    <w:rsid w:val="0067181E"/>
    <w:rsid w:val="00671976"/>
    <w:rsid w:val="00671AEC"/>
    <w:rsid w:val="00671CB3"/>
    <w:rsid w:val="006720DA"/>
    <w:rsid w:val="006721C8"/>
    <w:rsid w:val="00672A31"/>
    <w:rsid w:val="00672E8D"/>
    <w:rsid w:val="00672F42"/>
    <w:rsid w:val="00672F91"/>
    <w:rsid w:val="0067352F"/>
    <w:rsid w:val="00673E07"/>
    <w:rsid w:val="00674175"/>
    <w:rsid w:val="0067421D"/>
    <w:rsid w:val="006742CD"/>
    <w:rsid w:val="00674467"/>
    <w:rsid w:val="0067468D"/>
    <w:rsid w:val="006747A2"/>
    <w:rsid w:val="0067521A"/>
    <w:rsid w:val="00675382"/>
    <w:rsid w:val="00675449"/>
    <w:rsid w:val="00676198"/>
    <w:rsid w:val="0067622C"/>
    <w:rsid w:val="00676695"/>
    <w:rsid w:val="0067680A"/>
    <w:rsid w:val="00677170"/>
    <w:rsid w:val="0067730B"/>
    <w:rsid w:val="0067738A"/>
    <w:rsid w:val="00677F66"/>
    <w:rsid w:val="006808E5"/>
    <w:rsid w:val="00680C3C"/>
    <w:rsid w:val="006810B5"/>
    <w:rsid w:val="006812FC"/>
    <w:rsid w:val="006813C9"/>
    <w:rsid w:val="00681A5F"/>
    <w:rsid w:val="00681C80"/>
    <w:rsid w:val="00681D9F"/>
    <w:rsid w:val="00681E5E"/>
    <w:rsid w:val="00682249"/>
    <w:rsid w:val="0068230D"/>
    <w:rsid w:val="0068250C"/>
    <w:rsid w:val="00682B4C"/>
    <w:rsid w:val="00682D3D"/>
    <w:rsid w:val="00682FC4"/>
    <w:rsid w:val="006833D9"/>
    <w:rsid w:val="006836BB"/>
    <w:rsid w:val="0068385F"/>
    <w:rsid w:val="00684B76"/>
    <w:rsid w:val="006850E5"/>
    <w:rsid w:val="006855A2"/>
    <w:rsid w:val="00685955"/>
    <w:rsid w:val="00685CF7"/>
    <w:rsid w:val="00686165"/>
    <w:rsid w:val="0068642B"/>
    <w:rsid w:val="00686792"/>
    <w:rsid w:val="00687080"/>
    <w:rsid w:val="0068714D"/>
    <w:rsid w:val="006876AE"/>
    <w:rsid w:val="00687F99"/>
    <w:rsid w:val="00690338"/>
    <w:rsid w:val="006906FF"/>
    <w:rsid w:val="00690BF0"/>
    <w:rsid w:val="00690C48"/>
    <w:rsid w:val="00690D99"/>
    <w:rsid w:val="00690F2F"/>
    <w:rsid w:val="0069103B"/>
    <w:rsid w:val="00691CB5"/>
    <w:rsid w:val="006923DF"/>
    <w:rsid w:val="00692956"/>
    <w:rsid w:val="006929E4"/>
    <w:rsid w:val="00692A48"/>
    <w:rsid w:val="00692AC8"/>
    <w:rsid w:val="00693515"/>
    <w:rsid w:val="00693CEE"/>
    <w:rsid w:val="00694725"/>
    <w:rsid w:val="00694A11"/>
    <w:rsid w:val="006955DA"/>
    <w:rsid w:val="00695A9A"/>
    <w:rsid w:val="00695AEB"/>
    <w:rsid w:val="00695B23"/>
    <w:rsid w:val="00695EC0"/>
    <w:rsid w:val="0069632E"/>
    <w:rsid w:val="00696844"/>
    <w:rsid w:val="00697501"/>
    <w:rsid w:val="00697C49"/>
    <w:rsid w:val="006A09C8"/>
    <w:rsid w:val="006A1046"/>
    <w:rsid w:val="006A1D10"/>
    <w:rsid w:val="006A247D"/>
    <w:rsid w:val="006A27BD"/>
    <w:rsid w:val="006A27BE"/>
    <w:rsid w:val="006A2954"/>
    <w:rsid w:val="006A2AB7"/>
    <w:rsid w:val="006A2E92"/>
    <w:rsid w:val="006A3006"/>
    <w:rsid w:val="006A3139"/>
    <w:rsid w:val="006A37F5"/>
    <w:rsid w:val="006A3AAB"/>
    <w:rsid w:val="006A3C0F"/>
    <w:rsid w:val="006A437C"/>
    <w:rsid w:val="006A438C"/>
    <w:rsid w:val="006A49CF"/>
    <w:rsid w:val="006A4A6B"/>
    <w:rsid w:val="006A4ECD"/>
    <w:rsid w:val="006A509C"/>
    <w:rsid w:val="006A5101"/>
    <w:rsid w:val="006A5F33"/>
    <w:rsid w:val="006A634C"/>
    <w:rsid w:val="006A6966"/>
    <w:rsid w:val="006A69AD"/>
    <w:rsid w:val="006A69CC"/>
    <w:rsid w:val="006A703C"/>
    <w:rsid w:val="006A7304"/>
    <w:rsid w:val="006A7450"/>
    <w:rsid w:val="006A7534"/>
    <w:rsid w:val="006A799C"/>
    <w:rsid w:val="006A7AFA"/>
    <w:rsid w:val="006B091C"/>
    <w:rsid w:val="006B0D32"/>
    <w:rsid w:val="006B0EA7"/>
    <w:rsid w:val="006B0FAF"/>
    <w:rsid w:val="006B17B9"/>
    <w:rsid w:val="006B1D08"/>
    <w:rsid w:val="006B23AE"/>
    <w:rsid w:val="006B287B"/>
    <w:rsid w:val="006B2A87"/>
    <w:rsid w:val="006B2D37"/>
    <w:rsid w:val="006B3767"/>
    <w:rsid w:val="006B38FF"/>
    <w:rsid w:val="006B3CF3"/>
    <w:rsid w:val="006B4093"/>
    <w:rsid w:val="006B44F1"/>
    <w:rsid w:val="006B4731"/>
    <w:rsid w:val="006B4A45"/>
    <w:rsid w:val="006B4B6D"/>
    <w:rsid w:val="006B4E3A"/>
    <w:rsid w:val="006B4E5A"/>
    <w:rsid w:val="006B4EEC"/>
    <w:rsid w:val="006B4F17"/>
    <w:rsid w:val="006B591D"/>
    <w:rsid w:val="006B594F"/>
    <w:rsid w:val="006B5B9F"/>
    <w:rsid w:val="006B5C6C"/>
    <w:rsid w:val="006B67F0"/>
    <w:rsid w:val="006B6A47"/>
    <w:rsid w:val="006C0051"/>
    <w:rsid w:val="006C0B34"/>
    <w:rsid w:val="006C0E3C"/>
    <w:rsid w:val="006C11BF"/>
    <w:rsid w:val="006C1291"/>
    <w:rsid w:val="006C14AC"/>
    <w:rsid w:val="006C14C5"/>
    <w:rsid w:val="006C1892"/>
    <w:rsid w:val="006C2061"/>
    <w:rsid w:val="006C269A"/>
    <w:rsid w:val="006C2713"/>
    <w:rsid w:val="006C28FE"/>
    <w:rsid w:val="006C2970"/>
    <w:rsid w:val="006C2A99"/>
    <w:rsid w:val="006C2CA9"/>
    <w:rsid w:val="006C2EB9"/>
    <w:rsid w:val="006C3043"/>
    <w:rsid w:val="006C33A1"/>
    <w:rsid w:val="006C33EF"/>
    <w:rsid w:val="006C3BD0"/>
    <w:rsid w:val="006C3F0C"/>
    <w:rsid w:val="006C3F48"/>
    <w:rsid w:val="006C3FA0"/>
    <w:rsid w:val="006C4222"/>
    <w:rsid w:val="006C49C6"/>
    <w:rsid w:val="006C4A12"/>
    <w:rsid w:val="006C5068"/>
    <w:rsid w:val="006C5999"/>
    <w:rsid w:val="006C5B73"/>
    <w:rsid w:val="006C5CA6"/>
    <w:rsid w:val="006C645D"/>
    <w:rsid w:val="006C69FE"/>
    <w:rsid w:val="006C7175"/>
    <w:rsid w:val="006C7763"/>
    <w:rsid w:val="006C7DCB"/>
    <w:rsid w:val="006D0577"/>
    <w:rsid w:val="006D0E3C"/>
    <w:rsid w:val="006D1302"/>
    <w:rsid w:val="006D159F"/>
    <w:rsid w:val="006D1773"/>
    <w:rsid w:val="006D1994"/>
    <w:rsid w:val="006D1AAC"/>
    <w:rsid w:val="006D1B35"/>
    <w:rsid w:val="006D27C2"/>
    <w:rsid w:val="006D286A"/>
    <w:rsid w:val="006D2E9E"/>
    <w:rsid w:val="006D32C5"/>
    <w:rsid w:val="006D3326"/>
    <w:rsid w:val="006D38C1"/>
    <w:rsid w:val="006D3FB5"/>
    <w:rsid w:val="006D400F"/>
    <w:rsid w:val="006D4A3B"/>
    <w:rsid w:val="006D4EAB"/>
    <w:rsid w:val="006D5B0A"/>
    <w:rsid w:val="006D5BE2"/>
    <w:rsid w:val="006D5D36"/>
    <w:rsid w:val="006D5D52"/>
    <w:rsid w:val="006D62BA"/>
    <w:rsid w:val="006D6904"/>
    <w:rsid w:val="006D6986"/>
    <w:rsid w:val="006D6C29"/>
    <w:rsid w:val="006D70DD"/>
    <w:rsid w:val="006D7338"/>
    <w:rsid w:val="006D764A"/>
    <w:rsid w:val="006D7B85"/>
    <w:rsid w:val="006D7DB7"/>
    <w:rsid w:val="006D7E5D"/>
    <w:rsid w:val="006E0035"/>
    <w:rsid w:val="006E0343"/>
    <w:rsid w:val="006E0613"/>
    <w:rsid w:val="006E0AD9"/>
    <w:rsid w:val="006E0BAE"/>
    <w:rsid w:val="006E1208"/>
    <w:rsid w:val="006E16F4"/>
    <w:rsid w:val="006E176C"/>
    <w:rsid w:val="006E1C0E"/>
    <w:rsid w:val="006E1E91"/>
    <w:rsid w:val="006E2A0D"/>
    <w:rsid w:val="006E2A19"/>
    <w:rsid w:val="006E2D2A"/>
    <w:rsid w:val="006E3B35"/>
    <w:rsid w:val="006E3CC3"/>
    <w:rsid w:val="006E41F4"/>
    <w:rsid w:val="006E455E"/>
    <w:rsid w:val="006E4E8D"/>
    <w:rsid w:val="006E5600"/>
    <w:rsid w:val="006E5835"/>
    <w:rsid w:val="006E629C"/>
    <w:rsid w:val="006E63DF"/>
    <w:rsid w:val="006E65A5"/>
    <w:rsid w:val="006E668C"/>
    <w:rsid w:val="006E6AF2"/>
    <w:rsid w:val="006E7192"/>
    <w:rsid w:val="006E71E7"/>
    <w:rsid w:val="006E7231"/>
    <w:rsid w:val="006E72E6"/>
    <w:rsid w:val="006E74A6"/>
    <w:rsid w:val="006E7652"/>
    <w:rsid w:val="006E7692"/>
    <w:rsid w:val="006E7AF6"/>
    <w:rsid w:val="006E7F73"/>
    <w:rsid w:val="006F03DA"/>
    <w:rsid w:val="006F09F2"/>
    <w:rsid w:val="006F0A5A"/>
    <w:rsid w:val="006F0BFD"/>
    <w:rsid w:val="006F0EF1"/>
    <w:rsid w:val="006F1363"/>
    <w:rsid w:val="006F2321"/>
    <w:rsid w:val="006F2531"/>
    <w:rsid w:val="006F2E2D"/>
    <w:rsid w:val="006F362F"/>
    <w:rsid w:val="006F3F7D"/>
    <w:rsid w:val="006F4475"/>
    <w:rsid w:val="006F448D"/>
    <w:rsid w:val="006F48A7"/>
    <w:rsid w:val="006F4A64"/>
    <w:rsid w:val="006F4B82"/>
    <w:rsid w:val="006F56A6"/>
    <w:rsid w:val="006F5D4A"/>
    <w:rsid w:val="006F61E7"/>
    <w:rsid w:val="006F62BE"/>
    <w:rsid w:val="006F64CE"/>
    <w:rsid w:val="006F6FC3"/>
    <w:rsid w:val="006F70C8"/>
    <w:rsid w:val="006F742E"/>
    <w:rsid w:val="006F7A6D"/>
    <w:rsid w:val="006F7F2F"/>
    <w:rsid w:val="007001E6"/>
    <w:rsid w:val="00700372"/>
    <w:rsid w:val="00700461"/>
    <w:rsid w:val="007005F7"/>
    <w:rsid w:val="00700A27"/>
    <w:rsid w:val="00701204"/>
    <w:rsid w:val="0070141F"/>
    <w:rsid w:val="00701A50"/>
    <w:rsid w:val="00701B06"/>
    <w:rsid w:val="00702147"/>
    <w:rsid w:val="00702824"/>
    <w:rsid w:val="00702FDB"/>
    <w:rsid w:val="00703309"/>
    <w:rsid w:val="00703434"/>
    <w:rsid w:val="007035B1"/>
    <w:rsid w:val="007038BB"/>
    <w:rsid w:val="00703A54"/>
    <w:rsid w:val="0070402F"/>
    <w:rsid w:val="00704060"/>
    <w:rsid w:val="00704BE6"/>
    <w:rsid w:val="00704CC4"/>
    <w:rsid w:val="0070502D"/>
    <w:rsid w:val="0070508E"/>
    <w:rsid w:val="007056BB"/>
    <w:rsid w:val="00705B16"/>
    <w:rsid w:val="00705D57"/>
    <w:rsid w:val="007061ED"/>
    <w:rsid w:val="00706448"/>
    <w:rsid w:val="00706E8E"/>
    <w:rsid w:val="00707027"/>
    <w:rsid w:val="00707478"/>
    <w:rsid w:val="00707FED"/>
    <w:rsid w:val="0071019F"/>
    <w:rsid w:val="00710805"/>
    <w:rsid w:val="00710D37"/>
    <w:rsid w:val="00710E83"/>
    <w:rsid w:val="00710F47"/>
    <w:rsid w:val="00711413"/>
    <w:rsid w:val="007116EA"/>
    <w:rsid w:val="00712B43"/>
    <w:rsid w:val="00712FE9"/>
    <w:rsid w:val="0071362B"/>
    <w:rsid w:val="007138C9"/>
    <w:rsid w:val="00713B94"/>
    <w:rsid w:val="00713F07"/>
    <w:rsid w:val="00714029"/>
    <w:rsid w:val="0071405D"/>
    <w:rsid w:val="007143C1"/>
    <w:rsid w:val="0071461C"/>
    <w:rsid w:val="00714A83"/>
    <w:rsid w:val="00714F9F"/>
    <w:rsid w:val="0071502F"/>
    <w:rsid w:val="007157C3"/>
    <w:rsid w:val="00715D16"/>
    <w:rsid w:val="007161C5"/>
    <w:rsid w:val="0071657E"/>
    <w:rsid w:val="007169CD"/>
    <w:rsid w:val="007170AE"/>
    <w:rsid w:val="00717347"/>
    <w:rsid w:val="00717391"/>
    <w:rsid w:val="007174C4"/>
    <w:rsid w:val="0071774A"/>
    <w:rsid w:val="00717921"/>
    <w:rsid w:val="00717FA4"/>
    <w:rsid w:val="00720057"/>
    <w:rsid w:val="00720B49"/>
    <w:rsid w:val="00720B7A"/>
    <w:rsid w:val="00720F62"/>
    <w:rsid w:val="007213EB"/>
    <w:rsid w:val="007214FB"/>
    <w:rsid w:val="007218E2"/>
    <w:rsid w:val="007219E5"/>
    <w:rsid w:val="00721C12"/>
    <w:rsid w:val="007222D9"/>
    <w:rsid w:val="0072230B"/>
    <w:rsid w:val="007225D3"/>
    <w:rsid w:val="007228E1"/>
    <w:rsid w:val="00722B53"/>
    <w:rsid w:val="00722F06"/>
    <w:rsid w:val="0072367B"/>
    <w:rsid w:val="007237C3"/>
    <w:rsid w:val="0072429C"/>
    <w:rsid w:val="007242EE"/>
    <w:rsid w:val="0072492C"/>
    <w:rsid w:val="00724BB6"/>
    <w:rsid w:val="00725719"/>
    <w:rsid w:val="0072593A"/>
    <w:rsid w:val="00725B8B"/>
    <w:rsid w:val="007261F8"/>
    <w:rsid w:val="0072625B"/>
    <w:rsid w:val="00726455"/>
    <w:rsid w:val="00726D85"/>
    <w:rsid w:val="007270F4"/>
    <w:rsid w:val="007272A9"/>
    <w:rsid w:val="007272F0"/>
    <w:rsid w:val="00727FD2"/>
    <w:rsid w:val="007301C7"/>
    <w:rsid w:val="00730D74"/>
    <w:rsid w:val="00731B2B"/>
    <w:rsid w:val="00732119"/>
    <w:rsid w:val="0073260B"/>
    <w:rsid w:val="0073297F"/>
    <w:rsid w:val="00733805"/>
    <w:rsid w:val="00734275"/>
    <w:rsid w:val="007342DC"/>
    <w:rsid w:val="007343C9"/>
    <w:rsid w:val="00734411"/>
    <w:rsid w:val="00734521"/>
    <w:rsid w:val="007346EC"/>
    <w:rsid w:val="00734A63"/>
    <w:rsid w:val="00734DCB"/>
    <w:rsid w:val="00734DFC"/>
    <w:rsid w:val="00734EC7"/>
    <w:rsid w:val="00735117"/>
    <w:rsid w:val="00735C3F"/>
    <w:rsid w:val="00735ED0"/>
    <w:rsid w:val="00735F99"/>
    <w:rsid w:val="00736075"/>
    <w:rsid w:val="00736B7A"/>
    <w:rsid w:val="00736C07"/>
    <w:rsid w:val="00736E26"/>
    <w:rsid w:val="00736FB8"/>
    <w:rsid w:val="00736FE7"/>
    <w:rsid w:val="0073799D"/>
    <w:rsid w:val="00737DF1"/>
    <w:rsid w:val="00740156"/>
    <w:rsid w:val="0074053F"/>
    <w:rsid w:val="007405B0"/>
    <w:rsid w:val="00740C37"/>
    <w:rsid w:val="00740ECD"/>
    <w:rsid w:val="00740F10"/>
    <w:rsid w:val="00741082"/>
    <w:rsid w:val="0074187D"/>
    <w:rsid w:val="00741CE7"/>
    <w:rsid w:val="00741DC0"/>
    <w:rsid w:val="00742366"/>
    <w:rsid w:val="007423C9"/>
    <w:rsid w:val="0074240D"/>
    <w:rsid w:val="007424C8"/>
    <w:rsid w:val="007429CB"/>
    <w:rsid w:val="00742CD7"/>
    <w:rsid w:val="00744045"/>
    <w:rsid w:val="007441FA"/>
    <w:rsid w:val="00744484"/>
    <w:rsid w:val="00744A87"/>
    <w:rsid w:val="00744E47"/>
    <w:rsid w:val="007459F2"/>
    <w:rsid w:val="007461DF"/>
    <w:rsid w:val="00746493"/>
    <w:rsid w:val="00746586"/>
    <w:rsid w:val="00746807"/>
    <w:rsid w:val="00746C96"/>
    <w:rsid w:val="0074745E"/>
    <w:rsid w:val="00747EE5"/>
    <w:rsid w:val="007509DD"/>
    <w:rsid w:val="00751355"/>
    <w:rsid w:val="007518F4"/>
    <w:rsid w:val="00751DF3"/>
    <w:rsid w:val="0075248E"/>
    <w:rsid w:val="0075263C"/>
    <w:rsid w:val="0075268E"/>
    <w:rsid w:val="00752A70"/>
    <w:rsid w:val="00753071"/>
    <w:rsid w:val="00753F4F"/>
    <w:rsid w:val="00754DD5"/>
    <w:rsid w:val="00754EED"/>
    <w:rsid w:val="0075524A"/>
    <w:rsid w:val="007553DC"/>
    <w:rsid w:val="0075581D"/>
    <w:rsid w:val="00755B9E"/>
    <w:rsid w:val="007565AF"/>
    <w:rsid w:val="00756602"/>
    <w:rsid w:val="00756AD7"/>
    <w:rsid w:val="00756C19"/>
    <w:rsid w:val="00757105"/>
    <w:rsid w:val="0075763E"/>
    <w:rsid w:val="00757827"/>
    <w:rsid w:val="00757935"/>
    <w:rsid w:val="007579AD"/>
    <w:rsid w:val="00757FB8"/>
    <w:rsid w:val="00760B2B"/>
    <w:rsid w:val="00761266"/>
    <w:rsid w:val="007615C6"/>
    <w:rsid w:val="00761A66"/>
    <w:rsid w:val="0076232E"/>
    <w:rsid w:val="00762A59"/>
    <w:rsid w:val="00762B68"/>
    <w:rsid w:val="00762BB7"/>
    <w:rsid w:val="00762D27"/>
    <w:rsid w:val="00763474"/>
    <w:rsid w:val="007638F6"/>
    <w:rsid w:val="00764496"/>
    <w:rsid w:val="0076449F"/>
    <w:rsid w:val="007647CE"/>
    <w:rsid w:val="00764D74"/>
    <w:rsid w:val="00765261"/>
    <w:rsid w:val="0076598E"/>
    <w:rsid w:val="007659C8"/>
    <w:rsid w:val="00766184"/>
    <w:rsid w:val="007669F4"/>
    <w:rsid w:val="00766B55"/>
    <w:rsid w:val="00766E97"/>
    <w:rsid w:val="0076718D"/>
    <w:rsid w:val="00767826"/>
    <w:rsid w:val="00767B02"/>
    <w:rsid w:val="0077042E"/>
    <w:rsid w:val="0077089F"/>
    <w:rsid w:val="007709D3"/>
    <w:rsid w:val="0077198D"/>
    <w:rsid w:val="00771B05"/>
    <w:rsid w:val="00771D77"/>
    <w:rsid w:val="007722DE"/>
    <w:rsid w:val="00772987"/>
    <w:rsid w:val="007731DF"/>
    <w:rsid w:val="007733C9"/>
    <w:rsid w:val="00773596"/>
    <w:rsid w:val="007738A8"/>
    <w:rsid w:val="00773C10"/>
    <w:rsid w:val="00773E86"/>
    <w:rsid w:val="00773FFA"/>
    <w:rsid w:val="00774129"/>
    <w:rsid w:val="0077420B"/>
    <w:rsid w:val="0077483E"/>
    <w:rsid w:val="00775335"/>
    <w:rsid w:val="0077538F"/>
    <w:rsid w:val="00775AAE"/>
    <w:rsid w:val="00775B11"/>
    <w:rsid w:val="00775ECC"/>
    <w:rsid w:val="00776500"/>
    <w:rsid w:val="00776C75"/>
    <w:rsid w:val="007772FD"/>
    <w:rsid w:val="00777874"/>
    <w:rsid w:val="00777BFE"/>
    <w:rsid w:val="00777D66"/>
    <w:rsid w:val="00777E08"/>
    <w:rsid w:val="00780182"/>
    <w:rsid w:val="007802EC"/>
    <w:rsid w:val="0078046F"/>
    <w:rsid w:val="00781C81"/>
    <w:rsid w:val="00781CD6"/>
    <w:rsid w:val="007824AF"/>
    <w:rsid w:val="0078257B"/>
    <w:rsid w:val="00782B08"/>
    <w:rsid w:val="00782E02"/>
    <w:rsid w:val="007834AC"/>
    <w:rsid w:val="00783CCE"/>
    <w:rsid w:val="00783D75"/>
    <w:rsid w:val="00783E5D"/>
    <w:rsid w:val="00784103"/>
    <w:rsid w:val="007841CF"/>
    <w:rsid w:val="00784710"/>
    <w:rsid w:val="007849F1"/>
    <w:rsid w:val="00784C0A"/>
    <w:rsid w:val="00785BA0"/>
    <w:rsid w:val="00785C46"/>
    <w:rsid w:val="00785CEB"/>
    <w:rsid w:val="00785D1C"/>
    <w:rsid w:val="00785F47"/>
    <w:rsid w:val="00786C10"/>
    <w:rsid w:val="00786F79"/>
    <w:rsid w:val="00787257"/>
    <w:rsid w:val="00787339"/>
    <w:rsid w:val="007874FF"/>
    <w:rsid w:val="00787EB9"/>
    <w:rsid w:val="00790776"/>
    <w:rsid w:val="00790BC7"/>
    <w:rsid w:val="00790D70"/>
    <w:rsid w:val="007910C5"/>
    <w:rsid w:val="00791599"/>
    <w:rsid w:val="007921CD"/>
    <w:rsid w:val="00792EBB"/>
    <w:rsid w:val="0079330D"/>
    <w:rsid w:val="00793362"/>
    <w:rsid w:val="0079349D"/>
    <w:rsid w:val="00793B44"/>
    <w:rsid w:val="00793E59"/>
    <w:rsid w:val="0079404B"/>
    <w:rsid w:val="00794B40"/>
    <w:rsid w:val="00794C1C"/>
    <w:rsid w:val="007950FD"/>
    <w:rsid w:val="0079521E"/>
    <w:rsid w:val="0079546E"/>
    <w:rsid w:val="0079592F"/>
    <w:rsid w:val="00796443"/>
    <w:rsid w:val="00796636"/>
    <w:rsid w:val="007969C0"/>
    <w:rsid w:val="00796C4F"/>
    <w:rsid w:val="00796CD5"/>
    <w:rsid w:val="00796DFA"/>
    <w:rsid w:val="00796E26"/>
    <w:rsid w:val="00797359"/>
    <w:rsid w:val="007A03A1"/>
    <w:rsid w:val="007A03C2"/>
    <w:rsid w:val="007A03D4"/>
    <w:rsid w:val="007A0ADE"/>
    <w:rsid w:val="007A1079"/>
    <w:rsid w:val="007A10E2"/>
    <w:rsid w:val="007A11D4"/>
    <w:rsid w:val="007A12C7"/>
    <w:rsid w:val="007A1343"/>
    <w:rsid w:val="007A1429"/>
    <w:rsid w:val="007A146D"/>
    <w:rsid w:val="007A17B8"/>
    <w:rsid w:val="007A1AB9"/>
    <w:rsid w:val="007A1BB1"/>
    <w:rsid w:val="007A1C50"/>
    <w:rsid w:val="007A31DC"/>
    <w:rsid w:val="007A38A3"/>
    <w:rsid w:val="007A51EC"/>
    <w:rsid w:val="007A5355"/>
    <w:rsid w:val="007A5369"/>
    <w:rsid w:val="007A53FC"/>
    <w:rsid w:val="007A54BB"/>
    <w:rsid w:val="007A5DCF"/>
    <w:rsid w:val="007A63B1"/>
    <w:rsid w:val="007A6430"/>
    <w:rsid w:val="007A64BA"/>
    <w:rsid w:val="007A6C0E"/>
    <w:rsid w:val="007A6C77"/>
    <w:rsid w:val="007A7273"/>
    <w:rsid w:val="007A77EB"/>
    <w:rsid w:val="007A7A34"/>
    <w:rsid w:val="007A7E04"/>
    <w:rsid w:val="007B0309"/>
    <w:rsid w:val="007B0575"/>
    <w:rsid w:val="007B0D63"/>
    <w:rsid w:val="007B0F61"/>
    <w:rsid w:val="007B2308"/>
    <w:rsid w:val="007B2677"/>
    <w:rsid w:val="007B2D7C"/>
    <w:rsid w:val="007B2DC8"/>
    <w:rsid w:val="007B2FC0"/>
    <w:rsid w:val="007B38F7"/>
    <w:rsid w:val="007B3F69"/>
    <w:rsid w:val="007B420C"/>
    <w:rsid w:val="007B4274"/>
    <w:rsid w:val="007B45C2"/>
    <w:rsid w:val="007B479C"/>
    <w:rsid w:val="007B49CD"/>
    <w:rsid w:val="007B4F5D"/>
    <w:rsid w:val="007B5A95"/>
    <w:rsid w:val="007B5C02"/>
    <w:rsid w:val="007B5F7B"/>
    <w:rsid w:val="007B6C8B"/>
    <w:rsid w:val="007B7006"/>
    <w:rsid w:val="007B72C8"/>
    <w:rsid w:val="007B7462"/>
    <w:rsid w:val="007B76A5"/>
    <w:rsid w:val="007B76AB"/>
    <w:rsid w:val="007B7790"/>
    <w:rsid w:val="007B78C0"/>
    <w:rsid w:val="007C025F"/>
    <w:rsid w:val="007C063C"/>
    <w:rsid w:val="007C1180"/>
    <w:rsid w:val="007C11A7"/>
    <w:rsid w:val="007C14EC"/>
    <w:rsid w:val="007C1782"/>
    <w:rsid w:val="007C1806"/>
    <w:rsid w:val="007C1823"/>
    <w:rsid w:val="007C210D"/>
    <w:rsid w:val="007C2A01"/>
    <w:rsid w:val="007C2ABD"/>
    <w:rsid w:val="007C3661"/>
    <w:rsid w:val="007C3CAD"/>
    <w:rsid w:val="007C4491"/>
    <w:rsid w:val="007C4692"/>
    <w:rsid w:val="007C46A3"/>
    <w:rsid w:val="007C4829"/>
    <w:rsid w:val="007C4A90"/>
    <w:rsid w:val="007C4D1D"/>
    <w:rsid w:val="007C527B"/>
    <w:rsid w:val="007C529C"/>
    <w:rsid w:val="007C5DF8"/>
    <w:rsid w:val="007C61E7"/>
    <w:rsid w:val="007C694B"/>
    <w:rsid w:val="007C69DE"/>
    <w:rsid w:val="007C6A04"/>
    <w:rsid w:val="007C74DA"/>
    <w:rsid w:val="007C77EF"/>
    <w:rsid w:val="007C797B"/>
    <w:rsid w:val="007C7987"/>
    <w:rsid w:val="007C7A69"/>
    <w:rsid w:val="007C7AD3"/>
    <w:rsid w:val="007C7B37"/>
    <w:rsid w:val="007C7C9E"/>
    <w:rsid w:val="007D025A"/>
    <w:rsid w:val="007D034C"/>
    <w:rsid w:val="007D06F5"/>
    <w:rsid w:val="007D0720"/>
    <w:rsid w:val="007D080A"/>
    <w:rsid w:val="007D0D26"/>
    <w:rsid w:val="007D11B9"/>
    <w:rsid w:val="007D11D7"/>
    <w:rsid w:val="007D1775"/>
    <w:rsid w:val="007D1C03"/>
    <w:rsid w:val="007D210B"/>
    <w:rsid w:val="007D2352"/>
    <w:rsid w:val="007D23E6"/>
    <w:rsid w:val="007D2A5C"/>
    <w:rsid w:val="007D2A7D"/>
    <w:rsid w:val="007D3143"/>
    <w:rsid w:val="007D33E3"/>
    <w:rsid w:val="007D3690"/>
    <w:rsid w:val="007D3704"/>
    <w:rsid w:val="007D3B23"/>
    <w:rsid w:val="007D3D32"/>
    <w:rsid w:val="007D4268"/>
    <w:rsid w:val="007D4328"/>
    <w:rsid w:val="007D4556"/>
    <w:rsid w:val="007D46A8"/>
    <w:rsid w:val="007D50E8"/>
    <w:rsid w:val="007D5291"/>
    <w:rsid w:val="007D592B"/>
    <w:rsid w:val="007D5AA6"/>
    <w:rsid w:val="007D5C73"/>
    <w:rsid w:val="007D753D"/>
    <w:rsid w:val="007D785A"/>
    <w:rsid w:val="007D7A91"/>
    <w:rsid w:val="007E0413"/>
    <w:rsid w:val="007E0A9F"/>
    <w:rsid w:val="007E0E94"/>
    <w:rsid w:val="007E0FBF"/>
    <w:rsid w:val="007E1130"/>
    <w:rsid w:val="007E11F3"/>
    <w:rsid w:val="007E1CE5"/>
    <w:rsid w:val="007E1E72"/>
    <w:rsid w:val="007E2099"/>
    <w:rsid w:val="007E2183"/>
    <w:rsid w:val="007E24D9"/>
    <w:rsid w:val="007E251F"/>
    <w:rsid w:val="007E25D2"/>
    <w:rsid w:val="007E2649"/>
    <w:rsid w:val="007E282E"/>
    <w:rsid w:val="007E29C1"/>
    <w:rsid w:val="007E2AA7"/>
    <w:rsid w:val="007E3267"/>
    <w:rsid w:val="007E3931"/>
    <w:rsid w:val="007E3A2F"/>
    <w:rsid w:val="007E3C13"/>
    <w:rsid w:val="007E4507"/>
    <w:rsid w:val="007E459A"/>
    <w:rsid w:val="007E473A"/>
    <w:rsid w:val="007E53FF"/>
    <w:rsid w:val="007E5475"/>
    <w:rsid w:val="007E5560"/>
    <w:rsid w:val="007E55D5"/>
    <w:rsid w:val="007E5677"/>
    <w:rsid w:val="007E592E"/>
    <w:rsid w:val="007E5CB0"/>
    <w:rsid w:val="007E6456"/>
    <w:rsid w:val="007E64D1"/>
    <w:rsid w:val="007E661C"/>
    <w:rsid w:val="007E6942"/>
    <w:rsid w:val="007E6A25"/>
    <w:rsid w:val="007E6AD9"/>
    <w:rsid w:val="007E6DC6"/>
    <w:rsid w:val="007E6F78"/>
    <w:rsid w:val="007E70CF"/>
    <w:rsid w:val="007E7A74"/>
    <w:rsid w:val="007F0745"/>
    <w:rsid w:val="007F09B6"/>
    <w:rsid w:val="007F0A38"/>
    <w:rsid w:val="007F114C"/>
    <w:rsid w:val="007F1265"/>
    <w:rsid w:val="007F1A7A"/>
    <w:rsid w:val="007F1D2F"/>
    <w:rsid w:val="007F1F9A"/>
    <w:rsid w:val="007F25CE"/>
    <w:rsid w:val="007F2997"/>
    <w:rsid w:val="007F3140"/>
    <w:rsid w:val="007F3804"/>
    <w:rsid w:val="007F4320"/>
    <w:rsid w:val="007F4403"/>
    <w:rsid w:val="007F4457"/>
    <w:rsid w:val="007F4AFE"/>
    <w:rsid w:val="007F50BF"/>
    <w:rsid w:val="007F52D5"/>
    <w:rsid w:val="007F57FF"/>
    <w:rsid w:val="007F5B53"/>
    <w:rsid w:val="007F5C29"/>
    <w:rsid w:val="007F5D93"/>
    <w:rsid w:val="007F5E2E"/>
    <w:rsid w:val="007F5F7B"/>
    <w:rsid w:val="007F6127"/>
    <w:rsid w:val="007F61D5"/>
    <w:rsid w:val="007F67D0"/>
    <w:rsid w:val="007F6C2E"/>
    <w:rsid w:val="007F6E16"/>
    <w:rsid w:val="007F7D39"/>
    <w:rsid w:val="00800FA9"/>
    <w:rsid w:val="008010A4"/>
    <w:rsid w:val="008010E2"/>
    <w:rsid w:val="008011D8"/>
    <w:rsid w:val="0080143A"/>
    <w:rsid w:val="008015D3"/>
    <w:rsid w:val="00801A95"/>
    <w:rsid w:val="00801DCA"/>
    <w:rsid w:val="0080224A"/>
    <w:rsid w:val="00802730"/>
    <w:rsid w:val="0080285F"/>
    <w:rsid w:val="008029AF"/>
    <w:rsid w:val="00802A0D"/>
    <w:rsid w:val="00802CFF"/>
    <w:rsid w:val="008034B9"/>
    <w:rsid w:val="00803DA0"/>
    <w:rsid w:val="00803FB0"/>
    <w:rsid w:val="008042AC"/>
    <w:rsid w:val="00804709"/>
    <w:rsid w:val="0080484F"/>
    <w:rsid w:val="00804B98"/>
    <w:rsid w:val="00804D7F"/>
    <w:rsid w:val="00804EFD"/>
    <w:rsid w:val="0080500A"/>
    <w:rsid w:val="00806488"/>
    <w:rsid w:val="008073E7"/>
    <w:rsid w:val="00807434"/>
    <w:rsid w:val="00807832"/>
    <w:rsid w:val="00810374"/>
    <w:rsid w:val="008103DB"/>
    <w:rsid w:val="008108D0"/>
    <w:rsid w:val="0081095C"/>
    <w:rsid w:val="00810C61"/>
    <w:rsid w:val="00810E2C"/>
    <w:rsid w:val="00811163"/>
    <w:rsid w:val="00811943"/>
    <w:rsid w:val="00811E6C"/>
    <w:rsid w:val="008123C5"/>
    <w:rsid w:val="00812500"/>
    <w:rsid w:val="0081276D"/>
    <w:rsid w:val="00812E1B"/>
    <w:rsid w:val="00812EEE"/>
    <w:rsid w:val="00813144"/>
    <w:rsid w:val="00813A53"/>
    <w:rsid w:val="00813BD2"/>
    <w:rsid w:val="00813FFA"/>
    <w:rsid w:val="008143F6"/>
    <w:rsid w:val="008145C4"/>
    <w:rsid w:val="00814961"/>
    <w:rsid w:val="00814CAD"/>
    <w:rsid w:val="0081526E"/>
    <w:rsid w:val="0081568E"/>
    <w:rsid w:val="00816258"/>
    <w:rsid w:val="00816578"/>
    <w:rsid w:val="0081678B"/>
    <w:rsid w:val="00816B87"/>
    <w:rsid w:val="008173B9"/>
    <w:rsid w:val="008179F3"/>
    <w:rsid w:val="00817AF2"/>
    <w:rsid w:val="008204B2"/>
    <w:rsid w:val="008204F7"/>
    <w:rsid w:val="00820BD1"/>
    <w:rsid w:val="00820DC4"/>
    <w:rsid w:val="00820ECC"/>
    <w:rsid w:val="00821BF1"/>
    <w:rsid w:val="00821C6E"/>
    <w:rsid w:val="0082228C"/>
    <w:rsid w:val="0082242A"/>
    <w:rsid w:val="0082255A"/>
    <w:rsid w:val="008226E9"/>
    <w:rsid w:val="008227E9"/>
    <w:rsid w:val="00823100"/>
    <w:rsid w:val="0082319C"/>
    <w:rsid w:val="00823A98"/>
    <w:rsid w:val="0082473A"/>
    <w:rsid w:val="00824850"/>
    <w:rsid w:val="00824855"/>
    <w:rsid w:val="00824FC2"/>
    <w:rsid w:val="008255FD"/>
    <w:rsid w:val="0082574A"/>
    <w:rsid w:val="0082613A"/>
    <w:rsid w:val="00826D39"/>
    <w:rsid w:val="00827989"/>
    <w:rsid w:val="00827E7D"/>
    <w:rsid w:val="00830241"/>
    <w:rsid w:val="00830FC6"/>
    <w:rsid w:val="008311B8"/>
    <w:rsid w:val="008313B1"/>
    <w:rsid w:val="00831ED6"/>
    <w:rsid w:val="00832043"/>
    <w:rsid w:val="008328D4"/>
    <w:rsid w:val="00833B02"/>
    <w:rsid w:val="00833D58"/>
    <w:rsid w:val="00833DCE"/>
    <w:rsid w:val="00833DFC"/>
    <w:rsid w:val="00834027"/>
    <w:rsid w:val="00834243"/>
    <w:rsid w:val="00834438"/>
    <w:rsid w:val="0083476F"/>
    <w:rsid w:val="00834C96"/>
    <w:rsid w:val="00834D01"/>
    <w:rsid w:val="00834D3B"/>
    <w:rsid w:val="008352F8"/>
    <w:rsid w:val="008354E6"/>
    <w:rsid w:val="008365EC"/>
    <w:rsid w:val="00836685"/>
    <w:rsid w:val="00836D2A"/>
    <w:rsid w:val="0083730B"/>
    <w:rsid w:val="008374C4"/>
    <w:rsid w:val="00837500"/>
    <w:rsid w:val="00837553"/>
    <w:rsid w:val="008376B9"/>
    <w:rsid w:val="00837E77"/>
    <w:rsid w:val="008400D7"/>
    <w:rsid w:val="008400FA"/>
    <w:rsid w:val="0084087A"/>
    <w:rsid w:val="0084115A"/>
    <w:rsid w:val="008415CD"/>
    <w:rsid w:val="008416D4"/>
    <w:rsid w:val="0084180D"/>
    <w:rsid w:val="00842AB0"/>
    <w:rsid w:val="00843E8E"/>
    <w:rsid w:val="008441B8"/>
    <w:rsid w:val="00844290"/>
    <w:rsid w:val="00844604"/>
    <w:rsid w:val="00844EE6"/>
    <w:rsid w:val="00844F95"/>
    <w:rsid w:val="0084518D"/>
    <w:rsid w:val="008452EB"/>
    <w:rsid w:val="0084579B"/>
    <w:rsid w:val="008457D0"/>
    <w:rsid w:val="008457D3"/>
    <w:rsid w:val="008457F6"/>
    <w:rsid w:val="00845B08"/>
    <w:rsid w:val="00845D1C"/>
    <w:rsid w:val="008461DE"/>
    <w:rsid w:val="008468BD"/>
    <w:rsid w:val="008471EE"/>
    <w:rsid w:val="008472D7"/>
    <w:rsid w:val="00847390"/>
    <w:rsid w:val="00847907"/>
    <w:rsid w:val="00847AF0"/>
    <w:rsid w:val="00847DC3"/>
    <w:rsid w:val="008505E1"/>
    <w:rsid w:val="0085094F"/>
    <w:rsid w:val="00851446"/>
    <w:rsid w:val="0085160B"/>
    <w:rsid w:val="00851C71"/>
    <w:rsid w:val="00852293"/>
    <w:rsid w:val="00852314"/>
    <w:rsid w:val="008531B5"/>
    <w:rsid w:val="008537EF"/>
    <w:rsid w:val="0085411A"/>
    <w:rsid w:val="00854283"/>
    <w:rsid w:val="0085476F"/>
    <w:rsid w:val="00854782"/>
    <w:rsid w:val="00854E41"/>
    <w:rsid w:val="008551D0"/>
    <w:rsid w:val="008552ED"/>
    <w:rsid w:val="00855398"/>
    <w:rsid w:val="00855608"/>
    <w:rsid w:val="00855CE1"/>
    <w:rsid w:val="00855DE8"/>
    <w:rsid w:val="00855F6C"/>
    <w:rsid w:val="00856AD8"/>
    <w:rsid w:val="008573EA"/>
    <w:rsid w:val="00857798"/>
    <w:rsid w:val="00857969"/>
    <w:rsid w:val="0085799E"/>
    <w:rsid w:val="008579C6"/>
    <w:rsid w:val="00860274"/>
    <w:rsid w:val="008606A5"/>
    <w:rsid w:val="00860712"/>
    <w:rsid w:val="00860902"/>
    <w:rsid w:val="00860E9C"/>
    <w:rsid w:val="0086172A"/>
    <w:rsid w:val="0086193B"/>
    <w:rsid w:val="00861A7D"/>
    <w:rsid w:val="00861C3A"/>
    <w:rsid w:val="00861C65"/>
    <w:rsid w:val="00861F87"/>
    <w:rsid w:val="00862186"/>
    <w:rsid w:val="00862289"/>
    <w:rsid w:val="008625DC"/>
    <w:rsid w:val="008627D9"/>
    <w:rsid w:val="00863433"/>
    <w:rsid w:val="00863693"/>
    <w:rsid w:val="008639B4"/>
    <w:rsid w:val="00864111"/>
    <w:rsid w:val="0086512D"/>
    <w:rsid w:val="0086596D"/>
    <w:rsid w:val="00865A72"/>
    <w:rsid w:val="008663DC"/>
    <w:rsid w:val="0086659D"/>
    <w:rsid w:val="00866742"/>
    <w:rsid w:val="00866811"/>
    <w:rsid w:val="00866DBB"/>
    <w:rsid w:val="008671CA"/>
    <w:rsid w:val="00867657"/>
    <w:rsid w:val="00867B61"/>
    <w:rsid w:val="0087026F"/>
    <w:rsid w:val="008709A3"/>
    <w:rsid w:val="0087128A"/>
    <w:rsid w:val="0087156F"/>
    <w:rsid w:val="00871683"/>
    <w:rsid w:val="00871A33"/>
    <w:rsid w:val="00871A5A"/>
    <w:rsid w:val="00871D9D"/>
    <w:rsid w:val="00872130"/>
    <w:rsid w:val="00872166"/>
    <w:rsid w:val="008721FD"/>
    <w:rsid w:val="008724EF"/>
    <w:rsid w:val="00872559"/>
    <w:rsid w:val="008728CD"/>
    <w:rsid w:val="00872A81"/>
    <w:rsid w:val="008734C2"/>
    <w:rsid w:val="00873612"/>
    <w:rsid w:val="00873900"/>
    <w:rsid w:val="00874150"/>
    <w:rsid w:val="00874646"/>
    <w:rsid w:val="00874938"/>
    <w:rsid w:val="00874A4E"/>
    <w:rsid w:val="008754BF"/>
    <w:rsid w:val="00875617"/>
    <w:rsid w:val="008757CA"/>
    <w:rsid w:val="00875B32"/>
    <w:rsid w:val="00876334"/>
    <w:rsid w:val="0087644A"/>
    <w:rsid w:val="0087649F"/>
    <w:rsid w:val="00876CC9"/>
    <w:rsid w:val="0087709D"/>
    <w:rsid w:val="00877137"/>
    <w:rsid w:val="008773A0"/>
    <w:rsid w:val="0087773A"/>
    <w:rsid w:val="008803CE"/>
    <w:rsid w:val="00880909"/>
    <w:rsid w:val="008809BD"/>
    <w:rsid w:val="0088102E"/>
    <w:rsid w:val="008815B9"/>
    <w:rsid w:val="0088186D"/>
    <w:rsid w:val="008822D1"/>
    <w:rsid w:val="00882A4E"/>
    <w:rsid w:val="00882A9E"/>
    <w:rsid w:val="00882B61"/>
    <w:rsid w:val="00882CC4"/>
    <w:rsid w:val="00882D71"/>
    <w:rsid w:val="00882E6D"/>
    <w:rsid w:val="00883112"/>
    <w:rsid w:val="00883A10"/>
    <w:rsid w:val="00883A33"/>
    <w:rsid w:val="00883BCC"/>
    <w:rsid w:val="008844AC"/>
    <w:rsid w:val="00884B5E"/>
    <w:rsid w:val="00885D0D"/>
    <w:rsid w:val="00886163"/>
    <w:rsid w:val="008866B1"/>
    <w:rsid w:val="008869E4"/>
    <w:rsid w:val="0088706D"/>
    <w:rsid w:val="00887506"/>
    <w:rsid w:val="00887D93"/>
    <w:rsid w:val="00890142"/>
    <w:rsid w:val="00890160"/>
    <w:rsid w:val="00890B9A"/>
    <w:rsid w:val="00891591"/>
    <w:rsid w:val="008915B6"/>
    <w:rsid w:val="008915BC"/>
    <w:rsid w:val="00891E01"/>
    <w:rsid w:val="00891FAB"/>
    <w:rsid w:val="00892114"/>
    <w:rsid w:val="00892305"/>
    <w:rsid w:val="008928AC"/>
    <w:rsid w:val="008931D0"/>
    <w:rsid w:val="008933D2"/>
    <w:rsid w:val="008934E6"/>
    <w:rsid w:val="00893796"/>
    <w:rsid w:val="00893829"/>
    <w:rsid w:val="008939F4"/>
    <w:rsid w:val="008949E4"/>
    <w:rsid w:val="00894A10"/>
    <w:rsid w:val="00894B53"/>
    <w:rsid w:val="008958F7"/>
    <w:rsid w:val="00896137"/>
    <w:rsid w:val="008963CD"/>
    <w:rsid w:val="008963EC"/>
    <w:rsid w:val="008967B7"/>
    <w:rsid w:val="00896A65"/>
    <w:rsid w:val="00896BD6"/>
    <w:rsid w:val="00896E35"/>
    <w:rsid w:val="008970CF"/>
    <w:rsid w:val="0089722D"/>
    <w:rsid w:val="00897F46"/>
    <w:rsid w:val="008A0051"/>
    <w:rsid w:val="008A07DA"/>
    <w:rsid w:val="008A09EA"/>
    <w:rsid w:val="008A0CEB"/>
    <w:rsid w:val="008A0F66"/>
    <w:rsid w:val="008A0FE1"/>
    <w:rsid w:val="008A21EF"/>
    <w:rsid w:val="008A287F"/>
    <w:rsid w:val="008A2AB7"/>
    <w:rsid w:val="008A32B5"/>
    <w:rsid w:val="008A360D"/>
    <w:rsid w:val="008A3F8D"/>
    <w:rsid w:val="008A44D5"/>
    <w:rsid w:val="008A4D5A"/>
    <w:rsid w:val="008A5877"/>
    <w:rsid w:val="008A5B6A"/>
    <w:rsid w:val="008A619F"/>
    <w:rsid w:val="008A63B0"/>
    <w:rsid w:val="008A6590"/>
    <w:rsid w:val="008A68E0"/>
    <w:rsid w:val="008A6D2C"/>
    <w:rsid w:val="008A6D7B"/>
    <w:rsid w:val="008A6DAC"/>
    <w:rsid w:val="008A7400"/>
    <w:rsid w:val="008A7865"/>
    <w:rsid w:val="008A7C98"/>
    <w:rsid w:val="008B0310"/>
    <w:rsid w:val="008B096C"/>
    <w:rsid w:val="008B0A30"/>
    <w:rsid w:val="008B0C5B"/>
    <w:rsid w:val="008B0D80"/>
    <w:rsid w:val="008B1156"/>
    <w:rsid w:val="008B1163"/>
    <w:rsid w:val="008B11D6"/>
    <w:rsid w:val="008B16FE"/>
    <w:rsid w:val="008B1BCE"/>
    <w:rsid w:val="008B1E4A"/>
    <w:rsid w:val="008B1F8E"/>
    <w:rsid w:val="008B2124"/>
    <w:rsid w:val="008B23DA"/>
    <w:rsid w:val="008B2FAD"/>
    <w:rsid w:val="008B332B"/>
    <w:rsid w:val="008B35B3"/>
    <w:rsid w:val="008B3933"/>
    <w:rsid w:val="008B3A66"/>
    <w:rsid w:val="008B3CDD"/>
    <w:rsid w:val="008B3F60"/>
    <w:rsid w:val="008B41BA"/>
    <w:rsid w:val="008B4763"/>
    <w:rsid w:val="008B47E9"/>
    <w:rsid w:val="008B4B1E"/>
    <w:rsid w:val="008B5492"/>
    <w:rsid w:val="008B5FE8"/>
    <w:rsid w:val="008B68D4"/>
    <w:rsid w:val="008B6C9B"/>
    <w:rsid w:val="008B7A35"/>
    <w:rsid w:val="008B7FD8"/>
    <w:rsid w:val="008C00B7"/>
    <w:rsid w:val="008C023C"/>
    <w:rsid w:val="008C034A"/>
    <w:rsid w:val="008C0950"/>
    <w:rsid w:val="008C12AA"/>
    <w:rsid w:val="008C1519"/>
    <w:rsid w:val="008C1B51"/>
    <w:rsid w:val="008C1BD2"/>
    <w:rsid w:val="008C25C1"/>
    <w:rsid w:val="008C267C"/>
    <w:rsid w:val="008C2872"/>
    <w:rsid w:val="008C2C15"/>
    <w:rsid w:val="008C2E96"/>
    <w:rsid w:val="008C3283"/>
    <w:rsid w:val="008C3BEB"/>
    <w:rsid w:val="008C3CCA"/>
    <w:rsid w:val="008C3E4C"/>
    <w:rsid w:val="008C460C"/>
    <w:rsid w:val="008C4C2E"/>
    <w:rsid w:val="008C509D"/>
    <w:rsid w:val="008C55C7"/>
    <w:rsid w:val="008C56AB"/>
    <w:rsid w:val="008C5C43"/>
    <w:rsid w:val="008C5CE8"/>
    <w:rsid w:val="008C5DD6"/>
    <w:rsid w:val="008C625B"/>
    <w:rsid w:val="008C648C"/>
    <w:rsid w:val="008C64F3"/>
    <w:rsid w:val="008C6841"/>
    <w:rsid w:val="008C6A6E"/>
    <w:rsid w:val="008C6D6F"/>
    <w:rsid w:val="008C72FA"/>
    <w:rsid w:val="008C77B8"/>
    <w:rsid w:val="008C7884"/>
    <w:rsid w:val="008C7DD4"/>
    <w:rsid w:val="008C7F71"/>
    <w:rsid w:val="008D0D0B"/>
    <w:rsid w:val="008D0F15"/>
    <w:rsid w:val="008D15EB"/>
    <w:rsid w:val="008D15F4"/>
    <w:rsid w:val="008D1803"/>
    <w:rsid w:val="008D1F6E"/>
    <w:rsid w:val="008D2529"/>
    <w:rsid w:val="008D2A8E"/>
    <w:rsid w:val="008D2BFD"/>
    <w:rsid w:val="008D339F"/>
    <w:rsid w:val="008D3613"/>
    <w:rsid w:val="008D3898"/>
    <w:rsid w:val="008D398A"/>
    <w:rsid w:val="008D3BB4"/>
    <w:rsid w:val="008D45C3"/>
    <w:rsid w:val="008D4C97"/>
    <w:rsid w:val="008D4D3F"/>
    <w:rsid w:val="008D4FBB"/>
    <w:rsid w:val="008D525E"/>
    <w:rsid w:val="008D5410"/>
    <w:rsid w:val="008D5AA0"/>
    <w:rsid w:val="008D5E5C"/>
    <w:rsid w:val="008D6345"/>
    <w:rsid w:val="008D6909"/>
    <w:rsid w:val="008D7251"/>
    <w:rsid w:val="008D7412"/>
    <w:rsid w:val="008D744C"/>
    <w:rsid w:val="008D7CBA"/>
    <w:rsid w:val="008E0439"/>
    <w:rsid w:val="008E05ED"/>
    <w:rsid w:val="008E0D96"/>
    <w:rsid w:val="008E10F5"/>
    <w:rsid w:val="008E12CA"/>
    <w:rsid w:val="008E156F"/>
    <w:rsid w:val="008E1D9F"/>
    <w:rsid w:val="008E2025"/>
    <w:rsid w:val="008E23C0"/>
    <w:rsid w:val="008E2454"/>
    <w:rsid w:val="008E245B"/>
    <w:rsid w:val="008E259F"/>
    <w:rsid w:val="008E294D"/>
    <w:rsid w:val="008E368E"/>
    <w:rsid w:val="008E37FF"/>
    <w:rsid w:val="008E3E40"/>
    <w:rsid w:val="008E455A"/>
    <w:rsid w:val="008E4AC7"/>
    <w:rsid w:val="008E4F9B"/>
    <w:rsid w:val="008E5986"/>
    <w:rsid w:val="008E5CCE"/>
    <w:rsid w:val="008E61F3"/>
    <w:rsid w:val="008E6292"/>
    <w:rsid w:val="008E6308"/>
    <w:rsid w:val="008E64F5"/>
    <w:rsid w:val="008E71AE"/>
    <w:rsid w:val="008E7B53"/>
    <w:rsid w:val="008F04C0"/>
    <w:rsid w:val="008F06CA"/>
    <w:rsid w:val="008F0D08"/>
    <w:rsid w:val="008F112C"/>
    <w:rsid w:val="008F11F9"/>
    <w:rsid w:val="008F124E"/>
    <w:rsid w:val="008F165B"/>
    <w:rsid w:val="008F1787"/>
    <w:rsid w:val="008F1C21"/>
    <w:rsid w:val="008F1C98"/>
    <w:rsid w:val="008F1E68"/>
    <w:rsid w:val="008F1EC6"/>
    <w:rsid w:val="008F23EB"/>
    <w:rsid w:val="008F26B2"/>
    <w:rsid w:val="008F2CB1"/>
    <w:rsid w:val="008F3D81"/>
    <w:rsid w:val="008F4006"/>
    <w:rsid w:val="008F4A76"/>
    <w:rsid w:val="008F4AF0"/>
    <w:rsid w:val="008F4DFC"/>
    <w:rsid w:val="008F508C"/>
    <w:rsid w:val="008F5445"/>
    <w:rsid w:val="008F5792"/>
    <w:rsid w:val="008F5920"/>
    <w:rsid w:val="008F5E7B"/>
    <w:rsid w:val="008F5F01"/>
    <w:rsid w:val="008F5FBB"/>
    <w:rsid w:val="008F6259"/>
    <w:rsid w:val="008F69D9"/>
    <w:rsid w:val="008F69E9"/>
    <w:rsid w:val="008F6C05"/>
    <w:rsid w:val="008F6F84"/>
    <w:rsid w:val="009011C2"/>
    <w:rsid w:val="009012D5"/>
    <w:rsid w:val="0090136D"/>
    <w:rsid w:val="00901389"/>
    <w:rsid w:val="0090184B"/>
    <w:rsid w:val="00901AA7"/>
    <w:rsid w:val="00901BC5"/>
    <w:rsid w:val="00901C2B"/>
    <w:rsid w:val="00901D40"/>
    <w:rsid w:val="009024B0"/>
    <w:rsid w:val="00902A68"/>
    <w:rsid w:val="009031E3"/>
    <w:rsid w:val="0090357C"/>
    <w:rsid w:val="00903637"/>
    <w:rsid w:val="00903B5F"/>
    <w:rsid w:val="00903B7A"/>
    <w:rsid w:val="00903BFA"/>
    <w:rsid w:val="00903F0C"/>
    <w:rsid w:val="00904AA8"/>
    <w:rsid w:val="00905359"/>
    <w:rsid w:val="00905634"/>
    <w:rsid w:val="00905B2F"/>
    <w:rsid w:val="00905C9E"/>
    <w:rsid w:val="0090636A"/>
    <w:rsid w:val="009068CB"/>
    <w:rsid w:val="00906E61"/>
    <w:rsid w:val="00907168"/>
    <w:rsid w:val="009072A9"/>
    <w:rsid w:val="00907493"/>
    <w:rsid w:val="009074D2"/>
    <w:rsid w:val="009079AC"/>
    <w:rsid w:val="00907D9C"/>
    <w:rsid w:val="00907E5D"/>
    <w:rsid w:val="00910053"/>
    <w:rsid w:val="009104E0"/>
    <w:rsid w:val="00910C01"/>
    <w:rsid w:val="009110AA"/>
    <w:rsid w:val="00911591"/>
    <w:rsid w:val="009116E4"/>
    <w:rsid w:val="0091175F"/>
    <w:rsid w:val="00911E8B"/>
    <w:rsid w:val="00912131"/>
    <w:rsid w:val="00912547"/>
    <w:rsid w:val="009127C0"/>
    <w:rsid w:val="00912EA9"/>
    <w:rsid w:val="00913999"/>
    <w:rsid w:val="00913BF7"/>
    <w:rsid w:val="00913F4E"/>
    <w:rsid w:val="00913FB9"/>
    <w:rsid w:val="0091406A"/>
    <w:rsid w:val="00914190"/>
    <w:rsid w:val="009144BE"/>
    <w:rsid w:val="009147A9"/>
    <w:rsid w:val="0091488C"/>
    <w:rsid w:val="00915121"/>
    <w:rsid w:val="00915798"/>
    <w:rsid w:val="00915955"/>
    <w:rsid w:val="00915B3B"/>
    <w:rsid w:val="009165E2"/>
    <w:rsid w:val="00917127"/>
    <w:rsid w:val="009174F2"/>
    <w:rsid w:val="00917DE2"/>
    <w:rsid w:val="00917E28"/>
    <w:rsid w:val="009201C1"/>
    <w:rsid w:val="00920686"/>
    <w:rsid w:val="00920CFF"/>
    <w:rsid w:val="00921403"/>
    <w:rsid w:val="009219FE"/>
    <w:rsid w:val="009224AA"/>
    <w:rsid w:val="00922551"/>
    <w:rsid w:val="00922722"/>
    <w:rsid w:val="009230A1"/>
    <w:rsid w:val="009234C8"/>
    <w:rsid w:val="009235BD"/>
    <w:rsid w:val="00923704"/>
    <w:rsid w:val="00923815"/>
    <w:rsid w:val="00923B6F"/>
    <w:rsid w:val="00923F37"/>
    <w:rsid w:val="00924505"/>
    <w:rsid w:val="00924C28"/>
    <w:rsid w:val="00924CA7"/>
    <w:rsid w:val="00924D3B"/>
    <w:rsid w:val="0092570C"/>
    <w:rsid w:val="00925AA5"/>
    <w:rsid w:val="00925CB8"/>
    <w:rsid w:val="00925E5B"/>
    <w:rsid w:val="00926032"/>
    <w:rsid w:val="00926855"/>
    <w:rsid w:val="00926EE4"/>
    <w:rsid w:val="00927299"/>
    <w:rsid w:val="00927335"/>
    <w:rsid w:val="00927A7D"/>
    <w:rsid w:val="00927C01"/>
    <w:rsid w:val="00930264"/>
    <w:rsid w:val="00930533"/>
    <w:rsid w:val="00930A53"/>
    <w:rsid w:val="009311E1"/>
    <w:rsid w:val="00931778"/>
    <w:rsid w:val="009318A1"/>
    <w:rsid w:val="00931BC4"/>
    <w:rsid w:val="00932235"/>
    <w:rsid w:val="00932301"/>
    <w:rsid w:val="009324A0"/>
    <w:rsid w:val="009328F3"/>
    <w:rsid w:val="00932C22"/>
    <w:rsid w:val="00932CDA"/>
    <w:rsid w:val="00932F28"/>
    <w:rsid w:val="00933036"/>
    <w:rsid w:val="009335CD"/>
    <w:rsid w:val="00933BCA"/>
    <w:rsid w:val="0093422E"/>
    <w:rsid w:val="00934524"/>
    <w:rsid w:val="00934707"/>
    <w:rsid w:val="00934A4B"/>
    <w:rsid w:val="00934DD0"/>
    <w:rsid w:val="00935223"/>
    <w:rsid w:val="0093540D"/>
    <w:rsid w:val="009356B5"/>
    <w:rsid w:val="009358B8"/>
    <w:rsid w:val="00936050"/>
    <w:rsid w:val="00937445"/>
    <w:rsid w:val="0094019D"/>
    <w:rsid w:val="0094055B"/>
    <w:rsid w:val="00940A65"/>
    <w:rsid w:val="00940B38"/>
    <w:rsid w:val="00940D4C"/>
    <w:rsid w:val="00940DB5"/>
    <w:rsid w:val="0094133A"/>
    <w:rsid w:val="00941907"/>
    <w:rsid w:val="009419FC"/>
    <w:rsid w:val="00942037"/>
    <w:rsid w:val="009426E0"/>
    <w:rsid w:val="00942C11"/>
    <w:rsid w:val="00942FD3"/>
    <w:rsid w:val="00943144"/>
    <w:rsid w:val="0094315C"/>
    <w:rsid w:val="0094351F"/>
    <w:rsid w:val="009435AF"/>
    <w:rsid w:val="00943AF8"/>
    <w:rsid w:val="00943C1C"/>
    <w:rsid w:val="00944014"/>
    <w:rsid w:val="009442BB"/>
    <w:rsid w:val="009443CF"/>
    <w:rsid w:val="009452DA"/>
    <w:rsid w:val="00945B46"/>
    <w:rsid w:val="00945C10"/>
    <w:rsid w:val="00945D49"/>
    <w:rsid w:val="0094609E"/>
    <w:rsid w:val="00946A96"/>
    <w:rsid w:val="00947125"/>
    <w:rsid w:val="00947F13"/>
    <w:rsid w:val="00950752"/>
    <w:rsid w:val="009507E0"/>
    <w:rsid w:val="00950943"/>
    <w:rsid w:val="00950DE9"/>
    <w:rsid w:val="00951287"/>
    <w:rsid w:val="00951308"/>
    <w:rsid w:val="009513A4"/>
    <w:rsid w:val="00951403"/>
    <w:rsid w:val="00951694"/>
    <w:rsid w:val="00951774"/>
    <w:rsid w:val="009520FA"/>
    <w:rsid w:val="009526AA"/>
    <w:rsid w:val="00952CCC"/>
    <w:rsid w:val="00953641"/>
    <w:rsid w:val="00953853"/>
    <w:rsid w:val="0095387C"/>
    <w:rsid w:val="00953A24"/>
    <w:rsid w:val="009547F8"/>
    <w:rsid w:val="00954822"/>
    <w:rsid w:val="009550D5"/>
    <w:rsid w:val="009559F3"/>
    <w:rsid w:val="00955ADE"/>
    <w:rsid w:val="0095636D"/>
    <w:rsid w:val="00956476"/>
    <w:rsid w:val="009565DB"/>
    <w:rsid w:val="0095675D"/>
    <w:rsid w:val="0095688A"/>
    <w:rsid w:val="009573D9"/>
    <w:rsid w:val="0095776E"/>
    <w:rsid w:val="00957947"/>
    <w:rsid w:val="009579BC"/>
    <w:rsid w:val="00957BCC"/>
    <w:rsid w:val="00960271"/>
    <w:rsid w:val="009602AE"/>
    <w:rsid w:val="009604FC"/>
    <w:rsid w:val="00960838"/>
    <w:rsid w:val="009609B9"/>
    <w:rsid w:val="00960EA5"/>
    <w:rsid w:val="00961062"/>
    <w:rsid w:val="00961606"/>
    <w:rsid w:val="00962410"/>
    <w:rsid w:val="00962580"/>
    <w:rsid w:val="00962A70"/>
    <w:rsid w:val="00962ACF"/>
    <w:rsid w:val="00962F14"/>
    <w:rsid w:val="00963396"/>
    <w:rsid w:val="00963A35"/>
    <w:rsid w:val="009643A8"/>
    <w:rsid w:val="00964D48"/>
    <w:rsid w:val="0096508A"/>
    <w:rsid w:val="009657AD"/>
    <w:rsid w:val="00965884"/>
    <w:rsid w:val="00965ADA"/>
    <w:rsid w:val="00965D1C"/>
    <w:rsid w:val="00965ED6"/>
    <w:rsid w:val="009660CA"/>
    <w:rsid w:val="00966280"/>
    <w:rsid w:val="009672F8"/>
    <w:rsid w:val="00967874"/>
    <w:rsid w:val="009678BF"/>
    <w:rsid w:val="009679CF"/>
    <w:rsid w:val="00970C34"/>
    <w:rsid w:val="009713F0"/>
    <w:rsid w:val="00971FB1"/>
    <w:rsid w:val="009726F1"/>
    <w:rsid w:val="009727E1"/>
    <w:rsid w:val="009729D4"/>
    <w:rsid w:val="00972D4B"/>
    <w:rsid w:val="009734FF"/>
    <w:rsid w:val="00973CC2"/>
    <w:rsid w:val="00973D2A"/>
    <w:rsid w:val="00974971"/>
    <w:rsid w:val="00974EEE"/>
    <w:rsid w:val="00974F32"/>
    <w:rsid w:val="009750A8"/>
    <w:rsid w:val="00975656"/>
    <w:rsid w:val="00975ED2"/>
    <w:rsid w:val="009767D7"/>
    <w:rsid w:val="00976B69"/>
    <w:rsid w:val="009770F1"/>
    <w:rsid w:val="00977A3A"/>
    <w:rsid w:val="0098040F"/>
    <w:rsid w:val="0098052E"/>
    <w:rsid w:val="00980759"/>
    <w:rsid w:val="00980BCF"/>
    <w:rsid w:val="009817B0"/>
    <w:rsid w:val="00981FC8"/>
    <w:rsid w:val="009821CE"/>
    <w:rsid w:val="00982398"/>
    <w:rsid w:val="00982417"/>
    <w:rsid w:val="009827E9"/>
    <w:rsid w:val="0098289D"/>
    <w:rsid w:val="00982DF0"/>
    <w:rsid w:val="009831A4"/>
    <w:rsid w:val="0098328D"/>
    <w:rsid w:val="009837B4"/>
    <w:rsid w:val="00983850"/>
    <w:rsid w:val="00984569"/>
    <w:rsid w:val="00984C9C"/>
    <w:rsid w:val="009859CF"/>
    <w:rsid w:val="0098617E"/>
    <w:rsid w:val="0098676C"/>
    <w:rsid w:val="00986AD2"/>
    <w:rsid w:val="00986D8B"/>
    <w:rsid w:val="00986E01"/>
    <w:rsid w:val="0098712A"/>
    <w:rsid w:val="00987140"/>
    <w:rsid w:val="00987924"/>
    <w:rsid w:val="00987925"/>
    <w:rsid w:val="0098794A"/>
    <w:rsid w:val="009879AA"/>
    <w:rsid w:val="00987B3C"/>
    <w:rsid w:val="00990510"/>
    <w:rsid w:val="00990BF3"/>
    <w:rsid w:val="00990F28"/>
    <w:rsid w:val="0099104A"/>
    <w:rsid w:val="00991266"/>
    <w:rsid w:val="00991450"/>
    <w:rsid w:val="00991862"/>
    <w:rsid w:val="00991B67"/>
    <w:rsid w:val="00991BEF"/>
    <w:rsid w:val="00991D7D"/>
    <w:rsid w:val="00992095"/>
    <w:rsid w:val="009923AA"/>
    <w:rsid w:val="00992886"/>
    <w:rsid w:val="0099296E"/>
    <w:rsid w:val="00992EEB"/>
    <w:rsid w:val="00992F65"/>
    <w:rsid w:val="00993638"/>
    <w:rsid w:val="0099374B"/>
    <w:rsid w:val="00994128"/>
    <w:rsid w:val="00994572"/>
    <w:rsid w:val="00994C03"/>
    <w:rsid w:val="009952E5"/>
    <w:rsid w:val="009963DA"/>
    <w:rsid w:val="009963FE"/>
    <w:rsid w:val="00996B1A"/>
    <w:rsid w:val="00996D57"/>
    <w:rsid w:val="00997CE2"/>
    <w:rsid w:val="00997E16"/>
    <w:rsid w:val="00997FE8"/>
    <w:rsid w:val="009A02D2"/>
    <w:rsid w:val="009A03C5"/>
    <w:rsid w:val="009A0448"/>
    <w:rsid w:val="009A0713"/>
    <w:rsid w:val="009A08B9"/>
    <w:rsid w:val="009A096E"/>
    <w:rsid w:val="009A0B17"/>
    <w:rsid w:val="009A113F"/>
    <w:rsid w:val="009A12E8"/>
    <w:rsid w:val="009A15D8"/>
    <w:rsid w:val="009A1B67"/>
    <w:rsid w:val="009A277C"/>
    <w:rsid w:val="009A3043"/>
    <w:rsid w:val="009A3BB4"/>
    <w:rsid w:val="009A4018"/>
    <w:rsid w:val="009A44D8"/>
    <w:rsid w:val="009A4619"/>
    <w:rsid w:val="009A4888"/>
    <w:rsid w:val="009A4A65"/>
    <w:rsid w:val="009A50E2"/>
    <w:rsid w:val="009A53F2"/>
    <w:rsid w:val="009A5F87"/>
    <w:rsid w:val="009A6110"/>
    <w:rsid w:val="009A61CD"/>
    <w:rsid w:val="009A658F"/>
    <w:rsid w:val="009A73D8"/>
    <w:rsid w:val="009A78B7"/>
    <w:rsid w:val="009A78DF"/>
    <w:rsid w:val="009A7AA0"/>
    <w:rsid w:val="009B0130"/>
    <w:rsid w:val="009B03C6"/>
    <w:rsid w:val="009B082A"/>
    <w:rsid w:val="009B088F"/>
    <w:rsid w:val="009B08F4"/>
    <w:rsid w:val="009B0F9D"/>
    <w:rsid w:val="009B1389"/>
    <w:rsid w:val="009B13A0"/>
    <w:rsid w:val="009B1497"/>
    <w:rsid w:val="009B1B22"/>
    <w:rsid w:val="009B2145"/>
    <w:rsid w:val="009B2249"/>
    <w:rsid w:val="009B2C07"/>
    <w:rsid w:val="009B2EBB"/>
    <w:rsid w:val="009B31A4"/>
    <w:rsid w:val="009B3231"/>
    <w:rsid w:val="009B3D47"/>
    <w:rsid w:val="009B41C5"/>
    <w:rsid w:val="009B4251"/>
    <w:rsid w:val="009B4AC3"/>
    <w:rsid w:val="009B4F51"/>
    <w:rsid w:val="009B5E00"/>
    <w:rsid w:val="009B6593"/>
    <w:rsid w:val="009B6A50"/>
    <w:rsid w:val="009B6A74"/>
    <w:rsid w:val="009B6F24"/>
    <w:rsid w:val="009B6F57"/>
    <w:rsid w:val="009B7717"/>
    <w:rsid w:val="009B7A7A"/>
    <w:rsid w:val="009C05B7"/>
    <w:rsid w:val="009C05DF"/>
    <w:rsid w:val="009C06B3"/>
    <w:rsid w:val="009C0A45"/>
    <w:rsid w:val="009C0B7D"/>
    <w:rsid w:val="009C0CA4"/>
    <w:rsid w:val="009C119B"/>
    <w:rsid w:val="009C1998"/>
    <w:rsid w:val="009C22B9"/>
    <w:rsid w:val="009C28AC"/>
    <w:rsid w:val="009C3563"/>
    <w:rsid w:val="009C3666"/>
    <w:rsid w:val="009C3E5B"/>
    <w:rsid w:val="009C3E7A"/>
    <w:rsid w:val="009C42ED"/>
    <w:rsid w:val="009C4870"/>
    <w:rsid w:val="009C4C7E"/>
    <w:rsid w:val="009C540D"/>
    <w:rsid w:val="009C547E"/>
    <w:rsid w:val="009C5BFA"/>
    <w:rsid w:val="009C5D4B"/>
    <w:rsid w:val="009C5DBA"/>
    <w:rsid w:val="009C66B0"/>
    <w:rsid w:val="009C67EF"/>
    <w:rsid w:val="009C698C"/>
    <w:rsid w:val="009C7179"/>
    <w:rsid w:val="009C75E8"/>
    <w:rsid w:val="009C7940"/>
    <w:rsid w:val="009C7E3D"/>
    <w:rsid w:val="009D01ED"/>
    <w:rsid w:val="009D05D9"/>
    <w:rsid w:val="009D061E"/>
    <w:rsid w:val="009D074D"/>
    <w:rsid w:val="009D08E4"/>
    <w:rsid w:val="009D0DB4"/>
    <w:rsid w:val="009D1047"/>
    <w:rsid w:val="009D1837"/>
    <w:rsid w:val="009D1F92"/>
    <w:rsid w:val="009D2591"/>
    <w:rsid w:val="009D2C2A"/>
    <w:rsid w:val="009D2CFF"/>
    <w:rsid w:val="009D2D37"/>
    <w:rsid w:val="009D3924"/>
    <w:rsid w:val="009D3F76"/>
    <w:rsid w:val="009D4398"/>
    <w:rsid w:val="009D481E"/>
    <w:rsid w:val="009D4982"/>
    <w:rsid w:val="009D4B31"/>
    <w:rsid w:val="009D4BE0"/>
    <w:rsid w:val="009D4DDA"/>
    <w:rsid w:val="009D5964"/>
    <w:rsid w:val="009D5D92"/>
    <w:rsid w:val="009D604A"/>
    <w:rsid w:val="009D6ACE"/>
    <w:rsid w:val="009D6E2F"/>
    <w:rsid w:val="009D70B5"/>
    <w:rsid w:val="009D737C"/>
    <w:rsid w:val="009D7F46"/>
    <w:rsid w:val="009E00FE"/>
    <w:rsid w:val="009E0310"/>
    <w:rsid w:val="009E04C2"/>
    <w:rsid w:val="009E07D6"/>
    <w:rsid w:val="009E0DE6"/>
    <w:rsid w:val="009E113B"/>
    <w:rsid w:val="009E1274"/>
    <w:rsid w:val="009E144B"/>
    <w:rsid w:val="009E1619"/>
    <w:rsid w:val="009E171B"/>
    <w:rsid w:val="009E1B15"/>
    <w:rsid w:val="009E21B4"/>
    <w:rsid w:val="009E21D9"/>
    <w:rsid w:val="009E2D0B"/>
    <w:rsid w:val="009E327C"/>
    <w:rsid w:val="009E3A24"/>
    <w:rsid w:val="009E416B"/>
    <w:rsid w:val="009E451F"/>
    <w:rsid w:val="009E5B35"/>
    <w:rsid w:val="009E64C1"/>
    <w:rsid w:val="009E6EF9"/>
    <w:rsid w:val="009E711F"/>
    <w:rsid w:val="009E72E8"/>
    <w:rsid w:val="009F04B8"/>
    <w:rsid w:val="009F066C"/>
    <w:rsid w:val="009F13F6"/>
    <w:rsid w:val="009F1424"/>
    <w:rsid w:val="009F1D82"/>
    <w:rsid w:val="009F1EB4"/>
    <w:rsid w:val="009F2439"/>
    <w:rsid w:val="009F3293"/>
    <w:rsid w:val="009F36F2"/>
    <w:rsid w:val="009F3DF6"/>
    <w:rsid w:val="009F4066"/>
    <w:rsid w:val="009F41D0"/>
    <w:rsid w:val="009F4385"/>
    <w:rsid w:val="009F47EB"/>
    <w:rsid w:val="009F49C4"/>
    <w:rsid w:val="009F4CE7"/>
    <w:rsid w:val="009F548C"/>
    <w:rsid w:val="009F586C"/>
    <w:rsid w:val="009F61DF"/>
    <w:rsid w:val="009F64A5"/>
    <w:rsid w:val="009F662D"/>
    <w:rsid w:val="009F702F"/>
    <w:rsid w:val="009F7096"/>
    <w:rsid w:val="009F7304"/>
    <w:rsid w:val="009F7866"/>
    <w:rsid w:val="009F79AC"/>
    <w:rsid w:val="009F7D00"/>
    <w:rsid w:val="009F7D7D"/>
    <w:rsid w:val="009F7D9A"/>
    <w:rsid w:val="00A001CD"/>
    <w:rsid w:val="00A00A38"/>
    <w:rsid w:val="00A00C58"/>
    <w:rsid w:val="00A00EA1"/>
    <w:rsid w:val="00A010A7"/>
    <w:rsid w:val="00A015E8"/>
    <w:rsid w:val="00A017F5"/>
    <w:rsid w:val="00A01BC9"/>
    <w:rsid w:val="00A01C9A"/>
    <w:rsid w:val="00A02217"/>
    <w:rsid w:val="00A03A10"/>
    <w:rsid w:val="00A03C8F"/>
    <w:rsid w:val="00A04972"/>
    <w:rsid w:val="00A04E13"/>
    <w:rsid w:val="00A04E6F"/>
    <w:rsid w:val="00A04F7D"/>
    <w:rsid w:val="00A055AD"/>
    <w:rsid w:val="00A059F6"/>
    <w:rsid w:val="00A05F30"/>
    <w:rsid w:val="00A06021"/>
    <w:rsid w:val="00A06545"/>
    <w:rsid w:val="00A06CD6"/>
    <w:rsid w:val="00A06DE2"/>
    <w:rsid w:val="00A07073"/>
    <w:rsid w:val="00A07270"/>
    <w:rsid w:val="00A07442"/>
    <w:rsid w:val="00A07B95"/>
    <w:rsid w:val="00A07BEE"/>
    <w:rsid w:val="00A07C16"/>
    <w:rsid w:val="00A07CA6"/>
    <w:rsid w:val="00A07CE9"/>
    <w:rsid w:val="00A07D47"/>
    <w:rsid w:val="00A10D97"/>
    <w:rsid w:val="00A10F09"/>
    <w:rsid w:val="00A11216"/>
    <w:rsid w:val="00A116AE"/>
    <w:rsid w:val="00A12140"/>
    <w:rsid w:val="00A122CA"/>
    <w:rsid w:val="00A1231E"/>
    <w:rsid w:val="00A12529"/>
    <w:rsid w:val="00A12A0C"/>
    <w:rsid w:val="00A12BDF"/>
    <w:rsid w:val="00A12F62"/>
    <w:rsid w:val="00A13106"/>
    <w:rsid w:val="00A13592"/>
    <w:rsid w:val="00A137C1"/>
    <w:rsid w:val="00A1485D"/>
    <w:rsid w:val="00A14FE9"/>
    <w:rsid w:val="00A1527F"/>
    <w:rsid w:val="00A15C67"/>
    <w:rsid w:val="00A15ED9"/>
    <w:rsid w:val="00A16396"/>
    <w:rsid w:val="00A166F5"/>
    <w:rsid w:val="00A16A27"/>
    <w:rsid w:val="00A16B1C"/>
    <w:rsid w:val="00A16D08"/>
    <w:rsid w:val="00A17175"/>
    <w:rsid w:val="00A1753C"/>
    <w:rsid w:val="00A17862"/>
    <w:rsid w:val="00A17874"/>
    <w:rsid w:val="00A20073"/>
    <w:rsid w:val="00A200ED"/>
    <w:rsid w:val="00A202B1"/>
    <w:rsid w:val="00A20861"/>
    <w:rsid w:val="00A20DBB"/>
    <w:rsid w:val="00A21987"/>
    <w:rsid w:val="00A22268"/>
    <w:rsid w:val="00A22702"/>
    <w:rsid w:val="00A227CF"/>
    <w:rsid w:val="00A22C13"/>
    <w:rsid w:val="00A2406D"/>
    <w:rsid w:val="00A244D5"/>
    <w:rsid w:val="00A245EE"/>
    <w:rsid w:val="00A24BAB"/>
    <w:rsid w:val="00A25642"/>
    <w:rsid w:val="00A25667"/>
    <w:rsid w:val="00A259EA"/>
    <w:rsid w:val="00A25BFE"/>
    <w:rsid w:val="00A25E52"/>
    <w:rsid w:val="00A2656C"/>
    <w:rsid w:val="00A268C6"/>
    <w:rsid w:val="00A27004"/>
    <w:rsid w:val="00A302BD"/>
    <w:rsid w:val="00A30490"/>
    <w:rsid w:val="00A30F16"/>
    <w:rsid w:val="00A310F4"/>
    <w:rsid w:val="00A3147D"/>
    <w:rsid w:val="00A317F0"/>
    <w:rsid w:val="00A31F4E"/>
    <w:rsid w:val="00A32256"/>
    <w:rsid w:val="00A32567"/>
    <w:rsid w:val="00A32910"/>
    <w:rsid w:val="00A32DA4"/>
    <w:rsid w:val="00A33371"/>
    <w:rsid w:val="00A33640"/>
    <w:rsid w:val="00A34CB6"/>
    <w:rsid w:val="00A35136"/>
    <w:rsid w:val="00A351B3"/>
    <w:rsid w:val="00A352D6"/>
    <w:rsid w:val="00A35392"/>
    <w:rsid w:val="00A353D5"/>
    <w:rsid w:val="00A354C8"/>
    <w:rsid w:val="00A3554B"/>
    <w:rsid w:val="00A36012"/>
    <w:rsid w:val="00A3603A"/>
    <w:rsid w:val="00A36BDF"/>
    <w:rsid w:val="00A36C5D"/>
    <w:rsid w:val="00A3746B"/>
    <w:rsid w:val="00A3749B"/>
    <w:rsid w:val="00A379BD"/>
    <w:rsid w:val="00A37D1B"/>
    <w:rsid w:val="00A37D87"/>
    <w:rsid w:val="00A37F34"/>
    <w:rsid w:val="00A409B2"/>
    <w:rsid w:val="00A40C77"/>
    <w:rsid w:val="00A4108B"/>
    <w:rsid w:val="00A41234"/>
    <w:rsid w:val="00A42315"/>
    <w:rsid w:val="00A42628"/>
    <w:rsid w:val="00A42E34"/>
    <w:rsid w:val="00A43046"/>
    <w:rsid w:val="00A436D4"/>
    <w:rsid w:val="00A4390A"/>
    <w:rsid w:val="00A440DA"/>
    <w:rsid w:val="00A441C1"/>
    <w:rsid w:val="00A44365"/>
    <w:rsid w:val="00A44490"/>
    <w:rsid w:val="00A44A66"/>
    <w:rsid w:val="00A44B9A"/>
    <w:rsid w:val="00A44D61"/>
    <w:rsid w:val="00A456E6"/>
    <w:rsid w:val="00A45FA2"/>
    <w:rsid w:val="00A4602E"/>
    <w:rsid w:val="00A46054"/>
    <w:rsid w:val="00A4691F"/>
    <w:rsid w:val="00A46C7A"/>
    <w:rsid w:val="00A47650"/>
    <w:rsid w:val="00A477CF"/>
    <w:rsid w:val="00A47983"/>
    <w:rsid w:val="00A5005B"/>
    <w:rsid w:val="00A5061A"/>
    <w:rsid w:val="00A50A0A"/>
    <w:rsid w:val="00A50A38"/>
    <w:rsid w:val="00A50D42"/>
    <w:rsid w:val="00A50D88"/>
    <w:rsid w:val="00A51492"/>
    <w:rsid w:val="00A517DE"/>
    <w:rsid w:val="00A51838"/>
    <w:rsid w:val="00A518F6"/>
    <w:rsid w:val="00A51D76"/>
    <w:rsid w:val="00A5272B"/>
    <w:rsid w:val="00A53722"/>
    <w:rsid w:val="00A53AE7"/>
    <w:rsid w:val="00A543E7"/>
    <w:rsid w:val="00A5456B"/>
    <w:rsid w:val="00A5459B"/>
    <w:rsid w:val="00A54654"/>
    <w:rsid w:val="00A54BA8"/>
    <w:rsid w:val="00A54EB4"/>
    <w:rsid w:val="00A557BF"/>
    <w:rsid w:val="00A557CC"/>
    <w:rsid w:val="00A55E2C"/>
    <w:rsid w:val="00A5635C"/>
    <w:rsid w:val="00A56923"/>
    <w:rsid w:val="00A56A2F"/>
    <w:rsid w:val="00A56A3E"/>
    <w:rsid w:val="00A577D4"/>
    <w:rsid w:val="00A5788B"/>
    <w:rsid w:val="00A57D74"/>
    <w:rsid w:val="00A57FBB"/>
    <w:rsid w:val="00A60B51"/>
    <w:rsid w:val="00A60DC3"/>
    <w:rsid w:val="00A60E99"/>
    <w:rsid w:val="00A612BB"/>
    <w:rsid w:val="00A617D0"/>
    <w:rsid w:val="00A61829"/>
    <w:rsid w:val="00A62012"/>
    <w:rsid w:val="00A62480"/>
    <w:rsid w:val="00A62E42"/>
    <w:rsid w:val="00A630A6"/>
    <w:rsid w:val="00A6314B"/>
    <w:rsid w:val="00A637BD"/>
    <w:rsid w:val="00A646B9"/>
    <w:rsid w:val="00A64A71"/>
    <w:rsid w:val="00A64C6F"/>
    <w:rsid w:val="00A6530D"/>
    <w:rsid w:val="00A66401"/>
    <w:rsid w:val="00A66458"/>
    <w:rsid w:val="00A67322"/>
    <w:rsid w:val="00A67763"/>
    <w:rsid w:val="00A700A6"/>
    <w:rsid w:val="00A70337"/>
    <w:rsid w:val="00A703C9"/>
    <w:rsid w:val="00A70913"/>
    <w:rsid w:val="00A70BE7"/>
    <w:rsid w:val="00A71A02"/>
    <w:rsid w:val="00A71BD7"/>
    <w:rsid w:val="00A72218"/>
    <w:rsid w:val="00A725D1"/>
    <w:rsid w:val="00A72960"/>
    <w:rsid w:val="00A72BD6"/>
    <w:rsid w:val="00A72D8F"/>
    <w:rsid w:val="00A7459C"/>
    <w:rsid w:val="00A74815"/>
    <w:rsid w:val="00A74819"/>
    <w:rsid w:val="00A74937"/>
    <w:rsid w:val="00A75170"/>
    <w:rsid w:val="00A752B0"/>
    <w:rsid w:val="00A758D1"/>
    <w:rsid w:val="00A76D27"/>
    <w:rsid w:val="00A77974"/>
    <w:rsid w:val="00A77C94"/>
    <w:rsid w:val="00A80839"/>
    <w:rsid w:val="00A80EAA"/>
    <w:rsid w:val="00A817FF"/>
    <w:rsid w:val="00A818C2"/>
    <w:rsid w:val="00A824CA"/>
    <w:rsid w:val="00A82A0F"/>
    <w:rsid w:val="00A82FB8"/>
    <w:rsid w:val="00A83384"/>
    <w:rsid w:val="00A8363F"/>
    <w:rsid w:val="00A83D57"/>
    <w:rsid w:val="00A8408C"/>
    <w:rsid w:val="00A84433"/>
    <w:rsid w:val="00A847C4"/>
    <w:rsid w:val="00A849A0"/>
    <w:rsid w:val="00A849E8"/>
    <w:rsid w:val="00A84C85"/>
    <w:rsid w:val="00A853B4"/>
    <w:rsid w:val="00A8610E"/>
    <w:rsid w:val="00A86297"/>
    <w:rsid w:val="00A8658F"/>
    <w:rsid w:val="00A866DC"/>
    <w:rsid w:val="00A86D44"/>
    <w:rsid w:val="00A86E2C"/>
    <w:rsid w:val="00A8757C"/>
    <w:rsid w:val="00A878C5"/>
    <w:rsid w:val="00A9054C"/>
    <w:rsid w:val="00A907AA"/>
    <w:rsid w:val="00A909AB"/>
    <w:rsid w:val="00A909DE"/>
    <w:rsid w:val="00A91255"/>
    <w:rsid w:val="00A91748"/>
    <w:rsid w:val="00A918C4"/>
    <w:rsid w:val="00A91A4B"/>
    <w:rsid w:val="00A91F36"/>
    <w:rsid w:val="00A9215A"/>
    <w:rsid w:val="00A92170"/>
    <w:rsid w:val="00A921D8"/>
    <w:rsid w:val="00A92C26"/>
    <w:rsid w:val="00A92DE1"/>
    <w:rsid w:val="00A93401"/>
    <w:rsid w:val="00A939F5"/>
    <w:rsid w:val="00A94429"/>
    <w:rsid w:val="00A94DB3"/>
    <w:rsid w:val="00A9569F"/>
    <w:rsid w:val="00A95912"/>
    <w:rsid w:val="00A95ECD"/>
    <w:rsid w:val="00A96A95"/>
    <w:rsid w:val="00A9790C"/>
    <w:rsid w:val="00A97BA9"/>
    <w:rsid w:val="00A97CA7"/>
    <w:rsid w:val="00A97DBD"/>
    <w:rsid w:val="00AA038A"/>
    <w:rsid w:val="00AA04E4"/>
    <w:rsid w:val="00AA0E6B"/>
    <w:rsid w:val="00AA18BD"/>
    <w:rsid w:val="00AA1998"/>
    <w:rsid w:val="00AA1E48"/>
    <w:rsid w:val="00AA1F88"/>
    <w:rsid w:val="00AA25FC"/>
    <w:rsid w:val="00AA2AC6"/>
    <w:rsid w:val="00AA36F5"/>
    <w:rsid w:val="00AA3747"/>
    <w:rsid w:val="00AA37D9"/>
    <w:rsid w:val="00AA3C04"/>
    <w:rsid w:val="00AA46F7"/>
    <w:rsid w:val="00AA4E85"/>
    <w:rsid w:val="00AA50E7"/>
    <w:rsid w:val="00AA5AED"/>
    <w:rsid w:val="00AA5DBF"/>
    <w:rsid w:val="00AA60A1"/>
    <w:rsid w:val="00AA6C0D"/>
    <w:rsid w:val="00AA6EB2"/>
    <w:rsid w:val="00AA6F85"/>
    <w:rsid w:val="00AA715E"/>
    <w:rsid w:val="00AA7277"/>
    <w:rsid w:val="00AA72C7"/>
    <w:rsid w:val="00AA755C"/>
    <w:rsid w:val="00AA7634"/>
    <w:rsid w:val="00AA7F76"/>
    <w:rsid w:val="00AB0376"/>
    <w:rsid w:val="00AB0637"/>
    <w:rsid w:val="00AB06EE"/>
    <w:rsid w:val="00AB091C"/>
    <w:rsid w:val="00AB0EBE"/>
    <w:rsid w:val="00AB1744"/>
    <w:rsid w:val="00AB1AE6"/>
    <w:rsid w:val="00AB1C96"/>
    <w:rsid w:val="00AB1D47"/>
    <w:rsid w:val="00AB1F68"/>
    <w:rsid w:val="00AB23D5"/>
    <w:rsid w:val="00AB26A8"/>
    <w:rsid w:val="00AB2850"/>
    <w:rsid w:val="00AB2E57"/>
    <w:rsid w:val="00AB327F"/>
    <w:rsid w:val="00AB337C"/>
    <w:rsid w:val="00AB4A80"/>
    <w:rsid w:val="00AB4EAD"/>
    <w:rsid w:val="00AB5626"/>
    <w:rsid w:val="00AB5A1A"/>
    <w:rsid w:val="00AB5EF1"/>
    <w:rsid w:val="00AB61E0"/>
    <w:rsid w:val="00AB6235"/>
    <w:rsid w:val="00AB63DD"/>
    <w:rsid w:val="00AB67FA"/>
    <w:rsid w:val="00AB7536"/>
    <w:rsid w:val="00AB7A5D"/>
    <w:rsid w:val="00AC02BE"/>
    <w:rsid w:val="00AC0444"/>
    <w:rsid w:val="00AC0D19"/>
    <w:rsid w:val="00AC1314"/>
    <w:rsid w:val="00AC1604"/>
    <w:rsid w:val="00AC1ACB"/>
    <w:rsid w:val="00AC1BF8"/>
    <w:rsid w:val="00AC1DE0"/>
    <w:rsid w:val="00AC26EC"/>
    <w:rsid w:val="00AC2E33"/>
    <w:rsid w:val="00AC2E56"/>
    <w:rsid w:val="00AC3196"/>
    <w:rsid w:val="00AC3592"/>
    <w:rsid w:val="00AC3E88"/>
    <w:rsid w:val="00AC4065"/>
    <w:rsid w:val="00AC44FD"/>
    <w:rsid w:val="00AC4573"/>
    <w:rsid w:val="00AC489C"/>
    <w:rsid w:val="00AC493E"/>
    <w:rsid w:val="00AC49A2"/>
    <w:rsid w:val="00AC4DBD"/>
    <w:rsid w:val="00AC4FAE"/>
    <w:rsid w:val="00AC533A"/>
    <w:rsid w:val="00AC5421"/>
    <w:rsid w:val="00AC54F1"/>
    <w:rsid w:val="00AC59D8"/>
    <w:rsid w:val="00AC6308"/>
    <w:rsid w:val="00AC6C4C"/>
    <w:rsid w:val="00AC7749"/>
    <w:rsid w:val="00AC7965"/>
    <w:rsid w:val="00AC7BF0"/>
    <w:rsid w:val="00AC7E3A"/>
    <w:rsid w:val="00AC7ED0"/>
    <w:rsid w:val="00AD00F3"/>
    <w:rsid w:val="00AD057E"/>
    <w:rsid w:val="00AD08DB"/>
    <w:rsid w:val="00AD0AE1"/>
    <w:rsid w:val="00AD0C91"/>
    <w:rsid w:val="00AD1553"/>
    <w:rsid w:val="00AD1EE2"/>
    <w:rsid w:val="00AD248C"/>
    <w:rsid w:val="00AD25DC"/>
    <w:rsid w:val="00AD2959"/>
    <w:rsid w:val="00AD2D89"/>
    <w:rsid w:val="00AD3153"/>
    <w:rsid w:val="00AD32CF"/>
    <w:rsid w:val="00AD37FB"/>
    <w:rsid w:val="00AD3801"/>
    <w:rsid w:val="00AD3AFD"/>
    <w:rsid w:val="00AD3B4A"/>
    <w:rsid w:val="00AD430D"/>
    <w:rsid w:val="00AD445E"/>
    <w:rsid w:val="00AD4749"/>
    <w:rsid w:val="00AD4AA7"/>
    <w:rsid w:val="00AD4AFE"/>
    <w:rsid w:val="00AD4E80"/>
    <w:rsid w:val="00AD51DC"/>
    <w:rsid w:val="00AD578F"/>
    <w:rsid w:val="00AD5877"/>
    <w:rsid w:val="00AD62A8"/>
    <w:rsid w:val="00AD62B2"/>
    <w:rsid w:val="00AD66AB"/>
    <w:rsid w:val="00AD6846"/>
    <w:rsid w:val="00AD694B"/>
    <w:rsid w:val="00AD69DA"/>
    <w:rsid w:val="00AD6A45"/>
    <w:rsid w:val="00AD6B12"/>
    <w:rsid w:val="00AD735F"/>
    <w:rsid w:val="00AD77F1"/>
    <w:rsid w:val="00AD7A5B"/>
    <w:rsid w:val="00AD7F4A"/>
    <w:rsid w:val="00AE008A"/>
    <w:rsid w:val="00AE030C"/>
    <w:rsid w:val="00AE03E7"/>
    <w:rsid w:val="00AE179F"/>
    <w:rsid w:val="00AE1CDA"/>
    <w:rsid w:val="00AE2088"/>
    <w:rsid w:val="00AE2C15"/>
    <w:rsid w:val="00AE2F02"/>
    <w:rsid w:val="00AE2F90"/>
    <w:rsid w:val="00AE3467"/>
    <w:rsid w:val="00AE3966"/>
    <w:rsid w:val="00AE3A9B"/>
    <w:rsid w:val="00AE404F"/>
    <w:rsid w:val="00AE40CC"/>
    <w:rsid w:val="00AE4E40"/>
    <w:rsid w:val="00AE54F8"/>
    <w:rsid w:val="00AE558B"/>
    <w:rsid w:val="00AE5F2B"/>
    <w:rsid w:val="00AE6980"/>
    <w:rsid w:val="00AE6DD8"/>
    <w:rsid w:val="00AE6EDB"/>
    <w:rsid w:val="00AE71DC"/>
    <w:rsid w:val="00AE7749"/>
    <w:rsid w:val="00AE7B35"/>
    <w:rsid w:val="00AE7C4B"/>
    <w:rsid w:val="00AE7D0D"/>
    <w:rsid w:val="00AF02AD"/>
    <w:rsid w:val="00AF0590"/>
    <w:rsid w:val="00AF0843"/>
    <w:rsid w:val="00AF09F1"/>
    <w:rsid w:val="00AF0B11"/>
    <w:rsid w:val="00AF1040"/>
    <w:rsid w:val="00AF18A5"/>
    <w:rsid w:val="00AF19A0"/>
    <w:rsid w:val="00AF1C50"/>
    <w:rsid w:val="00AF1D63"/>
    <w:rsid w:val="00AF2AA1"/>
    <w:rsid w:val="00AF2B93"/>
    <w:rsid w:val="00AF2C70"/>
    <w:rsid w:val="00AF2C9C"/>
    <w:rsid w:val="00AF2ECE"/>
    <w:rsid w:val="00AF3194"/>
    <w:rsid w:val="00AF4247"/>
    <w:rsid w:val="00AF49BD"/>
    <w:rsid w:val="00AF4A51"/>
    <w:rsid w:val="00AF5130"/>
    <w:rsid w:val="00AF54CC"/>
    <w:rsid w:val="00AF554D"/>
    <w:rsid w:val="00AF5648"/>
    <w:rsid w:val="00AF5C2F"/>
    <w:rsid w:val="00AF5E73"/>
    <w:rsid w:val="00AF5F8F"/>
    <w:rsid w:val="00AF61B3"/>
    <w:rsid w:val="00AF681F"/>
    <w:rsid w:val="00AF6AB3"/>
    <w:rsid w:val="00AF773D"/>
    <w:rsid w:val="00AF7A23"/>
    <w:rsid w:val="00AF7B1E"/>
    <w:rsid w:val="00B008FA"/>
    <w:rsid w:val="00B014AD"/>
    <w:rsid w:val="00B015EB"/>
    <w:rsid w:val="00B0173A"/>
    <w:rsid w:val="00B0205E"/>
    <w:rsid w:val="00B02136"/>
    <w:rsid w:val="00B0219F"/>
    <w:rsid w:val="00B03DD6"/>
    <w:rsid w:val="00B040E6"/>
    <w:rsid w:val="00B04310"/>
    <w:rsid w:val="00B043F6"/>
    <w:rsid w:val="00B05E33"/>
    <w:rsid w:val="00B063ED"/>
    <w:rsid w:val="00B06B82"/>
    <w:rsid w:val="00B06D85"/>
    <w:rsid w:val="00B0706F"/>
    <w:rsid w:val="00B073F8"/>
    <w:rsid w:val="00B07AC9"/>
    <w:rsid w:val="00B07B05"/>
    <w:rsid w:val="00B10832"/>
    <w:rsid w:val="00B10BE2"/>
    <w:rsid w:val="00B10E07"/>
    <w:rsid w:val="00B11299"/>
    <w:rsid w:val="00B117B2"/>
    <w:rsid w:val="00B11A3A"/>
    <w:rsid w:val="00B11DBC"/>
    <w:rsid w:val="00B127E1"/>
    <w:rsid w:val="00B12BAF"/>
    <w:rsid w:val="00B12BE1"/>
    <w:rsid w:val="00B12F33"/>
    <w:rsid w:val="00B13062"/>
    <w:rsid w:val="00B13A65"/>
    <w:rsid w:val="00B14F1C"/>
    <w:rsid w:val="00B14FF0"/>
    <w:rsid w:val="00B153FA"/>
    <w:rsid w:val="00B1564A"/>
    <w:rsid w:val="00B167C0"/>
    <w:rsid w:val="00B1686A"/>
    <w:rsid w:val="00B16874"/>
    <w:rsid w:val="00B16F8D"/>
    <w:rsid w:val="00B17258"/>
    <w:rsid w:val="00B17B9B"/>
    <w:rsid w:val="00B20139"/>
    <w:rsid w:val="00B20A9E"/>
    <w:rsid w:val="00B21063"/>
    <w:rsid w:val="00B211CF"/>
    <w:rsid w:val="00B214C6"/>
    <w:rsid w:val="00B2175B"/>
    <w:rsid w:val="00B21941"/>
    <w:rsid w:val="00B22286"/>
    <w:rsid w:val="00B22FFE"/>
    <w:rsid w:val="00B23278"/>
    <w:rsid w:val="00B23695"/>
    <w:rsid w:val="00B239B2"/>
    <w:rsid w:val="00B23AB4"/>
    <w:rsid w:val="00B23C6D"/>
    <w:rsid w:val="00B26729"/>
    <w:rsid w:val="00B26F1B"/>
    <w:rsid w:val="00B2709E"/>
    <w:rsid w:val="00B270AC"/>
    <w:rsid w:val="00B276BC"/>
    <w:rsid w:val="00B276CB"/>
    <w:rsid w:val="00B27DF1"/>
    <w:rsid w:val="00B30237"/>
    <w:rsid w:val="00B30D53"/>
    <w:rsid w:val="00B30F8D"/>
    <w:rsid w:val="00B3130A"/>
    <w:rsid w:val="00B319C0"/>
    <w:rsid w:val="00B31FD6"/>
    <w:rsid w:val="00B3209B"/>
    <w:rsid w:val="00B32210"/>
    <w:rsid w:val="00B32646"/>
    <w:rsid w:val="00B3285A"/>
    <w:rsid w:val="00B32BB1"/>
    <w:rsid w:val="00B332D1"/>
    <w:rsid w:val="00B33CB9"/>
    <w:rsid w:val="00B34533"/>
    <w:rsid w:val="00B348E1"/>
    <w:rsid w:val="00B3498C"/>
    <w:rsid w:val="00B34BCD"/>
    <w:rsid w:val="00B34C5B"/>
    <w:rsid w:val="00B35295"/>
    <w:rsid w:val="00B3583B"/>
    <w:rsid w:val="00B358DF"/>
    <w:rsid w:val="00B35F08"/>
    <w:rsid w:val="00B36745"/>
    <w:rsid w:val="00B36ECA"/>
    <w:rsid w:val="00B36EEA"/>
    <w:rsid w:val="00B3711B"/>
    <w:rsid w:val="00B3717F"/>
    <w:rsid w:val="00B37A6A"/>
    <w:rsid w:val="00B37A8F"/>
    <w:rsid w:val="00B37BA0"/>
    <w:rsid w:val="00B37CC3"/>
    <w:rsid w:val="00B4012E"/>
    <w:rsid w:val="00B40210"/>
    <w:rsid w:val="00B40F57"/>
    <w:rsid w:val="00B40F5F"/>
    <w:rsid w:val="00B41002"/>
    <w:rsid w:val="00B41229"/>
    <w:rsid w:val="00B41899"/>
    <w:rsid w:val="00B41D3D"/>
    <w:rsid w:val="00B4211A"/>
    <w:rsid w:val="00B42136"/>
    <w:rsid w:val="00B42B8B"/>
    <w:rsid w:val="00B42CBD"/>
    <w:rsid w:val="00B4376C"/>
    <w:rsid w:val="00B43DBD"/>
    <w:rsid w:val="00B43E00"/>
    <w:rsid w:val="00B45504"/>
    <w:rsid w:val="00B45594"/>
    <w:rsid w:val="00B45B10"/>
    <w:rsid w:val="00B45EDE"/>
    <w:rsid w:val="00B46123"/>
    <w:rsid w:val="00B46B57"/>
    <w:rsid w:val="00B46B78"/>
    <w:rsid w:val="00B46BC7"/>
    <w:rsid w:val="00B46CFB"/>
    <w:rsid w:val="00B47799"/>
    <w:rsid w:val="00B5048A"/>
    <w:rsid w:val="00B50BF4"/>
    <w:rsid w:val="00B50D6E"/>
    <w:rsid w:val="00B50DD7"/>
    <w:rsid w:val="00B513CD"/>
    <w:rsid w:val="00B51673"/>
    <w:rsid w:val="00B51815"/>
    <w:rsid w:val="00B527DB"/>
    <w:rsid w:val="00B528CC"/>
    <w:rsid w:val="00B52B23"/>
    <w:rsid w:val="00B53730"/>
    <w:rsid w:val="00B53AAC"/>
    <w:rsid w:val="00B53BD8"/>
    <w:rsid w:val="00B53E70"/>
    <w:rsid w:val="00B54376"/>
    <w:rsid w:val="00B546D3"/>
    <w:rsid w:val="00B54AE9"/>
    <w:rsid w:val="00B55023"/>
    <w:rsid w:val="00B553DB"/>
    <w:rsid w:val="00B55779"/>
    <w:rsid w:val="00B559E3"/>
    <w:rsid w:val="00B55B04"/>
    <w:rsid w:val="00B560BB"/>
    <w:rsid w:val="00B56346"/>
    <w:rsid w:val="00B56519"/>
    <w:rsid w:val="00B57018"/>
    <w:rsid w:val="00B57488"/>
    <w:rsid w:val="00B574D4"/>
    <w:rsid w:val="00B5763A"/>
    <w:rsid w:val="00B57BF4"/>
    <w:rsid w:val="00B6161E"/>
    <w:rsid w:val="00B61F58"/>
    <w:rsid w:val="00B61F81"/>
    <w:rsid w:val="00B62053"/>
    <w:rsid w:val="00B6241A"/>
    <w:rsid w:val="00B63854"/>
    <w:rsid w:val="00B63964"/>
    <w:rsid w:val="00B63B92"/>
    <w:rsid w:val="00B63DDD"/>
    <w:rsid w:val="00B63E6E"/>
    <w:rsid w:val="00B64CC6"/>
    <w:rsid w:val="00B65347"/>
    <w:rsid w:val="00B6543E"/>
    <w:rsid w:val="00B65A4F"/>
    <w:rsid w:val="00B65CB8"/>
    <w:rsid w:val="00B65DE1"/>
    <w:rsid w:val="00B6617D"/>
    <w:rsid w:val="00B662DB"/>
    <w:rsid w:val="00B66784"/>
    <w:rsid w:val="00B66A29"/>
    <w:rsid w:val="00B670E4"/>
    <w:rsid w:val="00B67992"/>
    <w:rsid w:val="00B705FC"/>
    <w:rsid w:val="00B70FBA"/>
    <w:rsid w:val="00B71153"/>
    <w:rsid w:val="00B7241E"/>
    <w:rsid w:val="00B72A7A"/>
    <w:rsid w:val="00B72AF0"/>
    <w:rsid w:val="00B72FF4"/>
    <w:rsid w:val="00B737EB"/>
    <w:rsid w:val="00B73D5C"/>
    <w:rsid w:val="00B73E62"/>
    <w:rsid w:val="00B73FEB"/>
    <w:rsid w:val="00B750E4"/>
    <w:rsid w:val="00B754D8"/>
    <w:rsid w:val="00B75855"/>
    <w:rsid w:val="00B7619E"/>
    <w:rsid w:val="00B762DD"/>
    <w:rsid w:val="00B76D8F"/>
    <w:rsid w:val="00B76E47"/>
    <w:rsid w:val="00B77026"/>
    <w:rsid w:val="00B77523"/>
    <w:rsid w:val="00B775EE"/>
    <w:rsid w:val="00B77611"/>
    <w:rsid w:val="00B777F9"/>
    <w:rsid w:val="00B80484"/>
    <w:rsid w:val="00B80A40"/>
    <w:rsid w:val="00B80D5E"/>
    <w:rsid w:val="00B80F8E"/>
    <w:rsid w:val="00B812FA"/>
    <w:rsid w:val="00B81633"/>
    <w:rsid w:val="00B81E75"/>
    <w:rsid w:val="00B8281B"/>
    <w:rsid w:val="00B82F38"/>
    <w:rsid w:val="00B830FC"/>
    <w:rsid w:val="00B83245"/>
    <w:rsid w:val="00B8374A"/>
    <w:rsid w:val="00B83E06"/>
    <w:rsid w:val="00B84701"/>
    <w:rsid w:val="00B848DC"/>
    <w:rsid w:val="00B84EA7"/>
    <w:rsid w:val="00B850B4"/>
    <w:rsid w:val="00B851D1"/>
    <w:rsid w:val="00B8538B"/>
    <w:rsid w:val="00B85CB8"/>
    <w:rsid w:val="00B85D00"/>
    <w:rsid w:val="00B86C75"/>
    <w:rsid w:val="00B8735F"/>
    <w:rsid w:val="00B87396"/>
    <w:rsid w:val="00B87467"/>
    <w:rsid w:val="00B8782C"/>
    <w:rsid w:val="00B87927"/>
    <w:rsid w:val="00B87CCA"/>
    <w:rsid w:val="00B87E3D"/>
    <w:rsid w:val="00B87EFD"/>
    <w:rsid w:val="00B903D0"/>
    <w:rsid w:val="00B90563"/>
    <w:rsid w:val="00B9105B"/>
    <w:rsid w:val="00B91353"/>
    <w:rsid w:val="00B91B3A"/>
    <w:rsid w:val="00B91CA0"/>
    <w:rsid w:val="00B91DA0"/>
    <w:rsid w:val="00B92314"/>
    <w:rsid w:val="00B92594"/>
    <w:rsid w:val="00B92E4C"/>
    <w:rsid w:val="00B931A3"/>
    <w:rsid w:val="00B9343C"/>
    <w:rsid w:val="00B934EF"/>
    <w:rsid w:val="00B935D8"/>
    <w:rsid w:val="00B93A4D"/>
    <w:rsid w:val="00B93B61"/>
    <w:rsid w:val="00B93CC2"/>
    <w:rsid w:val="00B942E3"/>
    <w:rsid w:val="00B946E7"/>
    <w:rsid w:val="00B947CA"/>
    <w:rsid w:val="00B94AC3"/>
    <w:rsid w:val="00B94C1D"/>
    <w:rsid w:val="00B94E5F"/>
    <w:rsid w:val="00B94F79"/>
    <w:rsid w:val="00B952A2"/>
    <w:rsid w:val="00B9571D"/>
    <w:rsid w:val="00B95AA8"/>
    <w:rsid w:val="00B9619E"/>
    <w:rsid w:val="00B97333"/>
    <w:rsid w:val="00B9757E"/>
    <w:rsid w:val="00B97B55"/>
    <w:rsid w:val="00BA066D"/>
    <w:rsid w:val="00BA0821"/>
    <w:rsid w:val="00BA0AAE"/>
    <w:rsid w:val="00BA0EED"/>
    <w:rsid w:val="00BA13C5"/>
    <w:rsid w:val="00BA1C10"/>
    <w:rsid w:val="00BA2110"/>
    <w:rsid w:val="00BA2EE8"/>
    <w:rsid w:val="00BA34F0"/>
    <w:rsid w:val="00BA365C"/>
    <w:rsid w:val="00BA3C3D"/>
    <w:rsid w:val="00BA3F65"/>
    <w:rsid w:val="00BA408B"/>
    <w:rsid w:val="00BA44C0"/>
    <w:rsid w:val="00BA4C06"/>
    <w:rsid w:val="00BA5407"/>
    <w:rsid w:val="00BA5425"/>
    <w:rsid w:val="00BA555D"/>
    <w:rsid w:val="00BA57E9"/>
    <w:rsid w:val="00BA58BB"/>
    <w:rsid w:val="00BA59AA"/>
    <w:rsid w:val="00BA5FC5"/>
    <w:rsid w:val="00BA625D"/>
    <w:rsid w:val="00BA63BA"/>
    <w:rsid w:val="00BA6448"/>
    <w:rsid w:val="00BA6847"/>
    <w:rsid w:val="00BA697B"/>
    <w:rsid w:val="00BA6CAB"/>
    <w:rsid w:val="00BA6F66"/>
    <w:rsid w:val="00BA73EB"/>
    <w:rsid w:val="00BA7E4C"/>
    <w:rsid w:val="00BA7F8D"/>
    <w:rsid w:val="00BB00F3"/>
    <w:rsid w:val="00BB05A9"/>
    <w:rsid w:val="00BB1816"/>
    <w:rsid w:val="00BB18DE"/>
    <w:rsid w:val="00BB1CB5"/>
    <w:rsid w:val="00BB2033"/>
    <w:rsid w:val="00BB225B"/>
    <w:rsid w:val="00BB29E7"/>
    <w:rsid w:val="00BB37FD"/>
    <w:rsid w:val="00BB3AE7"/>
    <w:rsid w:val="00BB43D2"/>
    <w:rsid w:val="00BB505B"/>
    <w:rsid w:val="00BB58FD"/>
    <w:rsid w:val="00BB5BC7"/>
    <w:rsid w:val="00BB5D79"/>
    <w:rsid w:val="00BB5E30"/>
    <w:rsid w:val="00BB6100"/>
    <w:rsid w:val="00BB63E9"/>
    <w:rsid w:val="00BB64EC"/>
    <w:rsid w:val="00BB64FB"/>
    <w:rsid w:val="00BB7676"/>
    <w:rsid w:val="00BB79C2"/>
    <w:rsid w:val="00BB7E4C"/>
    <w:rsid w:val="00BB7F71"/>
    <w:rsid w:val="00BC04D8"/>
    <w:rsid w:val="00BC078B"/>
    <w:rsid w:val="00BC0B4E"/>
    <w:rsid w:val="00BC1212"/>
    <w:rsid w:val="00BC13D3"/>
    <w:rsid w:val="00BC13FA"/>
    <w:rsid w:val="00BC155C"/>
    <w:rsid w:val="00BC1BFD"/>
    <w:rsid w:val="00BC1DB7"/>
    <w:rsid w:val="00BC27D5"/>
    <w:rsid w:val="00BC286B"/>
    <w:rsid w:val="00BC2954"/>
    <w:rsid w:val="00BC2983"/>
    <w:rsid w:val="00BC2C75"/>
    <w:rsid w:val="00BC2D01"/>
    <w:rsid w:val="00BC3105"/>
    <w:rsid w:val="00BC34A3"/>
    <w:rsid w:val="00BC355A"/>
    <w:rsid w:val="00BC3648"/>
    <w:rsid w:val="00BC3E6E"/>
    <w:rsid w:val="00BC3F16"/>
    <w:rsid w:val="00BC3FF0"/>
    <w:rsid w:val="00BC427D"/>
    <w:rsid w:val="00BC45BA"/>
    <w:rsid w:val="00BC49FF"/>
    <w:rsid w:val="00BC4AF2"/>
    <w:rsid w:val="00BC4DC2"/>
    <w:rsid w:val="00BC4DCC"/>
    <w:rsid w:val="00BC5237"/>
    <w:rsid w:val="00BC5348"/>
    <w:rsid w:val="00BC62D9"/>
    <w:rsid w:val="00BC6CB1"/>
    <w:rsid w:val="00BC6DC7"/>
    <w:rsid w:val="00BC6E69"/>
    <w:rsid w:val="00BC6F57"/>
    <w:rsid w:val="00BC6FAD"/>
    <w:rsid w:val="00BC71F4"/>
    <w:rsid w:val="00BC7DBD"/>
    <w:rsid w:val="00BD07E1"/>
    <w:rsid w:val="00BD0CE6"/>
    <w:rsid w:val="00BD13AA"/>
    <w:rsid w:val="00BD187B"/>
    <w:rsid w:val="00BD1B78"/>
    <w:rsid w:val="00BD2417"/>
    <w:rsid w:val="00BD2652"/>
    <w:rsid w:val="00BD26AA"/>
    <w:rsid w:val="00BD2957"/>
    <w:rsid w:val="00BD2A36"/>
    <w:rsid w:val="00BD2B12"/>
    <w:rsid w:val="00BD31E9"/>
    <w:rsid w:val="00BD3503"/>
    <w:rsid w:val="00BD372E"/>
    <w:rsid w:val="00BD398D"/>
    <w:rsid w:val="00BD3BAB"/>
    <w:rsid w:val="00BD3CF6"/>
    <w:rsid w:val="00BD3DFD"/>
    <w:rsid w:val="00BD3E0C"/>
    <w:rsid w:val="00BD3E90"/>
    <w:rsid w:val="00BD454F"/>
    <w:rsid w:val="00BD4BA2"/>
    <w:rsid w:val="00BD4E68"/>
    <w:rsid w:val="00BD504A"/>
    <w:rsid w:val="00BD5210"/>
    <w:rsid w:val="00BD554E"/>
    <w:rsid w:val="00BD574E"/>
    <w:rsid w:val="00BD60A1"/>
    <w:rsid w:val="00BD65DA"/>
    <w:rsid w:val="00BD6D19"/>
    <w:rsid w:val="00BD6E1B"/>
    <w:rsid w:val="00BD7315"/>
    <w:rsid w:val="00BD792C"/>
    <w:rsid w:val="00BD7C2B"/>
    <w:rsid w:val="00BE00D4"/>
    <w:rsid w:val="00BE0E24"/>
    <w:rsid w:val="00BE10D4"/>
    <w:rsid w:val="00BE1124"/>
    <w:rsid w:val="00BE11BB"/>
    <w:rsid w:val="00BE12E3"/>
    <w:rsid w:val="00BE1852"/>
    <w:rsid w:val="00BE193D"/>
    <w:rsid w:val="00BE1C03"/>
    <w:rsid w:val="00BE2054"/>
    <w:rsid w:val="00BE2478"/>
    <w:rsid w:val="00BE2E24"/>
    <w:rsid w:val="00BE2EBD"/>
    <w:rsid w:val="00BE301F"/>
    <w:rsid w:val="00BE34BF"/>
    <w:rsid w:val="00BE36DE"/>
    <w:rsid w:val="00BE36F3"/>
    <w:rsid w:val="00BE3C8A"/>
    <w:rsid w:val="00BE43C2"/>
    <w:rsid w:val="00BE43E9"/>
    <w:rsid w:val="00BE5112"/>
    <w:rsid w:val="00BE51ED"/>
    <w:rsid w:val="00BE5280"/>
    <w:rsid w:val="00BE59FD"/>
    <w:rsid w:val="00BE5DB5"/>
    <w:rsid w:val="00BE6140"/>
    <w:rsid w:val="00BE616F"/>
    <w:rsid w:val="00BE6DC6"/>
    <w:rsid w:val="00BE6F4E"/>
    <w:rsid w:val="00BE6FA2"/>
    <w:rsid w:val="00BE7EA5"/>
    <w:rsid w:val="00BF04C7"/>
    <w:rsid w:val="00BF08E9"/>
    <w:rsid w:val="00BF0E27"/>
    <w:rsid w:val="00BF1083"/>
    <w:rsid w:val="00BF115A"/>
    <w:rsid w:val="00BF11B3"/>
    <w:rsid w:val="00BF2117"/>
    <w:rsid w:val="00BF2997"/>
    <w:rsid w:val="00BF2A63"/>
    <w:rsid w:val="00BF3970"/>
    <w:rsid w:val="00BF3BFC"/>
    <w:rsid w:val="00BF3D87"/>
    <w:rsid w:val="00BF3F2C"/>
    <w:rsid w:val="00BF40A1"/>
    <w:rsid w:val="00BF413C"/>
    <w:rsid w:val="00BF48D4"/>
    <w:rsid w:val="00BF5534"/>
    <w:rsid w:val="00BF595E"/>
    <w:rsid w:val="00BF5A7D"/>
    <w:rsid w:val="00BF5CDB"/>
    <w:rsid w:val="00BF706C"/>
    <w:rsid w:val="00BF70F7"/>
    <w:rsid w:val="00BF73F1"/>
    <w:rsid w:val="00BF7ECB"/>
    <w:rsid w:val="00C00265"/>
    <w:rsid w:val="00C003BE"/>
    <w:rsid w:val="00C007CD"/>
    <w:rsid w:val="00C00C46"/>
    <w:rsid w:val="00C012EE"/>
    <w:rsid w:val="00C013F9"/>
    <w:rsid w:val="00C01960"/>
    <w:rsid w:val="00C01B37"/>
    <w:rsid w:val="00C01C77"/>
    <w:rsid w:val="00C01DCC"/>
    <w:rsid w:val="00C0226B"/>
    <w:rsid w:val="00C0244B"/>
    <w:rsid w:val="00C02499"/>
    <w:rsid w:val="00C030BC"/>
    <w:rsid w:val="00C0311E"/>
    <w:rsid w:val="00C03691"/>
    <w:rsid w:val="00C03D04"/>
    <w:rsid w:val="00C03D64"/>
    <w:rsid w:val="00C041D4"/>
    <w:rsid w:val="00C046BB"/>
    <w:rsid w:val="00C06860"/>
    <w:rsid w:val="00C06A51"/>
    <w:rsid w:val="00C06CD9"/>
    <w:rsid w:val="00C075D4"/>
    <w:rsid w:val="00C076ED"/>
    <w:rsid w:val="00C07956"/>
    <w:rsid w:val="00C07CB2"/>
    <w:rsid w:val="00C100FF"/>
    <w:rsid w:val="00C109E4"/>
    <w:rsid w:val="00C10F71"/>
    <w:rsid w:val="00C11000"/>
    <w:rsid w:val="00C11950"/>
    <w:rsid w:val="00C11B1E"/>
    <w:rsid w:val="00C11C6B"/>
    <w:rsid w:val="00C129E5"/>
    <w:rsid w:val="00C12C20"/>
    <w:rsid w:val="00C12EB9"/>
    <w:rsid w:val="00C13399"/>
    <w:rsid w:val="00C1343F"/>
    <w:rsid w:val="00C137DD"/>
    <w:rsid w:val="00C14763"/>
    <w:rsid w:val="00C14C09"/>
    <w:rsid w:val="00C156E8"/>
    <w:rsid w:val="00C15EA3"/>
    <w:rsid w:val="00C15F3B"/>
    <w:rsid w:val="00C16620"/>
    <w:rsid w:val="00C17573"/>
    <w:rsid w:val="00C177A4"/>
    <w:rsid w:val="00C17D6C"/>
    <w:rsid w:val="00C202B3"/>
    <w:rsid w:val="00C20F89"/>
    <w:rsid w:val="00C21EE0"/>
    <w:rsid w:val="00C21F72"/>
    <w:rsid w:val="00C22DA4"/>
    <w:rsid w:val="00C23672"/>
    <w:rsid w:val="00C23A82"/>
    <w:rsid w:val="00C24518"/>
    <w:rsid w:val="00C24D59"/>
    <w:rsid w:val="00C24EA3"/>
    <w:rsid w:val="00C2513B"/>
    <w:rsid w:val="00C26765"/>
    <w:rsid w:val="00C27B85"/>
    <w:rsid w:val="00C3002F"/>
    <w:rsid w:val="00C301C1"/>
    <w:rsid w:val="00C30297"/>
    <w:rsid w:val="00C30A10"/>
    <w:rsid w:val="00C30C4E"/>
    <w:rsid w:val="00C30C8F"/>
    <w:rsid w:val="00C314BA"/>
    <w:rsid w:val="00C3161F"/>
    <w:rsid w:val="00C31989"/>
    <w:rsid w:val="00C31A0E"/>
    <w:rsid w:val="00C323AE"/>
    <w:rsid w:val="00C324E0"/>
    <w:rsid w:val="00C32BF8"/>
    <w:rsid w:val="00C32CBE"/>
    <w:rsid w:val="00C32D05"/>
    <w:rsid w:val="00C32FA4"/>
    <w:rsid w:val="00C333A7"/>
    <w:rsid w:val="00C336D7"/>
    <w:rsid w:val="00C33BD7"/>
    <w:rsid w:val="00C33C0B"/>
    <w:rsid w:val="00C33D78"/>
    <w:rsid w:val="00C343AF"/>
    <w:rsid w:val="00C3568A"/>
    <w:rsid w:val="00C35A0A"/>
    <w:rsid w:val="00C35B36"/>
    <w:rsid w:val="00C3627A"/>
    <w:rsid w:val="00C365A8"/>
    <w:rsid w:val="00C36850"/>
    <w:rsid w:val="00C36D7D"/>
    <w:rsid w:val="00C37BC8"/>
    <w:rsid w:val="00C37F53"/>
    <w:rsid w:val="00C40254"/>
    <w:rsid w:val="00C4058C"/>
    <w:rsid w:val="00C40763"/>
    <w:rsid w:val="00C4082C"/>
    <w:rsid w:val="00C40B83"/>
    <w:rsid w:val="00C413DE"/>
    <w:rsid w:val="00C418FB"/>
    <w:rsid w:val="00C41CA8"/>
    <w:rsid w:val="00C41D61"/>
    <w:rsid w:val="00C42228"/>
    <w:rsid w:val="00C423F8"/>
    <w:rsid w:val="00C42841"/>
    <w:rsid w:val="00C4312E"/>
    <w:rsid w:val="00C43CA7"/>
    <w:rsid w:val="00C44366"/>
    <w:rsid w:val="00C443D1"/>
    <w:rsid w:val="00C45510"/>
    <w:rsid w:val="00C45BB5"/>
    <w:rsid w:val="00C45C94"/>
    <w:rsid w:val="00C46007"/>
    <w:rsid w:val="00C4670C"/>
    <w:rsid w:val="00C469FF"/>
    <w:rsid w:val="00C46E65"/>
    <w:rsid w:val="00C4711E"/>
    <w:rsid w:val="00C474F4"/>
    <w:rsid w:val="00C478C9"/>
    <w:rsid w:val="00C50179"/>
    <w:rsid w:val="00C504FF"/>
    <w:rsid w:val="00C50518"/>
    <w:rsid w:val="00C50B48"/>
    <w:rsid w:val="00C50B4C"/>
    <w:rsid w:val="00C50B56"/>
    <w:rsid w:val="00C51531"/>
    <w:rsid w:val="00C51B8F"/>
    <w:rsid w:val="00C51DC8"/>
    <w:rsid w:val="00C52132"/>
    <w:rsid w:val="00C52385"/>
    <w:rsid w:val="00C52A68"/>
    <w:rsid w:val="00C53597"/>
    <w:rsid w:val="00C53E13"/>
    <w:rsid w:val="00C545AA"/>
    <w:rsid w:val="00C54AA7"/>
    <w:rsid w:val="00C555AC"/>
    <w:rsid w:val="00C55B07"/>
    <w:rsid w:val="00C55F28"/>
    <w:rsid w:val="00C562F2"/>
    <w:rsid w:val="00C56408"/>
    <w:rsid w:val="00C56CF7"/>
    <w:rsid w:val="00C57102"/>
    <w:rsid w:val="00C57F61"/>
    <w:rsid w:val="00C604B0"/>
    <w:rsid w:val="00C60637"/>
    <w:rsid w:val="00C60CA2"/>
    <w:rsid w:val="00C61474"/>
    <w:rsid w:val="00C61587"/>
    <w:rsid w:val="00C61B4F"/>
    <w:rsid w:val="00C625FF"/>
    <w:rsid w:val="00C62963"/>
    <w:rsid w:val="00C62A88"/>
    <w:rsid w:val="00C62C25"/>
    <w:rsid w:val="00C63B97"/>
    <w:rsid w:val="00C63F9E"/>
    <w:rsid w:val="00C64062"/>
    <w:rsid w:val="00C64222"/>
    <w:rsid w:val="00C6439A"/>
    <w:rsid w:val="00C64939"/>
    <w:rsid w:val="00C64BF6"/>
    <w:rsid w:val="00C64DBC"/>
    <w:rsid w:val="00C64FB4"/>
    <w:rsid w:val="00C650B8"/>
    <w:rsid w:val="00C651DC"/>
    <w:rsid w:val="00C652A0"/>
    <w:rsid w:val="00C65BCD"/>
    <w:rsid w:val="00C6622B"/>
    <w:rsid w:val="00C66828"/>
    <w:rsid w:val="00C66FE9"/>
    <w:rsid w:val="00C670FB"/>
    <w:rsid w:val="00C67582"/>
    <w:rsid w:val="00C701CB"/>
    <w:rsid w:val="00C701CD"/>
    <w:rsid w:val="00C7056B"/>
    <w:rsid w:val="00C70631"/>
    <w:rsid w:val="00C70AF2"/>
    <w:rsid w:val="00C71108"/>
    <w:rsid w:val="00C711ED"/>
    <w:rsid w:val="00C713ED"/>
    <w:rsid w:val="00C721D2"/>
    <w:rsid w:val="00C722DC"/>
    <w:rsid w:val="00C72318"/>
    <w:rsid w:val="00C7231D"/>
    <w:rsid w:val="00C724E6"/>
    <w:rsid w:val="00C72508"/>
    <w:rsid w:val="00C727CA"/>
    <w:rsid w:val="00C72A8A"/>
    <w:rsid w:val="00C732E3"/>
    <w:rsid w:val="00C7377B"/>
    <w:rsid w:val="00C7379D"/>
    <w:rsid w:val="00C747A5"/>
    <w:rsid w:val="00C74DEC"/>
    <w:rsid w:val="00C755DE"/>
    <w:rsid w:val="00C75A2B"/>
    <w:rsid w:val="00C75AAD"/>
    <w:rsid w:val="00C76CDC"/>
    <w:rsid w:val="00C76F13"/>
    <w:rsid w:val="00C772ED"/>
    <w:rsid w:val="00C77539"/>
    <w:rsid w:val="00C77D5C"/>
    <w:rsid w:val="00C77F71"/>
    <w:rsid w:val="00C80019"/>
    <w:rsid w:val="00C80168"/>
    <w:rsid w:val="00C80232"/>
    <w:rsid w:val="00C810F4"/>
    <w:rsid w:val="00C811D6"/>
    <w:rsid w:val="00C81968"/>
    <w:rsid w:val="00C81D0E"/>
    <w:rsid w:val="00C81D2D"/>
    <w:rsid w:val="00C8298A"/>
    <w:rsid w:val="00C836AB"/>
    <w:rsid w:val="00C836F5"/>
    <w:rsid w:val="00C838A1"/>
    <w:rsid w:val="00C83A8D"/>
    <w:rsid w:val="00C83B35"/>
    <w:rsid w:val="00C83CD0"/>
    <w:rsid w:val="00C84062"/>
    <w:rsid w:val="00C8436E"/>
    <w:rsid w:val="00C85182"/>
    <w:rsid w:val="00C85266"/>
    <w:rsid w:val="00C85314"/>
    <w:rsid w:val="00C85516"/>
    <w:rsid w:val="00C8671D"/>
    <w:rsid w:val="00C867BD"/>
    <w:rsid w:val="00C868B1"/>
    <w:rsid w:val="00C86D86"/>
    <w:rsid w:val="00C86EE9"/>
    <w:rsid w:val="00C87085"/>
    <w:rsid w:val="00C90139"/>
    <w:rsid w:val="00C90301"/>
    <w:rsid w:val="00C90362"/>
    <w:rsid w:val="00C910C4"/>
    <w:rsid w:val="00C91304"/>
    <w:rsid w:val="00C91322"/>
    <w:rsid w:val="00C914FB"/>
    <w:rsid w:val="00C916B8"/>
    <w:rsid w:val="00C9226E"/>
    <w:rsid w:val="00C92873"/>
    <w:rsid w:val="00C928B0"/>
    <w:rsid w:val="00C92DD4"/>
    <w:rsid w:val="00C93260"/>
    <w:rsid w:val="00C93EB2"/>
    <w:rsid w:val="00C93FB5"/>
    <w:rsid w:val="00C947F3"/>
    <w:rsid w:val="00C94D65"/>
    <w:rsid w:val="00C959F1"/>
    <w:rsid w:val="00C95A0C"/>
    <w:rsid w:val="00C95BFD"/>
    <w:rsid w:val="00C95DB0"/>
    <w:rsid w:val="00C960A9"/>
    <w:rsid w:val="00C96198"/>
    <w:rsid w:val="00C96AD9"/>
    <w:rsid w:val="00C96B8F"/>
    <w:rsid w:val="00C96CF9"/>
    <w:rsid w:val="00C96E92"/>
    <w:rsid w:val="00C96FF9"/>
    <w:rsid w:val="00C974CC"/>
    <w:rsid w:val="00C97587"/>
    <w:rsid w:val="00C975EA"/>
    <w:rsid w:val="00C976F9"/>
    <w:rsid w:val="00C97B1C"/>
    <w:rsid w:val="00C97CE3"/>
    <w:rsid w:val="00CA0086"/>
    <w:rsid w:val="00CA0116"/>
    <w:rsid w:val="00CA02C6"/>
    <w:rsid w:val="00CA04E1"/>
    <w:rsid w:val="00CA06BC"/>
    <w:rsid w:val="00CA0729"/>
    <w:rsid w:val="00CA086F"/>
    <w:rsid w:val="00CA09F7"/>
    <w:rsid w:val="00CA1290"/>
    <w:rsid w:val="00CA168A"/>
    <w:rsid w:val="00CA16F8"/>
    <w:rsid w:val="00CA1AAD"/>
    <w:rsid w:val="00CA1BE0"/>
    <w:rsid w:val="00CA1E5D"/>
    <w:rsid w:val="00CA1EE7"/>
    <w:rsid w:val="00CA22C1"/>
    <w:rsid w:val="00CA23DE"/>
    <w:rsid w:val="00CA307F"/>
    <w:rsid w:val="00CA30A8"/>
    <w:rsid w:val="00CA32A7"/>
    <w:rsid w:val="00CA341D"/>
    <w:rsid w:val="00CA3812"/>
    <w:rsid w:val="00CA43B8"/>
    <w:rsid w:val="00CA4475"/>
    <w:rsid w:val="00CA4BC0"/>
    <w:rsid w:val="00CA4BFB"/>
    <w:rsid w:val="00CA4F54"/>
    <w:rsid w:val="00CA5019"/>
    <w:rsid w:val="00CA5390"/>
    <w:rsid w:val="00CA5AB0"/>
    <w:rsid w:val="00CA5C0F"/>
    <w:rsid w:val="00CA5CA8"/>
    <w:rsid w:val="00CA6087"/>
    <w:rsid w:val="00CA60A7"/>
    <w:rsid w:val="00CA61A9"/>
    <w:rsid w:val="00CA61B0"/>
    <w:rsid w:val="00CA654F"/>
    <w:rsid w:val="00CA680C"/>
    <w:rsid w:val="00CA6EA9"/>
    <w:rsid w:val="00CA78B6"/>
    <w:rsid w:val="00CA7AED"/>
    <w:rsid w:val="00CA7C77"/>
    <w:rsid w:val="00CB0157"/>
    <w:rsid w:val="00CB0607"/>
    <w:rsid w:val="00CB0703"/>
    <w:rsid w:val="00CB086A"/>
    <w:rsid w:val="00CB08B1"/>
    <w:rsid w:val="00CB0BC4"/>
    <w:rsid w:val="00CB11CA"/>
    <w:rsid w:val="00CB13EA"/>
    <w:rsid w:val="00CB1773"/>
    <w:rsid w:val="00CB1CBF"/>
    <w:rsid w:val="00CB28E9"/>
    <w:rsid w:val="00CB29F2"/>
    <w:rsid w:val="00CB2BCD"/>
    <w:rsid w:val="00CB2D43"/>
    <w:rsid w:val="00CB2FF5"/>
    <w:rsid w:val="00CB37C6"/>
    <w:rsid w:val="00CB3F9F"/>
    <w:rsid w:val="00CB4700"/>
    <w:rsid w:val="00CB4DAA"/>
    <w:rsid w:val="00CB4ECC"/>
    <w:rsid w:val="00CB5205"/>
    <w:rsid w:val="00CB5BA6"/>
    <w:rsid w:val="00CB63BE"/>
    <w:rsid w:val="00CB6AA8"/>
    <w:rsid w:val="00CB71A4"/>
    <w:rsid w:val="00CB75AD"/>
    <w:rsid w:val="00CB7BEA"/>
    <w:rsid w:val="00CB7FA0"/>
    <w:rsid w:val="00CC03E6"/>
    <w:rsid w:val="00CC03FB"/>
    <w:rsid w:val="00CC0DBF"/>
    <w:rsid w:val="00CC0E73"/>
    <w:rsid w:val="00CC1414"/>
    <w:rsid w:val="00CC1501"/>
    <w:rsid w:val="00CC199B"/>
    <w:rsid w:val="00CC217E"/>
    <w:rsid w:val="00CC2375"/>
    <w:rsid w:val="00CC255D"/>
    <w:rsid w:val="00CC2B82"/>
    <w:rsid w:val="00CC33C4"/>
    <w:rsid w:val="00CC38AC"/>
    <w:rsid w:val="00CC3AC9"/>
    <w:rsid w:val="00CC3E9D"/>
    <w:rsid w:val="00CC3F8E"/>
    <w:rsid w:val="00CC421C"/>
    <w:rsid w:val="00CC49FA"/>
    <w:rsid w:val="00CC4EF3"/>
    <w:rsid w:val="00CC4F1F"/>
    <w:rsid w:val="00CC50FA"/>
    <w:rsid w:val="00CC559D"/>
    <w:rsid w:val="00CC589C"/>
    <w:rsid w:val="00CC5EFE"/>
    <w:rsid w:val="00CC5F94"/>
    <w:rsid w:val="00CC660C"/>
    <w:rsid w:val="00CC6658"/>
    <w:rsid w:val="00CC6F6C"/>
    <w:rsid w:val="00CC766D"/>
    <w:rsid w:val="00CC7C83"/>
    <w:rsid w:val="00CD0654"/>
    <w:rsid w:val="00CD0660"/>
    <w:rsid w:val="00CD0C13"/>
    <w:rsid w:val="00CD0CE2"/>
    <w:rsid w:val="00CD1735"/>
    <w:rsid w:val="00CD1760"/>
    <w:rsid w:val="00CD2054"/>
    <w:rsid w:val="00CD20DA"/>
    <w:rsid w:val="00CD25A8"/>
    <w:rsid w:val="00CD288B"/>
    <w:rsid w:val="00CD2B3F"/>
    <w:rsid w:val="00CD2CD8"/>
    <w:rsid w:val="00CD320C"/>
    <w:rsid w:val="00CD32B2"/>
    <w:rsid w:val="00CD3601"/>
    <w:rsid w:val="00CD3DD1"/>
    <w:rsid w:val="00CD4973"/>
    <w:rsid w:val="00CD4A09"/>
    <w:rsid w:val="00CD4FAB"/>
    <w:rsid w:val="00CD5620"/>
    <w:rsid w:val="00CD57D9"/>
    <w:rsid w:val="00CD5A07"/>
    <w:rsid w:val="00CD654B"/>
    <w:rsid w:val="00CD66D5"/>
    <w:rsid w:val="00CD68E3"/>
    <w:rsid w:val="00CD6C1F"/>
    <w:rsid w:val="00CD71FD"/>
    <w:rsid w:val="00CD737A"/>
    <w:rsid w:val="00CD7497"/>
    <w:rsid w:val="00CD74F6"/>
    <w:rsid w:val="00CD7CBD"/>
    <w:rsid w:val="00CD7CDC"/>
    <w:rsid w:val="00CE07AF"/>
    <w:rsid w:val="00CE09F8"/>
    <w:rsid w:val="00CE1107"/>
    <w:rsid w:val="00CE19AB"/>
    <w:rsid w:val="00CE215A"/>
    <w:rsid w:val="00CE223E"/>
    <w:rsid w:val="00CE22DB"/>
    <w:rsid w:val="00CE2B87"/>
    <w:rsid w:val="00CE37EF"/>
    <w:rsid w:val="00CE39D0"/>
    <w:rsid w:val="00CE3B82"/>
    <w:rsid w:val="00CE454A"/>
    <w:rsid w:val="00CE45A8"/>
    <w:rsid w:val="00CE4BEB"/>
    <w:rsid w:val="00CE501D"/>
    <w:rsid w:val="00CE553F"/>
    <w:rsid w:val="00CE58C0"/>
    <w:rsid w:val="00CE5BEF"/>
    <w:rsid w:val="00CE610F"/>
    <w:rsid w:val="00CE615B"/>
    <w:rsid w:val="00CE61E1"/>
    <w:rsid w:val="00CE6322"/>
    <w:rsid w:val="00CE6CAB"/>
    <w:rsid w:val="00CE7041"/>
    <w:rsid w:val="00CE72DC"/>
    <w:rsid w:val="00CE75FA"/>
    <w:rsid w:val="00CE7A3B"/>
    <w:rsid w:val="00CE7C98"/>
    <w:rsid w:val="00CF015F"/>
    <w:rsid w:val="00CF03A7"/>
    <w:rsid w:val="00CF086E"/>
    <w:rsid w:val="00CF08E0"/>
    <w:rsid w:val="00CF0B24"/>
    <w:rsid w:val="00CF1802"/>
    <w:rsid w:val="00CF1C21"/>
    <w:rsid w:val="00CF1D16"/>
    <w:rsid w:val="00CF22A9"/>
    <w:rsid w:val="00CF2475"/>
    <w:rsid w:val="00CF3130"/>
    <w:rsid w:val="00CF36D3"/>
    <w:rsid w:val="00CF377C"/>
    <w:rsid w:val="00CF3AF7"/>
    <w:rsid w:val="00CF3EDC"/>
    <w:rsid w:val="00CF3F0D"/>
    <w:rsid w:val="00CF44F8"/>
    <w:rsid w:val="00CF476F"/>
    <w:rsid w:val="00CF487C"/>
    <w:rsid w:val="00CF49C0"/>
    <w:rsid w:val="00CF4A47"/>
    <w:rsid w:val="00CF5169"/>
    <w:rsid w:val="00CF5329"/>
    <w:rsid w:val="00CF6284"/>
    <w:rsid w:val="00CF697B"/>
    <w:rsid w:val="00CF6CC1"/>
    <w:rsid w:val="00CF6DC3"/>
    <w:rsid w:val="00CF6F47"/>
    <w:rsid w:val="00CF7138"/>
    <w:rsid w:val="00CF7339"/>
    <w:rsid w:val="00CF7E77"/>
    <w:rsid w:val="00D00341"/>
    <w:rsid w:val="00D005C1"/>
    <w:rsid w:val="00D00FE9"/>
    <w:rsid w:val="00D01349"/>
    <w:rsid w:val="00D01C18"/>
    <w:rsid w:val="00D02280"/>
    <w:rsid w:val="00D0248A"/>
    <w:rsid w:val="00D02730"/>
    <w:rsid w:val="00D02D5D"/>
    <w:rsid w:val="00D03585"/>
    <w:rsid w:val="00D045A9"/>
    <w:rsid w:val="00D04840"/>
    <w:rsid w:val="00D04C34"/>
    <w:rsid w:val="00D051A3"/>
    <w:rsid w:val="00D059C1"/>
    <w:rsid w:val="00D05E39"/>
    <w:rsid w:val="00D06492"/>
    <w:rsid w:val="00D06F49"/>
    <w:rsid w:val="00D07594"/>
    <w:rsid w:val="00D07647"/>
    <w:rsid w:val="00D07777"/>
    <w:rsid w:val="00D07C5E"/>
    <w:rsid w:val="00D101F7"/>
    <w:rsid w:val="00D1028C"/>
    <w:rsid w:val="00D10552"/>
    <w:rsid w:val="00D10AB4"/>
    <w:rsid w:val="00D111AF"/>
    <w:rsid w:val="00D117DC"/>
    <w:rsid w:val="00D11A53"/>
    <w:rsid w:val="00D11DB9"/>
    <w:rsid w:val="00D12484"/>
    <w:rsid w:val="00D12838"/>
    <w:rsid w:val="00D128E8"/>
    <w:rsid w:val="00D12DA2"/>
    <w:rsid w:val="00D133F6"/>
    <w:rsid w:val="00D135CF"/>
    <w:rsid w:val="00D13607"/>
    <w:rsid w:val="00D1367E"/>
    <w:rsid w:val="00D137E7"/>
    <w:rsid w:val="00D140A6"/>
    <w:rsid w:val="00D1435B"/>
    <w:rsid w:val="00D145F5"/>
    <w:rsid w:val="00D14D73"/>
    <w:rsid w:val="00D14E56"/>
    <w:rsid w:val="00D14EA8"/>
    <w:rsid w:val="00D14F11"/>
    <w:rsid w:val="00D15FB0"/>
    <w:rsid w:val="00D167E7"/>
    <w:rsid w:val="00D16BEE"/>
    <w:rsid w:val="00D16F51"/>
    <w:rsid w:val="00D17221"/>
    <w:rsid w:val="00D172CC"/>
    <w:rsid w:val="00D17394"/>
    <w:rsid w:val="00D201D6"/>
    <w:rsid w:val="00D203A6"/>
    <w:rsid w:val="00D2081E"/>
    <w:rsid w:val="00D21116"/>
    <w:rsid w:val="00D21C73"/>
    <w:rsid w:val="00D21EA9"/>
    <w:rsid w:val="00D21ECC"/>
    <w:rsid w:val="00D22929"/>
    <w:rsid w:val="00D22EE5"/>
    <w:rsid w:val="00D23B18"/>
    <w:rsid w:val="00D23BE8"/>
    <w:rsid w:val="00D24DC8"/>
    <w:rsid w:val="00D25111"/>
    <w:rsid w:val="00D252B7"/>
    <w:rsid w:val="00D256DD"/>
    <w:rsid w:val="00D267C8"/>
    <w:rsid w:val="00D2687E"/>
    <w:rsid w:val="00D26B19"/>
    <w:rsid w:val="00D26B66"/>
    <w:rsid w:val="00D27650"/>
    <w:rsid w:val="00D27B3A"/>
    <w:rsid w:val="00D27D27"/>
    <w:rsid w:val="00D3039F"/>
    <w:rsid w:val="00D30B86"/>
    <w:rsid w:val="00D316A1"/>
    <w:rsid w:val="00D31C87"/>
    <w:rsid w:val="00D31C99"/>
    <w:rsid w:val="00D3225F"/>
    <w:rsid w:val="00D329F1"/>
    <w:rsid w:val="00D32BA6"/>
    <w:rsid w:val="00D336D6"/>
    <w:rsid w:val="00D337F1"/>
    <w:rsid w:val="00D33B6D"/>
    <w:rsid w:val="00D33C5F"/>
    <w:rsid w:val="00D34108"/>
    <w:rsid w:val="00D341E4"/>
    <w:rsid w:val="00D34DA5"/>
    <w:rsid w:val="00D3507F"/>
    <w:rsid w:val="00D355F0"/>
    <w:rsid w:val="00D35A83"/>
    <w:rsid w:val="00D35B13"/>
    <w:rsid w:val="00D361BE"/>
    <w:rsid w:val="00D365BC"/>
    <w:rsid w:val="00D36B6A"/>
    <w:rsid w:val="00D36F4F"/>
    <w:rsid w:val="00D37BBF"/>
    <w:rsid w:val="00D37EE6"/>
    <w:rsid w:val="00D37F08"/>
    <w:rsid w:val="00D37FDA"/>
    <w:rsid w:val="00D409FC"/>
    <w:rsid w:val="00D40C71"/>
    <w:rsid w:val="00D4113B"/>
    <w:rsid w:val="00D412BA"/>
    <w:rsid w:val="00D413BD"/>
    <w:rsid w:val="00D41481"/>
    <w:rsid w:val="00D41E7C"/>
    <w:rsid w:val="00D423EA"/>
    <w:rsid w:val="00D4300E"/>
    <w:rsid w:val="00D438C0"/>
    <w:rsid w:val="00D43932"/>
    <w:rsid w:val="00D43AC8"/>
    <w:rsid w:val="00D44B02"/>
    <w:rsid w:val="00D44CFC"/>
    <w:rsid w:val="00D453DD"/>
    <w:rsid w:val="00D45464"/>
    <w:rsid w:val="00D45DB2"/>
    <w:rsid w:val="00D46671"/>
    <w:rsid w:val="00D46BD1"/>
    <w:rsid w:val="00D46F86"/>
    <w:rsid w:val="00D47139"/>
    <w:rsid w:val="00D4747F"/>
    <w:rsid w:val="00D47AF4"/>
    <w:rsid w:val="00D47F1B"/>
    <w:rsid w:val="00D50879"/>
    <w:rsid w:val="00D50A3C"/>
    <w:rsid w:val="00D50ED0"/>
    <w:rsid w:val="00D51155"/>
    <w:rsid w:val="00D51610"/>
    <w:rsid w:val="00D51778"/>
    <w:rsid w:val="00D5179A"/>
    <w:rsid w:val="00D518EA"/>
    <w:rsid w:val="00D51C45"/>
    <w:rsid w:val="00D51C4A"/>
    <w:rsid w:val="00D51DE0"/>
    <w:rsid w:val="00D52197"/>
    <w:rsid w:val="00D521B5"/>
    <w:rsid w:val="00D5245B"/>
    <w:rsid w:val="00D52E32"/>
    <w:rsid w:val="00D53407"/>
    <w:rsid w:val="00D53508"/>
    <w:rsid w:val="00D537B2"/>
    <w:rsid w:val="00D53829"/>
    <w:rsid w:val="00D53C6F"/>
    <w:rsid w:val="00D54171"/>
    <w:rsid w:val="00D543CD"/>
    <w:rsid w:val="00D55F36"/>
    <w:rsid w:val="00D56113"/>
    <w:rsid w:val="00D56130"/>
    <w:rsid w:val="00D562CB"/>
    <w:rsid w:val="00D562DF"/>
    <w:rsid w:val="00D56D1C"/>
    <w:rsid w:val="00D56E07"/>
    <w:rsid w:val="00D571FC"/>
    <w:rsid w:val="00D57387"/>
    <w:rsid w:val="00D573A9"/>
    <w:rsid w:val="00D57928"/>
    <w:rsid w:val="00D6069A"/>
    <w:rsid w:val="00D607A7"/>
    <w:rsid w:val="00D608EC"/>
    <w:rsid w:val="00D6117A"/>
    <w:rsid w:val="00D617CE"/>
    <w:rsid w:val="00D61AEE"/>
    <w:rsid w:val="00D61CAB"/>
    <w:rsid w:val="00D61D56"/>
    <w:rsid w:val="00D62684"/>
    <w:rsid w:val="00D62C43"/>
    <w:rsid w:val="00D62D82"/>
    <w:rsid w:val="00D62FD5"/>
    <w:rsid w:val="00D63AB7"/>
    <w:rsid w:val="00D63FAD"/>
    <w:rsid w:val="00D643F4"/>
    <w:rsid w:val="00D645A7"/>
    <w:rsid w:val="00D647F7"/>
    <w:rsid w:val="00D64931"/>
    <w:rsid w:val="00D64EBA"/>
    <w:rsid w:val="00D651CF"/>
    <w:rsid w:val="00D6523D"/>
    <w:rsid w:val="00D65247"/>
    <w:rsid w:val="00D65282"/>
    <w:rsid w:val="00D65AF5"/>
    <w:rsid w:val="00D65B8D"/>
    <w:rsid w:val="00D670DB"/>
    <w:rsid w:val="00D6720C"/>
    <w:rsid w:val="00D6721B"/>
    <w:rsid w:val="00D67321"/>
    <w:rsid w:val="00D675A5"/>
    <w:rsid w:val="00D67AFC"/>
    <w:rsid w:val="00D70056"/>
    <w:rsid w:val="00D70919"/>
    <w:rsid w:val="00D70AC5"/>
    <w:rsid w:val="00D70EDD"/>
    <w:rsid w:val="00D710FD"/>
    <w:rsid w:val="00D716C3"/>
    <w:rsid w:val="00D71B28"/>
    <w:rsid w:val="00D71C3B"/>
    <w:rsid w:val="00D722A9"/>
    <w:rsid w:val="00D727E1"/>
    <w:rsid w:val="00D72D66"/>
    <w:rsid w:val="00D72ED8"/>
    <w:rsid w:val="00D7368B"/>
    <w:rsid w:val="00D73A48"/>
    <w:rsid w:val="00D74687"/>
    <w:rsid w:val="00D74722"/>
    <w:rsid w:val="00D747A8"/>
    <w:rsid w:val="00D74AE1"/>
    <w:rsid w:val="00D74C3F"/>
    <w:rsid w:val="00D7536D"/>
    <w:rsid w:val="00D754B4"/>
    <w:rsid w:val="00D7582E"/>
    <w:rsid w:val="00D75CB0"/>
    <w:rsid w:val="00D75F2A"/>
    <w:rsid w:val="00D76055"/>
    <w:rsid w:val="00D768C6"/>
    <w:rsid w:val="00D777FC"/>
    <w:rsid w:val="00D77842"/>
    <w:rsid w:val="00D7799E"/>
    <w:rsid w:val="00D77ADB"/>
    <w:rsid w:val="00D77DCA"/>
    <w:rsid w:val="00D77E76"/>
    <w:rsid w:val="00D806A9"/>
    <w:rsid w:val="00D80A36"/>
    <w:rsid w:val="00D816B7"/>
    <w:rsid w:val="00D81749"/>
    <w:rsid w:val="00D81840"/>
    <w:rsid w:val="00D81A53"/>
    <w:rsid w:val="00D81A66"/>
    <w:rsid w:val="00D81E6E"/>
    <w:rsid w:val="00D8213A"/>
    <w:rsid w:val="00D8252D"/>
    <w:rsid w:val="00D82D83"/>
    <w:rsid w:val="00D82E1D"/>
    <w:rsid w:val="00D82EE7"/>
    <w:rsid w:val="00D82F37"/>
    <w:rsid w:val="00D82F5C"/>
    <w:rsid w:val="00D831CB"/>
    <w:rsid w:val="00D833D9"/>
    <w:rsid w:val="00D83BD9"/>
    <w:rsid w:val="00D83FF0"/>
    <w:rsid w:val="00D84D7C"/>
    <w:rsid w:val="00D85223"/>
    <w:rsid w:val="00D85269"/>
    <w:rsid w:val="00D855A3"/>
    <w:rsid w:val="00D8662D"/>
    <w:rsid w:val="00D867BD"/>
    <w:rsid w:val="00D86AAF"/>
    <w:rsid w:val="00D86FEC"/>
    <w:rsid w:val="00D872DF"/>
    <w:rsid w:val="00D9040F"/>
    <w:rsid w:val="00D90A04"/>
    <w:rsid w:val="00D90DF0"/>
    <w:rsid w:val="00D91995"/>
    <w:rsid w:val="00D91BCE"/>
    <w:rsid w:val="00D922B4"/>
    <w:rsid w:val="00D92E79"/>
    <w:rsid w:val="00D93672"/>
    <w:rsid w:val="00D93BA7"/>
    <w:rsid w:val="00D93C41"/>
    <w:rsid w:val="00D93D5F"/>
    <w:rsid w:val="00D943DB"/>
    <w:rsid w:val="00D948B8"/>
    <w:rsid w:val="00D94DCF"/>
    <w:rsid w:val="00D94EAE"/>
    <w:rsid w:val="00D94EB1"/>
    <w:rsid w:val="00D9507E"/>
    <w:rsid w:val="00D954A4"/>
    <w:rsid w:val="00D95590"/>
    <w:rsid w:val="00D960F8"/>
    <w:rsid w:val="00D968B0"/>
    <w:rsid w:val="00D96974"/>
    <w:rsid w:val="00D972C1"/>
    <w:rsid w:val="00D97382"/>
    <w:rsid w:val="00DA00E0"/>
    <w:rsid w:val="00DA02D8"/>
    <w:rsid w:val="00DA0560"/>
    <w:rsid w:val="00DA067A"/>
    <w:rsid w:val="00DA0AA9"/>
    <w:rsid w:val="00DA0BCD"/>
    <w:rsid w:val="00DA1044"/>
    <w:rsid w:val="00DA130A"/>
    <w:rsid w:val="00DA14CF"/>
    <w:rsid w:val="00DA17E9"/>
    <w:rsid w:val="00DA189E"/>
    <w:rsid w:val="00DA194E"/>
    <w:rsid w:val="00DA1B20"/>
    <w:rsid w:val="00DA1E07"/>
    <w:rsid w:val="00DA23FC"/>
    <w:rsid w:val="00DA24EA"/>
    <w:rsid w:val="00DA2B13"/>
    <w:rsid w:val="00DA301E"/>
    <w:rsid w:val="00DA3399"/>
    <w:rsid w:val="00DA39F7"/>
    <w:rsid w:val="00DA3CE5"/>
    <w:rsid w:val="00DA43CF"/>
    <w:rsid w:val="00DA4FE4"/>
    <w:rsid w:val="00DA57E0"/>
    <w:rsid w:val="00DA586F"/>
    <w:rsid w:val="00DA5901"/>
    <w:rsid w:val="00DA5C37"/>
    <w:rsid w:val="00DA62D7"/>
    <w:rsid w:val="00DA64DC"/>
    <w:rsid w:val="00DA667D"/>
    <w:rsid w:val="00DA67FA"/>
    <w:rsid w:val="00DA688E"/>
    <w:rsid w:val="00DA6F54"/>
    <w:rsid w:val="00DA7538"/>
    <w:rsid w:val="00DA773C"/>
    <w:rsid w:val="00DA7BE8"/>
    <w:rsid w:val="00DB00CD"/>
    <w:rsid w:val="00DB027A"/>
    <w:rsid w:val="00DB02F3"/>
    <w:rsid w:val="00DB08DA"/>
    <w:rsid w:val="00DB0E5F"/>
    <w:rsid w:val="00DB11BC"/>
    <w:rsid w:val="00DB1439"/>
    <w:rsid w:val="00DB181F"/>
    <w:rsid w:val="00DB1EF4"/>
    <w:rsid w:val="00DB1FBB"/>
    <w:rsid w:val="00DB25B0"/>
    <w:rsid w:val="00DB33C2"/>
    <w:rsid w:val="00DB3420"/>
    <w:rsid w:val="00DB3875"/>
    <w:rsid w:val="00DB393F"/>
    <w:rsid w:val="00DB41CC"/>
    <w:rsid w:val="00DB4559"/>
    <w:rsid w:val="00DB486B"/>
    <w:rsid w:val="00DB5473"/>
    <w:rsid w:val="00DB560C"/>
    <w:rsid w:val="00DB5E5E"/>
    <w:rsid w:val="00DB62CB"/>
    <w:rsid w:val="00DB6310"/>
    <w:rsid w:val="00DB6320"/>
    <w:rsid w:val="00DB6475"/>
    <w:rsid w:val="00DB64A0"/>
    <w:rsid w:val="00DB6905"/>
    <w:rsid w:val="00DB6E4B"/>
    <w:rsid w:val="00DB6EB4"/>
    <w:rsid w:val="00DB7EC7"/>
    <w:rsid w:val="00DB7F09"/>
    <w:rsid w:val="00DC00E8"/>
    <w:rsid w:val="00DC11E4"/>
    <w:rsid w:val="00DC12F7"/>
    <w:rsid w:val="00DC16DA"/>
    <w:rsid w:val="00DC1C56"/>
    <w:rsid w:val="00DC240C"/>
    <w:rsid w:val="00DC3215"/>
    <w:rsid w:val="00DC3249"/>
    <w:rsid w:val="00DC3573"/>
    <w:rsid w:val="00DC384C"/>
    <w:rsid w:val="00DC3D86"/>
    <w:rsid w:val="00DC3F81"/>
    <w:rsid w:val="00DC43D5"/>
    <w:rsid w:val="00DC4756"/>
    <w:rsid w:val="00DC47A1"/>
    <w:rsid w:val="00DC50A7"/>
    <w:rsid w:val="00DC546C"/>
    <w:rsid w:val="00DC5973"/>
    <w:rsid w:val="00DC5CDE"/>
    <w:rsid w:val="00DC60C2"/>
    <w:rsid w:val="00DC624B"/>
    <w:rsid w:val="00DC6379"/>
    <w:rsid w:val="00DC63AF"/>
    <w:rsid w:val="00DC6888"/>
    <w:rsid w:val="00DC6928"/>
    <w:rsid w:val="00DC6954"/>
    <w:rsid w:val="00DC6F66"/>
    <w:rsid w:val="00DC73D9"/>
    <w:rsid w:val="00DC74BF"/>
    <w:rsid w:val="00DC7A82"/>
    <w:rsid w:val="00DC7EA6"/>
    <w:rsid w:val="00DD00B3"/>
    <w:rsid w:val="00DD0625"/>
    <w:rsid w:val="00DD068E"/>
    <w:rsid w:val="00DD0754"/>
    <w:rsid w:val="00DD0C20"/>
    <w:rsid w:val="00DD0F0A"/>
    <w:rsid w:val="00DD1176"/>
    <w:rsid w:val="00DD131B"/>
    <w:rsid w:val="00DD1896"/>
    <w:rsid w:val="00DD1B40"/>
    <w:rsid w:val="00DD200F"/>
    <w:rsid w:val="00DD2499"/>
    <w:rsid w:val="00DD249D"/>
    <w:rsid w:val="00DD33C6"/>
    <w:rsid w:val="00DD4560"/>
    <w:rsid w:val="00DD5312"/>
    <w:rsid w:val="00DD5603"/>
    <w:rsid w:val="00DD6187"/>
    <w:rsid w:val="00DD6461"/>
    <w:rsid w:val="00DD72DB"/>
    <w:rsid w:val="00DD73AA"/>
    <w:rsid w:val="00DD7F0C"/>
    <w:rsid w:val="00DD7FEC"/>
    <w:rsid w:val="00DE09BE"/>
    <w:rsid w:val="00DE115A"/>
    <w:rsid w:val="00DE1362"/>
    <w:rsid w:val="00DE1415"/>
    <w:rsid w:val="00DE18F0"/>
    <w:rsid w:val="00DE2473"/>
    <w:rsid w:val="00DE2683"/>
    <w:rsid w:val="00DE2763"/>
    <w:rsid w:val="00DE2835"/>
    <w:rsid w:val="00DE3138"/>
    <w:rsid w:val="00DE3222"/>
    <w:rsid w:val="00DE3267"/>
    <w:rsid w:val="00DE3450"/>
    <w:rsid w:val="00DE379D"/>
    <w:rsid w:val="00DE3A53"/>
    <w:rsid w:val="00DE3C77"/>
    <w:rsid w:val="00DE3EBC"/>
    <w:rsid w:val="00DE4189"/>
    <w:rsid w:val="00DE4731"/>
    <w:rsid w:val="00DE4CC4"/>
    <w:rsid w:val="00DE53BB"/>
    <w:rsid w:val="00DE53E4"/>
    <w:rsid w:val="00DE6D39"/>
    <w:rsid w:val="00DE70F1"/>
    <w:rsid w:val="00DE71F9"/>
    <w:rsid w:val="00DE7ECF"/>
    <w:rsid w:val="00DF0015"/>
    <w:rsid w:val="00DF051C"/>
    <w:rsid w:val="00DF0E46"/>
    <w:rsid w:val="00DF162F"/>
    <w:rsid w:val="00DF2B45"/>
    <w:rsid w:val="00DF31C1"/>
    <w:rsid w:val="00DF35D4"/>
    <w:rsid w:val="00DF3D84"/>
    <w:rsid w:val="00DF4F5C"/>
    <w:rsid w:val="00DF5338"/>
    <w:rsid w:val="00DF5CC8"/>
    <w:rsid w:val="00DF5D44"/>
    <w:rsid w:val="00DF5D56"/>
    <w:rsid w:val="00DF625A"/>
    <w:rsid w:val="00DF667E"/>
    <w:rsid w:val="00DF68E8"/>
    <w:rsid w:val="00DF6F61"/>
    <w:rsid w:val="00DF723E"/>
    <w:rsid w:val="00DF7892"/>
    <w:rsid w:val="00E003CD"/>
    <w:rsid w:val="00E00878"/>
    <w:rsid w:val="00E00FB7"/>
    <w:rsid w:val="00E0150A"/>
    <w:rsid w:val="00E01FFF"/>
    <w:rsid w:val="00E02283"/>
    <w:rsid w:val="00E03345"/>
    <w:rsid w:val="00E034C9"/>
    <w:rsid w:val="00E036F5"/>
    <w:rsid w:val="00E03A09"/>
    <w:rsid w:val="00E040E1"/>
    <w:rsid w:val="00E0440E"/>
    <w:rsid w:val="00E045E1"/>
    <w:rsid w:val="00E04794"/>
    <w:rsid w:val="00E04D4B"/>
    <w:rsid w:val="00E055E0"/>
    <w:rsid w:val="00E05820"/>
    <w:rsid w:val="00E05872"/>
    <w:rsid w:val="00E05F93"/>
    <w:rsid w:val="00E05F95"/>
    <w:rsid w:val="00E068C3"/>
    <w:rsid w:val="00E06926"/>
    <w:rsid w:val="00E06A32"/>
    <w:rsid w:val="00E06BAA"/>
    <w:rsid w:val="00E06BF6"/>
    <w:rsid w:val="00E07397"/>
    <w:rsid w:val="00E0739C"/>
    <w:rsid w:val="00E077D1"/>
    <w:rsid w:val="00E07EA9"/>
    <w:rsid w:val="00E1010A"/>
    <w:rsid w:val="00E10116"/>
    <w:rsid w:val="00E101C6"/>
    <w:rsid w:val="00E106F2"/>
    <w:rsid w:val="00E109A2"/>
    <w:rsid w:val="00E10CED"/>
    <w:rsid w:val="00E110FF"/>
    <w:rsid w:val="00E1115B"/>
    <w:rsid w:val="00E11717"/>
    <w:rsid w:val="00E11DB0"/>
    <w:rsid w:val="00E11E7F"/>
    <w:rsid w:val="00E11EBC"/>
    <w:rsid w:val="00E12994"/>
    <w:rsid w:val="00E1316A"/>
    <w:rsid w:val="00E13336"/>
    <w:rsid w:val="00E13860"/>
    <w:rsid w:val="00E13E44"/>
    <w:rsid w:val="00E13FBA"/>
    <w:rsid w:val="00E143A7"/>
    <w:rsid w:val="00E145CC"/>
    <w:rsid w:val="00E14EF4"/>
    <w:rsid w:val="00E15036"/>
    <w:rsid w:val="00E153DC"/>
    <w:rsid w:val="00E15653"/>
    <w:rsid w:val="00E162EC"/>
    <w:rsid w:val="00E1636E"/>
    <w:rsid w:val="00E1636F"/>
    <w:rsid w:val="00E16567"/>
    <w:rsid w:val="00E1662B"/>
    <w:rsid w:val="00E16CBF"/>
    <w:rsid w:val="00E17381"/>
    <w:rsid w:val="00E173D8"/>
    <w:rsid w:val="00E17731"/>
    <w:rsid w:val="00E179DA"/>
    <w:rsid w:val="00E2032A"/>
    <w:rsid w:val="00E206E1"/>
    <w:rsid w:val="00E20CE4"/>
    <w:rsid w:val="00E20E63"/>
    <w:rsid w:val="00E20E94"/>
    <w:rsid w:val="00E214CB"/>
    <w:rsid w:val="00E2169E"/>
    <w:rsid w:val="00E21A7D"/>
    <w:rsid w:val="00E21B6A"/>
    <w:rsid w:val="00E21D0D"/>
    <w:rsid w:val="00E21D9C"/>
    <w:rsid w:val="00E21EBF"/>
    <w:rsid w:val="00E225D2"/>
    <w:rsid w:val="00E22BCC"/>
    <w:rsid w:val="00E22D51"/>
    <w:rsid w:val="00E22D60"/>
    <w:rsid w:val="00E23042"/>
    <w:rsid w:val="00E23264"/>
    <w:rsid w:val="00E245C7"/>
    <w:rsid w:val="00E245C8"/>
    <w:rsid w:val="00E24C42"/>
    <w:rsid w:val="00E24E22"/>
    <w:rsid w:val="00E2525E"/>
    <w:rsid w:val="00E2540C"/>
    <w:rsid w:val="00E2541F"/>
    <w:rsid w:val="00E255B5"/>
    <w:rsid w:val="00E25AE9"/>
    <w:rsid w:val="00E266CA"/>
    <w:rsid w:val="00E26B38"/>
    <w:rsid w:val="00E26C4D"/>
    <w:rsid w:val="00E26CF6"/>
    <w:rsid w:val="00E26DA7"/>
    <w:rsid w:val="00E27760"/>
    <w:rsid w:val="00E27BD7"/>
    <w:rsid w:val="00E30288"/>
    <w:rsid w:val="00E306E5"/>
    <w:rsid w:val="00E308FA"/>
    <w:rsid w:val="00E30A6A"/>
    <w:rsid w:val="00E31121"/>
    <w:rsid w:val="00E31478"/>
    <w:rsid w:val="00E319F0"/>
    <w:rsid w:val="00E319FA"/>
    <w:rsid w:val="00E32257"/>
    <w:rsid w:val="00E325B4"/>
    <w:rsid w:val="00E32AF0"/>
    <w:rsid w:val="00E330D5"/>
    <w:rsid w:val="00E333F0"/>
    <w:rsid w:val="00E349A7"/>
    <w:rsid w:val="00E34A57"/>
    <w:rsid w:val="00E34B8D"/>
    <w:rsid w:val="00E359B1"/>
    <w:rsid w:val="00E35FA3"/>
    <w:rsid w:val="00E36155"/>
    <w:rsid w:val="00E362F9"/>
    <w:rsid w:val="00E4068E"/>
    <w:rsid w:val="00E40BCE"/>
    <w:rsid w:val="00E4102F"/>
    <w:rsid w:val="00E414FF"/>
    <w:rsid w:val="00E4161A"/>
    <w:rsid w:val="00E418B2"/>
    <w:rsid w:val="00E41C4F"/>
    <w:rsid w:val="00E4234D"/>
    <w:rsid w:val="00E4250C"/>
    <w:rsid w:val="00E42783"/>
    <w:rsid w:val="00E42A5E"/>
    <w:rsid w:val="00E42AA8"/>
    <w:rsid w:val="00E42CE7"/>
    <w:rsid w:val="00E42FE8"/>
    <w:rsid w:val="00E4381A"/>
    <w:rsid w:val="00E43FF2"/>
    <w:rsid w:val="00E441E5"/>
    <w:rsid w:val="00E449FB"/>
    <w:rsid w:val="00E44B13"/>
    <w:rsid w:val="00E44C28"/>
    <w:rsid w:val="00E45033"/>
    <w:rsid w:val="00E45324"/>
    <w:rsid w:val="00E4591B"/>
    <w:rsid w:val="00E45BC8"/>
    <w:rsid w:val="00E45DB2"/>
    <w:rsid w:val="00E45F34"/>
    <w:rsid w:val="00E4678E"/>
    <w:rsid w:val="00E46BD1"/>
    <w:rsid w:val="00E46F43"/>
    <w:rsid w:val="00E47351"/>
    <w:rsid w:val="00E47AE2"/>
    <w:rsid w:val="00E47DF6"/>
    <w:rsid w:val="00E503BF"/>
    <w:rsid w:val="00E50E7C"/>
    <w:rsid w:val="00E5119D"/>
    <w:rsid w:val="00E5127E"/>
    <w:rsid w:val="00E51545"/>
    <w:rsid w:val="00E518B3"/>
    <w:rsid w:val="00E51D9E"/>
    <w:rsid w:val="00E51FAD"/>
    <w:rsid w:val="00E52086"/>
    <w:rsid w:val="00E52237"/>
    <w:rsid w:val="00E52964"/>
    <w:rsid w:val="00E53158"/>
    <w:rsid w:val="00E532B5"/>
    <w:rsid w:val="00E537D1"/>
    <w:rsid w:val="00E546FD"/>
    <w:rsid w:val="00E547CD"/>
    <w:rsid w:val="00E549CC"/>
    <w:rsid w:val="00E54CF1"/>
    <w:rsid w:val="00E54E5A"/>
    <w:rsid w:val="00E5534A"/>
    <w:rsid w:val="00E5538C"/>
    <w:rsid w:val="00E553C7"/>
    <w:rsid w:val="00E55AFE"/>
    <w:rsid w:val="00E56446"/>
    <w:rsid w:val="00E567E6"/>
    <w:rsid w:val="00E56971"/>
    <w:rsid w:val="00E56C26"/>
    <w:rsid w:val="00E57309"/>
    <w:rsid w:val="00E57754"/>
    <w:rsid w:val="00E60546"/>
    <w:rsid w:val="00E6065F"/>
    <w:rsid w:val="00E61484"/>
    <w:rsid w:val="00E619EB"/>
    <w:rsid w:val="00E61AAF"/>
    <w:rsid w:val="00E62212"/>
    <w:rsid w:val="00E62C21"/>
    <w:rsid w:val="00E62CC7"/>
    <w:rsid w:val="00E63726"/>
    <w:rsid w:val="00E63A99"/>
    <w:rsid w:val="00E63EE5"/>
    <w:rsid w:val="00E6499E"/>
    <w:rsid w:val="00E64BC9"/>
    <w:rsid w:val="00E64F2E"/>
    <w:rsid w:val="00E65438"/>
    <w:rsid w:val="00E6544D"/>
    <w:rsid w:val="00E65704"/>
    <w:rsid w:val="00E65AD8"/>
    <w:rsid w:val="00E66374"/>
    <w:rsid w:val="00E6688D"/>
    <w:rsid w:val="00E66897"/>
    <w:rsid w:val="00E668A9"/>
    <w:rsid w:val="00E672F5"/>
    <w:rsid w:val="00E679D0"/>
    <w:rsid w:val="00E7017C"/>
    <w:rsid w:val="00E7029F"/>
    <w:rsid w:val="00E7030D"/>
    <w:rsid w:val="00E711D7"/>
    <w:rsid w:val="00E717FA"/>
    <w:rsid w:val="00E71958"/>
    <w:rsid w:val="00E71ECB"/>
    <w:rsid w:val="00E71FCF"/>
    <w:rsid w:val="00E7242A"/>
    <w:rsid w:val="00E729D1"/>
    <w:rsid w:val="00E72FD0"/>
    <w:rsid w:val="00E73893"/>
    <w:rsid w:val="00E73D67"/>
    <w:rsid w:val="00E73E1D"/>
    <w:rsid w:val="00E73F3C"/>
    <w:rsid w:val="00E73FB2"/>
    <w:rsid w:val="00E7454F"/>
    <w:rsid w:val="00E74AB4"/>
    <w:rsid w:val="00E74DD6"/>
    <w:rsid w:val="00E753C9"/>
    <w:rsid w:val="00E75641"/>
    <w:rsid w:val="00E7578C"/>
    <w:rsid w:val="00E7674E"/>
    <w:rsid w:val="00E76C71"/>
    <w:rsid w:val="00E7775E"/>
    <w:rsid w:val="00E80619"/>
    <w:rsid w:val="00E80757"/>
    <w:rsid w:val="00E80C88"/>
    <w:rsid w:val="00E815E1"/>
    <w:rsid w:val="00E81D19"/>
    <w:rsid w:val="00E823DD"/>
    <w:rsid w:val="00E8291E"/>
    <w:rsid w:val="00E82ED1"/>
    <w:rsid w:val="00E8319E"/>
    <w:rsid w:val="00E832C1"/>
    <w:rsid w:val="00E84C5E"/>
    <w:rsid w:val="00E84E55"/>
    <w:rsid w:val="00E853F5"/>
    <w:rsid w:val="00E857D5"/>
    <w:rsid w:val="00E8633B"/>
    <w:rsid w:val="00E865F5"/>
    <w:rsid w:val="00E86A88"/>
    <w:rsid w:val="00E878C1"/>
    <w:rsid w:val="00E901D3"/>
    <w:rsid w:val="00E902B0"/>
    <w:rsid w:val="00E902E8"/>
    <w:rsid w:val="00E9030B"/>
    <w:rsid w:val="00E90615"/>
    <w:rsid w:val="00E90669"/>
    <w:rsid w:val="00E90C8E"/>
    <w:rsid w:val="00E90D2A"/>
    <w:rsid w:val="00E90E18"/>
    <w:rsid w:val="00E91313"/>
    <w:rsid w:val="00E91331"/>
    <w:rsid w:val="00E918E5"/>
    <w:rsid w:val="00E91B43"/>
    <w:rsid w:val="00E9235D"/>
    <w:rsid w:val="00E92520"/>
    <w:rsid w:val="00E9296B"/>
    <w:rsid w:val="00E92DD2"/>
    <w:rsid w:val="00E9302A"/>
    <w:rsid w:val="00E93493"/>
    <w:rsid w:val="00E935F8"/>
    <w:rsid w:val="00E936F6"/>
    <w:rsid w:val="00E93C77"/>
    <w:rsid w:val="00E93DEA"/>
    <w:rsid w:val="00E943C9"/>
    <w:rsid w:val="00E94D2E"/>
    <w:rsid w:val="00E94F0F"/>
    <w:rsid w:val="00E94FBE"/>
    <w:rsid w:val="00E959C1"/>
    <w:rsid w:val="00E9608B"/>
    <w:rsid w:val="00E961D0"/>
    <w:rsid w:val="00E961E3"/>
    <w:rsid w:val="00E96420"/>
    <w:rsid w:val="00E965AA"/>
    <w:rsid w:val="00E96E62"/>
    <w:rsid w:val="00E97044"/>
    <w:rsid w:val="00E97333"/>
    <w:rsid w:val="00E97C19"/>
    <w:rsid w:val="00EA08FA"/>
    <w:rsid w:val="00EA0BAE"/>
    <w:rsid w:val="00EA0C06"/>
    <w:rsid w:val="00EA1279"/>
    <w:rsid w:val="00EA13AB"/>
    <w:rsid w:val="00EA13CB"/>
    <w:rsid w:val="00EA18C6"/>
    <w:rsid w:val="00EA1905"/>
    <w:rsid w:val="00EA1BE6"/>
    <w:rsid w:val="00EA1EBB"/>
    <w:rsid w:val="00EA20C6"/>
    <w:rsid w:val="00EA23AC"/>
    <w:rsid w:val="00EA27DF"/>
    <w:rsid w:val="00EA284E"/>
    <w:rsid w:val="00EA2ECD"/>
    <w:rsid w:val="00EA35E0"/>
    <w:rsid w:val="00EA3863"/>
    <w:rsid w:val="00EA398F"/>
    <w:rsid w:val="00EA3AAF"/>
    <w:rsid w:val="00EA3AE3"/>
    <w:rsid w:val="00EA3BBA"/>
    <w:rsid w:val="00EA3FE8"/>
    <w:rsid w:val="00EA4196"/>
    <w:rsid w:val="00EA4613"/>
    <w:rsid w:val="00EA481B"/>
    <w:rsid w:val="00EA4D9F"/>
    <w:rsid w:val="00EA5BD3"/>
    <w:rsid w:val="00EA5DE6"/>
    <w:rsid w:val="00EA62E2"/>
    <w:rsid w:val="00EA6554"/>
    <w:rsid w:val="00EA6E49"/>
    <w:rsid w:val="00EA6F50"/>
    <w:rsid w:val="00EA72A4"/>
    <w:rsid w:val="00EA72E5"/>
    <w:rsid w:val="00EA7609"/>
    <w:rsid w:val="00EA7C3D"/>
    <w:rsid w:val="00EA7D94"/>
    <w:rsid w:val="00EA7D95"/>
    <w:rsid w:val="00EA7E45"/>
    <w:rsid w:val="00EB0065"/>
    <w:rsid w:val="00EB046B"/>
    <w:rsid w:val="00EB04F2"/>
    <w:rsid w:val="00EB0888"/>
    <w:rsid w:val="00EB0900"/>
    <w:rsid w:val="00EB09AB"/>
    <w:rsid w:val="00EB0AF6"/>
    <w:rsid w:val="00EB0B29"/>
    <w:rsid w:val="00EB0C67"/>
    <w:rsid w:val="00EB0D96"/>
    <w:rsid w:val="00EB1507"/>
    <w:rsid w:val="00EB186B"/>
    <w:rsid w:val="00EB1E05"/>
    <w:rsid w:val="00EB2075"/>
    <w:rsid w:val="00EB207A"/>
    <w:rsid w:val="00EB230E"/>
    <w:rsid w:val="00EB2468"/>
    <w:rsid w:val="00EB25BA"/>
    <w:rsid w:val="00EB27D3"/>
    <w:rsid w:val="00EB2861"/>
    <w:rsid w:val="00EB3368"/>
    <w:rsid w:val="00EB3814"/>
    <w:rsid w:val="00EB3C8D"/>
    <w:rsid w:val="00EB3FEA"/>
    <w:rsid w:val="00EB4B0B"/>
    <w:rsid w:val="00EB51A7"/>
    <w:rsid w:val="00EB52E3"/>
    <w:rsid w:val="00EB5752"/>
    <w:rsid w:val="00EB5B72"/>
    <w:rsid w:val="00EB5C22"/>
    <w:rsid w:val="00EB5F26"/>
    <w:rsid w:val="00EB66D3"/>
    <w:rsid w:val="00EB6878"/>
    <w:rsid w:val="00EB704C"/>
    <w:rsid w:val="00EB70E6"/>
    <w:rsid w:val="00EB768C"/>
    <w:rsid w:val="00EB7E4E"/>
    <w:rsid w:val="00EB7EC1"/>
    <w:rsid w:val="00EC000F"/>
    <w:rsid w:val="00EC09C3"/>
    <w:rsid w:val="00EC0A0E"/>
    <w:rsid w:val="00EC0CB9"/>
    <w:rsid w:val="00EC0FAD"/>
    <w:rsid w:val="00EC1DA3"/>
    <w:rsid w:val="00EC1E0E"/>
    <w:rsid w:val="00EC1E56"/>
    <w:rsid w:val="00EC21BF"/>
    <w:rsid w:val="00EC22A4"/>
    <w:rsid w:val="00EC2335"/>
    <w:rsid w:val="00EC236D"/>
    <w:rsid w:val="00EC2534"/>
    <w:rsid w:val="00EC2570"/>
    <w:rsid w:val="00EC2730"/>
    <w:rsid w:val="00EC42B5"/>
    <w:rsid w:val="00EC4536"/>
    <w:rsid w:val="00EC4840"/>
    <w:rsid w:val="00EC491D"/>
    <w:rsid w:val="00EC49EC"/>
    <w:rsid w:val="00EC4BBC"/>
    <w:rsid w:val="00EC4E97"/>
    <w:rsid w:val="00EC5230"/>
    <w:rsid w:val="00EC5893"/>
    <w:rsid w:val="00EC5EE3"/>
    <w:rsid w:val="00EC5FA2"/>
    <w:rsid w:val="00EC5FC2"/>
    <w:rsid w:val="00EC6B16"/>
    <w:rsid w:val="00EC6EB1"/>
    <w:rsid w:val="00EC76EF"/>
    <w:rsid w:val="00EC7717"/>
    <w:rsid w:val="00EC7772"/>
    <w:rsid w:val="00EC7A04"/>
    <w:rsid w:val="00EC7A26"/>
    <w:rsid w:val="00ED003A"/>
    <w:rsid w:val="00ED02E2"/>
    <w:rsid w:val="00ED0501"/>
    <w:rsid w:val="00ED0FFC"/>
    <w:rsid w:val="00ED2080"/>
    <w:rsid w:val="00ED2470"/>
    <w:rsid w:val="00ED24AE"/>
    <w:rsid w:val="00ED356E"/>
    <w:rsid w:val="00ED3E1B"/>
    <w:rsid w:val="00ED3EC7"/>
    <w:rsid w:val="00ED4A0E"/>
    <w:rsid w:val="00ED4D6E"/>
    <w:rsid w:val="00ED4E75"/>
    <w:rsid w:val="00ED5025"/>
    <w:rsid w:val="00ED512A"/>
    <w:rsid w:val="00ED51E6"/>
    <w:rsid w:val="00ED5441"/>
    <w:rsid w:val="00ED5A20"/>
    <w:rsid w:val="00ED5B1C"/>
    <w:rsid w:val="00ED6075"/>
    <w:rsid w:val="00ED6566"/>
    <w:rsid w:val="00ED6802"/>
    <w:rsid w:val="00ED70F4"/>
    <w:rsid w:val="00ED752D"/>
    <w:rsid w:val="00ED780C"/>
    <w:rsid w:val="00ED7CEE"/>
    <w:rsid w:val="00EE03C5"/>
    <w:rsid w:val="00EE05A4"/>
    <w:rsid w:val="00EE07D4"/>
    <w:rsid w:val="00EE08AB"/>
    <w:rsid w:val="00EE0A56"/>
    <w:rsid w:val="00EE1447"/>
    <w:rsid w:val="00EE147C"/>
    <w:rsid w:val="00EE1535"/>
    <w:rsid w:val="00EE1ACA"/>
    <w:rsid w:val="00EE1B26"/>
    <w:rsid w:val="00EE1BF1"/>
    <w:rsid w:val="00EE1E36"/>
    <w:rsid w:val="00EE1E80"/>
    <w:rsid w:val="00EE2A00"/>
    <w:rsid w:val="00EE2F71"/>
    <w:rsid w:val="00EE3049"/>
    <w:rsid w:val="00EE368A"/>
    <w:rsid w:val="00EE3C2A"/>
    <w:rsid w:val="00EE3DC8"/>
    <w:rsid w:val="00EE42E6"/>
    <w:rsid w:val="00EE43BC"/>
    <w:rsid w:val="00EE4518"/>
    <w:rsid w:val="00EE4726"/>
    <w:rsid w:val="00EE4864"/>
    <w:rsid w:val="00EE4A1C"/>
    <w:rsid w:val="00EE4C19"/>
    <w:rsid w:val="00EE4F2B"/>
    <w:rsid w:val="00EE4F70"/>
    <w:rsid w:val="00EE5133"/>
    <w:rsid w:val="00EE52CF"/>
    <w:rsid w:val="00EE545D"/>
    <w:rsid w:val="00EE56B4"/>
    <w:rsid w:val="00EE59E4"/>
    <w:rsid w:val="00EE59EC"/>
    <w:rsid w:val="00EE63F7"/>
    <w:rsid w:val="00EE6569"/>
    <w:rsid w:val="00EE6623"/>
    <w:rsid w:val="00EE680E"/>
    <w:rsid w:val="00EE6FE5"/>
    <w:rsid w:val="00EE74C8"/>
    <w:rsid w:val="00EE74DF"/>
    <w:rsid w:val="00EE7706"/>
    <w:rsid w:val="00EE7744"/>
    <w:rsid w:val="00EE77D2"/>
    <w:rsid w:val="00EE7DA1"/>
    <w:rsid w:val="00EF0348"/>
    <w:rsid w:val="00EF06E5"/>
    <w:rsid w:val="00EF082F"/>
    <w:rsid w:val="00EF0C91"/>
    <w:rsid w:val="00EF0EBC"/>
    <w:rsid w:val="00EF145E"/>
    <w:rsid w:val="00EF1509"/>
    <w:rsid w:val="00EF19D9"/>
    <w:rsid w:val="00EF1EDE"/>
    <w:rsid w:val="00EF25DE"/>
    <w:rsid w:val="00EF2BBB"/>
    <w:rsid w:val="00EF3283"/>
    <w:rsid w:val="00EF32FC"/>
    <w:rsid w:val="00EF3999"/>
    <w:rsid w:val="00EF4271"/>
    <w:rsid w:val="00EF4818"/>
    <w:rsid w:val="00EF48C7"/>
    <w:rsid w:val="00EF49C0"/>
    <w:rsid w:val="00EF4A41"/>
    <w:rsid w:val="00EF4E5C"/>
    <w:rsid w:val="00EF510E"/>
    <w:rsid w:val="00EF54F6"/>
    <w:rsid w:val="00EF6116"/>
    <w:rsid w:val="00EF65DE"/>
    <w:rsid w:val="00EF67F6"/>
    <w:rsid w:val="00EF69D2"/>
    <w:rsid w:val="00EF6AE2"/>
    <w:rsid w:val="00EF75D0"/>
    <w:rsid w:val="00EF76A8"/>
    <w:rsid w:val="00EF789E"/>
    <w:rsid w:val="00EF7AF1"/>
    <w:rsid w:val="00EF7BC5"/>
    <w:rsid w:val="00EF7C33"/>
    <w:rsid w:val="00F007E8"/>
    <w:rsid w:val="00F0082D"/>
    <w:rsid w:val="00F00C77"/>
    <w:rsid w:val="00F00E95"/>
    <w:rsid w:val="00F010CD"/>
    <w:rsid w:val="00F01316"/>
    <w:rsid w:val="00F015AB"/>
    <w:rsid w:val="00F017EF"/>
    <w:rsid w:val="00F0185B"/>
    <w:rsid w:val="00F01E20"/>
    <w:rsid w:val="00F0203E"/>
    <w:rsid w:val="00F02802"/>
    <w:rsid w:val="00F02BFF"/>
    <w:rsid w:val="00F046EA"/>
    <w:rsid w:val="00F04B14"/>
    <w:rsid w:val="00F05359"/>
    <w:rsid w:val="00F05A7B"/>
    <w:rsid w:val="00F05E27"/>
    <w:rsid w:val="00F063FB"/>
    <w:rsid w:val="00F06574"/>
    <w:rsid w:val="00F06853"/>
    <w:rsid w:val="00F0685A"/>
    <w:rsid w:val="00F06CCD"/>
    <w:rsid w:val="00F06EDE"/>
    <w:rsid w:val="00F06F0D"/>
    <w:rsid w:val="00F0755E"/>
    <w:rsid w:val="00F076F8"/>
    <w:rsid w:val="00F0773C"/>
    <w:rsid w:val="00F07C90"/>
    <w:rsid w:val="00F102B2"/>
    <w:rsid w:val="00F10405"/>
    <w:rsid w:val="00F11087"/>
    <w:rsid w:val="00F11242"/>
    <w:rsid w:val="00F112DF"/>
    <w:rsid w:val="00F11CC7"/>
    <w:rsid w:val="00F1201C"/>
    <w:rsid w:val="00F12C7A"/>
    <w:rsid w:val="00F12E2A"/>
    <w:rsid w:val="00F13343"/>
    <w:rsid w:val="00F13CFB"/>
    <w:rsid w:val="00F13D53"/>
    <w:rsid w:val="00F13DEB"/>
    <w:rsid w:val="00F13EEA"/>
    <w:rsid w:val="00F13FE6"/>
    <w:rsid w:val="00F14CE0"/>
    <w:rsid w:val="00F14E79"/>
    <w:rsid w:val="00F14FD2"/>
    <w:rsid w:val="00F1585B"/>
    <w:rsid w:val="00F1634E"/>
    <w:rsid w:val="00F16462"/>
    <w:rsid w:val="00F16750"/>
    <w:rsid w:val="00F16F93"/>
    <w:rsid w:val="00F175BF"/>
    <w:rsid w:val="00F175EC"/>
    <w:rsid w:val="00F1789B"/>
    <w:rsid w:val="00F179F1"/>
    <w:rsid w:val="00F20084"/>
    <w:rsid w:val="00F200D6"/>
    <w:rsid w:val="00F20220"/>
    <w:rsid w:val="00F2024B"/>
    <w:rsid w:val="00F20630"/>
    <w:rsid w:val="00F20F8A"/>
    <w:rsid w:val="00F21108"/>
    <w:rsid w:val="00F21442"/>
    <w:rsid w:val="00F21874"/>
    <w:rsid w:val="00F22110"/>
    <w:rsid w:val="00F22147"/>
    <w:rsid w:val="00F2247E"/>
    <w:rsid w:val="00F22EF6"/>
    <w:rsid w:val="00F22F2F"/>
    <w:rsid w:val="00F22FF0"/>
    <w:rsid w:val="00F23C91"/>
    <w:rsid w:val="00F23D0F"/>
    <w:rsid w:val="00F23D80"/>
    <w:rsid w:val="00F2410E"/>
    <w:rsid w:val="00F241A9"/>
    <w:rsid w:val="00F2498A"/>
    <w:rsid w:val="00F24A9B"/>
    <w:rsid w:val="00F24B4E"/>
    <w:rsid w:val="00F25763"/>
    <w:rsid w:val="00F2599E"/>
    <w:rsid w:val="00F25B68"/>
    <w:rsid w:val="00F25BAB"/>
    <w:rsid w:val="00F25D66"/>
    <w:rsid w:val="00F25D9C"/>
    <w:rsid w:val="00F25DFE"/>
    <w:rsid w:val="00F2651A"/>
    <w:rsid w:val="00F26B22"/>
    <w:rsid w:val="00F27244"/>
    <w:rsid w:val="00F27CF0"/>
    <w:rsid w:val="00F27E6C"/>
    <w:rsid w:val="00F27FF1"/>
    <w:rsid w:val="00F30437"/>
    <w:rsid w:val="00F304A4"/>
    <w:rsid w:val="00F30E12"/>
    <w:rsid w:val="00F313EA"/>
    <w:rsid w:val="00F31560"/>
    <w:rsid w:val="00F3207C"/>
    <w:rsid w:val="00F328D1"/>
    <w:rsid w:val="00F33068"/>
    <w:rsid w:val="00F33489"/>
    <w:rsid w:val="00F337E3"/>
    <w:rsid w:val="00F338F8"/>
    <w:rsid w:val="00F33D5B"/>
    <w:rsid w:val="00F33DB8"/>
    <w:rsid w:val="00F346B3"/>
    <w:rsid w:val="00F34885"/>
    <w:rsid w:val="00F35A32"/>
    <w:rsid w:val="00F35ACC"/>
    <w:rsid w:val="00F35CA6"/>
    <w:rsid w:val="00F365F2"/>
    <w:rsid w:val="00F3678E"/>
    <w:rsid w:val="00F369F9"/>
    <w:rsid w:val="00F36FD8"/>
    <w:rsid w:val="00F37091"/>
    <w:rsid w:val="00F3778C"/>
    <w:rsid w:val="00F37C53"/>
    <w:rsid w:val="00F37CDB"/>
    <w:rsid w:val="00F400E0"/>
    <w:rsid w:val="00F4044C"/>
    <w:rsid w:val="00F40803"/>
    <w:rsid w:val="00F42201"/>
    <w:rsid w:val="00F42538"/>
    <w:rsid w:val="00F42CF1"/>
    <w:rsid w:val="00F440DD"/>
    <w:rsid w:val="00F4421F"/>
    <w:rsid w:val="00F44390"/>
    <w:rsid w:val="00F448E1"/>
    <w:rsid w:val="00F4521D"/>
    <w:rsid w:val="00F4550E"/>
    <w:rsid w:val="00F459A2"/>
    <w:rsid w:val="00F459B3"/>
    <w:rsid w:val="00F45A4A"/>
    <w:rsid w:val="00F46573"/>
    <w:rsid w:val="00F4679C"/>
    <w:rsid w:val="00F46AB7"/>
    <w:rsid w:val="00F46DDB"/>
    <w:rsid w:val="00F47184"/>
    <w:rsid w:val="00F47483"/>
    <w:rsid w:val="00F47622"/>
    <w:rsid w:val="00F47F29"/>
    <w:rsid w:val="00F50245"/>
    <w:rsid w:val="00F50384"/>
    <w:rsid w:val="00F50539"/>
    <w:rsid w:val="00F50AD9"/>
    <w:rsid w:val="00F5119B"/>
    <w:rsid w:val="00F51520"/>
    <w:rsid w:val="00F51755"/>
    <w:rsid w:val="00F51831"/>
    <w:rsid w:val="00F51D7F"/>
    <w:rsid w:val="00F5227D"/>
    <w:rsid w:val="00F52998"/>
    <w:rsid w:val="00F52A65"/>
    <w:rsid w:val="00F52B3F"/>
    <w:rsid w:val="00F53D98"/>
    <w:rsid w:val="00F54520"/>
    <w:rsid w:val="00F546A7"/>
    <w:rsid w:val="00F54731"/>
    <w:rsid w:val="00F548DE"/>
    <w:rsid w:val="00F54B5D"/>
    <w:rsid w:val="00F5519A"/>
    <w:rsid w:val="00F55634"/>
    <w:rsid w:val="00F557AF"/>
    <w:rsid w:val="00F55EB7"/>
    <w:rsid w:val="00F56835"/>
    <w:rsid w:val="00F56E34"/>
    <w:rsid w:val="00F570F3"/>
    <w:rsid w:val="00F57267"/>
    <w:rsid w:val="00F57922"/>
    <w:rsid w:val="00F57A1C"/>
    <w:rsid w:val="00F57BED"/>
    <w:rsid w:val="00F57F84"/>
    <w:rsid w:val="00F60198"/>
    <w:rsid w:val="00F608D0"/>
    <w:rsid w:val="00F6092B"/>
    <w:rsid w:val="00F60A3E"/>
    <w:rsid w:val="00F61558"/>
    <w:rsid w:val="00F617C6"/>
    <w:rsid w:val="00F62840"/>
    <w:rsid w:val="00F630FD"/>
    <w:rsid w:val="00F6332C"/>
    <w:rsid w:val="00F636A2"/>
    <w:rsid w:val="00F65017"/>
    <w:rsid w:val="00F65025"/>
    <w:rsid w:val="00F650BC"/>
    <w:rsid w:val="00F6561C"/>
    <w:rsid w:val="00F6600F"/>
    <w:rsid w:val="00F669CD"/>
    <w:rsid w:val="00F6719B"/>
    <w:rsid w:val="00F67C2E"/>
    <w:rsid w:val="00F70029"/>
    <w:rsid w:val="00F702ED"/>
    <w:rsid w:val="00F7065A"/>
    <w:rsid w:val="00F70888"/>
    <w:rsid w:val="00F7113E"/>
    <w:rsid w:val="00F7128E"/>
    <w:rsid w:val="00F714F7"/>
    <w:rsid w:val="00F7150C"/>
    <w:rsid w:val="00F71760"/>
    <w:rsid w:val="00F71767"/>
    <w:rsid w:val="00F717BC"/>
    <w:rsid w:val="00F71917"/>
    <w:rsid w:val="00F71A0C"/>
    <w:rsid w:val="00F71E0C"/>
    <w:rsid w:val="00F722AB"/>
    <w:rsid w:val="00F72554"/>
    <w:rsid w:val="00F72859"/>
    <w:rsid w:val="00F728CA"/>
    <w:rsid w:val="00F72944"/>
    <w:rsid w:val="00F72952"/>
    <w:rsid w:val="00F7360C"/>
    <w:rsid w:val="00F737DB"/>
    <w:rsid w:val="00F74006"/>
    <w:rsid w:val="00F7578E"/>
    <w:rsid w:val="00F758EA"/>
    <w:rsid w:val="00F7613A"/>
    <w:rsid w:val="00F76482"/>
    <w:rsid w:val="00F7661C"/>
    <w:rsid w:val="00F770A4"/>
    <w:rsid w:val="00F7717D"/>
    <w:rsid w:val="00F774E3"/>
    <w:rsid w:val="00F77AD6"/>
    <w:rsid w:val="00F803CF"/>
    <w:rsid w:val="00F80555"/>
    <w:rsid w:val="00F805C2"/>
    <w:rsid w:val="00F80C6E"/>
    <w:rsid w:val="00F80FB4"/>
    <w:rsid w:val="00F812D9"/>
    <w:rsid w:val="00F81AC9"/>
    <w:rsid w:val="00F81B22"/>
    <w:rsid w:val="00F81C36"/>
    <w:rsid w:val="00F81E3A"/>
    <w:rsid w:val="00F8234F"/>
    <w:rsid w:val="00F824DB"/>
    <w:rsid w:val="00F82746"/>
    <w:rsid w:val="00F830AD"/>
    <w:rsid w:val="00F836F9"/>
    <w:rsid w:val="00F838C9"/>
    <w:rsid w:val="00F83B60"/>
    <w:rsid w:val="00F83BFC"/>
    <w:rsid w:val="00F83D19"/>
    <w:rsid w:val="00F83E3B"/>
    <w:rsid w:val="00F83F20"/>
    <w:rsid w:val="00F845D7"/>
    <w:rsid w:val="00F848F5"/>
    <w:rsid w:val="00F84B33"/>
    <w:rsid w:val="00F8639C"/>
    <w:rsid w:val="00F864CF"/>
    <w:rsid w:val="00F8679E"/>
    <w:rsid w:val="00F86B20"/>
    <w:rsid w:val="00F86D6C"/>
    <w:rsid w:val="00F86E34"/>
    <w:rsid w:val="00F873DB"/>
    <w:rsid w:val="00F873E8"/>
    <w:rsid w:val="00F879E4"/>
    <w:rsid w:val="00F87A40"/>
    <w:rsid w:val="00F87D00"/>
    <w:rsid w:val="00F90290"/>
    <w:rsid w:val="00F91087"/>
    <w:rsid w:val="00F911E1"/>
    <w:rsid w:val="00F91826"/>
    <w:rsid w:val="00F91E6F"/>
    <w:rsid w:val="00F92279"/>
    <w:rsid w:val="00F92557"/>
    <w:rsid w:val="00F93014"/>
    <w:rsid w:val="00F9377D"/>
    <w:rsid w:val="00F9468D"/>
    <w:rsid w:val="00F94915"/>
    <w:rsid w:val="00F94AA6"/>
    <w:rsid w:val="00F94C11"/>
    <w:rsid w:val="00F94E89"/>
    <w:rsid w:val="00F95343"/>
    <w:rsid w:val="00F9534E"/>
    <w:rsid w:val="00F95A1C"/>
    <w:rsid w:val="00F95A46"/>
    <w:rsid w:val="00F95B1D"/>
    <w:rsid w:val="00F9617C"/>
    <w:rsid w:val="00F965A8"/>
    <w:rsid w:val="00F96BE7"/>
    <w:rsid w:val="00F970CB"/>
    <w:rsid w:val="00F975C5"/>
    <w:rsid w:val="00F97761"/>
    <w:rsid w:val="00FA0E3C"/>
    <w:rsid w:val="00FA1212"/>
    <w:rsid w:val="00FA1501"/>
    <w:rsid w:val="00FA1AE7"/>
    <w:rsid w:val="00FA29F9"/>
    <w:rsid w:val="00FA2CD8"/>
    <w:rsid w:val="00FA32A3"/>
    <w:rsid w:val="00FA380C"/>
    <w:rsid w:val="00FA3BB9"/>
    <w:rsid w:val="00FA3EB4"/>
    <w:rsid w:val="00FA3F00"/>
    <w:rsid w:val="00FA46DA"/>
    <w:rsid w:val="00FA4C7D"/>
    <w:rsid w:val="00FA4DFE"/>
    <w:rsid w:val="00FA592E"/>
    <w:rsid w:val="00FA5A8C"/>
    <w:rsid w:val="00FA5D7C"/>
    <w:rsid w:val="00FA6467"/>
    <w:rsid w:val="00FA6894"/>
    <w:rsid w:val="00FA69B2"/>
    <w:rsid w:val="00FA6AC3"/>
    <w:rsid w:val="00FA6F56"/>
    <w:rsid w:val="00FA7237"/>
    <w:rsid w:val="00FA7388"/>
    <w:rsid w:val="00FA78D4"/>
    <w:rsid w:val="00FB02CF"/>
    <w:rsid w:val="00FB0A86"/>
    <w:rsid w:val="00FB0FC1"/>
    <w:rsid w:val="00FB1791"/>
    <w:rsid w:val="00FB1E3C"/>
    <w:rsid w:val="00FB2276"/>
    <w:rsid w:val="00FB3D70"/>
    <w:rsid w:val="00FB3F85"/>
    <w:rsid w:val="00FB402C"/>
    <w:rsid w:val="00FB4704"/>
    <w:rsid w:val="00FB4932"/>
    <w:rsid w:val="00FB4972"/>
    <w:rsid w:val="00FB4C40"/>
    <w:rsid w:val="00FB4D21"/>
    <w:rsid w:val="00FB4EF0"/>
    <w:rsid w:val="00FB4F88"/>
    <w:rsid w:val="00FB56FF"/>
    <w:rsid w:val="00FB5754"/>
    <w:rsid w:val="00FB5CCF"/>
    <w:rsid w:val="00FB5E24"/>
    <w:rsid w:val="00FB6054"/>
    <w:rsid w:val="00FB678E"/>
    <w:rsid w:val="00FB69A1"/>
    <w:rsid w:val="00FB6C0D"/>
    <w:rsid w:val="00FB762B"/>
    <w:rsid w:val="00FB764B"/>
    <w:rsid w:val="00FB7871"/>
    <w:rsid w:val="00FB7A62"/>
    <w:rsid w:val="00FB7F1F"/>
    <w:rsid w:val="00FC0015"/>
    <w:rsid w:val="00FC00FD"/>
    <w:rsid w:val="00FC07A9"/>
    <w:rsid w:val="00FC0BDB"/>
    <w:rsid w:val="00FC1555"/>
    <w:rsid w:val="00FC1DA7"/>
    <w:rsid w:val="00FC2982"/>
    <w:rsid w:val="00FC3035"/>
    <w:rsid w:val="00FC3542"/>
    <w:rsid w:val="00FC3558"/>
    <w:rsid w:val="00FC3BC3"/>
    <w:rsid w:val="00FC3E26"/>
    <w:rsid w:val="00FC3E27"/>
    <w:rsid w:val="00FC3F22"/>
    <w:rsid w:val="00FC438D"/>
    <w:rsid w:val="00FC4721"/>
    <w:rsid w:val="00FC48CF"/>
    <w:rsid w:val="00FC4AE9"/>
    <w:rsid w:val="00FC4B78"/>
    <w:rsid w:val="00FC532C"/>
    <w:rsid w:val="00FC6907"/>
    <w:rsid w:val="00FC6ADA"/>
    <w:rsid w:val="00FC76BD"/>
    <w:rsid w:val="00FC7867"/>
    <w:rsid w:val="00FC7CE8"/>
    <w:rsid w:val="00FC7EC7"/>
    <w:rsid w:val="00FD0114"/>
    <w:rsid w:val="00FD0807"/>
    <w:rsid w:val="00FD0CDE"/>
    <w:rsid w:val="00FD15D0"/>
    <w:rsid w:val="00FD1F2B"/>
    <w:rsid w:val="00FD1F99"/>
    <w:rsid w:val="00FD22BC"/>
    <w:rsid w:val="00FD3C8E"/>
    <w:rsid w:val="00FD47F9"/>
    <w:rsid w:val="00FD5026"/>
    <w:rsid w:val="00FD51EF"/>
    <w:rsid w:val="00FD5572"/>
    <w:rsid w:val="00FD59FA"/>
    <w:rsid w:val="00FD5B58"/>
    <w:rsid w:val="00FD5F9E"/>
    <w:rsid w:val="00FD62DB"/>
    <w:rsid w:val="00FD632E"/>
    <w:rsid w:val="00FD6450"/>
    <w:rsid w:val="00FD657F"/>
    <w:rsid w:val="00FD6812"/>
    <w:rsid w:val="00FD693B"/>
    <w:rsid w:val="00FD6D5D"/>
    <w:rsid w:val="00FD6E61"/>
    <w:rsid w:val="00FD701F"/>
    <w:rsid w:val="00FD7461"/>
    <w:rsid w:val="00FD7AE9"/>
    <w:rsid w:val="00FE0A2A"/>
    <w:rsid w:val="00FE0C22"/>
    <w:rsid w:val="00FE0DCB"/>
    <w:rsid w:val="00FE1178"/>
    <w:rsid w:val="00FE1647"/>
    <w:rsid w:val="00FE1F60"/>
    <w:rsid w:val="00FE21A5"/>
    <w:rsid w:val="00FE22D5"/>
    <w:rsid w:val="00FE352E"/>
    <w:rsid w:val="00FE35A3"/>
    <w:rsid w:val="00FE3C00"/>
    <w:rsid w:val="00FE3E6E"/>
    <w:rsid w:val="00FE45A0"/>
    <w:rsid w:val="00FE47DB"/>
    <w:rsid w:val="00FE47F5"/>
    <w:rsid w:val="00FE4AD5"/>
    <w:rsid w:val="00FE4E0B"/>
    <w:rsid w:val="00FE59ED"/>
    <w:rsid w:val="00FE5A4A"/>
    <w:rsid w:val="00FE5FBE"/>
    <w:rsid w:val="00FE671A"/>
    <w:rsid w:val="00FE68CD"/>
    <w:rsid w:val="00FE6A0E"/>
    <w:rsid w:val="00FE7501"/>
    <w:rsid w:val="00FE7B34"/>
    <w:rsid w:val="00FE7F8B"/>
    <w:rsid w:val="00FF0484"/>
    <w:rsid w:val="00FF061C"/>
    <w:rsid w:val="00FF0B26"/>
    <w:rsid w:val="00FF0CB3"/>
    <w:rsid w:val="00FF124C"/>
    <w:rsid w:val="00FF131C"/>
    <w:rsid w:val="00FF1401"/>
    <w:rsid w:val="00FF161D"/>
    <w:rsid w:val="00FF193D"/>
    <w:rsid w:val="00FF1C7E"/>
    <w:rsid w:val="00FF21D0"/>
    <w:rsid w:val="00FF256F"/>
    <w:rsid w:val="00FF2CCC"/>
    <w:rsid w:val="00FF3174"/>
    <w:rsid w:val="00FF318C"/>
    <w:rsid w:val="00FF351F"/>
    <w:rsid w:val="00FF3675"/>
    <w:rsid w:val="00FF4064"/>
    <w:rsid w:val="00FF4296"/>
    <w:rsid w:val="00FF4756"/>
    <w:rsid w:val="00FF4844"/>
    <w:rsid w:val="00FF49CC"/>
    <w:rsid w:val="00FF510C"/>
    <w:rsid w:val="00FF5260"/>
    <w:rsid w:val="00FF56DA"/>
    <w:rsid w:val="00FF5D88"/>
    <w:rsid w:val="00FF676C"/>
    <w:rsid w:val="00FF6E6B"/>
    <w:rsid w:val="00FF701B"/>
    <w:rsid w:val="00FF71B4"/>
    <w:rsid w:val="00FF7664"/>
    <w:rsid w:val="00FF771C"/>
    <w:rsid w:val="01D0A235"/>
    <w:rsid w:val="02692E45"/>
    <w:rsid w:val="02F8C67B"/>
    <w:rsid w:val="04678FBB"/>
    <w:rsid w:val="047008D6"/>
    <w:rsid w:val="04959CE6"/>
    <w:rsid w:val="06478806"/>
    <w:rsid w:val="07D0553C"/>
    <w:rsid w:val="0A713689"/>
    <w:rsid w:val="0B4C5532"/>
    <w:rsid w:val="0DFFF82D"/>
    <w:rsid w:val="0E7FE0AC"/>
    <w:rsid w:val="0F01FD67"/>
    <w:rsid w:val="0F12539E"/>
    <w:rsid w:val="0FFD156D"/>
    <w:rsid w:val="10937DAD"/>
    <w:rsid w:val="11837B59"/>
    <w:rsid w:val="118B04F6"/>
    <w:rsid w:val="14F7F70D"/>
    <w:rsid w:val="19ABD368"/>
    <w:rsid w:val="1B8BE240"/>
    <w:rsid w:val="1C5435FA"/>
    <w:rsid w:val="1C70FA12"/>
    <w:rsid w:val="1D64A0A2"/>
    <w:rsid w:val="1DC328DF"/>
    <w:rsid w:val="1EB31179"/>
    <w:rsid w:val="20C19F2C"/>
    <w:rsid w:val="2264F8D9"/>
    <w:rsid w:val="22E2D50A"/>
    <w:rsid w:val="2619CAA1"/>
    <w:rsid w:val="270B3E65"/>
    <w:rsid w:val="27841A69"/>
    <w:rsid w:val="2AA151F0"/>
    <w:rsid w:val="2AF3F616"/>
    <w:rsid w:val="2BD48BA7"/>
    <w:rsid w:val="2BDA4CD5"/>
    <w:rsid w:val="2D15977F"/>
    <w:rsid w:val="2D96BA12"/>
    <w:rsid w:val="2E12AF85"/>
    <w:rsid w:val="2FCAE23A"/>
    <w:rsid w:val="325784B6"/>
    <w:rsid w:val="3358AC91"/>
    <w:rsid w:val="33983E47"/>
    <w:rsid w:val="33C93F41"/>
    <w:rsid w:val="344BE4E3"/>
    <w:rsid w:val="3478F915"/>
    <w:rsid w:val="347EE2A4"/>
    <w:rsid w:val="35517BA7"/>
    <w:rsid w:val="35C5C784"/>
    <w:rsid w:val="37141400"/>
    <w:rsid w:val="38DA771B"/>
    <w:rsid w:val="399207D4"/>
    <w:rsid w:val="3A427F23"/>
    <w:rsid w:val="3BE9C58E"/>
    <w:rsid w:val="3C5A7570"/>
    <w:rsid w:val="3D607A47"/>
    <w:rsid w:val="3EF9C0E4"/>
    <w:rsid w:val="416208AE"/>
    <w:rsid w:val="41B76BFB"/>
    <w:rsid w:val="4204C8F8"/>
    <w:rsid w:val="463F0385"/>
    <w:rsid w:val="46516FED"/>
    <w:rsid w:val="4A1103AE"/>
    <w:rsid w:val="4B8A99B8"/>
    <w:rsid w:val="4D55EDD0"/>
    <w:rsid w:val="4E146114"/>
    <w:rsid w:val="4E3631B8"/>
    <w:rsid w:val="4F631614"/>
    <w:rsid w:val="50FB2524"/>
    <w:rsid w:val="514DFB0F"/>
    <w:rsid w:val="51C2BDD5"/>
    <w:rsid w:val="52FB6D8F"/>
    <w:rsid w:val="5363A0FF"/>
    <w:rsid w:val="53BB0355"/>
    <w:rsid w:val="54EA89BF"/>
    <w:rsid w:val="5693BDD2"/>
    <w:rsid w:val="56AD4473"/>
    <w:rsid w:val="57AB94E5"/>
    <w:rsid w:val="591DF30E"/>
    <w:rsid w:val="5B14ADCC"/>
    <w:rsid w:val="5B87471A"/>
    <w:rsid w:val="5BF56A8B"/>
    <w:rsid w:val="5BF85692"/>
    <w:rsid w:val="5E0C654E"/>
    <w:rsid w:val="5E99BB84"/>
    <w:rsid w:val="611AA0A5"/>
    <w:rsid w:val="6219367F"/>
    <w:rsid w:val="65C47157"/>
    <w:rsid w:val="66A3DDA9"/>
    <w:rsid w:val="6834CF50"/>
    <w:rsid w:val="68DC3DD3"/>
    <w:rsid w:val="68E80DCC"/>
    <w:rsid w:val="69EE09E8"/>
    <w:rsid w:val="6BAF4FE7"/>
    <w:rsid w:val="6DAF8B36"/>
    <w:rsid w:val="6EB4B8EA"/>
    <w:rsid w:val="715B5470"/>
    <w:rsid w:val="728F2897"/>
    <w:rsid w:val="736DE2F9"/>
    <w:rsid w:val="748EF6C4"/>
    <w:rsid w:val="74A5D292"/>
    <w:rsid w:val="77407F64"/>
    <w:rsid w:val="786FB35F"/>
    <w:rsid w:val="7BD463DB"/>
    <w:rsid w:val="7BF0A011"/>
    <w:rsid w:val="7C5CD255"/>
    <w:rsid w:val="7D173DD7"/>
    <w:rsid w:val="7D237060"/>
    <w:rsid w:val="7DC959AC"/>
    <w:rsid w:val="7ECE2767"/>
    <w:rsid w:val="7FE2973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8C826"/>
  <w15:docId w15:val="{5F2F4CB7-AD6B-4A47-94ED-0F21F94E5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0D5"/>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2170D5"/>
    <w:pPr>
      <w:spacing w:before="600" w:line="460" w:lineRule="exact"/>
      <w:outlineLvl w:val="0"/>
    </w:pPr>
    <w:rPr>
      <w:b/>
      <w:bCs w:val="0"/>
      <w:color w:val="5D779D" w:themeColor="accent3"/>
      <w:sz w:val="44"/>
    </w:rPr>
  </w:style>
  <w:style w:type="paragraph" w:styleId="Heading2">
    <w:name w:val="heading 2"/>
    <w:basedOn w:val="HeadingBase"/>
    <w:next w:val="Normal"/>
    <w:link w:val="Heading2Char"/>
    <w:qFormat/>
    <w:rsid w:val="002170D5"/>
    <w:pPr>
      <w:spacing w:before="360" w:line="460" w:lineRule="exact"/>
      <w:outlineLvl w:val="1"/>
    </w:pPr>
    <w:rPr>
      <w:bCs w:val="0"/>
      <w:iCs/>
      <w:color w:val="2C384A" w:themeColor="accent1"/>
      <w:sz w:val="36"/>
      <w:szCs w:val="28"/>
    </w:rPr>
  </w:style>
  <w:style w:type="paragraph" w:styleId="Heading3">
    <w:name w:val="heading 3"/>
    <w:basedOn w:val="HeadingBase"/>
    <w:next w:val="Normal"/>
    <w:link w:val="Heading3Char"/>
    <w:qFormat/>
    <w:rsid w:val="002170D5"/>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qFormat/>
    <w:rsid w:val="002170D5"/>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rsid w:val="002170D5"/>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2170D5"/>
    <w:pPr>
      <w:spacing w:before="120" w:after="0" w:line="276" w:lineRule="auto"/>
      <w:outlineLvl w:val="5"/>
    </w:pPr>
    <w:rPr>
      <w:rFonts w:ascii="Calibri Light" w:hAnsi="Calibri Light"/>
      <w:bCs w:val="0"/>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70D5"/>
    <w:rPr>
      <w:rFonts w:ascii="Calibri" w:eastAsia="Times New Roman" w:hAnsi="Calibri" w:cs="Arial"/>
      <w:b/>
      <w:color w:val="5D779D" w:themeColor="accent3"/>
      <w:kern w:val="32"/>
      <w:sz w:val="44"/>
      <w:szCs w:val="36"/>
      <w:lang w:eastAsia="en-AU"/>
    </w:rPr>
  </w:style>
  <w:style w:type="character" w:customStyle="1" w:styleId="Heading2Char">
    <w:name w:val="Heading 2 Char"/>
    <w:basedOn w:val="DefaultParagraphFont"/>
    <w:link w:val="Heading2"/>
    <w:rsid w:val="002170D5"/>
    <w:rPr>
      <w:rFonts w:ascii="Calibri" w:eastAsia="Times New Roman" w:hAnsi="Calibri" w:cs="Arial"/>
      <w:iCs/>
      <w:color w:val="2C384A" w:themeColor="accent1"/>
      <w:kern w:val="32"/>
      <w:sz w:val="36"/>
      <w:szCs w:val="28"/>
      <w:lang w:eastAsia="en-AU"/>
    </w:rPr>
  </w:style>
  <w:style w:type="character" w:customStyle="1" w:styleId="Heading3Char">
    <w:name w:val="Heading 3 Char"/>
    <w:basedOn w:val="DefaultParagraphFont"/>
    <w:link w:val="Heading3"/>
    <w:rsid w:val="002170D5"/>
    <w:rPr>
      <w:rFonts w:ascii="Calibri" w:eastAsia="Times New Roman" w:hAnsi="Calibri" w:cs="Arial"/>
      <w:b/>
      <w:color w:val="4D7861" w:themeColor="accent2"/>
      <w:kern w:val="32"/>
      <w:sz w:val="28"/>
      <w:szCs w:val="26"/>
      <w:lang w:eastAsia="en-AU"/>
    </w:rPr>
  </w:style>
  <w:style w:type="character" w:customStyle="1" w:styleId="Heading4Char">
    <w:name w:val="Heading 4 Char"/>
    <w:basedOn w:val="DefaultParagraphFont"/>
    <w:link w:val="Heading4"/>
    <w:rsid w:val="002170D5"/>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2170D5"/>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2170D5"/>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2170D5"/>
    <w:pPr>
      <w:keepNext/>
      <w:spacing w:before="0" w:after="0"/>
      <w:jc w:val="center"/>
    </w:pPr>
    <w:rPr>
      <w:color w:val="004A7F"/>
      <w:sz w:val="20"/>
    </w:rPr>
  </w:style>
  <w:style w:type="paragraph" w:customStyle="1" w:styleId="AlphaParagraph">
    <w:name w:val="Alpha Paragraph"/>
    <w:basedOn w:val="Normal"/>
    <w:qFormat/>
    <w:rsid w:val="002170D5"/>
    <w:pPr>
      <w:numPr>
        <w:ilvl w:val="1"/>
        <w:numId w:val="2"/>
      </w:numPr>
      <w:spacing w:before="0"/>
    </w:pPr>
  </w:style>
  <w:style w:type="character" w:customStyle="1" w:styleId="DashChar">
    <w:name w:val="Dash Char"/>
    <w:basedOn w:val="DefaultParagraphFont"/>
    <w:link w:val="Dash"/>
    <w:locked/>
    <w:rsid w:val="002170D5"/>
    <w:rPr>
      <w:rFonts w:ascii="Calibri Light" w:eastAsia="Times New Roman" w:hAnsi="Calibri Light" w:cs="Times New Roman"/>
      <w:szCs w:val="20"/>
      <w:lang w:eastAsia="en-AU"/>
    </w:rPr>
  </w:style>
  <w:style w:type="character" w:customStyle="1" w:styleId="DoubleDotChar">
    <w:name w:val="Double Dot Char"/>
    <w:basedOn w:val="DefaultParagraphFont"/>
    <w:link w:val="DoubleDot"/>
    <w:locked/>
    <w:rsid w:val="002170D5"/>
    <w:rPr>
      <w:rFonts w:ascii="Calibri Light" w:eastAsia="Times New Roman" w:hAnsi="Calibri Light" w:cs="Times New Roman"/>
      <w:szCs w:val="20"/>
      <w:lang w:eastAsia="en-AU"/>
    </w:rPr>
  </w:style>
  <w:style w:type="character" w:customStyle="1" w:styleId="BulletChar">
    <w:name w:val="Bullet Char"/>
    <w:basedOn w:val="DefaultParagraphFont"/>
    <w:link w:val="Bullet"/>
    <w:locked/>
    <w:rsid w:val="002170D5"/>
    <w:rPr>
      <w:rFonts w:ascii="Calibri Light" w:eastAsia="Times New Roman" w:hAnsi="Calibri Light" w:cs="Times New Roman"/>
      <w:szCs w:val="20"/>
      <w:lang w:eastAsia="en-AU"/>
    </w:rPr>
  </w:style>
  <w:style w:type="paragraph" w:customStyle="1" w:styleId="BoxHeading">
    <w:name w:val="Box Heading"/>
    <w:basedOn w:val="Normal"/>
    <w:next w:val="Normal"/>
    <w:rsid w:val="002170D5"/>
    <w:pPr>
      <w:keepNext/>
      <w:spacing w:before="240"/>
    </w:pPr>
    <w:rPr>
      <w:b/>
      <w:color w:val="2C384A" w:themeColor="accent1"/>
      <w:sz w:val="26"/>
      <w:szCs w:val="26"/>
    </w:rPr>
  </w:style>
  <w:style w:type="paragraph" w:customStyle="1" w:styleId="BoxText">
    <w:name w:val="Box Text"/>
    <w:basedOn w:val="Normal"/>
    <w:link w:val="BoxTextChar"/>
    <w:rsid w:val="002170D5"/>
  </w:style>
  <w:style w:type="paragraph" w:customStyle="1" w:styleId="Bullet">
    <w:name w:val="Bullet"/>
    <w:basedOn w:val="Normal"/>
    <w:link w:val="BulletChar"/>
    <w:qFormat/>
    <w:rsid w:val="002170D5"/>
    <w:pPr>
      <w:numPr>
        <w:numId w:val="4"/>
      </w:numPr>
      <w:tabs>
        <w:tab w:val="left" w:pos="720"/>
      </w:tabs>
      <w:spacing w:before="0" w:line="276" w:lineRule="auto"/>
    </w:pPr>
  </w:style>
  <w:style w:type="paragraph" w:customStyle="1" w:styleId="ChartandTableFootnoteAlpha">
    <w:name w:val="Chart and Table Footnote Alpha"/>
    <w:rsid w:val="002170D5"/>
    <w:pPr>
      <w:numPr>
        <w:numId w:val="7"/>
      </w:numPr>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2170D5"/>
    <w:pPr>
      <w:jc w:val="center"/>
    </w:pPr>
  </w:style>
  <w:style w:type="paragraph" w:customStyle="1" w:styleId="ChartorTableNote">
    <w:name w:val="Chart or Table Note"/>
    <w:next w:val="Normal"/>
    <w:rsid w:val="002170D5"/>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2170D5"/>
    <w:pPr>
      <w:jc w:val="center"/>
    </w:pPr>
    <w:rPr>
      <w:b w:val="0"/>
      <w:bCs/>
    </w:rPr>
  </w:style>
  <w:style w:type="paragraph" w:customStyle="1" w:styleId="ReportDate">
    <w:name w:val="Report Date"/>
    <w:basedOn w:val="Normal"/>
    <w:link w:val="ReportDateChar"/>
    <w:rsid w:val="002170D5"/>
    <w:pPr>
      <w:keepNext/>
      <w:spacing w:before="0" w:after="360"/>
    </w:pPr>
    <w:rPr>
      <w:color w:val="90B6F0"/>
      <w:sz w:val="32"/>
    </w:rPr>
  </w:style>
  <w:style w:type="paragraph" w:customStyle="1" w:styleId="Dash">
    <w:name w:val="Dash"/>
    <w:basedOn w:val="Normal"/>
    <w:link w:val="DashChar"/>
    <w:qFormat/>
    <w:rsid w:val="002170D5"/>
    <w:pPr>
      <w:numPr>
        <w:ilvl w:val="1"/>
        <w:numId w:val="4"/>
      </w:numPr>
      <w:spacing w:before="0"/>
    </w:pPr>
  </w:style>
  <w:style w:type="paragraph" w:customStyle="1" w:styleId="DoubleDot">
    <w:name w:val="Double Dot"/>
    <w:basedOn w:val="Normal"/>
    <w:link w:val="DoubleDotChar"/>
    <w:qFormat/>
    <w:rsid w:val="002170D5"/>
    <w:pPr>
      <w:numPr>
        <w:ilvl w:val="2"/>
        <w:numId w:val="4"/>
      </w:numPr>
      <w:spacing w:before="0"/>
    </w:pPr>
  </w:style>
  <w:style w:type="paragraph" w:customStyle="1" w:styleId="TableMainHeading">
    <w:name w:val="Table Main Heading"/>
    <w:basedOn w:val="Heading3"/>
    <w:next w:val="Normal"/>
    <w:rsid w:val="002170D5"/>
    <w:pPr>
      <w:spacing w:before="120"/>
    </w:pPr>
    <w:rPr>
      <w:b w:val="0"/>
      <w:sz w:val="26"/>
    </w:rPr>
  </w:style>
  <w:style w:type="paragraph" w:customStyle="1" w:styleId="FooterEven">
    <w:name w:val="Footer Even"/>
    <w:basedOn w:val="Footer"/>
    <w:rsid w:val="002170D5"/>
    <w:pPr>
      <w:keepNext/>
      <w:tabs>
        <w:tab w:val="clear" w:pos="4513"/>
        <w:tab w:val="clear" w:pos="9026"/>
        <w:tab w:val="right" w:pos="9072"/>
      </w:tabs>
      <w:jc w:val="left"/>
    </w:pPr>
    <w:rPr>
      <w:noProof/>
      <w:color w:val="2C384A" w:themeColor="accent1"/>
    </w:rPr>
  </w:style>
  <w:style w:type="paragraph" w:customStyle="1" w:styleId="FooterOdd">
    <w:name w:val="Footer Odd"/>
    <w:basedOn w:val="Footer"/>
    <w:rsid w:val="002170D5"/>
    <w:pPr>
      <w:keepNext/>
      <w:tabs>
        <w:tab w:val="clear" w:pos="4513"/>
        <w:tab w:val="clear" w:pos="9026"/>
        <w:tab w:val="right" w:pos="9072"/>
      </w:tabs>
      <w:jc w:val="right"/>
    </w:pPr>
    <w:rPr>
      <w:color w:val="2C384A" w:themeColor="accent1"/>
    </w:rPr>
  </w:style>
  <w:style w:type="character" w:styleId="Hyperlink">
    <w:name w:val="Hyperlink"/>
    <w:basedOn w:val="DefaultParagraphFont"/>
    <w:uiPriority w:val="99"/>
    <w:rsid w:val="002170D5"/>
    <w:rPr>
      <w:color w:val="3A6FAF"/>
      <w:u w:val="none"/>
    </w:rPr>
  </w:style>
  <w:style w:type="paragraph" w:customStyle="1" w:styleId="OutlineNumbered1">
    <w:name w:val="Outline Numbered 1"/>
    <w:basedOn w:val="Normal"/>
    <w:rsid w:val="002170D5"/>
    <w:pPr>
      <w:numPr>
        <w:numId w:val="10"/>
      </w:numPr>
      <w:spacing w:before="0"/>
    </w:pPr>
  </w:style>
  <w:style w:type="paragraph" w:customStyle="1" w:styleId="OneLevelNumberedParagraph">
    <w:name w:val="One Level Numbered Paragraph"/>
    <w:basedOn w:val="Normal"/>
    <w:rsid w:val="000E0B74"/>
    <w:pPr>
      <w:tabs>
        <w:tab w:val="num" w:pos="284"/>
      </w:tabs>
      <w:spacing w:before="0"/>
      <w:ind w:left="284" w:hanging="284"/>
    </w:pPr>
  </w:style>
  <w:style w:type="paragraph" w:customStyle="1" w:styleId="OutlineNumbered2">
    <w:name w:val="Outline Numbered 2"/>
    <w:basedOn w:val="Normal"/>
    <w:rsid w:val="002170D5"/>
    <w:pPr>
      <w:numPr>
        <w:ilvl w:val="1"/>
        <w:numId w:val="10"/>
      </w:numPr>
      <w:spacing w:before="0"/>
    </w:pPr>
  </w:style>
  <w:style w:type="paragraph" w:customStyle="1" w:styleId="OutlineNumbered3">
    <w:name w:val="Outline Numbered 3"/>
    <w:basedOn w:val="Normal"/>
    <w:rsid w:val="002170D5"/>
    <w:pPr>
      <w:numPr>
        <w:ilvl w:val="2"/>
        <w:numId w:val="10"/>
      </w:numPr>
      <w:spacing w:before="0"/>
    </w:pPr>
  </w:style>
  <w:style w:type="paragraph" w:customStyle="1" w:styleId="Romannumeral">
    <w:name w:val="Roman numeral"/>
    <w:basedOn w:val="Normal"/>
    <w:rsid w:val="004F4B92"/>
    <w:pPr>
      <w:tabs>
        <w:tab w:val="num" w:pos="851"/>
      </w:tabs>
      <w:spacing w:before="0"/>
      <w:ind w:left="851" w:hanging="851"/>
    </w:pPr>
  </w:style>
  <w:style w:type="paragraph" w:customStyle="1" w:styleId="SingleParagraph">
    <w:name w:val="Single Paragraph"/>
    <w:basedOn w:val="Normal"/>
    <w:link w:val="SingleParagraphChar"/>
    <w:rsid w:val="002170D5"/>
    <w:pPr>
      <w:spacing w:before="0" w:after="0"/>
    </w:pPr>
  </w:style>
  <w:style w:type="paragraph" w:customStyle="1" w:styleId="TableSecondHeading">
    <w:name w:val="Table Second Heading"/>
    <w:basedOn w:val="Normal"/>
    <w:next w:val="Normal"/>
    <w:rsid w:val="002170D5"/>
    <w:pPr>
      <w:keepNext/>
      <w:spacing w:before="0" w:after="20"/>
    </w:pPr>
    <w:rPr>
      <w:b/>
      <w:color w:val="004A7F"/>
    </w:rPr>
  </w:style>
  <w:style w:type="paragraph" w:customStyle="1" w:styleId="TableColumnHeadingCentred">
    <w:name w:val="Table Column Heading Centred"/>
    <w:basedOn w:val="TableTextLeft"/>
    <w:rsid w:val="002170D5"/>
    <w:pPr>
      <w:jc w:val="center"/>
    </w:pPr>
    <w:rPr>
      <w:b/>
      <w:color w:val="2C384A" w:themeColor="accent1"/>
      <w:sz w:val="20"/>
    </w:rPr>
  </w:style>
  <w:style w:type="paragraph" w:customStyle="1" w:styleId="TableColumnHeadingLeft">
    <w:name w:val="Table Column Heading Left"/>
    <w:basedOn w:val="TableTextLeft"/>
    <w:rsid w:val="002170D5"/>
    <w:rPr>
      <w:b/>
      <w:color w:val="2C384A" w:themeColor="accent1"/>
      <w:sz w:val="20"/>
    </w:rPr>
  </w:style>
  <w:style w:type="paragraph" w:customStyle="1" w:styleId="TableColumnHeadingRight">
    <w:name w:val="Table Column Heading Right"/>
    <w:basedOn w:val="TableTextLeft"/>
    <w:rsid w:val="002170D5"/>
    <w:pPr>
      <w:jc w:val="right"/>
    </w:pPr>
    <w:rPr>
      <w:b/>
      <w:color w:val="2C384A" w:themeColor="accent1"/>
      <w:sz w:val="20"/>
    </w:rPr>
  </w:style>
  <w:style w:type="table" w:styleId="TableGrid">
    <w:name w:val="Table Grid"/>
    <w:basedOn w:val="TableNormal"/>
    <w:rsid w:val="002170D5"/>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Pr/>
      <w:tcPr>
        <w:shd w:val="clear" w:color="auto" w:fill="EEEEEE" w:themeFill="background2"/>
      </w:tcPr>
    </w:tblStylePr>
  </w:style>
  <w:style w:type="paragraph" w:customStyle="1" w:styleId="TableTextCentered">
    <w:name w:val="Table Text Centered"/>
    <w:basedOn w:val="TableTextRight"/>
    <w:rsid w:val="002170D5"/>
    <w:pPr>
      <w:jc w:val="center"/>
    </w:pPr>
  </w:style>
  <w:style w:type="paragraph" w:customStyle="1" w:styleId="TableTextLeft">
    <w:name w:val="Table Text Left"/>
    <w:basedOn w:val="TableTextRight"/>
    <w:rsid w:val="002170D5"/>
    <w:pPr>
      <w:jc w:val="left"/>
    </w:pPr>
  </w:style>
  <w:style w:type="paragraph" w:customStyle="1" w:styleId="TableTextRight">
    <w:name w:val="Table Text Right"/>
    <w:basedOn w:val="Normal"/>
    <w:rsid w:val="002170D5"/>
    <w:pPr>
      <w:spacing w:before="40" w:after="40"/>
      <w:jc w:val="right"/>
    </w:pPr>
    <w:rPr>
      <w:color w:val="000000"/>
      <w:sz w:val="18"/>
    </w:rPr>
  </w:style>
  <w:style w:type="paragraph" w:styleId="TOC1">
    <w:name w:val="toc 1"/>
    <w:basedOn w:val="Normal"/>
    <w:next w:val="Normal"/>
    <w:uiPriority w:val="39"/>
    <w:rsid w:val="002170D5"/>
    <w:pPr>
      <w:keepNext/>
      <w:tabs>
        <w:tab w:val="right" w:leader="dot" w:pos="9072"/>
      </w:tabs>
      <w:spacing w:before="180" w:after="0"/>
      <w:ind w:right="-2"/>
    </w:pPr>
    <w:rPr>
      <w:b/>
      <w:noProof/>
      <w:color w:val="2C384A" w:themeColor="accent1"/>
      <w:szCs w:val="22"/>
    </w:rPr>
  </w:style>
  <w:style w:type="paragraph" w:styleId="TOC2">
    <w:name w:val="toc 2"/>
    <w:basedOn w:val="Normal"/>
    <w:next w:val="Normal"/>
    <w:uiPriority w:val="39"/>
    <w:rsid w:val="002170D5"/>
    <w:pPr>
      <w:keepNext/>
      <w:tabs>
        <w:tab w:val="right" w:leader="dot" w:pos="9072"/>
      </w:tabs>
      <w:spacing w:before="40" w:after="20"/>
      <w:ind w:right="-2"/>
    </w:pPr>
    <w:rPr>
      <w:noProof/>
      <w:color w:val="5D779D" w:themeColor="accent3"/>
    </w:rPr>
  </w:style>
  <w:style w:type="paragraph" w:styleId="TOC3">
    <w:name w:val="toc 3"/>
    <w:basedOn w:val="Normal"/>
    <w:next w:val="Normal"/>
    <w:uiPriority w:val="39"/>
    <w:rsid w:val="002170D5"/>
    <w:pPr>
      <w:tabs>
        <w:tab w:val="right" w:leader="dot" w:pos="9072"/>
      </w:tabs>
      <w:spacing w:before="20" w:after="0"/>
      <w:ind w:left="284" w:right="-2"/>
    </w:pPr>
    <w:rPr>
      <w:rFonts w:cs="Calibri"/>
      <w:noProof/>
    </w:rPr>
  </w:style>
  <w:style w:type="numbering" w:customStyle="1" w:styleId="OutlineList">
    <w:name w:val="OutlineList"/>
    <w:uiPriority w:val="99"/>
    <w:rsid w:val="002170D5"/>
    <w:pPr>
      <w:numPr>
        <w:numId w:val="10"/>
      </w:numPr>
    </w:pPr>
  </w:style>
  <w:style w:type="numbering" w:customStyle="1" w:styleId="BulletedList">
    <w:name w:val="Bulleted List"/>
    <w:uiPriority w:val="99"/>
    <w:rsid w:val="002170D5"/>
    <w:pPr>
      <w:numPr>
        <w:numId w:val="6"/>
      </w:numPr>
    </w:pPr>
  </w:style>
  <w:style w:type="numbering" w:customStyle="1" w:styleId="BoxBulletedList">
    <w:name w:val="Box Bulleted List"/>
    <w:uiPriority w:val="99"/>
    <w:rsid w:val="002170D5"/>
    <w:pPr>
      <w:numPr>
        <w:numId w:val="3"/>
      </w:numPr>
    </w:pPr>
  </w:style>
  <w:style w:type="numbering" w:customStyle="1" w:styleId="OneLevelList">
    <w:name w:val="OneLevelList"/>
    <w:uiPriority w:val="99"/>
    <w:rsid w:val="002170D5"/>
    <w:pPr>
      <w:numPr>
        <w:numId w:val="9"/>
      </w:numPr>
    </w:pPr>
  </w:style>
  <w:style w:type="numbering" w:customStyle="1" w:styleId="ChartandTableFootnoteAlphaList">
    <w:name w:val="ChartandTableFootnoteAlphaList"/>
    <w:uiPriority w:val="99"/>
    <w:rsid w:val="002170D5"/>
    <w:pPr>
      <w:numPr>
        <w:numId w:val="7"/>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2170D5"/>
    <w:pPr>
      <w:numPr>
        <w:numId w:val="8"/>
      </w:numPr>
    </w:pPr>
  </w:style>
  <w:style w:type="character" w:customStyle="1" w:styleId="SingleParagraphChar">
    <w:name w:val="Single Paragraph Char"/>
    <w:basedOn w:val="DefaultParagraphFont"/>
    <w:link w:val="SingleParagraph"/>
    <w:rsid w:val="002170D5"/>
    <w:rPr>
      <w:rFonts w:ascii="Calibri Light" w:eastAsia="Times New Roman" w:hAnsi="Calibri Light" w:cs="Times New Roman"/>
      <w:szCs w:val="20"/>
      <w:lang w:eastAsia="en-AU"/>
    </w:rPr>
  </w:style>
  <w:style w:type="paragraph" w:customStyle="1" w:styleId="Heading2Numbered">
    <w:name w:val="Heading 2 Numbered"/>
    <w:basedOn w:val="Heading2"/>
    <w:next w:val="Normal"/>
    <w:rsid w:val="002170D5"/>
    <w:pPr>
      <w:numPr>
        <w:ilvl w:val="1"/>
        <w:numId w:val="8"/>
      </w:numPr>
    </w:pPr>
  </w:style>
  <w:style w:type="paragraph" w:customStyle="1" w:styleId="Heading3Numbered">
    <w:name w:val="Heading 3 Numbered"/>
    <w:basedOn w:val="Heading3"/>
    <w:rsid w:val="002170D5"/>
    <w:pPr>
      <w:numPr>
        <w:ilvl w:val="2"/>
        <w:numId w:val="8"/>
      </w:numPr>
    </w:pPr>
  </w:style>
  <w:style w:type="paragraph" w:styleId="Title">
    <w:name w:val="Title"/>
    <w:basedOn w:val="Normal"/>
    <w:next w:val="Normal"/>
    <w:link w:val="TitleChar"/>
    <w:uiPriority w:val="10"/>
    <w:rsid w:val="002170D5"/>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2170D5"/>
    <w:rPr>
      <w:rFonts w:ascii="Calibri Light" w:eastAsiaTheme="majorEastAsia" w:hAnsi="Calibri Light"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rsid w:val="002170D5"/>
    <w:pPr>
      <w:numPr>
        <w:ilvl w:val="1"/>
      </w:numPr>
    </w:pPr>
    <w:rPr>
      <w:rFonts w:eastAsiaTheme="majorEastAsia" w:cstheme="majorBidi"/>
      <w:iCs/>
      <w:color w:val="EEEEEE"/>
      <w:sz w:val="44"/>
      <w:szCs w:val="44"/>
    </w:rPr>
  </w:style>
  <w:style w:type="character" w:customStyle="1" w:styleId="SubtitleChar">
    <w:name w:val="Subtitle Char"/>
    <w:basedOn w:val="DefaultParagraphFont"/>
    <w:link w:val="Subtitle"/>
    <w:uiPriority w:val="11"/>
    <w:rsid w:val="002170D5"/>
    <w:rPr>
      <w:rFonts w:ascii="Calibri Light" w:eastAsiaTheme="majorEastAsia" w:hAnsi="Calibri Light" w:cstheme="majorBidi"/>
      <w:iCs/>
      <w:color w:val="EEEEEE"/>
      <w:sz w:val="44"/>
      <w:szCs w:val="44"/>
      <w:lang w:eastAsia="en-AU"/>
    </w:rPr>
  </w:style>
  <w:style w:type="character" w:styleId="SubtleEmphasis">
    <w:name w:val="Subtle Emphasis"/>
    <w:basedOn w:val="DefaultParagraphFont"/>
    <w:uiPriority w:val="19"/>
    <w:rsid w:val="002170D5"/>
    <w:rPr>
      <w:i/>
      <w:iCs/>
      <w:color w:val="808080" w:themeColor="text1" w:themeTint="7F"/>
    </w:rPr>
  </w:style>
  <w:style w:type="paragraph" w:styleId="Footer">
    <w:name w:val="footer"/>
    <w:basedOn w:val="Normal"/>
    <w:link w:val="FooterChar"/>
    <w:unhideWhenUsed/>
    <w:rsid w:val="002170D5"/>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rsid w:val="002170D5"/>
    <w:rPr>
      <w:rFonts w:ascii="Calibri Light" w:eastAsia="Times New Roman" w:hAnsi="Calibri Light" w:cs="Times New Roman"/>
      <w:color w:val="002C47"/>
      <w:sz w:val="20"/>
      <w:szCs w:val="20"/>
      <w:lang w:eastAsia="en-AU"/>
    </w:rPr>
  </w:style>
  <w:style w:type="paragraph" w:styleId="Header">
    <w:name w:val="header"/>
    <w:basedOn w:val="Normal"/>
    <w:link w:val="HeaderChar"/>
    <w:uiPriority w:val="99"/>
    <w:unhideWhenUsed/>
    <w:rsid w:val="002170D5"/>
    <w:pPr>
      <w:keepNext/>
      <w:spacing w:before="0" w:after="0"/>
      <w:jc w:val="right"/>
    </w:pPr>
    <w:rPr>
      <w:color w:val="004A7F"/>
      <w:sz w:val="20"/>
    </w:rPr>
  </w:style>
  <w:style w:type="character" w:customStyle="1" w:styleId="HeaderChar">
    <w:name w:val="Header Char"/>
    <w:basedOn w:val="DefaultParagraphFont"/>
    <w:link w:val="Header"/>
    <w:uiPriority w:val="99"/>
    <w:rsid w:val="002170D5"/>
    <w:rPr>
      <w:rFonts w:ascii="Calibri Light" w:eastAsia="Times New Roman" w:hAnsi="Calibri Light" w:cs="Times New Roman"/>
      <w:color w:val="004A7F"/>
      <w:sz w:val="20"/>
      <w:szCs w:val="20"/>
      <w:lang w:eastAsia="en-AU"/>
    </w:rPr>
  </w:style>
  <w:style w:type="character" w:styleId="PlaceholderText">
    <w:name w:val="Placeholder Text"/>
    <w:basedOn w:val="DefaultParagraphFont"/>
    <w:uiPriority w:val="99"/>
    <w:semiHidden/>
    <w:rsid w:val="002170D5"/>
    <w:rPr>
      <w:color w:val="808080"/>
    </w:rPr>
  </w:style>
  <w:style w:type="paragraph" w:customStyle="1" w:styleId="AppendixHeading">
    <w:name w:val="Appendix Heading"/>
    <w:basedOn w:val="Heading1"/>
    <w:next w:val="Normal"/>
    <w:rsid w:val="002170D5"/>
  </w:style>
  <w:style w:type="paragraph" w:customStyle="1" w:styleId="HeadingBase">
    <w:name w:val="Heading Base"/>
    <w:rsid w:val="002170D5"/>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2170D5"/>
    <w:rPr>
      <w:rFonts w:ascii="Calibri Light" w:eastAsia="Times New Roman" w:hAnsi="Calibri Light" w:cs="Times New Roman"/>
      <w:color w:val="90B6F0"/>
      <w:sz w:val="32"/>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2170D5"/>
    <w:pPr>
      <w:keepNext/>
      <w:spacing w:before="240" w:after="360"/>
      <w:jc w:val="center"/>
    </w:pPr>
    <w:rPr>
      <w:rFonts w:ascii="Century Gothic" w:hAnsi="Century Gothic"/>
      <w:smallCaps/>
      <w:color w:val="5F5F5F" w:themeColor="text2"/>
      <w:sz w:val="36"/>
      <w:szCs w:val="36"/>
    </w:rPr>
  </w:style>
  <w:style w:type="paragraph" w:styleId="ListParagraph">
    <w:name w:val="List Paragraph"/>
    <w:basedOn w:val="Normal"/>
    <w:uiPriority w:val="34"/>
    <w:rsid w:val="002170D5"/>
    <w:pPr>
      <w:ind w:left="720"/>
      <w:contextualSpacing/>
    </w:pPr>
  </w:style>
  <w:style w:type="character" w:customStyle="1" w:styleId="FramedFooter">
    <w:name w:val="Framed Footer"/>
    <w:rsid w:val="00F60198"/>
    <w:rPr>
      <w:rFonts w:ascii="Arial" w:hAnsi="Arial"/>
      <w:color w:val="002C47"/>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rsid w:val="002170D5"/>
    <w:pPr>
      <w:ind w:left="284"/>
    </w:pPr>
  </w:style>
  <w:style w:type="paragraph" w:customStyle="1" w:styleId="TableHeadingContinued">
    <w:name w:val="Table Heading Continued"/>
    <w:basedOn w:val="TableMainHeading"/>
    <w:next w:val="TableGraphic"/>
    <w:rsid w:val="002170D5"/>
  </w:style>
  <w:style w:type="paragraph" w:customStyle="1" w:styleId="TableGraphic">
    <w:name w:val="Table Graphic"/>
    <w:basedOn w:val="HeadingBase"/>
    <w:next w:val="Normal"/>
    <w:rsid w:val="002170D5"/>
    <w:pPr>
      <w:spacing w:after="0"/>
    </w:pPr>
  </w:style>
  <w:style w:type="paragraph" w:customStyle="1" w:styleId="HeaderEven">
    <w:name w:val="Header Even"/>
    <w:basedOn w:val="Header"/>
    <w:qFormat/>
    <w:rsid w:val="002170D5"/>
    <w:pPr>
      <w:jc w:val="left"/>
    </w:pPr>
    <w:rPr>
      <w:color w:val="002C47"/>
    </w:rPr>
  </w:style>
  <w:style w:type="paragraph" w:customStyle="1" w:styleId="HeaderOdd">
    <w:name w:val="Header Odd"/>
    <w:basedOn w:val="Header"/>
    <w:qFormat/>
    <w:rsid w:val="002170D5"/>
    <w:rPr>
      <w:color w:val="002C47"/>
    </w:rPr>
  </w:style>
  <w:style w:type="paragraph" w:styleId="FootnoteText">
    <w:name w:val="footnote text"/>
    <w:basedOn w:val="Normal"/>
    <w:link w:val="FootnoteTextChar"/>
    <w:uiPriority w:val="99"/>
    <w:rsid w:val="002170D5"/>
    <w:pPr>
      <w:spacing w:before="0" w:after="0"/>
      <w:ind w:left="397" w:hanging="397"/>
    </w:pPr>
    <w:rPr>
      <w:sz w:val="20"/>
    </w:rPr>
  </w:style>
  <w:style w:type="character" w:customStyle="1" w:styleId="FootnoteTextChar">
    <w:name w:val="Footnote Text Char"/>
    <w:basedOn w:val="DefaultParagraphFont"/>
    <w:link w:val="FootnoteText"/>
    <w:uiPriority w:val="99"/>
    <w:rsid w:val="002170D5"/>
    <w:rPr>
      <w:rFonts w:ascii="Calibri Light" w:eastAsia="Times New Roman" w:hAnsi="Calibri Light" w:cs="Times New Roman"/>
      <w:sz w:val="20"/>
      <w:szCs w:val="20"/>
      <w:lang w:eastAsia="en-AU"/>
    </w:rPr>
  </w:style>
  <w:style w:type="character" w:styleId="FootnoteReference">
    <w:name w:val="footnote reference"/>
    <w:basedOn w:val="DefaultParagraphFont"/>
    <w:uiPriority w:val="99"/>
    <w:rsid w:val="002170D5"/>
    <w:rPr>
      <w:sz w:val="18"/>
    </w:rPr>
  </w:style>
  <w:style w:type="paragraph" w:styleId="BalloonText">
    <w:name w:val="Balloon Text"/>
    <w:basedOn w:val="Normal"/>
    <w:link w:val="BalloonTextChar"/>
    <w:uiPriority w:val="99"/>
    <w:semiHidden/>
    <w:unhideWhenUsed/>
    <w:rsid w:val="002170D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0D5"/>
    <w:rPr>
      <w:rFonts w:ascii="Tahoma" w:eastAsia="Times New Roman" w:hAnsi="Tahoma" w:cs="Tahoma"/>
      <w:sz w:val="16"/>
      <w:szCs w:val="16"/>
      <w:lang w:eastAsia="en-AU"/>
    </w:rPr>
  </w:style>
  <w:style w:type="paragraph" w:customStyle="1" w:styleId="Footnoteseperator">
    <w:name w:val="Footnote seperator"/>
    <w:basedOn w:val="Normal"/>
    <w:link w:val="FootnoteseperatorChar"/>
    <w:rsid w:val="000F6233"/>
    <w:pPr>
      <w:spacing w:before="0" w:after="0"/>
    </w:pPr>
  </w:style>
  <w:style w:type="character" w:customStyle="1" w:styleId="FootnoteseperatorChar">
    <w:name w:val="Footnote seperator Char"/>
    <w:basedOn w:val="DefaultParagraphFont"/>
    <w:link w:val="Footnoteseperator"/>
    <w:rsid w:val="000F6233"/>
    <w:rPr>
      <w:rFonts w:ascii="Calibri" w:eastAsia="Times New Roman" w:hAnsi="Calibri" w:cs="Times New Roman"/>
      <w:szCs w:val="20"/>
      <w:lang w:eastAsia="en-AU"/>
    </w:rPr>
  </w:style>
  <w:style w:type="character" w:customStyle="1" w:styleId="BoxTextChar">
    <w:name w:val="Box Text Char"/>
    <w:basedOn w:val="DefaultParagraphFont"/>
    <w:link w:val="BoxText"/>
    <w:locked/>
    <w:rsid w:val="002170D5"/>
    <w:rPr>
      <w:rFonts w:ascii="Calibri Light" w:eastAsia="Times New Roman" w:hAnsi="Calibri Light" w:cs="Times New Roman"/>
      <w:szCs w:val="20"/>
      <w:lang w:eastAsia="en-AU"/>
    </w:rPr>
  </w:style>
  <w:style w:type="paragraph" w:customStyle="1" w:styleId="Boxbullet">
    <w:name w:val="Box bullet"/>
    <w:basedOn w:val="Bullet"/>
    <w:rsid w:val="002170D5"/>
    <w:pPr>
      <w:numPr>
        <w:numId w:val="5"/>
      </w:numPr>
      <w:tabs>
        <w:tab w:val="num" w:pos="520"/>
      </w:tabs>
      <w:spacing w:before="60"/>
    </w:pPr>
    <w:rPr>
      <w:color w:val="0D0D0D" w:themeColor="text1" w:themeTint="F2"/>
    </w:rPr>
  </w:style>
  <w:style w:type="paragraph" w:customStyle="1" w:styleId="Boxdash">
    <w:name w:val="Box dash"/>
    <w:basedOn w:val="Dash"/>
    <w:rsid w:val="002170D5"/>
    <w:pPr>
      <w:numPr>
        <w:numId w:val="5"/>
      </w:numPr>
      <w:spacing w:before="60" w:after="0" w:line="276" w:lineRule="auto"/>
    </w:pPr>
    <w:rPr>
      <w:rFonts w:eastAsiaTheme="minorHAnsi"/>
      <w:color w:val="0D0D0D" w:themeColor="text1" w:themeTint="F2"/>
      <w:lang w:eastAsia="en-US"/>
    </w:rPr>
  </w:style>
  <w:style w:type="paragraph" w:customStyle="1" w:styleId="Boxdoubledot">
    <w:name w:val="Box double dot"/>
    <w:basedOn w:val="DoubleDot"/>
    <w:rsid w:val="002170D5"/>
    <w:pPr>
      <w:numPr>
        <w:numId w:val="5"/>
      </w:numPr>
      <w:tabs>
        <w:tab w:val="clear" w:pos="851"/>
        <w:tab w:val="left" w:pos="567"/>
        <w:tab w:val="num" w:pos="1560"/>
      </w:tabs>
      <w:spacing w:before="60" w:after="0" w:line="276" w:lineRule="auto"/>
    </w:pPr>
    <w:rPr>
      <w:rFonts w:eastAsiaTheme="minorHAnsi"/>
      <w:color w:val="0D0D0D" w:themeColor="text1" w:themeTint="F2"/>
      <w:lang w:eastAsia="en-US"/>
    </w:rPr>
  </w:style>
  <w:style w:type="paragraph" w:customStyle="1" w:styleId="LandscapeEvenPageHeaderA4">
    <w:name w:val="LandscapeEvenPageHeaderA4"/>
    <w:rsid w:val="00742366"/>
    <w:pPr>
      <w:keepNext/>
      <w:spacing w:after="0" w:line="240" w:lineRule="auto"/>
    </w:pPr>
    <w:rPr>
      <w:rFonts w:ascii="Calibri" w:eastAsia="Times New Roman" w:hAnsi="Calibri" w:cs="Times New Roman"/>
      <w:color w:val="004A7F"/>
      <w:sz w:val="20"/>
      <w:szCs w:val="20"/>
      <w:lang w:eastAsia="en-AU"/>
    </w:rPr>
  </w:style>
  <w:style w:type="character" w:styleId="Strong">
    <w:name w:val="Strong"/>
    <w:basedOn w:val="DefaultParagraphFont"/>
    <w:qFormat/>
    <w:rsid w:val="00BE7EA5"/>
    <w:rPr>
      <w:b/>
      <w:bCs/>
    </w:rPr>
  </w:style>
  <w:style w:type="paragraph" w:customStyle="1" w:styleId="Instructions">
    <w:name w:val="Instructions"/>
    <w:basedOn w:val="Normal"/>
    <w:uiPriority w:val="1"/>
    <w:qFormat/>
    <w:rsid w:val="002170D5"/>
    <w:pPr>
      <w:shd w:val="clear" w:color="auto" w:fill="FFFF00"/>
      <w:ind w:left="170" w:hanging="170"/>
    </w:pPr>
    <w:rPr>
      <w:rFonts w:asciiTheme="minorHAnsi" w:hAnsiTheme="minorHAnsi"/>
      <w:sz w:val="20"/>
      <w:szCs w:val="24"/>
    </w:rPr>
  </w:style>
  <w:style w:type="character" w:styleId="CommentReference">
    <w:name w:val="annotation reference"/>
    <w:basedOn w:val="DefaultParagraphFont"/>
    <w:uiPriority w:val="99"/>
    <w:semiHidden/>
    <w:unhideWhenUsed/>
    <w:rsid w:val="002170D5"/>
    <w:rPr>
      <w:sz w:val="16"/>
      <w:szCs w:val="16"/>
    </w:rPr>
  </w:style>
  <w:style w:type="paragraph" w:styleId="CommentText">
    <w:name w:val="annotation text"/>
    <w:basedOn w:val="Normal"/>
    <w:link w:val="CommentTextChar"/>
    <w:uiPriority w:val="99"/>
    <w:unhideWhenUsed/>
    <w:rsid w:val="002170D5"/>
    <w:rPr>
      <w:rFonts w:ascii="Calibri" w:hAnsi="Calibri"/>
      <w:sz w:val="20"/>
    </w:rPr>
  </w:style>
  <w:style w:type="character" w:customStyle="1" w:styleId="CommentTextChar">
    <w:name w:val="Comment Text Char"/>
    <w:basedOn w:val="DefaultParagraphFont"/>
    <w:link w:val="CommentText"/>
    <w:uiPriority w:val="99"/>
    <w:rsid w:val="002170D5"/>
    <w:rPr>
      <w:rFonts w:ascii="Calibri" w:eastAsia="Times New Roman" w:hAnsi="Calibri" w:cs="Times New Roman"/>
      <w:sz w:val="20"/>
      <w:szCs w:val="20"/>
      <w:lang w:eastAsia="en-AU"/>
    </w:rPr>
  </w:style>
  <w:style w:type="character" w:styleId="UnresolvedMention">
    <w:name w:val="Unresolved Mention"/>
    <w:basedOn w:val="DefaultParagraphFont"/>
    <w:uiPriority w:val="99"/>
    <w:semiHidden/>
    <w:unhideWhenUsed/>
    <w:rsid w:val="00B94C1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21775"/>
    <w:rPr>
      <w:rFonts w:ascii="Calibri Light" w:hAnsi="Calibri Light"/>
      <w:b/>
      <w:bCs/>
    </w:rPr>
  </w:style>
  <w:style w:type="character" w:customStyle="1" w:styleId="CommentSubjectChar">
    <w:name w:val="Comment Subject Char"/>
    <w:basedOn w:val="CommentTextChar"/>
    <w:link w:val="CommentSubject"/>
    <w:uiPriority w:val="99"/>
    <w:semiHidden/>
    <w:rsid w:val="00421775"/>
    <w:rPr>
      <w:rFonts w:ascii="Calibri Light" w:eastAsia="Times New Roman" w:hAnsi="Calibri Light" w:cs="Times New Roman"/>
      <w:b/>
      <w:bCs/>
      <w:sz w:val="20"/>
      <w:szCs w:val="20"/>
      <w:lang w:eastAsia="en-AU"/>
    </w:rPr>
  </w:style>
  <w:style w:type="paragraph" w:styleId="NormalWeb">
    <w:name w:val="Normal (Web)"/>
    <w:basedOn w:val="Normal"/>
    <w:uiPriority w:val="99"/>
    <w:unhideWhenUsed/>
    <w:rsid w:val="008452EB"/>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5166F9"/>
    <w:pPr>
      <w:spacing w:after="0" w:line="240" w:lineRule="auto"/>
    </w:pPr>
    <w:rPr>
      <w:rFonts w:ascii="Calibri Light" w:eastAsia="Times New Roman" w:hAnsi="Calibri Light" w:cs="Times New Roman"/>
      <w:szCs w:val="20"/>
      <w:lang w:eastAsia="en-AU"/>
    </w:rPr>
  </w:style>
  <w:style w:type="table" w:styleId="ListTable4-Accent2">
    <w:name w:val="List Table 4 Accent 2"/>
    <w:basedOn w:val="TableNormal"/>
    <w:uiPriority w:val="49"/>
    <w:rsid w:val="00950DE9"/>
    <w:pPr>
      <w:spacing w:after="0" w:line="240" w:lineRule="auto"/>
    </w:pPr>
    <w:tblPr>
      <w:tblStyleRowBandSize w:val="1"/>
      <w:tblStyleColBandSize w:val="1"/>
      <w:tblBorders>
        <w:top w:val="single" w:sz="4" w:space="0" w:color="8CB59F" w:themeColor="accent2" w:themeTint="99"/>
        <w:left w:val="single" w:sz="4" w:space="0" w:color="8CB59F" w:themeColor="accent2" w:themeTint="99"/>
        <w:bottom w:val="single" w:sz="4" w:space="0" w:color="8CB59F" w:themeColor="accent2" w:themeTint="99"/>
        <w:right w:val="single" w:sz="4" w:space="0" w:color="8CB59F" w:themeColor="accent2" w:themeTint="99"/>
        <w:insideH w:val="single" w:sz="4" w:space="0" w:color="8CB59F" w:themeColor="accent2" w:themeTint="99"/>
      </w:tblBorders>
    </w:tblPr>
    <w:tblStylePr w:type="firstRow">
      <w:rPr>
        <w:b/>
        <w:bCs/>
        <w:color w:val="FFFFFF" w:themeColor="background1"/>
      </w:rPr>
      <w:tblPr/>
      <w:tcPr>
        <w:tcBorders>
          <w:top w:val="single" w:sz="4" w:space="0" w:color="4D7861" w:themeColor="accent2"/>
          <w:left w:val="single" w:sz="4" w:space="0" w:color="4D7861" w:themeColor="accent2"/>
          <w:bottom w:val="single" w:sz="4" w:space="0" w:color="4D7861" w:themeColor="accent2"/>
          <w:right w:val="single" w:sz="4" w:space="0" w:color="4D7861" w:themeColor="accent2"/>
          <w:insideH w:val="nil"/>
        </w:tcBorders>
        <w:shd w:val="clear" w:color="auto" w:fill="4D7861" w:themeFill="accent2"/>
      </w:tcPr>
    </w:tblStylePr>
    <w:tblStylePr w:type="lastRow">
      <w:rPr>
        <w:b/>
        <w:bCs/>
      </w:rPr>
      <w:tblPr/>
      <w:tcPr>
        <w:tcBorders>
          <w:top w:val="double" w:sz="4" w:space="0" w:color="8CB59F" w:themeColor="accent2" w:themeTint="99"/>
        </w:tcBorders>
      </w:tcPr>
    </w:tblStylePr>
    <w:tblStylePr w:type="firstCol">
      <w:rPr>
        <w:b/>
        <w:bCs/>
      </w:rPr>
    </w:tblStylePr>
    <w:tblStylePr w:type="lastCol">
      <w:rPr>
        <w:b/>
        <w:bCs/>
      </w:rPr>
    </w:tblStylePr>
    <w:tblStylePr w:type="band1Vert">
      <w:tblPr/>
      <w:tcPr>
        <w:shd w:val="clear" w:color="auto" w:fill="D8E6DF" w:themeFill="accent2" w:themeFillTint="33"/>
      </w:tcPr>
    </w:tblStylePr>
    <w:tblStylePr w:type="band1Horz">
      <w:tblPr/>
      <w:tcPr>
        <w:shd w:val="clear" w:color="auto" w:fill="D8E6DF" w:themeFill="accent2" w:themeFillTint="33"/>
      </w:tcPr>
    </w:tblStylePr>
  </w:style>
  <w:style w:type="paragraph" w:styleId="BodyText">
    <w:name w:val="Body Text"/>
    <w:basedOn w:val="Normal"/>
    <w:link w:val="BodyTextChar"/>
    <w:semiHidden/>
    <w:unhideWhenUsed/>
    <w:qFormat/>
    <w:rsid w:val="00950DE9"/>
    <w:pPr>
      <w:spacing w:before="0" w:line="240" w:lineRule="atLeast"/>
    </w:pPr>
    <w:rPr>
      <w:rFonts w:ascii="Arial" w:eastAsiaTheme="minorHAnsi" w:hAnsi="Arial" w:cstheme="minorBidi"/>
      <w:color w:val="000000"/>
      <w:sz w:val="21"/>
      <w:szCs w:val="21"/>
      <w:lang w:eastAsia="zh-CN"/>
    </w:rPr>
  </w:style>
  <w:style w:type="character" w:customStyle="1" w:styleId="BodyTextChar">
    <w:name w:val="Body Text Char"/>
    <w:basedOn w:val="DefaultParagraphFont"/>
    <w:link w:val="BodyText"/>
    <w:semiHidden/>
    <w:rsid w:val="00950DE9"/>
    <w:rPr>
      <w:rFonts w:ascii="Arial" w:hAnsi="Arial"/>
      <w:color w:val="000000"/>
      <w:sz w:val="21"/>
      <w:szCs w:val="21"/>
      <w:lang w:eastAsia="zh-CN"/>
    </w:rPr>
  </w:style>
  <w:style w:type="paragraph" w:customStyle="1" w:styleId="SecurityClassificationHeader">
    <w:name w:val="Security Classification Header"/>
    <w:link w:val="SecurityClassificationHeaderChar"/>
    <w:rsid w:val="002170D5"/>
    <w:pPr>
      <w:spacing w:before="360" w:after="60"/>
      <w:jc w:val="center"/>
    </w:pPr>
    <w:rPr>
      <w:rFonts w:ascii="Calibri" w:eastAsia="Times New Roman" w:hAnsi="Calibri" w:cs="Calibri"/>
      <w:b/>
      <w:color w:val="FF0000"/>
      <w:sz w:val="24"/>
      <w:szCs w:val="20"/>
      <w:lang w:eastAsia="en-AU"/>
    </w:rPr>
  </w:style>
  <w:style w:type="character" w:customStyle="1" w:styleId="SecurityClassificationHeaderChar">
    <w:name w:val="Security Classification Header Char"/>
    <w:basedOn w:val="HeaderChar"/>
    <w:link w:val="SecurityClassificationHeader"/>
    <w:rsid w:val="002170D5"/>
    <w:rPr>
      <w:rFonts w:ascii="Calibri" w:eastAsia="Times New Roman" w:hAnsi="Calibri" w:cs="Calibri"/>
      <w:b/>
      <w:color w:val="FF0000"/>
      <w:sz w:val="24"/>
      <w:szCs w:val="20"/>
      <w:lang w:eastAsia="en-AU"/>
    </w:rPr>
  </w:style>
  <w:style w:type="paragraph" w:customStyle="1" w:styleId="SecurityClassificationFooter">
    <w:name w:val="Security Classification Footer"/>
    <w:link w:val="SecurityClassificationFooterChar"/>
    <w:rsid w:val="002170D5"/>
    <w:pPr>
      <w:spacing w:before="360" w:after="60"/>
      <w:jc w:val="center"/>
    </w:pPr>
    <w:rPr>
      <w:rFonts w:ascii="Calibri" w:eastAsia="Times New Roman" w:hAnsi="Calibri" w:cs="Calibri"/>
      <w:b/>
      <w:color w:val="FF0000"/>
      <w:sz w:val="24"/>
      <w:szCs w:val="20"/>
      <w:lang w:eastAsia="en-AU"/>
    </w:rPr>
  </w:style>
  <w:style w:type="character" w:customStyle="1" w:styleId="SecurityClassificationFooterChar">
    <w:name w:val="Security Classification Footer Char"/>
    <w:basedOn w:val="HeaderChar"/>
    <w:link w:val="SecurityClassificationFooter"/>
    <w:rsid w:val="002170D5"/>
    <w:rPr>
      <w:rFonts w:ascii="Calibri" w:eastAsia="Times New Roman" w:hAnsi="Calibri" w:cs="Calibri"/>
      <w:b/>
      <w:color w:val="FF0000"/>
      <w:sz w:val="24"/>
      <w:szCs w:val="20"/>
      <w:lang w:eastAsia="en-AU"/>
    </w:rPr>
  </w:style>
  <w:style w:type="paragraph" w:customStyle="1" w:styleId="DLMSecurityHeader">
    <w:name w:val="DLM Security Header"/>
    <w:link w:val="DLMSecurityHeaderChar"/>
    <w:rsid w:val="002170D5"/>
    <w:pPr>
      <w:spacing w:before="60" w:after="240"/>
      <w:jc w:val="center"/>
    </w:pPr>
    <w:rPr>
      <w:rFonts w:ascii="Calibri" w:eastAsia="Times New Roman" w:hAnsi="Calibri" w:cs="Calibri"/>
      <w:b/>
      <w:color w:val="FF0000"/>
      <w:sz w:val="24"/>
      <w:szCs w:val="20"/>
      <w:lang w:eastAsia="en-AU"/>
    </w:rPr>
  </w:style>
  <w:style w:type="character" w:customStyle="1" w:styleId="DLMSecurityHeaderChar">
    <w:name w:val="DLM Security Header Char"/>
    <w:basedOn w:val="HeaderChar"/>
    <w:link w:val="DLMSecurityHeader"/>
    <w:rsid w:val="002170D5"/>
    <w:rPr>
      <w:rFonts w:ascii="Calibri" w:eastAsia="Times New Roman" w:hAnsi="Calibri" w:cs="Calibri"/>
      <w:b/>
      <w:color w:val="FF0000"/>
      <w:sz w:val="24"/>
      <w:szCs w:val="20"/>
      <w:lang w:eastAsia="en-AU"/>
    </w:rPr>
  </w:style>
  <w:style w:type="paragraph" w:customStyle="1" w:styleId="DLMSecurityFooter">
    <w:name w:val="DLM Security Footer"/>
    <w:link w:val="DLMSecurityFooterChar"/>
    <w:rsid w:val="002170D5"/>
    <w:pPr>
      <w:spacing w:before="240" w:after="60"/>
      <w:jc w:val="center"/>
    </w:pPr>
    <w:rPr>
      <w:rFonts w:ascii="Calibri" w:eastAsia="Times New Roman" w:hAnsi="Calibri" w:cs="Calibri"/>
      <w:b/>
      <w:color w:val="FF0000"/>
      <w:sz w:val="24"/>
      <w:szCs w:val="20"/>
      <w:lang w:eastAsia="en-AU"/>
    </w:rPr>
  </w:style>
  <w:style w:type="character" w:customStyle="1" w:styleId="DLMSecurityFooterChar">
    <w:name w:val="DLM Security Footer Char"/>
    <w:basedOn w:val="HeaderChar"/>
    <w:link w:val="DLMSecurityFooter"/>
    <w:rsid w:val="002170D5"/>
    <w:rPr>
      <w:rFonts w:ascii="Calibri" w:eastAsia="Times New Roman" w:hAnsi="Calibri" w:cs="Calibri"/>
      <w:b/>
      <w:color w:val="FF0000"/>
      <w:sz w:val="24"/>
      <w:szCs w:val="20"/>
      <w:lang w:eastAsia="en-AU"/>
    </w:rPr>
  </w:style>
  <w:style w:type="character" w:styleId="FollowedHyperlink">
    <w:name w:val="FollowedHyperlink"/>
    <w:basedOn w:val="DefaultParagraphFont"/>
    <w:uiPriority w:val="99"/>
    <w:unhideWhenUsed/>
    <w:rsid w:val="00BD792C"/>
    <w:rPr>
      <w:color w:val="844D9E" w:themeColor="followedHyperlink"/>
      <w:u w:val="single"/>
    </w:rPr>
  </w:style>
  <w:style w:type="paragraph" w:customStyle="1" w:styleId="paragraph">
    <w:name w:val="paragraph"/>
    <w:basedOn w:val="Normal"/>
    <w:rsid w:val="007E251F"/>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7E251F"/>
  </w:style>
  <w:style w:type="character" w:customStyle="1" w:styleId="eop">
    <w:name w:val="eop"/>
    <w:basedOn w:val="DefaultParagraphFont"/>
    <w:rsid w:val="007E251F"/>
  </w:style>
  <w:style w:type="character" w:styleId="Emphasis">
    <w:name w:val="Emphasis"/>
    <w:basedOn w:val="DefaultParagraphFont"/>
    <w:uiPriority w:val="20"/>
    <w:qFormat/>
    <w:rsid w:val="008933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97904">
      <w:bodyDiv w:val="1"/>
      <w:marLeft w:val="0"/>
      <w:marRight w:val="0"/>
      <w:marTop w:val="0"/>
      <w:marBottom w:val="0"/>
      <w:divBdr>
        <w:top w:val="none" w:sz="0" w:space="0" w:color="auto"/>
        <w:left w:val="none" w:sz="0" w:space="0" w:color="auto"/>
        <w:bottom w:val="none" w:sz="0" w:space="0" w:color="auto"/>
        <w:right w:val="none" w:sz="0" w:space="0" w:color="auto"/>
      </w:divBdr>
    </w:div>
    <w:div w:id="88233753">
      <w:bodyDiv w:val="1"/>
      <w:marLeft w:val="0"/>
      <w:marRight w:val="0"/>
      <w:marTop w:val="0"/>
      <w:marBottom w:val="0"/>
      <w:divBdr>
        <w:top w:val="none" w:sz="0" w:space="0" w:color="auto"/>
        <w:left w:val="none" w:sz="0" w:space="0" w:color="auto"/>
        <w:bottom w:val="none" w:sz="0" w:space="0" w:color="auto"/>
        <w:right w:val="none" w:sz="0" w:space="0" w:color="auto"/>
      </w:divBdr>
    </w:div>
    <w:div w:id="138956850">
      <w:bodyDiv w:val="1"/>
      <w:marLeft w:val="0"/>
      <w:marRight w:val="0"/>
      <w:marTop w:val="0"/>
      <w:marBottom w:val="0"/>
      <w:divBdr>
        <w:top w:val="none" w:sz="0" w:space="0" w:color="auto"/>
        <w:left w:val="none" w:sz="0" w:space="0" w:color="auto"/>
        <w:bottom w:val="none" w:sz="0" w:space="0" w:color="auto"/>
        <w:right w:val="none" w:sz="0" w:space="0" w:color="auto"/>
      </w:divBdr>
    </w:div>
    <w:div w:id="176190356">
      <w:bodyDiv w:val="1"/>
      <w:marLeft w:val="0"/>
      <w:marRight w:val="0"/>
      <w:marTop w:val="0"/>
      <w:marBottom w:val="0"/>
      <w:divBdr>
        <w:top w:val="none" w:sz="0" w:space="0" w:color="auto"/>
        <w:left w:val="none" w:sz="0" w:space="0" w:color="auto"/>
        <w:bottom w:val="none" w:sz="0" w:space="0" w:color="auto"/>
        <w:right w:val="none" w:sz="0" w:space="0" w:color="auto"/>
      </w:divBdr>
    </w:div>
    <w:div w:id="201555553">
      <w:bodyDiv w:val="1"/>
      <w:marLeft w:val="0"/>
      <w:marRight w:val="0"/>
      <w:marTop w:val="0"/>
      <w:marBottom w:val="0"/>
      <w:divBdr>
        <w:top w:val="none" w:sz="0" w:space="0" w:color="auto"/>
        <w:left w:val="none" w:sz="0" w:space="0" w:color="auto"/>
        <w:bottom w:val="none" w:sz="0" w:space="0" w:color="auto"/>
        <w:right w:val="none" w:sz="0" w:space="0" w:color="auto"/>
      </w:divBdr>
    </w:div>
    <w:div w:id="215747790">
      <w:bodyDiv w:val="1"/>
      <w:marLeft w:val="0"/>
      <w:marRight w:val="0"/>
      <w:marTop w:val="0"/>
      <w:marBottom w:val="0"/>
      <w:divBdr>
        <w:top w:val="none" w:sz="0" w:space="0" w:color="auto"/>
        <w:left w:val="none" w:sz="0" w:space="0" w:color="auto"/>
        <w:bottom w:val="none" w:sz="0" w:space="0" w:color="auto"/>
        <w:right w:val="none" w:sz="0" w:space="0" w:color="auto"/>
      </w:divBdr>
    </w:div>
    <w:div w:id="333340144">
      <w:bodyDiv w:val="1"/>
      <w:marLeft w:val="0"/>
      <w:marRight w:val="0"/>
      <w:marTop w:val="0"/>
      <w:marBottom w:val="0"/>
      <w:divBdr>
        <w:top w:val="none" w:sz="0" w:space="0" w:color="auto"/>
        <w:left w:val="none" w:sz="0" w:space="0" w:color="auto"/>
        <w:bottom w:val="none" w:sz="0" w:space="0" w:color="auto"/>
        <w:right w:val="none" w:sz="0" w:space="0" w:color="auto"/>
      </w:divBdr>
    </w:div>
    <w:div w:id="413554477">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52287549">
      <w:bodyDiv w:val="1"/>
      <w:marLeft w:val="0"/>
      <w:marRight w:val="0"/>
      <w:marTop w:val="0"/>
      <w:marBottom w:val="0"/>
      <w:divBdr>
        <w:top w:val="none" w:sz="0" w:space="0" w:color="auto"/>
        <w:left w:val="none" w:sz="0" w:space="0" w:color="auto"/>
        <w:bottom w:val="none" w:sz="0" w:space="0" w:color="auto"/>
        <w:right w:val="none" w:sz="0" w:space="0" w:color="auto"/>
      </w:divBdr>
    </w:div>
    <w:div w:id="494879176">
      <w:bodyDiv w:val="1"/>
      <w:marLeft w:val="0"/>
      <w:marRight w:val="0"/>
      <w:marTop w:val="0"/>
      <w:marBottom w:val="0"/>
      <w:divBdr>
        <w:top w:val="none" w:sz="0" w:space="0" w:color="auto"/>
        <w:left w:val="none" w:sz="0" w:space="0" w:color="auto"/>
        <w:bottom w:val="none" w:sz="0" w:space="0" w:color="auto"/>
        <w:right w:val="none" w:sz="0" w:space="0" w:color="auto"/>
      </w:divBdr>
    </w:div>
    <w:div w:id="544559518">
      <w:bodyDiv w:val="1"/>
      <w:marLeft w:val="0"/>
      <w:marRight w:val="0"/>
      <w:marTop w:val="0"/>
      <w:marBottom w:val="0"/>
      <w:divBdr>
        <w:top w:val="none" w:sz="0" w:space="0" w:color="auto"/>
        <w:left w:val="none" w:sz="0" w:space="0" w:color="auto"/>
        <w:bottom w:val="none" w:sz="0" w:space="0" w:color="auto"/>
        <w:right w:val="none" w:sz="0" w:space="0" w:color="auto"/>
      </w:divBdr>
    </w:div>
    <w:div w:id="581717624">
      <w:bodyDiv w:val="1"/>
      <w:marLeft w:val="0"/>
      <w:marRight w:val="0"/>
      <w:marTop w:val="0"/>
      <w:marBottom w:val="0"/>
      <w:divBdr>
        <w:top w:val="none" w:sz="0" w:space="0" w:color="auto"/>
        <w:left w:val="none" w:sz="0" w:space="0" w:color="auto"/>
        <w:bottom w:val="none" w:sz="0" w:space="0" w:color="auto"/>
        <w:right w:val="none" w:sz="0" w:space="0" w:color="auto"/>
      </w:divBdr>
    </w:div>
    <w:div w:id="647828119">
      <w:bodyDiv w:val="1"/>
      <w:marLeft w:val="0"/>
      <w:marRight w:val="0"/>
      <w:marTop w:val="0"/>
      <w:marBottom w:val="0"/>
      <w:divBdr>
        <w:top w:val="none" w:sz="0" w:space="0" w:color="auto"/>
        <w:left w:val="none" w:sz="0" w:space="0" w:color="auto"/>
        <w:bottom w:val="none" w:sz="0" w:space="0" w:color="auto"/>
        <w:right w:val="none" w:sz="0" w:space="0" w:color="auto"/>
      </w:divBdr>
    </w:div>
    <w:div w:id="749889471">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27672395">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915358288">
      <w:bodyDiv w:val="1"/>
      <w:marLeft w:val="0"/>
      <w:marRight w:val="0"/>
      <w:marTop w:val="0"/>
      <w:marBottom w:val="0"/>
      <w:divBdr>
        <w:top w:val="none" w:sz="0" w:space="0" w:color="auto"/>
        <w:left w:val="none" w:sz="0" w:space="0" w:color="auto"/>
        <w:bottom w:val="none" w:sz="0" w:space="0" w:color="auto"/>
        <w:right w:val="none" w:sz="0" w:space="0" w:color="auto"/>
      </w:divBdr>
    </w:div>
    <w:div w:id="936520353">
      <w:bodyDiv w:val="1"/>
      <w:marLeft w:val="0"/>
      <w:marRight w:val="0"/>
      <w:marTop w:val="0"/>
      <w:marBottom w:val="0"/>
      <w:divBdr>
        <w:top w:val="none" w:sz="0" w:space="0" w:color="auto"/>
        <w:left w:val="none" w:sz="0" w:space="0" w:color="auto"/>
        <w:bottom w:val="none" w:sz="0" w:space="0" w:color="auto"/>
        <w:right w:val="none" w:sz="0" w:space="0" w:color="auto"/>
      </w:divBdr>
    </w:div>
    <w:div w:id="944582109">
      <w:bodyDiv w:val="1"/>
      <w:marLeft w:val="0"/>
      <w:marRight w:val="0"/>
      <w:marTop w:val="0"/>
      <w:marBottom w:val="0"/>
      <w:divBdr>
        <w:top w:val="none" w:sz="0" w:space="0" w:color="auto"/>
        <w:left w:val="none" w:sz="0" w:space="0" w:color="auto"/>
        <w:bottom w:val="none" w:sz="0" w:space="0" w:color="auto"/>
        <w:right w:val="none" w:sz="0" w:space="0" w:color="auto"/>
      </w:divBdr>
    </w:div>
    <w:div w:id="963729520">
      <w:bodyDiv w:val="1"/>
      <w:marLeft w:val="0"/>
      <w:marRight w:val="0"/>
      <w:marTop w:val="0"/>
      <w:marBottom w:val="0"/>
      <w:divBdr>
        <w:top w:val="none" w:sz="0" w:space="0" w:color="auto"/>
        <w:left w:val="none" w:sz="0" w:space="0" w:color="auto"/>
        <w:bottom w:val="none" w:sz="0" w:space="0" w:color="auto"/>
        <w:right w:val="none" w:sz="0" w:space="0" w:color="auto"/>
      </w:divBdr>
    </w:div>
    <w:div w:id="987439144">
      <w:bodyDiv w:val="1"/>
      <w:marLeft w:val="0"/>
      <w:marRight w:val="0"/>
      <w:marTop w:val="0"/>
      <w:marBottom w:val="0"/>
      <w:divBdr>
        <w:top w:val="none" w:sz="0" w:space="0" w:color="auto"/>
        <w:left w:val="none" w:sz="0" w:space="0" w:color="auto"/>
        <w:bottom w:val="none" w:sz="0" w:space="0" w:color="auto"/>
        <w:right w:val="none" w:sz="0" w:space="0" w:color="auto"/>
      </w:divBdr>
    </w:div>
    <w:div w:id="1018001645">
      <w:bodyDiv w:val="1"/>
      <w:marLeft w:val="0"/>
      <w:marRight w:val="0"/>
      <w:marTop w:val="0"/>
      <w:marBottom w:val="0"/>
      <w:divBdr>
        <w:top w:val="none" w:sz="0" w:space="0" w:color="auto"/>
        <w:left w:val="none" w:sz="0" w:space="0" w:color="auto"/>
        <w:bottom w:val="none" w:sz="0" w:space="0" w:color="auto"/>
        <w:right w:val="none" w:sz="0" w:space="0" w:color="auto"/>
      </w:divBdr>
    </w:div>
    <w:div w:id="1077021692">
      <w:bodyDiv w:val="1"/>
      <w:marLeft w:val="0"/>
      <w:marRight w:val="0"/>
      <w:marTop w:val="0"/>
      <w:marBottom w:val="0"/>
      <w:divBdr>
        <w:top w:val="none" w:sz="0" w:space="0" w:color="auto"/>
        <w:left w:val="none" w:sz="0" w:space="0" w:color="auto"/>
        <w:bottom w:val="none" w:sz="0" w:space="0" w:color="auto"/>
        <w:right w:val="none" w:sz="0" w:space="0" w:color="auto"/>
      </w:divBdr>
    </w:div>
    <w:div w:id="1082458383">
      <w:bodyDiv w:val="1"/>
      <w:marLeft w:val="0"/>
      <w:marRight w:val="0"/>
      <w:marTop w:val="0"/>
      <w:marBottom w:val="0"/>
      <w:divBdr>
        <w:top w:val="none" w:sz="0" w:space="0" w:color="auto"/>
        <w:left w:val="none" w:sz="0" w:space="0" w:color="auto"/>
        <w:bottom w:val="none" w:sz="0" w:space="0" w:color="auto"/>
        <w:right w:val="none" w:sz="0" w:space="0" w:color="auto"/>
      </w:divBdr>
    </w:div>
    <w:div w:id="1099913497">
      <w:bodyDiv w:val="1"/>
      <w:marLeft w:val="0"/>
      <w:marRight w:val="0"/>
      <w:marTop w:val="0"/>
      <w:marBottom w:val="0"/>
      <w:divBdr>
        <w:top w:val="none" w:sz="0" w:space="0" w:color="auto"/>
        <w:left w:val="none" w:sz="0" w:space="0" w:color="auto"/>
        <w:bottom w:val="none" w:sz="0" w:space="0" w:color="auto"/>
        <w:right w:val="none" w:sz="0" w:space="0" w:color="auto"/>
      </w:divBdr>
    </w:div>
    <w:div w:id="1324354197">
      <w:bodyDiv w:val="1"/>
      <w:marLeft w:val="0"/>
      <w:marRight w:val="0"/>
      <w:marTop w:val="0"/>
      <w:marBottom w:val="0"/>
      <w:divBdr>
        <w:top w:val="none" w:sz="0" w:space="0" w:color="auto"/>
        <w:left w:val="none" w:sz="0" w:space="0" w:color="auto"/>
        <w:bottom w:val="none" w:sz="0" w:space="0" w:color="auto"/>
        <w:right w:val="none" w:sz="0" w:space="0" w:color="auto"/>
      </w:divBdr>
    </w:div>
    <w:div w:id="1381592011">
      <w:bodyDiv w:val="1"/>
      <w:marLeft w:val="0"/>
      <w:marRight w:val="0"/>
      <w:marTop w:val="0"/>
      <w:marBottom w:val="0"/>
      <w:divBdr>
        <w:top w:val="none" w:sz="0" w:space="0" w:color="auto"/>
        <w:left w:val="none" w:sz="0" w:space="0" w:color="auto"/>
        <w:bottom w:val="none" w:sz="0" w:space="0" w:color="auto"/>
        <w:right w:val="none" w:sz="0" w:space="0" w:color="auto"/>
      </w:divBdr>
    </w:div>
    <w:div w:id="1426145514">
      <w:bodyDiv w:val="1"/>
      <w:marLeft w:val="0"/>
      <w:marRight w:val="0"/>
      <w:marTop w:val="0"/>
      <w:marBottom w:val="0"/>
      <w:divBdr>
        <w:top w:val="none" w:sz="0" w:space="0" w:color="auto"/>
        <w:left w:val="none" w:sz="0" w:space="0" w:color="auto"/>
        <w:bottom w:val="none" w:sz="0" w:space="0" w:color="auto"/>
        <w:right w:val="none" w:sz="0" w:space="0" w:color="auto"/>
      </w:divBdr>
    </w:div>
    <w:div w:id="1472557623">
      <w:bodyDiv w:val="1"/>
      <w:marLeft w:val="0"/>
      <w:marRight w:val="0"/>
      <w:marTop w:val="0"/>
      <w:marBottom w:val="0"/>
      <w:divBdr>
        <w:top w:val="none" w:sz="0" w:space="0" w:color="auto"/>
        <w:left w:val="none" w:sz="0" w:space="0" w:color="auto"/>
        <w:bottom w:val="none" w:sz="0" w:space="0" w:color="auto"/>
        <w:right w:val="none" w:sz="0" w:space="0" w:color="auto"/>
      </w:divBdr>
    </w:div>
    <w:div w:id="1491559317">
      <w:bodyDiv w:val="1"/>
      <w:marLeft w:val="0"/>
      <w:marRight w:val="0"/>
      <w:marTop w:val="0"/>
      <w:marBottom w:val="0"/>
      <w:divBdr>
        <w:top w:val="none" w:sz="0" w:space="0" w:color="auto"/>
        <w:left w:val="none" w:sz="0" w:space="0" w:color="auto"/>
        <w:bottom w:val="none" w:sz="0" w:space="0" w:color="auto"/>
        <w:right w:val="none" w:sz="0" w:space="0" w:color="auto"/>
      </w:divBdr>
      <w:divsChild>
        <w:div w:id="890650994">
          <w:marLeft w:val="0"/>
          <w:marRight w:val="0"/>
          <w:marTop w:val="0"/>
          <w:marBottom w:val="0"/>
          <w:divBdr>
            <w:top w:val="none" w:sz="0" w:space="0" w:color="auto"/>
            <w:left w:val="none" w:sz="0" w:space="0" w:color="auto"/>
            <w:bottom w:val="none" w:sz="0" w:space="0" w:color="auto"/>
            <w:right w:val="none" w:sz="0" w:space="0" w:color="auto"/>
          </w:divBdr>
        </w:div>
        <w:div w:id="1206287344">
          <w:marLeft w:val="0"/>
          <w:marRight w:val="0"/>
          <w:marTop w:val="0"/>
          <w:marBottom w:val="0"/>
          <w:divBdr>
            <w:top w:val="none" w:sz="0" w:space="0" w:color="auto"/>
            <w:left w:val="none" w:sz="0" w:space="0" w:color="auto"/>
            <w:bottom w:val="none" w:sz="0" w:space="0" w:color="auto"/>
            <w:right w:val="none" w:sz="0" w:space="0" w:color="auto"/>
          </w:divBdr>
        </w:div>
        <w:div w:id="1311910645">
          <w:marLeft w:val="0"/>
          <w:marRight w:val="0"/>
          <w:marTop w:val="0"/>
          <w:marBottom w:val="0"/>
          <w:divBdr>
            <w:top w:val="none" w:sz="0" w:space="0" w:color="auto"/>
            <w:left w:val="none" w:sz="0" w:space="0" w:color="auto"/>
            <w:bottom w:val="none" w:sz="0" w:space="0" w:color="auto"/>
            <w:right w:val="none" w:sz="0" w:space="0" w:color="auto"/>
          </w:divBdr>
        </w:div>
        <w:div w:id="2038893437">
          <w:marLeft w:val="0"/>
          <w:marRight w:val="0"/>
          <w:marTop w:val="0"/>
          <w:marBottom w:val="0"/>
          <w:divBdr>
            <w:top w:val="none" w:sz="0" w:space="0" w:color="auto"/>
            <w:left w:val="none" w:sz="0" w:space="0" w:color="auto"/>
            <w:bottom w:val="none" w:sz="0" w:space="0" w:color="auto"/>
            <w:right w:val="none" w:sz="0" w:space="0" w:color="auto"/>
          </w:divBdr>
        </w:div>
        <w:div w:id="2106724435">
          <w:marLeft w:val="0"/>
          <w:marRight w:val="0"/>
          <w:marTop w:val="0"/>
          <w:marBottom w:val="0"/>
          <w:divBdr>
            <w:top w:val="none" w:sz="0" w:space="0" w:color="auto"/>
            <w:left w:val="none" w:sz="0" w:space="0" w:color="auto"/>
            <w:bottom w:val="none" w:sz="0" w:space="0" w:color="auto"/>
            <w:right w:val="none" w:sz="0" w:space="0" w:color="auto"/>
          </w:divBdr>
        </w:div>
      </w:divsChild>
    </w:div>
    <w:div w:id="1507355449">
      <w:bodyDiv w:val="1"/>
      <w:marLeft w:val="0"/>
      <w:marRight w:val="0"/>
      <w:marTop w:val="0"/>
      <w:marBottom w:val="0"/>
      <w:divBdr>
        <w:top w:val="none" w:sz="0" w:space="0" w:color="auto"/>
        <w:left w:val="none" w:sz="0" w:space="0" w:color="auto"/>
        <w:bottom w:val="none" w:sz="0" w:space="0" w:color="auto"/>
        <w:right w:val="none" w:sz="0" w:space="0" w:color="auto"/>
      </w:divBdr>
    </w:div>
    <w:div w:id="1539199855">
      <w:bodyDiv w:val="1"/>
      <w:marLeft w:val="0"/>
      <w:marRight w:val="0"/>
      <w:marTop w:val="0"/>
      <w:marBottom w:val="0"/>
      <w:divBdr>
        <w:top w:val="none" w:sz="0" w:space="0" w:color="auto"/>
        <w:left w:val="none" w:sz="0" w:space="0" w:color="auto"/>
        <w:bottom w:val="none" w:sz="0" w:space="0" w:color="auto"/>
        <w:right w:val="none" w:sz="0" w:space="0" w:color="auto"/>
      </w:divBdr>
    </w:div>
    <w:div w:id="1554929867">
      <w:bodyDiv w:val="1"/>
      <w:marLeft w:val="0"/>
      <w:marRight w:val="0"/>
      <w:marTop w:val="0"/>
      <w:marBottom w:val="0"/>
      <w:divBdr>
        <w:top w:val="none" w:sz="0" w:space="0" w:color="auto"/>
        <w:left w:val="none" w:sz="0" w:space="0" w:color="auto"/>
        <w:bottom w:val="none" w:sz="0" w:space="0" w:color="auto"/>
        <w:right w:val="none" w:sz="0" w:space="0" w:color="auto"/>
      </w:divBdr>
    </w:div>
    <w:div w:id="1643538585">
      <w:bodyDiv w:val="1"/>
      <w:marLeft w:val="0"/>
      <w:marRight w:val="0"/>
      <w:marTop w:val="0"/>
      <w:marBottom w:val="0"/>
      <w:divBdr>
        <w:top w:val="none" w:sz="0" w:space="0" w:color="auto"/>
        <w:left w:val="none" w:sz="0" w:space="0" w:color="auto"/>
        <w:bottom w:val="none" w:sz="0" w:space="0" w:color="auto"/>
        <w:right w:val="none" w:sz="0" w:space="0" w:color="auto"/>
      </w:divBdr>
    </w:div>
    <w:div w:id="1697268025">
      <w:bodyDiv w:val="1"/>
      <w:marLeft w:val="0"/>
      <w:marRight w:val="0"/>
      <w:marTop w:val="0"/>
      <w:marBottom w:val="0"/>
      <w:divBdr>
        <w:top w:val="none" w:sz="0" w:space="0" w:color="auto"/>
        <w:left w:val="none" w:sz="0" w:space="0" w:color="auto"/>
        <w:bottom w:val="none" w:sz="0" w:space="0" w:color="auto"/>
        <w:right w:val="none" w:sz="0" w:space="0" w:color="auto"/>
      </w:divBdr>
    </w:div>
    <w:div w:id="1786727812">
      <w:bodyDiv w:val="1"/>
      <w:marLeft w:val="0"/>
      <w:marRight w:val="0"/>
      <w:marTop w:val="0"/>
      <w:marBottom w:val="0"/>
      <w:divBdr>
        <w:top w:val="none" w:sz="0" w:space="0" w:color="auto"/>
        <w:left w:val="none" w:sz="0" w:space="0" w:color="auto"/>
        <w:bottom w:val="none" w:sz="0" w:space="0" w:color="auto"/>
        <w:right w:val="none" w:sz="0" w:space="0" w:color="auto"/>
      </w:divBdr>
    </w:div>
    <w:div w:id="1803503184">
      <w:bodyDiv w:val="1"/>
      <w:marLeft w:val="0"/>
      <w:marRight w:val="0"/>
      <w:marTop w:val="0"/>
      <w:marBottom w:val="0"/>
      <w:divBdr>
        <w:top w:val="none" w:sz="0" w:space="0" w:color="auto"/>
        <w:left w:val="none" w:sz="0" w:space="0" w:color="auto"/>
        <w:bottom w:val="none" w:sz="0" w:space="0" w:color="auto"/>
        <w:right w:val="none" w:sz="0" w:space="0" w:color="auto"/>
      </w:divBdr>
    </w:div>
    <w:div w:id="1812092436">
      <w:bodyDiv w:val="1"/>
      <w:marLeft w:val="0"/>
      <w:marRight w:val="0"/>
      <w:marTop w:val="0"/>
      <w:marBottom w:val="0"/>
      <w:divBdr>
        <w:top w:val="none" w:sz="0" w:space="0" w:color="auto"/>
        <w:left w:val="none" w:sz="0" w:space="0" w:color="auto"/>
        <w:bottom w:val="none" w:sz="0" w:space="0" w:color="auto"/>
        <w:right w:val="none" w:sz="0" w:space="0" w:color="auto"/>
      </w:divBdr>
    </w:div>
    <w:div w:id="1898861680">
      <w:bodyDiv w:val="1"/>
      <w:marLeft w:val="0"/>
      <w:marRight w:val="0"/>
      <w:marTop w:val="0"/>
      <w:marBottom w:val="0"/>
      <w:divBdr>
        <w:top w:val="none" w:sz="0" w:space="0" w:color="auto"/>
        <w:left w:val="none" w:sz="0" w:space="0" w:color="auto"/>
        <w:bottom w:val="none" w:sz="0" w:space="0" w:color="auto"/>
        <w:right w:val="none" w:sz="0" w:space="0" w:color="auto"/>
      </w:divBdr>
    </w:div>
    <w:div w:id="2064866521">
      <w:bodyDiv w:val="1"/>
      <w:marLeft w:val="0"/>
      <w:marRight w:val="0"/>
      <w:marTop w:val="0"/>
      <w:marBottom w:val="0"/>
      <w:divBdr>
        <w:top w:val="none" w:sz="0" w:space="0" w:color="auto"/>
        <w:left w:val="none" w:sz="0" w:space="0" w:color="auto"/>
        <w:bottom w:val="none" w:sz="0" w:space="0" w:color="auto"/>
        <w:right w:val="none" w:sz="0" w:space="0" w:color="auto"/>
      </w:divBdr>
    </w:div>
    <w:div w:id="2096129992">
      <w:bodyDiv w:val="1"/>
      <w:marLeft w:val="0"/>
      <w:marRight w:val="0"/>
      <w:marTop w:val="0"/>
      <w:marBottom w:val="0"/>
      <w:divBdr>
        <w:top w:val="none" w:sz="0" w:space="0" w:color="auto"/>
        <w:left w:val="none" w:sz="0" w:space="0" w:color="auto"/>
        <w:bottom w:val="none" w:sz="0" w:space="0" w:color="auto"/>
        <w:right w:val="none" w:sz="0" w:space="0" w:color="auto"/>
      </w:divBdr>
    </w:div>
    <w:div w:id="2109621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deed.en" TargetMode="External"/><Relationship Id="rId18" Type="http://schemas.openxmlformats.org/officeDocument/2006/relationships/footer" Target="footer1.xml"/><Relationship Id="rId26" Type="http://schemas.openxmlformats.org/officeDocument/2006/relationships/hyperlink" Target="https://aus01.safelinks.protection.outlook.com/?url=https%3A%2F%2Fwww.ausbanking.org.au%2Fwp-content%2Fuploads%2F2022%2F02%2FABA-Industry-Statement-Supporting-Aboriginal-and-Torres-Strait-Islander-Peoples.pdf&amp;data=04%7C01%7CSally.Cray%40ausbanking.org.au%7C79fc44dfdee548d8ca8608d9f7294d0e%7C12c2873f08a744659e67ce07df6dd581%7C1%7C0%7C637812579018925080%7CUnknown%7CTWFpbGZsb3d8eyJWIjoiMC4wLjAwMDAiLCJQIjoiV2luMzIiLCJBTiI6Ik1haWwiLCJXVCI6Mn0%3D%7C3000&amp;sdata=mmLGIr92v63srrtKfBNkqgHeavWGFxGuch%2Bp93oMaBQ%3D&amp;reserved=0" TargetMode="External"/><Relationship Id="rId39" Type="http://schemas.openxmlformats.org/officeDocument/2006/relationships/hyperlink" Target="https://www.aph.gov.au/Parliamentary_Business/Committees/Joint/Corporations_and_Financial_Services/Completed_inquiries/2002-04/banking/report/index" TargetMode="External"/><Relationship Id="rId21" Type="http://schemas.openxmlformats.org/officeDocument/2006/relationships/footer" Target="footer3.xml"/><Relationship Id="rId34" Type="http://schemas.openxmlformats.org/officeDocument/2006/relationships/hyperlink" Target="https://www.rba.gov.au/publications/bulletin/2020/mar/consumer-payment-behaviour-in-australia.html" TargetMode="External"/><Relationship Id="rId42" Type="http://schemas.openxmlformats.org/officeDocument/2006/relationships/hyperlink" Target="https://www.rbnz.govt.nz/money-and-cash/money-and-cash-resources/impact-of-covid-19-on-cash-use-in-new-zealand" TargetMode="External"/><Relationship Id="rId47"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9" Type="http://schemas.openxmlformats.org/officeDocument/2006/relationships/hyperlink" Target="https://www.abs.gov.au/statistics/economy/national-accounts/australian-system-national-accounts/latest-release" TargetMode="Externa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hyperlink" Target="https://www.apra.gov.au/authorised-deposit-taking-institutions-points-of-presence-statistics" TargetMode="External"/><Relationship Id="rId37" Type="http://schemas.openxmlformats.org/officeDocument/2006/relationships/hyperlink" Target="https://www.financialcounsellingaustralia.org.au/docs/regional-banking/" TargetMode="External"/><Relationship Id="rId40" Type="http://schemas.openxmlformats.org/officeDocument/2006/relationships/hyperlink" Target="https://banknotes.rba.gov.au/resources/banknote-distribution-consultation/issues-paper/" TargetMode="External"/><Relationship Id="rId45" Type="http://schemas.openxmlformats.org/officeDocument/2006/relationships/hyperlink" Target="https://www.ukfinance.org.uk/press/press-releases/pivotal-moment-banks-consumer-groups-post-office-and-link-join-forces-help-protect-cash-services" TargetMode="External"/><Relationship Id="rId5" Type="http://schemas.openxmlformats.org/officeDocument/2006/relationships/customXml" Target="../customXml/item5.xml"/><Relationship Id="rId15" Type="http://schemas.openxmlformats.org/officeDocument/2006/relationships/image" Target="media/image2.wmf"/><Relationship Id="rId23" Type="http://schemas.openxmlformats.org/officeDocument/2006/relationships/image" Target="media/image6.emf"/><Relationship Id="rId28" Type="http://schemas.openxmlformats.org/officeDocument/2006/relationships/hyperlink" Target="https://www.ausbanking.org.au/wp-content/uploads/2021/10/2021-5-Oct-Banking-Code-WEB.pdf" TargetMode="External"/><Relationship Id="rId36" Type="http://schemas.openxmlformats.org/officeDocument/2006/relationships/hyperlink" Target="https://bankingcodereview.com.au/"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https://www.acma.gov.au/publications/2021-12/report/communications-and-media-australia-how-we-use-internet" TargetMode="External"/><Relationship Id="rId44" Type="http://schemas.openxmlformats.org/officeDocument/2006/relationships/hyperlink" Target="https://www.ukfinance.org.uk/banks-and-post-office-raise-greater-awareness-banking-services-available-local-post-office-branch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ses/by/3.0/au/legalcode" TargetMode="External"/><Relationship Id="rId22" Type="http://schemas.openxmlformats.org/officeDocument/2006/relationships/image" Target="media/image5.emf"/><Relationship Id="rId27" Type="http://schemas.openxmlformats.org/officeDocument/2006/relationships/hyperlink" Target="https://www.ausbanking.org.au/branch-closure-protocol/" TargetMode="External"/><Relationship Id="rId30" Type="http://schemas.openxmlformats.org/officeDocument/2006/relationships/hyperlink" Target="https://www.abs.gov.au/statistics/labour/employment-and-unemployment/labour-force-australia-detailed/latest-release" TargetMode="External"/><Relationship Id="rId35" Type="http://schemas.openxmlformats.org/officeDocument/2006/relationships/hyperlink" Target="https://www.rba.gov.au/publications/bulletin/2021/jun/how-far-do-australians-need-to-travel-to-access-cash.html" TargetMode="External"/><Relationship Id="rId43" Type="http://schemas.openxmlformats.org/officeDocument/2006/relationships/hyperlink" Target="https://www.infrastructure.gov.au/department/media/publications/2021-regional-telecommunications-review-step-change-demand" TargetMode="Externa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www.pmc.gov.au/government/commonwealth-coat-arms" TargetMode="External"/><Relationship Id="rId25" Type="http://schemas.openxmlformats.org/officeDocument/2006/relationships/image" Target="media/image8.png"/><Relationship Id="rId33" Type="http://schemas.openxmlformats.org/officeDocument/2006/relationships/hyperlink" Target="https://commonslibrary.parliament.uk/research-briefings/cbp-8740/" TargetMode="External"/><Relationship Id="rId38" Type="http://schemas.openxmlformats.org/officeDocument/2006/relationships/hyperlink" Target="https://www.rba.gov.au/publications/bulletin/2020/jun/cash-use-in-australia-results-from-the-2019-consumer-payments-survey.html" TargetMode="External"/><Relationship Id="rId46" Type="http://schemas.openxmlformats.org/officeDocument/2006/relationships/header" Target="header1.xml"/><Relationship Id="rId20" Type="http://schemas.openxmlformats.org/officeDocument/2006/relationships/hyperlink" Target="mailto:medialiaison@treasury.gov.au" TargetMode="External"/><Relationship Id="rId41" Type="http://schemas.openxmlformats.org/officeDocument/2006/relationships/hyperlink" Target="https://www.rba.gov.au/media-releases/2022/mr-22-26.html"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Treasury\TSY%20A4%20Report.dotm" TargetMode="External"/></Relationships>
</file>

<file path=word/theme/theme1.xml><?xml version="1.0" encoding="utf-8"?>
<a:theme xmlns:a="http://schemas.openxmlformats.org/drawingml/2006/main" name="TSYBrand">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f8041ad-64ca-41de-bfc0-ba1fe0a8cc07">
      <Value>10</Value>
      <Value>65</Value>
      <Value>1</Value>
      <Value>63</Value>
    </TaxCatchAll>
    <_dlc_DocId xmlns="1f8041ad-64ca-41de-bfc0-ba1fe0a8cc07">47EMFN5ZQVCS-931497029-651</_dlc_DocId>
    <_dlc_DocIdUrl xmlns="1f8041ad-64ca-41de-bfc0-ba1fe0a8cc07">
      <Url>https://austreasury.sharepoint.com/sites/fsd-banking/_layouts/15/DocIdRedir.aspx?ID=47EMFN5ZQVCS-931497029-651</Url>
      <Description>47EMFN5ZQVCS-931497029-651</Description>
    </_dlc_DocIdUrl>
    <a48f371a4a874164b16a8c4aab488f5c xmlns="1f8041ad-64ca-41de-bfc0-ba1fe0a8cc07">
      <Terms xmlns="http://schemas.microsoft.com/office/infopath/2007/PartnerControls">
        <TermInfo xmlns="http://schemas.microsoft.com/office/infopath/2007/PartnerControls">
          <TermName xmlns="http://schemas.microsoft.com/office/infopath/2007/PartnerControls">Financial System</TermName>
          <TermId xmlns="http://schemas.microsoft.com/office/infopath/2007/PartnerControls">047002ef-5ee0-47ee-8184-5f4aaddfe3b3</TermId>
        </TermInfo>
      </Terms>
    </a48f371a4a874164b16a8c4aab488f5c>
    <gfba5f33532c49208d2320ce38cc3c2b xmlns="1f8041ad-64ca-41de-bfc0-ba1fe0a8cc07">
      <Terms xmlns="http://schemas.microsoft.com/office/infopath/2007/PartnerControls">
        <TermInfo xmlns="http://schemas.microsoft.com/office/infopath/2007/PartnerControls">
          <TermName xmlns="http://schemas.microsoft.com/office/infopath/2007/PartnerControls">Regional Banking Taskforce</TermName>
          <TermId xmlns="http://schemas.microsoft.com/office/infopath/2007/PartnerControls">1c683932-5bdd-4bb4-b389-dbbde337e544</TermId>
        </TermInfo>
      </Terms>
    </gfba5f33532c49208d2320ce38cc3c2b>
    <kfc39f3e4e2747ae990d3c8bb74a5a64 xmlns="1f8041ad-64ca-41de-bfc0-ba1fe0a8cc07">
      <Terms xmlns="http://schemas.microsoft.com/office/infopath/2007/PartnerControls">
        <TermInfo xmlns="http://schemas.microsoft.com/office/infopath/2007/PartnerControls">
          <TermName xmlns="http://schemas.microsoft.com/office/infopath/2007/PartnerControls">Paper (Analysis or Research or Report)</TermName>
          <TermId xmlns="http://schemas.microsoft.com/office/infopath/2007/PartnerControls">6ad78538-b056-4e5b-8c06-e0b6c43f0ffa</TermId>
        </TermInfo>
      </Terms>
    </kfc39f3e4e2747ae990d3c8bb74a5a64>
    <e4fe7dcdd1c0411bbf19a4de3665191f xmlns="1f8041ad-64ca-41de-bfc0-ba1fe0a8cc07">
      <Terms xmlns="http://schemas.microsoft.com/office/infopath/2007/PartnerControls">
        <TermInfo xmlns="http://schemas.microsoft.com/office/infopath/2007/PartnerControls">
          <TermName xmlns="http://schemas.microsoft.com/office/infopath/2007/PartnerControls">Consultation</TermName>
          <TermId xmlns="http://schemas.microsoft.com/office/infopath/2007/PartnerControls">dc375a31-9a38-4dbf-8c94-7aeffc3c2066</TermId>
        </TermInfo>
      </Terms>
    </e4fe7dcdd1c0411bbf19a4de3665191f>
    <lcf76f155ced4ddcb4097134ff3c332f xmlns="d7b9784a-4b90-4f48-b2e9-da5f518ad42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B3B5480B214D794697D918ECA96A5747" ma:contentTypeVersion="18" ma:contentTypeDescription="Create a new document." ma:contentTypeScope="" ma:versionID="0c3973332c1fc659665bfa349bc0acf0">
  <xsd:schema xmlns:xsd="http://www.w3.org/2001/XMLSchema" xmlns:xs="http://www.w3.org/2001/XMLSchema" xmlns:p="http://schemas.microsoft.com/office/2006/metadata/properties" xmlns:ns2="1f8041ad-64ca-41de-bfc0-ba1fe0a8cc07" xmlns:ns3="d7b9784a-4b90-4f48-b2e9-da5f518ad42c" targetNamespace="http://schemas.microsoft.com/office/2006/metadata/properties" ma:root="true" ma:fieldsID="d154762d1274196a2b469af1d21ee59b" ns2:_="" ns3:_="">
    <xsd:import namespace="1f8041ad-64ca-41de-bfc0-ba1fe0a8cc07"/>
    <xsd:import namespace="d7b9784a-4b90-4f48-b2e9-da5f518ad42c"/>
    <xsd:element name="properties">
      <xsd:complexType>
        <xsd:sequence>
          <xsd:element name="documentManagement">
            <xsd:complexType>
              <xsd:all>
                <xsd:element ref="ns2:_dlc_DocId" minOccurs="0"/>
                <xsd:element ref="ns2:_dlc_DocIdUrl" minOccurs="0"/>
                <xsd:element ref="ns2:_dlc_DocIdPersistId" minOccurs="0"/>
                <xsd:element ref="ns2:kfc39f3e4e2747ae990d3c8bb74a5a64" minOccurs="0"/>
                <xsd:element ref="ns2:TaxCatchAll" minOccurs="0"/>
                <xsd:element ref="ns2:TaxCatchAllLabel" minOccurs="0"/>
                <xsd:element ref="ns2:e4fe7dcdd1c0411bbf19a4de3665191f" minOccurs="0"/>
                <xsd:element ref="ns2:a48f371a4a874164b16a8c4aab488f5c" minOccurs="0"/>
                <xsd:element ref="ns2:gfba5f33532c49208d2320ce38cc3c2b"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8041ad-64ca-41de-bfc0-ba1fe0a8cc0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kfc39f3e4e2747ae990d3c8bb74a5a64" ma:index="11" ma:taxonomy="true" ma:internalName="kfc39f3e4e2747ae990d3c8bb74a5a64" ma:taxonomyFieldName="Document_x0020_Type" ma:displayName="Document Type" ma:readOnly="false" ma:fieldId="{4fc39f3e-4e27-47ae-990d-3c8bb74a5a64}" ma:sspId="218240cd-c75f-40bd-87f4-262ac964b25b" ma:termSetId="b38273d8-f349-4175-b1b0-ee67dc19adcc"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7a17ed20-6dfe-4daf-98fd-ec5bdaa1aece}" ma:internalName="TaxCatchAll" ma:showField="CatchAllData" ma:web="1f8041ad-64ca-41de-bfc0-ba1fe0a8cc0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7a17ed20-6dfe-4daf-98fd-ec5bdaa1aece}" ma:internalName="TaxCatchAllLabel" ma:readOnly="true" ma:showField="CatchAllDataLabel" ma:web="1f8041ad-64ca-41de-bfc0-ba1fe0a8cc07">
      <xsd:complexType>
        <xsd:complexContent>
          <xsd:extension base="dms:MultiChoiceLookup">
            <xsd:sequence>
              <xsd:element name="Value" type="dms:Lookup" maxOccurs="unbounded" minOccurs="0" nillable="true"/>
            </xsd:sequence>
          </xsd:extension>
        </xsd:complexContent>
      </xsd:complexType>
    </xsd:element>
    <xsd:element name="e4fe7dcdd1c0411bbf19a4de3665191f" ma:index="15" ma:taxonomy="true" ma:internalName="e4fe7dcdd1c0411bbf19a4de3665191f" ma:taxonomyFieldName="Activity" ma:displayName="Activity" ma:readOnly="false" ma:fieldId="{e4fe7dcd-d1c0-411b-bf19-a4de3665191f}" ma:sspId="218240cd-c75f-40bd-87f4-262ac964b25b" ma:termSetId="9305b40a-f8f0-4ebf-9b7d-191d7aeb3104" ma:anchorId="00000000-0000-0000-0000-000000000000" ma:open="false" ma:isKeyword="false">
      <xsd:complexType>
        <xsd:sequence>
          <xsd:element ref="pc:Terms" minOccurs="0" maxOccurs="1"/>
        </xsd:sequence>
      </xsd:complexType>
    </xsd:element>
    <xsd:element name="a48f371a4a874164b16a8c4aab488f5c" ma:index="17" ma:taxonomy="true" ma:internalName="a48f371a4a874164b16a8c4aab488f5c" ma:taxonomyFieldName="Theme" ma:displayName="Theme" ma:readOnly="false" ma:default="1;#Financial System|047002ef-5ee0-47ee-8184-5f4aaddfe3b3" ma:fieldId="{a48f371a-4a87-4164-b16a-8c4aab488f5c}" ma:sspId="218240cd-c75f-40bd-87f4-262ac964b25b" ma:termSetId="8e821040-f1a6-4dbe-a897-c33883d56fe7" ma:anchorId="00000000-0000-0000-0000-000000000000" ma:open="false" ma:isKeyword="false">
      <xsd:complexType>
        <xsd:sequence>
          <xsd:element ref="pc:Terms" minOccurs="0" maxOccurs="1"/>
        </xsd:sequence>
      </xsd:complexType>
    </xsd:element>
    <xsd:element name="gfba5f33532c49208d2320ce38cc3c2b" ma:index="19" ma:taxonomy="true" ma:internalName="gfba5f33532c49208d2320ce38cc3c2b" ma:taxonomyFieldName="Topic" ma:displayName="Topic" ma:readOnly="false" ma:fieldId="{0fba5f33-532c-4920-8d23-20ce38cc3c2b}" ma:taxonomyMulti="true" ma:sspId="218240cd-c75f-40bd-87f4-262ac964b25b" ma:termSetId="0584b66e-a988-4e7c-8ad6-c29e6cbda699" ma:anchorId="00000000-0000-0000-0000-000000000000" ma:open="false" ma:isKeyword="false">
      <xsd:complexType>
        <xsd:sequence>
          <xsd:element ref="pc:Terms" minOccurs="0" maxOccurs="1"/>
        </xsd:sequence>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b9784a-4b90-4f48-b2e9-da5f518ad42c"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218240cd-c75f-40bd-87f4-262ac964b25b" ma:termSetId="09814cd3-568e-fe90-9814-8d621ff8fb84" ma:anchorId="fba54fb3-c3e1-fe81-a776-ca4b69148c4d" ma:open="true" ma:isKeyword="false">
      <xsd:complexType>
        <xsd:sequence>
          <xsd:element ref="pc:Terms" minOccurs="0" maxOccurs="1"/>
        </xsd:sequence>
      </xsd:complex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7C6EFB-1F74-4F87-8C58-B3C72DF49887}">
  <ds:schemaRefs>
    <ds:schemaRef ds:uri="http://schemas.microsoft.com/sharepoint/events"/>
  </ds:schemaRefs>
</ds:datastoreItem>
</file>

<file path=customXml/itemProps2.xml><?xml version="1.0" encoding="utf-8"?>
<ds:datastoreItem xmlns:ds="http://schemas.openxmlformats.org/officeDocument/2006/customXml" ds:itemID="{0AC5D4CE-92A8-4911-A3C3-F2A1B0EA0829}">
  <ds:schemaRefs>
    <ds:schemaRef ds:uri="http://schemas.microsoft.com/sharepoint/v3/contenttype/forms"/>
  </ds:schemaRefs>
</ds:datastoreItem>
</file>

<file path=customXml/itemProps3.xml><?xml version="1.0" encoding="utf-8"?>
<ds:datastoreItem xmlns:ds="http://schemas.openxmlformats.org/officeDocument/2006/customXml" ds:itemID="{1FE768C6-5ED4-4019-8448-0BB9A00BEA14}">
  <ds:schemaRefs>
    <ds:schemaRef ds:uri="http://purl.org/dc/dcmitype/"/>
    <ds:schemaRef ds:uri="http://purl.org/dc/terms/"/>
    <ds:schemaRef ds:uri="http://schemas.microsoft.com/office/2006/documentManagement/types"/>
    <ds:schemaRef ds:uri="http://purl.org/dc/elements/1.1/"/>
    <ds:schemaRef ds:uri="1f8041ad-64ca-41de-bfc0-ba1fe0a8cc07"/>
    <ds:schemaRef ds:uri="http://www.w3.org/XML/1998/namespace"/>
    <ds:schemaRef ds:uri="d7b9784a-4b90-4f48-b2e9-da5f518ad42c"/>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6E84CE3A-C9A1-49D4-A99D-CBFC7B85D48C}">
  <ds:schemaRefs>
    <ds:schemaRef ds:uri="http://schemas.openxmlformats.org/officeDocument/2006/bibliography"/>
  </ds:schemaRefs>
</ds:datastoreItem>
</file>

<file path=customXml/itemProps5.xml><?xml version="1.0" encoding="utf-8"?>
<ds:datastoreItem xmlns:ds="http://schemas.openxmlformats.org/officeDocument/2006/customXml" ds:itemID="{035D0E4F-5645-4589-AC2D-11EF7B40C7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8041ad-64ca-41de-bfc0-ba1fe0a8cc07"/>
    <ds:schemaRef ds:uri="d7b9784a-4b90-4f48-b2e9-da5f518ad4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TSY A4 Report.dotm</Template>
  <TotalTime>14</TotalTime>
  <Pages>25</Pages>
  <Words>9257</Words>
  <Characters>52482</Characters>
  <Application>Microsoft Office Word</Application>
  <DocSecurity>0</DocSecurity>
  <Lines>874</Lines>
  <Paragraphs>329</Paragraphs>
  <ScaleCrop>false</ScaleCrop>
  <HeadingPairs>
    <vt:vector size="2" baseType="variant">
      <vt:variant>
        <vt:lpstr>Title</vt:lpstr>
      </vt:variant>
      <vt:variant>
        <vt:i4>1</vt:i4>
      </vt:variant>
    </vt:vector>
  </HeadingPairs>
  <TitlesOfParts>
    <vt:vector size="1" baseType="lpstr">
      <vt:lpstr>Regional Banking Taskforce - Final Report</vt:lpstr>
    </vt:vector>
  </TitlesOfParts>
  <Company>Australian Government - The Treasury</Company>
  <LinksUpToDate>false</LinksUpToDate>
  <CharactersWithSpaces>61567</CharactersWithSpaces>
  <SharedDoc>false</SharedDoc>
  <HLinks>
    <vt:vector size="168" baseType="variant">
      <vt:variant>
        <vt:i4>8192099</vt:i4>
      </vt:variant>
      <vt:variant>
        <vt:i4>93</vt:i4>
      </vt:variant>
      <vt:variant>
        <vt:i4>0</vt:i4>
      </vt:variant>
      <vt:variant>
        <vt:i4>5</vt:i4>
      </vt:variant>
      <vt:variant>
        <vt:lpwstr>https://www.ukfinance.org.uk/press/press-releases/pivotal-moment-banks-consumer-groups-post-office-and-link-join-forces-help-protect-cash-services</vt:lpwstr>
      </vt:variant>
      <vt:variant>
        <vt:lpwstr/>
      </vt:variant>
      <vt:variant>
        <vt:i4>196622</vt:i4>
      </vt:variant>
      <vt:variant>
        <vt:i4>90</vt:i4>
      </vt:variant>
      <vt:variant>
        <vt:i4>0</vt:i4>
      </vt:variant>
      <vt:variant>
        <vt:i4>5</vt:i4>
      </vt:variant>
      <vt:variant>
        <vt:lpwstr>https://www.ukfinance.org.uk/banks-and-post-office-raise-greater-awareness-banking-services-available-local-post-office-branches</vt:lpwstr>
      </vt:variant>
      <vt:variant>
        <vt:lpwstr/>
      </vt:variant>
      <vt:variant>
        <vt:i4>7471214</vt:i4>
      </vt:variant>
      <vt:variant>
        <vt:i4>87</vt:i4>
      </vt:variant>
      <vt:variant>
        <vt:i4>0</vt:i4>
      </vt:variant>
      <vt:variant>
        <vt:i4>5</vt:i4>
      </vt:variant>
      <vt:variant>
        <vt:lpwstr>https://www.infrastructure.gov.au/department/media/publications/2021-regional-telecommunications-review-step-change-demand</vt:lpwstr>
      </vt:variant>
      <vt:variant>
        <vt:lpwstr/>
      </vt:variant>
      <vt:variant>
        <vt:i4>6553645</vt:i4>
      </vt:variant>
      <vt:variant>
        <vt:i4>84</vt:i4>
      </vt:variant>
      <vt:variant>
        <vt:i4>0</vt:i4>
      </vt:variant>
      <vt:variant>
        <vt:i4>5</vt:i4>
      </vt:variant>
      <vt:variant>
        <vt:lpwstr>https://www.rbnz.govt.nz/money-and-cash/money-and-cash-resources/impact-of-covid-19-on-cash-use-in-new-zealand</vt:lpwstr>
      </vt:variant>
      <vt:variant>
        <vt:lpwstr/>
      </vt:variant>
      <vt:variant>
        <vt:i4>1638492</vt:i4>
      </vt:variant>
      <vt:variant>
        <vt:i4>81</vt:i4>
      </vt:variant>
      <vt:variant>
        <vt:i4>0</vt:i4>
      </vt:variant>
      <vt:variant>
        <vt:i4>5</vt:i4>
      </vt:variant>
      <vt:variant>
        <vt:lpwstr>https://www.rba.gov.au/media-releases/2022/mr-22-26.html</vt:lpwstr>
      </vt:variant>
      <vt:variant>
        <vt:lpwstr/>
      </vt:variant>
      <vt:variant>
        <vt:i4>2162730</vt:i4>
      </vt:variant>
      <vt:variant>
        <vt:i4>78</vt:i4>
      </vt:variant>
      <vt:variant>
        <vt:i4>0</vt:i4>
      </vt:variant>
      <vt:variant>
        <vt:i4>5</vt:i4>
      </vt:variant>
      <vt:variant>
        <vt:lpwstr>https://banknotes.rba.gov.au/resources/banknote-distribution-consultation/issues-paper/</vt:lpwstr>
      </vt:variant>
      <vt:variant>
        <vt:lpwstr/>
      </vt:variant>
      <vt:variant>
        <vt:i4>1179708</vt:i4>
      </vt:variant>
      <vt:variant>
        <vt:i4>75</vt:i4>
      </vt:variant>
      <vt:variant>
        <vt:i4>0</vt:i4>
      </vt:variant>
      <vt:variant>
        <vt:i4>5</vt:i4>
      </vt:variant>
      <vt:variant>
        <vt:lpwstr>https://www.aph.gov.au/Parliamentary_Business/Committees/Joint/Corporations_and_Financial_Services/Completed_inquiries/2002-04/banking/report/index</vt:lpwstr>
      </vt:variant>
      <vt:variant>
        <vt:lpwstr/>
      </vt:variant>
      <vt:variant>
        <vt:i4>2949182</vt:i4>
      </vt:variant>
      <vt:variant>
        <vt:i4>72</vt:i4>
      </vt:variant>
      <vt:variant>
        <vt:i4>0</vt:i4>
      </vt:variant>
      <vt:variant>
        <vt:i4>5</vt:i4>
      </vt:variant>
      <vt:variant>
        <vt:lpwstr>https://www.rba.gov.au/publications/bulletin/2020/jun/cash-use-in-australia-results-from-the-2019-consumer-payments-survey.html</vt:lpwstr>
      </vt:variant>
      <vt:variant>
        <vt:lpwstr/>
      </vt:variant>
      <vt:variant>
        <vt:i4>7274528</vt:i4>
      </vt:variant>
      <vt:variant>
        <vt:i4>69</vt:i4>
      </vt:variant>
      <vt:variant>
        <vt:i4>0</vt:i4>
      </vt:variant>
      <vt:variant>
        <vt:i4>5</vt:i4>
      </vt:variant>
      <vt:variant>
        <vt:lpwstr>https://www.financialcounsellingaustralia.org.au/docs/regional-banking/</vt:lpwstr>
      </vt:variant>
      <vt:variant>
        <vt:lpwstr/>
      </vt:variant>
      <vt:variant>
        <vt:i4>589916</vt:i4>
      </vt:variant>
      <vt:variant>
        <vt:i4>66</vt:i4>
      </vt:variant>
      <vt:variant>
        <vt:i4>0</vt:i4>
      </vt:variant>
      <vt:variant>
        <vt:i4>5</vt:i4>
      </vt:variant>
      <vt:variant>
        <vt:lpwstr>https://bankingcodereview.com.au/</vt:lpwstr>
      </vt:variant>
      <vt:variant>
        <vt:lpwstr/>
      </vt:variant>
      <vt:variant>
        <vt:i4>2097256</vt:i4>
      </vt:variant>
      <vt:variant>
        <vt:i4>63</vt:i4>
      </vt:variant>
      <vt:variant>
        <vt:i4>0</vt:i4>
      </vt:variant>
      <vt:variant>
        <vt:i4>5</vt:i4>
      </vt:variant>
      <vt:variant>
        <vt:lpwstr>https://www.rba.gov.au/publications/bulletin/2021/jun/how-far-do-australians-need-to-travel-to-access-cash.html</vt:lpwstr>
      </vt:variant>
      <vt:variant>
        <vt:lpwstr/>
      </vt:variant>
      <vt:variant>
        <vt:i4>6357088</vt:i4>
      </vt:variant>
      <vt:variant>
        <vt:i4>60</vt:i4>
      </vt:variant>
      <vt:variant>
        <vt:i4>0</vt:i4>
      </vt:variant>
      <vt:variant>
        <vt:i4>5</vt:i4>
      </vt:variant>
      <vt:variant>
        <vt:lpwstr>https://www.rba.gov.au/publications/bulletin/2020/mar/consumer-payment-behaviour-in-australia.html</vt:lpwstr>
      </vt:variant>
      <vt:variant>
        <vt:lpwstr/>
      </vt:variant>
      <vt:variant>
        <vt:i4>1441863</vt:i4>
      </vt:variant>
      <vt:variant>
        <vt:i4>57</vt:i4>
      </vt:variant>
      <vt:variant>
        <vt:i4>0</vt:i4>
      </vt:variant>
      <vt:variant>
        <vt:i4>5</vt:i4>
      </vt:variant>
      <vt:variant>
        <vt:lpwstr>https://commonslibrary.parliament.uk/research-briefings/cbp-8740/</vt:lpwstr>
      </vt:variant>
      <vt:variant>
        <vt:lpwstr/>
      </vt:variant>
      <vt:variant>
        <vt:i4>4587593</vt:i4>
      </vt:variant>
      <vt:variant>
        <vt:i4>54</vt:i4>
      </vt:variant>
      <vt:variant>
        <vt:i4>0</vt:i4>
      </vt:variant>
      <vt:variant>
        <vt:i4>5</vt:i4>
      </vt:variant>
      <vt:variant>
        <vt:lpwstr>https://www.apra.gov.au/authorised-deposit-taking-institutions-points-of-presence-statistics</vt:lpwstr>
      </vt:variant>
      <vt:variant>
        <vt:lpwstr/>
      </vt:variant>
      <vt:variant>
        <vt:i4>2752551</vt:i4>
      </vt:variant>
      <vt:variant>
        <vt:i4>51</vt:i4>
      </vt:variant>
      <vt:variant>
        <vt:i4>0</vt:i4>
      </vt:variant>
      <vt:variant>
        <vt:i4>5</vt:i4>
      </vt:variant>
      <vt:variant>
        <vt:lpwstr>https://www.acma.gov.au/publications/2021-12/report/communications-and-media-australia-how-we-use-internet</vt:lpwstr>
      </vt:variant>
      <vt:variant>
        <vt:lpwstr/>
      </vt:variant>
      <vt:variant>
        <vt:i4>7667747</vt:i4>
      </vt:variant>
      <vt:variant>
        <vt:i4>48</vt:i4>
      </vt:variant>
      <vt:variant>
        <vt:i4>0</vt:i4>
      </vt:variant>
      <vt:variant>
        <vt:i4>5</vt:i4>
      </vt:variant>
      <vt:variant>
        <vt:lpwstr>https://www.abs.gov.au/statistics/labour/employment-and-unemployment/labour-force-australia-detailed/latest-release</vt:lpwstr>
      </vt:variant>
      <vt:variant>
        <vt:lpwstr/>
      </vt:variant>
      <vt:variant>
        <vt:i4>7929965</vt:i4>
      </vt:variant>
      <vt:variant>
        <vt:i4>45</vt:i4>
      </vt:variant>
      <vt:variant>
        <vt:i4>0</vt:i4>
      </vt:variant>
      <vt:variant>
        <vt:i4>5</vt:i4>
      </vt:variant>
      <vt:variant>
        <vt:lpwstr>https://www.abs.gov.au/statistics/economy/national-accounts/australian-system-national-accounts/latest-release</vt:lpwstr>
      </vt:variant>
      <vt:variant>
        <vt:lpwstr/>
      </vt:variant>
      <vt:variant>
        <vt:i4>983122</vt:i4>
      </vt:variant>
      <vt:variant>
        <vt:i4>42</vt:i4>
      </vt:variant>
      <vt:variant>
        <vt:i4>0</vt:i4>
      </vt:variant>
      <vt:variant>
        <vt:i4>5</vt:i4>
      </vt:variant>
      <vt:variant>
        <vt:lpwstr>https://www.ausbanking.org.au/wp-content/uploads/2021/10/2021-5-Oct-Banking-Code-WEB.pdf</vt:lpwstr>
      </vt:variant>
      <vt:variant>
        <vt:lpwstr/>
      </vt:variant>
      <vt:variant>
        <vt:i4>2162741</vt:i4>
      </vt:variant>
      <vt:variant>
        <vt:i4>39</vt:i4>
      </vt:variant>
      <vt:variant>
        <vt:i4>0</vt:i4>
      </vt:variant>
      <vt:variant>
        <vt:i4>5</vt:i4>
      </vt:variant>
      <vt:variant>
        <vt:lpwstr>https://www.ausbanking.org.au/branch-closure-protocol/</vt:lpwstr>
      </vt:variant>
      <vt:variant>
        <vt:lpwstr/>
      </vt:variant>
      <vt:variant>
        <vt:i4>3866667</vt:i4>
      </vt:variant>
      <vt:variant>
        <vt:i4>36</vt:i4>
      </vt:variant>
      <vt:variant>
        <vt:i4>0</vt:i4>
      </vt:variant>
      <vt:variant>
        <vt:i4>5</vt:i4>
      </vt:variant>
      <vt:variant>
        <vt:lpwstr>https://aus01.safelinks.protection.outlook.com/?url=https%3A%2F%2Fwww.ausbanking.org.au%2Fwp-content%2Fuploads%2F2022%2F02%2FABA-Industry-Statement-Supporting-Aboriginal-and-Torres-Strait-Islander-Peoples.pdf&amp;data=04%7C01%7CSally.Cray%40ausbanking.org.au%7C79fc44dfdee548d8ca8608d9f7294d0e%7C12c2873f08a744659e67ce07df6dd581%7C1%7C0%7C637812579018925080%7CUnknown%7CTWFpbGZsb3d8eyJWIjoiMC4wLjAwMDAiLCJQIjoiV2luMzIiLCJBTiI6Ik1haWwiLCJXVCI6Mn0%3D%7C3000&amp;sdata=mmLGIr92v63srrtKfBNkqgHeavWGFxGuch%2Bp93oMaBQ%3D&amp;reserved=0</vt:lpwstr>
      </vt:variant>
      <vt:variant>
        <vt:lpwstr/>
      </vt:variant>
      <vt:variant>
        <vt:i4>1966133</vt:i4>
      </vt:variant>
      <vt:variant>
        <vt:i4>29</vt:i4>
      </vt:variant>
      <vt:variant>
        <vt:i4>0</vt:i4>
      </vt:variant>
      <vt:variant>
        <vt:i4>5</vt:i4>
      </vt:variant>
      <vt:variant>
        <vt:lpwstr/>
      </vt:variant>
      <vt:variant>
        <vt:lpwstr>_Toc115190891</vt:lpwstr>
      </vt:variant>
      <vt:variant>
        <vt:i4>2031669</vt:i4>
      </vt:variant>
      <vt:variant>
        <vt:i4>23</vt:i4>
      </vt:variant>
      <vt:variant>
        <vt:i4>0</vt:i4>
      </vt:variant>
      <vt:variant>
        <vt:i4>5</vt:i4>
      </vt:variant>
      <vt:variant>
        <vt:lpwstr/>
      </vt:variant>
      <vt:variant>
        <vt:lpwstr>_Toc115190887</vt:lpwstr>
      </vt:variant>
      <vt:variant>
        <vt:i4>2031669</vt:i4>
      </vt:variant>
      <vt:variant>
        <vt:i4>17</vt:i4>
      </vt:variant>
      <vt:variant>
        <vt:i4>0</vt:i4>
      </vt:variant>
      <vt:variant>
        <vt:i4>5</vt:i4>
      </vt:variant>
      <vt:variant>
        <vt:lpwstr/>
      </vt:variant>
      <vt:variant>
        <vt:lpwstr>_Toc115190883</vt:lpwstr>
      </vt:variant>
      <vt:variant>
        <vt:i4>4849705</vt:i4>
      </vt:variant>
      <vt:variant>
        <vt:i4>12</vt:i4>
      </vt:variant>
      <vt:variant>
        <vt:i4>0</vt:i4>
      </vt:variant>
      <vt:variant>
        <vt:i4>5</vt:i4>
      </vt:variant>
      <vt:variant>
        <vt:lpwstr>mailto:medialiaison@treasury.gov.au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Banking Taskforce - Final Report</dc:title>
  <dc:subject/>
  <dc:creator>Treasury</dc:creator>
  <cp:keywords/>
  <dc:description/>
  <cp:lastModifiedBy>Hill, Christine</cp:lastModifiedBy>
  <cp:revision>11</cp:revision>
  <cp:lastPrinted>2022-09-29T04:09:00Z</cp:lastPrinted>
  <dcterms:created xsi:type="dcterms:W3CDTF">2022-09-29T03:54:00Z</dcterms:created>
  <dcterms:modified xsi:type="dcterms:W3CDTF">2022-09-29T04:51:00Z</dcterms:modified>
</cp:coreProperties>
</file>