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410C8" w14:textId="0F49AB8A" w:rsidR="00857160" w:rsidRDefault="00AF74C6" w:rsidP="00AF74C6">
      <w:pPr>
        <w:keepNext/>
        <w:spacing w:before="0" w:line="460" w:lineRule="exact"/>
        <w:outlineLvl w:val="0"/>
        <w:rPr>
          <w:rFonts w:ascii="Calibri" w:hAnsi="Calibri" w:cs="Arial"/>
          <w:b/>
          <w:color w:val="5D779D"/>
          <w:kern w:val="32"/>
          <w:sz w:val="44"/>
          <w:szCs w:val="36"/>
        </w:rPr>
      </w:pPr>
      <w:r>
        <w:rPr>
          <w:rFonts w:ascii="Calibri" w:hAnsi="Calibri" w:cs="Arial"/>
          <w:b/>
          <w:color w:val="5D779D"/>
          <w:kern w:val="32"/>
          <w:sz w:val="44"/>
          <w:szCs w:val="36"/>
        </w:rPr>
        <w:t>Quality of Advice Revie</w:t>
      </w:r>
      <w:r w:rsidR="00857160">
        <w:rPr>
          <w:rFonts w:ascii="Calibri" w:hAnsi="Calibri" w:cs="Arial"/>
          <w:b/>
          <w:color w:val="5D779D"/>
          <w:kern w:val="32"/>
          <w:sz w:val="44"/>
          <w:szCs w:val="36"/>
        </w:rPr>
        <w:t>w</w:t>
      </w:r>
    </w:p>
    <w:p w14:paraId="1CC5599B" w14:textId="77777777" w:rsidR="00FD4755" w:rsidRPr="00FF65E7" w:rsidRDefault="00FD4755" w:rsidP="00FD4755">
      <w:pPr>
        <w:pStyle w:val="Heading2"/>
        <w:spacing w:before="240" w:after="240"/>
        <w:rPr>
          <w:b/>
          <w:bCs/>
          <w:sz w:val="32"/>
          <w:szCs w:val="32"/>
        </w:rPr>
      </w:pPr>
      <w:r w:rsidRPr="00FF65E7">
        <w:rPr>
          <w:b/>
          <w:bCs/>
          <w:sz w:val="32"/>
          <w:szCs w:val="32"/>
        </w:rPr>
        <w:t>Key findings</w:t>
      </w:r>
      <w:r>
        <w:rPr>
          <w:b/>
          <w:bCs/>
          <w:sz w:val="32"/>
          <w:szCs w:val="32"/>
        </w:rPr>
        <w:t>: General Insurance and Life Insurance</w:t>
      </w:r>
    </w:p>
    <w:p w14:paraId="5A0B4901" w14:textId="4ABD0F6C" w:rsidR="00FD4755" w:rsidRDefault="00BB2EE1" w:rsidP="00FD4755">
      <w:r>
        <w:t xml:space="preserve">We set out below a </w:t>
      </w:r>
      <w:r w:rsidR="00FD4755">
        <w:t xml:space="preserve">snapshot of the data the Quality of Advice Review (Review) </w:t>
      </w:r>
      <w:r>
        <w:t xml:space="preserve">has considered </w:t>
      </w:r>
      <w:r w:rsidR="00FD4755">
        <w:t xml:space="preserve">on general insurance and life insurance. </w:t>
      </w:r>
    </w:p>
    <w:p w14:paraId="7DFC7FF4" w14:textId="1C25E24F" w:rsidR="00FD4755" w:rsidRDefault="00FD4755" w:rsidP="00FD4755">
      <w:pPr>
        <w:pStyle w:val="Heading3"/>
      </w:pPr>
      <w:r>
        <w:t>General Insurance</w:t>
      </w:r>
    </w:p>
    <w:p w14:paraId="5AC5B69D" w14:textId="34146EF4" w:rsidR="00FD4755" w:rsidRDefault="00BB2EE1" w:rsidP="00FD4755">
      <w:r>
        <w:t>We have considered</w:t>
      </w:r>
      <w:r w:rsidR="00FD4755">
        <w:t xml:space="preserve"> qualitative and quantitative data from a range of sources, including </w:t>
      </w:r>
      <w:r w:rsidR="000E77B6">
        <w:t xml:space="preserve">in relation to performance, distribution channels, remuneration arrangements and claims </w:t>
      </w:r>
      <w:r w:rsidR="00FD4755">
        <w:t xml:space="preserve">from general insurers and brokers, research </w:t>
      </w:r>
      <w:r w:rsidR="00C67B2A">
        <w:t>by</w:t>
      </w:r>
      <w:r w:rsidR="00FD4755">
        <w:t xml:space="preserve"> Finity Consulting</w:t>
      </w:r>
      <w:r w:rsidR="00C67B2A">
        <w:t>, which was commissioned by</w:t>
      </w:r>
      <w:r w:rsidR="00F31D33">
        <w:t xml:space="preserve"> the Australian Securities and Investments Commission (ASIC)</w:t>
      </w:r>
      <w:r w:rsidR="00092720">
        <w:rPr>
          <w:rStyle w:val="FootnoteReference"/>
        </w:rPr>
        <w:footnoteReference w:id="2"/>
      </w:r>
      <w:r w:rsidR="00FD4755">
        <w:t xml:space="preserve">, </w:t>
      </w:r>
      <w:r w:rsidR="00734C20">
        <w:t>and</w:t>
      </w:r>
      <w:r w:rsidR="00FD4755">
        <w:t xml:space="preserve"> publicly available data and reports (including </w:t>
      </w:r>
      <w:r w:rsidR="004A6D83">
        <w:t xml:space="preserve">from </w:t>
      </w:r>
      <w:r w:rsidR="00FD4755">
        <w:t xml:space="preserve">the Australian Prudential </w:t>
      </w:r>
      <w:r w:rsidR="00985C60">
        <w:t xml:space="preserve">Regulation </w:t>
      </w:r>
      <w:r w:rsidR="00FD4755">
        <w:t xml:space="preserve">Authority (APRA)). </w:t>
      </w:r>
    </w:p>
    <w:p w14:paraId="6DFB925A" w14:textId="258CB8E4" w:rsidR="00FD4755" w:rsidRDefault="00FD4755" w:rsidP="00FD4755">
      <w:r>
        <w:t>The general insurance products considered by the Review</w:t>
      </w:r>
      <w:r w:rsidR="000A08D1">
        <w:t xml:space="preserve"> were</w:t>
      </w:r>
      <w:r>
        <w:t xml:space="preserve"> motor vehicle insurance; home and contents insurance (including residential strata insurance); sickness and accident insurance</w:t>
      </w:r>
      <w:r w:rsidR="00720C32">
        <w:t>;</w:t>
      </w:r>
      <w:r w:rsidR="00947E03">
        <w:t xml:space="preserve"> </w:t>
      </w:r>
      <w:r>
        <w:t>travel insurance</w:t>
      </w:r>
      <w:r w:rsidR="009D6990">
        <w:t>;</w:t>
      </w:r>
      <w:r>
        <w:t xml:space="preserve"> and pet insurance.</w:t>
      </w:r>
    </w:p>
    <w:p w14:paraId="672A876C" w14:textId="310C168B" w:rsidR="00FD4755" w:rsidRDefault="00947E03" w:rsidP="00FD4755">
      <w:pPr>
        <w:pStyle w:val="Dash"/>
        <w:numPr>
          <w:ilvl w:val="1"/>
          <w:numId w:val="0"/>
        </w:numPr>
        <w:spacing w:after="160" w:line="259" w:lineRule="auto"/>
      </w:pPr>
      <w:r>
        <w:t>The data demonstrates</w:t>
      </w:r>
      <w:r w:rsidR="00FD4755">
        <w:t xml:space="preserve"> that the general insurance market is broad</w:t>
      </w:r>
      <w:r w:rsidR="00A677AF">
        <w:t xml:space="preserve"> and</w:t>
      </w:r>
      <w:r w:rsidR="00E15D1E">
        <w:t xml:space="preserve"> </w:t>
      </w:r>
      <w:r w:rsidR="00FD4755">
        <w:t>comple</w:t>
      </w:r>
      <w:r w:rsidR="00E15D1E">
        <w:t>x and covers</w:t>
      </w:r>
      <w:r w:rsidR="00FD4755">
        <w:t xml:space="preserve"> </w:t>
      </w:r>
      <w:proofErr w:type="gramStart"/>
      <w:r w:rsidR="00FD4755">
        <w:t>a large number of</w:t>
      </w:r>
      <w:proofErr w:type="gramEnd"/>
      <w:r w:rsidR="00FD4755">
        <w:t xml:space="preserve"> </w:t>
      </w:r>
      <w:r w:rsidR="002619A1">
        <w:t xml:space="preserve">distinct </w:t>
      </w:r>
      <w:r w:rsidR="00FD4755">
        <w:t>insurance products, insurers and distribution models.</w:t>
      </w:r>
      <w:r w:rsidR="00FD4755" w:rsidRPr="005F7191">
        <w:t xml:space="preserve"> </w:t>
      </w:r>
      <w:r w:rsidR="00712F6E">
        <w:t>According to APRA data</w:t>
      </w:r>
      <w:r w:rsidR="00B07719">
        <w:t>,</w:t>
      </w:r>
      <w:r w:rsidR="00BF0C67">
        <w:t xml:space="preserve"> </w:t>
      </w:r>
      <w:r w:rsidR="00B33118">
        <w:t>f</w:t>
      </w:r>
      <w:r w:rsidR="00FD4755">
        <w:t xml:space="preserve">or the year ending </w:t>
      </w:r>
      <w:r w:rsidR="00B33118">
        <w:t xml:space="preserve">31 </w:t>
      </w:r>
      <w:r w:rsidR="00FD4755">
        <w:t xml:space="preserve">December 2021, the gross </w:t>
      </w:r>
      <w:r w:rsidR="00D92294">
        <w:t>written</w:t>
      </w:r>
      <w:r w:rsidR="00FD4755">
        <w:t xml:space="preserve"> premiums (GWP) for </w:t>
      </w:r>
      <w:r w:rsidR="00E423EA">
        <w:t>the</w:t>
      </w:r>
      <w:r w:rsidR="00FD4755">
        <w:t xml:space="preserve"> general insur</w:t>
      </w:r>
      <w:r w:rsidR="00E423EA">
        <w:t>ance industry</w:t>
      </w:r>
      <w:r w:rsidR="00FD4755">
        <w:t xml:space="preserve"> was around $5</w:t>
      </w:r>
      <w:r w:rsidR="00D92294">
        <w:t>9.</w:t>
      </w:r>
      <w:r w:rsidR="00D12B5A">
        <w:t xml:space="preserve">1 </w:t>
      </w:r>
      <w:r w:rsidR="00FD4755">
        <w:t>billion.</w:t>
      </w:r>
      <w:r w:rsidR="00333F51">
        <w:rPr>
          <w:rStyle w:val="FootnoteReference"/>
        </w:rPr>
        <w:footnoteReference w:id="3"/>
      </w:r>
      <w:r w:rsidR="00FD4755">
        <w:t xml:space="preserve"> </w:t>
      </w:r>
    </w:p>
    <w:p w14:paraId="659A1678" w14:textId="2183666D" w:rsidR="00FD4755" w:rsidRDefault="002619A1" w:rsidP="00FD4755">
      <w:pPr>
        <w:pStyle w:val="Bullet"/>
        <w:numPr>
          <w:ilvl w:val="0"/>
          <w:numId w:val="0"/>
        </w:numPr>
        <w:ind w:left="520" w:hanging="520"/>
      </w:pPr>
      <w:r>
        <w:t>We</w:t>
      </w:r>
      <w:r w:rsidR="00FD4755">
        <w:t xml:space="preserve"> found that:</w:t>
      </w:r>
    </w:p>
    <w:p w14:paraId="68EE4786" w14:textId="009BD66D" w:rsidR="00282DBF" w:rsidRDefault="0081334C" w:rsidP="004732B6">
      <w:pPr>
        <w:pStyle w:val="ListParagraph"/>
        <w:numPr>
          <w:ilvl w:val="0"/>
          <w:numId w:val="23"/>
        </w:numPr>
        <w:spacing w:after="160" w:line="259" w:lineRule="auto"/>
      </w:pPr>
      <w:r>
        <w:t>H</w:t>
      </w:r>
      <w:r w:rsidR="008B6B49">
        <w:t xml:space="preserve">ome </w:t>
      </w:r>
      <w:r w:rsidR="00F801D2">
        <w:t xml:space="preserve">and contents insurance </w:t>
      </w:r>
      <w:r w:rsidR="008B6B49">
        <w:t xml:space="preserve">and </w:t>
      </w:r>
      <w:r w:rsidR="00D50B89">
        <w:t xml:space="preserve">domestic </w:t>
      </w:r>
      <w:r w:rsidR="008B6B49">
        <w:t xml:space="preserve">motor </w:t>
      </w:r>
      <w:r w:rsidR="00F801D2">
        <w:t xml:space="preserve">vehicle </w:t>
      </w:r>
      <w:r w:rsidR="008B6B49">
        <w:t>insurance</w:t>
      </w:r>
      <w:r w:rsidR="001156D8">
        <w:t>, which</w:t>
      </w:r>
      <w:r w:rsidR="00CE78E0">
        <w:t xml:space="preserve"> together</w:t>
      </w:r>
      <w:r w:rsidR="001156D8">
        <w:t xml:space="preserve"> make up approximately 3</w:t>
      </w:r>
      <w:r w:rsidR="00D42FDF">
        <w:t>8</w:t>
      </w:r>
      <w:r w:rsidR="004640EF">
        <w:t xml:space="preserve"> per cent </w:t>
      </w:r>
      <w:r w:rsidR="0017421A">
        <w:t xml:space="preserve">of </w:t>
      </w:r>
      <w:r w:rsidR="00D42FDF">
        <w:t xml:space="preserve">the </w:t>
      </w:r>
      <w:r w:rsidR="009B006F">
        <w:t>general insurance market,</w:t>
      </w:r>
      <w:r w:rsidR="002003DD">
        <w:rPr>
          <w:rStyle w:val="FootnoteReference"/>
        </w:rPr>
        <w:footnoteReference w:id="4"/>
      </w:r>
      <w:r>
        <w:t xml:space="preserve"> are predominantly </w:t>
      </w:r>
      <w:r w:rsidR="00224778">
        <w:t xml:space="preserve">sold </w:t>
      </w:r>
      <w:r w:rsidR="00C42771">
        <w:t xml:space="preserve">directly by insurers to retail clients without any intermediaries (the direct channel) </w:t>
      </w:r>
      <w:r w:rsidR="00224778">
        <w:t>(</w:t>
      </w:r>
      <w:r w:rsidR="00F801D2">
        <w:t xml:space="preserve">approximately </w:t>
      </w:r>
      <w:r w:rsidR="00337A50">
        <w:t>70 and 80 per cent</w:t>
      </w:r>
      <w:r w:rsidR="00C2611E">
        <w:t xml:space="preserve"> of the GWP</w:t>
      </w:r>
      <w:r w:rsidR="002B5235">
        <w:t xml:space="preserve"> for these products</w:t>
      </w:r>
      <w:r w:rsidR="00337A50">
        <w:t>,</w:t>
      </w:r>
      <w:r w:rsidR="00A26393">
        <w:rPr>
          <w:rStyle w:val="FootnoteReference"/>
        </w:rPr>
        <w:footnoteReference w:id="5"/>
      </w:r>
      <w:r w:rsidR="00337A50">
        <w:t xml:space="preserve"> respectively</w:t>
      </w:r>
      <w:r w:rsidR="00D07ACF">
        <w:t>)</w:t>
      </w:r>
      <w:r w:rsidR="00F25454">
        <w:t xml:space="preserve">. </w:t>
      </w:r>
      <w:r w:rsidR="00E3038A">
        <w:t>App</w:t>
      </w:r>
      <w:r w:rsidR="00F25454">
        <w:t>roximately 5 per cent</w:t>
      </w:r>
      <w:r w:rsidR="007F0D79">
        <w:t>, by GWP,</w:t>
      </w:r>
      <w:r w:rsidR="00F25454">
        <w:t xml:space="preserve"> of </w:t>
      </w:r>
      <w:r w:rsidR="00E3038A">
        <w:t xml:space="preserve">both </w:t>
      </w:r>
      <w:r w:rsidR="00F25454">
        <w:t>home and contents insurance and motor vehicle insurance</w:t>
      </w:r>
      <w:r w:rsidR="007F0D79">
        <w:t xml:space="preserve"> </w:t>
      </w:r>
      <w:r w:rsidR="00F25454">
        <w:t xml:space="preserve">are distributed </w:t>
      </w:r>
      <w:r w:rsidR="00B07719">
        <w:t>through</w:t>
      </w:r>
      <w:r w:rsidR="00F25454">
        <w:t xml:space="preserve"> brokers.</w:t>
      </w:r>
      <w:r w:rsidR="00C7389B">
        <w:rPr>
          <w:rStyle w:val="FootnoteReference"/>
        </w:rPr>
        <w:footnoteReference w:id="6"/>
      </w:r>
      <w:r w:rsidR="00F25454">
        <w:t xml:space="preserve"> </w:t>
      </w:r>
      <w:r w:rsidR="00B10EC7">
        <w:t xml:space="preserve">We have been </w:t>
      </w:r>
      <w:r w:rsidR="5F072170">
        <w:t xml:space="preserve">told </w:t>
      </w:r>
      <w:r w:rsidR="00B10EC7">
        <w:t>that b</w:t>
      </w:r>
      <w:r w:rsidR="000A30DB">
        <w:t xml:space="preserve">rokers </w:t>
      </w:r>
      <w:r w:rsidR="0042207C" w:rsidRPr="0042207C">
        <w:t xml:space="preserve">play an important role in the </w:t>
      </w:r>
      <w:r w:rsidR="001C7D43">
        <w:t xml:space="preserve">general insurance </w:t>
      </w:r>
      <w:r w:rsidR="0042207C" w:rsidRPr="0042207C">
        <w:t>market</w:t>
      </w:r>
      <w:r w:rsidR="00DF5A94">
        <w:t xml:space="preserve"> by</w:t>
      </w:r>
      <w:r w:rsidR="0042207C" w:rsidRPr="0042207C">
        <w:t xml:space="preserve"> providing </w:t>
      </w:r>
      <w:r w:rsidR="001C7D43">
        <w:t>consumers with</w:t>
      </w:r>
      <w:r w:rsidR="00F41851">
        <w:t xml:space="preserve"> expertise</w:t>
      </w:r>
      <w:r w:rsidR="007D1B42">
        <w:t xml:space="preserve">, </w:t>
      </w:r>
      <w:r w:rsidR="0042207C" w:rsidRPr="0042207C">
        <w:t>geographical reach</w:t>
      </w:r>
      <w:r w:rsidR="0072246D">
        <w:t xml:space="preserve">, access to niche </w:t>
      </w:r>
      <w:r w:rsidR="00DF5A94">
        <w:t xml:space="preserve">and complex products </w:t>
      </w:r>
      <w:r w:rsidR="00A55EB5">
        <w:t>and</w:t>
      </w:r>
      <w:r w:rsidR="003F57E9">
        <w:t xml:space="preserve"> </w:t>
      </w:r>
      <w:r w:rsidR="00723B04">
        <w:t>claim</w:t>
      </w:r>
      <w:r w:rsidR="00B07719">
        <w:t>s</w:t>
      </w:r>
      <w:r w:rsidR="00723B04">
        <w:t xml:space="preserve"> assistanc</w:t>
      </w:r>
      <w:r w:rsidR="00A55EB5">
        <w:t>e.</w:t>
      </w:r>
      <w:r w:rsidR="0042207C" w:rsidRPr="0042207C">
        <w:t xml:space="preserve"> </w:t>
      </w:r>
      <w:r w:rsidR="00AF1A7D">
        <w:t>On the other hand, some other types of</w:t>
      </w:r>
      <w:r w:rsidR="00E3038A">
        <w:t xml:space="preserve"> general </w:t>
      </w:r>
      <w:r w:rsidR="00282DBF">
        <w:t xml:space="preserve">insurance </w:t>
      </w:r>
      <w:r w:rsidR="00185144">
        <w:t>products</w:t>
      </w:r>
      <w:r w:rsidR="00C02014">
        <w:t xml:space="preserve">, </w:t>
      </w:r>
      <w:r w:rsidR="00FD4755">
        <w:t xml:space="preserve">such as </w:t>
      </w:r>
      <w:r w:rsidR="000355B4">
        <w:t>tr</w:t>
      </w:r>
      <w:r w:rsidR="00C11D14">
        <w:t>avel insurance</w:t>
      </w:r>
      <w:r w:rsidR="00C02014">
        <w:t xml:space="preserve">, </w:t>
      </w:r>
      <w:r w:rsidR="00FD4755">
        <w:t>are mostly sold through intermediaries</w:t>
      </w:r>
      <w:r w:rsidR="00C11D14">
        <w:t xml:space="preserve"> </w:t>
      </w:r>
      <w:r w:rsidR="00440BD3">
        <w:t>(</w:t>
      </w:r>
      <w:r w:rsidR="00E770C3">
        <w:t xml:space="preserve">such as </w:t>
      </w:r>
      <w:r w:rsidR="004E07B0">
        <w:t xml:space="preserve">travel </w:t>
      </w:r>
      <w:r w:rsidR="00440BD3">
        <w:t>agents and white label</w:t>
      </w:r>
      <w:r w:rsidR="004E07B0">
        <w:t xml:space="preserve"> providers</w:t>
      </w:r>
      <w:r w:rsidR="00440BD3">
        <w:t>)</w:t>
      </w:r>
      <w:r w:rsidR="00FD4755">
        <w:t>.</w:t>
      </w:r>
      <w:r w:rsidR="002160CC">
        <w:t xml:space="preserve"> </w:t>
      </w:r>
    </w:p>
    <w:p w14:paraId="0B117E77" w14:textId="58BF500F" w:rsidR="00FD4755" w:rsidRDefault="00FD4755" w:rsidP="00DE5821">
      <w:pPr>
        <w:pStyle w:val="Bullet"/>
        <w:numPr>
          <w:ilvl w:val="0"/>
          <w:numId w:val="23"/>
        </w:numPr>
        <w:tabs>
          <w:tab w:val="clear" w:pos="720"/>
        </w:tabs>
        <w:spacing w:before="0" w:after="160" w:line="259" w:lineRule="auto"/>
      </w:pPr>
      <w:r>
        <w:t xml:space="preserve">Remuneration structures and commission rates differ according to distribution method and product type. </w:t>
      </w:r>
      <w:r w:rsidR="00587C05">
        <w:t>For example, c</w:t>
      </w:r>
      <w:r w:rsidR="00824D4B">
        <w:t xml:space="preserve">ommission rates </w:t>
      </w:r>
      <w:r w:rsidR="00470462">
        <w:t xml:space="preserve">provided to brokers for the </w:t>
      </w:r>
      <w:r w:rsidR="00016ACA">
        <w:t xml:space="preserve">sale of </w:t>
      </w:r>
      <w:r w:rsidR="00F801D2">
        <w:t>home and contents</w:t>
      </w:r>
      <w:r w:rsidR="00016ACA">
        <w:t xml:space="preserve"> insurance</w:t>
      </w:r>
      <w:r w:rsidR="00F801D2">
        <w:t xml:space="preserve"> </w:t>
      </w:r>
      <w:r w:rsidR="00D06A98">
        <w:t xml:space="preserve">and motor vehicle insurance </w:t>
      </w:r>
      <w:r w:rsidR="00B50E58">
        <w:t xml:space="preserve">are estimated to range </w:t>
      </w:r>
      <w:r w:rsidR="00016ACA">
        <w:t>from</w:t>
      </w:r>
      <w:r w:rsidR="00B50E58">
        <w:t xml:space="preserve"> 1</w:t>
      </w:r>
      <w:r w:rsidR="00D06A98">
        <w:t>0</w:t>
      </w:r>
      <w:r w:rsidR="00B50E58">
        <w:t xml:space="preserve"> – 25 per cent of </w:t>
      </w:r>
      <w:r w:rsidR="00E21F96">
        <w:t xml:space="preserve">the </w:t>
      </w:r>
      <w:r w:rsidR="00E27BCA">
        <w:t>GWP</w:t>
      </w:r>
      <w:r w:rsidR="00375377">
        <w:t xml:space="preserve"> for these products</w:t>
      </w:r>
      <w:r w:rsidR="00016ACA">
        <w:t>.</w:t>
      </w:r>
      <w:r w:rsidR="00BD649E">
        <w:rPr>
          <w:rStyle w:val="FootnoteReference"/>
        </w:rPr>
        <w:footnoteReference w:id="7"/>
      </w:r>
      <w:r w:rsidR="00EE2C6F">
        <w:t xml:space="preserve"> </w:t>
      </w:r>
      <w:r w:rsidRPr="32D8E1C7">
        <w:rPr>
          <w:rStyle w:val="CommentReference"/>
        </w:rPr>
        <w:t xml:space="preserve"> </w:t>
      </w:r>
    </w:p>
    <w:p w14:paraId="392D4305" w14:textId="2DED3851" w:rsidR="00FD4755" w:rsidRDefault="00FD4755" w:rsidP="00FD4755">
      <w:pPr>
        <w:pStyle w:val="Dash"/>
        <w:numPr>
          <w:ilvl w:val="0"/>
          <w:numId w:val="0"/>
        </w:numPr>
        <w:spacing w:after="160" w:line="259" w:lineRule="auto"/>
      </w:pPr>
      <w:r>
        <w:lastRenderedPageBreak/>
        <w:t xml:space="preserve">The general insurance industry is </w:t>
      </w:r>
      <w:r w:rsidR="003D1124">
        <w:t>changin</w:t>
      </w:r>
      <w:r w:rsidR="00011DAB">
        <w:t>g</w:t>
      </w:r>
      <w:r>
        <w:t xml:space="preserve">, voluntarily and </w:t>
      </w:r>
      <w:r w:rsidRPr="007109E7">
        <w:t>in response to</w:t>
      </w:r>
      <w:r>
        <w:t xml:space="preserve"> recent </w:t>
      </w:r>
      <w:r w:rsidR="003D1124">
        <w:t>changes to the law</w:t>
      </w:r>
      <w:r w:rsidRPr="007109E7">
        <w:t xml:space="preserve">. </w:t>
      </w:r>
      <w:r w:rsidR="003D1124">
        <w:t>We have</w:t>
      </w:r>
      <w:r>
        <w:t xml:space="preserve"> been </w:t>
      </w:r>
      <w:r w:rsidR="003D1124">
        <w:t xml:space="preserve">told </w:t>
      </w:r>
      <w:r>
        <w:t>that</w:t>
      </w:r>
      <w:r w:rsidR="00870EAB">
        <w:t>,</w:t>
      </w:r>
      <w:r>
        <w:t xml:space="preserve"> as a result of these changes, </w:t>
      </w:r>
      <w:r w:rsidRPr="007109E7">
        <w:t xml:space="preserve">many </w:t>
      </w:r>
      <w:r>
        <w:t xml:space="preserve">of the key contributors to the misalignment between industry incentives and consumer interests (such as </w:t>
      </w:r>
      <w:r w:rsidRPr="007109E7">
        <w:t>volume bonus</w:t>
      </w:r>
      <w:r>
        <w:t>es and</w:t>
      </w:r>
      <w:r w:rsidRPr="007109E7">
        <w:t xml:space="preserve"> junk products) </w:t>
      </w:r>
      <w:r>
        <w:t>have ceased or</w:t>
      </w:r>
      <w:r w:rsidRPr="007109E7">
        <w:t xml:space="preserve"> </w:t>
      </w:r>
      <w:r w:rsidR="003D1124">
        <w:t xml:space="preserve">will shortly cease. </w:t>
      </w:r>
    </w:p>
    <w:p w14:paraId="1870DB9A" w14:textId="77777777" w:rsidR="00FD4755" w:rsidRDefault="00FD4755" w:rsidP="00FD4755">
      <w:pPr>
        <w:pStyle w:val="Heading3"/>
        <w:keepLines/>
      </w:pPr>
      <w:r>
        <w:t>Life Insurance</w:t>
      </w:r>
    </w:p>
    <w:p w14:paraId="3CA5730B" w14:textId="73306D8D" w:rsidR="00FD4755" w:rsidRDefault="00FD4755" w:rsidP="00FD4755">
      <w:pPr>
        <w:keepNext/>
        <w:keepLines/>
      </w:pPr>
      <w:r>
        <w:t xml:space="preserve">The </w:t>
      </w:r>
      <w:r w:rsidRPr="00B402DC">
        <w:t>Royal Commission into Misconduct in the Banking, Superannuation and Financial Services Industry</w:t>
      </w:r>
      <w:r>
        <w:t xml:space="preserve"> recommended that, w</w:t>
      </w:r>
      <w:r w:rsidRPr="00C65865">
        <w:t xml:space="preserve">hen ASIC conducts its review of conflicted remuneration relating to life risk insurance products, ASIC should consider further reducing the </w:t>
      </w:r>
      <w:r w:rsidR="00C12C56">
        <w:t xml:space="preserve">existing </w:t>
      </w:r>
      <w:r w:rsidRPr="00C65865">
        <w:t>cap on commissions in respect of life risk insurance products</w:t>
      </w:r>
      <w:r>
        <w:t xml:space="preserve"> (recommendation 2.5 of the final report).</w:t>
      </w:r>
      <w:r w:rsidR="00CD793F">
        <w:t xml:space="preserve"> </w:t>
      </w:r>
    </w:p>
    <w:p w14:paraId="323B4D81" w14:textId="77777777" w:rsidR="00FD4755" w:rsidRDefault="00FD4755" w:rsidP="00FD4755">
      <w:pPr>
        <w:keepNext/>
        <w:keepLines/>
      </w:pPr>
      <w:r w:rsidRPr="00797B1C">
        <w:t xml:space="preserve">On 21 April 2021, the then Minister </w:t>
      </w:r>
      <w:r>
        <w:t xml:space="preserve">for Financial Services </w:t>
      </w:r>
      <w:r w:rsidRPr="00797B1C">
        <w:t>announced th</w:t>
      </w:r>
      <w:r>
        <w:t xml:space="preserve">at the review of </w:t>
      </w:r>
      <w:r w:rsidRPr="00797B1C">
        <w:t>the</w:t>
      </w:r>
      <w:r>
        <w:t xml:space="preserve"> life insurance framework (</w:t>
      </w:r>
      <w:r w:rsidRPr="00797B1C">
        <w:t>LIF</w:t>
      </w:r>
      <w:r>
        <w:t>)</w:t>
      </w:r>
      <w:r w:rsidRPr="00797B1C">
        <w:t xml:space="preserve"> </w:t>
      </w:r>
      <w:r>
        <w:t xml:space="preserve">reforms </w:t>
      </w:r>
      <w:r w:rsidRPr="00797B1C">
        <w:t>w</w:t>
      </w:r>
      <w:r>
        <w:t xml:space="preserve">ould </w:t>
      </w:r>
      <w:r w:rsidRPr="00797B1C">
        <w:t>be incorporated into the Quality of Advice Review</w:t>
      </w:r>
      <w:r>
        <w:t xml:space="preserve">, but that </w:t>
      </w:r>
      <w:r w:rsidRPr="00797B1C">
        <w:t xml:space="preserve">ASIC </w:t>
      </w:r>
      <w:r>
        <w:t xml:space="preserve">would </w:t>
      </w:r>
      <w:r w:rsidRPr="00797B1C">
        <w:t>remain responsible for reviewing advice files and collecting data from life insurers.</w:t>
      </w:r>
    </w:p>
    <w:p w14:paraId="281925E8" w14:textId="77777777" w:rsidR="00FD4755" w:rsidRPr="00E25A78" w:rsidRDefault="00FD4755" w:rsidP="00FD4755">
      <w:pPr>
        <w:keepNext/>
        <w:keepLines/>
        <w:rPr>
          <w:u w:val="single"/>
        </w:rPr>
      </w:pPr>
      <w:r w:rsidRPr="00E25A78">
        <w:rPr>
          <w:u w:val="single"/>
        </w:rPr>
        <w:t>Life insurance data collection (LIDC)</w:t>
      </w:r>
    </w:p>
    <w:p w14:paraId="67CFF92A" w14:textId="74D0D51E" w:rsidR="00FD4755" w:rsidRPr="00D02844" w:rsidRDefault="00FD4755" w:rsidP="00FD4755">
      <w:r>
        <w:t xml:space="preserve">ASIC collected aggregate level data from a number of life insurers every six months, covering the period from 2017 to 2021 (inclusive). This </w:t>
      </w:r>
      <w:r w:rsidR="00991B11">
        <w:t xml:space="preserve">data </w:t>
      </w:r>
      <w:r>
        <w:t xml:space="preserve">included information on premium rates, </w:t>
      </w:r>
      <w:proofErr w:type="gramStart"/>
      <w:r>
        <w:t>sales</w:t>
      </w:r>
      <w:proofErr w:type="gramEnd"/>
      <w:r>
        <w:t xml:space="preserve"> and adviser changes; sales data – new business and all-in force business for each six-month reporting period; </w:t>
      </w:r>
      <w:r w:rsidR="00191CA9">
        <w:t xml:space="preserve">commissions, </w:t>
      </w:r>
      <w:r>
        <w:t>full and partial lapse data as well as full and partial clawbacks. The LIDC found that:</w:t>
      </w:r>
    </w:p>
    <w:p w14:paraId="5E3FC25E" w14:textId="3F655ACA" w:rsidR="00444537" w:rsidRDefault="00112576" w:rsidP="005A153E">
      <w:pPr>
        <w:pStyle w:val="ListParagraph"/>
        <w:numPr>
          <w:ilvl w:val="0"/>
          <w:numId w:val="23"/>
        </w:numPr>
        <w:spacing w:after="160" w:line="259" w:lineRule="auto"/>
        <w:ind w:left="714" w:hanging="357"/>
        <w:contextualSpacing w:val="0"/>
      </w:pPr>
      <w:r>
        <w:t>T</w:t>
      </w:r>
      <w:r w:rsidR="00FD4755">
        <w:t xml:space="preserve">he overall number of new life insurance policies </w:t>
      </w:r>
      <w:r w:rsidR="00B35904">
        <w:t>(including death, total and permanent disability</w:t>
      </w:r>
      <w:r w:rsidR="000A6308">
        <w:t xml:space="preserve"> (TPD)</w:t>
      </w:r>
      <w:r w:rsidR="00DD1085">
        <w:t>, trauma and individual disability income insurance</w:t>
      </w:r>
      <w:r w:rsidR="000A6308">
        <w:t xml:space="preserve"> (IDII)</w:t>
      </w:r>
      <w:r w:rsidR="001F71AB">
        <w:t xml:space="preserve">) </w:t>
      </w:r>
      <w:r w:rsidR="00FC7156">
        <w:t>issued</w:t>
      </w:r>
      <w:r w:rsidR="00FD4755">
        <w:t xml:space="preserve"> between 2017 and 2021 declined</w:t>
      </w:r>
      <w:r>
        <w:t xml:space="preserve">. </w:t>
      </w:r>
      <w:r w:rsidR="00444537">
        <w:t xml:space="preserve"> </w:t>
      </w:r>
    </w:p>
    <w:p w14:paraId="3096AFD4" w14:textId="3B5738B0" w:rsidR="00FD4755" w:rsidRDefault="00094FB2" w:rsidP="005A153E">
      <w:pPr>
        <w:pStyle w:val="ListParagraph"/>
        <w:numPr>
          <w:ilvl w:val="0"/>
          <w:numId w:val="23"/>
        </w:numPr>
        <w:spacing w:after="160" w:line="259" w:lineRule="auto"/>
        <w:ind w:left="714" w:hanging="357"/>
        <w:contextualSpacing w:val="0"/>
      </w:pPr>
      <w:r>
        <w:t>T</w:t>
      </w:r>
      <w:r w:rsidR="00FD4755">
        <w:t xml:space="preserve">he proportion of </w:t>
      </w:r>
      <w:r w:rsidR="00224406">
        <w:t>all types of</w:t>
      </w:r>
      <w:r w:rsidR="00EA2268">
        <w:t xml:space="preserve"> </w:t>
      </w:r>
      <w:r w:rsidR="00FD4755">
        <w:t xml:space="preserve">new </w:t>
      </w:r>
      <w:r w:rsidR="00543668">
        <w:t>basic</w:t>
      </w:r>
      <w:r w:rsidR="00112576">
        <w:t xml:space="preserve"> life insurance</w:t>
      </w:r>
      <w:r w:rsidR="00BC19E5">
        <w:t xml:space="preserve"> </w:t>
      </w:r>
      <w:r w:rsidR="00957E1E">
        <w:t>policies</w:t>
      </w:r>
      <w:r w:rsidR="00112576">
        <w:t xml:space="preserve"> </w:t>
      </w:r>
      <w:r w:rsidR="00BC19E5">
        <w:t>(</w:t>
      </w:r>
      <w:proofErr w:type="gramStart"/>
      <w:r w:rsidR="00112576">
        <w:t>i.e.</w:t>
      </w:r>
      <w:proofErr w:type="gramEnd"/>
      <w:r w:rsidR="00112576">
        <w:t xml:space="preserve"> </w:t>
      </w:r>
      <w:r w:rsidR="009A457C">
        <w:t xml:space="preserve">life insurance </w:t>
      </w:r>
      <w:r w:rsidR="00BD25D2">
        <w:t>polic</w:t>
      </w:r>
      <w:r w:rsidR="00264BE6">
        <w:t>ies without riders</w:t>
      </w:r>
      <w:r w:rsidR="00753E2B">
        <w:t xml:space="preserve">) </w:t>
      </w:r>
      <w:r w:rsidR="00111197">
        <w:t xml:space="preserve">sold </w:t>
      </w:r>
      <w:r w:rsidR="00D24260">
        <w:t xml:space="preserve">through </w:t>
      </w:r>
      <w:r w:rsidR="00111197">
        <w:t xml:space="preserve">financial advisers (as compared to direct </w:t>
      </w:r>
      <w:r w:rsidR="009C3AE5">
        <w:t>sales</w:t>
      </w:r>
      <w:r w:rsidR="00111197">
        <w:t xml:space="preserve">) </w:t>
      </w:r>
      <w:r w:rsidR="00FD4755">
        <w:t>increased from 70</w:t>
      </w:r>
      <w:r w:rsidR="00DA719D">
        <w:t> </w:t>
      </w:r>
      <w:r w:rsidR="00FD4755">
        <w:t xml:space="preserve">per cent in </w:t>
      </w:r>
      <w:r w:rsidR="00FD40B0">
        <w:t xml:space="preserve">the first half of </w:t>
      </w:r>
      <w:r w:rsidR="00FD4755">
        <w:t xml:space="preserve">2017 to 83 per cent in the </w:t>
      </w:r>
      <w:r w:rsidR="00FD40B0">
        <w:t xml:space="preserve">second </w:t>
      </w:r>
      <w:r w:rsidR="00FD4755">
        <w:t xml:space="preserve">half of 2021. </w:t>
      </w:r>
    </w:p>
    <w:p w14:paraId="63BF6A22" w14:textId="0DFD00E0" w:rsidR="007312CA" w:rsidRPr="009372F6" w:rsidRDefault="00B14C86" w:rsidP="15083CE2">
      <w:pPr>
        <w:pStyle w:val="ListParagraph"/>
        <w:numPr>
          <w:ilvl w:val="0"/>
          <w:numId w:val="23"/>
        </w:numPr>
        <w:spacing w:after="160" w:line="259" w:lineRule="auto"/>
        <w:ind w:left="714" w:hanging="357"/>
        <w:contextualSpacing w:val="0"/>
      </w:pPr>
      <w:r>
        <w:t xml:space="preserve">Overall, the average premium </w:t>
      </w:r>
      <w:r w:rsidR="002D0490">
        <w:t xml:space="preserve">across </w:t>
      </w:r>
      <w:r>
        <w:t>a</w:t>
      </w:r>
      <w:r w:rsidR="00E104A4">
        <w:t xml:space="preserve">ll </w:t>
      </w:r>
      <w:r>
        <w:t xml:space="preserve">new basic life insurance </w:t>
      </w:r>
      <w:r w:rsidR="002D0490">
        <w:t xml:space="preserve">policy </w:t>
      </w:r>
      <w:r w:rsidR="30EA801D">
        <w:t>types</w:t>
      </w:r>
      <w:r w:rsidR="00963552">
        <w:t xml:space="preserve"> </w:t>
      </w:r>
      <w:r>
        <w:t xml:space="preserve">increased by approximately 15 per cent between 2017 and 2021. There are a number of </w:t>
      </w:r>
      <w:r w:rsidR="00D53705">
        <w:t>factors contributing to</w:t>
      </w:r>
      <w:r>
        <w:t xml:space="preserve"> this including, an increase in </w:t>
      </w:r>
      <w:r w:rsidR="003415D8">
        <w:t xml:space="preserve">the </w:t>
      </w:r>
      <w:r>
        <w:t>average sum insured, a change in the mix of product</w:t>
      </w:r>
      <w:r w:rsidR="003415D8">
        <w:t xml:space="preserve"> types</w:t>
      </w:r>
      <w:r>
        <w:t xml:space="preserve"> being purchased, a change in the age of those purchasing life insurance, </w:t>
      </w:r>
      <w:r w:rsidR="00945AA5">
        <w:t xml:space="preserve">and a change in the underlying premium rate structure itself for some products. For example, for </w:t>
      </w:r>
      <w:r w:rsidR="001455DE">
        <w:t xml:space="preserve">new </w:t>
      </w:r>
      <w:r w:rsidR="00945AA5">
        <w:t>death</w:t>
      </w:r>
      <w:r w:rsidR="00A64808">
        <w:t>-cover</w:t>
      </w:r>
      <w:r w:rsidR="00945AA5">
        <w:t>, the average sum insured increased significantly (46 per cent)</w:t>
      </w:r>
      <w:r w:rsidR="0089437D">
        <w:t xml:space="preserve"> between 2017 and 2021</w:t>
      </w:r>
      <w:r w:rsidR="00945AA5">
        <w:t xml:space="preserve"> but the premium rate per </w:t>
      </w:r>
      <w:r w:rsidR="0036409A">
        <w:t>$1</w:t>
      </w:r>
      <w:r w:rsidR="003415D8">
        <w:t>,</w:t>
      </w:r>
      <w:r w:rsidR="0036409A">
        <w:t xml:space="preserve">000 of sum insured decreased. </w:t>
      </w:r>
    </w:p>
    <w:p w14:paraId="325F5128" w14:textId="6947BC33" w:rsidR="008467F4" w:rsidRPr="009372F6" w:rsidRDefault="00FD4755" w:rsidP="008F34EC">
      <w:pPr>
        <w:pStyle w:val="ListParagraph"/>
        <w:numPr>
          <w:ilvl w:val="0"/>
          <w:numId w:val="23"/>
        </w:numPr>
        <w:spacing w:after="160" w:line="259" w:lineRule="auto"/>
        <w:contextualSpacing w:val="0"/>
      </w:pPr>
      <w:r w:rsidRPr="009372F6">
        <w:t xml:space="preserve">As expected, the </w:t>
      </w:r>
      <w:r w:rsidR="00F80A74" w:rsidRPr="009372F6">
        <w:t xml:space="preserve">commencement </w:t>
      </w:r>
      <w:r w:rsidRPr="009372F6">
        <w:t>of the LIF reform</w:t>
      </w:r>
      <w:r w:rsidR="00834F5B" w:rsidRPr="009372F6">
        <w:t>s</w:t>
      </w:r>
      <w:r w:rsidRPr="009372F6">
        <w:t xml:space="preserve"> in 2018 resulted in a significant reduction in </w:t>
      </w:r>
      <w:r w:rsidR="00FC0CE2" w:rsidRPr="009372F6">
        <w:t>first-year</w:t>
      </w:r>
      <w:r w:rsidRPr="009372F6">
        <w:t xml:space="preserve"> commissions </w:t>
      </w:r>
      <w:r w:rsidR="00E104A4">
        <w:t xml:space="preserve">for all policy types </w:t>
      </w:r>
      <w:r w:rsidRPr="009372F6">
        <w:t xml:space="preserve">between 2017 and 2021, </w:t>
      </w:r>
      <w:r w:rsidR="003D19D9">
        <w:t>with th</w:t>
      </w:r>
      <w:r w:rsidR="003D19D9" w:rsidRPr="003D19D9">
        <w:t xml:space="preserve">e average commission rate </w:t>
      </w:r>
      <w:r w:rsidR="003D19D9">
        <w:t>falling</w:t>
      </w:r>
      <w:r w:rsidR="003D19D9" w:rsidRPr="003D19D9">
        <w:t xml:space="preserve"> by approximately 20</w:t>
      </w:r>
      <w:r w:rsidR="003D19D9">
        <w:t xml:space="preserve"> per cent</w:t>
      </w:r>
      <w:r w:rsidR="003D19D9" w:rsidRPr="003D19D9">
        <w:t xml:space="preserve"> per dollar of premium, which corresponds to a 34</w:t>
      </w:r>
      <w:r w:rsidR="003D19D9">
        <w:t xml:space="preserve"> per cent</w:t>
      </w:r>
      <w:r w:rsidR="003D19D9" w:rsidRPr="003D19D9">
        <w:t xml:space="preserve"> proportionate decrease in the rate of commissions being paid.</w:t>
      </w:r>
    </w:p>
    <w:p w14:paraId="5247503B" w14:textId="479D04C0" w:rsidR="00311C05" w:rsidRPr="009372F6" w:rsidRDefault="00311C05" w:rsidP="008F34EC">
      <w:pPr>
        <w:pStyle w:val="ListParagraph"/>
        <w:numPr>
          <w:ilvl w:val="0"/>
          <w:numId w:val="23"/>
        </w:numPr>
        <w:spacing w:after="160" w:line="259" w:lineRule="auto"/>
        <w:ind w:left="714" w:hanging="357"/>
        <w:contextualSpacing w:val="0"/>
      </w:pPr>
      <w:r w:rsidRPr="009372F6">
        <w:t>For death</w:t>
      </w:r>
      <w:r w:rsidR="00040681">
        <w:t>-cover</w:t>
      </w:r>
      <w:r w:rsidR="0099199F" w:rsidRPr="009372F6">
        <w:t xml:space="preserve"> </w:t>
      </w:r>
      <w:r w:rsidR="00C00EBD" w:rsidRPr="00BE40EE">
        <w:t>sold through a financial adviser</w:t>
      </w:r>
      <w:r w:rsidRPr="009372F6">
        <w:t xml:space="preserve">, the lapse rate appears to have decreased </w:t>
      </w:r>
      <w:r w:rsidR="0099199F" w:rsidRPr="009372F6">
        <w:t xml:space="preserve">for </w:t>
      </w:r>
      <w:r w:rsidRPr="009372F6">
        <w:t xml:space="preserve">all durations over the 2017-2021 period, particularly within the first two years of issue. </w:t>
      </w:r>
      <w:r w:rsidR="00E01BFF">
        <w:t>However, i</w:t>
      </w:r>
      <w:r w:rsidR="00404F63" w:rsidRPr="009372F6">
        <w:t xml:space="preserve">t is too early to observe any trends in policy lapses </w:t>
      </w:r>
      <w:r w:rsidR="001B3DE6">
        <w:t xml:space="preserve">for </w:t>
      </w:r>
      <w:r w:rsidR="00404F63" w:rsidRPr="009372F6">
        <w:t>policies sold in the later data collection periods</w:t>
      </w:r>
      <w:r w:rsidR="001B3DE6">
        <w:t>.</w:t>
      </w:r>
    </w:p>
    <w:p w14:paraId="5C8FA0E4" w14:textId="3B5EB06C" w:rsidR="00FD4755" w:rsidRPr="00E25A78" w:rsidRDefault="00FD4755" w:rsidP="00617DDF">
      <w:pPr>
        <w:keepNext/>
        <w:keepLines/>
        <w:rPr>
          <w:u w:val="single"/>
        </w:rPr>
      </w:pPr>
      <w:r w:rsidRPr="00E25A78">
        <w:rPr>
          <w:u w:val="single"/>
        </w:rPr>
        <w:lastRenderedPageBreak/>
        <w:t>Life insurance advice file review</w:t>
      </w:r>
      <w:r>
        <w:rPr>
          <w:u w:val="single"/>
        </w:rPr>
        <w:t>s</w:t>
      </w:r>
    </w:p>
    <w:p w14:paraId="0D1C251F" w14:textId="5B926DFB" w:rsidR="00FD4755" w:rsidRDefault="003939C0" w:rsidP="00617DDF">
      <w:pPr>
        <w:keepNext/>
        <w:keepLines/>
      </w:pPr>
      <w:r>
        <w:t>The</w:t>
      </w:r>
      <w:r w:rsidR="001F77A8">
        <w:t xml:space="preserve"> LIF Review </w:t>
      </w:r>
      <w:r w:rsidR="00D36915">
        <w:t>compared</w:t>
      </w:r>
      <w:r w:rsidR="001F77A8">
        <w:t xml:space="preserve"> </w:t>
      </w:r>
      <w:r w:rsidR="00FD4755">
        <w:t xml:space="preserve">two sample sets of life insurance advice files, 521 files from 2017 (before the LIF reforms were introduced) and 522 files from 2021 (after the </w:t>
      </w:r>
      <w:r w:rsidR="00775500">
        <w:t xml:space="preserve">full implementation of the </w:t>
      </w:r>
      <w:r w:rsidR="00FD4755">
        <w:t xml:space="preserve">LIF reforms). These life insurance advice files were assessed for compliance with the best interest duty and related obligations </w:t>
      </w:r>
      <w:r w:rsidR="00775500">
        <w:t xml:space="preserve">in the </w:t>
      </w:r>
      <w:r w:rsidR="00775500" w:rsidRPr="00BE40EE">
        <w:rPr>
          <w:i/>
          <w:iCs/>
        </w:rPr>
        <w:t>Corporations Act 2001</w:t>
      </w:r>
      <w:r w:rsidR="00775500">
        <w:t xml:space="preserve"> (Corporations Act) </w:t>
      </w:r>
      <w:r w:rsidR="00FD4755">
        <w:t xml:space="preserve">and to determine whether there </w:t>
      </w:r>
      <w:r w:rsidR="009B603E">
        <w:t>were</w:t>
      </w:r>
      <w:r w:rsidR="00FD4755">
        <w:t xml:space="preserve"> significant concerns about client detriment/harm arising from non-compliant advice. The file reviews found that: </w:t>
      </w:r>
    </w:p>
    <w:p w14:paraId="0BC8C505" w14:textId="5AA47CFE" w:rsidR="00FD4755" w:rsidRPr="00FE5AF9" w:rsidRDefault="00FD4755" w:rsidP="00FD4755">
      <w:pPr>
        <w:pStyle w:val="Bullet"/>
        <w:numPr>
          <w:ilvl w:val="0"/>
          <w:numId w:val="23"/>
        </w:numPr>
        <w:tabs>
          <w:tab w:val="clear" w:pos="720"/>
        </w:tabs>
        <w:spacing w:after="160" w:line="259" w:lineRule="auto"/>
      </w:pPr>
      <w:r>
        <w:t xml:space="preserve">Compliance with the best interests duty and related obligations had improved, with the pass rate increasing from 37 per cent </w:t>
      </w:r>
      <w:r w:rsidR="003C04BC">
        <w:t xml:space="preserve">of assessed files </w:t>
      </w:r>
      <w:r>
        <w:t>in 2017 to 58 per cent in 2021.</w:t>
      </w:r>
    </w:p>
    <w:p w14:paraId="303B117B" w14:textId="36927869" w:rsidR="00FD4755" w:rsidRPr="00FE5AF9" w:rsidRDefault="00FD4755" w:rsidP="00FD4755">
      <w:pPr>
        <w:pStyle w:val="Bullet"/>
        <w:numPr>
          <w:ilvl w:val="0"/>
          <w:numId w:val="23"/>
        </w:numPr>
        <w:tabs>
          <w:tab w:val="clear" w:pos="720"/>
        </w:tabs>
        <w:spacing w:after="160" w:line="259" w:lineRule="auto"/>
      </w:pPr>
      <w:r>
        <w:t xml:space="preserve">There was a reduction in the number of files </w:t>
      </w:r>
      <w:r w:rsidR="00D82364">
        <w:t>for which there w</w:t>
      </w:r>
      <w:r w:rsidR="003E4D0A">
        <w:t>as a</w:t>
      </w:r>
      <w:r>
        <w:t xml:space="preserve"> </w:t>
      </w:r>
      <w:r w:rsidR="00E66E5D">
        <w:t xml:space="preserve">significant </w:t>
      </w:r>
      <w:r>
        <w:t>concern about client detriment/harm from 12 per cent in 2017 to 7 per cent in 2021.</w:t>
      </w:r>
    </w:p>
    <w:p w14:paraId="2BE91218" w14:textId="77777777" w:rsidR="003C04BC" w:rsidRDefault="00986690" w:rsidP="003C04BC">
      <w:pPr>
        <w:pStyle w:val="Bullet"/>
        <w:numPr>
          <w:ilvl w:val="0"/>
          <w:numId w:val="23"/>
        </w:numPr>
        <w:tabs>
          <w:tab w:val="clear" w:pos="720"/>
        </w:tabs>
        <w:spacing w:after="160" w:line="259" w:lineRule="auto"/>
      </w:pPr>
      <w:r w:rsidRPr="00A63BAB">
        <w:t>The proportion of advice files with indicators of churn reduced between 2017 and 2021.</w:t>
      </w:r>
    </w:p>
    <w:p w14:paraId="186797CD" w14:textId="27905855" w:rsidR="00D03C5D" w:rsidRDefault="00D03C5D" w:rsidP="003C04BC">
      <w:pPr>
        <w:pStyle w:val="Bullet"/>
        <w:numPr>
          <w:ilvl w:val="0"/>
          <w:numId w:val="23"/>
        </w:numPr>
        <w:tabs>
          <w:tab w:val="clear" w:pos="720"/>
        </w:tabs>
        <w:spacing w:after="160" w:line="259" w:lineRule="auto"/>
      </w:pPr>
      <w:r w:rsidRPr="00464AAB">
        <w:t>The</w:t>
      </w:r>
      <w:r>
        <w:t xml:space="preserve"> sample of</w:t>
      </w:r>
      <w:r w:rsidRPr="00464AAB">
        <w:t xml:space="preserve"> advice files</w:t>
      </w:r>
      <w:r>
        <w:t xml:space="preserve"> assessed were</w:t>
      </w:r>
      <w:r w:rsidRPr="00464AAB">
        <w:t xml:space="preserve"> dominated by commission-based advice</w:t>
      </w:r>
      <w:r w:rsidR="00093891">
        <w:t>, with m</w:t>
      </w:r>
      <w:r w:rsidR="00005382">
        <w:t xml:space="preserve">ore than </w:t>
      </w:r>
      <w:r>
        <w:t xml:space="preserve">90 per cent </w:t>
      </w:r>
      <w:r w:rsidR="008C35E1">
        <w:t xml:space="preserve">of the assessed files </w:t>
      </w:r>
      <w:r>
        <w:t>in both 2017 and 202</w:t>
      </w:r>
      <w:r w:rsidR="003A6CE9">
        <w:t xml:space="preserve">1 </w:t>
      </w:r>
      <w:r w:rsidR="009F5F49">
        <w:t xml:space="preserve">involving the payment of a commission </w:t>
      </w:r>
      <w:r w:rsidR="008617D5">
        <w:t xml:space="preserve">in connection with the sale of a life insurance product </w:t>
      </w:r>
      <w:r w:rsidR="009F5F49">
        <w:t>(as compared to clients being charged an advice fee</w:t>
      </w:r>
      <w:r>
        <w:t>).</w:t>
      </w:r>
      <w:r w:rsidR="003F59C3">
        <w:t xml:space="preserve"> </w:t>
      </w:r>
    </w:p>
    <w:p w14:paraId="34F70CC1" w14:textId="5AFA6C00" w:rsidR="00FD4755" w:rsidRDefault="00AD127C" w:rsidP="003C04BC">
      <w:r>
        <w:t xml:space="preserve">While the </w:t>
      </w:r>
      <w:r w:rsidR="00FD4755">
        <w:t>data shows that the quality of advice has improved between 2017 and 2021</w:t>
      </w:r>
      <w:r w:rsidR="003626C8">
        <w:t>, it is difficult to conclude that the improvement was because of the LIF reforms. T</w:t>
      </w:r>
      <w:r w:rsidR="00FD4755">
        <w:t>his improvement could also be attributed to a number of other factors, such as the implementation of the professional standards, which introduced education and training standards for financial advisers.</w:t>
      </w:r>
      <w:r w:rsidR="00FC672A">
        <w:t xml:space="preserve"> </w:t>
      </w:r>
    </w:p>
    <w:p w14:paraId="737396F3" w14:textId="77E0D318" w:rsidR="007E54FD" w:rsidRPr="00464AAB" w:rsidRDefault="002A4FF7" w:rsidP="003C04BC">
      <w:r w:rsidRPr="002A4FF7">
        <w:t xml:space="preserve">The data also indicated an increase in the age </w:t>
      </w:r>
      <w:r w:rsidR="008C35E1">
        <w:t xml:space="preserve">and wealth </w:t>
      </w:r>
      <w:r w:rsidRPr="002A4FF7">
        <w:t>of clients that received life insurance advice</w:t>
      </w:r>
      <w:r w:rsidR="008C35E1">
        <w:t xml:space="preserve">. </w:t>
      </w:r>
      <w:r w:rsidR="009B2BE7" w:rsidRPr="004732B6">
        <w:t xml:space="preserve"> This </w:t>
      </w:r>
      <w:r w:rsidR="00254C48">
        <w:t>might indicate that lower commissions have encouraged advisers to prefer to provide advice to those with higher sums in</w:t>
      </w:r>
      <w:r w:rsidR="00795B5F">
        <w:t xml:space="preserve">sured and higher premiums. </w:t>
      </w:r>
    </w:p>
    <w:p w14:paraId="21C7F302" w14:textId="77777777" w:rsidR="002345C2" w:rsidRDefault="002345C2" w:rsidP="32D8E1C7">
      <w:pPr>
        <w:spacing w:before="0" w:after="160" w:line="259" w:lineRule="auto"/>
        <w:rPr>
          <w:rFonts w:asciiTheme="majorHAnsi" w:eastAsiaTheme="majorEastAsia" w:hAnsiTheme="majorHAnsi" w:cstheme="majorBidi"/>
          <w:b/>
          <w:bCs/>
          <w:color w:val="2F5496" w:themeColor="accent1" w:themeShade="BF"/>
          <w:sz w:val="32"/>
          <w:szCs w:val="32"/>
        </w:rPr>
      </w:pPr>
      <w:r w:rsidRPr="32D8E1C7">
        <w:rPr>
          <w:b/>
          <w:bCs/>
          <w:sz w:val="32"/>
          <w:szCs w:val="32"/>
        </w:rPr>
        <w:br w:type="page"/>
      </w:r>
    </w:p>
    <w:p w14:paraId="573A6794" w14:textId="3652461A" w:rsidR="0030233F" w:rsidRPr="00FF65E7" w:rsidRDefault="0030233F" w:rsidP="0030233F">
      <w:pPr>
        <w:pStyle w:val="Heading2"/>
        <w:spacing w:before="240" w:after="240"/>
        <w:rPr>
          <w:b/>
          <w:bCs/>
          <w:sz w:val="32"/>
          <w:szCs w:val="32"/>
        </w:rPr>
      </w:pPr>
      <w:r>
        <w:rPr>
          <w:b/>
          <w:bCs/>
          <w:sz w:val="32"/>
          <w:szCs w:val="32"/>
        </w:rPr>
        <w:lastRenderedPageBreak/>
        <w:t>Proposals for Reform: Conflicted Remuneration</w:t>
      </w:r>
    </w:p>
    <w:p w14:paraId="50161769" w14:textId="7A267B1C" w:rsidR="000F5E21" w:rsidRPr="00EE121D" w:rsidRDefault="3EFBC7E6" w:rsidP="0030233F">
      <w:pPr>
        <w:spacing w:before="0" w:after="160" w:line="257" w:lineRule="auto"/>
        <w:rPr>
          <w:rFonts w:eastAsia="Calibri Light" w:cs="Calibri Light"/>
          <w:szCs w:val="22"/>
        </w:rPr>
      </w:pPr>
      <w:r w:rsidRPr="32D8E1C7">
        <w:rPr>
          <w:rFonts w:eastAsia="Calibri Light" w:cs="Calibri Light"/>
          <w:szCs w:val="22"/>
        </w:rPr>
        <w:t xml:space="preserve">Division 4 of Part 7.7A of the </w:t>
      </w:r>
      <w:r w:rsidR="00FD47A2">
        <w:rPr>
          <w:rFonts w:eastAsia="Calibri Light" w:cs="Calibri Light"/>
          <w:szCs w:val="22"/>
        </w:rPr>
        <w:t xml:space="preserve">Corporations Act </w:t>
      </w:r>
      <w:r w:rsidRPr="32D8E1C7">
        <w:rPr>
          <w:rFonts w:eastAsia="Calibri Light" w:cs="Calibri Light"/>
          <w:szCs w:val="22"/>
        </w:rPr>
        <w:t xml:space="preserve">prohibits the issuer of a financial product giving conflicted remuneration to an AFS licensee or a representative of a licensee.  It also prohibits an AFS licensee or representative of a licensee accepting conflicted remuneration.  Broadly, conflicted remuneration is a benefit that could reasonably be expected to influence </w:t>
      </w:r>
      <w:r w:rsidR="00617874">
        <w:rPr>
          <w:rFonts w:eastAsia="Calibri Light" w:cs="Calibri Light"/>
          <w:szCs w:val="22"/>
        </w:rPr>
        <w:t>the choice of financial product recommended</w:t>
      </w:r>
      <w:r w:rsidR="00BB474E">
        <w:rPr>
          <w:rFonts w:eastAsia="Calibri Light" w:cs="Calibri Light"/>
          <w:szCs w:val="22"/>
        </w:rPr>
        <w:t>, or the financial product advice given,</w:t>
      </w:r>
      <w:r w:rsidR="00617874">
        <w:rPr>
          <w:rFonts w:eastAsia="Calibri Light" w:cs="Calibri Light"/>
          <w:szCs w:val="22"/>
        </w:rPr>
        <w:t xml:space="preserve"> by an AFS licensee or a representative </w:t>
      </w:r>
      <w:r w:rsidR="00DE6FF3">
        <w:rPr>
          <w:rFonts w:eastAsia="Calibri Light" w:cs="Calibri Light"/>
          <w:szCs w:val="22"/>
        </w:rPr>
        <w:t>of a licensee</w:t>
      </w:r>
      <w:r w:rsidRPr="32D8E1C7">
        <w:rPr>
          <w:rFonts w:eastAsia="Calibri Light" w:cs="Calibri Light"/>
          <w:szCs w:val="22"/>
        </w:rPr>
        <w:t xml:space="preserve"> to a retail client.  The definition is expanded to include a benefit given to a licensee or representative in relation to information given to a person about a life risk insurance product or a dealing in a life risk insurance product (</w:t>
      </w:r>
      <w:r w:rsidR="00131564">
        <w:rPr>
          <w:rFonts w:eastAsia="Calibri Light" w:cs="Calibri Light"/>
          <w:szCs w:val="22"/>
        </w:rPr>
        <w:t>section 963AA of the Corporations Act)</w:t>
      </w:r>
      <w:r w:rsidRPr="32D8E1C7">
        <w:rPr>
          <w:rFonts w:eastAsia="Calibri Light" w:cs="Calibri Light"/>
          <w:szCs w:val="22"/>
        </w:rPr>
        <w:t xml:space="preserve">.  However, there are </w:t>
      </w:r>
      <w:r w:rsidR="00131564">
        <w:rPr>
          <w:rFonts w:eastAsia="Calibri Light" w:cs="Calibri Light"/>
          <w:szCs w:val="22"/>
        </w:rPr>
        <w:t xml:space="preserve">a number of </w:t>
      </w:r>
      <w:r w:rsidRPr="32D8E1C7">
        <w:rPr>
          <w:rFonts w:eastAsia="Calibri Light" w:cs="Calibri Light"/>
          <w:szCs w:val="22"/>
        </w:rPr>
        <w:t xml:space="preserve">monetary </w:t>
      </w:r>
      <w:r w:rsidR="00131564">
        <w:rPr>
          <w:rFonts w:eastAsia="Calibri Light" w:cs="Calibri Light"/>
          <w:szCs w:val="22"/>
        </w:rPr>
        <w:t xml:space="preserve">and non-monetary </w:t>
      </w:r>
      <w:r w:rsidRPr="32D8E1C7">
        <w:rPr>
          <w:rFonts w:eastAsia="Calibri Light" w:cs="Calibri Light"/>
          <w:szCs w:val="22"/>
        </w:rPr>
        <w:t xml:space="preserve">benefits that are excluded from the definition of conflicted remuneration.  </w:t>
      </w:r>
    </w:p>
    <w:p w14:paraId="798E4622" w14:textId="0FDB0742" w:rsidR="000F5E21" w:rsidRPr="00EE121D" w:rsidRDefault="3EFBC7E6" w:rsidP="0030233F">
      <w:pPr>
        <w:spacing w:before="0" w:after="160" w:line="257" w:lineRule="auto"/>
        <w:rPr>
          <w:rFonts w:eastAsia="Calibri Light" w:cs="Calibri Light"/>
          <w:szCs w:val="22"/>
        </w:rPr>
      </w:pPr>
      <w:r w:rsidRPr="32D8E1C7">
        <w:rPr>
          <w:rFonts w:eastAsia="Calibri Light" w:cs="Calibri Light"/>
          <w:szCs w:val="22"/>
        </w:rPr>
        <w:t xml:space="preserve">This means there are currently benefits which would otherwise be conflicted remuneration because they are reasonably likely to influence </w:t>
      </w:r>
      <w:r w:rsidR="00BE0704">
        <w:rPr>
          <w:rFonts w:eastAsia="Calibri Light" w:cs="Calibri Light"/>
          <w:szCs w:val="22"/>
        </w:rPr>
        <w:t>the</w:t>
      </w:r>
      <w:r w:rsidR="00081D82">
        <w:rPr>
          <w:rFonts w:eastAsia="Calibri Light" w:cs="Calibri Light"/>
          <w:szCs w:val="22"/>
        </w:rPr>
        <w:t xml:space="preserve"> </w:t>
      </w:r>
      <w:r w:rsidRPr="32D8E1C7">
        <w:rPr>
          <w:rFonts w:eastAsia="Calibri Light" w:cs="Calibri Light"/>
          <w:szCs w:val="22"/>
        </w:rPr>
        <w:t xml:space="preserve">financial product advice given to a retail client by an AFS licensee or its representative which are not prohibited.      </w:t>
      </w:r>
    </w:p>
    <w:p w14:paraId="13A128D5" w14:textId="22703B0E" w:rsidR="000F5E21" w:rsidRPr="00EE121D" w:rsidRDefault="3EFBC7E6" w:rsidP="0030233F">
      <w:pPr>
        <w:spacing w:before="0" w:after="160" w:line="257" w:lineRule="auto"/>
        <w:rPr>
          <w:rFonts w:eastAsia="Calibri Light" w:cs="Calibri Light"/>
          <w:szCs w:val="22"/>
        </w:rPr>
      </w:pPr>
      <w:r w:rsidRPr="32D8E1C7">
        <w:rPr>
          <w:rFonts w:eastAsia="Calibri Light" w:cs="Calibri Light"/>
          <w:szCs w:val="22"/>
        </w:rPr>
        <w:t xml:space="preserve">The Terms of Reference for the Review requires me to consider whether these benefits should continue to be able to be given.  I have been persuaded that there are some benefits and some circumstances in which benefits which are reasonably likely to influence financial product advice should be </w:t>
      </w:r>
      <w:proofErr w:type="gramStart"/>
      <w:r w:rsidRPr="32D8E1C7">
        <w:rPr>
          <w:rFonts w:eastAsia="Calibri Light" w:cs="Calibri Light"/>
          <w:szCs w:val="22"/>
        </w:rPr>
        <w:t>retained</w:t>
      </w:r>
      <w:r w:rsidR="00D8414E">
        <w:rPr>
          <w:rFonts w:eastAsia="Calibri Light" w:cs="Calibri Light"/>
          <w:szCs w:val="22"/>
        </w:rPr>
        <w:t>,</w:t>
      </w:r>
      <w:r w:rsidRPr="32D8E1C7">
        <w:rPr>
          <w:rFonts w:eastAsia="Calibri Light" w:cs="Calibri Light"/>
          <w:szCs w:val="22"/>
        </w:rPr>
        <w:t xml:space="preserve"> or</w:t>
      </w:r>
      <w:proofErr w:type="gramEnd"/>
      <w:r w:rsidRPr="32D8E1C7">
        <w:rPr>
          <w:rFonts w:eastAsia="Calibri Light" w:cs="Calibri Light"/>
          <w:szCs w:val="22"/>
        </w:rPr>
        <w:t xml:space="preserve"> should be retained subject to an additional requirement that the client provides their consent to the benefit.  </w:t>
      </w:r>
    </w:p>
    <w:p w14:paraId="0BFB5C39" w14:textId="46963AD0" w:rsidR="000F5E21" w:rsidRPr="00EE121D" w:rsidRDefault="3EFBC7E6" w:rsidP="0030233F">
      <w:pPr>
        <w:spacing w:before="0" w:after="160" w:line="257" w:lineRule="auto"/>
        <w:rPr>
          <w:rFonts w:eastAsia="Calibri Light" w:cs="Calibri Light"/>
          <w:szCs w:val="22"/>
        </w:rPr>
      </w:pPr>
      <w:r w:rsidRPr="32D8E1C7">
        <w:rPr>
          <w:rFonts w:eastAsia="Calibri Light" w:cs="Calibri Light"/>
          <w:szCs w:val="22"/>
        </w:rPr>
        <w:t xml:space="preserve">Where the benefits relate to general insurance and life risk insurance products, </w:t>
      </w:r>
      <w:r w:rsidR="00651490">
        <w:rPr>
          <w:rFonts w:eastAsia="Calibri Light" w:cs="Calibri Light"/>
          <w:szCs w:val="22"/>
        </w:rPr>
        <w:t xml:space="preserve">financial advisers </w:t>
      </w:r>
      <w:r w:rsidR="00AF3614">
        <w:rPr>
          <w:rFonts w:eastAsia="Calibri Light" w:cs="Calibri Light"/>
          <w:szCs w:val="22"/>
        </w:rPr>
        <w:t xml:space="preserve">and insurance brokers </w:t>
      </w:r>
      <w:r w:rsidRPr="32D8E1C7">
        <w:rPr>
          <w:rFonts w:eastAsia="Calibri Light" w:cs="Calibri Light"/>
          <w:szCs w:val="22"/>
        </w:rPr>
        <w:t xml:space="preserve">continue to play an important role in giving consumers access to financial product advice about what can and should be valuable financial products.  In forming this </w:t>
      </w:r>
      <w:proofErr w:type="gramStart"/>
      <w:r w:rsidRPr="32D8E1C7">
        <w:rPr>
          <w:rFonts w:eastAsia="Calibri Light" w:cs="Calibri Light"/>
          <w:szCs w:val="22"/>
        </w:rPr>
        <w:t>view</w:t>
      </w:r>
      <w:proofErr w:type="gramEnd"/>
      <w:r w:rsidRPr="32D8E1C7">
        <w:rPr>
          <w:rFonts w:eastAsia="Calibri Light" w:cs="Calibri Light"/>
          <w:szCs w:val="22"/>
        </w:rPr>
        <w:t xml:space="preserve"> I acknowledge that these benefits create a conflict for the adviser (or other recipient) and that th</w:t>
      </w:r>
      <w:r w:rsidR="00651490">
        <w:rPr>
          <w:rFonts w:eastAsia="Calibri Light" w:cs="Calibri Light"/>
          <w:szCs w:val="22"/>
        </w:rPr>
        <w:t>is</w:t>
      </w:r>
      <w:r w:rsidRPr="32D8E1C7">
        <w:rPr>
          <w:rFonts w:eastAsia="Calibri Light" w:cs="Calibri Light"/>
          <w:szCs w:val="22"/>
        </w:rPr>
        <w:t xml:space="preserve"> conflict creates a real risk that the quality of the advice provided by the adviser is not as good as it would be if they were paid a fee by the client for their advice.  </w:t>
      </w:r>
    </w:p>
    <w:p w14:paraId="29B36BDA" w14:textId="4016D8A9" w:rsidR="000F5E21" w:rsidRPr="00EE121D" w:rsidRDefault="3EFBC7E6" w:rsidP="0030233F">
      <w:pPr>
        <w:spacing w:before="0" w:after="160" w:line="257" w:lineRule="auto"/>
        <w:rPr>
          <w:rFonts w:eastAsia="Calibri Light" w:cs="Calibri Light"/>
          <w:szCs w:val="22"/>
        </w:rPr>
      </w:pPr>
      <w:r w:rsidRPr="32D8E1C7">
        <w:rPr>
          <w:rFonts w:eastAsia="Calibri Light" w:cs="Calibri Light"/>
          <w:szCs w:val="22"/>
        </w:rPr>
        <w:t>That risk is diminished by a number of recent changes to the law: anti-hawking, deferred sales of add-on insurance</w:t>
      </w:r>
      <w:r w:rsidR="00E1693E">
        <w:rPr>
          <w:rFonts w:eastAsia="Calibri Light" w:cs="Calibri Light"/>
          <w:szCs w:val="22"/>
        </w:rPr>
        <w:t xml:space="preserve">, </w:t>
      </w:r>
      <w:r w:rsidRPr="32D8E1C7">
        <w:rPr>
          <w:rFonts w:eastAsia="Calibri Light" w:cs="Calibri Light"/>
          <w:szCs w:val="22"/>
        </w:rPr>
        <w:t xml:space="preserve">design and distribution obligations, and the caps on commissions payable in respect of </w:t>
      </w:r>
      <w:r w:rsidR="00E1693E">
        <w:rPr>
          <w:rFonts w:eastAsia="Calibri Light" w:cs="Calibri Light"/>
          <w:szCs w:val="22"/>
        </w:rPr>
        <w:t>consumer credit insurance</w:t>
      </w:r>
      <w:r w:rsidRPr="32D8E1C7">
        <w:rPr>
          <w:rFonts w:eastAsia="Calibri Light" w:cs="Calibri Light"/>
          <w:szCs w:val="22"/>
        </w:rPr>
        <w:t xml:space="preserve"> and life risk insurance products.  The risk should be further diminished by the proposals outlined in the Proposals Paper</w:t>
      </w:r>
      <w:r w:rsidR="00E1693E">
        <w:rPr>
          <w:rFonts w:eastAsia="Calibri Light" w:cs="Calibri Light"/>
          <w:szCs w:val="22"/>
        </w:rPr>
        <w:t xml:space="preserve"> (</w:t>
      </w:r>
      <w:hyperlink r:id="rId13" w:history="1">
        <w:r w:rsidR="00E14253" w:rsidRPr="0018604C">
          <w:rPr>
            <w:rStyle w:val="Hyperlink"/>
            <w:rFonts w:eastAsia="Calibri Light" w:cs="Calibri Light"/>
            <w:szCs w:val="22"/>
          </w:rPr>
          <w:t>https://treasury.gov.au/sites/default/files/2022-08/c2022-307409-proposalsp.pdf</w:t>
        </w:r>
      </w:hyperlink>
      <w:r w:rsidR="00E14253">
        <w:rPr>
          <w:rFonts w:eastAsia="Calibri Light" w:cs="Calibri Light"/>
          <w:szCs w:val="22"/>
        </w:rPr>
        <w:t>)</w:t>
      </w:r>
      <w:r w:rsidRPr="32D8E1C7">
        <w:rPr>
          <w:rFonts w:eastAsia="Calibri Light" w:cs="Calibri Light"/>
          <w:szCs w:val="22"/>
        </w:rPr>
        <w:t>.  The</w:t>
      </w:r>
      <w:r w:rsidR="00EC0C86">
        <w:rPr>
          <w:rFonts w:eastAsia="Calibri Light" w:cs="Calibri Light"/>
          <w:szCs w:val="22"/>
        </w:rPr>
        <w:t xml:space="preserve">se proposals </w:t>
      </w:r>
      <w:r w:rsidRPr="32D8E1C7">
        <w:rPr>
          <w:rFonts w:eastAsia="Calibri Light" w:cs="Calibri Light"/>
          <w:szCs w:val="22"/>
        </w:rPr>
        <w:t xml:space="preserve">will limit the opportunity for insurance products to be distributed using general advice and they will impose an obligation for a person who gives personal advice to give </w:t>
      </w:r>
      <w:r w:rsidR="00EC0C86">
        <w:rPr>
          <w:rFonts w:eastAsia="Calibri Light" w:cs="Calibri Light"/>
          <w:szCs w:val="22"/>
        </w:rPr>
        <w:t>‘</w:t>
      </w:r>
      <w:r w:rsidRPr="32D8E1C7">
        <w:rPr>
          <w:rFonts w:eastAsia="Calibri Light" w:cs="Calibri Light"/>
          <w:szCs w:val="22"/>
        </w:rPr>
        <w:t>good</w:t>
      </w:r>
      <w:r w:rsidR="00EC0C86">
        <w:rPr>
          <w:rFonts w:eastAsia="Calibri Light" w:cs="Calibri Light"/>
          <w:szCs w:val="22"/>
        </w:rPr>
        <w:t>’</w:t>
      </w:r>
      <w:r w:rsidRPr="32D8E1C7">
        <w:rPr>
          <w:rFonts w:eastAsia="Calibri Light" w:cs="Calibri Light"/>
          <w:szCs w:val="22"/>
        </w:rPr>
        <w:t xml:space="preserve"> advice.  Monitoring by ASIC and enforcement</w:t>
      </w:r>
      <w:r w:rsidR="00E65E0A">
        <w:rPr>
          <w:rFonts w:eastAsia="Calibri Light" w:cs="Calibri Light"/>
          <w:szCs w:val="22"/>
        </w:rPr>
        <w:t>,</w:t>
      </w:r>
      <w:r w:rsidRPr="32D8E1C7">
        <w:rPr>
          <w:rFonts w:eastAsia="Calibri Light" w:cs="Calibri Light"/>
          <w:szCs w:val="22"/>
        </w:rPr>
        <w:t xml:space="preserve"> where appropriate</w:t>
      </w:r>
      <w:r w:rsidR="00E65E0A">
        <w:rPr>
          <w:rFonts w:eastAsia="Calibri Light" w:cs="Calibri Light"/>
          <w:szCs w:val="22"/>
        </w:rPr>
        <w:t>,</w:t>
      </w:r>
      <w:r w:rsidRPr="32D8E1C7">
        <w:rPr>
          <w:rFonts w:eastAsia="Calibri Light" w:cs="Calibri Light"/>
          <w:szCs w:val="22"/>
        </w:rPr>
        <w:t xml:space="preserve"> will </w:t>
      </w:r>
      <w:r w:rsidR="00417ADE">
        <w:rPr>
          <w:rFonts w:eastAsia="Calibri Light" w:cs="Calibri Light"/>
          <w:szCs w:val="22"/>
        </w:rPr>
        <w:t xml:space="preserve">also </w:t>
      </w:r>
      <w:r w:rsidRPr="32D8E1C7">
        <w:rPr>
          <w:rFonts w:eastAsia="Calibri Light" w:cs="Calibri Light"/>
          <w:szCs w:val="22"/>
        </w:rPr>
        <w:t xml:space="preserve">be important.  The proposals will also promote alternative sources of advice: digital advice and more direct advice.  By reducing the cost of </w:t>
      </w:r>
      <w:proofErr w:type="gramStart"/>
      <w:r w:rsidRPr="32D8E1C7">
        <w:rPr>
          <w:rFonts w:eastAsia="Calibri Light" w:cs="Calibri Light"/>
          <w:szCs w:val="22"/>
        </w:rPr>
        <w:t>advice</w:t>
      </w:r>
      <w:proofErr w:type="gramEnd"/>
      <w:r w:rsidRPr="32D8E1C7">
        <w:rPr>
          <w:rFonts w:eastAsia="Calibri Light" w:cs="Calibri Light"/>
          <w:szCs w:val="22"/>
        </w:rPr>
        <w:t xml:space="preserve"> the proposals may also encourage more advisers to charge advice fees and more clients </w:t>
      </w:r>
      <w:r w:rsidR="000F540D">
        <w:rPr>
          <w:rFonts w:eastAsia="Calibri Light" w:cs="Calibri Light"/>
          <w:szCs w:val="22"/>
        </w:rPr>
        <w:t>to turn to advisers who charge advice fees</w:t>
      </w:r>
      <w:r w:rsidRPr="32D8E1C7">
        <w:rPr>
          <w:rFonts w:eastAsia="Calibri Light" w:cs="Calibri Light"/>
          <w:szCs w:val="22"/>
        </w:rPr>
        <w:t xml:space="preserve">. In these circumstances, requiring a client to give their consent to the provision of a commission or other benefit should have more work to </w:t>
      </w:r>
      <w:proofErr w:type="gramStart"/>
      <w:r w:rsidRPr="32D8E1C7">
        <w:rPr>
          <w:rFonts w:eastAsia="Calibri Light" w:cs="Calibri Light"/>
          <w:szCs w:val="22"/>
        </w:rPr>
        <w:t>do:</w:t>
      </w:r>
      <w:proofErr w:type="gramEnd"/>
      <w:r w:rsidRPr="32D8E1C7">
        <w:rPr>
          <w:rFonts w:eastAsia="Calibri Light" w:cs="Calibri Light"/>
          <w:szCs w:val="22"/>
        </w:rPr>
        <w:t xml:space="preserve"> they will have alternatives.  </w:t>
      </w:r>
    </w:p>
    <w:p w14:paraId="28D510A3" w14:textId="48FC50DA" w:rsidR="000F5E21" w:rsidRPr="00EE121D" w:rsidRDefault="3EFBC7E6" w:rsidP="0030233F">
      <w:pPr>
        <w:spacing w:before="0" w:after="160" w:line="257" w:lineRule="auto"/>
        <w:rPr>
          <w:rFonts w:eastAsia="Calibri Light" w:cs="Calibri Light"/>
          <w:szCs w:val="22"/>
        </w:rPr>
      </w:pPr>
      <w:r w:rsidRPr="32D8E1C7">
        <w:rPr>
          <w:rFonts w:eastAsia="Calibri Light" w:cs="Calibri Light"/>
          <w:szCs w:val="22"/>
        </w:rPr>
        <w:t xml:space="preserve">The other key exceptions relate to advice and dealing in securities: stamping fees and brokerage.  There is no evidence that leads me to think </w:t>
      </w:r>
      <w:r w:rsidR="001C0324">
        <w:rPr>
          <w:rFonts w:eastAsia="Calibri Light" w:cs="Calibri Light"/>
          <w:szCs w:val="22"/>
        </w:rPr>
        <w:t xml:space="preserve">that </w:t>
      </w:r>
      <w:r w:rsidRPr="32D8E1C7">
        <w:rPr>
          <w:rFonts w:eastAsia="Calibri Light" w:cs="Calibri Light"/>
          <w:szCs w:val="22"/>
        </w:rPr>
        <w:t xml:space="preserve">these </w:t>
      </w:r>
      <w:r w:rsidR="001C0324">
        <w:rPr>
          <w:rFonts w:eastAsia="Calibri Light" w:cs="Calibri Light"/>
          <w:szCs w:val="22"/>
        </w:rPr>
        <w:t xml:space="preserve">exceptions </w:t>
      </w:r>
      <w:r w:rsidRPr="32D8E1C7">
        <w:rPr>
          <w:rFonts w:eastAsia="Calibri Light" w:cs="Calibri Light"/>
          <w:szCs w:val="22"/>
        </w:rPr>
        <w:t xml:space="preserve">are not, in general terms, an appropriate and fair way to remunerate advisers for their services.      </w:t>
      </w:r>
    </w:p>
    <w:p w14:paraId="491B9D96" w14:textId="77777777" w:rsidR="0060463D" w:rsidRDefault="0060463D">
      <w:pPr>
        <w:spacing w:before="0" w:after="160" w:line="259" w:lineRule="auto"/>
        <w:rPr>
          <w:rFonts w:ascii="Calibri" w:eastAsia="Calibri" w:hAnsi="Calibri" w:cs="Calibri"/>
          <w:b/>
          <w:color w:val="ED7D31" w:themeColor="accent2"/>
          <w:kern w:val="32"/>
          <w:sz w:val="28"/>
          <w:szCs w:val="28"/>
        </w:rPr>
      </w:pPr>
      <w:r>
        <w:rPr>
          <w:rFonts w:eastAsia="Calibri" w:cs="Calibri"/>
          <w:szCs w:val="28"/>
        </w:rPr>
        <w:br w:type="page"/>
      </w:r>
    </w:p>
    <w:p w14:paraId="4C8DC46F" w14:textId="0E3CAF3E" w:rsidR="000F5E21" w:rsidRPr="00EE121D" w:rsidRDefault="3EFBC7E6" w:rsidP="0028742E">
      <w:pPr>
        <w:pStyle w:val="Heading3"/>
        <w:keepNext w:val="0"/>
        <w:rPr>
          <w:rFonts w:eastAsia="Calibri" w:cs="Calibri"/>
          <w:szCs w:val="28"/>
        </w:rPr>
      </w:pPr>
      <w:r w:rsidRPr="32D8E1C7">
        <w:rPr>
          <w:rFonts w:eastAsia="Calibri" w:cs="Calibri"/>
          <w:szCs w:val="28"/>
        </w:rPr>
        <w:lastRenderedPageBreak/>
        <w:t>General Insurance</w:t>
      </w:r>
    </w:p>
    <w:p w14:paraId="00E26590" w14:textId="77777777" w:rsidR="00C379EF" w:rsidRPr="00EE121D" w:rsidRDefault="00C379EF">
      <w:pPr>
        <w:spacing w:before="0" w:after="160" w:line="257" w:lineRule="auto"/>
        <w:rPr>
          <w:rFonts w:eastAsia="Calibri Light" w:cs="Calibri Light"/>
          <w:szCs w:val="22"/>
          <w:u w:val="single"/>
        </w:rPr>
      </w:pPr>
      <w:r w:rsidRPr="32D8E1C7">
        <w:rPr>
          <w:rFonts w:eastAsia="Calibri Light" w:cs="Calibri Light"/>
          <w:szCs w:val="22"/>
          <w:u w:val="single"/>
        </w:rPr>
        <w:t xml:space="preserve">Current requirements </w:t>
      </w:r>
    </w:p>
    <w:p w14:paraId="085EE995" w14:textId="6BE2028E" w:rsidR="00C379EF" w:rsidRPr="00EE121D" w:rsidRDefault="00F1582D">
      <w:pPr>
        <w:spacing w:before="0" w:after="160" w:line="257" w:lineRule="auto"/>
        <w:rPr>
          <w:rFonts w:eastAsia="Calibri Light" w:cs="Calibri Light"/>
          <w:szCs w:val="22"/>
        </w:rPr>
      </w:pPr>
      <w:r>
        <w:rPr>
          <w:rFonts w:eastAsia="Calibri Light" w:cs="Calibri Light"/>
          <w:szCs w:val="22"/>
        </w:rPr>
        <w:t>T</w:t>
      </w:r>
      <w:r w:rsidR="00C379EF" w:rsidRPr="32D8E1C7">
        <w:rPr>
          <w:rFonts w:eastAsia="Calibri Light" w:cs="Calibri Light"/>
          <w:szCs w:val="22"/>
        </w:rPr>
        <w:t>he Corporations Act provides exemption</w:t>
      </w:r>
      <w:r w:rsidR="00C379EF">
        <w:rPr>
          <w:rFonts w:eastAsia="Calibri Light" w:cs="Calibri Light"/>
          <w:szCs w:val="22"/>
        </w:rPr>
        <w:t>s</w:t>
      </w:r>
      <w:r w:rsidR="00C379EF" w:rsidRPr="32D8E1C7">
        <w:rPr>
          <w:rFonts w:eastAsia="Calibri Light" w:cs="Calibri Light"/>
          <w:szCs w:val="22"/>
        </w:rPr>
        <w:t xml:space="preserve"> to the ban on conflicted remuneration for benefits given in relation to a general insurance product</w:t>
      </w:r>
      <w:r w:rsidR="00C379EF">
        <w:rPr>
          <w:rFonts w:eastAsia="Calibri Light" w:cs="Calibri Light"/>
          <w:szCs w:val="22"/>
        </w:rPr>
        <w:t xml:space="preserve"> and consumer credit insurance</w:t>
      </w:r>
      <w:r w:rsidR="00C379EF" w:rsidRPr="32D8E1C7">
        <w:rPr>
          <w:rFonts w:eastAsia="Calibri Light" w:cs="Calibri Light"/>
          <w:szCs w:val="22"/>
        </w:rPr>
        <w:t xml:space="preserve"> (see paragraphs 963B(1)(a)</w:t>
      </w:r>
      <w:r w:rsidR="00C379EF">
        <w:rPr>
          <w:rFonts w:eastAsia="Calibri Light" w:cs="Calibri Light"/>
          <w:szCs w:val="22"/>
        </w:rPr>
        <w:t>, 963B(</w:t>
      </w:r>
      <w:proofErr w:type="gramStart"/>
      <w:r w:rsidR="00C379EF">
        <w:rPr>
          <w:rFonts w:eastAsia="Calibri Light" w:cs="Calibri Light"/>
          <w:szCs w:val="22"/>
        </w:rPr>
        <w:t>1)(</w:t>
      </w:r>
      <w:proofErr w:type="gramEnd"/>
      <w:r w:rsidR="00C379EF">
        <w:rPr>
          <w:rFonts w:eastAsia="Calibri Light" w:cs="Calibri Light"/>
          <w:szCs w:val="22"/>
        </w:rPr>
        <w:t xml:space="preserve">ba) </w:t>
      </w:r>
      <w:r w:rsidR="00C379EF" w:rsidRPr="32D8E1C7">
        <w:rPr>
          <w:rFonts w:eastAsia="Calibri Light" w:cs="Calibri Light"/>
          <w:szCs w:val="22"/>
        </w:rPr>
        <w:t>and 963C(1)(a) of the Corporations Act and regulation 7.7A.12G</w:t>
      </w:r>
      <w:r w:rsidR="00C379EF">
        <w:rPr>
          <w:rFonts w:eastAsia="Calibri Light" w:cs="Calibri Light"/>
          <w:szCs w:val="22"/>
        </w:rPr>
        <w:t xml:space="preserve"> of the Corporations Regulations</w:t>
      </w:r>
      <w:r w:rsidR="00C379EF" w:rsidRPr="32D8E1C7">
        <w:rPr>
          <w:rFonts w:eastAsia="Calibri Light" w:cs="Calibri Light"/>
          <w:szCs w:val="22"/>
        </w:rPr>
        <w:t>).</w:t>
      </w:r>
    </w:p>
    <w:p w14:paraId="3C33A94F" w14:textId="77777777" w:rsidR="00C379EF" w:rsidRPr="00EE121D" w:rsidRDefault="00C379EF">
      <w:pPr>
        <w:spacing w:before="0" w:after="160" w:line="257" w:lineRule="auto"/>
        <w:rPr>
          <w:rFonts w:eastAsia="Calibri Light" w:cs="Calibri Light"/>
          <w:szCs w:val="22"/>
          <w:u w:val="single"/>
        </w:rPr>
      </w:pPr>
      <w:r w:rsidRPr="32D8E1C7">
        <w:rPr>
          <w:rFonts w:eastAsia="Calibri Light" w:cs="Calibri Light"/>
          <w:szCs w:val="22"/>
          <w:u w:val="single"/>
        </w:rPr>
        <w:t>Proposal</w:t>
      </w:r>
    </w:p>
    <w:p w14:paraId="24F3192D" w14:textId="6A07BEFC" w:rsidR="00C379EF" w:rsidRPr="00EE121D" w:rsidRDefault="00C379EF">
      <w:pPr>
        <w:pStyle w:val="ListParagraph"/>
        <w:numPr>
          <w:ilvl w:val="0"/>
          <w:numId w:val="2"/>
        </w:numPr>
        <w:spacing w:before="0" w:after="160" w:line="259" w:lineRule="auto"/>
        <w:ind w:left="426" w:hanging="426"/>
      </w:pPr>
      <w:r w:rsidRPr="32D8E1C7">
        <w:t>Retain the existing exemptions for benefits given in relation to general insurance products</w:t>
      </w:r>
      <w:r>
        <w:t xml:space="preserve"> and consumer credit insurance</w:t>
      </w:r>
      <w:r w:rsidRPr="32D8E1C7">
        <w:t>, but require financial advisers (relevant providers)</w:t>
      </w:r>
      <w:r w:rsidR="00E01AAE">
        <w:t>,</w:t>
      </w:r>
      <w:r w:rsidRPr="32D8E1C7">
        <w:t xml:space="preserve"> insurance brokers </w:t>
      </w:r>
      <w:r w:rsidR="00E01AAE">
        <w:t xml:space="preserve">and other intermediaries </w:t>
      </w:r>
      <w:r w:rsidRPr="32D8E1C7">
        <w:t xml:space="preserve">who provide personal advice to retail clients in relation to general insurance products </w:t>
      </w:r>
      <w:r>
        <w:t xml:space="preserve">or consumer credit insurance </w:t>
      </w:r>
      <w:r w:rsidRPr="32D8E1C7">
        <w:t>to obtain their client’s informed consent, in writing, to receive a commission or other benefit in connection with the issue of the general insurance product</w:t>
      </w:r>
      <w:r>
        <w:t xml:space="preserve"> or consumer credit insurance</w:t>
      </w:r>
      <w:r w:rsidRPr="32D8E1C7">
        <w:t>.</w:t>
      </w:r>
    </w:p>
    <w:p w14:paraId="1D198A7F" w14:textId="4636C002" w:rsidR="00C379EF" w:rsidRPr="00EE121D" w:rsidRDefault="00C379EF">
      <w:pPr>
        <w:spacing w:before="0" w:after="160" w:line="257" w:lineRule="auto"/>
        <w:ind w:left="426"/>
        <w:rPr>
          <w:rFonts w:eastAsia="Calibri Light" w:cs="Calibri Light"/>
          <w:szCs w:val="22"/>
        </w:rPr>
      </w:pPr>
      <w:proofErr w:type="gramStart"/>
      <w:r w:rsidRPr="32D8E1C7">
        <w:rPr>
          <w:rFonts w:eastAsia="Calibri Light" w:cs="Calibri Light"/>
          <w:szCs w:val="22"/>
        </w:rPr>
        <w:t>In order for</w:t>
      </w:r>
      <w:proofErr w:type="gramEnd"/>
      <w:r w:rsidRPr="32D8E1C7">
        <w:rPr>
          <w:rFonts w:eastAsia="Calibri Light" w:cs="Calibri Light"/>
          <w:szCs w:val="22"/>
        </w:rPr>
        <w:t xml:space="preserve"> the consumer to be able to make an informed decision, the relevant provider</w:t>
      </w:r>
      <w:r w:rsidR="00B946FD">
        <w:rPr>
          <w:rFonts w:eastAsia="Calibri Light" w:cs="Calibri Light"/>
          <w:szCs w:val="22"/>
        </w:rPr>
        <w:t xml:space="preserve">, </w:t>
      </w:r>
      <w:r w:rsidRPr="32D8E1C7">
        <w:rPr>
          <w:rFonts w:eastAsia="Calibri Light" w:cs="Calibri Light"/>
          <w:szCs w:val="22"/>
        </w:rPr>
        <w:t xml:space="preserve">broker </w:t>
      </w:r>
      <w:r w:rsidR="00994E9B">
        <w:rPr>
          <w:rFonts w:eastAsia="Calibri Light" w:cs="Calibri Light"/>
          <w:szCs w:val="22"/>
        </w:rPr>
        <w:t xml:space="preserve">or intermediary </w:t>
      </w:r>
      <w:r w:rsidRPr="32D8E1C7">
        <w:rPr>
          <w:rFonts w:eastAsia="Calibri Light" w:cs="Calibri Light"/>
          <w:szCs w:val="22"/>
        </w:rPr>
        <w:t xml:space="preserve">must disclose to the consumer any commission and/or other benefits they would receive in connection with the issue of </w:t>
      </w:r>
      <w:r>
        <w:rPr>
          <w:rFonts w:eastAsia="Calibri Light" w:cs="Calibri Light"/>
          <w:szCs w:val="22"/>
        </w:rPr>
        <w:t>the</w:t>
      </w:r>
      <w:r w:rsidRPr="32D8E1C7">
        <w:rPr>
          <w:rFonts w:eastAsia="Calibri Light" w:cs="Calibri Light"/>
          <w:szCs w:val="22"/>
        </w:rPr>
        <w:t xml:space="preserve"> general insurance product</w:t>
      </w:r>
      <w:r w:rsidR="00F22622">
        <w:rPr>
          <w:rFonts w:eastAsia="Calibri Light" w:cs="Calibri Light"/>
          <w:szCs w:val="22"/>
        </w:rPr>
        <w:t xml:space="preserve"> or consumer credit insurance</w:t>
      </w:r>
      <w:r w:rsidRPr="32D8E1C7">
        <w:rPr>
          <w:rFonts w:eastAsia="Calibri Light" w:cs="Calibri Light"/>
          <w:szCs w:val="22"/>
        </w:rPr>
        <w:t>.</w:t>
      </w:r>
    </w:p>
    <w:p w14:paraId="77E2F7FC" w14:textId="1F5C71FE" w:rsidR="00C379EF" w:rsidRPr="00EE121D" w:rsidRDefault="00C379EF">
      <w:pPr>
        <w:spacing w:before="0" w:after="160" w:line="257" w:lineRule="auto"/>
        <w:ind w:left="426"/>
        <w:rPr>
          <w:rFonts w:eastAsia="Calibri Light" w:cs="Calibri Light"/>
          <w:szCs w:val="22"/>
        </w:rPr>
      </w:pPr>
      <w:r w:rsidRPr="32D8E1C7">
        <w:rPr>
          <w:rFonts w:eastAsia="Calibri Light" w:cs="Calibri Light"/>
          <w:szCs w:val="22"/>
        </w:rPr>
        <w:t xml:space="preserve">This requirement would not apply to other distributors of general insurance </w:t>
      </w:r>
      <w:r w:rsidR="000D2615">
        <w:rPr>
          <w:rFonts w:eastAsia="Calibri Light" w:cs="Calibri Light"/>
          <w:szCs w:val="22"/>
        </w:rPr>
        <w:t xml:space="preserve">or consumer credit insurance </w:t>
      </w:r>
      <w:r w:rsidR="00D450F8">
        <w:rPr>
          <w:rFonts w:eastAsia="Calibri Light" w:cs="Calibri Light"/>
          <w:szCs w:val="22"/>
        </w:rPr>
        <w:t>products</w:t>
      </w:r>
      <w:r w:rsidR="00D450F8" w:rsidRPr="32D8E1C7" w:rsidDel="00D450F8">
        <w:rPr>
          <w:rFonts w:eastAsia="Calibri Light" w:cs="Calibri Light"/>
          <w:szCs w:val="22"/>
        </w:rPr>
        <w:t xml:space="preserve"> </w:t>
      </w:r>
      <w:r w:rsidRPr="32D8E1C7">
        <w:rPr>
          <w:rFonts w:eastAsia="Calibri Light" w:cs="Calibri Light"/>
          <w:szCs w:val="22"/>
        </w:rPr>
        <w:t>(such as white label</w:t>
      </w:r>
      <w:r w:rsidR="000D2615">
        <w:rPr>
          <w:rFonts w:eastAsia="Calibri Light" w:cs="Calibri Light"/>
          <w:szCs w:val="22"/>
        </w:rPr>
        <w:t xml:space="preserve"> providers or retailers</w:t>
      </w:r>
      <w:r w:rsidRPr="32D8E1C7">
        <w:rPr>
          <w:rFonts w:eastAsia="Calibri Light" w:cs="Calibri Light"/>
          <w:szCs w:val="22"/>
        </w:rPr>
        <w:t xml:space="preserve">) that distribute </w:t>
      </w:r>
      <w:r w:rsidR="00D450F8">
        <w:rPr>
          <w:rFonts w:eastAsia="Calibri Light" w:cs="Calibri Light"/>
          <w:szCs w:val="22"/>
        </w:rPr>
        <w:t xml:space="preserve">these </w:t>
      </w:r>
      <w:r w:rsidRPr="32D8E1C7">
        <w:rPr>
          <w:rFonts w:eastAsia="Calibri Light" w:cs="Calibri Light"/>
          <w:szCs w:val="22"/>
        </w:rPr>
        <w:t xml:space="preserve">products on behalf of the insurer.  </w:t>
      </w:r>
    </w:p>
    <w:p w14:paraId="5950742F" w14:textId="7FA98E60" w:rsidR="00C379EF" w:rsidRPr="00EE121D" w:rsidRDefault="00C379EF">
      <w:pPr>
        <w:spacing w:before="0" w:after="160" w:line="257" w:lineRule="auto"/>
        <w:ind w:left="426"/>
        <w:rPr>
          <w:rFonts w:eastAsia="Calibri Light" w:cs="Calibri Light"/>
          <w:szCs w:val="22"/>
        </w:rPr>
      </w:pPr>
      <w:r w:rsidRPr="32D8E1C7">
        <w:rPr>
          <w:rFonts w:eastAsia="Calibri Light" w:cs="Calibri Light"/>
          <w:szCs w:val="22"/>
        </w:rPr>
        <w:t xml:space="preserve">Where a general insurance product </w:t>
      </w:r>
      <w:r>
        <w:rPr>
          <w:rFonts w:eastAsia="Calibri Light" w:cs="Calibri Light"/>
          <w:szCs w:val="22"/>
        </w:rPr>
        <w:t xml:space="preserve">or consumer credit insurance </w:t>
      </w:r>
      <w:r w:rsidRPr="32D8E1C7">
        <w:rPr>
          <w:rFonts w:eastAsia="Calibri Light" w:cs="Calibri Light"/>
          <w:szCs w:val="22"/>
        </w:rPr>
        <w:t xml:space="preserve">can be renewed, consent could be sought prior to the initial issue of the insurance product and would not be required at each </w:t>
      </w:r>
      <w:r w:rsidR="000D6E03">
        <w:rPr>
          <w:rFonts w:eastAsia="Calibri Light" w:cs="Calibri Light"/>
          <w:szCs w:val="22"/>
        </w:rPr>
        <w:t xml:space="preserve">subsequent </w:t>
      </w:r>
      <w:r w:rsidRPr="32D8E1C7">
        <w:rPr>
          <w:rFonts w:eastAsia="Calibri Light" w:cs="Calibri Light"/>
          <w:szCs w:val="22"/>
        </w:rPr>
        <w:t xml:space="preserve">renewal, provided that the initial consent included the client’s agreement to the </w:t>
      </w:r>
      <w:r>
        <w:rPr>
          <w:rFonts w:eastAsia="Calibri Light" w:cs="Calibri Light"/>
          <w:szCs w:val="22"/>
        </w:rPr>
        <w:t>adviser</w:t>
      </w:r>
      <w:r w:rsidR="007444C8">
        <w:rPr>
          <w:rFonts w:eastAsia="Calibri Light" w:cs="Calibri Light"/>
          <w:szCs w:val="22"/>
        </w:rPr>
        <w:t>, broker or intermediary</w:t>
      </w:r>
      <w:r>
        <w:rPr>
          <w:rFonts w:eastAsia="Calibri Light" w:cs="Calibri Light"/>
          <w:szCs w:val="22"/>
        </w:rPr>
        <w:t xml:space="preserve"> accepting a</w:t>
      </w:r>
      <w:r w:rsidRPr="32D8E1C7">
        <w:rPr>
          <w:rFonts w:eastAsia="Calibri Light" w:cs="Calibri Light"/>
          <w:szCs w:val="22"/>
        </w:rPr>
        <w:t xml:space="preserve"> commission and</w:t>
      </w:r>
      <w:r>
        <w:rPr>
          <w:rFonts w:eastAsia="Calibri Light" w:cs="Calibri Light"/>
          <w:szCs w:val="22"/>
        </w:rPr>
        <w:t>/or</w:t>
      </w:r>
      <w:r w:rsidRPr="32D8E1C7">
        <w:rPr>
          <w:rFonts w:eastAsia="Calibri Light" w:cs="Calibri Light"/>
          <w:szCs w:val="22"/>
        </w:rPr>
        <w:t xml:space="preserve"> other benefits on renewals.</w:t>
      </w:r>
    </w:p>
    <w:p w14:paraId="7E860FCE" w14:textId="5B4F27EA" w:rsidR="00C379EF" w:rsidRPr="00EE121D" w:rsidRDefault="00C379EF" w:rsidP="0087223F">
      <w:pPr>
        <w:spacing w:before="0" w:after="160" w:line="257" w:lineRule="auto"/>
        <w:rPr>
          <w:rFonts w:eastAsia="Calibri Light" w:cs="Calibri Light"/>
          <w:b/>
          <w:bCs/>
          <w:szCs w:val="22"/>
        </w:rPr>
      </w:pPr>
      <w:r w:rsidRPr="32D8E1C7">
        <w:rPr>
          <w:rFonts w:eastAsia="Calibri Light" w:cs="Calibri Light"/>
          <w:b/>
          <w:bCs/>
          <w:szCs w:val="22"/>
        </w:rPr>
        <w:t xml:space="preserve">Reason for requiring consent: A financial adviser and broker are intermediaries who have undertaken to provide advice in the best interests of their client. If </w:t>
      </w:r>
      <w:r>
        <w:rPr>
          <w:rFonts w:eastAsia="Calibri Light" w:cs="Calibri Light"/>
          <w:b/>
          <w:bCs/>
          <w:szCs w:val="22"/>
        </w:rPr>
        <w:t>an adviser or broker will</w:t>
      </w:r>
      <w:r w:rsidRPr="32D8E1C7">
        <w:rPr>
          <w:rFonts w:eastAsia="Calibri Light" w:cs="Calibri Light"/>
          <w:b/>
          <w:bCs/>
          <w:szCs w:val="22"/>
        </w:rPr>
        <w:t xml:space="preserve"> receive a benefit for the sale of </w:t>
      </w:r>
      <w:r>
        <w:rPr>
          <w:rFonts w:eastAsia="Calibri Light" w:cs="Calibri Light"/>
          <w:b/>
          <w:bCs/>
          <w:szCs w:val="22"/>
        </w:rPr>
        <w:t>the</w:t>
      </w:r>
      <w:r w:rsidRPr="32D8E1C7">
        <w:rPr>
          <w:rFonts w:eastAsia="Calibri Light" w:cs="Calibri Light"/>
          <w:b/>
          <w:bCs/>
          <w:szCs w:val="22"/>
        </w:rPr>
        <w:t xml:space="preserve"> </w:t>
      </w:r>
      <w:r>
        <w:rPr>
          <w:rFonts w:eastAsia="Calibri Light" w:cs="Calibri Light"/>
          <w:b/>
          <w:bCs/>
          <w:szCs w:val="22"/>
        </w:rPr>
        <w:t>general insurance product</w:t>
      </w:r>
      <w:r w:rsidRPr="32D8E1C7">
        <w:rPr>
          <w:rFonts w:eastAsia="Calibri Light" w:cs="Calibri Light"/>
          <w:b/>
          <w:bCs/>
          <w:szCs w:val="22"/>
        </w:rPr>
        <w:t xml:space="preserve"> </w:t>
      </w:r>
      <w:r>
        <w:rPr>
          <w:rFonts w:eastAsia="Calibri Light" w:cs="Calibri Light"/>
          <w:b/>
          <w:bCs/>
          <w:szCs w:val="22"/>
        </w:rPr>
        <w:t xml:space="preserve">or consumer credit insurance </w:t>
      </w:r>
      <w:r w:rsidRPr="32D8E1C7">
        <w:rPr>
          <w:rFonts w:eastAsia="Calibri Light" w:cs="Calibri Light"/>
          <w:b/>
          <w:bCs/>
          <w:szCs w:val="22"/>
        </w:rPr>
        <w:t>they recommend to their client, they should have an obligation to tell the client about the benefit and the client should have the opportunity to consent (or not) to the provision of that benefit.  I acknowledge that disclosure and consent are not always (and perhaps not even often) effective consumer protection tools</w:t>
      </w:r>
      <w:r w:rsidR="00F44176">
        <w:rPr>
          <w:rFonts w:eastAsia="Calibri Light" w:cs="Calibri Light"/>
          <w:b/>
          <w:bCs/>
          <w:szCs w:val="22"/>
        </w:rPr>
        <w:t>; n</w:t>
      </w:r>
      <w:r w:rsidRPr="32D8E1C7">
        <w:rPr>
          <w:rFonts w:eastAsia="Calibri Light" w:cs="Calibri Light"/>
          <w:b/>
          <w:bCs/>
          <w:szCs w:val="22"/>
        </w:rPr>
        <w:t xml:space="preserve">evertheless, a client should be </w:t>
      </w:r>
      <w:r>
        <w:rPr>
          <w:rFonts w:eastAsia="Calibri Light" w:cs="Calibri Light"/>
          <w:b/>
          <w:bCs/>
          <w:szCs w:val="22"/>
        </w:rPr>
        <w:t xml:space="preserve">put </w:t>
      </w:r>
      <w:r w:rsidRPr="32D8E1C7">
        <w:rPr>
          <w:rFonts w:eastAsia="Calibri Light" w:cs="Calibri Light"/>
          <w:b/>
          <w:bCs/>
          <w:szCs w:val="22"/>
        </w:rPr>
        <w:t xml:space="preserve">in a position to understand and consent (should they choose) to their adviser receiving a benefit from </w:t>
      </w:r>
      <w:r>
        <w:rPr>
          <w:rFonts w:eastAsia="Calibri Light" w:cs="Calibri Light"/>
          <w:b/>
          <w:bCs/>
          <w:szCs w:val="22"/>
        </w:rPr>
        <w:t>a</w:t>
      </w:r>
      <w:r w:rsidRPr="32D8E1C7">
        <w:rPr>
          <w:rFonts w:eastAsia="Calibri Light" w:cs="Calibri Light"/>
          <w:b/>
          <w:bCs/>
          <w:szCs w:val="22"/>
        </w:rPr>
        <w:t xml:space="preserve"> product issuer.   </w:t>
      </w:r>
    </w:p>
    <w:p w14:paraId="61639D29" w14:textId="0FEAB863" w:rsidR="000F5E21" w:rsidRPr="00EE121D" w:rsidRDefault="3EFBC7E6" w:rsidP="0087223F">
      <w:pPr>
        <w:pStyle w:val="Heading3"/>
        <w:keepNext w:val="0"/>
        <w:rPr>
          <w:rFonts w:eastAsia="Calibri" w:cs="Calibri"/>
          <w:szCs w:val="28"/>
        </w:rPr>
      </w:pPr>
      <w:r w:rsidRPr="15083CE2">
        <w:rPr>
          <w:rFonts w:eastAsia="Calibri" w:cs="Calibri"/>
        </w:rPr>
        <w:t>Life risk insurance</w:t>
      </w:r>
    </w:p>
    <w:p w14:paraId="4E662D87" w14:textId="18E09B76" w:rsidR="21B98829" w:rsidRDefault="21B98829" w:rsidP="0087223F">
      <w:pPr>
        <w:spacing w:before="0" w:after="160" w:line="257" w:lineRule="auto"/>
        <w:rPr>
          <w:rFonts w:eastAsia="Calibri Light" w:cs="Calibri Light"/>
          <w:u w:val="single"/>
        </w:rPr>
      </w:pPr>
      <w:r w:rsidRPr="15083CE2">
        <w:rPr>
          <w:rFonts w:eastAsia="Calibri Light" w:cs="Calibri Light"/>
          <w:u w:val="single"/>
        </w:rPr>
        <w:t>Current requirements</w:t>
      </w:r>
    </w:p>
    <w:p w14:paraId="0C99E8D2" w14:textId="35E81B2E" w:rsidR="000F5E21" w:rsidRPr="00EE121D" w:rsidRDefault="00976471" w:rsidP="0087223F">
      <w:pPr>
        <w:spacing w:before="0" w:after="160" w:line="257" w:lineRule="auto"/>
        <w:rPr>
          <w:rFonts w:eastAsia="Calibri Light" w:cs="Calibri Light"/>
          <w:szCs w:val="22"/>
        </w:rPr>
      </w:pPr>
      <w:r>
        <w:rPr>
          <w:rFonts w:eastAsia="Calibri Light" w:cs="Calibri Light"/>
          <w:szCs w:val="22"/>
        </w:rPr>
        <w:t>T</w:t>
      </w:r>
      <w:r w:rsidR="3EFBC7E6" w:rsidRPr="32D8E1C7">
        <w:rPr>
          <w:rFonts w:eastAsia="Calibri Light" w:cs="Calibri Light"/>
          <w:szCs w:val="22"/>
        </w:rPr>
        <w:t xml:space="preserve">he Corporations Act provides an exemption to the ban on conflicted remuneration for life risk insurance products (other than group life policies in superannuation or policies issued </w:t>
      </w:r>
      <w:r w:rsidR="00EF5DD5">
        <w:rPr>
          <w:rFonts w:eastAsia="Calibri Light" w:cs="Calibri Light"/>
          <w:szCs w:val="22"/>
        </w:rPr>
        <w:t>in respect of</w:t>
      </w:r>
      <w:r w:rsidR="3EFBC7E6" w:rsidRPr="32D8E1C7">
        <w:rPr>
          <w:rFonts w:eastAsia="Calibri Light" w:cs="Calibri Light"/>
          <w:szCs w:val="22"/>
        </w:rPr>
        <w:t xml:space="preserve"> default superannuation members), which allows commissions to be paid for the sale of life risk insurance products.  This allows advisers to receive the following types of commissions for advice provided in connection with the issue of a life risk insurance product: </w:t>
      </w:r>
    </w:p>
    <w:p w14:paraId="43420A61" w14:textId="556C0063" w:rsidR="000F5E21" w:rsidRPr="000E5EE5" w:rsidRDefault="3EFBC7E6" w:rsidP="0087223F">
      <w:pPr>
        <w:pStyle w:val="Bullet"/>
        <w:numPr>
          <w:ilvl w:val="0"/>
          <w:numId w:val="23"/>
        </w:numPr>
        <w:tabs>
          <w:tab w:val="clear" w:pos="720"/>
        </w:tabs>
        <w:spacing w:after="160" w:line="259" w:lineRule="auto"/>
      </w:pPr>
      <w:r w:rsidRPr="000E5EE5">
        <w:t>Level commissions (</w:t>
      </w:r>
      <w:proofErr w:type="gramStart"/>
      <w:r w:rsidRPr="000E5EE5">
        <w:t>i.e.</w:t>
      </w:r>
      <w:proofErr w:type="gramEnd"/>
      <w:r w:rsidRPr="000E5EE5">
        <w:t xml:space="preserve"> where the upfront commissions is equal to the rate of ongoing commission); or</w:t>
      </w:r>
    </w:p>
    <w:p w14:paraId="5435CBEB" w14:textId="0C9BC03E" w:rsidR="000F5E21" w:rsidRPr="000E5EE5" w:rsidRDefault="3EFBC7E6" w:rsidP="0087223F">
      <w:pPr>
        <w:pStyle w:val="Bullet"/>
        <w:numPr>
          <w:ilvl w:val="0"/>
          <w:numId w:val="23"/>
        </w:numPr>
        <w:tabs>
          <w:tab w:val="clear" w:pos="720"/>
        </w:tabs>
        <w:spacing w:after="160" w:line="259" w:lineRule="auto"/>
      </w:pPr>
      <w:r w:rsidRPr="000E5EE5">
        <w:lastRenderedPageBreak/>
        <w:t>Commission cap (</w:t>
      </w:r>
      <w:proofErr w:type="gramStart"/>
      <w:r w:rsidRPr="000E5EE5">
        <w:t>i.e.</w:t>
      </w:r>
      <w:proofErr w:type="gramEnd"/>
      <w:r w:rsidRPr="000E5EE5">
        <w:t xml:space="preserve"> 60% upfront commission and 20% trailing benefits) (see paragraph 963B(1)(b) of the Corporations Act)</w:t>
      </w:r>
    </w:p>
    <w:p w14:paraId="20F31AAE" w14:textId="6168211D" w:rsidR="000F5E21" w:rsidRPr="00EE121D" w:rsidRDefault="3EFBC7E6" w:rsidP="0028742E">
      <w:pPr>
        <w:spacing w:before="0" w:after="160" w:line="257" w:lineRule="auto"/>
        <w:rPr>
          <w:rFonts w:eastAsia="Calibri Light" w:cs="Calibri Light"/>
          <w:szCs w:val="22"/>
          <w:u w:val="single"/>
        </w:rPr>
      </w:pPr>
      <w:r w:rsidRPr="32D8E1C7">
        <w:rPr>
          <w:rFonts w:eastAsia="Calibri Light" w:cs="Calibri Light"/>
          <w:szCs w:val="22"/>
          <w:u w:val="single"/>
        </w:rPr>
        <w:t>Proposal</w:t>
      </w:r>
    </w:p>
    <w:p w14:paraId="751A596F" w14:textId="028C057E" w:rsidR="000F5E21" w:rsidRDefault="3EFBC7E6" w:rsidP="0028742E">
      <w:pPr>
        <w:pStyle w:val="ListParagraph"/>
        <w:numPr>
          <w:ilvl w:val="0"/>
          <w:numId w:val="2"/>
        </w:numPr>
        <w:spacing w:before="0" w:after="160" w:line="259" w:lineRule="auto"/>
        <w:ind w:left="425" w:hanging="426"/>
        <w:contextualSpacing w:val="0"/>
      </w:pPr>
      <w:r w:rsidRPr="32D8E1C7">
        <w:t xml:space="preserve">Retain the existing exemption for </w:t>
      </w:r>
      <w:r w:rsidR="00FB7F5A">
        <w:t>benefits given in relation to</w:t>
      </w:r>
      <w:r w:rsidRPr="32D8E1C7">
        <w:t xml:space="preserve"> life risk insurance </w:t>
      </w:r>
      <w:proofErr w:type="gramStart"/>
      <w:r w:rsidRPr="32D8E1C7">
        <w:t>products, but</w:t>
      </w:r>
      <w:proofErr w:type="gramEnd"/>
      <w:r w:rsidRPr="32D8E1C7">
        <w:t xml:space="preserve"> require financial advisers (relevant providers) who provide personal advice to retail clients in relation to life risk insurance products to obtain their client’s informed consent, in writing, to receive a commission in connection with the issue of a life risk insurance product.    </w:t>
      </w:r>
    </w:p>
    <w:p w14:paraId="208AD56D" w14:textId="5EA7629F" w:rsidR="000F5E21" w:rsidRPr="000E5EE5" w:rsidRDefault="3EFBC7E6" w:rsidP="0028742E">
      <w:pPr>
        <w:pStyle w:val="ListParagraph"/>
        <w:spacing w:before="0" w:after="160" w:line="259" w:lineRule="auto"/>
        <w:ind w:left="425"/>
        <w:contextualSpacing w:val="0"/>
      </w:pPr>
      <w:r w:rsidRPr="000E5EE5">
        <w:t>In order for the consumer to be able to make an informed decision, the adviser must disclose details of:</w:t>
      </w:r>
    </w:p>
    <w:p w14:paraId="78FF979F" w14:textId="60504F27" w:rsidR="000F5E21" w:rsidRPr="000E5EE5" w:rsidRDefault="3EFBC7E6" w:rsidP="0028742E">
      <w:pPr>
        <w:pStyle w:val="Bullet"/>
        <w:numPr>
          <w:ilvl w:val="0"/>
          <w:numId w:val="23"/>
        </w:numPr>
        <w:tabs>
          <w:tab w:val="clear" w:pos="720"/>
        </w:tabs>
        <w:spacing w:after="160" w:line="259" w:lineRule="auto"/>
      </w:pPr>
      <w:r w:rsidRPr="000E5EE5">
        <w:t>the commission the adviser will receive for the duration of the policy (</w:t>
      </w:r>
      <w:proofErr w:type="gramStart"/>
      <w:r w:rsidRPr="000E5EE5">
        <w:t>e.g.</w:t>
      </w:r>
      <w:proofErr w:type="gramEnd"/>
      <w:r w:rsidRPr="000E5EE5">
        <w:t xml:space="preserve"> any upfront and trailing benefits); and</w:t>
      </w:r>
    </w:p>
    <w:p w14:paraId="2BE71FE6" w14:textId="6AEEAA77" w:rsidR="000F5E21" w:rsidRPr="000E5EE5" w:rsidRDefault="3EFBC7E6" w:rsidP="0028742E">
      <w:pPr>
        <w:pStyle w:val="Bullet"/>
        <w:numPr>
          <w:ilvl w:val="0"/>
          <w:numId w:val="23"/>
        </w:numPr>
        <w:tabs>
          <w:tab w:val="clear" w:pos="720"/>
        </w:tabs>
        <w:spacing w:after="160" w:line="259" w:lineRule="auto"/>
      </w:pPr>
      <w:r w:rsidRPr="000E5EE5">
        <w:t>the nature of the ongoing service that the adviser will provide to the client in relation to the life risk insurance product (</w:t>
      </w:r>
      <w:proofErr w:type="gramStart"/>
      <w:r w:rsidRPr="000E5EE5">
        <w:t>e.g.</w:t>
      </w:r>
      <w:proofErr w:type="gramEnd"/>
      <w:r w:rsidRPr="000E5EE5">
        <w:t xml:space="preserve"> assisting the client pursue and settle claims). </w:t>
      </w:r>
    </w:p>
    <w:p w14:paraId="67FC9F61" w14:textId="32E994E5" w:rsidR="000F5E21" w:rsidRPr="00EE121D" w:rsidRDefault="3EFBC7E6">
      <w:pPr>
        <w:spacing w:before="0" w:after="160" w:line="257" w:lineRule="auto"/>
        <w:rPr>
          <w:rFonts w:eastAsia="Calibri Light" w:cs="Calibri Light"/>
          <w:b/>
          <w:bCs/>
          <w:szCs w:val="22"/>
        </w:rPr>
      </w:pPr>
      <w:r w:rsidRPr="32D8E1C7">
        <w:rPr>
          <w:rFonts w:eastAsia="Calibri Light" w:cs="Calibri Light"/>
          <w:b/>
          <w:bCs/>
          <w:szCs w:val="22"/>
        </w:rPr>
        <w:t xml:space="preserve">Reason for requiring consent: A financial adviser is an intermediary who has undertaken to provide advice in the best interests of their client. If </w:t>
      </w:r>
      <w:r w:rsidR="001469A5">
        <w:rPr>
          <w:rFonts w:eastAsia="Calibri Light" w:cs="Calibri Light"/>
          <w:b/>
          <w:bCs/>
          <w:szCs w:val="22"/>
        </w:rPr>
        <w:t xml:space="preserve">an adviser </w:t>
      </w:r>
      <w:r w:rsidR="005E60B6">
        <w:rPr>
          <w:rFonts w:eastAsia="Calibri Light" w:cs="Calibri Light"/>
          <w:b/>
          <w:bCs/>
          <w:szCs w:val="22"/>
        </w:rPr>
        <w:t>will</w:t>
      </w:r>
      <w:r w:rsidR="001469A5">
        <w:rPr>
          <w:rFonts w:eastAsia="Calibri Light" w:cs="Calibri Light"/>
          <w:b/>
          <w:bCs/>
          <w:szCs w:val="22"/>
        </w:rPr>
        <w:t xml:space="preserve"> </w:t>
      </w:r>
      <w:r w:rsidRPr="32D8E1C7">
        <w:rPr>
          <w:rFonts w:eastAsia="Calibri Light" w:cs="Calibri Light"/>
          <w:b/>
          <w:bCs/>
          <w:szCs w:val="22"/>
        </w:rPr>
        <w:t xml:space="preserve">receive a benefit for the sale of a </w:t>
      </w:r>
      <w:r w:rsidR="001469A5">
        <w:rPr>
          <w:rFonts w:eastAsia="Calibri Light" w:cs="Calibri Light"/>
          <w:b/>
          <w:bCs/>
          <w:szCs w:val="22"/>
        </w:rPr>
        <w:t xml:space="preserve">life risk insurance </w:t>
      </w:r>
      <w:r w:rsidRPr="32D8E1C7">
        <w:rPr>
          <w:rFonts w:eastAsia="Calibri Light" w:cs="Calibri Light"/>
          <w:b/>
          <w:bCs/>
          <w:szCs w:val="22"/>
        </w:rPr>
        <w:t xml:space="preserve">product they recommend to their client, they should have an obligation to tell the client about the benefit and the client should have the opportunity to consent (or not) to the provision of that benefit.  </w:t>
      </w:r>
      <w:r w:rsidR="00507C03">
        <w:rPr>
          <w:rFonts w:eastAsia="Calibri Light" w:cs="Calibri Light"/>
          <w:b/>
          <w:bCs/>
          <w:szCs w:val="22"/>
        </w:rPr>
        <w:t xml:space="preserve">Again, </w:t>
      </w:r>
      <w:r w:rsidRPr="32D8E1C7">
        <w:rPr>
          <w:rFonts w:eastAsia="Calibri Light" w:cs="Calibri Light"/>
          <w:b/>
          <w:bCs/>
          <w:szCs w:val="22"/>
        </w:rPr>
        <w:t xml:space="preserve">I acknowledge that disclosure and consent are not always (and perhaps not even often) effective consumer protection tools; nevertheless, a client should be </w:t>
      </w:r>
      <w:r w:rsidR="005E60B6">
        <w:rPr>
          <w:rFonts w:eastAsia="Calibri Light" w:cs="Calibri Light"/>
          <w:b/>
          <w:bCs/>
          <w:szCs w:val="22"/>
        </w:rPr>
        <w:t xml:space="preserve">put </w:t>
      </w:r>
      <w:r w:rsidRPr="32D8E1C7">
        <w:rPr>
          <w:rFonts w:eastAsia="Calibri Light" w:cs="Calibri Light"/>
          <w:b/>
          <w:bCs/>
          <w:szCs w:val="22"/>
        </w:rPr>
        <w:t xml:space="preserve">in a position to understand and consent (should they choose) to their adviser receiving a benefit from the product issuer. </w:t>
      </w:r>
    </w:p>
    <w:p w14:paraId="6CE1F303" w14:textId="5AAC99FA" w:rsidR="000F5E21" w:rsidRPr="00EE121D" w:rsidRDefault="3EFBC7E6" w:rsidP="0087223F">
      <w:pPr>
        <w:pStyle w:val="Heading3"/>
        <w:keepNext w:val="0"/>
        <w:rPr>
          <w:rFonts w:eastAsia="Calibri" w:cs="Calibri"/>
          <w:szCs w:val="28"/>
        </w:rPr>
      </w:pPr>
      <w:r w:rsidRPr="32D8E1C7">
        <w:rPr>
          <w:rFonts w:eastAsia="Calibri" w:cs="Calibri"/>
          <w:szCs w:val="28"/>
        </w:rPr>
        <w:t>Time-sharing schemes</w:t>
      </w:r>
    </w:p>
    <w:p w14:paraId="440A7462" w14:textId="194E4C5C" w:rsidR="000F5E21" w:rsidRPr="00EE121D" w:rsidRDefault="3EFBC7E6" w:rsidP="0087223F">
      <w:pPr>
        <w:spacing w:before="0" w:after="160" w:line="257" w:lineRule="auto"/>
        <w:rPr>
          <w:rFonts w:eastAsia="Calibri Light" w:cs="Calibri Light"/>
          <w:szCs w:val="22"/>
          <w:u w:val="single"/>
        </w:rPr>
      </w:pPr>
      <w:r w:rsidRPr="32D8E1C7">
        <w:rPr>
          <w:rFonts w:eastAsia="Calibri Light" w:cs="Calibri Light"/>
          <w:szCs w:val="22"/>
          <w:u w:val="single"/>
        </w:rPr>
        <w:t>Current requirements</w:t>
      </w:r>
    </w:p>
    <w:p w14:paraId="57E671DD" w14:textId="0CA953A0" w:rsidR="000F5E21" w:rsidRPr="00EE121D" w:rsidRDefault="3EFBC7E6" w:rsidP="0087223F">
      <w:pPr>
        <w:spacing w:before="0" w:after="160" w:line="257" w:lineRule="auto"/>
        <w:rPr>
          <w:rFonts w:eastAsia="Calibri Light" w:cs="Calibri Light"/>
          <w:szCs w:val="22"/>
        </w:rPr>
      </w:pPr>
      <w:r w:rsidRPr="32D8E1C7">
        <w:rPr>
          <w:rFonts w:eastAsia="Calibri Light" w:cs="Calibri Light"/>
          <w:szCs w:val="22"/>
        </w:rPr>
        <w:t xml:space="preserve">The Corporations </w:t>
      </w:r>
      <w:r w:rsidR="004561FA">
        <w:rPr>
          <w:rFonts w:eastAsia="Calibri Light" w:cs="Calibri Light"/>
          <w:szCs w:val="22"/>
        </w:rPr>
        <w:t>Act</w:t>
      </w:r>
      <w:r w:rsidRPr="32D8E1C7">
        <w:rPr>
          <w:rFonts w:eastAsia="Calibri Light" w:cs="Calibri Light"/>
          <w:szCs w:val="22"/>
        </w:rPr>
        <w:t xml:space="preserve"> provides an exemption to the ban on conflicted remuneration if the benefit is given for advice that relate</w:t>
      </w:r>
      <w:r w:rsidR="00FA3107">
        <w:rPr>
          <w:rFonts w:eastAsia="Calibri Light" w:cs="Calibri Light"/>
          <w:szCs w:val="22"/>
        </w:rPr>
        <w:t>s</w:t>
      </w:r>
      <w:r w:rsidRPr="32D8E1C7">
        <w:rPr>
          <w:rFonts w:eastAsia="Calibri Light" w:cs="Calibri Light"/>
          <w:szCs w:val="22"/>
        </w:rPr>
        <w:t xml:space="preserve"> to an interest in a time-sharing scheme (see regulation 7.7A.12C of the Corporations Regulations).</w:t>
      </w:r>
    </w:p>
    <w:p w14:paraId="51AD851D" w14:textId="005CA958" w:rsidR="000F5E21" w:rsidRPr="00EE121D" w:rsidRDefault="3EFBC7E6" w:rsidP="0087223F">
      <w:pPr>
        <w:spacing w:before="0" w:after="160" w:line="257" w:lineRule="auto"/>
        <w:rPr>
          <w:rFonts w:eastAsia="Calibri Light" w:cs="Calibri Light"/>
          <w:szCs w:val="22"/>
          <w:u w:val="single"/>
        </w:rPr>
      </w:pPr>
      <w:r w:rsidRPr="32D8E1C7">
        <w:rPr>
          <w:rFonts w:eastAsia="Calibri Light" w:cs="Calibri Light"/>
          <w:szCs w:val="22"/>
          <w:u w:val="single"/>
        </w:rPr>
        <w:t>Proposal</w:t>
      </w:r>
    </w:p>
    <w:p w14:paraId="117949AA" w14:textId="670A22B0" w:rsidR="000F5E21" w:rsidRPr="00EE121D" w:rsidRDefault="3EFBC7E6" w:rsidP="0087223F">
      <w:pPr>
        <w:pStyle w:val="ListParagraph"/>
        <w:numPr>
          <w:ilvl w:val="0"/>
          <w:numId w:val="2"/>
        </w:numPr>
        <w:spacing w:before="0" w:after="160" w:line="259" w:lineRule="auto"/>
        <w:ind w:left="426" w:hanging="426"/>
      </w:pPr>
      <w:r w:rsidRPr="32D8E1C7">
        <w:t>Retain the existing exemption to the ban on conflicted remuneration for time-sharing schemes under Chapter 7 of the Corporations Act for the time being, but the Government should undertake a separate review of time-sharing schemes and their distribution to determine whether the regulatory framework for time-sharing schemes under Chapter 7 of the Corporations Act is appropriate</w:t>
      </w:r>
      <w:r w:rsidR="00734DC8">
        <w:t xml:space="preserve">, in light of </w:t>
      </w:r>
      <w:r w:rsidR="00DC35D8">
        <w:t>the reported</w:t>
      </w:r>
      <w:r w:rsidR="00734DC8">
        <w:t xml:space="preserve"> evidence of consumer harm </w:t>
      </w:r>
      <w:r w:rsidR="00D02683">
        <w:t>from time-shar</w:t>
      </w:r>
      <w:r w:rsidR="00B0536C">
        <w:t>ing</w:t>
      </w:r>
      <w:r w:rsidR="00D02683">
        <w:t xml:space="preserve"> schemes</w:t>
      </w:r>
      <w:r w:rsidR="00DC35D8">
        <w:t xml:space="preserve"> (see ASIC report 642)</w:t>
      </w:r>
      <w:r w:rsidR="00C74F7B">
        <w:rPr>
          <w:rStyle w:val="FootnoteReference"/>
        </w:rPr>
        <w:footnoteReference w:id="8"/>
      </w:r>
      <w:r w:rsidRPr="32D8E1C7">
        <w:t>. As part of this review, consideration should be given to whether to retain the exemption to the ban on conflicted remuneration for time-sharing schemes.</w:t>
      </w:r>
    </w:p>
    <w:p w14:paraId="0FC24D88" w14:textId="28555756" w:rsidR="000F5E21" w:rsidRPr="00EE121D" w:rsidRDefault="3EFBC7E6" w:rsidP="0087223F">
      <w:pPr>
        <w:spacing w:before="0" w:after="160" w:line="257" w:lineRule="auto"/>
        <w:rPr>
          <w:rFonts w:eastAsia="Calibri Light" w:cs="Calibri Light"/>
          <w:b/>
          <w:bCs/>
          <w:szCs w:val="22"/>
        </w:rPr>
      </w:pPr>
      <w:r w:rsidRPr="32D8E1C7">
        <w:rPr>
          <w:rFonts w:eastAsia="Calibri Light" w:cs="Calibri Light"/>
          <w:b/>
          <w:bCs/>
          <w:szCs w:val="22"/>
        </w:rPr>
        <w:t>Intended outcome: This proposal reflects my view that any recommendations made about the benefits provided to distributors of interests in time-shar</w:t>
      </w:r>
      <w:r w:rsidR="00EE391E">
        <w:rPr>
          <w:rFonts w:eastAsia="Calibri Light" w:cs="Calibri Light"/>
          <w:b/>
          <w:bCs/>
          <w:szCs w:val="22"/>
        </w:rPr>
        <w:t>ing</w:t>
      </w:r>
      <w:r w:rsidRPr="32D8E1C7">
        <w:rPr>
          <w:rFonts w:eastAsia="Calibri Light" w:cs="Calibri Light"/>
          <w:b/>
          <w:bCs/>
          <w:szCs w:val="22"/>
        </w:rPr>
        <w:t xml:space="preserve"> schemes should be made in the context of a broader review of the</w:t>
      </w:r>
      <w:r w:rsidR="00094B62">
        <w:rPr>
          <w:rFonts w:eastAsia="Calibri Light" w:cs="Calibri Light"/>
          <w:b/>
          <w:bCs/>
          <w:szCs w:val="22"/>
        </w:rPr>
        <w:t>se</w:t>
      </w:r>
      <w:r w:rsidRPr="32D8E1C7">
        <w:rPr>
          <w:rFonts w:eastAsia="Calibri Light" w:cs="Calibri Light"/>
          <w:b/>
          <w:bCs/>
          <w:szCs w:val="22"/>
        </w:rPr>
        <w:t xml:space="preserve"> schemes and the way they are promoted. This is outside my Terms of Reference.  </w:t>
      </w:r>
    </w:p>
    <w:p w14:paraId="05E45215" w14:textId="11D09AA4" w:rsidR="000F5E21" w:rsidRPr="00EE121D" w:rsidRDefault="3EFBC7E6" w:rsidP="00B4553D">
      <w:pPr>
        <w:pStyle w:val="Heading3"/>
        <w:keepLines/>
        <w:rPr>
          <w:rFonts w:eastAsia="Calibri" w:cs="Calibri"/>
          <w:szCs w:val="28"/>
        </w:rPr>
      </w:pPr>
      <w:r w:rsidRPr="32D8E1C7">
        <w:rPr>
          <w:rFonts w:eastAsia="Calibri" w:cs="Calibri"/>
          <w:szCs w:val="28"/>
        </w:rPr>
        <w:lastRenderedPageBreak/>
        <w:t>Benefit given by the client</w:t>
      </w:r>
    </w:p>
    <w:p w14:paraId="54F9A7D9" w14:textId="2CC2E219" w:rsidR="000F5E21" w:rsidRPr="00EE121D" w:rsidRDefault="3EFBC7E6" w:rsidP="00B4553D">
      <w:pPr>
        <w:keepNext/>
        <w:keepLines/>
        <w:spacing w:before="0" w:after="160" w:line="259" w:lineRule="auto"/>
      </w:pPr>
      <w:r w:rsidRPr="32D8E1C7">
        <w:rPr>
          <w:rFonts w:eastAsia="Calibri Light" w:cs="Calibri Light"/>
          <w:szCs w:val="22"/>
          <w:u w:val="single"/>
        </w:rPr>
        <w:t>Current requirements</w:t>
      </w:r>
    </w:p>
    <w:p w14:paraId="03C66D57" w14:textId="1D8BAD73" w:rsidR="000F5E21" w:rsidRDefault="3EFBC7E6" w:rsidP="00B4553D">
      <w:pPr>
        <w:keepNext/>
        <w:keepLines/>
        <w:spacing w:before="0" w:after="160" w:line="257" w:lineRule="auto"/>
        <w:rPr>
          <w:rFonts w:eastAsia="Calibri Light" w:cs="Calibri Light"/>
          <w:szCs w:val="22"/>
        </w:rPr>
      </w:pPr>
      <w:r w:rsidRPr="32D8E1C7">
        <w:rPr>
          <w:rFonts w:eastAsia="Calibri Light" w:cs="Calibri Light"/>
          <w:szCs w:val="22"/>
        </w:rPr>
        <w:t>The Corporations Act provides an exemption to the ban on conflicted remuneration where the benefit is given to an AFS</w:t>
      </w:r>
      <w:r w:rsidR="00E53EA5">
        <w:rPr>
          <w:rFonts w:eastAsia="Calibri Light" w:cs="Calibri Light"/>
          <w:szCs w:val="22"/>
        </w:rPr>
        <w:t xml:space="preserve"> licensee</w:t>
      </w:r>
      <w:r w:rsidRPr="32D8E1C7">
        <w:rPr>
          <w:rFonts w:eastAsia="Calibri Light" w:cs="Calibri Light"/>
          <w:szCs w:val="22"/>
        </w:rPr>
        <w:t xml:space="preserve"> or its representative by a retail client in relation to financial product advice given by the </w:t>
      </w:r>
      <w:r w:rsidR="00E53EA5">
        <w:rPr>
          <w:rFonts w:eastAsia="Calibri Light" w:cs="Calibri Light"/>
          <w:szCs w:val="22"/>
        </w:rPr>
        <w:t>licensee</w:t>
      </w:r>
      <w:r w:rsidRPr="32D8E1C7">
        <w:rPr>
          <w:rFonts w:eastAsia="Calibri Light" w:cs="Calibri Light"/>
          <w:szCs w:val="22"/>
        </w:rPr>
        <w:t xml:space="preserve"> or </w:t>
      </w:r>
      <w:r w:rsidR="00E53EA5">
        <w:rPr>
          <w:rFonts w:eastAsia="Calibri Light" w:cs="Calibri Light"/>
          <w:szCs w:val="22"/>
        </w:rPr>
        <w:t xml:space="preserve">a </w:t>
      </w:r>
      <w:r w:rsidRPr="32D8E1C7">
        <w:rPr>
          <w:rFonts w:eastAsia="Calibri Light" w:cs="Calibri Light"/>
          <w:szCs w:val="22"/>
        </w:rPr>
        <w:t xml:space="preserve">representative to the client (see </w:t>
      </w:r>
      <w:r w:rsidR="00FC66B2">
        <w:rPr>
          <w:rFonts w:eastAsia="Calibri Light" w:cs="Calibri Light"/>
          <w:szCs w:val="22"/>
        </w:rPr>
        <w:t>sub-</w:t>
      </w:r>
      <w:r w:rsidRPr="32D8E1C7">
        <w:rPr>
          <w:rFonts w:eastAsia="Calibri Light" w:cs="Calibri Light"/>
          <w:szCs w:val="22"/>
        </w:rPr>
        <w:t>paragraph 963B(1)(d)(ii) of the Corporations Act).</w:t>
      </w:r>
      <w:r w:rsidR="002C2885">
        <w:rPr>
          <w:rFonts w:eastAsia="Calibri Light" w:cs="Calibri Light"/>
          <w:szCs w:val="22"/>
        </w:rPr>
        <w:t xml:space="preserve"> This exemption is expressed more narrowly than its description in the Explanatory Memorandum.</w:t>
      </w:r>
    </w:p>
    <w:p w14:paraId="49A9A155" w14:textId="599CA881" w:rsidR="009361B8" w:rsidRPr="009361B8" w:rsidRDefault="009361B8">
      <w:pPr>
        <w:spacing w:before="0" w:after="160" w:line="257" w:lineRule="auto"/>
        <w:rPr>
          <w:rFonts w:eastAsia="Calibri Light" w:cs="Calibri Light"/>
          <w:szCs w:val="22"/>
        </w:rPr>
      </w:pPr>
      <w:r w:rsidRPr="009361B8">
        <w:rPr>
          <w:rFonts w:eastAsia="Calibri Light" w:cs="Calibri Light"/>
          <w:szCs w:val="22"/>
        </w:rPr>
        <w:t xml:space="preserve">The Revised Explanatory Memorandum to the </w:t>
      </w:r>
      <w:r w:rsidRPr="009361B8">
        <w:rPr>
          <w:rFonts w:eastAsia="Calibri Light" w:cs="Calibri Light"/>
          <w:i/>
          <w:iCs/>
          <w:szCs w:val="22"/>
        </w:rPr>
        <w:t xml:space="preserve">Corporations Amendment (Further Future of Financial Advice Measures) Bill 2012 </w:t>
      </w:r>
      <w:r w:rsidRPr="009361B8">
        <w:rPr>
          <w:rFonts w:eastAsia="Calibri Light" w:cs="Calibri Light"/>
          <w:szCs w:val="22"/>
        </w:rPr>
        <w:t>states that this provision: “ensures that ‘fee for service’ arrangements — where the client is the person paying the adviser — are not conflicted remuneration (even where the client pays a volume-based fee). The provision is intended to exclude from the definition of conflicted remuneration any fee for service paid by the retail client, whether the benefit is given directly by the retail client or is given by another party at the direction, or with the clear consent, of the retail client.”</w:t>
      </w:r>
      <w:r w:rsidR="00B23A26">
        <w:rPr>
          <w:rStyle w:val="FootnoteReference"/>
          <w:rFonts w:eastAsia="Calibri Light" w:cs="Calibri Light"/>
          <w:szCs w:val="22"/>
        </w:rPr>
        <w:footnoteReference w:id="9"/>
      </w:r>
    </w:p>
    <w:p w14:paraId="36C7E7BC" w14:textId="4C8A17CA" w:rsidR="000F5E21" w:rsidRPr="00EE121D" w:rsidRDefault="3EFBC7E6">
      <w:pPr>
        <w:spacing w:before="0" w:after="160" w:line="257" w:lineRule="auto"/>
        <w:rPr>
          <w:rFonts w:eastAsia="Calibri Light" w:cs="Calibri Light"/>
          <w:szCs w:val="22"/>
        </w:rPr>
      </w:pPr>
      <w:r w:rsidRPr="32D8E1C7">
        <w:rPr>
          <w:rFonts w:eastAsia="Calibri Light" w:cs="Calibri Light"/>
          <w:szCs w:val="22"/>
        </w:rPr>
        <w:t xml:space="preserve">ASIC Regulatory Guide 246 </w:t>
      </w:r>
      <w:r w:rsidRPr="32D8E1C7">
        <w:rPr>
          <w:rFonts w:eastAsia="Calibri Light" w:cs="Calibri Light"/>
          <w:i/>
          <w:iCs/>
          <w:szCs w:val="22"/>
        </w:rPr>
        <w:t>Conflicted and other banned remuneration</w:t>
      </w:r>
      <w:r w:rsidRPr="32D8E1C7">
        <w:rPr>
          <w:rFonts w:eastAsia="Calibri Light" w:cs="Calibri Light"/>
          <w:szCs w:val="22"/>
        </w:rPr>
        <w:t xml:space="preserve"> states that a benefit is given to an AFS licensee or its representative by a client if the benefit is given directly by the client or by another party on behalf of the client if the client has authorised the benefit, and if the client has used their own funds to give the benefit. A benefit is considered to have been authorised by </w:t>
      </w:r>
      <w:r w:rsidR="00C61804">
        <w:rPr>
          <w:rFonts w:eastAsia="Calibri Light" w:cs="Calibri Light"/>
          <w:szCs w:val="22"/>
        </w:rPr>
        <w:t>a</w:t>
      </w:r>
      <w:r w:rsidRPr="32D8E1C7">
        <w:rPr>
          <w:rFonts w:eastAsia="Calibri Light" w:cs="Calibri Light"/>
          <w:szCs w:val="22"/>
        </w:rPr>
        <w:t xml:space="preserve"> client </w:t>
      </w:r>
      <w:r w:rsidR="00C61804">
        <w:rPr>
          <w:rFonts w:eastAsia="Calibri Light" w:cs="Calibri Light"/>
          <w:szCs w:val="22"/>
        </w:rPr>
        <w:t>“</w:t>
      </w:r>
      <w:r w:rsidRPr="32D8E1C7">
        <w:rPr>
          <w:rFonts w:eastAsia="Calibri Light" w:cs="Calibri Light"/>
          <w:szCs w:val="22"/>
        </w:rPr>
        <w:t>if the benefit is given at the client’s direction or with the</w:t>
      </w:r>
      <w:r w:rsidR="00C61804">
        <w:rPr>
          <w:rFonts w:eastAsia="Calibri Light" w:cs="Calibri Light"/>
          <w:szCs w:val="22"/>
        </w:rPr>
        <w:t>ir</w:t>
      </w:r>
      <w:r w:rsidRPr="32D8E1C7">
        <w:rPr>
          <w:rFonts w:eastAsia="Calibri Light" w:cs="Calibri Light"/>
          <w:szCs w:val="22"/>
        </w:rPr>
        <w:t xml:space="preserve"> clear consent</w:t>
      </w:r>
      <w:r w:rsidR="00C61804">
        <w:rPr>
          <w:rFonts w:eastAsia="Calibri Light" w:cs="Calibri Light"/>
          <w:szCs w:val="22"/>
        </w:rPr>
        <w:t>”</w:t>
      </w:r>
      <w:r w:rsidRPr="32D8E1C7">
        <w:rPr>
          <w:rFonts w:eastAsia="Calibri Light" w:cs="Calibri Light"/>
          <w:szCs w:val="22"/>
        </w:rPr>
        <w:t>.</w:t>
      </w:r>
      <w:r w:rsidR="00C62CB6">
        <w:rPr>
          <w:rStyle w:val="FootnoteReference"/>
          <w:rFonts w:eastAsia="Calibri Light" w:cs="Calibri Light"/>
          <w:szCs w:val="22"/>
        </w:rPr>
        <w:footnoteReference w:id="10"/>
      </w:r>
    </w:p>
    <w:p w14:paraId="388320F9" w14:textId="785463A2" w:rsidR="000F5E21" w:rsidRPr="00EE121D" w:rsidRDefault="3EFBC7E6" w:rsidP="0087223F">
      <w:pPr>
        <w:keepNext/>
        <w:keepLines/>
        <w:spacing w:before="0" w:after="160" w:line="257" w:lineRule="auto"/>
        <w:rPr>
          <w:rFonts w:eastAsia="Calibri Light" w:cs="Calibri Light"/>
          <w:szCs w:val="22"/>
          <w:u w:val="single"/>
        </w:rPr>
      </w:pPr>
      <w:r w:rsidRPr="32D8E1C7">
        <w:rPr>
          <w:rFonts w:eastAsia="Calibri Light" w:cs="Calibri Light"/>
          <w:szCs w:val="22"/>
          <w:u w:val="single"/>
        </w:rPr>
        <w:t>Proposal</w:t>
      </w:r>
    </w:p>
    <w:p w14:paraId="2D418A98" w14:textId="26314C79" w:rsidR="000F5E21" w:rsidRPr="000E5EE5" w:rsidRDefault="00990183" w:rsidP="0087223F">
      <w:pPr>
        <w:pStyle w:val="ListParagraph"/>
        <w:keepNext/>
        <w:keepLines/>
        <w:numPr>
          <w:ilvl w:val="0"/>
          <w:numId w:val="2"/>
        </w:numPr>
        <w:spacing w:before="0" w:after="160" w:line="259" w:lineRule="auto"/>
        <w:ind w:left="426" w:hanging="426"/>
      </w:pPr>
      <w:r>
        <w:t xml:space="preserve">Modify the </w:t>
      </w:r>
      <w:r w:rsidR="3EFBC7E6" w:rsidRPr="000E5EE5">
        <w:t xml:space="preserve">existing exemption for benefits </w:t>
      </w:r>
      <w:r w:rsidR="00073EA6">
        <w:t>given</w:t>
      </w:r>
      <w:r w:rsidR="3EFBC7E6" w:rsidRPr="000E5EE5">
        <w:t xml:space="preserve"> by the client for financial product advice </w:t>
      </w:r>
      <w:r w:rsidR="00B52002">
        <w:t>by</w:t>
      </w:r>
      <w:r w:rsidR="3EFBC7E6" w:rsidRPr="000E5EE5">
        <w:t xml:space="preserve"> expressly stat</w:t>
      </w:r>
      <w:r w:rsidR="00B52002">
        <w:t>ing</w:t>
      </w:r>
      <w:r w:rsidR="3EFBC7E6" w:rsidRPr="000E5EE5">
        <w:t xml:space="preserve"> that </w:t>
      </w:r>
      <w:r w:rsidR="00286573">
        <w:t>the exemption</w:t>
      </w:r>
      <w:r w:rsidR="3EFBC7E6" w:rsidRPr="000E5EE5">
        <w:t xml:space="preserve"> also applies where the client directs a product issuer to pay a fee for financial product advice from the client's financial product to the </w:t>
      </w:r>
      <w:r w:rsidR="00344B6E">
        <w:t xml:space="preserve">AFS </w:t>
      </w:r>
      <w:r w:rsidR="3EFBC7E6" w:rsidRPr="000E5EE5">
        <w:t>licensee or</w:t>
      </w:r>
      <w:r w:rsidR="00286573">
        <w:t xml:space="preserve"> its</w:t>
      </w:r>
      <w:r w:rsidR="3EFBC7E6" w:rsidRPr="000E5EE5">
        <w:t xml:space="preserve"> representative.  </w:t>
      </w:r>
    </w:p>
    <w:p w14:paraId="15DFBABA" w14:textId="385EE927" w:rsidR="000F5E21" w:rsidRPr="00EE121D" w:rsidRDefault="3EFBC7E6">
      <w:pPr>
        <w:spacing w:before="0" w:after="160" w:line="257" w:lineRule="auto"/>
        <w:rPr>
          <w:rFonts w:eastAsia="Calibri Light" w:cs="Calibri Light"/>
          <w:b/>
          <w:bCs/>
          <w:i/>
          <w:iCs/>
          <w:szCs w:val="22"/>
        </w:rPr>
      </w:pPr>
      <w:r w:rsidRPr="32D8E1C7">
        <w:rPr>
          <w:rFonts w:eastAsia="Calibri Light" w:cs="Calibri Light"/>
          <w:b/>
          <w:bCs/>
          <w:i/>
          <w:iCs/>
          <w:szCs w:val="22"/>
        </w:rPr>
        <w:t xml:space="preserve">Intended outcome: </w:t>
      </w:r>
      <w:r w:rsidRPr="32D8E1C7">
        <w:rPr>
          <w:rFonts w:eastAsia="Calibri Light" w:cs="Calibri Light"/>
          <w:b/>
          <w:bCs/>
          <w:szCs w:val="22"/>
        </w:rPr>
        <w:t>Th</w:t>
      </w:r>
      <w:r w:rsidR="00694FE8">
        <w:rPr>
          <w:rFonts w:eastAsia="Calibri Light" w:cs="Calibri Light"/>
          <w:b/>
          <w:bCs/>
          <w:szCs w:val="22"/>
        </w:rPr>
        <w:t>is</w:t>
      </w:r>
      <w:r w:rsidRPr="32D8E1C7">
        <w:rPr>
          <w:rFonts w:eastAsia="Calibri Light" w:cs="Calibri Light"/>
          <w:b/>
          <w:bCs/>
          <w:szCs w:val="22"/>
        </w:rPr>
        <w:t xml:space="preserve"> proposal is intended to </w:t>
      </w:r>
      <w:r w:rsidR="00685B98">
        <w:rPr>
          <w:rFonts w:eastAsia="Calibri Light" w:cs="Calibri Light"/>
          <w:b/>
          <w:bCs/>
          <w:szCs w:val="22"/>
        </w:rPr>
        <w:t>ensure that the Corporations Act is consistent with the intention of the legislature, which is reflected in the Explanatory Memorandum</w:t>
      </w:r>
      <w:r w:rsidR="00DF04BC">
        <w:rPr>
          <w:rFonts w:eastAsia="Calibri Light" w:cs="Calibri Light"/>
          <w:b/>
          <w:bCs/>
          <w:szCs w:val="22"/>
        </w:rPr>
        <w:t>,</w:t>
      </w:r>
      <w:r w:rsidR="00685B98">
        <w:rPr>
          <w:rFonts w:eastAsia="Calibri Light" w:cs="Calibri Light"/>
          <w:b/>
          <w:bCs/>
          <w:szCs w:val="22"/>
        </w:rPr>
        <w:t xml:space="preserve"> </w:t>
      </w:r>
      <w:r w:rsidR="00196EAE">
        <w:rPr>
          <w:rFonts w:eastAsia="Calibri Light" w:cs="Calibri Light"/>
          <w:b/>
          <w:bCs/>
          <w:szCs w:val="22"/>
        </w:rPr>
        <w:t>and ASIC guidance</w:t>
      </w:r>
      <w:r w:rsidR="00DF04BC">
        <w:rPr>
          <w:rFonts w:eastAsia="Calibri Light" w:cs="Calibri Light"/>
          <w:b/>
          <w:bCs/>
          <w:szCs w:val="22"/>
        </w:rPr>
        <w:t xml:space="preserve"> and</w:t>
      </w:r>
      <w:r w:rsidR="00196EAE">
        <w:rPr>
          <w:rFonts w:eastAsia="Calibri Light" w:cs="Calibri Light"/>
          <w:b/>
          <w:bCs/>
          <w:szCs w:val="22"/>
        </w:rPr>
        <w:t xml:space="preserve"> </w:t>
      </w:r>
      <w:r w:rsidRPr="32D8E1C7">
        <w:rPr>
          <w:rFonts w:eastAsia="Calibri Light" w:cs="Calibri Light"/>
          <w:b/>
          <w:bCs/>
          <w:szCs w:val="22"/>
        </w:rPr>
        <w:t>remove any ambiguity or doubt about whether a benefit paid by a product issuer from a client's financial product is a 'benefit given by the client'</w:t>
      </w:r>
      <w:r w:rsidRPr="00861924">
        <w:rPr>
          <w:rFonts w:eastAsia="Calibri Light" w:cs="Calibri Light"/>
          <w:b/>
          <w:bCs/>
          <w:szCs w:val="22"/>
        </w:rPr>
        <w:t xml:space="preserve">. </w:t>
      </w:r>
      <w:r w:rsidR="00861924" w:rsidRPr="00861924">
        <w:rPr>
          <w:rFonts w:eastAsia="Calibri Light" w:cs="Calibri Light"/>
          <w:b/>
          <w:bCs/>
          <w:szCs w:val="22"/>
        </w:rPr>
        <w:t>It is also intended to ensure that the exemption applies only to fees paid for the financial product advice provided by the relevant AFS licensee or representative.</w:t>
      </w:r>
    </w:p>
    <w:p w14:paraId="7D721A76" w14:textId="54AED8E8" w:rsidR="000F5E21" w:rsidRPr="00EE121D" w:rsidRDefault="3EFBC7E6" w:rsidP="009508AA">
      <w:pPr>
        <w:pStyle w:val="Heading3"/>
        <w:keepLines/>
        <w:rPr>
          <w:rFonts w:eastAsia="Calibri" w:cs="Calibri"/>
          <w:szCs w:val="28"/>
        </w:rPr>
      </w:pPr>
      <w:r w:rsidRPr="32D8E1C7">
        <w:rPr>
          <w:rFonts w:eastAsia="Calibri" w:cs="Calibri"/>
          <w:szCs w:val="28"/>
        </w:rPr>
        <w:lastRenderedPageBreak/>
        <w:t>Advice has not been provided in the previous 12 months</w:t>
      </w:r>
    </w:p>
    <w:p w14:paraId="37C3821C" w14:textId="34583A2A" w:rsidR="000F5E21" w:rsidRPr="00EE121D" w:rsidRDefault="3EFBC7E6" w:rsidP="009508AA">
      <w:pPr>
        <w:keepNext/>
        <w:keepLines/>
        <w:spacing w:before="0" w:after="160" w:line="257" w:lineRule="auto"/>
        <w:rPr>
          <w:rFonts w:eastAsia="Calibri Light" w:cs="Calibri Light"/>
          <w:szCs w:val="22"/>
          <w:u w:val="single"/>
        </w:rPr>
      </w:pPr>
      <w:r w:rsidRPr="32D8E1C7">
        <w:rPr>
          <w:rFonts w:eastAsia="Calibri Light" w:cs="Calibri Light"/>
          <w:szCs w:val="22"/>
          <w:u w:val="single"/>
        </w:rPr>
        <w:t>Current requirements</w:t>
      </w:r>
    </w:p>
    <w:p w14:paraId="58AE70A3" w14:textId="56A45E73" w:rsidR="000F5E21" w:rsidRPr="00EE121D" w:rsidRDefault="0018338E" w:rsidP="009508AA">
      <w:pPr>
        <w:keepNext/>
        <w:keepLines/>
        <w:spacing w:before="0" w:after="160" w:line="257" w:lineRule="auto"/>
        <w:rPr>
          <w:rFonts w:eastAsia="Calibri Light" w:cs="Calibri Light"/>
          <w:szCs w:val="22"/>
        </w:rPr>
      </w:pPr>
      <w:r>
        <w:rPr>
          <w:rFonts w:eastAsia="Calibri Light" w:cs="Calibri Light"/>
          <w:szCs w:val="22"/>
        </w:rPr>
        <w:t>T</w:t>
      </w:r>
      <w:r w:rsidR="3EFBC7E6" w:rsidRPr="32D8E1C7">
        <w:rPr>
          <w:rFonts w:eastAsia="Calibri Light" w:cs="Calibri Light"/>
          <w:szCs w:val="22"/>
        </w:rPr>
        <w:t>he Corporations Act provides an exemption to the ban on conflicted remuneration where:</w:t>
      </w:r>
    </w:p>
    <w:p w14:paraId="018B651D" w14:textId="7D69D2F2" w:rsidR="000F5E21" w:rsidRPr="00374E8E" w:rsidRDefault="3EFBC7E6">
      <w:pPr>
        <w:pStyle w:val="Bullet"/>
        <w:keepNext/>
        <w:keepLines/>
        <w:numPr>
          <w:ilvl w:val="0"/>
          <w:numId w:val="23"/>
        </w:numPr>
        <w:tabs>
          <w:tab w:val="clear" w:pos="720"/>
        </w:tabs>
        <w:spacing w:after="160" w:line="259" w:lineRule="auto"/>
      </w:pPr>
      <w:r w:rsidRPr="00374E8E">
        <w:t>a benefit is given to an AFS</w:t>
      </w:r>
      <w:r w:rsidR="00B26E69">
        <w:t xml:space="preserve"> licensee</w:t>
      </w:r>
      <w:r w:rsidRPr="00374E8E">
        <w:t xml:space="preserve"> or representative in relation to the issue or sale of the financial product to a person; and</w:t>
      </w:r>
    </w:p>
    <w:p w14:paraId="764084E8" w14:textId="5FCE83ED" w:rsidR="000F5E21" w:rsidRPr="00374E8E" w:rsidRDefault="3EFBC7E6">
      <w:pPr>
        <w:pStyle w:val="Bullet"/>
        <w:keepNext/>
        <w:keepLines/>
        <w:numPr>
          <w:ilvl w:val="0"/>
          <w:numId w:val="23"/>
        </w:numPr>
        <w:tabs>
          <w:tab w:val="clear" w:pos="720"/>
        </w:tabs>
        <w:spacing w:after="160" w:line="259" w:lineRule="auto"/>
      </w:pPr>
      <w:r w:rsidRPr="00374E8E">
        <w:t>financial product advice in relation to the product, or products of that class, has not been given to the person as a retail client by the AFS</w:t>
      </w:r>
      <w:r w:rsidR="00B26E69">
        <w:t xml:space="preserve"> licensee</w:t>
      </w:r>
      <w:r w:rsidRPr="00374E8E">
        <w:t xml:space="preserve"> or representative in the 12 months immediately before the benefit is given (see paragraph 963B(1)(c) of the Corporations Act).</w:t>
      </w:r>
    </w:p>
    <w:p w14:paraId="3003E4FC" w14:textId="49AF379C" w:rsidR="000F5E21" w:rsidRPr="00EE121D" w:rsidRDefault="3EFBC7E6">
      <w:pPr>
        <w:spacing w:before="0" w:after="160" w:line="257" w:lineRule="auto"/>
        <w:rPr>
          <w:rFonts w:eastAsia="Calibri Light" w:cs="Calibri Light"/>
          <w:szCs w:val="22"/>
          <w:u w:val="single"/>
        </w:rPr>
      </w:pPr>
      <w:r w:rsidRPr="32D8E1C7">
        <w:rPr>
          <w:rFonts w:eastAsia="Calibri Light" w:cs="Calibri Light"/>
          <w:szCs w:val="22"/>
          <w:u w:val="single"/>
        </w:rPr>
        <w:t>Proposal</w:t>
      </w:r>
    </w:p>
    <w:p w14:paraId="395770B9" w14:textId="3E27AB4F" w:rsidR="000F5E21" w:rsidRPr="000E5EE5" w:rsidRDefault="3EFBC7E6" w:rsidP="009508AA">
      <w:pPr>
        <w:pStyle w:val="ListParagraph"/>
        <w:numPr>
          <w:ilvl w:val="0"/>
          <w:numId w:val="2"/>
        </w:numPr>
        <w:spacing w:before="0" w:after="160" w:line="259" w:lineRule="auto"/>
        <w:ind w:left="426" w:hanging="426"/>
      </w:pPr>
      <w:r w:rsidRPr="000E5EE5">
        <w:t>Remove the exemption to the ban on conflicted remuneration for benefits given for the issue or sale of a financial product (other than a life risk insurance product) where advice about that product (or class of products) has not been given to the retail client by the AFS</w:t>
      </w:r>
      <w:r w:rsidR="005B6F81">
        <w:t xml:space="preserve"> licensee</w:t>
      </w:r>
      <w:r w:rsidRPr="000E5EE5">
        <w:t xml:space="preserve"> or a representative in the 12 months before the benefit is given.</w:t>
      </w:r>
    </w:p>
    <w:p w14:paraId="4657703C" w14:textId="3BED3E77" w:rsidR="000F5E21" w:rsidRPr="00EE121D" w:rsidRDefault="3EFBC7E6">
      <w:pPr>
        <w:spacing w:before="0" w:after="160" w:line="257" w:lineRule="auto"/>
        <w:ind w:left="426"/>
        <w:rPr>
          <w:rFonts w:eastAsia="Calibri Light" w:cs="Calibri Light"/>
          <w:szCs w:val="22"/>
        </w:rPr>
      </w:pPr>
      <w:r w:rsidRPr="32D8E1C7">
        <w:rPr>
          <w:rFonts w:eastAsia="Calibri Light" w:cs="Calibri Light"/>
          <w:szCs w:val="22"/>
        </w:rPr>
        <w:t>This means that any benefit (unless otherwise exempt) given to an AFS</w:t>
      </w:r>
      <w:r w:rsidR="00B26E69">
        <w:rPr>
          <w:rFonts w:eastAsia="Calibri Light" w:cs="Calibri Light"/>
          <w:szCs w:val="22"/>
        </w:rPr>
        <w:t xml:space="preserve"> licensee</w:t>
      </w:r>
      <w:r w:rsidRPr="32D8E1C7">
        <w:rPr>
          <w:rFonts w:eastAsia="Calibri Light" w:cs="Calibri Light"/>
          <w:szCs w:val="22"/>
        </w:rPr>
        <w:t xml:space="preserve"> or its representatives, which could reasonably be expected to influence the </w:t>
      </w:r>
      <w:r w:rsidR="005B6F81">
        <w:rPr>
          <w:rFonts w:eastAsia="Calibri Light" w:cs="Calibri Light"/>
          <w:szCs w:val="22"/>
        </w:rPr>
        <w:t>financial product</w:t>
      </w:r>
      <w:r w:rsidRPr="32D8E1C7">
        <w:rPr>
          <w:rFonts w:eastAsia="Calibri Light" w:cs="Calibri Light"/>
          <w:szCs w:val="22"/>
        </w:rPr>
        <w:t xml:space="preserve"> advice given to the client would be conflicted remuneration, regardless of the </w:t>
      </w:r>
      <w:r w:rsidR="00BA075F">
        <w:rPr>
          <w:rFonts w:eastAsia="Calibri Light" w:cs="Calibri Light"/>
          <w:szCs w:val="22"/>
        </w:rPr>
        <w:t xml:space="preserve">length of </w:t>
      </w:r>
      <w:r w:rsidRPr="32D8E1C7">
        <w:rPr>
          <w:rFonts w:eastAsia="Calibri Light" w:cs="Calibri Light"/>
          <w:szCs w:val="22"/>
        </w:rPr>
        <w:t xml:space="preserve">time </w:t>
      </w:r>
      <w:r w:rsidR="00BA075F">
        <w:rPr>
          <w:rFonts w:eastAsia="Calibri Light" w:cs="Calibri Light"/>
          <w:szCs w:val="22"/>
        </w:rPr>
        <w:t xml:space="preserve">that passes </w:t>
      </w:r>
      <w:r w:rsidRPr="32D8E1C7">
        <w:rPr>
          <w:rFonts w:eastAsia="Calibri Light" w:cs="Calibri Light"/>
          <w:szCs w:val="22"/>
        </w:rPr>
        <w:t xml:space="preserve">between when the advice is </w:t>
      </w:r>
      <w:proofErr w:type="gramStart"/>
      <w:r w:rsidR="00BA075F">
        <w:rPr>
          <w:rFonts w:eastAsia="Calibri Light" w:cs="Calibri Light"/>
          <w:szCs w:val="22"/>
        </w:rPr>
        <w:t>provided</w:t>
      </w:r>
      <w:proofErr w:type="gramEnd"/>
      <w:r w:rsidRPr="32D8E1C7">
        <w:rPr>
          <w:rFonts w:eastAsia="Calibri Light" w:cs="Calibri Light"/>
          <w:szCs w:val="22"/>
        </w:rPr>
        <w:t xml:space="preserve"> and the product is issued.</w:t>
      </w:r>
    </w:p>
    <w:p w14:paraId="24CF3A12" w14:textId="7370C3BD" w:rsidR="000F5E21" w:rsidRPr="00EE121D" w:rsidRDefault="3EFBC7E6">
      <w:pPr>
        <w:tabs>
          <w:tab w:val="left" w:pos="993"/>
        </w:tabs>
        <w:spacing w:before="0" w:after="160" w:line="257" w:lineRule="auto"/>
        <w:rPr>
          <w:rFonts w:eastAsia="Calibri Light" w:cs="Calibri Light"/>
          <w:b/>
          <w:bCs/>
          <w:szCs w:val="22"/>
        </w:rPr>
      </w:pPr>
      <w:r w:rsidRPr="32D8E1C7">
        <w:rPr>
          <w:rFonts w:eastAsia="Calibri Light" w:cs="Calibri Light"/>
          <w:b/>
          <w:bCs/>
          <w:szCs w:val="22"/>
        </w:rPr>
        <w:t xml:space="preserve">Intended outcome: This proposal seeks to simplify the law and to remove inconsistencies in the application of the conflicted remuneration </w:t>
      </w:r>
      <w:proofErr w:type="gramStart"/>
      <w:r w:rsidRPr="32D8E1C7">
        <w:rPr>
          <w:rFonts w:eastAsia="Calibri Light" w:cs="Calibri Light"/>
          <w:b/>
          <w:bCs/>
          <w:szCs w:val="22"/>
        </w:rPr>
        <w:t xml:space="preserve">provisions, </w:t>
      </w:r>
      <w:r w:rsidR="00A12A5F">
        <w:rPr>
          <w:rFonts w:eastAsia="Calibri Light" w:cs="Calibri Light"/>
          <w:b/>
          <w:bCs/>
          <w:szCs w:val="22"/>
        </w:rPr>
        <w:t>and</w:t>
      </w:r>
      <w:proofErr w:type="gramEnd"/>
      <w:r w:rsidR="00A12A5F">
        <w:rPr>
          <w:rFonts w:eastAsia="Calibri Light" w:cs="Calibri Light"/>
          <w:b/>
          <w:bCs/>
          <w:szCs w:val="22"/>
        </w:rPr>
        <w:t xml:space="preserve"> remove</w:t>
      </w:r>
      <w:r w:rsidRPr="32D8E1C7">
        <w:rPr>
          <w:rFonts w:eastAsia="Calibri Light" w:cs="Calibri Light"/>
          <w:b/>
          <w:bCs/>
          <w:szCs w:val="22"/>
        </w:rPr>
        <w:t xml:space="preserve"> extraneous exemptions to the ban on conflicted remuneration. </w:t>
      </w:r>
    </w:p>
    <w:p w14:paraId="7E501FB0" w14:textId="3BCBC0A2" w:rsidR="00D1272B" w:rsidRPr="00EE121D" w:rsidRDefault="00D1272B" w:rsidP="009508AA">
      <w:pPr>
        <w:pStyle w:val="Heading3"/>
        <w:keepNext w:val="0"/>
        <w:rPr>
          <w:rFonts w:eastAsia="Calibri" w:cs="Calibri"/>
        </w:rPr>
      </w:pPr>
      <w:r w:rsidRPr="2FD302C4">
        <w:rPr>
          <w:rFonts w:eastAsia="Calibri" w:cs="Calibri"/>
        </w:rPr>
        <w:t>Benefits give</w:t>
      </w:r>
      <w:r w:rsidR="2EB35276" w:rsidRPr="2FD302C4">
        <w:rPr>
          <w:rFonts w:eastAsia="Calibri" w:cs="Calibri"/>
        </w:rPr>
        <w:t>n</w:t>
      </w:r>
      <w:r w:rsidRPr="2FD302C4">
        <w:rPr>
          <w:rFonts w:eastAsia="Calibri" w:cs="Calibri"/>
        </w:rPr>
        <w:t xml:space="preserve"> to agents and employees of Authorised Deposit-Taking Institutions (ADIs)</w:t>
      </w:r>
    </w:p>
    <w:p w14:paraId="62DCAF5B" w14:textId="77777777" w:rsidR="00D1272B" w:rsidRPr="00EE121D" w:rsidRDefault="00D1272B">
      <w:pPr>
        <w:spacing w:before="0" w:after="160" w:line="257" w:lineRule="auto"/>
        <w:rPr>
          <w:rFonts w:eastAsia="Calibri Light" w:cs="Calibri Light"/>
          <w:szCs w:val="22"/>
          <w:u w:val="single"/>
        </w:rPr>
      </w:pPr>
      <w:r w:rsidRPr="32D8E1C7">
        <w:rPr>
          <w:rFonts w:eastAsia="Calibri Light" w:cs="Calibri Light"/>
          <w:szCs w:val="22"/>
          <w:u w:val="single"/>
        </w:rPr>
        <w:t xml:space="preserve">Current requirements </w:t>
      </w:r>
    </w:p>
    <w:p w14:paraId="47400FBF" w14:textId="55A19D55" w:rsidR="00D1272B" w:rsidRPr="00EE121D" w:rsidRDefault="0018338E">
      <w:pPr>
        <w:spacing w:before="0" w:after="160" w:line="257" w:lineRule="auto"/>
        <w:rPr>
          <w:rFonts w:eastAsia="Calibri Light" w:cs="Calibri Light"/>
          <w:i/>
          <w:iCs/>
          <w:szCs w:val="22"/>
        </w:rPr>
      </w:pPr>
      <w:r>
        <w:rPr>
          <w:rFonts w:eastAsia="Calibri Light" w:cs="Calibri Light"/>
          <w:szCs w:val="22"/>
        </w:rPr>
        <w:t>T</w:t>
      </w:r>
      <w:r w:rsidR="00D1272B" w:rsidRPr="32D8E1C7">
        <w:rPr>
          <w:rFonts w:eastAsia="Calibri Light" w:cs="Calibri Light"/>
          <w:szCs w:val="22"/>
        </w:rPr>
        <w:t>he Corporations Act contains exemption</w:t>
      </w:r>
      <w:r w:rsidR="00E0607A">
        <w:rPr>
          <w:rFonts w:eastAsia="Calibri Light" w:cs="Calibri Light"/>
          <w:szCs w:val="22"/>
        </w:rPr>
        <w:t>s</w:t>
      </w:r>
      <w:r w:rsidR="00D1272B" w:rsidRPr="32D8E1C7">
        <w:rPr>
          <w:rFonts w:eastAsia="Calibri Light" w:cs="Calibri Light"/>
          <w:szCs w:val="22"/>
        </w:rPr>
        <w:t xml:space="preserve"> for monetary and non-monetary benefits given to an agent or employee of an Australian ADI if access to the benefit is in whole</w:t>
      </w:r>
      <w:r w:rsidR="00D1272B">
        <w:rPr>
          <w:rFonts w:eastAsia="Calibri Light" w:cs="Calibri Light"/>
          <w:szCs w:val="22"/>
        </w:rPr>
        <w:t>,</w:t>
      </w:r>
      <w:r w:rsidR="00D1272B" w:rsidRPr="32D8E1C7">
        <w:rPr>
          <w:rFonts w:eastAsia="Calibri Light" w:cs="Calibri Light"/>
          <w:szCs w:val="22"/>
        </w:rPr>
        <w:t xml:space="preserve"> or </w:t>
      </w:r>
      <w:r w:rsidR="00D1272B">
        <w:rPr>
          <w:rFonts w:eastAsia="Calibri Light" w:cs="Calibri Light"/>
          <w:szCs w:val="22"/>
        </w:rPr>
        <w:t xml:space="preserve">in </w:t>
      </w:r>
      <w:r w:rsidR="00D1272B" w:rsidRPr="32D8E1C7">
        <w:rPr>
          <w:rFonts w:eastAsia="Calibri Light" w:cs="Calibri Light"/>
          <w:szCs w:val="22"/>
        </w:rPr>
        <w:t>part</w:t>
      </w:r>
      <w:r w:rsidR="00D1272B">
        <w:rPr>
          <w:rFonts w:eastAsia="Calibri Light" w:cs="Calibri Light"/>
          <w:szCs w:val="22"/>
        </w:rPr>
        <w:t>,</w:t>
      </w:r>
      <w:r w:rsidR="001F2C21">
        <w:rPr>
          <w:rFonts w:eastAsia="Calibri Light" w:cs="Calibri Light"/>
          <w:szCs w:val="22"/>
        </w:rPr>
        <w:t xml:space="preserve"> is</w:t>
      </w:r>
      <w:r w:rsidR="00D1272B" w:rsidRPr="32D8E1C7">
        <w:rPr>
          <w:rFonts w:eastAsia="Calibri Light" w:cs="Calibri Light"/>
          <w:szCs w:val="22"/>
        </w:rPr>
        <w:t xml:space="preserve"> dependent on the agent or employee recommending a basic banking product, a general insurance product or a consumer credit product</w:t>
      </w:r>
      <w:r w:rsidR="00D1272B">
        <w:rPr>
          <w:rFonts w:eastAsia="Calibri Light" w:cs="Calibri Light"/>
          <w:szCs w:val="22"/>
        </w:rPr>
        <w:t xml:space="preserve"> (see </w:t>
      </w:r>
      <w:r w:rsidR="00D1272B" w:rsidRPr="32D8E1C7">
        <w:rPr>
          <w:rFonts w:eastAsia="Calibri Light" w:cs="Calibri Light"/>
          <w:szCs w:val="22"/>
        </w:rPr>
        <w:t>s</w:t>
      </w:r>
      <w:r w:rsidR="00D1272B">
        <w:rPr>
          <w:rFonts w:eastAsia="Calibri Light" w:cs="Calibri Light"/>
          <w:szCs w:val="22"/>
        </w:rPr>
        <w:t xml:space="preserve">ection </w:t>
      </w:r>
      <w:r w:rsidR="00D1272B" w:rsidRPr="32D8E1C7">
        <w:rPr>
          <w:rFonts w:eastAsia="Calibri Light" w:cs="Calibri Light"/>
          <w:szCs w:val="22"/>
        </w:rPr>
        <w:t xml:space="preserve">963D </w:t>
      </w:r>
      <w:r w:rsidR="00FA3FAB">
        <w:rPr>
          <w:rFonts w:eastAsia="Calibri Light" w:cs="Calibri Light"/>
          <w:szCs w:val="22"/>
        </w:rPr>
        <w:t xml:space="preserve">of the Corporations Act </w:t>
      </w:r>
      <w:r w:rsidR="00D1272B" w:rsidRPr="32D8E1C7">
        <w:rPr>
          <w:rFonts w:eastAsia="Calibri Light" w:cs="Calibri Light"/>
          <w:szCs w:val="22"/>
        </w:rPr>
        <w:t>and r</w:t>
      </w:r>
      <w:r w:rsidR="00FA3FAB">
        <w:rPr>
          <w:rFonts w:eastAsia="Calibri Light" w:cs="Calibri Light"/>
          <w:szCs w:val="22"/>
        </w:rPr>
        <w:t xml:space="preserve">egulation </w:t>
      </w:r>
      <w:r w:rsidR="00D1272B" w:rsidRPr="32D8E1C7">
        <w:rPr>
          <w:rFonts w:eastAsia="Calibri Light" w:cs="Calibri Light"/>
          <w:szCs w:val="22"/>
        </w:rPr>
        <w:t>7.7A.12H</w:t>
      </w:r>
      <w:r w:rsidR="00FA3FAB">
        <w:rPr>
          <w:rFonts w:eastAsia="Calibri Light" w:cs="Calibri Light"/>
          <w:szCs w:val="22"/>
        </w:rPr>
        <w:t xml:space="preserve"> of the Corporations Regulations)</w:t>
      </w:r>
      <w:r w:rsidR="00D1272B" w:rsidRPr="32D8E1C7">
        <w:rPr>
          <w:rFonts w:eastAsia="Calibri Light" w:cs="Calibri Light"/>
          <w:szCs w:val="22"/>
        </w:rPr>
        <w:t>.</w:t>
      </w:r>
      <w:r w:rsidR="00D1272B" w:rsidRPr="32D8E1C7">
        <w:rPr>
          <w:rFonts w:eastAsia="Calibri Light" w:cs="Calibri Light"/>
          <w:i/>
          <w:iCs/>
          <w:szCs w:val="22"/>
        </w:rPr>
        <w:t xml:space="preserve"> </w:t>
      </w:r>
    </w:p>
    <w:p w14:paraId="7FA8FC7B" w14:textId="77777777" w:rsidR="00D1272B" w:rsidRPr="00EE121D" w:rsidRDefault="00D1272B">
      <w:pPr>
        <w:spacing w:before="0" w:after="160" w:line="257" w:lineRule="auto"/>
        <w:rPr>
          <w:rFonts w:eastAsia="Calibri Light" w:cs="Calibri Light"/>
          <w:szCs w:val="22"/>
          <w:u w:val="single"/>
        </w:rPr>
      </w:pPr>
      <w:r w:rsidRPr="32D8E1C7">
        <w:rPr>
          <w:rFonts w:eastAsia="Calibri Light" w:cs="Calibri Light"/>
          <w:szCs w:val="22"/>
          <w:u w:val="single"/>
        </w:rPr>
        <w:t>Proposal</w:t>
      </w:r>
    </w:p>
    <w:p w14:paraId="6F07A27B" w14:textId="6732FB7F" w:rsidR="00FA3FAB" w:rsidRDefault="00D1272B" w:rsidP="00376870">
      <w:pPr>
        <w:pStyle w:val="ListParagraph"/>
        <w:numPr>
          <w:ilvl w:val="0"/>
          <w:numId w:val="2"/>
        </w:numPr>
        <w:spacing w:before="0" w:after="160" w:line="259" w:lineRule="auto"/>
        <w:ind w:left="426" w:hanging="426"/>
      </w:pPr>
      <w:r w:rsidRPr="00964B86">
        <w:t>It is proposed that these exemptions be removed.  The</w:t>
      </w:r>
      <w:r w:rsidR="00E0607A">
        <w:t xml:space="preserve"> removal of these exemptions</w:t>
      </w:r>
      <w:r w:rsidRPr="00964B86">
        <w:t xml:space="preserve"> would not prevent bank employees </w:t>
      </w:r>
      <w:r w:rsidR="00E0607A">
        <w:t xml:space="preserve">from </w:t>
      </w:r>
      <w:r w:rsidRPr="00964B86">
        <w:t>being provided with performance</w:t>
      </w:r>
      <w:r w:rsidR="00E0607A">
        <w:t>-</w:t>
      </w:r>
      <w:r w:rsidRPr="00964B86">
        <w:t xml:space="preserve">related benefits and incentives under a balanced scorecard </w:t>
      </w:r>
      <w:r w:rsidR="00D03D94">
        <w:t xml:space="preserve">approach </w:t>
      </w:r>
      <w:r w:rsidRPr="00964B86">
        <w:t xml:space="preserve">that includes a broad range of </w:t>
      </w:r>
      <w:proofErr w:type="gramStart"/>
      <w:r w:rsidR="00F42C39">
        <w:t>criteria</w:t>
      </w:r>
      <w:proofErr w:type="gramEnd"/>
      <w:r w:rsidR="00D578EC">
        <w:t xml:space="preserve"> </w:t>
      </w:r>
      <w:r w:rsidR="00D578EC" w:rsidRPr="00D578EC">
        <w:t>and which do not influence financial product advice provided to a retail client.</w:t>
      </w:r>
    </w:p>
    <w:p w14:paraId="10EB02AF" w14:textId="6B33570D" w:rsidR="00D1272B" w:rsidRPr="000E5EE5" w:rsidRDefault="00FA3FAB" w:rsidP="00376870">
      <w:pPr>
        <w:spacing w:before="0" w:after="160" w:line="259" w:lineRule="auto"/>
        <w:rPr>
          <w:b/>
        </w:rPr>
      </w:pPr>
      <w:r w:rsidRPr="000E5EE5">
        <w:rPr>
          <w:b/>
        </w:rPr>
        <w:t xml:space="preserve">Intended outcome: </w:t>
      </w:r>
      <w:r w:rsidR="002105F7" w:rsidRPr="000E5EE5">
        <w:rPr>
          <w:b/>
          <w:bCs/>
        </w:rPr>
        <w:t>Remov</w:t>
      </w:r>
      <w:r w:rsidR="002105F7">
        <w:rPr>
          <w:b/>
          <w:bCs/>
        </w:rPr>
        <w:t>ing</w:t>
      </w:r>
      <w:r w:rsidR="002105F7" w:rsidRPr="000E5EE5">
        <w:rPr>
          <w:b/>
        </w:rPr>
        <w:t xml:space="preserve"> this exemption would</w:t>
      </w:r>
      <w:r w:rsidR="002105F7">
        <w:rPr>
          <w:b/>
        </w:rPr>
        <w:t xml:space="preserve"> remove inconsistencies in the</w:t>
      </w:r>
      <w:r w:rsidR="002105F7" w:rsidRPr="000E5EE5" w:rsidDel="00B21843">
        <w:rPr>
          <w:b/>
        </w:rPr>
        <w:t xml:space="preserve"> </w:t>
      </w:r>
      <w:r w:rsidR="002105F7">
        <w:rPr>
          <w:b/>
        </w:rPr>
        <w:t xml:space="preserve">application of the conflicted remuneration provisions, by providing that employees of Australian ADIs are treated in the same way as employees of other financial institutions, including when providing advice about the same types of products. It would also </w:t>
      </w:r>
      <w:r w:rsidR="002105F7" w:rsidRPr="000E5EE5">
        <w:rPr>
          <w:b/>
        </w:rPr>
        <w:t>be consistent with the 2021 Sedgwick Review</w:t>
      </w:r>
      <w:r w:rsidR="00D1272B" w:rsidRPr="000E5EE5">
        <w:rPr>
          <w:b/>
        </w:rPr>
        <w:t>.</w:t>
      </w:r>
      <w:r w:rsidR="00950407" w:rsidRPr="000E5EE5">
        <w:rPr>
          <w:rStyle w:val="FootnoteReference"/>
          <w:b/>
        </w:rPr>
        <w:footnoteReference w:id="11"/>
      </w:r>
      <w:r w:rsidR="00D1272B" w:rsidRPr="000E5EE5">
        <w:rPr>
          <w:b/>
        </w:rPr>
        <w:t xml:space="preserve">       </w:t>
      </w:r>
    </w:p>
    <w:p w14:paraId="7FE746FE" w14:textId="5AFF398C" w:rsidR="000F5E21" w:rsidRPr="00EE121D" w:rsidRDefault="001102B3" w:rsidP="00112075">
      <w:pPr>
        <w:pStyle w:val="Heading3"/>
        <w:keepNext w:val="0"/>
        <w:rPr>
          <w:rFonts w:eastAsia="Calibri" w:cs="Calibri"/>
          <w:szCs w:val="28"/>
        </w:rPr>
      </w:pPr>
      <w:r>
        <w:rPr>
          <w:rFonts w:eastAsia="Calibri" w:cs="Calibri"/>
          <w:szCs w:val="28"/>
        </w:rPr>
        <w:lastRenderedPageBreak/>
        <w:t>Removing exception</w:t>
      </w:r>
      <w:r w:rsidR="003F5970">
        <w:rPr>
          <w:rFonts w:eastAsia="Calibri" w:cs="Calibri"/>
          <w:szCs w:val="28"/>
        </w:rPr>
        <w:t>s</w:t>
      </w:r>
      <w:r>
        <w:rPr>
          <w:rFonts w:eastAsia="Calibri" w:cs="Calibri"/>
          <w:szCs w:val="28"/>
        </w:rPr>
        <w:t xml:space="preserve"> not related to </w:t>
      </w:r>
      <w:r w:rsidR="00B3426D">
        <w:rPr>
          <w:rFonts w:eastAsia="Calibri" w:cs="Calibri"/>
          <w:szCs w:val="28"/>
        </w:rPr>
        <w:t xml:space="preserve">the provision of </w:t>
      </w:r>
      <w:r>
        <w:rPr>
          <w:rFonts w:eastAsia="Calibri" w:cs="Calibri"/>
          <w:szCs w:val="28"/>
        </w:rPr>
        <w:t>financial product advice</w:t>
      </w:r>
    </w:p>
    <w:p w14:paraId="55309C63" w14:textId="5AFF0DC9" w:rsidR="0018341C" w:rsidRDefault="3EFBC7E6">
      <w:pPr>
        <w:spacing w:before="0" w:after="160" w:line="257" w:lineRule="auto"/>
        <w:rPr>
          <w:rFonts w:eastAsia="Calibri Light" w:cs="Calibri Light"/>
          <w:szCs w:val="22"/>
        </w:rPr>
      </w:pPr>
      <w:r w:rsidRPr="32D8E1C7">
        <w:rPr>
          <w:rFonts w:eastAsia="Calibri Light" w:cs="Calibri Light"/>
          <w:szCs w:val="22"/>
        </w:rPr>
        <w:t xml:space="preserve">The exceptions to the definition of conflicted remuneration are intended to be just that: exceptions for benefits that would otherwise be conflicted remuneration.  The definition of conflicted remuneration turns on </w:t>
      </w:r>
      <w:r w:rsidR="00B5036E">
        <w:rPr>
          <w:rFonts w:eastAsia="Calibri Light" w:cs="Calibri Light"/>
          <w:szCs w:val="22"/>
        </w:rPr>
        <w:t xml:space="preserve">whether </w:t>
      </w:r>
      <w:r w:rsidRPr="32D8E1C7">
        <w:rPr>
          <w:rFonts w:eastAsia="Calibri Light" w:cs="Calibri Light"/>
          <w:szCs w:val="22"/>
        </w:rPr>
        <w:t xml:space="preserve">a benefit </w:t>
      </w:r>
      <w:r w:rsidR="002235B8">
        <w:rPr>
          <w:rFonts w:eastAsia="Calibri Light" w:cs="Calibri Light"/>
          <w:szCs w:val="22"/>
        </w:rPr>
        <w:t>c</w:t>
      </w:r>
      <w:r w:rsidRPr="32D8E1C7">
        <w:rPr>
          <w:rFonts w:eastAsia="Calibri Light" w:cs="Calibri Light"/>
          <w:szCs w:val="22"/>
        </w:rPr>
        <w:t xml:space="preserve">ould be reasonably </w:t>
      </w:r>
      <w:r w:rsidR="002235B8">
        <w:rPr>
          <w:rFonts w:eastAsia="Calibri Light" w:cs="Calibri Light"/>
          <w:szCs w:val="22"/>
        </w:rPr>
        <w:t xml:space="preserve">be expected </w:t>
      </w:r>
      <w:r w:rsidRPr="32D8E1C7">
        <w:rPr>
          <w:rFonts w:eastAsia="Calibri Light" w:cs="Calibri Light"/>
          <w:szCs w:val="22"/>
        </w:rPr>
        <w:t>to influence financial product advice</w:t>
      </w:r>
      <w:r w:rsidR="00F03DF3">
        <w:rPr>
          <w:rFonts w:eastAsia="Calibri Light" w:cs="Calibri Light"/>
          <w:szCs w:val="22"/>
        </w:rPr>
        <w:t xml:space="preserve"> given to a retail client</w:t>
      </w:r>
      <w:r w:rsidRPr="32D8E1C7">
        <w:rPr>
          <w:rFonts w:eastAsia="Calibri Light" w:cs="Calibri Light"/>
          <w:szCs w:val="22"/>
        </w:rPr>
        <w:t xml:space="preserve">.  </w:t>
      </w:r>
    </w:p>
    <w:p w14:paraId="3EA9B00C" w14:textId="3E7D9AE3" w:rsidR="0018341C" w:rsidRPr="000E5EE5" w:rsidRDefault="0018341C">
      <w:pPr>
        <w:spacing w:before="0" w:after="160" w:line="257" w:lineRule="auto"/>
        <w:rPr>
          <w:rFonts w:eastAsia="Calibri Light" w:cs="Calibri Light"/>
          <w:szCs w:val="22"/>
          <w:u w:val="single"/>
        </w:rPr>
      </w:pPr>
      <w:r w:rsidRPr="000E5EE5">
        <w:rPr>
          <w:rFonts w:eastAsia="Calibri Light" w:cs="Calibri Light"/>
          <w:szCs w:val="22"/>
          <w:u w:val="single"/>
        </w:rPr>
        <w:t>Proposal</w:t>
      </w:r>
    </w:p>
    <w:p w14:paraId="29A7F78A" w14:textId="46340856" w:rsidR="000F5E21" w:rsidRPr="0019467D" w:rsidRDefault="3EFBC7E6" w:rsidP="00112075">
      <w:pPr>
        <w:pStyle w:val="ListParagraph"/>
        <w:numPr>
          <w:ilvl w:val="0"/>
          <w:numId w:val="2"/>
        </w:numPr>
        <w:spacing w:before="0" w:after="160" w:line="259" w:lineRule="auto"/>
        <w:ind w:left="426" w:hanging="426"/>
        <w:rPr>
          <w:rFonts w:eastAsia="Calibri Light"/>
        </w:rPr>
      </w:pPr>
      <w:r w:rsidRPr="0019467D">
        <w:rPr>
          <w:rFonts w:eastAsia="Calibri Light"/>
        </w:rPr>
        <w:t>The following 'exceptions' do not answer that description and should be removed:</w:t>
      </w:r>
    </w:p>
    <w:p w14:paraId="5F9D273C" w14:textId="03CAAEA3" w:rsidR="000F5E21" w:rsidRPr="000E5EE5" w:rsidRDefault="00013FB5" w:rsidP="00112075">
      <w:pPr>
        <w:pStyle w:val="Bullet"/>
        <w:numPr>
          <w:ilvl w:val="0"/>
          <w:numId w:val="23"/>
        </w:numPr>
        <w:tabs>
          <w:tab w:val="clear" w:pos="720"/>
        </w:tabs>
        <w:spacing w:after="160" w:line="259" w:lineRule="auto"/>
      </w:pPr>
      <w:r>
        <w:t>m</w:t>
      </w:r>
      <w:r w:rsidR="006E78C4">
        <w:t>onetary and non-monetary</w:t>
      </w:r>
      <w:r w:rsidR="3EFBC7E6" w:rsidRPr="000E5EE5">
        <w:t xml:space="preserve"> benefit</w:t>
      </w:r>
      <w:r w:rsidR="006E78C4">
        <w:t>s</w:t>
      </w:r>
      <w:r w:rsidR="3EFBC7E6" w:rsidRPr="000E5EE5">
        <w:t xml:space="preserve"> given by a retail client in relation to the issue or sale of a financial product (</w:t>
      </w:r>
      <w:r w:rsidR="00390025">
        <w:t xml:space="preserve">paragraphs </w:t>
      </w:r>
      <w:r w:rsidR="3EFBC7E6" w:rsidRPr="000E5EE5">
        <w:t>963</w:t>
      </w:r>
      <w:r w:rsidR="00390025">
        <w:t>B</w:t>
      </w:r>
      <w:r w:rsidR="3EFBC7E6" w:rsidRPr="000E5EE5">
        <w:t>(1)(d)(i)</w:t>
      </w:r>
      <w:r w:rsidR="008142BF">
        <w:t xml:space="preserve"> </w:t>
      </w:r>
      <w:r w:rsidR="00390025">
        <w:t xml:space="preserve">and 963C(1)(e)(i) </w:t>
      </w:r>
      <w:r w:rsidR="008142BF">
        <w:t>of the Corporations Act</w:t>
      </w:r>
      <w:proofErr w:type="gramStart"/>
      <w:r w:rsidR="3EFBC7E6" w:rsidRPr="000E5EE5">
        <w:t>);</w:t>
      </w:r>
      <w:proofErr w:type="gramEnd"/>
    </w:p>
    <w:p w14:paraId="0D5CA3A5" w14:textId="56B99528" w:rsidR="000F5E21" w:rsidRPr="000E5EE5" w:rsidRDefault="3EFBC7E6" w:rsidP="00112075">
      <w:pPr>
        <w:pStyle w:val="Bullet"/>
        <w:numPr>
          <w:ilvl w:val="0"/>
          <w:numId w:val="23"/>
        </w:numPr>
        <w:tabs>
          <w:tab w:val="clear" w:pos="720"/>
        </w:tabs>
        <w:spacing w:after="160" w:line="259" w:lineRule="auto"/>
      </w:pPr>
      <w:r w:rsidRPr="000E5EE5">
        <w:t xml:space="preserve">a </w:t>
      </w:r>
      <w:r w:rsidR="00013FB5">
        <w:t xml:space="preserve">monetary </w:t>
      </w:r>
      <w:r w:rsidRPr="000E5EE5">
        <w:t>benefit given to the provider by the client in relation to the provider dealing in a financial product on behalf of the client (</w:t>
      </w:r>
      <w:r w:rsidR="00076029">
        <w:t xml:space="preserve">regulation </w:t>
      </w:r>
      <w:r w:rsidRPr="000E5EE5">
        <w:t>7.7A.12E</w:t>
      </w:r>
      <w:r w:rsidR="005D4C24">
        <w:t xml:space="preserve"> of the Corporations Regulations</w:t>
      </w:r>
      <w:r w:rsidRPr="000E5EE5">
        <w:t>).</w:t>
      </w:r>
    </w:p>
    <w:p w14:paraId="10D6CDF1" w14:textId="77777777" w:rsidR="00105352" w:rsidRPr="00105352" w:rsidRDefault="00105352">
      <w:pPr>
        <w:spacing w:before="0" w:after="160" w:line="257" w:lineRule="auto"/>
        <w:rPr>
          <w:rFonts w:asciiTheme="majorHAnsi" w:eastAsiaTheme="majorEastAsia" w:hAnsiTheme="majorHAnsi" w:cstheme="majorBidi"/>
          <w:b/>
          <w:bCs/>
          <w:color w:val="2F5496" w:themeColor="accent1" w:themeShade="BF"/>
          <w:sz w:val="32"/>
          <w:szCs w:val="32"/>
        </w:rPr>
      </w:pPr>
      <w:r w:rsidRPr="00105352">
        <w:rPr>
          <w:rFonts w:eastAsia="Calibri Light" w:cs="Calibri Light"/>
          <w:b/>
          <w:bCs/>
          <w:szCs w:val="22"/>
        </w:rPr>
        <w:t xml:space="preserve">Intended outcome: To simplify and rationalise the law by removing redundant exceptions (i.e exceptions that have no effect because the conduct to which they relate is not financial product advice).  </w:t>
      </w:r>
    </w:p>
    <w:p w14:paraId="35E18324" w14:textId="7E90B759" w:rsidR="0030233F" w:rsidRDefault="0030233F" w:rsidP="007B5DA4">
      <w:pPr>
        <w:spacing w:before="0" w:after="160" w:line="257" w:lineRule="auto"/>
        <w:rPr>
          <w:rFonts w:asciiTheme="majorHAnsi" w:eastAsiaTheme="majorEastAsia" w:hAnsiTheme="majorHAnsi" w:cstheme="majorBidi"/>
          <w:b/>
          <w:bCs/>
          <w:color w:val="2F5496" w:themeColor="accent1" w:themeShade="BF"/>
          <w:sz w:val="32"/>
          <w:szCs w:val="32"/>
        </w:rPr>
      </w:pPr>
      <w:r>
        <w:rPr>
          <w:b/>
          <w:bCs/>
          <w:sz w:val="32"/>
          <w:szCs w:val="32"/>
        </w:rPr>
        <w:br w:type="page"/>
      </w:r>
    </w:p>
    <w:p w14:paraId="6EB90D76" w14:textId="2462059A" w:rsidR="000F5E21" w:rsidRPr="0030233F" w:rsidRDefault="00D80792" w:rsidP="0030233F">
      <w:pPr>
        <w:pStyle w:val="Heading2"/>
        <w:spacing w:before="240" w:after="240"/>
        <w:rPr>
          <w:b/>
          <w:bCs/>
          <w:sz w:val="32"/>
          <w:szCs w:val="32"/>
        </w:rPr>
      </w:pPr>
      <w:r>
        <w:rPr>
          <w:b/>
          <w:bCs/>
          <w:sz w:val="32"/>
          <w:szCs w:val="32"/>
        </w:rPr>
        <w:lastRenderedPageBreak/>
        <w:t xml:space="preserve">Attachment A </w:t>
      </w:r>
      <w:r w:rsidR="0043041A">
        <w:rPr>
          <w:b/>
          <w:bCs/>
          <w:sz w:val="32"/>
          <w:szCs w:val="32"/>
        </w:rPr>
        <w:t>–</w:t>
      </w:r>
      <w:r>
        <w:rPr>
          <w:b/>
          <w:bCs/>
          <w:sz w:val="32"/>
          <w:szCs w:val="32"/>
        </w:rPr>
        <w:t xml:space="preserve"> </w:t>
      </w:r>
      <w:r w:rsidR="0043041A">
        <w:rPr>
          <w:b/>
          <w:bCs/>
          <w:sz w:val="32"/>
          <w:szCs w:val="32"/>
        </w:rPr>
        <w:t>List of e</w:t>
      </w:r>
      <w:r w:rsidR="0030233F" w:rsidRPr="0030233F">
        <w:rPr>
          <w:b/>
          <w:bCs/>
          <w:sz w:val="32"/>
          <w:szCs w:val="32"/>
        </w:rPr>
        <w:t>xemptions to the ban on conflicted remuneration</w:t>
      </w:r>
    </w:p>
    <w:tbl>
      <w:tblPr>
        <w:tblStyle w:val="TableGrid"/>
        <w:tblW w:w="0" w:type="auto"/>
        <w:tblLook w:val="04A0" w:firstRow="1" w:lastRow="0" w:firstColumn="1" w:lastColumn="0" w:noHBand="0" w:noVBand="1"/>
      </w:tblPr>
      <w:tblGrid>
        <w:gridCol w:w="3005"/>
        <w:gridCol w:w="3005"/>
        <w:gridCol w:w="3006"/>
      </w:tblGrid>
      <w:tr w:rsidR="00871AB9" w14:paraId="001BCBE2" w14:textId="77777777" w:rsidTr="000E5EE5">
        <w:tc>
          <w:tcPr>
            <w:tcW w:w="3005" w:type="dxa"/>
            <w:shd w:val="clear" w:color="auto" w:fill="D9D9D9" w:themeFill="background1" w:themeFillShade="D9"/>
          </w:tcPr>
          <w:p w14:paraId="24EE4FC7" w14:textId="558AE30B" w:rsidR="00871AB9" w:rsidRPr="000E5EE5" w:rsidRDefault="00871AB9" w:rsidP="00871AB9">
            <w:pPr>
              <w:spacing w:before="0" w:after="160" w:line="257" w:lineRule="auto"/>
              <w:jc w:val="center"/>
              <w:rPr>
                <w:rFonts w:eastAsia="Calibri Light" w:cs="Calibri Light"/>
                <w:b/>
                <w:szCs w:val="22"/>
              </w:rPr>
            </w:pPr>
            <w:r w:rsidRPr="000E5EE5">
              <w:rPr>
                <w:rFonts w:eastAsia="Calibri Light" w:cs="Calibri Light"/>
                <w:b/>
                <w:szCs w:val="22"/>
              </w:rPr>
              <w:t>Provision</w:t>
            </w:r>
          </w:p>
        </w:tc>
        <w:tc>
          <w:tcPr>
            <w:tcW w:w="3005" w:type="dxa"/>
            <w:shd w:val="clear" w:color="auto" w:fill="D9D9D9" w:themeFill="background1" w:themeFillShade="D9"/>
          </w:tcPr>
          <w:p w14:paraId="65773D56" w14:textId="2AF0733F" w:rsidR="00871AB9" w:rsidRPr="000E5EE5" w:rsidRDefault="00871AB9" w:rsidP="00871AB9">
            <w:pPr>
              <w:spacing w:before="0" w:after="160" w:line="257" w:lineRule="auto"/>
              <w:jc w:val="center"/>
              <w:rPr>
                <w:rFonts w:eastAsia="Calibri Light" w:cs="Calibri Light"/>
                <w:b/>
                <w:szCs w:val="22"/>
              </w:rPr>
            </w:pPr>
            <w:r w:rsidRPr="000E5EE5">
              <w:rPr>
                <w:rFonts w:eastAsia="Calibri Light" w:cs="Calibri Light"/>
                <w:b/>
                <w:szCs w:val="22"/>
              </w:rPr>
              <w:t>Exemption</w:t>
            </w:r>
          </w:p>
        </w:tc>
        <w:tc>
          <w:tcPr>
            <w:tcW w:w="3006" w:type="dxa"/>
            <w:shd w:val="clear" w:color="auto" w:fill="D9D9D9" w:themeFill="background1" w:themeFillShade="D9"/>
          </w:tcPr>
          <w:p w14:paraId="2A79075A" w14:textId="47DB162B" w:rsidR="00871AB9" w:rsidRPr="000E5EE5" w:rsidRDefault="00871AB9" w:rsidP="00871AB9">
            <w:pPr>
              <w:spacing w:before="0" w:after="160" w:line="257" w:lineRule="auto"/>
              <w:jc w:val="center"/>
              <w:rPr>
                <w:rFonts w:eastAsia="Calibri Light" w:cs="Calibri Light"/>
                <w:b/>
                <w:szCs w:val="22"/>
              </w:rPr>
            </w:pPr>
            <w:r w:rsidRPr="000E5EE5">
              <w:rPr>
                <w:rFonts w:eastAsia="Calibri Light" w:cs="Calibri Light"/>
                <w:b/>
                <w:szCs w:val="22"/>
              </w:rPr>
              <w:t>Proposal (if any)</w:t>
            </w:r>
          </w:p>
        </w:tc>
      </w:tr>
      <w:tr w:rsidR="00871AB9" w14:paraId="57F6AD4A" w14:textId="77777777" w:rsidTr="000E5EE5">
        <w:tc>
          <w:tcPr>
            <w:tcW w:w="3005" w:type="dxa"/>
          </w:tcPr>
          <w:p w14:paraId="7E4B1FC0" w14:textId="07CEA88D" w:rsidR="00871AB9" w:rsidRPr="000E5EE5" w:rsidRDefault="00871AB9" w:rsidP="00871AB9">
            <w:pPr>
              <w:spacing w:before="0" w:after="160" w:line="257" w:lineRule="auto"/>
              <w:rPr>
                <w:rFonts w:eastAsia="Calibri Light" w:cs="Calibri Light"/>
                <w:szCs w:val="22"/>
              </w:rPr>
            </w:pPr>
            <w:r>
              <w:rPr>
                <w:rFonts w:eastAsia="Calibri Light" w:cs="Calibri Light"/>
                <w:szCs w:val="22"/>
              </w:rPr>
              <w:t>Paragraphs 963B(1)(a) and 963C(1)(a) of the Corporations Act and regulation 7.7A.12G of the Corporations Regulations</w:t>
            </w:r>
          </w:p>
        </w:tc>
        <w:tc>
          <w:tcPr>
            <w:tcW w:w="3005" w:type="dxa"/>
          </w:tcPr>
          <w:p w14:paraId="230E02CF" w14:textId="04B28D8B" w:rsidR="00871AB9" w:rsidRPr="000E5EE5" w:rsidRDefault="00871AB9" w:rsidP="00871AB9">
            <w:pPr>
              <w:spacing w:before="0" w:after="160" w:line="257" w:lineRule="auto"/>
              <w:rPr>
                <w:rFonts w:eastAsia="Calibri Light" w:cs="Calibri Light"/>
                <w:szCs w:val="22"/>
              </w:rPr>
            </w:pPr>
            <w:r>
              <w:rPr>
                <w:rFonts w:eastAsia="Calibri Light" w:cs="Calibri Light"/>
                <w:szCs w:val="22"/>
              </w:rPr>
              <w:t>Monetary and non-monetary benefits given in relation to a general insurance product</w:t>
            </w:r>
          </w:p>
        </w:tc>
        <w:tc>
          <w:tcPr>
            <w:tcW w:w="3006" w:type="dxa"/>
          </w:tcPr>
          <w:p w14:paraId="6B8E94FD" w14:textId="2B9F6C82" w:rsidR="00871AB9" w:rsidRPr="000E5EE5" w:rsidRDefault="00871AB9" w:rsidP="00871AB9">
            <w:pPr>
              <w:spacing w:before="0" w:after="160" w:line="257" w:lineRule="auto"/>
              <w:rPr>
                <w:rFonts w:eastAsia="Calibri Light" w:cs="Calibri Light"/>
                <w:szCs w:val="22"/>
              </w:rPr>
            </w:pPr>
            <w:r>
              <w:rPr>
                <w:rFonts w:eastAsia="Calibri Light" w:cs="Calibri Light"/>
                <w:szCs w:val="22"/>
              </w:rPr>
              <w:t>Retain exemption subject to client consent, where the recipient of the benefit is a financial adviser (relevant provider)</w:t>
            </w:r>
            <w:r w:rsidR="00F30E70">
              <w:rPr>
                <w:rFonts w:eastAsia="Calibri Light" w:cs="Calibri Light"/>
                <w:szCs w:val="22"/>
              </w:rPr>
              <w:t xml:space="preserve">, </w:t>
            </w:r>
            <w:r>
              <w:rPr>
                <w:rFonts w:eastAsia="Calibri Light" w:cs="Calibri Light"/>
                <w:szCs w:val="22"/>
              </w:rPr>
              <w:t>insurance broker</w:t>
            </w:r>
            <w:r w:rsidR="00F30E70">
              <w:rPr>
                <w:rFonts w:eastAsia="Calibri Light" w:cs="Calibri Light"/>
                <w:szCs w:val="22"/>
              </w:rPr>
              <w:t xml:space="preserve"> or other intermediary </w:t>
            </w:r>
            <w:r w:rsidR="00F30E70" w:rsidRPr="32D8E1C7">
              <w:t>who provide</w:t>
            </w:r>
            <w:r w:rsidR="00F30E70">
              <w:t>s</w:t>
            </w:r>
            <w:r w:rsidR="00F30E70" w:rsidRPr="32D8E1C7">
              <w:t xml:space="preserve"> personal advice to retail clients in relation to general insurance products</w:t>
            </w:r>
          </w:p>
        </w:tc>
      </w:tr>
      <w:tr w:rsidR="00871AB9" w14:paraId="71FCDE50" w14:textId="77777777" w:rsidTr="000E5EE5">
        <w:tc>
          <w:tcPr>
            <w:tcW w:w="3005" w:type="dxa"/>
          </w:tcPr>
          <w:p w14:paraId="2D62C1A2" w14:textId="3B257295" w:rsidR="00871AB9" w:rsidRPr="000E5EE5" w:rsidRDefault="00871AB9" w:rsidP="00871AB9">
            <w:pPr>
              <w:spacing w:before="0" w:after="160" w:line="257" w:lineRule="auto"/>
              <w:rPr>
                <w:rFonts w:eastAsia="Calibri Light" w:cs="Calibri Light"/>
                <w:szCs w:val="22"/>
              </w:rPr>
            </w:pPr>
            <w:r>
              <w:rPr>
                <w:rFonts w:eastAsia="Calibri Light" w:cs="Calibri Light"/>
                <w:szCs w:val="22"/>
              </w:rPr>
              <w:t>Paragraph 963B(1)(b) of the Corporations Act and regulations 7.7A.12EB and 7.7A.12EC of the Corporations Regulations</w:t>
            </w:r>
          </w:p>
        </w:tc>
        <w:tc>
          <w:tcPr>
            <w:tcW w:w="3005" w:type="dxa"/>
          </w:tcPr>
          <w:p w14:paraId="40AB1DD9" w14:textId="26A9032A" w:rsidR="00871AB9" w:rsidRPr="000E5EE5" w:rsidRDefault="00871AB9" w:rsidP="00871AB9">
            <w:pPr>
              <w:spacing w:before="0" w:after="160" w:line="257" w:lineRule="auto"/>
              <w:rPr>
                <w:rFonts w:eastAsia="Calibri Light" w:cs="Calibri Light"/>
              </w:rPr>
            </w:pPr>
            <w:r>
              <w:rPr>
                <w:rFonts w:eastAsia="Calibri Light" w:cs="Calibri Light"/>
                <w:szCs w:val="22"/>
              </w:rPr>
              <w:t xml:space="preserve">Monetary benefit is </w:t>
            </w:r>
            <w:r w:rsidRPr="00283D9C">
              <w:rPr>
                <w:rFonts w:eastAsia="Calibri Light" w:cs="Calibri Light"/>
                <w:szCs w:val="22"/>
              </w:rPr>
              <w:t xml:space="preserve">given in relation to </w:t>
            </w:r>
            <w:r>
              <w:rPr>
                <w:rFonts w:eastAsia="Calibri Light" w:cs="Calibri Light"/>
                <w:szCs w:val="22"/>
              </w:rPr>
              <w:t xml:space="preserve">a </w:t>
            </w:r>
            <w:r w:rsidRPr="00283D9C">
              <w:rPr>
                <w:rFonts w:eastAsia="Calibri Light" w:cs="Calibri Light"/>
                <w:szCs w:val="22"/>
              </w:rPr>
              <w:t>life risk insurance product</w:t>
            </w:r>
            <w:r>
              <w:rPr>
                <w:rFonts w:eastAsia="Calibri Light" w:cs="Calibri Light"/>
                <w:szCs w:val="22"/>
              </w:rPr>
              <w:t xml:space="preserve"> </w:t>
            </w:r>
            <w:r w:rsidR="000D65E4" w:rsidRPr="32D8E1C7">
              <w:rPr>
                <w:rFonts w:eastAsia="Calibri Light" w:cs="Calibri Light"/>
                <w:szCs w:val="22"/>
              </w:rPr>
              <w:t xml:space="preserve">(other than group life policies in superannuation or policies issued </w:t>
            </w:r>
            <w:r w:rsidR="000D65E4">
              <w:rPr>
                <w:rFonts w:eastAsia="Calibri Light" w:cs="Calibri Light"/>
                <w:szCs w:val="22"/>
              </w:rPr>
              <w:t>in respect of</w:t>
            </w:r>
            <w:r w:rsidR="000D65E4" w:rsidRPr="32D8E1C7">
              <w:rPr>
                <w:rFonts w:eastAsia="Calibri Light" w:cs="Calibri Light"/>
                <w:szCs w:val="22"/>
              </w:rPr>
              <w:t xml:space="preserve"> default superannuation </w:t>
            </w:r>
            <w:proofErr w:type="gramStart"/>
            <w:r w:rsidR="000D65E4" w:rsidRPr="32D8E1C7">
              <w:rPr>
                <w:rFonts w:eastAsia="Calibri Light" w:cs="Calibri Light"/>
                <w:szCs w:val="22"/>
              </w:rPr>
              <w:t>members)</w:t>
            </w:r>
            <w:r w:rsidRPr="00283D9C">
              <w:rPr>
                <w:rFonts w:eastAsia="Calibri Light" w:cs="Calibri Light"/>
                <w:szCs w:val="22"/>
              </w:rPr>
              <w:t>where</w:t>
            </w:r>
            <w:proofErr w:type="gramEnd"/>
            <w:r w:rsidRPr="00283D9C">
              <w:rPr>
                <w:rFonts w:eastAsia="Calibri Light" w:cs="Calibri Light"/>
                <w:szCs w:val="22"/>
              </w:rPr>
              <w:t xml:space="preserve"> </w:t>
            </w:r>
            <w:r w:rsidR="00212146">
              <w:rPr>
                <w:rFonts w:eastAsia="Calibri Light" w:cs="Calibri Light"/>
                <w:szCs w:val="22"/>
              </w:rPr>
              <w:t xml:space="preserve">either of </w:t>
            </w:r>
            <w:r w:rsidRPr="00283D9C">
              <w:rPr>
                <w:rFonts w:eastAsia="Calibri Light" w:cs="Calibri Light"/>
                <w:szCs w:val="22"/>
              </w:rPr>
              <w:t xml:space="preserve">the conditions in </w:t>
            </w:r>
            <w:r>
              <w:rPr>
                <w:rFonts w:eastAsia="Calibri Light" w:cs="Calibri Light"/>
                <w:szCs w:val="22"/>
              </w:rPr>
              <w:t xml:space="preserve">sub-paragraph 963B(1)(b)(iii) of </w:t>
            </w:r>
            <w:r w:rsidRPr="00283D9C">
              <w:rPr>
                <w:rFonts w:eastAsia="Calibri Light" w:cs="Calibri Light"/>
                <w:szCs w:val="22"/>
              </w:rPr>
              <w:t>the Act apply</w:t>
            </w:r>
          </w:p>
        </w:tc>
        <w:tc>
          <w:tcPr>
            <w:tcW w:w="3006" w:type="dxa"/>
          </w:tcPr>
          <w:p w14:paraId="7FA4D7EF" w14:textId="28133E7F" w:rsidR="00871AB9" w:rsidRPr="000E5EE5" w:rsidRDefault="00871AB9" w:rsidP="00871AB9">
            <w:pPr>
              <w:spacing w:before="0" w:after="160" w:line="257" w:lineRule="auto"/>
              <w:rPr>
                <w:rFonts w:eastAsia="Calibri Light" w:cs="Calibri Light"/>
                <w:szCs w:val="22"/>
              </w:rPr>
            </w:pPr>
            <w:r>
              <w:rPr>
                <w:rFonts w:eastAsia="Calibri Light" w:cs="Calibri Light"/>
                <w:szCs w:val="22"/>
              </w:rPr>
              <w:t xml:space="preserve">Retain exemption subject to client consent with the adviser to inform the client of </w:t>
            </w:r>
            <w:r w:rsidRPr="00130F70">
              <w:rPr>
                <w:rFonts w:eastAsia="Calibri Light" w:cs="Calibri Light"/>
                <w:szCs w:val="22"/>
              </w:rPr>
              <w:t>the commission the adviser will receive (</w:t>
            </w:r>
            <w:proofErr w:type="gramStart"/>
            <w:r w:rsidRPr="00130F70">
              <w:rPr>
                <w:rFonts w:eastAsia="Calibri Light" w:cs="Calibri Light"/>
                <w:szCs w:val="22"/>
              </w:rPr>
              <w:t>e.g.</w:t>
            </w:r>
            <w:proofErr w:type="gramEnd"/>
            <w:r w:rsidRPr="00130F70">
              <w:rPr>
                <w:rFonts w:eastAsia="Calibri Light" w:cs="Calibri Light"/>
                <w:szCs w:val="22"/>
              </w:rPr>
              <w:t xml:space="preserve"> any upfront and trailing benefits) and</w:t>
            </w:r>
            <w:r>
              <w:rPr>
                <w:rFonts w:eastAsia="Calibri Light" w:cs="Calibri Light"/>
                <w:szCs w:val="22"/>
              </w:rPr>
              <w:t xml:space="preserve"> </w:t>
            </w:r>
            <w:r w:rsidRPr="00130F70">
              <w:rPr>
                <w:rFonts w:eastAsia="Calibri Light" w:cs="Calibri Light"/>
                <w:szCs w:val="22"/>
              </w:rPr>
              <w:t xml:space="preserve">the nature of the ongoing service </w:t>
            </w:r>
            <w:r>
              <w:rPr>
                <w:rFonts w:eastAsia="Calibri Light" w:cs="Calibri Light"/>
                <w:szCs w:val="22"/>
              </w:rPr>
              <w:t xml:space="preserve">(if any) </w:t>
            </w:r>
            <w:r w:rsidRPr="00130F70">
              <w:rPr>
                <w:rFonts w:eastAsia="Calibri Light" w:cs="Calibri Light"/>
                <w:szCs w:val="22"/>
              </w:rPr>
              <w:t>the adviser will provide to the client in relation to the life risk insurance product (e.g. assisting the client pursue and settle claims)</w:t>
            </w:r>
          </w:p>
        </w:tc>
      </w:tr>
      <w:tr w:rsidR="00871AB9" w14:paraId="507446ED" w14:textId="77777777" w:rsidTr="000E5EE5">
        <w:tc>
          <w:tcPr>
            <w:tcW w:w="3005" w:type="dxa"/>
          </w:tcPr>
          <w:p w14:paraId="0CE991E3" w14:textId="1DBB82C1" w:rsidR="00871AB9" w:rsidRPr="000E5EE5" w:rsidRDefault="00871AB9" w:rsidP="00871AB9">
            <w:pPr>
              <w:spacing w:before="0" w:after="160" w:line="257" w:lineRule="auto"/>
              <w:rPr>
                <w:rFonts w:eastAsia="Calibri Light" w:cs="Calibri Light"/>
                <w:szCs w:val="22"/>
              </w:rPr>
            </w:pPr>
            <w:r>
              <w:rPr>
                <w:rFonts w:eastAsia="Calibri Light" w:cs="Calibri Light"/>
                <w:szCs w:val="22"/>
              </w:rPr>
              <w:t>Paragraph 963B(</w:t>
            </w:r>
            <w:proofErr w:type="gramStart"/>
            <w:r>
              <w:rPr>
                <w:rFonts w:eastAsia="Calibri Light" w:cs="Calibri Light"/>
                <w:szCs w:val="22"/>
              </w:rPr>
              <w:t>1)(</w:t>
            </w:r>
            <w:proofErr w:type="gramEnd"/>
            <w:r>
              <w:rPr>
                <w:rFonts w:eastAsia="Calibri Light" w:cs="Calibri Light"/>
                <w:szCs w:val="22"/>
              </w:rPr>
              <w:t>ba) of the Corporations Act</w:t>
            </w:r>
          </w:p>
        </w:tc>
        <w:tc>
          <w:tcPr>
            <w:tcW w:w="3005" w:type="dxa"/>
          </w:tcPr>
          <w:p w14:paraId="778E5773" w14:textId="6FE09B8E" w:rsidR="00871AB9" w:rsidRPr="000E5EE5" w:rsidRDefault="00871AB9" w:rsidP="00871AB9">
            <w:pPr>
              <w:spacing w:before="0" w:after="160" w:line="257" w:lineRule="auto"/>
              <w:rPr>
                <w:rFonts w:eastAsia="Calibri Light" w:cs="Calibri Light"/>
                <w:szCs w:val="22"/>
              </w:rPr>
            </w:pPr>
            <w:r>
              <w:rPr>
                <w:rFonts w:eastAsia="Calibri Light" w:cs="Calibri Light"/>
                <w:szCs w:val="22"/>
              </w:rPr>
              <w:t>Monetary benefit is given in relation to consumer credit insurance</w:t>
            </w:r>
          </w:p>
        </w:tc>
        <w:tc>
          <w:tcPr>
            <w:tcW w:w="3006" w:type="dxa"/>
          </w:tcPr>
          <w:p w14:paraId="2ABDDA81" w14:textId="09E57489" w:rsidR="00871AB9" w:rsidRPr="000E5EE5" w:rsidRDefault="00871AB9" w:rsidP="00871AB9">
            <w:pPr>
              <w:spacing w:before="0" w:after="160" w:line="257" w:lineRule="auto"/>
              <w:rPr>
                <w:rFonts w:eastAsia="Calibri Light" w:cs="Calibri Light"/>
                <w:szCs w:val="22"/>
              </w:rPr>
            </w:pPr>
            <w:r w:rsidRPr="00BB2052">
              <w:rPr>
                <w:rFonts w:eastAsia="Calibri Light" w:cs="Calibri Light"/>
                <w:szCs w:val="22"/>
              </w:rPr>
              <w:t xml:space="preserve">Retain </w:t>
            </w:r>
            <w:r>
              <w:rPr>
                <w:rFonts w:eastAsia="Calibri Light" w:cs="Calibri Light"/>
                <w:szCs w:val="22"/>
              </w:rPr>
              <w:t>exemption subject to client consent</w:t>
            </w:r>
            <w:r w:rsidR="00687088">
              <w:rPr>
                <w:rFonts w:eastAsia="Calibri Light" w:cs="Calibri Light"/>
                <w:szCs w:val="22"/>
              </w:rPr>
              <w:t xml:space="preserve"> (same as </w:t>
            </w:r>
            <w:r w:rsidR="006A6F1C">
              <w:rPr>
                <w:rFonts w:eastAsia="Calibri Light" w:cs="Calibri Light"/>
                <w:szCs w:val="22"/>
              </w:rPr>
              <w:t xml:space="preserve">the </w:t>
            </w:r>
            <w:r w:rsidR="00687088">
              <w:rPr>
                <w:rFonts w:eastAsia="Calibri Light" w:cs="Calibri Light"/>
                <w:szCs w:val="22"/>
              </w:rPr>
              <w:t>proposal for general insurance products)</w:t>
            </w:r>
          </w:p>
        </w:tc>
      </w:tr>
      <w:tr w:rsidR="00871AB9" w14:paraId="0A9E46B8" w14:textId="77777777" w:rsidTr="000E5EE5">
        <w:tc>
          <w:tcPr>
            <w:tcW w:w="3005" w:type="dxa"/>
          </w:tcPr>
          <w:p w14:paraId="17D1D78E" w14:textId="44C08FE1" w:rsidR="00871AB9" w:rsidRPr="000E5EE5" w:rsidRDefault="00871AB9" w:rsidP="00871AB9">
            <w:pPr>
              <w:spacing w:before="0" w:after="160" w:line="257" w:lineRule="auto"/>
              <w:rPr>
                <w:rFonts w:eastAsia="Calibri Light" w:cs="Calibri Light"/>
                <w:szCs w:val="22"/>
              </w:rPr>
            </w:pPr>
            <w:r>
              <w:rPr>
                <w:rFonts w:eastAsia="Calibri Light" w:cs="Calibri Light"/>
                <w:szCs w:val="22"/>
              </w:rPr>
              <w:t>Paragraph 963B(1)(c) of the Corporations Act</w:t>
            </w:r>
          </w:p>
        </w:tc>
        <w:tc>
          <w:tcPr>
            <w:tcW w:w="3005" w:type="dxa"/>
          </w:tcPr>
          <w:p w14:paraId="684713D0" w14:textId="3CEB33C8" w:rsidR="00871AB9" w:rsidRPr="000E5EE5" w:rsidRDefault="00871AB9" w:rsidP="00871AB9">
            <w:pPr>
              <w:spacing w:before="0" w:after="160" w:line="257" w:lineRule="auto"/>
              <w:rPr>
                <w:rFonts w:eastAsia="Calibri Light" w:cs="Calibri Light"/>
                <w:szCs w:val="22"/>
              </w:rPr>
            </w:pPr>
            <w:r>
              <w:rPr>
                <w:rFonts w:eastAsia="Calibri Light" w:cs="Calibri Light"/>
                <w:szCs w:val="22"/>
              </w:rPr>
              <w:t xml:space="preserve">Monetary benefit is given </w:t>
            </w:r>
            <w:r w:rsidRPr="005C21BF">
              <w:rPr>
                <w:rFonts w:eastAsia="Calibri Light" w:cs="Calibri Light"/>
                <w:szCs w:val="22"/>
              </w:rPr>
              <w:t xml:space="preserve">in relation to the issue or sale of a financial product (other than a life risk insurance product) and financial product advice about the product </w:t>
            </w:r>
            <w:r w:rsidR="006A6F1C">
              <w:rPr>
                <w:rFonts w:eastAsia="Calibri Light" w:cs="Calibri Light"/>
                <w:szCs w:val="22"/>
              </w:rPr>
              <w:t>(</w:t>
            </w:r>
            <w:r w:rsidRPr="005C21BF">
              <w:rPr>
                <w:rFonts w:eastAsia="Calibri Light" w:cs="Calibri Light"/>
                <w:szCs w:val="22"/>
              </w:rPr>
              <w:t>or class of product</w:t>
            </w:r>
            <w:r w:rsidR="006A6F1C">
              <w:rPr>
                <w:rFonts w:eastAsia="Calibri Light" w:cs="Calibri Light"/>
                <w:szCs w:val="22"/>
              </w:rPr>
              <w:t>)</w:t>
            </w:r>
            <w:r w:rsidRPr="005C21BF">
              <w:rPr>
                <w:rFonts w:eastAsia="Calibri Light" w:cs="Calibri Light"/>
                <w:szCs w:val="22"/>
              </w:rPr>
              <w:t xml:space="preserve"> has not been given to the </w:t>
            </w:r>
            <w:r w:rsidR="0075338B">
              <w:rPr>
                <w:rFonts w:eastAsia="Calibri Light" w:cs="Calibri Light"/>
                <w:szCs w:val="22"/>
              </w:rPr>
              <w:t>client</w:t>
            </w:r>
            <w:r w:rsidRPr="005C21BF">
              <w:rPr>
                <w:rFonts w:eastAsia="Calibri Light" w:cs="Calibri Light"/>
                <w:szCs w:val="22"/>
              </w:rPr>
              <w:t xml:space="preserve"> by the recipient </w:t>
            </w:r>
            <w:r w:rsidR="0075338B">
              <w:rPr>
                <w:rFonts w:eastAsia="Calibri Light" w:cs="Calibri Light"/>
                <w:szCs w:val="22"/>
              </w:rPr>
              <w:t xml:space="preserve">of the benefit </w:t>
            </w:r>
            <w:r w:rsidRPr="005C21BF">
              <w:rPr>
                <w:rFonts w:eastAsia="Calibri Light" w:cs="Calibri Light"/>
                <w:szCs w:val="22"/>
              </w:rPr>
              <w:t>in the previous 12 months</w:t>
            </w:r>
          </w:p>
        </w:tc>
        <w:tc>
          <w:tcPr>
            <w:tcW w:w="3006" w:type="dxa"/>
          </w:tcPr>
          <w:p w14:paraId="09CFF95E" w14:textId="262E4B1C" w:rsidR="00871AB9" w:rsidRPr="000E5EE5" w:rsidRDefault="00871AB9" w:rsidP="00871AB9">
            <w:pPr>
              <w:spacing w:before="0" w:after="160" w:line="257" w:lineRule="auto"/>
              <w:rPr>
                <w:rFonts w:eastAsia="Calibri Light" w:cs="Calibri Light"/>
                <w:szCs w:val="22"/>
              </w:rPr>
            </w:pPr>
            <w:r>
              <w:rPr>
                <w:rFonts w:eastAsia="Calibri Light" w:cs="Calibri Light"/>
                <w:szCs w:val="22"/>
              </w:rPr>
              <w:t xml:space="preserve">Remove the exemption – the ban on conflicted remuneration applies </w:t>
            </w:r>
            <w:r w:rsidR="00680125">
              <w:rPr>
                <w:rFonts w:eastAsia="Calibri Light" w:cs="Calibri Light"/>
                <w:szCs w:val="22"/>
              </w:rPr>
              <w:t xml:space="preserve">if </w:t>
            </w:r>
            <w:r w:rsidR="00441DA2">
              <w:rPr>
                <w:rFonts w:eastAsia="Calibri Light" w:cs="Calibri Light"/>
                <w:szCs w:val="22"/>
              </w:rPr>
              <w:t xml:space="preserve">the </w:t>
            </w:r>
            <w:r w:rsidR="006A6F1C">
              <w:rPr>
                <w:rFonts w:eastAsia="Calibri Light" w:cs="Calibri Light"/>
                <w:szCs w:val="22"/>
              </w:rPr>
              <w:t>benefit</w:t>
            </w:r>
            <w:r w:rsidR="002A794F">
              <w:rPr>
                <w:rFonts w:eastAsia="Calibri Light" w:cs="Calibri Light"/>
                <w:szCs w:val="22"/>
              </w:rPr>
              <w:t xml:space="preserve"> </w:t>
            </w:r>
            <w:r w:rsidR="00680125">
              <w:rPr>
                <w:rFonts w:eastAsia="Calibri Light" w:cs="Calibri Light"/>
                <w:szCs w:val="22"/>
              </w:rPr>
              <w:t xml:space="preserve">could reasonably be expected to influence the financial product advice provided to the client, regardless of </w:t>
            </w:r>
            <w:r w:rsidR="001F4801">
              <w:rPr>
                <w:rFonts w:eastAsia="Calibri Light" w:cs="Calibri Light"/>
                <w:szCs w:val="22"/>
              </w:rPr>
              <w:t xml:space="preserve">the time between when the advice is </w:t>
            </w:r>
            <w:proofErr w:type="gramStart"/>
            <w:r w:rsidR="001F4801">
              <w:rPr>
                <w:rFonts w:eastAsia="Calibri Light" w:cs="Calibri Light"/>
                <w:szCs w:val="22"/>
              </w:rPr>
              <w:t>given</w:t>
            </w:r>
            <w:proofErr w:type="gramEnd"/>
            <w:r w:rsidR="00E40CD7">
              <w:rPr>
                <w:rFonts w:eastAsia="Calibri Light" w:cs="Calibri Light"/>
                <w:szCs w:val="22"/>
              </w:rPr>
              <w:t xml:space="preserve"> and </w:t>
            </w:r>
            <w:r w:rsidR="00EB3E04">
              <w:rPr>
                <w:rFonts w:eastAsia="Calibri Light" w:cs="Calibri Light"/>
                <w:szCs w:val="22"/>
              </w:rPr>
              <w:t>the product is issued</w:t>
            </w:r>
          </w:p>
        </w:tc>
      </w:tr>
      <w:tr w:rsidR="00871AB9" w14:paraId="66958B0B" w14:textId="77777777" w:rsidTr="000E5EE5">
        <w:tc>
          <w:tcPr>
            <w:tcW w:w="3005" w:type="dxa"/>
          </w:tcPr>
          <w:p w14:paraId="750BC3D4" w14:textId="0508D0B8" w:rsidR="00871AB9" w:rsidRPr="000E5EE5" w:rsidRDefault="00871AB9" w:rsidP="00871AB9">
            <w:pPr>
              <w:spacing w:before="0" w:after="160" w:line="257" w:lineRule="auto"/>
              <w:rPr>
                <w:rFonts w:eastAsia="Calibri Light" w:cs="Calibri Light"/>
                <w:szCs w:val="22"/>
              </w:rPr>
            </w:pPr>
            <w:r>
              <w:rPr>
                <w:rFonts w:eastAsia="Calibri Light" w:cs="Calibri Light"/>
                <w:szCs w:val="22"/>
              </w:rPr>
              <w:t>Sub-paragraph 963B(1)(d)(i) of the Corporations Act</w:t>
            </w:r>
          </w:p>
        </w:tc>
        <w:tc>
          <w:tcPr>
            <w:tcW w:w="3005" w:type="dxa"/>
          </w:tcPr>
          <w:p w14:paraId="5F6484B0" w14:textId="7F4B8F28" w:rsidR="00871AB9" w:rsidRPr="000E5EE5" w:rsidRDefault="00871AB9" w:rsidP="00871AB9">
            <w:pPr>
              <w:spacing w:before="0" w:after="160" w:line="257" w:lineRule="auto"/>
              <w:rPr>
                <w:rFonts w:eastAsia="Calibri Light" w:cs="Calibri Light"/>
                <w:szCs w:val="22"/>
              </w:rPr>
            </w:pPr>
            <w:r>
              <w:rPr>
                <w:rFonts w:eastAsia="Calibri Light" w:cs="Calibri Light"/>
                <w:szCs w:val="22"/>
              </w:rPr>
              <w:t xml:space="preserve">Monetary benefit is given </w:t>
            </w:r>
            <w:r w:rsidR="00C510DF">
              <w:rPr>
                <w:rFonts w:eastAsia="Calibri Light" w:cs="Calibri Light"/>
                <w:szCs w:val="22"/>
              </w:rPr>
              <w:t xml:space="preserve">by the client </w:t>
            </w:r>
            <w:r>
              <w:rPr>
                <w:rFonts w:eastAsia="Calibri Light" w:cs="Calibri Light"/>
                <w:szCs w:val="22"/>
              </w:rPr>
              <w:t>in relation to the issue or sale of a financial product</w:t>
            </w:r>
          </w:p>
        </w:tc>
        <w:tc>
          <w:tcPr>
            <w:tcW w:w="3006" w:type="dxa"/>
          </w:tcPr>
          <w:p w14:paraId="2E434AB3" w14:textId="3D5B42CB" w:rsidR="00871AB9" w:rsidRPr="000E5EE5" w:rsidRDefault="00A7301A" w:rsidP="00871AB9">
            <w:pPr>
              <w:spacing w:before="0" w:after="160" w:line="257" w:lineRule="auto"/>
              <w:rPr>
                <w:rFonts w:eastAsia="Calibri Light" w:cs="Calibri Light"/>
                <w:szCs w:val="22"/>
              </w:rPr>
            </w:pPr>
            <w:r w:rsidRPr="00342B1C">
              <w:rPr>
                <w:rFonts w:eastAsia="Calibri Light" w:cs="Calibri Light"/>
                <w:szCs w:val="22"/>
              </w:rPr>
              <w:t>Remove th</w:t>
            </w:r>
            <w:r>
              <w:rPr>
                <w:rFonts w:eastAsia="Calibri Light" w:cs="Calibri Light"/>
                <w:szCs w:val="22"/>
              </w:rPr>
              <w:t xml:space="preserve">is </w:t>
            </w:r>
            <w:r w:rsidRPr="00342B1C">
              <w:rPr>
                <w:rFonts w:eastAsia="Calibri Light" w:cs="Calibri Light"/>
                <w:szCs w:val="22"/>
              </w:rPr>
              <w:t>exemption</w:t>
            </w:r>
            <w:r>
              <w:rPr>
                <w:rFonts w:eastAsia="Calibri Light" w:cs="Calibri Light"/>
                <w:szCs w:val="22"/>
              </w:rPr>
              <w:t xml:space="preserve"> to</w:t>
            </w:r>
            <w:r w:rsidRPr="00342B1C">
              <w:rPr>
                <w:rFonts w:eastAsia="Calibri Light" w:cs="Calibri Light"/>
                <w:szCs w:val="22"/>
              </w:rPr>
              <w:t xml:space="preserve"> simplify the law by removing redundant exceptions that have no effect because the conduct to which they relate is not financial product advice</w:t>
            </w:r>
          </w:p>
        </w:tc>
      </w:tr>
      <w:tr w:rsidR="00871AB9" w14:paraId="06B7D9D6" w14:textId="77777777" w:rsidTr="00175F27">
        <w:tc>
          <w:tcPr>
            <w:tcW w:w="3005" w:type="dxa"/>
          </w:tcPr>
          <w:p w14:paraId="5C010782" w14:textId="204B513E" w:rsidR="00871AB9" w:rsidRDefault="00871AB9" w:rsidP="00871AB9">
            <w:pPr>
              <w:spacing w:before="0" w:after="160" w:line="257" w:lineRule="auto"/>
              <w:rPr>
                <w:rFonts w:eastAsia="Calibri Light" w:cs="Calibri Light"/>
                <w:szCs w:val="22"/>
              </w:rPr>
            </w:pPr>
            <w:r>
              <w:rPr>
                <w:rFonts w:eastAsia="Calibri Light" w:cs="Calibri Light"/>
                <w:szCs w:val="22"/>
              </w:rPr>
              <w:lastRenderedPageBreak/>
              <w:t>Sub-paragraph 963B(1)(d)(ii) of the Corporations Act</w:t>
            </w:r>
          </w:p>
        </w:tc>
        <w:tc>
          <w:tcPr>
            <w:tcW w:w="3005" w:type="dxa"/>
          </w:tcPr>
          <w:p w14:paraId="2E89E264" w14:textId="7E047374" w:rsidR="00871AB9" w:rsidRDefault="00871AB9" w:rsidP="00871AB9">
            <w:pPr>
              <w:spacing w:before="0" w:after="160" w:line="257" w:lineRule="auto"/>
              <w:rPr>
                <w:rFonts w:eastAsia="Calibri Light" w:cs="Calibri Light"/>
                <w:szCs w:val="22"/>
              </w:rPr>
            </w:pPr>
            <w:r>
              <w:rPr>
                <w:rFonts w:eastAsia="Calibri Light" w:cs="Calibri Light"/>
                <w:szCs w:val="22"/>
              </w:rPr>
              <w:t>Monetary benefit is given</w:t>
            </w:r>
            <w:r w:rsidR="00C510DF">
              <w:rPr>
                <w:rFonts w:eastAsia="Calibri Light" w:cs="Calibri Light"/>
                <w:szCs w:val="22"/>
              </w:rPr>
              <w:t xml:space="preserve"> by the client</w:t>
            </w:r>
            <w:r>
              <w:rPr>
                <w:rFonts w:eastAsia="Calibri Light" w:cs="Calibri Light"/>
                <w:szCs w:val="22"/>
              </w:rPr>
              <w:t xml:space="preserve"> in relation to financial product advice</w:t>
            </w:r>
          </w:p>
        </w:tc>
        <w:tc>
          <w:tcPr>
            <w:tcW w:w="3006" w:type="dxa"/>
          </w:tcPr>
          <w:p w14:paraId="7ABED9D6" w14:textId="5BB1E187" w:rsidR="00871AB9" w:rsidRDefault="00871AB9" w:rsidP="00871AB9">
            <w:pPr>
              <w:spacing w:before="0" w:after="160" w:line="257" w:lineRule="auto"/>
              <w:rPr>
                <w:rFonts w:eastAsia="Calibri Light" w:cs="Calibri Light"/>
                <w:szCs w:val="22"/>
              </w:rPr>
            </w:pPr>
            <w:r>
              <w:rPr>
                <w:rFonts w:eastAsia="Calibri Light" w:cs="Calibri Light"/>
                <w:szCs w:val="22"/>
              </w:rPr>
              <w:t>Modify th</w:t>
            </w:r>
            <w:r w:rsidR="0016500C">
              <w:rPr>
                <w:rFonts w:eastAsia="Calibri Light" w:cs="Calibri Light"/>
                <w:szCs w:val="22"/>
              </w:rPr>
              <w:t>is</w:t>
            </w:r>
            <w:r>
              <w:rPr>
                <w:rFonts w:eastAsia="Calibri Light" w:cs="Calibri Light"/>
                <w:szCs w:val="22"/>
              </w:rPr>
              <w:t xml:space="preserve"> exemption to clarify that it also applies </w:t>
            </w:r>
            <w:r w:rsidRPr="00D77D5F">
              <w:rPr>
                <w:rFonts w:eastAsia="Calibri Light" w:cs="Calibri Light"/>
                <w:szCs w:val="22"/>
              </w:rPr>
              <w:t xml:space="preserve">where the client </w:t>
            </w:r>
            <w:r w:rsidR="00E35793">
              <w:rPr>
                <w:rFonts w:eastAsia="Calibri Light" w:cs="Calibri Light"/>
                <w:szCs w:val="22"/>
              </w:rPr>
              <w:t xml:space="preserve">authorises </w:t>
            </w:r>
            <w:r w:rsidRPr="00D77D5F">
              <w:rPr>
                <w:rFonts w:eastAsia="Calibri Light" w:cs="Calibri Light"/>
                <w:szCs w:val="22"/>
              </w:rPr>
              <w:t xml:space="preserve">a product issuer to pay </w:t>
            </w:r>
            <w:r w:rsidR="00066107">
              <w:rPr>
                <w:rFonts w:eastAsia="Calibri Light" w:cs="Calibri Light"/>
                <w:szCs w:val="22"/>
              </w:rPr>
              <w:t>for</w:t>
            </w:r>
            <w:r w:rsidRPr="00D77D5F">
              <w:rPr>
                <w:rFonts w:eastAsia="Calibri Light" w:cs="Calibri Light"/>
                <w:szCs w:val="22"/>
              </w:rPr>
              <w:t xml:space="preserve"> financial product advice </w:t>
            </w:r>
            <w:r w:rsidR="00E75409">
              <w:rPr>
                <w:rFonts w:eastAsia="Calibri Light" w:cs="Calibri Light"/>
                <w:szCs w:val="22"/>
              </w:rPr>
              <w:t xml:space="preserve">provided to the client </w:t>
            </w:r>
            <w:r w:rsidRPr="00D77D5F">
              <w:rPr>
                <w:rFonts w:eastAsia="Calibri Light" w:cs="Calibri Light"/>
                <w:szCs w:val="22"/>
              </w:rPr>
              <w:t>from the client's financial product</w:t>
            </w:r>
          </w:p>
        </w:tc>
      </w:tr>
      <w:tr w:rsidR="00BD189F" w14:paraId="5FB31614" w14:textId="77777777" w:rsidTr="00E409AE">
        <w:tc>
          <w:tcPr>
            <w:tcW w:w="3005" w:type="dxa"/>
          </w:tcPr>
          <w:p w14:paraId="27257D60" w14:textId="77777777" w:rsidR="00BD189F" w:rsidRPr="000E5EE5" w:rsidRDefault="00BD189F" w:rsidP="00E409AE">
            <w:pPr>
              <w:spacing w:before="0" w:after="160" w:line="257" w:lineRule="auto"/>
              <w:rPr>
                <w:rFonts w:eastAsia="Calibri Light" w:cs="Calibri Light"/>
                <w:szCs w:val="22"/>
              </w:rPr>
            </w:pPr>
            <w:r>
              <w:rPr>
                <w:rFonts w:eastAsia="Calibri Light" w:cs="Calibri Light"/>
                <w:szCs w:val="22"/>
              </w:rPr>
              <w:t>Regulations 7.7A.11C and 7.7A.11D of the Corporations Regulations</w:t>
            </w:r>
          </w:p>
        </w:tc>
        <w:tc>
          <w:tcPr>
            <w:tcW w:w="3005" w:type="dxa"/>
          </w:tcPr>
          <w:p w14:paraId="432F1E53" w14:textId="3E8FC917" w:rsidR="000F7281" w:rsidRDefault="00BD189F" w:rsidP="00E409AE">
            <w:pPr>
              <w:spacing w:before="0" w:after="160" w:line="257" w:lineRule="auto"/>
              <w:rPr>
                <w:rFonts w:eastAsia="Calibri Light" w:cs="Calibri Light"/>
                <w:szCs w:val="22"/>
              </w:rPr>
            </w:pPr>
            <w:r>
              <w:rPr>
                <w:rFonts w:eastAsia="Calibri Light" w:cs="Calibri Light"/>
                <w:szCs w:val="22"/>
              </w:rPr>
              <w:t>B</w:t>
            </w:r>
            <w:r w:rsidRPr="00A76A7C">
              <w:rPr>
                <w:rFonts w:eastAsia="Calibri Light" w:cs="Calibri Light"/>
                <w:szCs w:val="22"/>
              </w:rPr>
              <w:t xml:space="preserve">enefit </w:t>
            </w:r>
            <w:r>
              <w:rPr>
                <w:rFonts w:eastAsia="Calibri Light" w:cs="Calibri Light"/>
                <w:szCs w:val="22"/>
              </w:rPr>
              <w:t xml:space="preserve">is </w:t>
            </w:r>
            <w:r w:rsidRPr="00A76A7C">
              <w:rPr>
                <w:rFonts w:eastAsia="Calibri Light" w:cs="Calibri Light"/>
                <w:szCs w:val="22"/>
              </w:rPr>
              <w:t xml:space="preserve">given in </w:t>
            </w:r>
            <w:r w:rsidR="0095592E">
              <w:rPr>
                <w:rFonts w:eastAsia="Calibri Light" w:cs="Calibri Light"/>
                <w:szCs w:val="22"/>
              </w:rPr>
              <w:t xml:space="preserve">specified circumstances in </w:t>
            </w:r>
            <w:r w:rsidRPr="00A76A7C">
              <w:rPr>
                <w:rFonts w:eastAsia="Calibri Light" w:cs="Calibri Light"/>
                <w:szCs w:val="22"/>
              </w:rPr>
              <w:t>relation to</w:t>
            </w:r>
            <w:r w:rsidR="000F7281">
              <w:rPr>
                <w:rFonts w:eastAsia="Calibri Light" w:cs="Calibri Light"/>
                <w:szCs w:val="22"/>
              </w:rPr>
              <w:t>:</w:t>
            </w:r>
          </w:p>
          <w:p w14:paraId="38CD72D9" w14:textId="5665484A" w:rsidR="00BD189F" w:rsidRDefault="00502541" w:rsidP="000F7281">
            <w:pPr>
              <w:pStyle w:val="ListParagraph"/>
              <w:numPr>
                <w:ilvl w:val="0"/>
                <w:numId w:val="31"/>
              </w:numPr>
              <w:spacing w:before="0" w:after="160" w:line="257" w:lineRule="auto"/>
              <w:rPr>
                <w:rFonts w:eastAsia="Calibri Light" w:cs="Calibri Light"/>
                <w:szCs w:val="22"/>
              </w:rPr>
            </w:pPr>
            <w:r w:rsidRPr="000F7281">
              <w:rPr>
                <w:rFonts w:eastAsia="Calibri Light" w:cs="Calibri Light"/>
                <w:szCs w:val="22"/>
              </w:rPr>
              <w:t xml:space="preserve">information </w:t>
            </w:r>
            <w:r w:rsidR="007C44C8" w:rsidRPr="000F7281">
              <w:rPr>
                <w:rFonts w:eastAsia="Calibri Light" w:cs="Calibri Light"/>
                <w:szCs w:val="22"/>
              </w:rPr>
              <w:t xml:space="preserve">provided to a client </w:t>
            </w:r>
            <w:r w:rsidRPr="00994E9B">
              <w:rPr>
                <w:rFonts w:eastAsia="Calibri Light" w:cs="Calibri Light"/>
                <w:szCs w:val="22"/>
              </w:rPr>
              <w:t xml:space="preserve">about </w:t>
            </w:r>
            <w:r w:rsidR="00BD189F" w:rsidRPr="00042251">
              <w:rPr>
                <w:rFonts w:eastAsia="Calibri Light" w:cs="Calibri Light"/>
                <w:szCs w:val="22"/>
              </w:rPr>
              <w:t>a life risk insurance product</w:t>
            </w:r>
            <w:r w:rsidR="000F7281">
              <w:rPr>
                <w:rFonts w:eastAsia="Calibri Light" w:cs="Calibri Light"/>
                <w:szCs w:val="22"/>
              </w:rPr>
              <w:t>; or</w:t>
            </w:r>
          </w:p>
          <w:p w14:paraId="6447917B" w14:textId="195AF3C9" w:rsidR="000F7281" w:rsidRPr="000F7281" w:rsidRDefault="0095592E" w:rsidP="00112075">
            <w:pPr>
              <w:pStyle w:val="ListParagraph"/>
              <w:numPr>
                <w:ilvl w:val="0"/>
                <w:numId w:val="31"/>
              </w:numPr>
              <w:spacing w:before="0" w:after="160" w:line="257" w:lineRule="auto"/>
              <w:rPr>
                <w:rFonts w:eastAsia="Calibri Light" w:cs="Calibri Light"/>
                <w:szCs w:val="22"/>
              </w:rPr>
            </w:pPr>
            <w:r>
              <w:rPr>
                <w:rFonts w:eastAsia="Calibri Light" w:cs="Calibri Light"/>
                <w:szCs w:val="22"/>
              </w:rPr>
              <w:t>a</w:t>
            </w:r>
            <w:r w:rsidR="00BA034E">
              <w:rPr>
                <w:rFonts w:eastAsia="Calibri Light" w:cs="Calibri Light"/>
                <w:szCs w:val="22"/>
              </w:rPr>
              <w:t xml:space="preserve"> dealing in a life risk insurance product</w:t>
            </w:r>
          </w:p>
        </w:tc>
        <w:tc>
          <w:tcPr>
            <w:tcW w:w="3006" w:type="dxa"/>
          </w:tcPr>
          <w:p w14:paraId="28A51212" w14:textId="77777777" w:rsidR="00BD189F" w:rsidRPr="000E5EE5" w:rsidRDefault="00BD189F" w:rsidP="00E409AE">
            <w:pPr>
              <w:spacing w:before="0" w:after="160" w:line="257" w:lineRule="auto"/>
              <w:rPr>
                <w:rFonts w:eastAsia="Calibri Light" w:cs="Calibri Light"/>
                <w:szCs w:val="22"/>
              </w:rPr>
            </w:pPr>
            <w:r>
              <w:rPr>
                <w:rFonts w:eastAsia="Calibri Light" w:cs="Calibri Light"/>
                <w:szCs w:val="22"/>
              </w:rPr>
              <w:t>Retain, with no change</w:t>
            </w:r>
          </w:p>
        </w:tc>
      </w:tr>
      <w:tr w:rsidR="00871AB9" w14:paraId="7EE3FA04" w14:textId="77777777" w:rsidTr="00175F27">
        <w:tc>
          <w:tcPr>
            <w:tcW w:w="3005" w:type="dxa"/>
          </w:tcPr>
          <w:p w14:paraId="59E6ED50" w14:textId="28F6E3E5" w:rsidR="00871AB9" w:rsidRDefault="00871AB9" w:rsidP="00871AB9">
            <w:pPr>
              <w:spacing w:before="0" w:after="160" w:line="257" w:lineRule="auto"/>
              <w:rPr>
                <w:rFonts w:eastAsia="Calibri Light" w:cs="Calibri Light"/>
                <w:szCs w:val="22"/>
              </w:rPr>
            </w:pPr>
            <w:r>
              <w:rPr>
                <w:rFonts w:eastAsia="Calibri Light" w:cs="Calibri Light"/>
                <w:szCs w:val="22"/>
              </w:rPr>
              <w:t>Regulation 7.7A.12B of the Corporations Regulations</w:t>
            </w:r>
          </w:p>
        </w:tc>
        <w:tc>
          <w:tcPr>
            <w:tcW w:w="3005" w:type="dxa"/>
          </w:tcPr>
          <w:p w14:paraId="0B2AFDC4" w14:textId="4472A793" w:rsidR="00871AB9" w:rsidRDefault="00871AB9" w:rsidP="00871AB9">
            <w:pPr>
              <w:spacing w:before="0" w:after="160" w:line="257" w:lineRule="auto"/>
              <w:rPr>
                <w:rFonts w:eastAsia="Calibri Light" w:cs="Calibri Light"/>
                <w:szCs w:val="22"/>
              </w:rPr>
            </w:pPr>
            <w:r>
              <w:rPr>
                <w:rFonts w:eastAsia="Calibri Light" w:cs="Calibri Light"/>
                <w:szCs w:val="22"/>
              </w:rPr>
              <w:t>Monetary benefit is given as a stamping fee given to facilitate an approved capital raising</w:t>
            </w:r>
          </w:p>
        </w:tc>
        <w:tc>
          <w:tcPr>
            <w:tcW w:w="3006" w:type="dxa"/>
          </w:tcPr>
          <w:p w14:paraId="0B560AAB" w14:textId="20B4557B" w:rsidR="00871AB9" w:rsidRDefault="00871AB9" w:rsidP="00871AB9">
            <w:pPr>
              <w:spacing w:before="0" w:after="160" w:line="257" w:lineRule="auto"/>
              <w:rPr>
                <w:rFonts w:eastAsia="Calibri Light" w:cs="Calibri Light"/>
                <w:szCs w:val="22"/>
              </w:rPr>
            </w:pPr>
            <w:r>
              <w:rPr>
                <w:rFonts w:eastAsia="Calibri Light" w:cs="Calibri Light"/>
                <w:szCs w:val="22"/>
              </w:rPr>
              <w:t>Retain, with no change</w:t>
            </w:r>
          </w:p>
        </w:tc>
      </w:tr>
      <w:tr w:rsidR="00871AB9" w14:paraId="3AFE9180" w14:textId="77777777" w:rsidTr="00175F27">
        <w:tc>
          <w:tcPr>
            <w:tcW w:w="3005" w:type="dxa"/>
          </w:tcPr>
          <w:p w14:paraId="39B7A034" w14:textId="53FEDCF0" w:rsidR="00871AB9" w:rsidRDefault="00871AB9" w:rsidP="00871AB9">
            <w:pPr>
              <w:spacing w:before="0" w:after="160" w:line="257" w:lineRule="auto"/>
              <w:rPr>
                <w:rFonts w:eastAsia="Calibri Light" w:cs="Calibri Light"/>
                <w:szCs w:val="22"/>
              </w:rPr>
            </w:pPr>
            <w:r>
              <w:rPr>
                <w:rFonts w:eastAsia="Calibri Light" w:cs="Calibri Light"/>
                <w:szCs w:val="22"/>
              </w:rPr>
              <w:t>Regulation 7.7A.12C of the Corporations Regulations</w:t>
            </w:r>
          </w:p>
        </w:tc>
        <w:tc>
          <w:tcPr>
            <w:tcW w:w="3005" w:type="dxa"/>
          </w:tcPr>
          <w:p w14:paraId="5489CF25" w14:textId="7DC61FA3" w:rsidR="00871AB9" w:rsidRDefault="00871AB9" w:rsidP="00871AB9">
            <w:pPr>
              <w:spacing w:before="0" w:after="160" w:line="257" w:lineRule="auto"/>
              <w:rPr>
                <w:rFonts w:eastAsia="Calibri Light" w:cs="Calibri Light"/>
                <w:szCs w:val="22"/>
              </w:rPr>
            </w:pPr>
            <w:r>
              <w:rPr>
                <w:rFonts w:eastAsia="Calibri Light" w:cs="Calibri Light"/>
                <w:szCs w:val="22"/>
              </w:rPr>
              <w:t>Monetary benefit is given for advice that relates to an interest in a time-sharing scheme</w:t>
            </w:r>
          </w:p>
        </w:tc>
        <w:tc>
          <w:tcPr>
            <w:tcW w:w="3006" w:type="dxa"/>
          </w:tcPr>
          <w:p w14:paraId="45DC99A1" w14:textId="2D0142DC" w:rsidR="00871AB9" w:rsidRDefault="00871AB9" w:rsidP="00871AB9">
            <w:pPr>
              <w:spacing w:before="0" w:after="160" w:line="257" w:lineRule="auto"/>
              <w:rPr>
                <w:rFonts w:eastAsia="Calibri Light" w:cs="Calibri Light"/>
                <w:szCs w:val="22"/>
              </w:rPr>
            </w:pPr>
            <w:r>
              <w:rPr>
                <w:rFonts w:eastAsia="Calibri Light" w:cs="Calibri Light"/>
                <w:szCs w:val="22"/>
              </w:rPr>
              <w:t>Review the regulatory requirements for time-sharing schemes, and consider whether to retain the exemption to the ban on conflicted remuneration</w:t>
            </w:r>
          </w:p>
        </w:tc>
      </w:tr>
      <w:tr w:rsidR="00871AB9" w14:paraId="446092D8" w14:textId="77777777" w:rsidTr="00175F27">
        <w:tc>
          <w:tcPr>
            <w:tcW w:w="3005" w:type="dxa"/>
          </w:tcPr>
          <w:p w14:paraId="5F5817DC" w14:textId="47F67BBF" w:rsidR="00871AB9" w:rsidRDefault="00871AB9" w:rsidP="00871AB9">
            <w:pPr>
              <w:spacing w:before="0" w:after="160" w:line="257" w:lineRule="auto"/>
              <w:rPr>
                <w:rFonts w:eastAsia="Calibri Light" w:cs="Calibri Light"/>
                <w:szCs w:val="22"/>
              </w:rPr>
            </w:pPr>
            <w:r>
              <w:rPr>
                <w:rFonts w:eastAsia="Calibri Light" w:cs="Calibri Light"/>
                <w:szCs w:val="22"/>
              </w:rPr>
              <w:t>Regulation 7.7A.12D of the Corporations Regulations</w:t>
            </w:r>
          </w:p>
        </w:tc>
        <w:tc>
          <w:tcPr>
            <w:tcW w:w="3005" w:type="dxa"/>
          </w:tcPr>
          <w:p w14:paraId="51983514" w14:textId="603861D1" w:rsidR="00871AB9" w:rsidRDefault="00871AB9" w:rsidP="00871AB9">
            <w:pPr>
              <w:spacing w:before="0" w:after="160" w:line="257" w:lineRule="auto"/>
              <w:rPr>
                <w:rFonts w:eastAsia="Calibri Light" w:cs="Calibri Light"/>
                <w:szCs w:val="22"/>
              </w:rPr>
            </w:pPr>
            <w:r>
              <w:rPr>
                <w:rFonts w:eastAsia="Calibri Light" w:cs="Calibri Light"/>
                <w:szCs w:val="22"/>
              </w:rPr>
              <w:t>Monetary benefit consists of a brokerage fee</w:t>
            </w:r>
          </w:p>
        </w:tc>
        <w:tc>
          <w:tcPr>
            <w:tcW w:w="3006" w:type="dxa"/>
          </w:tcPr>
          <w:p w14:paraId="57391828" w14:textId="16C8F2BA" w:rsidR="00871AB9" w:rsidRDefault="00871AB9" w:rsidP="00871AB9">
            <w:pPr>
              <w:spacing w:before="0" w:after="160" w:line="257" w:lineRule="auto"/>
              <w:rPr>
                <w:rFonts w:eastAsia="Calibri Light" w:cs="Calibri Light"/>
                <w:szCs w:val="22"/>
              </w:rPr>
            </w:pPr>
            <w:r>
              <w:rPr>
                <w:rFonts w:eastAsia="Calibri Light" w:cs="Calibri Light"/>
                <w:szCs w:val="22"/>
              </w:rPr>
              <w:t>Retain, with no change</w:t>
            </w:r>
          </w:p>
        </w:tc>
      </w:tr>
      <w:tr w:rsidR="00871AB9" w14:paraId="16A7FD04" w14:textId="77777777" w:rsidTr="00175F27">
        <w:tc>
          <w:tcPr>
            <w:tcW w:w="3005" w:type="dxa"/>
          </w:tcPr>
          <w:p w14:paraId="38B3DA0E" w14:textId="4CC8B31D" w:rsidR="00871AB9" w:rsidRDefault="00871AB9" w:rsidP="00871AB9">
            <w:pPr>
              <w:spacing w:before="0" w:after="160" w:line="257" w:lineRule="auto"/>
              <w:rPr>
                <w:rFonts w:eastAsia="Calibri Light" w:cs="Calibri Light"/>
                <w:szCs w:val="22"/>
              </w:rPr>
            </w:pPr>
            <w:r>
              <w:rPr>
                <w:rFonts w:eastAsia="Calibri Light" w:cs="Calibri Light"/>
                <w:szCs w:val="22"/>
              </w:rPr>
              <w:t>Regulation 7.7A.12E of the Corporations Regulations</w:t>
            </w:r>
          </w:p>
        </w:tc>
        <w:tc>
          <w:tcPr>
            <w:tcW w:w="3005" w:type="dxa"/>
          </w:tcPr>
          <w:p w14:paraId="66C1193C" w14:textId="06931C19" w:rsidR="00871AB9" w:rsidRDefault="00871AB9" w:rsidP="00871AB9">
            <w:pPr>
              <w:spacing w:before="0" w:after="160" w:line="257" w:lineRule="auto"/>
              <w:rPr>
                <w:rFonts w:eastAsia="Calibri Light" w:cs="Calibri Light"/>
                <w:szCs w:val="22"/>
              </w:rPr>
            </w:pPr>
            <w:r>
              <w:rPr>
                <w:rFonts w:eastAsia="Calibri Light" w:cs="Calibri Light"/>
                <w:szCs w:val="22"/>
              </w:rPr>
              <w:t xml:space="preserve">Monetary benefit given to </w:t>
            </w:r>
            <w:r w:rsidR="00A7301A">
              <w:rPr>
                <w:rFonts w:eastAsia="Calibri Light" w:cs="Calibri Light"/>
                <w:szCs w:val="22"/>
              </w:rPr>
              <w:t>a</w:t>
            </w:r>
            <w:r>
              <w:rPr>
                <w:rFonts w:eastAsia="Calibri Light" w:cs="Calibri Light"/>
                <w:szCs w:val="22"/>
              </w:rPr>
              <w:t xml:space="preserve"> provider dealing in a financial product on behalf of the client</w:t>
            </w:r>
          </w:p>
        </w:tc>
        <w:tc>
          <w:tcPr>
            <w:tcW w:w="3006" w:type="dxa"/>
          </w:tcPr>
          <w:p w14:paraId="18F1FDF2" w14:textId="54A99D0F" w:rsidR="00871AB9" w:rsidRDefault="00891B78" w:rsidP="00871AB9">
            <w:pPr>
              <w:spacing w:before="0" w:after="160" w:line="257" w:lineRule="auto"/>
              <w:rPr>
                <w:rFonts w:eastAsia="Calibri Light" w:cs="Calibri Light"/>
                <w:szCs w:val="22"/>
              </w:rPr>
            </w:pPr>
            <w:r w:rsidRPr="00342B1C">
              <w:rPr>
                <w:rFonts w:eastAsia="Calibri Light" w:cs="Calibri Light"/>
                <w:szCs w:val="22"/>
              </w:rPr>
              <w:t>Remove th</w:t>
            </w:r>
            <w:r>
              <w:rPr>
                <w:rFonts w:eastAsia="Calibri Light" w:cs="Calibri Light"/>
                <w:szCs w:val="22"/>
              </w:rPr>
              <w:t xml:space="preserve">is </w:t>
            </w:r>
            <w:r w:rsidRPr="00342B1C">
              <w:rPr>
                <w:rFonts w:eastAsia="Calibri Light" w:cs="Calibri Light"/>
                <w:szCs w:val="22"/>
              </w:rPr>
              <w:t>exemption</w:t>
            </w:r>
            <w:r>
              <w:rPr>
                <w:rFonts w:eastAsia="Calibri Light" w:cs="Calibri Light"/>
                <w:szCs w:val="22"/>
              </w:rPr>
              <w:t xml:space="preserve"> to</w:t>
            </w:r>
            <w:r w:rsidRPr="00342B1C">
              <w:rPr>
                <w:rFonts w:eastAsia="Calibri Light" w:cs="Calibri Light"/>
                <w:szCs w:val="22"/>
              </w:rPr>
              <w:t xml:space="preserve"> simplify the law by removing redundant exceptions that have no effect because the conduct to which they relate is not financial product advice</w:t>
            </w:r>
          </w:p>
        </w:tc>
      </w:tr>
      <w:tr w:rsidR="00871AB9" w14:paraId="42A1C24F" w14:textId="77777777" w:rsidTr="00175F27">
        <w:tc>
          <w:tcPr>
            <w:tcW w:w="3005" w:type="dxa"/>
          </w:tcPr>
          <w:p w14:paraId="6375FC40" w14:textId="3915A1D9" w:rsidR="00871AB9" w:rsidRDefault="00871AB9" w:rsidP="00871AB9">
            <w:pPr>
              <w:spacing w:before="0" w:after="160" w:line="257" w:lineRule="auto"/>
              <w:rPr>
                <w:rFonts w:eastAsia="Calibri Light" w:cs="Calibri Light"/>
                <w:szCs w:val="22"/>
              </w:rPr>
            </w:pPr>
            <w:r>
              <w:rPr>
                <w:rFonts w:eastAsia="Calibri Light" w:cs="Calibri Light"/>
                <w:szCs w:val="22"/>
              </w:rPr>
              <w:t>Regulation 7.7A.12EA of the Corporations Regulations</w:t>
            </w:r>
          </w:p>
        </w:tc>
        <w:tc>
          <w:tcPr>
            <w:tcW w:w="3005" w:type="dxa"/>
          </w:tcPr>
          <w:p w14:paraId="405B1FC8" w14:textId="134F9D74" w:rsidR="00871AB9" w:rsidRDefault="00871AB9" w:rsidP="00871AB9">
            <w:pPr>
              <w:spacing w:before="0" w:after="160" w:line="257" w:lineRule="auto"/>
              <w:rPr>
                <w:rFonts w:eastAsia="Calibri Light" w:cs="Calibri Light"/>
                <w:szCs w:val="22"/>
              </w:rPr>
            </w:pPr>
            <w:r>
              <w:rPr>
                <w:rFonts w:eastAsia="Calibri Light" w:cs="Calibri Light"/>
                <w:szCs w:val="22"/>
              </w:rPr>
              <w:t>Monetary benefit given as part of the sale of all</w:t>
            </w:r>
            <w:r w:rsidR="00A7301A">
              <w:rPr>
                <w:rFonts w:eastAsia="Calibri Light" w:cs="Calibri Light"/>
                <w:szCs w:val="22"/>
              </w:rPr>
              <w:t>,</w:t>
            </w:r>
            <w:r>
              <w:rPr>
                <w:rFonts w:eastAsia="Calibri Light" w:cs="Calibri Light"/>
                <w:szCs w:val="22"/>
              </w:rPr>
              <w:t xml:space="preserve"> or part</w:t>
            </w:r>
            <w:r w:rsidR="00A7301A">
              <w:rPr>
                <w:rFonts w:eastAsia="Calibri Light" w:cs="Calibri Light"/>
                <w:szCs w:val="22"/>
              </w:rPr>
              <w:t>,</w:t>
            </w:r>
            <w:r>
              <w:rPr>
                <w:rFonts w:eastAsia="Calibri Light" w:cs="Calibri Light"/>
                <w:szCs w:val="22"/>
              </w:rPr>
              <w:t xml:space="preserve"> of the AFS licensee or representative’s financial advice business and the price is calculated in accordance with the formula prescribed in the regulations</w:t>
            </w:r>
          </w:p>
        </w:tc>
        <w:tc>
          <w:tcPr>
            <w:tcW w:w="3006" w:type="dxa"/>
          </w:tcPr>
          <w:p w14:paraId="02DF1127" w14:textId="782BB138" w:rsidR="00871AB9" w:rsidRDefault="00871AB9" w:rsidP="00871AB9">
            <w:pPr>
              <w:spacing w:before="0" w:after="160" w:line="257" w:lineRule="auto"/>
              <w:rPr>
                <w:rFonts w:eastAsia="Calibri Light" w:cs="Calibri Light"/>
                <w:szCs w:val="22"/>
              </w:rPr>
            </w:pPr>
            <w:r>
              <w:rPr>
                <w:rFonts w:eastAsia="Calibri Light" w:cs="Calibri Light"/>
                <w:szCs w:val="22"/>
              </w:rPr>
              <w:t>Retain, with no change</w:t>
            </w:r>
          </w:p>
        </w:tc>
      </w:tr>
      <w:tr w:rsidR="00871AB9" w14:paraId="107DD9F3" w14:textId="77777777" w:rsidTr="00175F27">
        <w:tc>
          <w:tcPr>
            <w:tcW w:w="3005" w:type="dxa"/>
          </w:tcPr>
          <w:p w14:paraId="38486147" w14:textId="484D09F5" w:rsidR="00871AB9" w:rsidRDefault="00871AB9" w:rsidP="00871AB9">
            <w:pPr>
              <w:spacing w:before="0" w:after="160" w:line="257" w:lineRule="auto"/>
              <w:rPr>
                <w:rFonts w:eastAsia="Calibri Light" w:cs="Calibri Light"/>
                <w:szCs w:val="22"/>
              </w:rPr>
            </w:pPr>
            <w:r>
              <w:rPr>
                <w:rFonts w:eastAsia="Calibri Light" w:cs="Calibri Light"/>
                <w:szCs w:val="22"/>
              </w:rPr>
              <w:t>Paragraph 963C(1)(b) of the Corporations Act and regulation 7.7A.13 of the Corporations Regulations</w:t>
            </w:r>
          </w:p>
        </w:tc>
        <w:tc>
          <w:tcPr>
            <w:tcW w:w="3005" w:type="dxa"/>
          </w:tcPr>
          <w:p w14:paraId="4BC8BED4" w14:textId="30904996" w:rsidR="00871AB9" w:rsidRDefault="00871AB9" w:rsidP="00871AB9">
            <w:pPr>
              <w:spacing w:before="0" w:after="160" w:line="257" w:lineRule="auto"/>
              <w:rPr>
                <w:rFonts w:eastAsia="Calibri Light" w:cs="Calibri Light"/>
                <w:szCs w:val="22"/>
              </w:rPr>
            </w:pPr>
            <w:r>
              <w:rPr>
                <w:rFonts w:eastAsia="Calibri Light" w:cs="Calibri Light"/>
                <w:szCs w:val="22"/>
              </w:rPr>
              <w:t>Non-monetary benefit is less than $300 and identical or similar benefits are not given on a frequent or regular basis</w:t>
            </w:r>
          </w:p>
        </w:tc>
        <w:tc>
          <w:tcPr>
            <w:tcW w:w="3006" w:type="dxa"/>
          </w:tcPr>
          <w:p w14:paraId="6F4DA347" w14:textId="4F81F27F" w:rsidR="00871AB9" w:rsidRDefault="00871AB9" w:rsidP="00871AB9">
            <w:pPr>
              <w:spacing w:before="0" w:after="160" w:line="257" w:lineRule="auto"/>
              <w:rPr>
                <w:rFonts w:eastAsia="Calibri Light" w:cs="Calibri Light"/>
                <w:szCs w:val="22"/>
              </w:rPr>
            </w:pPr>
            <w:r w:rsidRPr="00936B25">
              <w:rPr>
                <w:rFonts w:eastAsia="Calibri Light" w:cs="Calibri Light"/>
                <w:szCs w:val="22"/>
              </w:rPr>
              <w:t>Retain, with no change</w:t>
            </w:r>
          </w:p>
        </w:tc>
      </w:tr>
      <w:tr w:rsidR="00871AB9" w14:paraId="728343D3" w14:textId="77777777" w:rsidTr="00175F27">
        <w:tc>
          <w:tcPr>
            <w:tcW w:w="3005" w:type="dxa"/>
          </w:tcPr>
          <w:p w14:paraId="002A2E38" w14:textId="1BC428A9" w:rsidR="00871AB9" w:rsidRDefault="00871AB9" w:rsidP="00871AB9">
            <w:pPr>
              <w:spacing w:before="0" w:after="160" w:line="257" w:lineRule="auto"/>
              <w:rPr>
                <w:rFonts w:eastAsia="Calibri Light" w:cs="Calibri Light"/>
                <w:szCs w:val="22"/>
              </w:rPr>
            </w:pPr>
            <w:r>
              <w:rPr>
                <w:rFonts w:eastAsia="Calibri Light" w:cs="Calibri Light"/>
                <w:szCs w:val="22"/>
              </w:rPr>
              <w:lastRenderedPageBreak/>
              <w:t>Paragraph 963C(1)(c) of the Corporations Act and regulations 7.7A.14, 7.7A.15 and 7.7A.15A of the Corporations Regulations</w:t>
            </w:r>
          </w:p>
        </w:tc>
        <w:tc>
          <w:tcPr>
            <w:tcW w:w="3005" w:type="dxa"/>
          </w:tcPr>
          <w:p w14:paraId="6D3BC520" w14:textId="132BB5A9" w:rsidR="00871AB9" w:rsidRDefault="00871AB9" w:rsidP="00871AB9">
            <w:pPr>
              <w:spacing w:before="0" w:after="160" w:line="257" w:lineRule="auto"/>
              <w:rPr>
                <w:rFonts w:eastAsia="Calibri Light" w:cs="Calibri Light"/>
                <w:szCs w:val="22"/>
              </w:rPr>
            </w:pPr>
            <w:r>
              <w:rPr>
                <w:rFonts w:eastAsia="Calibri Light" w:cs="Calibri Light"/>
                <w:szCs w:val="22"/>
              </w:rPr>
              <w:t>Non-monetary benefit has a genuine education or training purpose relevant to the carrying on of a financial services business</w:t>
            </w:r>
          </w:p>
        </w:tc>
        <w:tc>
          <w:tcPr>
            <w:tcW w:w="3006" w:type="dxa"/>
          </w:tcPr>
          <w:p w14:paraId="290651F7" w14:textId="7C78094A" w:rsidR="00871AB9" w:rsidRDefault="00871AB9" w:rsidP="00871AB9">
            <w:pPr>
              <w:spacing w:before="0" w:after="160" w:line="257" w:lineRule="auto"/>
              <w:rPr>
                <w:rFonts w:eastAsia="Calibri Light" w:cs="Calibri Light"/>
                <w:szCs w:val="22"/>
              </w:rPr>
            </w:pPr>
            <w:r w:rsidRPr="00936B25">
              <w:rPr>
                <w:rFonts w:eastAsia="Calibri Light" w:cs="Calibri Light"/>
                <w:szCs w:val="22"/>
              </w:rPr>
              <w:t>Retain, with no change</w:t>
            </w:r>
          </w:p>
        </w:tc>
      </w:tr>
      <w:tr w:rsidR="00871AB9" w14:paraId="2EF0D902" w14:textId="77777777" w:rsidTr="00175F27">
        <w:tc>
          <w:tcPr>
            <w:tcW w:w="3005" w:type="dxa"/>
          </w:tcPr>
          <w:p w14:paraId="43506314" w14:textId="14A5FA9C" w:rsidR="00871AB9" w:rsidRDefault="00871AB9" w:rsidP="00871AB9">
            <w:pPr>
              <w:spacing w:before="0" w:after="160" w:line="257" w:lineRule="auto"/>
              <w:rPr>
                <w:rFonts w:eastAsia="Calibri Light" w:cs="Calibri Light"/>
                <w:szCs w:val="22"/>
              </w:rPr>
            </w:pPr>
            <w:r>
              <w:rPr>
                <w:rFonts w:eastAsia="Calibri Light" w:cs="Calibri Light"/>
                <w:szCs w:val="22"/>
              </w:rPr>
              <w:t>Paragraph 963C(1)(d) of the Corporations Act</w:t>
            </w:r>
          </w:p>
        </w:tc>
        <w:tc>
          <w:tcPr>
            <w:tcW w:w="3005" w:type="dxa"/>
          </w:tcPr>
          <w:p w14:paraId="7DF5CED4" w14:textId="7F790C92" w:rsidR="00871AB9" w:rsidRDefault="00871AB9" w:rsidP="00871AB9">
            <w:pPr>
              <w:spacing w:before="0" w:after="160" w:line="257" w:lineRule="auto"/>
              <w:rPr>
                <w:rFonts w:eastAsia="Calibri Light" w:cs="Calibri Light"/>
                <w:szCs w:val="22"/>
              </w:rPr>
            </w:pPr>
            <w:r>
              <w:rPr>
                <w:rFonts w:eastAsia="Calibri Light" w:cs="Calibri Light"/>
                <w:szCs w:val="22"/>
              </w:rPr>
              <w:t>Non-monetary benefit involves the provision of information technology software or support</w:t>
            </w:r>
            <w:r w:rsidR="000E530D">
              <w:rPr>
                <w:rFonts w:eastAsia="Calibri Light" w:cs="Calibri Light"/>
                <w:szCs w:val="22"/>
              </w:rPr>
              <w:t xml:space="preserve"> related to the provision of financial product advice</w:t>
            </w:r>
            <w:r w:rsidR="00E91446">
              <w:rPr>
                <w:rFonts w:eastAsia="Calibri Light" w:cs="Calibri Light"/>
                <w:szCs w:val="22"/>
              </w:rPr>
              <w:t xml:space="preserve"> to retail clients</w:t>
            </w:r>
          </w:p>
        </w:tc>
        <w:tc>
          <w:tcPr>
            <w:tcW w:w="3006" w:type="dxa"/>
          </w:tcPr>
          <w:p w14:paraId="5A0C8FAD" w14:textId="3A4620A1" w:rsidR="00871AB9" w:rsidRDefault="00871AB9" w:rsidP="00871AB9">
            <w:pPr>
              <w:spacing w:before="0" w:after="160" w:line="257" w:lineRule="auto"/>
              <w:rPr>
                <w:rFonts w:eastAsia="Calibri Light" w:cs="Calibri Light"/>
                <w:szCs w:val="22"/>
              </w:rPr>
            </w:pPr>
            <w:r w:rsidRPr="00936B25">
              <w:rPr>
                <w:rFonts w:eastAsia="Calibri Light" w:cs="Calibri Light"/>
                <w:szCs w:val="22"/>
              </w:rPr>
              <w:t>Retain, with no change</w:t>
            </w:r>
          </w:p>
        </w:tc>
      </w:tr>
      <w:tr w:rsidR="00871AB9" w14:paraId="7C9A1029" w14:textId="77777777" w:rsidTr="00175F27">
        <w:tc>
          <w:tcPr>
            <w:tcW w:w="3005" w:type="dxa"/>
          </w:tcPr>
          <w:p w14:paraId="358C22CF" w14:textId="5A1A0848" w:rsidR="00871AB9" w:rsidRDefault="00871AB9" w:rsidP="00871AB9">
            <w:pPr>
              <w:spacing w:before="0" w:after="160" w:line="257" w:lineRule="auto"/>
              <w:rPr>
                <w:rFonts w:eastAsia="Calibri Light" w:cs="Calibri Light"/>
                <w:szCs w:val="22"/>
              </w:rPr>
            </w:pPr>
            <w:r>
              <w:rPr>
                <w:rFonts w:eastAsia="Calibri Light" w:cs="Calibri Light"/>
                <w:szCs w:val="22"/>
              </w:rPr>
              <w:t>Sub-paragraph 963C(1)(e)(i) of the Corporations Act</w:t>
            </w:r>
          </w:p>
        </w:tc>
        <w:tc>
          <w:tcPr>
            <w:tcW w:w="3005" w:type="dxa"/>
          </w:tcPr>
          <w:p w14:paraId="5C2038BD" w14:textId="7A3555CD" w:rsidR="00871AB9" w:rsidRDefault="00871AB9" w:rsidP="00871AB9">
            <w:pPr>
              <w:spacing w:before="0" w:after="160" w:line="257" w:lineRule="auto"/>
              <w:rPr>
                <w:rFonts w:eastAsia="Calibri Light" w:cs="Calibri Light"/>
                <w:szCs w:val="22"/>
              </w:rPr>
            </w:pPr>
            <w:r>
              <w:rPr>
                <w:rFonts w:eastAsia="Calibri Light" w:cs="Calibri Light"/>
                <w:szCs w:val="22"/>
              </w:rPr>
              <w:t xml:space="preserve">Non-monetary benefit is given </w:t>
            </w:r>
            <w:r w:rsidR="00E91446">
              <w:rPr>
                <w:rFonts w:eastAsia="Calibri Light" w:cs="Calibri Light"/>
                <w:szCs w:val="22"/>
              </w:rPr>
              <w:t xml:space="preserve">by the client </w:t>
            </w:r>
            <w:r>
              <w:rPr>
                <w:rFonts w:eastAsia="Calibri Light" w:cs="Calibri Light"/>
                <w:szCs w:val="22"/>
              </w:rPr>
              <w:t>in relation to the issue or sale of a financial product</w:t>
            </w:r>
          </w:p>
        </w:tc>
        <w:tc>
          <w:tcPr>
            <w:tcW w:w="3006" w:type="dxa"/>
          </w:tcPr>
          <w:p w14:paraId="5B2D86D2" w14:textId="09FB2836" w:rsidR="00871AB9" w:rsidRPr="000E5EE5" w:rsidRDefault="00891B78" w:rsidP="00871AB9">
            <w:pPr>
              <w:spacing w:before="0" w:after="160" w:line="257" w:lineRule="auto"/>
              <w:rPr>
                <w:rFonts w:eastAsia="Calibri Light" w:cs="Calibri Light"/>
                <w:szCs w:val="22"/>
                <w:highlight w:val="yellow"/>
              </w:rPr>
            </w:pPr>
            <w:r w:rsidRPr="00342B1C">
              <w:rPr>
                <w:rFonts w:eastAsia="Calibri Light" w:cs="Calibri Light"/>
                <w:szCs w:val="22"/>
              </w:rPr>
              <w:t>Remove th</w:t>
            </w:r>
            <w:r>
              <w:rPr>
                <w:rFonts w:eastAsia="Calibri Light" w:cs="Calibri Light"/>
                <w:szCs w:val="22"/>
              </w:rPr>
              <w:t xml:space="preserve">is </w:t>
            </w:r>
            <w:r w:rsidRPr="00342B1C">
              <w:rPr>
                <w:rFonts w:eastAsia="Calibri Light" w:cs="Calibri Light"/>
                <w:szCs w:val="22"/>
              </w:rPr>
              <w:t>exemption</w:t>
            </w:r>
            <w:r>
              <w:rPr>
                <w:rFonts w:eastAsia="Calibri Light" w:cs="Calibri Light"/>
                <w:szCs w:val="22"/>
              </w:rPr>
              <w:t xml:space="preserve"> to</w:t>
            </w:r>
            <w:r w:rsidRPr="00342B1C">
              <w:rPr>
                <w:rFonts w:eastAsia="Calibri Light" w:cs="Calibri Light"/>
                <w:szCs w:val="22"/>
              </w:rPr>
              <w:t xml:space="preserve"> simplify the law by removing redundant exceptions that have no effect because the conduct to which they relate is not financial product advice</w:t>
            </w:r>
          </w:p>
        </w:tc>
      </w:tr>
      <w:tr w:rsidR="00871AB9" w14:paraId="5ED9E3AD" w14:textId="77777777" w:rsidTr="00175F27">
        <w:tc>
          <w:tcPr>
            <w:tcW w:w="3005" w:type="dxa"/>
          </w:tcPr>
          <w:p w14:paraId="44FBBD2B" w14:textId="16A621AE" w:rsidR="00871AB9" w:rsidRDefault="00871AB9" w:rsidP="00871AB9">
            <w:pPr>
              <w:spacing w:before="0" w:after="160" w:line="257" w:lineRule="auto"/>
              <w:rPr>
                <w:rFonts w:eastAsia="Calibri Light" w:cs="Calibri Light"/>
                <w:szCs w:val="22"/>
              </w:rPr>
            </w:pPr>
            <w:r>
              <w:rPr>
                <w:rFonts w:eastAsia="Calibri Light" w:cs="Calibri Light"/>
                <w:szCs w:val="22"/>
              </w:rPr>
              <w:t>Sub-paragraph 963C(1)(e)(ii) of the Corporations Act</w:t>
            </w:r>
          </w:p>
        </w:tc>
        <w:tc>
          <w:tcPr>
            <w:tcW w:w="3005" w:type="dxa"/>
          </w:tcPr>
          <w:p w14:paraId="0894F19E" w14:textId="20A0ADDD" w:rsidR="00871AB9" w:rsidRDefault="00871AB9" w:rsidP="00871AB9">
            <w:pPr>
              <w:spacing w:before="0" w:after="160" w:line="257" w:lineRule="auto"/>
              <w:rPr>
                <w:rFonts w:eastAsia="Calibri Light" w:cs="Calibri Light"/>
                <w:szCs w:val="22"/>
              </w:rPr>
            </w:pPr>
            <w:r>
              <w:rPr>
                <w:rFonts w:eastAsia="Calibri Light" w:cs="Calibri Light"/>
                <w:szCs w:val="22"/>
              </w:rPr>
              <w:t xml:space="preserve">Non-monetary benefit is given </w:t>
            </w:r>
            <w:r w:rsidR="009A49BA">
              <w:rPr>
                <w:rFonts w:eastAsia="Calibri Light" w:cs="Calibri Light"/>
                <w:szCs w:val="22"/>
              </w:rPr>
              <w:t xml:space="preserve">by the client </w:t>
            </w:r>
            <w:r>
              <w:rPr>
                <w:rFonts w:eastAsia="Calibri Light" w:cs="Calibri Light"/>
                <w:szCs w:val="22"/>
              </w:rPr>
              <w:t>in relation to financial product advice</w:t>
            </w:r>
          </w:p>
        </w:tc>
        <w:tc>
          <w:tcPr>
            <w:tcW w:w="3006" w:type="dxa"/>
          </w:tcPr>
          <w:p w14:paraId="5505E974" w14:textId="300A1DC8" w:rsidR="00871AB9" w:rsidRDefault="00871AB9" w:rsidP="00871AB9">
            <w:pPr>
              <w:spacing w:before="0" w:after="160" w:line="257" w:lineRule="auto"/>
              <w:rPr>
                <w:rFonts w:eastAsia="Calibri Light" w:cs="Calibri Light"/>
                <w:szCs w:val="22"/>
              </w:rPr>
            </w:pPr>
            <w:r>
              <w:rPr>
                <w:rFonts w:eastAsia="Calibri Light" w:cs="Calibri Light"/>
                <w:szCs w:val="22"/>
              </w:rPr>
              <w:t>Retain, with no change</w:t>
            </w:r>
          </w:p>
        </w:tc>
      </w:tr>
      <w:tr w:rsidR="00871AB9" w14:paraId="01857B59" w14:textId="77777777" w:rsidTr="00175F27">
        <w:tc>
          <w:tcPr>
            <w:tcW w:w="3005" w:type="dxa"/>
          </w:tcPr>
          <w:p w14:paraId="7DE667C3" w14:textId="24F502AD" w:rsidR="00871AB9" w:rsidRDefault="00871AB9" w:rsidP="00871AB9">
            <w:pPr>
              <w:spacing w:before="0" w:after="160" w:line="257" w:lineRule="auto"/>
              <w:rPr>
                <w:rFonts w:eastAsia="Calibri Light" w:cs="Calibri Light"/>
                <w:szCs w:val="22"/>
              </w:rPr>
            </w:pPr>
            <w:r>
              <w:rPr>
                <w:rFonts w:eastAsia="Calibri Light" w:cs="Calibri Light"/>
                <w:szCs w:val="22"/>
              </w:rPr>
              <w:t>Section 963D of the Corporations Act and regulation 7.7A.12H of the Corporations Regulations</w:t>
            </w:r>
          </w:p>
        </w:tc>
        <w:tc>
          <w:tcPr>
            <w:tcW w:w="3005" w:type="dxa"/>
          </w:tcPr>
          <w:p w14:paraId="0B279450" w14:textId="1B719488" w:rsidR="00871AB9" w:rsidRDefault="00871AB9" w:rsidP="00871AB9">
            <w:pPr>
              <w:spacing w:before="0" w:after="160" w:line="257" w:lineRule="auto"/>
              <w:rPr>
                <w:rFonts w:eastAsia="Calibri Light" w:cs="Calibri Light"/>
                <w:szCs w:val="22"/>
              </w:rPr>
            </w:pPr>
            <w:r>
              <w:rPr>
                <w:rFonts w:eastAsia="Calibri Light" w:cs="Calibri Light"/>
                <w:szCs w:val="22"/>
              </w:rPr>
              <w:t>Monetary or non-monetary benefit given to an agent or employee of an Australian ADI only providing financial product advice in relation to a basic banking product, general insurance product or consumer credit insurance (or any combination of these products)</w:t>
            </w:r>
          </w:p>
        </w:tc>
        <w:tc>
          <w:tcPr>
            <w:tcW w:w="3006" w:type="dxa"/>
          </w:tcPr>
          <w:p w14:paraId="080A91F4" w14:textId="77777777" w:rsidR="005856F9" w:rsidRDefault="002105F7" w:rsidP="00871AB9">
            <w:pPr>
              <w:spacing w:before="0" w:after="160" w:line="257" w:lineRule="auto"/>
            </w:pPr>
            <w:r w:rsidRPr="00112075">
              <w:t>Remov</w:t>
            </w:r>
            <w:r>
              <w:t xml:space="preserve">e these exemptions </w:t>
            </w:r>
            <w:r w:rsidR="005856F9">
              <w:t xml:space="preserve">to improve the consistency of the law by treating </w:t>
            </w:r>
            <w:r w:rsidRPr="00112075">
              <w:t xml:space="preserve">employees of Australian ADIs in the same way as employees of other financial institutions. </w:t>
            </w:r>
          </w:p>
          <w:p w14:paraId="087166E8" w14:textId="03425858" w:rsidR="00871AB9" w:rsidRPr="00112075" w:rsidRDefault="005856F9" w:rsidP="00871AB9">
            <w:pPr>
              <w:spacing w:before="0" w:after="160" w:line="257" w:lineRule="auto"/>
            </w:pPr>
            <w:r>
              <w:t xml:space="preserve">This </w:t>
            </w:r>
            <w:r w:rsidR="002105F7" w:rsidRPr="00112075">
              <w:t>would also be consistent with the 2021 Sedgwick Review</w:t>
            </w:r>
          </w:p>
        </w:tc>
      </w:tr>
    </w:tbl>
    <w:p w14:paraId="420472B8" w14:textId="77777777" w:rsidR="00AD5C02" w:rsidRPr="00EE121D" w:rsidRDefault="00AD5C02" w:rsidP="0030233F">
      <w:pPr>
        <w:spacing w:before="0" w:after="160" w:line="257" w:lineRule="auto"/>
        <w:rPr>
          <w:rFonts w:eastAsia="Calibri Light" w:cs="Calibri Light"/>
          <w:i/>
          <w:iCs/>
          <w:szCs w:val="22"/>
        </w:rPr>
      </w:pPr>
    </w:p>
    <w:p w14:paraId="54FCEC11" w14:textId="77777777" w:rsidR="0030233F" w:rsidRPr="00EE121D" w:rsidRDefault="0030233F" w:rsidP="0030233F">
      <w:pPr>
        <w:spacing w:before="0" w:after="160" w:line="257" w:lineRule="auto"/>
        <w:rPr>
          <w:rFonts w:eastAsia="Calibri Light" w:cs="Calibri Light"/>
          <w:szCs w:val="22"/>
        </w:rPr>
      </w:pPr>
    </w:p>
    <w:p w14:paraId="71F77918" w14:textId="2EDBCD6E" w:rsidR="000F5E21" w:rsidRPr="00EE121D" w:rsidRDefault="000F5E21" w:rsidP="32D8E1C7">
      <w:pPr>
        <w:spacing w:before="0" w:after="160" w:line="259" w:lineRule="auto"/>
      </w:pPr>
      <w:r>
        <w:br/>
      </w:r>
    </w:p>
    <w:p w14:paraId="47D8BF89" w14:textId="62729906" w:rsidR="000F5E21" w:rsidRPr="0030233F" w:rsidRDefault="000F5E21" w:rsidP="0030233F"/>
    <w:sectPr w:rsidR="000F5E21" w:rsidRPr="0030233F" w:rsidSect="00DA5923">
      <w:headerReference w:type="default" r:id="rId14"/>
      <w:footerReference w:type="default" r:id="rId15"/>
      <w:pgSz w:w="11906" w:h="16838"/>
      <w:pgMar w:top="1247" w:right="1440" w:bottom="124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71851" w14:textId="77777777" w:rsidR="00120B40" w:rsidRDefault="00120B40" w:rsidP="00AF74C6">
      <w:pPr>
        <w:spacing w:before="0" w:after="0"/>
      </w:pPr>
      <w:r>
        <w:separator/>
      </w:r>
    </w:p>
  </w:endnote>
  <w:endnote w:type="continuationSeparator" w:id="0">
    <w:p w14:paraId="2D753D93" w14:textId="77777777" w:rsidR="00120B40" w:rsidRDefault="00120B40" w:rsidP="00AF74C6">
      <w:pPr>
        <w:spacing w:before="0" w:after="0"/>
      </w:pPr>
      <w:r>
        <w:continuationSeparator/>
      </w:r>
    </w:p>
  </w:endnote>
  <w:endnote w:type="continuationNotice" w:id="1">
    <w:p w14:paraId="6260EAAE" w14:textId="77777777" w:rsidR="00120B40" w:rsidRDefault="00120B4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2216053"/>
      <w:docPartObj>
        <w:docPartGallery w:val="Page Numbers (Bottom of Page)"/>
        <w:docPartUnique/>
      </w:docPartObj>
    </w:sdtPr>
    <w:sdtEndPr>
      <w:rPr>
        <w:noProof/>
      </w:rPr>
    </w:sdtEndPr>
    <w:sdtContent>
      <w:p w14:paraId="1923CF92" w14:textId="36EF20BF" w:rsidR="00F80F21" w:rsidRDefault="00F80F2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10E463" w14:textId="5C5A8EC4" w:rsidR="00476C42" w:rsidRPr="00476C42" w:rsidRDefault="00476C42" w:rsidP="00476C42">
    <w:pPr>
      <w:pStyle w:val="Footer"/>
      <w:jc w:val="center"/>
      <w:rPr>
        <w:b/>
        <w:bCs/>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B377B" w14:textId="77777777" w:rsidR="00120B40" w:rsidRDefault="00120B40" w:rsidP="00AF74C6">
      <w:pPr>
        <w:spacing w:before="0" w:after="0"/>
      </w:pPr>
      <w:r>
        <w:separator/>
      </w:r>
    </w:p>
  </w:footnote>
  <w:footnote w:type="continuationSeparator" w:id="0">
    <w:p w14:paraId="58575DB8" w14:textId="77777777" w:rsidR="00120B40" w:rsidRDefault="00120B40" w:rsidP="00AF74C6">
      <w:pPr>
        <w:spacing w:before="0" w:after="0"/>
      </w:pPr>
      <w:r>
        <w:continuationSeparator/>
      </w:r>
    </w:p>
  </w:footnote>
  <w:footnote w:type="continuationNotice" w:id="1">
    <w:p w14:paraId="37B21129" w14:textId="77777777" w:rsidR="00120B40" w:rsidRDefault="00120B40">
      <w:pPr>
        <w:spacing w:before="0" w:after="0"/>
      </w:pPr>
    </w:p>
  </w:footnote>
  <w:footnote w:id="2">
    <w:p w14:paraId="31FBADFE" w14:textId="696B7549" w:rsidR="00092720" w:rsidRDefault="00092720" w:rsidP="00C5212F">
      <w:pPr>
        <w:pStyle w:val="FootnoteText"/>
        <w:ind w:left="0" w:firstLine="0"/>
      </w:pPr>
      <w:r>
        <w:rPr>
          <w:rStyle w:val="FootnoteReference"/>
        </w:rPr>
        <w:footnoteRef/>
      </w:r>
      <w:r w:rsidR="00F86932" w:rsidRPr="00F86932">
        <w:rPr>
          <w:bCs/>
        </w:rPr>
        <w:t xml:space="preserve"> </w:t>
      </w:r>
      <w:r w:rsidR="001211EC" w:rsidRPr="001E1BB8">
        <w:rPr>
          <w:bCs/>
        </w:rPr>
        <w:t xml:space="preserve">Finity Consulting </w:t>
      </w:r>
      <w:r w:rsidR="00640010">
        <w:rPr>
          <w:bCs/>
        </w:rPr>
        <w:t>(Finity)</w:t>
      </w:r>
      <w:r w:rsidR="001211EC" w:rsidRPr="001E1BB8">
        <w:rPr>
          <w:bCs/>
        </w:rPr>
        <w:t xml:space="preserve"> </w:t>
      </w:r>
      <w:r w:rsidR="001211EC">
        <w:rPr>
          <w:bCs/>
        </w:rPr>
        <w:t>was</w:t>
      </w:r>
      <w:r w:rsidR="001211EC" w:rsidRPr="001E1BB8">
        <w:rPr>
          <w:bCs/>
        </w:rPr>
        <w:t xml:space="preserve"> engaged by ASIC to prepare a report on the distribution and remuneration arrangements of general insurance products sold to retail customers</w:t>
      </w:r>
      <w:r w:rsidR="001211EC">
        <w:rPr>
          <w:bCs/>
        </w:rPr>
        <w:t>.</w:t>
      </w:r>
      <w:r w:rsidR="00185FB9">
        <w:rPr>
          <w:bCs/>
        </w:rPr>
        <w:t xml:space="preserve"> </w:t>
      </w:r>
      <w:r w:rsidR="007300E3">
        <w:rPr>
          <w:bCs/>
        </w:rPr>
        <w:t xml:space="preserve">Finity </w:t>
      </w:r>
      <w:r w:rsidR="00385AEA">
        <w:rPr>
          <w:bCs/>
        </w:rPr>
        <w:t>p</w:t>
      </w:r>
      <w:r w:rsidR="00C700FC" w:rsidRPr="00C700FC">
        <w:rPr>
          <w:bCs/>
        </w:rPr>
        <w:t xml:space="preserve">rovided </w:t>
      </w:r>
      <w:r w:rsidR="002757A2">
        <w:rPr>
          <w:bCs/>
        </w:rPr>
        <w:t xml:space="preserve">their report </w:t>
      </w:r>
      <w:r w:rsidR="002757A2" w:rsidRPr="00AA3C71">
        <w:rPr>
          <w:i/>
        </w:rPr>
        <w:t>“</w:t>
      </w:r>
      <w:r w:rsidR="002757A2" w:rsidRPr="000E5EE5">
        <w:rPr>
          <w:i/>
        </w:rPr>
        <w:t>General Insurance Distribution and Remuneration Arrangements</w:t>
      </w:r>
      <w:r w:rsidR="002757A2">
        <w:rPr>
          <w:i/>
        </w:rPr>
        <w:t>”</w:t>
      </w:r>
      <w:r w:rsidR="005D1A6E">
        <w:rPr>
          <w:iCs/>
        </w:rPr>
        <w:t xml:space="preserve"> </w:t>
      </w:r>
      <w:r w:rsidR="007D32C9">
        <w:rPr>
          <w:iCs/>
        </w:rPr>
        <w:t xml:space="preserve">to ASIC </w:t>
      </w:r>
      <w:r w:rsidR="005D1A6E">
        <w:rPr>
          <w:iCs/>
        </w:rPr>
        <w:t>in July 2019</w:t>
      </w:r>
      <w:r w:rsidR="002757A2">
        <w:rPr>
          <w:i/>
        </w:rPr>
        <w:t>.</w:t>
      </w:r>
      <w:r w:rsidR="0008464F">
        <w:rPr>
          <w:i/>
        </w:rPr>
        <w:t xml:space="preserve"> </w:t>
      </w:r>
      <w:r w:rsidR="00D84479" w:rsidRPr="00D84479">
        <w:rPr>
          <w:bCs/>
        </w:rPr>
        <w:t>The report is intended to provide a</w:t>
      </w:r>
      <w:r w:rsidR="007D32C9">
        <w:rPr>
          <w:bCs/>
        </w:rPr>
        <w:t>n overview of</w:t>
      </w:r>
      <w:r w:rsidR="00D84479" w:rsidRPr="00D84479">
        <w:rPr>
          <w:bCs/>
        </w:rPr>
        <w:t xml:space="preserve"> distribution and remuneration </w:t>
      </w:r>
      <w:r w:rsidR="007D32C9">
        <w:rPr>
          <w:bCs/>
        </w:rPr>
        <w:t xml:space="preserve">arrangements </w:t>
      </w:r>
      <w:r w:rsidR="00D84479" w:rsidRPr="00D84479">
        <w:rPr>
          <w:bCs/>
        </w:rPr>
        <w:t>at an industry level.</w:t>
      </w:r>
    </w:p>
  </w:footnote>
  <w:footnote w:id="3">
    <w:p w14:paraId="1A5B035C" w14:textId="48411D30" w:rsidR="00333F51" w:rsidRDefault="00333F51" w:rsidP="00901700">
      <w:pPr>
        <w:pStyle w:val="FootnoteText"/>
        <w:ind w:left="0" w:firstLine="0"/>
      </w:pPr>
      <w:r>
        <w:rPr>
          <w:rStyle w:val="FootnoteReference"/>
        </w:rPr>
        <w:footnoteRef/>
      </w:r>
      <w:r>
        <w:t xml:space="preserve"> </w:t>
      </w:r>
      <w:r w:rsidR="00FF7C0B">
        <w:t xml:space="preserve">APRA, </w:t>
      </w:r>
      <w:proofErr w:type="gramStart"/>
      <w:r w:rsidR="00250D22" w:rsidRPr="0005437C">
        <w:rPr>
          <w:i/>
        </w:rPr>
        <w:t>Quarterly</w:t>
      </w:r>
      <w:proofErr w:type="gramEnd"/>
      <w:r w:rsidR="00250D22" w:rsidRPr="0005437C">
        <w:rPr>
          <w:i/>
        </w:rPr>
        <w:t xml:space="preserve"> general insurance performance statistics December 2002 to </w:t>
      </w:r>
      <w:r w:rsidR="00535589">
        <w:rPr>
          <w:i/>
        </w:rPr>
        <w:t>June 2022</w:t>
      </w:r>
      <w:r w:rsidR="00250D22">
        <w:t xml:space="preserve"> </w:t>
      </w:r>
      <w:r w:rsidR="00AB5E14">
        <w:t>(</w:t>
      </w:r>
      <w:r w:rsidR="00464305">
        <w:t>S</w:t>
      </w:r>
      <w:r w:rsidR="00275172" w:rsidRPr="00275172">
        <w:t>tatistics</w:t>
      </w:r>
      <w:r w:rsidR="006407A3">
        <w:t xml:space="preserve">, </w:t>
      </w:r>
      <w:r w:rsidR="00A43686">
        <w:t xml:space="preserve">June </w:t>
      </w:r>
      <w:r w:rsidR="0091356E">
        <w:t>2022</w:t>
      </w:r>
      <w:r w:rsidR="00AB5E14">
        <w:t>)</w:t>
      </w:r>
      <w:r w:rsidR="00250D22">
        <w:t xml:space="preserve"> – accessed from: </w:t>
      </w:r>
      <w:hyperlink r:id="rId1" w:history="1">
        <w:r w:rsidR="008A1455" w:rsidRPr="00D34BA9">
          <w:rPr>
            <w:rStyle w:val="Hyperlink"/>
          </w:rPr>
          <w:t>https://www.apra.gov.au/quarterly-general-insurance-statistics</w:t>
        </w:r>
      </w:hyperlink>
      <w:r w:rsidR="00CD2F07">
        <w:rPr>
          <w:rStyle w:val="Hyperlink"/>
        </w:rPr>
        <w:t>.</w:t>
      </w:r>
      <w:r w:rsidR="008A1455">
        <w:t xml:space="preserve"> </w:t>
      </w:r>
    </w:p>
  </w:footnote>
  <w:footnote w:id="4">
    <w:p w14:paraId="1B351773" w14:textId="16774739" w:rsidR="002003DD" w:rsidRDefault="002003DD" w:rsidP="00C56D6A">
      <w:pPr>
        <w:pStyle w:val="FootnoteText"/>
      </w:pPr>
      <w:r>
        <w:rPr>
          <w:rStyle w:val="FootnoteReference"/>
        </w:rPr>
        <w:footnoteRef/>
      </w:r>
      <w:r w:rsidRPr="00C56D6A">
        <w:rPr>
          <w:rStyle w:val="FootnoteReference"/>
        </w:rPr>
        <w:t xml:space="preserve"> </w:t>
      </w:r>
      <w:r w:rsidR="00301FCE">
        <w:t>Ibid</w:t>
      </w:r>
      <w:r w:rsidR="00C56D6A">
        <w:t>.</w:t>
      </w:r>
    </w:p>
  </w:footnote>
  <w:footnote w:id="5">
    <w:p w14:paraId="2681322D" w14:textId="2343C857" w:rsidR="00A26393" w:rsidRPr="008E557B" w:rsidRDefault="00A26393" w:rsidP="004732B6">
      <w:pPr>
        <w:pStyle w:val="FootnoteText"/>
        <w:ind w:left="0" w:firstLine="0"/>
      </w:pPr>
      <w:r>
        <w:rPr>
          <w:rStyle w:val="FootnoteReference"/>
        </w:rPr>
        <w:footnoteRef/>
      </w:r>
      <w:r>
        <w:t xml:space="preserve"> </w:t>
      </w:r>
      <w:r w:rsidR="00FB0572">
        <w:t xml:space="preserve">Finity, </w:t>
      </w:r>
      <w:r w:rsidR="007874D2" w:rsidRPr="000E5EE5">
        <w:rPr>
          <w:i/>
          <w:iCs/>
        </w:rPr>
        <w:t xml:space="preserve">General Insurance Distribution and Remuneration Arrangements </w:t>
      </w:r>
      <w:r w:rsidR="00460AC6">
        <w:t>(</w:t>
      </w:r>
      <w:r w:rsidR="00F730DB">
        <w:t>Report</w:t>
      </w:r>
      <w:r w:rsidR="00D004BA">
        <w:t xml:space="preserve">, </w:t>
      </w:r>
      <w:r w:rsidR="000C592D">
        <w:t>July 2019</w:t>
      </w:r>
      <w:r w:rsidR="00460AC6">
        <w:t>)</w:t>
      </w:r>
      <w:r w:rsidR="00F52B29">
        <w:t>.</w:t>
      </w:r>
    </w:p>
  </w:footnote>
  <w:footnote w:id="6">
    <w:p w14:paraId="2EA052C7" w14:textId="411D149D" w:rsidR="00C7389B" w:rsidRDefault="00C7389B">
      <w:pPr>
        <w:pStyle w:val="FootnoteText"/>
      </w:pPr>
      <w:r>
        <w:rPr>
          <w:rStyle w:val="FootnoteReference"/>
        </w:rPr>
        <w:footnoteRef/>
      </w:r>
      <w:r>
        <w:t xml:space="preserve"> </w:t>
      </w:r>
      <w:r w:rsidR="005876E4">
        <w:t>Ibid.</w:t>
      </w:r>
    </w:p>
  </w:footnote>
  <w:footnote w:id="7">
    <w:p w14:paraId="1C6BC40E" w14:textId="6CF715E5" w:rsidR="00BD649E" w:rsidRDefault="00BD649E" w:rsidP="0013508D">
      <w:pPr>
        <w:pStyle w:val="FootnoteText"/>
        <w:ind w:left="0" w:firstLine="0"/>
      </w:pPr>
      <w:r>
        <w:rPr>
          <w:rStyle w:val="FootnoteReference"/>
        </w:rPr>
        <w:footnoteRef/>
      </w:r>
      <w:r>
        <w:t xml:space="preserve"> </w:t>
      </w:r>
      <w:r w:rsidR="00661531">
        <w:t xml:space="preserve">Ibid </w:t>
      </w:r>
      <w:r w:rsidR="00D2411F">
        <w:t>6</w:t>
      </w:r>
      <w:r w:rsidR="001D2A56">
        <w:t>.</w:t>
      </w:r>
      <w:r w:rsidR="00375377">
        <w:t xml:space="preserve"> </w:t>
      </w:r>
      <w:r w:rsidR="00C462A8">
        <w:t>The Finity report estimate</w:t>
      </w:r>
      <w:r w:rsidR="0013508D">
        <w:t>s</w:t>
      </w:r>
      <w:r w:rsidR="00C462A8">
        <w:t xml:space="preserve"> that</w:t>
      </w:r>
      <w:r w:rsidR="00185B05">
        <w:t xml:space="preserve"> brokers receive an average</w:t>
      </w:r>
      <w:r w:rsidR="00C462A8">
        <w:t xml:space="preserve"> commission rate</w:t>
      </w:r>
      <w:r w:rsidR="00185B05">
        <w:t xml:space="preserve"> of 15-25% for the sale of home and contents insurance</w:t>
      </w:r>
      <w:r w:rsidR="00870EAB">
        <w:t>,</w:t>
      </w:r>
      <w:r w:rsidR="00185B05">
        <w:t xml:space="preserve"> </w:t>
      </w:r>
      <w:r w:rsidR="0013508D">
        <w:t xml:space="preserve">and 10-15% for the sale of motor vehicle insurance. </w:t>
      </w:r>
    </w:p>
  </w:footnote>
  <w:footnote w:id="8">
    <w:p w14:paraId="0AE1998D" w14:textId="0A43AE5F" w:rsidR="00C74F7B" w:rsidRDefault="00C74F7B" w:rsidP="00200DFE">
      <w:pPr>
        <w:pStyle w:val="FootnoteText"/>
        <w:ind w:left="0" w:firstLine="0"/>
      </w:pPr>
      <w:r>
        <w:rPr>
          <w:rStyle w:val="FootnoteReference"/>
        </w:rPr>
        <w:footnoteRef/>
      </w:r>
      <w:r>
        <w:t xml:space="preserve"> </w:t>
      </w:r>
      <w:r w:rsidR="00867548">
        <w:t>ASIC</w:t>
      </w:r>
      <w:r w:rsidR="006042A9">
        <w:t xml:space="preserve">, </w:t>
      </w:r>
      <w:r w:rsidR="009C6681" w:rsidRPr="00200DFE">
        <w:rPr>
          <w:i/>
          <w:iCs/>
        </w:rPr>
        <w:t>Timeshare: Consumers’ experiences</w:t>
      </w:r>
      <w:r w:rsidR="009C6681">
        <w:t xml:space="preserve"> (</w:t>
      </w:r>
      <w:r w:rsidR="00FD74DC">
        <w:t xml:space="preserve">ASIC </w:t>
      </w:r>
      <w:r w:rsidR="009C6681">
        <w:t>Report 642</w:t>
      </w:r>
      <w:r w:rsidR="00FD74DC">
        <w:t>, December 2019</w:t>
      </w:r>
      <w:r w:rsidR="00E2378F">
        <w:t xml:space="preserve">) – accessed from: </w:t>
      </w:r>
      <w:hyperlink r:id="rId2" w:history="1">
        <w:r w:rsidR="00867548" w:rsidRPr="00113FB0">
          <w:rPr>
            <w:rStyle w:val="Hyperlink"/>
          </w:rPr>
          <w:t>https://download.asic.gov.au/media/5399786/rep642-published-6-december-2019.pdf</w:t>
        </w:r>
      </w:hyperlink>
      <w:r w:rsidR="00867548">
        <w:t xml:space="preserve">. </w:t>
      </w:r>
    </w:p>
  </w:footnote>
  <w:footnote w:id="9">
    <w:p w14:paraId="69F94CCE" w14:textId="47B6A7A3" w:rsidR="00B23A26" w:rsidRDefault="00B23A26" w:rsidP="009508AA">
      <w:pPr>
        <w:pStyle w:val="FootnoteText"/>
        <w:ind w:left="0" w:firstLine="0"/>
      </w:pPr>
      <w:r>
        <w:rPr>
          <w:rStyle w:val="FootnoteReference"/>
        </w:rPr>
        <w:footnoteRef/>
      </w:r>
      <w:r>
        <w:t xml:space="preserve"> </w:t>
      </w:r>
      <w:r w:rsidR="00050C76">
        <w:t xml:space="preserve">Revised Explanatory </w:t>
      </w:r>
      <w:r w:rsidR="006A3866">
        <w:t xml:space="preserve">Memorandum, </w:t>
      </w:r>
      <w:r w:rsidR="002520CA" w:rsidRPr="00844E76">
        <w:rPr>
          <w:i/>
          <w:iCs/>
        </w:rPr>
        <w:t>Corporations Amendment (Further Future of Financial Advice Measures) Bill 2012</w:t>
      </w:r>
      <w:r w:rsidR="00735A4C">
        <w:t xml:space="preserve"> (Cth), pg 30, para</w:t>
      </w:r>
      <w:r w:rsidR="00770BA8">
        <w:t xml:space="preserve"> 2.2</w:t>
      </w:r>
      <w:r w:rsidR="00735A4C">
        <w:t>7</w:t>
      </w:r>
      <w:r w:rsidR="00F40937">
        <w:t xml:space="preserve"> – accessed from: </w:t>
      </w:r>
      <w:hyperlink r:id="rId3" w:history="1">
        <w:r w:rsidR="00F36023" w:rsidRPr="007F38AC">
          <w:rPr>
            <w:rStyle w:val="Hyperlink"/>
          </w:rPr>
          <w:t>https://parlinfo.aph.gov.au/parlInfo/download/legislation/ems/r4739_ems_c1902f04-f76c-455d-87bf-763755860827/upload_pdf/368171rem.pdf;fileType=application%2Fpdf</w:t>
        </w:r>
      </w:hyperlink>
      <w:r w:rsidR="00F36023">
        <w:t xml:space="preserve">. </w:t>
      </w:r>
    </w:p>
  </w:footnote>
  <w:footnote w:id="10">
    <w:p w14:paraId="085CDC50" w14:textId="14122CA4" w:rsidR="00C62CB6" w:rsidRDefault="00C62CB6" w:rsidP="00FE77E2">
      <w:pPr>
        <w:pStyle w:val="FootnoteText"/>
        <w:ind w:left="0" w:firstLine="0"/>
      </w:pPr>
      <w:r>
        <w:rPr>
          <w:rStyle w:val="FootnoteReference"/>
        </w:rPr>
        <w:footnoteRef/>
      </w:r>
      <w:r>
        <w:t xml:space="preserve"> ASIC, </w:t>
      </w:r>
      <w:r w:rsidR="00D90473" w:rsidRPr="00BF32EA">
        <w:rPr>
          <w:i/>
          <w:iCs/>
        </w:rPr>
        <w:t>Conflicted and other banned remuneration</w:t>
      </w:r>
      <w:r w:rsidR="00D02BD3">
        <w:t xml:space="preserve"> (ASIC Regulatory Guide 246, December 2020), pg 18</w:t>
      </w:r>
      <w:r w:rsidR="00BF32EA">
        <w:t xml:space="preserve"> – accessed from: </w:t>
      </w:r>
      <w:hyperlink r:id="rId4" w:history="1">
        <w:r w:rsidR="00BF32EA" w:rsidRPr="00113FB0">
          <w:rPr>
            <w:rStyle w:val="Hyperlink"/>
          </w:rPr>
          <w:t>https://download.asic.gov.au/media/5885872/rg246-published-10-december-2020.pdf</w:t>
        </w:r>
      </w:hyperlink>
      <w:r w:rsidR="00BF32EA">
        <w:t xml:space="preserve">. </w:t>
      </w:r>
    </w:p>
  </w:footnote>
  <w:footnote w:id="11">
    <w:p w14:paraId="5453C1D2" w14:textId="3E44E8F7" w:rsidR="00950407" w:rsidRDefault="00950407" w:rsidP="000E5EE5">
      <w:pPr>
        <w:pStyle w:val="FootnoteText"/>
        <w:ind w:left="0" w:firstLine="0"/>
      </w:pPr>
      <w:r>
        <w:rPr>
          <w:rStyle w:val="FootnoteReference"/>
        </w:rPr>
        <w:footnoteRef/>
      </w:r>
      <w:r>
        <w:t xml:space="preserve"> </w:t>
      </w:r>
      <w:r w:rsidR="00E54FB7">
        <w:t xml:space="preserve">Stephen </w:t>
      </w:r>
      <w:r>
        <w:t>Sedgwick</w:t>
      </w:r>
      <w:r w:rsidR="00E54FB7">
        <w:t>,</w:t>
      </w:r>
      <w:r w:rsidR="00E178AC">
        <w:t xml:space="preserve"> </w:t>
      </w:r>
      <w:r w:rsidR="00E178AC" w:rsidRPr="00520F64">
        <w:rPr>
          <w:i/>
          <w:iCs/>
        </w:rPr>
        <w:t>Retail Banking Remuneration Review</w:t>
      </w:r>
      <w:r w:rsidR="00196B3E">
        <w:t xml:space="preserve"> (Fina</w:t>
      </w:r>
      <w:r w:rsidR="00E178AC">
        <w:t>l Report</w:t>
      </w:r>
      <w:r w:rsidR="00196B3E">
        <w:t>, May 2021)</w:t>
      </w:r>
      <w:r w:rsidR="00AC7996">
        <w:t xml:space="preserve">, accessed from: </w:t>
      </w:r>
      <w:hyperlink r:id="rId5" w:history="1">
        <w:r w:rsidR="00D34A55" w:rsidRPr="00323D48">
          <w:rPr>
            <w:rStyle w:val="Hyperlink"/>
          </w:rPr>
          <w:t>https://www.ausbanking.org.au/wp-content/uploads/2021/06/Retail-Banking-Remuneration-Review-Final-Report-2021.pdf</w:t>
        </w:r>
      </w:hyperlink>
      <w:r w:rsidR="00D34A5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A3E4F" w14:textId="76958911" w:rsidR="00476C42" w:rsidRPr="00476C42" w:rsidRDefault="00476C42" w:rsidP="00476C42">
    <w:pPr>
      <w:pStyle w:val="Header"/>
      <w:jc w:val="center"/>
      <w:rPr>
        <w:b/>
        <w:bC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1CA5"/>
    <w:multiLevelType w:val="hybridMultilevel"/>
    <w:tmpl w:val="1B3AE8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C501047"/>
    <w:multiLevelType w:val="hybridMultilevel"/>
    <w:tmpl w:val="54B4FC4A"/>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A160F5"/>
    <w:multiLevelType w:val="hybridMultilevel"/>
    <w:tmpl w:val="B274A990"/>
    <w:lvl w:ilvl="0" w:tplc="FFFFFFF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0B64CF6"/>
    <w:multiLevelType w:val="hybridMultilevel"/>
    <w:tmpl w:val="EBE8E878"/>
    <w:lvl w:ilvl="0" w:tplc="F9C839DA">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B96A65"/>
    <w:multiLevelType w:val="hybridMultilevel"/>
    <w:tmpl w:val="4A225CC8"/>
    <w:lvl w:ilvl="0" w:tplc="F9C839DA">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854D76"/>
    <w:multiLevelType w:val="hybridMultilevel"/>
    <w:tmpl w:val="DF5E9C7C"/>
    <w:lvl w:ilvl="0" w:tplc="F9C839DA">
      <w:numFmt w:val="bullet"/>
      <w:lvlText w:val="-"/>
      <w:lvlJc w:val="left"/>
      <w:pPr>
        <w:ind w:left="720" w:hanging="360"/>
      </w:pPr>
      <w:rPr>
        <w:rFonts w:ascii="Calibri Light" w:eastAsia="Times New Roman" w:hAnsi="Calibri Light" w:cs="Calibri Light"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DF494F"/>
    <w:multiLevelType w:val="hybridMultilevel"/>
    <w:tmpl w:val="79FACF2A"/>
    <w:lvl w:ilvl="0" w:tplc="2A6A74F0">
      <w:start w:val="1"/>
      <w:numFmt w:val="decimal"/>
      <w:lvlText w:val="%1."/>
      <w:lvlJc w:val="left"/>
      <w:pPr>
        <w:ind w:left="720" w:hanging="360"/>
      </w:pPr>
    </w:lvl>
    <w:lvl w:ilvl="1" w:tplc="B1965AFC">
      <w:start w:val="1"/>
      <w:numFmt w:val="lowerLetter"/>
      <w:lvlText w:val="%2."/>
      <w:lvlJc w:val="left"/>
      <w:pPr>
        <w:ind w:left="1440" w:hanging="360"/>
      </w:pPr>
    </w:lvl>
    <w:lvl w:ilvl="2" w:tplc="C9D80D74">
      <w:start w:val="1"/>
      <w:numFmt w:val="lowerRoman"/>
      <w:lvlText w:val="%3."/>
      <w:lvlJc w:val="right"/>
      <w:pPr>
        <w:ind w:left="2160" w:hanging="180"/>
      </w:pPr>
    </w:lvl>
    <w:lvl w:ilvl="3" w:tplc="67083870">
      <w:start w:val="1"/>
      <w:numFmt w:val="decimal"/>
      <w:lvlText w:val="%4."/>
      <w:lvlJc w:val="left"/>
      <w:pPr>
        <w:ind w:left="2880" w:hanging="360"/>
      </w:pPr>
    </w:lvl>
    <w:lvl w:ilvl="4" w:tplc="813073A8">
      <w:start w:val="1"/>
      <w:numFmt w:val="lowerLetter"/>
      <w:lvlText w:val="%5."/>
      <w:lvlJc w:val="left"/>
      <w:pPr>
        <w:ind w:left="3600" w:hanging="360"/>
      </w:pPr>
    </w:lvl>
    <w:lvl w:ilvl="5" w:tplc="8FE0182C">
      <w:start w:val="1"/>
      <w:numFmt w:val="lowerRoman"/>
      <w:lvlText w:val="%6."/>
      <w:lvlJc w:val="right"/>
      <w:pPr>
        <w:ind w:left="4320" w:hanging="180"/>
      </w:pPr>
    </w:lvl>
    <w:lvl w:ilvl="6" w:tplc="A252B914">
      <w:start w:val="1"/>
      <w:numFmt w:val="decimal"/>
      <w:lvlText w:val="%7."/>
      <w:lvlJc w:val="left"/>
      <w:pPr>
        <w:ind w:left="5040" w:hanging="360"/>
      </w:pPr>
    </w:lvl>
    <w:lvl w:ilvl="7" w:tplc="B51ED824">
      <w:start w:val="1"/>
      <w:numFmt w:val="lowerLetter"/>
      <w:lvlText w:val="%8."/>
      <w:lvlJc w:val="left"/>
      <w:pPr>
        <w:ind w:left="5760" w:hanging="360"/>
      </w:pPr>
    </w:lvl>
    <w:lvl w:ilvl="8" w:tplc="662E48D8">
      <w:start w:val="1"/>
      <w:numFmt w:val="lowerRoman"/>
      <w:lvlText w:val="%9."/>
      <w:lvlJc w:val="right"/>
      <w:pPr>
        <w:ind w:left="6480" w:hanging="180"/>
      </w:pPr>
    </w:lvl>
  </w:abstractNum>
  <w:abstractNum w:abstractNumId="7" w15:restartNumberingAfterBreak="0">
    <w:nsid w:val="2116F96F"/>
    <w:multiLevelType w:val="hybridMultilevel"/>
    <w:tmpl w:val="441C57A8"/>
    <w:lvl w:ilvl="0" w:tplc="2CC27654">
      <w:start w:val="1"/>
      <w:numFmt w:val="decimal"/>
      <w:lvlText w:val="%1."/>
      <w:lvlJc w:val="left"/>
      <w:pPr>
        <w:ind w:left="360" w:hanging="360"/>
      </w:pPr>
    </w:lvl>
    <w:lvl w:ilvl="1" w:tplc="0ACA3EF2">
      <w:start w:val="1"/>
      <w:numFmt w:val="lowerLetter"/>
      <w:lvlText w:val="%2."/>
      <w:lvlJc w:val="left"/>
      <w:pPr>
        <w:ind w:left="1080" w:hanging="360"/>
      </w:pPr>
    </w:lvl>
    <w:lvl w:ilvl="2" w:tplc="54FE21B2">
      <w:start w:val="1"/>
      <w:numFmt w:val="lowerRoman"/>
      <w:lvlText w:val="%3."/>
      <w:lvlJc w:val="right"/>
      <w:pPr>
        <w:ind w:left="1800" w:hanging="180"/>
      </w:pPr>
    </w:lvl>
    <w:lvl w:ilvl="3" w:tplc="2C484E1A">
      <w:start w:val="1"/>
      <w:numFmt w:val="decimal"/>
      <w:lvlText w:val="%4."/>
      <w:lvlJc w:val="left"/>
      <w:pPr>
        <w:ind w:left="2520" w:hanging="360"/>
      </w:pPr>
    </w:lvl>
    <w:lvl w:ilvl="4" w:tplc="C7BC222A">
      <w:start w:val="1"/>
      <w:numFmt w:val="lowerLetter"/>
      <w:lvlText w:val="%5."/>
      <w:lvlJc w:val="left"/>
      <w:pPr>
        <w:ind w:left="3240" w:hanging="360"/>
      </w:pPr>
    </w:lvl>
    <w:lvl w:ilvl="5" w:tplc="F2D0BD86">
      <w:start w:val="1"/>
      <w:numFmt w:val="lowerRoman"/>
      <w:lvlText w:val="%6."/>
      <w:lvlJc w:val="right"/>
      <w:pPr>
        <w:ind w:left="3960" w:hanging="180"/>
      </w:pPr>
    </w:lvl>
    <w:lvl w:ilvl="6" w:tplc="3608213A">
      <w:start w:val="1"/>
      <w:numFmt w:val="decimal"/>
      <w:lvlText w:val="%7."/>
      <w:lvlJc w:val="left"/>
      <w:pPr>
        <w:ind w:left="4680" w:hanging="360"/>
      </w:pPr>
    </w:lvl>
    <w:lvl w:ilvl="7" w:tplc="10E0D43A">
      <w:start w:val="1"/>
      <w:numFmt w:val="lowerLetter"/>
      <w:lvlText w:val="%8."/>
      <w:lvlJc w:val="left"/>
      <w:pPr>
        <w:ind w:left="5400" w:hanging="360"/>
      </w:pPr>
    </w:lvl>
    <w:lvl w:ilvl="8" w:tplc="2C76EEBC">
      <w:start w:val="1"/>
      <w:numFmt w:val="lowerRoman"/>
      <w:lvlText w:val="%9."/>
      <w:lvlJc w:val="right"/>
      <w:pPr>
        <w:ind w:left="6120" w:hanging="180"/>
      </w:pPr>
    </w:lvl>
  </w:abstractNum>
  <w:abstractNum w:abstractNumId="8" w15:restartNumberingAfterBreak="0">
    <w:nsid w:val="24279FD0"/>
    <w:multiLevelType w:val="hybridMultilevel"/>
    <w:tmpl w:val="9AF88AC0"/>
    <w:lvl w:ilvl="0" w:tplc="50DC9332">
      <w:start w:val="1"/>
      <w:numFmt w:val="bullet"/>
      <w:lvlText w:val=""/>
      <w:lvlJc w:val="left"/>
      <w:pPr>
        <w:ind w:left="720" w:hanging="360"/>
      </w:pPr>
      <w:rPr>
        <w:rFonts w:ascii="Symbol" w:hAnsi="Symbol" w:hint="default"/>
      </w:rPr>
    </w:lvl>
    <w:lvl w:ilvl="1" w:tplc="621A096E">
      <w:start w:val="1"/>
      <w:numFmt w:val="bullet"/>
      <w:lvlText w:val="o"/>
      <w:lvlJc w:val="left"/>
      <w:pPr>
        <w:ind w:left="1440" w:hanging="360"/>
      </w:pPr>
      <w:rPr>
        <w:rFonts w:ascii="Courier New" w:hAnsi="Courier New" w:hint="default"/>
      </w:rPr>
    </w:lvl>
    <w:lvl w:ilvl="2" w:tplc="00C24932">
      <w:start w:val="1"/>
      <w:numFmt w:val="bullet"/>
      <w:lvlText w:val=""/>
      <w:lvlJc w:val="left"/>
      <w:pPr>
        <w:ind w:left="2160" w:hanging="360"/>
      </w:pPr>
      <w:rPr>
        <w:rFonts w:ascii="Wingdings" w:hAnsi="Wingdings" w:hint="default"/>
      </w:rPr>
    </w:lvl>
    <w:lvl w:ilvl="3" w:tplc="571666FE">
      <w:start w:val="1"/>
      <w:numFmt w:val="bullet"/>
      <w:lvlText w:val=""/>
      <w:lvlJc w:val="left"/>
      <w:pPr>
        <w:ind w:left="2880" w:hanging="360"/>
      </w:pPr>
      <w:rPr>
        <w:rFonts w:ascii="Symbol" w:hAnsi="Symbol" w:hint="default"/>
      </w:rPr>
    </w:lvl>
    <w:lvl w:ilvl="4" w:tplc="BE6E113C">
      <w:start w:val="1"/>
      <w:numFmt w:val="bullet"/>
      <w:lvlText w:val="o"/>
      <w:lvlJc w:val="left"/>
      <w:pPr>
        <w:ind w:left="3600" w:hanging="360"/>
      </w:pPr>
      <w:rPr>
        <w:rFonts w:ascii="Courier New" w:hAnsi="Courier New" w:hint="default"/>
      </w:rPr>
    </w:lvl>
    <w:lvl w:ilvl="5" w:tplc="84FC470E">
      <w:start w:val="1"/>
      <w:numFmt w:val="bullet"/>
      <w:lvlText w:val=""/>
      <w:lvlJc w:val="left"/>
      <w:pPr>
        <w:ind w:left="4320" w:hanging="360"/>
      </w:pPr>
      <w:rPr>
        <w:rFonts w:ascii="Wingdings" w:hAnsi="Wingdings" w:hint="default"/>
      </w:rPr>
    </w:lvl>
    <w:lvl w:ilvl="6" w:tplc="787CA286">
      <w:start w:val="1"/>
      <w:numFmt w:val="bullet"/>
      <w:lvlText w:val=""/>
      <w:lvlJc w:val="left"/>
      <w:pPr>
        <w:ind w:left="5040" w:hanging="360"/>
      </w:pPr>
      <w:rPr>
        <w:rFonts w:ascii="Symbol" w:hAnsi="Symbol" w:hint="default"/>
      </w:rPr>
    </w:lvl>
    <w:lvl w:ilvl="7" w:tplc="7ED2A932">
      <w:start w:val="1"/>
      <w:numFmt w:val="bullet"/>
      <w:lvlText w:val="o"/>
      <w:lvlJc w:val="left"/>
      <w:pPr>
        <w:ind w:left="5760" w:hanging="360"/>
      </w:pPr>
      <w:rPr>
        <w:rFonts w:ascii="Courier New" w:hAnsi="Courier New" w:hint="default"/>
      </w:rPr>
    </w:lvl>
    <w:lvl w:ilvl="8" w:tplc="58DA3D6A">
      <w:start w:val="1"/>
      <w:numFmt w:val="bullet"/>
      <w:lvlText w:val=""/>
      <w:lvlJc w:val="left"/>
      <w:pPr>
        <w:ind w:left="6480" w:hanging="360"/>
      </w:pPr>
      <w:rPr>
        <w:rFonts w:ascii="Wingdings" w:hAnsi="Wingdings" w:hint="default"/>
      </w:rPr>
    </w:lvl>
  </w:abstractNum>
  <w:abstractNum w:abstractNumId="9"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0" w15:restartNumberingAfterBreak="0">
    <w:nsid w:val="3EA331B1"/>
    <w:multiLevelType w:val="hybridMultilevel"/>
    <w:tmpl w:val="0640051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40B51ED0"/>
    <w:multiLevelType w:val="hybridMultilevel"/>
    <w:tmpl w:val="85A20892"/>
    <w:lvl w:ilvl="0" w:tplc="F9C839DA">
      <w:numFmt w:val="bullet"/>
      <w:lvlText w:val="-"/>
      <w:lvlJc w:val="left"/>
      <w:pPr>
        <w:ind w:left="1080" w:hanging="360"/>
      </w:pPr>
      <w:rPr>
        <w:rFonts w:ascii="Calibri Light" w:eastAsia="Times New Roman" w:hAnsi="Calibri Light" w:cs="Calibri Light"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0D3C983"/>
    <w:multiLevelType w:val="hybridMultilevel"/>
    <w:tmpl w:val="DDDE32E8"/>
    <w:lvl w:ilvl="0" w:tplc="5D480286">
      <w:start w:val="1"/>
      <w:numFmt w:val="bullet"/>
      <w:lvlText w:val=""/>
      <w:lvlJc w:val="left"/>
      <w:pPr>
        <w:ind w:left="720" w:hanging="360"/>
      </w:pPr>
      <w:rPr>
        <w:rFonts w:ascii="Symbol" w:hAnsi="Symbol" w:hint="default"/>
      </w:rPr>
    </w:lvl>
    <w:lvl w:ilvl="1" w:tplc="49E0A3C4">
      <w:start w:val="1"/>
      <w:numFmt w:val="bullet"/>
      <w:lvlText w:val="·"/>
      <w:lvlJc w:val="left"/>
      <w:pPr>
        <w:ind w:left="1440" w:hanging="360"/>
      </w:pPr>
      <w:rPr>
        <w:rFonts w:ascii="Symbol" w:hAnsi="Symbol" w:hint="default"/>
      </w:rPr>
    </w:lvl>
    <w:lvl w:ilvl="2" w:tplc="01C06EB2">
      <w:start w:val="1"/>
      <w:numFmt w:val="bullet"/>
      <w:lvlText w:val=""/>
      <w:lvlJc w:val="left"/>
      <w:pPr>
        <w:ind w:left="2160" w:hanging="360"/>
      </w:pPr>
      <w:rPr>
        <w:rFonts w:ascii="Wingdings" w:hAnsi="Wingdings" w:hint="default"/>
      </w:rPr>
    </w:lvl>
    <w:lvl w:ilvl="3" w:tplc="442CCA1A">
      <w:start w:val="1"/>
      <w:numFmt w:val="bullet"/>
      <w:lvlText w:val=""/>
      <w:lvlJc w:val="left"/>
      <w:pPr>
        <w:ind w:left="2880" w:hanging="360"/>
      </w:pPr>
      <w:rPr>
        <w:rFonts w:ascii="Symbol" w:hAnsi="Symbol" w:hint="default"/>
      </w:rPr>
    </w:lvl>
    <w:lvl w:ilvl="4" w:tplc="BB38E962">
      <w:start w:val="1"/>
      <w:numFmt w:val="bullet"/>
      <w:lvlText w:val="o"/>
      <w:lvlJc w:val="left"/>
      <w:pPr>
        <w:ind w:left="3600" w:hanging="360"/>
      </w:pPr>
      <w:rPr>
        <w:rFonts w:ascii="Courier New" w:hAnsi="Courier New" w:hint="default"/>
      </w:rPr>
    </w:lvl>
    <w:lvl w:ilvl="5" w:tplc="F02A065A">
      <w:start w:val="1"/>
      <w:numFmt w:val="bullet"/>
      <w:lvlText w:val=""/>
      <w:lvlJc w:val="left"/>
      <w:pPr>
        <w:ind w:left="4320" w:hanging="360"/>
      </w:pPr>
      <w:rPr>
        <w:rFonts w:ascii="Wingdings" w:hAnsi="Wingdings" w:hint="default"/>
      </w:rPr>
    </w:lvl>
    <w:lvl w:ilvl="6" w:tplc="201C3536">
      <w:start w:val="1"/>
      <w:numFmt w:val="bullet"/>
      <w:lvlText w:val=""/>
      <w:lvlJc w:val="left"/>
      <w:pPr>
        <w:ind w:left="5040" w:hanging="360"/>
      </w:pPr>
      <w:rPr>
        <w:rFonts w:ascii="Symbol" w:hAnsi="Symbol" w:hint="default"/>
      </w:rPr>
    </w:lvl>
    <w:lvl w:ilvl="7" w:tplc="E5DA80F4">
      <w:start w:val="1"/>
      <w:numFmt w:val="bullet"/>
      <w:lvlText w:val="o"/>
      <w:lvlJc w:val="left"/>
      <w:pPr>
        <w:ind w:left="5760" w:hanging="360"/>
      </w:pPr>
      <w:rPr>
        <w:rFonts w:ascii="Courier New" w:hAnsi="Courier New" w:hint="default"/>
      </w:rPr>
    </w:lvl>
    <w:lvl w:ilvl="8" w:tplc="B7B8BCB0">
      <w:start w:val="1"/>
      <w:numFmt w:val="bullet"/>
      <w:lvlText w:val=""/>
      <w:lvlJc w:val="left"/>
      <w:pPr>
        <w:ind w:left="6480" w:hanging="360"/>
      </w:pPr>
      <w:rPr>
        <w:rFonts w:ascii="Wingdings" w:hAnsi="Wingdings" w:hint="default"/>
      </w:rPr>
    </w:lvl>
  </w:abstractNum>
  <w:abstractNum w:abstractNumId="13" w15:restartNumberingAfterBreak="0">
    <w:nsid w:val="5260B39F"/>
    <w:multiLevelType w:val="hybridMultilevel"/>
    <w:tmpl w:val="FFFFFFFF"/>
    <w:lvl w:ilvl="0" w:tplc="721881CE">
      <w:start w:val="1"/>
      <w:numFmt w:val="decimal"/>
      <w:lvlText w:val="%1."/>
      <w:lvlJc w:val="left"/>
      <w:pPr>
        <w:ind w:left="360" w:hanging="360"/>
      </w:pPr>
    </w:lvl>
    <w:lvl w:ilvl="1" w:tplc="305239A2">
      <w:start w:val="1"/>
      <w:numFmt w:val="lowerLetter"/>
      <w:lvlText w:val="%2."/>
      <w:lvlJc w:val="left"/>
      <w:pPr>
        <w:ind w:left="1440" w:hanging="360"/>
      </w:pPr>
    </w:lvl>
    <w:lvl w:ilvl="2" w:tplc="58CCFF0C">
      <w:start w:val="1"/>
      <w:numFmt w:val="lowerRoman"/>
      <w:lvlText w:val="%3."/>
      <w:lvlJc w:val="right"/>
      <w:pPr>
        <w:ind w:left="2160" w:hanging="180"/>
      </w:pPr>
    </w:lvl>
    <w:lvl w:ilvl="3" w:tplc="392EFE90">
      <w:start w:val="1"/>
      <w:numFmt w:val="decimal"/>
      <w:lvlText w:val="%4."/>
      <w:lvlJc w:val="left"/>
      <w:pPr>
        <w:ind w:left="2880" w:hanging="360"/>
      </w:pPr>
    </w:lvl>
    <w:lvl w:ilvl="4" w:tplc="88A6A8C2">
      <w:start w:val="1"/>
      <w:numFmt w:val="lowerLetter"/>
      <w:lvlText w:val="%5."/>
      <w:lvlJc w:val="left"/>
      <w:pPr>
        <w:ind w:left="3600" w:hanging="360"/>
      </w:pPr>
    </w:lvl>
    <w:lvl w:ilvl="5" w:tplc="ADFE8A12">
      <w:start w:val="1"/>
      <w:numFmt w:val="lowerRoman"/>
      <w:lvlText w:val="%6."/>
      <w:lvlJc w:val="right"/>
      <w:pPr>
        <w:ind w:left="4320" w:hanging="180"/>
      </w:pPr>
    </w:lvl>
    <w:lvl w:ilvl="6" w:tplc="3990C3A0">
      <w:start w:val="1"/>
      <w:numFmt w:val="decimal"/>
      <w:lvlText w:val="%7."/>
      <w:lvlJc w:val="left"/>
      <w:pPr>
        <w:ind w:left="5040" w:hanging="360"/>
      </w:pPr>
    </w:lvl>
    <w:lvl w:ilvl="7" w:tplc="83EC827E">
      <w:start w:val="1"/>
      <w:numFmt w:val="lowerLetter"/>
      <w:lvlText w:val="%8."/>
      <w:lvlJc w:val="left"/>
      <w:pPr>
        <w:ind w:left="5760" w:hanging="360"/>
      </w:pPr>
    </w:lvl>
    <w:lvl w:ilvl="8" w:tplc="841A3AEE">
      <w:start w:val="1"/>
      <w:numFmt w:val="lowerRoman"/>
      <w:lvlText w:val="%9."/>
      <w:lvlJc w:val="right"/>
      <w:pPr>
        <w:ind w:left="6480" w:hanging="180"/>
      </w:pPr>
    </w:lvl>
  </w:abstractNum>
  <w:abstractNum w:abstractNumId="14" w15:restartNumberingAfterBreak="0">
    <w:nsid w:val="5CD9EABD"/>
    <w:multiLevelType w:val="hybridMultilevel"/>
    <w:tmpl w:val="F75647A2"/>
    <w:lvl w:ilvl="0" w:tplc="A80675EE">
      <w:start w:val="1"/>
      <w:numFmt w:val="bullet"/>
      <w:lvlText w:val=""/>
      <w:lvlJc w:val="left"/>
      <w:pPr>
        <w:ind w:left="720" w:hanging="360"/>
      </w:pPr>
      <w:rPr>
        <w:rFonts w:ascii="Symbol" w:hAnsi="Symbol" w:hint="default"/>
      </w:rPr>
    </w:lvl>
    <w:lvl w:ilvl="1" w:tplc="BE843F1A">
      <w:start w:val="1"/>
      <w:numFmt w:val="bullet"/>
      <w:lvlText w:val="o"/>
      <w:lvlJc w:val="left"/>
      <w:pPr>
        <w:ind w:left="1440" w:hanging="360"/>
      </w:pPr>
      <w:rPr>
        <w:rFonts w:ascii="Courier New" w:hAnsi="Courier New" w:hint="default"/>
      </w:rPr>
    </w:lvl>
    <w:lvl w:ilvl="2" w:tplc="562C5482">
      <w:start w:val="1"/>
      <w:numFmt w:val="bullet"/>
      <w:lvlText w:val=""/>
      <w:lvlJc w:val="left"/>
      <w:pPr>
        <w:ind w:left="2160" w:hanging="360"/>
      </w:pPr>
      <w:rPr>
        <w:rFonts w:ascii="Wingdings" w:hAnsi="Wingdings" w:hint="default"/>
      </w:rPr>
    </w:lvl>
    <w:lvl w:ilvl="3" w:tplc="6C94C7A0">
      <w:start w:val="1"/>
      <w:numFmt w:val="bullet"/>
      <w:lvlText w:val=""/>
      <w:lvlJc w:val="left"/>
      <w:pPr>
        <w:ind w:left="2880" w:hanging="360"/>
      </w:pPr>
      <w:rPr>
        <w:rFonts w:ascii="Symbol" w:hAnsi="Symbol" w:hint="default"/>
      </w:rPr>
    </w:lvl>
    <w:lvl w:ilvl="4" w:tplc="FFE6E36A">
      <w:start w:val="1"/>
      <w:numFmt w:val="bullet"/>
      <w:lvlText w:val="o"/>
      <w:lvlJc w:val="left"/>
      <w:pPr>
        <w:ind w:left="3600" w:hanging="360"/>
      </w:pPr>
      <w:rPr>
        <w:rFonts w:ascii="Courier New" w:hAnsi="Courier New" w:hint="default"/>
      </w:rPr>
    </w:lvl>
    <w:lvl w:ilvl="5" w:tplc="FF867F72">
      <w:start w:val="1"/>
      <w:numFmt w:val="bullet"/>
      <w:lvlText w:val=""/>
      <w:lvlJc w:val="left"/>
      <w:pPr>
        <w:ind w:left="4320" w:hanging="360"/>
      </w:pPr>
      <w:rPr>
        <w:rFonts w:ascii="Wingdings" w:hAnsi="Wingdings" w:hint="default"/>
      </w:rPr>
    </w:lvl>
    <w:lvl w:ilvl="6" w:tplc="B7A81A5C">
      <w:start w:val="1"/>
      <w:numFmt w:val="bullet"/>
      <w:lvlText w:val=""/>
      <w:lvlJc w:val="left"/>
      <w:pPr>
        <w:ind w:left="5040" w:hanging="360"/>
      </w:pPr>
      <w:rPr>
        <w:rFonts w:ascii="Symbol" w:hAnsi="Symbol" w:hint="default"/>
      </w:rPr>
    </w:lvl>
    <w:lvl w:ilvl="7" w:tplc="BD74A768">
      <w:start w:val="1"/>
      <w:numFmt w:val="bullet"/>
      <w:lvlText w:val="o"/>
      <w:lvlJc w:val="left"/>
      <w:pPr>
        <w:ind w:left="5760" w:hanging="360"/>
      </w:pPr>
      <w:rPr>
        <w:rFonts w:ascii="Courier New" w:hAnsi="Courier New" w:hint="default"/>
      </w:rPr>
    </w:lvl>
    <w:lvl w:ilvl="8" w:tplc="F2DA59DA">
      <w:start w:val="1"/>
      <w:numFmt w:val="bullet"/>
      <w:lvlText w:val=""/>
      <w:lvlJc w:val="left"/>
      <w:pPr>
        <w:ind w:left="6480" w:hanging="360"/>
      </w:pPr>
      <w:rPr>
        <w:rFonts w:ascii="Wingdings" w:hAnsi="Wingdings" w:hint="default"/>
      </w:rPr>
    </w:lvl>
  </w:abstractNum>
  <w:abstractNum w:abstractNumId="15" w15:restartNumberingAfterBreak="0">
    <w:nsid w:val="5D1B181B"/>
    <w:multiLevelType w:val="hybridMultilevel"/>
    <w:tmpl w:val="71EABC44"/>
    <w:lvl w:ilvl="0" w:tplc="ED78C368">
      <w:start w:val="1"/>
      <w:numFmt w:val="bullet"/>
      <w:lvlText w:val="·"/>
      <w:lvlJc w:val="left"/>
      <w:pPr>
        <w:ind w:left="720" w:hanging="360"/>
      </w:pPr>
      <w:rPr>
        <w:rFonts w:ascii="Symbol" w:hAnsi="Symbol" w:hint="default"/>
      </w:rPr>
    </w:lvl>
    <w:lvl w:ilvl="1" w:tplc="04962952">
      <w:start w:val="1"/>
      <w:numFmt w:val="bullet"/>
      <w:lvlText w:val="o"/>
      <w:lvlJc w:val="left"/>
      <w:pPr>
        <w:ind w:left="1440" w:hanging="360"/>
      </w:pPr>
      <w:rPr>
        <w:rFonts w:ascii="&quot;Courier New&quot;" w:hAnsi="&quot;Courier New&quot;" w:hint="default"/>
      </w:rPr>
    </w:lvl>
    <w:lvl w:ilvl="2" w:tplc="9B48B1FE">
      <w:start w:val="1"/>
      <w:numFmt w:val="bullet"/>
      <w:lvlText w:val=""/>
      <w:lvlJc w:val="left"/>
      <w:pPr>
        <w:ind w:left="2160" w:hanging="360"/>
      </w:pPr>
      <w:rPr>
        <w:rFonts w:ascii="Wingdings" w:hAnsi="Wingdings" w:hint="default"/>
      </w:rPr>
    </w:lvl>
    <w:lvl w:ilvl="3" w:tplc="FB1AC92C">
      <w:start w:val="1"/>
      <w:numFmt w:val="bullet"/>
      <w:lvlText w:val=""/>
      <w:lvlJc w:val="left"/>
      <w:pPr>
        <w:ind w:left="2880" w:hanging="360"/>
      </w:pPr>
      <w:rPr>
        <w:rFonts w:ascii="Symbol" w:hAnsi="Symbol" w:hint="default"/>
      </w:rPr>
    </w:lvl>
    <w:lvl w:ilvl="4" w:tplc="144281BE">
      <w:start w:val="1"/>
      <w:numFmt w:val="bullet"/>
      <w:lvlText w:val="o"/>
      <w:lvlJc w:val="left"/>
      <w:pPr>
        <w:ind w:left="3600" w:hanging="360"/>
      </w:pPr>
      <w:rPr>
        <w:rFonts w:ascii="Courier New" w:hAnsi="Courier New" w:hint="default"/>
      </w:rPr>
    </w:lvl>
    <w:lvl w:ilvl="5" w:tplc="F06E59F4">
      <w:start w:val="1"/>
      <w:numFmt w:val="bullet"/>
      <w:lvlText w:val=""/>
      <w:lvlJc w:val="left"/>
      <w:pPr>
        <w:ind w:left="4320" w:hanging="360"/>
      </w:pPr>
      <w:rPr>
        <w:rFonts w:ascii="Wingdings" w:hAnsi="Wingdings" w:hint="default"/>
      </w:rPr>
    </w:lvl>
    <w:lvl w:ilvl="6" w:tplc="3782F83E">
      <w:start w:val="1"/>
      <w:numFmt w:val="bullet"/>
      <w:lvlText w:val=""/>
      <w:lvlJc w:val="left"/>
      <w:pPr>
        <w:ind w:left="5040" w:hanging="360"/>
      </w:pPr>
      <w:rPr>
        <w:rFonts w:ascii="Symbol" w:hAnsi="Symbol" w:hint="default"/>
      </w:rPr>
    </w:lvl>
    <w:lvl w:ilvl="7" w:tplc="1C66E6C2">
      <w:start w:val="1"/>
      <w:numFmt w:val="bullet"/>
      <w:lvlText w:val="o"/>
      <w:lvlJc w:val="left"/>
      <w:pPr>
        <w:ind w:left="5760" w:hanging="360"/>
      </w:pPr>
      <w:rPr>
        <w:rFonts w:ascii="Courier New" w:hAnsi="Courier New" w:hint="default"/>
      </w:rPr>
    </w:lvl>
    <w:lvl w:ilvl="8" w:tplc="55E0C5B2">
      <w:start w:val="1"/>
      <w:numFmt w:val="bullet"/>
      <w:lvlText w:val=""/>
      <w:lvlJc w:val="left"/>
      <w:pPr>
        <w:ind w:left="6480" w:hanging="360"/>
      </w:pPr>
      <w:rPr>
        <w:rFonts w:ascii="Wingdings" w:hAnsi="Wingdings" w:hint="default"/>
      </w:rPr>
    </w:lvl>
  </w:abstractNum>
  <w:abstractNum w:abstractNumId="16" w15:restartNumberingAfterBreak="0">
    <w:nsid w:val="6AC3BEA6"/>
    <w:multiLevelType w:val="hybridMultilevel"/>
    <w:tmpl w:val="57C4639E"/>
    <w:lvl w:ilvl="0" w:tplc="186C4DDE">
      <w:start w:val="1"/>
      <w:numFmt w:val="bullet"/>
      <w:lvlText w:val="·"/>
      <w:lvlJc w:val="left"/>
      <w:pPr>
        <w:ind w:left="720" w:hanging="360"/>
      </w:pPr>
      <w:rPr>
        <w:rFonts w:ascii="Symbol" w:hAnsi="Symbol" w:hint="default"/>
      </w:rPr>
    </w:lvl>
    <w:lvl w:ilvl="1" w:tplc="A62A236C">
      <w:start w:val="1"/>
      <w:numFmt w:val="bullet"/>
      <w:lvlText w:val="o"/>
      <w:lvlJc w:val="left"/>
      <w:pPr>
        <w:ind w:left="1440" w:hanging="360"/>
      </w:pPr>
      <w:rPr>
        <w:rFonts w:ascii="Courier New" w:hAnsi="Courier New" w:hint="default"/>
      </w:rPr>
    </w:lvl>
    <w:lvl w:ilvl="2" w:tplc="68FA95D8">
      <w:start w:val="1"/>
      <w:numFmt w:val="bullet"/>
      <w:lvlText w:val=""/>
      <w:lvlJc w:val="left"/>
      <w:pPr>
        <w:ind w:left="2160" w:hanging="360"/>
      </w:pPr>
      <w:rPr>
        <w:rFonts w:ascii="Wingdings" w:hAnsi="Wingdings" w:hint="default"/>
      </w:rPr>
    </w:lvl>
    <w:lvl w:ilvl="3" w:tplc="EDD0C7A2">
      <w:start w:val="1"/>
      <w:numFmt w:val="bullet"/>
      <w:lvlText w:val=""/>
      <w:lvlJc w:val="left"/>
      <w:pPr>
        <w:ind w:left="2880" w:hanging="360"/>
      </w:pPr>
      <w:rPr>
        <w:rFonts w:ascii="Symbol" w:hAnsi="Symbol" w:hint="default"/>
      </w:rPr>
    </w:lvl>
    <w:lvl w:ilvl="4" w:tplc="19BCC574">
      <w:start w:val="1"/>
      <w:numFmt w:val="bullet"/>
      <w:lvlText w:val="o"/>
      <w:lvlJc w:val="left"/>
      <w:pPr>
        <w:ind w:left="3600" w:hanging="360"/>
      </w:pPr>
      <w:rPr>
        <w:rFonts w:ascii="Courier New" w:hAnsi="Courier New" w:hint="default"/>
      </w:rPr>
    </w:lvl>
    <w:lvl w:ilvl="5" w:tplc="93B8639A">
      <w:start w:val="1"/>
      <w:numFmt w:val="bullet"/>
      <w:lvlText w:val=""/>
      <w:lvlJc w:val="left"/>
      <w:pPr>
        <w:ind w:left="4320" w:hanging="360"/>
      </w:pPr>
      <w:rPr>
        <w:rFonts w:ascii="Wingdings" w:hAnsi="Wingdings" w:hint="default"/>
      </w:rPr>
    </w:lvl>
    <w:lvl w:ilvl="6" w:tplc="8310A3D0">
      <w:start w:val="1"/>
      <w:numFmt w:val="bullet"/>
      <w:lvlText w:val=""/>
      <w:lvlJc w:val="left"/>
      <w:pPr>
        <w:ind w:left="5040" w:hanging="360"/>
      </w:pPr>
      <w:rPr>
        <w:rFonts w:ascii="Symbol" w:hAnsi="Symbol" w:hint="default"/>
      </w:rPr>
    </w:lvl>
    <w:lvl w:ilvl="7" w:tplc="F1DAEAD0">
      <w:start w:val="1"/>
      <w:numFmt w:val="bullet"/>
      <w:lvlText w:val="o"/>
      <w:lvlJc w:val="left"/>
      <w:pPr>
        <w:ind w:left="5760" w:hanging="360"/>
      </w:pPr>
      <w:rPr>
        <w:rFonts w:ascii="Courier New" w:hAnsi="Courier New" w:hint="default"/>
      </w:rPr>
    </w:lvl>
    <w:lvl w:ilvl="8" w:tplc="CB2AB32E">
      <w:start w:val="1"/>
      <w:numFmt w:val="bullet"/>
      <w:lvlText w:val=""/>
      <w:lvlJc w:val="left"/>
      <w:pPr>
        <w:ind w:left="6480" w:hanging="360"/>
      </w:pPr>
      <w:rPr>
        <w:rFonts w:ascii="Wingdings" w:hAnsi="Wingdings" w:hint="default"/>
      </w:rPr>
    </w:lvl>
  </w:abstractNum>
  <w:abstractNum w:abstractNumId="17" w15:restartNumberingAfterBreak="0">
    <w:nsid w:val="6B097533"/>
    <w:multiLevelType w:val="hybridMultilevel"/>
    <w:tmpl w:val="E3FAB312"/>
    <w:lvl w:ilvl="0" w:tplc="664E56C0">
      <w:start w:val="1"/>
      <w:numFmt w:val="decimal"/>
      <w:lvlText w:val="%1."/>
      <w:lvlJc w:val="left"/>
      <w:pPr>
        <w:ind w:left="360" w:hanging="360"/>
      </w:pPr>
    </w:lvl>
    <w:lvl w:ilvl="1" w:tplc="60DAF5E0">
      <w:start w:val="1"/>
      <w:numFmt w:val="lowerLetter"/>
      <w:lvlText w:val="%2."/>
      <w:lvlJc w:val="left"/>
      <w:pPr>
        <w:ind w:left="1440" w:hanging="360"/>
      </w:pPr>
    </w:lvl>
    <w:lvl w:ilvl="2" w:tplc="293EBAF8">
      <w:start w:val="1"/>
      <w:numFmt w:val="lowerRoman"/>
      <w:lvlText w:val="%3."/>
      <w:lvlJc w:val="right"/>
      <w:pPr>
        <w:ind w:left="2160" w:hanging="180"/>
      </w:pPr>
    </w:lvl>
    <w:lvl w:ilvl="3" w:tplc="5342869E">
      <w:start w:val="1"/>
      <w:numFmt w:val="decimal"/>
      <w:lvlText w:val="%4."/>
      <w:lvlJc w:val="left"/>
      <w:pPr>
        <w:ind w:left="2880" w:hanging="360"/>
      </w:pPr>
    </w:lvl>
    <w:lvl w:ilvl="4" w:tplc="EA4E5DDE">
      <w:start w:val="1"/>
      <w:numFmt w:val="lowerLetter"/>
      <w:lvlText w:val="%5."/>
      <w:lvlJc w:val="left"/>
      <w:pPr>
        <w:ind w:left="3600" w:hanging="360"/>
      </w:pPr>
    </w:lvl>
    <w:lvl w:ilvl="5" w:tplc="A060F9B6">
      <w:start w:val="1"/>
      <w:numFmt w:val="lowerRoman"/>
      <w:lvlText w:val="%6."/>
      <w:lvlJc w:val="right"/>
      <w:pPr>
        <w:ind w:left="4320" w:hanging="180"/>
      </w:pPr>
    </w:lvl>
    <w:lvl w:ilvl="6" w:tplc="3E665DB8">
      <w:start w:val="1"/>
      <w:numFmt w:val="decimal"/>
      <w:lvlText w:val="%7."/>
      <w:lvlJc w:val="left"/>
      <w:pPr>
        <w:ind w:left="5040" w:hanging="360"/>
      </w:pPr>
    </w:lvl>
    <w:lvl w:ilvl="7" w:tplc="B94E8294">
      <w:start w:val="1"/>
      <w:numFmt w:val="lowerLetter"/>
      <w:lvlText w:val="%8."/>
      <w:lvlJc w:val="left"/>
      <w:pPr>
        <w:ind w:left="5760" w:hanging="360"/>
      </w:pPr>
    </w:lvl>
    <w:lvl w:ilvl="8" w:tplc="DF50C046">
      <w:start w:val="1"/>
      <w:numFmt w:val="lowerRoman"/>
      <w:lvlText w:val="%9."/>
      <w:lvlJc w:val="right"/>
      <w:pPr>
        <w:ind w:left="6480" w:hanging="180"/>
      </w:pPr>
    </w:lvl>
  </w:abstractNum>
  <w:abstractNum w:abstractNumId="18" w15:restartNumberingAfterBreak="0">
    <w:nsid w:val="78245223"/>
    <w:multiLevelType w:val="hybridMultilevel"/>
    <w:tmpl w:val="C1B85F76"/>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8B5158C"/>
    <w:multiLevelType w:val="hybridMultilevel"/>
    <w:tmpl w:val="C0180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BA25094"/>
    <w:multiLevelType w:val="hybridMultilevel"/>
    <w:tmpl w:val="29C84A46"/>
    <w:lvl w:ilvl="0" w:tplc="FFFFFFF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D6B5224"/>
    <w:multiLevelType w:val="multilevel"/>
    <w:tmpl w:val="57000EF8"/>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E5A2945"/>
    <w:multiLevelType w:val="hybridMultilevel"/>
    <w:tmpl w:val="E5A82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F7C0889"/>
    <w:multiLevelType w:val="hybridMultilevel"/>
    <w:tmpl w:val="21F074B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2"/>
  </w:num>
  <w:num w:numId="2">
    <w:abstractNumId w:val="7"/>
  </w:num>
  <w:num w:numId="3">
    <w:abstractNumId w:val="16"/>
  </w:num>
  <w:num w:numId="4">
    <w:abstractNumId w:val="15"/>
  </w:num>
  <w:num w:numId="5">
    <w:abstractNumId w:val="17"/>
  </w:num>
  <w:num w:numId="6">
    <w:abstractNumId w:val="14"/>
  </w:num>
  <w:num w:numId="7">
    <w:abstractNumId w:val="8"/>
  </w:num>
  <w:num w:numId="8">
    <w:abstractNumId w:val="6"/>
  </w:num>
  <w:num w:numId="9">
    <w:abstractNumId w:val="13"/>
  </w:num>
  <w:num w:numId="10">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0"/>
  </w:num>
  <w:num w:numId="13">
    <w:abstractNumId w:val="10"/>
  </w:num>
  <w:num w:numId="14">
    <w:abstractNumId w:val="18"/>
  </w:num>
  <w:num w:numId="15">
    <w:abstractNumId w:val="19"/>
  </w:num>
  <w:num w:numId="16">
    <w:abstractNumId w:val="3"/>
  </w:num>
  <w:num w:numId="17">
    <w:abstractNumId w:val="4"/>
  </w:num>
  <w:num w:numId="18">
    <w:abstractNumId w:val="5"/>
  </w:num>
  <w:num w:numId="19">
    <w:abstractNumId w:val="11"/>
  </w:num>
  <w:num w:numId="20">
    <w:abstractNumId w:val="23"/>
  </w:num>
  <w:num w:numId="21">
    <w:abstractNumId w:val="1"/>
  </w:num>
  <w:num w:numId="22">
    <w:abstractNumId w:val="9"/>
  </w:num>
  <w:num w:numId="23">
    <w:abstractNumId w:val="22"/>
  </w:num>
  <w:num w:numId="24">
    <w:abstractNumId w:val="9"/>
  </w:num>
  <w:num w:numId="25">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4C6"/>
    <w:rsid w:val="00002911"/>
    <w:rsid w:val="00002F89"/>
    <w:rsid w:val="000045BD"/>
    <w:rsid w:val="00005382"/>
    <w:rsid w:val="0001018B"/>
    <w:rsid w:val="000109BD"/>
    <w:rsid w:val="00010EA8"/>
    <w:rsid w:val="00011DAB"/>
    <w:rsid w:val="00012442"/>
    <w:rsid w:val="000124DE"/>
    <w:rsid w:val="00012F08"/>
    <w:rsid w:val="000138FD"/>
    <w:rsid w:val="00013FB5"/>
    <w:rsid w:val="00014B88"/>
    <w:rsid w:val="0001682B"/>
    <w:rsid w:val="00016ACA"/>
    <w:rsid w:val="000214D9"/>
    <w:rsid w:val="00022FF6"/>
    <w:rsid w:val="00023B0E"/>
    <w:rsid w:val="00025D26"/>
    <w:rsid w:val="00025EA1"/>
    <w:rsid w:val="00026000"/>
    <w:rsid w:val="000270FB"/>
    <w:rsid w:val="00027529"/>
    <w:rsid w:val="00030089"/>
    <w:rsid w:val="00031338"/>
    <w:rsid w:val="000355B4"/>
    <w:rsid w:val="00037BA3"/>
    <w:rsid w:val="00040681"/>
    <w:rsid w:val="00041622"/>
    <w:rsid w:val="00042113"/>
    <w:rsid w:val="00042251"/>
    <w:rsid w:val="0004239B"/>
    <w:rsid w:val="00045A3D"/>
    <w:rsid w:val="0004606E"/>
    <w:rsid w:val="00046A3E"/>
    <w:rsid w:val="00046C3D"/>
    <w:rsid w:val="00046C81"/>
    <w:rsid w:val="00047082"/>
    <w:rsid w:val="00050503"/>
    <w:rsid w:val="00050C76"/>
    <w:rsid w:val="0005437C"/>
    <w:rsid w:val="000547A5"/>
    <w:rsid w:val="000613F2"/>
    <w:rsid w:val="0006247F"/>
    <w:rsid w:val="0006277A"/>
    <w:rsid w:val="000657BC"/>
    <w:rsid w:val="000658A6"/>
    <w:rsid w:val="00065CB7"/>
    <w:rsid w:val="00066107"/>
    <w:rsid w:val="00071DB7"/>
    <w:rsid w:val="00073606"/>
    <w:rsid w:val="00073EA6"/>
    <w:rsid w:val="00074108"/>
    <w:rsid w:val="00074FC9"/>
    <w:rsid w:val="00075606"/>
    <w:rsid w:val="00075641"/>
    <w:rsid w:val="00076029"/>
    <w:rsid w:val="000809F3"/>
    <w:rsid w:val="00081D82"/>
    <w:rsid w:val="00083345"/>
    <w:rsid w:val="000836E5"/>
    <w:rsid w:val="0008464F"/>
    <w:rsid w:val="00086840"/>
    <w:rsid w:val="00086F6B"/>
    <w:rsid w:val="00087226"/>
    <w:rsid w:val="00087972"/>
    <w:rsid w:val="000909BA"/>
    <w:rsid w:val="0009268E"/>
    <w:rsid w:val="0009269F"/>
    <w:rsid w:val="00092720"/>
    <w:rsid w:val="00093891"/>
    <w:rsid w:val="00094B62"/>
    <w:rsid w:val="00094FB2"/>
    <w:rsid w:val="0009524E"/>
    <w:rsid w:val="000A07D5"/>
    <w:rsid w:val="000A08D1"/>
    <w:rsid w:val="000A0953"/>
    <w:rsid w:val="000A30DB"/>
    <w:rsid w:val="000A6308"/>
    <w:rsid w:val="000A6A90"/>
    <w:rsid w:val="000B5C0E"/>
    <w:rsid w:val="000B7C6C"/>
    <w:rsid w:val="000C1531"/>
    <w:rsid w:val="000C297B"/>
    <w:rsid w:val="000C472A"/>
    <w:rsid w:val="000C592D"/>
    <w:rsid w:val="000C6E81"/>
    <w:rsid w:val="000D11CB"/>
    <w:rsid w:val="000D1567"/>
    <w:rsid w:val="000D2167"/>
    <w:rsid w:val="000D234A"/>
    <w:rsid w:val="000D2362"/>
    <w:rsid w:val="000D2386"/>
    <w:rsid w:val="000D2615"/>
    <w:rsid w:val="000D36F4"/>
    <w:rsid w:val="000D65E4"/>
    <w:rsid w:val="000D6E03"/>
    <w:rsid w:val="000D73F6"/>
    <w:rsid w:val="000E1849"/>
    <w:rsid w:val="000E1C4A"/>
    <w:rsid w:val="000E530D"/>
    <w:rsid w:val="000E54BC"/>
    <w:rsid w:val="000E5EE5"/>
    <w:rsid w:val="000E77B6"/>
    <w:rsid w:val="000F2CC4"/>
    <w:rsid w:val="000F428A"/>
    <w:rsid w:val="000F45BF"/>
    <w:rsid w:val="000F4609"/>
    <w:rsid w:val="000F540D"/>
    <w:rsid w:val="000F5E21"/>
    <w:rsid w:val="000F7281"/>
    <w:rsid w:val="000F78B9"/>
    <w:rsid w:val="00100912"/>
    <w:rsid w:val="001015EF"/>
    <w:rsid w:val="001015FE"/>
    <w:rsid w:val="00105352"/>
    <w:rsid w:val="00106F40"/>
    <w:rsid w:val="00107EC6"/>
    <w:rsid w:val="001102B3"/>
    <w:rsid w:val="00110751"/>
    <w:rsid w:val="00111197"/>
    <w:rsid w:val="001113A3"/>
    <w:rsid w:val="00112075"/>
    <w:rsid w:val="00112576"/>
    <w:rsid w:val="00112D58"/>
    <w:rsid w:val="0011348E"/>
    <w:rsid w:val="00114A7D"/>
    <w:rsid w:val="001155A2"/>
    <w:rsid w:val="001156D8"/>
    <w:rsid w:val="001157E4"/>
    <w:rsid w:val="00115CB7"/>
    <w:rsid w:val="0011634D"/>
    <w:rsid w:val="00120B40"/>
    <w:rsid w:val="001211EC"/>
    <w:rsid w:val="001235AC"/>
    <w:rsid w:val="001240B4"/>
    <w:rsid w:val="00124A18"/>
    <w:rsid w:val="00126558"/>
    <w:rsid w:val="001265DE"/>
    <w:rsid w:val="001301E8"/>
    <w:rsid w:val="00130A99"/>
    <w:rsid w:val="00130D93"/>
    <w:rsid w:val="00131564"/>
    <w:rsid w:val="00131F8F"/>
    <w:rsid w:val="001330A2"/>
    <w:rsid w:val="00134B3C"/>
    <w:rsid w:val="0013508D"/>
    <w:rsid w:val="0013575C"/>
    <w:rsid w:val="00142D06"/>
    <w:rsid w:val="0014305A"/>
    <w:rsid w:val="00145534"/>
    <w:rsid w:val="001455DE"/>
    <w:rsid w:val="00146651"/>
    <w:rsid w:val="001469A5"/>
    <w:rsid w:val="00146D47"/>
    <w:rsid w:val="00152BA5"/>
    <w:rsid w:val="00153AE8"/>
    <w:rsid w:val="0015444E"/>
    <w:rsid w:val="00155FDA"/>
    <w:rsid w:val="00156CCA"/>
    <w:rsid w:val="00160000"/>
    <w:rsid w:val="00164757"/>
    <w:rsid w:val="0016500C"/>
    <w:rsid w:val="001663F8"/>
    <w:rsid w:val="001669AD"/>
    <w:rsid w:val="001674A0"/>
    <w:rsid w:val="00170592"/>
    <w:rsid w:val="001709F4"/>
    <w:rsid w:val="0017182E"/>
    <w:rsid w:val="00172D15"/>
    <w:rsid w:val="0017421A"/>
    <w:rsid w:val="001744D3"/>
    <w:rsid w:val="00175001"/>
    <w:rsid w:val="0017535F"/>
    <w:rsid w:val="00175F27"/>
    <w:rsid w:val="00180425"/>
    <w:rsid w:val="00180CC6"/>
    <w:rsid w:val="00180DBB"/>
    <w:rsid w:val="001816FE"/>
    <w:rsid w:val="0018338E"/>
    <w:rsid w:val="0018341C"/>
    <w:rsid w:val="00184B0A"/>
    <w:rsid w:val="00185144"/>
    <w:rsid w:val="001853B4"/>
    <w:rsid w:val="00185B05"/>
    <w:rsid w:val="00185FB9"/>
    <w:rsid w:val="001864C5"/>
    <w:rsid w:val="00186AD4"/>
    <w:rsid w:val="00187945"/>
    <w:rsid w:val="00187A03"/>
    <w:rsid w:val="00187F8E"/>
    <w:rsid w:val="00190DB5"/>
    <w:rsid w:val="001916B1"/>
    <w:rsid w:val="00191CA9"/>
    <w:rsid w:val="00192FFA"/>
    <w:rsid w:val="001932C5"/>
    <w:rsid w:val="0019368D"/>
    <w:rsid w:val="001938E5"/>
    <w:rsid w:val="0019467D"/>
    <w:rsid w:val="00194914"/>
    <w:rsid w:val="00195D25"/>
    <w:rsid w:val="00196B3E"/>
    <w:rsid w:val="00196EAE"/>
    <w:rsid w:val="00196EDA"/>
    <w:rsid w:val="00197942"/>
    <w:rsid w:val="00197EC7"/>
    <w:rsid w:val="001A02B4"/>
    <w:rsid w:val="001A0518"/>
    <w:rsid w:val="001A1CE8"/>
    <w:rsid w:val="001A3D7B"/>
    <w:rsid w:val="001A456B"/>
    <w:rsid w:val="001A5615"/>
    <w:rsid w:val="001B359D"/>
    <w:rsid w:val="001B3DE6"/>
    <w:rsid w:val="001B40A4"/>
    <w:rsid w:val="001B57F6"/>
    <w:rsid w:val="001B5B4A"/>
    <w:rsid w:val="001B71D2"/>
    <w:rsid w:val="001B754E"/>
    <w:rsid w:val="001B7D65"/>
    <w:rsid w:val="001C0324"/>
    <w:rsid w:val="001C0AE9"/>
    <w:rsid w:val="001C1D94"/>
    <w:rsid w:val="001C21AD"/>
    <w:rsid w:val="001C7D43"/>
    <w:rsid w:val="001D07AC"/>
    <w:rsid w:val="001D209D"/>
    <w:rsid w:val="001D2A0D"/>
    <w:rsid w:val="001D2A56"/>
    <w:rsid w:val="001D75C6"/>
    <w:rsid w:val="001E1BB8"/>
    <w:rsid w:val="001F1AFF"/>
    <w:rsid w:val="001F2C21"/>
    <w:rsid w:val="001F3B67"/>
    <w:rsid w:val="001F4801"/>
    <w:rsid w:val="001F6C4C"/>
    <w:rsid w:val="001F71AB"/>
    <w:rsid w:val="001F77A8"/>
    <w:rsid w:val="002003DD"/>
    <w:rsid w:val="0020057E"/>
    <w:rsid w:val="00200DFE"/>
    <w:rsid w:val="002018D5"/>
    <w:rsid w:val="00202597"/>
    <w:rsid w:val="00202C66"/>
    <w:rsid w:val="00207118"/>
    <w:rsid w:val="002105F7"/>
    <w:rsid w:val="00210C29"/>
    <w:rsid w:val="00211759"/>
    <w:rsid w:val="00211E21"/>
    <w:rsid w:val="00212146"/>
    <w:rsid w:val="002127BF"/>
    <w:rsid w:val="00212ACB"/>
    <w:rsid w:val="00214051"/>
    <w:rsid w:val="002158DB"/>
    <w:rsid w:val="002160CC"/>
    <w:rsid w:val="0022026B"/>
    <w:rsid w:val="00221205"/>
    <w:rsid w:val="00222115"/>
    <w:rsid w:val="002235B8"/>
    <w:rsid w:val="002239D1"/>
    <w:rsid w:val="00224406"/>
    <w:rsid w:val="00224514"/>
    <w:rsid w:val="00224778"/>
    <w:rsid w:val="00227734"/>
    <w:rsid w:val="002279BE"/>
    <w:rsid w:val="002300E9"/>
    <w:rsid w:val="00230C1D"/>
    <w:rsid w:val="00231E99"/>
    <w:rsid w:val="0023253C"/>
    <w:rsid w:val="002345C2"/>
    <w:rsid w:val="00234A0A"/>
    <w:rsid w:val="00236695"/>
    <w:rsid w:val="00236A2D"/>
    <w:rsid w:val="00241BC1"/>
    <w:rsid w:val="00242608"/>
    <w:rsid w:val="00245E65"/>
    <w:rsid w:val="00247B76"/>
    <w:rsid w:val="002506BB"/>
    <w:rsid w:val="00250D22"/>
    <w:rsid w:val="00251C69"/>
    <w:rsid w:val="002520A5"/>
    <w:rsid w:val="002520CA"/>
    <w:rsid w:val="00252CA8"/>
    <w:rsid w:val="00254C48"/>
    <w:rsid w:val="00254DCD"/>
    <w:rsid w:val="00254DCE"/>
    <w:rsid w:val="00255543"/>
    <w:rsid w:val="00260F0E"/>
    <w:rsid w:val="002616CD"/>
    <w:rsid w:val="002619A1"/>
    <w:rsid w:val="00263ABD"/>
    <w:rsid w:val="0026418F"/>
    <w:rsid w:val="00264AA0"/>
    <w:rsid w:val="00264B1D"/>
    <w:rsid w:val="00264BE6"/>
    <w:rsid w:val="00265D3D"/>
    <w:rsid w:val="00266C77"/>
    <w:rsid w:val="00266D3C"/>
    <w:rsid w:val="00266E39"/>
    <w:rsid w:val="00275172"/>
    <w:rsid w:val="002757A2"/>
    <w:rsid w:val="00275928"/>
    <w:rsid w:val="0027692C"/>
    <w:rsid w:val="002803C7"/>
    <w:rsid w:val="00280522"/>
    <w:rsid w:val="00280AB7"/>
    <w:rsid w:val="00282DBF"/>
    <w:rsid w:val="00283348"/>
    <w:rsid w:val="00283650"/>
    <w:rsid w:val="00283970"/>
    <w:rsid w:val="00283ABD"/>
    <w:rsid w:val="00283D9C"/>
    <w:rsid w:val="00284E90"/>
    <w:rsid w:val="00284EDA"/>
    <w:rsid w:val="00286573"/>
    <w:rsid w:val="0028742E"/>
    <w:rsid w:val="00290281"/>
    <w:rsid w:val="002905B8"/>
    <w:rsid w:val="002911B8"/>
    <w:rsid w:val="002933BC"/>
    <w:rsid w:val="002947BF"/>
    <w:rsid w:val="00294F54"/>
    <w:rsid w:val="002952C4"/>
    <w:rsid w:val="002970ED"/>
    <w:rsid w:val="002977B5"/>
    <w:rsid w:val="002A13F5"/>
    <w:rsid w:val="002A484B"/>
    <w:rsid w:val="002A4FF7"/>
    <w:rsid w:val="002A562E"/>
    <w:rsid w:val="002A5832"/>
    <w:rsid w:val="002A6A28"/>
    <w:rsid w:val="002A794F"/>
    <w:rsid w:val="002B0511"/>
    <w:rsid w:val="002B1BEC"/>
    <w:rsid w:val="002B2D53"/>
    <w:rsid w:val="002B37A6"/>
    <w:rsid w:val="002B5235"/>
    <w:rsid w:val="002B74EF"/>
    <w:rsid w:val="002B764A"/>
    <w:rsid w:val="002B772B"/>
    <w:rsid w:val="002C0475"/>
    <w:rsid w:val="002C0FC3"/>
    <w:rsid w:val="002C132E"/>
    <w:rsid w:val="002C21C4"/>
    <w:rsid w:val="002C2885"/>
    <w:rsid w:val="002C72B7"/>
    <w:rsid w:val="002D0490"/>
    <w:rsid w:val="002D094E"/>
    <w:rsid w:val="002D65B7"/>
    <w:rsid w:val="002D6813"/>
    <w:rsid w:val="002D7556"/>
    <w:rsid w:val="002E18E0"/>
    <w:rsid w:val="002E19A9"/>
    <w:rsid w:val="002E27D6"/>
    <w:rsid w:val="002E53BA"/>
    <w:rsid w:val="002E79B8"/>
    <w:rsid w:val="002F0432"/>
    <w:rsid w:val="002F1337"/>
    <w:rsid w:val="002F1D0E"/>
    <w:rsid w:val="002F3F37"/>
    <w:rsid w:val="002F4EF4"/>
    <w:rsid w:val="002F5A60"/>
    <w:rsid w:val="002F6A87"/>
    <w:rsid w:val="00300E1A"/>
    <w:rsid w:val="00301FCE"/>
    <w:rsid w:val="00302152"/>
    <w:rsid w:val="0030233F"/>
    <w:rsid w:val="003039DC"/>
    <w:rsid w:val="00304A2F"/>
    <w:rsid w:val="00305200"/>
    <w:rsid w:val="003067FD"/>
    <w:rsid w:val="0030713C"/>
    <w:rsid w:val="00311C05"/>
    <w:rsid w:val="00312026"/>
    <w:rsid w:val="00312FA6"/>
    <w:rsid w:val="00317531"/>
    <w:rsid w:val="003175AA"/>
    <w:rsid w:val="00321455"/>
    <w:rsid w:val="00322E3D"/>
    <w:rsid w:val="0032354A"/>
    <w:rsid w:val="00323B8A"/>
    <w:rsid w:val="00323CBA"/>
    <w:rsid w:val="00326ADD"/>
    <w:rsid w:val="0033202C"/>
    <w:rsid w:val="003332A7"/>
    <w:rsid w:val="00333AED"/>
    <w:rsid w:val="00333F51"/>
    <w:rsid w:val="00335510"/>
    <w:rsid w:val="00336112"/>
    <w:rsid w:val="00336393"/>
    <w:rsid w:val="003368A5"/>
    <w:rsid w:val="00336F93"/>
    <w:rsid w:val="003373CC"/>
    <w:rsid w:val="00337A50"/>
    <w:rsid w:val="0034001A"/>
    <w:rsid w:val="003404D6"/>
    <w:rsid w:val="003415D8"/>
    <w:rsid w:val="003420F0"/>
    <w:rsid w:val="00342B1C"/>
    <w:rsid w:val="003434F9"/>
    <w:rsid w:val="00344B6E"/>
    <w:rsid w:val="00345294"/>
    <w:rsid w:val="003460F9"/>
    <w:rsid w:val="003461C6"/>
    <w:rsid w:val="00347A92"/>
    <w:rsid w:val="0035112F"/>
    <w:rsid w:val="00351150"/>
    <w:rsid w:val="00351BD7"/>
    <w:rsid w:val="00351DE7"/>
    <w:rsid w:val="003521C0"/>
    <w:rsid w:val="00355056"/>
    <w:rsid w:val="003556E2"/>
    <w:rsid w:val="00355D0E"/>
    <w:rsid w:val="00355DB3"/>
    <w:rsid w:val="003568ED"/>
    <w:rsid w:val="003575D5"/>
    <w:rsid w:val="0035775A"/>
    <w:rsid w:val="0036050F"/>
    <w:rsid w:val="003626C8"/>
    <w:rsid w:val="0036400A"/>
    <w:rsid w:val="0036409A"/>
    <w:rsid w:val="003643C5"/>
    <w:rsid w:val="00364D8D"/>
    <w:rsid w:val="00366334"/>
    <w:rsid w:val="003664A2"/>
    <w:rsid w:val="00366E94"/>
    <w:rsid w:val="00366FDC"/>
    <w:rsid w:val="00371FEA"/>
    <w:rsid w:val="0037281C"/>
    <w:rsid w:val="00373882"/>
    <w:rsid w:val="00374E8E"/>
    <w:rsid w:val="00375377"/>
    <w:rsid w:val="00376870"/>
    <w:rsid w:val="003801F7"/>
    <w:rsid w:val="003821BC"/>
    <w:rsid w:val="003829CE"/>
    <w:rsid w:val="00382F9F"/>
    <w:rsid w:val="00383662"/>
    <w:rsid w:val="00385AEA"/>
    <w:rsid w:val="00390025"/>
    <w:rsid w:val="00390300"/>
    <w:rsid w:val="0039124A"/>
    <w:rsid w:val="00392DD4"/>
    <w:rsid w:val="003939C0"/>
    <w:rsid w:val="0039414D"/>
    <w:rsid w:val="00395E06"/>
    <w:rsid w:val="00396F0C"/>
    <w:rsid w:val="003972D0"/>
    <w:rsid w:val="00397964"/>
    <w:rsid w:val="003A3022"/>
    <w:rsid w:val="003A35BF"/>
    <w:rsid w:val="003A65B1"/>
    <w:rsid w:val="003A6CE9"/>
    <w:rsid w:val="003A6E02"/>
    <w:rsid w:val="003A6F51"/>
    <w:rsid w:val="003B17BD"/>
    <w:rsid w:val="003B3829"/>
    <w:rsid w:val="003B3D0C"/>
    <w:rsid w:val="003B4382"/>
    <w:rsid w:val="003B66EE"/>
    <w:rsid w:val="003B6B16"/>
    <w:rsid w:val="003B7558"/>
    <w:rsid w:val="003C04BC"/>
    <w:rsid w:val="003C1318"/>
    <w:rsid w:val="003C2C8E"/>
    <w:rsid w:val="003C7CDE"/>
    <w:rsid w:val="003D1124"/>
    <w:rsid w:val="003D19D9"/>
    <w:rsid w:val="003D2308"/>
    <w:rsid w:val="003D27BA"/>
    <w:rsid w:val="003D2975"/>
    <w:rsid w:val="003D51DC"/>
    <w:rsid w:val="003D5C91"/>
    <w:rsid w:val="003D605C"/>
    <w:rsid w:val="003D6397"/>
    <w:rsid w:val="003D6ED5"/>
    <w:rsid w:val="003D7F62"/>
    <w:rsid w:val="003E10E0"/>
    <w:rsid w:val="003E3385"/>
    <w:rsid w:val="003E3ED5"/>
    <w:rsid w:val="003E4D0A"/>
    <w:rsid w:val="003E664A"/>
    <w:rsid w:val="003F57E9"/>
    <w:rsid w:val="003F5970"/>
    <w:rsid w:val="003F59C3"/>
    <w:rsid w:val="003F76D3"/>
    <w:rsid w:val="003F7EA6"/>
    <w:rsid w:val="0040222C"/>
    <w:rsid w:val="00402DAB"/>
    <w:rsid w:val="004038A1"/>
    <w:rsid w:val="004044DD"/>
    <w:rsid w:val="0040486A"/>
    <w:rsid w:val="00404F63"/>
    <w:rsid w:val="00405BAD"/>
    <w:rsid w:val="00406C89"/>
    <w:rsid w:val="00415D21"/>
    <w:rsid w:val="004161A1"/>
    <w:rsid w:val="0041765D"/>
    <w:rsid w:val="0041790D"/>
    <w:rsid w:val="00417ADE"/>
    <w:rsid w:val="00417C59"/>
    <w:rsid w:val="00420724"/>
    <w:rsid w:val="0042207C"/>
    <w:rsid w:val="00424EBE"/>
    <w:rsid w:val="004270B0"/>
    <w:rsid w:val="00430072"/>
    <w:rsid w:val="0043041A"/>
    <w:rsid w:val="00430B8E"/>
    <w:rsid w:val="00430CBB"/>
    <w:rsid w:val="00430CBF"/>
    <w:rsid w:val="00430E17"/>
    <w:rsid w:val="00433797"/>
    <w:rsid w:val="004337F6"/>
    <w:rsid w:val="004342DB"/>
    <w:rsid w:val="004343D9"/>
    <w:rsid w:val="004353D6"/>
    <w:rsid w:val="00436CCC"/>
    <w:rsid w:val="00440152"/>
    <w:rsid w:val="00440397"/>
    <w:rsid w:val="004408DF"/>
    <w:rsid w:val="00440BD3"/>
    <w:rsid w:val="004413A3"/>
    <w:rsid w:val="00441DA2"/>
    <w:rsid w:val="0044311E"/>
    <w:rsid w:val="004434D3"/>
    <w:rsid w:val="00443F2A"/>
    <w:rsid w:val="00444537"/>
    <w:rsid w:val="00444538"/>
    <w:rsid w:val="00446CAE"/>
    <w:rsid w:val="00447E5C"/>
    <w:rsid w:val="004526E9"/>
    <w:rsid w:val="0045282E"/>
    <w:rsid w:val="00452C7A"/>
    <w:rsid w:val="0045472E"/>
    <w:rsid w:val="004561FA"/>
    <w:rsid w:val="00460AC6"/>
    <w:rsid w:val="00461D8C"/>
    <w:rsid w:val="0046217D"/>
    <w:rsid w:val="00462F2C"/>
    <w:rsid w:val="00463BCA"/>
    <w:rsid w:val="004640EF"/>
    <w:rsid w:val="00464305"/>
    <w:rsid w:val="004647B3"/>
    <w:rsid w:val="00464AAB"/>
    <w:rsid w:val="00464FAB"/>
    <w:rsid w:val="004675A3"/>
    <w:rsid w:val="004677EF"/>
    <w:rsid w:val="00470462"/>
    <w:rsid w:val="0047270C"/>
    <w:rsid w:val="004732B6"/>
    <w:rsid w:val="004759B1"/>
    <w:rsid w:val="00476C42"/>
    <w:rsid w:val="004800BA"/>
    <w:rsid w:val="0048067C"/>
    <w:rsid w:val="004807E9"/>
    <w:rsid w:val="00480C2D"/>
    <w:rsid w:val="004831C7"/>
    <w:rsid w:val="0048509F"/>
    <w:rsid w:val="0048523E"/>
    <w:rsid w:val="00485808"/>
    <w:rsid w:val="004858FF"/>
    <w:rsid w:val="00485E18"/>
    <w:rsid w:val="00486351"/>
    <w:rsid w:val="004914CD"/>
    <w:rsid w:val="0049320B"/>
    <w:rsid w:val="00494644"/>
    <w:rsid w:val="00494DD4"/>
    <w:rsid w:val="0049688C"/>
    <w:rsid w:val="00497726"/>
    <w:rsid w:val="00497AC1"/>
    <w:rsid w:val="004A2BD6"/>
    <w:rsid w:val="004A3C93"/>
    <w:rsid w:val="004A3E5E"/>
    <w:rsid w:val="004A41EF"/>
    <w:rsid w:val="004A4B73"/>
    <w:rsid w:val="004A6D83"/>
    <w:rsid w:val="004A6FFE"/>
    <w:rsid w:val="004A7A72"/>
    <w:rsid w:val="004B03D4"/>
    <w:rsid w:val="004B0E73"/>
    <w:rsid w:val="004B2B00"/>
    <w:rsid w:val="004B3565"/>
    <w:rsid w:val="004B3B23"/>
    <w:rsid w:val="004C16A0"/>
    <w:rsid w:val="004C34A9"/>
    <w:rsid w:val="004C7FB3"/>
    <w:rsid w:val="004D0402"/>
    <w:rsid w:val="004D2884"/>
    <w:rsid w:val="004D2D7A"/>
    <w:rsid w:val="004D347F"/>
    <w:rsid w:val="004D3687"/>
    <w:rsid w:val="004D3B82"/>
    <w:rsid w:val="004D65F0"/>
    <w:rsid w:val="004E0277"/>
    <w:rsid w:val="004E0475"/>
    <w:rsid w:val="004E0768"/>
    <w:rsid w:val="004E07B0"/>
    <w:rsid w:val="004E10A1"/>
    <w:rsid w:val="004E30CE"/>
    <w:rsid w:val="004F03E0"/>
    <w:rsid w:val="004F2373"/>
    <w:rsid w:val="004F445E"/>
    <w:rsid w:val="004F4705"/>
    <w:rsid w:val="004F6D5D"/>
    <w:rsid w:val="004F7843"/>
    <w:rsid w:val="004F79AB"/>
    <w:rsid w:val="005006F4"/>
    <w:rsid w:val="00501388"/>
    <w:rsid w:val="00501965"/>
    <w:rsid w:val="00501C9A"/>
    <w:rsid w:val="00502541"/>
    <w:rsid w:val="00503DF4"/>
    <w:rsid w:val="00504CBA"/>
    <w:rsid w:val="0050523C"/>
    <w:rsid w:val="00506980"/>
    <w:rsid w:val="00507A3A"/>
    <w:rsid w:val="00507C03"/>
    <w:rsid w:val="00511572"/>
    <w:rsid w:val="005128CF"/>
    <w:rsid w:val="00512955"/>
    <w:rsid w:val="00514A15"/>
    <w:rsid w:val="00517A0D"/>
    <w:rsid w:val="00517AA9"/>
    <w:rsid w:val="00520F64"/>
    <w:rsid w:val="005243C8"/>
    <w:rsid w:val="005314BB"/>
    <w:rsid w:val="00534EC3"/>
    <w:rsid w:val="00534F4C"/>
    <w:rsid w:val="00535589"/>
    <w:rsid w:val="00536BF7"/>
    <w:rsid w:val="00536E78"/>
    <w:rsid w:val="0053714D"/>
    <w:rsid w:val="00537DE1"/>
    <w:rsid w:val="005419DB"/>
    <w:rsid w:val="00543668"/>
    <w:rsid w:val="00543AF3"/>
    <w:rsid w:val="005443E0"/>
    <w:rsid w:val="00544412"/>
    <w:rsid w:val="00545DC7"/>
    <w:rsid w:val="00546A3D"/>
    <w:rsid w:val="00547A1A"/>
    <w:rsid w:val="005514F6"/>
    <w:rsid w:val="00552867"/>
    <w:rsid w:val="0055503C"/>
    <w:rsid w:val="00557F50"/>
    <w:rsid w:val="00561A9C"/>
    <w:rsid w:val="00562921"/>
    <w:rsid w:val="005630B4"/>
    <w:rsid w:val="00565478"/>
    <w:rsid w:val="005654F0"/>
    <w:rsid w:val="0056572F"/>
    <w:rsid w:val="00566527"/>
    <w:rsid w:val="00566EB4"/>
    <w:rsid w:val="00567193"/>
    <w:rsid w:val="0057261D"/>
    <w:rsid w:val="005779C0"/>
    <w:rsid w:val="00583579"/>
    <w:rsid w:val="005856F9"/>
    <w:rsid w:val="00585D0E"/>
    <w:rsid w:val="00586834"/>
    <w:rsid w:val="00587618"/>
    <w:rsid w:val="005876E4"/>
    <w:rsid w:val="00587887"/>
    <w:rsid w:val="00587C05"/>
    <w:rsid w:val="0059069E"/>
    <w:rsid w:val="00593B7B"/>
    <w:rsid w:val="0059439B"/>
    <w:rsid w:val="0059488B"/>
    <w:rsid w:val="00597E4C"/>
    <w:rsid w:val="00597ED2"/>
    <w:rsid w:val="005A2596"/>
    <w:rsid w:val="005A32DD"/>
    <w:rsid w:val="005A3712"/>
    <w:rsid w:val="005A3952"/>
    <w:rsid w:val="005A39B6"/>
    <w:rsid w:val="005A3B62"/>
    <w:rsid w:val="005A4101"/>
    <w:rsid w:val="005A437C"/>
    <w:rsid w:val="005A43A4"/>
    <w:rsid w:val="005A47B1"/>
    <w:rsid w:val="005A520A"/>
    <w:rsid w:val="005A74D2"/>
    <w:rsid w:val="005B15C6"/>
    <w:rsid w:val="005B340D"/>
    <w:rsid w:val="005B6F81"/>
    <w:rsid w:val="005C047E"/>
    <w:rsid w:val="005C1756"/>
    <w:rsid w:val="005C21BF"/>
    <w:rsid w:val="005C48BA"/>
    <w:rsid w:val="005C7B55"/>
    <w:rsid w:val="005D09BA"/>
    <w:rsid w:val="005D1A6E"/>
    <w:rsid w:val="005D28A7"/>
    <w:rsid w:val="005D2B03"/>
    <w:rsid w:val="005D36D5"/>
    <w:rsid w:val="005D36EA"/>
    <w:rsid w:val="005D40BF"/>
    <w:rsid w:val="005D465F"/>
    <w:rsid w:val="005D4C24"/>
    <w:rsid w:val="005D654B"/>
    <w:rsid w:val="005E18C7"/>
    <w:rsid w:val="005E1D0E"/>
    <w:rsid w:val="005E2A30"/>
    <w:rsid w:val="005E3521"/>
    <w:rsid w:val="005E5683"/>
    <w:rsid w:val="005E60B6"/>
    <w:rsid w:val="005E6748"/>
    <w:rsid w:val="005F080D"/>
    <w:rsid w:val="005F096D"/>
    <w:rsid w:val="005F250C"/>
    <w:rsid w:val="005F2CEF"/>
    <w:rsid w:val="005F3C7B"/>
    <w:rsid w:val="005F3E75"/>
    <w:rsid w:val="005F688D"/>
    <w:rsid w:val="005F6972"/>
    <w:rsid w:val="005F6DCC"/>
    <w:rsid w:val="005F7595"/>
    <w:rsid w:val="005F761A"/>
    <w:rsid w:val="0060053C"/>
    <w:rsid w:val="006010F5"/>
    <w:rsid w:val="00601564"/>
    <w:rsid w:val="00601EB0"/>
    <w:rsid w:val="00601F1B"/>
    <w:rsid w:val="006042A9"/>
    <w:rsid w:val="0060463D"/>
    <w:rsid w:val="00604F24"/>
    <w:rsid w:val="00607F5D"/>
    <w:rsid w:val="006103B2"/>
    <w:rsid w:val="00611468"/>
    <w:rsid w:val="00611490"/>
    <w:rsid w:val="00611536"/>
    <w:rsid w:val="00613C18"/>
    <w:rsid w:val="006166F0"/>
    <w:rsid w:val="00617874"/>
    <w:rsid w:val="00617DDF"/>
    <w:rsid w:val="0062257C"/>
    <w:rsid w:val="00622D46"/>
    <w:rsid w:val="00623641"/>
    <w:rsid w:val="006263E5"/>
    <w:rsid w:val="00626A80"/>
    <w:rsid w:val="00626F72"/>
    <w:rsid w:val="006309FA"/>
    <w:rsid w:val="00630ED0"/>
    <w:rsid w:val="00630F1B"/>
    <w:rsid w:val="00632F5E"/>
    <w:rsid w:val="00634A0F"/>
    <w:rsid w:val="00635315"/>
    <w:rsid w:val="00635CD5"/>
    <w:rsid w:val="00635DBF"/>
    <w:rsid w:val="006362A0"/>
    <w:rsid w:val="00636914"/>
    <w:rsid w:val="00637ADA"/>
    <w:rsid w:val="00640010"/>
    <w:rsid w:val="006407A3"/>
    <w:rsid w:val="00641CE0"/>
    <w:rsid w:val="00642F73"/>
    <w:rsid w:val="0064530F"/>
    <w:rsid w:val="00645745"/>
    <w:rsid w:val="00645F8F"/>
    <w:rsid w:val="00647947"/>
    <w:rsid w:val="00647BE9"/>
    <w:rsid w:val="00651490"/>
    <w:rsid w:val="006518BC"/>
    <w:rsid w:val="00652290"/>
    <w:rsid w:val="00654385"/>
    <w:rsid w:val="00656261"/>
    <w:rsid w:val="00660414"/>
    <w:rsid w:val="00660723"/>
    <w:rsid w:val="006614E9"/>
    <w:rsid w:val="00661531"/>
    <w:rsid w:val="0066229F"/>
    <w:rsid w:val="0066497C"/>
    <w:rsid w:val="006665BD"/>
    <w:rsid w:val="00666A8A"/>
    <w:rsid w:val="00666EA1"/>
    <w:rsid w:val="0067224A"/>
    <w:rsid w:val="0067388E"/>
    <w:rsid w:val="00674790"/>
    <w:rsid w:val="00677FED"/>
    <w:rsid w:val="00680125"/>
    <w:rsid w:val="00681A45"/>
    <w:rsid w:val="00681B89"/>
    <w:rsid w:val="006824EA"/>
    <w:rsid w:val="006838A8"/>
    <w:rsid w:val="00685B98"/>
    <w:rsid w:val="00686BBA"/>
    <w:rsid w:val="00687088"/>
    <w:rsid w:val="006912EE"/>
    <w:rsid w:val="00691E9C"/>
    <w:rsid w:val="0069326C"/>
    <w:rsid w:val="00693278"/>
    <w:rsid w:val="00694FE8"/>
    <w:rsid w:val="006950ED"/>
    <w:rsid w:val="0069675E"/>
    <w:rsid w:val="00697330"/>
    <w:rsid w:val="00697E78"/>
    <w:rsid w:val="006A0FA9"/>
    <w:rsid w:val="006A1255"/>
    <w:rsid w:val="006A211C"/>
    <w:rsid w:val="006A2682"/>
    <w:rsid w:val="006A2F45"/>
    <w:rsid w:val="006A3866"/>
    <w:rsid w:val="006A4269"/>
    <w:rsid w:val="006A6F1C"/>
    <w:rsid w:val="006A78B5"/>
    <w:rsid w:val="006B1288"/>
    <w:rsid w:val="006B24CD"/>
    <w:rsid w:val="006B26A4"/>
    <w:rsid w:val="006B4F80"/>
    <w:rsid w:val="006C1439"/>
    <w:rsid w:val="006C17C1"/>
    <w:rsid w:val="006C1DA4"/>
    <w:rsid w:val="006C1F5B"/>
    <w:rsid w:val="006C1FF3"/>
    <w:rsid w:val="006C234B"/>
    <w:rsid w:val="006C331A"/>
    <w:rsid w:val="006C4EE8"/>
    <w:rsid w:val="006C5C6E"/>
    <w:rsid w:val="006C65C0"/>
    <w:rsid w:val="006D0365"/>
    <w:rsid w:val="006D054F"/>
    <w:rsid w:val="006D607B"/>
    <w:rsid w:val="006D6593"/>
    <w:rsid w:val="006D71B3"/>
    <w:rsid w:val="006E123F"/>
    <w:rsid w:val="006E13BA"/>
    <w:rsid w:val="006E170F"/>
    <w:rsid w:val="006E78C4"/>
    <w:rsid w:val="006F1E1D"/>
    <w:rsid w:val="006F2A27"/>
    <w:rsid w:val="006F3823"/>
    <w:rsid w:val="006F4BD1"/>
    <w:rsid w:val="006F532E"/>
    <w:rsid w:val="006F710F"/>
    <w:rsid w:val="00700890"/>
    <w:rsid w:val="00700B08"/>
    <w:rsid w:val="00701F85"/>
    <w:rsid w:val="007044F1"/>
    <w:rsid w:val="0070503B"/>
    <w:rsid w:val="00706DE1"/>
    <w:rsid w:val="007074D2"/>
    <w:rsid w:val="0071250C"/>
    <w:rsid w:val="00712F6E"/>
    <w:rsid w:val="007132B9"/>
    <w:rsid w:val="00713B67"/>
    <w:rsid w:val="00714067"/>
    <w:rsid w:val="00715EBD"/>
    <w:rsid w:val="00716C13"/>
    <w:rsid w:val="00720545"/>
    <w:rsid w:val="00720C32"/>
    <w:rsid w:val="0072246D"/>
    <w:rsid w:val="00722E8A"/>
    <w:rsid w:val="00723B04"/>
    <w:rsid w:val="00724617"/>
    <w:rsid w:val="00724CB6"/>
    <w:rsid w:val="007257E7"/>
    <w:rsid w:val="00725902"/>
    <w:rsid w:val="00726A39"/>
    <w:rsid w:val="00726B78"/>
    <w:rsid w:val="007275C5"/>
    <w:rsid w:val="007300E3"/>
    <w:rsid w:val="00730430"/>
    <w:rsid w:val="00730E41"/>
    <w:rsid w:val="007312CA"/>
    <w:rsid w:val="007328F3"/>
    <w:rsid w:val="00732FB2"/>
    <w:rsid w:val="00733850"/>
    <w:rsid w:val="00734C20"/>
    <w:rsid w:val="00734DC8"/>
    <w:rsid w:val="00735A4C"/>
    <w:rsid w:val="00736ABF"/>
    <w:rsid w:val="00741924"/>
    <w:rsid w:val="00741FC2"/>
    <w:rsid w:val="00742466"/>
    <w:rsid w:val="007428C9"/>
    <w:rsid w:val="007444C8"/>
    <w:rsid w:val="00744BFD"/>
    <w:rsid w:val="0074538D"/>
    <w:rsid w:val="007456D6"/>
    <w:rsid w:val="00745F68"/>
    <w:rsid w:val="00750C8C"/>
    <w:rsid w:val="0075338B"/>
    <w:rsid w:val="00753E2B"/>
    <w:rsid w:val="00754970"/>
    <w:rsid w:val="0075747A"/>
    <w:rsid w:val="00757DC4"/>
    <w:rsid w:val="00760BF7"/>
    <w:rsid w:val="00762467"/>
    <w:rsid w:val="007636B1"/>
    <w:rsid w:val="00764B99"/>
    <w:rsid w:val="00764EEB"/>
    <w:rsid w:val="00765953"/>
    <w:rsid w:val="00766592"/>
    <w:rsid w:val="00766D79"/>
    <w:rsid w:val="00767C57"/>
    <w:rsid w:val="00770BA8"/>
    <w:rsid w:val="00772607"/>
    <w:rsid w:val="007731A1"/>
    <w:rsid w:val="00775500"/>
    <w:rsid w:val="00775CD4"/>
    <w:rsid w:val="00776334"/>
    <w:rsid w:val="00785494"/>
    <w:rsid w:val="00785A43"/>
    <w:rsid w:val="00786616"/>
    <w:rsid w:val="00786ADE"/>
    <w:rsid w:val="007874D2"/>
    <w:rsid w:val="00787616"/>
    <w:rsid w:val="007949EE"/>
    <w:rsid w:val="0079570C"/>
    <w:rsid w:val="00795B5F"/>
    <w:rsid w:val="0079616C"/>
    <w:rsid w:val="007971DD"/>
    <w:rsid w:val="0079749E"/>
    <w:rsid w:val="007A02F3"/>
    <w:rsid w:val="007A599E"/>
    <w:rsid w:val="007A7A30"/>
    <w:rsid w:val="007B2A8D"/>
    <w:rsid w:val="007B4DB1"/>
    <w:rsid w:val="007B5B21"/>
    <w:rsid w:val="007B5DA4"/>
    <w:rsid w:val="007B711A"/>
    <w:rsid w:val="007B7C3A"/>
    <w:rsid w:val="007C1AC8"/>
    <w:rsid w:val="007C1DAF"/>
    <w:rsid w:val="007C2BAD"/>
    <w:rsid w:val="007C2EE4"/>
    <w:rsid w:val="007C44C8"/>
    <w:rsid w:val="007C6032"/>
    <w:rsid w:val="007C60A6"/>
    <w:rsid w:val="007D0697"/>
    <w:rsid w:val="007D1B42"/>
    <w:rsid w:val="007D20C0"/>
    <w:rsid w:val="007D268B"/>
    <w:rsid w:val="007D32C9"/>
    <w:rsid w:val="007D512F"/>
    <w:rsid w:val="007D628D"/>
    <w:rsid w:val="007D6301"/>
    <w:rsid w:val="007D7489"/>
    <w:rsid w:val="007E0369"/>
    <w:rsid w:val="007E0BDB"/>
    <w:rsid w:val="007E4C4A"/>
    <w:rsid w:val="007E54FD"/>
    <w:rsid w:val="007E65F7"/>
    <w:rsid w:val="007F0683"/>
    <w:rsid w:val="007F097F"/>
    <w:rsid w:val="007F0B8E"/>
    <w:rsid w:val="007F0D79"/>
    <w:rsid w:val="007F173A"/>
    <w:rsid w:val="007F1990"/>
    <w:rsid w:val="007F1CC1"/>
    <w:rsid w:val="007F6463"/>
    <w:rsid w:val="007F7DCD"/>
    <w:rsid w:val="008014B5"/>
    <w:rsid w:val="00801A3C"/>
    <w:rsid w:val="0080226F"/>
    <w:rsid w:val="00803FE4"/>
    <w:rsid w:val="00807ABB"/>
    <w:rsid w:val="0081334C"/>
    <w:rsid w:val="008142BF"/>
    <w:rsid w:val="00814732"/>
    <w:rsid w:val="008158DB"/>
    <w:rsid w:val="00815BBC"/>
    <w:rsid w:val="00816C1C"/>
    <w:rsid w:val="00820206"/>
    <w:rsid w:val="00820673"/>
    <w:rsid w:val="00820E89"/>
    <w:rsid w:val="00821F12"/>
    <w:rsid w:val="00822FB6"/>
    <w:rsid w:val="00823926"/>
    <w:rsid w:val="008244D8"/>
    <w:rsid w:val="00824D4B"/>
    <w:rsid w:val="00825805"/>
    <w:rsid w:val="00832E40"/>
    <w:rsid w:val="008336D7"/>
    <w:rsid w:val="00833F05"/>
    <w:rsid w:val="00834834"/>
    <w:rsid w:val="00834E9D"/>
    <w:rsid w:val="00834F5B"/>
    <w:rsid w:val="008357AC"/>
    <w:rsid w:val="00840C7B"/>
    <w:rsid w:val="0084293A"/>
    <w:rsid w:val="00843545"/>
    <w:rsid w:val="0084444B"/>
    <w:rsid w:val="00844E76"/>
    <w:rsid w:val="00845035"/>
    <w:rsid w:val="008467F4"/>
    <w:rsid w:val="008502BB"/>
    <w:rsid w:val="008503BB"/>
    <w:rsid w:val="00851393"/>
    <w:rsid w:val="0085435F"/>
    <w:rsid w:val="00856E4B"/>
    <w:rsid w:val="00856F7C"/>
    <w:rsid w:val="00857160"/>
    <w:rsid w:val="00857C1C"/>
    <w:rsid w:val="008604E7"/>
    <w:rsid w:val="008617D5"/>
    <w:rsid w:val="00861924"/>
    <w:rsid w:val="00865B61"/>
    <w:rsid w:val="00866335"/>
    <w:rsid w:val="00867548"/>
    <w:rsid w:val="00867FD4"/>
    <w:rsid w:val="00870EAB"/>
    <w:rsid w:val="008717B1"/>
    <w:rsid w:val="00871AB9"/>
    <w:rsid w:val="0087223F"/>
    <w:rsid w:val="008731D2"/>
    <w:rsid w:val="0087452E"/>
    <w:rsid w:val="00874DFB"/>
    <w:rsid w:val="00874FB6"/>
    <w:rsid w:val="00875042"/>
    <w:rsid w:val="008751BC"/>
    <w:rsid w:val="00875C61"/>
    <w:rsid w:val="00876195"/>
    <w:rsid w:val="00876613"/>
    <w:rsid w:val="0088230B"/>
    <w:rsid w:val="00882EAA"/>
    <w:rsid w:val="00883739"/>
    <w:rsid w:val="00883E7D"/>
    <w:rsid w:val="008841F9"/>
    <w:rsid w:val="00885511"/>
    <w:rsid w:val="008868AD"/>
    <w:rsid w:val="00891B78"/>
    <w:rsid w:val="0089429B"/>
    <w:rsid w:val="0089437D"/>
    <w:rsid w:val="00894B36"/>
    <w:rsid w:val="00895FB5"/>
    <w:rsid w:val="00896DC2"/>
    <w:rsid w:val="00896EC7"/>
    <w:rsid w:val="00897A5F"/>
    <w:rsid w:val="008A05C7"/>
    <w:rsid w:val="008A0695"/>
    <w:rsid w:val="008A06D7"/>
    <w:rsid w:val="008A0FB6"/>
    <w:rsid w:val="008A1455"/>
    <w:rsid w:val="008A302F"/>
    <w:rsid w:val="008A397D"/>
    <w:rsid w:val="008A64C8"/>
    <w:rsid w:val="008A730F"/>
    <w:rsid w:val="008B00D1"/>
    <w:rsid w:val="008B1482"/>
    <w:rsid w:val="008B3391"/>
    <w:rsid w:val="008B5D60"/>
    <w:rsid w:val="008B6B49"/>
    <w:rsid w:val="008B7536"/>
    <w:rsid w:val="008B75F4"/>
    <w:rsid w:val="008C282E"/>
    <w:rsid w:val="008C35E1"/>
    <w:rsid w:val="008C4306"/>
    <w:rsid w:val="008C4BDA"/>
    <w:rsid w:val="008C57DC"/>
    <w:rsid w:val="008D3B68"/>
    <w:rsid w:val="008E017C"/>
    <w:rsid w:val="008E23D7"/>
    <w:rsid w:val="008E2B60"/>
    <w:rsid w:val="008E46EF"/>
    <w:rsid w:val="008E557B"/>
    <w:rsid w:val="008F0E8F"/>
    <w:rsid w:val="008F2B04"/>
    <w:rsid w:val="008F34EC"/>
    <w:rsid w:val="008F3974"/>
    <w:rsid w:val="008F3AAA"/>
    <w:rsid w:val="008F570C"/>
    <w:rsid w:val="008F6968"/>
    <w:rsid w:val="008F7B6E"/>
    <w:rsid w:val="00900065"/>
    <w:rsid w:val="00900B18"/>
    <w:rsid w:val="00901220"/>
    <w:rsid w:val="00901700"/>
    <w:rsid w:val="009019E2"/>
    <w:rsid w:val="00901F9D"/>
    <w:rsid w:val="00901FB0"/>
    <w:rsid w:val="00903D6D"/>
    <w:rsid w:val="0090790F"/>
    <w:rsid w:val="00912228"/>
    <w:rsid w:val="0091356E"/>
    <w:rsid w:val="00914FD1"/>
    <w:rsid w:val="0091528C"/>
    <w:rsid w:val="00915635"/>
    <w:rsid w:val="00916E39"/>
    <w:rsid w:val="00917FEE"/>
    <w:rsid w:val="00923F58"/>
    <w:rsid w:val="00927615"/>
    <w:rsid w:val="009278F5"/>
    <w:rsid w:val="009305A0"/>
    <w:rsid w:val="00932F7B"/>
    <w:rsid w:val="00933EC0"/>
    <w:rsid w:val="0093473B"/>
    <w:rsid w:val="009361B8"/>
    <w:rsid w:val="00936400"/>
    <w:rsid w:val="009371A1"/>
    <w:rsid w:val="009372F6"/>
    <w:rsid w:val="009377E8"/>
    <w:rsid w:val="00937880"/>
    <w:rsid w:val="00941DA9"/>
    <w:rsid w:val="00941EAE"/>
    <w:rsid w:val="00941F4A"/>
    <w:rsid w:val="00943422"/>
    <w:rsid w:val="009439BF"/>
    <w:rsid w:val="00943FBA"/>
    <w:rsid w:val="009446C9"/>
    <w:rsid w:val="00945AA5"/>
    <w:rsid w:val="00946728"/>
    <w:rsid w:val="00946C9C"/>
    <w:rsid w:val="009474E3"/>
    <w:rsid w:val="00947E03"/>
    <w:rsid w:val="00950407"/>
    <w:rsid w:val="009508AA"/>
    <w:rsid w:val="009511B2"/>
    <w:rsid w:val="00955539"/>
    <w:rsid w:val="00955705"/>
    <w:rsid w:val="0095592E"/>
    <w:rsid w:val="0095772C"/>
    <w:rsid w:val="00957E1E"/>
    <w:rsid w:val="00960346"/>
    <w:rsid w:val="00960F6C"/>
    <w:rsid w:val="00961418"/>
    <w:rsid w:val="00963552"/>
    <w:rsid w:val="00965213"/>
    <w:rsid w:val="00965747"/>
    <w:rsid w:val="00971095"/>
    <w:rsid w:val="00973039"/>
    <w:rsid w:val="009735EF"/>
    <w:rsid w:val="0097385C"/>
    <w:rsid w:val="00976471"/>
    <w:rsid w:val="00976F5D"/>
    <w:rsid w:val="0097711B"/>
    <w:rsid w:val="00977CB6"/>
    <w:rsid w:val="00980325"/>
    <w:rsid w:val="009814D3"/>
    <w:rsid w:val="00982421"/>
    <w:rsid w:val="009829CF"/>
    <w:rsid w:val="00984D02"/>
    <w:rsid w:val="00985C60"/>
    <w:rsid w:val="00986682"/>
    <w:rsid w:val="00986690"/>
    <w:rsid w:val="00986D4E"/>
    <w:rsid w:val="00990183"/>
    <w:rsid w:val="009902F5"/>
    <w:rsid w:val="0099088C"/>
    <w:rsid w:val="00990893"/>
    <w:rsid w:val="0099199F"/>
    <w:rsid w:val="00991B11"/>
    <w:rsid w:val="00992F28"/>
    <w:rsid w:val="00994E9B"/>
    <w:rsid w:val="009962F0"/>
    <w:rsid w:val="0099773D"/>
    <w:rsid w:val="00997CFE"/>
    <w:rsid w:val="009A1D1D"/>
    <w:rsid w:val="009A1F84"/>
    <w:rsid w:val="009A2FAA"/>
    <w:rsid w:val="009A3219"/>
    <w:rsid w:val="009A457C"/>
    <w:rsid w:val="009A49BA"/>
    <w:rsid w:val="009A6345"/>
    <w:rsid w:val="009A7215"/>
    <w:rsid w:val="009A74F6"/>
    <w:rsid w:val="009A7D69"/>
    <w:rsid w:val="009B006F"/>
    <w:rsid w:val="009B09EA"/>
    <w:rsid w:val="009B2B48"/>
    <w:rsid w:val="009B2BE7"/>
    <w:rsid w:val="009B4827"/>
    <w:rsid w:val="009B58EA"/>
    <w:rsid w:val="009B603E"/>
    <w:rsid w:val="009B6043"/>
    <w:rsid w:val="009B61DE"/>
    <w:rsid w:val="009B7A0C"/>
    <w:rsid w:val="009B7B70"/>
    <w:rsid w:val="009B7EC1"/>
    <w:rsid w:val="009C23E6"/>
    <w:rsid w:val="009C3AE5"/>
    <w:rsid w:val="009C5E23"/>
    <w:rsid w:val="009C5F33"/>
    <w:rsid w:val="009C6681"/>
    <w:rsid w:val="009C67E9"/>
    <w:rsid w:val="009C6BEE"/>
    <w:rsid w:val="009D19AB"/>
    <w:rsid w:val="009D3088"/>
    <w:rsid w:val="009D50FE"/>
    <w:rsid w:val="009D5398"/>
    <w:rsid w:val="009D644D"/>
    <w:rsid w:val="009D6990"/>
    <w:rsid w:val="009D6E06"/>
    <w:rsid w:val="009E1668"/>
    <w:rsid w:val="009E1FCF"/>
    <w:rsid w:val="009E4ED1"/>
    <w:rsid w:val="009E6CE4"/>
    <w:rsid w:val="009F0825"/>
    <w:rsid w:val="009F0853"/>
    <w:rsid w:val="009F0DC6"/>
    <w:rsid w:val="009F5F49"/>
    <w:rsid w:val="00A01121"/>
    <w:rsid w:val="00A018AA"/>
    <w:rsid w:val="00A02EF2"/>
    <w:rsid w:val="00A03534"/>
    <w:rsid w:val="00A04DFF"/>
    <w:rsid w:val="00A04FAD"/>
    <w:rsid w:val="00A05387"/>
    <w:rsid w:val="00A05AB7"/>
    <w:rsid w:val="00A0677D"/>
    <w:rsid w:val="00A06AF7"/>
    <w:rsid w:val="00A06C52"/>
    <w:rsid w:val="00A07D20"/>
    <w:rsid w:val="00A10F2B"/>
    <w:rsid w:val="00A12A5F"/>
    <w:rsid w:val="00A140A9"/>
    <w:rsid w:val="00A14403"/>
    <w:rsid w:val="00A15252"/>
    <w:rsid w:val="00A156D6"/>
    <w:rsid w:val="00A15FD3"/>
    <w:rsid w:val="00A163CE"/>
    <w:rsid w:val="00A16942"/>
    <w:rsid w:val="00A16993"/>
    <w:rsid w:val="00A16ED7"/>
    <w:rsid w:val="00A22B68"/>
    <w:rsid w:val="00A24435"/>
    <w:rsid w:val="00A25C2D"/>
    <w:rsid w:val="00A26393"/>
    <w:rsid w:val="00A272C6"/>
    <w:rsid w:val="00A279CA"/>
    <w:rsid w:val="00A27D54"/>
    <w:rsid w:val="00A30975"/>
    <w:rsid w:val="00A3157C"/>
    <w:rsid w:val="00A32C14"/>
    <w:rsid w:val="00A41F24"/>
    <w:rsid w:val="00A43252"/>
    <w:rsid w:val="00A43686"/>
    <w:rsid w:val="00A456A4"/>
    <w:rsid w:val="00A469E5"/>
    <w:rsid w:val="00A46E72"/>
    <w:rsid w:val="00A47083"/>
    <w:rsid w:val="00A47CBB"/>
    <w:rsid w:val="00A47F68"/>
    <w:rsid w:val="00A50120"/>
    <w:rsid w:val="00A5048F"/>
    <w:rsid w:val="00A50602"/>
    <w:rsid w:val="00A5118E"/>
    <w:rsid w:val="00A52976"/>
    <w:rsid w:val="00A53DC8"/>
    <w:rsid w:val="00A53F0A"/>
    <w:rsid w:val="00A543CA"/>
    <w:rsid w:val="00A545FC"/>
    <w:rsid w:val="00A55EB5"/>
    <w:rsid w:val="00A607EE"/>
    <w:rsid w:val="00A61365"/>
    <w:rsid w:val="00A63B35"/>
    <w:rsid w:val="00A644DB"/>
    <w:rsid w:val="00A64808"/>
    <w:rsid w:val="00A65D2D"/>
    <w:rsid w:val="00A66975"/>
    <w:rsid w:val="00A677AF"/>
    <w:rsid w:val="00A7159B"/>
    <w:rsid w:val="00A7301A"/>
    <w:rsid w:val="00A7354F"/>
    <w:rsid w:val="00A73FC7"/>
    <w:rsid w:val="00A74097"/>
    <w:rsid w:val="00A742E2"/>
    <w:rsid w:val="00A744C7"/>
    <w:rsid w:val="00A746C4"/>
    <w:rsid w:val="00A74C53"/>
    <w:rsid w:val="00A765DF"/>
    <w:rsid w:val="00A76960"/>
    <w:rsid w:val="00A76A7C"/>
    <w:rsid w:val="00A8583E"/>
    <w:rsid w:val="00A86F1B"/>
    <w:rsid w:val="00A9041C"/>
    <w:rsid w:val="00A905A3"/>
    <w:rsid w:val="00A91FFF"/>
    <w:rsid w:val="00A9418A"/>
    <w:rsid w:val="00A94494"/>
    <w:rsid w:val="00A959F6"/>
    <w:rsid w:val="00A96752"/>
    <w:rsid w:val="00A977EA"/>
    <w:rsid w:val="00AA22EA"/>
    <w:rsid w:val="00AA2A12"/>
    <w:rsid w:val="00AA3C71"/>
    <w:rsid w:val="00AA4442"/>
    <w:rsid w:val="00AA6BA8"/>
    <w:rsid w:val="00AA786B"/>
    <w:rsid w:val="00AB2197"/>
    <w:rsid w:val="00AB2A08"/>
    <w:rsid w:val="00AB3B00"/>
    <w:rsid w:val="00AB49A1"/>
    <w:rsid w:val="00AB4C93"/>
    <w:rsid w:val="00AB4CE6"/>
    <w:rsid w:val="00AB5E14"/>
    <w:rsid w:val="00AB6EDB"/>
    <w:rsid w:val="00AB7BBB"/>
    <w:rsid w:val="00AC014A"/>
    <w:rsid w:val="00AC4D67"/>
    <w:rsid w:val="00AC5A28"/>
    <w:rsid w:val="00AC5BFF"/>
    <w:rsid w:val="00AC72E5"/>
    <w:rsid w:val="00AC7996"/>
    <w:rsid w:val="00AC7D2F"/>
    <w:rsid w:val="00AD0869"/>
    <w:rsid w:val="00AD1253"/>
    <w:rsid w:val="00AD127C"/>
    <w:rsid w:val="00AD2D93"/>
    <w:rsid w:val="00AD2E4E"/>
    <w:rsid w:val="00AD38FB"/>
    <w:rsid w:val="00AD471F"/>
    <w:rsid w:val="00AD5201"/>
    <w:rsid w:val="00AD5C02"/>
    <w:rsid w:val="00AD6C98"/>
    <w:rsid w:val="00AE1776"/>
    <w:rsid w:val="00AE2719"/>
    <w:rsid w:val="00AE4320"/>
    <w:rsid w:val="00AF1A7D"/>
    <w:rsid w:val="00AF22A9"/>
    <w:rsid w:val="00AF3614"/>
    <w:rsid w:val="00AF476D"/>
    <w:rsid w:val="00AF4772"/>
    <w:rsid w:val="00AF5477"/>
    <w:rsid w:val="00AF5860"/>
    <w:rsid w:val="00AF5F4F"/>
    <w:rsid w:val="00AF625C"/>
    <w:rsid w:val="00AF6980"/>
    <w:rsid w:val="00AF74C6"/>
    <w:rsid w:val="00B003C8"/>
    <w:rsid w:val="00B008BD"/>
    <w:rsid w:val="00B008C5"/>
    <w:rsid w:val="00B01470"/>
    <w:rsid w:val="00B02320"/>
    <w:rsid w:val="00B0536C"/>
    <w:rsid w:val="00B064F5"/>
    <w:rsid w:val="00B07719"/>
    <w:rsid w:val="00B106B2"/>
    <w:rsid w:val="00B10EC7"/>
    <w:rsid w:val="00B1124E"/>
    <w:rsid w:val="00B11622"/>
    <w:rsid w:val="00B117FB"/>
    <w:rsid w:val="00B11D2B"/>
    <w:rsid w:val="00B149CC"/>
    <w:rsid w:val="00B149EB"/>
    <w:rsid w:val="00B14C86"/>
    <w:rsid w:val="00B15B27"/>
    <w:rsid w:val="00B15FF4"/>
    <w:rsid w:val="00B17F50"/>
    <w:rsid w:val="00B20385"/>
    <w:rsid w:val="00B20967"/>
    <w:rsid w:val="00B20B7E"/>
    <w:rsid w:val="00B21843"/>
    <w:rsid w:val="00B222FE"/>
    <w:rsid w:val="00B23A26"/>
    <w:rsid w:val="00B24444"/>
    <w:rsid w:val="00B24D2D"/>
    <w:rsid w:val="00B26E69"/>
    <w:rsid w:val="00B27408"/>
    <w:rsid w:val="00B30239"/>
    <w:rsid w:val="00B30F4D"/>
    <w:rsid w:val="00B31A0D"/>
    <w:rsid w:val="00B32C7C"/>
    <w:rsid w:val="00B33118"/>
    <w:rsid w:val="00B3426D"/>
    <w:rsid w:val="00B34749"/>
    <w:rsid w:val="00B34752"/>
    <w:rsid w:val="00B3526C"/>
    <w:rsid w:val="00B35381"/>
    <w:rsid w:val="00B35904"/>
    <w:rsid w:val="00B371A6"/>
    <w:rsid w:val="00B37930"/>
    <w:rsid w:val="00B40400"/>
    <w:rsid w:val="00B42676"/>
    <w:rsid w:val="00B43942"/>
    <w:rsid w:val="00B44BDD"/>
    <w:rsid w:val="00B4553D"/>
    <w:rsid w:val="00B45653"/>
    <w:rsid w:val="00B47443"/>
    <w:rsid w:val="00B4750C"/>
    <w:rsid w:val="00B5036E"/>
    <w:rsid w:val="00B50E58"/>
    <w:rsid w:val="00B52002"/>
    <w:rsid w:val="00B544CB"/>
    <w:rsid w:val="00B554CE"/>
    <w:rsid w:val="00B56190"/>
    <w:rsid w:val="00B56295"/>
    <w:rsid w:val="00B56615"/>
    <w:rsid w:val="00B57BAD"/>
    <w:rsid w:val="00B61B74"/>
    <w:rsid w:val="00B635E0"/>
    <w:rsid w:val="00B647BE"/>
    <w:rsid w:val="00B64C52"/>
    <w:rsid w:val="00B66106"/>
    <w:rsid w:val="00B676D3"/>
    <w:rsid w:val="00B67BF0"/>
    <w:rsid w:val="00B713F0"/>
    <w:rsid w:val="00B719DB"/>
    <w:rsid w:val="00B7579D"/>
    <w:rsid w:val="00B768C9"/>
    <w:rsid w:val="00B76F35"/>
    <w:rsid w:val="00B80E78"/>
    <w:rsid w:val="00B80EE2"/>
    <w:rsid w:val="00B822FD"/>
    <w:rsid w:val="00B82A37"/>
    <w:rsid w:val="00B8440D"/>
    <w:rsid w:val="00B84C2A"/>
    <w:rsid w:val="00B86E15"/>
    <w:rsid w:val="00B905A1"/>
    <w:rsid w:val="00B90BFC"/>
    <w:rsid w:val="00B90EF1"/>
    <w:rsid w:val="00B92E59"/>
    <w:rsid w:val="00B946FD"/>
    <w:rsid w:val="00B95510"/>
    <w:rsid w:val="00B95B00"/>
    <w:rsid w:val="00B96B48"/>
    <w:rsid w:val="00B97D76"/>
    <w:rsid w:val="00BA034E"/>
    <w:rsid w:val="00BA075F"/>
    <w:rsid w:val="00BA3089"/>
    <w:rsid w:val="00BA3DF4"/>
    <w:rsid w:val="00BA6325"/>
    <w:rsid w:val="00BA64FA"/>
    <w:rsid w:val="00BB0621"/>
    <w:rsid w:val="00BB0D93"/>
    <w:rsid w:val="00BB0ED2"/>
    <w:rsid w:val="00BB2EE1"/>
    <w:rsid w:val="00BB3701"/>
    <w:rsid w:val="00BB474E"/>
    <w:rsid w:val="00BB5285"/>
    <w:rsid w:val="00BB52AD"/>
    <w:rsid w:val="00BB5525"/>
    <w:rsid w:val="00BC016A"/>
    <w:rsid w:val="00BC0FCA"/>
    <w:rsid w:val="00BC121B"/>
    <w:rsid w:val="00BC19E5"/>
    <w:rsid w:val="00BC3EA6"/>
    <w:rsid w:val="00BC622D"/>
    <w:rsid w:val="00BD0496"/>
    <w:rsid w:val="00BD0D3E"/>
    <w:rsid w:val="00BD1145"/>
    <w:rsid w:val="00BD189F"/>
    <w:rsid w:val="00BD18AF"/>
    <w:rsid w:val="00BD1E5A"/>
    <w:rsid w:val="00BD25D2"/>
    <w:rsid w:val="00BD649E"/>
    <w:rsid w:val="00BD75C9"/>
    <w:rsid w:val="00BE0704"/>
    <w:rsid w:val="00BE349C"/>
    <w:rsid w:val="00BE40EE"/>
    <w:rsid w:val="00BE5CA0"/>
    <w:rsid w:val="00BE68FB"/>
    <w:rsid w:val="00BF0C67"/>
    <w:rsid w:val="00BF0D9A"/>
    <w:rsid w:val="00BF1580"/>
    <w:rsid w:val="00BF32EA"/>
    <w:rsid w:val="00BF46DA"/>
    <w:rsid w:val="00BF471B"/>
    <w:rsid w:val="00BF5538"/>
    <w:rsid w:val="00BF670B"/>
    <w:rsid w:val="00C00EBD"/>
    <w:rsid w:val="00C02014"/>
    <w:rsid w:val="00C020E4"/>
    <w:rsid w:val="00C021CD"/>
    <w:rsid w:val="00C03C2B"/>
    <w:rsid w:val="00C03D51"/>
    <w:rsid w:val="00C04F66"/>
    <w:rsid w:val="00C05F5A"/>
    <w:rsid w:val="00C06CFB"/>
    <w:rsid w:val="00C07982"/>
    <w:rsid w:val="00C07D20"/>
    <w:rsid w:val="00C11D14"/>
    <w:rsid w:val="00C11DD9"/>
    <w:rsid w:val="00C12C56"/>
    <w:rsid w:val="00C1413F"/>
    <w:rsid w:val="00C1545E"/>
    <w:rsid w:val="00C15DD5"/>
    <w:rsid w:val="00C174B3"/>
    <w:rsid w:val="00C1783D"/>
    <w:rsid w:val="00C178DD"/>
    <w:rsid w:val="00C205C3"/>
    <w:rsid w:val="00C22818"/>
    <w:rsid w:val="00C2598C"/>
    <w:rsid w:val="00C2611E"/>
    <w:rsid w:val="00C27964"/>
    <w:rsid w:val="00C309E1"/>
    <w:rsid w:val="00C34F15"/>
    <w:rsid w:val="00C35FE4"/>
    <w:rsid w:val="00C379EF"/>
    <w:rsid w:val="00C40C30"/>
    <w:rsid w:val="00C42771"/>
    <w:rsid w:val="00C42FFD"/>
    <w:rsid w:val="00C4377C"/>
    <w:rsid w:val="00C4382B"/>
    <w:rsid w:val="00C45FE6"/>
    <w:rsid w:val="00C462A8"/>
    <w:rsid w:val="00C50A8C"/>
    <w:rsid w:val="00C50DBC"/>
    <w:rsid w:val="00C510DF"/>
    <w:rsid w:val="00C512BC"/>
    <w:rsid w:val="00C5212F"/>
    <w:rsid w:val="00C5352E"/>
    <w:rsid w:val="00C535ED"/>
    <w:rsid w:val="00C53701"/>
    <w:rsid w:val="00C546F5"/>
    <w:rsid w:val="00C56D6A"/>
    <w:rsid w:val="00C5778B"/>
    <w:rsid w:val="00C57F91"/>
    <w:rsid w:val="00C61804"/>
    <w:rsid w:val="00C62563"/>
    <w:rsid w:val="00C62CB6"/>
    <w:rsid w:val="00C64051"/>
    <w:rsid w:val="00C67B2A"/>
    <w:rsid w:val="00C700FC"/>
    <w:rsid w:val="00C70697"/>
    <w:rsid w:val="00C706DA"/>
    <w:rsid w:val="00C72E42"/>
    <w:rsid w:val="00C7389B"/>
    <w:rsid w:val="00C74F7B"/>
    <w:rsid w:val="00C75490"/>
    <w:rsid w:val="00C768F9"/>
    <w:rsid w:val="00C76F5F"/>
    <w:rsid w:val="00C77EA6"/>
    <w:rsid w:val="00C81C26"/>
    <w:rsid w:val="00C82740"/>
    <w:rsid w:val="00C82750"/>
    <w:rsid w:val="00C83F03"/>
    <w:rsid w:val="00C853A3"/>
    <w:rsid w:val="00C87ABC"/>
    <w:rsid w:val="00C87F2C"/>
    <w:rsid w:val="00C921DE"/>
    <w:rsid w:val="00C92F59"/>
    <w:rsid w:val="00CA0538"/>
    <w:rsid w:val="00CA17EC"/>
    <w:rsid w:val="00CA199F"/>
    <w:rsid w:val="00CA1A3A"/>
    <w:rsid w:val="00CA320A"/>
    <w:rsid w:val="00CA5632"/>
    <w:rsid w:val="00CB1716"/>
    <w:rsid w:val="00CB2497"/>
    <w:rsid w:val="00CB53D4"/>
    <w:rsid w:val="00CB57A9"/>
    <w:rsid w:val="00CB6E73"/>
    <w:rsid w:val="00CB7DAF"/>
    <w:rsid w:val="00CC1458"/>
    <w:rsid w:val="00CC2417"/>
    <w:rsid w:val="00CC2A5C"/>
    <w:rsid w:val="00CC34C6"/>
    <w:rsid w:val="00CC5663"/>
    <w:rsid w:val="00CC69E1"/>
    <w:rsid w:val="00CC7E5E"/>
    <w:rsid w:val="00CD083B"/>
    <w:rsid w:val="00CD0CB2"/>
    <w:rsid w:val="00CD1DFA"/>
    <w:rsid w:val="00CD2F07"/>
    <w:rsid w:val="00CD3CB3"/>
    <w:rsid w:val="00CD793F"/>
    <w:rsid w:val="00CE0870"/>
    <w:rsid w:val="00CE1A60"/>
    <w:rsid w:val="00CE297B"/>
    <w:rsid w:val="00CE2AAB"/>
    <w:rsid w:val="00CE30E2"/>
    <w:rsid w:val="00CE3D0D"/>
    <w:rsid w:val="00CE44D0"/>
    <w:rsid w:val="00CE78E0"/>
    <w:rsid w:val="00CF10B6"/>
    <w:rsid w:val="00CF2BC4"/>
    <w:rsid w:val="00CF3471"/>
    <w:rsid w:val="00CF5E36"/>
    <w:rsid w:val="00CF7D60"/>
    <w:rsid w:val="00D004BA"/>
    <w:rsid w:val="00D01BAB"/>
    <w:rsid w:val="00D01D2D"/>
    <w:rsid w:val="00D0222D"/>
    <w:rsid w:val="00D02683"/>
    <w:rsid w:val="00D026AE"/>
    <w:rsid w:val="00D02BD3"/>
    <w:rsid w:val="00D03140"/>
    <w:rsid w:val="00D03C5D"/>
    <w:rsid w:val="00D03D94"/>
    <w:rsid w:val="00D03DA4"/>
    <w:rsid w:val="00D0485E"/>
    <w:rsid w:val="00D04EDC"/>
    <w:rsid w:val="00D0690B"/>
    <w:rsid w:val="00D06A98"/>
    <w:rsid w:val="00D07ACF"/>
    <w:rsid w:val="00D11D15"/>
    <w:rsid w:val="00D1272B"/>
    <w:rsid w:val="00D12B5A"/>
    <w:rsid w:val="00D12F6A"/>
    <w:rsid w:val="00D13BA1"/>
    <w:rsid w:val="00D1462B"/>
    <w:rsid w:val="00D16E87"/>
    <w:rsid w:val="00D17987"/>
    <w:rsid w:val="00D2411F"/>
    <w:rsid w:val="00D24260"/>
    <w:rsid w:val="00D26D86"/>
    <w:rsid w:val="00D32726"/>
    <w:rsid w:val="00D33785"/>
    <w:rsid w:val="00D34A55"/>
    <w:rsid w:val="00D34EA5"/>
    <w:rsid w:val="00D35660"/>
    <w:rsid w:val="00D36915"/>
    <w:rsid w:val="00D37823"/>
    <w:rsid w:val="00D37B08"/>
    <w:rsid w:val="00D40792"/>
    <w:rsid w:val="00D41C6B"/>
    <w:rsid w:val="00D42FDF"/>
    <w:rsid w:val="00D450F8"/>
    <w:rsid w:val="00D45A68"/>
    <w:rsid w:val="00D47A9C"/>
    <w:rsid w:val="00D50B89"/>
    <w:rsid w:val="00D514DB"/>
    <w:rsid w:val="00D52133"/>
    <w:rsid w:val="00D53449"/>
    <w:rsid w:val="00D53705"/>
    <w:rsid w:val="00D56A68"/>
    <w:rsid w:val="00D57785"/>
    <w:rsid w:val="00D578EC"/>
    <w:rsid w:val="00D6231B"/>
    <w:rsid w:val="00D62FE9"/>
    <w:rsid w:val="00D7026B"/>
    <w:rsid w:val="00D724B5"/>
    <w:rsid w:val="00D728B3"/>
    <w:rsid w:val="00D76612"/>
    <w:rsid w:val="00D76C2E"/>
    <w:rsid w:val="00D77360"/>
    <w:rsid w:val="00D77D5F"/>
    <w:rsid w:val="00D77F8C"/>
    <w:rsid w:val="00D80792"/>
    <w:rsid w:val="00D80AB1"/>
    <w:rsid w:val="00D8104B"/>
    <w:rsid w:val="00D82364"/>
    <w:rsid w:val="00D82CE3"/>
    <w:rsid w:val="00D82E50"/>
    <w:rsid w:val="00D840A6"/>
    <w:rsid w:val="00D840FC"/>
    <w:rsid w:val="00D8414E"/>
    <w:rsid w:val="00D84479"/>
    <w:rsid w:val="00D901FC"/>
    <w:rsid w:val="00D90473"/>
    <w:rsid w:val="00D92294"/>
    <w:rsid w:val="00D92CC3"/>
    <w:rsid w:val="00D93CB4"/>
    <w:rsid w:val="00D958A6"/>
    <w:rsid w:val="00D97856"/>
    <w:rsid w:val="00DA2272"/>
    <w:rsid w:val="00DA2B72"/>
    <w:rsid w:val="00DA32A6"/>
    <w:rsid w:val="00DA486B"/>
    <w:rsid w:val="00DA5923"/>
    <w:rsid w:val="00DA60E5"/>
    <w:rsid w:val="00DA719D"/>
    <w:rsid w:val="00DB03FF"/>
    <w:rsid w:val="00DB48CA"/>
    <w:rsid w:val="00DB6041"/>
    <w:rsid w:val="00DB7E0D"/>
    <w:rsid w:val="00DC0E0A"/>
    <w:rsid w:val="00DC35D8"/>
    <w:rsid w:val="00DC404A"/>
    <w:rsid w:val="00DC4321"/>
    <w:rsid w:val="00DC514B"/>
    <w:rsid w:val="00DC53C3"/>
    <w:rsid w:val="00DC569A"/>
    <w:rsid w:val="00DC5B55"/>
    <w:rsid w:val="00DD04E0"/>
    <w:rsid w:val="00DD1085"/>
    <w:rsid w:val="00DD113D"/>
    <w:rsid w:val="00DD49F4"/>
    <w:rsid w:val="00DD4C5D"/>
    <w:rsid w:val="00DD509F"/>
    <w:rsid w:val="00DD6A64"/>
    <w:rsid w:val="00DD7276"/>
    <w:rsid w:val="00DE17D6"/>
    <w:rsid w:val="00DE5821"/>
    <w:rsid w:val="00DE6FF3"/>
    <w:rsid w:val="00DE753A"/>
    <w:rsid w:val="00DE75B3"/>
    <w:rsid w:val="00DF04BC"/>
    <w:rsid w:val="00DF0ECD"/>
    <w:rsid w:val="00DF14ED"/>
    <w:rsid w:val="00DF1AE4"/>
    <w:rsid w:val="00DF1BD6"/>
    <w:rsid w:val="00DF311E"/>
    <w:rsid w:val="00DF3B6E"/>
    <w:rsid w:val="00DF5A94"/>
    <w:rsid w:val="00DF75F7"/>
    <w:rsid w:val="00E0032C"/>
    <w:rsid w:val="00E01AAE"/>
    <w:rsid w:val="00E01BFF"/>
    <w:rsid w:val="00E04A1D"/>
    <w:rsid w:val="00E0607A"/>
    <w:rsid w:val="00E06F4D"/>
    <w:rsid w:val="00E104A4"/>
    <w:rsid w:val="00E129F2"/>
    <w:rsid w:val="00E1326E"/>
    <w:rsid w:val="00E13817"/>
    <w:rsid w:val="00E14253"/>
    <w:rsid w:val="00E14299"/>
    <w:rsid w:val="00E143A9"/>
    <w:rsid w:val="00E15D1E"/>
    <w:rsid w:val="00E1608A"/>
    <w:rsid w:val="00E1693E"/>
    <w:rsid w:val="00E170D7"/>
    <w:rsid w:val="00E178AC"/>
    <w:rsid w:val="00E21F96"/>
    <w:rsid w:val="00E22B84"/>
    <w:rsid w:val="00E2378F"/>
    <w:rsid w:val="00E27BCA"/>
    <w:rsid w:val="00E27F26"/>
    <w:rsid w:val="00E3038A"/>
    <w:rsid w:val="00E30F91"/>
    <w:rsid w:val="00E31054"/>
    <w:rsid w:val="00E31AA4"/>
    <w:rsid w:val="00E34B7D"/>
    <w:rsid w:val="00E35461"/>
    <w:rsid w:val="00E35793"/>
    <w:rsid w:val="00E36747"/>
    <w:rsid w:val="00E405EF"/>
    <w:rsid w:val="00E409AE"/>
    <w:rsid w:val="00E40C84"/>
    <w:rsid w:val="00E40CD7"/>
    <w:rsid w:val="00E41D89"/>
    <w:rsid w:val="00E423EA"/>
    <w:rsid w:val="00E437FF"/>
    <w:rsid w:val="00E44FBB"/>
    <w:rsid w:val="00E4515B"/>
    <w:rsid w:val="00E46138"/>
    <w:rsid w:val="00E50A1C"/>
    <w:rsid w:val="00E53EA5"/>
    <w:rsid w:val="00E546CC"/>
    <w:rsid w:val="00E54FB7"/>
    <w:rsid w:val="00E552FC"/>
    <w:rsid w:val="00E55BF0"/>
    <w:rsid w:val="00E57774"/>
    <w:rsid w:val="00E616A5"/>
    <w:rsid w:val="00E62240"/>
    <w:rsid w:val="00E65073"/>
    <w:rsid w:val="00E65B4B"/>
    <w:rsid w:val="00E65E0A"/>
    <w:rsid w:val="00E66E5D"/>
    <w:rsid w:val="00E67495"/>
    <w:rsid w:val="00E70171"/>
    <w:rsid w:val="00E7049C"/>
    <w:rsid w:val="00E72026"/>
    <w:rsid w:val="00E72A3C"/>
    <w:rsid w:val="00E7350B"/>
    <w:rsid w:val="00E74294"/>
    <w:rsid w:val="00E75409"/>
    <w:rsid w:val="00E75F32"/>
    <w:rsid w:val="00E770C3"/>
    <w:rsid w:val="00E80165"/>
    <w:rsid w:val="00E805B6"/>
    <w:rsid w:val="00E81F58"/>
    <w:rsid w:val="00E8362C"/>
    <w:rsid w:val="00E83744"/>
    <w:rsid w:val="00E84767"/>
    <w:rsid w:val="00E87BF1"/>
    <w:rsid w:val="00E87DE3"/>
    <w:rsid w:val="00E87FA8"/>
    <w:rsid w:val="00E909DA"/>
    <w:rsid w:val="00E91446"/>
    <w:rsid w:val="00E92B41"/>
    <w:rsid w:val="00E934EC"/>
    <w:rsid w:val="00E9491B"/>
    <w:rsid w:val="00E9746F"/>
    <w:rsid w:val="00E97A5E"/>
    <w:rsid w:val="00EA2268"/>
    <w:rsid w:val="00EA291A"/>
    <w:rsid w:val="00EA578E"/>
    <w:rsid w:val="00EA5D36"/>
    <w:rsid w:val="00EB017A"/>
    <w:rsid w:val="00EB1036"/>
    <w:rsid w:val="00EB118B"/>
    <w:rsid w:val="00EB1B7B"/>
    <w:rsid w:val="00EB1C47"/>
    <w:rsid w:val="00EB3E04"/>
    <w:rsid w:val="00EB465E"/>
    <w:rsid w:val="00EC0C86"/>
    <w:rsid w:val="00EC412F"/>
    <w:rsid w:val="00EC4D39"/>
    <w:rsid w:val="00ED0D26"/>
    <w:rsid w:val="00ED1CBD"/>
    <w:rsid w:val="00ED2456"/>
    <w:rsid w:val="00ED3415"/>
    <w:rsid w:val="00ED666F"/>
    <w:rsid w:val="00ED6920"/>
    <w:rsid w:val="00ED69A0"/>
    <w:rsid w:val="00ED74DF"/>
    <w:rsid w:val="00EE0B0E"/>
    <w:rsid w:val="00EE121D"/>
    <w:rsid w:val="00EE2C6F"/>
    <w:rsid w:val="00EE3325"/>
    <w:rsid w:val="00EE391E"/>
    <w:rsid w:val="00EE3D81"/>
    <w:rsid w:val="00EF032A"/>
    <w:rsid w:val="00EF079B"/>
    <w:rsid w:val="00EF2AF1"/>
    <w:rsid w:val="00EF31D2"/>
    <w:rsid w:val="00EF4729"/>
    <w:rsid w:val="00EF5DD5"/>
    <w:rsid w:val="00EF620F"/>
    <w:rsid w:val="00EF6428"/>
    <w:rsid w:val="00EF730E"/>
    <w:rsid w:val="00F02E2F"/>
    <w:rsid w:val="00F03DF3"/>
    <w:rsid w:val="00F04B94"/>
    <w:rsid w:val="00F051DC"/>
    <w:rsid w:val="00F05D2D"/>
    <w:rsid w:val="00F06AF7"/>
    <w:rsid w:val="00F07E4D"/>
    <w:rsid w:val="00F104EA"/>
    <w:rsid w:val="00F110D9"/>
    <w:rsid w:val="00F118B9"/>
    <w:rsid w:val="00F12D5E"/>
    <w:rsid w:val="00F1332C"/>
    <w:rsid w:val="00F154F3"/>
    <w:rsid w:val="00F1582D"/>
    <w:rsid w:val="00F15D61"/>
    <w:rsid w:val="00F1672F"/>
    <w:rsid w:val="00F2132A"/>
    <w:rsid w:val="00F22622"/>
    <w:rsid w:val="00F23272"/>
    <w:rsid w:val="00F23909"/>
    <w:rsid w:val="00F2514B"/>
    <w:rsid w:val="00F25454"/>
    <w:rsid w:val="00F26633"/>
    <w:rsid w:val="00F26A31"/>
    <w:rsid w:val="00F30E70"/>
    <w:rsid w:val="00F314F4"/>
    <w:rsid w:val="00F31D33"/>
    <w:rsid w:val="00F31DA9"/>
    <w:rsid w:val="00F32183"/>
    <w:rsid w:val="00F33488"/>
    <w:rsid w:val="00F34DB4"/>
    <w:rsid w:val="00F357C9"/>
    <w:rsid w:val="00F36023"/>
    <w:rsid w:val="00F368CB"/>
    <w:rsid w:val="00F40937"/>
    <w:rsid w:val="00F40C73"/>
    <w:rsid w:val="00F41851"/>
    <w:rsid w:val="00F41C41"/>
    <w:rsid w:val="00F41DBD"/>
    <w:rsid w:val="00F42C39"/>
    <w:rsid w:val="00F44176"/>
    <w:rsid w:val="00F44686"/>
    <w:rsid w:val="00F44B25"/>
    <w:rsid w:val="00F458AB"/>
    <w:rsid w:val="00F51D75"/>
    <w:rsid w:val="00F52B29"/>
    <w:rsid w:val="00F54BAC"/>
    <w:rsid w:val="00F55B82"/>
    <w:rsid w:val="00F714A8"/>
    <w:rsid w:val="00F717BD"/>
    <w:rsid w:val="00F721C2"/>
    <w:rsid w:val="00F730DB"/>
    <w:rsid w:val="00F7317E"/>
    <w:rsid w:val="00F7379C"/>
    <w:rsid w:val="00F74281"/>
    <w:rsid w:val="00F74D07"/>
    <w:rsid w:val="00F75C9A"/>
    <w:rsid w:val="00F7714A"/>
    <w:rsid w:val="00F801D2"/>
    <w:rsid w:val="00F8048F"/>
    <w:rsid w:val="00F80A74"/>
    <w:rsid w:val="00F80F21"/>
    <w:rsid w:val="00F83899"/>
    <w:rsid w:val="00F86932"/>
    <w:rsid w:val="00F872EA"/>
    <w:rsid w:val="00F87329"/>
    <w:rsid w:val="00F87865"/>
    <w:rsid w:val="00F87B98"/>
    <w:rsid w:val="00F919FE"/>
    <w:rsid w:val="00F971CD"/>
    <w:rsid w:val="00FA1D40"/>
    <w:rsid w:val="00FA3107"/>
    <w:rsid w:val="00FA32B1"/>
    <w:rsid w:val="00FA3FAB"/>
    <w:rsid w:val="00FA56A2"/>
    <w:rsid w:val="00FA5C73"/>
    <w:rsid w:val="00FA60DD"/>
    <w:rsid w:val="00FA7A0A"/>
    <w:rsid w:val="00FB0572"/>
    <w:rsid w:val="00FB1FA4"/>
    <w:rsid w:val="00FB3873"/>
    <w:rsid w:val="00FB39B1"/>
    <w:rsid w:val="00FB5247"/>
    <w:rsid w:val="00FB673A"/>
    <w:rsid w:val="00FB7F5A"/>
    <w:rsid w:val="00FC0CE2"/>
    <w:rsid w:val="00FC13D9"/>
    <w:rsid w:val="00FC2E95"/>
    <w:rsid w:val="00FC3658"/>
    <w:rsid w:val="00FC3FA6"/>
    <w:rsid w:val="00FC40BD"/>
    <w:rsid w:val="00FC5391"/>
    <w:rsid w:val="00FC554F"/>
    <w:rsid w:val="00FC66B2"/>
    <w:rsid w:val="00FC672A"/>
    <w:rsid w:val="00FC7154"/>
    <w:rsid w:val="00FC7156"/>
    <w:rsid w:val="00FD0800"/>
    <w:rsid w:val="00FD2028"/>
    <w:rsid w:val="00FD3DF6"/>
    <w:rsid w:val="00FD40B0"/>
    <w:rsid w:val="00FD4755"/>
    <w:rsid w:val="00FD47A2"/>
    <w:rsid w:val="00FD4FBE"/>
    <w:rsid w:val="00FD5F88"/>
    <w:rsid w:val="00FD663E"/>
    <w:rsid w:val="00FD74DC"/>
    <w:rsid w:val="00FD7AE0"/>
    <w:rsid w:val="00FE546A"/>
    <w:rsid w:val="00FE6435"/>
    <w:rsid w:val="00FE6F41"/>
    <w:rsid w:val="00FE77E2"/>
    <w:rsid w:val="00FF055B"/>
    <w:rsid w:val="00FF056E"/>
    <w:rsid w:val="00FF2D6B"/>
    <w:rsid w:val="00FF3CD6"/>
    <w:rsid w:val="00FF49F8"/>
    <w:rsid w:val="00FF50EB"/>
    <w:rsid w:val="00FF6147"/>
    <w:rsid w:val="00FF65E7"/>
    <w:rsid w:val="00FF66CB"/>
    <w:rsid w:val="00FF7176"/>
    <w:rsid w:val="00FF7BB1"/>
    <w:rsid w:val="00FF7C0B"/>
    <w:rsid w:val="0B3FB3A5"/>
    <w:rsid w:val="103F99B9"/>
    <w:rsid w:val="108F5D27"/>
    <w:rsid w:val="12162C43"/>
    <w:rsid w:val="1376A303"/>
    <w:rsid w:val="15083CE2"/>
    <w:rsid w:val="168DCDE2"/>
    <w:rsid w:val="21B98829"/>
    <w:rsid w:val="2EB35276"/>
    <w:rsid w:val="2FD302C4"/>
    <w:rsid w:val="30EA801D"/>
    <w:rsid w:val="32D8E1C7"/>
    <w:rsid w:val="36739AB3"/>
    <w:rsid w:val="3A7BBAAB"/>
    <w:rsid w:val="3C7D9742"/>
    <w:rsid w:val="3EFBC7E6"/>
    <w:rsid w:val="46814F80"/>
    <w:rsid w:val="4A9EAC99"/>
    <w:rsid w:val="4D078CBD"/>
    <w:rsid w:val="4F760A2E"/>
    <w:rsid w:val="58B734D0"/>
    <w:rsid w:val="5BDAFD70"/>
    <w:rsid w:val="5C8C2E26"/>
    <w:rsid w:val="5F072170"/>
    <w:rsid w:val="64B3E73C"/>
    <w:rsid w:val="77B48C41"/>
    <w:rsid w:val="7BC78C8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35E06"/>
  <w15:chartTrackingRefBased/>
  <w15:docId w15:val="{6F67DF3E-1EC2-45FE-8ECD-182B6FCD7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4C6"/>
    <w:pPr>
      <w:spacing w:before="120" w:after="120" w:line="240" w:lineRule="auto"/>
    </w:pPr>
    <w:rPr>
      <w:rFonts w:ascii="Calibri Light" w:eastAsia="Times New Roman" w:hAnsi="Calibri Light" w:cs="Times New Roman"/>
      <w:szCs w:val="20"/>
      <w:lang w:eastAsia="en-AU"/>
    </w:rPr>
  </w:style>
  <w:style w:type="paragraph" w:styleId="Heading1">
    <w:name w:val="heading 1"/>
    <w:basedOn w:val="Normal"/>
    <w:next w:val="Normal"/>
    <w:link w:val="Heading1Char"/>
    <w:qFormat/>
    <w:rsid w:val="00AF74C6"/>
    <w:pPr>
      <w:keepNext/>
      <w:spacing w:before="600" w:line="460" w:lineRule="exact"/>
      <w:outlineLvl w:val="0"/>
    </w:pPr>
    <w:rPr>
      <w:rFonts w:ascii="Calibri" w:hAnsi="Calibri" w:cs="Arial"/>
      <w:b/>
      <w:color w:val="A5A5A5" w:themeColor="accent3"/>
      <w:kern w:val="32"/>
      <w:sz w:val="44"/>
      <w:szCs w:val="36"/>
    </w:rPr>
  </w:style>
  <w:style w:type="paragraph" w:styleId="Heading2">
    <w:name w:val="heading 2"/>
    <w:basedOn w:val="Normal"/>
    <w:next w:val="Normal"/>
    <w:link w:val="Heading2Char"/>
    <w:uiPriority w:val="9"/>
    <w:unhideWhenUsed/>
    <w:qFormat/>
    <w:rsid w:val="00AF7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AF74C6"/>
    <w:pPr>
      <w:keepNext/>
      <w:spacing w:before="320" w:after="0" w:line="276" w:lineRule="auto"/>
      <w:outlineLvl w:val="2"/>
    </w:pPr>
    <w:rPr>
      <w:rFonts w:ascii="Calibri" w:hAnsi="Calibri" w:cs="Arial"/>
      <w:b/>
      <w:color w:val="ED7D31" w:themeColor="accent2"/>
      <w:kern w:val="3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74C6"/>
    <w:rPr>
      <w:rFonts w:ascii="Calibri" w:eastAsia="Times New Roman" w:hAnsi="Calibri" w:cs="Arial"/>
      <w:b/>
      <w:color w:val="A5A5A5" w:themeColor="accent3"/>
      <w:kern w:val="32"/>
      <w:sz w:val="44"/>
      <w:szCs w:val="36"/>
      <w:lang w:eastAsia="en-AU"/>
    </w:rPr>
  </w:style>
  <w:style w:type="character" w:customStyle="1" w:styleId="Heading3Char">
    <w:name w:val="Heading 3 Char"/>
    <w:basedOn w:val="DefaultParagraphFont"/>
    <w:link w:val="Heading3"/>
    <w:rsid w:val="00AF74C6"/>
    <w:rPr>
      <w:rFonts w:ascii="Calibri" w:eastAsia="Times New Roman" w:hAnsi="Calibri" w:cs="Arial"/>
      <w:b/>
      <w:color w:val="ED7D31" w:themeColor="accent2"/>
      <w:kern w:val="32"/>
      <w:sz w:val="28"/>
      <w:szCs w:val="26"/>
      <w:lang w:eastAsia="en-AU"/>
    </w:rPr>
  </w:style>
  <w:style w:type="paragraph" w:customStyle="1" w:styleId="Bullet">
    <w:name w:val="Bullet"/>
    <w:aliases w:val="b,b + line,b1,Body,Bullet + line,level 1"/>
    <w:basedOn w:val="Normal"/>
    <w:link w:val="BulletChar"/>
    <w:qFormat/>
    <w:rsid w:val="00AF74C6"/>
    <w:pPr>
      <w:numPr>
        <w:numId w:val="10"/>
      </w:numPr>
      <w:tabs>
        <w:tab w:val="left" w:pos="720"/>
      </w:tabs>
      <w:spacing w:after="0" w:line="276" w:lineRule="auto"/>
    </w:pPr>
  </w:style>
  <w:style w:type="character" w:styleId="Hyperlink">
    <w:name w:val="Hyperlink"/>
    <w:basedOn w:val="DefaultParagraphFont"/>
    <w:uiPriority w:val="99"/>
    <w:rsid w:val="00AF74C6"/>
    <w:rPr>
      <w:color w:val="3A6FAF"/>
      <w:u w:val="single"/>
    </w:rPr>
  </w:style>
  <w:style w:type="character" w:styleId="FootnoteReference">
    <w:name w:val="footnote reference"/>
    <w:basedOn w:val="DefaultParagraphFont"/>
    <w:uiPriority w:val="99"/>
    <w:rsid w:val="00AF74C6"/>
    <w:rPr>
      <w:sz w:val="18"/>
      <w:vertAlign w:val="superscript"/>
    </w:rPr>
  </w:style>
  <w:style w:type="paragraph" w:styleId="FootnoteText">
    <w:name w:val="footnote text"/>
    <w:basedOn w:val="Normal"/>
    <w:link w:val="FootnoteTextChar"/>
    <w:uiPriority w:val="99"/>
    <w:rsid w:val="00AF74C6"/>
    <w:pPr>
      <w:spacing w:before="0" w:after="0"/>
      <w:ind w:left="397" w:hanging="397"/>
    </w:pPr>
    <w:rPr>
      <w:sz w:val="20"/>
    </w:rPr>
  </w:style>
  <w:style w:type="character" w:customStyle="1" w:styleId="FootnoteTextChar">
    <w:name w:val="Footnote Text Char"/>
    <w:basedOn w:val="DefaultParagraphFont"/>
    <w:link w:val="FootnoteText"/>
    <w:uiPriority w:val="99"/>
    <w:rsid w:val="00AF74C6"/>
    <w:rPr>
      <w:rFonts w:ascii="Calibri Light" w:eastAsia="Times New Roman" w:hAnsi="Calibri Light" w:cs="Times New Roman"/>
      <w:sz w:val="20"/>
      <w:szCs w:val="20"/>
      <w:lang w:eastAsia="en-AU"/>
    </w:rPr>
  </w:style>
  <w:style w:type="character" w:customStyle="1" w:styleId="BulletChar">
    <w:name w:val="Bullet Char"/>
    <w:aliases w:val="Body Char,b + line Char,b + line Char Char,b Char,b Char Char,b1 Char,level 1 Char,L Char,List Paragraph1 Char,List Paragraph11 Char,Number Char,Recommendation Char,Bullet + line Char,List Paragraph2 Char,Bullets Char"/>
    <w:basedOn w:val="DefaultParagraphFont"/>
    <w:link w:val="Bullet"/>
    <w:qFormat/>
    <w:locked/>
    <w:rsid w:val="00AF74C6"/>
    <w:rPr>
      <w:rFonts w:ascii="Calibri Light" w:eastAsia="Times New Roman" w:hAnsi="Calibri Light" w:cs="Times New Roman"/>
      <w:szCs w:val="20"/>
      <w:lang w:eastAsia="en-AU"/>
    </w:rPr>
  </w:style>
  <w:style w:type="character" w:customStyle="1" w:styleId="Heading2Char">
    <w:name w:val="Heading 2 Char"/>
    <w:basedOn w:val="DefaultParagraphFont"/>
    <w:link w:val="Heading2"/>
    <w:uiPriority w:val="9"/>
    <w:rsid w:val="00AF74C6"/>
    <w:rPr>
      <w:rFonts w:asciiTheme="majorHAnsi" w:eastAsiaTheme="majorEastAsia" w:hAnsiTheme="majorHAnsi" w:cstheme="majorBidi"/>
      <w:color w:val="2F5496" w:themeColor="accent1" w:themeShade="BF"/>
      <w:sz w:val="26"/>
      <w:szCs w:val="26"/>
      <w:lang w:eastAsia="en-AU"/>
    </w:rPr>
  </w:style>
  <w:style w:type="character" w:styleId="UnresolvedMention">
    <w:name w:val="Unresolved Mention"/>
    <w:basedOn w:val="DefaultParagraphFont"/>
    <w:uiPriority w:val="99"/>
    <w:semiHidden/>
    <w:unhideWhenUsed/>
    <w:rsid w:val="00AF74C6"/>
    <w:rPr>
      <w:color w:val="605E5C"/>
      <w:shd w:val="clear" w:color="auto" w:fill="E1DFDD"/>
    </w:rPr>
  </w:style>
  <w:style w:type="paragraph" w:styleId="ListParagraph">
    <w:name w:val="List Paragraph"/>
    <w:basedOn w:val="Normal"/>
    <w:uiPriority w:val="34"/>
    <w:qFormat/>
    <w:rsid w:val="00B95B00"/>
    <w:pPr>
      <w:ind w:left="720"/>
      <w:contextualSpacing/>
    </w:pPr>
  </w:style>
  <w:style w:type="character" w:styleId="CommentReference">
    <w:name w:val="annotation reference"/>
    <w:basedOn w:val="DefaultParagraphFont"/>
    <w:uiPriority w:val="99"/>
    <w:semiHidden/>
    <w:unhideWhenUsed/>
    <w:rsid w:val="008158DB"/>
    <w:rPr>
      <w:sz w:val="16"/>
      <w:szCs w:val="16"/>
    </w:rPr>
  </w:style>
  <w:style w:type="paragraph" w:styleId="CommentText">
    <w:name w:val="annotation text"/>
    <w:basedOn w:val="Normal"/>
    <w:link w:val="CommentTextChar"/>
    <w:uiPriority w:val="99"/>
    <w:unhideWhenUsed/>
    <w:rsid w:val="008158DB"/>
    <w:rPr>
      <w:sz w:val="20"/>
    </w:rPr>
  </w:style>
  <w:style w:type="character" w:customStyle="1" w:styleId="CommentTextChar">
    <w:name w:val="Comment Text Char"/>
    <w:basedOn w:val="DefaultParagraphFont"/>
    <w:link w:val="CommentText"/>
    <w:uiPriority w:val="99"/>
    <w:rsid w:val="008158DB"/>
    <w:rPr>
      <w:rFonts w:ascii="Calibri Light" w:eastAsia="Times New Roman" w:hAnsi="Calibri Light"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8158DB"/>
    <w:rPr>
      <w:b/>
      <w:bCs/>
    </w:rPr>
  </w:style>
  <w:style w:type="character" w:customStyle="1" w:styleId="CommentSubjectChar">
    <w:name w:val="Comment Subject Char"/>
    <w:basedOn w:val="CommentTextChar"/>
    <w:link w:val="CommentSubject"/>
    <w:uiPriority w:val="99"/>
    <w:semiHidden/>
    <w:rsid w:val="008158DB"/>
    <w:rPr>
      <w:rFonts w:ascii="Calibri Light" w:eastAsia="Times New Roman" w:hAnsi="Calibri Light" w:cs="Times New Roman"/>
      <w:b/>
      <w:bCs/>
      <w:sz w:val="20"/>
      <w:szCs w:val="20"/>
      <w:lang w:eastAsia="en-AU"/>
    </w:rPr>
  </w:style>
  <w:style w:type="character" w:customStyle="1" w:styleId="normaltextrun">
    <w:name w:val="normaltextrun"/>
    <w:basedOn w:val="DefaultParagraphFont"/>
    <w:rsid w:val="00F26633"/>
  </w:style>
  <w:style w:type="character" w:customStyle="1" w:styleId="eop">
    <w:name w:val="eop"/>
    <w:basedOn w:val="DefaultParagraphFont"/>
    <w:rsid w:val="00F26633"/>
  </w:style>
  <w:style w:type="paragraph" w:styleId="Header">
    <w:name w:val="header"/>
    <w:basedOn w:val="Normal"/>
    <w:link w:val="HeaderChar"/>
    <w:uiPriority w:val="99"/>
    <w:unhideWhenUsed/>
    <w:rsid w:val="00476C42"/>
    <w:pPr>
      <w:tabs>
        <w:tab w:val="center" w:pos="4513"/>
        <w:tab w:val="right" w:pos="9026"/>
      </w:tabs>
      <w:spacing w:before="0" w:after="0"/>
    </w:pPr>
  </w:style>
  <w:style w:type="character" w:customStyle="1" w:styleId="HeaderChar">
    <w:name w:val="Header Char"/>
    <w:basedOn w:val="DefaultParagraphFont"/>
    <w:link w:val="Header"/>
    <w:uiPriority w:val="99"/>
    <w:rsid w:val="00476C42"/>
    <w:rPr>
      <w:rFonts w:ascii="Calibri Light" w:eastAsia="Times New Roman" w:hAnsi="Calibri Light" w:cs="Times New Roman"/>
      <w:szCs w:val="20"/>
      <w:lang w:eastAsia="en-AU"/>
    </w:rPr>
  </w:style>
  <w:style w:type="paragraph" w:styleId="Footer">
    <w:name w:val="footer"/>
    <w:basedOn w:val="Normal"/>
    <w:link w:val="FooterChar"/>
    <w:uiPriority w:val="99"/>
    <w:unhideWhenUsed/>
    <w:rsid w:val="00476C42"/>
    <w:pPr>
      <w:tabs>
        <w:tab w:val="center" w:pos="4513"/>
        <w:tab w:val="right" w:pos="9026"/>
      </w:tabs>
      <w:spacing w:before="0" w:after="0"/>
    </w:pPr>
  </w:style>
  <w:style w:type="character" w:customStyle="1" w:styleId="FooterChar">
    <w:name w:val="Footer Char"/>
    <w:basedOn w:val="DefaultParagraphFont"/>
    <w:link w:val="Footer"/>
    <w:uiPriority w:val="99"/>
    <w:rsid w:val="00476C42"/>
    <w:rPr>
      <w:rFonts w:ascii="Calibri Light" w:eastAsia="Times New Roman" w:hAnsi="Calibri Light" w:cs="Times New Roman"/>
      <w:szCs w:val="20"/>
      <w:lang w:eastAsia="en-AU"/>
    </w:rPr>
  </w:style>
  <w:style w:type="paragraph" w:customStyle="1" w:styleId="Dash">
    <w:name w:val="Dash"/>
    <w:basedOn w:val="Normal"/>
    <w:link w:val="DashChar"/>
    <w:qFormat/>
    <w:rsid w:val="00FF65E7"/>
    <w:pPr>
      <w:numPr>
        <w:ilvl w:val="1"/>
        <w:numId w:val="22"/>
      </w:numPr>
      <w:spacing w:before="0"/>
    </w:pPr>
  </w:style>
  <w:style w:type="paragraph" w:customStyle="1" w:styleId="DoubleDot">
    <w:name w:val="Double Dot"/>
    <w:basedOn w:val="Normal"/>
    <w:qFormat/>
    <w:rsid w:val="00FF65E7"/>
    <w:pPr>
      <w:numPr>
        <w:ilvl w:val="2"/>
        <w:numId w:val="22"/>
      </w:numPr>
      <w:spacing w:before="0"/>
    </w:pPr>
  </w:style>
  <w:style w:type="numbering" w:customStyle="1" w:styleId="BulletedList">
    <w:name w:val="Bulleted List"/>
    <w:uiPriority w:val="99"/>
    <w:rsid w:val="00FF65E7"/>
    <w:pPr>
      <w:numPr>
        <w:numId w:val="22"/>
      </w:numPr>
    </w:pPr>
  </w:style>
  <w:style w:type="character" w:customStyle="1" w:styleId="DashChar">
    <w:name w:val="Dash Char"/>
    <w:basedOn w:val="DefaultParagraphFont"/>
    <w:link w:val="Dash"/>
    <w:locked/>
    <w:rsid w:val="00FF65E7"/>
    <w:rPr>
      <w:rFonts w:ascii="Calibri Light" w:eastAsia="Times New Roman" w:hAnsi="Calibri Light" w:cs="Times New Roman"/>
      <w:szCs w:val="20"/>
      <w:lang w:eastAsia="en-AU"/>
    </w:rPr>
  </w:style>
  <w:style w:type="table" w:styleId="TableGrid">
    <w:name w:val="Table Grid"/>
    <w:basedOn w:val="TableNormal"/>
    <w:uiPriority w:val="39"/>
    <w:rsid w:val="00583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008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60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easury.gov.au/sites/default/files/2022-08/c2022-307409-proposalsp.pdf"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parlinfo.aph.gov.au/parlInfo/download/legislation/ems/r4739_ems_c1902f04-f76c-455d-87bf-763755860827/upload_pdf/368171rem.pdf;fileType=application%2Fpdf" TargetMode="External"/><Relationship Id="rId2" Type="http://schemas.openxmlformats.org/officeDocument/2006/relationships/hyperlink" Target="https://download.asic.gov.au/media/5399786/rep642-published-6-december-2019.pdf" TargetMode="External"/><Relationship Id="rId1" Type="http://schemas.openxmlformats.org/officeDocument/2006/relationships/hyperlink" Target="https://www.apra.gov.au/quarterly-general-insurance-statistics" TargetMode="External"/><Relationship Id="rId5" Type="http://schemas.openxmlformats.org/officeDocument/2006/relationships/hyperlink" Target="https://www.ausbanking.org.au/wp-content/uploads/2021/06/Retail-Banking-Remuneration-Review-Final-Report-2021.pdf" TargetMode="External"/><Relationship Id="rId4" Type="http://schemas.openxmlformats.org/officeDocument/2006/relationships/hyperlink" Target="https://download.asic.gov.au/media/5885872/rg246-published-10-december-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E1443266A228B4DBFD041AC6A29F8A7" ma:contentTypeVersion="9" ma:contentTypeDescription="Create a new document." ma:contentTypeScope="" ma:versionID="5f68a5c7e181a12ce4cf925f18f45991">
  <xsd:schema xmlns:xsd="http://www.w3.org/2001/XMLSchema" xmlns:xs="http://www.w3.org/2001/XMLSchema" xmlns:p="http://schemas.microsoft.com/office/2006/metadata/properties" xmlns:ns2="82f723c6-7bda-4165-9ed4-2a69c734d3cf" xmlns:ns3="4ddd7441-0ec4-4cc8-b31a-19f08286875b" targetNamespace="http://schemas.microsoft.com/office/2006/metadata/properties" ma:root="true" ma:fieldsID="b5da0b02d9223b23c4f04e94e69d8e37" ns2:_="" ns3:_="">
    <xsd:import namespace="82f723c6-7bda-4165-9ed4-2a69c734d3cf"/>
    <xsd:import namespace="4ddd7441-0ec4-4cc8-b31a-19f08286875b"/>
    <xsd:element name="properties">
      <xsd:complexType>
        <xsd:sequence>
          <xsd:element name="documentManagement">
            <xsd:complexType>
              <xsd:all>
                <xsd:element ref="ns2:_dlc_DocId" minOccurs="0"/>
                <xsd:element ref="ns2:_dlc_DocIdUrl" minOccurs="0"/>
                <xsd:element ref="ns2:_dlc_DocIdPersistId" minOccurs="0"/>
                <xsd:element ref="ns2:e4fe7dcdd1c0411bbf19a4de3665191f" minOccurs="0"/>
                <xsd:element ref="ns2:TaxCatchAll" minOccurs="0"/>
                <xsd:element ref="ns2:TaxCatchAllLabel" minOccurs="0"/>
                <xsd:element ref="ns2:a48f371a4a874164b16a8c4aab488f5c" minOccurs="0"/>
                <xsd:element ref="ns2:kfc39f3e4e2747ae990d3c8bb74a5a64" minOccurs="0"/>
                <xsd:element ref="ns2:gfba5f33532c49208d2320ce38cc3c2b"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723c6-7bda-4165-9ed4-2a69c734d3c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4fe7dcdd1c0411bbf19a4de3665191f" ma:index="11" ma:taxonomy="true" ma:internalName="e4fe7dcdd1c0411bbf19a4de3665191f" ma:taxonomyFieldName="eActivity" ma:displayName="Activity" ma:readOnly="false" ma:fieldId="{e4fe7dcd-d1c0-411b-bf19-a4de3665191f}" ma:sspId="218240cd-c75f-40bd-87f4-262ac964b25b" ma:termSetId="9305b40a-f8f0-4ebf-9b7d-191d7aeb310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e01ac10-fcc4-46a6-a2e8-4afb4c01df19}" ma:internalName="TaxCatchAll" ma:readOnly="false" ma:showField="CatchAllData" ma:web="82f723c6-7bda-4165-9ed4-2a69c734d3c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e01ac10-fcc4-46a6-a2e8-4afb4c01df19}" ma:internalName="TaxCatchAllLabel" ma:readOnly="true" ma:showField="CatchAllDataLabel" ma:web="82f723c6-7bda-4165-9ed4-2a69c734d3cf">
      <xsd:complexType>
        <xsd:complexContent>
          <xsd:extension base="dms:MultiChoiceLookup">
            <xsd:sequence>
              <xsd:element name="Value" type="dms:Lookup" maxOccurs="unbounded" minOccurs="0" nillable="true"/>
            </xsd:sequence>
          </xsd:extension>
        </xsd:complexContent>
      </xsd:complexType>
    </xsd:element>
    <xsd:element name="a48f371a4a874164b16a8c4aab488f5c" ma:index="15" ma:taxonomy="true" ma:internalName="a48f371a4a874164b16a8c4aab488f5c" ma:taxonomyFieldName="eTheme" ma:displayName="Theme" ma:readOnly="false" ma:default="1;#Financial System|047002ef-5ee0-47ee-8184-5f4aaddfe3b3"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fieldId="{4fc39f3e-4e27-47ae-990d-3c8bb74a5a64}" ma:sspId="218240cd-c75f-40bd-87f4-262ac964b25b" ma:termSetId="b38273d8-f349-4175-b1b0-ee67dc19adcc" ma:anchorId="00000000-0000-0000-0000-000000000000" ma:open="false" ma:isKeyword="false">
      <xsd:complexType>
        <xsd:sequence>
          <xsd:element ref="pc:Terms" minOccurs="0" maxOccurs="1"/>
        </xsd:sequence>
      </xsd:complexType>
    </xsd:element>
    <xsd:element name="gfba5f33532c49208d2320ce38cc3c2b" ma:index="19" ma:taxonomy="true" ma:internalName="gfba5f33532c49208d2320ce38cc3c2b" ma:taxonomyFieldName="eTopic" ma:displayName="Topic" ma:readOnly="false" ma:default="" ma:fieldId="{0fba5f33-532c-4920-8d23-20ce38cc3c2b}" ma:taxonomyMulti="true" ma:sspId="218240cd-c75f-40bd-87f4-262ac964b25b" ma:termSetId="0584b66e-a988-4e7c-8ad6-c29e6cbda6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dd7441-0ec4-4cc8-b31a-19f08286875b"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2f723c6-7bda-4165-9ed4-2a69c734d3cf">
      <Value>167</Value>
      <Value>199</Value>
      <Value>214</Value>
      <Value>77</Value>
      <Value>42</Value>
      <Value>235</Value>
      <Value>1</Value>
    </TaxCatchAll>
    <_dlc_DocId xmlns="82f723c6-7bda-4165-9ed4-2a69c734d3cf">TXPHXKKKSPUH-1098931049-2772</_dlc_DocId>
    <_dlc_DocIdUrl xmlns="82f723c6-7bda-4165-9ed4-2a69c734d3cf">
      <Url>https://austreasury.sharepoint.com/sites/fsd-fcp/_layouts/15/DocIdRedir.aspx?ID=TXPHXKKKSPUH-1098931049-2772</Url>
      <Description>TXPHXKKKSPUH-1098931049-2772</Description>
    </_dlc_DocIdUrl>
    <gfba5f33532c49208d2320ce38cc3c2b xmlns="82f723c6-7bda-4165-9ed4-2a69c734d3cf">
      <Terms xmlns="http://schemas.microsoft.com/office/infopath/2007/PartnerControls">
        <TermInfo xmlns="http://schemas.microsoft.com/office/infopath/2007/PartnerControls">
          <TermName xmlns="http://schemas.microsoft.com/office/infopath/2007/PartnerControls">Insurance</TermName>
          <TermId xmlns="http://schemas.microsoft.com/office/infopath/2007/PartnerControls">b90cd62f-b048-4409-b585-751d11d9d856</TermId>
        </TermInfo>
        <TermInfo xmlns="http://schemas.microsoft.com/office/infopath/2007/PartnerControls">
          <TermName xmlns="http://schemas.microsoft.com/office/infopath/2007/PartnerControls">Remuneration</TermName>
          <TermId xmlns="http://schemas.microsoft.com/office/infopath/2007/PartnerControls">0e2cbcac-cb86-4a89-90cb-c728e633c21a</TermId>
        </TermInfo>
        <TermInfo xmlns="http://schemas.microsoft.com/office/infopath/2007/PartnerControls">
          <TermName xmlns="http://schemas.microsoft.com/office/infopath/2007/PartnerControls">Quality of Advice Review</TermName>
          <TermId xmlns="http://schemas.microsoft.com/office/infopath/2007/PartnerControls">be444f92-7985-4c1d-b804-e580e76705b1</TermId>
        </TermInfo>
        <TermInfo xmlns="http://schemas.microsoft.com/office/infopath/2007/PartnerControls">
          <TermName xmlns="http://schemas.microsoft.com/office/infopath/2007/PartnerControls">Consultation materials</TermName>
          <TermId xmlns="http://schemas.microsoft.com/office/infopath/2007/PartnerControls">a30374bf-1ff0-4638-a011-4f4ec63e8b87</TermId>
        </TermInfo>
      </Terms>
    </gfba5f33532c49208d2320ce38cc3c2b>
    <a48f371a4a874164b16a8c4aab488f5c xmlns="82f723c6-7bda-4165-9ed4-2a69c734d3cf">
      <Terms xmlns="http://schemas.microsoft.com/office/infopath/2007/PartnerControls">
        <TermInfo xmlns="http://schemas.microsoft.com/office/infopath/2007/PartnerControls">
          <TermName xmlns="http://schemas.microsoft.com/office/infopath/2007/PartnerControls">Financial System</TermName>
          <TermId xmlns="http://schemas.microsoft.com/office/infopath/2007/PartnerControls">047002ef-5ee0-47ee-8184-5f4aaddfe3b3</TermId>
        </TermInfo>
      </Terms>
    </a48f371a4a874164b16a8c4aab488f5c>
    <e4fe7dcdd1c0411bbf19a4de3665191f xmlns="82f723c6-7bda-4165-9ed4-2a69c734d3cf">
      <Terms xmlns="http://schemas.microsoft.com/office/infopath/2007/PartnerControls">
        <TermInfo xmlns="http://schemas.microsoft.com/office/infopath/2007/PartnerControls">
          <TermName xmlns="http://schemas.microsoft.com/office/infopath/2007/PartnerControls">Policy development</TermName>
          <TermId xmlns="http://schemas.microsoft.com/office/infopath/2007/PartnerControls">3c21fa22-a311-4c7a-a8b0-1d9dee90bb01</TermId>
        </TermInfo>
      </Terms>
    </e4fe7dcdd1c0411bbf19a4de3665191f>
    <kfc39f3e4e2747ae990d3c8bb74a5a64 xmlns="82f723c6-7bda-4165-9ed4-2a69c734d3cf">
      <Terms xmlns="http://schemas.microsoft.com/office/infopath/2007/PartnerControls">
        <TermInfo xmlns="http://schemas.microsoft.com/office/infopath/2007/PartnerControls">
          <TermName xmlns="http://schemas.microsoft.com/office/infopath/2007/PartnerControls">Policy Development</TermName>
          <TermId xmlns="http://schemas.microsoft.com/office/infopath/2007/PartnerControls">9fa8e730-546b-4f9f-8022-fbefc5c076bb</TermId>
        </TermInfo>
      </Terms>
    </kfc39f3e4e2747ae990d3c8bb74a5a64>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1 6 " ? > < p r o p e r t i e s   x m l n s = " h t t p : / / w w w . i m a n a g e . c o m / w o r k / x m l s c h e m a " >  
     < d o c u m e n t i d > D M S ! 8 0 1 3 4 4 5 4 0 . 1 < / d o c u m e n t i d >  
     < s e n d e r i d > M J L S < / s e n d e r i d >  
     < s e n d e r e m a i l > M I C H E L L E . L E V Y @ A L L E N S . C O M . A U < / s e n d e r e m a i l >  
     < l a s t m o d i f i e d > 2 0 2 2 - 1 0 - 1 7 T 1 7 : 2 2 : 0 0 . 0 0 0 0 0 0 0 + 1 1 : 0 0 < / l a s t m o d i f i e d >  
     < d a t a b a s e > D M S < / d a t a b a s e >  
 < / p r o p e r t i e s > 
</file>

<file path=customXml/itemProps1.xml><?xml version="1.0" encoding="utf-8"?>
<ds:datastoreItem xmlns:ds="http://schemas.openxmlformats.org/officeDocument/2006/customXml" ds:itemID="{9C1724D9-CD2F-496D-8D4F-83DC61E0D27D}">
  <ds:schemaRefs>
    <ds:schemaRef ds:uri="http://schemas.microsoft.com/sharepoint/v3/contenttype/forms"/>
  </ds:schemaRefs>
</ds:datastoreItem>
</file>

<file path=customXml/itemProps2.xml><?xml version="1.0" encoding="utf-8"?>
<ds:datastoreItem xmlns:ds="http://schemas.openxmlformats.org/officeDocument/2006/customXml" ds:itemID="{5331B2F3-F5CB-4ED2-B30B-79C1E7195911}">
  <ds:schemaRefs>
    <ds:schemaRef ds:uri="http://schemas.openxmlformats.org/officeDocument/2006/bibliography"/>
  </ds:schemaRefs>
</ds:datastoreItem>
</file>

<file path=customXml/itemProps3.xml><?xml version="1.0" encoding="utf-8"?>
<ds:datastoreItem xmlns:ds="http://schemas.openxmlformats.org/officeDocument/2006/customXml" ds:itemID="{864743FB-6505-4D30-919C-4F38E1F93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723c6-7bda-4165-9ed4-2a69c734d3cf"/>
    <ds:schemaRef ds:uri="4ddd7441-0ec4-4cc8-b31a-19f082868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AB5735-032E-4E9B-ABD3-76A227BFE026}">
  <ds:schemaRefs>
    <ds:schemaRef ds:uri="http://purl.org/dc/elements/1.1/"/>
    <ds:schemaRef ds:uri="http://schemas.microsoft.com/office/2006/documentManagement/types"/>
    <ds:schemaRef ds:uri="http://www.w3.org/XML/1998/namespace"/>
    <ds:schemaRef ds:uri="4ddd7441-0ec4-4cc8-b31a-19f08286875b"/>
    <ds:schemaRef ds:uri="http://purl.org/dc/terms/"/>
    <ds:schemaRef ds:uri="http://purl.org/dc/dcmitype/"/>
    <ds:schemaRef ds:uri="http://schemas.microsoft.com/office/infopath/2007/PartnerControls"/>
    <ds:schemaRef ds:uri="http://schemas.openxmlformats.org/package/2006/metadata/core-properties"/>
    <ds:schemaRef ds:uri="82f723c6-7bda-4165-9ed4-2a69c734d3cf"/>
    <ds:schemaRef ds:uri="http://schemas.microsoft.com/office/2006/metadata/properties"/>
  </ds:schemaRefs>
</ds:datastoreItem>
</file>

<file path=customXml/itemProps5.xml><?xml version="1.0" encoding="utf-8"?>
<ds:datastoreItem xmlns:ds="http://schemas.openxmlformats.org/officeDocument/2006/customXml" ds:itemID="{109DDA4B-FD06-4CFA-8F6E-261C3865A5BB}">
  <ds:schemaRefs>
    <ds:schemaRef ds:uri="http://schemas.microsoft.com/sharepoint/events"/>
  </ds:schemaRefs>
</ds:datastoreItem>
</file>

<file path=customXml/itemProps6.xml><?xml version="1.0" encoding="utf-8"?>
<ds:datastoreItem xmlns:ds="http://schemas.openxmlformats.org/officeDocument/2006/customXml" ds:itemID="{5263EE4D-7397-45A8-B34E-4672D8C6490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4400</Words>
  <Characters>25082</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Quality of Advice Review - Conflicted Remuneration</vt:lpstr>
    </vt:vector>
  </TitlesOfParts>
  <Company/>
  <LinksUpToDate>false</LinksUpToDate>
  <CharactersWithSpaces>29424</CharactersWithSpaces>
  <SharedDoc>false</SharedDoc>
  <HLinks>
    <vt:vector size="36" baseType="variant">
      <vt:variant>
        <vt:i4>3342388</vt:i4>
      </vt:variant>
      <vt:variant>
        <vt:i4>0</vt:i4>
      </vt:variant>
      <vt:variant>
        <vt:i4>0</vt:i4>
      </vt:variant>
      <vt:variant>
        <vt:i4>5</vt:i4>
      </vt:variant>
      <vt:variant>
        <vt:lpwstr>https://treasury.gov.au/sites/default/files/2022-08/c2022-307409-proposalsp.pdf</vt:lpwstr>
      </vt:variant>
      <vt:variant>
        <vt:lpwstr/>
      </vt:variant>
      <vt:variant>
        <vt:i4>4325399</vt:i4>
      </vt:variant>
      <vt:variant>
        <vt:i4>12</vt:i4>
      </vt:variant>
      <vt:variant>
        <vt:i4>0</vt:i4>
      </vt:variant>
      <vt:variant>
        <vt:i4>5</vt:i4>
      </vt:variant>
      <vt:variant>
        <vt:lpwstr>https://www.ausbanking.org.au/wp-content/uploads/2021/06/Retail-Banking-Remuneration-Review-Final-Report-2021.pdf</vt:lpwstr>
      </vt:variant>
      <vt:variant>
        <vt:lpwstr/>
      </vt:variant>
      <vt:variant>
        <vt:i4>2162743</vt:i4>
      </vt:variant>
      <vt:variant>
        <vt:i4>9</vt:i4>
      </vt:variant>
      <vt:variant>
        <vt:i4>0</vt:i4>
      </vt:variant>
      <vt:variant>
        <vt:i4>5</vt:i4>
      </vt:variant>
      <vt:variant>
        <vt:lpwstr>https://download.asic.gov.au/media/5885872/rg246-published-10-december-2020.pdf</vt:lpwstr>
      </vt:variant>
      <vt:variant>
        <vt:lpwstr/>
      </vt:variant>
      <vt:variant>
        <vt:i4>7012371</vt:i4>
      </vt:variant>
      <vt:variant>
        <vt:i4>6</vt:i4>
      </vt:variant>
      <vt:variant>
        <vt:i4>0</vt:i4>
      </vt:variant>
      <vt:variant>
        <vt:i4>5</vt:i4>
      </vt:variant>
      <vt:variant>
        <vt:lpwstr>https://parlinfo.aph.gov.au/parlInfo/download/legislation/ems/r4739_ems_c1902f04-f76c-455d-87bf-763755860827/upload_pdf/368171rem.pdf;fileType=application%2Fpdf</vt:lpwstr>
      </vt:variant>
      <vt:variant>
        <vt:lpwstr/>
      </vt:variant>
      <vt:variant>
        <vt:i4>2162810</vt:i4>
      </vt:variant>
      <vt:variant>
        <vt:i4>3</vt:i4>
      </vt:variant>
      <vt:variant>
        <vt:i4>0</vt:i4>
      </vt:variant>
      <vt:variant>
        <vt:i4>5</vt:i4>
      </vt:variant>
      <vt:variant>
        <vt:lpwstr>https://download.asic.gov.au/media/5399786/rep642-published-6-december-2019.pdf</vt:lpwstr>
      </vt:variant>
      <vt:variant>
        <vt:lpwstr/>
      </vt:variant>
      <vt:variant>
        <vt:i4>3407934</vt:i4>
      </vt:variant>
      <vt:variant>
        <vt:i4>0</vt:i4>
      </vt:variant>
      <vt:variant>
        <vt:i4>0</vt:i4>
      </vt:variant>
      <vt:variant>
        <vt:i4>5</vt:i4>
      </vt:variant>
      <vt:variant>
        <vt:lpwstr>https://www.apra.gov.au/quarterly-general-insurance-statistics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of Advice Review - Conflicted Remuneration</dc:title>
  <dc:subject/>
  <dc:creator>Treasury</dc:creator>
  <cp:keywords/>
  <dc:description/>
  <cp:lastModifiedBy>Hill, Christine</cp:lastModifiedBy>
  <cp:revision>4</cp:revision>
  <dcterms:created xsi:type="dcterms:W3CDTF">2022-10-31T04:42:00Z</dcterms:created>
  <dcterms:modified xsi:type="dcterms:W3CDTF">2022-10-31T05:39:00Z</dcterms:modified>
</cp:coreProperties>
</file>