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710E" w14:textId="57338A1B" w:rsidR="002E5C16" w:rsidRDefault="00DA0668" w:rsidP="008E6292">
      <w:r>
        <w:rPr>
          <w:noProof/>
          <w:lang w:eastAsia="zh-CN"/>
        </w:rPr>
        <w:drawing>
          <wp:anchor distT="0" distB="0" distL="114300" distR="114300" simplePos="0" relativeHeight="251658240" behindDoc="1" locked="0" layoutInCell="1" allowOverlap="1" wp14:anchorId="0A25F058" wp14:editId="526BE64C">
            <wp:simplePos x="0" y="0"/>
            <wp:positionH relativeFrom="page">
              <wp:posOffset>-1270</wp:posOffset>
            </wp:positionH>
            <wp:positionV relativeFrom="page">
              <wp:posOffset>19050</wp:posOffset>
            </wp:positionV>
            <wp:extent cx="7558405" cy="1069149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sdt>
      <w:sdtPr>
        <w:id w:val="-1206409104"/>
        <w:docPartObj>
          <w:docPartGallery w:val="Cover Pages"/>
          <w:docPartUnique/>
        </w:docPartObj>
      </w:sdtPr>
      <w:sdtEndPr/>
      <w:sdtContent>
        <w:p w14:paraId="5AC839DB" w14:textId="1211FA89" w:rsidR="00A652B8" w:rsidRPr="006D0240" w:rsidRDefault="00A652B8" w:rsidP="008E6292"/>
        <w:p w14:paraId="4E607B5F" w14:textId="77777777" w:rsidR="00A652B8" w:rsidRPr="006D0240" w:rsidRDefault="00A652B8" w:rsidP="001D4EAA">
          <w:pPr>
            <w:pStyle w:val="Header"/>
            <w:spacing w:after="1320"/>
            <w:jc w:val="left"/>
          </w:pPr>
        </w:p>
        <w:p w14:paraId="6669CC2B" w14:textId="6DAA1F58" w:rsidR="00A652B8" w:rsidRPr="001D4EAA" w:rsidRDefault="00FE0F61" w:rsidP="001D4EAA">
          <w:pPr>
            <w:pStyle w:val="Title"/>
          </w:pPr>
          <w:r>
            <w:t xml:space="preserve">Digital </w:t>
          </w:r>
          <w:r w:rsidR="00E974E0">
            <w:t>P</w:t>
          </w:r>
          <w:r>
            <w:t xml:space="preserve">latforms: </w:t>
          </w:r>
          <w:r w:rsidR="00067B23">
            <w:t>Government consultation on ACCC’s regulatory reform recommendations</w:t>
          </w:r>
          <w:r w:rsidR="002035FD">
            <w:t xml:space="preserve"> </w:t>
          </w:r>
        </w:p>
        <w:p w14:paraId="03CA739A" w14:textId="5A774785" w:rsidR="00A652B8" w:rsidRPr="001D4EAA" w:rsidRDefault="00A652B8" w:rsidP="00082FC2">
          <w:pPr>
            <w:pStyle w:val="Subtitle"/>
            <w:spacing w:after="240"/>
          </w:pPr>
          <w:r>
            <w:t xml:space="preserve">Consultation </w:t>
          </w:r>
          <w:r w:rsidR="00055D40">
            <w:t>P</w:t>
          </w:r>
          <w:r>
            <w:t>aper</w:t>
          </w:r>
        </w:p>
        <w:p w14:paraId="05BAE8D0" w14:textId="593935A0" w:rsidR="00A652B8" w:rsidRPr="00C6524D" w:rsidRDefault="00E54180" w:rsidP="00C6524D">
          <w:pPr>
            <w:pStyle w:val="ReportDate"/>
            <w:rPr>
              <w:rFonts w:ascii="Rockwell" w:hAnsi="Rockwell"/>
              <w:sz w:val="24"/>
            </w:rPr>
          </w:pPr>
          <w:r>
            <w:rPr>
              <w:rStyle w:val="ReportDateChar"/>
            </w:rPr>
            <w:t>December</w:t>
          </w:r>
          <w:r w:rsidR="00C6524D">
            <w:rPr>
              <w:rStyle w:val="ReportDateChar"/>
            </w:rPr>
            <w:t xml:space="preserve"> 2022</w:t>
          </w:r>
        </w:p>
        <w:p w14:paraId="2A197BAA" w14:textId="77777777" w:rsidR="00A652B8" w:rsidRDefault="00A652B8" w:rsidP="00775702">
          <w:pPr>
            <w:spacing w:after="1640"/>
          </w:pPr>
        </w:p>
        <w:p w14:paraId="2EA9EB85" w14:textId="77777777" w:rsidR="00A652B8" w:rsidRDefault="00A652B8" w:rsidP="00775702">
          <w:pPr>
            <w:spacing w:after="1640"/>
          </w:pPr>
        </w:p>
        <w:p w14:paraId="47BD2116" w14:textId="77777777" w:rsidR="00A652B8" w:rsidRDefault="00A652B8">
          <w:pPr>
            <w:spacing w:before="0" w:after="160" w:line="259" w:lineRule="auto"/>
          </w:pPr>
          <w:r>
            <w:br w:type="page"/>
          </w:r>
        </w:p>
      </w:sdtContent>
    </w:sdt>
    <w:p w14:paraId="3DAB25AE"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1C20E786" w14:textId="023F87A0" w:rsidR="000E0B74" w:rsidRDefault="000E0B74" w:rsidP="0035499D">
      <w:pPr>
        <w:spacing w:before="0" w:after="160" w:line="259" w:lineRule="auto"/>
      </w:pPr>
      <w:r w:rsidRPr="00661BF0">
        <w:lastRenderedPageBreak/>
        <w:t xml:space="preserve">© Commonwealth of Australia </w:t>
      </w:r>
      <w:r w:rsidRPr="006926AC">
        <w:t>20</w:t>
      </w:r>
      <w:r w:rsidR="00EF2FBF" w:rsidRPr="006926AC">
        <w:t>2</w:t>
      </w:r>
      <w:r w:rsidR="006926AC" w:rsidRPr="006926AC">
        <w:t>2</w:t>
      </w:r>
    </w:p>
    <w:p w14:paraId="355EBBD9" w14:textId="7C82890F"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6926AC">
        <w:t>.</w:t>
      </w:r>
      <w:r w:rsidRPr="002F1BC2">
        <w:t xml:space="preserve"> The full licence terms are available from</w:t>
      </w:r>
      <w:r w:rsidRPr="00476F09">
        <w:rPr>
          <w:rFonts w:cstheme="minorHAnsi"/>
          <w:sz w:val="24"/>
          <w:szCs w:val="24"/>
        </w:rPr>
        <w:t xml:space="preserve"> </w:t>
      </w:r>
      <w:hyperlink r:id="rId15"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E594834" w14:textId="77777777" w:rsidR="000E0B74" w:rsidRDefault="000E0B74" w:rsidP="000E0B74">
      <w:pPr>
        <w:pStyle w:val="ChartGraphic"/>
        <w:jc w:val="left"/>
      </w:pPr>
      <w:r w:rsidRPr="00E56DFB">
        <w:rPr>
          <w:noProof/>
          <w:lang w:eastAsia="zh-CN"/>
        </w:rPr>
        <w:drawing>
          <wp:inline distT="0" distB="0" distL="0" distR="0" wp14:anchorId="48AF2501" wp14:editId="022B7AF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233BA9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58A52E6" w14:textId="77777777" w:rsidR="000E0B74" w:rsidRPr="0031276E" w:rsidRDefault="000E0B74" w:rsidP="0031276E">
      <w:pPr>
        <w:spacing w:before="240"/>
        <w:rPr>
          <w:b/>
        </w:rPr>
      </w:pPr>
      <w:r w:rsidRPr="0031276E">
        <w:rPr>
          <w:b/>
        </w:rPr>
        <w:t>Treasury material used ‘as supplied’.</w:t>
      </w:r>
    </w:p>
    <w:p w14:paraId="069B4129"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D1F8230" w14:textId="6788EC2A"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0CD21913"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31892C4"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0C35122" w14:textId="2E5574A3" w:rsidR="000E0B74" w:rsidRPr="006627B4" w:rsidRDefault="000E0B74" w:rsidP="000E0B74">
      <w:pPr>
        <w:ind w:firstLine="720"/>
      </w:pPr>
      <w:r w:rsidRPr="002F1BC2">
        <w:rPr>
          <w:i/>
        </w:rPr>
        <w:t>Based on The Australian Government the Treasury data</w:t>
      </w:r>
      <w:r w:rsidRPr="006627B4">
        <w:t xml:space="preserve"> </w:t>
      </w:r>
    </w:p>
    <w:p w14:paraId="300C366E" w14:textId="77777777" w:rsidR="000E0B74" w:rsidRPr="006627B4" w:rsidRDefault="000E0B74" w:rsidP="000E0B74">
      <w:pPr>
        <w:spacing w:before="240"/>
        <w:rPr>
          <w:b/>
        </w:rPr>
      </w:pPr>
      <w:r w:rsidRPr="006627B4">
        <w:rPr>
          <w:b/>
        </w:rPr>
        <w:t>Use of the Coat of Arms</w:t>
      </w:r>
    </w:p>
    <w:p w14:paraId="5F90F2D3"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8" w:history="1">
        <w:r w:rsidRPr="005A283B">
          <w:rPr>
            <w:rStyle w:val="Hyperlink"/>
          </w:rPr>
          <w:t>www.pmc.gov.au/government/commonwealth-coat-arm</w:t>
        </w:r>
      </w:hyperlink>
      <w:r w:rsidRPr="004A7BC2">
        <w:t>s).</w:t>
      </w:r>
    </w:p>
    <w:p w14:paraId="56C072D3" w14:textId="77777777" w:rsidR="000E0B74" w:rsidRPr="006627B4" w:rsidRDefault="000E0B74" w:rsidP="000E0B74">
      <w:pPr>
        <w:spacing w:before="240"/>
        <w:rPr>
          <w:b/>
        </w:rPr>
      </w:pPr>
      <w:r>
        <w:rPr>
          <w:b/>
        </w:rPr>
        <w:t>Other u</w:t>
      </w:r>
      <w:r w:rsidRPr="006627B4">
        <w:rPr>
          <w:b/>
        </w:rPr>
        <w:t>ses</w:t>
      </w:r>
    </w:p>
    <w:p w14:paraId="3001F141" w14:textId="77777777" w:rsidR="000E0B74" w:rsidRPr="006627B4" w:rsidRDefault="000E0B74" w:rsidP="000E0B74">
      <w:r>
        <w:t>E</w:t>
      </w:r>
      <w:r w:rsidRPr="006627B4">
        <w:t>nquiries regarding this licence and any other use of this document are welcome at:</w:t>
      </w:r>
    </w:p>
    <w:p w14:paraId="559113F8"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9" w:history="1">
        <w:r w:rsidR="004A077D" w:rsidRPr="000951A5">
          <w:rPr>
            <w:rStyle w:val="Hyperlink"/>
          </w:rPr>
          <w:t>media@treasury.gov.au</w:t>
        </w:r>
      </w:hyperlink>
      <w:r w:rsidR="004A077D">
        <w:t xml:space="preserve"> </w:t>
      </w:r>
    </w:p>
    <w:p w14:paraId="39B7E444" w14:textId="77777777" w:rsidR="000E0B74" w:rsidRDefault="000E0B74" w:rsidP="000E0B74">
      <w:pPr>
        <w:pStyle w:val="SingleParagraph"/>
        <w:sectPr w:rsidR="000E0B74" w:rsidSect="008043EA">
          <w:headerReference w:type="even" r:id="rId20"/>
          <w:headerReference w:type="default" r:id="rId21"/>
          <w:footerReference w:type="even" r:id="rId22"/>
          <w:pgSz w:w="11906" w:h="16838" w:code="9"/>
          <w:pgMar w:top="1843" w:right="1418" w:bottom="1418" w:left="1418" w:header="709" w:footer="709" w:gutter="0"/>
          <w:pgNumType w:fmt="lowerRoman"/>
          <w:cols w:space="708"/>
          <w:titlePg/>
          <w:docGrid w:linePitch="360"/>
        </w:sectPr>
      </w:pPr>
    </w:p>
    <w:p w14:paraId="5EBCD001" w14:textId="77777777" w:rsidR="000E0B74" w:rsidRPr="00354FBB" w:rsidRDefault="000E0B74" w:rsidP="00354FBB">
      <w:pPr>
        <w:pStyle w:val="Heading1"/>
      </w:pPr>
      <w:bookmarkStart w:id="0" w:name="_Toc122432682"/>
      <w:r w:rsidRPr="00354FBB">
        <w:lastRenderedPageBreak/>
        <w:t>Contents</w:t>
      </w:r>
      <w:bookmarkEnd w:id="0"/>
    </w:p>
    <w:p w14:paraId="7704426C" w14:textId="1C49A7E8" w:rsidR="00796782"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2432682" w:history="1">
        <w:r w:rsidR="00796782" w:rsidRPr="00FF36BF">
          <w:rPr>
            <w:rStyle w:val="Hyperlink"/>
          </w:rPr>
          <w:t>Contents</w:t>
        </w:r>
        <w:r w:rsidR="00796782">
          <w:rPr>
            <w:webHidden/>
          </w:rPr>
          <w:tab/>
        </w:r>
        <w:r w:rsidR="00796782">
          <w:rPr>
            <w:webHidden/>
          </w:rPr>
          <w:fldChar w:fldCharType="begin"/>
        </w:r>
        <w:r w:rsidR="00796782">
          <w:rPr>
            <w:webHidden/>
          </w:rPr>
          <w:instrText xml:space="preserve"> PAGEREF _Toc122432682 \h </w:instrText>
        </w:r>
        <w:r w:rsidR="00796782">
          <w:rPr>
            <w:webHidden/>
          </w:rPr>
        </w:r>
        <w:r w:rsidR="00796782">
          <w:rPr>
            <w:webHidden/>
          </w:rPr>
          <w:fldChar w:fldCharType="separate"/>
        </w:r>
        <w:r w:rsidR="00CC5A30">
          <w:rPr>
            <w:webHidden/>
          </w:rPr>
          <w:t>ii</w:t>
        </w:r>
        <w:r w:rsidR="00796782">
          <w:rPr>
            <w:webHidden/>
          </w:rPr>
          <w:fldChar w:fldCharType="end"/>
        </w:r>
      </w:hyperlink>
    </w:p>
    <w:p w14:paraId="79751F18" w14:textId="15FEFD8B" w:rsidR="00796782" w:rsidRDefault="00D713F2">
      <w:pPr>
        <w:pStyle w:val="TOC1"/>
        <w:rPr>
          <w:rFonts w:asciiTheme="minorHAnsi" w:eastAsiaTheme="minorEastAsia" w:hAnsiTheme="minorHAnsi" w:cstheme="minorBidi"/>
          <w:b w:val="0"/>
          <w:color w:val="auto"/>
        </w:rPr>
      </w:pPr>
      <w:hyperlink w:anchor="_Toc122432683" w:history="1">
        <w:r w:rsidR="00796782" w:rsidRPr="00FF36BF">
          <w:rPr>
            <w:rStyle w:val="Hyperlink"/>
          </w:rPr>
          <w:t>Consultation Process</w:t>
        </w:r>
        <w:r w:rsidR="00796782">
          <w:rPr>
            <w:webHidden/>
          </w:rPr>
          <w:tab/>
        </w:r>
        <w:r w:rsidR="00796782">
          <w:rPr>
            <w:webHidden/>
          </w:rPr>
          <w:fldChar w:fldCharType="begin"/>
        </w:r>
        <w:r w:rsidR="00796782">
          <w:rPr>
            <w:webHidden/>
          </w:rPr>
          <w:instrText xml:space="preserve"> PAGEREF _Toc122432683 \h </w:instrText>
        </w:r>
        <w:r w:rsidR="00796782">
          <w:rPr>
            <w:webHidden/>
          </w:rPr>
        </w:r>
        <w:r w:rsidR="00796782">
          <w:rPr>
            <w:webHidden/>
          </w:rPr>
          <w:fldChar w:fldCharType="separate"/>
        </w:r>
        <w:r w:rsidR="00CC5A30">
          <w:rPr>
            <w:webHidden/>
          </w:rPr>
          <w:t>3</w:t>
        </w:r>
        <w:r w:rsidR="00796782">
          <w:rPr>
            <w:webHidden/>
          </w:rPr>
          <w:fldChar w:fldCharType="end"/>
        </w:r>
      </w:hyperlink>
    </w:p>
    <w:p w14:paraId="1D36D149" w14:textId="3D672417" w:rsidR="00796782" w:rsidRDefault="00D713F2">
      <w:pPr>
        <w:pStyle w:val="TOC2"/>
        <w:rPr>
          <w:rFonts w:asciiTheme="minorHAnsi" w:eastAsiaTheme="minorEastAsia" w:hAnsiTheme="minorHAnsi" w:cstheme="minorBidi"/>
          <w:color w:val="auto"/>
          <w:szCs w:val="22"/>
        </w:rPr>
      </w:pPr>
      <w:hyperlink w:anchor="_Toc122432684" w:history="1">
        <w:r w:rsidR="00796782" w:rsidRPr="00FF36BF">
          <w:rPr>
            <w:rStyle w:val="Hyperlink"/>
          </w:rPr>
          <w:t>Request for feedback and comments</w:t>
        </w:r>
        <w:r w:rsidR="00796782">
          <w:rPr>
            <w:webHidden/>
          </w:rPr>
          <w:tab/>
        </w:r>
        <w:r w:rsidR="00796782">
          <w:rPr>
            <w:webHidden/>
          </w:rPr>
          <w:fldChar w:fldCharType="begin"/>
        </w:r>
        <w:r w:rsidR="00796782">
          <w:rPr>
            <w:webHidden/>
          </w:rPr>
          <w:instrText xml:space="preserve"> PAGEREF _Toc122432684 \h </w:instrText>
        </w:r>
        <w:r w:rsidR="00796782">
          <w:rPr>
            <w:webHidden/>
          </w:rPr>
        </w:r>
        <w:r w:rsidR="00796782">
          <w:rPr>
            <w:webHidden/>
          </w:rPr>
          <w:fldChar w:fldCharType="separate"/>
        </w:r>
        <w:r w:rsidR="00CC5A30">
          <w:rPr>
            <w:webHidden/>
          </w:rPr>
          <w:t>3</w:t>
        </w:r>
        <w:r w:rsidR="00796782">
          <w:rPr>
            <w:webHidden/>
          </w:rPr>
          <w:fldChar w:fldCharType="end"/>
        </w:r>
      </w:hyperlink>
    </w:p>
    <w:p w14:paraId="5B0790D8" w14:textId="11674065" w:rsidR="00796782" w:rsidRDefault="00D713F2">
      <w:pPr>
        <w:pStyle w:val="TOC1"/>
        <w:rPr>
          <w:rFonts w:asciiTheme="minorHAnsi" w:eastAsiaTheme="minorEastAsia" w:hAnsiTheme="minorHAnsi" w:cstheme="minorBidi"/>
          <w:b w:val="0"/>
          <w:color w:val="auto"/>
        </w:rPr>
      </w:pPr>
      <w:hyperlink w:anchor="_Toc122432685" w:history="1">
        <w:r w:rsidR="00796782" w:rsidRPr="00FF36BF">
          <w:rPr>
            <w:rStyle w:val="Hyperlink"/>
          </w:rPr>
          <w:t>Digital Platforms: Government consultation on ACCC’s regulatory reform recommendations</w:t>
        </w:r>
        <w:r w:rsidR="00796782">
          <w:rPr>
            <w:webHidden/>
          </w:rPr>
          <w:tab/>
        </w:r>
        <w:r w:rsidR="00796782">
          <w:rPr>
            <w:webHidden/>
          </w:rPr>
          <w:fldChar w:fldCharType="begin"/>
        </w:r>
        <w:r w:rsidR="00796782">
          <w:rPr>
            <w:webHidden/>
          </w:rPr>
          <w:instrText xml:space="preserve"> PAGEREF _Toc122432685 \h </w:instrText>
        </w:r>
        <w:r w:rsidR="00796782">
          <w:rPr>
            <w:webHidden/>
          </w:rPr>
        </w:r>
        <w:r w:rsidR="00796782">
          <w:rPr>
            <w:webHidden/>
          </w:rPr>
          <w:fldChar w:fldCharType="separate"/>
        </w:r>
        <w:r w:rsidR="00CC5A30">
          <w:rPr>
            <w:webHidden/>
          </w:rPr>
          <w:t>4</w:t>
        </w:r>
        <w:r w:rsidR="00796782">
          <w:rPr>
            <w:webHidden/>
          </w:rPr>
          <w:fldChar w:fldCharType="end"/>
        </w:r>
      </w:hyperlink>
    </w:p>
    <w:p w14:paraId="4C4C9891" w14:textId="38C412A0" w:rsidR="00796782" w:rsidRDefault="00D713F2">
      <w:pPr>
        <w:pStyle w:val="TOC2"/>
        <w:rPr>
          <w:rFonts w:asciiTheme="minorHAnsi" w:eastAsiaTheme="minorEastAsia" w:hAnsiTheme="minorHAnsi" w:cstheme="minorBidi"/>
          <w:color w:val="auto"/>
          <w:szCs w:val="22"/>
        </w:rPr>
      </w:pPr>
      <w:hyperlink w:anchor="_Toc122432686" w:history="1">
        <w:r w:rsidR="00796782" w:rsidRPr="00FF36BF">
          <w:rPr>
            <w:rStyle w:val="Hyperlink"/>
          </w:rPr>
          <w:t>Introduction</w:t>
        </w:r>
        <w:r w:rsidR="00796782">
          <w:rPr>
            <w:webHidden/>
          </w:rPr>
          <w:tab/>
        </w:r>
        <w:r w:rsidR="00796782">
          <w:rPr>
            <w:webHidden/>
          </w:rPr>
          <w:fldChar w:fldCharType="begin"/>
        </w:r>
        <w:r w:rsidR="00796782">
          <w:rPr>
            <w:webHidden/>
          </w:rPr>
          <w:instrText xml:space="preserve"> PAGEREF _Toc122432686 \h </w:instrText>
        </w:r>
        <w:r w:rsidR="00796782">
          <w:rPr>
            <w:webHidden/>
          </w:rPr>
        </w:r>
        <w:r w:rsidR="00796782">
          <w:rPr>
            <w:webHidden/>
          </w:rPr>
          <w:fldChar w:fldCharType="separate"/>
        </w:r>
        <w:r w:rsidR="00CC5A30">
          <w:rPr>
            <w:webHidden/>
          </w:rPr>
          <w:t>4</w:t>
        </w:r>
        <w:r w:rsidR="00796782">
          <w:rPr>
            <w:webHidden/>
          </w:rPr>
          <w:fldChar w:fldCharType="end"/>
        </w:r>
      </w:hyperlink>
    </w:p>
    <w:p w14:paraId="3185D44F" w14:textId="2C944745" w:rsidR="00796782" w:rsidRDefault="00D713F2">
      <w:pPr>
        <w:pStyle w:val="TOC3"/>
        <w:rPr>
          <w:rFonts w:asciiTheme="minorHAnsi" w:eastAsiaTheme="minorEastAsia" w:hAnsiTheme="minorHAnsi" w:cstheme="minorBidi"/>
          <w:szCs w:val="22"/>
        </w:rPr>
      </w:pPr>
      <w:hyperlink w:anchor="_Toc122432687" w:history="1">
        <w:r w:rsidR="00796782" w:rsidRPr="00FF36BF">
          <w:rPr>
            <w:rStyle w:val="Hyperlink"/>
          </w:rPr>
          <w:t>Digital Platform Services Inquiry</w:t>
        </w:r>
        <w:r w:rsidR="00796782">
          <w:rPr>
            <w:webHidden/>
          </w:rPr>
          <w:tab/>
        </w:r>
        <w:r w:rsidR="00796782">
          <w:rPr>
            <w:webHidden/>
          </w:rPr>
          <w:fldChar w:fldCharType="begin"/>
        </w:r>
        <w:r w:rsidR="00796782">
          <w:rPr>
            <w:webHidden/>
          </w:rPr>
          <w:instrText xml:space="preserve"> PAGEREF _Toc122432687 \h </w:instrText>
        </w:r>
        <w:r w:rsidR="00796782">
          <w:rPr>
            <w:webHidden/>
          </w:rPr>
        </w:r>
        <w:r w:rsidR="00796782">
          <w:rPr>
            <w:webHidden/>
          </w:rPr>
          <w:fldChar w:fldCharType="separate"/>
        </w:r>
        <w:r w:rsidR="00CC5A30">
          <w:rPr>
            <w:webHidden/>
          </w:rPr>
          <w:t>4</w:t>
        </w:r>
        <w:r w:rsidR="00796782">
          <w:rPr>
            <w:webHidden/>
          </w:rPr>
          <w:fldChar w:fldCharType="end"/>
        </w:r>
      </w:hyperlink>
    </w:p>
    <w:p w14:paraId="762EA82C" w14:textId="55310959" w:rsidR="00796782" w:rsidRDefault="00D713F2">
      <w:pPr>
        <w:pStyle w:val="TOC2"/>
        <w:rPr>
          <w:rFonts w:asciiTheme="minorHAnsi" w:eastAsiaTheme="minorEastAsia" w:hAnsiTheme="minorHAnsi" w:cstheme="minorBidi"/>
          <w:color w:val="auto"/>
          <w:szCs w:val="22"/>
        </w:rPr>
      </w:pPr>
      <w:hyperlink w:anchor="_Toc122432688" w:history="1">
        <w:r w:rsidR="00796782" w:rsidRPr="00FF36BF">
          <w:rPr>
            <w:rStyle w:val="Hyperlink"/>
            <w:b/>
          </w:rPr>
          <w:t>Purpose of Consultation</w:t>
        </w:r>
        <w:r w:rsidR="00796782">
          <w:rPr>
            <w:webHidden/>
          </w:rPr>
          <w:tab/>
        </w:r>
        <w:r w:rsidR="00796782">
          <w:rPr>
            <w:webHidden/>
          </w:rPr>
          <w:fldChar w:fldCharType="begin"/>
        </w:r>
        <w:r w:rsidR="00796782">
          <w:rPr>
            <w:webHidden/>
          </w:rPr>
          <w:instrText xml:space="preserve"> PAGEREF _Toc122432688 \h </w:instrText>
        </w:r>
        <w:r w:rsidR="00796782">
          <w:rPr>
            <w:webHidden/>
          </w:rPr>
        </w:r>
        <w:r w:rsidR="00796782">
          <w:rPr>
            <w:webHidden/>
          </w:rPr>
          <w:fldChar w:fldCharType="separate"/>
        </w:r>
        <w:r w:rsidR="00CC5A30">
          <w:rPr>
            <w:webHidden/>
          </w:rPr>
          <w:t>5</w:t>
        </w:r>
        <w:r w:rsidR="00796782">
          <w:rPr>
            <w:webHidden/>
          </w:rPr>
          <w:fldChar w:fldCharType="end"/>
        </w:r>
      </w:hyperlink>
    </w:p>
    <w:p w14:paraId="76F69924" w14:textId="288AC03D" w:rsidR="00796782" w:rsidRDefault="00D713F2">
      <w:pPr>
        <w:pStyle w:val="TOC2"/>
        <w:rPr>
          <w:rFonts w:asciiTheme="minorHAnsi" w:eastAsiaTheme="minorEastAsia" w:hAnsiTheme="minorHAnsi" w:cstheme="minorBidi"/>
          <w:color w:val="auto"/>
          <w:szCs w:val="22"/>
        </w:rPr>
      </w:pPr>
      <w:hyperlink w:anchor="_Toc122432689" w:history="1">
        <w:r w:rsidR="00796782" w:rsidRPr="00FF36BF">
          <w:rPr>
            <w:rStyle w:val="Hyperlink"/>
          </w:rPr>
          <w:t>Consultation Questions</w:t>
        </w:r>
        <w:r w:rsidR="00796782">
          <w:rPr>
            <w:webHidden/>
          </w:rPr>
          <w:tab/>
        </w:r>
        <w:r w:rsidR="00796782">
          <w:rPr>
            <w:webHidden/>
          </w:rPr>
          <w:fldChar w:fldCharType="begin"/>
        </w:r>
        <w:r w:rsidR="00796782">
          <w:rPr>
            <w:webHidden/>
          </w:rPr>
          <w:instrText xml:space="preserve"> PAGEREF _Toc122432689 \h </w:instrText>
        </w:r>
        <w:r w:rsidR="00796782">
          <w:rPr>
            <w:webHidden/>
          </w:rPr>
        </w:r>
        <w:r w:rsidR="00796782">
          <w:rPr>
            <w:webHidden/>
          </w:rPr>
          <w:fldChar w:fldCharType="separate"/>
        </w:r>
        <w:r w:rsidR="00CC5A30">
          <w:rPr>
            <w:webHidden/>
          </w:rPr>
          <w:t>6</w:t>
        </w:r>
        <w:r w:rsidR="00796782">
          <w:rPr>
            <w:webHidden/>
          </w:rPr>
          <w:fldChar w:fldCharType="end"/>
        </w:r>
      </w:hyperlink>
    </w:p>
    <w:p w14:paraId="6D5DEF57" w14:textId="3904A7F8" w:rsidR="00796782" w:rsidRDefault="00D713F2">
      <w:pPr>
        <w:pStyle w:val="TOC3"/>
        <w:rPr>
          <w:rFonts w:asciiTheme="minorHAnsi" w:eastAsiaTheme="minorEastAsia" w:hAnsiTheme="minorHAnsi" w:cstheme="minorBidi"/>
          <w:szCs w:val="22"/>
        </w:rPr>
      </w:pPr>
      <w:hyperlink w:anchor="_Toc122432690" w:history="1">
        <w:r w:rsidR="00796782" w:rsidRPr="00FF36BF">
          <w:rPr>
            <w:rStyle w:val="Hyperlink"/>
          </w:rPr>
          <w:t>The case for a new regime and its objectives</w:t>
        </w:r>
        <w:r w:rsidR="00796782">
          <w:rPr>
            <w:webHidden/>
          </w:rPr>
          <w:tab/>
        </w:r>
        <w:r w:rsidR="00796782">
          <w:rPr>
            <w:webHidden/>
          </w:rPr>
          <w:fldChar w:fldCharType="begin"/>
        </w:r>
        <w:r w:rsidR="00796782">
          <w:rPr>
            <w:webHidden/>
          </w:rPr>
          <w:instrText xml:space="preserve"> PAGEREF _Toc122432690 \h </w:instrText>
        </w:r>
        <w:r w:rsidR="00796782">
          <w:rPr>
            <w:webHidden/>
          </w:rPr>
        </w:r>
        <w:r w:rsidR="00796782">
          <w:rPr>
            <w:webHidden/>
          </w:rPr>
          <w:fldChar w:fldCharType="separate"/>
        </w:r>
        <w:r w:rsidR="00CC5A30">
          <w:rPr>
            <w:webHidden/>
          </w:rPr>
          <w:t>6</w:t>
        </w:r>
        <w:r w:rsidR="00796782">
          <w:rPr>
            <w:webHidden/>
          </w:rPr>
          <w:fldChar w:fldCharType="end"/>
        </w:r>
      </w:hyperlink>
    </w:p>
    <w:p w14:paraId="47B3C0C9" w14:textId="3302780D" w:rsidR="00796782" w:rsidRDefault="00D713F2">
      <w:pPr>
        <w:pStyle w:val="TOC3"/>
        <w:rPr>
          <w:rFonts w:asciiTheme="minorHAnsi" w:eastAsiaTheme="minorEastAsia" w:hAnsiTheme="minorHAnsi" w:cstheme="minorBidi"/>
          <w:szCs w:val="22"/>
        </w:rPr>
      </w:pPr>
      <w:hyperlink w:anchor="_Toc122432691" w:history="1">
        <w:r w:rsidR="00796782" w:rsidRPr="00FF36BF">
          <w:rPr>
            <w:rStyle w:val="Hyperlink"/>
            <w:rFonts w:eastAsia="Calibri"/>
          </w:rPr>
          <w:t>Coordination with other Government policies and processes</w:t>
        </w:r>
        <w:r w:rsidR="00796782">
          <w:rPr>
            <w:webHidden/>
          </w:rPr>
          <w:tab/>
        </w:r>
        <w:r w:rsidR="00796782">
          <w:rPr>
            <w:webHidden/>
          </w:rPr>
          <w:fldChar w:fldCharType="begin"/>
        </w:r>
        <w:r w:rsidR="00796782">
          <w:rPr>
            <w:webHidden/>
          </w:rPr>
          <w:instrText xml:space="preserve"> PAGEREF _Toc122432691 \h </w:instrText>
        </w:r>
        <w:r w:rsidR="00796782">
          <w:rPr>
            <w:webHidden/>
          </w:rPr>
        </w:r>
        <w:r w:rsidR="00796782">
          <w:rPr>
            <w:webHidden/>
          </w:rPr>
          <w:fldChar w:fldCharType="separate"/>
        </w:r>
        <w:r w:rsidR="00CC5A30">
          <w:rPr>
            <w:webHidden/>
          </w:rPr>
          <w:t>7</w:t>
        </w:r>
        <w:r w:rsidR="00796782">
          <w:rPr>
            <w:webHidden/>
          </w:rPr>
          <w:fldChar w:fldCharType="end"/>
        </w:r>
      </w:hyperlink>
    </w:p>
    <w:p w14:paraId="55F7B350" w14:textId="0A7803CD" w:rsidR="00796782" w:rsidRDefault="00D713F2">
      <w:pPr>
        <w:pStyle w:val="TOC3"/>
        <w:rPr>
          <w:rFonts w:asciiTheme="minorHAnsi" w:eastAsiaTheme="minorEastAsia" w:hAnsiTheme="minorHAnsi" w:cstheme="minorBidi"/>
          <w:szCs w:val="22"/>
        </w:rPr>
      </w:pPr>
      <w:hyperlink w:anchor="_Toc122432692" w:history="1">
        <w:r w:rsidR="00796782" w:rsidRPr="00FF36BF">
          <w:rPr>
            <w:rStyle w:val="Hyperlink"/>
          </w:rPr>
          <w:t>Consumer Recommendations</w:t>
        </w:r>
        <w:r w:rsidR="00796782">
          <w:rPr>
            <w:webHidden/>
          </w:rPr>
          <w:tab/>
        </w:r>
        <w:r w:rsidR="00796782">
          <w:rPr>
            <w:webHidden/>
          </w:rPr>
          <w:fldChar w:fldCharType="begin"/>
        </w:r>
        <w:r w:rsidR="00796782">
          <w:rPr>
            <w:webHidden/>
          </w:rPr>
          <w:instrText xml:space="preserve"> PAGEREF _Toc122432692 \h </w:instrText>
        </w:r>
        <w:r w:rsidR="00796782">
          <w:rPr>
            <w:webHidden/>
          </w:rPr>
        </w:r>
        <w:r w:rsidR="00796782">
          <w:rPr>
            <w:webHidden/>
          </w:rPr>
          <w:fldChar w:fldCharType="separate"/>
        </w:r>
        <w:r w:rsidR="00CC5A30">
          <w:rPr>
            <w:webHidden/>
          </w:rPr>
          <w:t>7</w:t>
        </w:r>
        <w:r w:rsidR="00796782">
          <w:rPr>
            <w:webHidden/>
          </w:rPr>
          <w:fldChar w:fldCharType="end"/>
        </w:r>
      </w:hyperlink>
    </w:p>
    <w:p w14:paraId="1AA6EB2B" w14:textId="7A1CAF07" w:rsidR="00796782" w:rsidRDefault="00D713F2">
      <w:pPr>
        <w:pStyle w:val="TOC3"/>
        <w:rPr>
          <w:rFonts w:asciiTheme="minorHAnsi" w:eastAsiaTheme="minorEastAsia" w:hAnsiTheme="minorHAnsi" w:cstheme="minorBidi"/>
          <w:szCs w:val="22"/>
        </w:rPr>
      </w:pPr>
      <w:hyperlink w:anchor="_Toc122432693" w:history="1">
        <w:r w:rsidR="00796782" w:rsidRPr="00FF36BF">
          <w:rPr>
            <w:rStyle w:val="Hyperlink"/>
          </w:rPr>
          <w:t>Competition Recommendations</w:t>
        </w:r>
        <w:r w:rsidR="00796782">
          <w:rPr>
            <w:webHidden/>
          </w:rPr>
          <w:tab/>
        </w:r>
        <w:r w:rsidR="00796782">
          <w:rPr>
            <w:webHidden/>
          </w:rPr>
          <w:fldChar w:fldCharType="begin"/>
        </w:r>
        <w:r w:rsidR="00796782">
          <w:rPr>
            <w:webHidden/>
          </w:rPr>
          <w:instrText xml:space="preserve"> PAGEREF _Toc122432693 \h </w:instrText>
        </w:r>
        <w:r w:rsidR="00796782">
          <w:rPr>
            <w:webHidden/>
          </w:rPr>
        </w:r>
        <w:r w:rsidR="00796782">
          <w:rPr>
            <w:webHidden/>
          </w:rPr>
          <w:fldChar w:fldCharType="separate"/>
        </w:r>
        <w:r w:rsidR="00CC5A30">
          <w:rPr>
            <w:webHidden/>
          </w:rPr>
          <w:t>9</w:t>
        </w:r>
        <w:r w:rsidR="00796782">
          <w:rPr>
            <w:webHidden/>
          </w:rPr>
          <w:fldChar w:fldCharType="end"/>
        </w:r>
      </w:hyperlink>
    </w:p>
    <w:p w14:paraId="109881B4" w14:textId="21C1AB36" w:rsidR="00796782" w:rsidRDefault="00D713F2">
      <w:pPr>
        <w:pStyle w:val="TOC3"/>
        <w:rPr>
          <w:rFonts w:asciiTheme="minorHAnsi" w:eastAsiaTheme="minorEastAsia" w:hAnsiTheme="minorHAnsi" w:cstheme="minorBidi"/>
          <w:szCs w:val="22"/>
        </w:rPr>
      </w:pPr>
      <w:hyperlink w:anchor="_Toc122432694" w:history="1">
        <w:r w:rsidR="00796782" w:rsidRPr="00FF36BF">
          <w:rPr>
            <w:rStyle w:val="Hyperlink"/>
          </w:rPr>
          <w:t>Governance</w:t>
        </w:r>
        <w:r w:rsidR="00796782">
          <w:rPr>
            <w:webHidden/>
          </w:rPr>
          <w:tab/>
        </w:r>
        <w:r w:rsidR="00796782">
          <w:rPr>
            <w:webHidden/>
          </w:rPr>
          <w:fldChar w:fldCharType="begin"/>
        </w:r>
        <w:r w:rsidR="00796782">
          <w:rPr>
            <w:webHidden/>
          </w:rPr>
          <w:instrText xml:space="preserve"> PAGEREF _Toc122432694 \h </w:instrText>
        </w:r>
        <w:r w:rsidR="00796782">
          <w:rPr>
            <w:webHidden/>
          </w:rPr>
        </w:r>
        <w:r w:rsidR="00796782">
          <w:rPr>
            <w:webHidden/>
          </w:rPr>
          <w:fldChar w:fldCharType="separate"/>
        </w:r>
        <w:r w:rsidR="00CC5A30">
          <w:rPr>
            <w:webHidden/>
          </w:rPr>
          <w:t>12</w:t>
        </w:r>
        <w:r w:rsidR="00796782">
          <w:rPr>
            <w:webHidden/>
          </w:rPr>
          <w:fldChar w:fldCharType="end"/>
        </w:r>
      </w:hyperlink>
    </w:p>
    <w:p w14:paraId="45B488E4" w14:textId="1A4D7E0A" w:rsidR="00796782" w:rsidRDefault="00D713F2">
      <w:pPr>
        <w:pStyle w:val="TOC3"/>
        <w:rPr>
          <w:rFonts w:asciiTheme="minorHAnsi" w:eastAsiaTheme="minorEastAsia" w:hAnsiTheme="minorHAnsi" w:cstheme="minorBidi"/>
          <w:szCs w:val="22"/>
        </w:rPr>
      </w:pPr>
      <w:hyperlink w:anchor="_Toc122432695" w:history="1">
        <w:r w:rsidR="00796782" w:rsidRPr="00FF36BF">
          <w:rPr>
            <w:rStyle w:val="Hyperlink"/>
            <w:rFonts w:eastAsia="Calibri"/>
          </w:rPr>
          <w:t>Priority and alignment with international developments</w:t>
        </w:r>
        <w:r w:rsidR="00796782">
          <w:rPr>
            <w:webHidden/>
          </w:rPr>
          <w:tab/>
        </w:r>
        <w:r w:rsidR="00796782">
          <w:rPr>
            <w:webHidden/>
          </w:rPr>
          <w:fldChar w:fldCharType="begin"/>
        </w:r>
        <w:r w:rsidR="00796782">
          <w:rPr>
            <w:webHidden/>
          </w:rPr>
          <w:instrText xml:space="preserve"> PAGEREF _Toc122432695 \h </w:instrText>
        </w:r>
        <w:r w:rsidR="00796782">
          <w:rPr>
            <w:webHidden/>
          </w:rPr>
        </w:r>
        <w:r w:rsidR="00796782">
          <w:rPr>
            <w:webHidden/>
          </w:rPr>
          <w:fldChar w:fldCharType="separate"/>
        </w:r>
        <w:r w:rsidR="00CC5A30">
          <w:rPr>
            <w:webHidden/>
          </w:rPr>
          <w:t>13</w:t>
        </w:r>
        <w:r w:rsidR="00796782">
          <w:rPr>
            <w:webHidden/>
          </w:rPr>
          <w:fldChar w:fldCharType="end"/>
        </w:r>
      </w:hyperlink>
    </w:p>
    <w:p w14:paraId="1B87BD03" w14:textId="63A28B00" w:rsidR="000E0B74" w:rsidRDefault="00257AEE" w:rsidP="00656356">
      <w:pPr>
        <w:pStyle w:val="SingleParagraph"/>
        <w:tabs>
          <w:tab w:val="right" w:leader="dot" w:pos="9072"/>
        </w:tabs>
        <w:ind w:right="-2"/>
        <w:sectPr w:rsidR="000E0B74" w:rsidSect="008043EA">
          <w:footerReference w:type="default" r:id="rId23"/>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16ADC14" w14:textId="77777777" w:rsidR="000E0B74" w:rsidRDefault="000E0B74" w:rsidP="00354FBB">
      <w:pPr>
        <w:pStyle w:val="Heading1"/>
      </w:pPr>
      <w:bookmarkStart w:id="1" w:name="_Toc122432683"/>
      <w:bookmarkStart w:id="2" w:name="_Toc432067103"/>
      <w:r>
        <w:t>Consultation Process</w:t>
      </w:r>
      <w:bookmarkEnd w:id="1"/>
    </w:p>
    <w:p w14:paraId="3B89C9C0" w14:textId="77777777" w:rsidR="000E0B74" w:rsidRDefault="000E0B74" w:rsidP="000E0B74">
      <w:pPr>
        <w:pStyle w:val="Heading2"/>
      </w:pPr>
      <w:bookmarkStart w:id="3" w:name="_Toc122432684"/>
      <w:r>
        <w:t>Request for feedback and comments</w:t>
      </w:r>
      <w:bookmarkEnd w:id="3"/>
    </w:p>
    <w:p w14:paraId="69CDE0A1" w14:textId="66FD3ED5" w:rsidR="006926AC" w:rsidRDefault="006926AC" w:rsidP="000E0B74">
      <w:r>
        <w:t xml:space="preserve">Interested stakeholders are invited to comment on the issues raised in this paper by </w:t>
      </w:r>
      <w:r w:rsidR="00893B4A" w:rsidRPr="00893B4A">
        <w:rPr>
          <w:b/>
          <w:bCs/>
        </w:rPr>
        <w:t>15 February</w:t>
      </w:r>
      <w:r w:rsidRPr="00893B4A">
        <w:rPr>
          <w:b/>
        </w:rPr>
        <w:t xml:space="preserve"> 202</w:t>
      </w:r>
      <w:r w:rsidR="00673D1A" w:rsidRPr="00893B4A">
        <w:rPr>
          <w:b/>
        </w:rPr>
        <w:t>3</w:t>
      </w:r>
      <w:r w:rsidRPr="006926AC">
        <w:rPr>
          <w:b/>
          <w:bCs/>
        </w:rPr>
        <w:t>.</w:t>
      </w:r>
    </w:p>
    <w:p w14:paraId="40022D64" w14:textId="3EB6B6F9" w:rsidR="006926AC" w:rsidRDefault="006926AC" w:rsidP="000E0B74">
      <w:r>
        <w:t xml:space="preserve">Submissions may be lodged electronically or by post, however electronic lodgement is preferred via email to </w:t>
      </w:r>
      <w:r w:rsidR="00660706" w:rsidRPr="0035499D">
        <w:rPr>
          <w:b/>
          <w:bCs/>
        </w:rPr>
        <w:t>digitalcompetition</w:t>
      </w:r>
      <w:r w:rsidRPr="0035499D">
        <w:rPr>
          <w:b/>
        </w:rPr>
        <w:t>@treasury.gov.au</w:t>
      </w:r>
      <w:r w:rsidRPr="00051858">
        <w:t>.</w:t>
      </w:r>
      <w:r>
        <w:t xml:space="preserve"> For accessibility reasons, please submit responses via email in a Word, RTF or PDF format. </w:t>
      </w:r>
    </w:p>
    <w:p w14:paraId="0C2E9249" w14:textId="77777777" w:rsidR="006926AC" w:rsidRDefault="006926AC" w:rsidP="000E0B74">
      <w:r>
        <w:t xml:space="preserve">Submissions will be shared with other Commonwealth agencies where necessary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w:t>
      </w:r>
    </w:p>
    <w:p w14:paraId="300DA677" w14:textId="594D792D" w:rsidR="000E0B74" w:rsidRDefault="006926AC" w:rsidP="000E0B74">
      <w:r>
        <w:t xml:space="preserve">If you would like only part of your submission to remain confidential, please provide this information clearly marked as such in a separate attachment. Legal requirements, such as those imposed by the </w:t>
      </w:r>
      <w:r w:rsidRPr="006926AC">
        <w:rPr>
          <w:i/>
          <w:iCs/>
        </w:rPr>
        <w:t>Freedom of Information Act 1982</w:t>
      </w:r>
      <w:r>
        <w:t>, may affect the confidentiality of your submission.</w:t>
      </w:r>
    </w:p>
    <w:p w14:paraId="16B7E34C" w14:textId="2DF4CD7E" w:rsidR="000E0B74" w:rsidRDefault="000E0B74" w:rsidP="00257AEE">
      <w:pPr>
        <w:pStyle w:val="Heading3noTOC"/>
      </w:pPr>
      <w:r>
        <w:t xml:space="preserve">Closing date for submissions: </w:t>
      </w:r>
      <w:sdt>
        <w:sdtPr>
          <w:rPr>
            <w:rStyle w:val="Heading3Char"/>
          </w:rPr>
          <w:id w:val="1454836312"/>
          <w:placeholder>
            <w:docPart w:val="DC0E79E45FBA4500A69561AF72053A8B"/>
          </w:placeholder>
          <w:date w:fullDate="2023-02-15T00:00:00Z">
            <w:dateFormat w:val="dd MMMM yyyy"/>
            <w:lid w:val="en-AU"/>
            <w:storeMappedDataAs w:val="dateTime"/>
            <w:calendar w:val="gregorian"/>
          </w:date>
        </w:sdtPr>
        <w:sdtEndPr>
          <w:rPr>
            <w:rStyle w:val="DefaultParagraphFont"/>
            <w:rFonts w:cs="Calibri"/>
            <w:b/>
          </w:rPr>
        </w:sdtEndPr>
        <w:sdtContent>
          <w:r w:rsidR="00893B4A" w:rsidRPr="00893B4A">
            <w:rPr>
              <w:rStyle w:val="Heading3Char"/>
            </w:rPr>
            <w:t>15 February</w:t>
          </w:r>
          <w:r w:rsidR="00B33313" w:rsidRPr="00893B4A">
            <w:rPr>
              <w:rStyle w:val="Heading3Char"/>
            </w:rPr>
            <w:t xml:space="preserve"> 2023</w:t>
          </w:r>
        </w:sdtContent>
      </w:sdt>
    </w:p>
    <w:tbl>
      <w:tblPr>
        <w:tblStyle w:val="TableGrid"/>
        <w:tblW w:w="0" w:type="auto"/>
        <w:tblLook w:val="04A0" w:firstRow="1" w:lastRow="0" w:firstColumn="1" w:lastColumn="0" w:noHBand="0" w:noVBand="1"/>
      </w:tblPr>
      <w:tblGrid>
        <w:gridCol w:w="1517"/>
        <w:gridCol w:w="7553"/>
      </w:tblGrid>
      <w:tr w:rsidR="000E0B74" w:rsidRPr="00B85F47" w14:paraId="04C57734" w14:textId="77777777" w:rsidTr="001E7AE2">
        <w:trPr>
          <w:cnfStyle w:val="100000000000" w:firstRow="1" w:lastRow="0" w:firstColumn="0" w:lastColumn="0" w:oddVBand="0" w:evenVBand="0" w:oddHBand="0" w:evenHBand="0" w:firstRowFirstColumn="0" w:firstRowLastColumn="0" w:lastRowFirstColumn="0" w:lastRowLastColumn="0"/>
        </w:trPr>
        <w:tc>
          <w:tcPr>
            <w:tcW w:w="1517" w:type="dxa"/>
            <w:shd w:val="clear" w:color="auto" w:fill="auto"/>
          </w:tcPr>
          <w:p w14:paraId="279799B3" w14:textId="77777777" w:rsidR="000E0B74" w:rsidRPr="00B85F47" w:rsidRDefault="000E0B74" w:rsidP="0017089D">
            <w:pPr>
              <w:spacing w:before="96" w:after="96"/>
              <w:rPr>
                <w:sz w:val="22"/>
                <w:szCs w:val="22"/>
              </w:rPr>
            </w:pPr>
            <w:r w:rsidRPr="00B85F47">
              <w:rPr>
                <w:sz w:val="22"/>
                <w:szCs w:val="22"/>
              </w:rPr>
              <w:t>Email</w:t>
            </w:r>
          </w:p>
        </w:tc>
        <w:tc>
          <w:tcPr>
            <w:tcW w:w="7553" w:type="dxa"/>
            <w:shd w:val="clear" w:color="auto" w:fill="auto"/>
          </w:tcPr>
          <w:p w14:paraId="7DF03F9D" w14:textId="029648AD" w:rsidR="000E0B74" w:rsidRPr="001E7AE2" w:rsidRDefault="00660706" w:rsidP="00516785">
            <w:pPr>
              <w:spacing w:before="96" w:after="96"/>
              <w:rPr>
                <w:sz w:val="22"/>
                <w:szCs w:val="22"/>
              </w:rPr>
            </w:pPr>
            <w:r w:rsidRPr="0035499D">
              <w:t>digitalcompetition</w:t>
            </w:r>
            <w:r w:rsidR="001E7AE2" w:rsidRPr="0035499D">
              <w:t>@treasury.gov.au</w:t>
            </w:r>
          </w:p>
        </w:tc>
      </w:tr>
      <w:tr w:rsidR="000E0B74" w:rsidRPr="00B85F47" w14:paraId="487F9AB5" w14:textId="77777777" w:rsidTr="001E7AE2">
        <w:tc>
          <w:tcPr>
            <w:tcW w:w="1517" w:type="dxa"/>
          </w:tcPr>
          <w:p w14:paraId="267AC176" w14:textId="77777777" w:rsidR="000E0B74" w:rsidRPr="00B85F47" w:rsidRDefault="000E0B74" w:rsidP="0017089D">
            <w:pPr>
              <w:rPr>
                <w:sz w:val="22"/>
                <w:szCs w:val="22"/>
              </w:rPr>
            </w:pPr>
            <w:r w:rsidRPr="00B85F47">
              <w:rPr>
                <w:sz w:val="22"/>
                <w:szCs w:val="22"/>
              </w:rPr>
              <w:t>Mail</w:t>
            </w:r>
          </w:p>
          <w:p w14:paraId="4E5C8EDA" w14:textId="77777777" w:rsidR="008D7F38" w:rsidRPr="00B85F47" w:rsidRDefault="008D7F38" w:rsidP="0017089D">
            <w:pPr>
              <w:rPr>
                <w:sz w:val="22"/>
                <w:szCs w:val="22"/>
              </w:rPr>
            </w:pPr>
          </w:p>
          <w:p w14:paraId="4FE129DF" w14:textId="77777777" w:rsidR="008D7F38" w:rsidRPr="00B85F47" w:rsidRDefault="008D7F38" w:rsidP="0017089D">
            <w:pPr>
              <w:rPr>
                <w:sz w:val="22"/>
                <w:szCs w:val="22"/>
              </w:rPr>
            </w:pPr>
          </w:p>
        </w:tc>
        <w:tc>
          <w:tcPr>
            <w:tcW w:w="7553" w:type="dxa"/>
          </w:tcPr>
          <w:p w14:paraId="0C102057" w14:textId="213CDA57" w:rsidR="000E0B74" w:rsidRPr="00B85F47" w:rsidRDefault="00020EF9" w:rsidP="0017089D">
            <w:pPr>
              <w:pStyle w:val="SingleParagraph"/>
              <w:rPr>
                <w:rFonts w:cs="Arial"/>
                <w:sz w:val="22"/>
                <w:szCs w:val="22"/>
              </w:rPr>
            </w:pPr>
            <w:r w:rsidRPr="0003090E">
              <w:rPr>
                <w:rFonts w:cs="Arial"/>
                <w:sz w:val="22"/>
                <w:szCs w:val="22"/>
              </w:rPr>
              <w:t>Director, Digital Competition Unit</w:t>
            </w:r>
          </w:p>
          <w:p w14:paraId="61B5524A" w14:textId="2C14E07E" w:rsidR="000E0B74" w:rsidRPr="00B85F47" w:rsidRDefault="001E7AE2" w:rsidP="0017089D">
            <w:pPr>
              <w:pStyle w:val="SingleParagraph"/>
              <w:rPr>
                <w:rFonts w:cs="Arial"/>
                <w:sz w:val="22"/>
                <w:szCs w:val="22"/>
              </w:rPr>
            </w:pPr>
            <w:r w:rsidRPr="0003090E">
              <w:rPr>
                <w:rFonts w:cs="Arial"/>
                <w:sz w:val="22"/>
                <w:szCs w:val="22"/>
              </w:rPr>
              <w:t>Market Conduct Division</w:t>
            </w:r>
          </w:p>
          <w:p w14:paraId="0422D2ED"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4702931B"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48D257D0"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04390635" w14:textId="77777777" w:rsidTr="001E7AE2">
        <w:tc>
          <w:tcPr>
            <w:tcW w:w="1517" w:type="dxa"/>
          </w:tcPr>
          <w:p w14:paraId="625EEAEB" w14:textId="77777777" w:rsidR="000E0B74" w:rsidRPr="00B85F47" w:rsidRDefault="000E0B74" w:rsidP="0017089D">
            <w:pPr>
              <w:rPr>
                <w:sz w:val="22"/>
                <w:szCs w:val="22"/>
              </w:rPr>
            </w:pPr>
            <w:r w:rsidRPr="00B85F47">
              <w:rPr>
                <w:sz w:val="22"/>
                <w:szCs w:val="22"/>
              </w:rPr>
              <w:t>Enquiries</w:t>
            </w:r>
          </w:p>
        </w:tc>
        <w:tc>
          <w:tcPr>
            <w:tcW w:w="7553" w:type="dxa"/>
          </w:tcPr>
          <w:p w14:paraId="6E67190D" w14:textId="5A6EBCA2" w:rsidR="000E0B74" w:rsidRPr="00B85F47" w:rsidRDefault="000E0B74" w:rsidP="0017089D">
            <w:pPr>
              <w:rPr>
                <w:sz w:val="22"/>
                <w:szCs w:val="22"/>
              </w:rPr>
            </w:pPr>
            <w:r w:rsidRPr="00B85F47">
              <w:rPr>
                <w:rFonts w:cs="Arial"/>
                <w:sz w:val="22"/>
                <w:szCs w:val="22"/>
              </w:rPr>
              <w:t xml:space="preserve">Enquiries can be initially directed to </w:t>
            </w:r>
            <w:r w:rsidR="00660706" w:rsidRPr="0035499D">
              <w:rPr>
                <w:b/>
                <w:bCs/>
              </w:rPr>
              <w:t>digitalcompetition</w:t>
            </w:r>
            <w:r w:rsidR="001E7AE2" w:rsidRPr="0035499D">
              <w:rPr>
                <w:b/>
              </w:rPr>
              <w:t>@treasury.gov.au</w:t>
            </w:r>
          </w:p>
        </w:tc>
      </w:tr>
      <w:bookmarkEnd w:id="2"/>
    </w:tbl>
    <w:p w14:paraId="18C0C8B4" w14:textId="77777777" w:rsidR="00E10D39" w:rsidRDefault="00E10D39" w:rsidP="0007102C"/>
    <w:p w14:paraId="36E05491" w14:textId="77777777" w:rsidR="00A16E03" w:rsidRDefault="00A16E03" w:rsidP="00A16E03">
      <w:r>
        <w:t>The principles outlined in this paper have not received Government approval and are not yet law. As a consequence, this paper is merely a guide as to how the principles might operate.</w:t>
      </w:r>
    </w:p>
    <w:p w14:paraId="57191AD6" w14:textId="77777777" w:rsidR="008D7F38" w:rsidRPr="008D7F38" w:rsidRDefault="008D7F38" w:rsidP="008D7F38"/>
    <w:p w14:paraId="79276D9D" w14:textId="77777777" w:rsidR="00E10D39" w:rsidRDefault="00E10D39">
      <w:pPr>
        <w:spacing w:before="0" w:after="160" w:line="259" w:lineRule="auto"/>
        <w:rPr>
          <w:rFonts w:cs="Arial"/>
          <w:color w:val="004A7F"/>
          <w:kern w:val="32"/>
          <w:sz w:val="48"/>
          <w:szCs w:val="36"/>
        </w:rPr>
      </w:pPr>
      <w:r>
        <w:br w:type="page"/>
      </w:r>
    </w:p>
    <w:p w14:paraId="029CCDCF" w14:textId="50F9A19C" w:rsidR="004947C1" w:rsidRDefault="004947C1" w:rsidP="004947C1">
      <w:pPr>
        <w:pStyle w:val="Heading1"/>
      </w:pPr>
      <w:bookmarkStart w:id="4" w:name="_Toc122432685"/>
      <w:r>
        <w:t xml:space="preserve">Digital Platforms: </w:t>
      </w:r>
      <w:r w:rsidR="00067B23">
        <w:t xml:space="preserve">Government consultation on ACCC’s regulatory reform </w:t>
      </w:r>
      <w:r w:rsidR="0095071A">
        <w:t>recommendations</w:t>
      </w:r>
      <w:bookmarkEnd w:id="4"/>
      <w:r w:rsidR="00067B23">
        <w:t xml:space="preserve"> </w:t>
      </w:r>
    </w:p>
    <w:p w14:paraId="6FDB8C76" w14:textId="379FA57F" w:rsidR="000E0B74" w:rsidRDefault="000E0B74" w:rsidP="008043EA">
      <w:pPr>
        <w:pStyle w:val="Heading2"/>
      </w:pPr>
      <w:bookmarkStart w:id="5" w:name="_Toc306887371"/>
      <w:bookmarkStart w:id="6" w:name="_Toc432064635"/>
      <w:bookmarkStart w:id="7" w:name="_Toc122432686"/>
      <w:r>
        <w:t>Introduction</w:t>
      </w:r>
      <w:bookmarkEnd w:id="5"/>
      <w:bookmarkEnd w:id="6"/>
      <w:bookmarkEnd w:id="7"/>
    </w:p>
    <w:p w14:paraId="1C60F5D1" w14:textId="0D2B4C2D" w:rsidR="009A3796" w:rsidRDefault="00800498" w:rsidP="009A3796">
      <w:pPr>
        <w:spacing w:before="0" w:after="160" w:line="259" w:lineRule="auto"/>
      </w:pPr>
      <w:r>
        <w:t>The past three decades</w:t>
      </w:r>
      <w:r w:rsidR="009A3796">
        <w:t xml:space="preserve"> have </w:t>
      </w:r>
      <w:r>
        <w:t>s</w:t>
      </w:r>
      <w:r w:rsidR="009A3796">
        <w:t xml:space="preserve">een significant changes across the economy as </w:t>
      </w:r>
      <w:r w:rsidR="005371A7">
        <w:t xml:space="preserve">consumer, business and social interactions </w:t>
      </w:r>
      <w:r w:rsidR="009A3796">
        <w:t xml:space="preserve">have increasingly become digitised. Australians are at the forefront in the adoption and innovation of technology, resulting in </w:t>
      </w:r>
      <w:r w:rsidR="00F70B83">
        <w:t xml:space="preserve">increasing </w:t>
      </w:r>
      <w:r w:rsidR="009A3796">
        <w:t xml:space="preserve">integration of digital goods and services into our economy and </w:t>
      </w:r>
      <w:r w:rsidR="00B33313">
        <w:t xml:space="preserve">everyday </w:t>
      </w:r>
      <w:r w:rsidR="009A3796">
        <w:t xml:space="preserve">lives. </w:t>
      </w:r>
    </w:p>
    <w:p w14:paraId="477420D2" w14:textId="2C011681" w:rsidR="00CD224D" w:rsidRDefault="009A3796" w:rsidP="009A3796">
      <w:pPr>
        <w:spacing w:before="0" w:after="160" w:line="259" w:lineRule="auto"/>
      </w:pPr>
      <w:r>
        <w:t xml:space="preserve">The largest and most prominent companies </w:t>
      </w:r>
      <w:r w:rsidR="00893B4A">
        <w:t>in</w:t>
      </w:r>
      <w:r>
        <w:t xml:space="preserve"> </w:t>
      </w:r>
      <w:r w:rsidR="00800498">
        <w:t xml:space="preserve">the latest wave of </w:t>
      </w:r>
      <w:r>
        <w:t xml:space="preserve">digital </w:t>
      </w:r>
      <w:r w:rsidR="00F009DC">
        <w:t>development</w:t>
      </w:r>
      <w:r>
        <w:t xml:space="preserve"> are </w:t>
      </w:r>
      <w:r w:rsidR="00F009DC">
        <w:t>providers of</w:t>
      </w:r>
      <w:r w:rsidR="003166F7">
        <w:t xml:space="preserve"> </w:t>
      </w:r>
      <w:r w:rsidR="000943E2">
        <w:t xml:space="preserve">digital </w:t>
      </w:r>
      <w:r>
        <w:t>platform</w:t>
      </w:r>
      <w:r w:rsidR="000943E2">
        <w:t xml:space="preserve"> services</w:t>
      </w:r>
      <w:r w:rsidR="001D3B5D">
        <w:t xml:space="preserve"> </w:t>
      </w:r>
      <w:r w:rsidR="00893B4A">
        <w:t>which</w:t>
      </w:r>
      <w:r w:rsidR="00724C6E">
        <w:t xml:space="preserve"> </w:t>
      </w:r>
      <w:r w:rsidR="00133C4B">
        <w:t xml:space="preserve">play a central role in </w:t>
      </w:r>
      <w:r w:rsidR="001D3B5D">
        <w:t>facilitat</w:t>
      </w:r>
      <w:r w:rsidR="00DB07E7">
        <w:t>ing</w:t>
      </w:r>
      <w:r w:rsidR="001D3B5D">
        <w:t xml:space="preserve"> </w:t>
      </w:r>
      <w:r w:rsidR="00133C4B">
        <w:t>the interactions</w:t>
      </w:r>
      <w:r>
        <w:t xml:space="preserve"> </w:t>
      </w:r>
      <w:r w:rsidR="00133C4B">
        <w:t xml:space="preserve">between </w:t>
      </w:r>
      <w:r>
        <w:t>consumers and businesses.</w:t>
      </w:r>
      <w:r w:rsidR="00F85DCD">
        <w:t xml:space="preserve"> These developments have provided significant benefits</w:t>
      </w:r>
      <w:r w:rsidR="00573C8A">
        <w:t xml:space="preserve"> for consumer and businesses, reducing the costs of a variety of transactions and providing new services, often at low or no direct costs</w:t>
      </w:r>
      <w:r w:rsidR="00A14B74">
        <w:t>.</w:t>
      </w:r>
      <w:r w:rsidR="001C6D16">
        <w:t xml:space="preserve"> </w:t>
      </w:r>
      <w:r w:rsidR="00A14B74">
        <w:t xml:space="preserve">However, </w:t>
      </w:r>
      <w:r w:rsidR="00F85DCD">
        <w:t xml:space="preserve">the dynamic nature and rapid growth </w:t>
      </w:r>
      <w:r w:rsidR="00A14B74">
        <w:t xml:space="preserve">of this sector </w:t>
      </w:r>
      <w:r w:rsidR="00F63ACE">
        <w:t xml:space="preserve">has </w:t>
      </w:r>
      <w:r w:rsidR="00A14B74">
        <w:t>raised questions about</w:t>
      </w:r>
      <w:r w:rsidR="00F85DCD">
        <w:t xml:space="preserve"> the adequacy of the current regulatory settings </w:t>
      </w:r>
      <w:r w:rsidR="00893B4A">
        <w:t>on how</w:t>
      </w:r>
      <w:r w:rsidR="00F85DCD">
        <w:t xml:space="preserve"> consumers and businesses interact with digital </w:t>
      </w:r>
      <w:r w:rsidR="00B60D90">
        <w:t xml:space="preserve">platform </w:t>
      </w:r>
      <w:r w:rsidR="00F85DCD">
        <w:t xml:space="preserve">services. </w:t>
      </w:r>
    </w:p>
    <w:p w14:paraId="224C1E94" w14:textId="0E2EC3FB" w:rsidR="00F61207" w:rsidRDefault="00F61207" w:rsidP="00F61207">
      <w:pPr>
        <w:spacing w:before="0" w:after="160" w:line="259" w:lineRule="auto"/>
      </w:pPr>
      <w:r>
        <w:t>In several</w:t>
      </w:r>
      <w:r w:rsidR="00C95811">
        <w:t xml:space="preserve"> overseas</w:t>
      </w:r>
      <w:r>
        <w:t xml:space="preserve"> jurisdictions</w:t>
      </w:r>
      <w:r w:rsidR="00626B90">
        <w:t>,</w:t>
      </w:r>
      <w:r>
        <w:t xml:space="preserve"> governments have concluded that existing </w:t>
      </w:r>
      <w:r w:rsidR="003F37B9">
        <w:t>economy-wide</w:t>
      </w:r>
      <w:r>
        <w:t xml:space="preserve"> competition and consumer protection regimes</w:t>
      </w:r>
      <w:r w:rsidR="003F37B9">
        <w:t xml:space="preserve"> </w:t>
      </w:r>
      <w:r w:rsidR="00BB3021">
        <w:t xml:space="preserve">which </w:t>
      </w:r>
      <w:r w:rsidR="003F37B9">
        <w:t>typically rely on ex</w:t>
      </w:r>
      <w:r w:rsidR="000A50FC">
        <w:t>-</w:t>
      </w:r>
      <w:r w:rsidR="003F37B9">
        <w:t>post enforcement</w:t>
      </w:r>
      <w:r>
        <w:t xml:space="preserve"> </w:t>
      </w:r>
      <w:r w:rsidR="003F37B9">
        <w:t>of general competition and consumer protection obligations</w:t>
      </w:r>
      <w:r w:rsidR="00C95811">
        <w:t>,</w:t>
      </w:r>
      <w:r w:rsidR="003F37B9">
        <w:t xml:space="preserve"> </w:t>
      </w:r>
      <w:r w:rsidR="00C303AB">
        <w:t xml:space="preserve">are </w:t>
      </w:r>
      <w:r>
        <w:t>inadequate. In particular, the European Union and United Kingdom are implementing</w:t>
      </w:r>
      <w:r w:rsidR="00626B90">
        <w:t xml:space="preserve"> competition and consumer protection </w:t>
      </w:r>
      <w:r>
        <w:t xml:space="preserve">frameworks </w:t>
      </w:r>
      <w:r w:rsidR="003F37B9">
        <w:t>that will impose specific ex</w:t>
      </w:r>
      <w:r w:rsidR="000A50FC">
        <w:t>-</w:t>
      </w:r>
      <w:r w:rsidR="003F37B9">
        <w:t>ante obligations on certain digital platforms</w:t>
      </w:r>
      <w:r>
        <w:t>.</w:t>
      </w:r>
      <w:r w:rsidR="003F37B9">
        <w:t xml:space="preserve"> </w:t>
      </w:r>
      <w:r w:rsidR="00C95811">
        <w:t>Nonetheless</w:t>
      </w:r>
      <w:r w:rsidR="003F37B9">
        <w:t>, the approaches to digital platforms around the world vary,</w:t>
      </w:r>
      <w:r w:rsidR="006D6CE0">
        <w:t xml:space="preserve"> including in the focus and underlying objectives,</w:t>
      </w:r>
      <w:r w:rsidR="003F37B9">
        <w:t xml:space="preserve"> and architecture</w:t>
      </w:r>
      <w:r w:rsidR="000A50FC">
        <w:t xml:space="preserve">, </w:t>
      </w:r>
      <w:r w:rsidR="00C303AB">
        <w:t>often reflecting</w:t>
      </w:r>
      <w:r w:rsidR="003F37B9">
        <w:t xml:space="preserve"> jurisdictional characteristics. </w:t>
      </w:r>
      <w:r>
        <w:t xml:space="preserve"> </w:t>
      </w:r>
    </w:p>
    <w:p w14:paraId="31B0C9BC" w14:textId="1B122386" w:rsidR="003F37B9" w:rsidRDefault="0006286A" w:rsidP="00F61207">
      <w:pPr>
        <w:spacing w:before="0" w:after="160" w:line="259" w:lineRule="auto"/>
      </w:pPr>
      <w:r>
        <w:t>No</w:t>
      </w:r>
      <w:r w:rsidR="00C95811">
        <w:t xml:space="preserve"> platform specific</w:t>
      </w:r>
      <w:r w:rsidR="003F37B9">
        <w:t xml:space="preserve"> </w:t>
      </w:r>
      <w:r>
        <w:t xml:space="preserve">regulatory </w:t>
      </w:r>
      <w:r w:rsidR="003F37B9">
        <w:t xml:space="preserve">approach has been established for a significantly long enough period to provide a proven regulatory template to draw on. This highlights the importance of </w:t>
      </w:r>
      <w:r>
        <w:t>consultation to ensure</w:t>
      </w:r>
      <w:r w:rsidR="003F37B9">
        <w:t xml:space="preserve"> an effective policy framework is developed for the Australian context. A summary of current international developments can be found at </w:t>
      </w:r>
      <w:r w:rsidR="003F37B9" w:rsidRPr="00226CBC">
        <w:rPr>
          <w:u w:val="single"/>
        </w:rPr>
        <w:t>Appendix A</w:t>
      </w:r>
      <w:r w:rsidR="003F37B9">
        <w:t xml:space="preserve">.  </w:t>
      </w:r>
    </w:p>
    <w:p w14:paraId="351FF913" w14:textId="4C6B5A87" w:rsidR="00DD10BE" w:rsidDel="00020EF9" w:rsidRDefault="00DD10BE" w:rsidP="0035499D">
      <w:pPr>
        <w:pStyle w:val="Heading3"/>
      </w:pPr>
      <w:bookmarkStart w:id="8" w:name="_Toc122432687"/>
      <w:r w:rsidDel="00020EF9">
        <w:t>Digital Platform Services Inquiry</w:t>
      </w:r>
      <w:bookmarkEnd w:id="8"/>
      <w:r w:rsidDel="00020EF9">
        <w:t xml:space="preserve"> </w:t>
      </w:r>
    </w:p>
    <w:p w14:paraId="34FDA1D0" w14:textId="75D264C6" w:rsidR="00AD7752" w:rsidDel="00020EF9" w:rsidRDefault="008C13D5" w:rsidP="00AD7752">
      <w:r w:rsidRPr="008C13D5" w:rsidDel="00020EF9">
        <w:t xml:space="preserve">On 10 February 2020, </w:t>
      </w:r>
      <w:r w:rsidR="00AE0977" w:rsidDel="00020EF9">
        <w:t xml:space="preserve">the </w:t>
      </w:r>
      <w:r w:rsidR="00F6223C" w:rsidDel="00020EF9">
        <w:t>ACC</w:t>
      </w:r>
      <w:r w:rsidR="005011B3" w:rsidDel="00020EF9">
        <w:t>C</w:t>
      </w:r>
      <w:r w:rsidR="00AE0977" w:rsidDel="00020EF9">
        <w:t xml:space="preserve"> was directed</w:t>
      </w:r>
      <w:r w:rsidRPr="008C13D5" w:rsidDel="00020EF9">
        <w:t xml:space="preserve"> to conduct an inquiry into </w:t>
      </w:r>
      <w:r w:rsidR="00CD6128" w:rsidDel="00020EF9">
        <w:t xml:space="preserve">the </w:t>
      </w:r>
      <w:r w:rsidRPr="008C13D5" w:rsidDel="00020EF9">
        <w:t>market for the supply of digital platform services.</w:t>
      </w:r>
      <w:r w:rsidR="00AE0977" w:rsidDel="00020EF9">
        <w:t xml:space="preserve"> </w:t>
      </w:r>
      <w:r w:rsidR="00AD7752" w:rsidDel="00020EF9">
        <w:t xml:space="preserve">The Digital Platform Services Inquiry (the Inquiry) aims to examine consumer and competition issues </w:t>
      </w:r>
      <w:r w:rsidR="00914B87">
        <w:t>related to</w:t>
      </w:r>
      <w:r w:rsidR="00AD7752" w:rsidDel="00020EF9">
        <w:t xml:space="preserve"> digital platform</w:t>
      </w:r>
      <w:r w:rsidR="00914B87">
        <w:t>s</w:t>
      </w:r>
      <w:r w:rsidR="00AD7752" w:rsidDel="00020EF9">
        <w:t>, and whether Australia’s</w:t>
      </w:r>
      <w:r w:rsidR="00AD7752" w:rsidRPr="001D4AD4" w:rsidDel="00020EF9">
        <w:t xml:space="preserve"> current competition and consumer protection laws are sufficient to address </w:t>
      </w:r>
      <w:r w:rsidR="00E85F2E" w:rsidDel="00020EF9">
        <w:t>identified</w:t>
      </w:r>
      <w:r w:rsidR="00E85F2E" w:rsidRPr="001D4AD4" w:rsidDel="00020EF9">
        <w:t xml:space="preserve"> </w:t>
      </w:r>
      <w:r w:rsidR="00AD7752" w:rsidRPr="001D4AD4" w:rsidDel="00020EF9">
        <w:t>issues.</w:t>
      </w:r>
    </w:p>
    <w:p w14:paraId="2F815B40" w14:textId="54C21F30" w:rsidR="00AE0977" w:rsidRPr="008C13D5" w:rsidDel="00020EF9" w:rsidRDefault="00AE0977" w:rsidP="00AE0977">
      <w:r w:rsidRPr="00AE0977" w:rsidDel="00020EF9">
        <w:t>Digital platform services covered by th</w:t>
      </w:r>
      <w:r w:rsidR="00AD7752" w:rsidDel="00020EF9">
        <w:t xml:space="preserve">e Inquiry </w:t>
      </w:r>
      <w:r w:rsidRPr="00AE0977" w:rsidDel="00020EF9">
        <w:t>include internet search engine services, social media services, online private messaging services, digital content aggregation platform services, media referral services and electronic marketplace services. The</w:t>
      </w:r>
      <w:r w:rsidRPr="00AE0977" w:rsidDel="008B310D">
        <w:t xml:space="preserve"> </w:t>
      </w:r>
      <w:r w:rsidR="008B310D">
        <w:t>Inquiry</w:t>
      </w:r>
      <w:r w:rsidR="008B310D" w:rsidRPr="00AE0977" w:rsidDel="00020EF9">
        <w:t xml:space="preserve"> </w:t>
      </w:r>
      <w:r w:rsidRPr="00AE0977" w:rsidDel="00020EF9">
        <w:t>also covers digital advertising services supplied by digital platform service providers and the data practices of both digital platform service providers and data brokers.</w:t>
      </w:r>
    </w:p>
    <w:p w14:paraId="14F4FC52" w14:textId="3E778353" w:rsidR="00127384" w:rsidDel="00020EF9" w:rsidRDefault="00B5740D" w:rsidP="00E10D39">
      <w:r w:rsidDel="00020EF9">
        <w:t xml:space="preserve">Since 2020, the ACCC has released </w:t>
      </w:r>
      <w:r w:rsidR="008C13D5" w:rsidDel="00020EF9">
        <w:t xml:space="preserve">interim </w:t>
      </w:r>
      <w:r w:rsidDel="00020EF9">
        <w:t xml:space="preserve">reports </w:t>
      </w:r>
      <w:r w:rsidR="008C13D5" w:rsidDel="00020EF9">
        <w:t>every six months, with</w:t>
      </w:r>
      <w:r w:rsidDel="00020EF9">
        <w:t xml:space="preserve"> </w:t>
      </w:r>
      <w:r w:rsidR="00E85F2E" w:rsidDel="00020EF9">
        <w:t xml:space="preserve">a total of </w:t>
      </w:r>
      <w:r w:rsidDel="00020EF9">
        <w:t xml:space="preserve">five </w:t>
      </w:r>
      <w:r w:rsidR="008C13D5" w:rsidDel="00020EF9">
        <w:t>having been released to date.</w:t>
      </w:r>
      <w:r w:rsidDel="00020EF9">
        <w:t xml:space="preserve"> </w:t>
      </w:r>
      <w:r w:rsidR="00A208F8" w:rsidDel="00020EF9">
        <w:t xml:space="preserve">The first four reports </w:t>
      </w:r>
      <w:r w:rsidR="003A03C3" w:rsidDel="00020EF9">
        <w:t>focused on</w:t>
      </w:r>
      <w:r w:rsidR="008C13D5" w:rsidDel="00020EF9">
        <w:t xml:space="preserve"> </w:t>
      </w:r>
      <w:r w:rsidR="00EB7D7D" w:rsidDel="00020EF9">
        <w:t>specific services</w:t>
      </w:r>
      <w:r w:rsidR="00127384" w:rsidDel="00020EF9">
        <w:t xml:space="preserve"> including</w:t>
      </w:r>
      <w:r w:rsidR="008C13D5" w:rsidDel="00020EF9">
        <w:t xml:space="preserve"> </w:t>
      </w:r>
      <w:r w:rsidR="00A208F8" w:rsidDel="00020EF9">
        <w:t xml:space="preserve">private messaging services, </w:t>
      </w:r>
      <w:r w:rsidR="00A208F8" w:rsidRPr="00A208F8" w:rsidDel="00020EF9">
        <w:t>the distribution of mobile</w:t>
      </w:r>
      <w:r w:rsidR="00A208F8" w:rsidDel="00020EF9">
        <w:t xml:space="preserve"> </w:t>
      </w:r>
      <w:r w:rsidR="00CE2DDB" w:rsidDel="00020EF9">
        <w:t>applications (apps)</w:t>
      </w:r>
      <w:r w:rsidR="00A208F8" w:rsidDel="00020EF9">
        <w:t>, web browsers and general search services (</w:t>
      </w:r>
      <w:r w:rsidR="00CE2DDB" w:rsidDel="00020EF9">
        <w:t xml:space="preserve">including </w:t>
      </w:r>
      <w:r w:rsidR="00A208F8" w:rsidRPr="00A208F8" w:rsidDel="00020EF9">
        <w:t xml:space="preserve">the effectiveness of choice screens in </w:t>
      </w:r>
      <w:r w:rsidR="00A208F8" w:rsidDel="00020EF9">
        <w:t xml:space="preserve">this space), and </w:t>
      </w:r>
      <w:r w:rsidR="00A208F8" w:rsidRPr="00A208F8" w:rsidDel="00020EF9">
        <w:t>general online retail marketplaces</w:t>
      </w:r>
      <w:r w:rsidR="00127384" w:rsidDel="00020EF9">
        <w:t xml:space="preserve">. </w:t>
      </w:r>
    </w:p>
    <w:p w14:paraId="0DD6CBDD" w14:textId="0DA39161" w:rsidR="00094DF1" w:rsidDel="00020EF9" w:rsidRDefault="00127384" w:rsidP="00E10D39">
      <w:r w:rsidDel="00020EF9">
        <w:t>T</w:t>
      </w:r>
      <w:r w:rsidR="008C13D5" w:rsidDel="00020EF9">
        <w:t>he fifth report</w:t>
      </w:r>
      <w:r w:rsidR="004A595C" w:rsidDel="00020EF9">
        <w:t xml:space="preserve">, published </w:t>
      </w:r>
      <w:r w:rsidR="00914B87">
        <w:t>on 11</w:t>
      </w:r>
      <w:r w:rsidR="004A595C" w:rsidDel="00020EF9">
        <w:t xml:space="preserve"> November 2022, </w:t>
      </w:r>
      <w:r w:rsidDel="00020EF9">
        <w:t xml:space="preserve">serves as a mid-point for the </w:t>
      </w:r>
      <w:r w:rsidR="00134E4A" w:rsidDel="00020EF9">
        <w:t>I</w:t>
      </w:r>
      <w:r w:rsidR="00CB0ED4" w:rsidDel="00020EF9">
        <w:t>nquiry</w:t>
      </w:r>
      <w:r w:rsidR="004258C8" w:rsidDel="00020EF9">
        <w:t>. The report</w:t>
      </w:r>
      <w:r w:rsidR="00914B87">
        <w:t>, which focuses on regulatory reform,</w:t>
      </w:r>
      <w:r w:rsidDel="00020EF9">
        <w:t xml:space="preserve"> has considered and provided recommendations on</w:t>
      </w:r>
      <w:r w:rsidR="008C13D5" w:rsidDel="00020EF9">
        <w:t xml:space="preserve"> </w:t>
      </w:r>
      <w:r w:rsidRPr="00127384" w:rsidDel="00020EF9">
        <w:t xml:space="preserve">competition and consumer issues identified </w:t>
      </w:r>
      <w:r w:rsidR="00CB0ED4" w:rsidDel="00020EF9">
        <w:t>by</w:t>
      </w:r>
      <w:r w:rsidRPr="00127384" w:rsidDel="00020EF9">
        <w:t xml:space="preserve"> the </w:t>
      </w:r>
      <w:r w:rsidR="00134E4A" w:rsidDel="00020EF9">
        <w:t>I</w:t>
      </w:r>
      <w:r w:rsidDel="00020EF9">
        <w:t>nquiry</w:t>
      </w:r>
      <w:r w:rsidRPr="00127384" w:rsidDel="00020EF9">
        <w:t xml:space="preserve"> to date</w:t>
      </w:r>
      <w:r w:rsidDel="00020EF9">
        <w:t xml:space="preserve">, as well as related matters in the </w:t>
      </w:r>
      <w:r w:rsidRPr="00127384" w:rsidDel="00020EF9">
        <w:t>Digital Advertising Services Inquiry</w:t>
      </w:r>
      <w:r w:rsidR="00915F52" w:rsidDel="00020EF9">
        <w:rPr>
          <w:rStyle w:val="FootnoteReference"/>
        </w:rPr>
        <w:footnoteReference w:id="2"/>
      </w:r>
      <w:r w:rsidRPr="00127384" w:rsidDel="00020EF9">
        <w:t xml:space="preserve"> and Digital Platforms Inquiry 2017-2019</w:t>
      </w:r>
      <w:r w:rsidDel="00020EF9">
        <w:t>.</w:t>
      </w:r>
      <w:r w:rsidR="00915F52" w:rsidDel="00020EF9">
        <w:rPr>
          <w:rStyle w:val="FootnoteReference"/>
        </w:rPr>
        <w:footnoteReference w:id="3"/>
      </w:r>
      <w:r w:rsidR="00CB0ED4" w:rsidDel="00020EF9">
        <w:t xml:space="preserve"> </w:t>
      </w:r>
    </w:p>
    <w:tbl>
      <w:tblPr>
        <w:tblStyle w:val="TableGrid"/>
        <w:tblW w:w="0" w:type="auto"/>
        <w:tblLook w:val="04A0" w:firstRow="1" w:lastRow="0" w:firstColumn="1" w:lastColumn="0" w:noHBand="0" w:noVBand="1"/>
      </w:tblPr>
      <w:tblGrid>
        <w:gridCol w:w="9070"/>
      </w:tblGrid>
      <w:tr w:rsidR="00094DF1" w:rsidDel="00020EF9" w14:paraId="2CE9E027" w14:textId="48F5F44B" w:rsidTr="000B6940">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0753EAA3" w14:textId="7EF4D26C" w:rsidR="00094DF1" w:rsidRPr="00EE5DA8" w:rsidDel="00020EF9" w:rsidRDefault="00094DF1" w:rsidP="00094DF1">
            <w:pPr>
              <w:spacing w:before="96" w:after="96"/>
              <w:rPr>
                <w:b w:val="0"/>
                <w:bCs/>
              </w:rPr>
            </w:pPr>
            <w:r w:rsidRPr="0035499D" w:rsidDel="00020EF9">
              <w:rPr>
                <w:b w:val="0"/>
              </w:rPr>
              <w:t>The</w:t>
            </w:r>
            <w:r w:rsidRPr="00922C24" w:rsidDel="00020EF9">
              <w:t xml:space="preserve"> </w:t>
            </w:r>
            <w:r w:rsidR="00676FE8" w:rsidRPr="00EE5DA8" w:rsidDel="00020EF9">
              <w:rPr>
                <w:b w:val="0"/>
                <w:bCs/>
              </w:rPr>
              <w:t xml:space="preserve">ACCC’s </w:t>
            </w:r>
            <w:r w:rsidRPr="00EE5DA8" w:rsidDel="00020EF9">
              <w:rPr>
                <w:b w:val="0"/>
                <w:bCs/>
              </w:rPr>
              <w:t>fifth report recommends:</w:t>
            </w:r>
          </w:p>
          <w:p w14:paraId="395D1F52" w14:textId="645396AD" w:rsidR="00094DF1" w:rsidRPr="00EE5DA8" w:rsidDel="00020EF9" w:rsidRDefault="00094DF1" w:rsidP="00226CBC">
            <w:pPr>
              <w:pStyle w:val="OutlineNumbered1"/>
              <w:spacing w:before="96" w:after="96"/>
              <w:rPr>
                <w:b w:val="0"/>
                <w:bCs/>
              </w:rPr>
            </w:pPr>
            <w:r w:rsidRPr="00EE5DA8" w:rsidDel="00020EF9">
              <w:rPr>
                <w:b w:val="0"/>
                <w:bCs/>
              </w:rPr>
              <w:t xml:space="preserve">Economy-wide consumer measures, including a prohibition against unfair trading practices and unfair contract terms. </w:t>
            </w:r>
          </w:p>
          <w:p w14:paraId="448757CB" w14:textId="4639B6C0" w:rsidR="00094DF1" w:rsidRPr="00EE5DA8" w:rsidDel="00020EF9" w:rsidRDefault="00094DF1" w:rsidP="00226CBC">
            <w:pPr>
              <w:pStyle w:val="OutlineNumbered1"/>
              <w:spacing w:before="96" w:after="96"/>
              <w:rPr>
                <w:b w:val="0"/>
                <w:bCs/>
              </w:rPr>
            </w:pPr>
            <w:r w:rsidRPr="00EE5DA8" w:rsidDel="00020EF9">
              <w:rPr>
                <w:b w:val="0"/>
                <w:bCs/>
              </w:rPr>
              <w:t xml:space="preserve">Consumer measures specific to digital platforms, including mandating internal and external dispute resolution processes and obligations on platforms to prevent and remove scams, harmful apps and fake reviews. </w:t>
            </w:r>
          </w:p>
          <w:p w14:paraId="173FD9C5" w14:textId="7BC78E71" w:rsidR="00094DF1" w:rsidRPr="00EE5DA8" w:rsidDel="00020EF9" w:rsidRDefault="00094DF1" w:rsidP="00226CBC">
            <w:pPr>
              <w:pStyle w:val="OutlineNumbered1"/>
              <w:spacing w:before="96" w:after="96"/>
              <w:rPr>
                <w:b w:val="0"/>
                <w:bCs/>
              </w:rPr>
            </w:pPr>
            <w:r w:rsidRPr="00EE5DA8" w:rsidDel="00020EF9">
              <w:rPr>
                <w:b w:val="0"/>
                <w:bCs/>
              </w:rPr>
              <w:t>A new competition framework which would subject ‘designated’ digital platforms to mandatory codes applying to the services they provide</w:t>
            </w:r>
            <w:r w:rsidR="0037089B" w:rsidRPr="00EE5DA8" w:rsidDel="00020EF9">
              <w:rPr>
                <w:b w:val="0"/>
                <w:bCs/>
              </w:rPr>
              <w:t>.</w:t>
            </w:r>
            <w:r w:rsidRPr="00EE5DA8" w:rsidDel="00020EF9">
              <w:rPr>
                <w:b w:val="0"/>
                <w:bCs/>
              </w:rPr>
              <w:t xml:space="preserve"> </w:t>
            </w:r>
          </w:p>
          <w:p w14:paraId="63902BB6" w14:textId="01E85448" w:rsidR="00094DF1" w:rsidRPr="009F04A0" w:rsidDel="00020EF9" w:rsidRDefault="00094DF1" w:rsidP="00226CBC">
            <w:pPr>
              <w:pStyle w:val="OutlineNumbered1"/>
              <w:spacing w:before="96" w:after="96"/>
              <w:rPr>
                <w:b w:val="0"/>
              </w:rPr>
            </w:pPr>
            <w:r w:rsidRPr="00EE5DA8" w:rsidDel="00020EF9">
              <w:rPr>
                <w:b w:val="0"/>
                <w:bCs/>
              </w:rPr>
              <w:t>Targeted competition obligations for designated digital platforms to be included in the proposed new framework and codes, to address harms such as anti-competitive self-preferencing.</w:t>
            </w:r>
            <w:r w:rsidRPr="009F04A0" w:rsidDel="00020EF9">
              <w:t xml:space="preserve"> </w:t>
            </w:r>
          </w:p>
        </w:tc>
      </w:tr>
    </w:tbl>
    <w:p w14:paraId="6A1562F9" w14:textId="62E6F901" w:rsidR="000B0722" w:rsidRPr="00226CBC" w:rsidDel="00B4071B" w:rsidRDefault="004F30C8" w:rsidP="00226CBC">
      <w:pPr>
        <w:pStyle w:val="Heading2"/>
        <w:rPr>
          <w:b/>
          <w:color w:val="4D7861" w:themeColor="accent2"/>
          <w:sz w:val="28"/>
          <w:szCs w:val="26"/>
        </w:rPr>
      </w:pPr>
      <w:bookmarkStart w:id="9" w:name="_Toc122432688"/>
      <w:r w:rsidDel="00B4071B">
        <w:rPr>
          <w:b/>
          <w:color w:val="4D7861" w:themeColor="accent2"/>
          <w:sz w:val="28"/>
          <w:szCs w:val="26"/>
        </w:rPr>
        <w:t>Purpose of Consultation</w:t>
      </w:r>
      <w:bookmarkEnd w:id="9"/>
      <w:r w:rsidR="00CA3D2B" w:rsidRPr="00226CBC" w:rsidDel="00B4071B">
        <w:rPr>
          <w:b/>
          <w:color w:val="4D7861" w:themeColor="accent2"/>
          <w:sz w:val="28"/>
          <w:szCs w:val="26"/>
        </w:rPr>
        <w:t xml:space="preserve"> </w:t>
      </w:r>
    </w:p>
    <w:p w14:paraId="60CD2D0C" w14:textId="13F5E0C4" w:rsidR="007763B7" w:rsidRDefault="00A269CB">
      <w:pPr>
        <w:spacing w:before="0" w:after="160" w:line="259" w:lineRule="auto"/>
      </w:pPr>
      <w:r w:rsidDel="00B4071B">
        <w:t>The</w:t>
      </w:r>
      <w:r w:rsidR="0099574F" w:rsidDel="00B4071B">
        <w:t xml:space="preserve"> ACCC’s</w:t>
      </w:r>
      <w:r w:rsidDel="00B4071B">
        <w:t xml:space="preserve"> fifth interim report </w:t>
      </w:r>
      <w:r w:rsidR="00692C51" w:rsidDel="00B4071B">
        <w:t xml:space="preserve">finds </w:t>
      </w:r>
      <w:r w:rsidR="00DF75CF" w:rsidDel="00B4071B">
        <w:t xml:space="preserve">the current regulatory settings </w:t>
      </w:r>
      <w:r w:rsidR="0099264A" w:rsidDel="00B4071B">
        <w:t xml:space="preserve">in Australia </w:t>
      </w:r>
      <w:r w:rsidR="0006286A">
        <w:t>are</w:t>
      </w:r>
      <w:r w:rsidR="0099264A" w:rsidDel="00B4071B">
        <w:t xml:space="preserve"> </w:t>
      </w:r>
      <w:r w:rsidR="00334A3D" w:rsidDel="00B4071B">
        <w:t>in</w:t>
      </w:r>
      <w:r w:rsidR="00DF75CF" w:rsidDel="00B4071B">
        <w:t xml:space="preserve">adequate at addressing </w:t>
      </w:r>
      <w:r w:rsidR="00692C51" w:rsidDel="00B4071B">
        <w:t xml:space="preserve">specific competition and consumer </w:t>
      </w:r>
      <w:r w:rsidR="003D7D81">
        <w:t>issues</w:t>
      </w:r>
      <w:r w:rsidR="00640762" w:rsidDel="00B4071B">
        <w:t xml:space="preserve"> and</w:t>
      </w:r>
      <w:r w:rsidR="00DF75CF" w:rsidDel="00B4071B">
        <w:t xml:space="preserve"> recommend</w:t>
      </w:r>
      <w:r w:rsidR="00640762" w:rsidDel="00B4071B">
        <w:t>s</w:t>
      </w:r>
      <w:r w:rsidR="00DF75CF" w:rsidDel="00B4071B">
        <w:t xml:space="preserve"> a new regulatory framework</w:t>
      </w:r>
      <w:r w:rsidR="00BB03EC" w:rsidDel="00B4071B">
        <w:t>.</w:t>
      </w:r>
      <w:r w:rsidR="00897C4B" w:rsidDel="00B4071B">
        <w:t xml:space="preserve">  </w:t>
      </w:r>
      <w:r w:rsidR="00C03B17">
        <w:t xml:space="preserve">While stakeholders were engaged in the </w:t>
      </w:r>
      <w:r w:rsidR="00E636A9">
        <w:t xml:space="preserve">preparation of the </w:t>
      </w:r>
      <w:r w:rsidR="009116E5">
        <w:t xml:space="preserve">fifth interim </w:t>
      </w:r>
      <w:r w:rsidR="00E636A9">
        <w:t xml:space="preserve">report, they are yet to have </w:t>
      </w:r>
      <w:r w:rsidR="005F1DB3">
        <w:t xml:space="preserve">an </w:t>
      </w:r>
      <w:r w:rsidR="00E636A9">
        <w:t xml:space="preserve">opportunity to comment on the ACCC’s </w:t>
      </w:r>
      <w:r w:rsidR="0006286A">
        <w:t xml:space="preserve">specific </w:t>
      </w:r>
      <w:r w:rsidR="00E636A9">
        <w:t xml:space="preserve">recommendations and analysis. </w:t>
      </w:r>
      <w:r w:rsidR="00332F2E">
        <w:t xml:space="preserve">Treasury is seeking stakeholder views to ensure they are taken into account </w:t>
      </w:r>
      <w:r w:rsidR="00E636A9">
        <w:t xml:space="preserve">when </w:t>
      </w:r>
      <w:r w:rsidR="00332F2E">
        <w:t xml:space="preserve">advising the </w:t>
      </w:r>
      <w:r w:rsidR="009116E5">
        <w:t>G</w:t>
      </w:r>
      <w:r w:rsidR="00332F2E">
        <w:t xml:space="preserve">overnment on </w:t>
      </w:r>
      <w:r w:rsidR="00E636A9">
        <w:t xml:space="preserve">its response to the </w:t>
      </w:r>
      <w:r w:rsidR="00332F2E">
        <w:t>ACCC recommendations</w:t>
      </w:r>
      <w:r w:rsidR="00200D30" w:rsidDel="001C0A66">
        <w:t xml:space="preserve">. </w:t>
      </w:r>
    </w:p>
    <w:p w14:paraId="55466F3A" w14:textId="5EF4A0EF" w:rsidR="00474BEA" w:rsidDel="00B4071B" w:rsidRDefault="00D54F78">
      <w:pPr>
        <w:spacing w:before="0" w:after="160" w:line="259" w:lineRule="auto"/>
      </w:pPr>
      <w:r w:rsidDel="00B4071B">
        <w:t>Before considering the question</w:t>
      </w:r>
      <w:r w:rsidR="00B64E34" w:rsidDel="00B4071B">
        <w:t>s</w:t>
      </w:r>
      <w:r w:rsidDel="00B4071B">
        <w:t xml:space="preserve"> below, </w:t>
      </w:r>
      <w:r w:rsidR="00334A3D" w:rsidDel="00B4071B">
        <w:t xml:space="preserve">it is </w:t>
      </w:r>
      <w:r w:rsidDel="00B4071B">
        <w:t>recommend</w:t>
      </w:r>
      <w:r w:rsidR="00334A3D" w:rsidDel="00B4071B">
        <w:t>ed</w:t>
      </w:r>
      <w:r w:rsidDel="00B4071B">
        <w:t xml:space="preserve"> you read the </w:t>
      </w:r>
      <w:r w:rsidR="00E24B17">
        <w:t xml:space="preserve">ACCC </w:t>
      </w:r>
      <w:r w:rsidDel="00B4071B">
        <w:t>report</w:t>
      </w:r>
      <w:r w:rsidR="009116E5">
        <w:t>,</w:t>
      </w:r>
      <w:r w:rsidR="00B64E34" w:rsidDel="00B4071B">
        <w:t xml:space="preserve"> </w:t>
      </w:r>
      <w:r w:rsidR="00E24B17">
        <w:t>which</w:t>
      </w:r>
      <w:r w:rsidR="00B64E34">
        <w:t xml:space="preserve"> </w:t>
      </w:r>
      <w:r w:rsidR="00B64E34" w:rsidDel="00B4071B">
        <w:t>can</w:t>
      </w:r>
      <w:r w:rsidDel="00B4071B">
        <w:t xml:space="preserve"> be found on the ACCC website</w:t>
      </w:r>
      <w:r w:rsidR="004A595C" w:rsidDel="00B4071B">
        <w:t>.</w:t>
      </w:r>
      <w:r w:rsidR="00B52673" w:rsidDel="00B4071B">
        <w:rPr>
          <w:rStyle w:val="FootnoteReference"/>
        </w:rPr>
        <w:footnoteReference w:id="4"/>
      </w:r>
      <w:r w:rsidDel="00B4071B">
        <w:t xml:space="preserve"> </w:t>
      </w:r>
      <w:r w:rsidR="00E24B17">
        <w:t>Views gathered from this process will be considered by the Government in developing its response to the report and ensuring Australia has the right regula</w:t>
      </w:r>
      <w:r w:rsidR="00143092">
        <w:t>tions</w:t>
      </w:r>
      <w:r w:rsidR="00E24B17">
        <w:t xml:space="preserve"> in place to be a leading digital economy. </w:t>
      </w:r>
    </w:p>
    <w:p w14:paraId="1CC665C3" w14:textId="6202419D" w:rsidR="00966E84" w:rsidDel="00B4071B" w:rsidRDefault="00966E84" w:rsidP="00966E84">
      <w:pPr>
        <w:spacing w:before="0" w:after="160" w:line="256" w:lineRule="auto"/>
      </w:pPr>
      <w:r w:rsidDel="00B4071B">
        <w:t>While the questions below are a guide for your submission, you are not required to address all questions. You can also comment on issues you consider relevant that have not been covered by the questions.</w:t>
      </w:r>
      <w:r w:rsidR="0028331F" w:rsidDel="00B4071B">
        <w:t xml:space="preserve"> </w:t>
      </w:r>
      <w:r w:rsidR="00761E69" w:rsidDel="00B4071B">
        <w:t xml:space="preserve">It is requested that in your response, </w:t>
      </w:r>
      <w:r w:rsidR="00E24B17">
        <w:t>you</w:t>
      </w:r>
      <w:r w:rsidR="00761E69" w:rsidDel="00B4071B">
        <w:t xml:space="preserve"> provide reasons and evidence to support your reply. </w:t>
      </w:r>
      <w:r w:rsidR="0028331F" w:rsidDel="00B4071B">
        <w:t xml:space="preserve"> </w:t>
      </w:r>
    </w:p>
    <w:p w14:paraId="486BDA9A" w14:textId="77777777" w:rsidR="0094477F" w:rsidRDefault="0094477F">
      <w:pPr>
        <w:spacing w:before="0" w:after="160" w:line="259" w:lineRule="auto"/>
        <w:rPr>
          <w:rFonts w:ascii="Calibri" w:hAnsi="Calibri" w:cs="Arial"/>
          <w:iCs/>
          <w:color w:val="2C384A"/>
          <w:kern w:val="32"/>
          <w:sz w:val="36"/>
          <w:szCs w:val="28"/>
        </w:rPr>
      </w:pPr>
      <w:r>
        <w:br w:type="page"/>
      </w:r>
    </w:p>
    <w:p w14:paraId="5D4FF725" w14:textId="25805C91" w:rsidR="00644898" w:rsidRDefault="00644898" w:rsidP="00226CBC">
      <w:pPr>
        <w:pStyle w:val="Heading2"/>
      </w:pPr>
      <w:bookmarkStart w:id="10" w:name="_Toc122432689"/>
      <w:r>
        <w:t>Consultation Questions</w:t>
      </w:r>
      <w:bookmarkEnd w:id="10"/>
      <w:r>
        <w:t xml:space="preserve"> </w:t>
      </w:r>
    </w:p>
    <w:p w14:paraId="0BC22F3F" w14:textId="05669C52" w:rsidR="00C95811" w:rsidRDefault="00C95811" w:rsidP="00C95811">
      <w:pPr>
        <w:pStyle w:val="Heading3"/>
      </w:pPr>
      <w:bookmarkStart w:id="11" w:name="_Toc122432690"/>
      <w:r>
        <w:t>The cas</w:t>
      </w:r>
      <w:r w:rsidR="00355633">
        <w:t>e</w:t>
      </w:r>
      <w:r>
        <w:t xml:space="preserve"> for a new regime and its objectives</w:t>
      </w:r>
      <w:bookmarkEnd w:id="11"/>
      <w:r>
        <w:t xml:space="preserve"> </w:t>
      </w:r>
    </w:p>
    <w:p w14:paraId="08834F13" w14:textId="2C9F13B2" w:rsidR="00355633" w:rsidRDefault="00786B57" w:rsidP="00D20F74">
      <w:r>
        <w:t xml:space="preserve">Section 2 of the </w:t>
      </w:r>
      <w:r w:rsidRPr="001C6D16">
        <w:rPr>
          <w:i/>
        </w:rPr>
        <w:t>Competition and Consumer Act 2010</w:t>
      </w:r>
      <w:r>
        <w:t xml:space="preserve"> articulates the objective of the Act:</w:t>
      </w:r>
      <w:r w:rsidR="002B0F91">
        <w:t xml:space="preserve"> “</w:t>
      </w:r>
      <w:r w:rsidRPr="00786B57">
        <w:t>The object of this Act is to enhance the welfare of Australians through the promotion of competition and fair trading and provision for consumer protection.</w:t>
      </w:r>
      <w:r>
        <w:t>”</w:t>
      </w:r>
      <w:r w:rsidR="0015246B">
        <w:t xml:space="preserve"> </w:t>
      </w:r>
      <w:r>
        <w:t xml:space="preserve">Treasury considers this an appropriate objective for any policies governing the competition and consumer issues </w:t>
      </w:r>
      <w:r w:rsidR="004C6BDC">
        <w:t>relating to</w:t>
      </w:r>
      <w:r>
        <w:t xml:space="preserve"> the conduct of digital platforms.</w:t>
      </w:r>
    </w:p>
    <w:p w14:paraId="48DCE6FE" w14:textId="715AEC89" w:rsidR="00C95811" w:rsidRDefault="00D301C6" w:rsidP="00B447F2">
      <w:pPr>
        <w:pStyle w:val="Bullet"/>
        <w:numPr>
          <w:ilvl w:val="0"/>
          <w:numId w:val="0"/>
        </w:numPr>
        <w:spacing w:line="240" w:lineRule="auto"/>
      </w:pPr>
      <w:r>
        <w:t>To</w:t>
      </w:r>
      <w:r w:rsidDel="00DF0447">
        <w:t xml:space="preserve"> </w:t>
      </w:r>
      <w:r w:rsidR="00DF0447">
        <w:t xml:space="preserve">address </w:t>
      </w:r>
      <w:r>
        <w:t xml:space="preserve">the </w:t>
      </w:r>
      <w:r w:rsidR="000C66ED">
        <w:t xml:space="preserve">issues </w:t>
      </w:r>
      <w:r>
        <w:t>identified throughout its Inquiry, t</w:t>
      </w:r>
      <w:r w:rsidR="006D70D5">
        <w:t xml:space="preserve">he ACCC has recommended the adoption of a new regulatory framework for consumer protection and </w:t>
      </w:r>
      <w:r>
        <w:t xml:space="preserve">to improve </w:t>
      </w:r>
      <w:r w:rsidR="006D70D5">
        <w:t>competition.</w:t>
      </w:r>
      <w:r w:rsidR="00451711">
        <w:t xml:space="preserve"> </w:t>
      </w:r>
      <w:r w:rsidR="00C95811">
        <w:t xml:space="preserve">As noted, </w:t>
      </w:r>
      <w:r w:rsidR="00451711">
        <w:t xml:space="preserve">regimes to address similar identified harms are in the process of being implemented in </w:t>
      </w:r>
      <w:r w:rsidR="00A77DC8">
        <w:t xml:space="preserve">some </w:t>
      </w:r>
      <w:r w:rsidR="00451711">
        <w:t>jurisdictions, however</w:t>
      </w:r>
      <w:r w:rsidR="00DF0447">
        <w:t>,</w:t>
      </w:r>
      <w:r w:rsidR="00451711">
        <w:t xml:space="preserve"> their effectiveness at this stage is unknown</w:t>
      </w:r>
      <w:r w:rsidR="00E765F2">
        <w:t xml:space="preserve">. </w:t>
      </w:r>
      <w:r w:rsidR="00451711">
        <w:t xml:space="preserve">Other jurisdictions are </w:t>
      </w:r>
      <w:r w:rsidR="008B310D">
        <w:t>currently</w:t>
      </w:r>
      <w:r w:rsidR="00451711">
        <w:t xml:space="preserve"> </w:t>
      </w:r>
      <w:r w:rsidR="00627FD8">
        <w:t>rely</w:t>
      </w:r>
      <w:r w:rsidR="008B310D">
        <w:t>ing</w:t>
      </w:r>
      <w:r w:rsidR="00627FD8">
        <w:t xml:space="preserve"> on</w:t>
      </w:r>
      <w:r w:rsidR="00552D5D">
        <w:t xml:space="preserve"> </w:t>
      </w:r>
      <w:r w:rsidR="00627FD8">
        <w:t>existing</w:t>
      </w:r>
      <w:r w:rsidR="00552D5D">
        <w:t xml:space="preserve"> laws to </w:t>
      </w:r>
      <w:r w:rsidR="00736CDB">
        <w:t>regulate</w:t>
      </w:r>
      <w:r w:rsidR="004C6BDC">
        <w:t xml:space="preserve"> </w:t>
      </w:r>
      <w:r w:rsidR="00552D5D">
        <w:t>digital platforms.</w:t>
      </w:r>
    </w:p>
    <w:p w14:paraId="0EC69486" w14:textId="58B9CC99" w:rsidR="00C95811" w:rsidRDefault="00C46F7F" w:rsidP="00644898">
      <w:r>
        <w:t>The</w:t>
      </w:r>
      <w:r w:rsidR="00C3161C">
        <w:t xml:space="preserve"> ACCC has articulated the potential advantages of a </w:t>
      </w:r>
      <w:r>
        <w:t xml:space="preserve">customised </w:t>
      </w:r>
      <w:r w:rsidR="00C3161C">
        <w:t xml:space="preserve">regulatory approach for digital platforms. However, the adoption of a new customised approach might also come with some risks and involve significant implementation challenges, which could compromise the potential benefits, while introducing additional regulatory complexity and uncertainty. </w:t>
      </w:r>
    </w:p>
    <w:p w14:paraId="1C2090C9" w14:textId="5D0C7AA7" w:rsidR="00FD1A39" w:rsidRDefault="00143092" w:rsidP="00644898">
      <w:r>
        <w:t>A</w:t>
      </w:r>
      <w:r w:rsidR="00C46F7F">
        <w:t xml:space="preserve"> threshold question</w:t>
      </w:r>
      <w:r>
        <w:t xml:space="preserve"> for this consultation is </w:t>
      </w:r>
      <w:r w:rsidR="00EC2C78">
        <w:t>the extent to which s</w:t>
      </w:r>
      <w:r w:rsidR="007D12EA">
        <w:t>o</w:t>
      </w:r>
      <w:r w:rsidR="00EC2C78">
        <w:t>m</w:t>
      </w:r>
      <w:r w:rsidR="007D12EA">
        <w:t>e</w:t>
      </w:r>
      <w:r w:rsidR="00EC2C78">
        <w:t xml:space="preserve"> or all of the benefits of </w:t>
      </w:r>
      <w:r w:rsidR="00116AB9">
        <w:t xml:space="preserve">the </w:t>
      </w:r>
      <w:r w:rsidR="00EC2C78">
        <w:t xml:space="preserve">proposed new measures could be achieved through existing general consumer and competition regulatory protections. </w:t>
      </w:r>
      <w:r w:rsidR="00FD1A39">
        <w:t>More broadly, all policy alternatives need to be assessed, including voluntary or self</w:t>
      </w:r>
      <w:r w:rsidR="009357B5">
        <w:t>-</w:t>
      </w:r>
      <w:r w:rsidR="00FD1A39">
        <w:t>regulatory approaches.</w:t>
      </w:r>
    </w:p>
    <w:p w14:paraId="0E625AEE" w14:textId="3BEC43CE" w:rsidR="00644898" w:rsidRDefault="006D70D5" w:rsidP="00644898">
      <w:r>
        <w:t>Treasury seeks your view</w:t>
      </w:r>
      <w:r w:rsidR="00552D5D">
        <w:t>s</w:t>
      </w:r>
      <w:r>
        <w:t xml:space="preserve"> on the need for a new competition and consumer </w:t>
      </w:r>
      <w:r w:rsidR="004258C8">
        <w:t xml:space="preserve">protection </w:t>
      </w:r>
      <w:r>
        <w:t>regulat</w:t>
      </w:r>
      <w:r w:rsidR="00F70B83">
        <w:t>ory</w:t>
      </w:r>
      <w:r>
        <w:t xml:space="preserve"> framework</w:t>
      </w:r>
      <w:r w:rsidR="00552D5D">
        <w:t xml:space="preserve"> in Australia</w:t>
      </w:r>
      <w:r>
        <w:t xml:space="preserve">, as recommended </w:t>
      </w:r>
      <w:r w:rsidR="00601478">
        <w:t xml:space="preserve">by </w:t>
      </w:r>
      <w:r>
        <w:t>the ACCC</w:t>
      </w:r>
      <w:r w:rsidR="009357B5">
        <w:t xml:space="preserve"> or an alternative that you would </w:t>
      </w:r>
      <w:r w:rsidR="00601478">
        <w:t>recommend</w:t>
      </w:r>
      <w:r>
        <w:t xml:space="preserve">. </w:t>
      </w:r>
      <w:r w:rsidR="00FD1A39">
        <w:t>Treasury is particularly interested in comment and evidence on the likely effectiveness and efficiency of the proposed policy response</w:t>
      </w:r>
      <w:r w:rsidR="009357B5">
        <w:t>, including:</w:t>
      </w:r>
    </w:p>
    <w:p w14:paraId="0792CB96" w14:textId="48C0352A" w:rsidR="00FD1A39" w:rsidRDefault="00FD1A39" w:rsidP="00FA45FF">
      <w:pPr>
        <w:pStyle w:val="Bullet"/>
        <w:spacing w:after="120" w:line="240" w:lineRule="auto"/>
        <w:ind w:left="522" w:hanging="522"/>
      </w:pPr>
      <w:r>
        <w:t xml:space="preserve">Whether it is likely to address the </w:t>
      </w:r>
      <w:r w:rsidR="0006286A">
        <w:t>identified</w:t>
      </w:r>
      <w:r>
        <w:t xml:space="preserve"> harm to consumers or businesses, </w:t>
      </w:r>
      <w:r w:rsidR="009357B5">
        <w:t xml:space="preserve">how </w:t>
      </w:r>
      <w:r w:rsidR="0006286A">
        <w:t xml:space="preserve">well </w:t>
      </w:r>
      <w:r w:rsidR="009357B5">
        <w:t>it would target the source of the problem,</w:t>
      </w:r>
      <w:r>
        <w:t xml:space="preserve"> </w:t>
      </w:r>
      <w:r w:rsidR="009357B5">
        <w:t>the</w:t>
      </w:r>
      <w:r>
        <w:t xml:space="preserve"> enforceability of any regulatory requirements</w:t>
      </w:r>
      <w:r w:rsidR="009357B5">
        <w:t xml:space="preserve"> and whether the policy approach </w:t>
      </w:r>
      <w:r w:rsidR="0006286A">
        <w:t>would be durable into the future</w:t>
      </w:r>
      <w:r w:rsidR="009357B5">
        <w:t>.</w:t>
      </w:r>
      <w:r>
        <w:t xml:space="preserve"> </w:t>
      </w:r>
    </w:p>
    <w:p w14:paraId="7D956E3C" w14:textId="2FE0CC36" w:rsidR="009357B5" w:rsidRDefault="00FD1A39" w:rsidP="00FA45FF">
      <w:pPr>
        <w:pStyle w:val="Bullet"/>
        <w:spacing w:after="120" w:line="240" w:lineRule="auto"/>
        <w:ind w:left="522" w:hanging="522"/>
      </w:pPr>
      <w:r>
        <w:t>Whether it minimises compliance costs for industry and consumers and administration costs for government</w:t>
      </w:r>
      <w:r w:rsidR="009357B5">
        <w:t>, including the costs of</w:t>
      </w:r>
      <w:r>
        <w:t xml:space="preserve"> red tap</w:t>
      </w:r>
      <w:r w:rsidR="009357B5">
        <w:t>e and regulatory uncertainty</w:t>
      </w:r>
      <w:r w:rsidR="00191567">
        <w:t>.</w:t>
      </w:r>
    </w:p>
    <w:p w14:paraId="685639A7" w14:textId="12331A2C" w:rsidR="00FD1A39" w:rsidRDefault="009357B5" w:rsidP="00FA45FF">
      <w:pPr>
        <w:pStyle w:val="Bullet"/>
        <w:spacing w:after="120" w:line="240" w:lineRule="auto"/>
        <w:ind w:left="522" w:hanging="522"/>
      </w:pPr>
      <w:r>
        <w:t>How it would affect the incentives of digital platforms and businesses that rely on platforms to innovate, reduce costs and improve service quality for Australian consumers.</w:t>
      </w:r>
    </w:p>
    <w:tbl>
      <w:tblPr>
        <w:tblStyle w:val="TableGrid"/>
        <w:tblW w:w="0" w:type="auto"/>
        <w:tblLook w:val="04A0" w:firstRow="1" w:lastRow="0" w:firstColumn="1" w:lastColumn="0" w:noHBand="0" w:noVBand="1"/>
      </w:tblPr>
      <w:tblGrid>
        <w:gridCol w:w="9070"/>
      </w:tblGrid>
      <w:tr w:rsidR="00644898" w14:paraId="57797DA9" w14:textId="77777777" w:rsidTr="00644898">
        <w:trPr>
          <w:cnfStyle w:val="100000000000" w:firstRow="1" w:lastRow="0" w:firstColumn="0" w:lastColumn="0" w:oddVBand="0" w:evenVBand="0" w:oddHBand="0" w:evenHBand="0" w:firstRowFirstColumn="0" w:firstRowLastColumn="0" w:lastRowFirstColumn="0" w:lastRowLastColumn="0"/>
        </w:trPr>
        <w:tc>
          <w:tcPr>
            <w:tcW w:w="9070" w:type="dxa"/>
          </w:tcPr>
          <w:p w14:paraId="1B194672" w14:textId="2071A9EF" w:rsidR="008923EF" w:rsidRPr="00B52673" w:rsidRDefault="008923EF" w:rsidP="00675EAE">
            <w:pPr>
              <w:pStyle w:val="OutlineNumbered1"/>
              <w:numPr>
                <w:ilvl w:val="0"/>
                <w:numId w:val="0"/>
              </w:numPr>
              <w:spacing w:before="96" w:after="96"/>
              <w:ind w:left="851" w:hanging="851"/>
            </w:pPr>
            <w:r>
              <w:t>Questions</w:t>
            </w:r>
          </w:p>
          <w:p w14:paraId="28CC88F4" w14:textId="10C46AE6" w:rsidR="00FE292B" w:rsidRPr="00FC0241" w:rsidRDefault="00644898" w:rsidP="00FC0241">
            <w:pPr>
              <w:pStyle w:val="OutlineNumbered1"/>
              <w:numPr>
                <w:ilvl w:val="0"/>
                <w:numId w:val="14"/>
              </w:numPr>
              <w:spacing w:before="96" w:after="96"/>
              <w:rPr>
                <w:b w:val="0"/>
              </w:rPr>
            </w:pPr>
            <w:r w:rsidRPr="00FC0241">
              <w:rPr>
                <w:b w:val="0"/>
              </w:rPr>
              <w:t>Do you agree with the ACCC</w:t>
            </w:r>
            <w:r w:rsidR="00FE292B" w:rsidRPr="00FC0241">
              <w:rPr>
                <w:b w:val="0"/>
              </w:rPr>
              <w:t>’s conclusion that relying only on existing regulatory frameworks would lead to adverse outcomes for Australian consumers and businesses? What are the likely</w:t>
            </w:r>
            <w:r w:rsidR="00657038">
              <w:rPr>
                <w:b w:val="0"/>
              </w:rPr>
              <w:t xml:space="preserve"> benefits and risks</w:t>
            </w:r>
            <w:r w:rsidR="00FE292B" w:rsidRPr="00FC0241">
              <w:rPr>
                <w:b w:val="0"/>
              </w:rPr>
              <w:t xml:space="preserve"> of </w:t>
            </w:r>
            <w:r w:rsidR="00657038">
              <w:rPr>
                <w:b w:val="0"/>
              </w:rPr>
              <w:t>relying primarily on existing regulatory frameworks</w:t>
            </w:r>
            <w:r w:rsidR="00FE292B" w:rsidRPr="00FC0241">
              <w:rPr>
                <w:b w:val="0"/>
              </w:rPr>
              <w:t>?</w:t>
            </w:r>
          </w:p>
          <w:p w14:paraId="4078883C" w14:textId="567E29C9" w:rsidR="00644898" w:rsidRPr="0035499D" w:rsidRDefault="00FE292B" w:rsidP="00644898">
            <w:pPr>
              <w:pStyle w:val="OutlineNumbered1"/>
              <w:spacing w:before="96" w:after="96"/>
              <w:rPr>
                <w:b w:val="0"/>
                <w:bCs/>
              </w:rPr>
            </w:pPr>
            <w:r w:rsidRPr="00EE5DA8">
              <w:rPr>
                <w:b w:val="0"/>
                <w:bCs/>
              </w:rPr>
              <w:t>Can existing regulatory frameworks be improved</w:t>
            </w:r>
            <w:r>
              <w:rPr>
                <w:b w:val="0"/>
                <w:bCs/>
              </w:rPr>
              <w:t xml:space="preserve"> </w:t>
            </w:r>
            <w:r w:rsidR="00782585">
              <w:rPr>
                <w:b w:val="0"/>
                <w:bCs/>
              </w:rPr>
              <w:t>or better</w:t>
            </w:r>
            <w:r>
              <w:rPr>
                <w:b w:val="0"/>
                <w:bCs/>
              </w:rPr>
              <w:t xml:space="preserve"> utilised</w:t>
            </w:r>
            <w:r w:rsidR="00825B02">
              <w:rPr>
                <w:b w:val="0"/>
                <w:bCs/>
              </w:rPr>
              <w:t>?</w:t>
            </w:r>
          </w:p>
          <w:p w14:paraId="795BF2AB" w14:textId="105987A2" w:rsidR="00890150" w:rsidRPr="0035499D" w:rsidRDefault="00D728FD" w:rsidP="0035499D">
            <w:pPr>
              <w:pStyle w:val="OutlineNumbered1"/>
              <w:spacing w:before="96" w:after="96"/>
              <w:rPr>
                <w:b w:val="0"/>
                <w:bCs/>
              </w:rPr>
            </w:pPr>
            <w:r>
              <w:rPr>
                <w:b w:val="0"/>
                <w:bCs/>
              </w:rPr>
              <w:t>Are there</w:t>
            </w:r>
            <w:r w:rsidR="008B2CEA">
              <w:rPr>
                <w:b w:val="0"/>
                <w:bCs/>
              </w:rPr>
              <w:t xml:space="preserve"> </w:t>
            </w:r>
            <w:r w:rsidR="00497F3D">
              <w:rPr>
                <w:b w:val="0"/>
                <w:bCs/>
              </w:rPr>
              <w:t>alternative regulatory</w:t>
            </w:r>
            <w:r w:rsidR="00174481">
              <w:rPr>
                <w:b w:val="0"/>
                <w:bCs/>
              </w:rPr>
              <w:t xml:space="preserve"> or non-regulatory</w:t>
            </w:r>
            <w:r w:rsidR="00497F3D">
              <w:rPr>
                <w:b w:val="0"/>
                <w:bCs/>
              </w:rPr>
              <w:t xml:space="preserve"> options</w:t>
            </w:r>
            <w:r w:rsidR="008B2CEA">
              <w:rPr>
                <w:b w:val="0"/>
                <w:bCs/>
              </w:rPr>
              <w:t xml:space="preserve"> that may be better suited</w:t>
            </w:r>
            <w:r>
              <w:rPr>
                <w:b w:val="0"/>
                <w:bCs/>
              </w:rPr>
              <w:t>?</w:t>
            </w:r>
          </w:p>
        </w:tc>
      </w:tr>
    </w:tbl>
    <w:p w14:paraId="30CB348E" w14:textId="77777777" w:rsidR="002F05A9" w:rsidRDefault="002F05A9" w:rsidP="00C239B0">
      <w:pPr>
        <w:pStyle w:val="Heading3"/>
        <w:rPr>
          <w:rFonts w:eastAsia="Calibri"/>
        </w:rPr>
      </w:pPr>
    </w:p>
    <w:p w14:paraId="25119E09" w14:textId="77777777" w:rsidR="002F05A9" w:rsidRDefault="002F05A9">
      <w:pPr>
        <w:spacing w:before="0" w:after="160" w:line="259" w:lineRule="auto"/>
        <w:rPr>
          <w:rFonts w:ascii="Calibri" w:eastAsia="Calibri" w:hAnsi="Calibri" w:cs="Arial"/>
          <w:b/>
          <w:color w:val="4D7861" w:themeColor="accent2"/>
          <w:kern w:val="32"/>
          <w:sz w:val="28"/>
          <w:szCs w:val="26"/>
        </w:rPr>
      </w:pPr>
      <w:r>
        <w:rPr>
          <w:rFonts w:eastAsia="Calibri"/>
        </w:rPr>
        <w:br w:type="page"/>
      </w:r>
    </w:p>
    <w:p w14:paraId="3CC9F23C" w14:textId="7EABEF8B" w:rsidR="00C239B0" w:rsidRDefault="00A109F9" w:rsidP="00C239B0">
      <w:pPr>
        <w:pStyle w:val="Heading3"/>
        <w:rPr>
          <w:rFonts w:eastAsia="Calibri"/>
        </w:rPr>
      </w:pPr>
      <w:bookmarkStart w:id="12" w:name="_Toc122432691"/>
      <w:r>
        <w:rPr>
          <w:rFonts w:eastAsia="Calibri"/>
        </w:rPr>
        <w:t>Coordination</w:t>
      </w:r>
      <w:r w:rsidR="007F1C48">
        <w:rPr>
          <w:rFonts w:eastAsia="Calibri"/>
        </w:rPr>
        <w:t xml:space="preserve"> with other Government</w:t>
      </w:r>
      <w:r w:rsidR="00FD1A39">
        <w:rPr>
          <w:rFonts w:eastAsia="Calibri"/>
        </w:rPr>
        <w:t xml:space="preserve"> policies and p</w:t>
      </w:r>
      <w:r w:rsidR="00DF0447">
        <w:rPr>
          <w:rFonts w:eastAsia="Calibri"/>
        </w:rPr>
        <w:t>rocesses</w:t>
      </w:r>
      <w:bookmarkEnd w:id="12"/>
    </w:p>
    <w:p w14:paraId="10E95A4D" w14:textId="3F1814CC" w:rsidR="00C95811" w:rsidRDefault="00FD1A39" w:rsidP="00C239B0">
      <w:pPr>
        <w:rPr>
          <w:rFonts w:eastAsia="Calibri"/>
        </w:rPr>
      </w:pPr>
      <w:r>
        <w:t xml:space="preserve">The recommendations of the </w:t>
      </w:r>
      <w:r w:rsidR="00DD04E1">
        <w:t>I</w:t>
      </w:r>
      <w:r>
        <w:t xml:space="preserve">nquiry need to be examined within a broader context of Government policy affecting digital platforms. </w:t>
      </w:r>
      <w:r w:rsidR="00C95811">
        <w:t>Several competition and consumer policy reforms have been introduced recently</w:t>
      </w:r>
      <w:r w:rsidR="00C95811" w:rsidDel="000554BC">
        <w:t>,</w:t>
      </w:r>
      <w:r w:rsidR="00C95811">
        <w:t xml:space="preserve"> including the passing of legislation prohibiting unfair contract terms, the introduction of the Consumer Data Right, and funding </w:t>
      </w:r>
      <w:r w:rsidR="0006286A">
        <w:t xml:space="preserve">for </w:t>
      </w:r>
      <w:r w:rsidR="00C95811">
        <w:t xml:space="preserve">the </w:t>
      </w:r>
      <w:r w:rsidR="0006286A">
        <w:t>development</w:t>
      </w:r>
      <w:r w:rsidR="00C95811" w:rsidRPr="00A42869">
        <w:t xml:space="preserve"> of a National Anti-Scam Centre</w:t>
      </w:r>
      <w:r w:rsidR="00C95811">
        <w:t xml:space="preserve">. Other ongoing policy processes include a review </w:t>
      </w:r>
      <w:r w:rsidR="00116AB9">
        <w:t xml:space="preserve">of </w:t>
      </w:r>
      <w:r w:rsidR="00C95811">
        <w:t xml:space="preserve">the </w:t>
      </w:r>
      <w:r w:rsidR="00C95811" w:rsidRPr="00DC5C66">
        <w:rPr>
          <w:i/>
        </w:rPr>
        <w:t>Privacy Act</w:t>
      </w:r>
      <w:r w:rsidR="00C95811">
        <w:t xml:space="preserve"> </w:t>
      </w:r>
      <w:r w:rsidR="00C95811" w:rsidRPr="00DC5C66">
        <w:rPr>
          <w:i/>
        </w:rPr>
        <w:t>1988</w:t>
      </w:r>
      <w:r w:rsidR="00C95811">
        <w:t xml:space="preserve"> focused on consumer privacy and data in the digital era</w:t>
      </w:r>
      <w:r>
        <w:t>,</w:t>
      </w:r>
      <w:r w:rsidR="00C95811">
        <w:t xml:space="preserve"> and consultation on reforming Australia’s payments system</w:t>
      </w:r>
      <w:r w:rsidR="00DD04E1">
        <w:t>.</w:t>
      </w:r>
      <w:r w:rsidR="00C95811">
        <w:t xml:space="preserve"> Commonwealth, State and Territory Ministers for consumer affairs have also agreed to consult on proposed reforms to address unfair trading practices. </w:t>
      </w:r>
    </w:p>
    <w:p w14:paraId="2A5EC4EF" w14:textId="25C1AEC4" w:rsidR="00C239B0" w:rsidRDefault="00C77249" w:rsidP="00C239B0">
      <w:pPr>
        <w:rPr>
          <w:rFonts w:eastAsia="Calibri"/>
        </w:rPr>
      </w:pPr>
      <w:r>
        <w:rPr>
          <w:rFonts w:eastAsia="Calibri"/>
        </w:rPr>
        <w:t>Some of these processes interact directly with the ACCC recommendations</w:t>
      </w:r>
      <w:r w:rsidR="00C95811">
        <w:rPr>
          <w:rFonts w:eastAsia="Calibri"/>
        </w:rPr>
        <w:t xml:space="preserve"> and it is important to</w:t>
      </w:r>
      <w:r w:rsidR="00FD1A39">
        <w:rPr>
          <w:rFonts w:eastAsia="Calibri"/>
        </w:rPr>
        <w:t xml:space="preserve"> ensure that objectives are aligned</w:t>
      </w:r>
      <w:r>
        <w:rPr>
          <w:rFonts w:eastAsia="Calibri"/>
        </w:rPr>
        <w:t>. For example,</w:t>
      </w:r>
      <w:r w:rsidR="00FD1A39">
        <w:rPr>
          <w:rFonts w:eastAsia="Calibri"/>
        </w:rPr>
        <w:t xml:space="preserve"> regulating</w:t>
      </w:r>
      <w:r w:rsidR="00C95811">
        <w:rPr>
          <w:rFonts w:eastAsia="Calibri"/>
        </w:rPr>
        <w:t xml:space="preserve"> competitors’</w:t>
      </w:r>
      <w:r>
        <w:rPr>
          <w:rFonts w:eastAsia="Calibri"/>
        </w:rPr>
        <w:t xml:space="preserve"> access to</w:t>
      </w:r>
      <w:r w:rsidR="00C95811">
        <w:rPr>
          <w:rFonts w:eastAsia="Calibri"/>
        </w:rPr>
        <w:t xml:space="preserve"> user</w:t>
      </w:r>
      <w:r>
        <w:rPr>
          <w:rFonts w:eastAsia="Calibri"/>
        </w:rPr>
        <w:t xml:space="preserve"> data </w:t>
      </w:r>
      <w:r w:rsidR="00C95811">
        <w:rPr>
          <w:rFonts w:eastAsia="Calibri"/>
        </w:rPr>
        <w:t>held by a platform might generate trade-offs between competition and privacy objectives</w:t>
      </w:r>
      <w:r>
        <w:rPr>
          <w:rFonts w:eastAsia="Calibri"/>
        </w:rPr>
        <w:t xml:space="preserve">. </w:t>
      </w:r>
      <w:r w:rsidR="00FD1A39">
        <w:rPr>
          <w:rFonts w:eastAsia="Calibri"/>
        </w:rPr>
        <w:t>Conversely,</w:t>
      </w:r>
      <w:r w:rsidR="00AE31EB">
        <w:rPr>
          <w:rFonts w:eastAsia="Calibri"/>
        </w:rPr>
        <w:t xml:space="preserve"> some of these processes m</w:t>
      </w:r>
      <w:r w:rsidR="00FD1A39">
        <w:rPr>
          <w:rFonts w:eastAsia="Calibri"/>
        </w:rPr>
        <w:t>ight</w:t>
      </w:r>
      <w:r w:rsidR="00AE31EB">
        <w:rPr>
          <w:rFonts w:eastAsia="Calibri"/>
        </w:rPr>
        <w:t xml:space="preserve"> have complementary elements</w:t>
      </w:r>
      <w:r w:rsidR="008668ED">
        <w:rPr>
          <w:rFonts w:eastAsia="Calibri"/>
        </w:rPr>
        <w:t xml:space="preserve"> that could be progressed together. For example, any requirement to allow interoperability placed on a digital platform may be applicable to reforms to digital payments using </w:t>
      </w:r>
      <w:r w:rsidR="00DD04E1">
        <w:rPr>
          <w:rFonts w:eastAsia="Calibri"/>
        </w:rPr>
        <w:t>near-field communication (</w:t>
      </w:r>
      <w:r w:rsidR="008668ED">
        <w:rPr>
          <w:rFonts w:eastAsia="Calibri"/>
        </w:rPr>
        <w:t>NFC</w:t>
      </w:r>
      <w:r w:rsidR="00DD04E1">
        <w:rPr>
          <w:rFonts w:eastAsia="Calibri"/>
        </w:rPr>
        <w:t>)</w:t>
      </w:r>
      <w:r w:rsidR="008668ED">
        <w:rPr>
          <w:rFonts w:eastAsia="Calibri"/>
        </w:rPr>
        <w:t xml:space="preserve"> chips.</w:t>
      </w:r>
    </w:p>
    <w:p w14:paraId="10B5D633" w14:textId="515707D6" w:rsidR="00C239B0" w:rsidRDefault="00C239B0" w:rsidP="00C239B0">
      <w:pPr>
        <w:rPr>
          <w:rFonts w:eastAsia="Calibri"/>
        </w:rPr>
      </w:pPr>
      <w:r>
        <w:rPr>
          <w:rFonts w:eastAsia="Calibri"/>
        </w:rPr>
        <w:t xml:space="preserve">Treasury seeks your views on how these proposed recommendations align with other </w:t>
      </w:r>
      <w:r w:rsidR="00825606">
        <w:rPr>
          <w:rFonts w:eastAsia="Calibri"/>
        </w:rPr>
        <w:t>G</w:t>
      </w:r>
      <w:r>
        <w:rPr>
          <w:rFonts w:eastAsia="Calibri"/>
        </w:rPr>
        <w:t xml:space="preserve">overnment processes, and whether reforming competition and consumer law is the most appropriate way to address the harms outlined in the Inquiry. </w:t>
      </w:r>
    </w:p>
    <w:tbl>
      <w:tblPr>
        <w:tblStyle w:val="TableGrid"/>
        <w:tblW w:w="0" w:type="auto"/>
        <w:tblLook w:val="04A0" w:firstRow="1" w:lastRow="0" w:firstColumn="1" w:lastColumn="0" w:noHBand="0" w:noVBand="1"/>
      </w:tblPr>
      <w:tblGrid>
        <w:gridCol w:w="9070"/>
      </w:tblGrid>
      <w:tr w:rsidR="00C239B0" w14:paraId="1EA66CDE" w14:textId="77777777" w:rsidTr="00941FFF">
        <w:trPr>
          <w:cnfStyle w:val="100000000000" w:firstRow="1" w:lastRow="0" w:firstColumn="0" w:lastColumn="0" w:oddVBand="0" w:evenVBand="0" w:oddHBand="0" w:evenHBand="0" w:firstRowFirstColumn="0" w:firstRowLastColumn="0" w:lastRowFirstColumn="0" w:lastRowLastColumn="0"/>
        </w:trPr>
        <w:tc>
          <w:tcPr>
            <w:tcW w:w="9070" w:type="dxa"/>
          </w:tcPr>
          <w:p w14:paraId="2AE7200C" w14:textId="6B26B76E" w:rsidR="00C239B0" w:rsidRPr="009D6B1E" w:rsidRDefault="00C239B0" w:rsidP="00941FFF">
            <w:pPr>
              <w:pStyle w:val="OutlineNumbered1"/>
              <w:numPr>
                <w:ilvl w:val="0"/>
                <w:numId w:val="0"/>
              </w:numPr>
              <w:spacing w:before="96" w:after="96"/>
              <w:ind w:left="851" w:hanging="851"/>
            </w:pPr>
            <w:r>
              <w:t>Q</w:t>
            </w:r>
            <w:r w:rsidRPr="009D6B1E">
              <w:t>uestions</w:t>
            </w:r>
          </w:p>
          <w:p w14:paraId="510A22AF" w14:textId="215CD366" w:rsidR="006615B8" w:rsidRPr="001C6D16" w:rsidRDefault="00C239B0" w:rsidP="00941FFF">
            <w:pPr>
              <w:pStyle w:val="OutlineNumbered1"/>
              <w:spacing w:before="96" w:after="96"/>
              <w:rPr>
                <w:b w:val="0"/>
              </w:rPr>
            </w:pPr>
            <w:r w:rsidRPr="0035499D">
              <w:rPr>
                <w:b w:val="0"/>
                <w:bCs/>
              </w:rPr>
              <w:t>Do you see any conflicts between the recommendations</w:t>
            </w:r>
            <w:r w:rsidR="006615B8">
              <w:rPr>
                <w:b w:val="0"/>
                <w:bCs/>
              </w:rPr>
              <w:t>?</w:t>
            </w:r>
            <w:r w:rsidRPr="0035499D">
              <w:rPr>
                <w:b w:val="0"/>
                <w:bCs/>
              </w:rPr>
              <w:t xml:space="preserve"> </w:t>
            </w:r>
          </w:p>
          <w:p w14:paraId="7FC524B4" w14:textId="01E9730B" w:rsidR="00C239B0" w:rsidRPr="0035499D" w:rsidRDefault="006615B8" w:rsidP="00941FFF">
            <w:pPr>
              <w:pStyle w:val="OutlineNumbered1"/>
              <w:spacing w:before="96" w:after="96"/>
              <w:rPr>
                <w:b w:val="0"/>
                <w:bCs/>
              </w:rPr>
            </w:pPr>
            <w:r>
              <w:rPr>
                <w:b w:val="0"/>
                <w:bCs/>
              </w:rPr>
              <w:t xml:space="preserve">Do you see any conflicts </w:t>
            </w:r>
            <w:r w:rsidR="00C239B0" w:rsidRPr="0035499D">
              <w:rPr>
                <w:b w:val="0"/>
                <w:bCs/>
              </w:rPr>
              <w:t xml:space="preserve">between any of the recommendations and existing </w:t>
            </w:r>
            <w:r w:rsidR="00C239B0">
              <w:rPr>
                <w:b w:val="0"/>
                <w:bCs/>
              </w:rPr>
              <w:t>G</w:t>
            </w:r>
            <w:r w:rsidR="00C239B0" w:rsidRPr="0035499D">
              <w:rPr>
                <w:b w:val="0"/>
                <w:bCs/>
              </w:rPr>
              <w:t xml:space="preserve">overnment policy? </w:t>
            </w:r>
          </w:p>
          <w:p w14:paraId="491DFE02" w14:textId="4A086267" w:rsidR="00C239B0" w:rsidRPr="0035499D" w:rsidRDefault="005F4118" w:rsidP="00941FFF">
            <w:pPr>
              <w:pStyle w:val="OutlineNumbered1"/>
              <w:spacing w:before="96" w:after="96"/>
              <w:rPr>
                <w:b w:val="0"/>
                <w:bCs/>
              </w:rPr>
            </w:pPr>
            <w:r>
              <w:rPr>
                <w:b w:val="0"/>
                <w:bCs/>
              </w:rPr>
              <w:t xml:space="preserve">What is the best way to ensure coherence between Government policies relating to digital platforms? </w:t>
            </w:r>
            <w:r w:rsidR="00C239B0" w:rsidRPr="0035499D">
              <w:rPr>
                <w:b w:val="0"/>
                <w:bCs/>
              </w:rPr>
              <w:t xml:space="preserve">Are any of the recommendations better addressed through other </w:t>
            </w:r>
            <w:r w:rsidR="00C239B0">
              <w:rPr>
                <w:b w:val="0"/>
                <w:bCs/>
              </w:rPr>
              <w:t>G</w:t>
            </w:r>
            <w:r w:rsidR="00C239B0" w:rsidRPr="0035499D">
              <w:rPr>
                <w:b w:val="0"/>
                <w:bCs/>
              </w:rPr>
              <w:t>ov</w:t>
            </w:r>
            <w:r w:rsidR="00C239B0">
              <w:rPr>
                <w:b w:val="0"/>
                <w:bCs/>
              </w:rPr>
              <w:t>ernmen</w:t>
            </w:r>
            <w:r w:rsidR="00C239B0" w:rsidRPr="0035499D">
              <w:rPr>
                <w:b w:val="0"/>
                <w:bCs/>
              </w:rPr>
              <w:t>t reforms or processes?</w:t>
            </w:r>
            <w:r w:rsidR="00C239B0">
              <w:rPr>
                <w:b w:val="0"/>
                <w:bCs/>
              </w:rPr>
              <w:t xml:space="preserve"> </w:t>
            </w:r>
          </w:p>
        </w:tc>
      </w:tr>
    </w:tbl>
    <w:p w14:paraId="6C39A603" w14:textId="54075250" w:rsidR="005B1EAD" w:rsidRDefault="005B1EAD" w:rsidP="00226CBC">
      <w:pPr>
        <w:pStyle w:val="Heading3"/>
      </w:pPr>
      <w:bookmarkStart w:id="13" w:name="_Toc122432692"/>
      <w:r>
        <w:t xml:space="preserve">Consumer </w:t>
      </w:r>
      <w:r w:rsidR="007E485D">
        <w:t>R</w:t>
      </w:r>
      <w:r>
        <w:t>ecommendations</w:t>
      </w:r>
      <w:bookmarkEnd w:id="13"/>
    </w:p>
    <w:p w14:paraId="40D0DBC0" w14:textId="293A00FB" w:rsidR="00A357C6" w:rsidRDefault="007657B8" w:rsidP="00355633">
      <w:r>
        <w:t xml:space="preserve">As part of </w:t>
      </w:r>
      <w:r w:rsidR="00BD4A46">
        <w:t>its</w:t>
      </w:r>
      <w:r>
        <w:t xml:space="preserve"> Inquiry, t</w:t>
      </w:r>
      <w:r w:rsidR="00770D1C">
        <w:t>he ACCC identified considerable consumer harms attributed to digital platforms, and across the digital ecosystem more broadly. This includes unfair trading and unfair contracts, as well as inadequate</w:t>
      </w:r>
      <w:r w:rsidR="00C16492">
        <w:t xml:space="preserve"> processes for dealing with </w:t>
      </w:r>
      <w:r w:rsidR="00F70B83">
        <w:t xml:space="preserve">scams, </w:t>
      </w:r>
      <w:r w:rsidR="00C16492">
        <w:t xml:space="preserve">disputes and </w:t>
      </w:r>
      <w:r>
        <w:t>complaints</w:t>
      </w:r>
      <w:r w:rsidR="00C16492">
        <w:t xml:space="preserve">. </w:t>
      </w:r>
      <w:r w:rsidR="00770D1C">
        <w:t>The</w:t>
      </w:r>
      <w:r w:rsidR="00C16492">
        <w:t xml:space="preserve"> ACCC</w:t>
      </w:r>
      <w:r w:rsidR="00770D1C">
        <w:t xml:space="preserve"> consider</w:t>
      </w:r>
      <w:r w:rsidR="00C16492">
        <w:t>s</w:t>
      </w:r>
      <w:r w:rsidR="007466A0">
        <w:t xml:space="preserve"> </w:t>
      </w:r>
      <w:r w:rsidR="00BB3021">
        <w:t>the</w:t>
      </w:r>
      <w:r w:rsidR="00770D1C">
        <w:t xml:space="preserve"> </w:t>
      </w:r>
      <w:r>
        <w:t>current consume</w:t>
      </w:r>
      <w:r w:rsidR="006D70D5">
        <w:t>r</w:t>
      </w:r>
      <w:r>
        <w:t xml:space="preserve"> law</w:t>
      </w:r>
      <w:r w:rsidR="00BB3021">
        <w:t>s to have gaps</w:t>
      </w:r>
      <w:r>
        <w:t xml:space="preserve"> which prevent these issues</w:t>
      </w:r>
      <w:r w:rsidR="0091210A">
        <w:t xml:space="preserve"> from</w:t>
      </w:r>
      <w:r>
        <w:t xml:space="preserve"> </w:t>
      </w:r>
      <w:r w:rsidR="006D70D5">
        <w:t>being</w:t>
      </w:r>
      <w:r>
        <w:t xml:space="preserve"> appropriately</w:t>
      </w:r>
      <w:r w:rsidR="006D70D5">
        <w:t xml:space="preserve"> addressed.</w:t>
      </w:r>
    </w:p>
    <w:p w14:paraId="2DB8A59B" w14:textId="77777777" w:rsidR="00DF0447" w:rsidRDefault="00DF0447" w:rsidP="00DF0447">
      <w:pPr>
        <w:pStyle w:val="Heading4"/>
        <w:rPr>
          <w:sz w:val="22"/>
        </w:rPr>
      </w:pPr>
      <w:r w:rsidRPr="0037089B">
        <w:t>Recommendation 1</w:t>
      </w:r>
      <w:r>
        <w:t xml:space="preserve">: Economy-wide consumer measures </w:t>
      </w:r>
    </w:p>
    <w:tbl>
      <w:tblPr>
        <w:tblStyle w:val="TableGrid"/>
        <w:tblW w:w="0" w:type="auto"/>
        <w:tblLook w:val="04A0" w:firstRow="1" w:lastRow="0" w:firstColumn="1" w:lastColumn="0" w:noHBand="0" w:noVBand="1"/>
      </w:tblPr>
      <w:tblGrid>
        <w:gridCol w:w="9070"/>
      </w:tblGrid>
      <w:tr w:rsidR="00DF0447" w14:paraId="71D31691" w14:textId="77777777" w:rsidTr="00F36513">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1FB608AC" w14:textId="717BAFAB" w:rsidR="00DF0447" w:rsidRPr="00186BF9" w:rsidRDefault="00DF0447" w:rsidP="00F36513">
            <w:pPr>
              <w:pStyle w:val="OutlineNumbered1"/>
              <w:numPr>
                <w:ilvl w:val="0"/>
                <w:numId w:val="0"/>
              </w:numPr>
              <w:spacing w:before="96" w:after="96"/>
              <w:rPr>
                <w:b w:val="0"/>
                <w:bCs/>
              </w:rPr>
            </w:pPr>
            <w:r w:rsidRPr="00186BF9">
              <w:rPr>
                <w:b w:val="0"/>
                <w:bCs/>
              </w:rPr>
              <w:t xml:space="preserve">The ACCC continues to recommend the introduction of new and expanded economy-wide consumer measures, including an economy-wide prohibition against unfair trading practices and strengthening of the unfair contract terms laws. </w:t>
            </w:r>
          </w:p>
          <w:p w14:paraId="25776E66" w14:textId="4E54DAA3" w:rsidR="00DF0447" w:rsidRDefault="00DF0447" w:rsidP="00F36513">
            <w:pPr>
              <w:pStyle w:val="OutlineNumbered1"/>
              <w:numPr>
                <w:ilvl w:val="0"/>
                <w:numId w:val="0"/>
              </w:numPr>
              <w:spacing w:before="96" w:after="96"/>
              <w:rPr>
                <w:i/>
              </w:rPr>
            </w:pPr>
            <w:r w:rsidRPr="00186BF9">
              <w:rPr>
                <w:b w:val="0"/>
                <w:bCs/>
              </w:rPr>
              <w:t>These reforms, alongside targeted digital platform specific obligations, would assist in addressing some of the consumer protection concerns identified for digital platform services</w:t>
            </w:r>
            <w:r w:rsidR="00DF08F9">
              <w:rPr>
                <w:b w:val="0"/>
                <w:bCs/>
              </w:rPr>
              <w:t>.</w:t>
            </w:r>
            <w:r>
              <w:rPr>
                <w:sz w:val="22"/>
                <w:szCs w:val="22"/>
              </w:rPr>
              <w:t xml:space="preserve"> </w:t>
            </w:r>
          </w:p>
        </w:tc>
      </w:tr>
    </w:tbl>
    <w:p w14:paraId="4A15BEDF" w14:textId="77777777" w:rsidR="00DF0447" w:rsidRPr="00226CBC" w:rsidRDefault="00DF0447" w:rsidP="00DF0447">
      <w:pPr>
        <w:spacing w:before="96" w:after="96"/>
        <w:rPr>
          <w:i/>
        </w:rPr>
      </w:pPr>
    </w:p>
    <w:tbl>
      <w:tblPr>
        <w:tblStyle w:val="TableGrid"/>
        <w:tblW w:w="0" w:type="auto"/>
        <w:tblLook w:val="04A0" w:firstRow="1" w:lastRow="0" w:firstColumn="1" w:lastColumn="0" w:noHBand="0" w:noVBand="1"/>
      </w:tblPr>
      <w:tblGrid>
        <w:gridCol w:w="9070"/>
      </w:tblGrid>
      <w:tr w:rsidR="00DF0447" w14:paraId="249C1A1C" w14:textId="77777777" w:rsidTr="00F36513">
        <w:trPr>
          <w:cnfStyle w:val="100000000000" w:firstRow="1" w:lastRow="0" w:firstColumn="0" w:lastColumn="0" w:oddVBand="0" w:evenVBand="0" w:oddHBand="0" w:evenHBand="0" w:firstRowFirstColumn="0" w:firstRowLastColumn="0" w:lastRowFirstColumn="0" w:lastRowLastColumn="0"/>
        </w:trPr>
        <w:tc>
          <w:tcPr>
            <w:tcW w:w="9070" w:type="dxa"/>
          </w:tcPr>
          <w:p w14:paraId="5543C9A8" w14:textId="398E8F48" w:rsidR="00DF0447" w:rsidRPr="0035499D" w:rsidRDefault="00DF0447" w:rsidP="00F36513">
            <w:pPr>
              <w:pStyle w:val="OutlineNumbered1"/>
              <w:numPr>
                <w:ilvl w:val="0"/>
                <w:numId w:val="0"/>
              </w:numPr>
              <w:spacing w:before="96" w:after="96"/>
              <w:rPr>
                <w:b w:val="0"/>
                <w:bCs/>
              </w:rPr>
            </w:pPr>
            <w:r w:rsidRPr="0035499D">
              <w:rPr>
                <w:b w:val="0"/>
                <w:bCs/>
              </w:rPr>
              <w:t xml:space="preserve">Recommendation 1 will be progressed as part of other initiatives, with </w:t>
            </w:r>
            <w:r>
              <w:rPr>
                <w:b w:val="0"/>
                <w:bCs/>
              </w:rPr>
              <w:t xml:space="preserve">Parliament </w:t>
            </w:r>
            <w:r w:rsidR="006A79FA">
              <w:rPr>
                <w:b w:val="0"/>
                <w:bCs/>
              </w:rPr>
              <w:t>having</w:t>
            </w:r>
            <w:r w:rsidDel="00DF0447">
              <w:rPr>
                <w:b w:val="0"/>
              </w:rPr>
              <w:t xml:space="preserve"> </w:t>
            </w:r>
            <w:r w:rsidRPr="0066385E">
              <w:rPr>
                <w:b w:val="0"/>
                <w:bCs/>
              </w:rPr>
              <w:t>passed</w:t>
            </w:r>
            <w:r w:rsidRPr="00F37FDE">
              <w:rPr>
                <w:bCs/>
              </w:rPr>
              <w:t xml:space="preserve"> </w:t>
            </w:r>
            <w:r w:rsidRPr="0035499D">
              <w:rPr>
                <w:b w:val="0"/>
                <w:bCs/>
              </w:rPr>
              <w:t>legislation to prohibit unfair contract terms</w:t>
            </w:r>
            <w:r w:rsidR="007A0E7F">
              <w:rPr>
                <w:b w:val="0"/>
                <w:bCs/>
              </w:rPr>
              <w:t>,</w:t>
            </w:r>
            <w:r>
              <w:rPr>
                <w:b w:val="0"/>
                <w:bCs/>
              </w:rPr>
              <w:t xml:space="preserve"> and Commonwealth, State and Territory consumer Ministers to undertake further consultation on unfair trading practices</w:t>
            </w:r>
            <w:r w:rsidDel="00DF0447">
              <w:rPr>
                <w:b w:val="0"/>
                <w:bCs/>
              </w:rPr>
              <w:t>.</w:t>
            </w:r>
            <w:r>
              <w:rPr>
                <w:rStyle w:val="FootnoteReference"/>
                <w:b w:val="0"/>
                <w:bCs/>
              </w:rPr>
              <w:footnoteReference w:id="5"/>
            </w:r>
            <w:r>
              <w:rPr>
                <w:b w:val="0"/>
                <w:bCs/>
              </w:rPr>
              <w:t xml:space="preserve"> </w:t>
            </w:r>
          </w:p>
        </w:tc>
      </w:tr>
    </w:tbl>
    <w:p w14:paraId="61BB146F" w14:textId="4906AA8A" w:rsidR="006943ED" w:rsidRDefault="002D7005" w:rsidP="002D7005">
      <w:pPr>
        <w:pStyle w:val="Heading4"/>
        <w:rPr>
          <w:i/>
          <w:iCs/>
        </w:rPr>
      </w:pPr>
      <w:r>
        <w:rPr>
          <w:i/>
          <w:iCs/>
        </w:rPr>
        <w:t>Scams, harmful apps and fake reviews</w:t>
      </w:r>
    </w:p>
    <w:p w14:paraId="043078F3" w14:textId="55245EE9" w:rsidR="00ED5E9D" w:rsidRDefault="002D7005" w:rsidP="00981AF7">
      <w:r>
        <w:t xml:space="preserve">The ACCC </w:t>
      </w:r>
      <w:r w:rsidR="00981AF7">
        <w:t>found</w:t>
      </w:r>
      <w:r w:rsidR="0091210A">
        <w:t xml:space="preserve"> </w:t>
      </w:r>
      <w:r w:rsidR="00981AF7">
        <w:t>there ha</w:t>
      </w:r>
      <w:r w:rsidR="00D301C6">
        <w:t>s</w:t>
      </w:r>
      <w:r w:rsidR="00981AF7">
        <w:t xml:space="preserve"> been a significant and sustained</w:t>
      </w:r>
      <w:r>
        <w:t xml:space="preserve"> increase in scams</w:t>
      </w:r>
      <w:r w:rsidR="00981AF7">
        <w:t xml:space="preserve"> </w:t>
      </w:r>
      <w:r>
        <w:t xml:space="preserve">on digital platforms, </w:t>
      </w:r>
      <w:r w:rsidR="0079634E">
        <w:t>which</w:t>
      </w:r>
      <w:r>
        <w:t xml:space="preserve"> provide an effective </w:t>
      </w:r>
      <w:r w:rsidR="00981AF7">
        <w:t xml:space="preserve">and low-cost </w:t>
      </w:r>
      <w:r>
        <w:t>mean</w:t>
      </w:r>
      <w:r w:rsidR="00981AF7">
        <w:t>s</w:t>
      </w:r>
      <w:r>
        <w:t xml:space="preserve"> to access consumer</w:t>
      </w:r>
      <w:r w:rsidR="00981AF7">
        <w:t>s</w:t>
      </w:r>
      <w:r>
        <w:t xml:space="preserve"> and their information. </w:t>
      </w:r>
      <w:r w:rsidR="00ED5E9D">
        <w:t xml:space="preserve">Related activity includes harmful apps, which despite </w:t>
      </w:r>
      <w:r w:rsidR="00106671">
        <w:t>existing processes</w:t>
      </w:r>
      <w:r w:rsidR="00AF38B4">
        <w:t>,</w:t>
      </w:r>
      <w:r w:rsidR="00106671">
        <w:t xml:space="preserve"> continue to be made available on platforms</w:t>
      </w:r>
      <w:r w:rsidR="00AF38B4">
        <w:t>;</w:t>
      </w:r>
      <w:r w:rsidR="00106671">
        <w:t xml:space="preserve"> and fake reviews, which mislead consumers, distort competition, reduce trust in platforms, and harm businesses.</w:t>
      </w:r>
    </w:p>
    <w:p w14:paraId="1FC95AAF" w14:textId="6D2EC385" w:rsidR="002D7005" w:rsidRDefault="009E0DCC" w:rsidP="00981AF7">
      <w:r>
        <w:t xml:space="preserve">The ACCC </w:t>
      </w:r>
      <w:r w:rsidR="004E1661">
        <w:t>observed</w:t>
      </w:r>
      <w:r w:rsidR="0091210A">
        <w:t xml:space="preserve"> that</w:t>
      </w:r>
      <w:r w:rsidR="00F37427">
        <w:t xml:space="preserve"> </w:t>
      </w:r>
      <w:r w:rsidR="00ED5E9D">
        <w:t>these issues are</w:t>
      </w:r>
      <w:r w:rsidR="002D7005">
        <w:t xml:space="preserve"> heightened by </w:t>
      </w:r>
      <w:r>
        <w:t>i</w:t>
      </w:r>
      <w:r w:rsidR="00981AF7">
        <w:t>nadequate verification of digital platform users and content</w:t>
      </w:r>
      <w:r w:rsidR="00F027DD">
        <w:t>, enabling</w:t>
      </w:r>
      <w:r w:rsidR="00981AF7">
        <w:t xml:space="preserve"> </w:t>
      </w:r>
      <w:r w:rsidR="00F027DD">
        <w:t>effective means for scammers to target and access victims</w:t>
      </w:r>
      <w:r>
        <w:t>.</w:t>
      </w:r>
      <w:r w:rsidDel="00AF38B4">
        <w:t xml:space="preserve"> </w:t>
      </w:r>
      <w:r w:rsidR="00F027DD">
        <w:t>The ACCC</w:t>
      </w:r>
      <w:r w:rsidR="00ED5E9D">
        <w:t xml:space="preserve"> </w:t>
      </w:r>
      <w:r w:rsidR="00981AF7">
        <w:t>considers that absent targeted measures</w:t>
      </w:r>
      <w:r w:rsidR="00F027DD">
        <w:t>,</w:t>
      </w:r>
      <w:r w:rsidR="00981AF7">
        <w:t xml:space="preserve"> these trends are likely to </w:t>
      </w:r>
      <w:r w:rsidR="00C86367">
        <w:t>continu</w:t>
      </w:r>
      <w:r w:rsidR="00ED4582">
        <w:t>e</w:t>
      </w:r>
      <w:r w:rsidR="00981AF7">
        <w:t xml:space="preserve"> as consumers spend more time online and digital platform services grow</w:t>
      </w:r>
      <w:r w:rsidR="00C86367">
        <w:t>. It is for these reasons the ACCC recommend</w:t>
      </w:r>
      <w:r w:rsidR="00DF0447">
        <w:t>s</w:t>
      </w:r>
      <w:r w:rsidR="00ED4582">
        <w:t xml:space="preserve"> </w:t>
      </w:r>
      <w:r w:rsidR="00ED5E9D">
        <w:t>reform to existing laws.</w:t>
      </w:r>
    </w:p>
    <w:p w14:paraId="1B94B3B9" w14:textId="0C06CAF6" w:rsidR="00DF0447" w:rsidRPr="00051461" w:rsidRDefault="00DF0447" w:rsidP="00981AF7">
      <w:r>
        <w:t xml:space="preserve">In relation to scams, the Government has already committed to introducing new codes for platforms to clearly define responsibilities for protecting consumers and businesses from scams. </w:t>
      </w:r>
    </w:p>
    <w:p w14:paraId="319EACEE" w14:textId="3F2C2AA0" w:rsidR="006943ED" w:rsidRDefault="002D7005" w:rsidP="002D7005">
      <w:pPr>
        <w:pStyle w:val="Heading4"/>
        <w:rPr>
          <w:i/>
          <w:iCs/>
        </w:rPr>
      </w:pPr>
      <w:r w:rsidRPr="00675EAE">
        <w:rPr>
          <w:i/>
          <w:iCs/>
        </w:rPr>
        <w:t>D</w:t>
      </w:r>
      <w:r w:rsidR="006943ED" w:rsidRPr="00675EAE">
        <w:rPr>
          <w:i/>
          <w:iCs/>
        </w:rPr>
        <w:t>ispute resolution</w:t>
      </w:r>
    </w:p>
    <w:p w14:paraId="34A6357A" w14:textId="0E00B45A" w:rsidR="00FC0241" w:rsidRDefault="00FC0241" w:rsidP="00FC0241">
      <w:r>
        <w:t>The ACCC highlighted a lack of avenues for impacted consumers to raise concerns with digital platform services.</w:t>
      </w:r>
      <w:r w:rsidDel="00ED5E9D">
        <w:t xml:space="preserve"> </w:t>
      </w:r>
      <w:r>
        <w:t>The ACCC has found that consumers and small businesses seeking to enforce their existing rights against digital platforms face significant obstacles,</w:t>
      </w:r>
      <w:r w:rsidR="006C7902">
        <w:t xml:space="preserve"> including that</w:t>
      </w:r>
      <w:r>
        <w:t xml:space="preserve"> dispute resolution processes are often unclear, costly and uncertain. </w:t>
      </w:r>
      <w:r w:rsidR="00F37427">
        <w:t xml:space="preserve">The </w:t>
      </w:r>
      <w:r>
        <w:t>ACCC concluded that measures are required to make it easier for consumers and small businesses to seek redress from digital platforms</w:t>
      </w:r>
      <w:r w:rsidR="006C7902">
        <w:t xml:space="preserve"> and that these measures should apply to all digital platforms</w:t>
      </w:r>
      <w:r>
        <w:t>.</w:t>
      </w:r>
    </w:p>
    <w:p w14:paraId="675E5A2A" w14:textId="5B05AC34" w:rsidR="00FC0241" w:rsidRPr="00051461" w:rsidRDefault="00FC0241" w:rsidP="00FC0241">
      <w:r>
        <w:t xml:space="preserve">Treasury is seeking views on the findings and recommendations relating to consumer protection, in particular </w:t>
      </w:r>
      <w:r w:rsidR="00262E14">
        <w:t>R</w:t>
      </w:r>
      <w:r>
        <w:t>ecommendation 2, which focuses specifically on digital platform conduct.</w:t>
      </w:r>
    </w:p>
    <w:p w14:paraId="26C86F61" w14:textId="0E578EEB" w:rsidR="00F254A6" w:rsidRDefault="00F254A6" w:rsidP="00226CBC">
      <w:pPr>
        <w:pStyle w:val="Heading4"/>
      </w:pPr>
      <w:r>
        <w:t>Recommendation 2</w:t>
      </w:r>
      <w:r w:rsidR="00186BF9">
        <w:t>: Digital platform specific consumer measures</w:t>
      </w:r>
    </w:p>
    <w:tbl>
      <w:tblPr>
        <w:tblStyle w:val="TableGrid"/>
        <w:tblW w:w="0" w:type="auto"/>
        <w:shd w:val="clear" w:color="auto" w:fill="E8F0FC" w:themeFill="accent5" w:themeFillTint="33"/>
        <w:tblLook w:val="04A0" w:firstRow="1" w:lastRow="0" w:firstColumn="1" w:lastColumn="0" w:noHBand="0" w:noVBand="1"/>
      </w:tblPr>
      <w:tblGrid>
        <w:gridCol w:w="9070"/>
      </w:tblGrid>
      <w:tr w:rsidR="00186BF9" w14:paraId="3D667D21" w14:textId="77777777" w:rsidTr="00902FD5">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77582EBD" w14:textId="7E0DD179" w:rsidR="00186BF9" w:rsidRPr="00902FD5" w:rsidRDefault="00186BF9" w:rsidP="00186BF9">
            <w:pPr>
              <w:pStyle w:val="OutlineNumbered1"/>
              <w:numPr>
                <w:ilvl w:val="0"/>
                <w:numId w:val="0"/>
              </w:numPr>
              <w:spacing w:before="96" w:after="96"/>
              <w:rPr>
                <w:b w:val="0"/>
                <w:bCs/>
              </w:rPr>
            </w:pPr>
            <w:r w:rsidRPr="00902FD5">
              <w:rPr>
                <w:b w:val="0"/>
                <w:bCs/>
              </w:rPr>
              <w:t xml:space="preserve">The ACCC recommends additional targeted measures to protect users of digital platforms, which should apply to all relevant digital platform services, including: </w:t>
            </w:r>
          </w:p>
          <w:p w14:paraId="0D05FB3B" w14:textId="4DBDDE8F" w:rsidR="00186BF9" w:rsidRPr="00902FD5" w:rsidRDefault="00186BF9" w:rsidP="00902FD5">
            <w:pPr>
              <w:pStyle w:val="Bullet"/>
              <w:spacing w:before="96" w:after="96"/>
              <w:rPr>
                <w:b w:val="0"/>
                <w:bCs/>
              </w:rPr>
            </w:pPr>
            <w:r w:rsidRPr="00902FD5">
              <w:rPr>
                <w:b w:val="0"/>
                <w:bCs/>
              </w:rPr>
              <w:t xml:space="preserve">Mandatory processes to prevent and remove scams, harmful apps and fake reviews including: </w:t>
            </w:r>
          </w:p>
          <w:p w14:paraId="20934185" w14:textId="77777777" w:rsidR="00902FD5" w:rsidRPr="00902FD5" w:rsidRDefault="00186BF9" w:rsidP="00902FD5">
            <w:pPr>
              <w:pStyle w:val="Bullet"/>
              <w:tabs>
                <w:tab w:val="clear" w:pos="520"/>
              </w:tabs>
              <w:spacing w:before="96" w:after="96"/>
              <w:ind w:firstLine="83"/>
              <w:rPr>
                <w:b w:val="0"/>
                <w:bCs/>
              </w:rPr>
            </w:pPr>
            <w:r w:rsidRPr="00902FD5">
              <w:rPr>
                <w:b w:val="0"/>
                <w:bCs/>
              </w:rPr>
              <w:t>a notice-and-action mechanism</w:t>
            </w:r>
            <w:r w:rsidR="00902FD5" w:rsidRPr="00902FD5">
              <w:rPr>
                <w:b w:val="0"/>
                <w:bCs/>
              </w:rPr>
              <w:t xml:space="preserve">; </w:t>
            </w:r>
          </w:p>
          <w:p w14:paraId="367172CC" w14:textId="77777777" w:rsidR="00902FD5" w:rsidRPr="00902FD5" w:rsidRDefault="00186BF9" w:rsidP="00902FD5">
            <w:pPr>
              <w:pStyle w:val="Bullet"/>
              <w:tabs>
                <w:tab w:val="clear" w:pos="520"/>
              </w:tabs>
              <w:spacing w:before="96" w:after="96"/>
              <w:ind w:firstLine="83"/>
              <w:rPr>
                <w:b w:val="0"/>
                <w:bCs/>
              </w:rPr>
            </w:pPr>
            <w:r w:rsidRPr="00902FD5">
              <w:rPr>
                <w:b w:val="0"/>
                <w:bCs/>
              </w:rPr>
              <w:t>verification of certain business users</w:t>
            </w:r>
            <w:r w:rsidR="00902FD5" w:rsidRPr="00902FD5">
              <w:rPr>
                <w:b w:val="0"/>
                <w:bCs/>
              </w:rPr>
              <w:t xml:space="preserve">; </w:t>
            </w:r>
          </w:p>
          <w:p w14:paraId="21ABEA2F" w14:textId="77777777" w:rsidR="00902FD5" w:rsidRPr="00902FD5" w:rsidRDefault="00186BF9" w:rsidP="00902FD5">
            <w:pPr>
              <w:pStyle w:val="Bullet"/>
              <w:tabs>
                <w:tab w:val="clear" w:pos="520"/>
              </w:tabs>
              <w:spacing w:before="96" w:after="96"/>
              <w:ind w:firstLine="83"/>
              <w:rPr>
                <w:b w:val="0"/>
                <w:bCs/>
              </w:rPr>
            </w:pPr>
            <w:r w:rsidRPr="00902FD5">
              <w:rPr>
                <w:b w:val="0"/>
                <w:bCs/>
              </w:rPr>
              <w:t>additional verification of advertisers of financial services and products</w:t>
            </w:r>
            <w:r w:rsidR="00902FD5" w:rsidRPr="00902FD5">
              <w:rPr>
                <w:b w:val="0"/>
                <w:bCs/>
              </w:rPr>
              <w:t xml:space="preserve">; </w:t>
            </w:r>
          </w:p>
          <w:p w14:paraId="4FC065B3" w14:textId="77777777" w:rsidR="00902FD5" w:rsidRPr="00902FD5" w:rsidRDefault="00186BF9" w:rsidP="00902FD5">
            <w:pPr>
              <w:pStyle w:val="Bullet"/>
              <w:tabs>
                <w:tab w:val="clear" w:pos="520"/>
              </w:tabs>
              <w:spacing w:before="96" w:after="96"/>
              <w:ind w:firstLine="83"/>
              <w:rPr>
                <w:b w:val="0"/>
                <w:bCs/>
              </w:rPr>
            </w:pPr>
            <w:r w:rsidRPr="00902FD5">
              <w:rPr>
                <w:b w:val="0"/>
                <w:bCs/>
              </w:rPr>
              <w:t>improved review verification disclosures</w:t>
            </w:r>
            <w:r w:rsidR="00902FD5" w:rsidRPr="00902FD5">
              <w:rPr>
                <w:b w:val="0"/>
                <w:bCs/>
              </w:rPr>
              <w:t xml:space="preserve">; </w:t>
            </w:r>
            <w:r w:rsidR="00902FD5">
              <w:rPr>
                <w:b w:val="0"/>
                <w:bCs/>
              </w:rPr>
              <w:t>and</w:t>
            </w:r>
          </w:p>
          <w:p w14:paraId="0B97BC01" w14:textId="47B3974E" w:rsidR="00186BF9" w:rsidRPr="00902FD5" w:rsidRDefault="00186BF9" w:rsidP="00902FD5">
            <w:pPr>
              <w:pStyle w:val="Bullet"/>
              <w:tabs>
                <w:tab w:val="clear" w:pos="520"/>
              </w:tabs>
              <w:spacing w:before="96" w:after="96"/>
              <w:ind w:firstLine="83"/>
              <w:rPr>
                <w:b w:val="0"/>
                <w:bCs/>
              </w:rPr>
            </w:pPr>
            <w:r w:rsidRPr="00902FD5">
              <w:rPr>
                <w:b w:val="0"/>
                <w:bCs/>
              </w:rPr>
              <w:t xml:space="preserve">public reporting on mitigation efforts. </w:t>
            </w:r>
          </w:p>
          <w:p w14:paraId="57141C9F" w14:textId="0032E7AC" w:rsidR="00186BF9" w:rsidRPr="00902FD5" w:rsidRDefault="00186BF9" w:rsidP="00902FD5">
            <w:pPr>
              <w:pStyle w:val="Bullet"/>
              <w:spacing w:before="96" w:after="96"/>
              <w:rPr>
                <w:b w:val="0"/>
                <w:bCs/>
              </w:rPr>
            </w:pPr>
            <w:r w:rsidRPr="00902FD5">
              <w:rPr>
                <w:b w:val="0"/>
                <w:bCs/>
              </w:rPr>
              <w:t xml:space="preserve">Mandatory internal dispute resolution standards that ensure accessibility, timeliness, accountability, the ability to escalate to a human representative and transparency. </w:t>
            </w:r>
          </w:p>
          <w:p w14:paraId="1F5C9255" w14:textId="5EF0E585" w:rsidR="00186BF9" w:rsidRPr="00902FD5" w:rsidRDefault="00186BF9" w:rsidP="00902FD5">
            <w:pPr>
              <w:pStyle w:val="Bullet"/>
              <w:spacing w:before="96" w:after="96"/>
              <w:rPr>
                <w:b w:val="0"/>
                <w:bCs/>
              </w:rPr>
            </w:pPr>
            <w:r w:rsidRPr="00902FD5">
              <w:rPr>
                <w:b w:val="0"/>
                <w:bCs/>
              </w:rPr>
              <w:t xml:space="preserve">Ensuring consumers and small business have access to an independent external ombuds scheme. </w:t>
            </w:r>
          </w:p>
        </w:tc>
      </w:tr>
      <w:tr w:rsidR="00644898" w14:paraId="0B028471" w14:textId="77777777" w:rsidTr="0035499D">
        <w:tblPrEx>
          <w:shd w:val="clear" w:color="auto" w:fill="auto"/>
        </w:tblPrEx>
        <w:tc>
          <w:tcPr>
            <w:tcW w:w="9070" w:type="dxa"/>
          </w:tcPr>
          <w:p w14:paraId="36D94DF8" w14:textId="02C874A9" w:rsidR="00864389" w:rsidRDefault="00864389"/>
          <w:p w14:paraId="5F301CC8" w14:textId="371C4BBC" w:rsidR="00864389" w:rsidRDefault="00864389"/>
          <w:p w14:paraId="53924163" w14:textId="2261C734" w:rsidR="00864389" w:rsidRDefault="00864389"/>
          <w:p w14:paraId="1C23D1C3" w14:textId="77777777" w:rsidR="00864389" w:rsidRDefault="00864389"/>
          <w:tbl>
            <w:tblPr>
              <w:tblStyle w:val="TableGrid"/>
              <w:tblpPr w:leftFromText="180" w:rightFromText="180" w:vertAnchor="text" w:horzAnchor="margin" w:tblpY="123"/>
              <w:tblOverlap w:val="never"/>
              <w:tblW w:w="9072" w:type="dxa"/>
              <w:tblLook w:val="04A0" w:firstRow="1" w:lastRow="0" w:firstColumn="1" w:lastColumn="0" w:noHBand="0" w:noVBand="1"/>
            </w:tblPr>
            <w:tblGrid>
              <w:gridCol w:w="9072"/>
            </w:tblGrid>
            <w:tr w:rsidR="000506B4" w:rsidRPr="003A0A30" w14:paraId="193FCD1F" w14:textId="77777777" w:rsidTr="00FA45FF">
              <w:trPr>
                <w:cnfStyle w:val="100000000000" w:firstRow="1" w:lastRow="0" w:firstColumn="0" w:lastColumn="0" w:oddVBand="0" w:evenVBand="0" w:oddHBand="0" w:evenHBand="0" w:firstRowFirstColumn="0" w:firstRowLastColumn="0" w:lastRowFirstColumn="0" w:lastRowLastColumn="0"/>
              </w:trPr>
              <w:tc>
                <w:tcPr>
                  <w:tcW w:w="9072" w:type="dxa"/>
                </w:tcPr>
                <w:p w14:paraId="3639541D" w14:textId="77777777" w:rsidR="000506B4" w:rsidRPr="001B47FD" w:rsidRDefault="000506B4" w:rsidP="000506B4">
                  <w:pPr>
                    <w:pStyle w:val="OutlineNumbered1"/>
                    <w:numPr>
                      <w:ilvl w:val="0"/>
                      <w:numId w:val="0"/>
                    </w:numPr>
                    <w:tabs>
                      <w:tab w:val="left" w:pos="720"/>
                    </w:tabs>
                    <w:spacing w:before="96" w:after="96"/>
                    <w:ind w:left="851" w:hanging="851"/>
                  </w:pPr>
                  <w:r w:rsidRPr="001B47FD">
                    <w:t>Questions</w:t>
                  </w:r>
                </w:p>
                <w:p w14:paraId="505C9D33" w14:textId="77777777" w:rsidR="000506B4" w:rsidRPr="003A0A30" w:rsidRDefault="000506B4" w:rsidP="000506B4">
                  <w:pPr>
                    <w:pStyle w:val="OutlineNumbered1"/>
                    <w:spacing w:before="96" w:after="96"/>
                    <w:rPr>
                      <w:b w:val="0"/>
                      <w:bCs/>
                    </w:rPr>
                  </w:pPr>
                  <w:r w:rsidRPr="003A0A30">
                    <w:rPr>
                      <w:b w:val="0"/>
                      <w:bCs/>
                    </w:rPr>
                    <w:t xml:space="preserve">Do you agree with the evidence presented by the ACCC regarding the prevalence and nature of harms to consumers resulting from the conduct of digital platforms? </w:t>
                  </w:r>
                </w:p>
                <w:p w14:paraId="0C077E01" w14:textId="77777777" w:rsidR="000506B4" w:rsidRPr="003A0A30" w:rsidRDefault="000506B4" w:rsidP="000506B4">
                  <w:pPr>
                    <w:pStyle w:val="OutlineNumbered1"/>
                    <w:spacing w:before="96" w:after="96"/>
                    <w:rPr>
                      <w:b w:val="0"/>
                      <w:bCs/>
                    </w:rPr>
                  </w:pPr>
                  <w:r w:rsidRPr="003A0A30">
                    <w:rPr>
                      <w:b w:val="0"/>
                      <w:bCs/>
                    </w:rPr>
                    <w:t>Do you agree with the ACCC recommendation to introduce targeted measures on digital platforms to prevent and remove scams, harmful apps and fake reviews? Are there any other harms that should be covered by targeted consumer measures, for example, consumer harms related to the online ticket reselling market for live events</w:t>
                  </w:r>
                  <w:r w:rsidRPr="003A0A30" w:rsidDel="00A83D3D">
                    <w:rPr>
                      <w:b w:val="0"/>
                      <w:bCs/>
                    </w:rPr>
                    <w:t>?</w:t>
                  </w:r>
                </w:p>
                <w:p w14:paraId="1679A2FD" w14:textId="77777777" w:rsidR="000506B4" w:rsidRPr="003A0A30" w:rsidRDefault="000506B4" w:rsidP="000506B4">
                  <w:pPr>
                    <w:pStyle w:val="OutlineNumbered2"/>
                    <w:spacing w:before="96" w:after="96"/>
                    <w:ind w:hanging="813"/>
                    <w:rPr>
                      <w:b w:val="0"/>
                      <w:bCs/>
                    </w:rPr>
                  </w:pPr>
                  <w:r w:rsidRPr="003A0A30">
                    <w:rPr>
                      <w:b w:val="0"/>
                      <w:bCs/>
                    </w:rPr>
                    <w:t xml:space="preserve">Is the notice and action mechanism proposed by the ACCC for these consumer measures appropriate? Are there any alternative or additional mechanisms that should be considered? </w:t>
                  </w:r>
                </w:p>
                <w:p w14:paraId="536E8758" w14:textId="77777777" w:rsidR="000506B4" w:rsidRPr="003A0A30" w:rsidRDefault="000506B4" w:rsidP="000506B4">
                  <w:pPr>
                    <w:pStyle w:val="OutlineNumbered1"/>
                    <w:spacing w:before="96" w:after="96"/>
                    <w:rPr>
                      <w:b w:val="0"/>
                      <w:bCs/>
                    </w:rPr>
                  </w:pPr>
                  <w:r w:rsidRPr="003A0A30">
                    <w:rPr>
                      <w:b w:val="0"/>
                      <w:bCs/>
                    </w:rPr>
                    <w:t>What digital platform services should be captured in the ACCC’s recommendation?</w:t>
                  </w:r>
                </w:p>
                <w:p w14:paraId="524B2717" w14:textId="77777777" w:rsidR="000506B4" w:rsidRPr="003A0A30" w:rsidRDefault="000506B4" w:rsidP="000506B4">
                  <w:pPr>
                    <w:pStyle w:val="OutlineNumbered1"/>
                    <w:spacing w:before="96" w:after="96"/>
                    <w:rPr>
                      <w:b w:val="0"/>
                      <w:bCs/>
                    </w:rPr>
                  </w:pPr>
                  <w:r w:rsidRPr="003A0A30">
                    <w:rPr>
                      <w:b w:val="0"/>
                      <w:bCs/>
                    </w:rPr>
                    <w:t xml:space="preserve">Is a new independent external ombuds scheme to resolve consumer disputes with platforms warranted? Can any or all of the functions proposed for the new body be performed by an existing body and, if so, which one would be most appropriate? </w:t>
                  </w:r>
                </w:p>
                <w:p w14:paraId="79CC7D56" w14:textId="77777777" w:rsidR="000506B4" w:rsidRPr="003A0A30" w:rsidRDefault="000506B4" w:rsidP="000506B4">
                  <w:pPr>
                    <w:pStyle w:val="OutlineNumbered1"/>
                    <w:spacing w:before="96" w:after="96"/>
                    <w:rPr>
                      <w:b w:val="0"/>
                      <w:bCs/>
                    </w:rPr>
                  </w:pPr>
                  <w:r w:rsidRPr="003A0A30">
                    <w:rPr>
                      <w:b w:val="0"/>
                      <w:bCs/>
                    </w:rPr>
                    <w:t>The ACCC recommends these requirements to apply to all digital platforms, do you support this? If not, which requirements should apply to all platforms, and which should be targeted to certain entities?</w:t>
                  </w:r>
                </w:p>
                <w:p w14:paraId="0DB2A3BA" w14:textId="485ED98B" w:rsidR="000506B4" w:rsidRPr="003A0A30" w:rsidRDefault="000506B4" w:rsidP="00FA45FF">
                  <w:pPr>
                    <w:pStyle w:val="OutlineNumbered1"/>
                    <w:spacing w:before="96" w:after="96"/>
                    <w:rPr>
                      <w:b w:val="0"/>
                      <w:bCs/>
                    </w:rPr>
                  </w:pPr>
                  <w:r w:rsidRPr="003A0A30">
                    <w:rPr>
                      <w:b w:val="0"/>
                      <w:bCs/>
                    </w:rPr>
                    <w:t>If the above processes are introduced, is the Australian Consumer Law the appropriate legislation to be used and what should the penalty for non-compliance be?</w:t>
                  </w:r>
                </w:p>
              </w:tc>
            </w:tr>
          </w:tbl>
          <w:p w14:paraId="42DF490E" w14:textId="095A0500" w:rsidR="00644898" w:rsidRPr="003A0A30" w:rsidRDefault="00644898" w:rsidP="00FA45FF">
            <w:pPr>
              <w:pStyle w:val="OutlineNumbered1"/>
              <w:numPr>
                <w:ilvl w:val="0"/>
                <w:numId w:val="0"/>
              </w:numPr>
              <w:spacing w:before="96" w:after="96"/>
              <w:rPr>
                <w:bCs/>
              </w:rPr>
            </w:pPr>
          </w:p>
        </w:tc>
      </w:tr>
    </w:tbl>
    <w:p w14:paraId="026DE5A3" w14:textId="57E90CFD" w:rsidR="005B1EAD" w:rsidRDefault="005B1EAD" w:rsidP="00226CBC">
      <w:pPr>
        <w:pStyle w:val="Heading3"/>
      </w:pPr>
      <w:bookmarkStart w:id="14" w:name="_Toc122432693"/>
      <w:r>
        <w:t>Competition Recommendations</w:t>
      </w:r>
      <w:bookmarkEnd w:id="14"/>
      <w:r>
        <w:t xml:space="preserve"> </w:t>
      </w:r>
    </w:p>
    <w:p w14:paraId="56415234" w14:textId="78F05DD8" w:rsidR="00966E84" w:rsidRDefault="00966E84" w:rsidP="00966E84">
      <w:r>
        <w:t xml:space="preserve">The ACCC </w:t>
      </w:r>
      <w:r w:rsidR="006C7902">
        <w:t>concluded there are</w:t>
      </w:r>
      <w:r>
        <w:t xml:space="preserve"> unique competition </w:t>
      </w:r>
      <w:r w:rsidR="00FA4E89">
        <w:t xml:space="preserve">concerns </w:t>
      </w:r>
      <w:r>
        <w:t xml:space="preserve">in a range of digital platform services. The Inquiry found digital platforms use their market position in ways that decrease competition and deliver a less fruitful and innovative digital ecosystem for Australians. </w:t>
      </w:r>
    </w:p>
    <w:p w14:paraId="22FB8416" w14:textId="0B7B56BB" w:rsidR="00966E84" w:rsidRDefault="00966E84" w:rsidP="00966E84">
      <w:r>
        <w:t>The ACCC</w:t>
      </w:r>
      <w:r w:rsidDel="00A83D3D">
        <w:t xml:space="preserve"> </w:t>
      </w:r>
      <w:r w:rsidR="00A83D3D">
        <w:t xml:space="preserve">noted </w:t>
      </w:r>
      <w:r>
        <w:t xml:space="preserve">the enforcement of the </w:t>
      </w:r>
      <w:r>
        <w:rPr>
          <w:i/>
        </w:rPr>
        <w:t>Competition and Consumer Act 2010</w:t>
      </w:r>
      <w:r>
        <w:t xml:space="preserve"> can take considerable time, which can lead to substantial and irreversible harm before enforcement cases can be concluded. The ACCC</w:t>
      </w:r>
      <w:r w:rsidR="00F37427" w:rsidDel="006C7902">
        <w:t xml:space="preserve"> </w:t>
      </w:r>
      <w:r w:rsidR="006C7902">
        <w:t xml:space="preserve">argued </w:t>
      </w:r>
      <w:r w:rsidR="0066118B">
        <w:t xml:space="preserve">that </w:t>
      </w:r>
      <w:r>
        <w:t xml:space="preserve">it is difficult to address systematic competition issues in these </w:t>
      </w:r>
      <w:r w:rsidR="00DC5A0C">
        <w:t>fast-moving</w:t>
      </w:r>
      <w:r>
        <w:t xml:space="preserve"> markets through the current case-by-case enforcement approach. </w:t>
      </w:r>
    </w:p>
    <w:p w14:paraId="260708C0" w14:textId="57907B2A" w:rsidR="00966E84" w:rsidRDefault="00966E84" w:rsidP="00966E84">
      <w:r>
        <w:t xml:space="preserve">The ACCC has therefore recommended the Government develop a new competition framework to apply to large digital platforms that hold </w:t>
      </w:r>
      <w:r>
        <w:rPr>
          <w:szCs w:val="22"/>
        </w:rPr>
        <w:t>a ‘critical position in the Australian economy and that have the ability and incentive to harm competition</w:t>
      </w:r>
      <w:r>
        <w:t xml:space="preserve">.’ These ‘designated’ digital platforms would be subject to </w:t>
      </w:r>
      <w:r w:rsidR="002B33BF">
        <w:t xml:space="preserve">mandatory </w:t>
      </w:r>
      <w:r>
        <w:t xml:space="preserve">codes which regulate their actions on specific digital services, </w:t>
      </w:r>
      <w:r>
        <w:rPr>
          <w:i/>
          <w:iCs/>
        </w:rPr>
        <w:t>ex-ante</w:t>
      </w:r>
      <w:r>
        <w:t>.</w:t>
      </w:r>
      <w:r>
        <w:rPr>
          <w:rStyle w:val="FootnoteReference"/>
        </w:rPr>
        <w:footnoteReference w:id="6"/>
      </w:r>
      <w:r>
        <w:t xml:space="preserve"> The approach has some similarities to the digital platform competition regime currently being developed in the United Kingdom (see </w:t>
      </w:r>
      <w:r w:rsidR="00891614" w:rsidRPr="00DC5C66">
        <w:rPr>
          <w:u w:val="single"/>
        </w:rPr>
        <w:t>Appendix A</w:t>
      </w:r>
      <w:r>
        <w:t xml:space="preserve">). </w:t>
      </w:r>
    </w:p>
    <w:p w14:paraId="1BDF0271" w14:textId="526ABD05" w:rsidR="00F254A6" w:rsidRDefault="00F254A6" w:rsidP="00226CBC">
      <w:pPr>
        <w:pStyle w:val="Heading4"/>
      </w:pPr>
      <w:r>
        <w:t>Recommendation 3</w:t>
      </w:r>
      <w:r w:rsidR="00186BF9">
        <w:t>: Additional competition measures for digital platforms</w:t>
      </w:r>
    </w:p>
    <w:tbl>
      <w:tblPr>
        <w:tblStyle w:val="TableGrid"/>
        <w:tblW w:w="0" w:type="auto"/>
        <w:tblLook w:val="04A0" w:firstRow="1" w:lastRow="0" w:firstColumn="1" w:lastColumn="0" w:noHBand="0" w:noVBand="1"/>
      </w:tblPr>
      <w:tblGrid>
        <w:gridCol w:w="9070"/>
      </w:tblGrid>
      <w:tr w:rsidR="00186BF9" w14:paraId="7D4848BE" w14:textId="77777777" w:rsidTr="00186BF9">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0DB10D29" w14:textId="40D794FA" w:rsidR="00186BF9" w:rsidRPr="00186BF9" w:rsidRDefault="00186BF9" w:rsidP="00186BF9">
            <w:pPr>
              <w:pStyle w:val="OutlineNumbered1"/>
              <w:numPr>
                <w:ilvl w:val="0"/>
                <w:numId w:val="0"/>
              </w:numPr>
              <w:spacing w:before="96" w:after="96"/>
              <w:rPr>
                <w:b w:val="0"/>
                <w:bCs/>
              </w:rPr>
            </w:pPr>
            <w:r w:rsidRPr="00186BF9">
              <w:rPr>
                <w:b w:val="0"/>
                <w:bCs/>
              </w:rPr>
              <w:t xml:space="preserve">The ACCC recommends the introduction of additional competition measures to protect and promote competition in markets for digital platform services. These should be implemented through a new power to make mandatory codes of conduct for ‘designated’ digital platforms based on principles set out in legislation. </w:t>
            </w:r>
          </w:p>
          <w:p w14:paraId="5C529078" w14:textId="77777777" w:rsidR="00186BF9" w:rsidRPr="00186BF9" w:rsidRDefault="00186BF9" w:rsidP="00186BF9">
            <w:pPr>
              <w:pStyle w:val="OutlineNumbered1"/>
              <w:numPr>
                <w:ilvl w:val="0"/>
                <w:numId w:val="0"/>
              </w:numPr>
              <w:spacing w:before="96" w:after="96"/>
              <w:rPr>
                <w:b w:val="0"/>
                <w:bCs/>
              </w:rPr>
            </w:pPr>
            <w:r w:rsidRPr="00186BF9">
              <w:rPr>
                <w:b w:val="0"/>
                <w:bCs/>
              </w:rPr>
              <w:t xml:space="preserve">Each code would be for a single type of digital platform service (i.e. service-specific codes) and contain targeted obligations based on the legislated principles. This would allow flexibility to tailor the obligations to the specific competition issues relevant to that service as these change over time. </w:t>
            </w:r>
          </w:p>
          <w:p w14:paraId="6FE9F426" w14:textId="2C101DD4" w:rsidR="00186BF9" w:rsidRPr="00186BF9" w:rsidRDefault="00186BF9" w:rsidP="00186BF9">
            <w:pPr>
              <w:pStyle w:val="OutlineNumbered1"/>
              <w:numPr>
                <w:ilvl w:val="0"/>
                <w:numId w:val="0"/>
              </w:numPr>
              <w:spacing w:before="96" w:after="96"/>
              <w:rPr>
                <w:b w:val="0"/>
                <w:bCs/>
              </w:rPr>
            </w:pPr>
            <w:r w:rsidRPr="00186BF9">
              <w:rPr>
                <w:b w:val="0"/>
                <w:bCs/>
              </w:rPr>
              <w:t xml:space="preserve">These codes would only apply to ‘designated’ digital platforms that meet clear criteria relevant to their incentive and ability to harm competition. </w:t>
            </w:r>
          </w:p>
        </w:tc>
      </w:tr>
    </w:tbl>
    <w:p w14:paraId="314A5EF9" w14:textId="0BD5072A" w:rsidR="00F452EE" w:rsidRDefault="00F452EE" w:rsidP="00226CBC">
      <w:pPr>
        <w:pStyle w:val="Heading4"/>
      </w:pPr>
      <w:r>
        <w:t>Recommendation 4</w:t>
      </w:r>
      <w:r w:rsidR="00186BF9">
        <w:t>: Targeted competition obligations</w:t>
      </w:r>
    </w:p>
    <w:tbl>
      <w:tblPr>
        <w:tblStyle w:val="TableGrid"/>
        <w:tblW w:w="0" w:type="auto"/>
        <w:tblLook w:val="04A0" w:firstRow="1" w:lastRow="0" w:firstColumn="1" w:lastColumn="0" w:noHBand="0" w:noVBand="1"/>
      </w:tblPr>
      <w:tblGrid>
        <w:gridCol w:w="9070"/>
      </w:tblGrid>
      <w:tr w:rsidR="00186BF9" w14:paraId="33DC173A" w14:textId="77777777" w:rsidTr="00186BF9">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424484B4" w14:textId="4FA76E9F" w:rsidR="00186BF9" w:rsidRPr="00186BF9" w:rsidRDefault="00186BF9" w:rsidP="00186BF9">
            <w:pPr>
              <w:pStyle w:val="OutlineNumbered1"/>
              <w:numPr>
                <w:ilvl w:val="0"/>
                <w:numId w:val="0"/>
              </w:numPr>
              <w:spacing w:before="96" w:after="96"/>
              <w:rPr>
                <w:b w:val="0"/>
                <w:bCs/>
              </w:rPr>
            </w:pPr>
            <w:r w:rsidRPr="00186BF9">
              <w:rPr>
                <w:b w:val="0"/>
                <w:bCs/>
              </w:rPr>
              <w:t xml:space="preserve">The framework for mandatory service-specific codes for Designated Digital Platforms (proposed under Recommendation 3) should support targeted obligations based on legislated principles to address, as required: </w:t>
            </w:r>
          </w:p>
          <w:p w14:paraId="59A3C714" w14:textId="73FD04C3" w:rsidR="00186BF9" w:rsidRPr="00902FD5" w:rsidRDefault="00186BF9" w:rsidP="00902FD5">
            <w:pPr>
              <w:pStyle w:val="Bullet"/>
              <w:spacing w:before="96" w:after="96"/>
              <w:rPr>
                <w:b w:val="0"/>
                <w:bCs/>
              </w:rPr>
            </w:pPr>
            <w:r w:rsidRPr="00902FD5">
              <w:rPr>
                <w:b w:val="0"/>
                <w:bCs/>
              </w:rPr>
              <w:t xml:space="preserve">anti-competitive self-preferencing </w:t>
            </w:r>
          </w:p>
          <w:p w14:paraId="7B19345C" w14:textId="7C6D5D84" w:rsidR="00186BF9" w:rsidRPr="00902FD5" w:rsidRDefault="00186BF9" w:rsidP="00902FD5">
            <w:pPr>
              <w:pStyle w:val="Bullet"/>
              <w:spacing w:before="96" w:after="96"/>
              <w:rPr>
                <w:b w:val="0"/>
                <w:bCs/>
              </w:rPr>
            </w:pPr>
            <w:r w:rsidRPr="00902FD5">
              <w:rPr>
                <w:b w:val="0"/>
                <w:bCs/>
              </w:rPr>
              <w:t xml:space="preserve">anti-competitive tying </w:t>
            </w:r>
          </w:p>
          <w:p w14:paraId="10FAB56C" w14:textId="013ECDBA" w:rsidR="00186BF9" w:rsidRPr="00902FD5" w:rsidRDefault="00186BF9" w:rsidP="00902FD5">
            <w:pPr>
              <w:pStyle w:val="Bullet"/>
              <w:spacing w:before="96" w:after="96"/>
              <w:rPr>
                <w:b w:val="0"/>
                <w:bCs/>
              </w:rPr>
            </w:pPr>
            <w:r w:rsidRPr="00902FD5">
              <w:rPr>
                <w:b w:val="0"/>
                <w:bCs/>
              </w:rPr>
              <w:t xml:space="preserve">exclusive pre-installation and default agreements that hinder competition </w:t>
            </w:r>
          </w:p>
          <w:p w14:paraId="7D0E976B" w14:textId="028921B5" w:rsidR="00186BF9" w:rsidRPr="00902FD5" w:rsidRDefault="00186BF9" w:rsidP="00902FD5">
            <w:pPr>
              <w:pStyle w:val="Bullet"/>
              <w:spacing w:before="96" w:after="96"/>
              <w:rPr>
                <w:b w:val="0"/>
                <w:bCs/>
              </w:rPr>
            </w:pPr>
            <w:r w:rsidRPr="00902FD5">
              <w:rPr>
                <w:b w:val="0"/>
                <w:bCs/>
              </w:rPr>
              <w:t xml:space="preserve">impediments to consumer switching </w:t>
            </w:r>
          </w:p>
          <w:p w14:paraId="33D3E400" w14:textId="474A6CE9" w:rsidR="00186BF9" w:rsidRPr="00902FD5" w:rsidRDefault="00186BF9" w:rsidP="00902FD5">
            <w:pPr>
              <w:pStyle w:val="Bullet"/>
              <w:spacing w:before="96" w:after="96"/>
              <w:rPr>
                <w:b w:val="0"/>
                <w:bCs/>
              </w:rPr>
            </w:pPr>
            <w:r w:rsidRPr="00902FD5">
              <w:rPr>
                <w:b w:val="0"/>
                <w:bCs/>
              </w:rPr>
              <w:t xml:space="preserve">impediments to interoperability </w:t>
            </w:r>
          </w:p>
          <w:p w14:paraId="62DE9EDA" w14:textId="77959A93" w:rsidR="00186BF9" w:rsidRPr="00902FD5" w:rsidRDefault="00186BF9" w:rsidP="00902FD5">
            <w:pPr>
              <w:pStyle w:val="Bullet"/>
              <w:spacing w:before="96" w:after="96"/>
              <w:rPr>
                <w:b w:val="0"/>
                <w:bCs/>
              </w:rPr>
            </w:pPr>
            <w:r w:rsidRPr="00902FD5">
              <w:rPr>
                <w:b w:val="0"/>
                <w:bCs/>
              </w:rPr>
              <w:t xml:space="preserve">data-related barriers to entry and expansion, where privacy impacts can be managed </w:t>
            </w:r>
          </w:p>
          <w:p w14:paraId="1180FCA5" w14:textId="19A76EE2" w:rsidR="00186BF9" w:rsidRPr="00902FD5" w:rsidRDefault="00186BF9" w:rsidP="00902FD5">
            <w:pPr>
              <w:pStyle w:val="Bullet"/>
              <w:spacing w:before="96" w:after="96"/>
              <w:rPr>
                <w:b w:val="0"/>
                <w:bCs/>
              </w:rPr>
            </w:pPr>
            <w:r w:rsidRPr="00902FD5">
              <w:rPr>
                <w:b w:val="0"/>
                <w:bCs/>
              </w:rPr>
              <w:t xml:space="preserve">a lack of transparency </w:t>
            </w:r>
          </w:p>
          <w:p w14:paraId="1C690B8D" w14:textId="65382A8E" w:rsidR="00186BF9" w:rsidRPr="00902FD5" w:rsidRDefault="00186BF9" w:rsidP="00902FD5">
            <w:pPr>
              <w:pStyle w:val="Bullet"/>
              <w:spacing w:before="96" w:after="96"/>
              <w:rPr>
                <w:b w:val="0"/>
                <w:bCs/>
              </w:rPr>
            </w:pPr>
            <w:r w:rsidRPr="00902FD5">
              <w:rPr>
                <w:b w:val="0"/>
                <w:bCs/>
              </w:rPr>
              <w:t xml:space="preserve">unfair dealings with business users </w:t>
            </w:r>
          </w:p>
          <w:p w14:paraId="04ECF040" w14:textId="548749A8" w:rsidR="00186BF9" w:rsidRPr="00902FD5" w:rsidRDefault="00186BF9" w:rsidP="00902FD5">
            <w:pPr>
              <w:pStyle w:val="Bullet"/>
              <w:spacing w:before="96" w:after="96"/>
              <w:rPr>
                <w:b w:val="0"/>
                <w:bCs/>
              </w:rPr>
            </w:pPr>
            <w:r w:rsidRPr="00902FD5">
              <w:rPr>
                <w:b w:val="0"/>
                <w:bCs/>
              </w:rPr>
              <w:t xml:space="preserve">exclusivity and price parity clauses in contracts with business users. </w:t>
            </w:r>
          </w:p>
          <w:p w14:paraId="1751B010" w14:textId="0CA1FCD3" w:rsidR="006242E5" w:rsidRPr="007D1767" w:rsidRDefault="00186BF9" w:rsidP="00902FD5">
            <w:pPr>
              <w:pStyle w:val="OutlineNumbered1"/>
              <w:numPr>
                <w:ilvl w:val="0"/>
                <w:numId w:val="0"/>
              </w:numPr>
              <w:spacing w:before="96" w:after="96"/>
              <w:rPr>
                <w:bCs/>
              </w:rPr>
            </w:pPr>
            <w:r w:rsidRPr="00186BF9">
              <w:rPr>
                <w:b w:val="0"/>
                <w:bCs/>
              </w:rPr>
              <w:t xml:space="preserve">The codes should be drafted so that compliance with their obligations can be assessed clearly and objectively. Obligations should be developed in consultation with industry and other stakeholders and targeted at the specific competition issues relevant to the type of service to which the code will apply. The drafting of obligations should consider any justifiable reasons for the conduct (such as necessary and proportionate privacy or security justifications). </w:t>
            </w:r>
          </w:p>
        </w:tc>
      </w:tr>
    </w:tbl>
    <w:p w14:paraId="23A7158A" w14:textId="77777777" w:rsidR="00231068" w:rsidRDefault="00231068" w:rsidP="00231068">
      <w:r>
        <w:t xml:space="preserve">The key elements of the proposed regime need to be carefully examined both to assess their merits against alternative approaches and to maximise their effectiveness and efficiency if the broad approach proposed by the ACCC is adopted. </w:t>
      </w:r>
    </w:p>
    <w:p w14:paraId="72CD3921" w14:textId="3E570335" w:rsidR="00231068" w:rsidRDefault="00231068" w:rsidP="00231068">
      <w:pPr>
        <w:rPr>
          <w:rFonts w:eastAsia="Calibri"/>
        </w:rPr>
      </w:pPr>
      <w:r>
        <w:rPr>
          <w:rFonts w:eastAsia="Calibri"/>
        </w:rPr>
        <w:t>For example, in considering an ex</w:t>
      </w:r>
      <w:r w:rsidR="00E7333C">
        <w:rPr>
          <w:rFonts w:eastAsia="Calibri"/>
        </w:rPr>
        <w:t>-</w:t>
      </w:r>
      <w:r>
        <w:rPr>
          <w:rFonts w:eastAsia="Calibri"/>
        </w:rPr>
        <w:t xml:space="preserve">ante regime there would be a trade-off between clear outright specification of conduct obligations and prohibitions and allowing some flexibility in administration and enforcement (including judicial and merits review of decisions) to avoid unintended consequences. </w:t>
      </w:r>
      <w:r w:rsidR="003C260B">
        <w:rPr>
          <w:rFonts w:eastAsia="Calibri"/>
        </w:rPr>
        <w:t>Similarly, the proposed approach of specifying conduct obligations and prohibitions in codes might involve both advantages and risks.</w:t>
      </w:r>
    </w:p>
    <w:p w14:paraId="46159210" w14:textId="081AEE7F" w:rsidR="00231068" w:rsidRDefault="00231068" w:rsidP="00231068">
      <w:pPr>
        <w:rPr>
          <w:rFonts w:eastAsia="Calibri"/>
        </w:rPr>
      </w:pPr>
      <w:r>
        <w:t xml:space="preserve">The process and criteria for designation can also have a significant bearing on the costs and effectiveness of any new regime. </w:t>
      </w:r>
      <w:r>
        <w:rPr>
          <w:rFonts w:eastAsia="Calibri"/>
        </w:rPr>
        <w:t>An important risk to manage is how to achieve sufficient regulatory certainty and timeliness of the designation process (which might suggest prescriptive quantitative designation criteria) while retaining the flexibility to accurately target the right entities (which would require some qualitative assessment and discretion by the decision maker).</w:t>
      </w:r>
      <w:r w:rsidR="00EA4E2B" w:rsidRPr="00EA4E2B">
        <w:rPr>
          <w:rStyle w:val="FootnoteReference"/>
        </w:rPr>
        <w:t xml:space="preserve"> </w:t>
      </w:r>
      <w:r w:rsidR="00EA4E2B">
        <w:rPr>
          <w:rStyle w:val="FootnoteReference"/>
        </w:rPr>
        <w:footnoteReference w:id="7"/>
      </w:r>
    </w:p>
    <w:p w14:paraId="11CA5ED8" w14:textId="167DF982" w:rsidR="004B6ABC" w:rsidRDefault="00050EB9">
      <w:pPr>
        <w:rPr>
          <w:rFonts w:eastAsia="Calibri"/>
        </w:rPr>
      </w:pPr>
      <w:r>
        <w:rPr>
          <w:rFonts w:eastAsia="Calibri"/>
        </w:rPr>
        <w:t>There are several existing regimes that involve using designation and codes to remedy potential competition issues</w:t>
      </w:r>
      <w:r w:rsidR="00A2405D">
        <w:rPr>
          <w:rFonts w:eastAsia="Calibri"/>
        </w:rPr>
        <w:t xml:space="preserve"> (</w:t>
      </w:r>
      <w:r w:rsidR="000B3F48">
        <w:rPr>
          <w:rFonts w:eastAsia="Calibri"/>
        </w:rPr>
        <w:t>B</w:t>
      </w:r>
      <w:r>
        <w:rPr>
          <w:rFonts w:eastAsia="Calibri"/>
        </w:rPr>
        <w:t>ox</w:t>
      </w:r>
      <w:r w:rsidR="000B3F48">
        <w:rPr>
          <w:rFonts w:eastAsia="Calibri"/>
        </w:rPr>
        <w:t xml:space="preserve"> </w:t>
      </w:r>
      <w:r w:rsidR="00270E87">
        <w:rPr>
          <w:rFonts w:eastAsia="Calibri"/>
        </w:rPr>
        <w:t>1</w:t>
      </w:r>
      <w:r w:rsidR="00A2405D">
        <w:rPr>
          <w:rFonts w:eastAsia="Calibri"/>
        </w:rPr>
        <w:t>)</w:t>
      </w:r>
      <w:r w:rsidR="00270E87">
        <w:rPr>
          <w:rFonts w:eastAsia="Calibri"/>
        </w:rPr>
        <w:t>.</w:t>
      </w:r>
    </w:p>
    <w:p w14:paraId="0D06024E" w14:textId="73F87CCC" w:rsidR="006E415B" w:rsidRDefault="006E415B">
      <w:pPr>
        <w:rPr>
          <w:rFonts w:eastAsia="Calibri"/>
        </w:rPr>
      </w:pPr>
    </w:p>
    <w:p w14:paraId="1ED89480" w14:textId="7FF17A09" w:rsidR="006A5738" w:rsidRDefault="006A5738">
      <w:pPr>
        <w:rPr>
          <w:rFonts w:eastAsia="Calibri"/>
        </w:rPr>
      </w:pPr>
    </w:p>
    <w:p w14:paraId="6DE3A613" w14:textId="559C1FC4" w:rsidR="006A5738" w:rsidRDefault="006A5738">
      <w:pPr>
        <w:rPr>
          <w:rFonts w:eastAsia="Calibri"/>
        </w:rPr>
      </w:pPr>
    </w:p>
    <w:p w14:paraId="617B7958" w14:textId="728888FD" w:rsidR="006A5738" w:rsidRDefault="006A5738">
      <w:pPr>
        <w:rPr>
          <w:rFonts w:eastAsia="Calibri"/>
        </w:rPr>
      </w:pPr>
    </w:p>
    <w:p w14:paraId="5350955C" w14:textId="77777777" w:rsidR="006E415B" w:rsidRDefault="006E415B">
      <w:pPr>
        <w:rPr>
          <w:rFonts w:eastAsia="Calibri"/>
        </w:rPr>
      </w:pPr>
    </w:p>
    <w:tbl>
      <w:tblPr>
        <w:tblStyle w:val="TableGrid"/>
        <w:tblpPr w:leftFromText="180" w:rightFromText="180" w:vertAnchor="text" w:tblpY="51"/>
        <w:tblW w:w="0" w:type="auto"/>
        <w:tblLook w:val="04A0" w:firstRow="1" w:lastRow="0" w:firstColumn="1" w:lastColumn="0" w:noHBand="0" w:noVBand="1"/>
      </w:tblPr>
      <w:tblGrid>
        <w:gridCol w:w="9070"/>
      </w:tblGrid>
      <w:tr w:rsidR="00050EB9" w14:paraId="56841ECA" w14:textId="77777777" w:rsidTr="00141A3E">
        <w:trPr>
          <w:cnfStyle w:val="100000000000" w:firstRow="1" w:lastRow="0" w:firstColumn="0" w:lastColumn="0" w:oddVBand="0" w:evenVBand="0" w:oddHBand="0" w:evenHBand="0" w:firstRowFirstColumn="0" w:firstRowLastColumn="0" w:lastRowFirstColumn="0" w:lastRowLastColumn="0"/>
        </w:trPr>
        <w:tc>
          <w:tcPr>
            <w:tcW w:w="9070" w:type="dxa"/>
          </w:tcPr>
          <w:p w14:paraId="04298262" w14:textId="3E03FCCF" w:rsidR="00050EB9" w:rsidRPr="00141A3E" w:rsidRDefault="00050EB9" w:rsidP="00141A3E">
            <w:pPr>
              <w:pStyle w:val="Heading4"/>
              <w:spacing w:before="96" w:after="96"/>
              <w:outlineLvl w:val="3"/>
              <w:rPr>
                <w:rFonts w:cs="Times New Roman"/>
                <w:color w:val="2C384A" w:themeColor="accent1"/>
                <w:kern w:val="0"/>
                <w:sz w:val="20"/>
                <w:szCs w:val="20"/>
              </w:rPr>
            </w:pPr>
            <w:r w:rsidRPr="00141A3E">
              <w:rPr>
                <w:rFonts w:cs="Times New Roman"/>
                <w:color w:val="2C384A" w:themeColor="accent1"/>
                <w:kern w:val="0"/>
                <w:sz w:val="20"/>
                <w:szCs w:val="20"/>
              </w:rPr>
              <w:t xml:space="preserve">Box </w:t>
            </w:r>
            <w:r w:rsidR="00D270FA">
              <w:rPr>
                <w:rFonts w:cs="Times New Roman"/>
                <w:color w:val="2C384A" w:themeColor="accent1"/>
                <w:kern w:val="0"/>
                <w:sz w:val="20"/>
                <w:szCs w:val="20"/>
              </w:rPr>
              <w:t>1</w:t>
            </w:r>
          </w:p>
          <w:p w14:paraId="477B99DB" w14:textId="77777777" w:rsidR="00050EB9" w:rsidRDefault="00050EB9" w:rsidP="00141A3E">
            <w:pPr>
              <w:pStyle w:val="Heading4"/>
              <w:spacing w:before="96" w:after="96"/>
              <w:outlineLvl w:val="3"/>
              <w:rPr>
                <w:b w:val="0"/>
              </w:rPr>
            </w:pPr>
            <w:r>
              <w:t>Existing Australian codes and designation processes</w:t>
            </w:r>
          </w:p>
          <w:p w14:paraId="1591E6FD" w14:textId="77777777" w:rsidR="006E415B" w:rsidRDefault="00050EB9" w:rsidP="00D20F74">
            <w:pPr>
              <w:pStyle w:val="Bullet"/>
              <w:numPr>
                <w:ilvl w:val="0"/>
                <w:numId w:val="0"/>
              </w:numPr>
              <w:spacing w:before="96" w:after="96"/>
              <w:ind w:left="520" w:hanging="520"/>
              <w:rPr>
                <w:b w:val="0"/>
                <w:u w:val="single"/>
              </w:rPr>
            </w:pPr>
            <w:r w:rsidRPr="00882407">
              <w:rPr>
                <w:u w:val="single"/>
              </w:rPr>
              <w:t>Part IV</w:t>
            </w:r>
            <w:r>
              <w:rPr>
                <w:u w:val="single"/>
              </w:rPr>
              <w:t>B</w:t>
            </w:r>
            <w:r w:rsidRPr="00882407">
              <w:rPr>
                <w:u w:val="single"/>
              </w:rPr>
              <w:t xml:space="preserve"> of the </w:t>
            </w:r>
            <w:r w:rsidRPr="00F12240">
              <w:rPr>
                <w:i/>
                <w:u w:val="single"/>
              </w:rPr>
              <w:t>Competition and Consumer Act 2010</w:t>
            </w:r>
            <w:r w:rsidRPr="00882407">
              <w:rPr>
                <w:u w:val="single"/>
              </w:rPr>
              <w:t xml:space="preserve"> </w:t>
            </w:r>
          </w:p>
          <w:p w14:paraId="48F2DC47" w14:textId="06AC2847" w:rsidR="00050EB9" w:rsidRPr="00CC60AF" w:rsidRDefault="00050EB9" w:rsidP="00FA45FF">
            <w:pPr>
              <w:pStyle w:val="Bullet"/>
              <w:spacing w:before="96" w:after="96"/>
              <w:rPr>
                <w:rFonts w:asciiTheme="minorHAnsi" w:hAnsiTheme="minorHAnsi"/>
                <w:b w:val="0"/>
                <w:bCs/>
              </w:rPr>
            </w:pPr>
            <w:r w:rsidRPr="00CC60AF">
              <w:rPr>
                <w:b w:val="0"/>
                <w:bCs/>
              </w:rPr>
              <w:t>Industry codes of conduct (codes) are a form of sector-specific regulation made under Part IVB of the CCA which regulates the conduct of industry participants towards each other (or consumers).</w:t>
            </w:r>
          </w:p>
          <w:p w14:paraId="27F9746C" w14:textId="77777777" w:rsidR="00050EB9" w:rsidRPr="00141A3E" w:rsidRDefault="00050EB9" w:rsidP="00141A3E">
            <w:pPr>
              <w:pStyle w:val="Dash"/>
              <w:numPr>
                <w:ilvl w:val="1"/>
                <w:numId w:val="6"/>
              </w:numPr>
              <w:spacing w:before="96" w:after="96"/>
              <w:rPr>
                <w:b w:val="0"/>
              </w:rPr>
            </w:pPr>
            <w:r w:rsidRPr="00141A3E">
              <w:rPr>
                <w:b w:val="0"/>
              </w:rPr>
              <w:t>While codes vary, they typically require parties to act in good faith towards each other, have written agreements to cover key commercial matters and utilise agreed dispute resolution mechanisms.</w:t>
            </w:r>
          </w:p>
          <w:p w14:paraId="27F42AE7" w14:textId="77777777" w:rsidR="00050EB9" w:rsidRPr="00141A3E" w:rsidRDefault="00050EB9" w:rsidP="00141A3E">
            <w:pPr>
              <w:pStyle w:val="Dash"/>
              <w:numPr>
                <w:ilvl w:val="1"/>
                <w:numId w:val="6"/>
              </w:numPr>
              <w:spacing w:before="96" w:after="96"/>
              <w:rPr>
                <w:b w:val="0"/>
              </w:rPr>
            </w:pPr>
            <w:r w:rsidRPr="00141A3E">
              <w:rPr>
                <w:b w:val="0"/>
              </w:rPr>
              <w:t xml:space="preserve">There are currently nine prescribed codes in operation (eight mandatory and one voluntary) covering sectors including franchising, food and grocery, dairy and horticulture. </w:t>
            </w:r>
          </w:p>
          <w:p w14:paraId="5D1EA753" w14:textId="77777777" w:rsidR="00050EB9" w:rsidRPr="00141A3E" w:rsidRDefault="00050EB9" w:rsidP="00141A3E">
            <w:pPr>
              <w:pStyle w:val="Bullet"/>
              <w:numPr>
                <w:ilvl w:val="1"/>
                <w:numId w:val="6"/>
              </w:numPr>
              <w:tabs>
                <w:tab w:val="clear" w:pos="720"/>
              </w:tabs>
              <w:spacing w:before="96" w:after="96" w:line="240" w:lineRule="auto"/>
              <w:rPr>
                <w:b w:val="0"/>
              </w:rPr>
            </w:pPr>
            <w:r w:rsidRPr="00141A3E">
              <w:rPr>
                <w:b w:val="0"/>
              </w:rPr>
              <w:t>Each code specifies avenues for dispute resolution, including mediation and arbitration.</w:t>
            </w:r>
          </w:p>
          <w:p w14:paraId="7C05F8F6" w14:textId="77777777" w:rsidR="00050EB9" w:rsidRPr="00141A3E" w:rsidRDefault="00050EB9" w:rsidP="00141A3E">
            <w:pPr>
              <w:pStyle w:val="Bullet"/>
              <w:tabs>
                <w:tab w:val="clear" w:pos="720"/>
              </w:tabs>
              <w:spacing w:before="96" w:after="96" w:line="240" w:lineRule="auto"/>
              <w:rPr>
                <w:b w:val="0"/>
              </w:rPr>
            </w:pPr>
            <w:r w:rsidRPr="00141A3E">
              <w:rPr>
                <w:b w:val="0"/>
              </w:rPr>
              <w:t xml:space="preserve">The code framework provides for the Treasurer (or their delegate) to play a gatekeeper role for the introduction of new codes. The Treasurer can authorise other Ministers to make codes that fall within their policy responsibilities, while maintaining oversight. </w:t>
            </w:r>
          </w:p>
          <w:p w14:paraId="0C2CDF18" w14:textId="77777777" w:rsidR="00050EB9" w:rsidRPr="00141A3E" w:rsidRDefault="00050EB9" w:rsidP="00141A3E">
            <w:pPr>
              <w:pStyle w:val="Bullet"/>
              <w:tabs>
                <w:tab w:val="clear" w:pos="720"/>
              </w:tabs>
              <w:spacing w:before="96" w:after="96" w:line="240" w:lineRule="auto"/>
              <w:rPr>
                <w:b w:val="0"/>
              </w:rPr>
            </w:pPr>
            <w:r w:rsidRPr="00141A3E">
              <w:rPr>
                <w:b w:val="0"/>
              </w:rPr>
              <w:t xml:space="preserve">The ACCC is responsible for enforcing the CCA codes. </w:t>
            </w:r>
          </w:p>
          <w:p w14:paraId="30775A96" w14:textId="77777777" w:rsidR="00050EB9" w:rsidRPr="004B6865" w:rsidRDefault="00050EB9" w:rsidP="00141A3E">
            <w:pPr>
              <w:pStyle w:val="Bullet"/>
              <w:numPr>
                <w:ilvl w:val="0"/>
                <w:numId w:val="0"/>
              </w:numPr>
              <w:spacing w:before="96" w:after="96"/>
              <w:rPr>
                <w:b w:val="0"/>
                <w:u w:val="single"/>
              </w:rPr>
            </w:pPr>
            <w:r>
              <w:rPr>
                <w:u w:val="single"/>
              </w:rPr>
              <w:t xml:space="preserve">News Media and </w:t>
            </w:r>
            <w:r w:rsidRPr="004B6865">
              <w:rPr>
                <w:u w:val="single"/>
              </w:rPr>
              <w:t xml:space="preserve">Digital </w:t>
            </w:r>
            <w:r>
              <w:rPr>
                <w:u w:val="single"/>
              </w:rPr>
              <w:t>P</w:t>
            </w:r>
            <w:r w:rsidRPr="004B6865">
              <w:rPr>
                <w:u w:val="single"/>
              </w:rPr>
              <w:t>latform</w:t>
            </w:r>
            <w:r>
              <w:rPr>
                <w:u w:val="single"/>
              </w:rPr>
              <w:t>s Mandatory Bargaining Co</w:t>
            </w:r>
            <w:r w:rsidRPr="004B6865">
              <w:rPr>
                <w:u w:val="single"/>
              </w:rPr>
              <w:t>de</w:t>
            </w:r>
          </w:p>
          <w:p w14:paraId="6DDAEF2D" w14:textId="77777777" w:rsidR="00050EB9" w:rsidRPr="00141A3E" w:rsidRDefault="00050EB9" w:rsidP="00141A3E">
            <w:pPr>
              <w:pStyle w:val="Bullet"/>
              <w:spacing w:before="96" w:after="96"/>
              <w:rPr>
                <w:b w:val="0"/>
                <w:bCs/>
              </w:rPr>
            </w:pPr>
            <w:r w:rsidRPr="00141A3E">
              <w:rPr>
                <w:b w:val="0"/>
                <w:bCs/>
              </w:rPr>
              <w:t>The News Media Bargaining Code governs commercial relationships between Australian news businesses and ‘designated’ digital platforms who benefit from a significant bargaining power imbalance.</w:t>
            </w:r>
          </w:p>
          <w:p w14:paraId="03168484" w14:textId="301EC2E5" w:rsidR="00050EB9" w:rsidRPr="00141A3E" w:rsidRDefault="00050EB9" w:rsidP="00141A3E">
            <w:pPr>
              <w:pStyle w:val="Bullet"/>
              <w:spacing w:before="96" w:after="96"/>
              <w:rPr>
                <w:b w:val="0"/>
                <w:bCs/>
              </w:rPr>
            </w:pPr>
            <w:r w:rsidRPr="00141A3E">
              <w:rPr>
                <w:b w:val="0"/>
                <w:bCs/>
              </w:rPr>
              <w:t xml:space="preserve">The </w:t>
            </w:r>
            <w:r w:rsidR="00261E94">
              <w:rPr>
                <w:b w:val="0"/>
                <w:bCs/>
              </w:rPr>
              <w:t>Minister</w:t>
            </w:r>
            <w:r w:rsidRPr="00141A3E">
              <w:rPr>
                <w:b w:val="0"/>
                <w:bCs/>
              </w:rPr>
              <w:t xml:space="preserve"> may designate a digital platform and make them subject to the Code, after considering whether there is a significant bargaining power imbalance between the platform and Australian news businesses; and whether the platform has made a significant contribution to the sustainability of the Australian news industry through commercial agreements with news businesses.</w:t>
            </w:r>
          </w:p>
          <w:p w14:paraId="11E6767A" w14:textId="37886EDB" w:rsidR="00050EB9" w:rsidRPr="00804341" w:rsidRDefault="00050EB9" w:rsidP="00804341">
            <w:pPr>
              <w:pStyle w:val="Bullet"/>
              <w:spacing w:before="96" w:after="96"/>
              <w:rPr>
                <w:b w:val="0"/>
              </w:rPr>
            </w:pPr>
            <w:r w:rsidRPr="00804341">
              <w:rPr>
                <w:b w:val="0"/>
              </w:rPr>
              <w:t xml:space="preserve">While the </w:t>
            </w:r>
            <w:r w:rsidR="00261E94">
              <w:rPr>
                <w:b w:val="0"/>
              </w:rPr>
              <w:t>Minister</w:t>
            </w:r>
            <w:r w:rsidRPr="00804341">
              <w:rPr>
                <w:b w:val="0"/>
              </w:rPr>
              <w:t xml:space="preserve"> has not designated any digital platforms or services to date, following the introduction of the Code, Google and Facebook (now Meta) have reached voluntary commercial agreements with a significant number of news media organisations.</w:t>
            </w:r>
          </w:p>
          <w:p w14:paraId="515BD47A" w14:textId="77777777" w:rsidR="00050EB9" w:rsidRPr="004B6865" w:rsidRDefault="00050EB9" w:rsidP="00141A3E">
            <w:pPr>
              <w:pStyle w:val="Bullet"/>
              <w:numPr>
                <w:ilvl w:val="0"/>
                <w:numId w:val="0"/>
              </w:numPr>
              <w:spacing w:before="96" w:after="96"/>
              <w:rPr>
                <w:u w:val="single"/>
              </w:rPr>
            </w:pPr>
            <w:r w:rsidRPr="004B6865">
              <w:rPr>
                <w:u w:val="single"/>
              </w:rPr>
              <w:t xml:space="preserve">The National Access Regime (NAR) </w:t>
            </w:r>
          </w:p>
          <w:p w14:paraId="4AF338F7" w14:textId="77777777" w:rsidR="00050EB9" w:rsidRPr="004B6865" w:rsidRDefault="00050EB9" w:rsidP="00141A3E">
            <w:pPr>
              <w:pStyle w:val="Bullet"/>
              <w:spacing w:before="96" w:after="96"/>
              <w:rPr>
                <w:b w:val="0"/>
              </w:rPr>
            </w:pPr>
            <w:r>
              <w:rPr>
                <w:b w:val="0"/>
              </w:rPr>
              <w:t xml:space="preserve">The NAR </w:t>
            </w:r>
            <w:r w:rsidRPr="002C74F9">
              <w:rPr>
                <w:b w:val="0"/>
              </w:rPr>
              <w:t>uses a declaration</w:t>
            </w:r>
            <w:r>
              <w:rPr>
                <w:b w:val="0"/>
              </w:rPr>
              <w:t xml:space="preserve"> process</w:t>
            </w:r>
            <w:r w:rsidRPr="002C74F9">
              <w:rPr>
                <w:b w:val="0"/>
              </w:rPr>
              <w:t xml:space="preserve"> to allow businesses to access nationally significant infrastructure if certain criteria are met.  </w:t>
            </w:r>
          </w:p>
          <w:p w14:paraId="6FDD441A" w14:textId="77777777" w:rsidR="00050EB9" w:rsidRPr="004B6865" w:rsidRDefault="00050EB9" w:rsidP="00141A3E">
            <w:pPr>
              <w:pStyle w:val="Bullet"/>
              <w:numPr>
                <w:ilvl w:val="1"/>
                <w:numId w:val="6"/>
              </w:numPr>
              <w:tabs>
                <w:tab w:val="clear" w:pos="720"/>
                <w:tab w:val="left" w:pos="1166"/>
              </w:tabs>
              <w:spacing w:before="96" w:after="96"/>
              <w:rPr>
                <w:b w:val="0"/>
              </w:rPr>
            </w:pPr>
            <w:r w:rsidRPr="002C74F9">
              <w:rPr>
                <w:b w:val="0"/>
              </w:rPr>
              <w:t>The process for the declaration of infrastructure involves a business applying to the National Competition Council</w:t>
            </w:r>
            <w:r>
              <w:rPr>
                <w:b w:val="0"/>
              </w:rPr>
              <w:t xml:space="preserve"> (NCC)</w:t>
            </w:r>
            <w:r w:rsidRPr="004B6865">
              <w:rPr>
                <w:b w:val="0"/>
              </w:rPr>
              <w:t>,</w:t>
            </w:r>
            <w:r w:rsidRPr="002C74F9">
              <w:rPr>
                <w:b w:val="0"/>
              </w:rPr>
              <w:t xml:space="preserve"> who provide a recommendation to the Treasurer who acts as a decision maker.  </w:t>
            </w:r>
          </w:p>
          <w:p w14:paraId="168A9AA0" w14:textId="52888927" w:rsidR="00050EB9" w:rsidRPr="00D87FDA" w:rsidRDefault="00050EB9" w:rsidP="00141A3E">
            <w:pPr>
              <w:pStyle w:val="Bullet"/>
              <w:numPr>
                <w:ilvl w:val="1"/>
                <w:numId w:val="6"/>
              </w:numPr>
              <w:tabs>
                <w:tab w:val="clear" w:pos="720"/>
                <w:tab w:val="clear" w:pos="1040"/>
                <w:tab w:val="left" w:pos="1024"/>
              </w:tabs>
              <w:spacing w:before="96" w:after="96"/>
              <w:rPr>
                <w:b w:val="0"/>
              </w:rPr>
            </w:pPr>
            <w:r w:rsidRPr="002C74F9">
              <w:rPr>
                <w:b w:val="0"/>
              </w:rPr>
              <w:t xml:space="preserve">Any decision can be appealed by either party to a tribunal or to courts on administrative law grounds. </w:t>
            </w:r>
          </w:p>
          <w:p w14:paraId="5E5AA54B" w14:textId="77777777" w:rsidR="00050EB9" w:rsidRPr="002C74F9" w:rsidRDefault="00050EB9" w:rsidP="00141A3E">
            <w:pPr>
              <w:pStyle w:val="Bullet"/>
              <w:spacing w:before="96" w:after="96"/>
            </w:pPr>
            <w:r>
              <w:rPr>
                <w:b w:val="0"/>
              </w:rPr>
              <w:t xml:space="preserve">Once designated, parties have the opportunity to come to an agreement over the terms and conditions of access, with the ACCC arbitrating any disputes that arise. </w:t>
            </w:r>
          </w:p>
        </w:tc>
      </w:tr>
    </w:tbl>
    <w:p w14:paraId="2DE80C2B" w14:textId="77777777" w:rsidR="00C07D18" w:rsidRDefault="00C07D18"/>
    <w:p w14:paraId="445A0A68" w14:textId="77777777" w:rsidR="00217964" w:rsidRDefault="00217964"/>
    <w:p w14:paraId="558E03A6" w14:textId="77777777" w:rsidR="00217964" w:rsidRDefault="00217964"/>
    <w:p w14:paraId="771F1F56" w14:textId="48C4016B" w:rsidR="00050EB9" w:rsidRPr="00D20F74" w:rsidRDefault="005764BE">
      <w:pPr>
        <w:rPr>
          <w:rFonts w:eastAsia="Calibri"/>
        </w:rPr>
      </w:pPr>
      <w:r>
        <w:t>Treasury seeks views on the ACCC competition recommendations, specifically on the proposed competition framework, the overall merits of a designation and mandatory code approach and any potential alternative approaches that could be taken.</w:t>
      </w:r>
    </w:p>
    <w:tbl>
      <w:tblPr>
        <w:tblStyle w:val="TableGrid"/>
        <w:tblW w:w="0" w:type="auto"/>
        <w:tblLook w:val="04A0" w:firstRow="1" w:lastRow="0" w:firstColumn="1" w:lastColumn="0" w:noHBand="0" w:noVBand="1"/>
      </w:tblPr>
      <w:tblGrid>
        <w:gridCol w:w="9070"/>
      </w:tblGrid>
      <w:tr w:rsidR="00644898" w14:paraId="06ABFB0E" w14:textId="77777777" w:rsidTr="0035499D">
        <w:trPr>
          <w:cnfStyle w:val="100000000000" w:firstRow="1" w:lastRow="0" w:firstColumn="0" w:lastColumn="0" w:oddVBand="0" w:evenVBand="0" w:oddHBand="0" w:evenHBand="0" w:firstRowFirstColumn="0" w:firstRowLastColumn="0" w:lastRowFirstColumn="0" w:lastRowLastColumn="0"/>
        </w:trPr>
        <w:tc>
          <w:tcPr>
            <w:tcW w:w="9070" w:type="dxa"/>
          </w:tcPr>
          <w:p w14:paraId="5BB489F8" w14:textId="60943C0F" w:rsidR="00B408E2" w:rsidRPr="00B52673" w:rsidRDefault="008923EF" w:rsidP="007D1767">
            <w:pPr>
              <w:pStyle w:val="OutlineNumbered1"/>
              <w:numPr>
                <w:ilvl w:val="0"/>
                <w:numId w:val="0"/>
              </w:numPr>
              <w:spacing w:before="96" w:after="96"/>
              <w:ind w:left="851" w:hanging="851"/>
            </w:pPr>
            <w:r>
              <w:t>Q</w:t>
            </w:r>
            <w:r w:rsidR="00B408E2" w:rsidRPr="00B52673">
              <w:t>uestions</w:t>
            </w:r>
          </w:p>
          <w:p w14:paraId="271B123D" w14:textId="17BC52A9" w:rsidR="00254152" w:rsidRPr="00097B67" w:rsidRDefault="00254152" w:rsidP="00254152">
            <w:pPr>
              <w:pStyle w:val="OutlineNumbered1"/>
              <w:spacing w:before="96" w:after="96"/>
              <w:rPr>
                <w:b w:val="0"/>
                <w:bCs/>
              </w:rPr>
            </w:pPr>
            <w:r w:rsidRPr="00254152">
              <w:rPr>
                <w:b w:val="0"/>
                <w:bCs/>
              </w:rPr>
              <w:t xml:space="preserve">Do you agree with the </w:t>
            </w:r>
            <w:r w:rsidR="00B04B38">
              <w:rPr>
                <w:b w:val="0"/>
                <w:bCs/>
              </w:rPr>
              <w:t>designation and code of conduct model</w:t>
            </w:r>
            <w:r w:rsidRPr="00254152">
              <w:rPr>
                <w:b w:val="0"/>
                <w:bCs/>
              </w:rPr>
              <w:t xml:space="preserve"> proposed by the ACCC for the new competition regime?</w:t>
            </w:r>
            <w:r w:rsidR="00B04B38">
              <w:rPr>
                <w:b w:val="0"/>
                <w:bCs/>
              </w:rPr>
              <w:t xml:space="preserve"> What would be the main implementation challenges for such a regime?</w:t>
            </w:r>
          </w:p>
          <w:p w14:paraId="51104A4A" w14:textId="5CED70D6" w:rsidR="00254152" w:rsidRPr="00B04B38" w:rsidRDefault="00254152" w:rsidP="00B04B38">
            <w:pPr>
              <w:pStyle w:val="OutlineNumbered1"/>
              <w:spacing w:before="96" w:after="96"/>
              <w:rPr>
                <w:b w:val="0"/>
              </w:rPr>
            </w:pPr>
            <w:r w:rsidRPr="00254152">
              <w:rPr>
                <w:b w:val="0"/>
              </w:rPr>
              <w:t xml:space="preserve">Do you agree with the proposed framework of prescribing general obligations in legislation, and specific requirements in codes? </w:t>
            </w:r>
          </w:p>
          <w:p w14:paraId="78FEDA70" w14:textId="77777777" w:rsidR="00254152" w:rsidRPr="00254152" w:rsidRDefault="00254152" w:rsidP="00254152">
            <w:pPr>
              <w:pStyle w:val="OutlineNumbered1"/>
              <w:spacing w:before="96" w:after="96"/>
              <w:rPr>
                <w:b w:val="0"/>
              </w:rPr>
            </w:pPr>
            <w:r w:rsidRPr="00254152">
              <w:rPr>
                <w:b w:val="0"/>
              </w:rPr>
              <w:t>Do you agree with the proposed principles for designating platforms for the regime?</w:t>
            </w:r>
          </w:p>
          <w:p w14:paraId="640EE78E" w14:textId="2277348C" w:rsidR="00254152" w:rsidRPr="00254152" w:rsidRDefault="00254152" w:rsidP="00254152">
            <w:pPr>
              <w:pStyle w:val="OutlineNumbered1"/>
              <w:spacing w:before="96" w:after="96"/>
              <w:rPr>
                <w:b w:val="0"/>
              </w:rPr>
            </w:pPr>
            <w:r w:rsidRPr="00254152">
              <w:rPr>
                <w:b w:val="0"/>
              </w:rPr>
              <w:t xml:space="preserve">Do you agree </w:t>
            </w:r>
            <w:r w:rsidR="00097B67">
              <w:rPr>
                <w:b w:val="0"/>
              </w:rPr>
              <w:t>that the focus of any new regulation should be on</w:t>
            </w:r>
            <w:r w:rsidRPr="00254152">
              <w:rPr>
                <w:b w:val="0"/>
              </w:rPr>
              <w:t xml:space="preserve"> the competition issues identified by the ACCC </w:t>
            </w:r>
            <w:r w:rsidR="00097B67">
              <w:rPr>
                <w:b w:val="0"/>
              </w:rPr>
              <w:t xml:space="preserve">in </w:t>
            </w:r>
            <w:r w:rsidR="00217964">
              <w:rPr>
                <w:b w:val="0"/>
              </w:rPr>
              <w:t>R</w:t>
            </w:r>
            <w:r w:rsidR="00097B67">
              <w:rPr>
                <w:b w:val="0"/>
              </w:rPr>
              <w:t>ecommendation 4</w:t>
            </w:r>
            <w:r w:rsidRPr="00254152">
              <w:rPr>
                <w:b w:val="0"/>
              </w:rPr>
              <w:t>? Should any issues be removed or added?</w:t>
            </w:r>
          </w:p>
          <w:p w14:paraId="2AD62FF1" w14:textId="77777777" w:rsidR="00254152" w:rsidRPr="00254152" w:rsidRDefault="00254152" w:rsidP="00254152">
            <w:pPr>
              <w:pStyle w:val="OutlineNumbered1"/>
              <w:spacing w:before="96" w:after="96"/>
              <w:rPr>
                <w:b w:val="0"/>
              </w:rPr>
            </w:pPr>
            <w:r w:rsidRPr="00254152">
              <w:rPr>
                <w:b w:val="0"/>
              </w:rPr>
              <w:t xml:space="preserve">What services should be prioritised when developing a code? What harms should they be targeted on preventing? </w:t>
            </w:r>
          </w:p>
          <w:p w14:paraId="75FA05F7" w14:textId="77777777" w:rsidR="00254152" w:rsidRPr="00254152" w:rsidRDefault="00254152" w:rsidP="00FC0241">
            <w:pPr>
              <w:pStyle w:val="OutlineNumbered2"/>
              <w:spacing w:before="96" w:after="96"/>
              <w:ind w:hanging="813"/>
              <w:rPr>
                <w:b w:val="0"/>
              </w:rPr>
            </w:pPr>
            <w:r w:rsidRPr="00254152">
              <w:rPr>
                <w:b w:val="0"/>
              </w:rPr>
              <w:t>Should codes be targeted at individual companies, a specific service, or all digital platform services?</w:t>
            </w:r>
          </w:p>
          <w:p w14:paraId="2BE837A8" w14:textId="7DB3F28C" w:rsidR="00644898" w:rsidRPr="00097B67" w:rsidRDefault="00254152" w:rsidP="00097B67">
            <w:pPr>
              <w:pStyle w:val="OutlineNumbered1"/>
              <w:numPr>
                <w:ilvl w:val="0"/>
                <w:numId w:val="13"/>
              </w:numPr>
              <w:spacing w:before="96" w:after="96"/>
              <w:rPr>
                <w:b w:val="0"/>
                <w:bCs/>
              </w:rPr>
            </w:pPr>
            <w:r w:rsidRPr="00120B63">
              <w:rPr>
                <w:b w:val="0"/>
                <w:bCs/>
              </w:rPr>
              <w:t>Should codes be mandatory or voluntary?</w:t>
            </w:r>
          </w:p>
        </w:tc>
      </w:tr>
    </w:tbl>
    <w:p w14:paraId="0C066FB5" w14:textId="69495091" w:rsidR="00F452EE" w:rsidRDefault="00644898" w:rsidP="00226CBC">
      <w:pPr>
        <w:pStyle w:val="Heading3"/>
      </w:pPr>
      <w:bookmarkStart w:id="15" w:name="_Toc122432694"/>
      <w:r>
        <w:t>Governance</w:t>
      </w:r>
      <w:bookmarkEnd w:id="15"/>
    </w:p>
    <w:p w14:paraId="2712C5DE" w14:textId="574D4F10" w:rsidR="0029238A" w:rsidRDefault="00120B63" w:rsidP="00120B63">
      <w:pPr>
        <w:rPr>
          <w:rFonts w:eastAsia="Calibri"/>
        </w:rPr>
      </w:pPr>
      <w:r>
        <w:rPr>
          <w:rFonts w:eastAsia="Calibri"/>
        </w:rPr>
        <w:t xml:space="preserve">Appropriate governance arrangements are critical to any new regulatory framework. </w:t>
      </w:r>
      <w:r w:rsidR="0029238A">
        <w:rPr>
          <w:rFonts w:eastAsia="Calibri"/>
        </w:rPr>
        <w:t xml:space="preserve">At a high level, it is important that the responsibilities are allocated to the </w:t>
      </w:r>
      <w:r w:rsidR="00D57ADD">
        <w:rPr>
          <w:rFonts w:eastAsia="Calibri"/>
        </w:rPr>
        <w:t xml:space="preserve">right </w:t>
      </w:r>
      <w:r w:rsidR="0029238A">
        <w:rPr>
          <w:rFonts w:eastAsia="Calibri"/>
        </w:rPr>
        <w:t>entities</w:t>
      </w:r>
      <w:r w:rsidR="00217964">
        <w:rPr>
          <w:rFonts w:eastAsia="Calibri"/>
        </w:rPr>
        <w:t>,</w:t>
      </w:r>
      <w:r w:rsidR="0029238A">
        <w:rPr>
          <w:rFonts w:eastAsia="Calibri"/>
        </w:rPr>
        <w:t xml:space="preserve"> taking into account </w:t>
      </w:r>
      <w:r w:rsidR="00261E94">
        <w:rPr>
          <w:rFonts w:eastAsia="Calibri"/>
        </w:rPr>
        <w:t>their</w:t>
      </w:r>
      <w:r w:rsidR="0029238A">
        <w:rPr>
          <w:rFonts w:eastAsia="Calibri"/>
        </w:rPr>
        <w:t xml:space="preserve"> expertise</w:t>
      </w:r>
      <w:r w:rsidR="00261E94">
        <w:rPr>
          <w:rFonts w:eastAsia="Calibri"/>
        </w:rPr>
        <w:t xml:space="preserve"> and</w:t>
      </w:r>
      <w:r w:rsidR="0029238A">
        <w:rPr>
          <w:rFonts w:eastAsia="Calibri"/>
        </w:rPr>
        <w:t xml:space="preserve"> accountabilities</w:t>
      </w:r>
      <w:r w:rsidR="00261E94">
        <w:rPr>
          <w:rFonts w:eastAsia="Calibri"/>
        </w:rPr>
        <w:t>,</w:t>
      </w:r>
      <w:r w:rsidR="0029238A">
        <w:rPr>
          <w:rFonts w:eastAsia="Calibri"/>
        </w:rPr>
        <w:t xml:space="preserve"> and </w:t>
      </w:r>
      <w:r w:rsidR="00261E94">
        <w:rPr>
          <w:rFonts w:eastAsia="Calibri"/>
        </w:rPr>
        <w:t>that</w:t>
      </w:r>
      <w:r w:rsidR="0029238A">
        <w:rPr>
          <w:rFonts w:eastAsia="Calibri"/>
        </w:rPr>
        <w:t xml:space="preserve"> the various aspects of the regulatory process are subject to </w:t>
      </w:r>
      <w:r w:rsidR="00D57ADD">
        <w:rPr>
          <w:rFonts w:eastAsia="Calibri"/>
        </w:rPr>
        <w:t>appropriate</w:t>
      </w:r>
      <w:r w:rsidR="0029238A">
        <w:rPr>
          <w:rFonts w:eastAsia="Calibri"/>
        </w:rPr>
        <w:t xml:space="preserve"> oversight.</w:t>
      </w:r>
    </w:p>
    <w:p w14:paraId="37BB5288" w14:textId="38BAA770" w:rsidR="00120B63" w:rsidRDefault="00D57ADD" w:rsidP="00120B63">
      <w:pPr>
        <w:rPr>
          <w:rFonts w:eastAsia="Calibri"/>
        </w:rPr>
      </w:pPr>
      <w:r>
        <w:rPr>
          <w:rFonts w:eastAsia="Calibri"/>
        </w:rPr>
        <w:t>For its proposed competition framework, the ACCC has recommended the appropriate regulator develop digital service specific codes in consultation with the policy agency, and the same regulator to be responsible for enforcement. ACCC also observed that designation decisions could be made by the appropriate regulator or a Government Minister.</w:t>
      </w:r>
      <w:r w:rsidR="00217964">
        <w:rPr>
          <w:rFonts w:eastAsia="Calibri"/>
        </w:rPr>
        <w:t xml:space="preserve"> </w:t>
      </w:r>
      <w:r w:rsidR="0050178D">
        <w:rPr>
          <w:rFonts w:eastAsia="Calibri"/>
        </w:rPr>
        <w:t xml:space="preserve">As noted in </w:t>
      </w:r>
      <w:r w:rsidR="000B3F48" w:rsidRPr="00D20F74">
        <w:rPr>
          <w:rFonts w:eastAsia="Calibri"/>
        </w:rPr>
        <w:t>B</w:t>
      </w:r>
      <w:r w:rsidR="0050178D" w:rsidRPr="000B3F48">
        <w:rPr>
          <w:rFonts w:eastAsia="Calibri"/>
        </w:rPr>
        <w:t xml:space="preserve">ox </w:t>
      </w:r>
      <w:r w:rsidR="00270E87">
        <w:rPr>
          <w:rFonts w:eastAsia="Calibri"/>
        </w:rPr>
        <w:t>1</w:t>
      </w:r>
      <w:r w:rsidR="0050178D" w:rsidRPr="000B3F48">
        <w:rPr>
          <w:rFonts w:eastAsia="Calibri"/>
        </w:rPr>
        <w:t>,</w:t>
      </w:r>
      <w:r w:rsidR="0029238A">
        <w:rPr>
          <w:rFonts w:eastAsia="Calibri"/>
        </w:rPr>
        <w:t xml:space="preserve"> </w:t>
      </w:r>
      <w:r w:rsidR="0050178D">
        <w:rPr>
          <w:rFonts w:eastAsia="Calibri"/>
        </w:rPr>
        <w:t>a range of approaches have been adopted in other</w:t>
      </w:r>
      <w:r w:rsidR="00120B63">
        <w:rPr>
          <w:rFonts w:eastAsia="Calibri"/>
        </w:rPr>
        <w:t xml:space="preserve"> </w:t>
      </w:r>
      <w:r w:rsidR="0050178D">
        <w:rPr>
          <w:rFonts w:eastAsia="Calibri"/>
        </w:rPr>
        <w:t>Australian competition regimes involving a code or a designation process.</w:t>
      </w:r>
    </w:p>
    <w:p w14:paraId="459AC5FA" w14:textId="4B41EBCB" w:rsidR="00D813FA" w:rsidRDefault="0050178D" w:rsidP="00C267EE">
      <w:pPr>
        <w:rPr>
          <w:rFonts w:eastAsia="Calibri"/>
        </w:rPr>
      </w:pPr>
      <w:r>
        <w:rPr>
          <w:rFonts w:eastAsia="Calibri"/>
        </w:rPr>
        <w:t xml:space="preserve">Each model might have its </w:t>
      </w:r>
      <w:r w:rsidR="00261E94">
        <w:rPr>
          <w:rFonts w:eastAsia="Calibri"/>
        </w:rPr>
        <w:t>own</w:t>
      </w:r>
      <w:r>
        <w:rPr>
          <w:rFonts w:eastAsia="Calibri"/>
        </w:rPr>
        <w:t xml:space="preserve"> advantages </w:t>
      </w:r>
      <w:r w:rsidR="00261E94">
        <w:rPr>
          <w:rFonts w:eastAsia="Calibri"/>
        </w:rPr>
        <w:t>or challenges</w:t>
      </w:r>
      <w:r>
        <w:rPr>
          <w:rFonts w:eastAsia="Calibri"/>
        </w:rPr>
        <w:t xml:space="preserve">. For example, it might be appropriate that some decisions are made by a Minister, who is accountable to Parliament, while others are made by a regulator due to an operational connection to the performance of its regulatory functions. It might also be appropriate that some responsibilities are allocated to a policy advisory body </w:t>
      </w:r>
      <w:r w:rsidR="00261E94">
        <w:rPr>
          <w:rFonts w:eastAsia="Calibri"/>
        </w:rPr>
        <w:t xml:space="preserve">which </w:t>
      </w:r>
      <w:r>
        <w:rPr>
          <w:rFonts w:eastAsia="Calibri"/>
        </w:rPr>
        <w:t xml:space="preserve">would bring a particular policy perspective to decisions, as is the case with the National Competition Council in Australia’s National Access Regime. </w:t>
      </w:r>
    </w:p>
    <w:p w14:paraId="7DF0396D" w14:textId="3AFFA616" w:rsidR="00D813FA" w:rsidRDefault="00D813FA" w:rsidP="00C267EE">
      <w:pPr>
        <w:rPr>
          <w:rFonts w:eastAsia="Calibri"/>
        </w:rPr>
      </w:pPr>
      <w:r>
        <w:rPr>
          <w:rFonts w:eastAsia="Calibri"/>
        </w:rPr>
        <w:t>It would also be important to consider what role industry</w:t>
      </w:r>
      <w:r w:rsidR="0050178D">
        <w:rPr>
          <w:rFonts w:eastAsia="Calibri"/>
        </w:rPr>
        <w:t xml:space="preserve"> </w:t>
      </w:r>
      <w:r>
        <w:rPr>
          <w:rFonts w:eastAsia="Calibri"/>
        </w:rPr>
        <w:t xml:space="preserve">and other stakeholders </w:t>
      </w:r>
      <w:r w:rsidR="00217964">
        <w:rPr>
          <w:rFonts w:eastAsia="Calibri"/>
        </w:rPr>
        <w:t xml:space="preserve">should play </w:t>
      </w:r>
      <w:r>
        <w:rPr>
          <w:rFonts w:eastAsia="Calibri"/>
        </w:rPr>
        <w:t>in informing the development and administration of the regime and what procedural structures need to be introduced to ensure that stakeholder input is appropriately incorporated.</w:t>
      </w:r>
    </w:p>
    <w:p w14:paraId="3E18B4CD" w14:textId="66E9D2F9" w:rsidR="00270E87" w:rsidRDefault="00D813FA" w:rsidP="00120B63">
      <w:pPr>
        <w:rPr>
          <w:rFonts w:eastAsia="Calibri"/>
        </w:rPr>
      </w:pPr>
      <w:r>
        <w:rPr>
          <w:rFonts w:eastAsia="Calibri"/>
        </w:rPr>
        <w:t>Additionally, the ACCC has raised the limitations of its information gathering powers in regard to multi-national companies. This is relevant both in the context of this Inquiry and the</w:t>
      </w:r>
      <w:r w:rsidRPr="00270E87">
        <w:t xml:space="preserve"> </w:t>
      </w:r>
      <w:r w:rsidRPr="00270E87">
        <w:rPr>
          <w:rFonts w:eastAsia="Calibri"/>
        </w:rPr>
        <w:t>News Media and Digital Platforms Mandatory Bargaining Code</w:t>
      </w:r>
      <w:r>
        <w:rPr>
          <w:rFonts w:eastAsia="Calibri"/>
        </w:rPr>
        <w:t>, given much of the relevant data is held by foreign-owned entities. To enable effective enforcement, consideration should be given to the effectiveness of current information gathering powers and whether they need to be enhanced or updated to enable the success of a potential regulatory regime. Any additional information gathering powers would need to be balanced against compliance costs, the privacy of users of any digital platform and proper oversight of their use.</w:t>
      </w:r>
    </w:p>
    <w:p w14:paraId="1BD3A06D" w14:textId="3C4C4ABA" w:rsidR="00120B63" w:rsidRDefault="00270E87" w:rsidP="00120B63">
      <w:pPr>
        <w:rPr>
          <w:rFonts w:eastAsia="Calibri"/>
        </w:rPr>
      </w:pPr>
      <w:r>
        <w:rPr>
          <w:rFonts w:eastAsia="Calibri"/>
        </w:rPr>
        <w:t xml:space="preserve">Treasury seeks your views on the appropriate governance approach to potential regulation of digital competition and consumer protection. </w:t>
      </w:r>
      <w:r w:rsidR="002B6F78">
        <w:rPr>
          <w:rFonts w:eastAsia="Calibri"/>
        </w:rPr>
        <w:t>Treasury is also seeking views on the overall effectiveness of current information gathering powers to enable effective enforcement of any new regulatory arrangements governing digital platforms.</w:t>
      </w:r>
    </w:p>
    <w:tbl>
      <w:tblPr>
        <w:tblStyle w:val="TableGrid"/>
        <w:tblW w:w="0" w:type="auto"/>
        <w:tblLook w:val="04A0" w:firstRow="1" w:lastRow="0" w:firstColumn="1" w:lastColumn="0" w:noHBand="0" w:noVBand="1"/>
      </w:tblPr>
      <w:tblGrid>
        <w:gridCol w:w="9070"/>
      </w:tblGrid>
      <w:tr w:rsidR="00644898" w14:paraId="036C8C07" w14:textId="77777777" w:rsidTr="00644898">
        <w:trPr>
          <w:cnfStyle w:val="100000000000" w:firstRow="1" w:lastRow="0" w:firstColumn="0" w:lastColumn="0" w:oddVBand="0" w:evenVBand="0" w:oddHBand="0" w:evenHBand="0" w:firstRowFirstColumn="0" w:firstRowLastColumn="0" w:lastRowFirstColumn="0" w:lastRowLastColumn="0"/>
        </w:trPr>
        <w:tc>
          <w:tcPr>
            <w:tcW w:w="9070" w:type="dxa"/>
          </w:tcPr>
          <w:p w14:paraId="4C1157DA" w14:textId="2E6CE1C1" w:rsidR="003C3CF9" w:rsidRPr="00B52673" w:rsidRDefault="008923EF" w:rsidP="00E5071B">
            <w:pPr>
              <w:pStyle w:val="OutlineNumbered1"/>
              <w:numPr>
                <w:ilvl w:val="0"/>
                <w:numId w:val="0"/>
              </w:numPr>
              <w:spacing w:before="96" w:after="96"/>
              <w:ind w:left="851" w:hanging="851"/>
            </w:pPr>
            <w:r>
              <w:t>Q</w:t>
            </w:r>
            <w:r w:rsidR="003C3CF9" w:rsidRPr="00B52673">
              <w:t>uestions</w:t>
            </w:r>
          </w:p>
          <w:p w14:paraId="5F49631B" w14:textId="0F723A75" w:rsidR="00644898" w:rsidRPr="000A50FC" w:rsidRDefault="00644898" w:rsidP="00644898">
            <w:pPr>
              <w:pStyle w:val="OutlineNumbered1"/>
              <w:spacing w:before="96" w:after="96"/>
              <w:rPr>
                <w:b w:val="0"/>
              </w:rPr>
            </w:pPr>
            <w:r w:rsidRPr="00E5071B">
              <w:rPr>
                <w:b w:val="0"/>
                <w:bCs/>
              </w:rPr>
              <w:t>Who should be responsible for the design of the proposed codes</w:t>
            </w:r>
            <w:r w:rsidR="00922EAF" w:rsidRPr="00E5071B">
              <w:rPr>
                <w:b w:val="0"/>
                <w:bCs/>
              </w:rPr>
              <w:t xml:space="preserve"> of conduct and </w:t>
            </w:r>
            <w:r w:rsidRPr="00E5071B">
              <w:rPr>
                <w:b w:val="0"/>
                <w:bCs/>
              </w:rPr>
              <w:t>obligation</w:t>
            </w:r>
            <w:r w:rsidR="00922EAF" w:rsidRPr="00E5071B">
              <w:rPr>
                <w:b w:val="0"/>
                <w:bCs/>
              </w:rPr>
              <w:t>s?</w:t>
            </w:r>
          </w:p>
          <w:p w14:paraId="44CA5A49" w14:textId="0A3C8A55" w:rsidR="0074340B" w:rsidRPr="00521577" w:rsidRDefault="0074340B" w:rsidP="00644898">
            <w:pPr>
              <w:pStyle w:val="OutlineNumbered1"/>
              <w:spacing w:before="96" w:after="96"/>
              <w:rPr>
                <w:b w:val="0"/>
              </w:rPr>
            </w:pPr>
            <w:r>
              <w:rPr>
                <w:b w:val="0"/>
              </w:rPr>
              <w:t>Who should be responsible for selecting or designating platforms to be covered by particular regulatory requirements?</w:t>
            </w:r>
          </w:p>
          <w:p w14:paraId="1D6BDB4D" w14:textId="3A38A069" w:rsidR="00644898" w:rsidRPr="00E5071B" w:rsidRDefault="00644898" w:rsidP="00644898">
            <w:pPr>
              <w:pStyle w:val="OutlineNumbered1"/>
              <w:spacing w:before="96" w:after="96"/>
              <w:rPr>
                <w:b w:val="0"/>
                <w:bCs/>
              </w:rPr>
            </w:pPr>
            <w:r w:rsidRPr="00E5071B">
              <w:rPr>
                <w:b w:val="0"/>
                <w:bCs/>
              </w:rPr>
              <w:t>Who should enforce any potential codes</w:t>
            </w:r>
            <w:r w:rsidR="00922EAF" w:rsidRPr="00E5071B">
              <w:rPr>
                <w:b w:val="0"/>
                <w:bCs/>
              </w:rPr>
              <w:t xml:space="preserve"> and obligations</w:t>
            </w:r>
            <w:r w:rsidRPr="00E5071B">
              <w:rPr>
                <w:b w:val="0"/>
                <w:bCs/>
              </w:rPr>
              <w:t>?</w:t>
            </w:r>
          </w:p>
          <w:p w14:paraId="4DC8E04E" w14:textId="2DE1A6A9" w:rsidR="00644898" w:rsidRPr="00E5071B" w:rsidRDefault="0069591B" w:rsidP="00644898">
            <w:pPr>
              <w:pStyle w:val="OutlineNumbered1"/>
              <w:spacing w:before="96" w:after="96"/>
              <w:rPr>
                <w:b w:val="0"/>
                <w:bCs/>
              </w:rPr>
            </w:pPr>
            <w:r>
              <w:rPr>
                <w:b w:val="0"/>
                <w:bCs/>
              </w:rPr>
              <w:t>What checks and balances should be in place on decision makers and across the various stages of the policy</w:t>
            </w:r>
            <w:r w:rsidR="00030043">
              <w:rPr>
                <w:b w:val="0"/>
                <w:bCs/>
              </w:rPr>
              <w:t xml:space="preserve"> (e</w:t>
            </w:r>
            <w:r w:rsidR="005A2F9A">
              <w:rPr>
                <w:b w:val="0"/>
                <w:bCs/>
              </w:rPr>
              <w:t>.</w:t>
            </w:r>
            <w:r w:rsidR="00030043">
              <w:rPr>
                <w:b w:val="0"/>
                <w:bCs/>
              </w:rPr>
              <w:t>g. code making,</w:t>
            </w:r>
            <w:r>
              <w:rPr>
                <w:b w:val="0"/>
                <w:bCs/>
              </w:rPr>
              <w:t xml:space="preserve"> designation process, code </w:t>
            </w:r>
            <w:r w:rsidR="00030043">
              <w:rPr>
                <w:b w:val="0"/>
                <w:bCs/>
              </w:rPr>
              <w:t>enforcement)</w:t>
            </w:r>
            <w:r>
              <w:rPr>
                <w:b w:val="0"/>
                <w:bCs/>
              </w:rPr>
              <w:t xml:space="preserve">? </w:t>
            </w:r>
          </w:p>
          <w:p w14:paraId="582BFAB8" w14:textId="26888052" w:rsidR="006B338B" w:rsidRPr="00E5071B" w:rsidRDefault="003F07A3" w:rsidP="009D6B1E">
            <w:pPr>
              <w:pStyle w:val="OutlineNumbered1"/>
              <w:spacing w:before="96" w:after="96"/>
              <w:rPr>
                <w:b w:val="0"/>
                <w:bCs/>
              </w:rPr>
            </w:pPr>
            <w:r>
              <w:rPr>
                <w:b w:val="0"/>
                <w:bCs/>
              </w:rPr>
              <w:t xml:space="preserve">What avenues of dispute or </w:t>
            </w:r>
            <w:r w:rsidR="0074340B">
              <w:rPr>
                <w:b w:val="0"/>
                <w:bCs/>
              </w:rPr>
              <w:t>review</w:t>
            </w:r>
            <w:r>
              <w:rPr>
                <w:b w:val="0"/>
                <w:bCs/>
              </w:rPr>
              <w:t xml:space="preserve"> should exist </w:t>
            </w:r>
            <w:r w:rsidR="00D402E3">
              <w:rPr>
                <w:b w:val="0"/>
                <w:bCs/>
              </w:rPr>
              <w:t xml:space="preserve">with regards to designation or </w:t>
            </w:r>
            <w:r w:rsidR="00D87FDA">
              <w:rPr>
                <w:b w:val="0"/>
                <w:bCs/>
              </w:rPr>
              <w:t>decisions under any potential code</w:t>
            </w:r>
            <w:r w:rsidR="006B338B">
              <w:rPr>
                <w:b w:val="0"/>
                <w:bCs/>
              </w:rPr>
              <w:t xml:space="preserve">? How can this best be implemented to ensure timely outcomes to allow for effective regulation in a fast-changing market? </w:t>
            </w:r>
          </w:p>
          <w:p w14:paraId="46173582" w14:textId="773A0A11" w:rsidR="00644898" w:rsidRPr="0035499D" w:rsidRDefault="006C4848" w:rsidP="0035499D">
            <w:pPr>
              <w:pStyle w:val="OutlineNumbered1"/>
              <w:spacing w:before="96" w:after="96"/>
              <w:rPr>
                <w:b w:val="0"/>
                <w:bCs/>
              </w:rPr>
            </w:pPr>
            <w:r>
              <w:rPr>
                <w:b w:val="0"/>
                <w:bCs/>
              </w:rPr>
              <w:t xml:space="preserve">Do information gathering powers for the relevant regulator need to be enhanced to better </w:t>
            </w:r>
            <w:r w:rsidR="008D5BD6">
              <w:rPr>
                <w:b w:val="0"/>
                <w:bCs/>
              </w:rPr>
              <w:t>facilitate</w:t>
            </w:r>
            <w:r>
              <w:rPr>
                <w:b w:val="0"/>
                <w:bCs/>
              </w:rPr>
              <w:t xml:space="preserve"> information gathering</w:t>
            </w:r>
            <w:r w:rsidR="008D5BD6">
              <w:rPr>
                <w:b w:val="0"/>
                <w:bCs/>
              </w:rPr>
              <w:t xml:space="preserve"> from multi</w:t>
            </w:r>
            <w:r w:rsidR="00265A86">
              <w:rPr>
                <w:b w:val="0"/>
                <w:bCs/>
              </w:rPr>
              <w:t>-</w:t>
            </w:r>
            <w:r w:rsidR="008D5BD6">
              <w:rPr>
                <w:b w:val="0"/>
                <w:bCs/>
              </w:rPr>
              <w:t>nation</w:t>
            </w:r>
            <w:r w:rsidR="00265A86">
              <w:rPr>
                <w:b w:val="0"/>
                <w:bCs/>
              </w:rPr>
              <w:t>al</w:t>
            </w:r>
            <w:r w:rsidR="008D5BD6">
              <w:rPr>
                <w:b w:val="0"/>
                <w:bCs/>
              </w:rPr>
              <w:t xml:space="preserve"> companies</w:t>
            </w:r>
            <w:r>
              <w:rPr>
                <w:b w:val="0"/>
                <w:bCs/>
              </w:rPr>
              <w:t xml:space="preserve">? </w:t>
            </w:r>
            <w:r w:rsidR="006B338B">
              <w:rPr>
                <w:b w:val="0"/>
                <w:bCs/>
              </w:rPr>
              <w:t>What balance should a potential regime strike between compliance costs, user privacy and the regulators information needs?</w:t>
            </w:r>
          </w:p>
        </w:tc>
      </w:tr>
    </w:tbl>
    <w:p w14:paraId="39428B36" w14:textId="1F4F795D" w:rsidR="007E0EA6" w:rsidRDefault="00D74DF5" w:rsidP="007E0EA6">
      <w:pPr>
        <w:pStyle w:val="Heading3"/>
        <w:rPr>
          <w:rFonts w:eastAsia="Calibri"/>
        </w:rPr>
      </w:pPr>
      <w:bookmarkStart w:id="16" w:name="_Toc122432695"/>
      <w:r>
        <w:rPr>
          <w:rFonts w:eastAsia="Calibri"/>
        </w:rPr>
        <w:t>Priority and a</w:t>
      </w:r>
      <w:r w:rsidR="007E0EA6">
        <w:rPr>
          <w:rFonts w:eastAsia="Calibri"/>
        </w:rPr>
        <w:t xml:space="preserve">lignment with </w:t>
      </w:r>
      <w:r w:rsidR="001F0576">
        <w:rPr>
          <w:rFonts w:eastAsia="Calibri"/>
        </w:rPr>
        <w:t>i</w:t>
      </w:r>
      <w:r w:rsidR="007E0EA6">
        <w:rPr>
          <w:rFonts w:eastAsia="Calibri"/>
        </w:rPr>
        <w:t xml:space="preserve">nternational </w:t>
      </w:r>
      <w:r w:rsidR="00B96162">
        <w:rPr>
          <w:rFonts w:eastAsia="Calibri"/>
        </w:rPr>
        <w:t>developments</w:t>
      </w:r>
      <w:bookmarkEnd w:id="16"/>
    </w:p>
    <w:p w14:paraId="7D60275C" w14:textId="24022840" w:rsidR="00120B63" w:rsidRDefault="003E0494" w:rsidP="00120B63">
      <w:pPr>
        <w:rPr>
          <w:rFonts w:eastAsia="Calibri"/>
        </w:rPr>
      </w:pPr>
      <w:r>
        <w:rPr>
          <w:rFonts w:eastAsia="Calibri"/>
        </w:rPr>
        <w:t>Given the international nature of digital markets and the current global developments in regulating them, any</w:t>
      </w:r>
      <w:r w:rsidR="00A83D3D">
        <w:rPr>
          <w:rFonts w:eastAsia="Calibri"/>
        </w:rPr>
        <w:t xml:space="preserve"> Australian response to the recommendations in the ACCC’s </w:t>
      </w:r>
      <w:r w:rsidR="007357BA">
        <w:rPr>
          <w:rFonts w:eastAsia="Calibri"/>
        </w:rPr>
        <w:t xml:space="preserve">fifth interim </w:t>
      </w:r>
      <w:r w:rsidR="00A83D3D">
        <w:rPr>
          <w:rFonts w:eastAsia="Calibri"/>
        </w:rPr>
        <w:t xml:space="preserve">report will need to take careful account of international developments. </w:t>
      </w:r>
      <w:r w:rsidR="00120B63">
        <w:rPr>
          <w:rFonts w:eastAsia="Calibri"/>
        </w:rPr>
        <w:t>In a regulatory regime based around codes for specific digital services, consideration would need to be give</w:t>
      </w:r>
      <w:r w:rsidR="00403310">
        <w:rPr>
          <w:rFonts w:eastAsia="Calibri"/>
        </w:rPr>
        <w:t>n</w:t>
      </w:r>
      <w:r w:rsidR="00120B63">
        <w:rPr>
          <w:rFonts w:eastAsia="Calibri"/>
        </w:rPr>
        <w:t xml:space="preserve"> to where the issues with the greatest </w:t>
      </w:r>
      <w:r w:rsidR="004C6BDC">
        <w:rPr>
          <w:rFonts w:eastAsia="Calibri"/>
        </w:rPr>
        <w:t xml:space="preserve">impact </w:t>
      </w:r>
      <w:r w:rsidR="00120B63">
        <w:rPr>
          <w:rFonts w:eastAsia="Calibri"/>
        </w:rPr>
        <w:t>are occurring and thus which services to prioritise in the code making process. If a different approach was taken (for example, codes</w:t>
      </w:r>
      <w:r w:rsidR="00403310">
        <w:rPr>
          <w:rFonts w:eastAsia="Calibri"/>
        </w:rPr>
        <w:t xml:space="preserve"> that prohibit a particular type of conduct across services</w:t>
      </w:r>
      <w:r w:rsidR="00120B63">
        <w:rPr>
          <w:rFonts w:eastAsia="Calibri"/>
        </w:rPr>
        <w:t xml:space="preserve">), similar ordering of priorities for new competition regulation would need to be considered. </w:t>
      </w:r>
    </w:p>
    <w:p w14:paraId="2CA7C24A" w14:textId="6C3B3930" w:rsidR="002A0051" w:rsidRDefault="00120B63" w:rsidP="00120B63">
      <w:pPr>
        <w:rPr>
          <w:rFonts w:eastAsia="Calibri"/>
        </w:rPr>
      </w:pPr>
      <w:r>
        <w:rPr>
          <w:rFonts w:eastAsia="Calibri"/>
        </w:rPr>
        <w:t xml:space="preserve">As referenced in </w:t>
      </w:r>
      <w:r w:rsidR="005A02B4">
        <w:rPr>
          <w:rFonts w:eastAsia="Calibri"/>
          <w:u w:val="single"/>
        </w:rPr>
        <w:t>Appendix</w:t>
      </w:r>
      <w:r>
        <w:rPr>
          <w:rFonts w:eastAsia="Calibri"/>
          <w:u w:val="single"/>
        </w:rPr>
        <w:t xml:space="preserve"> A</w:t>
      </w:r>
      <w:r>
        <w:rPr>
          <w:rFonts w:eastAsia="Calibri"/>
        </w:rPr>
        <w:t xml:space="preserve">, there is a significant amount of work being progressed internationally, as different jurisdictions make decisions on updating their consumer and competition regulation to suit the current and future digital environment. </w:t>
      </w:r>
    </w:p>
    <w:p w14:paraId="6CD2F380" w14:textId="7C935D93" w:rsidR="00120B63" w:rsidRDefault="00E969CD" w:rsidP="00120B63">
      <w:pPr>
        <w:rPr>
          <w:rFonts w:eastAsia="Calibri"/>
        </w:rPr>
      </w:pPr>
      <w:r>
        <w:rPr>
          <w:rFonts w:eastAsia="Calibri"/>
        </w:rPr>
        <w:t xml:space="preserve">In the global context, Australia </w:t>
      </w:r>
      <w:r w:rsidR="00120B63">
        <w:rPr>
          <w:rFonts w:eastAsia="Calibri"/>
        </w:rPr>
        <w:t xml:space="preserve">is a smaller </w:t>
      </w:r>
      <w:r>
        <w:rPr>
          <w:rFonts w:eastAsia="Calibri"/>
        </w:rPr>
        <w:t>market</w:t>
      </w:r>
      <w:r w:rsidR="00120B63">
        <w:rPr>
          <w:rFonts w:eastAsia="Calibri"/>
        </w:rPr>
        <w:t xml:space="preserve"> than many of the jurisdictions at the forefront of digital platform regulation and will need to consider the most effective way </w:t>
      </w:r>
      <w:r w:rsidR="002736CA">
        <w:rPr>
          <w:rFonts w:eastAsia="Calibri"/>
        </w:rPr>
        <w:t xml:space="preserve">for it to </w:t>
      </w:r>
      <w:r w:rsidR="00120B63">
        <w:rPr>
          <w:rFonts w:eastAsia="Calibri"/>
        </w:rPr>
        <w:t xml:space="preserve">manage digital competition. </w:t>
      </w:r>
      <w:r w:rsidR="0043213F">
        <w:rPr>
          <w:rFonts w:eastAsia="Calibri"/>
        </w:rPr>
        <w:t>One approach</w:t>
      </w:r>
      <w:r w:rsidR="00120B63">
        <w:rPr>
          <w:rFonts w:eastAsia="Calibri"/>
        </w:rPr>
        <w:t xml:space="preserve"> could </w:t>
      </w:r>
      <w:r w:rsidR="0043213F">
        <w:rPr>
          <w:rFonts w:eastAsia="Calibri"/>
        </w:rPr>
        <w:t xml:space="preserve">see Australia seek to be a global leader in digital regulation, which </w:t>
      </w:r>
      <w:r w:rsidR="009F4E66">
        <w:rPr>
          <w:rFonts w:eastAsia="Calibri"/>
        </w:rPr>
        <w:t>might</w:t>
      </w:r>
      <w:r w:rsidR="0043213F">
        <w:rPr>
          <w:rFonts w:eastAsia="Calibri"/>
        </w:rPr>
        <w:t xml:space="preserve"> allow </w:t>
      </w:r>
      <w:r w:rsidR="00261E94">
        <w:rPr>
          <w:rFonts w:eastAsia="Calibri"/>
        </w:rPr>
        <w:t xml:space="preserve">it </w:t>
      </w:r>
      <w:r w:rsidR="0043213F">
        <w:rPr>
          <w:rFonts w:eastAsia="Calibri"/>
        </w:rPr>
        <w:t>to influence global norms and address the problems identified in digital markets quickly. An alternat</w:t>
      </w:r>
      <w:r w:rsidR="009F4E66">
        <w:rPr>
          <w:rFonts w:eastAsia="Calibri"/>
        </w:rPr>
        <w:t>ive</w:t>
      </w:r>
      <w:r w:rsidR="0043213F">
        <w:rPr>
          <w:rFonts w:eastAsia="Calibri"/>
        </w:rPr>
        <w:t xml:space="preserve"> approach would be to</w:t>
      </w:r>
      <w:r w:rsidR="00120B63">
        <w:rPr>
          <w:rFonts w:eastAsia="Calibri"/>
        </w:rPr>
        <w:t xml:space="preserve"> leverag</w:t>
      </w:r>
      <w:r w:rsidR="0043213F">
        <w:rPr>
          <w:rFonts w:eastAsia="Calibri"/>
        </w:rPr>
        <w:t>e</w:t>
      </w:r>
      <w:r w:rsidR="00120B63" w:rsidDel="00A83D3D">
        <w:rPr>
          <w:rFonts w:eastAsia="Calibri"/>
        </w:rPr>
        <w:t xml:space="preserve"> </w:t>
      </w:r>
      <w:r w:rsidR="00120B63">
        <w:rPr>
          <w:rFonts w:eastAsia="Calibri"/>
        </w:rPr>
        <w:t>international regulatory approaches and industry undertakings overseas</w:t>
      </w:r>
      <w:r w:rsidR="0043213F">
        <w:rPr>
          <w:rFonts w:eastAsia="Calibri"/>
        </w:rPr>
        <w:t xml:space="preserve"> as they are developed, better aligning Australia with larger markets and benefiting from the rules </w:t>
      </w:r>
      <w:r w:rsidR="00855F2D">
        <w:rPr>
          <w:rFonts w:eastAsia="Calibri"/>
        </w:rPr>
        <w:t xml:space="preserve">implemented </w:t>
      </w:r>
      <w:r w:rsidR="0043213F">
        <w:rPr>
          <w:rFonts w:eastAsia="Calibri"/>
        </w:rPr>
        <w:t>in other jurisdictions.</w:t>
      </w:r>
    </w:p>
    <w:p w14:paraId="202696AD" w14:textId="2110E42B" w:rsidR="00D61C4D" w:rsidRDefault="004C6BDC" w:rsidP="00FA45FF">
      <w:pPr>
        <w:spacing w:before="96" w:after="96"/>
        <w:rPr>
          <w:rFonts w:eastAsia="Calibri"/>
          <w:bCs/>
        </w:rPr>
      </w:pPr>
      <w:r w:rsidRPr="00796782">
        <w:rPr>
          <w:rFonts w:eastAsia="Calibri"/>
          <w:bCs/>
        </w:rPr>
        <w:t>Treasury seeks views on the timing of potential reforms in Australia, particularly in reference to the developments occurring internationally.</w:t>
      </w:r>
    </w:p>
    <w:p w14:paraId="200DF979" w14:textId="77777777" w:rsidR="00D61C4D" w:rsidRDefault="00D61C4D">
      <w:pPr>
        <w:spacing w:before="0" w:after="160" w:line="259" w:lineRule="auto"/>
        <w:rPr>
          <w:rFonts w:eastAsia="Calibri"/>
          <w:bCs/>
        </w:rPr>
      </w:pPr>
      <w:r>
        <w:rPr>
          <w:rFonts w:eastAsia="Calibri"/>
          <w:bCs/>
        </w:rPr>
        <w:br w:type="page"/>
      </w:r>
    </w:p>
    <w:tbl>
      <w:tblPr>
        <w:tblStyle w:val="TableGrid"/>
        <w:tblW w:w="0" w:type="auto"/>
        <w:tblLook w:val="04A0" w:firstRow="1" w:lastRow="0" w:firstColumn="1" w:lastColumn="0" w:noHBand="0" w:noVBand="1"/>
      </w:tblPr>
      <w:tblGrid>
        <w:gridCol w:w="9070"/>
      </w:tblGrid>
      <w:tr w:rsidR="006242E5" w:rsidRPr="00FC0241" w14:paraId="0BD2C095" w14:textId="77777777" w:rsidTr="006242E5">
        <w:trPr>
          <w:cnfStyle w:val="100000000000" w:firstRow="1" w:lastRow="0" w:firstColumn="0" w:lastColumn="0" w:oddVBand="0" w:evenVBand="0" w:oddHBand="0" w:evenHBand="0" w:firstRowFirstColumn="0" w:firstRowLastColumn="0" w:lastRowFirstColumn="0" w:lastRowLastColumn="0"/>
        </w:trPr>
        <w:tc>
          <w:tcPr>
            <w:tcW w:w="9070" w:type="dxa"/>
          </w:tcPr>
          <w:p w14:paraId="0C633F99" w14:textId="4C33659E" w:rsidR="00D206C7" w:rsidRPr="00FC0241" w:rsidRDefault="004C6BDC" w:rsidP="00FA45FF">
            <w:pPr>
              <w:spacing w:before="96" w:after="96"/>
            </w:pPr>
            <w:r w:rsidRPr="00796782">
              <w:rPr>
                <w:rFonts w:eastAsia="Calibri"/>
                <w:bCs/>
              </w:rPr>
              <w:t xml:space="preserve"> </w:t>
            </w:r>
            <w:r w:rsidR="00D206C7" w:rsidRPr="00FC0241">
              <w:rPr>
                <w:rFonts w:eastAsia="Calibri"/>
              </w:rPr>
              <w:t>Questions</w:t>
            </w:r>
          </w:p>
          <w:p w14:paraId="49F771B3" w14:textId="1C80D25C" w:rsidR="00D206C7" w:rsidRPr="00D20F74" w:rsidRDefault="00D206C7" w:rsidP="00E5071B">
            <w:pPr>
              <w:pStyle w:val="OutlineNumbered1"/>
              <w:spacing w:before="96" w:after="96"/>
              <w:rPr>
                <w:rFonts w:eastAsia="Calibri"/>
                <w:b w:val="0"/>
              </w:rPr>
            </w:pPr>
            <w:r w:rsidRPr="00FC0241">
              <w:rPr>
                <w:b w:val="0"/>
                <w:bCs/>
              </w:rPr>
              <w:t xml:space="preserve">Should Australia seek to largely align with an existing or proposed international regime? If so, which is the most appropriate? </w:t>
            </w:r>
          </w:p>
          <w:p w14:paraId="17BD83AF" w14:textId="77777777" w:rsidR="002E07E9" w:rsidRPr="00D20F74" w:rsidRDefault="002E07E9" w:rsidP="00E5071B">
            <w:pPr>
              <w:pStyle w:val="OutlineNumbered1"/>
              <w:spacing w:before="96" w:after="96"/>
              <w:rPr>
                <w:rFonts w:eastAsia="Calibri"/>
                <w:b w:val="0"/>
              </w:rPr>
            </w:pPr>
            <w:r>
              <w:rPr>
                <w:b w:val="0"/>
                <w:bCs/>
              </w:rPr>
              <w:t>What are the benefits and downsides of Australia acting in advance of other countries or waiting and seeking to align with other jurisdictions?</w:t>
            </w:r>
          </w:p>
          <w:p w14:paraId="36879E5A" w14:textId="5CCFC9BC" w:rsidR="00D206C7" w:rsidRPr="00FC0241" w:rsidRDefault="002E07E9" w:rsidP="00E5071B">
            <w:pPr>
              <w:pStyle w:val="OutlineNumbered1"/>
              <w:spacing w:before="96" w:after="96"/>
              <w:rPr>
                <w:rFonts w:eastAsia="Calibri"/>
                <w:b w:val="0"/>
                <w:bCs/>
              </w:rPr>
            </w:pPr>
            <w:r>
              <w:rPr>
                <w:b w:val="0"/>
                <w:bCs/>
              </w:rPr>
              <w:t>Are there any particular aspects of the ACCC’s proposed regime that would benefit from quick action or specific alignment with other jurisdictions?</w:t>
            </w:r>
          </w:p>
        </w:tc>
      </w:tr>
    </w:tbl>
    <w:p w14:paraId="46766DE7" w14:textId="77777777" w:rsidR="00377219" w:rsidRPr="00E5071B" w:rsidRDefault="00377219" w:rsidP="00E5071B">
      <w:pPr>
        <w:rPr>
          <w:rFonts w:eastAsia="Calibri"/>
        </w:rPr>
      </w:pPr>
    </w:p>
    <w:p w14:paraId="71341165" w14:textId="5E7D5F99" w:rsidR="003C3CF9" w:rsidRPr="00E5071B" w:rsidRDefault="003C3CF9" w:rsidP="00966E84">
      <w:pPr>
        <w:pStyle w:val="OutlineNumbered1"/>
        <w:numPr>
          <w:ilvl w:val="0"/>
          <w:numId w:val="0"/>
        </w:numPr>
        <w:spacing w:beforeLines="40" w:before="96" w:afterLines="40" w:after="96"/>
        <w:ind w:left="851" w:hanging="851"/>
        <w:rPr>
          <w:color w:val="2C384A" w:themeColor="accent1"/>
          <w:sz w:val="20"/>
        </w:rPr>
      </w:pPr>
      <w:r w:rsidRPr="007E0EA6">
        <w:rPr>
          <w:rFonts w:ascii="Calibri" w:hAnsi="Calibri"/>
          <w:color w:val="2C384A"/>
          <w:sz w:val="36"/>
          <w:szCs w:val="28"/>
        </w:rPr>
        <w:br w:type="page"/>
      </w:r>
    </w:p>
    <w:p w14:paraId="6940D2D8" w14:textId="20B8EBA0" w:rsidR="00A92B52" w:rsidRDefault="00A92B52">
      <w:pPr>
        <w:spacing w:before="0" w:after="160" w:line="259" w:lineRule="auto"/>
        <w:rPr>
          <w:rFonts w:ascii="Calibri" w:hAnsi="Calibri"/>
          <w:color w:val="2C384A"/>
          <w:sz w:val="36"/>
          <w:szCs w:val="28"/>
        </w:rPr>
      </w:pPr>
      <w:r>
        <w:rPr>
          <w:rFonts w:ascii="Calibri" w:hAnsi="Calibri"/>
          <w:color w:val="2C384A"/>
          <w:sz w:val="36"/>
          <w:szCs w:val="28"/>
        </w:rPr>
        <w:t>Appendix A: International Developments</w:t>
      </w:r>
    </w:p>
    <w:p w14:paraId="4A4E8084" w14:textId="77777777" w:rsidR="00A92B52" w:rsidRDefault="00A92B52" w:rsidP="00A92B52">
      <w:pPr>
        <w:pStyle w:val="Heading4"/>
      </w:pPr>
      <w:r>
        <w:t>European Union (EU)</w:t>
      </w:r>
    </w:p>
    <w:p w14:paraId="62DD29C4" w14:textId="77777777" w:rsidR="00D439C7" w:rsidRPr="00070AE2" w:rsidRDefault="00D439C7" w:rsidP="00D439C7">
      <w:r w:rsidRPr="00070AE2">
        <w:t xml:space="preserve">The EU has recently introduced a new regulatory regime covering a broad range of digital platform services and their practices. The Digital Markets Act (DMA), </w:t>
      </w:r>
      <w:r>
        <w:t>which came into force</w:t>
      </w:r>
      <w:r w:rsidRPr="00070AE2">
        <w:t xml:space="preserve"> on </w:t>
      </w:r>
      <w:r>
        <w:t>1 November</w:t>
      </w:r>
      <w:r w:rsidRPr="00070AE2">
        <w:t xml:space="preserve"> 2022, outlines specific obligations for ‘gatekeepers’, platforms that have significant market power and presence that make them challenging for consumers to avoid using, to ensure a fair and competitive environment.</w:t>
      </w:r>
      <w:r>
        <w:rPr>
          <w:rStyle w:val="FootnoteReference"/>
        </w:rPr>
        <w:footnoteReference w:id="8"/>
      </w:r>
      <w:r w:rsidRPr="00070AE2">
        <w:t xml:space="preserve"> Gatekeepers will have </w:t>
      </w:r>
      <w:r>
        <w:t>an obligation to allow</w:t>
      </w:r>
      <w:r w:rsidRPr="00070AE2">
        <w:t xml:space="preserve"> third-party interoperability and access to data </w:t>
      </w:r>
      <w:r>
        <w:t>in certain circumstances.</w:t>
      </w:r>
      <w:r w:rsidRPr="00070AE2" w:rsidDel="00553B93">
        <w:t xml:space="preserve"> </w:t>
      </w:r>
      <w:r>
        <w:t xml:space="preserve">Gatekeepers will also be prohibited from </w:t>
      </w:r>
      <w:r w:rsidRPr="00070AE2">
        <w:t>self-preferenc</w:t>
      </w:r>
      <w:r>
        <w:t>ing</w:t>
      </w:r>
      <w:r w:rsidRPr="00070AE2">
        <w:t xml:space="preserve"> </w:t>
      </w:r>
      <w:r>
        <w:t>their</w:t>
      </w:r>
      <w:r w:rsidRPr="00070AE2">
        <w:t xml:space="preserve"> products or service, us</w:t>
      </w:r>
      <w:r>
        <w:t>ing</w:t>
      </w:r>
      <w:r w:rsidRPr="00070AE2">
        <w:t xml:space="preserve"> personal data for targeted advertising and </w:t>
      </w:r>
      <w:r>
        <w:t>preventing users from</w:t>
      </w:r>
      <w:r w:rsidRPr="00070AE2">
        <w:t xml:space="preserve"> uninstall</w:t>
      </w:r>
      <w:r>
        <w:t>ing</w:t>
      </w:r>
      <w:r w:rsidRPr="00070AE2" w:rsidDel="007F4950">
        <w:t xml:space="preserve"> </w:t>
      </w:r>
      <w:r>
        <w:t>non-essential</w:t>
      </w:r>
      <w:r w:rsidRPr="00070AE2">
        <w:t xml:space="preserve"> pre-loaded software of apps.  </w:t>
      </w:r>
    </w:p>
    <w:p w14:paraId="59982E00" w14:textId="77777777" w:rsidR="00D439C7" w:rsidRPr="00070AE2" w:rsidRDefault="00D439C7" w:rsidP="00D439C7">
      <w:r w:rsidRPr="00070AE2">
        <w:t>Although there remains significant work to be done relating to how the DMA will be implemented and adminis</w:t>
      </w:r>
      <w:r>
        <w:t>tered</w:t>
      </w:r>
      <w:r w:rsidRPr="00070AE2">
        <w:t xml:space="preserve">, the </w:t>
      </w:r>
      <w:r>
        <w:t>rules</w:t>
      </w:r>
      <w:r w:rsidRPr="00070AE2">
        <w:t xml:space="preserve"> will begin</w:t>
      </w:r>
      <w:r>
        <w:t xml:space="preserve"> to</w:t>
      </w:r>
      <w:r w:rsidRPr="00070AE2">
        <w:t xml:space="preserve"> apply in </w:t>
      </w:r>
      <w:r>
        <w:t>May</w:t>
      </w:r>
      <w:r w:rsidRPr="00070AE2">
        <w:t xml:space="preserve"> 2023</w:t>
      </w:r>
      <w:r>
        <w:t>, and the designation of gatekeepers by September 2023.</w:t>
      </w:r>
      <w:r w:rsidRPr="00070AE2">
        <w:t xml:space="preserve"> Once designated, gatekeepers will have to comply with the obligations under the DMA within six months</w:t>
      </w:r>
      <w:r>
        <w:t xml:space="preserve"> (approximately March 2024). </w:t>
      </w:r>
    </w:p>
    <w:p w14:paraId="3E29A21F" w14:textId="7043C5D4" w:rsidR="00D439C7" w:rsidRDefault="00D439C7" w:rsidP="00D439C7">
      <w:pPr>
        <w:spacing w:before="0" w:after="160" w:line="259" w:lineRule="auto"/>
      </w:pPr>
      <w:r w:rsidRPr="00070AE2">
        <w:t>Concurrently the Digital Services Act (DSA),</w:t>
      </w:r>
      <w:r>
        <w:t xml:space="preserve"> which came into force on 16 November 2022, focuses</w:t>
      </w:r>
      <w:r w:rsidRPr="00070AE2">
        <w:t xml:space="preserve"> on online safety, illegal content and protecting users. Similar to the DMA, service providers are required to adhere to obligations proportionate to their influence and size.</w:t>
      </w:r>
      <w:r>
        <w:rPr>
          <w:rStyle w:val="FootnoteReference"/>
        </w:rPr>
        <w:footnoteReference w:id="9"/>
      </w:r>
      <w:r w:rsidRPr="00070AE2">
        <w:t xml:space="preserve"> </w:t>
      </w:r>
    </w:p>
    <w:p w14:paraId="258DB03A" w14:textId="2E090105" w:rsidR="00A92B52" w:rsidRPr="003E16EE" w:rsidRDefault="00A92B52" w:rsidP="00FA45FF">
      <w:pPr>
        <w:spacing w:before="0" w:after="160" w:line="259" w:lineRule="auto"/>
        <w:rPr>
          <w:rFonts w:cs="Arial"/>
          <w:color w:val="4D7861" w:themeColor="accent2"/>
          <w:kern w:val="32"/>
          <w:sz w:val="24"/>
          <w:szCs w:val="26"/>
        </w:rPr>
      </w:pPr>
      <w:r w:rsidRPr="003E16EE">
        <w:rPr>
          <w:rFonts w:cs="Arial"/>
          <w:color w:val="4D7861" w:themeColor="accent2"/>
          <w:kern w:val="32"/>
          <w:sz w:val="24"/>
          <w:szCs w:val="26"/>
        </w:rPr>
        <w:t>United Kingdom (UK)</w:t>
      </w:r>
    </w:p>
    <w:p w14:paraId="1177371A" w14:textId="74DA0054" w:rsidR="007F4950" w:rsidRDefault="00A92B52" w:rsidP="00A92B52">
      <w:r>
        <w:t>The current UK Government has established the Digital Markets Unit (DMU) within the Competition and Markets Authority (CMA)</w:t>
      </w:r>
      <w:r w:rsidR="006D52BC">
        <w:t>. The DMU’s</w:t>
      </w:r>
      <w:r w:rsidDel="006D52BC">
        <w:t xml:space="preserve"> </w:t>
      </w:r>
      <w:r>
        <w:t xml:space="preserve">purpose </w:t>
      </w:r>
      <w:r w:rsidR="006D52BC">
        <w:t>is to be</w:t>
      </w:r>
      <w:r>
        <w:t xml:space="preserve"> the centre of expertise for digital markets, have capabilities to understand the business models of digital firms and the incentives driving how these firms operate.</w:t>
      </w:r>
      <w:r>
        <w:rPr>
          <w:rStyle w:val="FootnoteReference"/>
        </w:rPr>
        <w:t>1</w:t>
      </w:r>
      <w:r>
        <w:t xml:space="preserve"> This will involve the DMU hav</w:t>
      </w:r>
      <w:r w:rsidR="006D52BC">
        <w:t>ing</w:t>
      </w:r>
      <w:r>
        <w:t xml:space="preserve"> oversight and enforcement capabilities over the proposed regime, and discretion to designate firms with strategic market status (SMS)</w:t>
      </w:r>
      <w:r w:rsidR="006D0599">
        <w:t xml:space="preserve"> for particular services</w:t>
      </w:r>
      <w:r>
        <w:t xml:space="preserve">. </w:t>
      </w:r>
    </w:p>
    <w:p w14:paraId="47AE60FC" w14:textId="7831DA24" w:rsidR="00A92B52" w:rsidRDefault="00A92B52" w:rsidP="00A92B52">
      <w:r>
        <w:t xml:space="preserve">SMS will be based on thresholds such as revenue, </w:t>
      </w:r>
      <w:r w:rsidR="00BC30C2">
        <w:t xml:space="preserve">as well as </w:t>
      </w:r>
      <w:r>
        <w:t>evidence of market power and strategic position and scope of digital activities.</w:t>
      </w:r>
      <w:r>
        <w:rPr>
          <w:rStyle w:val="FootnoteReference"/>
        </w:rPr>
        <w:footnoteReference w:id="10"/>
      </w:r>
      <w:r>
        <w:t xml:space="preserve"> The passage of the Markets, Competition and Consumer Bill will provide the DMU with these oversight responsibilities</w:t>
      </w:r>
      <w:r w:rsidR="007F4950">
        <w:t xml:space="preserve"> and allow them to </w:t>
      </w:r>
      <w:r w:rsidR="009F7F73">
        <w:t xml:space="preserve">subject </w:t>
      </w:r>
      <w:r w:rsidR="002D3327">
        <w:t>firms with SMS</w:t>
      </w:r>
      <w:r w:rsidR="009F7F73">
        <w:t xml:space="preserve"> to specific conduct requirements</w:t>
      </w:r>
      <w:r>
        <w:t xml:space="preserve">. </w:t>
      </w:r>
      <w:r w:rsidR="009F7F73">
        <w:t>These requirements would</w:t>
      </w:r>
      <w:r w:rsidR="002D3327">
        <w:t xml:space="preserve"> be tailored to each firm but would</w:t>
      </w:r>
      <w:r w:rsidR="009F7F73">
        <w:t xml:space="preserve"> be </w:t>
      </w:r>
      <w:r w:rsidR="002D3327">
        <w:t>subject to the overarching objectives of fair trading, open choices, and trust and transparency. These conduct requirements are to be developed during the SMS designation process, with the DMU envisioning the firm and other stakeholders being involved in the process of developing these requirements.</w:t>
      </w:r>
      <w:r w:rsidR="007F4950">
        <w:t xml:space="preserve"> </w:t>
      </w:r>
    </w:p>
    <w:p w14:paraId="490173C5" w14:textId="02F6A1C1" w:rsidR="00070AE2" w:rsidRPr="00A92B52" w:rsidRDefault="00A92B52" w:rsidP="00A92B52">
      <w:pPr>
        <w:spacing w:before="0" w:after="160" w:line="259" w:lineRule="auto"/>
        <w:rPr>
          <w:rFonts w:ascii="Calibri" w:hAnsi="Calibri"/>
          <w:color w:val="2C384A"/>
          <w:sz w:val="36"/>
          <w:szCs w:val="28"/>
        </w:rPr>
      </w:pPr>
      <w:r>
        <w:t>The UK Government has also introduced the Online Safety Bill, legislation comparable to the EU DSA, which establishes a new regime to address illegal content, content that is harmful to children and harmful content to adults.</w:t>
      </w:r>
      <w:r>
        <w:rPr>
          <w:rStyle w:val="FootnoteReference"/>
        </w:rPr>
        <w:footnoteReference w:id="11"/>
      </w:r>
      <w:r>
        <w:t xml:space="preserve"> The Bill is expected to pass in early 2023, with the Office of Communications having oversight and enforcement capabilities</w:t>
      </w:r>
      <w:r w:rsidR="00EE5DA8">
        <w:t>.</w:t>
      </w:r>
      <w:r w:rsidR="00070AE2">
        <w:rPr>
          <w:rFonts w:ascii="Calibri" w:hAnsi="Calibri"/>
          <w:color w:val="2C384A"/>
          <w:sz w:val="36"/>
          <w:szCs w:val="28"/>
        </w:rPr>
        <w:br w:type="page"/>
      </w:r>
    </w:p>
    <w:tbl>
      <w:tblPr>
        <w:tblStyle w:val="TableGrid"/>
        <w:tblpPr w:leftFromText="180" w:rightFromText="180" w:vertAnchor="text" w:tblpY="51"/>
        <w:tblW w:w="0" w:type="auto"/>
        <w:tblLook w:val="04A0" w:firstRow="1" w:lastRow="0" w:firstColumn="1" w:lastColumn="0" w:noHBand="0" w:noVBand="1"/>
      </w:tblPr>
      <w:tblGrid>
        <w:gridCol w:w="9070"/>
      </w:tblGrid>
      <w:tr w:rsidR="00274B5B" w14:paraId="38F17BFA" w14:textId="77777777" w:rsidTr="002D02CD">
        <w:trPr>
          <w:cnfStyle w:val="100000000000" w:firstRow="1" w:lastRow="0" w:firstColumn="0" w:lastColumn="0" w:oddVBand="0" w:evenVBand="0" w:oddHBand="0" w:evenHBand="0" w:firstRowFirstColumn="0" w:firstRowLastColumn="0" w:lastRowFirstColumn="0" w:lastRowLastColumn="0"/>
        </w:trPr>
        <w:tc>
          <w:tcPr>
            <w:tcW w:w="9070" w:type="dxa"/>
          </w:tcPr>
          <w:p w14:paraId="49EAF43C" w14:textId="24208BE7" w:rsidR="008942F2" w:rsidRPr="00FA45FF" w:rsidRDefault="008942F2" w:rsidP="002D02CD">
            <w:pPr>
              <w:pStyle w:val="Heading4"/>
              <w:spacing w:before="96" w:after="96"/>
              <w:outlineLvl w:val="3"/>
              <w:rPr>
                <w:rFonts w:cs="Times New Roman"/>
                <w:color w:val="2C384A" w:themeColor="accent1"/>
                <w:kern w:val="0"/>
                <w:sz w:val="20"/>
                <w:szCs w:val="20"/>
              </w:rPr>
            </w:pPr>
            <w:r w:rsidRPr="00FA45FF">
              <w:rPr>
                <w:rFonts w:cs="Times New Roman"/>
                <w:color w:val="2C384A" w:themeColor="accent1"/>
                <w:kern w:val="0"/>
                <w:sz w:val="20"/>
                <w:szCs w:val="20"/>
              </w:rPr>
              <w:t xml:space="preserve">Box </w:t>
            </w:r>
            <w:r w:rsidR="003F4ED4">
              <w:rPr>
                <w:rFonts w:cs="Times New Roman"/>
                <w:color w:val="2C384A" w:themeColor="accent1"/>
                <w:kern w:val="0"/>
                <w:sz w:val="20"/>
                <w:szCs w:val="20"/>
              </w:rPr>
              <w:t>2</w:t>
            </w:r>
          </w:p>
          <w:p w14:paraId="59E938BB" w14:textId="2381E996" w:rsidR="00274B5B" w:rsidRDefault="00826AF8" w:rsidP="002D02CD">
            <w:pPr>
              <w:pStyle w:val="Heading4"/>
              <w:spacing w:before="96" w:after="96"/>
              <w:outlineLvl w:val="3"/>
              <w:rPr>
                <w:b w:val="0"/>
              </w:rPr>
            </w:pPr>
            <w:r>
              <w:t xml:space="preserve">Notable enforcement actions </w:t>
            </w:r>
          </w:p>
          <w:p w14:paraId="172218DC" w14:textId="1A557583" w:rsidR="00A6577C" w:rsidRPr="00826AF8" w:rsidRDefault="006A1E0F" w:rsidP="00826AF8">
            <w:pPr>
              <w:pStyle w:val="Bullet"/>
              <w:spacing w:before="96" w:after="96"/>
              <w:rPr>
                <w:b w:val="0"/>
              </w:rPr>
            </w:pPr>
            <w:r>
              <w:rPr>
                <w:b w:val="0"/>
              </w:rPr>
              <w:t>On</w:t>
            </w:r>
            <w:r w:rsidR="00826AF8">
              <w:rPr>
                <w:b w:val="0"/>
              </w:rPr>
              <w:t xml:space="preserve"> 18 October 2022, the </w:t>
            </w:r>
            <w:r w:rsidR="00826AF8" w:rsidRPr="00B411D5">
              <w:t>U</w:t>
            </w:r>
            <w:r w:rsidR="00A968C8">
              <w:t xml:space="preserve">nited </w:t>
            </w:r>
            <w:r w:rsidR="00826AF8" w:rsidRPr="00B411D5">
              <w:t>K</w:t>
            </w:r>
            <w:r w:rsidR="00A968C8">
              <w:t>ingdom</w:t>
            </w:r>
            <w:r w:rsidR="00826AF8">
              <w:rPr>
                <w:b w:val="0"/>
              </w:rPr>
              <w:t xml:space="preserve"> CMA ordered</w:t>
            </w:r>
            <w:r w:rsidR="00826AF8" w:rsidRPr="00F47176">
              <w:rPr>
                <w:b w:val="0"/>
              </w:rPr>
              <w:t xml:space="preserve"> Meta to divest from GIPHY to remedy the harm the merger would cause to competition</w:t>
            </w:r>
            <w:r w:rsidR="00865C1E">
              <w:rPr>
                <w:b w:val="0"/>
              </w:rPr>
              <w:t xml:space="preserve"> in </w:t>
            </w:r>
            <w:r w:rsidR="005C1F45">
              <w:rPr>
                <w:b w:val="0"/>
              </w:rPr>
              <w:t>both the display ad</w:t>
            </w:r>
            <w:r w:rsidR="009D1209">
              <w:rPr>
                <w:b w:val="0"/>
              </w:rPr>
              <w:t>vertising</w:t>
            </w:r>
            <w:r w:rsidR="005C1F45">
              <w:rPr>
                <w:b w:val="0"/>
              </w:rPr>
              <w:t xml:space="preserve"> and social media markets</w:t>
            </w:r>
            <w:r w:rsidR="005D29EC">
              <w:rPr>
                <w:b w:val="0"/>
              </w:rPr>
              <w:t>.</w:t>
            </w:r>
            <w:r w:rsidR="00826AF8" w:rsidRPr="00F47176">
              <w:rPr>
                <w:rStyle w:val="FootnoteReference"/>
                <w:b w:val="0"/>
              </w:rPr>
              <w:footnoteReference w:id="12"/>
            </w:r>
            <w:r w:rsidR="00A6577C" w:rsidRPr="00F47176">
              <w:rPr>
                <w:b w:val="0"/>
              </w:rPr>
              <w:t xml:space="preserve"> </w:t>
            </w:r>
            <w:r w:rsidR="00826AF8">
              <w:rPr>
                <w:b w:val="0"/>
              </w:rPr>
              <w:t>T</w:t>
            </w:r>
            <w:r w:rsidR="00A6577C" w:rsidRPr="00F47176">
              <w:rPr>
                <w:b w:val="0"/>
              </w:rPr>
              <w:t xml:space="preserve">he evidence concluded </w:t>
            </w:r>
            <w:r w:rsidR="009E505B" w:rsidRPr="00F47176">
              <w:rPr>
                <w:b w:val="0"/>
              </w:rPr>
              <w:t xml:space="preserve">that the merger would result in </w:t>
            </w:r>
            <w:r w:rsidR="00777DCC" w:rsidRPr="00F47176">
              <w:rPr>
                <w:b w:val="0"/>
              </w:rPr>
              <w:t>substantial lessening of competition in advertising, due to horizontal unilateral effects in the form of a loss of dynamic competition</w:t>
            </w:r>
            <w:r w:rsidR="00A6577C" w:rsidRPr="00F47176">
              <w:rPr>
                <w:b w:val="0"/>
              </w:rPr>
              <w:t>;</w:t>
            </w:r>
            <w:r w:rsidR="00777DCC" w:rsidRPr="00F47176">
              <w:rPr>
                <w:b w:val="0"/>
              </w:rPr>
              <w:t xml:space="preserve"> and </w:t>
            </w:r>
            <w:r w:rsidR="00B10C55" w:rsidRPr="00F47176">
              <w:rPr>
                <w:b w:val="0"/>
              </w:rPr>
              <w:t xml:space="preserve">in </w:t>
            </w:r>
            <w:r w:rsidR="00777DCC" w:rsidRPr="00F47176">
              <w:rPr>
                <w:b w:val="0"/>
              </w:rPr>
              <w:t xml:space="preserve">social media services as a result of </w:t>
            </w:r>
            <w:r w:rsidR="00C01C73" w:rsidRPr="00F47176">
              <w:rPr>
                <w:b w:val="0"/>
              </w:rPr>
              <w:t>vertical effects on competition arising from input foreclosure.</w:t>
            </w:r>
          </w:p>
          <w:p w14:paraId="1A78AE3B" w14:textId="150596A9" w:rsidR="00826AF8" w:rsidRPr="003C0C1C" w:rsidRDefault="006A1E0F" w:rsidP="00826AF8">
            <w:pPr>
              <w:pStyle w:val="Bullet"/>
              <w:spacing w:before="96" w:after="96"/>
              <w:rPr>
                <w:b w:val="0"/>
              </w:rPr>
            </w:pPr>
            <w:r>
              <w:rPr>
                <w:b w:val="0"/>
              </w:rPr>
              <w:t>On 2 May</w:t>
            </w:r>
            <w:r w:rsidR="00826AF8">
              <w:rPr>
                <w:b w:val="0"/>
              </w:rPr>
              <w:t xml:space="preserve"> 202</w:t>
            </w:r>
            <w:r>
              <w:rPr>
                <w:b w:val="0"/>
              </w:rPr>
              <w:t>2</w:t>
            </w:r>
            <w:r w:rsidR="00826AF8">
              <w:rPr>
                <w:b w:val="0"/>
              </w:rPr>
              <w:t xml:space="preserve">, the </w:t>
            </w:r>
            <w:r w:rsidR="00826AF8" w:rsidRPr="00B411D5">
              <w:t>European Commission</w:t>
            </w:r>
            <w:r>
              <w:rPr>
                <w:b w:val="0"/>
              </w:rPr>
              <w:t xml:space="preserve"> </w:t>
            </w:r>
            <w:r>
              <w:rPr>
                <w:b w:val="0"/>
                <w:bCs/>
              </w:rPr>
              <w:t xml:space="preserve">viewed Apple’s dominant position in the market for mobile wallets </w:t>
            </w:r>
            <w:r w:rsidR="00992B60">
              <w:rPr>
                <w:b w:val="0"/>
                <w:bCs/>
              </w:rPr>
              <w:t>as exclusionary due to third-party restrictions to its near-field communication (NFC)</w:t>
            </w:r>
            <w:r w:rsidR="003F161A">
              <w:rPr>
                <w:b w:val="0"/>
                <w:bCs/>
              </w:rPr>
              <w:t xml:space="preserve"> technology</w:t>
            </w:r>
            <w:r w:rsidR="00992B60">
              <w:rPr>
                <w:b w:val="0"/>
                <w:bCs/>
              </w:rPr>
              <w:t>.</w:t>
            </w:r>
            <w:r w:rsidR="00DC1E35">
              <w:rPr>
                <w:rStyle w:val="FootnoteReference"/>
                <w:b w:val="0"/>
                <w:bCs/>
              </w:rPr>
              <w:footnoteReference w:id="13"/>
            </w:r>
            <w:r w:rsidR="00F72401">
              <w:rPr>
                <w:b w:val="0"/>
                <w:bCs/>
              </w:rPr>
              <w:t xml:space="preserve"> Apple’s conduct may infringe on Article 102 of the Treaty on the Functioning of the European Union, which prohibits the abuse of a dominant position</w:t>
            </w:r>
            <w:r w:rsidR="001F0576">
              <w:rPr>
                <w:b w:val="0"/>
                <w:bCs/>
              </w:rPr>
              <w:t>.</w:t>
            </w:r>
          </w:p>
          <w:p w14:paraId="5F64CBF6" w14:textId="18A9D508" w:rsidR="00274B5B" w:rsidRPr="00120B63" w:rsidRDefault="00A968C8" w:rsidP="002D02CD">
            <w:pPr>
              <w:pStyle w:val="Bullet"/>
              <w:spacing w:before="96" w:after="96"/>
              <w:rPr>
                <w:b w:val="0"/>
              </w:rPr>
            </w:pPr>
            <w:r>
              <w:rPr>
                <w:b w:val="0"/>
              </w:rPr>
              <w:t xml:space="preserve">On 10 November 2021, the General Court of the </w:t>
            </w:r>
            <w:r w:rsidRPr="00865C1E">
              <w:t>European Union</w:t>
            </w:r>
            <w:r>
              <w:rPr>
                <w:b w:val="0"/>
              </w:rPr>
              <w:t xml:space="preserve"> found Google abused its dominant position in online general search services by self-preferencing its shopping services, in 13 European countries. This investigation began in 2017 and has resulted in Google paying </w:t>
            </w:r>
            <w:r w:rsidR="001A0620">
              <w:rPr>
                <w:b w:val="0"/>
              </w:rPr>
              <w:t>an approximate 2.4 billion EUR fine.</w:t>
            </w:r>
            <w:r w:rsidR="001A0620">
              <w:rPr>
                <w:rStyle w:val="FootnoteReference"/>
                <w:b w:val="0"/>
              </w:rPr>
              <w:footnoteReference w:id="14"/>
            </w:r>
            <w:r w:rsidR="001A0620">
              <w:rPr>
                <w:b w:val="0"/>
              </w:rPr>
              <w:t xml:space="preserve"> </w:t>
            </w:r>
          </w:p>
        </w:tc>
      </w:tr>
    </w:tbl>
    <w:p w14:paraId="232DF6F8" w14:textId="77777777" w:rsidR="00274B5B" w:rsidRDefault="00274B5B" w:rsidP="00274B5B">
      <w:pPr>
        <w:pStyle w:val="Heading4"/>
      </w:pPr>
      <w:r>
        <w:t>United States (US)</w:t>
      </w:r>
    </w:p>
    <w:p w14:paraId="35685712" w14:textId="77777777" w:rsidR="00274B5B" w:rsidRDefault="00274B5B" w:rsidP="00070AE2">
      <w:r w:rsidRPr="00E35AB8">
        <w:t>In June 2021, the US House Antitrust Subcommittee introduced several bipartisan bills directed at countering the anti-competitive practices of large digital platforms</w:t>
      </w:r>
      <w:r>
        <w:t xml:space="preserve"> including </w:t>
      </w:r>
      <w:r w:rsidRPr="00E35AB8">
        <w:t xml:space="preserve">the American Choice and Innovation Online Act and Open </w:t>
      </w:r>
      <w:r>
        <w:t xml:space="preserve">App </w:t>
      </w:r>
      <w:r w:rsidRPr="00E35AB8">
        <w:t>Markets Act.</w:t>
      </w:r>
      <w:r>
        <w:rPr>
          <w:rStyle w:val="FootnoteReference"/>
        </w:rPr>
        <w:footnoteReference w:id="15"/>
      </w:r>
      <w:r w:rsidRPr="00E35AB8">
        <w:t xml:space="preserve"> A number of these bills </w:t>
      </w:r>
      <w:r>
        <w:t>enable</w:t>
      </w:r>
      <w:r w:rsidRPr="00E35AB8">
        <w:t xml:space="preserve"> the US Federal Trade Commission</w:t>
      </w:r>
      <w:r>
        <w:t xml:space="preserve"> (FTC)</w:t>
      </w:r>
      <w:r w:rsidRPr="00E35AB8">
        <w:t xml:space="preserve"> </w:t>
      </w:r>
      <w:r>
        <w:t>to</w:t>
      </w:r>
      <w:r w:rsidRPr="00E35AB8">
        <w:t xml:space="preserve"> designate a platform as a ‘covered digital platform’ based on the size of its US consumer or business user bases, net annual sales or market capitalisation, and position as a critical trading partner</w:t>
      </w:r>
      <w:r>
        <w:t xml:space="preserve">. However, these and other bills are yet to progress to the floor of either house for a vote, and their passage remains uncertain. </w:t>
      </w:r>
    </w:p>
    <w:p w14:paraId="7EE1123F" w14:textId="77777777" w:rsidR="00274B5B" w:rsidRDefault="00274B5B" w:rsidP="00070AE2">
      <w:r>
        <w:t xml:space="preserve">Despite a lack of progress in sector specific regulation, the </w:t>
      </w:r>
      <w:r w:rsidRPr="0098343C">
        <w:t xml:space="preserve">Department of Justice and </w:t>
      </w:r>
      <w:r>
        <w:t xml:space="preserve">the </w:t>
      </w:r>
      <w:r w:rsidRPr="0098343C">
        <w:t>FTC have been active in enforcing antitrust laws on technology companies and digital services</w:t>
      </w:r>
      <w:r>
        <w:t>, with the FTC in particular taking a forward-looking approach to new technology when examining potential issues with mergers.</w:t>
      </w:r>
    </w:p>
    <w:p w14:paraId="1B85EA62" w14:textId="2A66D61B" w:rsidR="00274B5B" w:rsidRPr="00A25362" w:rsidRDefault="00274B5B" w:rsidP="00070AE2">
      <w:r>
        <w:t xml:space="preserve">Some action on digital regulation has been taken at a state level, with California passing the </w:t>
      </w:r>
      <w:r w:rsidRPr="00E5071B">
        <w:rPr>
          <w:i/>
          <w:iCs/>
        </w:rPr>
        <w:t>California Consumer Privacy Act</w:t>
      </w:r>
      <w:r>
        <w:t>, which took effect in 2020.</w:t>
      </w:r>
      <w:r>
        <w:rPr>
          <w:rStyle w:val="FootnoteReference"/>
        </w:rPr>
        <w:footnoteReference w:id="16"/>
      </w:r>
      <w:r>
        <w:t xml:space="preserve"> This allows users to request the deletion of their data and obliges companies to disclose data collection and to provide equal pricing and service. </w:t>
      </w:r>
    </w:p>
    <w:p w14:paraId="7B7D6FDD" w14:textId="77777777" w:rsidR="00274B5B" w:rsidRDefault="00274B5B" w:rsidP="00274B5B">
      <w:pPr>
        <w:pStyle w:val="Heading4"/>
      </w:pPr>
      <w:r>
        <w:t xml:space="preserve">South </w:t>
      </w:r>
      <w:r w:rsidRPr="00A829E3">
        <w:t>Korea</w:t>
      </w:r>
    </w:p>
    <w:p w14:paraId="16396F51" w14:textId="7932ECB0" w:rsidR="00274B5B" w:rsidRPr="002D02CD" w:rsidRDefault="00274B5B" w:rsidP="00070AE2">
      <w:pPr>
        <w:rPr>
          <w:rFonts w:eastAsia="Calibri"/>
        </w:rPr>
      </w:pPr>
      <w:r w:rsidRPr="002D02CD">
        <w:rPr>
          <w:rFonts w:eastAsia="Calibri"/>
        </w:rPr>
        <w:t xml:space="preserve">In August 2021, </w:t>
      </w:r>
      <w:r w:rsidRPr="000E32FE">
        <w:rPr>
          <w:rFonts w:eastAsia="Calibri"/>
        </w:rPr>
        <w:t>South Korea amend</w:t>
      </w:r>
      <w:r w:rsidRPr="002D02CD">
        <w:rPr>
          <w:rFonts w:eastAsia="Calibri"/>
        </w:rPr>
        <w:t>ed</w:t>
      </w:r>
      <w:r w:rsidRPr="000E32FE">
        <w:rPr>
          <w:rFonts w:eastAsia="Calibri"/>
        </w:rPr>
        <w:t xml:space="preserve"> </w:t>
      </w:r>
      <w:r w:rsidRPr="002D02CD">
        <w:rPr>
          <w:rFonts w:eastAsia="Calibri"/>
        </w:rPr>
        <w:t>its</w:t>
      </w:r>
      <w:r w:rsidRPr="000E32FE">
        <w:rPr>
          <w:rFonts w:eastAsia="Calibri"/>
        </w:rPr>
        <w:t xml:space="preserve"> </w:t>
      </w:r>
      <w:r w:rsidRPr="000E32FE">
        <w:rPr>
          <w:rFonts w:eastAsia="Calibri"/>
          <w:i/>
        </w:rPr>
        <w:t>Telecommunications Business Act</w:t>
      </w:r>
      <w:r w:rsidRPr="000E32FE">
        <w:rPr>
          <w:rFonts w:eastAsia="Calibri"/>
        </w:rPr>
        <w:t xml:space="preserve"> </w:t>
      </w:r>
      <w:r w:rsidRPr="002D02CD">
        <w:rPr>
          <w:rFonts w:eastAsia="Calibri"/>
        </w:rPr>
        <w:t xml:space="preserve">to </w:t>
      </w:r>
      <w:r w:rsidRPr="000E32FE">
        <w:rPr>
          <w:rFonts w:eastAsia="Calibri"/>
        </w:rPr>
        <w:t>require major app store operators such as Apple and Google to unbundle the use of their proprietary in-app payment systems from the use of app distribution servic</w:t>
      </w:r>
      <w:r w:rsidRPr="004D6B9B">
        <w:rPr>
          <w:rFonts w:eastAsia="Calibri"/>
        </w:rPr>
        <w:t>es</w:t>
      </w:r>
      <w:r w:rsidRPr="00AE52EE">
        <w:rPr>
          <w:rFonts w:eastAsia="Calibri"/>
        </w:rPr>
        <w:t>.</w:t>
      </w:r>
      <w:r w:rsidR="004D6B9B">
        <w:rPr>
          <w:rStyle w:val="FootnoteReference"/>
          <w:rFonts w:eastAsia="Calibri"/>
        </w:rPr>
        <w:footnoteReference w:id="17"/>
      </w:r>
      <w:r w:rsidRPr="002D02CD">
        <w:rPr>
          <w:rFonts w:eastAsia="Calibri"/>
        </w:rPr>
        <w:t xml:space="preserve"> </w:t>
      </w:r>
    </w:p>
    <w:p w14:paraId="34703DFC" w14:textId="77777777" w:rsidR="00274B5B" w:rsidRDefault="00274B5B" w:rsidP="00274B5B">
      <w:pPr>
        <w:pStyle w:val="Heading4"/>
      </w:pPr>
      <w:r>
        <w:t>Germany</w:t>
      </w:r>
    </w:p>
    <w:p w14:paraId="5106B1EE" w14:textId="77777777" w:rsidR="00274B5B" w:rsidRDefault="00274B5B" w:rsidP="00070AE2">
      <w:pPr>
        <w:rPr>
          <w:rFonts w:eastAsia="Calibri"/>
        </w:rPr>
      </w:pPr>
      <w:r>
        <w:rPr>
          <w:rFonts w:eastAsia="Calibri"/>
        </w:rPr>
        <w:t xml:space="preserve">Germany’s antitrust laws are governed by the German Act against Restraints of Competition (ARC). </w:t>
      </w:r>
      <w:r w:rsidRPr="001338CD">
        <w:rPr>
          <w:rFonts w:eastAsia="Calibri"/>
        </w:rPr>
        <w:t xml:space="preserve">In early 2021, </w:t>
      </w:r>
      <w:r>
        <w:rPr>
          <w:rFonts w:eastAsia="Calibri"/>
        </w:rPr>
        <w:t>amendments were made to these laws, the most significant being the ability for the Federal Cartel Office (Bundeskartellamt), to intervene early in instances where competition is threatened by large digital companies, and the ability to prohibit certain conduct, such as self-preferencing of services and manipulating data to impede new entrants into the market.</w:t>
      </w:r>
      <w:r>
        <w:rPr>
          <w:rStyle w:val="FootnoteReference"/>
          <w:rFonts w:eastAsia="Calibri"/>
        </w:rPr>
        <w:footnoteReference w:id="18"/>
      </w:r>
      <w:r>
        <w:rPr>
          <w:rFonts w:eastAsia="Calibri"/>
        </w:rPr>
        <w:t xml:space="preserve"> </w:t>
      </w:r>
    </w:p>
    <w:p w14:paraId="08E4D8F2" w14:textId="65D5DA1D" w:rsidR="00274B5B" w:rsidRDefault="00274B5B" w:rsidP="00070AE2">
      <w:pPr>
        <w:rPr>
          <w:rFonts w:eastAsia="Calibri"/>
        </w:rPr>
      </w:pPr>
      <w:r>
        <w:rPr>
          <w:rFonts w:eastAsia="Calibri"/>
        </w:rPr>
        <w:t xml:space="preserve">Other amendments include more specific provisions for control of abusive conduct, with the inclusion of internet-specific criteria, the requirement to take into account the inclusion of access to data and intermediary power when assessing market power, companies being subject to merger control if they meet higher turnover thresholds and shortening the legal process by taking proceedings directly to </w:t>
      </w:r>
      <w:r w:rsidRPr="003C1324">
        <w:rPr>
          <w:rFonts w:eastAsia="Calibri"/>
        </w:rPr>
        <w:t>the Federal Court of Justice</w:t>
      </w:r>
      <w:r>
        <w:rPr>
          <w:rFonts w:eastAsia="Calibri"/>
        </w:rPr>
        <w:t xml:space="preserve"> for</w:t>
      </w:r>
      <w:r w:rsidRPr="003C1324">
        <w:rPr>
          <w:rFonts w:eastAsia="Calibri"/>
        </w:rPr>
        <w:t xml:space="preserve"> any appeals against decisions by the Federal Cartel Office</w:t>
      </w:r>
      <w:r>
        <w:rPr>
          <w:rFonts w:eastAsia="Calibri"/>
        </w:rPr>
        <w:t xml:space="preserve">. </w:t>
      </w:r>
    </w:p>
    <w:p w14:paraId="4E637B74" w14:textId="77777777" w:rsidR="00274B5B" w:rsidRDefault="00274B5B" w:rsidP="00274B5B">
      <w:pPr>
        <w:pStyle w:val="Heading4"/>
      </w:pPr>
      <w:r>
        <w:t>Japan</w:t>
      </w:r>
    </w:p>
    <w:p w14:paraId="1F8EF933" w14:textId="40A84646" w:rsidR="00274B5B" w:rsidRDefault="00274B5B" w:rsidP="00070AE2">
      <w:pPr>
        <w:rPr>
          <w:rFonts w:eastAsia="Calibri"/>
        </w:rPr>
      </w:pPr>
      <w:r>
        <w:rPr>
          <w:rFonts w:eastAsia="Calibri"/>
        </w:rPr>
        <w:t>The Act of Improving Transparency and Fairness of Digital Platforms came into effect in early 2021. It requires platforms defined by certain characteristics (‘specified digital platforms’) to disclose contract terms and make efforts to voluntarily adhere to procedures and systems based on the guidelines by the Minister of Economy, Trade and Industry.</w:t>
      </w:r>
      <w:r>
        <w:rPr>
          <w:rStyle w:val="FootnoteReference"/>
          <w:rFonts w:eastAsia="Calibri"/>
        </w:rPr>
        <w:footnoteReference w:id="19"/>
      </w:r>
      <w:r>
        <w:rPr>
          <w:rFonts w:eastAsia="Calibri"/>
        </w:rPr>
        <w:t xml:space="preserve"> The Act requires the Minister to conduct a yearly review and publish the results on the disclosure of the designated platforms. Under the Act, the Minister can request the Japan Fair Trade Commission to take action against cases where they are in violation of the </w:t>
      </w:r>
      <w:r w:rsidRPr="00B542B9">
        <w:rPr>
          <w:rFonts w:eastAsia="Calibri"/>
          <w:i/>
          <w:iCs/>
        </w:rPr>
        <w:t>Antimonopoly Act</w:t>
      </w:r>
      <w:r>
        <w:rPr>
          <w:rFonts w:eastAsia="Calibri"/>
        </w:rPr>
        <w:t>.</w:t>
      </w:r>
    </w:p>
    <w:p w14:paraId="4AFAEDBF" w14:textId="77777777" w:rsidR="00274B5B" w:rsidRDefault="00274B5B" w:rsidP="00070AE2">
      <w:pPr>
        <w:rPr>
          <w:rFonts w:eastAsia="Calibri"/>
        </w:rPr>
      </w:pPr>
      <w:r>
        <w:rPr>
          <w:rFonts w:eastAsia="Calibri"/>
        </w:rPr>
        <w:t>In April 2021, platforms that facilitate online shopping (Amazon, Rakuten Group and Yahoo Japan) and operate app stores (Apple and Google) were designated. Following a report into Evaluation of Competition in the Digital Advertising Market, a Cabinet decision in July 2022 resulted in the designation of certain media-integrated and ad intermediary platforms.</w:t>
      </w:r>
      <w:r>
        <w:rPr>
          <w:rStyle w:val="FootnoteReference"/>
          <w:rFonts w:eastAsia="Calibri"/>
        </w:rPr>
        <w:footnoteReference w:id="20"/>
      </w:r>
      <w:r>
        <w:rPr>
          <w:rFonts w:eastAsia="Calibri"/>
        </w:rPr>
        <w:t xml:space="preserve"> </w:t>
      </w:r>
    </w:p>
    <w:p w14:paraId="177F9886" w14:textId="77777777" w:rsidR="00274B5B" w:rsidRDefault="00274B5B" w:rsidP="00274B5B">
      <w:pPr>
        <w:pStyle w:val="Heading4"/>
      </w:pPr>
      <w:r>
        <w:t xml:space="preserve">Singapore </w:t>
      </w:r>
    </w:p>
    <w:p w14:paraId="150B01E2" w14:textId="77777777" w:rsidR="00274B5B" w:rsidRPr="00457417" w:rsidRDefault="00274B5B" w:rsidP="00EE5DA8">
      <w:pPr>
        <w:rPr>
          <w:rFonts w:eastAsia="Calibri"/>
        </w:rPr>
      </w:pPr>
      <w:r w:rsidRPr="00457417">
        <w:rPr>
          <w:rFonts w:eastAsia="Calibri"/>
          <w:iCs/>
        </w:rPr>
        <w:t xml:space="preserve">In February 2022 </w:t>
      </w:r>
      <w:r w:rsidRPr="00457417">
        <w:rPr>
          <w:rFonts w:eastAsia="Calibri"/>
        </w:rPr>
        <w:t xml:space="preserve">The Competition and Consumer Commission of Singapore updated its guidelines to the </w:t>
      </w:r>
      <w:r w:rsidRPr="00112AA7">
        <w:rPr>
          <w:rFonts w:eastAsia="Calibri"/>
          <w:i/>
          <w:iCs/>
        </w:rPr>
        <w:t>Competition Act 2004</w:t>
      </w:r>
      <w:r w:rsidRPr="00457417">
        <w:rPr>
          <w:rFonts w:eastAsia="Calibri"/>
          <w:iCs/>
        </w:rPr>
        <w:t>.</w:t>
      </w:r>
      <w:r>
        <w:rPr>
          <w:rStyle w:val="FootnoteReference"/>
          <w:rFonts w:eastAsia="Calibri"/>
          <w:iCs/>
        </w:rPr>
        <w:footnoteReference w:id="21"/>
      </w:r>
      <w:r w:rsidRPr="00457417">
        <w:rPr>
          <w:rFonts w:eastAsia="Calibri"/>
        </w:rPr>
        <w:t xml:space="preserve"> The changes clarify issues related to market definition, market power and potential abusive conduct to reflect the developments in the digital era. </w:t>
      </w:r>
    </w:p>
    <w:p w14:paraId="2282A6E8" w14:textId="77777777" w:rsidR="00274B5B" w:rsidRPr="0035499D" w:rsidRDefault="00274B5B" w:rsidP="0035499D">
      <w:pPr>
        <w:pStyle w:val="Bullet"/>
        <w:numPr>
          <w:ilvl w:val="0"/>
          <w:numId w:val="0"/>
        </w:numPr>
        <w:tabs>
          <w:tab w:val="clear" w:pos="720"/>
        </w:tabs>
        <w:spacing w:before="240" w:after="240" w:line="240" w:lineRule="auto"/>
        <w:rPr>
          <w:rFonts w:eastAsia="Calibri"/>
        </w:rPr>
      </w:pPr>
    </w:p>
    <w:p w14:paraId="36FBA906" w14:textId="08CE44E6" w:rsidR="004D364B" w:rsidRDefault="004D364B" w:rsidP="0035499D">
      <w:pPr>
        <w:pStyle w:val="OutlineNumbered1"/>
        <w:numPr>
          <w:ilvl w:val="0"/>
          <w:numId w:val="0"/>
        </w:numPr>
      </w:pPr>
    </w:p>
    <w:sectPr w:rsidR="004D364B" w:rsidSect="009927E5">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1527" w14:textId="77777777" w:rsidR="009A000F" w:rsidRDefault="009A000F">
      <w:pPr>
        <w:spacing w:before="0" w:after="0"/>
      </w:pPr>
      <w:r>
        <w:separator/>
      </w:r>
    </w:p>
  </w:endnote>
  <w:endnote w:type="continuationSeparator" w:id="0">
    <w:p w14:paraId="4D57649B" w14:textId="77777777" w:rsidR="009A000F" w:rsidRDefault="009A000F">
      <w:pPr>
        <w:spacing w:before="0" w:after="0"/>
      </w:pPr>
      <w:r>
        <w:continuationSeparator/>
      </w:r>
    </w:p>
  </w:endnote>
  <w:endnote w:type="continuationNotice" w:id="1">
    <w:p w14:paraId="2D91603A" w14:textId="77777777" w:rsidR="009A000F" w:rsidRDefault="009A00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3CEA"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ECBF" w14:textId="2888AC06" w:rsidR="009927E5" w:rsidRPr="008043EA" w:rsidRDefault="009927E5" w:rsidP="0009151A">
    <w:r w:rsidRPr="00742366">
      <w:rPr>
        <w:noProof/>
      </w:rPr>
      <w:drawing>
        <wp:anchor distT="0" distB="0" distL="114300" distR="114300" simplePos="0" relativeHeight="251658241" behindDoc="1" locked="1" layoutInCell="1" allowOverlap="1" wp14:anchorId="68ED3392" wp14:editId="6EE0526F">
          <wp:simplePos x="0" y="0"/>
          <wp:positionH relativeFrom="margin">
            <wp:posOffset>5459095</wp:posOffset>
          </wp:positionH>
          <wp:positionV relativeFrom="page">
            <wp:posOffset>3280410</wp:posOffset>
          </wp:positionV>
          <wp:extent cx="7574280" cy="1043940"/>
          <wp:effectExtent l="762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EC769D5" wp14:editId="3333CD7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D713F2">
      <w:fldChar w:fldCharType="begin"/>
    </w:r>
    <w:r w:rsidR="00D713F2">
      <w:instrText xml:space="preserve"> STYLEREF  "Heading 1"  \* MERGEFORMAT </w:instrText>
    </w:r>
    <w:r w:rsidR="00D713F2">
      <w:fldChar w:fldCharType="separate"/>
    </w:r>
    <w:r w:rsidR="00CC5A30">
      <w:rPr>
        <w:noProof/>
      </w:rPr>
      <w:t>Contents</w:t>
    </w:r>
    <w:r w:rsidR="00D713F2">
      <w:rPr>
        <w:noProof/>
      </w:rPr>
      <w:fldChar w:fldCharType="end"/>
    </w:r>
    <w:r>
      <w:t xml:space="preserve"> | </w:t>
    </w:r>
    <w:r>
      <w:fldChar w:fldCharType="begin"/>
    </w:r>
    <w:r>
      <w:instrText xml:space="preserve"> PAGE   \* MERGEFORMAT </w:instrText>
    </w:r>
    <w:r>
      <w:fldChar w:fldCharType="separate"/>
    </w:r>
    <w:r>
      <w:t>1</w:t>
    </w:r>
    <w:r>
      <w:fldChar w:fldCharType="end"/>
    </w:r>
  </w:p>
  <w:p w14:paraId="0DFB23D9"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8746"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46B6" w14:textId="6C61BABF" w:rsidR="00E81A40" w:rsidRPr="00E13E90" w:rsidRDefault="00E81A40" w:rsidP="00E13E90">
    <w:pPr>
      <w:pStyle w:val="Footer"/>
    </w:pPr>
    <w:r w:rsidRPr="00742366">
      <w:drawing>
        <wp:anchor distT="0" distB="0" distL="114300" distR="114300" simplePos="0" relativeHeight="251658243" behindDoc="1" locked="1" layoutInCell="1" allowOverlap="1" wp14:anchorId="1EDC40D5" wp14:editId="02B000BA">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5188EC7" wp14:editId="0A2A2C69">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713F2">
      <w:fldChar w:fldCharType="begin"/>
    </w:r>
    <w:r w:rsidR="00D713F2">
      <w:instrText xml:space="preserve"> STYLEREF  "Heading 1"  \* MERGEFORMAT </w:instrText>
    </w:r>
    <w:r w:rsidR="00D713F2">
      <w:fldChar w:fldCharType="separate"/>
    </w:r>
    <w:r w:rsidR="00CC5A30">
      <w:t>Digital Platforms: Government consultation on ACCC’s regulatory reform recommendations</w:t>
    </w:r>
    <w:r w:rsidR="00D713F2">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FB4E"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45BE" w14:textId="77777777" w:rsidR="009A000F" w:rsidRDefault="009A000F">
      <w:pPr>
        <w:spacing w:before="0" w:after="0"/>
      </w:pPr>
      <w:r>
        <w:separator/>
      </w:r>
    </w:p>
  </w:footnote>
  <w:footnote w:type="continuationSeparator" w:id="0">
    <w:p w14:paraId="0A9521FD" w14:textId="77777777" w:rsidR="009A000F" w:rsidRDefault="009A000F">
      <w:pPr>
        <w:spacing w:before="0" w:after="0"/>
      </w:pPr>
      <w:r>
        <w:continuationSeparator/>
      </w:r>
    </w:p>
  </w:footnote>
  <w:footnote w:type="continuationNotice" w:id="1">
    <w:p w14:paraId="09C75C8B" w14:textId="77777777" w:rsidR="009A000F" w:rsidRDefault="009A000F">
      <w:pPr>
        <w:spacing w:before="0" w:after="0"/>
      </w:pPr>
    </w:p>
  </w:footnote>
  <w:footnote w:id="2">
    <w:p w14:paraId="1FE8C38E" w14:textId="6BF8C986" w:rsidR="00915F52" w:rsidDel="00020EF9" w:rsidRDefault="00915F52" w:rsidP="0035499D">
      <w:pPr>
        <w:pStyle w:val="FootnoteText"/>
        <w:ind w:left="0" w:firstLine="0"/>
      </w:pPr>
      <w:r w:rsidDel="00020EF9">
        <w:rPr>
          <w:rStyle w:val="FootnoteReference"/>
        </w:rPr>
        <w:footnoteRef/>
      </w:r>
      <w:r w:rsidDel="00020EF9">
        <w:t xml:space="preserve"> In </w:t>
      </w:r>
      <w:r w:rsidR="009921C8" w:rsidDel="00020EF9">
        <w:t>2020</w:t>
      </w:r>
      <w:r w:rsidDel="00020EF9">
        <w:t>, the Government directed the ACCC to conduct an inquiry into markets for the supply of digital advertising technology services and digital advertising agency services. The final report was published on 28 September 2021.</w:t>
      </w:r>
    </w:p>
  </w:footnote>
  <w:footnote w:id="3">
    <w:p w14:paraId="1ACF7928" w14:textId="04101B4E" w:rsidR="00915F52" w:rsidDel="00020EF9" w:rsidRDefault="00915F52" w:rsidP="00915F52">
      <w:pPr>
        <w:pStyle w:val="FootnoteText"/>
        <w:ind w:left="0" w:firstLine="0"/>
      </w:pPr>
      <w:r w:rsidDel="00020EF9">
        <w:rPr>
          <w:rStyle w:val="FootnoteReference"/>
        </w:rPr>
        <w:footnoteRef/>
      </w:r>
      <w:r w:rsidDel="00020EF9">
        <w:t xml:space="preserve"> In 2017, the Government directed the ACCC to conduct an inquiry into digital platforms. The final report was published on 26 July 2019.</w:t>
      </w:r>
    </w:p>
  </w:footnote>
  <w:footnote w:id="4">
    <w:p w14:paraId="396355A1" w14:textId="77F38B36" w:rsidR="00B52673" w:rsidDel="00B4071B" w:rsidRDefault="00B52673" w:rsidP="00C85142">
      <w:pPr>
        <w:pStyle w:val="FootnoteText"/>
        <w:ind w:left="0" w:firstLine="0"/>
      </w:pPr>
      <w:r w:rsidDel="00B4071B">
        <w:rPr>
          <w:rStyle w:val="FootnoteReference"/>
        </w:rPr>
        <w:footnoteRef/>
      </w:r>
      <w:r w:rsidDel="00B4071B">
        <w:t xml:space="preserve"> </w:t>
      </w:r>
      <w:r w:rsidR="00C85142" w:rsidDel="00B4071B">
        <w:t xml:space="preserve">Australian Competition and Consumer Commission, </w:t>
      </w:r>
      <w:r w:rsidR="00C85142" w:rsidDel="00B4071B">
        <w:rPr>
          <w:i/>
          <w:iCs/>
        </w:rPr>
        <w:t xml:space="preserve">Digital platform services inquiry, Interim report No. 5 – Regulatory reform, </w:t>
      </w:r>
      <w:r w:rsidR="00C85142" w:rsidDel="00B4071B">
        <w:t>September 2022.</w:t>
      </w:r>
    </w:p>
  </w:footnote>
  <w:footnote w:id="5">
    <w:p w14:paraId="13A2631D" w14:textId="77777777" w:rsidR="00DF0447" w:rsidRPr="00675EAE" w:rsidRDefault="00DF0447" w:rsidP="00DF0447">
      <w:pPr>
        <w:pStyle w:val="FootnoteText"/>
        <w:rPr>
          <w:i/>
          <w:iCs/>
        </w:rPr>
      </w:pPr>
      <w:r>
        <w:rPr>
          <w:rStyle w:val="FootnoteReference"/>
        </w:rPr>
        <w:footnoteRef/>
      </w:r>
      <w:r>
        <w:t xml:space="preserve"> Parliament of Australia, </w:t>
      </w:r>
      <w:r>
        <w:rPr>
          <w:i/>
          <w:iCs/>
        </w:rPr>
        <w:t>Treasury Laws Amendment (More Competition, Better Prices) Act 2022.</w:t>
      </w:r>
    </w:p>
  </w:footnote>
  <w:footnote w:id="6">
    <w:p w14:paraId="5BDC0306" w14:textId="77777777" w:rsidR="00966E84" w:rsidRDefault="00966E84" w:rsidP="00966E84">
      <w:pPr>
        <w:pStyle w:val="FootnoteText"/>
      </w:pPr>
      <w:r>
        <w:rPr>
          <w:rStyle w:val="FootnoteReference"/>
        </w:rPr>
        <w:footnoteRef/>
      </w:r>
      <w:r>
        <w:t xml:space="preserve"> Rules in place, </w:t>
      </w:r>
      <w:r>
        <w:rPr>
          <w:i/>
        </w:rPr>
        <w:t>prior</w:t>
      </w:r>
      <w:r>
        <w:t xml:space="preserve"> to actions occurring in the future.   </w:t>
      </w:r>
    </w:p>
  </w:footnote>
  <w:footnote w:id="7">
    <w:p w14:paraId="12CE1C28" w14:textId="77777777" w:rsidR="00EA4E2B" w:rsidRDefault="00EA4E2B" w:rsidP="00D67736">
      <w:pPr>
        <w:pStyle w:val="FootnoteText"/>
        <w:ind w:left="142" w:hanging="142"/>
      </w:pPr>
      <w:r>
        <w:rPr>
          <w:rStyle w:val="FootnoteReference"/>
        </w:rPr>
        <w:footnoteRef/>
      </w:r>
      <w:r>
        <w:t xml:space="preserve"> </w:t>
      </w:r>
      <w:r w:rsidRPr="0037507C">
        <w:t>For example, between 2015 and 2021, two applications were made to bring the Port of Newcastle within the National Access Regime, that is, to have it ‘declared’. The applications, particularly the first one in 2015, resulted in extensive litigation, including one case before the High Court.</w:t>
      </w:r>
    </w:p>
  </w:footnote>
  <w:footnote w:id="8">
    <w:p w14:paraId="732E2500" w14:textId="77777777" w:rsidR="00D439C7" w:rsidRPr="00C74EF8" w:rsidRDefault="00D439C7" w:rsidP="00D439C7">
      <w:pPr>
        <w:pStyle w:val="FootnoteText"/>
        <w:ind w:left="0" w:firstLine="0"/>
      </w:pPr>
      <w:r>
        <w:rPr>
          <w:rStyle w:val="FootnoteReference"/>
        </w:rPr>
        <w:footnoteRef/>
      </w:r>
      <w:r>
        <w:t xml:space="preserve"> European Commission, </w:t>
      </w:r>
      <w:r>
        <w:rPr>
          <w:i/>
          <w:iCs/>
        </w:rPr>
        <w:t xml:space="preserve">Digital Markets Act: Rules for digital gatekeepers to ensure open markets enter into force, </w:t>
      </w:r>
      <w:r>
        <w:t xml:space="preserve">31 October 2022. </w:t>
      </w:r>
    </w:p>
  </w:footnote>
  <w:footnote w:id="9">
    <w:p w14:paraId="4C4E7446" w14:textId="77777777" w:rsidR="00D439C7" w:rsidRPr="00485F4B" w:rsidRDefault="00D439C7" w:rsidP="00D439C7">
      <w:pPr>
        <w:pStyle w:val="FootnoteText"/>
        <w:ind w:left="0" w:firstLine="0"/>
      </w:pPr>
      <w:r>
        <w:rPr>
          <w:rStyle w:val="FootnoteReference"/>
        </w:rPr>
        <w:footnoteRef/>
      </w:r>
      <w:r>
        <w:t xml:space="preserve"> European Commission, </w:t>
      </w:r>
      <w:r>
        <w:rPr>
          <w:i/>
          <w:iCs/>
        </w:rPr>
        <w:t>Digital Services Act: EU’s landmark rules for online platforms enter into force,</w:t>
      </w:r>
      <w:r>
        <w:t xml:space="preserve"> 16 November 2022.</w:t>
      </w:r>
      <w:r>
        <w:rPr>
          <w:i/>
          <w:iCs/>
        </w:rPr>
        <w:t xml:space="preserve"> </w:t>
      </w:r>
    </w:p>
  </w:footnote>
  <w:footnote w:id="10">
    <w:p w14:paraId="243CF4A6" w14:textId="77777777" w:rsidR="00A92B52" w:rsidRPr="00C531EF" w:rsidRDefault="00A92B52" w:rsidP="00A92B52">
      <w:pPr>
        <w:pStyle w:val="FootnoteText"/>
        <w:ind w:left="0" w:firstLine="0"/>
      </w:pPr>
      <w:r>
        <w:rPr>
          <w:rStyle w:val="FootnoteReference"/>
        </w:rPr>
        <w:footnoteRef/>
      </w:r>
      <w:r>
        <w:t xml:space="preserve"> Competition &amp; Markets Authority, </w:t>
      </w:r>
      <w:r>
        <w:rPr>
          <w:i/>
          <w:iCs/>
        </w:rPr>
        <w:t xml:space="preserve">A new pro-competition regime for digital markets – government response to consultation, </w:t>
      </w:r>
      <w:r>
        <w:t>6 May 2022.</w:t>
      </w:r>
    </w:p>
  </w:footnote>
  <w:footnote w:id="11">
    <w:p w14:paraId="518243FE" w14:textId="0513ECC1" w:rsidR="00A92B52" w:rsidRPr="00C531EF" w:rsidRDefault="00A92B52" w:rsidP="00A92B52">
      <w:pPr>
        <w:pStyle w:val="FootnoteText"/>
      </w:pPr>
      <w:r>
        <w:rPr>
          <w:rStyle w:val="FootnoteReference"/>
        </w:rPr>
        <w:footnoteRef/>
      </w:r>
      <w:r>
        <w:t xml:space="preserve"> House of Commons Library, </w:t>
      </w:r>
      <w:r>
        <w:rPr>
          <w:i/>
          <w:iCs/>
        </w:rPr>
        <w:t xml:space="preserve">Analysis of the Online Safety Bill, </w:t>
      </w:r>
      <w:r>
        <w:t>8 April 2022</w:t>
      </w:r>
      <w:r w:rsidR="00F121DA">
        <w:t>.</w:t>
      </w:r>
      <w:r>
        <w:rPr>
          <w:i/>
          <w:iCs/>
        </w:rPr>
        <w:t xml:space="preserve"> </w:t>
      </w:r>
    </w:p>
  </w:footnote>
  <w:footnote w:id="12">
    <w:p w14:paraId="76B348F4" w14:textId="77777777" w:rsidR="00826AF8" w:rsidRPr="00F53540" w:rsidRDefault="00826AF8" w:rsidP="00826AF8">
      <w:pPr>
        <w:pStyle w:val="FootnoteText"/>
        <w:ind w:left="0" w:firstLine="0"/>
      </w:pPr>
      <w:r>
        <w:rPr>
          <w:rStyle w:val="FootnoteReference"/>
        </w:rPr>
        <w:footnoteRef/>
      </w:r>
      <w:r>
        <w:t xml:space="preserve"> Competition and Markets Authority, </w:t>
      </w:r>
      <w:r>
        <w:rPr>
          <w:i/>
          <w:iCs/>
        </w:rPr>
        <w:t xml:space="preserve">Facebook Inc (now Meta Platforms, Inc)/Giphy, Inc Merger Inquiry, </w:t>
      </w:r>
      <w:r>
        <w:t>18 October 2022.</w:t>
      </w:r>
    </w:p>
  </w:footnote>
  <w:footnote w:id="13">
    <w:p w14:paraId="4910C0B0" w14:textId="2C99A97A" w:rsidR="00DC1E35" w:rsidRPr="00DC1E35" w:rsidRDefault="00DC1E35" w:rsidP="00DC1E35">
      <w:pPr>
        <w:pStyle w:val="FootnoteText"/>
        <w:ind w:left="0" w:firstLine="0"/>
      </w:pPr>
      <w:r>
        <w:rPr>
          <w:rStyle w:val="FootnoteReference"/>
        </w:rPr>
        <w:footnoteRef/>
      </w:r>
      <w:r>
        <w:t xml:space="preserve"> European Commission, </w:t>
      </w:r>
      <w:r>
        <w:rPr>
          <w:i/>
          <w:iCs/>
        </w:rPr>
        <w:t xml:space="preserve">Antitrust: Commission sends Statement of Objections to Apple over practices regarding Apple Pay, </w:t>
      </w:r>
      <w:r>
        <w:t xml:space="preserve">2 May 2022. </w:t>
      </w:r>
    </w:p>
  </w:footnote>
  <w:footnote w:id="14">
    <w:p w14:paraId="25916F1E" w14:textId="36ACF38E" w:rsidR="001A0620" w:rsidRPr="00AF38B4" w:rsidRDefault="001A0620">
      <w:pPr>
        <w:pStyle w:val="FootnoteText"/>
      </w:pPr>
      <w:r>
        <w:rPr>
          <w:rStyle w:val="FootnoteReference"/>
        </w:rPr>
        <w:footnoteRef/>
      </w:r>
      <w:r>
        <w:t xml:space="preserve"> General Court of the European Union, </w:t>
      </w:r>
      <w:r>
        <w:rPr>
          <w:i/>
          <w:iCs/>
        </w:rPr>
        <w:t xml:space="preserve">Press Release No 197/21, </w:t>
      </w:r>
      <w:r>
        <w:t xml:space="preserve">10 November 2021. </w:t>
      </w:r>
    </w:p>
  </w:footnote>
  <w:footnote w:id="15">
    <w:p w14:paraId="7E3B7FFD" w14:textId="77777777" w:rsidR="00274B5B" w:rsidRPr="0035499D" w:rsidRDefault="00274B5B" w:rsidP="00274B5B">
      <w:pPr>
        <w:pStyle w:val="FootnoteText"/>
        <w:ind w:left="0" w:firstLine="0"/>
        <w:rPr>
          <w:i/>
          <w:iCs/>
        </w:rPr>
      </w:pPr>
      <w:r>
        <w:rPr>
          <w:rStyle w:val="FootnoteReference"/>
        </w:rPr>
        <w:footnoteRef/>
      </w:r>
      <w:r>
        <w:t xml:space="preserve"> House Committee on the Judiciary, </w:t>
      </w:r>
      <w:r>
        <w:rPr>
          <w:i/>
          <w:iCs/>
        </w:rPr>
        <w:t xml:space="preserve">House Lawmakers Release Anti-Monopoly Agenda for “A Stronger Online Economy: Opportunity, Innovation, Choice,” </w:t>
      </w:r>
      <w:r w:rsidRPr="0035499D">
        <w:t>11 June 2021.</w:t>
      </w:r>
    </w:p>
  </w:footnote>
  <w:footnote w:id="16">
    <w:p w14:paraId="4BAA01A6" w14:textId="0DD92A14" w:rsidR="00274B5B" w:rsidRPr="00436B69" w:rsidRDefault="00274B5B" w:rsidP="00274B5B">
      <w:pPr>
        <w:pStyle w:val="FootnoteText"/>
        <w:rPr>
          <w:i/>
        </w:rPr>
      </w:pPr>
      <w:r>
        <w:rPr>
          <w:rStyle w:val="FootnoteReference"/>
        </w:rPr>
        <w:footnoteRef/>
      </w:r>
      <w:r>
        <w:t xml:space="preserve"> </w:t>
      </w:r>
      <w:r w:rsidRPr="00436B69">
        <w:t>State</w:t>
      </w:r>
      <w:r>
        <w:t xml:space="preserve"> of California Department of Justice, </w:t>
      </w:r>
      <w:r w:rsidR="00436B69" w:rsidRPr="00436B69">
        <w:rPr>
          <w:i/>
          <w:iCs/>
        </w:rPr>
        <w:t>CCPA Regulations</w:t>
      </w:r>
      <w:r w:rsidR="00436B69">
        <w:t>, 2021</w:t>
      </w:r>
      <w:r w:rsidR="00F121DA">
        <w:t>.</w:t>
      </w:r>
    </w:p>
  </w:footnote>
  <w:footnote w:id="17">
    <w:p w14:paraId="31AF25BB" w14:textId="754F7C4C" w:rsidR="004D6B9B" w:rsidRPr="00F121DA" w:rsidRDefault="004D6B9B" w:rsidP="00F121DA">
      <w:pPr>
        <w:pStyle w:val="FootnoteText"/>
        <w:ind w:left="0" w:firstLine="0"/>
        <w:rPr>
          <w:i/>
          <w:iCs/>
        </w:rPr>
      </w:pPr>
      <w:r>
        <w:rPr>
          <w:rStyle w:val="FootnoteReference"/>
        </w:rPr>
        <w:footnoteRef/>
      </w:r>
      <w:r w:rsidR="00F121DA">
        <w:t xml:space="preserve"> Korea Communications Commission, </w:t>
      </w:r>
      <w:r w:rsidR="00F121DA">
        <w:rPr>
          <w:i/>
          <w:iCs/>
        </w:rPr>
        <w:t xml:space="preserve">National Assembly Passes Amendment to Telecommunications Business Act, Prohibits App Markets From Forcing Certain Payment Systems, </w:t>
      </w:r>
      <w:r w:rsidR="00F121DA">
        <w:t>August 31 2021.</w:t>
      </w:r>
    </w:p>
  </w:footnote>
  <w:footnote w:id="18">
    <w:p w14:paraId="540E1725" w14:textId="2D88B278" w:rsidR="00274B5B" w:rsidRPr="00EE2A81" w:rsidRDefault="00274B5B" w:rsidP="00274B5B">
      <w:pPr>
        <w:pStyle w:val="FootnoteText"/>
      </w:pPr>
      <w:r>
        <w:rPr>
          <w:rStyle w:val="FootnoteReference"/>
        </w:rPr>
        <w:footnoteRef/>
      </w:r>
      <w:r>
        <w:t xml:space="preserve"> Bundeskartellamt, </w:t>
      </w:r>
      <w:r>
        <w:rPr>
          <w:i/>
          <w:iCs/>
        </w:rPr>
        <w:t xml:space="preserve">Amendment of the German Act against Restraints of Competition, </w:t>
      </w:r>
      <w:r>
        <w:t>19 January 2021</w:t>
      </w:r>
      <w:r w:rsidR="00F121DA">
        <w:t>.</w:t>
      </w:r>
    </w:p>
  </w:footnote>
  <w:footnote w:id="19">
    <w:p w14:paraId="399609ED" w14:textId="0AE73A99" w:rsidR="00274B5B" w:rsidRPr="00F31934" w:rsidRDefault="00274B5B" w:rsidP="00274B5B">
      <w:pPr>
        <w:pStyle w:val="FootnoteText"/>
        <w:ind w:left="0" w:firstLine="0"/>
      </w:pPr>
      <w:r>
        <w:rPr>
          <w:rStyle w:val="FootnoteReference"/>
        </w:rPr>
        <w:footnoteRef/>
      </w:r>
      <w:r>
        <w:t xml:space="preserve"> Ministry of Economy, Trade and Industry, </w:t>
      </w:r>
      <w:r>
        <w:rPr>
          <w:i/>
          <w:iCs/>
        </w:rPr>
        <w:t xml:space="preserve">Key Points on the Act of Improving Transparency and Fairness of Digital Platforms, </w:t>
      </w:r>
      <w:r>
        <w:t>16 April, 2021</w:t>
      </w:r>
      <w:r w:rsidR="00F121DA">
        <w:t>.</w:t>
      </w:r>
    </w:p>
  </w:footnote>
  <w:footnote w:id="20">
    <w:p w14:paraId="4C079753" w14:textId="5DED151A" w:rsidR="00274B5B" w:rsidRPr="003D6628" w:rsidRDefault="00274B5B" w:rsidP="00274B5B">
      <w:pPr>
        <w:pStyle w:val="FootnoteText"/>
      </w:pPr>
      <w:r>
        <w:rPr>
          <w:rStyle w:val="FootnoteReference"/>
        </w:rPr>
        <w:footnoteRef/>
      </w:r>
      <w:r>
        <w:t xml:space="preserve"> Ministry of Economy, Trade and Industry, </w:t>
      </w:r>
      <w:r>
        <w:rPr>
          <w:i/>
          <w:iCs/>
        </w:rPr>
        <w:t xml:space="preserve">Cabinet Decision, </w:t>
      </w:r>
      <w:r>
        <w:t>5 July 2022</w:t>
      </w:r>
      <w:r w:rsidR="00F121DA">
        <w:t>.</w:t>
      </w:r>
    </w:p>
  </w:footnote>
  <w:footnote w:id="21">
    <w:p w14:paraId="5A4516E7" w14:textId="140FF4BA" w:rsidR="00274B5B" w:rsidRPr="008506EC" w:rsidRDefault="00274B5B" w:rsidP="00274B5B">
      <w:pPr>
        <w:pStyle w:val="FootnoteText"/>
        <w:ind w:left="0" w:firstLine="0"/>
      </w:pPr>
      <w:r>
        <w:rPr>
          <w:rStyle w:val="FootnoteReference"/>
        </w:rPr>
        <w:footnoteRef/>
      </w:r>
      <w:r>
        <w:t xml:space="preserve"> Competition and Consumer Commission Singapore, </w:t>
      </w:r>
      <w:r>
        <w:rPr>
          <w:i/>
          <w:iCs/>
        </w:rPr>
        <w:t xml:space="preserve">CCCS Revises Competition Guidelines for Greater Clarity and Guidance, </w:t>
      </w:r>
      <w:r>
        <w:t>31 December 2021</w:t>
      </w:r>
      <w:r w:rsidR="00F121DA">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9439"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AD91"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2C8"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CB50"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655D69AD" wp14:editId="4BABF4D4">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0D6E"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998C3C78"/>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E90BF7"/>
    <w:multiLevelType w:val="hybridMultilevel"/>
    <w:tmpl w:val="4BC2C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7"/>
  </w:num>
  <w:num w:numId="4">
    <w:abstractNumId w:val="2"/>
  </w:num>
  <w:num w:numId="5">
    <w:abstractNumId w:val="6"/>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7"/>
  </w:num>
  <w:num w:numId="11">
    <w:abstractNumId w:val="2"/>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8"/>
  </w:num>
  <w:num w:numId="13">
    <w:abstractNumId w:val="2"/>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2"/>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3"/>
  </w:num>
  <w:num w:numId="1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83"/>
    <w:rsid w:val="00001A82"/>
    <w:rsid w:val="00005BE4"/>
    <w:rsid w:val="00007061"/>
    <w:rsid w:val="00010A74"/>
    <w:rsid w:val="00011111"/>
    <w:rsid w:val="00011725"/>
    <w:rsid w:val="0001265A"/>
    <w:rsid w:val="00012C62"/>
    <w:rsid w:val="0001381C"/>
    <w:rsid w:val="00020EF9"/>
    <w:rsid w:val="0002214E"/>
    <w:rsid w:val="00024281"/>
    <w:rsid w:val="000246F9"/>
    <w:rsid w:val="0002544D"/>
    <w:rsid w:val="000258A1"/>
    <w:rsid w:val="00025C32"/>
    <w:rsid w:val="00026463"/>
    <w:rsid w:val="000264FD"/>
    <w:rsid w:val="00030043"/>
    <w:rsid w:val="0003090E"/>
    <w:rsid w:val="00032F87"/>
    <w:rsid w:val="000345BF"/>
    <w:rsid w:val="00034DBD"/>
    <w:rsid w:val="000357F9"/>
    <w:rsid w:val="00035A27"/>
    <w:rsid w:val="00040299"/>
    <w:rsid w:val="000406A8"/>
    <w:rsid w:val="0004146C"/>
    <w:rsid w:val="00041A8B"/>
    <w:rsid w:val="00041D69"/>
    <w:rsid w:val="000424FF"/>
    <w:rsid w:val="0004274D"/>
    <w:rsid w:val="00043E78"/>
    <w:rsid w:val="00044136"/>
    <w:rsid w:val="00044B40"/>
    <w:rsid w:val="00044C0A"/>
    <w:rsid w:val="0004559D"/>
    <w:rsid w:val="000457EA"/>
    <w:rsid w:val="00047EBE"/>
    <w:rsid w:val="00050068"/>
    <w:rsid w:val="0005016C"/>
    <w:rsid w:val="000506B4"/>
    <w:rsid w:val="00050EB9"/>
    <w:rsid w:val="00051461"/>
    <w:rsid w:val="00051858"/>
    <w:rsid w:val="00051D60"/>
    <w:rsid w:val="000543CC"/>
    <w:rsid w:val="000554BC"/>
    <w:rsid w:val="00055D40"/>
    <w:rsid w:val="00055FB4"/>
    <w:rsid w:val="00056880"/>
    <w:rsid w:val="00057259"/>
    <w:rsid w:val="000600E0"/>
    <w:rsid w:val="00060ACA"/>
    <w:rsid w:val="00060BB2"/>
    <w:rsid w:val="0006286A"/>
    <w:rsid w:val="000628F6"/>
    <w:rsid w:val="00062D01"/>
    <w:rsid w:val="00062D41"/>
    <w:rsid w:val="0006543B"/>
    <w:rsid w:val="00067202"/>
    <w:rsid w:val="000675D1"/>
    <w:rsid w:val="00067B23"/>
    <w:rsid w:val="00070709"/>
    <w:rsid w:val="00070741"/>
    <w:rsid w:val="00070918"/>
    <w:rsid w:val="00070AE2"/>
    <w:rsid w:val="00070CAA"/>
    <w:rsid w:val="0007102C"/>
    <w:rsid w:val="000720C7"/>
    <w:rsid w:val="00072352"/>
    <w:rsid w:val="000727D4"/>
    <w:rsid w:val="00072B1A"/>
    <w:rsid w:val="000733EB"/>
    <w:rsid w:val="00073521"/>
    <w:rsid w:val="000741AF"/>
    <w:rsid w:val="00075C1F"/>
    <w:rsid w:val="000775DE"/>
    <w:rsid w:val="0008060A"/>
    <w:rsid w:val="000807D4"/>
    <w:rsid w:val="00082380"/>
    <w:rsid w:val="0008280E"/>
    <w:rsid w:val="00082BE6"/>
    <w:rsid w:val="00082FC2"/>
    <w:rsid w:val="00083209"/>
    <w:rsid w:val="00084507"/>
    <w:rsid w:val="000849B9"/>
    <w:rsid w:val="000858F2"/>
    <w:rsid w:val="0008691F"/>
    <w:rsid w:val="000872C8"/>
    <w:rsid w:val="000878E9"/>
    <w:rsid w:val="00087FAF"/>
    <w:rsid w:val="00090748"/>
    <w:rsid w:val="0009151A"/>
    <w:rsid w:val="000943E2"/>
    <w:rsid w:val="00094B10"/>
    <w:rsid w:val="00094DF1"/>
    <w:rsid w:val="000951DF"/>
    <w:rsid w:val="0009546E"/>
    <w:rsid w:val="00097B67"/>
    <w:rsid w:val="000A00AF"/>
    <w:rsid w:val="000A1AE2"/>
    <w:rsid w:val="000A50FC"/>
    <w:rsid w:val="000A5805"/>
    <w:rsid w:val="000A7027"/>
    <w:rsid w:val="000A7538"/>
    <w:rsid w:val="000B0722"/>
    <w:rsid w:val="000B0AA9"/>
    <w:rsid w:val="000B1857"/>
    <w:rsid w:val="000B1ADD"/>
    <w:rsid w:val="000B294E"/>
    <w:rsid w:val="000B3F48"/>
    <w:rsid w:val="000B4DA0"/>
    <w:rsid w:val="000B5395"/>
    <w:rsid w:val="000B6616"/>
    <w:rsid w:val="000B6940"/>
    <w:rsid w:val="000B757F"/>
    <w:rsid w:val="000B7CF0"/>
    <w:rsid w:val="000C03B4"/>
    <w:rsid w:val="000C4996"/>
    <w:rsid w:val="000C5B01"/>
    <w:rsid w:val="000C5F40"/>
    <w:rsid w:val="000C66E1"/>
    <w:rsid w:val="000C66ED"/>
    <w:rsid w:val="000D0402"/>
    <w:rsid w:val="000D04FC"/>
    <w:rsid w:val="000D1284"/>
    <w:rsid w:val="000D1671"/>
    <w:rsid w:val="000D1C3B"/>
    <w:rsid w:val="000D50CE"/>
    <w:rsid w:val="000E0B74"/>
    <w:rsid w:val="000E205F"/>
    <w:rsid w:val="000E2B38"/>
    <w:rsid w:val="000E32FE"/>
    <w:rsid w:val="000E5CC7"/>
    <w:rsid w:val="000E5E39"/>
    <w:rsid w:val="000E78AE"/>
    <w:rsid w:val="000F0BF8"/>
    <w:rsid w:val="000F237F"/>
    <w:rsid w:val="000F2A8F"/>
    <w:rsid w:val="000F34CC"/>
    <w:rsid w:val="000F3605"/>
    <w:rsid w:val="000F3EBA"/>
    <w:rsid w:val="000F51CC"/>
    <w:rsid w:val="000F52A6"/>
    <w:rsid w:val="000F7517"/>
    <w:rsid w:val="000F7748"/>
    <w:rsid w:val="0010026E"/>
    <w:rsid w:val="00104815"/>
    <w:rsid w:val="00105557"/>
    <w:rsid w:val="00106671"/>
    <w:rsid w:val="00106EA3"/>
    <w:rsid w:val="00110235"/>
    <w:rsid w:val="001104A9"/>
    <w:rsid w:val="00110C7B"/>
    <w:rsid w:val="001127FB"/>
    <w:rsid w:val="00116647"/>
    <w:rsid w:val="00116AB9"/>
    <w:rsid w:val="00116DD4"/>
    <w:rsid w:val="0011769E"/>
    <w:rsid w:val="0011793F"/>
    <w:rsid w:val="00117947"/>
    <w:rsid w:val="00117AB3"/>
    <w:rsid w:val="00120602"/>
    <w:rsid w:val="00120B63"/>
    <w:rsid w:val="0012130D"/>
    <w:rsid w:val="001220DC"/>
    <w:rsid w:val="0012252B"/>
    <w:rsid w:val="0012651E"/>
    <w:rsid w:val="00126BCA"/>
    <w:rsid w:val="00126FF0"/>
    <w:rsid w:val="00127384"/>
    <w:rsid w:val="00127997"/>
    <w:rsid w:val="0013078F"/>
    <w:rsid w:val="00132D76"/>
    <w:rsid w:val="00133256"/>
    <w:rsid w:val="00133C4B"/>
    <w:rsid w:val="00134E4A"/>
    <w:rsid w:val="00135916"/>
    <w:rsid w:val="0013687C"/>
    <w:rsid w:val="001369F8"/>
    <w:rsid w:val="00137C29"/>
    <w:rsid w:val="001400ED"/>
    <w:rsid w:val="001406F4"/>
    <w:rsid w:val="0014091C"/>
    <w:rsid w:val="00141879"/>
    <w:rsid w:val="00141B5C"/>
    <w:rsid w:val="0014253D"/>
    <w:rsid w:val="00142FD2"/>
    <w:rsid w:val="00143092"/>
    <w:rsid w:val="001430C3"/>
    <w:rsid w:val="00144AC9"/>
    <w:rsid w:val="00145E9F"/>
    <w:rsid w:val="00146221"/>
    <w:rsid w:val="0015118C"/>
    <w:rsid w:val="001517FA"/>
    <w:rsid w:val="0015246B"/>
    <w:rsid w:val="00152821"/>
    <w:rsid w:val="001536BB"/>
    <w:rsid w:val="00153FF9"/>
    <w:rsid w:val="00154318"/>
    <w:rsid w:val="00155BFC"/>
    <w:rsid w:val="001606CF"/>
    <w:rsid w:val="0016128D"/>
    <w:rsid w:val="00161735"/>
    <w:rsid w:val="00161DD6"/>
    <w:rsid w:val="0016241C"/>
    <w:rsid w:val="00162612"/>
    <w:rsid w:val="00162AB9"/>
    <w:rsid w:val="00162B4B"/>
    <w:rsid w:val="0016406E"/>
    <w:rsid w:val="00164DDF"/>
    <w:rsid w:val="00165110"/>
    <w:rsid w:val="00167A90"/>
    <w:rsid w:val="00167FE7"/>
    <w:rsid w:val="0017089D"/>
    <w:rsid w:val="001711BE"/>
    <w:rsid w:val="00171955"/>
    <w:rsid w:val="00171C51"/>
    <w:rsid w:val="00172971"/>
    <w:rsid w:val="00174481"/>
    <w:rsid w:val="00174A0A"/>
    <w:rsid w:val="00174CAE"/>
    <w:rsid w:val="00175E78"/>
    <w:rsid w:val="001769FF"/>
    <w:rsid w:val="00180230"/>
    <w:rsid w:val="00181D23"/>
    <w:rsid w:val="00184846"/>
    <w:rsid w:val="00186BF9"/>
    <w:rsid w:val="00187220"/>
    <w:rsid w:val="00187338"/>
    <w:rsid w:val="0019101A"/>
    <w:rsid w:val="00191567"/>
    <w:rsid w:val="001916A0"/>
    <w:rsid w:val="00191BEB"/>
    <w:rsid w:val="00192F34"/>
    <w:rsid w:val="00194E61"/>
    <w:rsid w:val="00195E50"/>
    <w:rsid w:val="00197A11"/>
    <w:rsid w:val="00197CB0"/>
    <w:rsid w:val="001A0620"/>
    <w:rsid w:val="001A108D"/>
    <w:rsid w:val="001A1B67"/>
    <w:rsid w:val="001A3C29"/>
    <w:rsid w:val="001A4542"/>
    <w:rsid w:val="001A69D4"/>
    <w:rsid w:val="001A73E9"/>
    <w:rsid w:val="001A792A"/>
    <w:rsid w:val="001B2C33"/>
    <w:rsid w:val="001B37D7"/>
    <w:rsid w:val="001B4079"/>
    <w:rsid w:val="001B40BC"/>
    <w:rsid w:val="001B47FD"/>
    <w:rsid w:val="001B5D10"/>
    <w:rsid w:val="001B6473"/>
    <w:rsid w:val="001B6C17"/>
    <w:rsid w:val="001B7AE6"/>
    <w:rsid w:val="001C0A66"/>
    <w:rsid w:val="001C12AF"/>
    <w:rsid w:val="001C1FE4"/>
    <w:rsid w:val="001C2F51"/>
    <w:rsid w:val="001C358D"/>
    <w:rsid w:val="001C44A8"/>
    <w:rsid w:val="001C47B2"/>
    <w:rsid w:val="001C54FB"/>
    <w:rsid w:val="001C5C79"/>
    <w:rsid w:val="001C6D16"/>
    <w:rsid w:val="001C77FB"/>
    <w:rsid w:val="001C7943"/>
    <w:rsid w:val="001D040C"/>
    <w:rsid w:val="001D1736"/>
    <w:rsid w:val="001D19E2"/>
    <w:rsid w:val="001D2999"/>
    <w:rsid w:val="001D396C"/>
    <w:rsid w:val="001D3B5D"/>
    <w:rsid w:val="001D4AD4"/>
    <w:rsid w:val="001D4AD6"/>
    <w:rsid w:val="001D4EAA"/>
    <w:rsid w:val="001D5734"/>
    <w:rsid w:val="001D7586"/>
    <w:rsid w:val="001D7C1E"/>
    <w:rsid w:val="001E091C"/>
    <w:rsid w:val="001E12BD"/>
    <w:rsid w:val="001E244B"/>
    <w:rsid w:val="001E274F"/>
    <w:rsid w:val="001E27DC"/>
    <w:rsid w:val="001E3648"/>
    <w:rsid w:val="001E3928"/>
    <w:rsid w:val="001E4701"/>
    <w:rsid w:val="001E6518"/>
    <w:rsid w:val="001E66C0"/>
    <w:rsid w:val="001E71DC"/>
    <w:rsid w:val="001E739F"/>
    <w:rsid w:val="001E73BA"/>
    <w:rsid w:val="001E7AE2"/>
    <w:rsid w:val="001E7B77"/>
    <w:rsid w:val="001F0251"/>
    <w:rsid w:val="001F0576"/>
    <w:rsid w:val="001F185B"/>
    <w:rsid w:val="001F1AF5"/>
    <w:rsid w:val="001F1E5F"/>
    <w:rsid w:val="001F228B"/>
    <w:rsid w:val="001F23D2"/>
    <w:rsid w:val="001F298D"/>
    <w:rsid w:val="001F3A0A"/>
    <w:rsid w:val="001F3B0A"/>
    <w:rsid w:val="001F4658"/>
    <w:rsid w:val="001F4A12"/>
    <w:rsid w:val="001F5921"/>
    <w:rsid w:val="001F6064"/>
    <w:rsid w:val="001F6811"/>
    <w:rsid w:val="001F6B84"/>
    <w:rsid w:val="001F74A0"/>
    <w:rsid w:val="0020025C"/>
    <w:rsid w:val="00200703"/>
    <w:rsid w:val="00200D30"/>
    <w:rsid w:val="002011A3"/>
    <w:rsid w:val="00202340"/>
    <w:rsid w:val="00202A18"/>
    <w:rsid w:val="002035FD"/>
    <w:rsid w:val="00203899"/>
    <w:rsid w:val="00204D1F"/>
    <w:rsid w:val="00205589"/>
    <w:rsid w:val="0020683B"/>
    <w:rsid w:val="00206990"/>
    <w:rsid w:val="00206D2B"/>
    <w:rsid w:val="00211287"/>
    <w:rsid w:val="002155DF"/>
    <w:rsid w:val="00215A79"/>
    <w:rsid w:val="00216442"/>
    <w:rsid w:val="0021674F"/>
    <w:rsid w:val="00217964"/>
    <w:rsid w:val="00217A94"/>
    <w:rsid w:val="0022190E"/>
    <w:rsid w:val="00223015"/>
    <w:rsid w:val="0022358D"/>
    <w:rsid w:val="00225AD8"/>
    <w:rsid w:val="00226006"/>
    <w:rsid w:val="00226CBC"/>
    <w:rsid w:val="00230710"/>
    <w:rsid w:val="00230BCE"/>
    <w:rsid w:val="00230E53"/>
    <w:rsid w:val="00231049"/>
    <w:rsid w:val="00231068"/>
    <w:rsid w:val="002314D2"/>
    <w:rsid w:val="00233154"/>
    <w:rsid w:val="00233C02"/>
    <w:rsid w:val="00234BCF"/>
    <w:rsid w:val="00234D76"/>
    <w:rsid w:val="00235746"/>
    <w:rsid w:val="002372A6"/>
    <w:rsid w:val="002421B1"/>
    <w:rsid w:val="00245440"/>
    <w:rsid w:val="00245BB6"/>
    <w:rsid w:val="00245BC2"/>
    <w:rsid w:val="00245F1D"/>
    <w:rsid w:val="002507F2"/>
    <w:rsid w:val="00254152"/>
    <w:rsid w:val="002546EA"/>
    <w:rsid w:val="00255DDD"/>
    <w:rsid w:val="00255F92"/>
    <w:rsid w:val="0025726C"/>
    <w:rsid w:val="00257AEE"/>
    <w:rsid w:val="00261E94"/>
    <w:rsid w:val="00262537"/>
    <w:rsid w:val="00262E14"/>
    <w:rsid w:val="00262F7C"/>
    <w:rsid w:val="00263B6C"/>
    <w:rsid w:val="00265361"/>
    <w:rsid w:val="002653B8"/>
    <w:rsid w:val="0026540A"/>
    <w:rsid w:val="00265A86"/>
    <w:rsid w:val="00265E68"/>
    <w:rsid w:val="00266873"/>
    <w:rsid w:val="00266A1B"/>
    <w:rsid w:val="002676C9"/>
    <w:rsid w:val="00270E87"/>
    <w:rsid w:val="0027259D"/>
    <w:rsid w:val="0027263D"/>
    <w:rsid w:val="002736CA"/>
    <w:rsid w:val="0027443C"/>
    <w:rsid w:val="00274B5B"/>
    <w:rsid w:val="00275283"/>
    <w:rsid w:val="00275307"/>
    <w:rsid w:val="0027590B"/>
    <w:rsid w:val="0027736B"/>
    <w:rsid w:val="00280351"/>
    <w:rsid w:val="00282035"/>
    <w:rsid w:val="0028249A"/>
    <w:rsid w:val="002824E0"/>
    <w:rsid w:val="0028300B"/>
    <w:rsid w:val="002832E6"/>
    <w:rsid w:val="0028331F"/>
    <w:rsid w:val="00283548"/>
    <w:rsid w:val="00283627"/>
    <w:rsid w:val="00285969"/>
    <w:rsid w:val="00292227"/>
    <w:rsid w:val="0029238A"/>
    <w:rsid w:val="00292B3E"/>
    <w:rsid w:val="00292D73"/>
    <w:rsid w:val="00293B35"/>
    <w:rsid w:val="00294085"/>
    <w:rsid w:val="002940EC"/>
    <w:rsid w:val="00294571"/>
    <w:rsid w:val="00294CD4"/>
    <w:rsid w:val="00294E18"/>
    <w:rsid w:val="002974D6"/>
    <w:rsid w:val="002A0051"/>
    <w:rsid w:val="002A135B"/>
    <w:rsid w:val="002A1636"/>
    <w:rsid w:val="002A2B49"/>
    <w:rsid w:val="002A332A"/>
    <w:rsid w:val="002A3A16"/>
    <w:rsid w:val="002A4FAD"/>
    <w:rsid w:val="002A5793"/>
    <w:rsid w:val="002A5EC6"/>
    <w:rsid w:val="002A66A4"/>
    <w:rsid w:val="002B0F91"/>
    <w:rsid w:val="002B14D6"/>
    <w:rsid w:val="002B2347"/>
    <w:rsid w:val="002B2452"/>
    <w:rsid w:val="002B33BF"/>
    <w:rsid w:val="002B3829"/>
    <w:rsid w:val="002B4D4D"/>
    <w:rsid w:val="002B5936"/>
    <w:rsid w:val="002B5C39"/>
    <w:rsid w:val="002B6332"/>
    <w:rsid w:val="002B6404"/>
    <w:rsid w:val="002B64B5"/>
    <w:rsid w:val="002B6F78"/>
    <w:rsid w:val="002B71E0"/>
    <w:rsid w:val="002C167F"/>
    <w:rsid w:val="002C30D5"/>
    <w:rsid w:val="002C323F"/>
    <w:rsid w:val="002C5038"/>
    <w:rsid w:val="002C657F"/>
    <w:rsid w:val="002C672D"/>
    <w:rsid w:val="002C6F3A"/>
    <w:rsid w:val="002C74F9"/>
    <w:rsid w:val="002D0BAB"/>
    <w:rsid w:val="002D1F90"/>
    <w:rsid w:val="002D2297"/>
    <w:rsid w:val="002D22B6"/>
    <w:rsid w:val="002D3327"/>
    <w:rsid w:val="002D3FEC"/>
    <w:rsid w:val="002D4077"/>
    <w:rsid w:val="002D470E"/>
    <w:rsid w:val="002D488F"/>
    <w:rsid w:val="002D5882"/>
    <w:rsid w:val="002D5E51"/>
    <w:rsid w:val="002D64DA"/>
    <w:rsid w:val="002D7005"/>
    <w:rsid w:val="002E07B1"/>
    <w:rsid w:val="002E07E9"/>
    <w:rsid w:val="002E0DDE"/>
    <w:rsid w:val="002E2A27"/>
    <w:rsid w:val="002E5C16"/>
    <w:rsid w:val="002E64E9"/>
    <w:rsid w:val="002E7AE9"/>
    <w:rsid w:val="002E7DE4"/>
    <w:rsid w:val="002F05A9"/>
    <w:rsid w:val="002F231C"/>
    <w:rsid w:val="002F2353"/>
    <w:rsid w:val="002F23F9"/>
    <w:rsid w:val="002F2AAE"/>
    <w:rsid w:val="002F55E5"/>
    <w:rsid w:val="002F5771"/>
    <w:rsid w:val="002F5DB5"/>
    <w:rsid w:val="002F617F"/>
    <w:rsid w:val="002F6F0D"/>
    <w:rsid w:val="002F730C"/>
    <w:rsid w:val="002F789E"/>
    <w:rsid w:val="00301D99"/>
    <w:rsid w:val="00302078"/>
    <w:rsid w:val="00303095"/>
    <w:rsid w:val="00303980"/>
    <w:rsid w:val="00311334"/>
    <w:rsid w:val="003113BD"/>
    <w:rsid w:val="003122F4"/>
    <w:rsid w:val="0031276E"/>
    <w:rsid w:val="00313056"/>
    <w:rsid w:val="00313D74"/>
    <w:rsid w:val="00314CF1"/>
    <w:rsid w:val="003166F7"/>
    <w:rsid w:val="00316E70"/>
    <w:rsid w:val="00323675"/>
    <w:rsid w:val="00325D82"/>
    <w:rsid w:val="003268D5"/>
    <w:rsid w:val="00327B48"/>
    <w:rsid w:val="00330789"/>
    <w:rsid w:val="00331ED7"/>
    <w:rsid w:val="00332259"/>
    <w:rsid w:val="00332F2E"/>
    <w:rsid w:val="003347C0"/>
    <w:rsid w:val="00334A3D"/>
    <w:rsid w:val="003354CF"/>
    <w:rsid w:val="0033625E"/>
    <w:rsid w:val="00337005"/>
    <w:rsid w:val="003371F8"/>
    <w:rsid w:val="0034051F"/>
    <w:rsid w:val="00341DAE"/>
    <w:rsid w:val="00344779"/>
    <w:rsid w:val="00345B88"/>
    <w:rsid w:val="00345D10"/>
    <w:rsid w:val="00346980"/>
    <w:rsid w:val="00346AFE"/>
    <w:rsid w:val="00346BA9"/>
    <w:rsid w:val="00347A71"/>
    <w:rsid w:val="003503D7"/>
    <w:rsid w:val="00351876"/>
    <w:rsid w:val="00351E58"/>
    <w:rsid w:val="00352039"/>
    <w:rsid w:val="0035373B"/>
    <w:rsid w:val="0035499D"/>
    <w:rsid w:val="00354D27"/>
    <w:rsid w:val="00354FBB"/>
    <w:rsid w:val="00355633"/>
    <w:rsid w:val="0035612C"/>
    <w:rsid w:val="003563B2"/>
    <w:rsid w:val="00357467"/>
    <w:rsid w:val="003578D1"/>
    <w:rsid w:val="003606FF"/>
    <w:rsid w:val="00361ADB"/>
    <w:rsid w:val="003624E9"/>
    <w:rsid w:val="0036343C"/>
    <w:rsid w:val="00364395"/>
    <w:rsid w:val="003653D4"/>
    <w:rsid w:val="0036572A"/>
    <w:rsid w:val="00366125"/>
    <w:rsid w:val="00367F18"/>
    <w:rsid w:val="003705DB"/>
    <w:rsid w:val="0037089B"/>
    <w:rsid w:val="00370BE1"/>
    <w:rsid w:val="0037100A"/>
    <w:rsid w:val="003728FD"/>
    <w:rsid w:val="003731B5"/>
    <w:rsid w:val="00373D89"/>
    <w:rsid w:val="00373EAE"/>
    <w:rsid w:val="0037507C"/>
    <w:rsid w:val="003753A1"/>
    <w:rsid w:val="0037554A"/>
    <w:rsid w:val="00375E6C"/>
    <w:rsid w:val="00376820"/>
    <w:rsid w:val="0037696D"/>
    <w:rsid w:val="00376EF4"/>
    <w:rsid w:val="00377219"/>
    <w:rsid w:val="00377294"/>
    <w:rsid w:val="00377E9C"/>
    <w:rsid w:val="00381063"/>
    <w:rsid w:val="00382F93"/>
    <w:rsid w:val="003839F0"/>
    <w:rsid w:val="00383A34"/>
    <w:rsid w:val="00383B9C"/>
    <w:rsid w:val="003858A6"/>
    <w:rsid w:val="00387CBD"/>
    <w:rsid w:val="00390B45"/>
    <w:rsid w:val="00392A67"/>
    <w:rsid w:val="00392DCC"/>
    <w:rsid w:val="00394D9C"/>
    <w:rsid w:val="00395F65"/>
    <w:rsid w:val="003A03C3"/>
    <w:rsid w:val="003A0A30"/>
    <w:rsid w:val="003A199F"/>
    <w:rsid w:val="003A299F"/>
    <w:rsid w:val="003A317B"/>
    <w:rsid w:val="003A3DD8"/>
    <w:rsid w:val="003A6A8A"/>
    <w:rsid w:val="003A6B80"/>
    <w:rsid w:val="003A77D4"/>
    <w:rsid w:val="003B03C4"/>
    <w:rsid w:val="003B097D"/>
    <w:rsid w:val="003B16D8"/>
    <w:rsid w:val="003B26D3"/>
    <w:rsid w:val="003B2F0D"/>
    <w:rsid w:val="003B4582"/>
    <w:rsid w:val="003B5A44"/>
    <w:rsid w:val="003B74FA"/>
    <w:rsid w:val="003C0C1C"/>
    <w:rsid w:val="003C260B"/>
    <w:rsid w:val="003C3CF9"/>
    <w:rsid w:val="003C435F"/>
    <w:rsid w:val="003C4AFA"/>
    <w:rsid w:val="003C5A40"/>
    <w:rsid w:val="003C60E0"/>
    <w:rsid w:val="003C7A51"/>
    <w:rsid w:val="003C7B3C"/>
    <w:rsid w:val="003D03C1"/>
    <w:rsid w:val="003D07FF"/>
    <w:rsid w:val="003D1D8B"/>
    <w:rsid w:val="003D2385"/>
    <w:rsid w:val="003D298D"/>
    <w:rsid w:val="003D6628"/>
    <w:rsid w:val="003D66BF"/>
    <w:rsid w:val="003D7664"/>
    <w:rsid w:val="003D7D81"/>
    <w:rsid w:val="003E0494"/>
    <w:rsid w:val="003E0963"/>
    <w:rsid w:val="003E09F7"/>
    <w:rsid w:val="003E0B62"/>
    <w:rsid w:val="003E16EE"/>
    <w:rsid w:val="003E265A"/>
    <w:rsid w:val="003E38B0"/>
    <w:rsid w:val="003E45C8"/>
    <w:rsid w:val="003E4D87"/>
    <w:rsid w:val="003E516B"/>
    <w:rsid w:val="003E6CA1"/>
    <w:rsid w:val="003E6E80"/>
    <w:rsid w:val="003E7518"/>
    <w:rsid w:val="003F07A3"/>
    <w:rsid w:val="003F10B9"/>
    <w:rsid w:val="003F161A"/>
    <w:rsid w:val="003F17D9"/>
    <w:rsid w:val="003F1C67"/>
    <w:rsid w:val="003F2C6B"/>
    <w:rsid w:val="003F2C8D"/>
    <w:rsid w:val="003F3622"/>
    <w:rsid w:val="003F37B9"/>
    <w:rsid w:val="003F4E16"/>
    <w:rsid w:val="003F4ED4"/>
    <w:rsid w:val="003F5A23"/>
    <w:rsid w:val="003F71F2"/>
    <w:rsid w:val="003F7F86"/>
    <w:rsid w:val="00401892"/>
    <w:rsid w:val="00403310"/>
    <w:rsid w:val="004051C4"/>
    <w:rsid w:val="00405CFC"/>
    <w:rsid w:val="004063C2"/>
    <w:rsid w:val="00406765"/>
    <w:rsid w:val="00407101"/>
    <w:rsid w:val="004122F5"/>
    <w:rsid w:val="0041447B"/>
    <w:rsid w:val="0041496F"/>
    <w:rsid w:val="00415773"/>
    <w:rsid w:val="00416762"/>
    <w:rsid w:val="00417B3A"/>
    <w:rsid w:val="00417F01"/>
    <w:rsid w:val="00417F56"/>
    <w:rsid w:val="00421286"/>
    <w:rsid w:val="00421351"/>
    <w:rsid w:val="004213EF"/>
    <w:rsid w:val="00422CCB"/>
    <w:rsid w:val="004235B5"/>
    <w:rsid w:val="00423759"/>
    <w:rsid w:val="004258C8"/>
    <w:rsid w:val="00427575"/>
    <w:rsid w:val="0042784F"/>
    <w:rsid w:val="00427F63"/>
    <w:rsid w:val="0043213F"/>
    <w:rsid w:val="00433DD9"/>
    <w:rsid w:val="0043413F"/>
    <w:rsid w:val="00434241"/>
    <w:rsid w:val="00434D1D"/>
    <w:rsid w:val="00434E5F"/>
    <w:rsid w:val="004360F6"/>
    <w:rsid w:val="004369C3"/>
    <w:rsid w:val="00436B59"/>
    <w:rsid w:val="00436B69"/>
    <w:rsid w:val="00437279"/>
    <w:rsid w:val="004375DE"/>
    <w:rsid w:val="00437E4F"/>
    <w:rsid w:val="0044012F"/>
    <w:rsid w:val="0044029F"/>
    <w:rsid w:val="00440408"/>
    <w:rsid w:val="00440BD1"/>
    <w:rsid w:val="00441196"/>
    <w:rsid w:val="00442151"/>
    <w:rsid w:val="004429E5"/>
    <w:rsid w:val="004445E2"/>
    <w:rsid w:val="00445265"/>
    <w:rsid w:val="004459BA"/>
    <w:rsid w:val="00445CC3"/>
    <w:rsid w:val="00447C66"/>
    <w:rsid w:val="00450753"/>
    <w:rsid w:val="00451711"/>
    <w:rsid w:val="004522E7"/>
    <w:rsid w:val="0045375F"/>
    <w:rsid w:val="00453BBA"/>
    <w:rsid w:val="00453CDA"/>
    <w:rsid w:val="00454667"/>
    <w:rsid w:val="00455027"/>
    <w:rsid w:val="004557CF"/>
    <w:rsid w:val="004559CE"/>
    <w:rsid w:val="004563F0"/>
    <w:rsid w:val="004571E7"/>
    <w:rsid w:val="00457FAD"/>
    <w:rsid w:val="0046145C"/>
    <w:rsid w:val="00462049"/>
    <w:rsid w:val="00462D65"/>
    <w:rsid w:val="00464DE0"/>
    <w:rsid w:val="00465436"/>
    <w:rsid w:val="00465801"/>
    <w:rsid w:val="00465EF2"/>
    <w:rsid w:val="00466519"/>
    <w:rsid w:val="00467042"/>
    <w:rsid w:val="004670C9"/>
    <w:rsid w:val="00467A80"/>
    <w:rsid w:val="004709EE"/>
    <w:rsid w:val="0047116B"/>
    <w:rsid w:val="00471F83"/>
    <w:rsid w:val="0047235F"/>
    <w:rsid w:val="00472C57"/>
    <w:rsid w:val="00474BEA"/>
    <w:rsid w:val="00475B7B"/>
    <w:rsid w:val="00475F3D"/>
    <w:rsid w:val="00475F4D"/>
    <w:rsid w:val="004760A5"/>
    <w:rsid w:val="00476F46"/>
    <w:rsid w:val="00480415"/>
    <w:rsid w:val="00480FC8"/>
    <w:rsid w:val="00482AD1"/>
    <w:rsid w:val="00483049"/>
    <w:rsid w:val="00483628"/>
    <w:rsid w:val="0048381A"/>
    <w:rsid w:val="004848CD"/>
    <w:rsid w:val="00485A7A"/>
    <w:rsid w:val="00485CC7"/>
    <w:rsid w:val="0049009F"/>
    <w:rsid w:val="00490310"/>
    <w:rsid w:val="00492FCB"/>
    <w:rsid w:val="00493814"/>
    <w:rsid w:val="004938D1"/>
    <w:rsid w:val="004944AB"/>
    <w:rsid w:val="004947C1"/>
    <w:rsid w:val="004951A8"/>
    <w:rsid w:val="0049538A"/>
    <w:rsid w:val="0049557A"/>
    <w:rsid w:val="0049672E"/>
    <w:rsid w:val="00497F3D"/>
    <w:rsid w:val="004A077D"/>
    <w:rsid w:val="004A15A9"/>
    <w:rsid w:val="004A20AA"/>
    <w:rsid w:val="004A2452"/>
    <w:rsid w:val="004A595C"/>
    <w:rsid w:val="004A7921"/>
    <w:rsid w:val="004A7BC2"/>
    <w:rsid w:val="004B061F"/>
    <w:rsid w:val="004B0B42"/>
    <w:rsid w:val="004B0C6F"/>
    <w:rsid w:val="004B18CA"/>
    <w:rsid w:val="004B2AA9"/>
    <w:rsid w:val="004B335D"/>
    <w:rsid w:val="004B39D0"/>
    <w:rsid w:val="004B3E41"/>
    <w:rsid w:val="004B45AC"/>
    <w:rsid w:val="004B618B"/>
    <w:rsid w:val="004B6865"/>
    <w:rsid w:val="004B6ABC"/>
    <w:rsid w:val="004C0024"/>
    <w:rsid w:val="004C1C23"/>
    <w:rsid w:val="004C33AD"/>
    <w:rsid w:val="004C3581"/>
    <w:rsid w:val="004C481B"/>
    <w:rsid w:val="004C490D"/>
    <w:rsid w:val="004C6BDC"/>
    <w:rsid w:val="004C6FD7"/>
    <w:rsid w:val="004C70AF"/>
    <w:rsid w:val="004C772A"/>
    <w:rsid w:val="004C79F1"/>
    <w:rsid w:val="004D0C96"/>
    <w:rsid w:val="004D2475"/>
    <w:rsid w:val="004D2724"/>
    <w:rsid w:val="004D2E4C"/>
    <w:rsid w:val="004D31E9"/>
    <w:rsid w:val="004D364B"/>
    <w:rsid w:val="004D3ECF"/>
    <w:rsid w:val="004D4337"/>
    <w:rsid w:val="004D4740"/>
    <w:rsid w:val="004D67F5"/>
    <w:rsid w:val="004D6B9B"/>
    <w:rsid w:val="004D7349"/>
    <w:rsid w:val="004E0651"/>
    <w:rsid w:val="004E1661"/>
    <w:rsid w:val="004E1E0E"/>
    <w:rsid w:val="004E2A3F"/>
    <w:rsid w:val="004E2D16"/>
    <w:rsid w:val="004E3497"/>
    <w:rsid w:val="004E4692"/>
    <w:rsid w:val="004E494B"/>
    <w:rsid w:val="004E5C6E"/>
    <w:rsid w:val="004F1164"/>
    <w:rsid w:val="004F1F63"/>
    <w:rsid w:val="004F2282"/>
    <w:rsid w:val="004F29F3"/>
    <w:rsid w:val="004F30C8"/>
    <w:rsid w:val="004F6A72"/>
    <w:rsid w:val="004F7CC9"/>
    <w:rsid w:val="005011B3"/>
    <w:rsid w:val="0050178D"/>
    <w:rsid w:val="00501A7E"/>
    <w:rsid w:val="005053E4"/>
    <w:rsid w:val="0051056D"/>
    <w:rsid w:val="00511657"/>
    <w:rsid w:val="00511EF3"/>
    <w:rsid w:val="005144EB"/>
    <w:rsid w:val="00515AB6"/>
    <w:rsid w:val="00516785"/>
    <w:rsid w:val="00516D4C"/>
    <w:rsid w:val="00521577"/>
    <w:rsid w:val="005216A9"/>
    <w:rsid w:val="0052370E"/>
    <w:rsid w:val="0052419D"/>
    <w:rsid w:val="00524624"/>
    <w:rsid w:val="00524D84"/>
    <w:rsid w:val="00526267"/>
    <w:rsid w:val="00527CD1"/>
    <w:rsid w:val="00527EE9"/>
    <w:rsid w:val="00530000"/>
    <w:rsid w:val="005301F8"/>
    <w:rsid w:val="0053023D"/>
    <w:rsid w:val="005312FC"/>
    <w:rsid w:val="00532262"/>
    <w:rsid w:val="0053402F"/>
    <w:rsid w:val="00535E81"/>
    <w:rsid w:val="0053603D"/>
    <w:rsid w:val="00536DB6"/>
    <w:rsid w:val="005371A7"/>
    <w:rsid w:val="00537C8D"/>
    <w:rsid w:val="00537C8E"/>
    <w:rsid w:val="005421C7"/>
    <w:rsid w:val="005442DA"/>
    <w:rsid w:val="00545118"/>
    <w:rsid w:val="005451BA"/>
    <w:rsid w:val="005458BC"/>
    <w:rsid w:val="00545B4C"/>
    <w:rsid w:val="005502B5"/>
    <w:rsid w:val="00550D60"/>
    <w:rsid w:val="00551748"/>
    <w:rsid w:val="00552D5D"/>
    <w:rsid w:val="00553B93"/>
    <w:rsid w:val="00555D14"/>
    <w:rsid w:val="0055622E"/>
    <w:rsid w:val="0055673F"/>
    <w:rsid w:val="00556D2A"/>
    <w:rsid w:val="0055713F"/>
    <w:rsid w:val="00560334"/>
    <w:rsid w:val="00560ECC"/>
    <w:rsid w:val="00561486"/>
    <w:rsid w:val="00561B8C"/>
    <w:rsid w:val="00562468"/>
    <w:rsid w:val="00562D6A"/>
    <w:rsid w:val="0056491F"/>
    <w:rsid w:val="005677C5"/>
    <w:rsid w:val="00567E7E"/>
    <w:rsid w:val="00570380"/>
    <w:rsid w:val="00570CD3"/>
    <w:rsid w:val="005735EC"/>
    <w:rsid w:val="00573C8A"/>
    <w:rsid w:val="00574DA1"/>
    <w:rsid w:val="005764BE"/>
    <w:rsid w:val="00577A54"/>
    <w:rsid w:val="005838B6"/>
    <w:rsid w:val="00584718"/>
    <w:rsid w:val="00584944"/>
    <w:rsid w:val="00584BA3"/>
    <w:rsid w:val="0058551D"/>
    <w:rsid w:val="005856DF"/>
    <w:rsid w:val="005864DC"/>
    <w:rsid w:val="005868DE"/>
    <w:rsid w:val="00587750"/>
    <w:rsid w:val="00591320"/>
    <w:rsid w:val="00591475"/>
    <w:rsid w:val="00591795"/>
    <w:rsid w:val="00591CC5"/>
    <w:rsid w:val="00593B39"/>
    <w:rsid w:val="0059522A"/>
    <w:rsid w:val="00597636"/>
    <w:rsid w:val="005979D4"/>
    <w:rsid w:val="005A0038"/>
    <w:rsid w:val="005A02B4"/>
    <w:rsid w:val="005A1308"/>
    <w:rsid w:val="005A1C97"/>
    <w:rsid w:val="005A2F9A"/>
    <w:rsid w:val="005A3164"/>
    <w:rsid w:val="005A3ED9"/>
    <w:rsid w:val="005A6826"/>
    <w:rsid w:val="005A795B"/>
    <w:rsid w:val="005A7D29"/>
    <w:rsid w:val="005B11AC"/>
    <w:rsid w:val="005B15D0"/>
    <w:rsid w:val="005B1983"/>
    <w:rsid w:val="005B1D9E"/>
    <w:rsid w:val="005B1EAD"/>
    <w:rsid w:val="005B2347"/>
    <w:rsid w:val="005B245E"/>
    <w:rsid w:val="005B2635"/>
    <w:rsid w:val="005B283C"/>
    <w:rsid w:val="005B44DC"/>
    <w:rsid w:val="005B4920"/>
    <w:rsid w:val="005B5A75"/>
    <w:rsid w:val="005B5AC9"/>
    <w:rsid w:val="005B6028"/>
    <w:rsid w:val="005B616A"/>
    <w:rsid w:val="005B64AB"/>
    <w:rsid w:val="005B6A0D"/>
    <w:rsid w:val="005B6A42"/>
    <w:rsid w:val="005B70C8"/>
    <w:rsid w:val="005B7130"/>
    <w:rsid w:val="005C0143"/>
    <w:rsid w:val="005C014F"/>
    <w:rsid w:val="005C08B2"/>
    <w:rsid w:val="005C1AC7"/>
    <w:rsid w:val="005C1F45"/>
    <w:rsid w:val="005C2C50"/>
    <w:rsid w:val="005C351B"/>
    <w:rsid w:val="005C38A0"/>
    <w:rsid w:val="005C4323"/>
    <w:rsid w:val="005C4FC9"/>
    <w:rsid w:val="005C5290"/>
    <w:rsid w:val="005C6392"/>
    <w:rsid w:val="005C688A"/>
    <w:rsid w:val="005C755E"/>
    <w:rsid w:val="005C7BEC"/>
    <w:rsid w:val="005D0373"/>
    <w:rsid w:val="005D082C"/>
    <w:rsid w:val="005D29EC"/>
    <w:rsid w:val="005D3C55"/>
    <w:rsid w:val="005D4097"/>
    <w:rsid w:val="005D6B3C"/>
    <w:rsid w:val="005D6C03"/>
    <w:rsid w:val="005D76E2"/>
    <w:rsid w:val="005D79BF"/>
    <w:rsid w:val="005D7F4E"/>
    <w:rsid w:val="005E104E"/>
    <w:rsid w:val="005E13BA"/>
    <w:rsid w:val="005E2A06"/>
    <w:rsid w:val="005E366D"/>
    <w:rsid w:val="005E4AEE"/>
    <w:rsid w:val="005E4FE3"/>
    <w:rsid w:val="005E5FD1"/>
    <w:rsid w:val="005E653A"/>
    <w:rsid w:val="005E6A85"/>
    <w:rsid w:val="005F0CD5"/>
    <w:rsid w:val="005F11F8"/>
    <w:rsid w:val="005F1DB3"/>
    <w:rsid w:val="005F353F"/>
    <w:rsid w:val="005F3D36"/>
    <w:rsid w:val="005F4118"/>
    <w:rsid w:val="005F542B"/>
    <w:rsid w:val="005F553E"/>
    <w:rsid w:val="005F6434"/>
    <w:rsid w:val="005F6FF4"/>
    <w:rsid w:val="005F7447"/>
    <w:rsid w:val="005F795F"/>
    <w:rsid w:val="00601478"/>
    <w:rsid w:val="006016A6"/>
    <w:rsid w:val="00602066"/>
    <w:rsid w:val="00602141"/>
    <w:rsid w:val="00602DFC"/>
    <w:rsid w:val="00603174"/>
    <w:rsid w:val="00603DE5"/>
    <w:rsid w:val="006045A6"/>
    <w:rsid w:val="0060595B"/>
    <w:rsid w:val="00605AFD"/>
    <w:rsid w:val="00607048"/>
    <w:rsid w:val="00607C7C"/>
    <w:rsid w:val="00607D99"/>
    <w:rsid w:val="00611324"/>
    <w:rsid w:val="006123D4"/>
    <w:rsid w:val="0061248E"/>
    <w:rsid w:val="006136F1"/>
    <w:rsid w:val="0061428D"/>
    <w:rsid w:val="00615A21"/>
    <w:rsid w:val="00617994"/>
    <w:rsid w:val="00621276"/>
    <w:rsid w:val="006214D7"/>
    <w:rsid w:val="00622993"/>
    <w:rsid w:val="006242E5"/>
    <w:rsid w:val="00624CED"/>
    <w:rsid w:val="00625350"/>
    <w:rsid w:val="00626B90"/>
    <w:rsid w:val="006275F1"/>
    <w:rsid w:val="00627FD8"/>
    <w:rsid w:val="00633271"/>
    <w:rsid w:val="00634498"/>
    <w:rsid w:val="006362CA"/>
    <w:rsid w:val="00636465"/>
    <w:rsid w:val="006379EC"/>
    <w:rsid w:val="00637BAB"/>
    <w:rsid w:val="00637C14"/>
    <w:rsid w:val="006401E7"/>
    <w:rsid w:val="00640762"/>
    <w:rsid w:val="00641055"/>
    <w:rsid w:val="00641EE7"/>
    <w:rsid w:val="00642BBD"/>
    <w:rsid w:val="00643210"/>
    <w:rsid w:val="00643A10"/>
    <w:rsid w:val="00644898"/>
    <w:rsid w:val="00646C3F"/>
    <w:rsid w:val="006470C6"/>
    <w:rsid w:val="00650431"/>
    <w:rsid w:val="0065210A"/>
    <w:rsid w:val="0065243B"/>
    <w:rsid w:val="00653A97"/>
    <w:rsid w:val="00654FE4"/>
    <w:rsid w:val="0065558F"/>
    <w:rsid w:val="006561C0"/>
    <w:rsid w:val="00656356"/>
    <w:rsid w:val="00656DFD"/>
    <w:rsid w:val="00657038"/>
    <w:rsid w:val="0065781D"/>
    <w:rsid w:val="00660706"/>
    <w:rsid w:val="00661072"/>
    <w:rsid w:val="0066118B"/>
    <w:rsid w:val="006615B8"/>
    <w:rsid w:val="006616B0"/>
    <w:rsid w:val="00661B85"/>
    <w:rsid w:val="0066385E"/>
    <w:rsid w:val="00664336"/>
    <w:rsid w:val="00665F93"/>
    <w:rsid w:val="00666CA3"/>
    <w:rsid w:val="00666FB7"/>
    <w:rsid w:val="0066745A"/>
    <w:rsid w:val="006704C4"/>
    <w:rsid w:val="00670CFE"/>
    <w:rsid w:val="00670DF9"/>
    <w:rsid w:val="0067239E"/>
    <w:rsid w:val="00673D1A"/>
    <w:rsid w:val="00674B32"/>
    <w:rsid w:val="006755BF"/>
    <w:rsid w:val="00675EAE"/>
    <w:rsid w:val="00676FE8"/>
    <w:rsid w:val="006770D5"/>
    <w:rsid w:val="00681B1F"/>
    <w:rsid w:val="0068460B"/>
    <w:rsid w:val="00686165"/>
    <w:rsid w:val="006863A2"/>
    <w:rsid w:val="006868B3"/>
    <w:rsid w:val="006876D6"/>
    <w:rsid w:val="006904DE"/>
    <w:rsid w:val="00690E9A"/>
    <w:rsid w:val="0069161D"/>
    <w:rsid w:val="00691CB5"/>
    <w:rsid w:val="006926AC"/>
    <w:rsid w:val="00692C51"/>
    <w:rsid w:val="00693DDB"/>
    <w:rsid w:val="006943ED"/>
    <w:rsid w:val="0069444A"/>
    <w:rsid w:val="00694EE8"/>
    <w:rsid w:val="0069591B"/>
    <w:rsid w:val="006965B8"/>
    <w:rsid w:val="0069733D"/>
    <w:rsid w:val="006A0857"/>
    <w:rsid w:val="006A1E0F"/>
    <w:rsid w:val="006A5738"/>
    <w:rsid w:val="006A6EE1"/>
    <w:rsid w:val="006A7947"/>
    <w:rsid w:val="006A79FA"/>
    <w:rsid w:val="006B03CB"/>
    <w:rsid w:val="006B03D4"/>
    <w:rsid w:val="006B3069"/>
    <w:rsid w:val="006B338B"/>
    <w:rsid w:val="006B4075"/>
    <w:rsid w:val="006B59D3"/>
    <w:rsid w:val="006B5E7C"/>
    <w:rsid w:val="006B6BE3"/>
    <w:rsid w:val="006B789A"/>
    <w:rsid w:val="006C0166"/>
    <w:rsid w:val="006C2209"/>
    <w:rsid w:val="006C222F"/>
    <w:rsid w:val="006C305E"/>
    <w:rsid w:val="006C319E"/>
    <w:rsid w:val="006C372F"/>
    <w:rsid w:val="006C4848"/>
    <w:rsid w:val="006C645D"/>
    <w:rsid w:val="006C663B"/>
    <w:rsid w:val="006C6E79"/>
    <w:rsid w:val="006C7158"/>
    <w:rsid w:val="006C7902"/>
    <w:rsid w:val="006D0599"/>
    <w:rsid w:val="006D38FA"/>
    <w:rsid w:val="006D42C7"/>
    <w:rsid w:val="006D52BC"/>
    <w:rsid w:val="006D5B9E"/>
    <w:rsid w:val="006D6CE0"/>
    <w:rsid w:val="006D70D5"/>
    <w:rsid w:val="006D7ECC"/>
    <w:rsid w:val="006E0931"/>
    <w:rsid w:val="006E0E3C"/>
    <w:rsid w:val="006E2404"/>
    <w:rsid w:val="006E3984"/>
    <w:rsid w:val="006E3CC3"/>
    <w:rsid w:val="006E415B"/>
    <w:rsid w:val="006E6A43"/>
    <w:rsid w:val="006F1093"/>
    <w:rsid w:val="006F1B38"/>
    <w:rsid w:val="006F2C59"/>
    <w:rsid w:val="006F43A2"/>
    <w:rsid w:val="006F656C"/>
    <w:rsid w:val="006F750C"/>
    <w:rsid w:val="00702D8B"/>
    <w:rsid w:val="0070463B"/>
    <w:rsid w:val="007050E5"/>
    <w:rsid w:val="00707014"/>
    <w:rsid w:val="00707F7B"/>
    <w:rsid w:val="007106FF"/>
    <w:rsid w:val="00710E13"/>
    <w:rsid w:val="0071228F"/>
    <w:rsid w:val="00714321"/>
    <w:rsid w:val="00715D13"/>
    <w:rsid w:val="00715DD6"/>
    <w:rsid w:val="007164F7"/>
    <w:rsid w:val="00717DAC"/>
    <w:rsid w:val="00720BF2"/>
    <w:rsid w:val="00720F52"/>
    <w:rsid w:val="00722D66"/>
    <w:rsid w:val="007245DF"/>
    <w:rsid w:val="007249E0"/>
    <w:rsid w:val="00724C6E"/>
    <w:rsid w:val="00727956"/>
    <w:rsid w:val="00732B78"/>
    <w:rsid w:val="00733F00"/>
    <w:rsid w:val="007357BA"/>
    <w:rsid w:val="0073671E"/>
    <w:rsid w:val="007369FF"/>
    <w:rsid w:val="00736CDB"/>
    <w:rsid w:val="00737B4A"/>
    <w:rsid w:val="00740193"/>
    <w:rsid w:val="0074075B"/>
    <w:rsid w:val="00741814"/>
    <w:rsid w:val="0074340B"/>
    <w:rsid w:val="00744343"/>
    <w:rsid w:val="00744439"/>
    <w:rsid w:val="00744565"/>
    <w:rsid w:val="00744E49"/>
    <w:rsid w:val="00745305"/>
    <w:rsid w:val="00745886"/>
    <w:rsid w:val="007459A3"/>
    <w:rsid w:val="00745A87"/>
    <w:rsid w:val="007466A0"/>
    <w:rsid w:val="00750086"/>
    <w:rsid w:val="0075219A"/>
    <w:rsid w:val="00752612"/>
    <w:rsid w:val="00754921"/>
    <w:rsid w:val="0075501A"/>
    <w:rsid w:val="00755204"/>
    <w:rsid w:val="00757391"/>
    <w:rsid w:val="00757816"/>
    <w:rsid w:val="00761E69"/>
    <w:rsid w:val="0076280F"/>
    <w:rsid w:val="00762B8D"/>
    <w:rsid w:val="00763800"/>
    <w:rsid w:val="00764A53"/>
    <w:rsid w:val="00764ACD"/>
    <w:rsid w:val="007657B8"/>
    <w:rsid w:val="00766A1D"/>
    <w:rsid w:val="00767687"/>
    <w:rsid w:val="00767BC3"/>
    <w:rsid w:val="007708C1"/>
    <w:rsid w:val="00770D1C"/>
    <w:rsid w:val="007739DC"/>
    <w:rsid w:val="00775318"/>
    <w:rsid w:val="00775702"/>
    <w:rsid w:val="00775C43"/>
    <w:rsid w:val="007763B7"/>
    <w:rsid w:val="0077687D"/>
    <w:rsid w:val="00777DCC"/>
    <w:rsid w:val="0078194C"/>
    <w:rsid w:val="00781BCC"/>
    <w:rsid w:val="00781DC0"/>
    <w:rsid w:val="00782585"/>
    <w:rsid w:val="00782E59"/>
    <w:rsid w:val="0078509F"/>
    <w:rsid w:val="0078553E"/>
    <w:rsid w:val="00785D41"/>
    <w:rsid w:val="00786AD9"/>
    <w:rsid w:val="00786B57"/>
    <w:rsid w:val="007876E0"/>
    <w:rsid w:val="007901AD"/>
    <w:rsid w:val="00791BD5"/>
    <w:rsid w:val="007932E2"/>
    <w:rsid w:val="00793727"/>
    <w:rsid w:val="00793C93"/>
    <w:rsid w:val="00794499"/>
    <w:rsid w:val="00795290"/>
    <w:rsid w:val="0079589A"/>
    <w:rsid w:val="0079634E"/>
    <w:rsid w:val="00796782"/>
    <w:rsid w:val="007969C5"/>
    <w:rsid w:val="007977F0"/>
    <w:rsid w:val="007A0B71"/>
    <w:rsid w:val="007A0BE1"/>
    <w:rsid w:val="007A0E7F"/>
    <w:rsid w:val="007A0F90"/>
    <w:rsid w:val="007A177A"/>
    <w:rsid w:val="007A187E"/>
    <w:rsid w:val="007A243F"/>
    <w:rsid w:val="007A47B6"/>
    <w:rsid w:val="007A6797"/>
    <w:rsid w:val="007A6B6F"/>
    <w:rsid w:val="007B00C8"/>
    <w:rsid w:val="007B22EA"/>
    <w:rsid w:val="007B2A2C"/>
    <w:rsid w:val="007B3478"/>
    <w:rsid w:val="007B3B92"/>
    <w:rsid w:val="007B5078"/>
    <w:rsid w:val="007C09E0"/>
    <w:rsid w:val="007C350C"/>
    <w:rsid w:val="007C35A0"/>
    <w:rsid w:val="007C4ED2"/>
    <w:rsid w:val="007C6BC9"/>
    <w:rsid w:val="007C7C78"/>
    <w:rsid w:val="007D12EA"/>
    <w:rsid w:val="007D1767"/>
    <w:rsid w:val="007D18BF"/>
    <w:rsid w:val="007D1CE1"/>
    <w:rsid w:val="007D32B6"/>
    <w:rsid w:val="007D38B8"/>
    <w:rsid w:val="007D4C48"/>
    <w:rsid w:val="007D5AA6"/>
    <w:rsid w:val="007D7BD4"/>
    <w:rsid w:val="007E0086"/>
    <w:rsid w:val="007E0EA6"/>
    <w:rsid w:val="007E2793"/>
    <w:rsid w:val="007E2AB9"/>
    <w:rsid w:val="007E485D"/>
    <w:rsid w:val="007E6456"/>
    <w:rsid w:val="007E71E5"/>
    <w:rsid w:val="007E73C2"/>
    <w:rsid w:val="007F1C48"/>
    <w:rsid w:val="007F212F"/>
    <w:rsid w:val="007F36E0"/>
    <w:rsid w:val="007F4950"/>
    <w:rsid w:val="007F5307"/>
    <w:rsid w:val="007F5684"/>
    <w:rsid w:val="007F5AD8"/>
    <w:rsid w:val="007F64E4"/>
    <w:rsid w:val="007F77C6"/>
    <w:rsid w:val="00800498"/>
    <w:rsid w:val="00800807"/>
    <w:rsid w:val="00802B59"/>
    <w:rsid w:val="00804341"/>
    <w:rsid w:val="008043EA"/>
    <w:rsid w:val="00806E3E"/>
    <w:rsid w:val="008072CD"/>
    <w:rsid w:val="00807CC4"/>
    <w:rsid w:val="008100EE"/>
    <w:rsid w:val="00810258"/>
    <w:rsid w:val="00810654"/>
    <w:rsid w:val="008109B3"/>
    <w:rsid w:val="00810BC4"/>
    <w:rsid w:val="0081527A"/>
    <w:rsid w:val="00816493"/>
    <w:rsid w:val="008171C3"/>
    <w:rsid w:val="0081782A"/>
    <w:rsid w:val="008202E0"/>
    <w:rsid w:val="00820AEF"/>
    <w:rsid w:val="00821291"/>
    <w:rsid w:val="008230BE"/>
    <w:rsid w:val="008235E7"/>
    <w:rsid w:val="00823A66"/>
    <w:rsid w:val="00824455"/>
    <w:rsid w:val="00825080"/>
    <w:rsid w:val="00825606"/>
    <w:rsid w:val="00825B02"/>
    <w:rsid w:val="00826AF8"/>
    <w:rsid w:val="00826FA3"/>
    <w:rsid w:val="00827C69"/>
    <w:rsid w:val="0083014B"/>
    <w:rsid w:val="00832303"/>
    <w:rsid w:val="00833F6D"/>
    <w:rsid w:val="00833FE2"/>
    <w:rsid w:val="00834243"/>
    <w:rsid w:val="00834384"/>
    <w:rsid w:val="00834471"/>
    <w:rsid w:val="00835CC1"/>
    <w:rsid w:val="008361B4"/>
    <w:rsid w:val="00837793"/>
    <w:rsid w:val="00841263"/>
    <w:rsid w:val="00841C73"/>
    <w:rsid w:val="00846A93"/>
    <w:rsid w:val="008506EC"/>
    <w:rsid w:val="00851485"/>
    <w:rsid w:val="00852C0F"/>
    <w:rsid w:val="0085302B"/>
    <w:rsid w:val="00853987"/>
    <w:rsid w:val="00855209"/>
    <w:rsid w:val="00855618"/>
    <w:rsid w:val="00855F1E"/>
    <w:rsid w:val="00855F2D"/>
    <w:rsid w:val="00856233"/>
    <w:rsid w:val="008565C4"/>
    <w:rsid w:val="008565C7"/>
    <w:rsid w:val="00856640"/>
    <w:rsid w:val="00857005"/>
    <w:rsid w:val="00857969"/>
    <w:rsid w:val="00857DDE"/>
    <w:rsid w:val="008606C9"/>
    <w:rsid w:val="00860FC7"/>
    <w:rsid w:val="00862594"/>
    <w:rsid w:val="00862BEF"/>
    <w:rsid w:val="00863047"/>
    <w:rsid w:val="00864389"/>
    <w:rsid w:val="00865C1E"/>
    <w:rsid w:val="00865F22"/>
    <w:rsid w:val="008668ED"/>
    <w:rsid w:val="008723F0"/>
    <w:rsid w:val="00872A2E"/>
    <w:rsid w:val="008730C0"/>
    <w:rsid w:val="00873448"/>
    <w:rsid w:val="00876F5B"/>
    <w:rsid w:val="00877432"/>
    <w:rsid w:val="00877631"/>
    <w:rsid w:val="00880643"/>
    <w:rsid w:val="008823CC"/>
    <w:rsid w:val="00882407"/>
    <w:rsid w:val="00883C9A"/>
    <w:rsid w:val="008875D0"/>
    <w:rsid w:val="00890150"/>
    <w:rsid w:val="00890DA1"/>
    <w:rsid w:val="00891267"/>
    <w:rsid w:val="00891614"/>
    <w:rsid w:val="00892089"/>
    <w:rsid w:val="008923EF"/>
    <w:rsid w:val="0089253C"/>
    <w:rsid w:val="00892954"/>
    <w:rsid w:val="00892DB3"/>
    <w:rsid w:val="00893B4A"/>
    <w:rsid w:val="008942F2"/>
    <w:rsid w:val="0089641D"/>
    <w:rsid w:val="00897C4B"/>
    <w:rsid w:val="008A1187"/>
    <w:rsid w:val="008A1F13"/>
    <w:rsid w:val="008A2715"/>
    <w:rsid w:val="008A29F2"/>
    <w:rsid w:val="008A3C1C"/>
    <w:rsid w:val="008A4FF9"/>
    <w:rsid w:val="008A5B4D"/>
    <w:rsid w:val="008A6525"/>
    <w:rsid w:val="008B0499"/>
    <w:rsid w:val="008B1499"/>
    <w:rsid w:val="008B22E3"/>
    <w:rsid w:val="008B2CEA"/>
    <w:rsid w:val="008B310D"/>
    <w:rsid w:val="008B4B71"/>
    <w:rsid w:val="008B5203"/>
    <w:rsid w:val="008B5612"/>
    <w:rsid w:val="008B5AC3"/>
    <w:rsid w:val="008B5E97"/>
    <w:rsid w:val="008B61E0"/>
    <w:rsid w:val="008B6353"/>
    <w:rsid w:val="008B63F1"/>
    <w:rsid w:val="008B6E83"/>
    <w:rsid w:val="008C0379"/>
    <w:rsid w:val="008C13D5"/>
    <w:rsid w:val="008C1403"/>
    <w:rsid w:val="008C2D15"/>
    <w:rsid w:val="008C3CC9"/>
    <w:rsid w:val="008C4693"/>
    <w:rsid w:val="008C66F1"/>
    <w:rsid w:val="008D0A46"/>
    <w:rsid w:val="008D1705"/>
    <w:rsid w:val="008D1C3C"/>
    <w:rsid w:val="008D339F"/>
    <w:rsid w:val="008D351A"/>
    <w:rsid w:val="008D3A36"/>
    <w:rsid w:val="008D3C5D"/>
    <w:rsid w:val="008D5BD6"/>
    <w:rsid w:val="008D600C"/>
    <w:rsid w:val="008D672C"/>
    <w:rsid w:val="008D685A"/>
    <w:rsid w:val="008D6EBB"/>
    <w:rsid w:val="008D77E7"/>
    <w:rsid w:val="008D7C45"/>
    <w:rsid w:val="008D7F38"/>
    <w:rsid w:val="008E02D9"/>
    <w:rsid w:val="008E2116"/>
    <w:rsid w:val="008E32D5"/>
    <w:rsid w:val="008E6140"/>
    <w:rsid w:val="008E6292"/>
    <w:rsid w:val="008F0598"/>
    <w:rsid w:val="008F11D9"/>
    <w:rsid w:val="008F2195"/>
    <w:rsid w:val="008F3AE6"/>
    <w:rsid w:val="008F3F6E"/>
    <w:rsid w:val="008F4377"/>
    <w:rsid w:val="008F440A"/>
    <w:rsid w:val="008F4CD0"/>
    <w:rsid w:val="008F52A9"/>
    <w:rsid w:val="008F5F84"/>
    <w:rsid w:val="008F7401"/>
    <w:rsid w:val="008F7660"/>
    <w:rsid w:val="009013B7"/>
    <w:rsid w:val="00902204"/>
    <w:rsid w:val="00902424"/>
    <w:rsid w:val="00902FD5"/>
    <w:rsid w:val="00904622"/>
    <w:rsid w:val="009050F1"/>
    <w:rsid w:val="0090571A"/>
    <w:rsid w:val="009116E5"/>
    <w:rsid w:val="0091210A"/>
    <w:rsid w:val="00912CB1"/>
    <w:rsid w:val="00913229"/>
    <w:rsid w:val="00914B87"/>
    <w:rsid w:val="00915F52"/>
    <w:rsid w:val="00916748"/>
    <w:rsid w:val="009219EE"/>
    <w:rsid w:val="00922C24"/>
    <w:rsid w:val="00922EAF"/>
    <w:rsid w:val="00922F86"/>
    <w:rsid w:val="00925AA5"/>
    <w:rsid w:val="00927566"/>
    <w:rsid w:val="0092789D"/>
    <w:rsid w:val="00930395"/>
    <w:rsid w:val="0093069D"/>
    <w:rsid w:val="00930780"/>
    <w:rsid w:val="00931082"/>
    <w:rsid w:val="009312E8"/>
    <w:rsid w:val="00932CDF"/>
    <w:rsid w:val="009341EE"/>
    <w:rsid w:val="00934A00"/>
    <w:rsid w:val="009357B5"/>
    <w:rsid w:val="009372B2"/>
    <w:rsid w:val="0094019D"/>
    <w:rsid w:val="0094167E"/>
    <w:rsid w:val="009417A6"/>
    <w:rsid w:val="00942C11"/>
    <w:rsid w:val="00943690"/>
    <w:rsid w:val="009439B3"/>
    <w:rsid w:val="0094477F"/>
    <w:rsid w:val="009451E4"/>
    <w:rsid w:val="00946926"/>
    <w:rsid w:val="009473EC"/>
    <w:rsid w:val="009502FC"/>
    <w:rsid w:val="0095071A"/>
    <w:rsid w:val="00950D65"/>
    <w:rsid w:val="00951E52"/>
    <w:rsid w:val="00953238"/>
    <w:rsid w:val="00953DAD"/>
    <w:rsid w:val="00954007"/>
    <w:rsid w:val="00954AC4"/>
    <w:rsid w:val="009576FD"/>
    <w:rsid w:val="00960881"/>
    <w:rsid w:val="009625B4"/>
    <w:rsid w:val="00962971"/>
    <w:rsid w:val="0096374B"/>
    <w:rsid w:val="00963E8D"/>
    <w:rsid w:val="00965796"/>
    <w:rsid w:val="00966734"/>
    <w:rsid w:val="00966E84"/>
    <w:rsid w:val="00971C70"/>
    <w:rsid w:val="009732EC"/>
    <w:rsid w:val="009744DF"/>
    <w:rsid w:val="009754DB"/>
    <w:rsid w:val="00975D78"/>
    <w:rsid w:val="00975E12"/>
    <w:rsid w:val="009770AA"/>
    <w:rsid w:val="00977CD6"/>
    <w:rsid w:val="00980160"/>
    <w:rsid w:val="00981554"/>
    <w:rsid w:val="0098196A"/>
    <w:rsid w:val="00981AF7"/>
    <w:rsid w:val="009821CE"/>
    <w:rsid w:val="009829A2"/>
    <w:rsid w:val="00982BCD"/>
    <w:rsid w:val="00982C59"/>
    <w:rsid w:val="009852CF"/>
    <w:rsid w:val="009856E6"/>
    <w:rsid w:val="00987048"/>
    <w:rsid w:val="009908CC"/>
    <w:rsid w:val="00991250"/>
    <w:rsid w:val="00991DA8"/>
    <w:rsid w:val="009921C8"/>
    <w:rsid w:val="0099264A"/>
    <w:rsid w:val="009927E5"/>
    <w:rsid w:val="00992B60"/>
    <w:rsid w:val="00994D39"/>
    <w:rsid w:val="00995195"/>
    <w:rsid w:val="0099574F"/>
    <w:rsid w:val="009959A9"/>
    <w:rsid w:val="00996768"/>
    <w:rsid w:val="00997F5F"/>
    <w:rsid w:val="009A000F"/>
    <w:rsid w:val="009A0ED9"/>
    <w:rsid w:val="009A0F44"/>
    <w:rsid w:val="009A3796"/>
    <w:rsid w:val="009A4919"/>
    <w:rsid w:val="009A658F"/>
    <w:rsid w:val="009A668A"/>
    <w:rsid w:val="009A7AB0"/>
    <w:rsid w:val="009B1112"/>
    <w:rsid w:val="009B1A65"/>
    <w:rsid w:val="009B35E1"/>
    <w:rsid w:val="009B4410"/>
    <w:rsid w:val="009B57FA"/>
    <w:rsid w:val="009B667E"/>
    <w:rsid w:val="009B67D7"/>
    <w:rsid w:val="009B72DF"/>
    <w:rsid w:val="009B77CE"/>
    <w:rsid w:val="009C0570"/>
    <w:rsid w:val="009C0C3E"/>
    <w:rsid w:val="009C195D"/>
    <w:rsid w:val="009C20C7"/>
    <w:rsid w:val="009C2A4B"/>
    <w:rsid w:val="009C3170"/>
    <w:rsid w:val="009C45C9"/>
    <w:rsid w:val="009C5BFC"/>
    <w:rsid w:val="009C62A7"/>
    <w:rsid w:val="009C63D2"/>
    <w:rsid w:val="009C6BA5"/>
    <w:rsid w:val="009D04B5"/>
    <w:rsid w:val="009D0C3D"/>
    <w:rsid w:val="009D1209"/>
    <w:rsid w:val="009D28DB"/>
    <w:rsid w:val="009D3512"/>
    <w:rsid w:val="009D3560"/>
    <w:rsid w:val="009D4B52"/>
    <w:rsid w:val="009D6B1E"/>
    <w:rsid w:val="009D6E8B"/>
    <w:rsid w:val="009E0DCC"/>
    <w:rsid w:val="009E3A45"/>
    <w:rsid w:val="009E423D"/>
    <w:rsid w:val="009E505B"/>
    <w:rsid w:val="009E50C7"/>
    <w:rsid w:val="009E568C"/>
    <w:rsid w:val="009E56DD"/>
    <w:rsid w:val="009E6252"/>
    <w:rsid w:val="009E7552"/>
    <w:rsid w:val="009F04A0"/>
    <w:rsid w:val="009F04B1"/>
    <w:rsid w:val="009F0BF8"/>
    <w:rsid w:val="009F320F"/>
    <w:rsid w:val="009F3C4D"/>
    <w:rsid w:val="009F3E21"/>
    <w:rsid w:val="009F4DAC"/>
    <w:rsid w:val="009F4E66"/>
    <w:rsid w:val="009F594C"/>
    <w:rsid w:val="009F7F73"/>
    <w:rsid w:val="00A023B4"/>
    <w:rsid w:val="00A03599"/>
    <w:rsid w:val="00A03BDF"/>
    <w:rsid w:val="00A04781"/>
    <w:rsid w:val="00A04D75"/>
    <w:rsid w:val="00A06C58"/>
    <w:rsid w:val="00A077E2"/>
    <w:rsid w:val="00A10901"/>
    <w:rsid w:val="00A109F9"/>
    <w:rsid w:val="00A12388"/>
    <w:rsid w:val="00A14B74"/>
    <w:rsid w:val="00A14D9C"/>
    <w:rsid w:val="00A15C1F"/>
    <w:rsid w:val="00A164E2"/>
    <w:rsid w:val="00A16E03"/>
    <w:rsid w:val="00A208F8"/>
    <w:rsid w:val="00A20AFC"/>
    <w:rsid w:val="00A219E3"/>
    <w:rsid w:val="00A228CD"/>
    <w:rsid w:val="00A2405D"/>
    <w:rsid w:val="00A243FD"/>
    <w:rsid w:val="00A260CD"/>
    <w:rsid w:val="00A2692F"/>
    <w:rsid w:val="00A269CB"/>
    <w:rsid w:val="00A26C26"/>
    <w:rsid w:val="00A3016F"/>
    <w:rsid w:val="00A302F7"/>
    <w:rsid w:val="00A304E7"/>
    <w:rsid w:val="00A30F0A"/>
    <w:rsid w:val="00A312BF"/>
    <w:rsid w:val="00A31345"/>
    <w:rsid w:val="00A31C83"/>
    <w:rsid w:val="00A33CAA"/>
    <w:rsid w:val="00A3408F"/>
    <w:rsid w:val="00A34451"/>
    <w:rsid w:val="00A357C6"/>
    <w:rsid w:val="00A36043"/>
    <w:rsid w:val="00A360E2"/>
    <w:rsid w:val="00A367B0"/>
    <w:rsid w:val="00A3746F"/>
    <w:rsid w:val="00A3749B"/>
    <w:rsid w:val="00A3777B"/>
    <w:rsid w:val="00A404A9"/>
    <w:rsid w:val="00A40E00"/>
    <w:rsid w:val="00A423D0"/>
    <w:rsid w:val="00A42869"/>
    <w:rsid w:val="00A431AC"/>
    <w:rsid w:val="00A43AF5"/>
    <w:rsid w:val="00A43CE6"/>
    <w:rsid w:val="00A50479"/>
    <w:rsid w:val="00A50491"/>
    <w:rsid w:val="00A51BFB"/>
    <w:rsid w:val="00A521D7"/>
    <w:rsid w:val="00A528D3"/>
    <w:rsid w:val="00A5398A"/>
    <w:rsid w:val="00A53B8C"/>
    <w:rsid w:val="00A548D1"/>
    <w:rsid w:val="00A56C91"/>
    <w:rsid w:val="00A56D00"/>
    <w:rsid w:val="00A60972"/>
    <w:rsid w:val="00A62E42"/>
    <w:rsid w:val="00A63455"/>
    <w:rsid w:val="00A63FE1"/>
    <w:rsid w:val="00A64A71"/>
    <w:rsid w:val="00A652B8"/>
    <w:rsid w:val="00A6577C"/>
    <w:rsid w:val="00A6749B"/>
    <w:rsid w:val="00A73921"/>
    <w:rsid w:val="00A73FAB"/>
    <w:rsid w:val="00A75A9E"/>
    <w:rsid w:val="00A7713F"/>
    <w:rsid w:val="00A77DC8"/>
    <w:rsid w:val="00A810F3"/>
    <w:rsid w:val="00A822C0"/>
    <w:rsid w:val="00A829E3"/>
    <w:rsid w:val="00A82E7E"/>
    <w:rsid w:val="00A83004"/>
    <w:rsid w:val="00A83386"/>
    <w:rsid w:val="00A83D3D"/>
    <w:rsid w:val="00A850B6"/>
    <w:rsid w:val="00A85A19"/>
    <w:rsid w:val="00A865FF"/>
    <w:rsid w:val="00A903D1"/>
    <w:rsid w:val="00A92ADA"/>
    <w:rsid w:val="00A92B52"/>
    <w:rsid w:val="00A9437F"/>
    <w:rsid w:val="00A968C8"/>
    <w:rsid w:val="00A96D2D"/>
    <w:rsid w:val="00AA0BB6"/>
    <w:rsid w:val="00AA18DC"/>
    <w:rsid w:val="00AA24CB"/>
    <w:rsid w:val="00AA2618"/>
    <w:rsid w:val="00AA3929"/>
    <w:rsid w:val="00AA4062"/>
    <w:rsid w:val="00AA4423"/>
    <w:rsid w:val="00AA67FB"/>
    <w:rsid w:val="00AA73A2"/>
    <w:rsid w:val="00AB13D4"/>
    <w:rsid w:val="00AB456E"/>
    <w:rsid w:val="00AB6065"/>
    <w:rsid w:val="00AB6791"/>
    <w:rsid w:val="00AB781A"/>
    <w:rsid w:val="00AB7840"/>
    <w:rsid w:val="00AB79C9"/>
    <w:rsid w:val="00AC2599"/>
    <w:rsid w:val="00AC33EB"/>
    <w:rsid w:val="00AC4529"/>
    <w:rsid w:val="00AC4E3D"/>
    <w:rsid w:val="00AC5845"/>
    <w:rsid w:val="00AC5B2F"/>
    <w:rsid w:val="00AC72D3"/>
    <w:rsid w:val="00AC7717"/>
    <w:rsid w:val="00AD0392"/>
    <w:rsid w:val="00AD1C10"/>
    <w:rsid w:val="00AD2FB9"/>
    <w:rsid w:val="00AD5DFF"/>
    <w:rsid w:val="00AD7752"/>
    <w:rsid w:val="00AD7D04"/>
    <w:rsid w:val="00AE026A"/>
    <w:rsid w:val="00AE0977"/>
    <w:rsid w:val="00AE1885"/>
    <w:rsid w:val="00AE19B4"/>
    <w:rsid w:val="00AE1B7C"/>
    <w:rsid w:val="00AE218F"/>
    <w:rsid w:val="00AE2E0B"/>
    <w:rsid w:val="00AE2F90"/>
    <w:rsid w:val="00AE31EB"/>
    <w:rsid w:val="00AE52EE"/>
    <w:rsid w:val="00AE5A3B"/>
    <w:rsid w:val="00AE729F"/>
    <w:rsid w:val="00AE7A8D"/>
    <w:rsid w:val="00AF15F3"/>
    <w:rsid w:val="00AF30CB"/>
    <w:rsid w:val="00AF38B4"/>
    <w:rsid w:val="00AF3F47"/>
    <w:rsid w:val="00AF3FF9"/>
    <w:rsid w:val="00AF50BF"/>
    <w:rsid w:val="00AF64C3"/>
    <w:rsid w:val="00B0128F"/>
    <w:rsid w:val="00B01ABD"/>
    <w:rsid w:val="00B033A6"/>
    <w:rsid w:val="00B03BE2"/>
    <w:rsid w:val="00B04B38"/>
    <w:rsid w:val="00B05C12"/>
    <w:rsid w:val="00B0672B"/>
    <w:rsid w:val="00B07755"/>
    <w:rsid w:val="00B10C55"/>
    <w:rsid w:val="00B11755"/>
    <w:rsid w:val="00B12548"/>
    <w:rsid w:val="00B1286D"/>
    <w:rsid w:val="00B14EB2"/>
    <w:rsid w:val="00B159D2"/>
    <w:rsid w:val="00B15A40"/>
    <w:rsid w:val="00B202C0"/>
    <w:rsid w:val="00B20397"/>
    <w:rsid w:val="00B22238"/>
    <w:rsid w:val="00B22B2D"/>
    <w:rsid w:val="00B22E7A"/>
    <w:rsid w:val="00B22ED6"/>
    <w:rsid w:val="00B23F98"/>
    <w:rsid w:val="00B247E4"/>
    <w:rsid w:val="00B24B73"/>
    <w:rsid w:val="00B24F5E"/>
    <w:rsid w:val="00B275B1"/>
    <w:rsid w:val="00B3149D"/>
    <w:rsid w:val="00B33313"/>
    <w:rsid w:val="00B33374"/>
    <w:rsid w:val="00B33E36"/>
    <w:rsid w:val="00B3507F"/>
    <w:rsid w:val="00B355BC"/>
    <w:rsid w:val="00B35C21"/>
    <w:rsid w:val="00B36DC0"/>
    <w:rsid w:val="00B378FE"/>
    <w:rsid w:val="00B37F72"/>
    <w:rsid w:val="00B4071B"/>
    <w:rsid w:val="00B408E2"/>
    <w:rsid w:val="00B411D5"/>
    <w:rsid w:val="00B41806"/>
    <w:rsid w:val="00B419E8"/>
    <w:rsid w:val="00B41CEA"/>
    <w:rsid w:val="00B43C59"/>
    <w:rsid w:val="00B43DAC"/>
    <w:rsid w:val="00B447F2"/>
    <w:rsid w:val="00B4567F"/>
    <w:rsid w:val="00B4699A"/>
    <w:rsid w:val="00B46D0F"/>
    <w:rsid w:val="00B47692"/>
    <w:rsid w:val="00B50B6F"/>
    <w:rsid w:val="00B51FF6"/>
    <w:rsid w:val="00B5254B"/>
    <w:rsid w:val="00B52673"/>
    <w:rsid w:val="00B526B7"/>
    <w:rsid w:val="00B542B9"/>
    <w:rsid w:val="00B568C2"/>
    <w:rsid w:val="00B5740D"/>
    <w:rsid w:val="00B60D90"/>
    <w:rsid w:val="00B61213"/>
    <w:rsid w:val="00B648D3"/>
    <w:rsid w:val="00B64E34"/>
    <w:rsid w:val="00B658D6"/>
    <w:rsid w:val="00B666E8"/>
    <w:rsid w:val="00B67A7C"/>
    <w:rsid w:val="00B704C0"/>
    <w:rsid w:val="00B71A00"/>
    <w:rsid w:val="00B71FDF"/>
    <w:rsid w:val="00B724EB"/>
    <w:rsid w:val="00B7291A"/>
    <w:rsid w:val="00B72AC7"/>
    <w:rsid w:val="00B75E0E"/>
    <w:rsid w:val="00B760D6"/>
    <w:rsid w:val="00B76167"/>
    <w:rsid w:val="00B763E9"/>
    <w:rsid w:val="00B770FF"/>
    <w:rsid w:val="00B820A1"/>
    <w:rsid w:val="00B82EF9"/>
    <w:rsid w:val="00B8444D"/>
    <w:rsid w:val="00B8522B"/>
    <w:rsid w:val="00B8536C"/>
    <w:rsid w:val="00B85F47"/>
    <w:rsid w:val="00B86821"/>
    <w:rsid w:val="00B868FC"/>
    <w:rsid w:val="00B86976"/>
    <w:rsid w:val="00B86C30"/>
    <w:rsid w:val="00B86F91"/>
    <w:rsid w:val="00B87927"/>
    <w:rsid w:val="00B87FAE"/>
    <w:rsid w:val="00B90355"/>
    <w:rsid w:val="00B90CF5"/>
    <w:rsid w:val="00B92619"/>
    <w:rsid w:val="00B94B27"/>
    <w:rsid w:val="00B96162"/>
    <w:rsid w:val="00B962C2"/>
    <w:rsid w:val="00B97649"/>
    <w:rsid w:val="00BA05F8"/>
    <w:rsid w:val="00BA1FAE"/>
    <w:rsid w:val="00BA2EB0"/>
    <w:rsid w:val="00BA3153"/>
    <w:rsid w:val="00BA3DF0"/>
    <w:rsid w:val="00BA4D90"/>
    <w:rsid w:val="00BA5135"/>
    <w:rsid w:val="00BA578C"/>
    <w:rsid w:val="00BA6599"/>
    <w:rsid w:val="00BA6A9B"/>
    <w:rsid w:val="00BA7422"/>
    <w:rsid w:val="00BA79EB"/>
    <w:rsid w:val="00BB03EC"/>
    <w:rsid w:val="00BB0703"/>
    <w:rsid w:val="00BB224F"/>
    <w:rsid w:val="00BB3021"/>
    <w:rsid w:val="00BB7F0A"/>
    <w:rsid w:val="00BC0303"/>
    <w:rsid w:val="00BC098B"/>
    <w:rsid w:val="00BC0B2A"/>
    <w:rsid w:val="00BC2546"/>
    <w:rsid w:val="00BC30C2"/>
    <w:rsid w:val="00BC3538"/>
    <w:rsid w:val="00BC3FE6"/>
    <w:rsid w:val="00BC5420"/>
    <w:rsid w:val="00BD1296"/>
    <w:rsid w:val="00BD225D"/>
    <w:rsid w:val="00BD29A7"/>
    <w:rsid w:val="00BD423E"/>
    <w:rsid w:val="00BD4A46"/>
    <w:rsid w:val="00BD4D42"/>
    <w:rsid w:val="00BD5650"/>
    <w:rsid w:val="00BD7E9A"/>
    <w:rsid w:val="00BE06A6"/>
    <w:rsid w:val="00BE13A9"/>
    <w:rsid w:val="00BE5C22"/>
    <w:rsid w:val="00BF0CAC"/>
    <w:rsid w:val="00BF0E64"/>
    <w:rsid w:val="00BF22A8"/>
    <w:rsid w:val="00BF2320"/>
    <w:rsid w:val="00BF24A4"/>
    <w:rsid w:val="00BF27CF"/>
    <w:rsid w:val="00BF3D98"/>
    <w:rsid w:val="00BF795A"/>
    <w:rsid w:val="00C00495"/>
    <w:rsid w:val="00C00D2A"/>
    <w:rsid w:val="00C012CB"/>
    <w:rsid w:val="00C01C73"/>
    <w:rsid w:val="00C03B17"/>
    <w:rsid w:val="00C049E0"/>
    <w:rsid w:val="00C04A3C"/>
    <w:rsid w:val="00C04FA4"/>
    <w:rsid w:val="00C04FBB"/>
    <w:rsid w:val="00C0554F"/>
    <w:rsid w:val="00C05822"/>
    <w:rsid w:val="00C05D26"/>
    <w:rsid w:val="00C07207"/>
    <w:rsid w:val="00C07D18"/>
    <w:rsid w:val="00C07E6A"/>
    <w:rsid w:val="00C1208A"/>
    <w:rsid w:val="00C1324F"/>
    <w:rsid w:val="00C140C5"/>
    <w:rsid w:val="00C15D8B"/>
    <w:rsid w:val="00C16492"/>
    <w:rsid w:val="00C16819"/>
    <w:rsid w:val="00C204A1"/>
    <w:rsid w:val="00C20759"/>
    <w:rsid w:val="00C21080"/>
    <w:rsid w:val="00C239B0"/>
    <w:rsid w:val="00C23B6F"/>
    <w:rsid w:val="00C24E31"/>
    <w:rsid w:val="00C267EE"/>
    <w:rsid w:val="00C26C87"/>
    <w:rsid w:val="00C26F6E"/>
    <w:rsid w:val="00C27155"/>
    <w:rsid w:val="00C27F66"/>
    <w:rsid w:val="00C30297"/>
    <w:rsid w:val="00C303AB"/>
    <w:rsid w:val="00C30583"/>
    <w:rsid w:val="00C30A73"/>
    <w:rsid w:val="00C31521"/>
    <w:rsid w:val="00C315AA"/>
    <w:rsid w:val="00C3161C"/>
    <w:rsid w:val="00C31827"/>
    <w:rsid w:val="00C32E22"/>
    <w:rsid w:val="00C33BD4"/>
    <w:rsid w:val="00C349C3"/>
    <w:rsid w:val="00C3539F"/>
    <w:rsid w:val="00C3552C"/>
    <w:rsid w:val="00C3580F"/>
    <w:rsid w:val="00C35827"/>
    <w:rsid w:val="00C37598"/>
    <w:rsid w:val="00C42F6D"/>
    <w:rsid w:val="00C43931"/>
    <w:rsid w:val="00C444FA"/>
    <w:rsid w:val="00C445E9"/>
    <w:rsid w:val="00C45311"/>
    <w:rsid w:val="00C469B0"/>
    <w:rsid w:val="00C46D22"/>
    <w:rsid w:val="00C46F7F"/>
    <w:rsid w:val="00C47F98"/>
    <w:rsid w:val="00C51710"/>
    <w:rsid w:val="00C518BB"/>
    <w:rsid w:val="00C52184"/>
    <w:rsid w:val="00C526D0"/>
    <w:rsid w:val="00C52EC2"/>
    <w:rsid w:val="00C531EF"/>
    <w:rsid w:val="00C53887"/>
    <w:rsid w:val="00C53F8C"/>
    <w:rsid w:val="00C54E4E"/>
    <w:rsid w:val="00C558B0"/>
    <w:rsid w:val="00C5674C"/>
    <w:rsid w:val="00C56DD1"/>
    <w:rsid w:val="00C6052C"/>
    <w:rsid w:val="00C60873"/>
    <w:rsid w:val="00C60A47"/>
    <w:rsid w:val="00C62446"/>
    <w:rsid w:val="00C6275E"/>
    <w:rsid w:val="00C637F7"/>
    <w:rsid w:val="00C6524D"/>
    <w:rsid w:val="00C6535B"/>
    <w:rsid w:val="00C655F8"/>
    <w:rsid w:val="00C6617D"/>
    <w:rsid w:val="00C663AB"/>
    <w:rsid w:val="00C66B7E"/>
    <w:rsid w:val="00C676DF"/>
    <w:rsid w:val="00C709E5"/>
    <w:rsid w:val="00C71C75"/>
    <w:rsid w:val="00C726BC"/>
    <w:rsid w:val="00C74CBE"/>
    <w:rsid w:val="00C77249"/>
    <w:rsid w:val="00C80EB9"/>
    <w:rsid w:val="00C840D1"/>
    <w:rsid w:val="00C84B97"/>
    <w:rsid w:val="00C85142"/>
    <w:rsid w:val="00C852B2"/>
    <w:rsid w:val="00C85314"/>
    <w:rsid w:val="00C86367"/>
    <w:rsid w:val="00C90D05"/>
    <w:rsid w:val="00C914E8"/>
    <w:rsid w:val="00C9170F"/>
    <w:rsid w:val="00C91ACB"/>
    <w:rsid w:val="00C937EB"/>
    <w:rsid w:val="00C941FE"/>
    <w:rsid w:val="00C95811"/>
    <w:rsid w:val="00C95A77"/>
    <w:rsid w:val="00C9698E"/>
    <w:rsid w:val="00CA0212"/>
    <w:rsid w:val="00CA07F7"/>
    <w:rsid w:val="00CA0D10"/>
    <w:rsid w:val="00CA0F59"/>
    <w:rsid w:val="00CA3D2B"/>
    <w:rsid w:val="00CA42CD"/>
    <w:rsid w:val="00CA4412"/>
    <w:rsid w:val="00CA46D6"/>
    <w:rsid w:val="00CA4BC0"/>
    <w:rsid w:val="00CA6C83"/>
    <w:rsid w:val="00CA6CB5"/>
    <w:rsid w:val="00CA747B"/>
    <w:rsid w:val="00CA77A1"/>
    <w:rsid w:val="00CB0698"/>
    <w:rsid w:val="00CB0ED4"/>
    <w:rsid w:val="00CB12F7"/>
    <w:rsid w:val="00CB1BF5"/>
    <w:rsid w:val="00CB1F6E"/>
    <w:rsid w:val="00CB2BA3"/>
    <w:rsid w:val="00CC0EC3"/>
    <w:rsid w:val="00CC1303"/>
    <w:rsid w:val="00CC13F1"/>
    <w:rsid w:val="00CC1692"/>
    <w:rsid w:val="00CC338A"/>
    <w:rsid w:val="00CC4C0C"/>
    <w:rsid w:val="00CC4E20"/>
    <w:rsid w:val="00CC530D"/>
    <w:rsid w:val="00CC559D"/>
    <w:rsid w:val="00CC5A30"/>
    <w:rsid w:val="00CC60AF"/>
    <w:rsid w:val="00CC66A0"/>
    <w:rsid w:val="00CC6906"/>
    <w:rsid w:val="00CC76D8"/>
    <w:rsid w:val="00CC7755"/>
    <w:rsid w:val="00CC7EA1"/>
    <w:rsid w:val="00CD224D"/>
    <w:rsid w:val="00CD276D"/>
    <w:rsid w:val="00CD3EEA"/>
    <w:rsid w:val="00CD5D55"/>
    <w:rsid w:val="00CD6128"/>
    <w:rsid w:val="00CD654B"/>
    <w:rsid w:val="00CD6BD4"/>
    <w:rsid w:val="00CE1793"/>
    <w:rsid w:val="00CE223E"/>
    <w:rsid w:val="00CE2DDB"/>
    <w:rsid w:val="00CE2E70"/>
    <w:rsid w:val="00CE2FC8"/>
    <w:rsid w:val="00CE37EE"/>
    <w:rsid w:val="00CE4C7B"/>
    <w:rsid w:val="00CE53A2"/>
    <w:rsid w:val="00CE5B0C"/>
    <w:rsid w:val="00CE68C8"/>
    <w:rsid w:val="00CE6DCB"/>
    <w:rsid w:val="00CE7C5B"/>
    <w:rsid w:val="00CF04AD"/>
    <w:rsid w:val="00CF0722"/>
    <w:rsid w:val="00CF1E54"/>
    <w:rsid w:val="00CF6E69"/>
    <w:rsid w:val="00D006F5"/>
    <w:rsid w:val="00D01815"/>
    <w:rsid w:val="00D01AB2"/>
    <w:rsid w:val="00D01C64"/>
    <w:rsid w:val="00D02701"/>
    <w:rsid w:val="00D030BE"/>
    <w:rsid w:val="00D05BD5"/>
    <w:rsid w:val="00D06476"/>
    <w:rsid w:val="00D12CEC"/>
    <w:rsid w:val="00D13879"/>
    <w:rsid w:val="00D145F5"/>
    <w:rsid w:val="00D15A90"/>
    <w:rsid w:val="00D15FB4"/>
    <w:rsid w:val="00D16A5F"/>
    <w:rsid w:val="00D177B6"/>
    <w:rsid w:val="00D206C7"/>
    <w:rsid w:val="00D20E77"/>
    <w:rsid w:val="00D20F74"/>
    <w:rsid w:val="00D21C0C"/>
    <w:rsid w:val="00D22865"/>
    <w:rsid w:val="00D24DB3"/>
    <w:rsid w:val="00D2682C"/>
    <w:rsid w:val="00D270FA"/>
    <w:rsid w:val="00D279F6"/>
    <w:rsid w:val="00D27B69"/>
    <w:rsid w:val="00D301C6"/>
    <w:rsid w:val="00D34E4A"/>
    <w:rsid w:val="00D355F0"/>
    <w:rsid w:val="00D35A6B"/>
    <w:rsid w:val="00D368A3"/>
    <w:rsid w:val="00D37471"/>
    <w:rsid w:val="00D37D4C"/>
    <w:rsid w:val="00D402E3"/>
    <w:rsid w:val="00D40CBB"/>
    <w:rsid w:val="00D41F5E"/>
    <w:rsid w:val="00D4237E"/>
    <w:rsid w:val="00D426E5"/>
    <w:rsid w:val="00D439C7"/>
    <w:rsid w:val="00D45A76"/>
    <w:rsid w:val="00D45AF8"/>
    <w:rsid w:val="00D46551"/>
    <w:rsid w:val="00D474EA"/>
    <w:rsid w:val="00D50298"/>
    <w:rsid w:val="00D50AD4"/>
    <w:rsid w:val="00D519BC"/>
    <w:rsid w:val="00D51C05"/>
    <w:rsid w:val="00D54F78"/>
    <w:rsid w:val="00D576EB"/>
    <w:rsid w:val="00D577E3"/>
    <w:rsid w:val="00D57ADD"/>
    <w:rsid w:val="00D609E9"/>
    <w:rsid w:val="00D60D72"/>
    <w:rsid w:val="00D61C4D"/>
    <w:rsid w:val="00D6339C"/>
    <w:rsid w:val="00D63593"/>
    <w:rsid w:val="00D63C50"/>
    <w:rsid w:val="00D65DA2"/>
    <w:rsid w:val="00D660DA"/>
    <w:rsid w:val="00D67736"/>
    <w:rsid w:val="00D713F2"/>
    <w:rsid w:val="00D71EFC"/>
    <w:rsid w:val="00D725CD"/>
    <w:rsid w:val="00D728FD"/>
    <w:rsid w:val="00D7363C"/>
    <w:rsid w:val="00D739B1"/>
    <w:rsid w:val="00D73E0E"/>
    <w:rsid w:val="00D73FAA"/>
    <w:rsid w:val="00D74DF5"/>
    <w:rsid w:val="00D76B56"/>
    <w:rsid w:val="00D813FA"/>
    <w:rsid w:val="00D819B4"/>
    <w:rsid w:val="00D83BD9"/>
    <w:rsid w:val="00D8667E"/>
    <w:rsid w:val="00D87E9B"/>
    <w:rsid w:val="00D87FDA"/>
    <w:rsid w:val="00D91536"/>
    <w:rsid w:val="00D932F1"/>
    <w:rsid w:val="00D93DE3"/>
    <w:rsid w:val="00D94AB0"/>
    <w:rsid w:val="00D94B46"/>
    <w:rsid w:val="00D95A53"/>
    <w:rsid w:val="00D95FB9"/>
    <w:rsid w:val="00D96E1F"/>
    <w:rsid w:val="00D972AB"/>
    <w:rsid w:val="00D9762B"/>
    <w:rsid w:val="00D978A1"/>
    <w:rsid w:val="00DA0668"/>
    <w:rsid w:val="00DA0E66"/>
    <w:rsid w:val="00DA154C"/>
    <w:rsid w:val="00DA1676"/>
    <w:rsid w:val="00DA327B"/>
    <w:rsid w:val="00DA581A"/>
    <w:rsid w:val="00DA5933"/>
    <w:rsid w:val="00DA686B"/>
    <w:rsid w:val="00DA7350"/>
    <w:rsid w:val="00DB07E7"/>
    <w:rsid w:val="00DB0E05"/>
    <w:rsid w:val="00DB1E34"/>
    <w:rsid w:val="00DB20DD"/>
    <w:rsid w:val="00DB211D"/>
    <w:rsid w:val="00DB21FA"/>
    <w:rsid w:val="00DB308F"/>
    <w:rsid w:val="00DB3755"/>
    <w:rsid w:val="00DB4E47"/>
    <w:rsid w:val="00DB6220"/>
    <w:rsid w:val="00DB7A86"/>
    <w:rsid w:val="00DB7C20"/>
    <w:rsid w:val="00DB7F09"/>
    <w:rsid w:val="00DC00E8"/>
    <w:rsid w:val="00DC05D0"/>
    <w:rsid w:val="00DC076A"/>
    <w:rsid w:val="00DC174F"/>
    <w:rsid w:val="00DC1E35"/>
    <w:rsid w:val="00DC24E4"/>
    <w:rsid w:val="00DC3E35"/>
    <w:rsid w:val="00DC4B9A"/>
    <w:rsid w:val="00DC4C6F"/>
    <w:rsid w:val="00DC5116"/>
    <w:rsid w:val="00DC5965"/>
    <w:rsid w:val="00DC5A0C"/>
    <w:rsid w:val="00DC5C66"/>
    <w:rsid w:val="00DC5CBD"/>
    <w:rsid w:val="00DD04E1"/>
    <w:rsid w:val="00DD10BE"/>
    <w:rsid w:val="00DD2315"/>
    <w:rsid w:val="00DD3161"/>
    <w:rsid w:val="00DD31B2"/>
    <w:rsid w:val="00DD6137"/>
    <w:rsid w:val="00DD7AC8"/>
    <w:rsid w:val="00DD7D98"/>
    <w:rsid w:val="00DE0BE2"/>
    <w:rsid w:val="00DE47CE"/>
    <w:rsid w:val="00DE4982"/>
    <w:rsid w:val="00DE5410"/>
    <w:rsid w:val="00DE6EFC"/>
    <w:rsid w:val="00DE7078"/>
    <w:rsid w:val="00DF0447"/>
    <w:rsid w:val="00DF0542"/>
    <w:rsid w:val="00DF08F9"/>
    <w:rsid w:val="00DF09A7"/>
    <w:rsid w:val="00DF1865"/>
    <w:rsid w:val="00DF1C98"/>
    <w:rsid w:val="00DF1C9E"/>
    <w:rsid w:val="00DF4504"/>
    <w:rsid w:val="00DF46E2"/>
    <w:rsid w:val="00DF4E83"/>
    <w:rsid w:val="00DF544B"/>
    <w:rsid w:val="00DF5737"/>
    <w:rsid w:val="00DF62B2"/>
    <w:rsid w:val="00DF63F4"/>
    <w:rsid w:val="00DF69EC"/>
    <w:rsid w:val="00DF6CE1"/>
    <w:rsid w:val="00DF75CF"/>
    <w:rsid w:val="00DF7906"/>
    <w:rsid w:val="00DF7E5E"/>
    <w:rsid w:val="00E01252"/>
    <w:rsid w:val="00E024A5"/>
    <w:rsid w:val="00E036FE"/>
    <w:rsid w:val="00E04357"/>
    <w:rsid w:val="00E0568E"/>
    <w:rsid w:val="00E07621"/>
    <w:rsid w:val="00E10D39"/>
    <w:rsid w:val="00E1136B"/>
    <w:rsid w:val="00E11F80"/>
    <w:rsid w:val="00E120AB"/>
    <w:rsid w:val="00E13AF0"/>
    <w:rsid w:val="00E13E90"/>
    <w:rsid w:val="00E15FF0"/>
    <w:rsid w:val="00E16CA5"/>
    <w:rsid w:val="00E214C4"/>
    <w:rsid w:val="00E22D51"/>
    <w:rsid w:val="00E232A2"/>
    <w:rsid w:val="00E2408B"/>
    <w:rsid w:val="00E24B17"/>
    <w:rsid w:val="00E26098"/>
    <w:rsid w:val="00E27248"/>
    <w:rsid w:val="00E324F5"/>
    <w:rsid w:val="00E33127"/>
    <w:rsid w:val="00E35E22"/>
    <w:rsid w:val="00E35FA1"/>
    <w:rsid w:val="00E40636"/>
    <w:rsid w:val="00E4089E"/>
    <w:rsid w:val="00E4248A"/>
    <w:rsid w:val="00E424C1"/>
    <w:rsid w:val="00E43852"/>
    <w:rsid w:val="00E44712"/>
    <w:rsid w:val="00E44840"/>
    <w:rsid w:val="00E44FE8"/>
    <w:rsid w:val="00E45133"/>
    <w:rsid w:val="00E475F9"/>
    <w:rsid w:val="00E5071B"/>
    <w:rsid w:val="00E50E7C"/>
    <w:rsid w:val="00E51545"/>
    <w:rsid w:val="00E52935"/>
    <w:rsid w:val="00E52A0E"/>
    <w:rsid w:val="00E54180"/>
    <w:rsid w:val="00E544F2"/>
    <w:rsid w:val="00E55326"/>
    <w:rsid w:val="00E55392"/>
    <w:rsid w:val="00E5542B"/>
    <w:rsid w:val="00E57622"/>
    <w:rsid w:val="00E57A84"/>
    <w:rsid w:val="00E61586"/>
    <w:rsid w:val="00E61812"/>
    <w:rsid w:val="00E62404"/>
    <w:rsid w:val="00E633D5"/>
    <w:rsid w:val="00E636A9"/>
    <w:rsid w:val="00E63A41"/>
    <w:rsid w:val="00E6426E"/>
    <w:rsid w:val="00E64A1F"/>
    <w:rsid w:val="00E65DEC"/>
    <w:rsid w:val="00E671FD"/>
    <w:rsid w:val="00E70F20"/>
    <w:rsid w:val="00E711D7"/>
    <w:rsid w:val="00E7333C"/>
    <w:rsid w:val="00E73D02"/>
    <w:rsid w:val="00E754A3"/>
    <w:rsid w:val="00E75649"/>
    <w:rsid w:val="00E756FC"/>
    <w:rsid w:val="00E75B1B"/>
    <w:rsid w:val="00E765F2"/>
    <w:rsid w:val="00E76D40"/>
    <w:rsid w:val="00E77E01"/>
    <w:rsid w:val="00E8096D"/>
    <w:rsid w:val="00E80AF1"/>
    <w:rsid w:val="00E81373"/>
    <w:rsid w:val="00E81A40"/>
    <w:rsid w:val="00E82CFC"/>
    <w:rsid w:val="00E832A1"/>
    <w:rsid w:val="00E83DF8"/>
    <w:rsid w:val="00E85F2E"/>
    <w:rsid w:val="00E902B0"/>
    <w:rsid w:val="00E902E8"/>
    <w:rsid w:val="00E902EA"/>
    <w:rsid w:val="00E923F6"/>
    <w:rsid w:val="00E93114"/>
    <w:rsid w:val="00E93F43"/>
    <w:rsid w:val="00E958A6"/>
    <w:rsid w:val="00E969CD"/>
    <w:rsid w:val="00E974E0"/>
    <w:rsid w:val="00E9773D"/>
    <w:rsid w:val="00EA00DB"/>
    <w:rsid w:val="00EA197B"/>
    <w:rsid w:val="00EA35DA"/>
    <w:rsid w:val="00EA4E2B"/>
    <w:rsid w:val="00EA4FBE"/>
    <w:rsid w:val="00EA512E"/>
    <w:rsid w:val="00EB030F"/>
    <w:rsid w:val="00EB0E75"/>
    <w:rsid w:val="00EB151C"/>
    <w:rsid w:val="00EB1D4A"/>
    <w:rsid w:val="00EB3A01"/>
    <w:rsid w:val="00EB413A"/>
    <w:rsid w:val="00EB44C4"/>
    <w:rsid w:val="00EB5E78"/>
    <w:rsid w:val="00EB63D9"/>
    <w:rsid w:val="00EB64A1"/>
    <w:rsid w:val="00EB7D7D"/>
    <w:rsid w:val="00EC224C"/>
    <w:rsid w:val="00EC2C78"/>
    <w:rsid w:val="00EC2F53"/>
    <w:rsid w:val="00EC55FF"/>
    <w:rsid w:val="00EC5D6B"/>
    <w:rsid w:val="00EC63A2"/>
    <w:rsid w:val="00EC6B16"/>
    <w:rsid w:val="00EC6EA5"/>
    <w:rsid w:val="00EC7751"/>
    <w:rsid w:val="00ED14FB"/>
    <w:rsid w:val="00ED18F7"/>
    <w:rsid w:val="00ED4582"/>
    <w:rsid w:val="00ED5BD0"/>
    <w:rsid w:val="00ED5C53"/>
    <w:rsid w:val="00ED5E9D"/>
    <w:rsid w:val="00ED6324"/>
    <w:rsid w:val="00ED7BCB"/>
    <w:rsid w:val="00ED7F5F"/>
    <w:rsid w:val="00EE1892"/>
    <w:rsid w:val="00EE2A81"/>
    <w:rsid w:val="00EE3173"/>
    <w:rsid w:val="00EE323D"/>
    <w:rsid w:val="00EE343E"/>
    <w:rsid w:val="00EE5D0E"/>
    <w:rsid w:val="00EE5DA8"/>
    <w:rsid w:val="00EE677F"/>
    <w:rsid w:val="00EE78AD"/>
    <w:rsid w:val="00EF1BDC"/>
    <w:rsid w:val="00EF2FBF"/>
    <w:rsid w:val="00EF32CD"/>
    <w:rsid w:val="00EF39FB"/>
    <w:rsid w:val="00EF4AA5"/>
    <w:rsid w:val="00EF4B6C"/>
    <w:rsid w:val="00EF5FF3"/>
    <w:rsid w:val="00EF7407"/>
    <w:rsid w:val="00EF79D7"/>
    <w:rsid w:val="00F002FC"/>
    <w:rsid w:val="00F0082D"/>
    <w:rsid w:val="00F009DC"/>
    <w:rsid w:val="00F010BD"/>
    <w:rsid w:val="00F011E7"/>
    <w:rsid w:val="00F017EA"/>
    <w:rsid w:val="00F01822"/>
    <w:rsid w:val="00F027DD"/>
    <w:rsid w:val="00F03093"/>
    <w:rsid w:val="00F0318D"/>
    <w:rsid w:val="00F03FB2"/>
    <w:rsid w:val="00F04B10"/>
    <w:rsid w:val="00F05220"/>
    <w:rsid w:val="00F0685E"/>
    <w:rsid w:val="00F06F32"/>
    <w:rsid w:val="00F078BB"/>
    <w:rsid w:val="00F07C90"/>
    <w:rsid w:val="00F11827"/>
    <w:rsid w:val="00F11C21"/>
    <w:rsid w:val="00F121DA"/>
    <w:rsid w:val="00F12219"/>
    <w:rsid w:val="00F12240"/>
    <w:rsid w:val="00F133AF"/>
    <w:rsid w:val="00F16E6C"/>
    <w:rsid w:val="00F174E3"/>
    <w:rsid w:val="00F20469"/>
    <w:rsid w:val="00F20819"/>
    <w:rsid w:val="00F22C3C"/>
    <w:rsid w:val="00F23BDB"/>
    <w:rsid w:val="00F23D84"/>
    <w:rsid w:val="00F254A6"/>
    <w:rsid w:val="00F26510"/>
    <w:rsid w:val="00F266D6"/>
    <w:rsid w:val="00F26A1F"/>
    <w:rsid w:val="00F2746F"/>
    <w:rsid w:val="00F30614"/>
    <w:rsid w:val="00F31934"/>
    <w:rsid w:val="00F33466"/>
    <w:rsid w:val="00F347A4"/>
    <w:rsid w:val="00F37427"/>
    <w:rsid w:val="00F37FDE"/>
    <w:rsid w:val="00F4037D"/>
    <w:rsid w:val="00F40C96"/>
    <w:rsid w:val="00F40D5B"/>
    <w:rsid w:val="00F425C2"/>
    <w:rsid w:val="00F42B0C"/>
    <w:rsid w:val="00F452EE"/>
    <w:rsid w:val="00F460D5"/>
    <w:rsid w:val="00F467D9"/>
    <w:rsid w:val="00F47176"/>
    <w:rsid w:val="00F4726B"/>
    <w:rsid w:val="00F47AA5"/>
    <w:rsid w:val="00F512CA"/>
    <w:rsid w:val="00F51972"/>
    <w:rsid w:val="00F5326B"/>
    <w:rsid w:val="00F53540"/>
    <w:rsid w:val="00F56EF7"/>
    <w:rsid w:val="00F57835"/>
    <w:rsid w:val="00F600FE"/>
    <w:rsid w:val="00F60689"/>
    <w:rsid w:val="00F61207"/>
    <w:rsid w:val="00F62148"/>
    <w:rsid w:val="00F6223C"/>
    <w:rsid w:val="00F63ACE"/>
    <w:rsid w:val="00F64207"/>
    <w:rsid w:val="00F652E8"/>
    <w:rsid w:val="00F65CCD"/>
    <w:rsid w:val="00F66919"/>
    <w:rsid w:val="00F66B57"/>
    <w:rsid w:val="00F66B9F"/>
    <w:rsid w:val="00F6766B"/>
    <w:rsid w:val="00F679FE"/>
    <w:rsid w:val="00F70B83"/>
    <w:rsid w:val="00F71A0E"/>
    <w:rsid w:val="00F72401"/>
    <w:rsid w:val="00F77110"/>
    <w:rsid w:val="00F80381"/>
    <w:rsid w:val="00F815A7"/>
    <w:rsid w:val="00F81BFE"/>
    <w:rsid w:val="00F82203"/>
    <w:rsid w:val="00F82752"/>
    <w:rsid w:val="00F831D9"/>
    <w:rsid w:val="00F83A45"/>
    <w:rsid w:val="00F83DE9"/>
    <w:rsid w:val="00F83FEE"/>
    <w:rsid w:val="00F83FF0"/>
    <w:rsid w:val="00F844DF"/>
    <w:rsid w:val="00F84D6B"/>
    <w:rsid w:val="00F8552E"/>
    <w:rsid w:val="00F85DCD"/>
    <w:rsid w:val="00F86D09"/>
    <w:rsid w:val="00F87FC7"/>
    <w:rsid w:val="00F90684"/>
    <w:rsid w:val="00F90F4D"/>
    <w:rsid w:val="00F92279"/>
    <w:rsid w:val="00F92BF3"/>
    <w:rsid w:val="00F94538"/>
    <w:rsid w:val="00F9601C"/>
    <w:rsid w:val="00F96690"/>
    <w:rsid w:val="00FA0190"/>
    <w:rsid w:val="00FA2028"/>
    <w:rsid w:val="00FA2C27"/>
    <w:rsid w:val="00FA2E86"/>
    <w:rsid w:val="00FA3278"/>
    <w:rsid w:val="00FA33B3"/>
    <w:rsid w:val="00FA45FF"/>
    <w:rsid w:val="00FA4C36"/>
    <w:rsid w:val="00FA4D34"/>
    <w:rsid w:val="00FA4E89"/>
    <w:rsid w:val="00FA5F53"/>
    <w:rsid w:val="00FA6734"/>
    <w:rsid w:val="00FA7A92"/>
    <w:rsid w:val="00FB13E1"/>
    <w:rsid w:val="00FB217A"/>
    <w:rsid w:val="00FB2F8C"/>
    <w:rsid w:val="00FB455B"/>
    <w:rsid w:val="00FB5906"/>
    <w:rsid w:val="00FB62A4"/>
    <w:rsid w:val="00FB64AA"/>
    <w:rsid w:val="00FC0241"/>
    <w:rsid w:val="00FC1D70"/>
    <w:rsid w:val="00FC3C2C"/>
    <w:rsid w:val="00FC4916"/>
    <w:rsid w:val="00FC6ADA"/>
    <w:rsid w:val="00FC7583"/>
    <w:rsid w:val="00FC7B02"/>
    <w:rsid w:val="00FC7B10"/>
    <w:rsid w:val="00FD1A39"/>
    <w:rsid w:val="00FD2B98"/>
    <w:rsid w:val="00FD3058"/>
    <w:rsid w:val="00FD3785"/>
    <w:rsid w:val="00FD4829"/>
    <w:rsid w:val="00FD65BA"/>
    <w:rsid w:val="00FD6F8D"/>
    <w:rsid w:val="00FE0EE0"/>
    <w:rsid w:val="00FE0F61"/>
    <w:rsid w:val="00FE13A5"/>
    <w:rsid w:val="00FE2804"/>
    <w:rsid w:val="00FE292B"/>
    <w:rsid w:val="00FE29C5"/>
    <w:rsid w:val="00FF0EB2"/>
    <w:rsid w:val="00FF11C7"/>
    <w:rsid w:val="00FF13FE"/>
    <w:rsid w:val="00FF1963"/>
    <w:rsid w:val="00FF1E99"/>
    <w:rsid w:val="00FF443B"/>
    <w:rsid w:val="00FF4F8F"/>
    <w:rsid w:val="00FF5511"/>
    <w:rsid w:val="00FF5A91"/>
    <w:rsid w:val="00FF5ECE"/>
    <w:rsid w:val="00FF5F7F"/>
    <w:rsid w:val="00FF6C5F"/>
    <w:rsid w:val="00FF7A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1794"/>
  <w15:docId w15:val="{E701B563-E8EE-4298-ABD0-15DBC7FC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spacing w:before="0"/>
      <w:ind w:left="720" w:hanging="36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1,b + line,level 1,Body,Bullet + line"/>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Char Char,b + line Char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5B6A0D"/>
    <w:rPr>
      <w:sz w:val="16"/>
      <w:szCs w:val="16"/>
    </w:rPr>
  </w:style>
  <w:style w:type="paragraph" w:styleId="CommentText">
    <w:name w:val="annotation text"/>
    <w:basedOn w:val="Normal"/>
    <w:link w:val="CommentTextChar"/>
    <w:uiPriority w:val="99"/>
    <w:semiHidden/>
    <w:unhideWhenUsed/>
    <w:rsid w:val="005B6A0D"/>
    <w:rPr>
      <w:sz w:val="20"/>
    </w:rPr>
  </w:style>
  <w:style w:type="character" w:customStyle="1" w:styleId="CommentTextChar">
    <w:name w:val="Comment Text Char"/>
    <w:basedOn w:val="DefaultParagraphFont"/>
    <w:link w:val="CommentText"/>
    <w:uiPriority w:val="99"/>
    <w:semiHidden/>
    <w:rsid w:val="005B6A0D"/>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6A0D"/>
    <w:rPr>
      <w:b/>
      <w:bCs/>
    </w:rPr>
  </w:style>
  <w:style w:type="character" w:customStyle="1" w:styleId="CommentSubjectChar">
    <w:name w:val="Comment Subject Char"/>
    <w:basedOn w:val="CommentTextChar"/>
    <w:link w:val="CommentSubject"/>
    <w:uiPriority w:val="99"/>
    <w:semiHidden/>
    <w:rsid w:val="005B6A0D"/>
    <w:rPr>
      <w:rFonts w:ascii="Calibri Light" w:eastAsia="Times New Roman" w:hAnsi="Calibri Light" w:cs="Times New Roman"/>
      <w:b/>
      <w:bCs/>
      <w:sz w:val="20"/>
      <w:szCs w:val="20"/>
      <w:lang w:eastAsia="en-AU"/>
    </w:rPr>
  </w:style>
  <w:style w:type="paragraph" w:styleId="ListParagraph">
    <w:name w:val="List Paragraph"/>
    <w:basedOn w:val="Normal"/>
    <w:uiPriority w:val="34"/>
    <w:rsid w:val="00C5674C"/>
    <w:pPr>
      <w:ind w:left="720"/>
      <w:contextualSpacing/>
    </w:pPr>
  </w:style>
  <w:style w:type="paragraph" w:styleId="Revision">
    <w:name w:val="Revision"/>
    <w:hidden/>
    <w:uiPriority w:val="99"/>
    <w:semiHidden/>
    <w:rsid w:val="007C35A0"/>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unhideWhenUsed/>
    <w:rsid w:val="00DD10BE"/>
    <w:pPr>
      <w:spacing w:before="100" w:beforeAutospacing="1" w:after="100" w:afterAutospacing="1"/>
    </w:pPr>
    <w:rPr>
      <w:rFonts w:ascii="Times New Roman" w:hAnsi="Times New Roman"/>
      <w:sz w:val="24"/>
      <w:szCs w:val="24"/>
    </w:rPr>
  </w:style>
  <w:style w:type="paragraph" w:customStyle="1" w:styleId="Default">
    <w:name w:val="Default"/>
    <w:rsid w:val="004571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42">
      <w:bodyDiv w:val="1"/>
      <w:marLeft w:val="0"/>
      <w:marRight w:val="0"/>
      <w:marTop w:val="0"/>
      <w:marBottom w:val="0"/>
      <w:divBdr>
        <w:top w:val="none" w:sz="0" w:space="0" w:color="auto"/>
        <w:left w:val="none" w:sz="0" w:space="0" w:color="auto"/>
        <w:bottom w:val="none" w:sz="0" w:space="0" w:color="auto"/>
        <w:right w:val="none" w:sz="0" w:space="0" w:color="auto"/>
      </w:divBdr>
    </w:div>
    <w:div w:id="66735864">
      <w:bodyDiv w:val="1"/>
      <w:marLeft w:val="0"/>
      <w:marRight w:val="0"/>
      <w:marTop w:val="0"/>
      <w:marBottom w:val="0"/>
      <w:divBdr>
        <w:top w:val="none" w:sz="0" w:space="0" w:color="auto"/>
        <w:left w:val="none" w:sz="0" w:space="0" w:color="auto"/>
        <w:bottom w:val="none" w:sz="0" w:space="0" w:color="auto"/>
        <w:right w:val="none" w:sz="0" w:space="0" w:color="auto"/>
      </w:divBdr>
    </w:div>
    <w:div w:id="364136734">
      <w:bodyDiv w:val="1"/>
      <w:marLeft w:val="0"/>
      <w:marRight w:val="0"/>
      <w:marTop w:val="0"/>
      <w:marBottom w:val="0"/>
      <w:divBdr>
        <w:top w:val="none" w:sz="0" w:space="0" w:color="auto"/>
        <w:left w:val="none" w:sz="0" w:space="0" w:color="auto"/>
        <w:bottom w:val="none" w:sz="0" w:space="0" w:color="auto"/>
        <w:right w:val="none" w:sz="0" w:space="0" w:color="auto"/>
      </w:divBdr>
    </w:div>
    <w:div w:id="417023128">
      <w:bodyDiv w:val="1"/>
      <w:marLeft w:val="0"/>
      <w:marRight w:val="0"/>
      <w:marTop w:val="0"/>
      <w:marBottom w:val="0"/>
      <w:divBdr>
        <w:top w:val="none" w:sz="0" w:space="0" w:color="auto"/>
        <w:left w:val="none" w:sz="0" w:space="0" w:color="auto"/>
        <w:bottom w:val="none" w:sz="0" w:space="0" w:color="auto"/>
        <w:right w:val="none" w:sz="0" w:space="0" w:color="auto"/>
      </w:divBdr>
    </w:div>
    <w:div w:id="427652450">
      <w:bodyDiv w:val="1"/>
      <w:marLeft w:val="0"/>
      <w:marRight w:val="0"/>
      <w:marTop w:val="0"/>
      <w:marBottom w:val="0"/>
      <w:divBdr>
        <w:top w:val="none" w:sz="0" w:space="0" w:color="auto"/>
        <w:left w:val="none" w:sz="0" w:space="0" w:color="auto"/>
        <w:bottom w:val="none" w:sz="0" w:space="0" w:color="auto"/>
        <w:right w:val="none" w:sz="0" w:space="0" w:color="auto"/>
      </w:divBdr>
    </w:div>
    <w:div w:id="884562308">
      <w:bodyDiv w:val="1"/>
      <w:marLeft w:val="0"/>
      <w:marRight w:val="0"/>
      <w:marTop w:val="0"/>
      <w:marBottom w:val="0"/>
      <w:divBdr>
        <w:top w:val="none" w:sz="0" w:space="0" w:color="auto"/>
        <w:left w:val="none" w:sz="0" w:space="0" w:color="auto"/>
        <w:bottom w:val="none" w:sz="0" w:space="0" w:color="auto"/>
        <w:right w:val="none" w:sz="0" w:space="0" w:color="auto"/>
      </w:divBdr>
    </w:div>
    <w:div w:id="991907595">
      <w:bodyDiv w:val="1"/>
      <w:marLeft w:val="0"/>
      <w:marRight w:val="0"/>
      <w:marTop w:val="0"/>
      <w:marBottom w:val="0"/>
      <w:divBdr>
        <w:top w:val="none" w:sz="0" w:space="0" w:color="auto"/>
        <w:left w:val="none" w:sz="0" w:space="0" w:color="auto"/>
        <w:bottom w:val="none" w:sz="0" w:space="0" w:color="auto"/>
        <w:right w:val="none" w:sz="0" w:space="0" w:color="auto"/>
      </w:divBdr>
    </w:div>
    <w:div w:id="1140612449">
      <w:bodyDiv w:val="1"/>
      <w:marLeft w:val="0"/>
      <w:marRight w:val="0"/>
      <w:marTop w:val="0"/>
      <w:marBottom w:val="0"/>
      <w:divBdr>
        <w:top w:val="none" w:sz="0" w:space="0" w:color="auto"/>
        <w:left w:val="none" w:sz="0" w:space="0" w:color="auto"/>
        <w:bottom w:val="none" w:sz="0" w:space="0" w:color="auto"/>
        <w:right w:val="none" w:sz="0" w:space="0" w:color="auto"/>
      </w:divBdr>
    </w:div>
    <w:div w:id="1169517231">
      <w:bodyDiv w:val="1"/>
      <w:marLeft w:val="0"/>
      <w:marRight w:val="0"/>
      <w:marTop w:val="0"/>
      <w:marBottom w:val="0"/>
      <w:divBdr>
        <w:top w:val="none" w:sz="0" w:space="0" w:color="auto"/>
        <w:left w:val="none" w:sz="0" w:space="0" w:color="auto"/>
        <w:bottom w:val="none" w:sz="0" w:space="0" w:color="auto"/>
        <w:right w:val="none" w:sz="0" w:space="0" w:color="auto"/>
      </w:divBdr>
    </w:div>
    <w:div w:id="1183125688">
      <w:bodyDiv w:val="1"/>
      <w:marLeft w:val="0"/>
      <w:marRight w:val="0"/>
      <w:marTop w:val="0"/>
      <w:marBottom w:val="0"/>
      <w:divBdr>
        <w:top w:val="none" w:sz="0" w:space="0" w:color="auto"/>
        <w:left w:val="none" w:sz="0" w:space="0" w:color="auto"/>
        <w:bottom w:val="none" w:sz="0" w:space="0" w:color="auto"/>
        <w:right w:val="none" w:sz="0" w:space="0" w:color="auto"/>
      </w:divBdr>
    </w:div>
    <w:div w:id="1502887167">
      <w:bodyDiv w:val="1"/>
      <w:marLeft w:val="0"/>
      <w:marRight w:val="0"/>
      <w:marTop w:val="0"/>
      <w:marBottom w:val="0"/>
      <w:divBdr>
        <w:top w:val="none" w:sz="0" w:space="0" w:color="auto"/>
        <w:left w:val="none" w:sz="0" w:space="0" w:color="auto"/>
        <w:bottom w:val="none" w:sz="0" w:space="0" w:color="auto"/>
        <w:right w:val="none" w:sz="0" w:space="0" w:color="auto"/>
      </w:divBdr>
    </w:div>
    <w:div w:id="1536891093">
      <w:bodyDiv w:val="1"/>
      <w:marLeft w:val="0"/>
      <w:marRight w:val="0"/>
      <w:marTop w:val="0"/>
      <w:marBottom w:val="0"/>
      <w:divBdr>
        <w:top w:val="none" w:sz="0" w:space="0" w:color="auto"/>
        <w:left w:val="none" w:sz="0" w:space="0" w:color="auto"/>
        <w:bottom w:val="none" w:sz="0" w:space="0" w:color="auto"/>
        <w:right w:val="none" w:sz="0" w:space="0" w:color="auto"/>
      </w:divBdr>
    </w:div>
    <w:div w:id="1719166581">
      <w:bodyDiv w:val="1"/>
      <w:marLeft w:val="0"/>
      <w:marRight w:val="0"/>
      <w:marTop w:val="0"/>
      <w:marBottom w:val="0"/>
      <w:divBdr>
        <w:top w:val="none" w:sz="0" w:space="0" w:color="auto"/>
        <w:left w:val="none" w:sz="0" w:space="0" w:color="auto"/>
        <w:bottom w:val="none" w:sz="0" w:space="0" w:color="auto"/>
        <w:right w:val="none" w:sz="0" w:space="0" w:color="auto"/>
      </w:divBdr>
    </w:div>
    <w:div w:id="1939828903">
      <w:bodyDiv w:val="1"/>
      <w:marLeft w:val="0"/>
      <w:marRight w:val="0"/>
      <w:marTop w:val="0"/>
      <w:marBottom w:val="0"/>
      <w:divBdr>
        <w:top w:val="none" w:sz="0" w:space="0" w:color="auto"/>
        <w:left w:val="none" w:sz="0" w:space="0" w:color="auto"/>
        <w:bottom w:val="none" w:sz="0" w:space="0" w:color="auto"/>
        <w:right w:val="none" w:sz="0" w:space="0" w:color="auto"/>
      </w:divBdr>
    </w:div>
    <w:div w:id="20734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pmc.gov.au/government/commonwealth-coat-ar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media@treasury.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E79E45FBA4500A69561AF72053A8B"/>
        <w:category>
          <w:name w:val="General"/>
          <w:gallery w:val="placeholder"/>
        </w:category>
        <w:types>
          <w:type w:val="bbPlcHdr"/>
        </w:types>
        <w:behaviors>
          <w:behavior w:val="content"/>
        </w:behaviors>
        <w:guid w:val="{0A9508CB-91B9-4827-90AF-D2F5747C9978}"/>
      </w:docPartPr>
      <w:docPartBody>
        <w:p w:rsidR="00C07A3B" w:rsidRDefault="00FD3013">
          <w:pPr>
            <w:pStyle w:val="DC0E79E45FBA4500A69561AF72053A8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13"/>
    <w:rsid w:val="000B7A9C"/>
    <w:rsid w:val="000F2BE1"/>
    <w:rsid w:val="00105442"/>
    <w:rsid w:val="00140666"/>
    <w:rsid w:val="001A036F"/>
    <w:rsid w:val="001A3266"/>
    <w:rsid w:val="003317F1"/>
    <w:rsid w:val="00364E53"/>
    <w:rsid w:val="005164A8"/>
    <w:rsid w:val="005B35B9"/>
    <w:rsid w:val="005C5A79"/>
    <w:rsid w:val="00645597"/>
    <w:rsid w:val="00684ED4"/>
    <w:rsid w:val="007C5905"/>
    <w:rsid w:val="007D1DDF"/>
    <w:rsid w:val="00851D06"/>
    <w:rsid w:val="009226E3"/>
    <w:rsid w:val="0098062F"/>
    <w:rsid w:val="00A17695"/>
    <w:rsid w:val="00A41995"/>
    <w:rsid w:val="00AF16AD"/>
    <w:rsid w:val="00BD5CE6"/>
    <w:rsid w:val="00C07A3B"/>
    <w:rsid w:val="00C15313"/>
    <w:rsid w:val="00C25BA5"/>
    <w:rsid w:val="00DA5C1E"/>
    <w:rsid w:val="00DC3FF7"/>
    <w:rsid w:val="00E234D7"/>
    <w:rsid w:val="00EA529F"/>
    <w:rsid w:val="00F17FC4"/>
    <w:rsid w:val="00FD3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E9D3A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0E79E45FBA4500A69561AF72053A8B">
    <w:name w:val="DC0E79E45FBA4500A69561AF72053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2022MG-133-98978</_dlc_DocId>
    <_dlc_DocIdUrl xmlns="0f563589-9cf9-4143-b1eb-fb0534803d38">
      <Url>http://tweb/sites/mg/sbccpd/_layouts/15/DocIdRedir.aspx?ID=2022MG-133-98978</Url>
      <Description>2022MG-133-98978</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51965" ma:contentTypeDescription="" ma:contentTypeScope="" ma:versionID="d6cbf3aa17eae024cf687c2c3ff3b1ea">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AC907-0CC9-486A-9928-8DC07CAA3F28}">
  <ds:schemaRefs>
    <ds:schemaRef ds:uri="http://schemas.microsoft.com/sharepoint/v3/contenttype/forms"/>
  </ds:schemaRefs>
</ds:datastoreItem>
</file>

<file path=customXml/itemProps2.xml><?xml version="1.0" encoding="utf-8"?>
<ds:datastoreItem xmlns:ds="http://schemas.openxmlformats.org/officeDocument/2006/customXml" ds:itemID="{48158C76-24BC-4B7D-B89E-96D90ECE6B8E}">
  <ds:schemaRefs>
    <ds:schemaRef ds:uri="http://purl.org/dc/dcmitype/"/>
    <ds:schemaRef ds:uri="http://purl.org/dc/elements/1.1/"/>
    <ds:schemaRef ds:uri="http://schemas.microsoft.com/sharepoint/v4"/>
    <ds:schemaRef ds:uri="0f563589-9cf9-4143-b1eb-fb0534803d38"/>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d4dd4adf-ddb3-46a3-8d7c-fab3fb2a6bc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89E07C-6620-4C9F-A87A-2DA619772FB1}">
  <ds:schemaRefs>
    <ds:schemaRef ds:uri="office.server.policy"/>
  </ds:schemaRefs>
</ds:datastoreItem>
</file>

<file path=customXml/itemProps4.xml><?xml version="1.0" encoding="utf-8"?>
<ds:datastoreItem xmlns:ds="http://schemas.openxmlformats.org/officeDocument/2006/customXml" ds:itemID="{D5C27B1A-0538-4092-B8E7-940540F68477}">
  <ds:schemaRefs>
    <ds:schemaRef ds:uri="http://schemas.microsoft.com/sharepoint/events"/>
  </ds:schemaRefs>
</ds:datastoreItem>
</file>

<file path=customXml/itemProps5.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6.xml><?xml version="1.0" encoding="utf-8"?>
<ds:datastoreItem xmlns:ds="http://schemas.openxmlformats.org/officeDocument/2006/customXml" ds:itemID="{F1301C4E-0739-40F6-9B92-28BBBE6F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126</TotalTime>
  <Pages>3</Pages>
  <Words>6048</Words>
  <Characters>35360</Characters>
  <Application>Microsoft Office Word</Application>
  <DocSecurity>0</DocSecurity>
  <Lines>584</Lines>
  <Paragraphs>225</Paragraphs>
  <ScaleCrop>false</ScaleCrop>
  <HeadingPairs>
    <vt:vector size="2" baseType="variant">
      <vt:variant>
        <vt:lpstr>Title</vt:lpstr>
      </vt:variant>
      <vt:variant>
        <vt:i4>1</vt:i4>
      </vt:variant>
    </vt:vector>
  </HeadingPairs>
  <TitlesOfParts>
    <vt:vector size="1" baseType="lpstr">
      <vt:lpstr>Digital Platforms: Government consultation on ACCC’s regulatory reform recommendations - Consultation Paper</vt:lpstr>
    </vt:vector>
  </TitlesOfParts>
  <Company>Australian Government - The Treasury</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Platforms: Government consultation on ACCC’s regulatory reform recommendations - Consultation Paper</dc:title>
  <dc:subject/>
  <dc:creator>Treasury</dc:creator>
  <cp:keywords/>
  <dc:description/>
  <cp:lastModifiedBy>Hill, Christine</cp:lastModifiedBy>
  <cp:revision>21</cp:revision>
  <cp:lastPrinted>2022-12-20T05:26:00Z</cp:lastPrinted>
  <dcterms:created xsi:type="dcterms:W3CDTF">2022-12-19T21:59:00Z</dcterms:created>
  <dcterms:modified xsi:type="dcterms:W3CDTF">2022-12-20T06:43:00Z</dcterms:modified>
  <cp:category/>
</cp:coreProperties>
</file>