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06409104"/>
        <w:docPartObj>
          <w:docPartGallery w:val="Cover Pages"/>
          <w:docPartUnique/>
        </w:docPartObj>
      </w:sdtPr>
      <w:sdtEndPr/>
      <w:sdtContent>
        <w:p w14:paraId="3E398D8C" w14:textId="77777777" w:rsidR="00A652B8" w:rsidRPr="006D0240" w:rsidRDefault="00A652B8" w:rsidP="008E6292">
          <w:r>
            <w:rPr>
              <w:noProof/>
              <w:lang w:eastAsia="zh-CN"/>
            </w:rPr>
            <w:drawing>
              <wp:anchor distT="0" distB="0" distL="114300" distR="114300" simplePos="0" relativeHeight="251658240" behindDoc="1" locked="0" layoutInCell="1" allowOverlap="1" wp14:anchorId="168675EB" wp14:editId="3F666720">
                <wp:simplePos x="0" y="0"/>
                <wp:positionH relativeFrom="page">
                  <wp:align>center</wp:align>
                </wp:positionH>
                <wp:positionV relativeFrom="page">
                  <wp:align>center</wp:align>
                </wp:positionV>
                <wp:extent cx="7558767" cy="10691998"/>
                <wp:effectExtent l="0" t="0" r="444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8767" cy="10691998"/>
                        </a:xfrm>
                        <a:prstGeom prst="rect">
                          <a:avLst/>
                        </a:prstGeom>
                      </pic:spPr>
                    </pic:pic>
                  </a:graphicData>
                </a:graphic>
                <wp14:sizeRelH relativeFrom="margin">
                  <wp14:pctWidth>0</wp14:pctWidth>
                </wp14:sizeRelH>
                <wp14:sizeRelV relativeFrom="margin">
                  <wp14:pctHeight>0</wp14:pctHeight>
                </wp14:sizeRelV>
              </wp:anchor>
            </w:drawing>
          </w:r>
        </w:p>
        <w:p w14:paraId="40F807DB" w14:textId="77777777" w:rsidR="00A652B8" w:rsidRPr="006D0240" w:rsidRDefault="00A652B8" w:rsidP="001D4EAA">
          <w:pPr>
            <w:pStyle w:val="Header"/>
            <w:spacing w:after="1320"/>
            <w:jc w:val="left"/>
          </w:pPr>
        </w:p>
        <w:p w14:paraId="065227CA" w14:textId="588AFC34" w:rsidR="00A652B8" w:rsidRPr="001D4EAA" w:rsidRDefault="00063C9E" w:rsidP="001D4EAA">
          <w:pPr>
            <w:pStyle w:val="Title"/>
          </w:pPr>
          <w:r>
            <w:t>Non-arm’s length expense rules for superannuation funds</w:t>
          </w:r>
        </w:p>
        <w:p w14:paraId="18CD31F3" w14:textId="0077B859" w:rsidR="00A652B8" w:rsidRPr="001D4EAA" w:rsidRDefault="002E0F46" w:rsidP="00082FC2">
          <w:pPr>
            <w:pStyle w:val="Subtitle"/>
            <w:spacing w:after="240"/>
          </w:pPr>
          <w:r>
            <w:t xml:space="preserve">Consultation </w:t>
          </w:r>
          <w:r w:rsidR="00A652B8">
            <w:t>paper</w:t>
          </w:r>
        </w:p>
        <w:p w14:paraId="4B38E40D" w14:textId="2AD3893D" w:rsidR="00A652B8" w:rsidRPr="00AD4242" w:rsidRDefault="00D823A3" w:rsidP="00AD4242">
          <w:pPr>
            <w:pStyle w:val="ReportDate"/>
            <w:rPr>
              <w:rFonts w:ascii="Rockwell" w:hAnsi="Rockwell"/>
              <w:sz w:val="24"/>
            </w:rPr>
          </w:pPr>
          <w:r>
            <w:rPr>
              <w:rStyle w:val="ReportDateChar"/>
            </w:rPr>
            <w:t>January</w:t>
          </w:r>
          <w:r w:rsidR="004A5AB9">
            <w:rPr>
              <w:rStyle w:val="ReportDateChar"/>
            </w:rPr>
            <w:t xml:space="preserve"> </w:t>
          </w:r>
          <w:r w:rsidR="00063C9E">
            <w:rPr>
              <w:rStyle w:val="ReportDateChar"/>
            </w:rPr>
            <w:t>202</w:t>
          </w:r>
          <w:r>
            <w:rPr>
              <w:rStyle w:val="ReportDateChar"/>
            </w:rPr>
            <w:t>3</w:t>
          </w:r>
        </w:p>
        <w:p w14:paraId="198765C5" w14:textId="77777777" w:rsidR="00A652B8" w:rsidRDefault="00A652B8" w:rsidP="00775702">
          <w:pPr>
            <w:spacing w:after="1640"/>
          </w:pPr>
        </w:p>
        <w:p w14:paraId="7A57FFFE" w14:textId="77777777" w:rsidR="00A652B8" w:rsidRDefault="00A652B8" w:rsidP="00775702">
          <w:pPr>
            <w:spacing w:after="1640"/>
          </w:pPr>
        </w:p>
        <w:p w14:paraId="1D04B3C7" w14:textId="77777777" w:rsidR="00A652B8" w:rsidRDefault="00A652B8">
          <w:pPr>
            <w:spacing w:before="0" w:after="160" w:line="259" w:lineRule="auto"/>
          </w:pPr>
          <w:r>
            <w:br w:type="page"/>
          </w:r>
        </w:p>
      </w:sdtContent>
    </w:sdt>
    <w:p w14:paraId="5871A08C" w14:textId="77777777" w:rsidR="000E0B74" w:rsidRDefault="000E0B74" w:rsidP="000E0B74">
      <w:pPr>
        <w:sectPr w:rsidR="000E0B74" w:rsidSect="00555D14">
          <w:pgSz w:w="11906" w:h="16838" w:code="9"/>
          <w:pgMar w:top="1843" w:right="1418" w:bottom="1418" w:left="1418" w:header="709" w:footer="709" w:gutter="0"/>
          <w:pgNumType w:fmt="lowerRoman" w:start="0"/>
          <w:cols w:space="720"/>
          <w:titlePg/>
          <w:docGrid w:linePitch="299"/>
        </w:sectPr>
      </w:pPr>
    </w:p>
    <w:p w14:paraId="54857CB4" w14:textId="3BD25486" w:rsidR="000E0B74" w:rsidRDefault="000E0B74" w:rsidP="000E0B74">
      <w:pPr>
        <w:spacing w:before="240"/>
      </w:pPr>
      <w:r w:rsidRPr="00661BF0">
        <w:lastRenderedPageBreak/>
        <w:t xml:space="preserve">© Commonwealth of Australia </w:t>
      </w:r>
      <w:r w:rsidRPr="001C7582">
        <w:t>20</w:t>
      </w:r>
      <w:r w:rsidR="00EF2FBF" w:rsidRPr="001C7582">
        <w:t>2</w:t>
      </w:r>
      <w:r w:rsidR="00D823A3">
        <w:t>3</w:t>
      </w:r>
    </w:p>
    <w:p w14:paraId="200DF9C2" w14:textId="7E7A7B7C" w:rsidR="000E0B74" w:rsidRPr="00086F82" w:rsidRDefault="000E0B74" w:rsidP="000E0B74">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13"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stated. The full licence terms are available from</w:t>
      </w:r>
      <w:r w:rsidRPr="00476F09">
        <w:rPr>
          <w:rFonts w:cstheme="minorHAnsi"/>
          <w:sz w:val="24"/>
          <w:szCs w:val="24"/>
        </w:rPr>
        <w:t xml:space="preserve"> </w:t>
      </w:r>
      <w:hyperlink r:id="rId14" w:history="1">
        <w:r w:rsidRPr="00D45AF8">
          <w:rPr>
            <w:rStyle w:val="Hyperlink"/>
          </w:rPr>
          <w:t>http://creativecommons.org/licenses/by/3.0/au/legalcode</w:t>
        </w:r>
      </w:hyperlink>
      <w:r w:rsidRPr="006627B4">
        <w:rPr>
          <w:rStyle w:val="Hyperlink"/>
        </w:rPr>
        <w:t>.</w:t>
      </w:r>
      <w:r w:rsidRPr="00D06A21">
        <w:rPr>
          <w:sz w:val="24"/>
          <w:szCs w:val="24"/>
        </w:rPr>
        <w:t xml:space="preserve"> </w:t>
      </w:r>
    </w:p>
    <w:p w14:paraId="53333E53" w14:textId="77777777" w:rsidR="000E0B74" w:rsidRDefault="000E0B74" w:rsidP="000E0B74">
      <w:pPr>
        <w:pStyle w:val="ChartGraphic"/>
        <w:jc w:val="left"/>
      </w:pPr>
      <w:r w:rsidRPr="00E56DFB">
        <w:rPr>
          <w:noProof/>
          <w:lang w:eastAsia="zh-CN"/>
        </w:rPr>
        <w:drawing>
          <wp:inline distT="0" distB="0" distL="0" distR="0" wp14:anchorId="61C180C1" wp14:editId="5775462D">
            <wp:extent cx="809625" cy="285750"/>
            <wp:effectExtent l="0" t="0" r="9525" b="0"/>
            <wp:docPr id="3"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6FEACE7D" w14:textId="77777777" w:rsidR="000E0B74" w:rsidRPr="006627B4" w:rsidRDefault="000E0B74" w:rsidP="000E0B74">
      <w:pPr>
        <w:tabs>
          <w:tab w:val="left" w:pos="1650"/>
        </w:tabs>
        <w:spacing w:before="240"/>
      </w:pPr>
      <w:r w:rsidRPr="006627B4">
        <w:t>Use of Treasury material under a</w:t>
      </w:r>
      <w:r w:rsidRPr="00476F09">
        <w:rPr>
          <w:rFonts w:cstheme="minorHAnsi"/>
          <w:sz w:val="24"/>
          <w:szCs w:val="24"/>
        </w:rPr>
        <w:t xml:space="preserve"> </w:t>
      </w:r>
      <w:hyperlink r:id="rId16" w:history="1">
        <w:r w:rsidRPr="002F1BC2">
          <w:rPr>
            <w:rStyle w:val="Hyperlink"/>
          </w:rPr>
          <w:t>Creative Commons Attribution 3.0 Australia</w:t>
        </w:r>
      </w:hyperlink>
      <w:r w:rsidRPr="002F1BC2">
        <w:rPr>
          <w:rStyle w:val="Hyperlink"/>
        </w:rPr>
        <w:t xml:space="preserve"> </w:t>
      </w:r>
      <w:r w:rsidRPr="006627B4">
        <w:t>licence requires you to attribute the work (but not in any way that suggests that the Treasury endorse</w:t>
      </w:r>
      <w:r>
        <w:t>s you or your use of the work).</w:t>
      </w:r>
    </w:p>
    <w:p w14:paraId="1E009789" w14:textId="77777777" w:rsidR="000E0B74" w:rsidRPr="0031276E" w:rsidRDefault="000E0B74" w:rsidP="0031276E">
      <w:pPr>
        <w:spacing w:before="240"/>
        <w:rPr>
          <w:b/>
        </w:rPr>
      </w:pPr>
      <w:r w:rsidRPr="0031276E">
        <w:rPr>
          <w:b/>
        </w:rPr>
        <w:t>Treasury material used ‘as supplied’.</w:t>
      </w:r>
    </w:p>
    <w:p w14:paraId="17C21BA5" w14:textId="77777777" w:rsidR="000E0B74" w:rsidRPr="00476F09" w:rsidRDefault="000E0B74" w:rsidP="00823A66">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0CAB3740" w14:textId="02670AA6" w:rsidR="000E0B74" w:rsidRPr="00A13A11" w:rsidRDefault="000E0B74" w:rsidP="000E0B74">
      <w:pPr>
        <w:ind w:firstLine="720"/>
      </w:pPr>
      <w:r w:rsidRPr="002F1BC2">
        <w:rPr>
          <w:i/>
        </w:rPr>
        <w:t xml:space="preserve">Source: The </w:t>
      </w:r>
      <w:r w:rsidRPr="002F1BC2">
        <w:rPr>
          <w:i/>
          <w:iCs/>
        </w:rPr>
        <w:t>Australian Government the Treasury</w:t>
      </w:r>
      <w:r>
        <w:t>.</w:t>
      </w:r>
    </w:p>
    <w:p w14:paraId="1F734F78" w14:textId="77777777" w:rsidR="000E0B74" w:rsidRPr="006627B4" w:rsidRDefault="000E0B74" w:rsidP="000E0B74">
      <w:pPr>
        <w:spacing w:before="240"/>
      </w:pPr>
      <w:r w:rsidRPr="00CC63CC">
        <w:rPr>
          <w:b/>
        </w:rPr>
        <w:t>Derivative</w:t>
      </w:r>
      <w:r w:rsidRPr="006627B4">
        <w:t xml:space="preserve"> </w:t>
      </w:r>
      <w:r w:rsidRPr="00CC63CC">
        <w:rPr>
          <w:b/>
        </w:rPr>
        <w:t>material</w:t>
      </w:r>
    </w:p>
    <w:p w14:paraId="25BC716F"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495863B3" w14:textId="747F137C" w:rsidR="000E0B74" w:rsidRPr="006627B4" w:rsidRDefault="000E0B74" w:rsidP="000E0B74">
      <w:pPr>
        <w:ind w:firstLine="720"/>
      </w:pPr>
      <w:r w:rsidRPr="002F1BC2">
        <w:rPr>
          <w:i/>
        </w:rPr>
        <w:t>Based on The Australian Government the Treasury data</w:t>
      </w:r>
      <w:r>
        <w:t>.</w:t>
      </w:r>
    </w:p>
    <w:p w14:paraId="5EF5A297" w14:textId="77777777" w:rsidR="000E0B74" w:rsidRPr="006627B4" w:rsidRDefault="000E0B74" w:rsidP="000E0B74">
      <w:pPr>
        <w:spacing w:before="240"/>
        <w:rPr>
          <w:b/>
        </w:rPr>
      </w:pPr>
      <w:r w:rsidRPr="006627B4">
        <w:rPr>
          <w:b/>
        </w:rPr>
        <w:t>Use of the Coat of Arms</w:t>
      </w:r>
    </w:p>
    <w:p w14:paraId="106B6F86" w14:textId="77777777" w:rsidR="000E0B74" w:rsidRPr="006627B4" w:rsidRDefault="004A7BC2" w:rsidP="000E0B74">
      <w:r w:rsidRPr="004A7BC2">
        <w:t>The terms under which the Coat of Arms can be used are set out</w:t>
      </w:r>
      <w:r>
        <w:t xml:space="preserve"> on the Department of the Prime </w:t>
      </w:r>
      <w:r w:rsidRPr="004A7BC2">
        <w:t xml:space="preserve">Minister and Cabinet website (see </w:t>
      </w:r>
      <w:hyperlink r:id="rId17" w:history="1">
        <w:r w:rsidRPr="005A283B">
          <w:rPr>
            <w:rStyle w:val="Hyperlink"/>
          </w:rPr>
          <w:t>www.pmc.gov.au/government/commonwealth-coat-arm</w:t>
        </w:r>
      </w:hyperlink>
      <w:r w:rsidRPr="004A7BC2">
        <w:t>s).</w:t>
      </w:r>
    </w:p>
    <w:p w14:paraId="04A2140B" w14:textId="77777777" w:rsidR="000E0B74" w:rsidRPr="006627B4" w:rsidRDefault="000E0B74" w:rsidP="000E0B74">
      <w:pPr>
        <w:spacing w:before="240"/>
        <w:rPr>
          <w:b/>
        </w:rPr>
      </w:pPr>
      <w:r>
        <w:rPr>
          <w:b/>
        </w:rPr>
        <w:t>Other u</w:t>
      </w:r>
      <w:r w:rsidRPr="006627B4">
        <w:rPr>
          <w:b/>
        </w:rPr>
        <w:t>ses</w:t>
      </w:r>
    </w:p>
    <w:p w14:paraId="58E78B7D" w14:textId="77777777" w:rsidR="000E0B74" w:rsidRPr="006627B4" w:rsidRDefault="000E0B74" w:rsidP="000E0B74">
      <w:r>
        <w:t>E</w:t>
      </w:r>
      <w:r w:rsidRPr="006627B4">
        <w:t>nquiries regarding this licence and any other use of this document are welcome at:</w:t>
      </w:r>
    </w:p>
    <w:p w14:paraId="45DF1BAB" w14:textId="77777777" w:rsidR="000E0B74" w:rsidRPr="002F1BC2" w:rsidRDefault="000E0B74" w:rsidP="000E0B74">
      <w:pPr>
        <w:ind w:left="720"/>
        <w:rPr>
          <w:rStyle w:val="Hyperlink"/>
        </w:rPr>
      </w:pPr>
      <w:r w:rsidRPr="006627B4">
        <w:t>Manager</w:t>
      </w:r>
      <w:r w:rsidR="009A668A">
        <w:br/>
      </w:r>
      <w:r>
        <w:t>Media Unit</w:t>
      </w:r>
      <w:r>
        <w:br/>
      </w:r>
      <w:r w:rsidRPr="006627B4">
        <w:t>The Treasury</w:t>
      </w:r>
      <w:r>
        <w:br/>
      </w:r>
      <w:r w:rsidRPr="006627B4">
        <w:t xml:space="preserve">Langton Crescent </w:t>
      </w:r>
      <w:r>
        <w:br/>
      </w:r>
      <w:r w:rsidRPr="006627B4">
        <w:t xml:space="preserve">Parkes </w:t>
      </w:r>
      <w:r>
        <w:t xml:space="preserve"> </w:t>
      </w:r>
      <w:r w:rsidRPr="006627B4">
        <w:t xml:space="preserve">ACT </w:t>
      </w:r>
      <w:r>
        <w:t xml:space="preserve"> </w:t>
      </w:r>
      <w:r w:rsidRPr="006627B4">
        <w:t>2600</w:t>
      </w:r>
      <w:r>
        <w:br/>
      </w:r>
      <w:r w:rsidRPr="006627B4">
        <w:t xml:space="preserve">Email: </w:t>
      </w:r>
      <w:hyperlink r:id="rId18" w:history="1">
        <w:r w:rsidR="004A077D" w:rsidRPr="000951A5">
          <w:rPr>
            <w:rStyle w:val="Hyperlink"/>
          </w:rPr>
          <w:t>media@treasury.gov.au</w:t>
        </w:r>
      </w:hyperlink>
      <w:r w:rsidR="004A077D">
        <w:t xml:space="preserve"> </w:t>
      </w:r>
    </w:p>
    <w:p w14:paraId="1B35401F" w14:textId="77777777" w:rsidR="000E0B74" w:rsidRDefault="000E0B74" w:rsidP="000E0B74">
      <w:pPr>
        <w:pStyle w:val="SingleParagraph"/>
        <w:sectPr w:rsidR="000E0B74" w:rsidSect="008043EA">
          <w:headerReference w:type="even" r:id="rId19"/>
          <w:headerReference w:type="default" r:id="rId20"/>
          <w:footerReference w:type="even" r:id="rId21"/>
          <w:pgSz w:w="11906" w:h="16838" w:code="9"/>
          <w:pgMar w:top="1843" w:right="1418" w:bottom="1418" w:left="1418" w:header="709" w:footer="709" w:gutter="0"/>
          <w:pgNumType w:fmt="lowerRoman"/>
          <w:cols w:space="708"/>
          <w:titlePg/>
          <w:docGrid w:linePitch="360"/>
        </w:sectPr>
      </w:pPr>
    </w:p>
    <w:p w14:paraId="64E9A64C" w14:textId="77777777" w:rsidR="000E0B74" w:rsidRPr="00354FBB" w:rsidRDefault="000E0B74" w:rsidP="00354FBB">
      <w:pPr>
        <w:pStyle w:val="Heading1"/>
      </w:pPr>
      <w:bookmarkStart w:id="0" w:name="_Toc116906732"/>
      <w:r w:rsidRPr="00354FBB">
        <w:lastRenderedPageBreak/>
        <w:t>Contents</w:t>
      </w:r>
      <w:bookmarkEnd w:id="0"/>
    </w:p>
    <w:p w14:paraId="1E12A269" w14:textId="74CF08E4" w:rsidR="00620398" w:rsidRDefault="00257AEE">
      <w:pPr>
        <w:pStyle w:val="TOC1"/>
        <w:rPr>
          <w:rFonts w:asciiTheme="minorHAnsi" w:eastAsiaTheme="minorEastAsia" w:hAnsiTheme="minorHAnsi" w:cstheme="minorBidi"/>
          <w:b w:val="0"/>
          <w:color w:val="auto"/>
        </w:rPr>
      </w:pPr>
      <w:r>
        <w:rPr>
          <w:color w:val="2C384A" w:themeColor="accent1"/>
        </w:rPr>
        <w:fldChar w:fldCharType="begin"/>
      </w:r>
      <w:r>
        <w:instrText xml:space="preserve"> TOC \o "1-2" \h \z \t "Heading 3,3,Chart Main Heading,3,Table Main Heading,3,Heading 3 Numbered,3,Table Heading Continued,3" </w:instrText>
      </w:r>
      <w:r>
        <w:rPr>
          <w:color w:val="2C384A" w:themeColor="accent1"/>
        </w:rPr>
        <w:fldChar w:fldCharType="separate"/>
      </w:r>
      <w:hyperlink w:anchor="_Toc116906732" w:history="1">
        <w:r w:rsidR="00620398" w:rsidRPr="00DD6C44">
          <w:rPr>
            <w:rStyle w:val="Hyperlink"/>
          </w:rPr>
          <w:t>Contents</w:t>
        </w:r>
        <w:r w:rsidR="00620398">
          <w:rPr>
            <w:webHidden/>
          </w:rPr>
          <w:tab/>
        </w:r>
        <w:r w:rsidR="00620398">
          <w:rPr>
            <w:webHidden/>
          </w:rPr>
          <w:fldChar w:fldCharType="begin"/>
        </w:r>
        <w:r w:rsidR="00620398">
          <w:rPr>
            <w:webHidden/>
          </w:rPr>
          <w:instrText xml:space="preserve"> PAGEREF _Toc116906732 \h </w:instrText>
        </w:r>
        <w:r w:rsidR="00620398">
          <w:rPr>
            <w:webHidden/>
          </w:rPr>
        </w:r>
        <w:r w:rsidR="00620398">
          <w:rPr>
            <w:webHidden/>
          </w:rPr>
          <w:fldChar w:fldCharType="separate"/>
        </w:r>
        <w:r w:rsidR="00AD4815">
          <w:rPr>
            <w:webHidden/>
          </w:rPr>
          <w:t>ii</w:t>
        </w:r>
        <w:r w:rsidR="00620398">
          <w:rPr>
            <w:webHidden/>
          </w:rPr>
          <w:fldChar w:fldCharType="end"/>
        </w:r>
      </w:hyperlink>
    </w:p>
    <w:p w14:paraId="4BED54A2" w14:textId="16C7F902" w:rsidR="00620398" w:rsidRDefault="00DA6846">
      <w:pPr>
        <w:pStyle w:val="TOC1"/>
        <w:rPr>
          <w:rFonts w:asciiTheme="minorHAnsi" w:eastAsiaTheme="minorEastAsia" w:hAnsiTheme="minorHAnsi" w:cstheme="minorBidi"/>
          <w:b w:val="0"/>
          <w:color w:val="auto"/>
        </w:rPr>
      </w:pPr>
      <w:hyperlink w:anchor="_Toc116906733" w:history="1">
        <w:r w:rsidR="00620398" w:rsidRPr="00DD6C44">
          <w:rPr>
            <w:rStyle w:val="Hyperlink"/>
          </w:rPr>
          <w:t>Consultation Process</w:t>
        </w:r>
        <w:r w:rsidR="00620398">
          <w:rPr>
            <w:webHidden/>
          </w:rPr>
          <w:tab/>
        </w:r>
        <w:r w:rsidR="00620398">
          <w:rPr>
            <w:webHidden/>
          </w:rPr>
          <w:fldChar w:fldCharType="begin"/>
        </w:r>
        <w:r w:rsidR="00620398">
          <w:rPr>
            <w:webHidden/>
          </w:rPr>
          <w:instrText xml:space="preserve"> PAGEREF _Toc116906733 \h </w:instrText>
        </w:r>
        <w:r w:rsidR="00620398">
          <w:rPr>
            <w:webHidden/>
          </w:rPr>
        </w:r>
        <w:r w:rsidR="00620398">
          <w:rPr>
            <w:webHidden/>
          </w:rPr>
          <w:fldChar w:fldCharType="separate"/>
        </w:r>
        <w:r w:rsidR="00AD4815">
          <w:rPr>
            <w:webHidden/>
          </w:rPr>
          <w:t>3</w:t>
        </w:r>
        <w:r w:rsidR="00620398">
          <w:rPr>
            <w:webHidden/>
          </w:rPr>
          <w:fldChar w:fldCharType="end"/>
        </w:r>
      </w:hyperlink>
    </w:p>
    <w:p w14:paraId="6AD4B76C" w14:textId="2AA2122F" w:rsidR="00620398" w:rsidRDefault="00DA6846">
      <w:pPr>
        <w:pStyle w:val="TOC2"/>
        <w:rPr>
          <w:rFonts w:asciiTheme="minorHAnsi" w:eastAsiaTheme="minorEastAsia" w:hAnsiTheme="minorHAnsi" w:cstheme="minorBidi"/>
          <w:color w:val="auto"/>
          <w:szCs w:val="22"/>
        </w:rPr>
      </w:pPr>
      <w:hyperlink w:anchor="_Toc116906734" w:history="1">
        <w:r w:rsidR="00620398" w:rsidRPr="00DD6C44">
          <w:rPr>
            <w:rStyle w:val="Hyperlink"/>
          </w:rPr>
          <w:t>Request for feedback and comments</w:t>
        </w:r>
        <w:r w:rsidR="00620398">
          <w:rPr>
            <w:webHidden/>
          </w:rPr>
          <w:tab/>
        </w:r>
        <w:r w:rsidR="00620398">
          <w:rPr>
            <w:webHidden/>
          </w:rPr>
          <w:fldChar w:fldCharType="begin"/>
        </w:r>
        <w:r w:rsidR="00620398">
          <w:rPr>
            <w:webHidden/>
          </w:rPr>
          <w:instrText xml:space="preserve"> PAGEREF _Toc116906734 \h </w:instrText>
        </w:r>
        <w:r w:rsidR="00620398">
          <w:rPr>
            <w:webHidden/>
          </w:rPr>
        </w:r>
        <w:r w:rsidR="00620398">
          <w:rPr>
            <w:webHidden/>
          </w:rPr>
          <w:fldChar w:fldCharType="separate"/>
        </w:r>
        <w:r w:rsidR="00AD4815">
          <w:rPr>
            <w:webHidden/>
          </w:rPr>
          <w:t>3</w:t>
        </w:r>
        <w:r w:rsidR="00620398">
          <w:rPr>
            <w:webHidden/>
          </w:rPr>
          <w:fldChar w:fldCharType="end"/>
        </w:r>
      </w:hyperlink>
    </w:p>
    <w:p w14:paraId="7D8D8BA3" w14:textId="711FB775" w:rsidR="00620398" w:rsidRDefault="00DA6846">
      <w:pPr>
        <w:pStyle w:val="TOC1"/>
        <w:rPr>
          <w:rFonts w:asciiTheme="minorHAnsi" w:eastAsiaTheme="minorEastAsia" w:hAnsiTheme="minorHAnsi" w:cstheme="minorBidi"/>
          <w:b w:val="0"/>
          <w:color w:val="auto"/>
        </w:rPr>
      </w:pPr>
      <w:hyperlink w:anchor="_Toc116906735" w:history="1">
        <w:r w:rsidR="00620398" w:rsidRPr="00DD6C44">
          <w:rPr>
            <w:rStyle w:val="Hyperlink"/>
          </w:rPr>
          <w:t>Non-arm’s length expense rules for superannuation funds</w:t>
        </w:r>
        <w:r w:rsidR="00620398">
          <w:rPr>
            <w:webHidden/>
          </w:rPr>
          <w:tab/>
        </w:r>
        <w:r w:rsidR="00620398">
          <w:rPr>
            <w:webHidden/>
          </w:rPr>
          <w:fldChar w:fldCharType="begin"/>
        </w:r>
        <w:r w:rsidR="00620398">
          <w:rPr>
            <w:webHidden/>
          </w:rPr>
          <w:instrText xml:space="preserve"> PAGEREF _Toc116906735 \h </w:instrText>
        </w:r>
        <w:r w:rsidR="00620398">
          <w:rPr>
            <w:webHidden/>
          </w:rPr>
        </w:r>
        <w:r w:rsidR="00620398">
          <w:rPr>
            <w:webHidden/>
          </w:rPr>
          <w:fldChar w:fldCharType="separate"/>
        </w:r>
        <w:r w:rsidR="00AD4815">
          <w:rPr>
            <w:webHidden/>
          </w:rPr>
          <w:t>4</w:t>
        </w:r>
        <w:r w:rsidR="00620398">
          <w:rPr>
            <w:webHidden/>
          </w:rPr>
          <w:fldChar w:fldCharType="end"/>
        </w:r>
      </w:hyperlink>
    </w:p>
    <w:p w14:paraId="3A32F183" w14:textId="3FE1A5FD" w:rsidR="00620398" w:rsidRDefault="00DA6846">
      <w:pPr>
        <w:pStyle w:val="TOC2"/>
        <w:rPr>
          <w:rFonts w:asciiTheme="minorHAnsi" w:eastAsiaTheme="minorEastAsia" w:hAnsiTheme="minorHAnsi" w:cstheme="minorBidi"/>
          <w:color w:val="auto"/>
          <w:szCs w:val="22"/>
        </w:rPr>
      </w:pPr>
      <w:hyperlink w:anchor="_Toc116906736" w:history="1">
        <w:r w:rsidR="00620398" w:rsidRPr="00DD6C44">
          <w:rPr>
            <w:rStyle w:val="Hyperlink"/>
          </w:rPr>
          <w:t>Purpose of this consultation paper</w:t>
        </w:r>
        <w:r w:rsidR="00620398">
          <w:rPr>
            <w:webHidden/>
          </w:rPr>
          <w:tab/>
        </w:r>
        <w:r w:rsidR="00620398">
          <w:rPr>
            <w:webHidden/>
          </w:rPr>
          <w:fldChar w:fldCharType="begin"/>
        </w:r>
        <w:r w:rsidR="00620398">
          <w:rPr>
            <w:webHidden/>
          </w:rPr>
          <w:instrText xml:space="preserve"> PAGEREF _Toc116906736 \h </w:instrText>
        </w:r>
        <w:r w:rsidR="00620398">
          <w:rPr>
            <w:webHidden/>
          </w:rPr>
        </w:r>
        <w:r w:rsidR="00620398">
          <w:rPr>
            <w:webHidden/>
          </w:rPr>
          <w:fldChar w:fldCharType="separate"/>
        </w:r>
        <w:r w:rsidR="00AD4815">
          <w:rPr>
            <w:webHidden/>
          </w:rPr>
          <w:t>4</w:t>
        </w:r>
        <w:r w:rsidR="00620398">
          <w:rPr>
            <w:webHidden/>
          </w:rPr>
          <w:fldChar w:fldCharType="end"/>
        </w:r>
      </w:hyperlink>
    </w:p>
    <w:p w14:paraId="4F680DD3" w14:textId="5D96B1CB" w:rsidR="00620398" w:rsidRDefault="00DA6846">
      <w:pPr>
        <w:pStyle w:val="TOC2"/>
        <w:rPr>
          <w:rFonts w:asciiTheme="minorHAnsi" w:eastAsiaTheme="minorEastAsia" w:hAnsiTheme="minorHAnsi" w:cstheme="minorBidi"/>
          <w:color w:val="auto"/>
          <w:szCs w:val="22"/>
        </w:rPr>
      </w:pPr>
      <w:hyperlink w:anchor="_Toc116906737" w:history="1">
        <w:r w:rsidR="00620398" w:rsidRPr="00DD6C44">
          <w:rPr>
            <w:rStyle w:val="Hyperlink"/>
          </w:rPr>
          <w:t>Background</w:t>
        </w:r>
        <w:r w:rsidR="00620398">
          <w:rPr>
            <w:webHidden/>
          </w:rPr>
          <w:tab/>
        </w:r>
        <w:r w:rsidR="00620398">
          <w:rPr>
            <w:webHidden/>
          </w:rPr>
          <w:fldChar w:fldCharType="begin"/>
        </w:r>
        <w:r w:rsidR="00620398">
          <w:rPr>
            <w:webHidden/>
          </w:rPr>
          <w:instrText xml:space="preserve"> PAGEREF _Toc116906737 \h </w:instrText>
        </w:r>
        <w:r w:rsidR="00620398">
          <w:rPr>
            <w:webHidden/>
          </w:rPr>
        </w:r>
        <w:r w:rsidR="00620398">
          <w:rPr>
            <w:webHidden/>
          </w:rPr>
          <w:fldChar w:fldCharType="separate"/>
        </w:r>
        <w:r w:rsidR="00AD4815">
          <w:rPr>
            <w:webHidden/>
          </w:rPr>
          <w:t>5</w:t>
        </w:r>
        <w:r w:rsidR="00620398">
          <w:rPr>
            <w:webHidden/>
          </w:rPr>
          <w:fldChar w:fldCharType="end"/>
        </w:r>
      </w:hyperlink>
    </w:p>
    <w:p w14:paraId="65E72C52" w14:textId="34619046" w:rsidR="00620398" w:rsidRDefault="00DA6846">
      <w:pPr>
        <w:pStyle w:val="TOC3"/>
        <w:rPr>
          <w:rFonts w:asciiTheme="minorHAnsi" w:eastAsiaTheme="minorEastAsia" w:hAnsiTheme="minorHAnsi" w:cstheme="minorBidi"/>
          <w:szCs w:val="22"/>
        </w:rPr>
      </w:pPr>
      <w:hyperlink w:anchor="_Toc116906738" w:history="1">
        <w:r w:rsidR="00620398" w:rsidRPr="00DD6C44">
          <w:rPr>
            <w:rStyle w:val="Hyperlink"/>
          </w:rPr>
          <w:t>The non-arm’s length income provisions</w:t>
        </w:r>
        <w:r w:rsidR="00620398">
          <w:rPr>
            <w:webHidden/>
          </w:rPr>
          <w:tab/>
        </w:r>
        <w:r w:rsidR="00620398">
          <w:rPr>
            <w:webHidden/>
          </w:rPr>
          <w:fldChar w:fldCharType="begin"/>
        </w:r>
        <w:r w:rsidR="00620398">
          <w:rPr>
            <w:webHidden/>
          </w:rPr>
          <w:instrText xml:space="preserve"> PAGEREF _Toc116906738 \h </w:instrText>
        </w:r>
        <w:r w:rsidR="00620398">
          <w:rPr>
            <w:webHidden/>
          </w:rPr>
        </w:r>
        <w:r w:rsidR="00620398">
          <w:rPr>
            <w:webHidden/>
          </w:rPr>
          <w:fldChar w:fldCharType="separate"/>
        </w:r>
        <w:r w:rsidR="00AD4815">
          <w:rPr>
            <w:webHidden/>
          </w:rPr>
          <w:t>5</w:t>
        </w:r>
        <w:r w:rsidR="00620398">
          <w:rPr>
            <w:webHidden/>
          </w:rPr>
          <w:fldChar w:fldCharType="end"/>
        </w:r>
      </w:hyperlink>
    </w:p>
    <w:p w14:paraId="709C295E" w14:textId="7E9CF3CF" w:rsidR="00620398" w:rsidRDefault="00DA6846">
      <w:pPr>
        <w:pStyle w:val="TOC3"/>
        <w:rPr>
          <w:rFonts w:asciiTheme="minorHAnsi" w:eastAsiaTheme="minorEastAsia" w:hAnsiTheme="minorHAnsi" w:cstheme="minorBidi"/>
          <w:szCs w:val="22"/>
        </w:rPr>
      </w:pPr>
      <w:hyperlink w:anchor="_Toc116906739" w:history="1">
        <w:r w:rsidR="00620398" w:rsidRPr="00DD6C44">
          <w:rPr>
            <w:rStyle w:val="Hyperlink"/>
          </w:rPr>
          <w:t>2017-18 Budget changes</w:t>
        </w:r>
        <w:r w:rsidR="00620398">
          <w:rPr>
            <w:webHidden/>
          </w:rPr>
          <w:tab/>
        </w:r>
        <w:r w:rsidR="00620398">
          <w:rPr>
            <w:webHidden/>
          </w:rPr>
          <w:fldChar w:fldCharType="begin"/>
        </w:r>
        <w:r w:rsidR="00620398">
          <w:rPr>
            <w:webHidden/>
          </w:rPr>
          <w:instrText xml:space="preserve"> PAGEREF _Toc116906739 \h </w:instrText>
        </w:r>
        <w:r w:rsidR="00620398">
          <w:rPr>
            <w:webHidden/>
          </w:rPr>
        </w:r>
        <w:r w:rsidR="00620398">
          <w:rPr>
            <w:webHidden/>
          </w:rPr>
          <w:fldChar w:fldCharType="separate"/>
        </w:r>
        <w:r w:rsidR="00AD4815">
          <w:rPr>
            <w:webHidden/>
          </w:rPr>
          <w:t>5</w:t>
        </w:r>
        <w:r w:rsidR="00620398">
          <w:rPr>
            <w:webHidden/>
          </w:rPr>
          <w:fldChar w:fldCharType="end"/>
        </w:r>
      </w:hyperlink>
    </w:p>
    <w:p w14:paraId="31EBE459" w14:textId="1657B5BD" w:rsidR="00620398" w:rsidRDefault="00DA6846">
      <w:pPr>
        <w:pStyle w:val="TOC3"/>
        <w:rPr>
          <w:rFonts w:asciiTheme="minorHAnsi" w:eastAsiaTheme="minorEastAsia" w:hAnsiTheme="minorHAnsi" w:cstheme="minorBidi"/>
          <w:szCs w:val="22"/>
        </w:rPr>
      </w:pPr>
      <w:hyperlink w:anchor="_Toc116906740" w:history="1">
        <w:r w:rsidR="00620398" w:rsidRPr="00DD6C44">
          <w:rPr>
            <w:rStyle w:val="Hyperlink"/>
          </w:rPr>
          <w:t>ATO’s interpretation and compliance approach</w:t>
        </w:r>
        <w:r w:rsidR="00620398">
          <w:rPr>
            <w:webHidden/>
          </w:rPr>
          <w:tab/>
        </w:r>
        <w:r w:rsidR="00620398">
          <w:rPr>
            <w:webHidden/>
          </w:rPr>
          <w:fldChar w:fldCharType="begin"/>
        </w:r>
        <w:r w:rsidR="00620398">
          <w:rPr>
            <w:webHidden/>
          </w:rPr>
          <w:instrText xml:space="preserve"> PAGEREF _Toc116906740 \h </w:instrText>
        </w:r>
        <w:r w:rsidR="00620398">
          <w:rPr>
            <w:webHidden/>
          </w:rPr>
        </w:r>
        <w:r w:rsidR="00620398">
          <w:rPr>
            <w:webHidden/>
          </w:rPr>
          <w:fldChar w:fldCharType="separate"/>
        </w:r>
        <w:r w:rsidR="00AD4815">
          <w:rPr>
            <w:webHidden/>
          </w:rPr>
          <w:t>6</w:t>
        </w:r>
        <w:r w:rsidR="00620398">
          <w:rPr>
            <w:webHidden/>
          </w:rPr>
          <w:fldChar w:fldCharType="end"/>
        </w:r>
      </w:hyperlink>
    </w:p>
    <w:p w14:paraId="41A40512" w14:textId="69B114FA" w:rsidR="00620398" w:rsidRDefault="00DA6846">
      <w:pPr>
        <w:pStyle w:val="TOC2"/>
        <w:rPr>
          <w:rFonts w:asciiTheme="minorHAnsi" w:eastAsiaTheme="minorEastAsia" w:hAnsiTheme="minorHAnsi" w:cstheme="minorBidi"/>
          <w:color w:val="auto"/>
          <w:szCs w:val="22"/>
        </w:rPr>
      </w:pPr>
      <w:hyperlink w:anchor="_Toc116906741" w:history="1">
        <w:r w:rsidR="00620398" w:rsidRPr="00DD6C44">
          <w:rPr>
            <w:rStyle w:val="Hyperlink"/>
          </w:rPr>
          <w:t>Potential amendments</w:t>
        </w:r>
        <w:r w:rsidR="00620398">
          <w:rPr>
            <w:webHidden/>
          </w:rPr>
          <w:tab/>
        </w:r>
        <w:r w:rsidR="00620398">
          <w:rPr>
            <w:webHidden/>
          </w:rPr>
          <w:fldChar w:fldCharType="begin"/>
        </w:r>
        <w:r w:rsidR="00620398">
          <w:rPr>
            <w:webHidden/>
          </w:rPr>
          <w:instrText xml:space="preserve"> PAGEREF _Toc116906741 \h </w:instrText>
        </w:r>
        <w:r w:rsidR="00620398">
          <w:rPr>
            <w:webHidden/>
          </w:rPr>
        </w:r>
        <w:r w:rsidR="00620398">
          <w:rPr>
            <w:webHidden/>
          </w:rPr>
          <w:fldChar w:fldCharType="separate"/>
        </w:r>
        <w:r w:rsidR="00AD4815">
          <w:rPr>
            <w:webHidden/>
          </w:rPr>
          <w:t>8</w:t>
        </w:r>
        <w:r w:rsidR="00620398">
          <w:rPr>
            <w:webHidden/>
          </w:rPr>
          <w:fldChar w:fldCharType="end"/>
        </w:r>
      </w:hyperlink>
    </w:p>
    <w:p w14:paraId="4C635C1B" w14:textId="18958382" w:rsidR="00620398" w:rsidRDefault="00DA6846">
      <w:pPr>
        <w:pStyle w:val="TOC3"/>
        <w:rPr>
          <w:rFonts w:asciiTheme="minorHAnsi" w:eastAsiaTheme="minorEastAsia" w:hAnsiTheme="minorHAnsi" w:cstheme="minorBidi"/>
          <w:szCs w:val="22"/>
        </w:rPr>
      </w:pPr>
      <w:hyperlink w:anchor="_Toc116906742" w:history="1">
        <w:r w:rsidR="00620398" w:rsidRPr="00DD6C44">
          <w:rPr>
            <w:rStyle w:val="Hyperlink"/>
          </w:rPr>
          <w:t>Self-managed superannuation funds and small APRA-regulated funds</w:t>
        </w:r>
        <w:r w:rsidR="00620398">
          <w:rPr>
            <w:webHidden/>
          </w:rPr>
          <w:tab/>
        </w:r>
        <w:r w:rsidR="00620398">
          <w:rPr>
            <w:webHidden/>
          </w:rPr>
          <w:fldChar w:fldCharType="begin"/>
        </w:r>
        <w:r w:rsidR="00620398">
          <w:rPr>
            <w:webHidden/>
          </w:rPr>
          <w:instrText xml:space="preserve"> PAGEREF _Toc116906742 \h </w:instrText>
        </w:r>
        <w:r w:rsidR="00620398">
          <w:rPr>
            <w:webHidden/>
          </w:rPr>
        </w:r>
        <w:r w:rsidR="00620398">
          <w:rPr>
            <w:webHidden/>
          </w:rPr>
          <w:fldChar w:fldCharType="separate"/>
        </w:r>
        <w:r w:rsidR="00AD4815">
          <w:rPr>
            <w:webHidden/>
          </w:rPr>
          <w:t>9</w:t>
        </w:r>
        <w:r w:rsidR="00620398">
          <w:rPr>
            <w:webHidden/>
          </w:rPr>
          <w:fldChar w:fldCharType="end"/>
        </w:r>
      </w:hyperlink>
    </w:p>
    <w:p w14:paraId="1AD1461C" w14:textId="2AE6A39F" w:rsidR="00620398" w:rsidRDefault="00DA6846">
      <w:pPr>
        <w:pStyle w:val="TOC3"/>
        <w:rPr>
          <w:rFonts w:asciiTheme="minorHAnsi" w:eastAsiaTheme="minorEastAsia" w:hAnsiTheme="minorHAnsi" w:cstheme="minorBidi"/>
          <w:szCs w:val="22"/>
        </w:rPr>
      </w:pPr>
      <w:hyperlink w:anchor="_Toc116906743" w:history="1">
        <w:r w:rsidR="00620398" w:rsidRPr="00DD6C44">
          <w:rPr>
            <w:rStyle w:val="Hyperlink"/>
          </w:rPr>
          <w:t>Large APRA-regulated funds</w:t>
        </w:r>
        <w:r w:rsidR="00620398">
          <w:rPr>
            <w:webHidden/>
          </w:rPr>
          <w:tab/>
        </w:r>
        <w:r w:rsidR="00620398">
          <w:rPr>
            <w:webHidden/>
          </w:rPr>
          <w:fldChar w:fldCharType="begin"/>
        </w:r>
        <w:r w:rsidR="00620398">
          <w:rPr>
            <w:webHidden/>
          </w:rPr>
          <w:instrText xml:space="preserve"> PAGEREF _Toc116906743 \h </w:instrText>
        </w:r>
        <w:r w:rsidR="00620398">
          <w:rPr>
            <w:webHidden/>
          </w:rPr>
        </w:r>
        <w:r w:rsidR="00620398">
          <w:rPr>
            <w:webHidden/>
          </w:rPr>
          <w:fldChar w:fldCharType="separate"/>
        </w:r>
        <w:r w:rsidR="00AD4815">
          <w:rPr>
            <w:webHidden/>
          </w:rPr>
          <w:t>12</w:t>
        </w:r>
        <w:r w:rsidR="00620398">
          <w:rPr>
            <w:webHidden/>
          </w:rPr>
          <w:fldChar w:fldCharType="end"/>
        </w:r>
      </w:hyperlink>
    </w:p>
    <w:p w14:paraId="45034A82" w14:textId="0118FA97" w:rsidR="000E0B74" w:rsidRDefault="00257AEE" w:rsidP="00656356">
      <w:pPr>
        <w:pStyle w:val="SingleParagraph"/>
        <w:tabs>
          <w:tab w:val="right" w:leader="dot" w:pos="9072"/>
        </w:tabs>
        <w:ind w:right="-2"/>
        <w:sectPr w:rsidR="000E0B74" w:rsidSect="008043EA">
          <w:footerReference w:type="default" r:id="rId22"/>
          <w:pgSz w:w="11906" w:h="16838" w:code="9"/>
          <w:pgMar w:top="1843" w:right="1418" w:bottom="1418" w:left="1418" w:header="709" w:footer="709" w:gutter="0"/>
          <w:pgNumType w:fmt="lowerRoman"/>
          <w:cols w:space="708"/>
          <w:titlePg/>
          <w:docGrid w:linePitch="360"/>
        </w:sectPr>
      </w:pPr>
      <w:r>
        <w:rPr>
          <w:noProof/>
          <w:color w:val="004A7F"/>
          <w:szCs w:val="22"/>
        </w:rPr>
        <w:fldChar w:fldCharType="end"/>
      </w:r>
    </w:p>
    <w:p w14:paraId="2A4E3378" w14:textId="77777777" w:rsidR="000E0B74" w:rsidRDefault="000E0B74" w:rsidP="00354FBB">
      <w:pPr>
        <w:pStyle w:val="Heading1"/>
      </w:pPr>
      <w:bookmarkStart w:id="1" w:name="_Toc116906733"/>
      <w:bookmarkStart w:id="2" w:name="_Toc432067103"/>
      <w:r>
        <w:lastRenderedPageBreak/>
        <w:t>Consultation Process</w:t>
      </w:r>
      <w:bookmarkEnd w:id="1"/>
    </w:p>
    <w:p w14:paraId="15195F0F" w14:textId="77777777" w:rsidR="000E0B74" w:rsidRDefault="000E0B74" w:rsidP="000E0B74">
      <w:pPr>
        <w:pStyle w:val="Heading2"/>
      </w:pPr>
      <w:bookmarkStart w:id="3" w:name="_Toc116906734"/>
      <w:r>
        <w:t>Request for feedback and comments</w:t>
      </w:r>
      <w:bookmarkEnd w:id="3"/>
    </w:p>
    <w:p w14:paraId="64366242" w14:textId="0AA455CA" w:rsidR="00070648" w:rsidRDefault="00070648" w:rsidP="0081385F">
      <w:pPr>
        <w:spacing w:line="276" w:lineRule="auto"/>
      </w:pPr>
      <w:r>
        <w:t xml:space="preserve">The Government welcomes feedback and comments on this </w:t>
      </w:r>
      <w:r w:rsidR="002E0F46">
        <w:t xml:space="preserve">consultation </w:t>
      </w:r>
      <w:r>
        <w:t xml:space="preserve">paper. Interested parties are invited to comment on this paper </w:t>
      </w:r>
      <w:r w:rsidRPr="00CE2286">
        <w:t xml:space="preserve">by </w:t>
      </w:r>
      <w:r w:rsidR="00CE385A" w:rsidRPr="00CE2286">
        <w:t>Tuesday</w:t>
      </w:r>
      <w:r w:rsidRPr="00CE2286">
        <w:t xml:space="preserve">, </w:t>
      </w:r>
      <w:r w:rsidR="003354FD" w:rsidRPr="00CE2286">
        <w:t>2</w:t>
      </w:r>
      <w:r w:rsidR="00CE385A" w:rsidRPr="00CE2286">
        <w:t>1</w:t>
      </w:r>
      <w:r w:rsidR="00153626">
        <w:t xml:space="preserve"> February</w:t>
      </w:r>
      <w:r>
        <w:t xml:space="preserve"> 202</w:t>
      </w:r>
      <w:r w:rsidR="00153626">
        <w:t>3</w:t>
      </w:r>
      <w:r>
        <w:t xml:space="preserve">. Any comments received will feed into the development of </w:t>
      </w:r>
      <w:r w:rsidR="002E0F46">
        <w:t>future policy</w:t>
      </w:r>
      <w:r>
        <w:t xml:space="preserve">. </w:t>
      </w:r>
    </w:p>
    <w:p w14:paraId="7D3D16B4" w14:textId="6C31CD5F" w:rsidR="00070648" w:rsidRDefault="00070648" w:rsidP="0081385F">
      <w:pPr>
        <w:spacing w:line="276" w:lineRule="auto"/>
      </w:pPr>
      <w:r>
        <w:t>While submissions may be lodged electronically or by post, electronic lodgement is preferred. For accessibility reasons, please submit responses sent via email in a Word or RTF format. An additional PDF version may also be submitted. All information (including name and address details) contained in submissions will be made available to the public on the Treasury website unless you indicate that you would like all or part of your submission to remain in confidence. Automatically generated confidentiality statements in emails do not suffice for this purpose. Respondents who would like part of their submission to remain in confidence should provide this information marked as such in a separate attachment.</w:t>
      </w:r>
    </w:p>
    <w:p w14:paraId="09607B79" w14:textId="6E11F3D9" w:rsidR="000E0B74" w:rsidRDefault="00070648" w:rsidP="0081385F">
      <w:pPr>
        <w:spacing w:line="276" w:lineRule="auto"/>
      </w:pPr>
      <w:r>
        <w:t xml:space="preserve">Legal requirements, such as those imposed by the </w:t>
      </w:r>
      <w:r w:rsidRPr="00070648">
        <w:rPr>
          <w:i/>
          <w:iCs/>
        </w:rPr>
        <w:t>Freedom of Information Act 1982</w:t>
      </w:r>
      <w:r>
        <w:t>, may affect the confidentiality of your submission.</w:t>
      </w:r>
    </w:p>
    <w:p w14:paraId="556D8D33" w14:textId="3DAEEDBC" w:rsidR="000E0B74" w:rsidRDefault="000E0B74" w:rsidP="00257AEE">
      <w:pPr>
        <w:pStyle w:val="Heading3noTOC"/>
      </w:pPr>
      <w:r>
        <w:t>Closing date for submissions</w:t>
      </w:r>
      <w:r w:rsidRPr="002C7CAB">
        <w:t xml:space="preserve">: </w:t>
      </w:r>
      <w:sdt>
        <w:sdtPr>
          <w:rPr>
            <w:rStyle w:val="Heading3Char"/>
          </w:rPr>
          <w:id w:val="1454836312"/>
          <w:placeholder>
            <w:docPart w:val="D5F8B505060C4AF2ABF97438517056C5"/>
          </w:placeholder>
          <w:date w:fullDate="2023-02-21T00:00:00Z">
            <w:dateFormat w:val="dd MMMM yyyy"/>
            <w:lid w:val="en-AU"/>
            <w:storeMappedDataAs w:val="dateTime"/>
            <w:calendar w:val="gregorian"/>
          </w:date>
        </w:sdtPr>
        <w:sdtEndPr>
          <w:rPr>
            <w:rStyle w:val="DefaultParagraphFont"/>
            <w:rFonts w:cs="Calibri"/>
            <w:b/>
          </w:rPr>
        </w:sdtEndPr>
        <w:sdtContent>
          <w:r w:rsidR="003354FD" w:rsidRPr="00CE2286">
            <w:rPr>
              <w:rStyle w:val="Heading3Char"/>
            </w:rPr>
            <w:t>2</w:t>
          </w:r>
          <w:r w:rsidR="00CE2286" w:rsidRPr="00CE2286">
            <w:rPr>
              <w:rStyle w:val="Heading3Char"/>
            </w:rPr>
            <w:t>1</w:t>
          </w:r>
          <w:r w:rsidR="003354FD" w:rsidRPr="00CE2286">
            <w:rPr>
              <w:rStyle w:val="Heading3Char"/>
            </w:rPr>
            <w:t xml:space="preserve"> </w:t>
          </w:r>
          <w:r w:rsidR="002C7CAB" w:rsidRPr="00CE2286">
            <w:rPr>
              <w:rStyle w:val="Heading3Char"/>
            </w:rPr>
            <w:t>February 2023</w:t>
          </w:r>
        </w:sdtContent>
      </w:sdt>
    </w:p>
    <w:tbl>
      <w:tblPr>
        <w:tblStyle w:val="TableGrid"/>
        <w:tblW w:w="0" w:type="auto"/>
        <w:tblLook w:val="04A0" w:firstRow="1" w:lastRow="0" w:firstColumn="1" w:lastColumn="0" w:noHBand="0" w:noVBand="1"/>
      </w:tblPr>
      <w:tblGrid>
        <w:gridCol w:w="1509"/>
        <w:gridCol w:w="7561"/>
      </w:tblGrid>
      <w:tr w:rsidR="000E0B74" w:rsidRPr="00B85F47" w14:paraId="6E25317D" w14:textId="77777777" w:rsidTr="00B85F47">
        <w:trPr>
          <w:cnfStyle w:val="100000000000" w:firstRow="1" w:lastRow="0" w:firstColumn="0" w:lastColumn="0" w:oddVBand="0" w:evenVBand="0" w:oddHBand="0" w:evenHBand="0" w:firstRowFirstColumn="0" w:firstRowLastColumn="0" w:lastRowFirstColumn="0" w:lastRowLastColumn="0"/>
        </w:trPr>
        <w:tc>
          <w:tcPr>
            <w:tcW w:w="1526" w:type="dxa"/>
            <w:shd w:val="clear" w:color="auto" w:fill="auto"/>
          </w:tcPr>
          <w:p w14:paraId="66CEB8DD" w14:textId="77777777" w:rsidR="000E0B74" w:rsidRPr="00070648" w:rsidRDefault="000E0B74" w:rsidP="0017089D">
            <w:pPr>
              <w:spacing w:before="96" w:after="96"/>
              <w:rPr>
                <w:b w:val="0"/>
                <w:bCs/>
                <w:sz w:val="22"/>
                <w:szCs w:val="22"/>
              </w:rPr>
            </w:pPr>
            <w:r w:rsidRPr="00070648">
              <w:rPr>
                <w:b w:val="0"/>
                <w:bCs/>
                <w:sz w:val="22"/>
                <w:szCs w:val="22"/>
              </w:rPr>
              <w:t>Email</w:t>
            </w:r>
          </w:p>
        </w:tc>
        <w:tc>
          <w:tcPr>
            <w:tcW w:w="7654" w:type="dxa"/>
            <w:shd w:val="clear" w:color="auto" w:fill="auto"/>
          </w:tcPr>
          <w:p w14:paraId="2396E03C" w14:textId="37ADE276" w:rsidR="000E0B74" w:rsidRPr="00070648" w:rsidRDefault="00070648" w:rsidP="00516785">
            <w:pPr>
              <w:spacing w:before="96" w:after="96"/>
              <w:rPr>
                <w:b w:val="0"/>
                <w:bCs/>
                <w:sz w:val="22"/>
                <w:szCs w:val="22"/>
              </w:rPr>
            </w:pPr>
            <w:r w:rsidRPr="00070648">
              <w:rPr>
                <w:rFonts w:cs="Arial"/>
                <w:b w:val="0"/>
                <w:bCs/>
                <w:sz w:val="22"/>
                <w:szCs w:val="22"/>
              </w:rPr>
              <w:t>superannuation@treasury.gov.au</w:t>
            </w:r>
          </w:p>
        </w:tc>
      </w:tr>
      <w:tr w:rsidR="000E0B74" w:rsidRPr="00B85F47" w14:paraId="78150781" w14:textId="77777777" w:rsidTr="00B85F47">
        <w:tc>
          <w:tcPr>
            <w:tcW w:w="1526" w:type="dxa"/>
          </w:tcPr>
          <w:p w14:paraId="23E8847E" w14:textId="77777777" w:rsidR="000E0B74" w:rsidRPr="00B85F47" w:rsidRDefault="000E0B74" w:rsidP="00AF6A9D">
            <w:pPr>
              <w:spacing w:before="0"/>
              <w:rPr>
                <w:sz w:val="22"/>
                <w:szCs w:val="22"/>
              </w:rPr>
            </w:pPr>
            <w:r w:rsidRPr="00B85F47">
              <w:rPr>
                <w:sz w:val="22"/>
                <w:szCs w:val="22"/>
              </w:rPr>
              <w:t>Mail</w:t>
            </w:r>
          </w:p>
          <w:p w14:paraId="2A2FA7D2" w14:textId="77777777" w:rsidR="008D7F38" w:rsidRPr="00B85F47" w:rsidRDefault="008D7F38" w:rsidP="00AF6A9D">
            <w:pPr>
              <w:spacing w:before="0"/>
              <w:rPr>
                <w:sz w:val="22"/>
                <w:szCs w:val="22"/>
              </w:rPr>
            </w:pPr>
          </w:p>
          <w:p w14:paraId="0145F929" w14:textId="77777777" w:rsidR="008D7F38" w:rsidRPr="00B85F47" w:rsidRDefault="008D7F38" w:rsidP="00AF6A9D">
            <w:pPr>
              <w:spacing w:before="0"/>
              <w:rPr>
                <w:sz w:val="22"/>
                <w:szCs w:val="22"/>
              </w:rPr>
            </w:pPr>
          </w:p>
        </w:tc>
        <w:tc>
          <w:tcPr>
            <w:tcW w:w="7654" w:type="dxa"/>
          </w:tcPr>
          <w:p w14:paraId="2DB4BC95" w14:textId="5991B7C7" w:rsidR="000E0B74" w:rsidRPr="00070648" w:rsidRDefault="001C7582" w:rsidP="000B05DA">
            <w:pPr>
              <w:pStyle w:val="SingleParagraph"/>
              <w:rPr>
                <w:rFonts w:cs="Arial"/>
                <w:sz w:val="22"/>
                <w:szCs w:val="22"/>
              </w:rPr>
            </w:pPr>
            <w:r w:rsidRPr="00070648">
              <w:rPr>
                <w:rFonts w:cs="Arial"/>
                <w:sz w:val="22"/>
                <w:szCs w:val="22"/>
              </w:rPr>
              <w:t>Retirement, Advice and Investment Division</w:t>
            </w:r>
          </w:p>
          <w:p w14:paraId="09B3660A" w14:textId="77777777" w:rsidR="000E0B74" w:rsidRPr="00B85F47" w:rsidRDefault="000E0B74" w:rsidP="00AF6A9D">
            <w:pPr>
              <w:pStyle w:val="SingleParagraph"/>
              <w:rPr>
                <w:rFonts w:cs="Arial"/>
                <w:sz w:val="22"/>
                <w:szCs w:val="22"/>
              </w:rPr>
            </w:pPr>
            <w:r w:rsidRPr="00B85F47">
              <w:rPr>
                <w:rFonts w:cs="Arial"/>
                <w:sz w:val="22"/>
                <w:szCs w:val="22"/>
              </w:rPr>
              <w:t>The Treasury</w:t>
            </w:r>
          </w:p>
          <w:p w14:paraId="425E532B" w14:textId="77777777" w:rsidR="000E0B74" w:rsidRPr="00B85F47" w:rsidRDefault="000E0B74" w:rsidP="00AF6A9D">
            <w:pPr>
              <w:pStyle w:val="SingleParagraph"/>
              <w:rPr>
                <w:rFonts w:cs="Arial"/>
                <w:sz w:val="22"/>
                <w:szCs w:val="22"/>
              </w:rPr>
            </w:pPr>
            <w:r w:rsidRPr="00B85F47">
              <w:rPr>
                <w:rFonts w:cs="Arial"/>
                <w:sz w:val="22"/>
                <w:szCs w:val="22"/>
              </w:rPr>
              <w:t>Langton Crescent</w:t>
            </w:r>
          </w:p>
          <w:p w14:paraId="37A961AD" w14:textId="77777777" w:rsidR="000E0B74" w:rsidRPr="00B85F47" w:rsidRDefault="000E0B74" w:rsidP="00AF6A9D">
            <w:pPr>
              <w:pStyle w:val="SingleParagraph"/>
              <w:rPr>
                <w:sz w:val="22"/>
                <w:szCs w:val="22"/>
              </w:rPr>
            </w:pPr>
            <w:r w:rsidRPr="00B85F47">
              <w:rPr>
                <w:sz w:val="22"/>
                <w:szCs w:val="22"/>
              </w:rPr>
              <w:t>PARKES ACT 2600</w:t>
            </w:r>
          </w:p>
        </w:tc>
      </w:tr>
      <w:tr w:rsidR="000E0B74" w:rsidRPr="00B85F47" w14:paraId="0BBEA841" w14:textId="77777777" w:rsidTr="00B85F47">
        <w:tc>
          <w:tcPr>
            <w:tcW w:w="1526" w:type="dxa"/>
          </w:tcPr>
          <w:p w14:paraId="59CDE203" w14:textId="6C866EB0" w:rsidR="000E0B74" w:rsidRPr="00B85F47" w:rsidRDefault="000E0B74" w:rsidP="0017089D">
            <w:pPr>
              <w:rPr>
                <w:sz w:val="22"/>
                <w:szCs w:val="22"/>
              </w:rPr>
            </w:pPr>
          </w:p>
        </w:tc>
        <w:tc>
          <w:tcPr>
            <w:tcW w:w="7654" w:type="dxa"/>
          </w:tcPr>
          <w:p w14:paraId="4A647A8F" w14:textId="63B687D9" w:rsidR="000E0B74" w:rsidRPr="00B85F47" w:rsidRDefault="000E0B74" w:rsidP="0017089D">
            <w:pPr>
              <w:rPr>
                <w:sz w:val="22"/>
                <w:szCs w:val="22"/>
              </w:rPr>
            </w:pPr>
          </w:p>
        </w:tc>
      </w:tr>
      <w:tr w:rsidR="000E0B74" w:rsidRPr="00B85F47" w14:paraId="2F1283AE" w14:textId="77777777" w:rsidTr="00B85F47">
        <w:tc>
          <w:tcPr>
            <w:tcW w:w="1526" w:type="dxa"/>
          </w:tcPr>
          <w:p w14:paraId="2C497319" w14:textId="7397DA3C" w:rsidR="000E0B74" w:rsidRPr="00B85F47" w:rsidRDefault="000E0B74" w:rsidP="0017089D">
            <w:pPr>
              <w:rPr>
                <w:sz w:val="22"/>
                <w:szCs w:val="22"/>
              </w:rPr>
            </w:pPr>
          </w:p>
        </w:tc>
        <w:tc>
          <w:tcPr>
            <w:tcW w:w="7654" w:type="dxa"/>
          </w:tcPr>
          <w:p w14:paraId="18D14360" w14:textId="2299712F" w:rsidR="000E0B74" w:rsidRPr="00B85F47" w:rsidRDefault="000E0B74" w:rsidP="0017089D">
            <w:pPr>
              <w:rPr>
                <w:sz w:val="22"/>
                <w:szCs w:val="22"/>
              </w:rPr>
            </w:pPr>
          </w:p>
        </w:tc>
      </w:tr>
      <w:bookmarkEnd w:id="2"/>
    </w:tbl>
    <w:p w14:paraId="745280D3" w14:textId="77777777" w:rsidR="00E10D39" w:rsidRDefault="00E10D39" w:rsidP="0007102C"/>
    <w:p w14:paraId="1C251DF5" w14:textId="77777777" w:rsidR="00A16E03" w:rsidRDefault="00A16E03" w:rsidP="00A16E03">
      <w:r>
        <w:t>The principles outlined in this paper have not received Government approval and are not yet law. As a consequence, this paper is merely a guide as to how the principles might operate.</w:t>
      </w:r>
    </w:p>
    <w:p w14:paraId="56FB0ADB" w14:textId="77777777" w:rsidR="008D7F38" w:rsidRPr="008D7F38" w:rsidRDefault="008D7F38" w:rsidP="008D7F38"/>
    <w:p w14:paraId="77DC5F01" w14:textId="77777777" w:rsidR="00E10D39" w:rsidRDefault="00E10D39">
      <w:pPr>
        <w:spacing w:before="0" w:after="160" w:line="259" w:lineRule="auto"/>
        <w:rPr>
          <w:rFonts w:cs="Arial"/>
          <w:color w:val="004A7F"/>
          <w:kern w:val="32"/>
          <w:sz w:val="48"/>
          <w:szCs w:val="36"/>
        </w:rPr>
      </w:pPr>
      <w:r>
        <w:br w:type="page"/>
      </w:r>
    </w:p>
    <w:p w14:paraId="5C359555" w14:textId="1B789435" w:rsidR="000E0B74" w:rsidRDefault="001C7582" w:rsidP="00354FBB">
      <w:pPr>
        <w:pStyle w:val="Heading1"/>
      </w:pPr>
      <w:bookmarkStart w:id="4" w:name="_Toc116906735"/>
      <w:r w:rsidRPr="001C7582">
        <w:lastRenderedPageBreak/>
        <w:t>Non-arm’s length expense rules for superannuation funds</w:t>
      </w:r>
      <w:bookmarkEnd w:id="4"/>
    </w:p>
    <w:p w14:paraId="5CDCD6C6" w14:textId="1774D2C4" w:rsidR="00A42E8C" w:rsidRDefault="00A42E8C" w:rsidP="008043EA">
      <w:pPr>
        <w:pStyle w:val="Heading2"/>
      </w:pPr>
      <w:bookmarkStart w:id="5" w:name="_Toc116906736"/>
      <w:bookmarkStart w:id="6" w:name="_Toc306887371"/>
      <w:bookmarkStart w:id="7" w:name="_Toc432064635"/>
      <w:r>
        <w:t xml:space="preserve">Purpose of this </w:t>
      </w:r>
      <w:r w:rsidR="002E0F46">
        <w:t xml:space="preserve">consultation </w:t>
      </w:r>
      <w:r w:rsidR="00B332D8">
        <w:t>p</w:t>
      </w:r>
      <w:r>
        <w:t>aper</w:t>
      </w:r>
      <w:bookmarkEnd w:id="5"/>
    </w:p>
    <w:p w14:paraId="2151A1E5" w14:textId="1172A79D" w:rsidR="00B069D1" w:rsidRDefault="00137652" w:rsidP="00F8372F">
      <w:pPr>
        <w:spacing w:line="276" w:lineRule="auto"/>
      </w:pPr>
      <w:r>
        <w:t xml:space="preserve">The </w:t>
      </w:r>
      <w:r w:rsidR="00251697">
        <w:t>Government</w:t>
      </w:r>
      <w:r>
        <w:t xml:space="preserve"> is currently considering </w:t>
      </w:r>
      <w:r w:rsidR="00251697">
        <w:t>options</w:t>
      </w:r>
      <w:r>
        <w:t xml:space="preserve"> </w:t>
      </w:r>
      <w:r w:rsidRPr="00F8372F">
        <w:t xml:space="preserve">to </w:t>
      </w:r>
      <w:r w:rsidR="00251697">
        <w:t xml:space="preserve">amend </w:t>
      </w:r>
      <w:r w:rsidRPr="00F8372F">
        <w:t>the non-arm’s length income (NALI) provisions which apply to superannuation funds</w:t>
      </w:r>
      <w:r>
        <w:t xml:space="preserve">. </w:t>
      </w:r>
      <w:r w:rsidR="00F8372F" w:rsidRPr="00F8372F">
        <w:t xml:space="preserve">This paper has been prepared by Treasury as the basis for engagement </w:t>
      </w:r>
      <w:r w:rsidR="00382912">
        <w:t xml:space="preserve">with stakeholders </w:t>
      </w:r>
      <w:r w:rsidR="00B86266">
        <w:t xml:space="preserve">on </w:t>
      </w:r>
      <w:r w:rsidR="007E411B">
        <w:t>potential</w:t>
      </w:r>
      <w:r w:rsidR="00251697">
        <w:t xml:space="preserve"> </w:t>
      </w:r>
      <w:r w:rsidR="00D85D71">
        <w:t xml:space="preserve">reforms </w:t>
      </w:r>
      <w:r w:rsidR="00215A94">
        <w:t>to the NALI provisions</w:t>
      </w:r>
      <w:r w:rsidR="009F3E35">
        <w:t>.</w:t>
      </w:r>
      <w:r w:rsidR="00F8372F" w:rsidRPr="00F8372F">
        <w:t xml:space="preserve"> </w:t>
      </w:r>
      <w:r w:rsidR="0066733A">
        <w:t xml:space="preserve">The </w:t>
      </w:r>
      <w:r w:rsidR="00714EB4">
        <w:t>approach</w:t>
      </w:r>
      <w:r w:rsidR="00382912">
        <w:t xml:space="preserve"> </w:t>
      </w:r>
      <w:r w:rsidR="0066733A">
        <w:t xml:space="preserve">outlined in this paper </w:t>
      </w:r>
      <w:r w:rsidR="00714EB4">
        <w:t>is</w:t>
      </w:r>
      <w:r w:rsidR="00745AB5">
        <w:t xml:space="preserve"> </w:t>
      </w:r>
      <w:r w:rsidR="009E3E23">
        <w:t>i</w:t>
      </w:r>
      <w:r w:rsidR="00745AB5">
        <w:t>nte</w:t>
      </w:r>
      <w:r w:rsidR="009E3E23">
        <w:t>n</w:t>
      </w:r>
      <w:r w:rsidR="00745AB5">
        <w:t>d</w:t>
      </w:r>
      <w:r w:rsidR="009E3E23">
        <w:t>ed</w:t>
      </w:r>
      <w:r w:rsidR="00745AB5">
        <w:t xml:space="preserve"> to facilitate a public consultation process and </w:t>
      </w:r>
      <w:r w:rsidR="0066733A">
        <w:t>do</w:t>
      </w:r>
      <w:r w:rsidR="00714EB4">
        <w:t>es</w:t>
      </w:r>
      <w:r w:rsidR="0066733A">
        <w:t xml:space="preserve"> not represent </w:t>
      </w:r>
      <w:r w:rsidR="00714EB4">
        <w:t>a</w:t>
      </w:r>
      <w:r w:rsidR="0066733A">
        <w:t xml:space="preserve"> settled position of the Government.</w:t>
      </w:r>
    </w:p>
    <w:p w14:paraId="5A5686E1" w14:textId="358DC544" w:rsidR="007D608E" w:rsidRPr="005C66DC" w:rsidRDefault="00AE2573" w:rsidP="007D608E">
      <w:pPr>
        <w:pStyle w:val="Bullet"/>
        <w:numPr>
          <w:ilvl w:val="0"/>
          <w:numId w:val="0"/>
        </w:numPr>
      </w:pPr>
      <w:r>
        <w:t xml:space="preserve">The </w:t>
      </w:r>
      <w:r w:rsidR="007D608E" w:rsidRPr="005C66DC">
        <w:t xml:space="preserve">NALI provisions are an integrity measure to prevent </w:t>
      </w:r>
      <w:r w:rsidR="0047422D" w:rsidRPr="008A2042">
        <w:rPr>
          <w:rFonts w:ascii="Calibri" w:hAnsi="Calibri" w:cs="Calibri"/>
          <w:szCs w:val="24"/>
        </w:rPr>
        <w:t>income from being diverted into</w:t>
      </w:r>
      <w:r w:rsidR="0047422D" w:rsidRPr="005C66DC">
        <w:t xml:space="preserve"> </w:t>
      </w:r>
      <w:r w:rsidR="007D608E" w:rsidRPr="005C66DC">
        <w:t xml:space="preserve">superannuation funds </w:t>
      </w:r>
      <w:r w:rsidR="0047422D">
        <w:t>to benefit from lower rates of tax compared to other entities, particularly the marginal rates applying to individual taxpayers</w:t>
      </w:r>
      <w:r w:rsidR="007D608E" w:rsidRPr="005C66DC">
        <w:t xml:space="preserve">. </w:t>
      </w:r>
      <w:r w:rsidR="007D608E">
        <w:t>The income of s</w:t>
      </w:r>
      <w:r w:rsidR="007D608E" w:rsidRPr="005C66DC">
        <w:t xml:space="preserve">uperannuation funds </w:t>
      </w:r>
      <w:r w:rsidR="007D608E">
        <w:t>is generally</w:t>
      </w:r>
      <w:r w:rsidR="007D608E" w:rsidRPr="005C66DC">
        <w:t xml:space="preserve"> subject to a concessional tax rate of 15 per cent, with a one-third discount for capital gains tax, or zero per cent on fund earnings if </w:t>
      </w:r>
      <w:r w:rsidR="007D608E">
        <w:t>they are on assets supporting a pension for an</w:t>
      </w:r>
      <w:r w:rsidR="007D608E" w:rsidRPr="005C66DC">
        <w:t xml:space="preserve"> individual </w:t>
      </w:r>
      <w:r w:rsidR="007D608E">
        <w:t xml:space="preserve">who </w:t>
      </w:r>
      <w:r w:rsidR="007D608E" w:rsidRPr="005C66DC">
        <w:t>has reached their preservation age, retired and started a retirement income stream.</w:t>
      </w:r>
    </w:p>
    <w:p w14:paraId="448145CC" w14:textId="77777777" w:rsidR="007D608E" w:rsidRDefault="007D608E" w:rsidP="007D608E">
      <w:pPr>
        <w:pStyle w:val="Bullet"/>
        <w:numPr>
          <w:ilvl w:val="0"/>
          <w:numId w:val="0"/>
        </w:numPr>
        <w:tabs>
          <w:tab w:val="clear" w:pos="720"/>
        </w:tabs>
        <w:spacing w:before="240" w:after="240"/>
      </w:pPr>
      <w:r>
        <w:t xml:space="preserve">Where income is deemed to be derived from a non-arm’s length transaction, it is taxed at the highest marginal rate of 45 per cent. This ensures that any income derived from a non-arm’s length arrangement does not receive the preferential tax treatment that superannuation income receives otherwise. </w:t>
      </w:r>
    </w:p>
    <w:p w14:paraId="7F962573" w14:textId="7134C5DB" w:rsidR="00440A8A" w:rsidRDefault="00DE016A" w:rsidP="00F8372F">
      <w:pPr>
        <w:spacing w:line="276" w:lineRule="auto"/>
      </w:pPr>
      <w:r>
        <w:t xml:space="preserve">While the NALI </w:t>
      </w:r>
      <w:r w:rsidR="00D056AF">
        <w:t xml:space="preserve">provisions </w:t>
      </w:r>
      <w:r>
        <w:t>are operating broadly as intended</w:t>
      </w:r>
      <w:r w:rsidR="00B069D1">
        <w:t>,</w:t>
      </w:r>
      <w:r>
        <w:t xml:space="preserve"> </w:t>
      </w:r>
      <w:r w:rsidR="00B069D1">
        <w:t>t</w:t>
      </w:r>
      <w:r w:rsidR="00DF4F68">
        <w:t xml:space="preserve">he Government </w:t>
      </w:r>
      <w:r w:rsidR="009A03CD">
        <w:t>appreciates</w:t>
      </w:r>
      <w:r w:rsidR="00AF2E4A">
        <w:t xml:space="preserve"> </w:t>
      </w:r>
      <w:r w:rsidR="00B069D1">
        <w:t>recent</w:t>
      </w:r>
      <w:r>
        <w:t xml:space="preserve"> </w:t>
      </w:r>
      <w:r w:rsidR="00AF2E4A">
        <w:t>feedback from superannuation stakeholders</w:t>
      </w:r>
      <w:r w:rsidR="00F5502B">
        <w:t xml:space="preserve"> on these provisions</w:t>
      </w:r>
      <w:r w:rsidR="00802296">
        <w:t xml:space="preserve">. </w:t>
      </w:r>
      <w:r w:rsidR="00516B7D">
        <w:t>Some superannuation i</w:t>
      </w:r>
      <w:r w:rsidR="00382912">
        <w:t xml:space="preserve">ndustry </w:t>
      </w:r>
      <w:r w:rsidR="00516B7D">
        <w:t>stakeholders have raised</w:t>
      </w:r>
      <w:r w:rsidR="00BB74DA">
        <w:t xml:space="preserve"> </w:t>
      </w:r>
      <w:r w:rsidR="005A0D3A">
        <w:t>the</w:t>
      </w:r>
      <w:r w:rsidR="00B069D1">
        <w:t xml:space="preserve"> potential for</w:t>
      </w:r>
      <w:r w:rsidR="009B6113" w:rsidRPr="009B6113">
        <w:t xml:space="preserve"> </w:t>
      </w:r>
      <w:r w:rsidR="009B6113">
        <w:t>scenarios in which there are</w:t>
      </w:r>
      <w:r w:rsidR="00B069D1">
        <w:t xml:space="preserve"> disproportionately severe outcomes for breaches of these rules</w:t>
      </w:r>
      <w:r w:rsidR="001F5D70">
        <w:t xml:space="preserve">, particularly those relating to general expenses of </w:t>
      </w:r>
      <w:r w:rsidR="00A71F11">
        <w:t>a</w:t>
      </w:r>
      <w:r w:rsidR="001F5D70">
        <w:t xml:space="preserve"> fund</w:t>
      </w:r>
      <w:r w:rsidR="00B069D1">
        <w:t xml:space="preserve">. </w:t>
      </w:r>
      <w:r w:rsidR="00440A8A">
        <w:t>Stakeholders have also raised concerns the NALI provisions related to general expense arrangements place a</w:t>
      </w:r>
      <w:r w:rsidR="00C37225">
        <w:t xml:space="preserve">n onerous </w:t>
      </w:r>
      <w:r w:rsidR="00440A8A">
        <w:t>compliance burden on superannuation funds.</w:t>
      </w:r>
    </w:p>
    <w:p w14:paraId="4E63952A" w14:textId="6F5A8B12" w:rsidR="005B2C11" w:rsidRDefault="00FB5257" w:rsidP="00F8372F">
      <w:pPr>
        <w:spacing w:line="276" w:lineRule="auto"/>
      </w:pPr>
      <w:r>
        <w:t>T</w:t>
      </w:r>
      <w:r w:rsidR="004E2BC5">
        <w:t xml:space="preserve">he </w:t>
      </w:r>
      <w:r w:rsidR="007E411B">
        <w:t>potential</w:t>
      </w:r>
      <w:r w:rsidR="002007D8">
        <w:t xml:space="preserve"> </w:t>
      </w:r>
      <w:r w:rsidR="00C8679F">
        <w:t>approach</w:t>
      </w:r>
      <w:r w:rsidR="00292F46">
        <w:t xml:space="preserve"> </w:t>
      </w:r>
      <w:r w:rsidR="007E411B">
        <w:t xml:space="preserve">outlined </w:t>
      </w:r>
      <w:r w:rsidR="004E2BC5">
        <w:t xml:space="preserve">in this paper </w:t>
      </w:r>
      <w:r w:rsidR="002007D8">
        <w:t>seek</w:t>
      </w:r>
      <w:r w:rsidR="004E421A">
        <w:t>s</w:t>
      </w:r>
      <w:r w:rsidR="002007D8">
        <w:t xml:space="preserve"> </w:t>
      </w:r>
      <w:r w:rsidR="004E2BC5">
        <w:t>to balance maintaining the integrity of the tax system</w:t>
      </w:r>
      <w:r>
        <w:t xml:space="preserve"> with</w:t>
      </w:r>
      <w:r w:rsidR="003E13ED">
        <w:t xml:space="preserve"> </w:t>
      </w:r>
      <w:r w:rsidR="004E2BC5">
        <w:t>provid</w:t>
      </w:r>
      <w:r>
        <w:t>ing</w:t>
      </w:r>
      <w:r w:rsidR="004E2BC5">
        <w:t xml:space="preserve"> a greater level of certainty </w:t>
      </w:r>
      <w:r w:rsidR="00BD7045">
        <w:t xml:space="preserve">for funds </w:t>
      </w:r>
      <w:r w:rsidR="004E2BC5">
        <w:t xml:space="preserve">that </w:t>
      </w:r>
      <w:r w:rsidR="001F5D70">
        <w:t xml:space="preserve">the consequences of any breaches </w:t>
      </w:r>
      <w:r w:rsidR="00A05DCB">
        <w:t>would</w:t>
      </w:r>
      <w:r w:rsidR="001F5D70">
        <w:t xml:space="preserve"> be proportionate to the magnitude of that breach</w:t>
      </w:r>
      <w:r w:rsidR="003E13ED">
        <w:t xml:space="preserve"> and ensur</w:t>
      </w:r>
      <w:r>
        <w:t>ing</w:t>
      </w:r>
      <w:r w:rsidR="003E13ED">
        <w:t xml:space="preserve"> the rules are appropriately focussed</w:t>
      </w:r>
      <w:r w:rsidR="001F5D70">
        <w:t>.</w:t>
      </w:r>
      <w:r w:rsidR="00BB11D0">
        <w:t xml:space="preserve"> </w:t>
      </w:r>
    </w:p>
    <w:p w14:paraId="4F72D0A6" w14:textId="719C151A" w:rsidR="00F8372F" w:rsidRPr="00F8372F" w:rsidRDefault="00DF4F68" w:rsidP="00F8372F">
      <w:pPr>
        <w:spacing w:line="276" w:lineRule="auto"/>
      </w:pPr>
      <w:r>
        <w:t xml:space="preserve">The consultation process and any comments received </w:t>
      </w:r>
      <w:r w:rsidR="005B2C11">
        <w:t>in relation to the</w:t>
      </w:r>
      <w:r w:rsidR="002804A3">
        <w:t xml:space="preserve"> </w:t>
      </w:r>
      <w:r w:rsidR="005B2C11">
        <w:t xml:space="preserve">potential amendments outlined in this paper </w:t>
      </w:r>
      <w:r>
        <w:t xml:space="preserve">will inform the development of </w:t>
      </w:r>
      <w:r w:rsidR="002E0F46">
        <w:t xml:space="preserve">future </w:t>
      </w:r>
      <w:r w:rsidR="00B86266">
        <w:t>policy</w:t>
      </w:r>
      <w:r w:rsidR="00551AA0">
        <w:t xml:space="preserve"> regarding the NALI provisions, particularly in relation to general expenses of a superannuation fund</w:t>
      </w:r>
      <w:r>
        <w:t>.</w:t>
      </w:r>
    </w:p>
    <w:p w14:paraId="0EAED458" w14:textId="19834F2B" w:rsidR="000E0B74" w:rsidRDefault="000E0B74" w:rsidP="008043EA">
      <w:pPr>
        <w:pStyle w:val="Heading2"/>
      </w:pPr>
      <w:bookmarkStart w:id="8" w:name="_Toc116906737"/>
      <w:r>
        <w:lastRenderedPageBreak/>
        <w:t>Background</w:t>
      </w:r>
      <w:bookmarkEnd w:id="6"/>
      <w:bookmarkEnd w:id="7"/>
      <w:bookmarkEnd w:id="8"/>
    </w:p>
    <w:p w14:paraId="3D99CD07" w14:textId="02BD03FB" w:rsidR="00905FD6" w:rsidRPr="00CD45E0" w:rsidRDefault="007D608E" w:rsidP="007E5767">
      <w:pPr>
        <w:pStyle w:val="Heading3"/>
        <w:rPr>
          <w:i/>
        </w:rPr>
      </w:pPr>
      <w:bookmarkStart w:id="9" w:name="_Toc116906738"/>
      <w:r>
        <w:t>T</w:t>
      </w:r>
      <w:r w:rsidR="00905FD6" w:rsidRPr="00CD45E0">
        <w:t xml:space="preserve">he </w:t>
      </w:r>
      <w:r w:rsidR="001E25FF">
        <w:t xml:space="preserve">non-arm’s length income </w:t>
      </w:r>
      <w:r w:rsidR="00905FD6" w:rsidRPr="00CD45E0">
        <w:t>provisions</w:t>
      </w:r>
      <w:bookmarkEnd w:id="9"/>
    </w:p>
    <w:p w14:paraId="505B6BD2" w14:textId="6E87C483" w:rsidR="00905FD6" w:rsidRDefault="00905FD6" w:rsidP="001C7582">
      <w:pPr>
        <w:pStyle w:val="Bullet"/>
        <w:numPr>
          <w:ilvl w:val="0"/>
          <w:numId w:val="0"/>
        </w:numPr>
      </w:pPr>
      <w:r w:rsidRPr="005C66DC">
        <w:t xml:space="preserve">The NALI provisions in section 295-550 of the </w:t>
      </w:r>
      <w:r w:rsidRPr="00E067D1">
        <w:rPr>
          <w:i/>
          <w:iCs/>
        </w:rPr>
        <w:t>Income Tax Assessment Act 1997</w:t>
      </w:r>
      <w:r w:rsidRPr="005C66DC">
        <w:t xml:space="preserve"> (ITAA) </w:t>
      </w:r>
      <w:r w:rsidR="00E133F0">
        <w:t xml:space="preserve">are intended to </w:t>
      </w:r>
      <w:r w:rsidRPr="005C66DC">
        <w:t xml:space="preserve">prevent superannuation funds from transacting </w:t>
      </w:r>
      <w:r w:rsidR="00A72175">
        <w:t>on</w:t>
      </w:r>
      <w:r w:rsidR="00A72175" w:rsidRPr="005C66DC">
        <w:t xml:space="preserve"> </w:t>
      </w:r>
      <w:r w:rsidRPr="005C66DC">
        <w:t xml:space="preserve">non-commercial </w:t>
      </w:r>
      <w:r w:rsidR="00E133F0">
        <w:t>terms</w:t>
      </w:r>
      <w:r w:rsidRPr="005C66DC">
        <w:t xml:space="preserve">. In general terms, NALI may arise </w:t>
      </w:r>
      <w:r w:rsidR="00E067D1">
        <w:t xml:space="preserve">if one party conducts a </w:t>
      </w:r>
      <w:r w:rsidRPr="005C66DC">
        <w:t xml:space="preserve">transaction with another party where those parties are not dealing with each other at arm’s length, or through the fund owning an asset that produces income on a non-arm’s length basis above the market rate. </w:t>
      </w:r>
    </w:p>
    <w:p w14:paraId="2A5F66E1" w14:textId="0C88E385" w:rsidR="00EC5F74" w:rsidRPr="005C66DC" w:rsidRDefault="00EC5F74" w:rsidP="001C7582">
      <w:pPr>
        <w:pStyle w:val="Bullet"/>
        <w:numPr>
          <w:ilvl w:val="0"/>
          <w:numId w:val="0"/>
        </w:numPr>
      </w:pPr>
      <w:r>
        <w:t>The NALI provisions apply to self-managed superannuation funds (SMSFs), s</w:t>
      </w:r>
      <w:r w:rsidRPr="00114960">
        <w:t>mall APRA-regulated funds (SAFs)</w:t>
      </w:r>
      <w:r w:rsidRPr="00EC5F74">
        <w:t xml:space="preserve"> </w:t>
      </w:r>
      <w:r w:rsidRPr="00114960">
        <w:t xml:space="preserve">with </w:t>
      </w:r>
      <w:r w:rsidR="00820694">
        <w:t>6</w:t>
      </w:r>
      <w:r w:rsidRPr="00114960">
        <w:t xml:space="preserve"> or fewer members</w:t>
      </w:r>
      <w:r w:rsidR="00D72C5A">
        <w:t>,</w:t>
      </w:r>
      <w:r>
        <w:t xml:space="preserve"> and large APRA-regulated funds.</w:t>
      </w:r>
    </w:p>
    <w:p w14:paraId="5E442ECE" w14:textId="698ABBDD" w:rsidR="00905FD6" w:rsidRPr="005C66DC" w:rsidRDefault="00905FD6" w:rsidP="001C7582">
      <w:pPr>
        <w:pStyle w:val="Bullet"/>
        <w:numPr>
          <w:ilvl w:val="0"/>
          <w:numId w:val="0"/>
        </w:numPr>
      </w:pPr>
      <w:r w:rsidRPr="005C66DC">
        <w:t xml:space="preserve">The </w:t>
      </w:r>
      <w:r w:rsidR="00E067D1">
        <w:t>ITAA</w:t>
      </w:r>
      <w:r w:rsidRPr="005C66DC">
        <w:t xml:space="preserve"> defines income as NALI </w:t>
      </w:r>
      <w:r w:rsidR="00E133F0">
        <w:t xml:space="preserve">to include situations </w:t>
      </w:r>
      <w:r w:rsidRPr="005C66DC">
        <w:t xml:space="preserve">where it is derived </w:t>
      </w:r>
      <w:r w:rsidR="00095C71">
        <w:t>by a complying superannuation entity as a result of</w:t>
      </w:r>
      <w:r w:rsidR="00095C71" w:rsidRPr="005C66DC" w:rsidDel="00095C71">
        <w:t xml:space="preserve"> </w:t>
      </w:r>
      <w:r w:rsidRPr="005C66DC">
        <w:t>a scheme where the parties are not dealing with each other at arm’s length, and one or more of the following applies:</w:t>
      </w:r>
    </w:p>
    <w:p w14:paraId="1F766CAA" w14:textId="4A138B94" w:rsidR="00C331C6" w:rsidRDefault="002B42C5" w:rsidP="001C7582">
      <w:pPr>
        <w:pStyle w:val="Bullet"/>
        <w:numPr>
          <w:ilvl w:val="0"/>
          <w:numId w:val="40"/>
        </w:numPr>
      </w:pPr>
      <w:r>
        <w:t>T</w:t>
      </w:r>
      <w:r w:rsidRPr="00C331C6">
        <w:t xml:space="preserve">he </w:t>
      </w:r>
      <w:r w:rsidR="00C331C6" w:rsidRPr="00C331C6">
        <w:t>amount of the income is more than the amount that the entity might have been expected to derive if those parties had been dealing with each other at arm’s length in relation to the scheme</w:t>
      </w:r>
      <w:r>
        <w:t>.</w:t>
      </w:r>
    </w:p>
    <w:p w14:paraId="00E30415" w14:textId="750A038C" w:rsidR="00C331C6" w:rsidRDefault="002B42C5" w:rsidP="00C331C6">
      <w:pPr>
        <w:pStyle w:val="Bullet"/>
        <w:numPr>
          <w:ilvl w:val="0"/>
          <w:numId w:val="40"/>
        </w:numPr>
      </w:pPr>
      <w:r>
        <w:rPr>
          <w:color w:val="000000"/>
          <w:szCs w:val="22"/>
          <w:shd w:val="clear" w:color="auto" w:fill="FFFFFF"/>
        </w:rPr>
        <w:t xml:space="preserve">In </w:t>
      </w:r>
      <w:r w:rsidR="00C331C6">
        <w:rPr>
          <w:color w:val="000000"/>
          <w:szCs w:val="22"/>
          <w:shd w:val="clear" w:color="auto" w:fill="FFFFFF"/>
        </w:rPr>
        <w:t>gaining or producing the income, the entity incurs a loss, outgoing or expenditure of an amount that is less than the amount of a loss, outgoing or expenditure that the entity might have been expected to incur if those parties had been dealing with each other at arm’s length in relation to the scheme</w:t>
      </w:r>
      <w:r>
        <w:rPr>
          <w:color w:val="000000"/>
          <w:szCs w:val="22"/>
          <w:shd w:val="clear" w:color="auto" w:fill="FFFFFF"/>
        </w:rPr>
        <w:t>.</w:t>
      </w:r>
    </w:p>
    <w:p w14:paraId="17D9431D" w14:textId="1C370FAB" w:rsidR="00905FD6" w:rsidRPr="005C66DC" w:rsidRDefault="002B42C5" w:rsidP="001C7582">
      <w:pPr>
        <w:pStyle w:val="Bullet"/>
        <w:numPr>
          <w:ilvl w:val="0"/>
          <w:numId w:val="40"/>
        </w:numPr>
      </w:pPr>
      <w:r>
        <w:rPr>
          <w:color w:val="000000"/>
          <w:szCs w:val="22"/>
          <w:shd w:val="clear" w:color="auto" w:fill="FFFFFF"/>
        </w:rPr>
        <w:t>I</w:t>
      </w:r>
      <w:r w:rsidRPr="00C331C6">
        <w:rPr>
          <w:color w:val="000000"/>
          <w:szCs w:val="22"/>
          <w:shd w:val="clear" w:color="auto" w:fill="FFFFFF"/>
        </w:rPr>
        <w:t xml:space="preserve">n </w:t>
      </w:r>
      <w:r w:rsidR="00905FD6" w:rsidRPr="00C331C6">
        <w:rPr>
          <w:color w:val="000000"/>
          <w:szCs w:val="22"/>
          <w:shd w:val="clear" w:color="auto" w:fill="FFFFFF"/>
        </w:rPr>
        <w:t>gaining or producing the income, the entity does not incur a loss, outgoing or expenditure that the entity might have been expected to incur if those parties had been dealing with each other at arm’s length in relation to the scheme</w:t>
      </w:r>
      <w:r w:rsidR="00905FD6">
        <w:rPr>
          <w:color w:val="000000"/>
          <w:szCs w:val="22"/>
          <w:shd w:val="clear" w:color="auto" w:fill="FFFFFF"/>
        </w:rPr>
        <w:t>.</w:t>
      </w:r>
    </w:p>
    <w:p w14:paraId="4BF90B29" w14:textId="21FA09F7" w:rsidR="00C331C6" w:rsidRPr="00C331C6" w:rsidRDefault="00C331C6" w:rsidP="00C331C6">
      <w:pPr>
        <w:pStyle w:val="Bullet"/>
        <w:numPr>
          <w:ilvl w:val="0"/>
          <w:numId w:val="0"/>
        </w:numPr>
      </w:pPr>
      <w:r>
        <w:rPr>
          <w:color w:val="000000"/>
          <w:szCs w:val="22"/>
          <w:shd w:val="clear" w:color="auto" w:fill="FFFFFF"/>
        </w:rPr>
        <w:t xml:space="preserve">In this context, the ITAA defines the term scheme as </w:t>
      </w:r>
      <w:r w:rsidR="002B42C5">
        <w:rPr>
          <w:color w:val="000000"/>
          <w:szCs w:val="22"/>
          <w:shd w:val="clear" w:color="auto" w:fill="FFFFFF"/>
        </w:rPr>
        <w:t>“</w:t>
      </w:r>
      <w:r w:rsidRPr="005D5309">
        <w:rPr>
          <w:i/>
          <w:iCs/>
          <w:color w:val="000000"/>
          <w:szCs w:val="22"/>
          <w:shd w:val="clear" w:color="auto" w:fill="FFFFFF"/>
        </w:rPr>
        <w:t>any arrangement or any scheme, plan, proposal, action, course of action or course of conduct, whether unilateral or otherwise</w:t>
      </w:r>
      <w:r w:rsidRPr="00C331C6">
        <w:rPr>
          <w:color w:val="000000"/>
          <w:szCs w:val="22"/>
          <w:shd w:val="clear" w:color="auto" w:fill="FFFFFF"/>
        </w:rPr>
        <w:t>.</w:t>
      </w:r>
      <w:r w:rsidR="002B42C5">
        <w:rPr>
          <w:color w:val="000000"/>
          <w:szCs w:val="22"/>
          <w:shd w:val="clear" w:color="auto" w:fill="FFFFFF"/>
        </w:rPr>
        <w:t>”</w:t>
      </w:r>
      <w:r>
        <w:rPr>
          <w:color w:val="000000"/>
          <w:szCs w:val="22"/>
          <w:shd w:val="clear" w:color="auto" w:fill="FFFFFF"/>
        </w:rPr>
        <w:t xml:space="preserve"> </w:t>
      </w:r>
    </w:p>
    <w:p w14:paraId="38ABC193" w14:textId="6285F67F" w:rsidR="00905FD6" w:rsidRPr="00E7576C" w:rsidRDefault="00905FD6" w:rsidP="007E5767">
      <w:pPr>
        <w:pStyle w:val="Heading3"/>
      </w:pPr>
      <w:bookmarkStart w:id="10" w:name="_Toc116906739"/>
      <w:r>
        <w:t>2017-18 Budget changes</w:t>
      </w:r>
      <w:bookmarkEnd w:id="10"/>
    </w:p>
    <w:p w14:paraId="490EF24C" w14:textId="0F495FAF" w:rsidR="007E5767" w:rsidRDefault="00905FD6" w:rsidP="001413CE">
      <w:pPr>
        <w:pStyle w:val="Bullet"/>
        <w:numPr>
          <w:ilvl w:val="0"/>
          <w:numId w:val="0"/>
        </w:numPr>
        <w:tabs>
          <w:tab w:val="clear" w:pos="720"/>
        </w:tabs>
        <w:spacing w:before="240" w:after="240"/>
      </w:pPr>
      <w:r>
        <w:t xml:space="preserve">At the 2017-18 Budget, the Government announced changes to the definition of NALI. This measure expanded the definition of NALI to ensure that income from an asset where there are lower expenses (or no expenses) </w:t>
      </w:r>
      <w:r w:rsidR="005A0D3A">
        <w:t>are</w:t>
      </w:r>
      <w:r>
        <w:t xml:space="preserve"> captured</w:t>
      </w:r>
      <w:r w:rsidR="005A0D3A">
        <w:t xml:space="preserve"> by the provisions</w:t>
      </w:r>
      <w:r>
        <w:t xml:space="preserve">. </w:t>
      </w:r>
      <w:r w:rsidR="001E25FF">
        <w:t>Such arrangements are referred to as non-arm’s length expense</w:t>
      </w:r>
      <w:r w:rsidR="006752DF">
        <w:t>s</w:t>
      </w:r>
      <w:r w:rsidR="001E25FF">
        <w:t xml:space="preserve"> (NALE).</w:t>
      </w:r>
    </w:p>
    <w:p w14:paraId="38B6DA19" w14:textId="21BEA7B3" w:rsidR="000A28F9" w:rsidRDefault="00905FD6" w:rsidP="001413CE">
      <w:pPr>
        <w:pStyle w:val="Bullet"/>
        <w:numPr>
          <w:ilvl w:val="0"/>
          <w:numId w:val="0"/>
        </w:numPr>
        <w:tabs>
          <w:tab w:val="clear" w:pos="720"/>
        </w:tabs>
        <w:spacing w:before="240" w:after="240"/>
      </w:pPr>
      <w:r>
        <w:t xml:space="preserve">While the previous NALI rules ensured non-arm’s length </w:t>
      </w:r>
      <w:r w:rsidRPr="005D5309">
        <w:t>income</w:t>
      </w:r>
      <w:r>
        <w:t xml:space="preserve"> was taxed at the highest marginal income tax rate</w:t>
      </w:r>
      <w:r w:rsidR="002B42C5">
        <w:t>,</w:t>
      </w:r>
      <w:r>
        <w:t xml:space="preserve"> rather than concessional superannuation rate</w:t>
      </w:r>
      <w:r w:rsidR="002B42C5">
        <w:t>s</w:t>
      </w:r>
      <w:r>
        <w:t xml:space="preserve">, they did not capture non-arm’s length </w:t>
      </w:r>
      <w:r w:rsidRPr="005D5309">
        <w:t>expenses</w:t>
      </w:r>
      <w:r w:rsidR="00E133F0">
        <w:t xml:space="preserve"> in all circumstances.</w:t>
      </w:r>
      <w:r>
        <w:t xml:space="preserve"> </w:t>
      </w:r>
      <w:r w:rsidR="00D72C5A">
        <w:t>I</w:t>
      </w:r>
      <w:r>
        <w:t>f</w:t>
      </w:r>
      <w:r w:rsidR="00D72C5A">
        <w:t xml:space="preserve"> the level of</w:t>
      </w:r>
      <w:r>
        <w:t xml:space="preserve"> income</w:t>
      </w:r>
      <w:r w:rsidR="00D72C5A">
        <w:t>,</w:t>
      </w:r>
      <w:r>
        <w:t xml:space="preserve"> before expenses </w:t>
      </w:r>
      <w:r w:rsidR="00D72C5A">
        <w:t>were</w:t>
      </w:r>
      <w:r>
        <w:t xml:space="preserve"> deducted</w:t>
      </w:r>
      <w:r w:rsidR="00D72C5A">
        <w:t>,</w:t>
      </w:r>
      <w:r>
        <w:t xml:space="preserve"> </w:t>
      </w:r>
      <w:r w:rsidR="00D72C5A">
        <w:t>was</w:t>
      </w:r>
      <w:r>
        <w:t xml:space="preserve"> on an arm’s length basis the pre-</w:t>
      </w:r>
      <w:r w:rsidR="00E133F0">
        <w:t>201</w:t>
      </w:r>
      <w:r w:rsidR="00105B72">
        <w:t>7-1</w:t>
      </w:r>
      <w:r w:rsidR="00E133F0">
        <w:t xml:space="preserve">8 Budget </w:t>
      </w:r>
      <w:r>
        <w:t xml:space="preserve">NALI rules would not </w:t>
      </w:r>
      <w:r w:rsidR="009531E8">
        <w:t>apply to</w:t>
      </w:r>
      <w:r>
        <w:t xml:space="preserve"> tax minimisation strateg</w:t>
      </w:r>
      <w:r w:rsidR="006328A1">
        <w:t>ies where fund expenditures were reduced through non-arm’s length dealings</w:t>
      </w:r>
      <w:r>
        <w:t>.</w:t>
      </w:r>
      <w:r w:rsidR="000A28F9">
        <w:t xml:space="preserve"> </w:t>
      </w:r>
    </w:p>
    <w:p w14:paraId="7C41CF04" w14:textId="5917EE10" w:rsidR="00DE53E3" w:rsidRDefault="00665616" w:rsidP="00620398">
      <w:pPr>
        <w:pStyle w:val="Bullet"/>
        <w:numPr>
          <w:ilvl w:val="0"/>
          <w:numId w:val="0"/>
        </w:numPr>
        <w:tabs>
          <w:tab w:val="clear" w:pos="720"/>
          <w:tab w:val="num" w:pos="567"/>
        </w:tabs>
        <w:spacing w:before="240" w:after="240"/>
      </w:pPr>
      <w:r>
        <w:lastRenderedPageBreak/>
        <w:t xml:space="preserve">The </w:t>
      </w:r>
      <w:r w:rsidR="00905FD6">
        <w:t xml:space="preserve">NALI rules were extended to expenses with the passage of </w:t>
      </w:r>
      <w:r w:rsidR="00905FD6" w:rsidRPr="00843BBB">
        <w:rPr>
          <w:i/>
          <w:iCs/>
        </w:rPr>
        <w:t>Treasury Laws Amendment (2018 Superannuation Measures No</w:t>
      </w:r>
      <w:r w:rsidR="00905FD6" w:rsidRPr="005D5309">
        <w:rPr>
          <w:i/>
          <w:iCs/>
        </w:rPr>
        <w:t>. 1)</w:t>
      </w:r>
      <w:r w:rsidR="00905FD6">
        <w:t xml:space="preserve"> </w:t>
      </w:r>
      <w:r w:rsidR="003226C3">
        <w:rPr>
          <w:i/>
          <w:iCs/>
        </w:rPr>
        <w:t>Act</w:t>
      </w:r>
      <w:r w:rsidR="00905FD6" w:rsidRPr="00843BBB">
        <w:rPr>
          <w:i/>
          <w:iCs/>
        </w:rPr>
        <w:t xml:space="preserve"> 2019</w:t>
      </w:r>
      <w:r w:rsidR="00905FD6">
        <w:t xml:space="preserve">. </w:t>
      </w:r>
      <w:r w:rsidR="00DA2E75">
        <w:t>I</w:t>
      </w:r>
      <w:r w:rsidR="001F6E25" w:rsidRPr="001F6E25">
        <w:t xml:space="preserve">ncome is </w:t>
      </w:r>
      <w:r w:rsidR="00DA2E75">
        <w:t xml:space="preserve">now </w:t>
      </w:r>
      <w:r w:rsidR="001F6E25" w:rsidRPr="001F6E25">
        <w:t>treated as NALI where expenditure incurred in gaining or producing it was a non-arm’s length dealing.</w:t>
      </w:r>
      <w:r w:rsidR="001F6E25">
        <w:t xml:space="preserve"> </w:t>
      </w:r>
      <w:r w:rsidR="00905FD6">
        <w:t xml:space="preserve">If an expense is considered NALE, it taints any income </w:t>
      </w:r>
      <w:r w:rsidR="006328A1">
        <w:t xml:space="preserve">associated with the scheme </w:t>
      </w:r>
      <w:r w:rsidR="00905FD6">
        <w:t>as NALI, which is then taxed at the highest marginal rate.</w:t>
      </w:r>
      <w:r w:rsidR="001F6E25">
        <w:t xml:space="preserve"> </w:t>
      </w:r>
    </w:p>
    <w:p w14:paraId="571D2E46" w14:textId="1186D263" w:rsidR="007E5767" w:rsidRPr="007D06E5" w:rsidRDefault="00DA2E75" w:rsidP="00AC0F30">
      <w:pPr>
        <w:pStyle w:val="Bullet"/>
        <w:numPr>
          <w:ilvl w:val="0"/>
          <w:numId w:val="0"/>
        </w:numPr>
      </w:pPr>
      <w:r w:rsidRPr="007D06E5">
        <w:t xml:space="preserve">These amendments ensure that </w:t>
      </w:r>
      <w:r w:rsidR="007D06E5" w:rsidRPr="007D06E5">
        <w:t xml:space="preserve">all types of </w:t>
      </w:r>
      <w:r w:rsidRPr="007D06E5">
        <w:t xml:space="preserve">superannuation entities cannot circumvent the NALI provisions to benefit from the preferential tax treatment of superannuation income compared to other entities by entering into schemes with non-arm’s length expenditure. </w:t>
      </w:r>
      <w:r w:rsidR="001F6E25" w:rsidRPr="007D06E5">
        <w:t>This addressed integrity issues</w:t>
      </w:r>
      <w:r w:rsidR="00F21D06" w:rsidRPr="007D06E5">
        <w:t xml:space="preserve"> for all types of superannuation funds</w:t>
      </w:r>
      <w:r w:rsidR="001F6E25" w:rsidRPr="007D06E5">
        <w:t xml:space="preserve"> related to trustees</w:t>
      </w:r>
      <w:r w:rsidRPr="00AC0F30">
        <w:t> incurring non-arm’s length expenses in gaining or producing income</w:t>
      </w:r>
      <w:r w:rsidR="00754CA0" w:rsidRPr="007D06E5">
        <w:t>.</w:t>
      </w:r>
    </w:p>
    <w:p w14:paraId="2123AF65" w14:textId="63335D38" w:rsidR="00905FD6" w:rsidRDefault="00905FD6" w:rsidP="001413CE">
      <w:pPr>
        <w:pStyle w:val="Bullet"/>
        <w:numPr>
          <w:ilvl w:val="0"/>
          <w:numId w:val="0"/>
        </w:numPr>
        <w:tabs>
          <w:tab w:val="clear" w:pos="720"/>
          <w:tab w:val="num" w:pos="567"/>
        </w:tabs>
        <w:spacing w:before="240" w:after="240"/>
      </w:pPr>
      <w:r>
        <w:t>These NAL</w:t>
      </w:r>
      <w:r w:rsidR="00E133F0">
        <w:t>I</w:t>
      </w:r>
      <w:r>
        <w:t xml:space="preserve"> provision</w:t>
      </w:r>
      <w:r w:rsidR="001F6E25">
        <w:t xml:space="preserve"> amendments </w:t>
      </w:r>
      <w:r w:rsidR="000A28F9">
        <w:t xml:space="preserve">also </w:t>
      </w:r>
      <w:r>
        <w:t xml:space="preserve">manage the integrity risk of </w:t>
      </w:r>
      <w:r w:rsidR="00095C71">
        <w:t xml:space="preserve">SMSF </w:t>
      </w:r>
      <w:r>
        <w:t xml:space="preserve">trustees </w:t>
      </w:r>
      <w:r w:rsidR="002D2D4A">
        <w:t>in particular</w:t>
      </w:r>
      <w:r>
        <w:t xml:space="preserve"> engaging in arrangements that have the effect of circumventing the lower contribution caps and </w:t>
      </w:r>
      <w:r w:rsidR="001F5D70">
        <w:t xml:space="preserve">the </w:t>
      </w:r>
      <w:r w:rsidR="007D0F67">
        <w:t>Division 293</w:t>
      </w:r>
      <w:r w:rsidR="001F5D70">
        <w:t xml:space="preserve"> </w:t>
      </w:r>
      <w:r>
        <w:t>threshold</w:t>
      </w:r>
      <w:r w:rsidR="00501CF9">
        <w:t xml:space="preserve">, </w:t>
      </w:r>
      <w:r w:rsidR="007D0F67">
        <w:t>both of which were</w:t>
      </w:r>
      <w:r>
        <w:t xml:space="preserve"> revised in the 2016-17 Budget tax reform package. </w:t>
      </w:r>
    </w:p>
    <w:p w14:paraId="2A0535A0" w14:textId="77777777" w:rsidR="00905FD6" w:rsidRPr="0053061F" w:rsidRDefault="00905FD6" w:rsidP="007E5767">
      <w:pPr>
        <w:pStyle w:val="Heading3"/>
      </w:pPr>
      <w:bookmarkStart w:id="11" w:name="_Toc116906740"/>
      <w:r w:rsidRPr="005B71AE">
        <w:t>ATO’s interpretation and compliance approach</w:t>
      </w:r>
      <w:bookmarkEnd w:id="11"/>
    </w:p>
    <w:p w14:paraId="059EAA2C" w14:textId="024C7AA2" w:rsidR="00DF1C4B" w:rsidRDefault="00905FD6" w:rsidP="0081385F">
      <w:pPr>
        <w:pStyle w:val="Bullet"/>
        <w:numPr>
          <w:ilvl w:val="0"/>
          <w:numId w:val="0"/>
        </w:numPr>
        <w:tabs>
          <w:tab w:val="clear" w:pos="720"/>
        </w:tabs>
        <w:spacing w:before="240" w:after="240"/>
      </w:pPr>
      <w:r w:rsidRPr="0053061F">
        <w:t>On 29 May 2020, the ATO published Practical Compliance Guidance (PCG) 2020/5 which established a transitional compliance approach</w:t>
      </w:r>
      <w:r w:rsidRPr="005B71AE">
        <w:t xml:space="preserve"> </w:t>
      </w:r>
      <w:r>
        <w:t>to the NAL</w:t>
      </w:r>
      <w:r w:rsidR="00DF1C4B">
        <w:t>I</w:t>
      </w:r>
      <w:r>
        <w:t xml:space="preserve"> rule changes. </w:t>
      </w:r>
      <w:r w:rsidRPr="00DE677B">
        <w:t xml:space="preserve">As a result of consultation, </w:t>
      </w:r>
      <w:r>
        <w:t>the ATO recognised that trustees may not have been aware that the amendments would apply to NALE of a general nature which is linked to all</w:t>
      </w:r>
      <w:r w:rsidRPr="000D327B">
        <w:t xml:space="preserve"> income </w:t>
      </w:r>
      <w:r>
        <w:t>of</w:t>
      </w:r>
      <w:r w:rsidRPr="000D327B">
        <w:t xml:space="preserve"> the fund</w:t>
      </w:r>
      <w:r>
        <w:t xml:space="preserve"> (also referred to as general expenses).</w:t>
      </w:r>
      <w:r w:rsidR="00127694" w:rsidRPr="0053061F">
        <w:t xml:space="preserve"> </w:t>
      </w:r>
    </w:p>
    <w:p w14:paraId="552FC496" w14:textId="314073A9" w:rsidR="00DF1C4B" w:rsidRDefault="00DF1C4B" w:rsidP="00DF1C4B">
      <w:pPr>
        <w:pStyle w:val="Bullet"/>
        <w:numPr>
          <w:ilvl w:val="0"/>
          <w:numId w:val="0"/>
        </w:numPr>
        <w:spacing w:before="240" w:after="240"/>
      </w:pPr>
      <w:r>
        <w:t xml:space="preserve">Superannuation fund expenses can be divided into </w:t>
      </w:r>
      <w:r w:rsidR="00BA04B9">
        <w:t>2</w:t>
      </w:r>
      <w:r>
        <w:t xml:space="preserve"> broad categories: expenses of a general nature and expenses of a specific nature. General expenses are those that have a sufficient nexus to </w:t>
      </w:r>
      <w:r w:rsidR="004D4B73" w:rsidRPr="004D4B73">
        <w:rPr>
          <w:i/>
          <w:iCs/>
        </w:rPr>
        <w:t>all</w:t>
      </w:r>
      <w:r>
        <w:t xml:space="preserve"> ordinary and/or statutory income of a given fund, for example fees for accounting, auditing and actuarial services. Specific expenses are those that have a sufficient nexus to a specific asset held by a given fund, for example a maintenance expense</w:t>
      </w:r>
      <w:r w:rsidR="00F631F0">
        <w:t xml:space="preserve"> on a property</w:t>
      </w:r>
      <w:r w:rsidR="00B51CBE">
        <w:t>,</w:t>
      </w:r>
      <w:r w:rsidR="00A43A7C">
        <w:t xml:space="preserve"> which </w:t>
      </w:r>
      <w:r w:rsidR="00B51CBE">
        <w:t>relates to a particular amount of income being derived by the fund</w:t>
      </w:r>
      <w:r>
        <w:t>.</w:t>
      </w:r>
    </w:p>
    <w:p w14:paraId="558EE934" w14:textId="59CEBB61" w:rsidR="007E5767" w:rsidRDefault="00DF1C4B" w:rsidP="0081385F">
      <w:pPr>
        <w:pStyle w:val="Bullet"/>
        <w:numPr>
          <w:ilvl w:val="0"/>
          <w:numId w:val="0"/>
        </w:numPr>
        <w:tabs>
          <w:tab w:val="clear" w:pos="720"/>
        </w:tabs>
        <w:spacing w:before="240" w:after="240"/>
      </w:pPr>
      <w:r>
        <w:t>In PCG 2020/5 t</w:t>
      </w:r>
      <w:r w:rsidR="00905FD6" w:rsidRPr="001A775D">
        <w:t xml:space="preserve">he ATO </w:t>
      </w:r>
      <w:r w:rsidR="00905FD6">
        <w:t>announced it would</w:t>
      </w:r>
      <w:r w:rsidR="00905FD6" w:rsidRPr="001A775D">
        <w:t xml:space="preserve"> not allocate compliance resources to determine whether the NALI provisions appl</w:t>
      </w:r>
      <w:r w:rsidR="00905FD6">
        <w:t>ied</w:t>
      </w:r>
      <w:r w:rsidR="00905FD6" w:rsidRPr="001A775D">
        <w:t xml:space="preserve"> to a complying superannuation fund for the 2018-19</w:t>
      </w:r>
      <w:r w:rsidR="00A40191">
        <w:t>,</w:t>
      </w:r>
      <w:r w:rsidR="00905FD6" w:rsidRPr="001A775D">
        <w:t xml:space="preserve"> 2019-20</w:t>
      </w:r>
      <w:r w:rsidR="00DB4135">
        <w:t>,</w:t>
      </w:r>
      <w:r w:rsidR="00905FD6" w:rsidRPr="001A775D">
        <w:t xml:space="preserve">2020-21 </w:t>
      </w:r>
      <w:r w:rsidR="009F3067">
        <w:t>income</w:t>
      </w:r>
      <w:r w:rsidR="00DB4135" w:rsidRPr="001A775D">
        <w:t xml:space="preserve"> </w:t>
      </w:r>
      <w:r w:rsidR="00905FD6" w:rsidRPr="001A775D">
        <w:t xml:space="preserve">years where the fund incurred </w:t>
      </w:r>
      <w:r w:rsidR="00905FD6">
        <w:t>NALE</w:t>
      </w:r>
      <w:r w:rsidR="00905FD6" w:rsidRPr="001A775D">
        <w:t xml:space="preserve"> of a general nature that has a sufficient nexus to all ordinary and/or statutory income derived by the fund in those respective income years.</w:t>
      </w:r>
      <w:r w:rsidR="009F3067">
        <w:t xml:space="preserve"> </w:t>
      </w:r>
      <w:r w:rsidR="00C8769F" w:rsidRPr="00C8769F">
        <w:t xml:space="preserve">In April 2021, PCG </w:t>
      </w:r>
      <w:r w:rsidR="00C8769F">
        <w:t xml:space="preserve">2020/5 </w:t>
      </w:r>
      <w:r w:rsidR="00C8769F" w:rsidRPr="00C8769F">
        <w:t>was updated to include the 2021-22 income year.</w:t>
      </w:r>
    </w:p>
    <w:p w14:paraId="1FD09846" w14:textId="58529E0B" w:rsidR="007E5767" w:rsidRDefault="00905FD6" w:rsidP="0081385F">
      <w:pPr>
        <w:pStyle w:val="Bullet"/>
        <w:numPr>
          <w:ilvl w:val="0"/>
          <w:numId w:val="0"/>
        </w:numPr>
        <w:tabs>
          <w:tab w:val="clear" w:pos="720"/>
          <w:tab w:val="num" w:pos="567"/>
        </w:tabs>
        <w:spacing w:before="240" w:after="240"/>
      </w:pPr>
      <w:r>
        <w:t xml:space="preserve">On 28 July 2021, the </w:t>
      </w:r>
      <w:r w:rsidRPr="005B71AE">
        <w:t xml:space="preserve">ATO released Law Companion Ruling </w:t>
      </w:r>
      <w:r>
        <w:t>(</w:t>
      </w:r>
      <w:r w:rsidRPr="005B71AE">
        <w:t>LCR</w:t>
      </w:r>
      <w:r>
        <w:t>)</w:t>
      </w:r>
      <w:r w:rsidRPr="005B71AE">
        <w:t xml:space="preserve"> 2021/2 </w:t>
      </w:r>
      <w:r w:rsidR="00890E53">
        <w:t>which</w:t>
      </w:r>
      <w:r w:rsidRPr="005B71AE">
        <w:t xml:space="preserve"> provide</w:t>
      </w:r>
      <w:r w:rsidR="00890E53">
        <w:t>d</w:t>
      </w:r>
      <w:r w:rsidRPr="005B71AE">
        <w:t xml:space="preserve"> details as to </w:t>
      </w:r>
      <w:r w:rsidR="009F3067">
        <w:t>h</w:t>
      </w:r>
      <w:r w:rsidR="009F3067" w:rsidRPr="009F16AC">
        <w:t xml:space="preserve">ow the ATO intends to apply the updated NALI provisions with </w:t>
      </w:r>
      <w:r>
        <w:t>extensive examples.</w:t>
      </w:r>
      <w:r w:rsidR="00D40F8B" w:rsidRPr="00D40F8B">
        <w:t xml:space="preserve"> </w:t>
      </w:r>
      <w:r w:rsidR="00D40F8B">
        <w:t>The ATO noted it is aware of the significant tax consequences that may result from the NALI rules and a wide variety of minor NALE breaches have the potential to result in disproportionate tax liabilities.</w:t>
      </w:r>
    </w:p>
    <w:p w14:paraId="0BE82470" w14:textId="448C0F46" w:rsidR="00B70937" w:rsidRDefault="00890E53" w:rsidP="00AC0F30">
      <w:pPr>
        <w:pStyle w:val="Bullet"/>
        <w:numPr>
          <w:ilvl w:val="0"/>
          <w:numId w:val="0"/>
        </w:numPr>
        <w:tabs>
          <w:tab w:val="clear" w:pos="720"/>
          <w:tab w:val="num" w:pos="567"/>
        </w:tabs>
        <w:spacing w:before="240" w:after="240"/>
      </w:pPr>
      <w:r>
        <w:t>LCR 2021/2</w:t>
      </w:r>
      <w:r w:rsidR="00DC2B80" w:rsidRPr="005B71AE">
        <w:t xml:space="preserve"> </w:t>
      </w:r>
      <w:r w:rsidR="005A6287">
        <w:t xml:space="preserve">explained </w:t>
      </w:r>
      <w:r w:rsidR="00DC2B80">
        <w:t xml:space="preserve">that where </w:t>
      </w:r>
      <w:r w:rsidR="00905FD6">
        <w:t>NALE</w:t>
      </w:r>
      <w:r w:rsidR="00905FD6" w:rsidRPr="00681B8F">
        <w:t xml:space="preserve"> incurred by a trustee of a superannuation fund is of a general nature</w:t>
      </w:r>
      <w:r w:rsidR="002302CD">
        <w:t>, the relevant expense</w:t>
      </w:r>
      <w:r w:rsidR="00B703D8">
        <w:t>s</w:t>
      </w:r>
      <w:r w:rsidR="00905FD6" w:rsidRPr="00681B8F">
        <w:t xml:space="preserve"> can have a sufficient </w:t>
      </w:r>
      <w:r w:rsidR="00905FD6">
        <w:t>nexus</w:t>
      </w:r>
      <w:r w:rsidR="00905FD6" w:rsidRPr="00681B8F">
        <w:t xml:space="preserve"> to all </w:t>
      </w:r>
      <w:r w:rsidR="00905FD6">
        <w:t xml:space="preserve">of </w:t>
      </w:r>
      <w:r w:rsidR="00905FD6" w:rsidRPr="00681B8F">
        <w:t>the income of a superannuation fund. Th</w:t>
      </w:r>
      <w:r w:rsidR="00905FD6">
        <w:t xml:space="preserve">is could result in </w:t>
      </w:r>
      <w:r w:rsidR="00905FD6" w:rsidRPr="00681B8F">
        <w:t xml:space="preserve">all </w:t>
      </w:r>
      <w:r w:rsidR="00905FD6">
        <w:t xml:space="preserve">of </w:t>
      </w:r>
      <w:r w:rsidR="002302CD">
        <w:t>a</w:t>
      </w:r>
      <w:r w:rsidR="002302CD" w:rsidRPr="00681B8F">
        <w:t xml:space="preserve"> </w:t>
      </w:r>
      <w:r w:rsidR="00905FD6" w:rsidRPr="00681B8F">
        <w:t xml:space="preserve">fund’s income </w:t>
      </w:r>
      <w:r w:rsidR="00905FD6">
        <w:t>being</w:t>
      </w:r>
      <w:r w:rsidR="00905FD6" w:rsidRPr="00681B8F">
        <w:t xml:space="preserve"> </w:t>
      </w:r>
      <w:r w:rsidR="00905FD6">
        <w:t xml:space="preserve">classified as NALI and </w:t>
      </w:r>
      <w:r w:rsidR="00905FD6" w:rsidRPr="00681B8F">
        <w:t xml:space="preserve">assessed at the </w:t>
      </w:r>
      <w:r w:rsidR="00905FD6">
        <w:t>highest</w:t>
      </w:r>
      <w:r w:rsidR="00905FD6" w:rsidRPr="00681B8F">
        <w:t xml:space="preserve"> marginal tax rate</w:t>
      </w:r>
      <w:r w:rsidR="00AC27D7">
        <w:t>, currently</w:t>
      </w:r>
      <w:r w:rsidR="002302CD">
        <w:t xml:space="preserve"> 45 per cent</w:t>
      </w:r>
      <w:r w:rsidR="00905FD6" w:rsidRPr="00681B8F">
        <w:t>.</w:t>
      </w:r>
      <w:r w:rsidR="00905FD6">
        <w:t xml:space="preserve"> </w:t>
      </w:r>
      <w:r w:rsidR="00B70937" w:rsidRPr="005B71AE">
        <w:t>LCR 2021/2</w:t>
      </w:r>
      <w:r w:rsidR="00B70937">
        <w:t xml:space="preserve"> provided the following list of instances in which expenditure has a sufficient nexus to all income derived by the fund: </w:t>
      </w:r>
    </w:p>
    <w:p w14:paraId="63CA9FBF" w14:textId="66A6B2CC" w:rsidR="00B70937" w:rsidRDefault="00B70937" w:rsidP="00B70937">
      <w:pPr>
        <w:pStyle w:val="Bullet"/>
        <w:spacing w:before="240" w:after="240"/>
      </w:pPr>
      <w:r>
        <w:lastRenderedPageBreak/>
        <w:t>actuarial costs – except those incurred in complying with, or managing, the fund’s income tax affairs and obligations which are ordinarily deductible under section 25-5</w:t>
      </w:r>
      <w:r w:rsidR="009A43E0">
        <w:t xml:space="preserve"> of the </w:t>
      </w:r>
      <w:r w:rsidR="009A43E0">
        <w:rPr>
          <w:color w:val="000000"/>
          <w:szCs w:val="22"/>
          <w:shd w:val="clear" w:color="auto" w:fill="FFFFFF"/>
        </w:rPr>
        <w:t>ITAA</w:t>
      </w:r>
      <w:r w:rsidR="008F7D41">
        <w:rPr>
          <w:color w:val="000000"/>
          <w:szCs w:val="22"/>
          <w:shd w:val="clear" w:color="auto" w:fill="FFFFFF"/>
        </w:rPr>
        <w:t>;</w:t>
      </w:r>
    </w:p>
    <w:p w14:paraId="6F5F5207" w14:textId="54F94DEE" w:rsidR="00B70937" w:rsidRDefault="00B70937" w:rsidP="00B70937">
      <w:pPr>
        <w:pStyle w:val="Bullet"/>
        <w:spacing w:before="240" w:after="240"/>
      </w:pPr>
      <w:r>
        <w:t>accountancy fees – except those incurred in complying with, or managing, the fund’s income tax affairs and obligations which are ordinarily deductible under section 25-5</w:t>
      </w:r>
      <w:r w:rsidR="009A43E0">
        <w:t xml:space="preserve"> of the </w:t>
      </w:r>
      <w:r w:rsidR="009A43E0">
        <w:rPr>
          <w:color w:val="000000"/>
          <w:szCs w:val="22"/>
          <w:shd w:val="clear" w:color="auto" w:fill="FFFFFF"/>
        </w:rPr>
        <w:t>ITAA</w:t>
      </w:r>
      <w:r w:rsidR="008F7D41">
        <w:rPr>
          <w:color w:val="000000"/>
          <w:szCs w:val="22"/>
          <w:shd w:val="clear" w:color="auto" w:fill="FFFFFF"/>
        </w:rPr>
        <w:t>;</w:t>
      </w:r>
    </w:p>
    <w:p w14:paraId="36DAC91C" w14:textId="47488627" w:rsidR="00B70937" w:rsidRDefault="00B70937" w:rsidP="00B70937">
      <w:pPr>
        <w:pStyle w:val="Bullet"/>
        <w:spacing w:before="240" w:after="240"/>
      </w:pPr>
      <w:r>
        <w:t>audit fees</w:t>
      </w:r>
      <w:r w:rsidR="008F7D41">
        <w:t>;</w:t>
      </w:r>
      <w:r>
        <w:t xml:space="preserve"> </w:t>
      </w:r>
    </w:p>
    <w:p w14:paraId="026206AD" w14:textId="2E032F14" w:rsidR="00B70937" w:rsidRDefault="00B70937" w:rsidP="00B70937">
      <w:pPr>
        <w:pStyle w:val="Bullet"/>
        <w:spacing w:before="240" w:after="240"/>
      </w:pPr>
      <w:r>
        <w:t>costs of complying with a ‘regulatory provision’ as defined in section 38A of the Superannuation Industry (Supervision) Act 1993 (unless the cost is a capital expense)</w:t>
      </w:r>
      <w:r w:rsidR="008F7D41">
        <w:t>;</w:t>
      </w:r>
    </w:p>
    <w:p w14:paraId="05A6C39D" w14:textId="053C9387" w:rsidR="00B70937" w:rsidRDefault="00B70937" w:rsidP="00B70937">
      <w:pPr>
        <w:pStyle w:val="Bullet"/>
        <w:spacing w:before="240" w:after="240"/>
      </w:pPr>
      <w:r>
        <w:t>trustee fees and premiums under an indemnity insurance policy</w:t>
      </w:r>
      <w:r w:rsidR="008F7D41">
        <w:t>;</w:t>
      </w:r>
    </w:p>
    <w:p w14:paraId="69AB0A51" w14:textId="640BA37B" w:rsidR="00B70937" w:rsidRDefault="00B70937" w:rsidP="00B70937">
      <w:pPr>
        <w:pStyle w:val="Bullet"/>
        <w:spacing w:before="240" w:after="240"/>
      </w:pPr>
      <w:r>
        <w:t>costs in connection with the calculation and payment of benefits to members (but not the cost of the benefit itself); for example, interest on money borrowed to secure temporary finance for payment of benefits and medical costs in assessing invalidity benefit claims</w:t>
      </w:r>
      <w:r w:rsidR="008F7D41">
        <w:t>;</w:t>
      </w:r>
    </w:p>
    <w:p w14:paraId="61B7C3AB" w14:textId="2DF484DA" w:rsidR="00B70937" w:rsidRDefault="00B70937" w:rsidP="00B70937">
      <w:pPr>
        <w:pStyle w:val="Bullet"/>
        <w:spacing w:before="240" w:after="240"/>
      </w:pPr>
      <w:r>
        <w:t>investment adviser fees and costs in providing pre-retirement services to members</w:t>
      </w:r>
      <w:r w:rsidR="008F7D41">
        <w:t>;</w:t>
      </w:r>
      <w:r>
        <w:t xml:space="preserve"> and </w:t>
      </w:r>
    </w:p>
    <w:p w14:paraId="61DA6A82" w14:textId="77777777" w:rsidR="00B70937" w:rsidRDefault="00B70937" w:rsidP="00B70937">
      <w:pPr>
        <w:pStyle w:val="Bullet"/>
        <w:spacing w:before="240" w:after="240"/>
      </w:pPr>
      <w:r>
        <w:t>other administrative costs incurred in managing the fund.</w:t>
      </w:r>
    </w:p>
    <w:p w14:paraId="3061172C" w14:textId="60D1B9E0" w:rsidR="007E5767" w:rsidRDefault="00905FD6" w:rsidP="0081385F">
      <w:pPr>
        <w:pStyle w:val="Bullet"/>
        <w:numPr>
          <w:ilvl w:val="0"/>
          <w:numId w:val="0"/>
        </w:numPr>
        <w:tabs>
          <w:tab w:val="clear" w:pos="720"/>
          <w:tab w:val="num" w:pos="567"/>
        </w:tabs>
        <w:spacing w:before="240" w:after="240"/>
      </w:pPr>
      <w:r w:rsidRPr="000857AD">
        <w:t xml:space="preserve">The ATO’s </w:t>
      </w:r>
      <w:r>
        <w:t xml:space="preserve">ongoing </w:t>
      </w:r>
      <w:r w:rsidRPr="000857AD">
        <w:t>compliance approach</w:t>
      </w:r>
      <w:r>
        <w:t xml:space="preserve"> (applying only in respect of general expenditure)</w:t>
      </w:r>
      <w:r w:rsidRPr="000857AD">
        <w:t xml:space="preserve"> </w:t>
      </w:r>
      <w:r w:rsidR="00A21993">
        <w:t>outlined in LCR 2021/2</w:t>
      </w:r>
      <w:r w:rsidR="00A21993" w:rsidRPr="005B71AE">
        <w:t xml:space="preserve"> </w:t>
      </w:r>
      <w:r w:rsidRPr="000857AD">
        <w:t xml:space="preserve">focusses on </w:t>
      </w:r>
      <w:r>
        <w:t xml:space="preserve">reviewing whether appropriate internal controls and processes are in place </w:t>
      </w:r>
      <w:r w:rsidR="009F3067">
        <w:t xml:space="preserve">for large APRA-regulated superannuation funds </w:t>
      </w:r>
      <w:r>
        <w:t>and</w:t>
      </w:r>
      <w:r w:rsidRPr="000857AD">
        <w:t xml:space="preserve"> whether </w:t>
      </w:r>
      <w:r>
        <w:t>a reasonable attempt</w:t>
      </w:r>
      <w:r w:rsidRPr="000857AD">
        <w:t xml:space="preserve"> </w:t>
      </w:r>
      <w:r>
        <w:t>was taken</w:t>
      </w:r>
      <w:r w:rsidRPr="000857AD">
        <w:t xml:space="preserve"> to </w:t>
      </w:r>
      <w:r>
        <w:t>determine an</w:t>
      </w:r>
      <w:r w:rsidRPr="000857AD">
        <w:t xml:space="preserve"> arm’s length</w:t>
      </w:r>
      <w:r>
        <w:t xml:space="preserve"> expenditure amount</w:t>
      </w:r>
      <w:r w:rsidR="009F3067">
        <w:t xml:space="preserve"> in the case of SMSFs</w:t>
      </w:r>
      <w:r w:rsidRPr="000857AD">
        <w:t>.</w:t>
      </w:r>
      <w:r w:rsidR="009F3067">
        <w:t xml:space="preserve"> The ATO’s ongoing compliance approach supports SMSFs and </w:t>
      </w:r>
      <w:r w:rsidR="009F3067" w:rsidRPr="009F3067">
        <w:t xml:space="preserve">large funds </w:t>
      </w:r>
      <w:r w:rsidR="009F3067" w:rsidRPr="00AC0F30">
        <w:t>implementing the correct practices to avoid NALI applying</w:t>
      </w:r>
      <w:r w:rsidR="009F3067" w:rsidRPr="009F3067">
        <w:t>.</w:t>
      </w:r>
      <w:r w:rsidRPr="000857AD">
        <w:t xml:space="preserve"> </w:t>
      </w:r>
    </w:p>
    <w:p w14:paraId="669557DF" w14:textId="5FEAE00A" w:rsidR="005D5309" w:rsidRDefault="00905FD6" w:rsidP="00AC0F30">
      <w:pPr>
        <w:pStyle w:val="Bullet"/>
        <w:numPr>
          <w:ilvl w:val="0"/>
          <w:numId w:val="0"/>
        </w:numPr>
        <w:tabs>
          <w:tab w:val="clear" w:pos="720"/>
        </w:tabs>
        <w:spacing w:before="240" w:after="240"/>
        <w:rPr>
          <w:rFonts w:ascii="Calibri" w:hAnsi="Calibri" w:cs="Arial"/>
          <w:color w:val="2C384A"/>
          <w:kern w:val="32"/>
          <w:sz w:val="36"/>
          <w:szCs w:val="28"/>
        </w:rPr>
      </w:pPr>
      <w:bookmarkStart w:id="12" w:name="_Hlk111565420"/>
      <w:r>
        <w:t xml:space="preserve">On 10 June 2022, the ATO released </w:t>
      </w:r>
      <w:r w:rsidR="009F3067">
        <w:t xml:space="preserve">a further </w:t>
      </w:r>
      <w:r>
        <w:t xml:space="preserve">update to </w:t>
      </w:r>
      <w:r w:rsidRPr="0053061F">
        <w:t>PCG 2020/5</w:t>
      </w:r>
      <w:r>
        <w:t xml:space="preserve"> which extended the transitional compliance approach to NALE of a general nature incurred in the 2022-23 income year. </w:t>
      </w:r>
      <w:r w:rsidRPr="001A775D">
        <w:t>This transitional compliance approach</w:t>
      </w:r>
      <w:r>
        <w:t xml:space="preserve"> </w:t>
      </w:r>
      <w:r w:rsidRPr="001A775D">
        <w:t>only applies to general expenditure that is incurred on or before 30</w:t>
      </w:r>
      <w:r w:rsidR="001336CE">
        <w:t> </w:t>
      </w:r>
      <w:r w:rsidRPr="001A775D">
        <w:t>June 2023.</w:t>
      </w:r>
      <w:bookmarkEnd w:id="12"/>
    </w:p>
    <w:p w14:paraId="1DA79395" w14:textId="77777777" w:rsidR="004F1795" w:rsidRDefault="004F1795">
      <w:pPr>
        <w:spacing w:before="0" w:after="160" w:line="259" w:lineRule="auto"/>
        <w:rPr>
          <w:rFonts w:ascii="Calibri" w:hAnsi="Calibri" w:cs="Arial"/>
          <w:iCs/>
          <w:color w:val="2C384A"/>
          <w:kern w:val="32"/>
          <w:sz w:val="36"/>
          <w:szCs w:val="28"/>
        </w:rPr>
      </w:pPr>
      <w:r>
        <w:br w:type="page"/>
      </w:r>
    </w:p>
    <w:p w14:paraId="11FFA694" w14:textId="0E37AEF6" w:rsidR="000E0B74" w:rsidRDefault="007E411B" w:rsidP="000E0B74">
      <w:pPr>
        <w:pStyle w:val="Heading2"/>
      </w:pPr>
      <w:bookmarkStart w:id="13" w:name="_Toc116906741"/>
      <w:r>
        <w:lastRenderedPageBreak/>
        <w:t xml:space="preserve">Potential </w:t>
      </w:r>
      <w:r w:rsidR="00AD4242">
        <w:t>a</w:t>
      </w:r>
      <w:r w:rsidR="001B2AF4">
        <w:t>mendments</w:t>
      </w:r>
      <w:bookmarkEnd w:id="13"/>
    </w:p>
    <w:p w14:paraId="21F4040C" w14:textId="045B596A" w:rsidR="006E1719" w:rsidRDefault="003D6F7E" w:rsidP="006E1719">
      <w:pPr>
        <w:pStyle w:val="Bullet"/>
        <w:numPr>
          <w:ilvl w:val="0"/>
          <w:numId w:val="0"/>
        </w:numPr>
        <w:rPr>
          <w:szCs w:val="22"/>
        </w:rPr>
      </w:pPr>
      <w:r>
        <w:rPr>
          <w:szCs w:val="22"/>
        </w:rPr>
        <w:t xml:space="preserve">For the purposes of stakeholder consultation </w:t>
      </w:r>
      <w:r w:rsidR="00B05BBA">
        <w:rPr>
          <w:szCs w:val="22"/>
        </w:rPr>
        <w:t>T</w:t>
      </w:r>
      <w:r>
        <w:rPr>
          <w:szCs w:val="22"/>
        </w:rPr>
        <w:t xml:space="preserve">reasury has developed </w:t>
      </w:r>
      <w:r w:rsidR="007E411B">
        <w:rPr>
          <w:szCs w:val="22"/>
        </w:rPr>
        <w:t xml:space="preserve">potential </w:t>
      </w:r>
      <w:r w:rsidR="00BE488C">
        <w:rPr>
          <w:szCs w:val="22"/>
        </w:rPr>
        <w:t>policy changes</w:t>
      </w:r>
      <w:r w:rsidR="00CF043B">
        <w:rPr>
          <w:szCs w:val="22"/>
        </w:rPr>
        <w:t xml:space="preserve"> </w:t>
      </w:r>
      <w:r>
        <w:rPr>
          <w:szCs w:val="22"/>
        </w:rPr>
        <w:t>to the NALI provisions, where they relate to general expenses.</w:t>
      </w:r>
      <w:r w:rsidR="00AE1C30">
        <w:rPr>
          <w:szCs w:val="22"/>
        </w:rPr>
        <w:t xml:space="preserve"> </w:t>
      </w:r>
      <w:r w:rsidR="006E1719">
        <w:t>The</w:t>
      </w:r>
      <w:r w:rsidR="009D70DC">
        <w:t>se potential changes</w:t>
      </w:r>
      <w:r w:rsidR="006E1719">
        <w:t xml:space="preserve"> are intended to ensure the rules continue to operate in line with their original policy intent </w:t>
      </w:r>
      <w:r w:rsidR="006E1719">
        <w:rPr>
          <w:szCs w:val="22"/>
        </w:rPr>
        <w:t xml:space="preserve">and provide a greater level of certainty to trustees ahead of the expiry of the transitional compliance approach (PCG 2020/5) on 30 June 2023. </w:t>
      </w:r>
    </w:p>
    <w:p w14:paraId="0B8ED433" w14:textId="3BD27411" w:rsidR="0036703A" w:rsidRPr="0036703A" w:rsidRDefault="003D6F7E" w:rsidP="0036703A">
      <w:pPr>
        <w:pStyle w:val="Bullet"/>
        <w:numPr>
          <w:ilvl w:val="0"/>
          <w:numId w:val="0"/>
        </w:numPr>
        <w:rPr>
          <w:szCs w:val="22"/>
        </w:rPr>
      </w:pPr>
      <w:r>
        <w:rPr>
          <w:szCs w:val="22"/>
        </w:rPr>
        <w:t xml:space="preserve">These potential amendments would be </w:t>
      </w:r>
      <w:r w:rsidR="00AE1C30">
        <w:rPr>
          <w:szCs w:val="22"/>
        </w:rPr>
        <w:t xml:space="preserve">intended to </w:t>
      </w:r>
      <w:r w:rsidR="001336CE">
        <w:rPr>
          <w:szCs w:val="22"/>
        </w:rPr>
        <w:t xml:space="preserve">apply to </w:t>
      </w:r>
      <w:r w:rsidR="00AE1C30">
        <w:rPr>
          <w:szCs w:val="22"/>
        </w:rPr>
        <w:t>general expenses</w:t>
      </w:r>
      <w:r w:rsidR="00943154">
        <w:rPr>
          <w:szCs w:val="22"/>
        </w:rPr>
        <w:t xml:space="preserve"> which have a sufficient nexus to </w:t>
      </w:r>
      <w:r w:rsidR="00943154" w:rsidRPr="00AC0F30">
        <w:rPr>
          <w:i/>
          <w:szCs w:val="22"/>
        </w:rPr>
        <w:t>all</w:t>
      </w:r>
      <w:r w:rsidR="00943154">
        <w:rPr>
          <w:szCs w:val="22"/>
        </w:rPr>
        <w:t xml:space="preserve"> ordinary and statutory income derived by the fund</w:t>
      </w:r>
      <w:r w:rsidR="00AE1C30">
        <w:t xml:space="preserve">. </w:t>
      </w:r>
      <w:r w:rsidR="00BA03A9">
        <w:rPr>
          <w:szCs w:val="22"/>
        </w:rPr>
        <w:t>P</w:t>
      </w:r>
      <w:r w:rsidR="007E411B">
        <w:rPr>
          <w:szCs w:val="22"/>
        </w:rPr>
        <w:t>otential</w:t>
      </w:r>
      <w:r w:rsidR="0036703A" w:rsidRPr="0036703A">
        <w:rPr>
          <w:szCs w:val="22"/>
        </w:rPr>
        <w:t xml:space="preserve"> amendments to the </w:t>
      </w:r>
      <w:r w:rsidR="00DC2B80">
        <w:rPr>
          <w:szCs w:val="22"/>
        </w:rPr>
        <w:t>NALI</w:t>
      </w:r>
      <w:r w:rsidR="0036703A" w:rsidRPr="0036703A">
        <w:rPr>
          <w:szCs w:val="22"/>
        </w:rPr>
        <w:t xml:space="preserve"> provisions for superannuation funds </w:t>
      </w:r>
      <w:r w:rsidR="007E411B">
        <w:rPr>
          <w:szCs w:val="22"/>
        </w:rPr>
        <w:t xml:space="preserve">could be adopted </w:t>
      </w:r>
      <w:r w:rsidR="00F15929">
        <w:rPr>
          <w:szCs w:val="22"/>
        </w:rPr>
        <w:t>as follows</w:t>
      </w:r>
      <w:r w:rsidR="0036703A" w:rsidRPr="0036703A">
        <w:rPr>
          <w:szCs w:val="22"/>
        </w:rPr>
        <w:t>:</w:t>
      </w:r>
    </w:p>
    <w:p w14:paraId="2B15363C" w14:textId="54E7A06D" w:rsidR="00F15929" w:rsidRDefault="008E16A6" w:rsidP="00F15929">
      <w:pPr>
        <w:pStyle w:val="Bullet"/>
      </w:pPr>
      <w:bookmarkStart w:id="14" w:name="_Hlk116286838"/>
      <w:r>
        <w:t xml:space="preserve">SMSFs and SAFs would </w:t>
      </w:r>
      <w:r w:rsidR="00D903D7">
        <w:t xml:space="preserve">be subject to </w:t>
      </w:r>
      <w:r>
        <w:t>a</w:t>
      </w:r>
      <w:r w:rsidR="00F15929" w:rsidRPr="0036703A">
        <w:t xml:space="preserve"> factor-based approach </w:t>
      </w:r>
      <w:r w:rsidR="000910F5">
        <w:t>which would</w:t>
      </w:r>
      <w:r w:rsidR="00F15929" w:rsidRPr="0036703A">
        <w:t xml:space="preserve"> </w:t>
      </w:r>
      <w:r w:rsidR="00F15929">
        <w:t xml:space="preserve">set an upper limit on the amount of </w:t>
      </w:r>
      <w:r>
        <w:t xml:space="preserve">fund </w:t>
      </w:r>
      <w:r w:rsidR="00F15929">
        <w:t>income taxable as NALI due to a general expenses breach.</w:t>
      </w:r>
      <w:r w:rsidR="00DC2B80">
        <w:t xml:space="preserve"> The maximum amount of fund income taxable a</w:t>
      </w:r>
      <w:r w:rsidR="00950718">
        <w:t>t the highest marginal rate</w:t>
      </w:r>
      <w:r w:rsidR="009D2469">
        <w:t xml:space="preserve"> </w:t>
      </w:r>
      <w:r w:rsidR="00DC2B80">
        <w:t xml:space="preserve">would be </w:t>
      </w:r>
      <w:r w:rsidR="00820694">
        <w:t>5</w:t>
      </w:r>
      <w:r w:rsidR="00DC2B80">
        <w:t xml:space="preserve"> times the level of the general expenditure breach</w:t>
      </w:r>
      <w:r w:rsidR="0083322F">
        <w:t>, calculated as the difference between the amount that would have been charged as an arm’s length expense and the amount that was actually charged to the fund</w:t>
      </w:r>
      <w:r w:rsidR="009D2469">
        <w:t>.</w:t>
      </w:r>
      <w:r w:rsidR="00E635F7">
        <w:t xml:space="preserve"> </w:t>
      </w:r>
      <w:r w:rsidR="009D2469">
        <w:t>W</w:t>
      </w:r>
      <w:r w:rsidR="002F52B7">
        <w:t xml:space="preserve">here </w:t>
      </w:r>
      <w:r w:rsidR="0086306B">
        <w:t xml:space="preserve">the product of </w:t>
      </w:r>
      <w:r w:rsidR="00820694">
        <w:t>5</w:t>
      </w:r>
      <w:r w:rsidR="002F52B7">
        <w:t xml:space="preserve"> times the breach is greater than </w:t>
      </w:r>
      <w:r w:rsidR="009D2469">
        <w:t>all fund</w:t>
      </w:r>
      <w:r w:rsidR="002F52B7">
        <w:t xml:space="preserve"> income</w:t>
      </w:r>
      <w:r w:rsidR="009D2469">
        <w:t>,</w:t>
      </w:r>
      <w:r w:rsidR="002F52B7">
        <w:t xml:space="preserve"> </w:t>
      </w:r>
      <w:r w:rsidR="009D2469">
        <w:t xml:space="preserve">all fund income </w:t>
      </w:r>
      <w:r w:rsidR="002F52B7">
        <w:t>will be taxed at the highest marginal rate</w:t>
      </w:r>
      <w:r w:rsidR="00DC2B80">
        <w:t>.</w:t>
      </w:r>
    </w:p>
    <w:p w14:paraId="344B4636" w14:textId="0B42C72A" w:rsidR="00F15929" w:rsidRDefault="00F15929" w:rsidP="00F15929">
      <w:pPr>
        <w:pStyle w:val="Bullet"/>
      </w:pPr>
      <w:bookmarkStart w:id="15" w:name="_Hlk116286661"/>
      <w:bookmarkEnd w:id="14"/>
      <w:r>
        <w:t>Large APRA</w:t>
      </w:r>
      <w:r w:rsidR="008158BD">
        <w:t>-</w:t>
      </w:r>
      <w:r>
        <w:t xml:space="preserve">regulated funds would be exempted from </w:t>
      </w:r>
      <w:r w:rsidR="0083322F">
        <w:t xml:space="preserve">the </w:t>
      </w:r>
      <w:r>
        <w:t xml:space="preserve">NALI provisions </w:t>
      </w:r>
      <w:r w:rsidR="00894E29">
        <w:t>for</w:t>
      </w:r>
      <w:r>
        <w:t xml:space="preserve"> general expenses.</w:t>
      </w:r>
      <w:bookmarkEnd w:id="15"/>
    </w:p>
    <w:p w14:paraId="1CD00CDA" w14:textId="3FF07C82" w:rsidR="003D6F7E" w:rsidRDefault="00F57430" w:rsidP="00B117AA">
      <w:pPr>
        <w:pStyle w:val="Bullet"/>
        <w:numPr>
          <w:ilvl w:val="0"/>
          <w:numId w:val="0"/>
        </w:numPr>
        <w:rPr>
          <w:szCs w:val="22"/>
        </w:rPr>
      </w:pPr>
      <w:r>
        <w:rPr>
          <w:szCs w:val="22"/>
        </w:rPr>
        <w:t>Under th</w:t>
      </w:r>
      <w:r w:rsidR="00CF2D58">
        <w:rPr>
          <w:szCs w:val="22"/>
        </w:rPr>
        <w:t>is</w:t>
      </w:r>
      <w:r>
        <w:rPr>
          <w:szCs w:val="22"/>
        </w:rPr>
        <w:t xml:space="preserve"> potential approach</w:t>
      </w:r>
      <w:r w:rsidR="000609E2">
        <w:rPr>
          <w:szCs w:val="22"/>
        </w:rPr>
        <w:t>,</w:t>
      </w:r>
      <w:r>
        <w:rPr>
          <w:szCs w:val="22"/>
        </w:rPr>
        <w:t xml:space="preserve"> the functioning of NALI provisions would</w:t>
      </w:r>
      <w:r w:rsidR="009D2469">
        <w:rPr>
          <w:szCs w:val="22"/>
        </w:rPr>
        <w:t xml:space="preserve"> only </w:t>
      </w:r>
      <w:r>
        <w:rPr>
          <w:szCs w:val="22"/>
        </w:rPr>
        <w:t>change for</w:t>
      </w:r>
      <w:r w:rsidR="002F52B7">
        <w:rPr>
          <w:szCs w:val="22"/>
        </w:rPr>
        <w:t xml:space="preserve"> </w:t>
      </w:r>
      <w:r w:rsidR="009D2469">
        <w:rPr>
          <w:szCs w:val="22"/>
        </w:rPr>
        <w:t xml:space="preserve">breaches due to schemes involving </w:t>
      </w:r>
      <w:r w:rsidR="002F52B7">
        <w:rPr>
          <w:szCs w:val="22"/>
        </w:rPr>
        <w:t>expenses of a general nature</w:t>
      </w:r>
      <w:r w:rsidR="00A71F11">
        <w:rPr>
          <w:szCs w:val="22"/>
        </w:rPr>
        <w:t>.</w:t>
      </w:r>
      <w:r w:rsidR="00601DC9">
        <w:rPr>
          <w:szCs w:val="22"/>
        </w:rPr>
        <w:t xml:space="preserve"> </w:t>
      </w:r>
      <w:r w:rsidR="002F3D29">
        <w:rPr>
          <w:szCs w:val="22"/>
        </w:rPr>
        <w:t xml:space="preserve">This </w:t>
      </w:r>
      <w:r w:rsidR="00A71F11">
        <w:rPr>
          <w:szCs w:val="22"/>
        </w:rPr>
        <w:t xml:space="preserve">would </w:t>
      </w:r>
      <w:r>
        <w:rPr>
          <w:szCs w:val="22"/>
        </w:rPr>
        <w:t xml:space="preserve">be intended to </w:t>
      </w:r>
      <w:r w:rsidR="00A71F11">
        <w:rPr>
          <w:szCs w:val="22"/>
        </w:rPr>
        <w:t>mitigate</w:t>
      </w:r>
      <w:r w:rsidR="00601DC9">
        <w:rPr>
          <w:szCs w:val="22"/>
        </w:rPr>
        <w:t xml:space="preserve"> the ‘tainting effect’ </w:t>
      </w:r>
      <w:r w:rsidR="00A71F11">
        <w:rPr>
          <w:szCs w:val="22"/>
        </w:rPr>
        <w:t>highlighted by</w:t>
      </w:r>
      <w:r w:rsidR="00601DC9">
        <w:rPr>
          <w:szCs w:val="22"/>
        </w:rPr>
        <w:t xml:space="preserve"> industry stakeholders, where all income of the fund is potentially subject to the top marginal tax rate due to a relatively minor breach of the rules</w:t>
      </w:r>
      <w:r w:rsidR="00CA2FDF">
        <w:rPr>
          <w:szCs w:val="22"/>
        </w:rPr>
        <w:t xml:space="preserve"> due to a general expense</w:t>
      </w:r>
      <w:r w:rsidR="0000292B">
        <w:rPr>
          <w:szCs w:val="22"/>
        </w:rPr>
        <w:t xml:space="preserve">. </w:t>
      </w:r>
    </w:p>
    <w:p w14:paraId="5FE4B2DF" w14:textId="60AD379D" w:rsidR="000E0B74" w:rsidRDefault="00E60465" w:rsidP="00B117AA">
      <w:pPr>
        <w:pStyle w:val="Bullet"/>
        <w:numPr>
          <w:ilvl w:val="0"/>
          <w:numId w:val="0"/>
        </w:numPr>
      </w:pPr>
      <w:r>
        <w:rPr>
          <w:szCs w:val="22"/>
        </w:rPr>
        <w:t>For all funds, w</w:t>
      </w:r>
      <w:r w:rsidR="002F52B7">
        <w:rPr>
          <w:szCs w:val="22"/>
        </w:rPr>
        <w:t xml:space="preserve">here </w:t>
      </w:r>
      <w:r w:rsidR="0086306B">
        <w:rPr>
          <w:szCs w:val="22"/>
        </w:rPr>
        <w:t xml:space="preserve">a NALE </w:t>
      </w:r>
      <w:r w:rsidR="008861F7">
        <w:rPr>
          <w:szCs w:val="22"/>
        </w:rPr>
        <w:t>is related</w:t>
      </w:r>
      <w:r w:rsidR="0086306B">
        <w:rPr>
          <w:szCs w:val="22"/>
        </w:rPr>
        <w:t xml:space="preserve"> t</w:t>
      </w:r>
      <w:r w:rsidR="0086306B">
        <w:t>o a specific asset,</w:t>
      </w:r>
      <w:r w:rsidR="00CA2FDF">
        <w:t xml:space="preserve"> the </w:t>
      </w:r>
      <w:r w:rsidR="00943154">
        <w:t xml:space="preserve">current </w:t>
      </w:r>
      <w:r w:rsidR="0083322F">
        <w:t xml:space="preserve">NALI </w:t>
      </w:r>
      <w:r w:rsidR="00943154">
        <w:t xml:space="preserve">rules </w:t>
      </w:r>
      <w:r w:rsidR="009A179B">
        <w:t xml:space="preserve">would </w:t>
      </w:r>
      <w:r w:rsidR="00943154">
        <w:t>continue to apply</w:t>
      </w:r>
      <w:r w:rsidR="002F3D29">
        <w:t xml:space="preserve">, </w:t>
      </w:r>
      <w:r w:rsidR="00943154">
        <w:t>such that</w:t>
      </w:r>
      <w:r w:rsidR="0086306B">
        <w:t xml:space="preserve"> all the income of that asset will be</w:t>
      </w:r>
      <w:r w:rsidR="00943154">
        <w:t xml:space="preserve"> NALI</w:t>
      </w:r>
      <w:r w:rsidR="007F5906">
        <w:t xml:space="preserve"> and</w:t>
      </w:r>
      <w:r w:rsidR="0086306B">
        <w:t xml:space="preserve"> subject to the highest marginal tax rate. </w:t>
      </w:r>
      <w:r w:rsidR="008861F7">
        <w:t xml:space="preserve">This is </w:t>
      </w:r>
      <w:r w:rsidR="005905AE">
        <w:t xml:space="preserve">in </w:t>
      </w:r>
      <w:r w:rsidR="008861F7">
        <w:t xml:space="preserve">line with the original intent of the NALI </w:t>
      </w:r>
      <w:r w:rsidR="00BE488C">
        <w:t>provisions to disincentivise non-arm’s length transactions that artificially inflate the earning</w:t>
      </w:r>
      <w:r w:rsidR="00CA2FDF">
        <w:t>s of the fund</w:t>
      </w:r>
      <w:r w:rsidR="00BE488C">
        <w:t xml:space="preserve">. </w:t>
      </w:r>
      <w:r w:rsidR="008861F7">
        <w:t xml:space="preserve"> </w:t>
      </w:r>
    </w:p>
    <w:p w14:paraId="1E98A9A7" w14:textId="77777777" w:rsidR="00433CE9" w:rsidRDefault="00433CE9" w:rsidP="00B117AA">
      <w:pPr>
        <w:pStyle w:val="Bullet"/>
        <w:numPr>
          <w:ilvl w:val="0"/>
          <w:numId w:val="0"/>
        </w:numPr>
      </w:pPr>
    </w:p>
    <w:tbl>
      <w:tblPr>
        <w:tblW w:w="5000" w:type="pct"/>
        <w:shd w:val="clear" w:color="auto" w:fill="F2F9FC"/>
        <w:tblCellMar>
          <w:top w:w="227" w:type="dxa"/>
          <w:left w:w="227" w:type="dxa"/>
          <w:bottom w:w="227" w:type="dxa"/>
          <w:right w:w="227" w:type="dxa"/>
        </w:tblCellMar>
        <w:tblLook w:val="01E0" w:firstRow="1" w:lastRow="1" w:firstColumn="1" w:lastColumn="1" w:noHBand="0" w:noVBand="0"/>
      </w:tblPr>
      <w:tblGrid>
        <w:gridCol w:w="9070"/>
      </w:tblGrid>
      <w:tr w:rsidR="00962223" w14:paraId="09F9D895" w14:textId="77777777" w:rsidTr="00E075C5">
        <w:tc>
          <w:tcPr>
            <w:tcW w:w="5000" w:type="pct"/>
            <w:shd w:val="clear" w:color="auto" w:fill="F2F9FC"/>
            <w:hideMark/>
          </w:tcPr>
          <w:p w14:paraId="63952CF7" w14:textId="604159AF" w:rsidR="00962223" w:rsidRDefault="00962223" w:rsidP="00620398">
            <w:pPr>
              <w:pStyle w:val="BoxHeading"/>
              <w:spacing w:line="276" w:lineRule="auto"/>
              <w:rPr>
                <w:szCs w:val="28"/>
                <w:lang w:eastAsia="en-US"/>
              </w:rPr>
            </w:pPr>
            <w:r>
              <w:rPr>
                <w:szCs w:val="28"/>
                <w:lang w:eastAsia="en-US"/>
              </w:rPr>
              <w:t>Consultation questions</w:t>
            </w:r>
          </w:p>
          <w:p w14:paraId="7485820A" w14:textId="5058A5B9" w:rsidR="00962223" w:rsidRDefault="00962223" w:rsidP="00620398">
            <w:pPr>
              <w:pStyle w:val="OutlineNumbered1"/>
              <w:numPr>
                <w:ilvl w:val="0"/>
                <w:numId w:val="0"/>
              </w:numPr>
              <w:spacing w:line="276" w:lineRule="auto"/>
              <w:ind w:left="851" w:hanging="851"/>
              <w:rPr>
                <w:lang w:eastAsia="en-US"/>
              </w:rPr>
            </w:pPr>
            <w:r w:rsidRPr="004F1795">
              <w:rPr>
                <w:lang w:eastAsia="en-US"/>
              </w:rPr>
              <w:t>We invite feedback on the following question:</w:t>
            </w:r>
          </w:p>
          <w:p w14:paraId="6CEAE255" w14:textId="703B5966" w:rsidR="00962223" w:rsidRDefault="006E1719" w:rsidP="00620398">
            <w:pPr>
              <w:pStyle w:val="OutlineNumbered1"/>
              <w:spacing w:line="276" w:lineRule="auto"/>
              <w:rPr>
                <w:lang w:eastAsia="en-US"/>
              </w:rPr>
            </w:pPr>
            <w:r>
              <w:rPr>
                <w:lang w:eastAsia="en-US"/>
              </w:rPr>
              <w:t xml:space="preserve">Are there </w:t>
            </w:r>
            <w:r w:rsidR="00962223">
              <w:rPr>
                <w:lang w:eastAsia="en-US"/>
              </w:rPr>
              <w:t>any potential unintended adverse consequences f</w:t>
            </w:r>
            <w:r w:rsidR="00826EE3">
              <w:rPr>
                <w:lang w:eastAsia="en-US"/>
              </w:rPr>
              <w:t>or superannuation funds, their members and other stakeholders from</w:t>
            </w:r>
            <w:r w:rsidR="00962223">
              <w:rPr>
                <w:lang w:eastAsia="en-US"/>
              </w:rPr>
              <w:t xml:space="preserve"> adopting a</w:t>
            </w:r>
            <w:r w:rsidR="00887F38">
              <w:rPr>
                <w:lang w:eastAsia="en-US"/>
              </w:rPr>
              <w:t xml:space="preserve"> </w:t>
            </w:r>
            <w:r w:rsidR="00887F38" w:rsidRPr="00887F38">
              <w:rPr>
                <w:lang w:eastAsia="en-US"/>
              </w:rPr>
              <w:t>sector-specific approach</w:t>
            </w:r>
            <w:r w:rsidR="00962223">
              <w:rPr>
                <w:lang w:eastAsia="en-US"/>
              </w:rPr>
              <w:t xml:space="preserve"> to the NALI provisions</w:t>
            </w:r>
            <w:r w:rsidR="00887F38">
              <w:rPr>
                <w:lang w:eastAsia="en-US"/>
              </w:rPr>
              <w:t xml:space="preserve"> related to general expenses which</w:t>
            </w:r>
            <w:r w:rsidR="00962223">
              <w:rPr>
                <w:lang w:eastAsia="en-US"/>
              </w:rPr>
              <w:t xml:space="preserve"> </w:t>
            </w:r>
            <w:r w:rsidR="00887F38">
              <w:rPr>
                <w:lang w:eastAsia="en-US"/>
              </w:rPr>
              <w:t>applies different treatment</w:t>
            </w:r>
            <w:r w:rsidR="00962223">
              <w:rPr>
                <w:lang w:eastAsia="en-US"/>
              </w:rPr>
              <w:t xml:space="preserve"> </w:t>
            </w:r>
            <w:r w:rsidR="00826EE3">
              <w:rPr>
                <w:lang w:eastAsia="en-US"/>
              </w:rPr>
              <w:t>to</w:t>
            </w:r>
            <w:r w:rsidR="00962223">
              <w:rPr>
                <w:lang w:eastAsia="en-US"/>
              </w:rPr>
              <w:t xml:space="preserve"> large APRA-regulated funds</w:t>
            </w:r>
            <w:r w:rsidR="00433CE9">
              <w:rPr>
                <w:lang w:eastAsia="en-US"/>
              </w:rPr>
              <w:t xml:space="preserve"> and</w:t>
            </w:r>
            <w:r w:rsidR="00962223">
              <w:rPr>
                <w:lang w:eastAsia="en-US"/>
              </w:rPr>
              <w:t xml:space="preserve"> SMSFs and SAFs?</w:t>
            </w:r>
          </w:p>
        </w:tc>
      </w:tr>
    </w:tbl>
    <w:p w14:paraId="50F68FCA" w14:textId="77777777" w:rsidR="00962223" w:rsidRDefault="00962223" w:rsidP="006016A6"/>
    <w:p w14:paraId="22341D21" w14:textId="77777777" w:rsidR="00962223" w:rsidRDefault="00962223" w:rsidP="00277300"/>
    <w:p w14:paraId="2973AAD2" w14:textId="5F548400" w:rsidR="0052518C" w:rsidRDefault="0052518C" w:rsidP="0052518C">
      <w:pPr>
        <w:pStyle w:val="Heading3"/>
      </w:pPr>
      <w:bookmarkStart w:id="16" w:name="_Toc116906742"/>
      <w:r>
        <w:lastRenderedPageBreak/>
        <w:t xml:space="preserve">Self-managed superannuation funds </w:t>
      </w:r>
      <w:r w:rsidR="00E60465">
        <w:t>and</w:t>
      </w:r>
      <w:r>
        <w:t xml:space="preserve"> small APRA-regulated funds</w:t>
      </w:r>
      <w:bookmarkEnd w:id="16"/>
    </w:p>
    <w:p w14:paraId="4F631B72" w14:textId="0A7C3BAA" w:rsidR="0052518C" w:rsidRDefault="00B97CDF" w:rsidP="00DD1722">
      <w:pPr>
        <w:pStyle w:val="Dash"/>
        <w:numPr>
          <w:ilvl w:val="0"/>
          <w:numId w:val="0"/>
        </w:numPr>
        <w:spacing w:after="200" w:line="276" w:lineRule="auto"/>
      </w:pPr>
      <w:r>
        <w:rPr>
          <w:szCs w:val="22"/>
        </w:rPr>
        <w:t>Under the potential amendments</w:t>
      </w:r>
      <w:r w:rsidR="002C5D94">
        <w:rPr>
          <w:szCs w:val="22"/>
        </w:rPr>
        <w:t xml:space="preserve"> outlined above</w:t>
      </w:r>
      <w:r>
        <w:rPr>
          <w:szCs w:val="22"/>
        </w:rPr>
        <w:t>, w</w:t>
      </w:r>
      <w:r w:rsidR="006B2841">
        <w:rPr>
          <w:szCs w:val="22"/>
        </w:rPr>
        <w:t xml:space="preserve">here </w:t>
      </w:r>
      <w:r w:rsidR="0052518C">
        <w:rPr>
          <w:szCs w:val="22"/>
        </w:rPr>
        <w:t xml:space="preserve">SMSFs </w:t>
      </w:r>
      <w:r w:rsidR="00BE5185">
        <w:rPr>
          <w:szCs w:val="22"/>
        </w:rPr>
        <w:t xml:space="preserve">and </w:t>
      </w:r>
      <w:r w:rsidR="00BE5185" w:rsidRPr="00114960">
        <w:t>SAFs</w:t>
      </w:r>
      <w:r w:rsidR="00BE5185">
        <w:t xml:space="preserve"> </w:t>
      </w:r>
      <w:r w:rsidR="006B2841">
        <w:rPr>
          <w:szCs w:val="22"/>
        </w:rPr>
        <w:t xml:space="preserve">have breached the NALI provisions for general expenses </w:t>
      </w:r>
      <w:r w:rsidR="006B2841" w:rsidRPr="006B2841">
        <w:rPr>
          <w:szCs w:val="22"/>
        </w:rPr>
        <w:t>that are linked to all fund income</w:t>
      </w:r>
      <w:r w:rsidR="006B2841">
        <w:rPr>
          <w:szCs w:val="22"/>
        </w:rPr>
        <w:t>,</w:t>
      </w:r>
      <w:r w:rsidR="0052518C">
        <w:rPr>
          <w:szCs w:val="22"/>
        </w:rPr>
        <w:t xml:space="preserve"> the amount of fund income treated as NAL</w:t>
      </w:r>
      <w:r w:rsidR="006B2841">
        <w:rPr>
          <w:szCs w:val="22"/>
        </w:rPr>
        <w:t>I</w:t>
      </w:r>
      <w:r w:rsidR="0052518C">
        <w:rPr>
          <w:szCs w:val="22"/>
        </w:rPr>
        <w:t xml:space="preserve"> </w:t>
      </w:r>
      <w:r w:rsidR="00D93A71">
        <w:rPr>
          <w:szCs w:val="22"/>
        </w:rPr>
        <w:t xml:space="preserve">in relation to that breach </w:t>
      </w:r>
      <w:r w:rsidR="006B2841">
        <w:rPr>
          <w:szCs w:val="22"/>
        </w:rPr>
        <w:t xml:space="preserve">would be subject to an upper </w:t>
      </w:r>
      <w:r w:rsidR="0052518C">
        <w:rPr>
          <w:szCs w:val="22"/>
        </w:rPr>
        <w:t>limit</w:t>
      </w:r>
      <w:r w:rsidR="006B2841">
        <w:rPr>
          <w:szCs w:val="22"/>
        </w:rPr>
        <w:t>.</w:t>
      </w:r>
      <w:r w:rsidR="00BE5185">
        <w:rPr>
          <w:szCs w:val="22"/>
        </w:rPr>
        <w:t xml:space="preserve"> </w:t>
      </w:r>
    </w:p>
    <w:p w14:paraId="566E0ABF" w14:textId="5BABEFDD" w:rsidR="00BF7155" w:rsidRDefault="0052518C" w:rsidP="005D5309">
      <w:pPr>
        <w:pStyle w:val="OutlineNumbered1"/>
        <w:numPr>
          <w:ilvl w:val="0"/>
          <w:numId w:val="0"/>
        </w:numPr>
        <w:spacing w:line="276" w:lineRule="auto"/>
      </w:pPr>
      <w:r>
        <w:t xml:space="preserve">The maximum amount of fund income which would be assessable as NALI </w:t>
      </w:r>
      <w:r w:rsidR="00D93A71">
        <w:t xml:space="preserve">in relation to a particular general expenses breach </w:t>
      </w:r>
      <w:r>
        <w:t xml:space="preserve">would be calculated by applying a factor of </w:t>
      </w:r>
      <w:r w:rsidR="00820694">
        <w:t>5</w:t>
      </w:r>
      <w:r>
        <w:t xml:space="preserve"> to the difference between the amount that would have been charged as an arm’s length expense and the amount </w:t>
      </w:r>
      <w:r w:rsidR="00A13AF6">
        <w:t xml:space="preserve">that was actually </w:t>
      </w:r>
      <w:r>
        <w:t>charged</w:t>
      </w:r>
      <w:r w:rsidR="00B83949">
        <w:t xml:space="preserve"> to the fund</w:t>
      </w:r>
      <w:r>
        <w:t xml:space="preserve">. </w:t>
      </w:r>
      <w:r w:rsidR="004A63AB">
        <w:t>This would</w:t>
      </w:r>
      <w:r w:rsidR="00E460D9">
        <w:t xml:space="preserve"> </w:t>
      </w:r>
      <w:r w:rsidR="0072648F">
        <w:t xml:space="preserve">partially </w:t>
      </w:r>
      <w:r w:rsidR="0000292B">
        <w:t>break the</w:t>
      </w:r>
      <w:r w:rsidR="004A63AB">
        <w:t xml:space="preserve"> link between the general expenses breach</w:t>
      </w:r>
      <w:r w:rsidR="0000292B">
        <w:t>,</w:t>
      </w:r>
      <w:r w:rsidR="004A63AB">
        <w:t xml:space="preserve"> and </w:t>
      </w:r>
      <w:r w:rsidR="0000292B">
        <w:t>the income of the fund as a whole for the purposes of NALI</w:t>
      </w:r>
      <w:r w:rsidR="004A63AB">
        <w:t xml:space="preserve">. </w:t>
      </w:r>
    </w:p>
    <w:p w14:paraId="1CFC2036" w14:textId="24CF4578" w:rsidR="00BF7155" w:rsidRDefault="00E460D9" w:rsidP="00BF7155">
      <w:pPr>
        <w:pStyle w:val="Dash"/>
        <w:numPr>
          <w:ilvl w:val="0"/>
          <w:numId w:val="0"/>
        </w:numPr>
        <w:spacing w:after="200" w:line="276" w:lineRule="auto"/>
      </w:pPr>
      <w:r>
        <w:t>A</w:t>
      </w:r>
      <w:r w:rsidR="00BF7155">
        <w:t xml:space="preserve">t the current highest marginal tax rate of 45 per cent, a maximum effective tax rate of 225 per cent (5 multiplied by 45 per cent) would be applied to the </w:t>
      </w:r>
      <w:r w:rsidR="00D265EA">
        <w:t>general expenditure breach</w:t>
      </w:r>
      <w:r w:rsidR="00BF7155">
        <w:t xml:space="preserve">. </w:t>
      </w:r>
    </w:p>
    <w:p w14:paraId="7FE118B7" w14:textId="573494DC" w:rsidR="00235BB7" w:rsidRDefault="00D265EA" w:rsidP="00535206">
      <w:pPr>
        <w:pStyle w:val="Dash"/>
        <w:numPr>
          <w:ilvl w:val="0"/>
          <w:numId w:val="0"/>
        </w:numPr>
        <w:spacing w:after="200" w:line="276" w:lineRule="auto"/>
      </w:pPr>
      <w:r>
        <w:t>It is expected that</w:t>
      </w:r>
      <w:r w:rsidR="00235D65">
        <w:t xml:space="preserve"> </w:t>
      </w:r>
      <w:r w:rsidR="00FA5A81">
        <w:t>trustees</w:t>
      </w:r>
      <w:r w:rsidR="0083322F">
        <w:t xml:space="preserve"> </w:t>
      </w:r>
      <w:r>
        <w:t>would</w:t>
      </w:r>
      <w:r w:rsidR="0083322F" w:rsidRPr="0083322F">
        <w:t xml:space="preserve"> determine an arm’s length</w:t>
      </w:r>
      <w:r w:rsidR="0083322F">
        <w:t xml:space="preserve"> price</w:t>
      </w:r>
      <w:r w:rsidR="00C66469">
        <w:t xml:space="preserve"> when applying this calculation method</w:t>
      </w:r>
      <w:r w:rsidR="0083322F">
        <w:t xml:space="preserve">. </w:t>
      </w:r>
      <w:r w:rsidR="00235BB7">
        <w:t>Where a breach has been identified, the ATO may request information from a fund to support the suitability of the identified arm’s length price.</w:t>
      </w:r>
      <w:r w:rsidR="00535206" w:rsidRPr="00535206">
        <w:t xml:space="preserve"> </w:t>
      </w:r>
      <w:r w:rsidR="00535206">
        <w:t xml:space="preserve">Consistent with </w:t>
      </w:r>
      <w:r w:rsidR="008A6735">
        <w:t>the</w:t>
      </w:r>
      <w:r w:rsidR="00CE0DB3">
        <w:t xml:space="preserve"> current </w:t>
      </w:r>
      <w:r w:rsidR="00CE0DB3" w:rsidRPr="00AC0F30">
        <w:t>approach to valuations</w:t>
      </w:r>
      <w:r w:rsidR="00535206">
        <w:t>, a valuation</w:t>
      </w:r>
      <w:r w:rsidR="00535206" w:rsidRPr="0083322F">
        <w:t xml:space="preserve"> </w:t>
      </w:r>
      <w:r>
        <w:t>would need to be</w:t>
      </w:r>
      <w:r w:rsidR="00535206" w:rsidRPr="0083322F">
        <w:t xml:space="preserve"> based on objective and supportable data</w:t>
      </w:r>
      <w:r w:rsidR="00CE0DB3">
        <w:t xml:space="preserve"> (see the </w:t>
      </w:r>
      <w:hyperlink r:id="rId23" w:anchor="Our_approach_to_valuations" w:history="1">
        <w:r w:rsidR="00CE0DB3" w:rsidRPr="00CE0DB3">
          <w:rPr>
            <w:rStyle w:val="Hyperlink"/>
          </w:rPr>
          <w:t>ATO website</w:t>
        </w:r>
      </w:hyperlink>
      <w:r w:rsidR="00CE0DB3">
        <w:t xml:space="preserve"> for further information)</w:t>
      </w:r>
      <w:r w:rsidR="00C66469">
        <w:t xml:space="preserve">. </w:t>
      </w:r>
    </w:p>
    <w:p w14:paraId="79BE67CD" w14:textId="0127F73F" w:rsidR="00F70DC2" w:rsidRDefault="00BF7155" w:rsidP="005D5309">
      <w:pPr>
        <w:pStyle w:val="OutlineNumbered1"/>
        <w:numPr>
          <w:ilvl w:val="0"/>
          <w:numId w:val="0"/>
        </w:numPr>
        <w:spacing w:line="276" w:lineRule="auto"/>
      </w:pPr>
      <w:r>
        <w:t xml:space="preserve">These </w:t>
      </w:r>
      <w:r w:rsidR="002C5D94">
        <w:t xml:space="preserve">potential </w:t>
      </w:r>
      <w:r>
        <w:t xml:space="preserve">amendments </w:t>
      </w:r>
      <w:r w:rsidR="002C5D94">
        <w:t xml:space="preserve">would be intended to </w:t>
      </w:r>
      <w:r>
        <w:t xml:space="preserve">maintain the disincentive for SMSFs and SAFs to use non-arm’s length arrangements to circumvent the superannuation contribution caps through related party dealings, as funds would be </w:t>
      </w:r>
      <w:r w:rsidR="008F7D41">
        <w:t xml:space="preserve">demonstrably </w:t>
      </w:r>
      <w:r>
        <w:t>better off in complying with the NAL</w:t>
      </w:r>
      <w:r w:rsidR="00F56041">
        <w:t>I</w:t>
      </w:r>
      <w:r>
        <w:t xml:space="preserve"> rules (see Example 1A). </w:t>
      </w:r>
      <w:r w:rsidR="00502C3C">
        <w:t>The</w:t>
      </w:r>
      <w:r w:rsidR="002C5D94">
        <w:t xml:space="preserve">y would be intended to </w:t>
      </w:r>
      <w:r w:rsidR="00502C3C">
        <w:t>ensure</w:t>
      </w:r>
      <w:r w:rsidR="00235BB7">
        <w:t xml:space="preserve"> any adverse</w:t>
      </w:r>
      <w:r w:rsidR="00502C3C">
        <w:t xml:space="preserve"> tax outcomes for SMSFs and SAFs </w:t>
      </w:r>
      <w:r w:rsidR="00FB14FA">
        <w:t xml:space="preserve">where a </w:t>
      </w:r>
      <w:r w:rsidR="00F56041">
        <w:t xml:space="preserve">general expenses </w:t>
      </w:r>
      <w:r w:rsidR="00FB14FA">
        <w:t xml:space="preserve">breach occurs </w:t>
      </w:r>
      <w:r w:rsidR="00502C3C">
        <w:t>are</w:t>
      </w:r>
      <w:r w:rsidR="0000292B">
        <w:t xml:space="preserve"> broadly</w:t>
      </w:r>
      <w:r w:rsidR="00502C3C">
        <w:t xml:space="preserve"> proportional to the level of artificial benefit created by the breach of the NALI provisions</w:t>
      </w:r>
      <w:r w:rsidR="00FB14FA">
        <w:t xml:space="preserve"> and that the rules continue to disincentivise such behaviour</w:t>
      </w:r>
      <w:r w:rsidR="00DB4135">
        <w:t>.</w:t>
      </w:r>
      <w:r w:rsidR="00502C3C">
        <w:t xml:space="preserve"> </w:t>
      </w:r>
    </w:p>
    <w:p w14:paraId="3F834327" w14:textId="77777777" w:rsidR="0052518C" w:rsidRDefault="00260C17" w:rsidP="00AC0F30">
      <w:pPr>
        <w:pStyle w:val="Dash"/>
        <w:numPr>
          <w:ilvl w:val="0"/>
          <w:numId w:val="0"/>
        </w:numPr>
        <w:spacing w:after="200" w:line="276" w:lineRule="auto"/>
      </w:pPr>
      <w:r>
        <w:t>Retaining a significant</w:t>
      </w:r>
      <w:r w:rsidR="00ED6E7B">
        <w:t>, but still</w:t>
      </w:r>
      <w:r>
        <w:t xml:space="preserve"> proportional</w:t>
      </w:r>
      <w:r w:rsidR="00ED6E7B">
        <w:t>,</w:t>
      </w:r>
      <w:r>
        <w:t xml:space="preserve"> tax penalty</w:t>
      </w:r>
      <w:r w:rsidR="002C5D94">
        <w:t xml:space="preserve"> under this potential approach</w:t>
      </w:r>
      <w:r>
        <w:t xml:space="preserve"> </w:t>
      </w:r>
      <w:r w:rsidR="00B97CDF">
        <w:t xml:space="preserve">would </w:t>
      </w:r>
      <w:r>
        <w:t>address</w:t>
      </w:r>
      <w:r w:rsidR="00502C3C">
        <w:t xml:space="preserve"> tax integrity risks</w:t>
      </w:r>
      <w:r>
        <w:t xml:space="preserve"> for </w:t>
      </w:r>
      <w:r w:rsidR="000939AB">
        <w:t>the</w:t>
      </w:r>
      <w:r>
        <w:t xml:space="preserve"> fund types in which m</w:t>
      </w:r>
      <w:r w:rsidR="00502C3C">
        <w:t xml:space="preserve">embers </w:t>
      </w:r>
      <w:r w:rsidR="00502C3C" w:rsidRPr="00114960">
        <w:t xml:space="preserve">have </w:t>
      </w:r>
      <w:r w:rsidR="00502C3C">
        <w:t>the</w:t>
      </w:r>
      <w:r w:rsidR="00502C3C" w:rsidRPr="00114960">
        <w:t xml:space="preserve"> capacity to control </w:t>
      </w:r>
      <w:r w:rsidR="005905AE">
        <w:t>or</w:t>
      </w:r>
      <w:r w:rsidR="005905AE" w:rsidRPr="00114960">
        <w:t xml:space="preserve"> </w:t>
      </w:r>
      <w:r w:rsidR="00502C3C" w:rsidRPr="00114960">
        <w:t xml:space="preserve">influence the </w:t>
      </w:r>
      <w:r w:rsidR="00502C3C">
        <w:t xml:space="preserve">general </w:t>
      </w:r>
      <w:r w:rsidR="00502C3C" w:rsidRPr="00114960">
        <w:t xml:space="preserve">expense arrangements of the fund in a way which could directly </w:t>
      </w:r>
      <w:r w:rsidR="00ED6E7B">
        <w:t>inflate their</w:t>
      </w:r>
      <w:r w:rsidR="00502C3C" w:rsidRPr="00114960">
        <w:t xml:space="preserve"> superannuation balance</w:t>
      </w:r>
      <w:r w:rsidR="00881074">
        <w:t xml:space="preserve">, </w:t>
      </w:r>
      <w:r w:rsidR="00881074" w:rsidRPr="00114960">
        <w:t xml:space="preserve">including </w:t>
      </w:r>
      <w:r w:rsidR="00881074">
        <w:t xml:space="preserve">though </w:t>
      </w:r>
      <w:r w:rsidR="00881074" w:rsidRPr="00114960">
        <w:t>non-arm’s length arrangements</w:t>
      </w:r>
      <w:r w:rsidR="00502C3C" w:rsidRPr="00114960">
        <w:t>.</w:t>
      </w:r>
      <w:r w:rsidR="00502C3C">
        <w:t xml:space="preserve"> </w:t>
      </w:r>
      <w:r w:rsidR="00021524">
        <w:t xml:space="preserve">While the tax integrity risks for SAFs </w:t>
      </w:r>
      <w:r w:rsidR="008158BD">
        <w:t xml:space="preserve">(which are required to </w:t>
      </w:r>
      <w:r w:rsidR="00F21FD5">
        <w:t>be</w:t>
      </w:r>
      <w:r w:rsidR="008158BD">
        <w:t xml:space="preserve"> overs</w:t>
      </w:r>
      <w:r w:rsidR="00F21FD5">
        <w:t>een</w:t>
      </w:r>
      <w:r w:rsidR="008158BD">
        <w:t xml:space="preserve"> </w:t>
      </w:r>
      <w:r w:rsidR="00F21FD5">
        <w:t>by</w:t>
      </w:r>
      <w:r w:rsidR="008158BD">
        <w:t xml:space="preserve"> APRA licenced trustees) </w:t>
      </w:r>
      <w:r w:rsidR="00021524">
        <w:t>may be less significant than those of SMSFs, applying the amendments consistently between these fund</w:t>
      </w:r>
      <w:r w:rsidR="008158BD">
        <w:t xml:space="preserve"> types</w:t>
      </w:r>
      <w:r w:rsidR="00021524">
        <w:t xml:space="preserve"> is justified </w:t>
      </w:r>
      <w:r w:rsidR="00533CA9">
        <w:t xml:space="preserve">as </w:t>
      </w:r>
      <w:r w:rsidR="00021524">
        <w:t xml:space="preserve">members </w:t>
      </w:r>
      <w:r w:rsidR="00533CA9">
        <w:t>of</w:t>
      </w:r>
      <w:r w:rsidR="00021524">
        <w:t xml:space="preserve"> both SAFs and SMSFs</w:t>
      </w:r>
      <w:r w:rsidR="00533CA9">
        <w:t xml:space="preserve"> may have capacity to influence arrangements for general fund services</w:t>
      </w:r>
      <w:r w:rsidR="00021524">
        <w:t>.</w:t>
      </w:r>
    </w:p>
    <w:tbl>
      <w:tblPr>
        <w:tblW w:w="5000" w:type="pct"/>
        <w:shd w:val="clear" w:color="auto" w:fill="EEEEEE" w:themeFill="background2"/>
        <w:tblCellMar>
          <w:top w:w="227" w:type="dxa"/>
          <w:left w:w="227" w:type="dxa"/>
          <w:bottom w:w="227" w:type="dxa"/>
          <w:right w:w="227" w:type="dxa"/>
        </w:tblCellMar>
        <w:tblLook w:val="04A0" w:firstRow="1" w:lastRow="0" w:firstColumn="1" w:lastColumn="0" w:noHBand="0" w:noVBand="1"/>
      </w:tblPr>
      <w:tblGrid>
        <w:gridCol w:w="9070"/>
      </w:tblGrid>
      <w:tr w:rsidR="00E60D62" w14:paraId="75565156" w14:textId="77777777" w:rsidTr="00AC0F30">
        <w:trPr>
          <w:trHeight w:val="6011"/>
        </w:trPr>
        <w:tc>
          <w:tcPr>
            <w:tcW w:w="5000" w:type="pct"/>
            <w:shd w:val="clear" w:color="auto" w:fill="EEEEEE" w:themeFill="background2"/>
          </w:tcPr>
          <w:p w14:paraId="6B09C5AC" w14:textId="20BB44B1" w:rsidR="00E60D62" w:rsidRPr="000D1284" w:rsidRDefault="00E60D62" w:rsidP="000D1284">
            <w:pPr>
              <w:pStyle w:val="BoxHeading"/>
            </w:pPr>
            <w:r>
              <w:lastRenderedPageBreak/>
              <w:t>Example 1</w:t>
            </w:r>
            <w:r w:rsidR="000050E5">
              <w:t>A</w:t>
            </w:r>
            <w:r>
              <w:t xml:space="preserve">: </w:t>
            </w:r>
            <w:r w:rsidRPr="00E60D62">
              <w:t xml:space="preserve">SMSF </w:t>
            </w:r>
            <w:r w:rsidR="00214D16">
              <w:t xml:space="preserve">using </w:t>
            </w:r>
            <w:r w:rsidR="003F0BE5">
              <w:t>a</w:t>
            </w:r>
            <w:r w:rsidR="00F21FD5">
              <w:t xml:space="preserve">n </w:t>
            </w:r>
            <w:r w:rsidR="003F0BE5">
              <w:t>accountancy service</w:t>
            </w:r>
          </w:p>
          <w:p w14:paraId="533D1652" w14:textId="1291D5BA" w:rsidR="00EA3335" w:rsidRDefault="00E60D62" w:rsidP="00AC0F30">
            <w:pPr>
              <w:pStyle w:val="Bullet"/>
              <w:numPr>
                <w:ilvl w:val="0"/>
                <w:numId w:val="0"/>
              </w:numPr>
              <w:tabs>
                <w:tab w:val="clear" w:pos="720"/>
              </w:tabs>
            </w:pPr>
            <w:r w:rsidRPr="00972D8B">
              <w:t>A</w:t>
            </w:r>
            <w:r>
              <w:t>n</w:t>
            </w:r>
            <w:r w:rsidRPr="00972D8B">
              <w:t xml:space="preserve"> SMSF trustee uses his brother’s accountancy service</w:t>
            </w:r>
            <w:r>
              <w:t>s</w:t>
            </w:r>
            <w:r w:rsidRPr="00972D8B">
              <w:t xml:space="preserve">, which would usually cost $5,000 if </w:t>
            </w:r>
            <w:r>
              <w:t>provided under an</w:t>
            </w:r>
            <w:r w:rsidRPr="00972D8B">
              <w:t xml:space="preserve"> arm’s length </w:t>
            </w:r>
            <w:r>
              <w:t xml:space="preserve">arrangement. As his brother </w:t>
            </w:r>
            <w:r w:rsidRPr="00972D8B">
              <w:t>charge</w:t>
            </w:r>
            <w:r>
              <w:t>s the SMSF</w:t>
            </w:r>
            <w:r w:rsidRPr="00972D8B">
              <w:t xml:space="preserve"> $0</w:t>
            </w:r>
            <w:r>
              <w:t xml:space="preserve"> for these services, this</w:t>
            </w:r>
            <w:r w:rsidRPr="00972D8B">
              <w:t xml:space="preserve"> is a non</w:t>
            </w:r>
            <w:r w:rsidRPr="00972D8B">
              <w:noBreakHyphen/>
              <w:t xml:space="preserve">arm’s length arrangement. </w:t>
            </w:r>
          </w:p>
          <w:p w14:paraId="65210398" w14:textId="041C783B" w:rsidR="00E60D62" w:rsidRDefault="00E60D62" w:rsidP="00AC0F30">
            <w:pPr>
              <w:pStyle w:val="Bullet"/>
              <w:numPr>
                <w:ilvl w:val="0"/>
                <w:numId w:val="0"/>
              </w:numPr>
              <w:tabs>
                <w:tab w:val="clear" w:pos="720"/>
              </w:tabs>
            </w:pPr>
            <w:r w:rsidRPr="00972D8B">
              <w:t>The SMSF</w:t>
            </w:r>
            <w:r>
              <w:t>’s income</w:t>
            </w:r>
            <w:r w:rsidRPr="00972D8B">
              <w:t xml:space="preserve"> </w:t>
            </w:r>
            <w:r>
              <w:t>(after relevant expenses)</w:t>
            </w:r>
            <w:r w:rsidRPr="00972D8B">
              <w:t xml:space="preserve"> in the </w:t>
            </w:r>
            <w:r w:rsidR="00E96F73">
              <w:t xml:space="preserve">2023-24 </w:t>
            </w:r>
            <w:r w:rsidRPr="00972D8B">
              <w:t>financial year</w:t>
            </w:r>
            <w:r>
              <w:t xml:space="preserve"> </w:t>
            </w:r>
            <w:r w:rsidR="00D42794">
              <w:t xml:space="preserve">is </w:t>
            </w:r>
            <w:r>
              <w:t>$100,000</w:t>
            </w:r>
            <w:r w:rsidRPr="00972D8B">
              <w:t xml:space="preserve">. </w:t>
            </w:r>
            <w:r w:rsidR="00056C45">
              <w:t>The applicable rate of tax on this income would have otherwise been 15 per cent.</w:t>
            </w:r>
          </w:p>
          <w:p w14:paraId="3E93D3EE" w14:textId="2001824A" w:rsidR="00E60D62" w:rsidRDefault="00E60D62" w:rsidP="00AC0F30">
            <w:pPr>
              <w:pStyle w:val="Bullet"/>
              <w:numPr>
                <w:ilvl w:val="0"/>
                <w:numId w:val="0"/>
              </w:numPr>
              <w:tabs>
                <w:tab w:val="clear" w:pos="720"/>
              </w:tabs>
            </w:pPr>
            <w:r w:rsidRPr="00972D8B">
              <w:t xml:space="preserve">Under the current </w:t>
            </w:r>
            <w:r w:rsidR="00F56041">
              <w:t xml:space="preserve">NALI </w:t>
            </w:r>
            <w:r w:rsidRPr="00972D8B">
              <w:t xml:space="preserve">rules, </w:t>
            </w:r>
            <w:r w:rsidR="00E96F73">
              <w:t>there is a sufficient nexus between the accounting services expense and all</w:t>
            </w:r>
            <w:r w:rsidRPr="00972D8B">
              <w:t xml:space="preserve"> income of the </w:t>
            </w:r>
            <w:r w:rsidR="00687448">
              <w:t>SMSF</w:t>
            </w:r>
            <w:r w:rsidR="00E96F73">
              <w:t>.</w:t>
            </w:r>
            <w:r w:rsidRPr="00972D8B">
              <w:t xml:space="preserve"> </w:t>
            </w:r>
            <w:r w:rsidR="00D42794">
              <w:t>T</w:t>
            </w:r>
            <w:r w:rsidR="00E96F73">
              <w:t xml:space="preserve">he </w:t>
            </w:r>
            <w:r w:rsidR="00687448">
              <w:t>SMSF’s total income in the financial year</w:t>
            </w:r>
            <w:r w:rsidR="00687448" w:rsidRPr="00972D8B">
              <w:t xml:space="preserve"> </w:t>
            </w:r>
            <w:r w:rsidR="00E96F73">
              <w:t>would be taxed at the highest marginal tax rate of 45 per cent</w:t>
            </w:r>
            <w:r w:rsidR="00687448">
              <w:t>. The SMSF would</w:t>
            </w:r>
            <w:r w:rsidR="00E96F73">
              <w:t xml:space="preserve"> pay</w:t>
            </w:r>
            <w:r w:rsidR="00A059DA">
              <w:t xml:space="preserve"> $45,000</w:t>
            </w:r>
            <w:r w:rsidR="00E96F73">
              <w:t xml:space="preserve"> in tax</w:t>
            </w:r>
            <w:r w:rsidR="00687448">
              <w:t xml:space="preserve"> in 2023</w:t>
            </w:r>
            <w:r w:rsidR="005E1FA2">
              <w:noBreakHyphen/>
            </w:r>
            <w:r w:rsidR="00687448">
              <w:t>24</w:t>
            </w:r>
            <w:r w:rsidR="00056C45">
              <w:t>, resulting in $</w:t>
            </w:r>
            <w:r w:rsidR="00235BB7">
              <w:t>5</w:t>
            </w:r>
            <w:r w:rsidR="00056C45">
              <w:t>5,000 in after</w:t>
            </w:r>
            <w:r w:rsidR="00EA3335">
              <w:t>-</w:t>
            </w:r>
            <w:r w:rsidR="00056C45">
              <w:t>tax income</w:t>
            </w:r>
            <w:r w:rsidR="00DA66E0">
              <w:t>.</w:t>
            </w:r>
          </w:p>
          <w:p w14:paraId="26A69A70" w14:textId="392DD464" w:rsidR="00CE1CD9" w:rsidRDefault="00E60D62" w:rsidP="00AC0F30">
            <w:pPr>
              <w:pStyle w:val="Bullet"/>
              <w:numPr>
                <w:ilvl w:val="0"/>
                <w:numId w:val="0"/>
              </w:numPr>
              <w:tabs>
                <w:tab w:val="clear" w:pos="720"/>
              </w:tabs>
            </w:pPr>
            <w:r w:rsidRPr="00972D8B">
              <w:t xml:space="preserve">Under </w:t>
            </w:r>
            <w:r w:rsidR="00D74E01">
              <w:t xml:space="preserve">the </w:t>
            </w:r>
            <w:r w:rsidR="007E411B">
              <w:t>potential</w:t>
            </w:r>
            <w:r w:rsidR="00D74E01">
              <w:t xml:space="preserve"> amendments</w:t>
            </w:r>
            <w:r w:rsidRPr="00972D8B">
              <w:t xml:space="preserve">, the income </w:t>
            </w:r>
            <w:r w:rsidR="008D5C80">
              <w:t>‘</w:t>
            </w:r>
            <w:r w:rsidRPr="00972D8B">
              <w:t>tainted</w:t>
            </w:r>
            <w:r w:rsidR="008D5C80">
              <w:t>’</w:t>
            </w:r>
            <w:r w:rsidRPr="00972D8B">
              <w:t xml:space="preserve"> </w:t>
            </w:r>
            <w:r>
              <w:t>as NAL</w:t>
            </w:r>
            <w:r w:rsidR="00C870DF">
              <w:t xml:space="preserve">I </w:t>
            </w:r>
            <w:r w:rsidR="00235BB7">
              <w:t>w</w:t>
            </w:r>
            <w:r w:rsidRPr="00972D8B">
              <w:t xml:space="preserve">ould be limited </w:t>
            </w:r>
            <w:r w:rsidR="00EA3335">
              <w:t>by</w:t>
            </w:r>
            <w:r w:rsidR="00EA3335" w:rsidRPr="00972D8B">
              <w:t xml:space="preserve"> </w:t>
            </w:r>
            <w:r w:rsidRPr="00972D8B">
              <w:t>the market value of the accounting service</w:t>
            </w:r>
            <w:r w:rsidR="00F56041">
              <w:t>, since no fee was charged to the SMSF</w:t>
            </w:r>
            <w:r w:rsidRPr="00972D8B">
              <w:t>. The</w:t>
            </w:r>
            <w:r w:rsidR="00687448">
              <w:t xml:space="preserve"> amount of income would be calculated by </w:t>
            </w:r>
            <w:r w:rsidR="00687448" w:rsidRPr="00972D8B">
              <w:t xml:space="preserve">applying a factor of </w:t>
            </w:r>
            <w:r w:rsidR="00820694">
              <w:t>5</w:t>
            </w:r>
            <w:r w:rsidR="00687448" w:rsidRPr="00972D8B">
              <w:t xml:space="preserve"> on the </w:t>
            </w:r>
            <w:r w:rsidR="00F56041">
              <w:t xml:space="preserve">difference between the </w:t>
            </w:r>
            <w:r w:rsidR="00687448" w:rsidRPr="00972D8B">
              <w:t>market value of the accounting service</w:t>
            </w:r>
            <w:r w:rsidR="00F56041">
              <w:t xml:space="preserve"> and the actual fee charged the fund</w:t>
            </w:r>
            <w:r w:rsidR="00687448">
              <w:t>. The</w:t>
            </w:r>
            <w:r w:rsidRPr="00972D8B">
              <w:t xml:space="preserve"> trustee would pay tax </w:t>
            </w:r>
            <w:r w:rsidR="00687448" w:rsidRPr="00972D8B">
              <w:t>at a rate of 4</w:t>
            </w:r>
            <w:r w:rsidR="00687448">
              <w:t>5</w:t>
            </w:r>
            <w:r w:rsidR="00687448" w:rsidRPr="00972D8B">
              <w:t xml:space="preserve"> per cent on $</w:t>
            </w:r>
            <w:r w:rsidR="00687448">
              <w:t>25</w:t>
            </w:r>
            <w:r w:rsidR="00687448" w:rsidRPr="00972D8B">
              <w:t>,000</w:t>
            </w:r>
            <w:r w:rsidR="00687448">
              <w:t xml:space="preserve"> of fund income, </w:t>
            </w:r>
            <w:r w:rsidR="00687448" w:rsidRPr="00972D8B">
              <w:t xml:space="preserve">and </w:t>
            </w:r>
            <w:r w:rsidRPr="00972D8B">
              <w:t xml:space="preserve">at a rate of 15 per cent on </w:t>
            </w:r>
            <w:r w:rsidR="00687448">
              <w:t xml:space="preserve">the remaining </w:t>
            </w:r>
            <w:r w:rsidRPr="00972D8B">
              <w:t>$</w:t>
            </w:r>
            <w:r w:rsidR="00E54F11">
              <w:t>75</w:t>
            </w:r>
            <w:r w:rsidRPr="00972D8B">
              <w:t xml:space="preserve">,000 of income. </w:t>
            </w:r>
            <w:r w:rsidR="00A059DA">
              <w:t xml:space="preserve">The </w:t>
            </w:r>
            <w:r w:rsidR="00E439A8">
              <w:t xml:space="preserve">SMSF </w:t>
            </w:r>
            <w:r w:rsidR="00A059DA">
              <w:t xml:space="preserve">would pay </w:t>
            </w:r>
            <w:r w:rsidR="0066719C">
              <w:t>$2</w:t>
            </w:r>
            <w:r w:rsidR="00E54F11">
              <w:t>2</w:t>
            </w:r>
            <w:r w:rsidR="0066719C">
              <w:t>,500</w:t>
            </w:r>
            <w:r w:rsidR="00E439A8">
              <w:t xml:space="preserve"> in tax in 2023-24</w:t>
            </w:r>
            <w:r w:rsidR="00056C45">
              <w:t xml:space="preserve"> </w:t>
            </w:r>
            <w:r w:rsidR="0066719C">
              <w:t xml:space="preserve">and have </w:t>
            </w:r>
            <w:r w:rsidR="00056C45">
              <w:t xml:space="preserve">after tax </w:t>
            </w:r>
            <w:r w:rsidR="0066719C">
              <w:t>income of $7</w:t>
            </w:r>
            <w:r w:rsidR="00E54F11">
              <w:t>7</w:t>
            </w:r>
            <w:r w:rsidR="0066719C">
              <w:t xml:space="preserve">,500. </w:t>
            </w:r>
          </w:p>
          <w:p w14:paraId="3C986988" w14:textId="6A30BFCB" w:rsidR="00CE1CD9" w:rsidRDefault="00E96F73" w:rsidP="00AC0F30">
            <w:pPr>
              <w:pStyle w:val="Bullet"/>
              <w:numPr>
                <w:ilvl w:val="0"/>
                <w:numId w:val="0"/>
              </w:numPr>
              <w:tabs>
                <w:tab w:val="clear" w:pos="720"/>
              </w:tabs>
            </w:pPr>
            <w:r>
              <w:t xml:space="preserve">In </w:t>
            </w:r>
            <w:r w:rsidR="0066719C">
              <w:t xml:space="preserve">comparison, if the fund had incurred </w:t>
            </w:r>
            <w:r w:rsidR="0020139D">
              <w:t>an expense for the accountancy services</w:t>
            </w:r>
            <w:r w:rsidR="0066719C">
              <w:t xml:space="preserve"> as per its usual cost of $5</w:t>
            </w:r>
            <w:r w:rsidR="008D5C80">
              <w:t>,</w:t>
            </w:r>
            <w:r w:rsidR="0066719C">
              <w:t xml:space="preserve">000, </w:t>
            </w:r>
            <w:r w:rsidR="00056C45">
              <w:t xml:space="preserve">the SMSF would pay </w:t>
            </w:r>
            <w:r w:rsidR="0066719C">
              <w:t xml:space="preserve">$14,250 </w:t>
            </w:r>
            <w:r w:rsidR="00056C45">
              <w:t>in tax</w:t>
            </w:r>
            <w:r w:rsidR="008158BD">
              <w:t xml:space="preserve"> </w:t>
            </w:r>
            <w:r w:rsidR="00F56041">
              <w:t xml:space="preserve">(i.e., 15 per cent of $95,000) </w:t>
            </w:r>
            <w:r w:rsidR="008158BD">
              <w:t>and have</w:t>
            </w:r>
            <w:r w:rsidR="00056C45">
              <w:t xml:space="preserve"> after tax </w:t>
            </w:r>
            <w:r w:rsidR="0066719C">
              <w:t xml:space="preserve">income </w:t>
            </w:r>
            <w:r w:rsidR="008158BD">
              <w:t xml:space="preserve">of </w:t>
            </w:r>
            <w:r w:rsidR="0066719C">
              <w:t>$80,750.</w:t>
            </w:r>
            <w:r w:rsidR="00F73BC0">
              <w:t xml:space="preserve"> </w:t>
            </w:r>
          </w:p>
          <w:p w14:paraId="1E9DB829" w14:textId="71B41934" w:rsidR="000050E5" w:rsidRDefault="002F3050" w:rsidP="002F3050">
            <w:pPr>
              <w:pStyle w:val="BoxHeading"/>
            </w:pPr>
            <w:r>
              <w:t xml:space="preserve">Example 1B: </w:t>
            </w:r>
            <w:r w:rsidR="00DD6C15" w:rsidRPr="00E60D62">
              <w:t xml:space="preserve">SMSF </w:t>
            </w:r>
            <w:r w:rsidR="00214D16">
              <w:t>using a</w:t>
            </w:r>
            <w:r w:rsidR="00F21FD5">
              <w:t>n</w:t>
            </w:r>
            <w:r w:rsidR="00214D16">
              <w:t xml:space="preserve"> </w:t>
            </w:r>
            <w:r w:rsidR="003F0BE5">
              <w:t xml:space="preserve">accountancy service </w:t>
            </w:r>
            <w:r w:rsidR="00DD6C15">
              <w:t>(</w:t>
            </w:r>
            <w:r w:rsidR="00F21FD5">
              <w:t xml:space="preserve">lower fund </w:t>
            </w:r>
            <w:r w:rsidR="00DD6C15">
              <w:t>income)</w:t>
            </w:r>
          </w:p>
          <w:p w14:paraId="44C3E684" w14:textId="2BFFB843" w:rsidR="00DE53FA" w:rsidRDefault="001438CF" w:rsidP="00AC0F30">
            <w:pPr>
              <w:spacing w:after="0" w:line="276" w:lineRule="auto"/>
            </w:pPr>
            <w:r>
              <w:t>As in Example 1A, the SMSF trustee uses his brother’s accounting services that would usually cost $5,000</w:t>
            </w:r>
            <w:r w:rsidR="00DE53FA">
              <w:t>, but the brother charges $0. The SMSF’s income</w:t>
            </w:r>
            <w:r w:rsidR="00214D16">
              <w:t xml:space="preserve"> (after relevant expenses)</w:t>
            </w:r>
            <w:r w:rsidR="00DE53FA">
              <w:t xml:space="preserve"> in the</w:t>
            </w:r>
            <w:r w:rsidR="00D74E01">
              <w:t xml:space="preserve"> 2023-24</w:t>
            </w:r>
            <w:r w:rsidR="00DE53FA">
              <w:t xml:space="preserve"> financial year </w:t>
            </w:r>
            <w:r w:rsidR="00D74E01">
              <w:t xml:space="preserve">is </w:t>
            </w:r>
            <w:r w:rsidR="00DE53FA">
              <w:t>$20,000.</w:t>
            </w:r>
          </w:p>
          <w:p w14:paraId="70F154FD" w14:textId="01D63E03" w:rsidR="00DE53FA" w:rsidRPr="00AE2156" w:rsidRDefault="00DE53FA" w:rsidP="00AC0F30">
            <w:pPr>
              <w:pStyle w:val="Bullet"/>
              <w:numPr>
                <w:ilvl w:val="0"/>
                <w:numId w:val="0"/>
              </w:numPr>
              <w:tabs>
                <w:tab w:val="clear" w:pos="720"/>
              </w:tabs>
            </w:pPr>
            <w:r>
              <w:t xml:space="preserve">Under </w:t>
            </w:r>
            <w:r w:rsidR="00D74E01">
              <w:t xml:space="preserve">the </w:t>
            </w:r>
            <w:r w:rsidR="007E411B">
              <w:t>potential</w:t>
            </w:r>
            <w:r w:rsidR="00D74E01">
              <w:t xml:space="preserve"> amendments</w:t>
            </w:r>
            <w:r>
              <w:t xml:space="preserve">, </w:t>
            </w:r>
            <w:r w:rsidR="003F0BE5">
              <w:t>t</w:t>
            </w:r>
            <w:r w:rsidR="00AE2156">
              <w:t xml:space="preserve">he trustee would pay tax at a rate of 45 per cent on all the income of the fund, as </w:t>
            </w:r>
            <w:r w:rsidR="00820694">
              <w:t>5</w:t>
            </w:r>
            <w:r w:rsidR="00EF6768">
              <w:t xml:space="preserve"> times the NALE breach is greater than the </w:t>
            </w:r>
            <w:r w:rsidR="00275325">
              <w:t xml:space="preserve">total </w:t>
            </w:r>
            <w:r w:rsidR="00EF6768">
              <w:t>income</w:t>
            </w:r>
            <w:r w:rsidR="003F0BE5">
              <w:t xml:space="preserve"> of the SMSF</w:t>
            </w:r>
            <w:r w:rsidR="00EF6768">
              <w:t>.</w:t>
            </w:r>
            <w:r w:rsidR="00E96F73">
              <w:t xml:space="preserve"> </w:t>
            </w:r>
            <w:r w:rsidR="003F0BE5">
              <w:t xml:space="preserve">The SMSF would pay </w:t>
            </w:r>
            <w:r w:rsidR="00955CBA">
              <w:t>$9,000 in tax for the 2023-24 financial year</w:t>
            </w:r>
            <w:r w:rsidR="00275325">
              <w:t xml:space="preserve"> </w:t>
            </w:r>
            <w:r w:rsidR="00275325">
              <w:rPr>
                <w:bCs/>
              </w:rPr>
              <w:t>(i.e., 45 per cent of $20,000)</w:t>
            </w:r>
            <w:r w:rsidR="00955CBA">
              <w:t xml:space="preserve">, as would </w:t>
            </w:r>
            <w:r w:rsidR="005E1FA2">
              <w:t xml:space="preserve">occur </w:t>
            </w:r>
            <w:r w:rsidR="00955CBA">
              <w:t>under the current NALI provisions.</w:t>
            </w:r>
          </w:p>
        </w:tc>
      </w:tr>
    </w:tbl>
    <w:p w14:paraId="3A2C599A" w14:textId="183831CC" w:rsidR="00E57259" w:rsidRDefault="00E57259" w:rsidP="006016A6"/>
    <w:tbl>
      <w:tblPr>
        <w:tblStyle w:val="TableGrid"/>
        <w:tblW w:w="0" w:type="auto"/>
        <w:tblCellMar>
          <w:top w:w="227" w:type="dxa"/>
          <w:left w:w="227" w:type="dxa"/>
          <w:bottom w:w="227" w:type="dxa"/>
          <w:right w:w="227" w:type="dxa"/>
        </w:tblCellMar>
        <w:tblLook w:val="04A0" w:firstRow="1" w:lastRow="0" w:firstColumn="1" w:lastColumn="0" w:noHBand="0" w:noVBand="1"/>
      </w:tblPr>
      <w:tblGrid>
        <w:gridCol w:w="9070"/>
      </w:tblGrid>
      <w:tr w:rsidR="0020139D" w14:paraId="7DF56F87" w14:textId="77777777" w:rsidTr="00C9560D">
        <w:trPr>
          <w:cnfStyle w:val="100000000000" w:firstRow="1" w:lastRow="0" w:firstColumn="0" w:lastColumn="0" w:oddVBand="0" w:evenVBand="0" w:oddHBand="0" w:evenHBand="0" w:firstRowFirstColumn="0" w:firstRowLastColumn="0" w:lastRowFirstColumn="0" w:lastRowLastColumn="0"/>
        </w:trPr>
        <w:tc>
          <w:tcPr>
            <w:tcW w:w="9070" w:type="dxa"/>
          </w:tcPr>
          <w:p w14:paraId="1A24749E" w14:textId="09558C0D" w:rsidR="0020139D" w:rsidRPr="0020139D" w:rsidRDefault="0020139D" w:rsidP="0020139D">
            <w:pPr>
              <w:pStyle w:val="BoxHeading"/>
              <w:spacing w:before="96" w:after="96"/>
              <w:rPr>
                <w:b/>
                <w:bCs/>
              </w:rPr>
            </w:pPr>
            <w:r w:rsidRPr="0020139D">
              <w:rPr>
                <w:b/>
                <w:bCs/>
              </w:rPr>
              <w:lastRenderedPageBreak/>
              <w:t xml:space="preserve">Example 2: SMSF </w:t>
            </w:r>
            <w:r w:rsidR="00955CBA" w:rsidRPr="0020139D">
              <w:rPr>
                <w:b/>
                <w:bCs/>
              </w:rPr>
              <w:t>acquire</w:t>
            </w:r>
            <w:r w:rsidR="00955CBA">
              <w:rPr>
                <w:b/>
                <w:bCs/>
              </w:rPr>
              <w:t>s</w:t>
            </w:r>
            <w:r w:rsidR="00955CBA" w:rsidRPr="0020139D">
              <w:rPr>
                <w:b/>
                <w:bCs/>
              </w:rPr>
              <w:t xml:space="preserve"> </w:t>
            </w:r>
            <w:r w:rsidR="00955CBA">
              <w:rPr>
                <w:b/>
                <w:bCs/>
              </w:rPr>
              <w:t>an asset</w:t>
            </w:r>
            <w:r w:rsidR="00955CBA" w:rsidRPr="0020139D" w:rsidDel="00955CBA">
              <w:rPr>
                <w:b/>
                <w:bCs/>
              </w:rPr>
              <w:t xml:space="preserve"> </w:t>
            </w:r>
            <w:r w:rsidR="00955CBA">
              <w:rPr>
                <w:b/>
                <w:bCs/>
              </w:rPr>
              <w:t xml:space="preserve">at </w:t>
            </w:r>
            <w:r w:rsidR="009D6EE7">
              <w:rPr>
                <w:b/>
                <w:bCs/>
              </w:rPr>
              <w:t xml:space="preserve">non-arm’s length </w:t>
            </w:r>
            <w:r w:rsidR="00955CBA">
              <w:rPr>
                <w:b/>
                <w:bCs/>
              </w:rPr>
              <w:t>price</w:t>
            </w:r>
            <w:r w:rsidRPr="0020139D">
              <w:rPr>
                <w:b/>
                <w:bCs/>
              </w:rPr>
              <w:t xml:space="preserve"> </w:t>
            </w:r>
          </w:p>
          <w:p w14:paraId="4629727F" w14:textId="322EB0E4" w:rsidR="00113E1A" w:rsidRPr="005D47BF" w:rsidRDefault="00E96F73" w:rsidP="00AC0F30">
            <w:pPr>
              <w:spacing w:beforeLines="0" w:afterLines="0" w:after="0" w:line="276" w:lineRule="auto"/>
              <w:rPr>
                <w:sz w:val="22"/>
                <w:szCs w:val="22"/>
              </w:rPr>
            </w:pPr>
            <w:r>
              <w:rPr>
                <w:b w:val="0"/>
                <w:color w:val="auto"/>
                <w:sz w:val="22"/>
                <w:szCs w:val="22"/>
              </w:rPr>
              <w:t>Pippa</w:t>
            </w:r>
            <w:r w:rsidR="005D47BF" w:rsidRPr="005D47BF">
              <w:rPr>
                <w:b w:val="0"/>
                <w:color w:val="auto"/>
                <w:sz w:val="22"/>
                <w:szCs w:val="22"/>
              </w:rPr>
              <w:t xml:space="preserve"> holds</w:t>
            </w:r>
            <w:r w:rsidR="00113E1A" w:rsidRPr="005D47BF">
              <w:rPr>
                <w:b w:val="0"/>
                <w:color w:val="auto"/>
                <w:sz w:val="22"/>
                <w:szCs w:val="22"/>
              </w:rPr>
              <w:t xml:space="preserve"> commercial property with a market value of $</w:t>
            </w:r>
            <w:r w:rsidR="00CB3D80" w:rsidRPr="005D47BF">
              <w:rPr>
                <w:b w:val="0"/>
                <w:color w:val="auto"/>
                <w:sz w:val="22"/>
                <w:szCs w:val="22"/>
              </w:rPr>
              <w:t>1,000</w:t>
            </w:r>
            <w:r w:rsidR="00113E1A" w:rsidRPr="005D47BF">
              <w:rPr>
                <w:b w:val="0"/>
                <w:color w:val="auto"/>
                <w:sz w:val="22"/>
                <w:szCs w:val="22"/>
              </w:rPr>
              <w:t xml:space="preserve">,000. During </w:t>
            </w:r>
            <w:r w:rsidR="00CB3D80" w:rsidRPr="005D47BF">
              <w:rPr>
                <w:b w:val="0"/>
                <w:color w:val="auto"/>
                <w:sz w:val="22"/>
                <w:szCs w:val="22"/>
              </w:rPr>
              <w:t>the 2020-21 income year</w:t>
            </w:r>
            <w:r w:rsidR="00113E1A" w:rsidRPr="005D47BF">
              <w:rPr>
                <w:b w:val="0"/>
                <w:color w:val="auto"/>
                <w:sz w:val="22"/>
                <w:szCs w:val="22"/>
              </w:rPr>
              <w:t xml:space="preserve">, </w:t>
            </w:r>
            <w:r>
              <w:rPr>
                <w:b w:val="0"/>
                <w:color w:val="auto"/>
                <w:sz w:val="22"/>
                <w:szCs w:val="22"/>
              </w:rPr>
              <w:t xml:space="preserve">Pippa </w:t>
            </w:r>
            <w:r w:rsidR="00113E1A" w:rsidRPr="005D47BF">
              <w:rPr>
                <w:b w:val="0"/>
                <w:color w:val="auto"/>
                <w:sz w:val="22"/>
                <w:szCs w:val="22"/>
              </w:rPr>
              <w:t xml:space="preserve">sells the commercial property to </w:t>
            </w:r>
            <w:r w:rsidR="005D47BF" w:rsidRPr="005D47BF">
              <w:rPr>
                <w:b w:val="0"/>
                <w:color w:val="auto"/>
                <w:sz w:val="22"/>
                <w:szCs w:val="22"/>
              </w:rPr>
              <w:t>her SMSF</w:t>
            </w:r>
            <w:r w:rsidR="00113E1A" w:rsidRPr="005D47BF">
              <w:rPr>
                <w:b w:val="0"/>
                <w:color w:val="auto"/>
                <w:sz w:val="22"/>
                <w:szCs w:val="22"/>
              </w:rPr>
              <w:t xml:space="preserve"> for $200,000. The SMSF leases the property to a third party</w:t>
            </w:r>
            <w:r w:rsidR="00CB3D80" w:rsidRPr="005D47BF">
              <w:rPr>
                <w:b w:val="0"/>
                <w:color w:val="auto"/>
                <w:sz w:val="22"/>
                <w:szCs w:val="22"/>
              </w:rPr>
              <w:t xml:space="preserve"> and earns </w:t>
            </w:r>
            <w:r w:rsidR="0068754B">
              <w:rPr>
                <w:b w:val="0"/>
                <w:color w:val="auto"/>
                <w:sz w:val="22"/>
                <w:szCs w:val="22"/>
              </w:rPr>
              <w:t xml:space="preserve">net rental </w:t>
            </w:r>
            <w:r w:rsidR="00CB3D80" w:rsidRPr="005D47BF">
              <w:rPr>
                <w:b w:val="0"/>
                <w:color w:val="auto"/>
                <w:sz w:val="22"/>
                <w:szCs w:val="22"/>
              </w:rPr>
              <w:t xml:space="preserve">income of $50,000 in 2020-21. </w:t>
            </w:r>
          </w:p>
          <w:p w14:paraId="75E551F6" w14:textId="3769040F" w:rsidR="00C870DF" w:rsidRPr="005D47BF" w:rsidRDefault="00C870DF" w:rsidP="00AC0F30">
            <w:pPr>
              <w:spacing w:beforeLines="0" w:afterLines="0" w:after="0" w:line="276" w:lineRule="auto"/>
              <w:rPr>
                <w:sz w:val="22"/>
                <w:szCs w:val="22"/>
              </w:rPr>
            </w:pPr>
            <w:r w:rsidRPr="005D47BF">
              <w:rPr>
                <w:b w:val="0"/>
                <w:color w:val="auto"/>
                <w:sz w:val="22"/>
                <w:szCs w:val="22"/>
              </w:rPr>
              <w:t>Under the current rules there is a sufficient nexus between the non-arm’s length expenditure incurred in acquiring the property and the rental income the SMSF derives from leasing the property.</w:t>
            </w:r>
            <w:r w:rsidR="00CB3D80" w:rsidRPr="005D47BF">
              <w:rPr>
                <w:b w:val="0"/>
                <w:color w:val="auto"/>
                <w:sz w:val="22"/>
                <w:szCs w:val="22"/>
              </w:rPr>
              <w:t xml:space="preserve"> </w:t>
            </w:r>
            <w:r w:rsidR="005D47BF" w:rsidRPr="005D47BF">
              <w:rPr>
                <w:b w:val="0"/>
                <w:color w:val="auto"/>
                <w:sz w:val="22"/>
                <w:szCs w:val="22"/>
              </w:rPr>
              <w:t>The SMSF</w:t>
            </w:r>
            <w:r w:rsidR="004A5DA6" w:rsidRPr="005D47BF">
              <w:rPr>
                <w:b w:val="0"/>
                <w:color w:val="auto"/>
                <w:sz w:val="22"/>
                <w:szCs w:val="22"/>
              </w:rPr>
              <w:t xml:space="preserve"> would pay tax on the rental income at 45 per cent</w:t>
            </w:r>
            <w:r w:rsidR="000F71E0">
              <w:rPr>
                <w:b w:val="0"/>
                <w:color w:val="auto"/>
                <w:sz w:val="22"/>
                <w:szCs w:val="22"/>
              </w:rPr>
              <w:t xml:space="preserve">. Tax payable on the </w:t>
            </w:r>
            <w:r w:rsidR="0068754B">
              <w:rPr>
                <w:b w:val="0"/>
                <w:color w:val="auto"/>
                <w:sz w:val="22"/>
                <w:szCs w:val="22"/>
              </w:rPr>
              <w:t xml:space="preserve">net rental </w:t>
            </w:r>
            <w:r w:rsidR="000F71E0">
              <w:rPr>
                <w:b w:val="0"/>
                <w:color w:val="auto"/>
                <w:sz w:val="22"/>
                <w:szCs w:val="22"/>
              </w:rPr>
              <w:t>income from the property in 2020-21 would be</w:t>
            </w:r>
            <w:r w:rsidR="00955CBA">
              <w:rPr>
                <w:b w:val="0"/>
                <w:color w:val="auto"/>
                <w:sz w:val="22"/>
                <w:szCs w:val="22"/>
              </w:rPr>
              <w:t xml:space="preserve"> </w:t>
            </w:r>
            <w:r w:rsidR="00E34B92" w:rsidRPr="005D47BF">
              <w:rPr>
                <w:b w:val="0"/>
                <w:color w:val="auto"/>
                <w:sz w:val="22"/>
                <w:szCs w:val="22"/>
              </w:rPr>
              <w:t>$22,500</w:t>
            </w:r>
            <w:r w:rsidR="004A5DA6" w:rsidRPr="005D47BF">
              <w:rPr>
                <w:b w:val="0"/>
                <w:color w:val="auto"/>
                <w:sz w:val="22"/>
                <w:szCs w:val="22"/>
              </w:rPr>
              <w:t>.</w:t>
            </w:r>
            <w:r w:rsidRPr="005D47BF">
              <w:rPr>
                <w:b w:val="0"/>
                <w:color w:val="auto"/>
                <w:sz w:val="22"/>
                <w:szCs w:val="22"/>
              </w:rPr>
              <w:t xml:space="preserve"> Any capital gain derived from sale of the property </w:t>
            </w:r>
            <w:r w:rsidR="000F71E0">
              <w:rPr>
                <w:b w:val="0"/>
                <w:color w:val="auto"/>
                <w:sz w:val="22"/>
                <w:szCs w:val="22"/>
              </w:rPr>
              <w:t>would</w:t>
            </w:r>
            <w:r w:rsidR="000F71E0" w:rsidRPr="005D47BF">
              <w:rPr>
                <w:b w:val="0"/>
                <w:color w:val="auto"/>
                <w:sz w:val="22"/>
                <w:szCs w:val="22"/>
              </w:rPr>
              <w:t xml:space="preserve"> </w:t>
            </w:r>
            <w:r w:rsidRPr="005D47BF">
              <w:rPr>
                <w:b w:val="0"/>
                <w:color w:val="auto"/>
                <w:sz w:val="22"/>
                <w:szCs w:val="22"/>
              </w:rPr>
              <w:t xml:space="preserve">also </w:t>
            </w:r>
            <w:r w:rsidR="000F71E0">
              <w:rPr>
                <w:b w:val="0"/>
                <w:color w:val="auto"/>
                <w:sz w:val="22"/>
                <w:szCs w:val="22"/>
              </w:rPr>
              <w:t xml:space="preserve">be </w:t>
            </w:r>
            <w:r w:rsidRPr="005D47BF">
              <w:rPr>
                <w:b w:val="0"/>
                <w:color w:val="auto"/>
                <w:sz w:val="22"/>
                <w:szCs w:val="22"/>
              </w:rPr>
              <w:t xml:space="preserve">treated as NALI. </w:t>
            </w:r>
            <w:r w:rsidR="003503C7">
              <w:rPr>
                <w:b w:val="0"/>
                <w:color w:val="auto"/>
                <w:sz w:val="22"/>
                <w:szCs w:val="22"/>
              </w:rPr>
              <w:t>The transitional compliance approach contained in PCG 2020/5 would not apply in this case as the expense is not of a general nature.</w:t>
            </w:r>
          </w:p>
          <w:p w14:paraId="74D72D65" w14:textId="52CD9514" w:rsidR="00113E1A" w:rsidRPr="004A5DA6" w:rsidRDefault="00C870DF" w:rsidP="00AC0F30">
            <w:pPr>
              <w:spacing w:beforeLines="0" w:afterLines="0" w:after="0" w:line="276" w:lineRule="auto"/>
              <w:rPr>
                <w:b w:val="0"/>
                <w:color w:val="auto"/>
              </w:rPr>
            </w:pPr>
            <w:r w:rsidRPr="005D47BF">
              <w:rPr>
                <w:b w:val="0"/>
                <w:color w:val="auto"/>
                <w:sz w:val="22"/>
                <w:szCs w:val="22"/>
              </w:rPr>
              <w:t xml:space="preserve">Under </w:t>
            </w:r>
            <w:r w:rsidR="00955CBA">
              <w:rPr>
                <w:b w:val="0"/>
                <w:color w:val="auto"/>
                <w:sz w:val="22"/>
                <w:szCs w:val="22"/>
              </w:rPr>
              <w:t xml:space="preserve">the </w:t>
            </w:r>
            <w:r w:rsidR="007E411B">
              <w:rPr>
                <w:b w:val="0"/>
                <w:color w:val="auto"/>
                <w:sz w:val="22"/>
                <w:szCs w:val="22"/>
              </w:rPr>
              <w:t>potential</w:t>
            </w:r>
            <w:r w:rsidR="00955CBA">
              <w:rPr>
                <w:b w:val="0"/>
                <w:color w:val="auto"/>
                <w:sz w:val="22"/>
                <w:szCs w:val="22"/>
              </w:rPr>
              <w:t xml:space="preserve"> amendments</w:t>
            </w:r>
            <w:r w:rsidRPr="005D47BF">
              <w:rPr>
                <w:b w:val="0"/>
                <w:color w:val="auto"/>
                <w:sz w:val="22"/>
                <w:szCs w:val="22"/>
              </w:rPr>
              <w:t xml:space="preserve">, </w:t>
            </w:r>
            <w:r w:rsidR="003503C7">
              <w:rPr>
                <w:b w:val="0"/>
                <w:color w:val="auto"/>
                <w:sz w:val="22"/>
                <w:szCs w:val="22"/>
              </w:rPr>
              <w:t xml:space="preserve">this scenario would not be impacted </w:t>
            </w:r>
            <w:r w:rsidR="003503C7" w:rsidRPr="003503C7">
              <w:rPr>
                <w:b w:val="0"/>
                <w:color w:val="auto"/>
                <w:sz w:val="22"/>
                <w:szCs w:val="22"/>
              </w:rPr>
              <w:t>as the NALE is not a general expense with a sufficient nexus to all the income of the fund</w:t>
            </w:r>
            <w:r w:rsidR="003503C7">
              <w:rPr>
                <w:b w:val="0"/>
                <w:color w:val="auto"/>
                <w:sz w:val="22"/>
                <w:szCs w:val="22"/>
              </w:rPr>
              <w:t>. T</w:t>
            </w:r>
            <w:r w:rsidRPr="005D47BF">
              <w:rPr>
                <w:b w:val="0"/>
                <w:color w:val="auto"/>
                <w:sz w:val="22"/>
                <w:szCs w:val="22"/>
              </w:rPr>
              <w:t xml:space="preserve">he income treated </w:t>
            </w:r>
            <w:r w:rsidR="00CB3D80" w:rsidRPr="005D47BF">
              <w:rPr>
                <w:b w:val="0"/>
                <w:color w:val="auto"/>
                <w:sz w:val="22"/>
                <w:szCs w:val="22"/>
              </w:rPr>
              <w:t xml:space="preserve">as NALI would remain the same, as under the current rules, </w:t>
            </w:r>
            <w:r w:rsidR="00F1282C" w:rsidRPr="005D47BF">
              <w:rPr>
                <w:b w:val="0"/>
                <w:color w:val="auto"/>
                <w:sz w:val="22"/>
                <w:szCs w:val="22"/>
              </w:rPr>
              <w:t>as the</w:t>
            </w:r>
            <w:r w:rsidR="00C472FA">
              <w:rPr>
                <w:b w:val="0"/>
                <w:color w:val="auto"/>
                <w:sz w:val="22"/>
                <w:szCs w:val="22"/>
              </w:rPr>
              <w:t xml:space="preserve"> </w:t>
            </w:r>
            <w:r w:rsidR="00C472FA" w:rsidRPr="00C472FA">
              <w:rPr>
                <w:b w:val="0"/>
                <w:color w:val="auto"/>
                <w:sz w:val="22"/>
                <w:szCs w:val="22"/>
              </w:rPr>
              <w:t xml:space="preserve">current NALI rules will continue to apply to NALE </w:t>
            </w:r>
            <w:r w:rsidR="00C472FA">
              <w:rPr>
                <w:b w:val="0"/>
                <w:color w:val="auto"/>
                <w:sz w:val="22"/>
                <w:szCs w:val="22"/>
              </w:rPr>
              <w:t xml:space="preserve">breaches </w:t>
            </w:r>
            <w:r w:rsidR="00C472FA" w:rsidRPr="00C472FA">
              <w:rPr>
                <w:b w:val="0"/>
                <w:color w:val="auto"/>
                <w:sz w:val="22"/>
                <w:szCs w:val="22"/>
              </w:rPr>
              <w:t>relating to specific assets</w:t>
            </w:r>
            <w:r w:rsidR="00C472FA">
              <w:rPr>
                <w:b w:val="0"/>
                <w:color w:val="auto"/>
                <w:sz w:val="22"/>
                <w:szCs w:val="22"/>
              </w:rPr>
              <w:t xml:space="preserve"> and </w:t>
            </w:r>
            <w:r w:rsidR="00C472FA" w:rsidRPr="00C472FA">
              <w:rPr>
                <w:b w:val="0"/>
                <w:color w:val="auto"/>
                <w:sz w:val="22"/>
                <w:szCs w:val="22"/>
              </w:rPr>
              <w:t>income sources</w:t>
            </w:r>
            <w:r w:rsidR="00F1282C" w:rsidRPr="005D47BF">
              <w:rPr>
                <w:b w:val="0"/>
                <w:color w:val="auto"/>
                <w:sz w:val="22"/>
                <w:szCs w:val="22"/>
              </w:rPr>
              <w:t xml:space="preserve">. </w:t>
            </w:r>
            <w:r w:rsidR="005D47BF" w:rsidRPr="005D47BF">
              <w:rPr>
                <w:b w:val="0"/>
                <w:color w:val="auto"/>
                <w:sz w:val="22"/>
                <w:szCs w:val="22"/>
              </w:rPr>
              <w:t xml:space="preserve">The </w:t>
            </w:r>
            <w:r w:rsidR="00955CBA">
              <w:rPr>
                <w:b w:val="0"/>
                <w:color w:val="auto"/>
                <w:sz w:val="22"/>
                <w:szCs w:val="22"/>
              </w:rPr>
              <w:t>SMSF</w:t>
            </w:r>
            <w:r w:rsidR="00955CBA" w:rsidRPr="005D47BF">
              <w:rPr>
                <w:b w:val="0"/>
                <w:color w:val="auto"/>
                <w:sz w:val="22"/>
                <w:szCs w:val="22"/>
              </w:rPr>
              <w:t xml:space="preserve"> </w:t>
            </w:r>
            <w:r w:rsidR="00CB3D80" w:rsidRPr="005D47BF">
              <w:rPr>
                <w:b w:val="0"/>
                <w:color w:val="auto"/>
                <w:sz w:val="22"/>
                <w:szCs w:val="22"/>
              </w:rPr>
              <w:t>would pay the same total tax</w:t>
            </w:r>
            <w:r w:rsidR="00F1282C" w:rsidRPr="005D47BF">
              <w:rPr>
                <w:b w:val="0"/>
                <w:color w:val="auto"/>
                <w:sz w:val="22"/>
                <w:szCs w:val="22"/>
              </w:rPr>
              <w:t xml:space="preserve"> as under the current rules.</w:t>
            </w:r>
          </w:p>
        </w:tc>
      </w:tr>
    </w:tbl>
    <w:p w14:paraId="24A4667E" w14:textId="383B963A" w:rsidR="007E6E07" w:rsidRDefault="007E6E07" w:rsidP="006016A6"/>
    <w:tbl>
      <w:tblPr>
        <w:tblW w:w="5000" w:type="pct"/>
        <w:shd w:val="clear" w:color="auto" w:fill="F2F9FC"/>
        <w:tblCellMar>
          <w:top w:w="227" w:type="dxa"/>
          <w:left w:w="227" w:type="dxa"/>
          <w:bottom w:w="227" w:type="dxa"/>
          <w:right w:w="227" w:type="dxa"/>
        </w:tblCellMar>
        <w:tblLook w:val="01E0" w:firstRow="1" w:lastRow="1" w:firstColumn="1" w:lastColumn="1" w:noHBand="0" w:noVBand="0"/>
      </w:tblPr>
      <w:tblGrid>
        <w:gridCol w:w="9070"/>
      </w:tblGrid>
      <w:tr w:rsidR="0068754B" w14:paraId="0B9DDFFF" w14:textId="77777777" w:rsidTr="00E075C5">
        <w:tc>
          <w:tcPr>
            <w:tcW w:w="5000" w:type="pct"/>
            <w:shd w:val="clear" w:color="auto" w:fill="F2F9FC"/>
            <w:hideMark/>
          </w:tcPr>
          <w:p w14:paraId="79C6874F" w14:textId="2BF3F3C4" w:rsidR="0068754B" w:rsidRDefault="0068754B" w:rsidP="00620398">
            <w:pPr>
              <w:pStyle w:val="BoxHeading"/>
              <w:spacing w:line="276" w:lineRule="auto"/>
              <w:rPr>
                <w:szCs w:val="28"/>
                <w:lang w:eastAsia="en-US"/>
              </w:rPr>
            </w:pPr>
            <w:r>
              <w:rPr>
                <w:szCs w:val="28"/>
                <w:lang w:eastAsia="en-US"/>
              </w:rPr>
              <w:t>Consultation questions</w:t>
            </w:r>
          </w:p>
          <w:p w14:paraId="25542125" w14:textId="36C9FCFE" w:rsidR="004F1795" w:rsidRDefault="004F1795" w:rsidP="00620398">
            <w:pPr>
              <w:pStyle w:val="OutlineNumbered1"/>
              <w:numPr>
                <w:ilvl w:val="0"/>
                <w:numId w:val="0"/>
              </w:numPr>
              <w:spacing w:line="276" w:lineRule="auto"/>
              <w:ind w:left="851" w:hanging="851"/>
              <w:rPr>
                <w:lang w:eastAsia="en-US"/>
              </w:rPr>
            </w:pPr>
            <w:r w:rsidRPr="004F1795">
              <w:rPr>
                <w:lang w:eastAsia="en-US"/>
              </w:rPr>
              <w:t>We invite feedback on the following questions:</w:t>
            </w:r>
          </w:p>
          <w:p w14:paraId="5048A478" w14:textId="770F47B4" w:rsidR="00F57430" w:rsidRDefault="00F57430" w:rsidP="00620398">
            <w:pPr>
              <w:pStyle w:val="OutlineNumbered1"/>
              <w:spacing w:line="276" w:lineRule="auto"/>
              <w:rPr>
                <w:lang w:eastAsia="en-US"/>
              </w:rPr>
            </w:pPr>
            <w:r>
              <w:rPr>
                <w:lang w:eastAsia="en-US"/>
              </w:rPr>
              <w:t>Would</w:t>
            </w:r>
            <w:r w:rsidR="005D73C6">
              <w:rPr>
                <w:lang w:eastAsia="en-US"/>
              </w:rPr>
              <w:t xml:space="preserve"> the approach outlined of</w:t>
            </w:r>
            <w:r w:rsidR="00C70FE6">
              <w:rPr>
                <w:lang w:eastAsia="en-US"/>
              </w:rPr>
              <w:t xml:space="preserve"> setting an upper limit on the amount of fund income that is taxable as NALI</w:t>
            </w:r>
            <w:r w:rsidR="009F547E">
              <w:rPr>
                <w:lang w:eastAsia="en-US"/>
              </w:rPr>
              <w:t xml:space="preserve"> due to a general expenses breach</w:t>
            </w:r>
            <w:r w:rsidR="00C70FE6">
              <w:rPr>
                <w:lang w:eastAsia="en-US"/>
              </w:rPr>
              <w:t xml:space="preserve"> be </w:t>
            </w:r>
            <w:r>
              <w:rPr>
                <w:lang w:eastAsia="en-US"/>
              </w:rPr>
              <w:t>sufficient</w:t>
            </w:r>
            <w:r w:rsidR="00C70FE6">
              <w:rPr>
                <w:lang w:eastAsia="en-US"/>
              </w:rPr>
              <w:t xml:space="preserve"> to</w:t>
            </w:r>
            <w:r>
              <w:rPr>
                <w:lang w:eastAsia="en-US"/>
              </w:rPr>
              <w:t xml:space="preserve"> mitigate </w:t>
            </w:r>
            <w:r>
              <w:rPr>
                <w:szCs w:val="22"/>
              </w:rPr>
              <w:t>the ‘tainting effect’</w:t>
            </w:r>
            <w:r w:rsidR="007710CD">
              <w:rPr>
                <w:szCs w:val="22"/>
              </w:rPr>
              <w:t>,</w:t>
            </w:r>
            <w:r>
              <w:rPr>
                <w:szCs w:val="22"/>
              </w:rPr>
              <w:t xml:space="preserve"> where all income of the fund is potentially subject to the top marginal tax rate due to a relatively minor breach of the rules due to a general expense?</w:t>
            </w:r>
          </w:p>
          <w:p w14:paraId="5041E93E" w14:textId="7BD385FE" w:rsidR="00FC6766" w:rsidRDefault="009004BF" w:rsidP="00620398">
            <w:pPr>
              <w:pStyle w:val="OutlineNumbered1"/>
              <w:spacing w:line="276" w:lineRule="auto"/>
              <w:rPr>
                <w:lang w:eastAsia="en-US"/>
              </w:rPr>
            </w:pPr>
            <w:r>
              <w:rPr>
                <w:lang w:eastAsia="en-US"/>
              </w:rPr>
              <w:t xml:space="preserve">Are there </w:t>
            </w:r>
            <w:r w:rsidR="00A9028D">
              <w:rPr>
                <w:lang w:eastAsia="en-US"/>
              </w:rPr>
              <w:t xml:space="preserve">any </w:t>
            </w:r>
            <w:r w:rsidR="00C85269">
              <w:rPr>
                <w:lang w:eastAsia="en-US"/>
              </w:rPr>
              <w:t xml:space="preserve">potential </w:t>
            </w:r>
            <w:r w:rsidR="00A9028D">
              <w:rPr>
                <w:lang w:eastAsia="en-US"/>
              </w:rPr>
              <w:t xml:space="preserve">unintended </w:t>
            </w:r>
            <w:r w:rsidR="00FC6766">
              <w:rPr>
                <w:lang w:eastAsia="en-US"/>
              </w:rPr>
              <w:t xml:space="preserve">adverse consequences </w:t>
            </w:r>
            <w:r w:rsidR="00A9028D">
              <w:rPr>
                <w:lang w:eastAsia="en-US"/>
              </w:rPr>
              <w:t xml:space="preserve">for SMSFs </w:t>
            </w:r>
            <w:r w:rsidR="000C2512">
              <w:rPr>
                <w:lang w:eastAsia="en-US"/>
              </w:rPr>
              <w:t xml:space="preserve">or SAFs </w:t>
            </w:r>
            <w:r w:rsidR="00FC6766">
              <w:rPr>
                <w:lang w:eastAsia="en-US"/>
              </w:rPr>
              <w:t>from</w:t>
            </w:r>
            <w:r w:rsidR="00A9028D" w:rsidRPr="00A9028D">
              <w:rPr>
                <w:lang w:eastAsia="en-US"/>
              </w:rPr>
              <w:t xml:space="preserve"> set</w:t>
            </w:r>
            <w:r w:rsidR="005D73C6">
              <w:rPr>
                <w:lang w:eastAsia="en-US"/>
              </w:rPr>
              <w:t>ting</w:t>
            </w:r>
            <w:r w:rsidR="00A9028D" w:rsidRPr="00A9028D">
              <w:rPr>
                <w:lang w:eastAsia="en-US"/>
              </w:rPr>
              <w:t xml:space="preserve"> an upper limit on the amount of fund income taxable as NALI</w:t>
            </w:r>
            <w:r w:rsidR="00551AA0">
              <w:rPr>
                <w:lang w:eastAsia="en-US"/>
              </w:rPr>
              <w:t xml:space="preserve"> </w:t>
            </w:r>
            <w:r w:rsidR="00551AA0">
              <w:t>due to a general expenses breach</w:t>
            </w:r>
            <w:r w:rsidR="00A9028D">
              <w:rPr>
                <w:lang w:eastAsia="en-US"/>
              </w:rPr>
              <w:t>?</w:t>
            </w:r>
            <w:r w:rsidR="00962223">
              <w:rPr>
                <w:lang w:eastAsia="en-US"/>
              </w:rPr>
              <w:t xml:space="preserve"> Would there be </w:t>
            </w:r>
            <w:r w:rsidR="00887F38">
              <w:rPr>
                <w:lang w:eastAsia="en-US"/>
              </w:rPr>
              <w:t>unintended consequences from</w:t>
            </w:r>
            <w:r w:rsidR="00551AA0">
              <w:rPr>
                <w:lang w:eastAsia="en-US"/>
              </w:rPr>
              <w:t xml:space="preserve"> </w:t>
            </w:r>
            <w:r w:rsidR="0076037F">
              <w:rPr>
                <w:lang w:eastAsia="en-US"/>
              </w:rPr>
              <w:t xml:space="preserve">calculating the upper </w:t>
            </w:r>
            <w:r w:rsidR="00887F38">
              <w:rPr>
                <w:lang w:eastAsia="en-US"/>
              </w:rPr>
              <w:t>limit</w:t>
            </w:r>
            <w:r w:rsidR="00551AA0">
              <w:rPr>
                <w:lang w:eastAsia="en-US"/>
              </w:rPr>
              <w:t xml:space="preserve"> </w:t>
            </w:r>
            <w:r w:rsidR="0076037F">
              <w:rPr>
                <w:lang w:eastAsia="en-US"/>
              </w:rPr>
              <w:t>using</w:t>
            </w:r>
            <w:r w:rsidR="006378BC">
              <w:rPr>
                <w:lang w:eastAsia="en-US"/>
              </w:rPr>
              <w:t xml:space="preserve"> a factor of</w:t>
            </w:r>
            <w:r w:rsidR="00551AA0">
              <w:rPr>
                <w:lang w:eastAsia="en-US"/>
              </w:rPr>
              <w:t xml:space="preserve"> </w:t>
            </w:r>
            <w:r w:rsidR="00820694">
              <w:t>5</w:t>
            </w:r>
            <w:r w:rsidR="00551AA0">
              <w:t>?</w:t>
            </w:r>
          </w:p>
        </w:tc>
      </w:tr>
    </w:tbl>
    <w:p w14:paraId="05FC5B59" w14:textId="77777777" w:rsidR="00921B9A" w:rsidRDefault="00921B9A">
      <w:pPr>
        <w:spacing w:before="0" w:after="160" w:line="259" w:lineRule="auto"/>
        <w:rPr>
          <w:rFonts w:ascii="Calibri" w:hAnsi="Calibri" w:cs="Arial"/>
          <w:b/>
          <w:color w:val="4D7861" w:themeColor="accent2"/>
          <w:kern w:val="32"/>
          <w:sz w:val="28"/>
          <w:szCs w:val="26"/>
        </w:rPr>
      </w:pPr>
      <w:r>
        <w:br w:type="page"/>
      </w:r>
    </w:p>
    <w:p w14:paraId="7857BF97" w14:textId="38112D1C" w:rsidR="0052518C" w:rsidRPr="00D30717" w:rsidRDefault="0052518C" w:rsidP="0052518C">
      <w:pPr>
        <w:pStyle w:val="Heading3"/>
      </w:pPr>
      <w:bookmarkStart w:id="17" w:name="_Toc116906743"/>
      <w:r>
        <w:lastRenderedPageBreak/>
        <w:t>Large APRA-regulated funds</w:t>
      </w:r>
      <w:bookmarkEnd w:id="17"/>
    </w:p>
    <w:p w14:paraId="46FCBF79" w14:textId="13969224" w:rsidR="00826EE3" w:rsidRDefault="00B97CDF" w:rsidP="00DD1722">
      <w:pPr>
        <w:pStyle w:val="Dash"/>
        <w:numPr>
          <w:ilvl w:val="0"/>
          <w:numId w:val="0"/>
        </w:numPr>
        <w:spacing w:after="200" w:line="276" w:lineRule="auto"/>
        <w:rPr>
          <w:szCs w:val="22"/>
        </w:rPr>
      </w:pPr>
      <w:r>
        <w:rPr>
          <w:szCs w:val="22"/>
        </w:rPr>
        <w:t>Under the potential amendments, l</w:t>
      </w:r>
      <w:r w:rsidR="0052518C">
        <w:rPr>
          <w:szCs w:val="22"/>
        </w:rPr>
        <w:t>arge APRA</w:t>
      </w:r>
      <w:r w:rsidR="009A2AED">
        <w:rPr>
          <w:szCs w:val="22"/>
        </w:rPr>
        <w:t>-regulated</w:t>
      </w:r>
      <w:r w:rsidR="0052518C">
        <w:rPr>
          <w:szCs w:val="22"/>
        </w:rPr>
        <w:t xml:space="preserve"> funds would be exempted from the NALI provisions for general expenses, while remaining subject to the provisions for </w:t>
      </w:r>
      <w:r w:rsidR="00F70DC2">
        <w:rPr>
          <w:szCs w:val="22"/>
        </w:rPr>
        <w:t xml:space="preserve">specific </w:t>
      </w:r>
      <w:r w:rsidR="0052518C">
        <w:rPr>
          <w:szCs w:val="22"/>
        </w:rPr>
        <w:t xml:space="preserve">expenses linked to specific </w:t>
      </w:r>
      <w:r w:rsidR="00FD3EDA">
        <w:rPr>
          <w:szCs w:val="22"/>
        </w:rPr>
        <w:t xml:space="preserve">asset and </w:t>
      </w:r>
      <w:r w:rsidR="0052518C">
        <w:rPr>
          <w:szCs w:val="22"/>
        </w:rPr>
        <w:t xml:space="preserve">income sources. </w:t>
      </w:r>
      <w:r w:rsidR="0030712F" w:rsidRPr="0030712F">
        <w:rPr>
          <w:szCs w:val="22"/>
        </w:rPr>
        <w:t>Th</w:t>
      </w:r>
      <w:r w:rsidR="00F559CD">
        <w:rPr>
          <w:szCs w:val="22"/>
        </w:rPr>
        <w:t xml:space="preserve">is policy </w:t>
      </w:r>
      <w:r w:rsidR="004264E1">
        <w:rPr>
          <w:szCs w:val="22"/>
        </w:rPr>
        <w:t>approach</w:t>
      </w:r>
      <w:r w:rsidR="00F559CD">
        <w:rPr>
          <w:szCs w:val="22"/>
        </w:rPr>
        <w:t xml:space="preserve"> </w:t>
      </w:r>
      <w:r>
        <w:rPr>
          <w:szCs w:val="22"/>
        </w:rPr>
        <w:t>would be intended to</w:t>
      </w:r>
      <w:r w:rsidRPr="0030712F">
        <w:rPr>
          <w:szCs w:val="22"/>
        </w:rPr>
        <w:t xml:space="preserve"> </w:t>
      </w:r>
      <w:r w:rsidR="0030712F" w:rsidRPr="0030712F">
        <w:rPr>
          <w:szCs w:val="22"/>
        </w:rPr>
        <w:t xml:space="preserve">lower the compliance burden for </w:t>
      </w:r>
      <w:r w:rsidR="0030712F">
        <w:rPr>
          <w:szCs w:val="22"/>
        </w:rPr>
        <w:t xml:space="preserve">large </w:t>
      </w:r>
      <w:r w:rsidR="0030712F" w:rsidRPr="0030712F">
        <w:rPr>
          <w:szCs w:val="22"/>
        </w:rPr>
        <w:t>APRA</w:t>
      </w:r>
      <w:r w:rsidR="0030712F">
        <w:rPr>
          <w:szCs w:val="22"/>
        </w:rPr>
        <w:t>-regulated</w:t>
      </w:r>
      <w:r w:rsidR="0030712F" w:rsidRPr="0030712F">
        <w:rPr>
          <w:szCs w:val="22"/>
        </w:rPr>
        <w:t xml:space="preserve"> funds </w:t>
      </w:r>
      <w:r w:rsidR="002D4631">
        <w:rPr>
          <w:szCs w:val="22"/>
        </w:rPr>
        <w:t>as</w:t>
      </w:r>
      <w:r w:rsidR="00ED6E7B">
        <w:rPr>
          <w:szCs w:val="22"/>
        </w:rPr>
        <w:t xml:space="preserve"> there is a </w:t>
      </w:r>
      <w:r w:rsidR="0030712F" w:rsidRPr="0030712F">
        <w:rPr>
          <w:szCs w:val="22"/>
        </w:rPr>
        <w:t xml:space="preserve">lower level of tax integrity concern for </w:t>
      </w:r>
      <w:r w:rsidR="004F11EF">
        <w:rPr>
          <w:szCs w:val="22"/>
        </w:rPr>
        <w:t xml:space="preserve">non-arm’s length arrangements involving </w:t>
      </w:r>
      <w:r w:rsidR="0030712F" w:rsidRPr="0030712F">
        <w:rPr>
          <w:szCs w:val="22"/>
        </w:rPr>
        <w:t>general expenses</w:t>
      </w:r>
      <w:r w:rsidR="00836656">
        <w:rPr>
          <w:szCs w:val="22"/>
        </w:rPr>
        <w:t xml:space="preserve"> </w:t>
      </w:r>
      <w:r w:rsidR="002D4631">
        <w:rPr>
          <w:szCs w:val="22"/>
        </w:rPr>
        <w:t>for</w:t>
      </w:r>
      <w:r w:rsidR="00836656">
        <w:rPr>
          <w:szCs w:val="22"/>
        </w:rPr>
        <w:t xml:space="preserve"> these funds</w:t>
      </w:r>
      <w:r w:rsidR="0030712F" w:rsidRPr="0030712F">
        <w:rPr>
          <w:szCs w:val="22"/>
        </w:rPr>
        <w:t>.</w:t>
      </w:r>
    </w:p>
    <w:p w14:paraId="1069120C" w14:textId="22C0206B" w:rsidR="00A956AB" w:rsidRDefault="008D5C80" w:rsidP="00727F61">
      <w:pPr>
        <w:pStyle w:val="DoubleDot"/>
        <w:numPr>
          <w:ilvl w:val="0"/>
          <w:numId w:val="0"/>
        </w:numPr>
        <w:spacing w:after="200" w:line="276" w:lineRule="auto"/>
        <w:rPr>
          <w:szCs w:val="22"/>
        </w:rPr>
      </w:pPr>
      <w:r>
        <w:rPr>
          <w:szCs w:val="22"/>
        </w:rPr>
        <w:t>To the extent that n</w:t>
      </w:r>
      <w:r w:rsidR="006D3B80">
        <w:rPr>
          <w:szCs w:val="22"/>
        </w:rPr>
        <w:t>on-arm’s length</w:t>
      </w:r>
      <w:r w:rsidR="00811F26">
        <w:rPr>
          <w:szCs w:val="22"/>
        </w:rPr>
        <w:t xml:space="preserve"> arrangements</w:t>
      </w:r>
      <w:r w:rsidR="006D3B80">
        <w:rPr>
          <w:szCs w:val="22"/>
        </w:rPr>
        <w:t xml:space="preserve"> providing general services to large APRA-regulated funds</w:t>
      </w:r>
      <w:r w:rsidR="00811F26">
        <w:rPr>
          <w:szCs w:val="22"/>
        </w:rPr>
        <w:t xml:space="preserve"> are in place</w:t>
      </w:r>
      <w:r>
        <w:rPr>
          <w:szCs w:val="22"/>
        </w:rPr>
        <w:t>, these are generally</w:t>
      </w:r>
      <w:r w:rsidR="00811F26">
        <w:rPr>
          <w:szCs w:val="22"/>
        </w:rPr>
        <w:t xml:space="preserve"> </w:t>
      </w:r>
      <w:r>
        <w:rPr>
          <w:szCs w:val="22"/>
        </w:rPr>
        <w:t xml:space="preserve">entered into </w:t>
      </w:r>
      <w:r w:rsidR="00811F26">
        <w:rPr>
          <w:szCs w:val="22"/>
        </w:rPr>
        <w:t xml:space="preserve">with the primary intention of reducing cost and passing savings </w:t>
      </w:r>
      <w:r>
        <w:rPr>
          <w:szCs w:val="22"/>
        </w:rPr>
        <w:t xml:space="preserve">on </w:t>
      </w:r>
      <w:r w:rsidR="00811F26">
        <w:rPr>
          <w:szCs w:val="22"/>
        </w:rPr>
        <w:t>to members</w:t>
      </w:r>
      <w:r w:rsidR="00234074">
        <w:rPr>
          <w:szCs w:val="22"/>
        </w:rPr>
        <w:t>, rather than for the d</w:t>
      </w:r>
      <w:r w:rsidR="00234074" w:rsidRPr="001A5471">
        <w:rPr>
          <w:szCs w:val="22"/>
        </w:rPr>
        <w:t xml:space="preserve">ominant purpose </w:t>
      </w:r>
      <w:r w:rsidR="00234074">
        <w:rPr>
          <w:szCs w:val="22"/>
        </w:rPr>
        <w:t>of obtaining a tax benefit</w:t>
      </w:r>
      <w:r w:rsidR="006D542B">
        <w:rPr>
          <w:szCs w:val="22"/>
        </w:rPr>
        <w:t xml:space="preserve">. </w:t>
      </w:r>
    </w:p>
    <w:p w14:paraId="75018E31" w14:textId="1239DCA8" w:rsidR="00826EE3" w:rsidRPr="00114960" w:rsidRDefault="0052518C" w:rsidP="00DD1722">
      <w:pPr>
        <w:pStyle w:val="DoubleDot"/>
        <w:numPr>
          <w:ilvl w:val="0"/>
          <w:numId w:val="0"/>
        </w:numPr>
        <w:spacing w:after="200" w:line="276" w:lineRule="auto"/>
        <w:rPr>
          <w:szCs w:val="22"/>
        </w:rPr>
      </w:pPr>
      <w:r>
        <w:rPr>
          <w:szCs w:val="22"/>
        </w:rPr>
        <w:t xml:space="preserve">Retaining the </w:t>
      </w:r>
      <w:r w:rsidR="00453BA0">
        <w:rPr>
          <w:szCs w:val="22"/>
        </w:rPr>
        <w:t>currently operating</w:t>
      </w:r>
      <w:r>
        <w:rPr>
          <w:szCs w:val="22"/>
        </w:rPr>
        <w:t xml:space="preserve"> NALI provisions for expenses related to specific revenue and capital items </w:t>
      </w:r>
      <w:r w:rsidR="004F1795">
        <w:rPr>
          <w:szCs w:val="22"/>
        </w:rPr>
        <w:t xml:space="preserve">under the potential amendments outlined above would </w:t>
      </w:r>
      <w:r w:rsidR="00FD4CFD">
        <w:rPr>
          <w:szCs w:val="22"/>
        </w:rPr>
        <w:t>minimise</w:t>
      </w:r>
      <w:r>
        <w:rPr>
          <w:szCs w:val="22"/>
        </w:rPr>
        <w:t xml:space="preserve"> the scope for </w:t>
      </w:r>
      <w:r w:rsidR="00FD4CFD">
        <w:rPr>
          <w:szCs w:val="22"/>
        </w:rPr>
        <w:t xml:space="preserve">large APRA-regulated funds </w:t>
      </w:r>
      <w:r>
        <w:rPr>
          <w:szCs w:val="22"/>
        </w:rPr>
        <w:t>to pursue tax avoidance practices</w:t>
      </w:r>
      <w:r w:rsidR="00937986">
        <w:rPr>
          <w:szCs w:val="22"/>
        </w:rPr>
        <w:t xml:space="preserve">. In comparison to general expense arrangements there can be significantly greater possible tax benefits associated with </w:t>
      </w:r>
      <w:r w:rsidR="00937986" w:rsidRPr="008D08F0">
        <w:rPr>
          <w:szCs w:val="22"/>
        </w:rPr>
        <w:t xml:space="preserve">certain specific investments </w:t>
      </w:r>
      <w:r w:rsidR="00937986">
        <w:rPr>
          <w:szCs w:val="22"/>
        </w:rPr>
        <w:t>for large APRA-regulated funds. These can involve</w:t>
      </w:r>
      <w:r>
        <w:rPr>
          <w:szCs w:val="22"/>
        </w:rPr>
        <w:t xml:space="preserve"> shifting capital gains from related companies</w:t>
      </w:r>
      <w:r w:rsidR="00937986">
        <w:rPr>
          <w:szCs w:val="22"/>
        </w:rPr>
        <w:t xml:space="preserve"> and acquiring units in </w:t>
      </w:r>
      <w:r w:rsidR="00937986" w:rsidRPr="00937986">
        <w:rPr>
          <w:szCs w:val="22"/>
        </w:rPr>
        <w:t>related unit trust</w:t>
      </w:r>
      <w:r w:rsidR="00970B79">
        <w:rPr>
          <w:szCs w:val="22"/>
        </w:rPr>
        <w:t>s</w:t>
      </w:r>
      <w:r w:rsidR="00937986" w:rsidRPr="00937986">
        <w:rPr>
          <w:szCs w:val="22"/>
        </w:rPr>
        <w:t xml:space="preserve"> for less than market value</w:t>
      </w:r>
      <w:r>
        <w:rPr>
          <w:szCs w:val="22"/>
        </w:rPr>
        <w:t xml:space="preserve">. </w:t>
      </w:r>
      <w:r w:rsidR="00FD1072">
        <w:rPr>
          <w:szCs w:val="22"/>
        </w:rPr>
        <w:t>The</w:t>
      </w:r>
      <w:r w:rsidR="008D5C80">
        <w:rPr>
          <w:szCs w:val="22"/>
        </w:rPr>
        <w:t xml:space="preserve"> existing</w:t>
      </w:r>
      <w:r w:rsidR="00FD1072">
        <w:rPr>
          <w:szCs w:val="22"/>
        </w:rPr>
        <w:t xml:space="preserve"> NALI provisions for specific expenses provide t</w:t>
      </w:r>
      <w:r>
        <w:rPr>
          <w:szCs w:val="22"/>
        </w:rPr>
        <w:t xml:space="preserve">he ATO </w:t>
      </w:r>
      <w:r w:rsidR="00FD1072">
        <w:rPr>
          <w:szCs w:val="22"/>
        </w:rPr>
        <w:t xml:space="preserve">with </w:t>
      </w:r>
      <w:r>
        <w:rPr>
          <w:szCs w:val="22"/>
        </w:rPr>
        <w:t>substantive integrity provision</w:t>
      </w:r>
      <w:r w:rsidR="00FD1072">
        <w:rPr>
          <w:szCs w:val="22"/>
        </w:rPr>
        <w:t>s</w:t>
      </w:r>
      <w:r>
        <w:rPr>
          <w:szCs w:val="22"/>
        </w:rPr>
        <w:t xml:space="preserve"> to prevent tax avoidance.</w:t>
      </w:r>
    </w:p>
    <w:tbl>
      <w:tblPr>
        <w:tblW w:w="5000" w:type="pct"/>
        <w:shd w:val="clear" w:color="auto" w:fill="EEEEEE" w:themeFill="background2"/>
        <w:tblCellMar>
          <w:top w:w="227" w:type="dxa"/>
          <w:left w:w="227" w:type="dxa"/>
          <w:bottom w:w="227" w:type="dxa"/>
          <w:right w:w="227" w:type="dxa"/>
        </w:tblCellMar>
        <w:tblLook w:val="04A0" w:firstRow="1" w:lastRow="0" w:firstColumn="1" w:lastColumn="0" w:noHBand="0" w:noVBand="1"/>
      </w:tblPr>
      <w:tblGrid>
        <w:gridCol w:w="9070"/>
      </w:tblGrid>
      <w:tr w:rsidR="00E60D62" w14:paraId="20F0E9EE" w14:textId="77777777" w:rsidTr="006016A6">
        <w:tc>
          <w:tcPr>
            <w:tcW w:w="5000" w:type="pct"/>
            <w:shd w:val="clear" w:color="auto" w:fill="EEEEEE" w:themeFill="background2"/>
          </w:tcPr>
          <w:p w14:paraId="6C0E91F5" w14:textId="4F4C2A77" w:rsidR="00E60D62" w:rsidRDefault="00E60D62" w:rsidP="000D1284">
            <w:pPr>
              <w:pStyle w:val="BoxText"/>
              <w:rPr>
                <w:b/>
                <w:color w:val="2C384A" w:themeColor="accent1"/>
                <w:sz w:val="28"/>
                <w:szCs w:val="26"/>
              </w:rPr>
            </w:pPr>
            <w:r w:rsidRPr="00E60D62">
              <w:rPr>
                <w:b/>
                <w:color w:val="2C384A" w:themeColor="accent1"/>
                <w:sz w:val="28"/>
                <w:szCs w:val="26"/>
              </w:rPr>
              <w:t xml:space="preserve">Example </w:t>
            </w:r>
            <w:r w:rsidR="008E391A">
              <w:rPr>
                <w:b/>
                <w:color w:val="2C384A" w:themeColor="accent1"/>
                <w:sz w:val="28"/>
                <w:szCs w:val="26"/>
              </w:rPr>
              <w:t>3</w:t>
            </w:r>
            <w:r w:rsidRPr="00E60D62">
              <w:rPr>
                <w:b/>
                <w:color w:val="2C384A" w:themeColor="accent1"/>
                <w:sz w:val="28"/>
                <w:szCs w:val="26"/>
              </w:rPr>
              <w:t xml:space="preserve">: </w:t>
            </w:r>
            <w:r w:rsidR="005C022B">
              <w:rPr>
                <w:b/>
                <w:color w:val="2C384A" w:themeColor="accent1"/>
                <w:sz w:val="28"/>
                <w:szCs w:val="26"/>
              </w:rPr>
              <w:t xml:space="preserve">Large </w:t>
            </w:r>
            <w:r w:rsidRPr="00E60D62">
              <w:rPr>
                <w:b/>
                <w:color w:val="2C384A" w:themeColor="accent1"/>
                <w:sz w:val="28"/>
                <w:szCs w:val="26"/>
              </w:rPr>
              <w:t>APRA</w:t>
            </w:r>
            <w:r w:rsidR="005C022B">
              <w:rPr>
                <w:b/>
                <w:color w:val="2C384A" w:themeColor="accent1"/>
                <w:sz w:val="28"/>
                <w:szCs w:val="26"/>
              </w:rPr>
              <w:t>-regulated</w:t>
            </w:r>
            <w:r w:rsidRPr="00E60D62">
              <w:rPr>
                <w:b/>
                <w:color w:val="2C384A" w:themeColor="accent1"/>
                <w:sz w:val="28"/>
                <w:szCs w:val="26"/>
              </w:rPr>
              <w:t xml:space="preserve"> fund utilising trustee services </w:t>
            </w:r>
          </w:p>
          <w:p w14:paraId="088DDF5C" w14:textId="50588A70" w:rsidR="005972D6" w:rsidRDefault="00E60D62" w:rsidP="00E60D62">
            <w:pPr>
              <w:pStyle w:val="Bullet"/>
              <w:numPr>
                <w:ilvl w:val="0"/>
                <w:numId w:val="0"/>
              </w:numPr>
            </w:pPr>
            <w:r w:rsidRPr="003A1D7B">
              <w:t>In the 202</w:t>
            </w:r>
            <w:r>
              <w:t>3</w:t>
            </w:r>
            <w:r w:rsidRPr="003A1D7B">
              <w:t>-2</w:t>
            </w:r>
            <w:r>
              <w:t>4</w:t>
            </w:r>
            <w:r w:rsidR="000F71E0">
              <w:t xml:space="preserve"> financial </w:t>
            </w:r>
            <w:r w:rsidR="000F71E0" w:rsidRPr="003A1D7B">
              <w:t>year</w:t>
            </w:r>
            <w:r w:rsidRPr="003A1D7B">
              <w:t xml:space="preserve">, </w:t>
            </w:r>
            <w:r w:rsidR="005A6287">
              <w:t>Large Super</w:t>
            </w:r>
            <w:r w:rsidR="005A6287" w:rsidRPr="00F249F2">
              <w:t xml:space="preserve"> </w:t>
            </w:r>
            <w:r w:rsidR="005C022B" w:rsidRPr="00F249F2">
              <w:t xml:space="preserve">Fund Pty Ltd is </w:t>
            </w:r>
            <w:r w:rsidRPr="003A1D7B">
              <w:t xml:space="preserve">the </w:t>
            </w:r>
            <w:r w:rsidR="00CA2A29">
              <w:t xml:space="preserve">corporate </w:t>
            </w:r>
            <w:r w:rsidRPr="003A1D7B">
              <w:t>trustee of a large APRA</w:t>
            </w:r>
            <w:r w:rsidR="000F71E0">
              <w:t>-regulated</w:t>
            </w:r>
            <w:r w:rsidRPr="003A1D7B">
              <w:t xml:space="preserve"> fund </w:t>
            </w:r>
            <w:r w:rsidR="006F70B2">
              <w:t xml:space="preserve">and </w:t>
            </w:r>
            <w:r>
              <w:t xml:space="preserve">provides a range of services to the fund </w:t>
            </w:r>
            <w:r w:rsidR="00C12DA7">
              <w:t>including administration, accounting services and investment advice</w:t>
            </w:r>
            <w:r w:rsidR="00E34B92">
              <w:t xml:space="preserve"> valued at $1 million</w:t>
            </w:r>
            <w:r w:rsidR="000F71E0">
              <w:t>.</w:t>
            </w:r>
            <w:r>
              <w:t xml:space="preserve"> </w:t>
            </w:r>
            <w:r w:rsidR="005A6287">
              <w:t>Large Super</w:t>
            </w:r>
            <w:r w:rsidR="005A6287" w:rsidRPr="00F249F2">
              <w:t xml:space="preserve"> </w:t>
            </w:r>
            <w:r w:rsidR="005C022B" w:rsidRPr="00F249F2">
              <w:t xml:space="preserve">Fund Pty Ltd </w:t>
            </w:r>
            <w:r>
              <w:t xml:space="preserve">receives </w:t>
            </w:r>
            <w:r w:rsidR="009F2253">
              <w:t>$</w:t>
            </w:r>
            <w:r w:rsidR="006378BC">
              <w:t>20</w:t>
            </w:r>
            <w:r w:rsidR="009F2253">
              <w:t xml:space="preserve">0,000 in </w:t>
            </w:r>
            <w:r>
              <w:t>remuneration for managing the fund</w:t>
            </w:r>
            <w:r w:rsidR="009F2253">
              <w:t>, an amount which is non-arm’s length</w:t>
            </w:r>
            <w:r>
              <w:t xml:space="preserve">. </w:t>
            </w:r>
            <w:r w:rsidR="005C022B" w:rsidRPr="005C022B">
              <w:t xml:space="preserve">The </w:t>
            </w:r>
            <w:r w:rsidR="00CA7DD0">
              <w:t>amount of</w:t>
            </w:r>
            <w:r w:rsidR="005C022B" w:rsidRPr="005C022B">
              <w:t xml:space="preserve"> remuneration </w:t>
            </w:r>
            <w:r w:rsidR="00CA7DD0">
              <w:t>paid by the fund</w:t>
            </w:r>
            <w:r w:rsidR="005C022B" w:rsidRPr="005C022B">
              <w:t xml:space="preserve"> does not reflect the assets used, the functions performed and/or risks assumed to manage a complex fund. </w:t>
            </w:r>
          </w:p>
          <w:p w14:paraId="4FCB1450" w14:textId="40ACD196" w:rsidR="00E60D62" w:rsidRDefault="00E34B92" w:rsidP="00E60D62">
            <w:pPr>
              <w:pStyle w:val="Bullet"/>
              <w:numPr>
                <w:ilvl w:val="0"/>
                <w:numId w:val="0"/>
              </w:numPr>
            </w:pPr>
            <w:r>
              <w:t xml:space="preserve">The fund’s total income for 2023-24 </w:t>
            </w:r>
            <w:r w:rsidR="00F4188B">
              <w:t>is</w:t>
            </w:r>
            <w:r>
              <w:t xml:space="preserve"> $1 billion</w:t>
            </w:r>
            <w:r w:rsidR="00F4188B">
              <w:t xml:space="preserve"> (after relevant expenses)</w:t>
            </w:r>
            <w:r>
              <w:t>.</w:t>
            </w:r>
            <w:r w:rsidR="00DB65B1">
              <w:t xml:space="preserve"> The applicable average rate of tax on this income would have otherwise been 10 per cent.</w:t>
            </w:r>
          </w:p>
          <w:p w14:paraId="7378E7AF" w14:textId="4D6F152D" w:rsidR="008E391A" w:rsidRDefault="005C022B" w:rsidP="00F21FD5">
            <w:pPr>
              <w:pStyle w:val="Bullet"/>
              <w:numPr>
                <w:ilvl w:val="0"/>
                <w:numId w:val="0"/>
              </w:numPr>
            </w:pPr>
            <w:r w:rsidRPr="003A1D7B">
              <w:t xml:space="preserve">Under the current </w:t>
            </w:r>
            <w:r w:rsidR="006F70B2">
              <w:t xml:space="preserve">NALI </w:t>
            </w:r>
            <w:r w:rsidRPr="003A1D7B">
              <w:t>rules</w:t>
            </w:r>
            <w:r>
              <w:t>, the fund</w:t>
            </w:r>
            <w:r w:rsidRPr="00F249F2">
              <w:t xml:space="preserve"> would trigger the </w:t>
            </w:r>
            <w:r w:rsidR="006F70B2" w:rsidRPr="00F249F2">
              <w:t>NAL</w:t>
            </w:r>
            <w:r w:rsidR="006F70B2">
              <w:t>I</w:t>
            </w:r>
            <w:r w:rsidR="006F70B2" w:rsidRPr="00F249F2">
              <w:t xml:space="preserve"> </w:t>
            </w:r>
            <w:r w:rsidRPr="00F249F2">
              <w:t xml:space="preserve">provisions as the fund incurred expenditure less than </w:t>
            </w:r>
            <w:r>
              <w:t xml:space="preserve">what </w:t>
            </w:r>
            <w:r w:rsidRPr="00F249F2">
              <w:t>would otherwise be expected if the parties were dealing with each other at arm's length. Trustee services would be considered as general expen</w:t>
            </w:r>
            <w:r>
              <w:t xml:space="preserve">ses, </w:t>
            </w:r>
            <w:r w:rsidR="00CA2A29">
              <w:t>with</w:t>
            </w:r>
            <w:r w:rsidR="00E34B92">
              <w:t xml:space="preserve"> a sufficient nexus with entire income of the fund for the 2023-24</w:t>
            </w:r>
            <w:r w:rsidR="006F70B2">
              <w:t xml:space="preserve"> income year</w:t>
            </w:r>
            <w:r w:rsidR="00F4188B">
              <w:t>.</w:t>
            </w:r>
            <w:r w:rsidR="00C12DA7">
              <w:t xml:space="preserve"> </w:t>
            </w:r>
            <w:r w:rsidR="00F4188B">
              <w:t xml:space="preserve">Total income of the fund </w:t>
            </w:r>
            <w:r w:rsidR="00C12DA7">
              <w:t xml:space="preserve">would </w:t>
            </w:r>
            <w:r w:rsidR="00E60D62" w:rsidRPr="003A1D7B">
              <w:t>be taxed at the top marginal tax rate of 4</w:t>
            </w:r>
            <w:r w:rsidR="00E60D62">
              <w:t>5 per cent</w:t>
            </w:r>
            <w:r w:rsidR="00E60D62" w:rsidRPr="003A1D7B">
              <w:t xml:space="preserve">. </w:t>
            </w:r>
            <w:r w:rsidR="00C12DA7">
              <w:t>The fund would pay $450 million</w:t>
            </w:r>
            <w:r w:rsidR="00F4188B">
              <w:t xml:space="preserve"> in tax for the 2023-24 </w:t>
            </w:r>
            <w:r w:rsidR="006F70B2">
              <w:t xml:space="preserve">income </w:t>
            </w:r>
            <w:r w:rsidR="00F4188B">
              <w:t>year</w:t>
            </w:r>
            <w:r w:rsidR="00C12DA7">
              <w:t xml:space="preserve">. </w:t>
            </w:r>
          </w:p>
          <w:p w14:paraId="48954124" w14:textId="44B33C94" w:rsidR="00E60D62" w:rsidRPr="000D1284" w:rsidRDefault="00E60D62" w:rsidP="00E60D62">
            <w:pPr>
              <w:pStyle w:val="Bullet"/>
              <w:numPr>
                <w:ilvl w:val="0"/>
                <w:numId w:val="0"/>
              </w:numPr>
            </w:pPr>
            <w:r>
              <w:t xml:space="preserve">Under </w:t>
            </w:r>
            <w:r w:rsidR="00CA2A29">
              <w:t xml:space="preserve">the </w:t>
            </w:r>
            <w:r w:rsidR="007E411B">
              <w:t>potential</w:t>
            </w:r>
            <w:r w:rsidR="00CA2A29">
              <w:t xml:space="preserve"> amendments</w:t>
            </w:r>
            <w:r>
              <w:t>,</w:t>
            </w:r>
            <w:r w:rsidRPr="00972D8B">
              <w:t xml:space="preserve"> general expenses for APRA funds</w:t>
            </w:r>
            <w:r>
              <w:t xml:space="preserve"> would not be subject to </w:t>
            </w:r>
            <w:r w:rsidR="006F70B2">
              <w:t xml:space="preserve">the </w:t>
            </w:r>
            <w:r>
              <w:t>NAL</w:t>
            </w:r>
            <w:r w:rsidR="00F4188B">
              <w:t>I</w:t>
            </w:r>
            <w:r>
              <w:t xml:space="preserve"> provisions. The fund would </w:t>
            </w:r>
            <w:r w:rsidR="006F70B2">
              <w:t xml:space="preserve">therefore </w:t>
            </w:r>
            <w:r>
              <w:t xml:space="preserve">not be in breach </w:t>
            </w:r>
            <w:r w:rsidR="006F70B2">
              <w:t xml:space="preserve">the </w:t>
            </w:r>
            <w:r>
              <w:t xml:space="preserve">of </w:t>
            </w:r>
            <w:r w:rsidR="00F4188B">
              <w:t>NAL</w:t>
            </w:r>
            <w:r w:rsidR="006F70B2">
              <w:t>I</w:t>
            </w:r>
            <w:r>
              <w:t xml:space="preserve"> provisions</w:t>
            </w:r>
            <w:r w:rsidR="00F4188B">
              <w:t>, and</w:t>
            </w:r>
            <w:r>
              <w:t xml:space="preserve"> </w:t>
            </w:r>
            <w:r w:rsidR="005A6287">
              <w:t>Large Super</w:t>
            </w:r>
            <w:r w:rsidR="005A6287" w:rsidRPr="00F249F2">
              <w:t xml:space="preserve"> </w:t>
            </w:r>
            <w:r w:rsidR="005C022B" w:rsidRPr="00F249F2">
              <w:t xml:space="preserve">Fund Pty Ltd </w:t>
            </w:r>
            <w:r w:rsidR="00F4188B">
              <w:t xml:space="preserve">could </w:t>
            </w:r>
            <w:r>
              <w:t xml:space="preserve">continue to provide services to the fund for </w:t>
            </w:r>
            <w:r w:rsidR="00D7403D">
              <w:t>$200,000</w:t>
            </w:r>
            <w:r w:rsidR="00DB65B1">
              <w:t>.</w:t>
            </w:r>
            <w:r>
              <w:t xml:space="preserve"> </w:t>
            </w:r>
            <w:r w:rsidR="00DB65B1">
              <w:t>The fund</w:t>
            </w:r>
            <w:r>
              <w:t xml:space="preserve"> </w:t>
            </w:r>
            <w:r w:rsidR="005C022B">
              <w:t xml:space="preserve">would </w:t>
            </w:r>
            <w:r>
              <w:t>continue to be taxed at the concessional rate</w:t>
            </w:r>
            <w:r w:rsidR="00DB65B1">
              <w:t>s</w:t>
            </w:r>
            <w:r w:rsidR="00F4188B">
              <w:t xml:space="preserve"> </w:t>
            </w:r>
            <w:r w:rsidR="00DB65B1">
              <w:t>for superannuation funds</w:t>
            </w:r>
            <w:r w:rsidR="005C022B">
              <w:t xml:space="preserve"> and</w:t>
            </w:r>
            <w:r w:rsidR="00C12DA7">
              <w:t xml:space="preserve"> pay total tax of $1</w:t>
            </w:r>
            <w:r w:rsidR="00DB65B1">
              <w:t>0</w:t>
            </w:r>
            <w:r w:rsidR="00C12DA7">
              <w:t>0 million for the</w:t>
            </w:r>
            <w:r w:rsidR="00DB65B1">
              <w:t xml:space="preserve"> 2023-24 </w:t>
            </w:r>
            <w:r w:rsidR="006F70B2">
              <w:t xml:space="preserve">income </w:t>
            </w:r>
            <w:r w:rsidR="00C12DA7">
              <w:t>year.</w:t>
            </w:r>
          </w:p>
        </w:tc>
      </w:tr>
    </w:tbl>
    <w:p w14:paraId="24C52F57" w14:textId="77777777" w:rsidR="005D5309" w:rsidRDefault="005D5309" w:rsidP="006016A6"/>
    <w:tbl>
      <w:tblPr>
        <w:tblW w:w="5000" w:type="pct"/>
        <w:shd w:val="clear" w:color="auto" w:fill="EEEEEE" w:themeFill="background2"/>
        <w:tblCellMar>
          <w:top w:w="227" w:type="dxa"/>
          <w:left w:w="227" w:type="dxa"/>
          <w:bottom w:w="227" w:type="dxa"/>
          <w:right w:w="227" w:type="dxa"/>
        </w:tblCellMar>
        <w:tblLook w:val="04A0" w:firstRow="1" w:lastRow="0" w:firstColumn="1" w:lastColumn="0" w:noHBand="0" w:noVBand="1"/>
      </w:tblPr>
      <w:tblGrid>
        <w:gridCol w:w="9070"/>
      </w:tblGrid>
      <w:tr w:rsidR="00E60D62" w14:paraId="0425C78E" w14:textId="77777777" w:rsidTr="006016A6">
        <w:tc>
          <w:tcPr>
            <w:tcW w:w="5000" w:type="pct"/>
            <w:shd w:val="clear" w:color="auto" w:fill="EEEEEE" w:themeFill="background2"/>
          </w:tcPr>
          <w:p w14:paraId="5268C8BF" w14:textId="6E38C3D4" w:rsidR="00E60D62" w:rsidRDefault="00E60D62" w:rsidP="000D1284">
            <w:pPr>
              <w:pStyle w:val="BoxText"/>
              <w:rPr>
                <w:b/>
                <w:color w:val="2C384A" w:themeColor="accent1"/>
                <w:sz w:val="28"/>
                <w:szCs w:val="26"/>
              </w:rPr>
            </w:pPr>
            <w:r w:rsidRPr="00E60D62">
              <w:rPr>
                <w:b/>
                <w:color w:val="2C384A" w:themeColor="accent1"/>
                <w:sz w:val="28"/>
                <w:szCs w:val="26"/>
              </w:rPr>
              <w:lastRenderedPageBreak/>
              <w:t xml:space="preserve">Example </w:t>
            </w:r>
            <w:r w:rsidR="005C022B">
              <w:rPr>
                <w:b/>
                <w:color w:val="2C384A" w:themeColor="accent1"/>
                <w:sz w:val="28"/>
                <w:szCs w:val="26"/>
              </w:rPr>
              <w:t>4</w:t>
            </w:r>
            <w:r w:rsidRPr="00E60D62">
              <w:rPr>
                <w:b/>
                <w:color w:val="2C384A" w:themeColor="accent1"/>
                <w:sz w:val="28"/>
                <w:szCs w:val="26"/>
              </w:rPr>
              <w:t xml:space="preserve">: Large </w:t>
            </w:r>
            <w:r w:rsidR="005D47BF">
              <w:rPr>
                <w:b/>
                <w:color w:val="2C384A" w:themeColor="accent1"/>
                <w:sz w:val="28"/>
                <w:szCs w:val="26"/>
              </w:rPr>
              <w:t>APRA</w:t>
            </w:r>
            <w:r w:rsidR="005C022B">
              <w:rPr>
                <w:b/>
                <w:color w:val="2C384A" w:themeColor="accent1"/>
                <w:sz w:val="28"/>
                <w:szCs w:val="26"/>
              </w:rPr>
              <w:t>-regulated</w:t>
            </w:r>
            <w:r w:rsidR="005D47BF">
              <w:rPr>
                <w:b/>
                <w:color w:val="2C384A" w:themeColor="accent1"/>
                <w:sz w:val="28"/>
                <w:szCs w:val="26"/>
              </w:rPr>
              <w:t xml:space="preserve"> fund</w:t>
            </w:r>
            <w:r w:rsidRPr="00E60D62">
              <w:rPr>
                <w:b/>
                <w:color w:val="2C384A" w:themeColor="accent1"/>
                <w:sz w:val="28"/>
                <w:szCs w:val="26"/>
              </w:rPr>
              <w:t xml:space="preserve"> </w:t>
            </w:r>
            <w:r w:rsidR="009E5AD8" w:rsidRPr="009E5AD8">
              <w:rPr>
                <w:b/>
                <w:color w:val="2C384A" w:themeColor="accent1"/>
                <w:sz w:val="28"/>
                <w:szCs w:val="26"/>
              </w:rPr>
              <w:t xml:space="preserve">acquires an asset at </w:t>
            </w:r>
            <w:r w:rsidR="003F5189">
              <w:rPr>
                <w:b/>
                <w:color w:val="2C384A" w:themeColor="accent1"/>
                <w:sz w:val="28"/>
                <w:szCs w:val="26"/>
              </w:rPr>
              <w:t xml:space="preserve">a </w:t>
            </w:r>
            <w:r w:rsidR="009E5AD8" w:rsidRPr="009E5AD8">
              <w:rPr>
                <w:b/>
                <w:color w:val="2C384A" w:themeColor="accent1"/>
                <w:sz w:val="28"/>
                <w:szCs w:val="26"/>
              </w:rPr>
              <w:t xml:space="preserve">non-arm’s length price </w:t>
            </w:r>
          </w:p>
          <w:p w14:paraId="29751D11" w14:textId="77777777" w:rsidR="009E5AD8" w:rsidRDefault="009E5AD8" w:rsidP="00AC0F30">
            <w:pPr>
              <w:pStyle w:val="Bullet"/>
              <w:numPr>
                <w:ilvl w:val="0"/>
                <w:numId w:val="0"/>
              </w:numPr>
            </w:pPr>
            <w:r>
              <w:t xml:space="preserve">A large APRA-regulated superannuation fund acquires 500,000 shares in XYZ service company that is a related party of the fund for $1 per share in the 2022-23 income year. The market value of the shares at the time of acquisition is $5 per share. </w:t>
            </w:r>
          </w:p>
          <w:p w14:paraId="0CE8DDEF" w14:textId="77777777" w:rsidR="009E5AD8" w:rsidRDefault="009E5AD8" w:rsidP="00AC0F30">
            <w:pPr>
              <w:pStyle w:val="Bullet"/>
              <w:numPr>
                <w:ilvl w:val="0"/>
                <w:numId w:val="0"/>
              </w:numPr>
            </w:pPr>
            <w:r>
              <w:t>In the 2023-24 income year, the superannuation fund receives a $150,000 cash dividend from XYZ service company.</w:t>
            </w:r>
          </w:p>
          <w:p w14:paraId="5C96DB9C" w14:textId="519FA3D5" w:rsidR="009E5AD8" w:rsidRDefault="009E5AD8" w:rsidP="00AC0F30">
            <w:pPr>
              <w:pStyle w:val="Bullet"/>
              <w:numPr>
                <w:ilvl w:val="0"/>
                <w:numId w:val="0"/>
              </w:numPr>
            </w:pPr>
            <w:r>
              <w:t>Under the current rules</w:t>
            </w:r>
            <w:r w:rsidR="001405BC">
              <w:t>, the fund</w:t>
            </w:r>
            <w:r w:rsidR="001405BC" w:rsidRPr="00F249F2">
              <w:t xml:space="preserve"> would trigger the NAL</w:t>
            </w:r>
            <w:r w:rsidR="001405BC">
              <w:t>I</w:t>
            </w:r>
            <w:r w:rsidR="001405BC" w:rsidRPr="00F249F2">
              <w:t xml:space="preserve"> provisions as the fund incurred expenditure less than </w:t>
            </w:r>
            <w:r w:rsidR="001405BC">
              <w:t xml:space="preserve">what </w:t>
            </w:r>
            <w:r w:rsidR="001405BC" w:rsidRPr="00F249F2">
              <w:t>would otherwise be expected if the parties were dealing with each other at arm's length.</w:t>
            </w:r>
            <w:r>
              <w:t xml:space="preserve"> </w:t>
            </w:r>
            <w:r w:rsidR="001405BC">
              <w:t>T</w:t>
            </w:r>
            <w:r>
              <w:t xml:space="preserve">here is a sufficient nexus between the </w:t>
            </w:r>
            <w:r w:rsidR="002304EC">
              <w:t>NALE</w:t>
            </w:r>
            <w:r>
              <w:t xml:space="preserve"> incurred in acquiring the shares and the dividend income the superannuation fund derives from its investment. </w:t>
            </w:r>
            <w:r w:rsidR="001405BC" w:rsidRPr="001405BC">
              <w:t xml:space="preserve">The superannuation fund would pay tax on the dividend income </w:t>
            </w:r>
            <w:r w:rsidR="001405BC">
              <w:t xml:space="preserve">received from XYZ </w:t>
            </w:r>
            <w:r w:rsidR="001405BC" w:rsidRPr="001405BC">
              <w:t xml:space="preserve">at </w:t>
            </w:r>
            <w:r w:rsidR="001405BC" w:rsidRPr="003A1D7B">
              <w:t>the top marginal tax rate of</w:t>
            </w:r>
            <w:r w:rsidR="001405BC" w:rsidRPr="001405BC">
              <w:t xml:space="preserve"> 45</w:t>
            </w:r>
            <w:r w:rsidR="001405BC">
              <w:t xml:space="preserve"> per cent in the 2023-24 income year</w:t>
            </w:r>
            <w:r w:rsidR="001405BC" w:rsidRPr="001405BC">
              <w:t>.</w:t>
            </w:r>
            <w:r w:rsidR="001405BC">
              <w:t xml:space="preserve"> </w:t>
            </w:r>
            <w:r>
              <w:t xml:space="preserve">Any capital gain derived from sale of the </w:t>
            </w:r>
            <w:r w:rsidR="001405BC">
              <w:t xml:space="preserve">XYZ </w:t>
            </w:r>
            <w:r>
              <w:t xml:space="preserve">shares would also be treated as NALI. </w:t>
            </w:r>
          </w:p>
          <w:p w14:paraId="4F72DA19" w14:textId="080F0767" w:rsidR="00E60D62" w:rsidRPr="000D1284" w:rsidRDefault="001405BC" w:rsidP="005D5309">
            <w:pPr>
              <w:pStyle w:val="Bullet"/>
              <w:numPr>
                <w:ilvl w:val="0"/>
                <w:numId w:val="0"/>
              </w:numPr>
            </w:pPr>
            <w:r>
              <w:t xml:space="preserve">Under the </w:t>
            </w:r>
            <w:r w:rsidR="007E411B">
              <w:t>potential</w:t>
            </w:r>
            <w:r>
              <w:t xml:space="preserve"> amendments,</w:t>
            </w:r>
            <w:r w:rsidRPr="00972D8B">
              <w:t xml:space="preserve"> </w:t>
            </w:r>
            <w:r>
              <w:t>t</w:t>
            </w:r>
            <w:r w:rsidR="009E5AD8">
              <w:t xml:space="preserve">he income treated as NALI would not be impacted as the NALE is not a general expense with a sufficient nexus with all income of the fund. </w:t>
            </w:r>
            <w:r w:rsidR="009E5AD8">
              <w:rPr>
                <w:szCs w:val="22"/>
              </w:rPr>
              <w:t>T</w:t>
            </w:r>
            <w:r w:rsidR="009E5AD8" w:rsidRPr="005D47BF">
              <w:rPr>
                <w:szCs w:val="22"/>
              </w:rPr>
              <w:t xml:space="preserve">he </w:t>
            </w:r>
            <w:r w:rsidR="003A3CCC">
              <w:rPr>
                <w:szCs w:val="22"/>
              </w:rPr>
              <w:t>fund</w:t>
            </w:r>
            <w:r w:rsidR="003A3CCC" w:rsidRPr="005D47BF">
              <w:rPr>
                <w:szCs w:val="22"/>
              </w:rPr>
              <w:t xml:space="preserve"> </w:t>
            </w:r>
            <w:r w:rsidR="009E5AD8" w:rsidRPr="005D47BF">
              <w:rPr>
                <w:szCs w:val="22"/>
              </w:rPr>
              <w:t xml:space="preserve">would pay the same total tax </w:t>
            </w:r>
            <w:r w:rsidR="009E5AD8">
              <w:rPr>
                <w:szCs w:val="22"/>
              </w:rPr>
              <w:t xml:space="preserve">on dividend and capital gain </w:t>
            </w:r>
            <w:r w:rsidR="009E5AD8" w:rsidRPr="005D47BF">
              <w:rPr>
                <w:szCs w:val="22"/>
              </w:rPr>
              <w:t xml:space="preserve">income </w:t>
            </w:r>
            <w:r w:rsidR="009E5AD8">
              <w:rPr>
                <w:szCs w:val="22"/>
              </w:rPr>
              <w:t xml:space="preserve">derived from the shares in XYZ, </w:t>
            </w:r>
            <w:r w:rsidR="009E5AD8" w:rsidRPr="005D47BF">
              <w:rPr>
                <w:szCs w:val="22"/>
              </w:rPr>
              <w:t>as the</w:t>
            </w:r>
            <w:r w:rsidR="009E5AD8">
              <w:rPr>
                <w:szCs w:val="22"/>
              </w:rPr>
              <w:t xml:space="preserve"> </w:t>
            </w:r>
            <w:r w:rsidR="009E5AD8" w:rsidRPr="00C472FA">
              <w:rPr>
                <w:szCs w:val="22"/>
              </w:rPr>
              <w:t xml:space="preserve">current NALI rules will continue to apply to NALE </w:t>
            </w:r>
            <w:r w:rsidR="009E5AD8">
              <w:rPr>
                <w:szCs w:val="22"/>
              </w:rPr>
              <w:t xml:space="preserve">breaches </w:t>
            </w:r>
            <w:r w:rsidR="009E5AD8" w:rsidRPr="00C472FA">
              <w:rPr>
                <w:szCs w:val="22"/>
              </w:rPr>
              <w:t>relating to specific assets</w:t>
            </w:r>
            <w:r w:rsidR="009E5AD8" w:rsidRPr="005D47BF">
              <w:rPr>
                <w:szCs w:val="22"/>
              </w:rPr>
              <w:t xml:space="preserve">. </w:t>
            </w:r>
          </w:p>
        </w:tc>
      </w:tr>
    </w:tbl>
    <w:p w14:paraId="086C3827" w14:textId="24D6B077" w:rsidR="00FC6766" w:rsidRDefault="00FC6766" w:rsidP="007700E4">
      <w:pPr>
        <w:pStyle w:val="OutlineNumbered1"/>
        <w:numPr>
          <w:ilvl w:val="0"/>
          <w:numId w:val="0"/>
        </w:numPr>
        <w:rPr>
          <w:lang w:eastAsia="en-US"/>
        </w:rPr>
      </w:pPr>
    </w:p>
    <w:tbl>
      <w:tblPr>
        <w:tblW w:w="5000" w:type="pct"/>
        <w:shd w:val="clear" w:color="auto" w:fill="F2F9FC"/>
        <w:tblCellMar>
          <w:top w:w="227" w:type="dxa"/>
          <w:left w:w="227" w:type="dxa"/>
          <w:bottom w:w="227" w:type="dxa"/>
          <w:right w:w="227" w:type="dxa"/>
        </w:tblCellMar>
        <w:tblLook w:val="01E0" w:firstRow="1" w:lastRow="1" w:firstColumn="1" w:lastColumn="1" w:noHBand="0" w:noVBand="0"/>
      </w:tblPr>
      <w:tblGrid>
        <w:gridCol w:w="9070"/>
      </w:tblGrid>
      <w:tr w:rsidR="00FC6766" w14:paraId="252BCEBF" w14:textId="77777777" w:rsidTr="00E075C5">
        <w:tc>
          <w:tcPr>
            <w:tcW w:w="5000" w:type="pct"/>
            <w:shd w:val="clear" w:color="auto" w:fill="F2F9FC"/>
            <w:hideMark/>
          </w:tcPr>
          <w:p w14:paraId="29931C97" w14:textId="77777777" w:rsidR="00FC6766" w:rsidRDefault="00FC6766" w:rsidP="00620398">
            <w:pPr>
              <w:pStyle w:val="BoxHeading"/>
              <w:spacing w:line="276" w:lineRule="auto"/>
              <w:rPr>
                <w:szCs w:val="28"/>
                <w:lang w:eastAsia="en-US"/>
              </w:rPr>
            </w:pPr>
            <w:r>
              <w:rPr>
                <w:szCs w:val="28"/>
                <w:lang w:eastAsia="en-US"/>
              </w:rPr>
              <w:t>Consultation questions</w:t>
            </w:r>
          </w:p>
          <w:p w14:paraId="4C0DA02F" w14:textId="4F96CC43" w:rsidR="004F1795" w:rsidRDefault="004F1795" w:rsidP="00620398">
            <w:pPr>
              <w:pStyle w:val="OutlineNumbered1"/>
              <w:numPr>
                <w:ilvl w:val="0"/>
                <w:numId w:val="0"/>
              </w:numPr>
              <w:spacing w:line="276" w:lineRule="auto"/>
              <w:ind w:left="851" w:hanging="851"/>
              <w:rPr>
                <w:lang w:eastAsia="en-US"/>
              </w:rPr>
            </w:pPr>
            <w:r w:rsidRPr="004F1795">
              <w:rPr>
                <w:lang w:eastAsia="en-US"/>
              </w:rPr>
              <w:t>We invite feedback on the following questions:</w:t>
            </w:r>
          </w:p>
          <w:p w14:paraId="422216E5" w14:textId="7AD81BE7" w:rsidR="00B97CDF" w:rsidRPr="007700E4" w:rsidRDefault="00B97CDF" w:rsidP="00620398">
            <w:pPr>
              <w:pStyle w:val="OutlineNumbered1"/>
              <w:spacing w:line="276" w:lineRule="auto"/>
              <w:rPr>
                <w:lang w:eastAsia="en-US"/>
              </w:rPr>
            </w:pPr>
            <w:r>
              <w:rPr>
                <w:lang w:eastAsia="en-US"/>
              </w:rPr>
              <w:t xml:space="preserve">Would </w:t>
            </w:r>
            <w:r w:rsidR="00F559CD">
              <w:rPr>
                <w:lang w:eastAsia="en-US"/>
              </w:rPr>
              <w:t>c</w:t>
            </w:r>
            <w:r w:rsidR="00F559CD" w:rsidRPr="00A9028D">
              <w:rPr>
                <w:lang w:eastAsia="en-US"/>
              </w:rPr>
              <w:t>arving out large APRA-regulated funds from the NALI provisions for general expenses</w:t>
            </w:r>
            <w:r w:rsidR="00F559CD" w:rsidRPr="0030712F">
              <w:rPr>
                <w:szCs w:val="22"/>
              </w:rPr>
              <w:t xml:space="preserve"> </w:t>
            </w:r>
            <w:r w:rsidR="00D7403D">
              <w:rPr>
                <w:szCs w:val="22"/>
              </w:rPr>
              <w:t xml:space="preserve">appreciably </w:t>
            </w:r>
            <w:r w:rsidRPr="0030712F">
              <w:rPr>
                <w:szCs w:val="22"/>
              </w:rPr>
              <w:t xml:space="preserve">lower the compliance burden for </w:t>
            </w:r>
            <w:r>
              <w:rPr>
                <w:szCs w:val="22"/>
              </w:rPr>
              <w:t xml:space="preserve">large </w:t>
            </w:r>
            <w:r w:rsidRPr="0030712F">
              <w:rPr>
                <w:szCs w:val="22"/>
              </w:rPr>
              <w:t>APRA</w:t>
            </w:r>
            <w:r>
              <w:rPr>
                <w:szCs w:val="22"/>
              </w:rPr>
              <w:t>-regulated</w:t>
            </w:r>
            <w:r w:rsidRPr="0030712F">
              <w:rPr>
                <w:szCs w:val="22"/>
              </w:rPr>
              <w:t xml:space="preserve"> funds</w:t>
            </w:r>
            <w:r>
              <w:rPr>
                <w:szCs w:val="22"/>
              </w:rPr>
              <w:t>?</w:t>
            </w:r>
          </w:p>
          <w:p w14:paraId="21DC8D77" w14:textId="78743D88" w:rsidR="00FC6766" w:rsidRDefault="003A3CCC" w:rsidP="00620398">
            <w:pPr>
              <w:pStyle w:val="OutlineNumbered1"/>
              <w:spacing w:line="276" w:lineRule="auto"/>
              <w:rPr>
                <w:lang w:eastAsia="en-US"/>
              </w:rPr>
            </w:pPr>
            <w:r>
              <w:rPr>
                <w:lang w:eastAsia="en-US"/>
              </w:rPr>
              <w:t xml:space="preserve">Are there </w:t>
            </w:r>
            <w:r w:rsidR="00A9028D">
              <w:rPr>
                <w:lang w:eastAsia="en-US"/>
              </w:rPr>
              <w:t xml:space="preserve">any unintended </w:t>
            </w:r>
            <w:r w:rsidR="00FC6766">
              <w:rPr>
                <w:lang w:eastAsia="en-US"/>
              </w:rPr>
              <w:t>adverse consequences</w:t>
            </w:r>
            <w:r w:rsidR="00FD3E3F">
              <w:rPr>
                <w:lang w:eastAsia="en-US"/>
              </w:rPr>
              <w:t xml:space="preserve"> for </w:t>
            </w:r>
            <w:r w:rsidR="00826EE3">
              <w:rPr>
                <w:lang w:eastAsia="en-US"/>
              </w:rPr>
              <w:t xml:space="preserve">large APRA-regulated funds, their members and other stakeholders </w:t>
            </w:r>
            <w:r w:rsidR="00FC6766">
              <w:rPr>
                <w:lang w:eastAsia="en-US"/>
              </w:rPr>
              <w:t xml:space="preserve">from </w:t>
            </w:r>
            <w:r w:rsidR="00A9028D">
              <w:rPr>
                <w:lang w:eastAsia="en-US"/>
              </w:rPr>
              <w:t>c</w:t>
            </w:r>
            <w:r w:rsidR="00A9028D" w:rsidRPr="00A9028D">
              <w:rPr>
                <w:lang w:eastAsia="en-US"/>
              </w:rPr>
              <w:t>arving out large APRA-regulated funds from the NALI provisions for general expenses</w:t>
            </w:r>
            <w:r w:rsidR="00FC6766">
              <w:rPr>
                <w:lang w:eastAsia="en-US"/>
              </w:rPr>
              <w:t>?</w:t>
            </w:r>
          </w:p>
        </w:tc>
      </w:tr>
    </w:tbl>
    <w:p w14:paraId="06151591" w14:textId="764DC876" w:rsidR="00FC6766" w:rsidRDefault="00FC6766" w:rsidP="00F57430"/>
    <w:sectPr w:rsidR="00FC6766" w:rsidSect="009927E5">
      <w:headerReference w:type="even" r:id="rId24"/>
      <w:headerReference w:type="default" r:id="rId25"/>
      <w:footerReference w:type="even" r:id="rId26"/>
      <w:footerReference w:type="default" r:id="rId27"/>
      <w:headerReference w:type="first" r:id="rId28"/>
      <w:footerReference w:type="first" r:id="rId29"/>
      <w:pgSz w:w="11906" w:h="16838" w:code="9"/>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3AF1B" w14:textId="77777777" w:rsidR="00C05B32" w:rsidRDefault="00C05B32">
      <w:pPr>
        <w:spacing w:before="0" w:after="0"/>
      </w:pPr>
      <w:r>
        <w:separator/>
      </w:r>
    </w:p>
  </w:endnote>
  <w:endnote w:type="continuationSeparator" w:id="0">
    <w:p w14:paraId="6EC425BC" w14:textId="77777777" w:rsidR="00C05B32" w:rsidRDefault="00C05B32">
      <w:pPr>
        <w:spacing w:before="0" w:after="0"/>
      </w:pPr>
      <w:r>
        <w:continuationSeparator/>
      </w:r>
    </w:p>
  </w:endnote>
  <w:endnote w:type="continuationNotice" w:id="1">
    <w:p w14:paraId="73FE1690" w14:textId="77777777" w:rsidR="00C05B32" w:rsidRDefault="00C05B3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2F7BA" w14:textId="77777777" w:rsidR="002314D2" w:rsidRPr="00E77C89" w:rsidRDefault="002314D2" w:rsidP="0017089D">
    <w:r>
      <w:fldChar w:fldCharType="begin"/>
    </w:r>
    <w:r>
      <w:instrText xml:space="preserve"> PAGE  \* Arabic  \* MERGEFORMAT </w:instrText>
    </w:r>
    <w:r>
      <w:fldChar w:fldCharType="separate"/>
    </w:r>
    <w: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A88A3" w14:textId="05F7854A" w:rsidR="009927E5" w:rsidRPr="008043EA" w:rsidRDefault="009927E5" w:rsidP="0009151A">
    <w:r w:rsidRPr="00742366">
      <w:rPr>
        <w:noProof/>
      </w:rPr>
      <w:drawing>
        <wp:anchor distT="0" distB="0" distL="114300" distR="114300" simplePos="0" relativeHeight="251658243" behindDoc="1" locked="1" layoutInCell="1" allowOverlap="1" wp14:anchorId="79994213" wp14:editId="0788C3C0">
          <wp:simplePos x="0" y="0"/>
          <wp:positionH relativeFrom="margin">
            <wp:posOffset>5459095</wp:posOffset>
          </wp:positionH>
          <wp:positionV relativeFrom="page">
            <wp:posOffset>3280410</wp:posOffset>
          </wp:positionV>
          <wp:extent cx="7574280" cy="1043940"/>
          <wp:effectExtent l="762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0" wp14:anchorId="24CA3F25" wp14:editId="7DE5303A">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rsidR="00DA6846">
      <w:fldChar w:fldCharType="begin"/>
    </w:r>
    <w:r w:rsidR="00DA6846">
      <w:instrText xml:space="preserve"> STYLEREF  "Heading 1"  \* MERGEFORMAT </w:instrText>
    </w:r>
    <w:r w:rsidR="00DA6846">
      <w:fldChar w:fldCharType="separate"/>
    </w:r>
    <w:r w:rsidR="00AD4815">
      <w:rPr>
        <w:noProof/>
      </w:rPr>
      <w:t>Contents</w:t>
    </w:r>
    <w:r w:rsidR="00DA6846">
      <w:rPr>
        <w:noProof/>
      </w:rPr>
      <w:fldChar w:fldCharType="end"/>
    </w:r>
    <w:r>
      <w:t xml:space="preserve"> | </w:t>
    </w:r>
    <w:r>
      <w:fldChar w:fldCharType="begin"/>
    </w:r>
    <w:r>
      <w:instrText xml:space="preserve"> PAGE   \* MERGEFORMAT </w:instrText>
    </w:r>
    <w:r>
      <w:fldChar w:fldCharType="separate"/>
    </w:r>
    <w:r>
      <w:t>1</w:t>
    </w:r>
    <w:r>
      <w:fldChar w:fldCharType="end"/>
    </w:r>
  </w:p>
  <w:p w14:paraId="2B18C010" w14:textId="77777777" w:rsidR="009927E5" w:rsidRPr="008043EA" w:rsidRDefault="009927E5" w:rsidP="009927E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E3AD" w14:textId="77777777" w:rsidR="00E81A40" w:rsidRPr="00E77C89" w:rsidRDefault="00E81A40" w:rsidP="0017089D">
    <w:r>
      <w:fldChar w:fldCharType="begin"/>
    </w:r>
    <w:r>
      <w:instrText xml:space="preserve"> PAGE  \* Arabic  \* MERGEFORMAT </w:instrText>
    </w:r>
    <w:r>
      <w:fldChar w:fldCharType="separate"/>
    </w:r>
    <w:r>
      <w:t>6</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27057" w14:textId="7CACABCB" w:rsidR="00E81A40" w:rsidRPr="00E13E90" w:rsidRDefault="00E81A40" w:rsidP="00E13E90">
    <w:pPr>
      <w:pStyle w:val="Footer"/>
    </w:pPr>
    <w:r w:rsidRPr="00742366">
      <w:drawing>
        <wp:anchor distT="0" distB="0" distL="114300" distR="114300" simplePos="0" relativeHeight="251658242" behindDoc="1" locked="1" layoutInCell="1" allowOverlap="1" wp14:anchorId="3CCA33CA" wp14:editId="3431A5EC">
          <wp:simplePos x="0" y="0"/>
          <wp:positionH relativeFrom="margin">
            <wp:posOffset>5459095</wp:posOffset>
          </wp:positionH>
          <wp:positionV relativeFrom="page">
            <wp:posOffset>3280410</wp:posOffset>
          </wp:positionV>
          <wp:extent cx="7574280" cy="1043940"/>
          <wp:effectExtent l="762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6FB72AE5" wp14:editId="60F57D10">
          <wp:extent cx="1324800" cy="201600"/>
          <wp:effectExtent l="0" t="0" r="0" b="8255"/>
          <wp:docPr id="20" name="Picture 20"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DA6846">
      <w:fldChar w:fldCharType="begin"/>
    </w:r>
    <w:r w:rsidR="00DA6846">
      <w:instrText xml:space="preserve"> STYLEREF  "Heading 1"  \* MERGEFORMAT </w:instrText>
    </w:r>
    <w:r w:rsidR="00DA6846">
      <w:fldChar w:fldCharType="separate"/>
    </w:r>
    <w:r w:rsidR="00DA6846">
      <w:t>Non-arm’s length expense rules for superannuation funds</w:t>
    </w:r>
    <w:r w:rsidR="00DA6846">
      <w:fldChar w:fldCharType="end"/>
    </w:r>
    <w:r>
      <w:t xml:space="preserve"> | </w:t>
    </w:r>
    <w:r>
      <w:rPr>
        <w:noProof w:val="0"/>
      </w:rPr>
      <w:fldChar w:fldCharType="begin"/>
    </w:r>
    <w:r>
      <w:instrText xml:space="preserve"> PAGE   \* MERGEFORMAT </w:instrText>
    </w:r>
    <w:r>
      <w:rPr>
        <w:noProof w:val="0"/>
      </w:rPr>
      <w:fldChar w:fldCharType="separate"/>
    </w:r>
    <w:r>
      <w:rPr>
        <w:noProof w:val="0"/>
      </w:rPr>
      <w:t>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068A9" w14:textId="77777777" w:rsidR="00E81A40" w:rsidRDefault="00E81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82EB7" w14:textId="77777777" w:rsidR="00C05B32" w:rsidRDefault="00C05B32">
      <w:pPr>
        <w:spacing w:before="0" w:after="0"/>
      </w:pPr>
      <w:r>
        <w:separator/>
      </w:r>
    </w:p>
  </w:footnote>
  <w:footnote w:type="continuationSeparator" w:id="0">
    <w:p w14:paraId="13383DC4" w14:textId="77777777" w:rsidR="00C05B32" w:rsidRDefault="00C05B32">
      <w:pPr>
        <w:spacing w:before="0" w:after="0"/>
      </w:pPr>
      <w:r>
        <w:continuationSeparator/>
      </w:r>
    </w:p>
  </w:footnote>
  <w:footnote w:type="continuationNotice" w:id="1">
    <w:p w14:paraId="56EA9847" w14:textId="77777777" w:rsidR="00C05B32" w:rsidRDefault="00C05B3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9C23E" w14:textId="77777777" w:rsidR="002314D2" w:rsidRPr="001F3912" w:rsidRDefault="002314D2" w:rsidP="0017089D">
    <w:r>
      <w:fldChar w:fldCharType="begin"/>
    </w:r>
    <w:r>
      <w:instrText xml:space="preserve"> macrobutton nomacro [Click and add Publication Title]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07F91" w14:textId="77777777" w:rsidR="002314D2" w:rsidRPr="001F3912" w:rsidRDefault="002314D2" w:rsidP="0017089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53A0D" w14:textId="77777777" w:rsidR="00E81A40" w:rsidRPr="001F3912" w:rsidRDefault="00E81A40" w:rsidP="0017089D">
    <w:r>
      <w:fldChar w:fldCharType="begin"/>
    </w:r>
    <w:r>
      <w:instrText xml:space="preserve"> macrobutton nomacro [Click and add Publication Title] </w:instrTex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8D3E3" w14:textId="77777777" w:rsidR="00E81A40" w:rsidRPr="00963E8D" w:rsidRDefault="00E81A40" w:rsidP="00963E8D">
    <w:pPr>
      <w:pStyle w:val="Header"/>
    </w:pPr>
    <w:r>
      <w:rPr>
        <w:noProof/>
      </w:rPr>
      <w:drawing>
        <wp:anchor distT="0" distB="0" distL="114300" distR="114300" simplePos="0" relativeHeight="251658241" behindDoc="1" locked="1" layoutInCell="1" allowOverlap="1" wp14:anchorId="5C780D57" wp14:editId="04A4AE95">
          <wp:simplePos x="0" y="0"/>
          <wp:positionH relativeFrom="page">
            <wp:align>center</wp:align>
          </wp:positionH>
          <wp:positionV relativeFrom="page">
            <wp:align>top</wp:align>
          </wp:positionV>
          <wp:extent cx="7570800" cy="1044000"/>
          <wp:effectExtent l="0" t="0" r="0" b="381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4DF9" w14:textId="77777777" w:rsidR="00E81A40" w:rsidRDefault="00E81A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168675E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Logo&#10;&#10;Description automatically generated with medium confidence" style="width:104.25pt;height:15.75pt;visibility:visible;mso-wrap-style:square" o:bullet="t">
        <v:imagedata r:id="rId1" o:title="Logo&#10;&#10;Description automatically generated with medium confidence"/>
      </v:shape>
    </w:pict>
  </w:numPicBullet>
  <w:abstractNum w:abstractNumId="0" w15:restartNumberingAfterBreak="0">
    <w:nsid w:val="030329CA"/>
    <w:multiLevelType w:val="multilevel"/>
    <w:tmpl w:val="31A4B2EE"/>
    <w:lvl w:ilvl="0">
      <w:start w:val="1"/>
      <w:numFmt w:val="bullet"/>
      <w:lvlText w:val="•"/>
      <w:lvlJc w:val="left"/>
      <w:pPr>
        <w:tabs>
          <w:tab w:val="num" w:pos="567"/>
        </w:tabs>
        <w:ind w:left="567" w:hanging="567"/>
      </w:pPr>
      <w:rPr>
        <w:rFonts w:ascii="Times New Roman" w:hAnsi="Times New Roman" w:cs="Times New Roman"/>
      </w:rPr>
    </w:lvl>
    <w:lvl w:ilvl="1">
      <w:start w:val="1"/>
      <w:numFmt w:val="decimal"/>
      <w:lvlText w:val="%2."/>
      <w:lvlJc w:val="left"/>
      <w:pPr>
        <w:tabs>
          <w:tab w:val="num" w:pos="1134"/>
        </w:tabs>
        <w:ind w:left="1134" w:hanging="567"/>
      </w:p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15:restartNumberingAfterBreak="0">
    <w:nsid w:val="0B8F13AF"/>
    <w:multiLevelType w:val="multilevel"/>
    <w:tmpl w:val="4192E21C"/>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E1F6605"/>
    <w:multiLevelType w:val="hybridMultilevel"/>
    <w:tmpl w:val="4D982DE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6CC4E5D"/>
    <w:multiLevelType w:val="multilevel"/>
    <w:tmpl w:val="D10E9CF6"/>
    <w:numStyleLink w:val="OneLevelList"/>
  </w:abstractNum>
  <w:abstractNum w:abstractNumId="6" w15:restartNumberingAfterBreak="0">
    <w:nsid w:val="17DF7717"/>
    <w:multiLevelType w:val="multilevel"/>
    <w:tmpl w:val="32BA81B0"/>
    <w:lvl w:ilvl="0">
      <w:start w:val="1"/>
      <w:numFmt w:val="decimal"/>
      <w:pStyle w:val="Heading1Numbered"/>
      <w:lvlText w:val="%1."/>
      <w:lvlJc w:val="left"/>
      <w:pPr>
        <w:ind w:left="454" w:hanging="454"/>
      </w:pPr>
      <w:rPr>
        <w:rFonts w:hint="default"/>
      </w:rPr>
    </w:lvl>
    <w:lvl w:ilvl="1">
      <w:start w:val="1"/>
      <w:numFmt w:val="decimal"/>
      <w:pStyle w:val="Heading2Numbered"/>
      <w:lvlText w:val="%1.%2"/>
      <w:lvlJc w:val="left"/>
      <w:pPr>
        <w:ind w:left="454" w:hanging="454"/>
      </w:pPr>
      <w:rPr>
        <w:rFonts w:hint="default"/>
      </w:rPr>
    </w:lvl>
    <w:lvl w:ilvl="2">
      <w:start w:val="1"/>
      <w:numFmt w:val="decimal"/>
      <w:pStyle w:val="Heading3Numbered"/>
      <w:lvlText w:val="%1.%2.%3"/>
      <w:lvlJc w:val="left"/>
      <w:pPr>
        <w:ind w:left="454" w:hanging="454"/>
      </w:pPr>
      <w:rPr>
        <w:rFonts w:hint="default"/>
      </w:rPr>
    </w:lvl>
    <w:lvl w:ilvl="3">
      <w:start w:val="1"/>
      <w:numFmt w:val="decimal"/>
      <w:lvlText w:val="(%4)"/>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lef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left"/>
      <w:pPr>
        <w:ind w:left="454" w:hanging="454"/>
      </w:pPr>
      <w:rPr>
        <w:rFonts w:hint="default"/>
      </w:rPr>
    </w:lvl>
  </w:abstractNum>
  <w:abstractNum w:abstractNumId="7" w15:restartNumberingAfterBreak="0">
    <w:nsid w:val="27826BF0"/>
    <w:multiLevelType w:val="multilevel"/>
    <w:tmpl w:val="A4B40D48"/>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BD65B83"/>
    <w:multiLevelType w:val="hybridMultilevel"/>
    <w:tmpl w:val="4098659A"/>
    <w:lvl w:ilvl="0" w:tplc="748EEC3A">
      <w:start w:val="1"/>
      <w:numFmt w:val="bullet"/>
      <w:lvlText w:val=""/>
      <w:lvlJc w:val="left"/>
      <w:pPr>
        <w:ind w:left="1080" w:hanging="360"/>
      </w:pPr>
      <w:rPr>
        <w:rFonts w:ascii="Symbol" w:hAnsi="Symbol" w:hint="default"/>
      </w:rPr>
    </w:lvl>
    <w:lvl w:ilvl="1" w:tplc="36360EEA">
      <w:start w:val="1"/>
      <w:numFmt w:val="bullet"/>
      <w:lvlText w:val="o"/>
      <w:lvlJc w:val="left"/>
      <w:pPr>
        <w:ind w:left="1800" w:hanging="360"/>
      </w:pPr>
      <w:rPr>
        <w:rFonts w:ascii="Courier New" w:hAnsi="Courier New" w:cs="Courier New" w:hint="default"/>
      </w:rPr>
    </w:lvl>
    <w:lvl w:ilvl="2" w:tplc="9F5AC390" w:tentative="1">
      <w:start w:val="1"/>
      <w:numFmt w:val="bullet"/>
      <w:lvlText w:val=""/>
      <w:lvlJc w:val="left"/>
      <w:pPr>
        <w:ind w:left="2520" w:hanging="360"/>
      </w:pPr>
      <w:rPr>
        <w:rFonts w:ascii="Wingdings" w:hAnsi="Wingdings" w:hint="default"/>
      </w:rPr>
    </w:lvl>
    <w:lvl w:ilvl="3" w:tplc="032AA088" w:tentative="1">
      <w:start w:val="1"/>
      <w:numFmt w:val="bullet"/>
      <w:lvlText w:val=""/>
      <w:lvlJc w:val="left"/>
      <w:pPr>
        <w:ind w:left="3240" w:hanging="360"/>
      </w:pPr>
      <w:rPr>
        <w:rFonts w:ascii="Symbol" w:hAnsi="Symbol" w:hint="default"/>
      </w:rPr>
    </w:lvl>
    <w:lvl w:ilvl="4" w:tplc="E96A11EC" w:tentative="1">
      <w:start w:val="1"/>
      <w:numFmt w:val="bullet"/>
      <w:lvlText w:val="o"/>
      <w:lvlJc w:val="left"/>
      <w:pPr>
        <w:ind w:left="3960" w:hanging="360"/>
      </w:pPr>
      <w:rPr>
        <w:rFonts w:ascii="Courier New" w:hAnsi="Courier New" w:cs="Courier New" w:hint="default"/>
      </w:rPr>
    </w:lvl>
    <w:lvl w:ilvl="5" w:tplc="F8AC6470" w:tentative="1">
      <w:start w:val="1"/>
      <w:numFmt w:val="bullet"/>
      <w:lvlText w:val=""/>
      <w:lvlJc w:val="left"/>
      <w:pPr>
        <w:ind w:left="4680" w:hanging="360"/>
      </w:pPr>
      <w:rPr>
        <w:rFonts w:ascii="Wingdings" w:hAnsi="Wingdings" w:hint="default"/>
      </w:rPr>
    </w:lvl>
    <w:lvl w:ilvl="6" w:tplc="82F6ADDE" w:tentative="1">
      <w:start w:val="1"/>
      <w:numFmt w:val="bullet"/>
      <w:lvlText w:val=""/>
      <w:lvlJc w:val="left"/>
      <w:pPr>
        <w:ind w:left="5400" w:hanging="360"/>
      </w:pPr>
      <w:rPr>
        <w:rFonts w:ascii="Symbol" w:hAnsi="Symbol" w:hint="default"/>
      </w:rPr>
    </w:lvl>
    <w:lvl w:ilvl="7" w:tplc="9D2C4C74" w:tentative="1">
      <w:start w:val="1"/>
      <w:numFmt w:val="bullet"/>
      <w:lvlText w:val="o"/>
      <w:lvlJc w:val="left"/>
      <w:pPr>
        <w:ind w:left="6120" w:hanging="360"/>
      </w:pPr>
      <w:rPr>
        <w:rFonts w:ascii="Courier New" w:hAnsi="Courier New" w:cs="Courier New" w:hint="default"/>
      </w:rPr>
    </w:lvl>
    <w:lvl w:ilvl="8" w:tplc="730AC56C" w:tentative="1">
      <w:start w:val="1"/>
      <w:numFmt w:val="bullet"/>
      <w:lvlText w:val=""/>
      <w:lvlJc w:val="left"/>
      <w:pPr>
        <w:ind w:left="6840" w:hanging="360"/>
      </w:pPr>
      <w:rPr>
        <w:rFonts w:ascii="Wingdings" w:hAnsi="Wingdings" w:hint="default"/>
      </w:rPr>
    </w:lvl>
  </w:abstractNum>
  <w:abstractNum w:abstractNumId="9"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0"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6FE41DF"/>
    <w:multiLevelType w:val="hybridMultilevel"/>
    <w:tmpl w:val="A42A8B9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10D2021"/>
    <w:multiLevelType w:val="multilevel"/>
    <w:tmpl w:val="72F8140E"/>
    <w:numStyleLink w:val="OutlineList"/>
  </w:abstractNum>
  <w:abstractNum w:abstractNumId="14" w15:restartNumberingAfterBreak="0">
    <w:nsid w:val="6A5B6026"/>
    <w:multiLevelType w:val="hybridMultilevel"/>
    <w:tmpl w:val="4944345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D6B5224"/>
    <w:multiLevelType w:val="multilevel"/>
    <w:tmpl w:val="57000EF8"/>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num w:numId="1">
    <w:abstractNumId w:val="9"/>
  </w:num>
  <w:num w:numId="2">
    <w:abstractNumId w:val="1"/>
  </w:num>
  <w:num w:numId="3">
    <w:abstractNumId w:val="11"/>
  </w:num>
  <w:num w:numId="4">
    <w:abstractNumId w:val="4"/>
  </w:num>
  <w:num w:numId="5">
    <w:abstractNumId w:val="5"/>
  </w:num>
  <w:num w:numId="6">
    <w:abstractNumId w:val="13"/>
  </w:num>
  <w:num w:numId="7">
    <w:abstractNumId w:val="10"/>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abstractNumId w:val="6"/>
  </w:num>
  <w:num w:numId="9">
    <w:abstractNumId w:val="2"/>
  </w:num>
  <w:num w:numId="10">
    <w:abstractNumId w:val="7"/>
  </w:num>
  <w:num w:numId="11">
    <w:abstractNumId w:val="16"/>
  </w:num>
  <w:num w:numId="12">
    <w:abstractNumId w:val="13"/>
  </w:num>
  <w:num w:numId="13">
    <w:abstractNumId w:val="7"/>
  </w:num>
  <w:num w:numId="14">
    <w:abstractNumId w:val="10"/>
  </w:num>
  <w:num w:numId="15">
    <w:abstractNumId w:val="7"/>
  </w:num>
  <w:num w:numId="16">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9"/>
  </w:num>
  <w:num w:numId="20">
    <w:abstractNumId w:val="9"/>
  </w:num>
  <w:num w:numId="21">
    <w:abstractNumId w:val="9"/>
  </w:num>
  <w:num w:numId="22">
    <w:abstractNumId w:val="9"/>
  </w:num>
  <w:num w:numId="23">
    <w:abstractNumId w:val="9"/>
  </w:num>
  <w:num w:numId="24">
    <w:abstractNumId w:val="10"/>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5">
    <w:abstractNumId w:val="10"/>
  </w:num>
  <w:num w:numId="26">
    <w:abstractNumId w:val="6"/>
  </w:num>
  <w:num w:numId="27">
    <w:abstractNumId w:val="6"/>
  </w:num>
  <w:num w:numId="28">
    <w:abstractNumId w:val="6"/>
  </w:num>
  <w:num w:numId="29">
    <w:abstractNumId w:val="5"/>
  </w:num>
  <w:num w:numId="30">
    <w:abstractNumId w:val="11"/>
  </w:num>
  <w:num w:numId="31">
    <w:abstractNumId w:val="13"/>
  </w:num>
  <w:num w:numId="32">
    <w:abstractNumId w:val="13"/>
  </w:num>
  <w:num w:numId="33">
    <w:abstractNumId w:val="13"/>
  </w:num>
  <w:num w:numId="34">
    <w:abstractNumId w:val="4"/>
  </w:num>
  <w:num w:numId="35">
    <w:abstractNumId w:val="7"/>
  </w:num>
  <w:num w:numId="36">
    <w:abstractNumId w:val="0"/>
  </w:num>
  <w:num w:numId="37">
    <w:abstractNumId w:val="8"/>
  </w:num>
  <w:num w:numId="38">
    <w:abstractNumId w:val="12"/>
  </w:num>
  <w:num w:numId="39">
    <w:abstractNumId w:val="14"/>
  </w:num>
  <w:num w:numId="40">
    <w:abstractNumId w:val="3"/>
  </w:num>
  <w:num w:numId="41">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CB4"/>
    <w:rsid w:val="0000292B"/>
    <w:rsid w:val="0000436A"/>
    <w:rsid w:val="000050E5"/>
    <w:rsid w:val="00011111"/>
    <w:rsid w:val="00011725"/>
    <w:rsid w:val="00012C62"/>
    <w:rsid w:val="000172BC"/>
    <w:rsid w:val="00021524"/>
    <w:rsid w:val="0002299E"/>
    <w:rsid w:val="00024281"/>
    <w:rsid w:val="0002544D"/>
    <w:rsid w:val="00025F99"/>
    <w:rsid w:val="00026808"/>
    <w:rsid w:val="00033634"/>
    <w:rsid w:val="00033B80"/>
    <w:rsid w:val="00037E4C"/>
    <w:rsid w:val="000411FD"/>
    <w:rsid w:val="00041A8B"/>
    <w:rsid w:val="00041ED4"/>
    <w:rsid w:val="0004274D"/>
    <w:rsid w:val="00044C0A"/>
    <w:rsid w:val="00051D3F"/>
    <w:rsid w:val="00051D60"/>
    <w:rsid w:val="000555BA"/>
    <w:rsid w:val="00056880"/>
    <w:rsid w:val="00056C45"/>
    <w:rsid w:val="000609E2"/>
    <w:rsid w:val="00061218"/>
    <w:rsid w:val="00063C9E"/>
    <w:rsid w:val="0006750B"/>
    <w:rsid w:val="000675D1"/>
    <w:rsid w:val="00070648"/>
    <w:rsid w:val="0007102C"/>
    <w:rsid w:val="00072352"/>
    <w:rsid w:val="00073521"/>
    <w:rsid w:val="000775DE"/>
    <w:rsid w:val="00082FC2"/>
    <w:rsid w:val="000858F2"/>
    <w:rsid w:val="00087FAF"/>
    <w:rsid w:val="00090737"/>
    <w:rsid w:val="000910F5"/>
    <w:rsid w:val="0009151A"/>
    <w:rsid w:val="000939AB"/>
    <w:rsid w:val="000951DF"/>
    <w:rsid w:val="00095C71"/>
    <w:rsid w:val="00096508"/>
    <w:rsid w:val="000A28F9"/>
    <w:rsid w:val="000A4AED"/>
    <w:rsid w:val="000A7027"/>
    <w:rsid w:val="000B05DA"/>
    <w:rsid w:val="000B0840"/>
    <w:rsid w:val="000C03B4"/>
    <w:rsid w:val="000C2512"/>
    <w:rsid w:val="000C2F17"/>
    <w:rsid w:val="000C5B01"/>
    <w:rsid w:val="000C5F40"/>
    <w:rsid w:val="000C5FFA"/>
    <w:rsid w:val="000D1284"/>
    <w:rsid w:val="000D3498"/>
    <w:rsid w:val="000E0B74"/>
    <w:rsid w:val="000F0B51"/>
    <w:rsid w:val="000F0BF8"/>
    <w:rsid w:val="000F237F"/>
    <w:rsid w:val="000F466A"/>
    <w:rsid w:val="000F71E0"/>
    <w:rsid w:val="000F7517"/>
    <w:rsid w:val="00105B72"/>
    <w:rsid w:val="0011244A"/>
    <w:rsid w:val="001126F4"/>
    <w:rsid w:val="00113E1A"/>
    <w:rsid w:val="00114960"/>
    <w:rsid w:val="00127694"/>
    <w:rsid w:val="001336CE"/>
    <w:rsid w:val="001354A1"/>
    <w:rsid w:val="00137652"/>
    <w:rsid w:val="00137E37"/>
    <w:rsid w:val="001405BC"/>
    <w:rsid w:val="0014091C"/>
    <w:rsid w:val="001413CE"/>
    <w:rsid w:val="0014188D"/>
    <w:rsid w:val="001438CF"/>
    <w:rsid w:val="00153626"/>
    <w:rsid w:val="001606CF"/>
    <w:rsid w:val="0016128D"/>
    <w:rsid w:val="0016499C"/>
    <w:rsid w:val="00165D45"/>
    <w:rsid w:val="00167164"/>
    <w:rsid w:val="0017089D"/>
    <w:rsid w:val="0019101A"/>
    <w:rsid w:val="0019304A"/>
    <w:rsid w:val="00195E50"/>
    <w:rsid w:val="00195EFC"/>
    <w:rsid w:val="00196C3B"/>
    <w:rsid w:val="001A20FB"/>
    <w:rsid w:val="001A5471"/>
    <w:rsid w:val="001B0373"/>
    <w:rsid w:val="001B2AF4"/>
    <w:rsid w:val="001B4749"/>
    <w:rsid w:val="001B5D10"/>
    <w:rsid w:val="001C358D"/>
    <w:rsid w:val="001C7582"/>
    <w:rsid w:val="001D040C"/>
    <w:rsid w:val="001D2625"/>
    <w:rsid w:val="001D3E3A"/>
    <w:rsid w:val="001D4EAA"/>
    <w:rsid w:val="001E25FF"/>
    <w:rsid w:val="001E6F6B"/>
    <w:rsid w:val="001F5D70"/>
    <w:rsid w:val="001F6E25"/>
    <w:rsid w:val="00200703"/>
    <w:rsid w:val="002007D8"/>
    <w:rsid w:val="0020139D"/>
    <w:rsid w:val="00204F53"/>
    <w:rsid w:val="0020539F"/>
    <w:rsid w:val="00214D16"/>
    <w:rsid w:val="00215A94"/>
    <w:rsid w:val="0022190E"/>
    <w:rsid w:val="00223D8C"/>
    <w:rsid w:val="00227198"/>
    <w:rsid w:val="002302CD"/>
    <w:rsid w:val="002304EC"/>
    <w:rsid w:val="00231049"/>
    <w:rsid w:val="002314D2"/>
    <w:rsid w:val="00234074"/>
    <w:rsid w:val="00235BB7"/>
    <w:rsid w:val="00235D65"/>
    <w:rsid w:val="002372A6"/>
    <w:rsid w:val="00251697"/>
    <w:rsid w:val="0025382B"/>
    <w:rsid w:val="00256295"/>
    <w:rsid w:val="00257AEE"/>
    <w:rsid w:val="00260C17"/>
    <w:rsid w:val="00261F43"/>
    <w:rsid w:val="00263B6C"/>
    <w:rsid w:val="0027259D"/>
    <w:rsid w:val="0027263D"/>
    <w:rsid w:val="00275325"/>
    <w:rsid w:val="0027590B"/>
    <w:rsid w:val="00277300"/>
    <w:rsid w:val="002804A3"/>
    <w:rsid w:val="00282A70"/>
    <w:rsid w:val="00283BDE"/>
    <w:rsid w:val="00285969"/>
    <w:rsid w:val="00286FC0"/>
    <w:rsid w:val="00292F46"/>
    <w:rsid w:val="002940EC"/>
    <w:rsid w:val="002958EE"/>
    <w:rsid w:val="002A175C"/>
    <w:rsid w:val="002A6FF7"/>
    <w:rsid w:val="002B2B49"/>
    <w:rsid w:val="002B3829"/>
    <w:rsid w:val="002B42C5"/>
    <w:rsid w:val="002B4D4D"/>
    <w:rsid w:val="002B4D57"/>
    <w:rsid w:val="002B5C39"/>
    <w:rsid w:val="002C5D94"/>
    <w:rsid w:val="002C7CAB"/>
    <w:rsid w:val="002D1F90"/>
    <w:rsid w:val="002D2D4A"/>
    <w:rsid w:val="002D4631"/>
    <w:rsid w:val="002D488F"/>
    <w:rsid w:val="002D656D"/>
    <w:rsid w:val="002E0F46"/>
    <w:rsid w:val="002E69C6"/>
    <w:rsid w:val="002E6DD3"/>
    <w:rsid w:val="002F3050"/>
    <w:rsid w:val="002F3D29"/>
    <w:rsid w:val="002F52B7"/>
    <w:rsid w:val="002F58A2"/>
    <w:rsid w:val="002F617F"/>
    <w:rsid w:val="00303AF9"/>
    <w:rsid w:val="00305141"/>
    <w:rsid w:val="0030712F"/>
    <w:rsid w:val="00310147"/>
    <w:rsid w:val="003122F4"/>
    <w:rsid w:val="0031276E"/>
    <w:rsid w:val="00313D74"/>
    <w:rsid w:val="003226C3"/>
    <w:rsid w:val="00324381"/>
    <w:rsid w:val="003268D5"/>
    <w:rsid w:val="003278A6"/>
    <w:rsid w:val="00330789"/>
    <w:rsid w:val="00333C09"/>
    <w:rsid w:val="003354FD"/>
    <w:rsid w:val="00344779"/>
    <w:rsid w:val="00344889"/>
    <w:rsid w:val="00347E16"/>
    <w:rsid w:val="003503C7"/>
    <w:rsid w:val="00354D27"/>
    <w:rsid w:val="00354FBB"/>
    <w:rsid w:val="0036572A"/>
    <w:rsid w:val="0036703A"/>
    <w:rsid w:val="00376696"/>
    <w:rsid w:val="00382912"/>
    <w:rsid w:val="00383847"/>
    <w:rsid w:val="003839F0"/>
    <w:rsid w:val="003858A6"/>
    <w:rsid w:val="00392DCC"/>
    <w:rsid w:val="00396F88"/>
    <w:rsid w:val="003A199F"/>
    <w:rsid w:val="003A3CCC"/>
    <w:rsid w:val="003A3E45"/>
    <w:rsid w:val="003A7EAF"/>
    <w:rsid w:val="003B2852"/>
    <w:rsid w:val="003C0A0D"/>
    <w:rsid w:val="003C18A3"/>
    <w:rsid w:val="003C39D2"/>
    <w:rsid w:val="003C435F"/>
    <w:rsid w:val="003C78FC"/>
    <w:rsid w:val="003D3D5A"/>
    <w:rsid w:val="003D66B5"/>
    <w:rsid w:val="003D6F7E"/>
    <w:rsid w:val="003E13ED"/>
    <w:rsid w:val="003E38B0"/>
    <w:rsid w:val="003E4D87"/>
    <w:rsid w:val="003E514E"/>
    <w:rsid w:val="003F0BE5"/>
    <w:rsid w:val="003F2F6F"/>
    <w:rsid w:val="003F5189"/>
    <w:rsid w:val="003F60C4"/>
    <w:rsid w:val="003F71F2"/>
    <w:rsid w:val="003F7877"/>
    <w:rsid w:val="004042F0"/>
    <w:rsid w:val="004043C4"/>
    <w:rsid w:val="00407CB4"/>
    <w:rsid w:val="00411256"/>
    <w:rsid w:val="00416762"/>
    <w:rsid w:val="00421351"/>
    <w:rsid w:val="00422273"/>
    <w:rsid w:val="004264E1"/>
    <w:rsid w:val="00430264"/>
    <w:rsid w:val="00430BA7"/>
    <w:rsid w:val="00433CE9"/>
    <w:rsid w:val="00434241"/>
    <w:rsid w:val="00440A8A"/>
    <w:rsid w:val="004426A0"/>
    <w:rsid w:val="00445265"/>
    <w:rsid w:val="00447FCE"/>
    <w:rsid w:val="0045375F"/>
    <w:rsid w:val="00453BA0"/>
    <w:rsid w:val="0045568B"/>
    <w:rsid w:val="004559CE"/>
    <w:rsid w:val="004563F0"/>
    <w:rsid w:val="00465436"/>
    <w:rsid w:val="00473C43"/>
    <w:rsid w:val="0047422D"/>
    <w:rsid w:val="00475B7B"/>
    <w:rsid w:val="00475F4D"/>
    <w:rsid w:val="004761C3"/>
    <w:rsid w:val="00482AD1"/>
    <w:rsid w:val="00483049"/>
    <w:rsid w:val="00492FCB"/>
    <w:rsid w:val="004938D1"/>
    <w:rsid w:val="004951A8"/>
    <w:rsid w:val="00496B77"/>
    <w:rsid w:val="00497333"/>
    <w:rsid w:val="004A077D"/>
    <w:rsid w:val="004A118E"/>
    <w:rsid w:val="004A11F7"/>
    <w:rsid w:val="004A5AB9"/>
    <w:rsid w:val="004A5DA6"/>
    <w:rsid w:val="004A63AB"/>
    <w:rsid w:val="004A7BC2"/>
    <w:rsid w:val="004C110F"/>
    <w:rsid w:val="004C227F"/>
    <w:rsid w:val="004C6B36"/>
    <w:rsid w:val="004D4B73"/>
    <w:rsid w:val="004E0D17"/>
    <w:rsid w:val="004E2BC5"/>
    <w:rsid w:val="004E421A"/>
    <w:rsid w:val="004E76D7"/>
    <w:rsid w:val="004F0C05"/>
    <w:rsid w:val="004F1164"/>
    <w:rsid w:val="004F11EF"/>
    <w:rsid w:val="004F1795"/>
    <w:rsid w:val="004F2F79"/>
    <w:rsid w:val="004F3C4C"/>
    <w:rsid w:val="004F42F2"/>
    <w:rsid w:val="005003DC"/>
    <w:rsid w:val="005009FA"/>
    <w:rsid w:val="00501CF9"/>
    <w:rsid w:val="00502C3C"/>
    <w:rsid w:val="00512381"/>
    <w:rsid w:val="00513E71"/>
    <w:rsid w:val="00516785"/>
    <w:rsid w:val="00516B7D"/>
    <w:rsid w:val="0052419D"/>
    <w:rsid w:val="0052518C"/>
    <w:rsid w:val="005301F8"/>
    <w:rsid w:val="005312FC"/>
    <w:rsid w:val="0053216C"/>
    <w:rsid w:val="00533CA9"/>
    <w:rsid w:val="00535206"/>
    <w:rsid w:val="0053603D"/>
    <w:rsid w:val="00551AA0"/>
    <w:rsid w:val="00555D14"/>
    <w:rsid w:val="00564C54"/>
    <w:rsid w:val="00577E32"/>
    <w:rsid w:val="005868DE"/>
    <w:rsid w:val="00586AF6"/>
    <w:rsid w:val="005905AE"/>
    <w:rsid w:val="005972D6"/>
    <w:rsid w:val="005A0D3A"/>
    <w:rsid w:val="005A1A30"/>
    <w:rsid w:val="005A3B86"/>
    <w:rsid w:val="005A6287"/>
    <w:rsid w:val="005B2C11"/>
    <w:rsid w:val="005B5322"/>
    <w:rsid w:val="005B6D7D"/>
    <w:rsid w:val="005C022B"/>
    <w:rsid w:val="005C399C"/>
    <w:rsid w:val="005C66DC"/>
    <w:rsid w:val="005D47BF"/>
    <w:rsid w:val="005D5309"/>
    <w:rsid w:val="005D73C6"/>
    <w:rsid w:val="005D76E2"/>
    <w:rsid w:val="005E1FA2"/>
    <w:rsid w:val="005E28E9"/>
    <w:rsid w:val="005E366D"/>
    <w:rsid w:val="005E4187"/>
    <w:rsid w:val="005E54DD"/>
    <w:rsid w:val="005F148E"/>
    <w:rsid w:val="005F2F30"/>
    <w:rsid w:val="006016A6"/>
    <w:rsid w:val="00601DC9"/>
    <w:rsid w:val="0060595B"/>
    <w:rsid w:val="00605AFD"/>
    <w:rsid w:val="00607C7C"/>
    <w:rsid w:val="006123D4"/>
    <w:rsid w:val="006170EB"/>
    <w:rsid w:val="00620398"/>
    <w:rsid w:val="00624CED"/>
    <w:rsid w:val="006254C6"/>
    <w:rsid w:val="00631B78"/>
    <w:rsid w:val="00632571"/>
    <w:rsid w:val="006328A1"/>
    <w:rsid w:val="0063447D"/>
    <w:rsid w:val="00637023"/>
    <w:rsid w:val="006378BC"/>
    <w:rsid w:val="00637BAB"/>
    <w:rsid w:val="00637C14"/>
    <w:rsid w:val="00656356"/>
    <w:rsid w:val="00665616"/>
    <w:rsid w:val="0066719C"/>
    <w:rsid w:val="0066733A"/>
    <w:rsid w:val="006752DF"/>
    <w:rsid w:val="006755BF"/>
    <w:rsid w:val="00677395"/>
    <w:rsid w:val="00677B3C"/>
    <w:rsid w:val="006839AF"/>
    <w:rsid w:val="0068483D"/>
    <w:rsid w:val="00685704"/>
    <w:rsid w:val="00686165"/>
    <w:rsid w:val="00687448"/>
    <w:rsid w:val="0068754B"/>
    <w:rsid w:val="00691CB5"/>
    <w:rsid w:val="00693C6C"/>
    <w:rsid w:val="006A3FF7"/>
    <w:rsid w:val="006A6EE1"/>
    <w:rsid w:val="006B00DC"/>
    <w:rsid w:val="006B2841"/>
    <w:rsid w:val="006B5E7C"/>
    <w:rsid w:val="006B7612"/>
    <w:rsid w:val="006C645D"/>
    <w:rsid w:val="006D3B80"/>
    <w:rsid w:val="006D42C7"/>
    <w:rsid w:val="006D542B"/>
    <w:rsid w:val="006E0E3C"/>
    <w:rsid w:val="006E1719"/>
    <w:rsid w:val="006E2CE2"/>
    <w:rsid w:val="006E3CC3"/>
    <w:rsid w:val="006F656C"/>
    <w:rsid w:val="006F70B2"/>
    <w:rsid w:val="00702870"/>
    <w:rsid w:val="00704CA5"/>
    <w:rsid w:val="007065FC"/>
    <w:rsid w:val="00707014"/>
    <w:rsid w:val="00710E13"/>
    <w:rsid w:val="00714EB4"/>
    <w:rsid w:val="00717DAC"/>
    <w:rsid w:val="00720BF2"/>
    <w:rsid w:val="0072648F"/>
    <w:rsid w:val="00727F61"/>
    <w:rsid w:val="00733F00"/>
    <w:rsid w:val="00736795"/>
    <w:rsid w:val="00737B4A"/>
    <w:rsid w:val="0074445E"/>
    <w:rsid w:val="00744E7F"/>
    <w:rsid w:val="00745A87"/>
    <w:rsid w:val="00745AB5"/>
    <w:rsid w:val="00746E0A"/>
    <w:rsid w:val="00747E45"/>
    <w:rsid w:val="00747F4D"/>
    <w:rsid w:val="00752088"/>
    <w:rsid w:val="00754332"/>
    <w:rsid w:val="00754CA0"/>
    <w:rsid w:val="00756EEB"/>
    <w:rsid w:val="00757816"/>
    <w:rsid w:val="0076037F"/>
    <w:rsid w:val="00763890"/>
    <w:rsid w:val="007700E4"/>
    <w:rsid w:val="007710CD"/>
    <w:rsid w:val="007739DC"/>
    <w:rsid w:val="00774143"/>
    <w:rsid w:val="00775702"/>
    <w:rsid w:val="0078509F"/>
    <w:rsid w:val="007927FB"/>
    <w:rsid w:val="00792F0F"/>
    <w:rsid w:val="00794499"/>
    <w:rsid w:val="0079697B"/>
    <w:rsid w:val="007A489C"/>
    <w:rsid w:val="007A509A"/>
    <w:rsid w:val="007B78F7"/>
    <w:rsid w:val="007C64FE"/>
    <w:rsid w:val="007D06E5"/>
    <w:rsid w:val="007D0F67"/>
    <w:rsid w:val="007D5AA6"/>
    <w:rsid w:val="007D608E"/>
    <w:rsid w:val="007E2AB9"/>
    <w:rsid w:val="007E411B"/>
    <w:rsid w:val="007E5767"/>
    <w:rsid w:val="007E6456"/>
    <w:rsid w:val="007E6E07"/>
    <w:rsid w:val="007E7CB0"/>
    <w:rsid w:val="007F5906"/>
    <w:rsid w:val="007F6BC5"/>
    <w:rsid w:val="00802296"/>
    <w:rsid w:val="008043EA"/>
    <w:rsid w:val="00811F26"/>
    <w:rsid w:val="0081385F"/>
    <w:rsid w:val="008158BD"/>
    <w:rsid w:val="00820694"/>
    <w:rsid w:val="00823A66"/>
    <w:rsid w:val="00824B02"/>
    <w:rsid w:val="00826EE3"/>
    <w:rsid w:val="00830EB3"/>
    <w:rsid w:val="0083322F"/>
    <w:rsid w:val="00834243"/>
    <w:rsid w:val="0083479E"/>
    <w:rsid w:val="008361B4"/>
    <w:rsid w:val="00836656"/>
    <w:rsid w:val="0084180A"/>
    <w:rsid w:val="00851707"/>
    <w:rsid w:val="00853827"/>
    <w:rsid w:val="00853AAE"/>
    <w:rsid w:val="00854BAF"/>
    <w:rsid w:val="00855618"/>
    <w:rsid w:val="00857969"/>
    <w:rsid w:val="00861AE4"/>
    <w:rsid w:val="0086306B"/>
    <w:rsid w:val="00863F3E"/>
    <w:rsid w:val="00864818"/>
    <w:rsid w:val="00866AC8"/>
    <w:rsid w:val="008730C0"/>
    <w:rsid w:val="00873E7E"/>
    <w:rsid w:val="00877438"/>
    <w:rsid w:val="00881074"/>
    <w:rsid w:val="00881AE2"/>
    <w:rsid w:val="008861F7"/>
    <w:rsid w:val="00887F38"/>
    <w:rsid w:val="00890E53"/>
    <w:rsid w:val="00894E29"/>
    <w:rsid w:val="008A1187"/>
    <w:rsid w:val="008A590D"/>
    <w:rsid w:val="008A6735"/>
    <w:rsid w:val="008B1499"/>
    <w:rsid w:val="008B6DEC"/>
    <w:rsid w:val="008C2A02"/>
    <w:rsid w:val="008C4D10"/>
    <w:rsid w:val="008C5421"/>
    <w:rsid w:val="008C5490"/>
    <w:rsid w:val="008C68A1"/>
    <w:rsid w:val="008D08F0"/>
    <w:rsid w:val="008D1705"/>
    <w:rsid w:val="008D339F"/>
    <w:rsid w:val="008D3B18"/>
    <w:rsid w:val="008D5706"/>
    <w:rsid w:val="008D5C80"/>
    <w:rsid w:val="008D7C25"/>
    <w:rsid w:val="008D7F38"/>
    <w:rsid w:val="008E0FD3"/>
    <w:rsid w:val="008E16A6"/>
    <w:rsid w:val="008E31C3"/>
    <w:rsid w:val="008E391A"/>
    <w:rsid w:val="008E4496"/>
    <w:rsid w:val="008E476B"/>
    <w:rsid w:val="008E5BB4"/>
    <w:rsid w:val="008E6292"/>
    <w:rsid w:val="008F5F84"/>
    <w:rsid w:val="008F7D41"/>
    <w:rsid w:val="009004BF"/>
    <w:rsid w:val="00901EE5"/>
    <w:rsid w:val="009036AF"/>
    <w:rsid w:val="0090498F"/>
    <w:rsid w:val="00905FD6"/>
    <w:rsid w:val="0090605B"/>
    <w:rsid w:val="00912E06"/>
    <w:rsid w:val="00917185"/>
    <w:rsid w:val="00921B9A"/>
    <w:rsid w:val="00925AA5"/>
    <w:rsid w:val="00931078"/>
    <w:rsid w:val="009312E8"/>
    <w:rsid w:val="00937986"/>
    <w:rsid w:val="0094019D"/>
    <w:rsid w:val="00942C11"/>
    <w:rsid w:val="00943154"/>
    <w:rsid w:val="00945452"/>
    <w:rsid w:val="00950718"/>
    <w:rsid w:val="00951101"/>
    <w:rsid w:val="009531E8"/>
    <w:rsid w:val="00954AC4"/>
    <w:rsid w:val="00955CBA"/>
    <w:rsid w:val="009576BE"/>
    <w:rsid w:val="00962223"/>
    <w:rsid w:val="00963E8D"/>
    <w:rsid w:val="00966104"/>
    <w:rsid w:val="0097013C"/>
    <w:rsid w:val="00970B79"/>
    <w:rsid w:val="00970BA1"/>
    <w:rsid w:val="009717F2"/>
    <w:rsid w:val="009732EC"/>
    <w:rsid w:val="009821CE"/>
    <w:rsid w:val="009830BA"/>
    <w:rsid w:val="00984F09"/>
    <w:rsid w:val="009852CF"/>
    <w:rsid w:val="00986282"/>
    <w:rsid w:val="009927E5"/>
    <w:rsid w:val="0099467F"/>
    <w:rsid w:val="009959A9"/>
    <w:rsid w:val="009A03CD"/>
    <w:rsid w:val="009A179B"/>
    <w:rsid w:val="009A2AED"/>
    <w:rsid w:val="009A43E0"/>
    <w:rsid w:val="009A658F"/>
    <w:rsid w:val="009A668A"/>
    <w:rsid w:val="009B1A65"/>
    <w:rsid w:val="009B6113"/>
    <w:rsid w:val="009C0D6D"/>
    <w:rsid w:val="009C4F65"/>
    <w:rsid w:val="009C6259"/>
    <w:rsid w:val="009C6998"/>
    <w:rsid w:val="009D2469"/>
    <w:rsid w:val="009D6EE7"/>
    <w:rsid w:val="009D70DC"/>
    <w:rsid w:val="009E3E23"/>
    <w:rsid w:val="009E5AD8"/>
    <w:rsid w:val="009F2253"/>
    <w:rsid w:val="009F2621"/>
    <w:rsid w:val="009F3067"/>
    <w:rsid w:val="009F3E35"/>
    <w:rsid w:val="009F547E"/>
    <w:rsid w:val="009F6BD4"/>
    <w:rsid w:val="00A017BE"/>
    <w:rsid w:val="00A030F6"/>
    <w:rsid w:val="00A057C0"/>
    <w:rsid w:val="00A059DA"/>
    <w:rsid w:val="00A05DCB"/>
    <w:rsid w:val="00A068BC"/>
    <w:rsid w:val="00A10EBD"/>
    <w:rsid w:val="00A13AF6"/>
    <w:rsid w:val="00A16E03"/>
    <w:rsid w:val="00A21993"/>
    <w:rsid w:val="00A260CD"/>
    <w:rsid w:val="00A3749B"/>
    <w:rsid w:val="00A40191"/>
    <w:rsid w:val="00A42E8C"/>
    <w:rsid w:val="00A43A7C"/>
    <w:rsid w:val="00A53B69"/>
    <w:rsid w:val="00A5520F"/>
    <w:rsid w:val="00A62E42"/>
    <w:rsid w:val="00A64A71"/>
    <w:rsid w:val="00A64C3E"/>
    <w:rsid w:val="00A64EE9"/>
    <w:rsid w:val="00A652B8"/>
    <w:rsid w:val="00A678EA"/>
    <w:rsid w:val="00A71F11"/>
    <w:rsid w:val="00A72175"/>
    <w:rsid w:val="00A75DF3"/>
    <w:rsid w:val="00A82626"/>
    <w:rsid w:val="00A82792"/>
    <w:rsid w:val="00A844D9"/>
    <w:rsid w:val="00A9028D"/>
    <w:rsid w:val="00A90EFE"/>
    <w:rsid w:val="00A95277"/>
    <w:rsid w:val="00A956AB"/>
    <w:rsid w:val="00AA0313"/>
    <w:rsid w:val="00AB6791"/>
    <w:rsid w:val="00AC0F30"/>
    <w:rsid w:val="00AC27D7"/>
    <w:rsid w:val="00AC33EB"/>
    <w:rsid w:val="00AC72D3"/>
    <w:rsid w:val="00AD4242"/>
    <w:rsid w:val="00AD4815"/>
    <w:rsid w:val="00AD66EE"/>
    <w:rsid w:val="00AD6C24"/>
    <w:rsid w:val="00AD6ECB"/>
    <w:rsid w:val="00AE1C30"/>
    <w:rsid w:val="00AE2156"/>
    <w:rsid w:val="00AE2573"/>
    <w:rsid w:val="00AE2F90"/>
    <w:rsid w:val="00AE4115"/>
    <w:rsid w:val="00AE5A3B"/>
    <w:rsid w:val="00AF2E4A"/>
    <w:rsid w:val="00AF6A9D"/>
    <w:rsid w:val="00B05BBA"/>
    <w:rsid w:val="00B06430"/>
    <w:rsid w:val="00B069D1"/>
    <w:rsid w:val="00B117AA"/>
    <w:rsid w:val="00B14A79"/>
    <w:rsid w:val="00B16E25"/>
    <w:rsid w:val="00B20397"/>
    <w:rsid w:val="00B24300"/>
    <w:rsid w:val="00B30442"/>
    <w:rsid w:val="00B3149D"/>
    <w:rsid w:val="00B332D8"/>
    <w:rsid w:val="00B36DC0"/>
    <w:rsid w:val="00B47692"/>
    <w:rsid w:val="00B50B6F"/>
    <w:rsid w:val="00B51CBE"/>
    <w:rsid w:val="00B54A4A"/>
    <w:rsid w:val="00B55DE9"/>
    <w:rsid w:val="00B55FAE"/>
    <w:rsid w:val="00B703D8"/>
    <w:rsid w:val="00B70937"/>
    <w:rsid w:val="00B7277C"/>
    <w:rsid w:val="00B770FF"/>
    <w:rsid w:val="00B82EF9"/>
    <w:rsid w:val="00B83949"/>
    <w:rsid w:val="00B85F47"/>
    <w:rsid w:val="00B86266"/>
    <w:rsid w:val="00B87927"/>
    <w:rsid w:val="00B87E40"/>
    <w:rsid w:val="00B91B3F"/>
    <w:rsid w:val="00B92619"/>
    <w:rsid w:val="00B972E0"/>
    <w:rsid w:val="00B97AF9"/>
    <w:rsid w:val="00B97CDF"/>
    <w:rsid w:val="00BA03A9"/>
    <w:rsid w:val="00BA04B9"/>
    <w:rsid w:val="00BA2D4F"/>
    <w:rsid w:val="00BB11D0"/>
    <w:rsid w:val="00BB1EBF"/>
    <w:rsid w:val="00BB488E"/>
    <w:rsid w:val="00BB74DA"/>
    <w:rsid w:val="00BC0047"/>
    <w:rsid w:val="00BC05BA"/>
    <w:rsid w:val="00BC3BA6"/>
    <w:rsid w:val="00BC3FE6"/>
    <w:rsid w:val="00BC5420"/>
    <w:rsid w:val="00BC6E0F"/>
    <w:rsid w:val="00BD3466"/>
    <w:rsid w:val="00BD5650"/>
    <w:rsid w:val="00BD7045"/>
    <w:rsid w:val="00BD7A4D"/>
    <w:rsid w:val="00BE488C"/>
    <w:rsid w:val="00BE5185"/>
    <w:rsid w:val="00BE6139"/>
    <w:rsid w:val="00BF279B"/>
    <w:rsid w:val="00BF7155"/>
    <w:rsid w:val="00C012CB"/>
    <w:rsid w:val="00C03D27"/>
    <w:rsid w:val="00C04BA2"/>
    <w:rsid w:val="00C05B32"/>
    <w:rsid w:val="00C069F1"/>
    <w:rsid w:val="00C12DA7"/>
    <w:rsid w:val="00C15AE8"/>
    <w:rsid w:val="00C17E9E"/>
    <w:rsid w:val="00C26A32"/>
    <w:rsid w:val="00C30297"/>
    <w:rsid w:val="00C331C6"/>
    <w:rsid w:val="00C3539F"/>
    <w:rsid w:val="00C3552C"/>
    <w:rsid w:val="00C37225"/>
    <w:rsid w:val="00C43AC3"/>
    <w:rsid w:val="00C472FA"/>
    <w:rsid w:val="00C518BB"/>
    <w:rsid w:val="00C54E4E"/>
    <w:rsid w:val="00C625D6"/>
    <w:rsid w:val="00C663AB"/>
    <w:rsid w:val="00C66444"/>
    <w:rsid w:val="00C66469"/>
    <w:rsid w:val="00C6786F"/>
    <w:rsid w:val="00C67F91"/>
    <w:rsid w:val="00C70FE6"/>
    <w:rsid w:val="00C745E1"/>
    <w:rsid w:val="00C85269"/>
    <w:rsid w:val="00C85314"/>
    <w:rsid w:val="00C8679F"/>
    <w:rsid w:val="00C870DF"/>
    <w:rsid w:val="00C8769F"/>
    <w:rsid w:val="00C9014E"/>
    <w:rsid w:val="00C9560D"/>
    <w:rsid w:val="00CA2A29"/>
    <w:rsid w:val="00CA2FDF"/>
    <w:rsid w:val="00CA46D6"/>
    <w:rsid w:val="00CA4BC0"/>
    <w:rsid w:val="00CA4CF4"/>
    <w:rsid w:val="00CA7DD0"/>
    <w:rsid w:val="00CB3D80"/>
    <w:rsid w:val="00CC01E8"/>
    <w:rsid w:val="00CC03ED"/>
    <w:rsid w:val="00CC559D"/>
    <w:rsid w:val="00CD5F98"/>
    <w:rsid w:val="00CD654B"/>
    <w:rsid w:val="00CD6BD4"/>
    <w:rsid w:val="00CE0DB3"/>
    <w:rsid w:val="00CE1CD9"/>
    <w:rsid w:val="00CE223E"/>
    <w:rsid w:val="00CE2286"/>
    <w:rsid w:val="00CE385A"/>
    <w:rsid w:val="00CE5B0C"/>
    <w:rsid w:val="00CF043B"/>
    <w:rsid w:val="00CF2D58"/>
    <w:rsid w:val="00D056AF"/>
    <w:rsid w:val="00D1042C"/>
    <w:rsid w:val="00D10A64"/>
    <w:rsid w:val="00D124BA"/>
    <w:rsid w:val="00D145F5"/>
    <w:rsid w:val="00D16DC0"/>
    <w:rsid w:val="00D22FD1"/>
    <w:rsid w:val="00D234BE"/>
    <w:rsid w:val="00D25669"/>
    <w:rsid w:val="00D265EA"/>
    <w:rsid w:val="00D30717"/>
    <w:rsid w:val="00D30809"/>
    <w:rsid w:val="00D31B98"/>
    <w:rsid w:val="00D33502"/>
    <w:rsid w:val="00D355F0"/>
    <w:rsid w:val="00D40507"/>
    <w:rsid w:val="00D40F8B"/>
    <w:rsid w:val="00D42794"/>
    <w:rsid w:val="00D439B8"/>
    <w:rsid w:val="00D45AF8"/>
    <w:rsid w:val="00D51C05"/>
    <w:rsid w:val="00D54DBB"/>
    <w:rsid w:val="00D64C21"/>
    <w:rsid w:val="00D72C5A"/>
    <w:rsid w:val="00D7403D"/>
    <w:rsid w:val="00D74E01"/>
    <w:rsid w:val="00D819B4"/>
    <w:rsid w:val="00D823A3"/>
    <w:rsid w:val="00D83BD9"/>
    <w:rsid w:val="00D84AEE"/>
    <w:rsid w:val="00D85D71"/>
    <w:rsid w:val="00D903D7"/>
    <w:rsid w:val="00D93A71"/>
    <w:rsid w:val="00D95FB9"/>
    <w:rsid w:val="00DA1E85"/>
    <w:rsid w:val="00DA2E75"/>
    <w:rsid w:val="00DA66E0"/>
    <w:rsid w:val="00DA6846"/>
    <w:rsid w:val="00DA686B"/>
    <w:rsid w:val="00DB1C65"/>
    <w:rsid w:val="00DB3E54"/>
    <w:rsid w:val="00DB4135"/>
    <w:rsid w:val="00DB65B1"/>
    <w:rsid w:val="00DB7F09"/>
    <w:rsid w:val="00DC00E8"/>
    <w:rsid w:val="00DC2B80"/>
    <w:rsid w:val="00DC2EE1"/>
    <w:rsid w:val="00DD1722"/>
    <w:rsid w:val="00DD1878"/>
    <w:rsid w:val="00DD26FA"/>
    <w:rsid w:val="00DD2CEA"/>
    <w:rsid w:val="00DD52E0"/>
    <w:rsid w:val="00DD6C15"/>
    <w:rsid w:val="00DE016A"/>
    <w:rsid w:val="00DE45D6"/>
    <w:rsid w:val="00DE53E3"/>
    <w:rsid w:val="00DE53FA"/>
    <w:rsid w:val="00DE58BE"/>
    <w:rsid w:val="00DE7508"/>
    <w:rsid w:val="00DF1237"/>
    <w:rsid w:val="00DF1589"/>
    <w:rsid w:val="00DF1C4B"/>
    <w:rsid w:val="00DF4A87"/>
    <w:rsid w:val="00DF4F68"/>
    <w:rsid w:val="00E00133"/>
    <w:rsid w:val="00E0593F"/>
    <w:rsid w:val="00E067D1"/>
    <w:rsid w:val="00E10D39"/>
    <w:rsid w:val="00E1136B"/>
    <w:rsid w:val="00E133F0"/>
    <w:rsid w:val="00E13A72"/>
    <w:rsid w:val="00E13E90"/>
    <w:rsid w:val="00E20E91"/>
    <w:rsid w:val="00E22D51"/>
    <w:rsid w:val="00E2326D"/>
    <w:rsid w:val="00E31C30"/>
    <w:rsid w:val="00E34003"/>
    <w:rsid w:val="00E34B92"/>
    <w:rsid w:val="00E35FA1"/>
    <w:rsid w:val="00E40B85"/>
    <w:rsid w:val="00E439A8"/>
    <w:rsid w:val="00E43D96"/>
    <w:rsid w:val="00E4447E"/>
    <w:rsid w:val="00E4491F"/>
    <w:rsid w:val="00E460D9"/>
    <w:rsid w:val="00E50E7C"/>
    <w:rsid w:val="00E51545"/>
    <w:rsid w:val="00E54F11"/>
    <w:rsid w:val="00E55326"/>
    <w:rsid w:val="00E57259"/>
    <w:rsid w:val="00E60465"/>
    <w:rsid w:val="00E60D62"/>
    <w:rsid w:val="00E635F7"/>
    <w:rsid w:val="00E711D7"/>
    <w:rsid w:val="00E7766C"/>
    <w:rsid w:val="00E80549"/>
    <w:rsid w:val="00E81A40"/>
    <w:rsid w:val="00E902B0"/>
    <w:rsid w:val="00E902E8"/>
    <w:rsid w:val="00E953A5"/>
    <w:rsid w:val="00E96F73"/>
    <w:rsid w:val="00EA3335"/>
    <w:rsid w:val="00EA5132"/>
    <w:rsid w:val="00EB030F"/>
    <w:rsid w:val="00EC5F74"/>
    <w:rsid w:val="00EC6B16"/>
    <w:rsid w:val="00ED14FB"/>
    <w:rsid w:val="00ED492E"/>
    <w:rsid w:val="00ED6E7B"/>
    <w:rsid w:val="00EE323D"/>
    <w:rsid w:val="00EE5727"/>
    <w:rsid w:val="00EE677F"/>
    <w:rsid w:val="00EF2FBF"/>
    <w:rsid w:val="00EF4AA5"/>
    <w:rsid w:val="00EF6768"/>
    <w:rsid w:val="00EF749E"/>
    <w:rsid w:val="00F0082D"/>
    <w:rsid w:val="00F06BD8"/>
    <w:rsid w:val="00F07C90"/>
    <w:rsid w:val="00F1282C"/>
    <w:rsid w:val="00F15929"/>
    <w:rsid w:val="00F16933"/>
    <w:rsid w:val="00F17407"/>
    <w:rsid w:val="00F20130"/>
    <w:rsid w:val="00F203C0"/>
    <w:rsid w:val="00F20469"/>
    <w:rsid w:val="00F21D06"/>
    <w:rsid w:val="00F21FD5"/>
    <w:rsid w:val="00F22F3A"/>
    <w:rsid w:val="00F24300"/>
    <w:rsid w:val="00F31F43"/>
    <w:rsid w:val="00F33666"/>
    <w:rsid w:val="00F347A4"/>
    <w:rsid w:val="00F34D2D"/>
    <w:rsid w:val="00F4188B"/>
    <w:rsid w:val="00F51F2A"/>
    <w:rsid w:val="00F54361"/>
    <w:rsid w:val="00F5502B"/>
    <w:rsid w:val="00F559CD"/>
    <w:rsid w:val="00F56041"/>
    <w:rsid w:val="00F56EC4"/>
    <w:rsid w:val="00F57430"/>
    <w:rsid w:val="00F631F0"/>
    <w:rsid w:val="00F639C0"/>
    <w:rsid w:val="00F66B9F"/>
    <w:rsid w:val="00F676EA"/>
    <w:rsid w:val="00F70DC2"/>
    <w:rsid w:val="00F71A0E"/>
    <w:rsid w:val="00F71A92"/>
    <w:rsid w:val="00F73BC0"/>
    <w:rsid w:val="00F75A25"/>
    <w:rsid w:val="00F8372F"/>
    <w:rsid w:val="00F83888"/>
    <w:rsid w:val="00F8590A"/>
    <w:rsid w:val="00F872A9"/>
    <w:rsid w:val="00F92279"/>
    <w:rsid w:val="00F958EE"/>
    <w:rsid w:val="00FA5A81"/>
    <w:rsid w:val="00FA6444"/>
    <w:rsid w:val="00FB14FA"/>
    <w:rsid w:val="00FB5257"/>
    <w:rsid w:val="00FB64AA"/>
    <w:rsid w:val="00FC6766"/>
    <w:rsid w:val="00FC6ADA"/>
    <w:rsid w:val="00FC7482"/>
    <w:rsid w:val="00FD1072"/>
    <w:rsid w:val="00FD3E3F"/>
    <w:rsid w:val="00FD3EDA"/>
    <w:rsid w:val="00FD4CFD"/>
    <w:rsid w:val="00FD57E6"/>
    <w:rsid w:val="00FE5BBA"/>
    <w:rsid w:val="00FF1D8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7DD74A0"/>
  <w15:docId w15:val="{C8E8DE86-8ED6-4179-B8BD-8D01918A9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3EA"/>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8043EA"/>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8043EA"/>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8043EA"/>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8043EA"/>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8043EA"/>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8043EA"/>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43EA"/>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8043EA"/>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8043EA"/>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8043EA"/>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8043EA"/>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8043EA"/>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8043EA"/>
    <w:pPr>
      <w:keepNext/>
      <w:spacing w:before="0" w:after="0"/>
      <w:jc w:val="center"/>
    </w:pPr>
    <w:rPr>
      <w:color w:val="004A7F"/>
      <w:sz w:val="20"/>
    </w:rPr>
  </w:style>
  <w:style w:type="paragraph" w:customStyle="1" w:styleId="AlphaParagraph">
    <w:name w:val="Alpha Paragraph"/>
    <w:basedOn w:val="Normal"/>
    <w:rsid w:val="008043EA"/>
    <w:pPr>
      <w:numPr>
        <w:ilvl w:val="1"/>
        <w:numId w:val="35"/>
      </w:numPr>
      <w:spacing w:before="0"/>
    </w:pPr>
  </w:style>
  <w:style w:type="table" w:styleId="TableGridLight">
    <w:name w:val="Grid Table Light"/>
    <w:basedOn w:val="TableNormal"/>
    <w:uiPriority w:val="40"/>
    <w:rsid w:val="00313D7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xHeading">
    <w:name w:val="Box Heading"/>
    <w:basedOn w:val="Normal"/>
    <w:next w:val="Normal"/>
    <w:qFormat/>
    <w:rsid w:val="006016A6"/>
    <w:pPr>
      <w:keepNext/>
      <w:spacing w:before="240"/>
    </w:pPr>
    <w:rPr>
      <w:b/>
      <w:color w:val="2C384A" w:themeColor="accent1"/>
      <w:sz w:val="28"/>
      <w:szCs w:val="26"/>
    </w:rPr>
  </w:style>
  <w:style w:type="paragraph" w:customStyle="1" w:styleId="BoxText">
    <w:name w:val="Box Text"/>
    <w:basedOn w:val="Normal"/>
    <w:link w:val="BoxTextChar"/>
    <w:rsid w:val="008043EA"/>
  </w:style>
  <w:style w:type="paragraph" w:customStyle="1" w:styleId="Bullet">
    <w:name w:val="Bullet"/>
    <w:aliases w:val="Body,BodyNum,Bullet + line,Bullet Char1,Bullet Char1 Char Char Char,Bullet Char1 Char Char Char Char,Bullet Char1 Char Char Char Char Char,b,b + line,b1,b1 Char Char Char,bulleted,level 1"/>
    <w:basedOn w:val="Normal"/>
    <w:link w:val="BulletChar"/>
    <w:qFormat/>
    <w:rsid w:val="008043EA"/>
    <w:pPr>
      <w:numPr>
        <w:numId w:val="17"/>
      </w:numPr>
      <w:tabs>
        <w:tab w:val="left" w:pos="720"/>
      </w:tabs>
      <w:spacing w:after="0" w:line="276" w:lineRule="auto"/>
    </w:pPr>
  </w:style>
  <w:style w:type="paragraph" w:customStyle="1" w:styleId="ChartandTableFootnoteAlpha">
    <w:name w:val="Chart and Table Footnote Alpha"/>
    <w:rsid w:val="008043EA"/>
    <w:pPr>
      <w:numPr>
        <w:numId w:val="25"/>
      </w:numPr>
      <w:spacing w:after="0" w:line="240" w:lineRule="auto"/>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qFormat/>
    <w:rsid w:val="008043EA"/>
    <w:pPr>
      <w:jc w:val="center"/>
    </w:pPr>
  </w:style>
  <w:style w:type="paragraph" w:customStyle="1" w:styleId="ChartorTableNote">
    <w:name w:val="Chart or Table Note"/>
    <w:next w:val="Normal"/>
    <w:qFormat/>
    <w:rsid w:val="008043EA"/>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8043EA"/>
    <w:pPr>
      <w:jc w:val="center"/>
    </w:pPr>
    <w:rPr>
      <w:b w:val="0"/>
      <w:bCs/>
    </w:rPr>
  </w:style>
  <w:style w:type="paragraph" w:customStyle="1" w:styleId="ReportDate">
    <w:name w:val="Report Date"/>
    <w:basedOn w:val="Normal"/>
    <w:link w:val="ReportDateChar"/>
    <w:rsid w:val="00082FC2"/>
    <w:pPr>
      <w:keepNext/>
      <w:spacing w:before="0" w:after="360"/>
    </w:pPr>
    <w:rPr>
      <w:color w:val="2C384A" w:themeColor="accent1"/>
      <w:sz w:val="32"/>
    </w:rPr>
  </w:style>
  <w:style w:type="paragraph" w:customStyle="1" w:styleId="Dash">
    <w:name w:val="Dash"/>
    <w:basedOn w:val="Normal"/>
    <w:link w:val="DashChar"/>
    <w:qFormat/>
    <w:rsid w:val="008043EA"/>
    <w:pPr>
      <w:numPr>
        <w:ilvl w:val="1"/>
        <w:numId w:val="23"/>
      </w:numPr>
      <w:spacing w:before="0"/>
    </w:pPr>
  </w:style>
  <w:style w:type="paragraph" w:customStyle="1" w:styleId="DoubleDot">
    <w:name w:val="Double Dot"/>
    <w:basedOn w:val="Normal"/>
    <w:link w:val="DoubleDotChar"/>
    <w:qFormat/>
    <w:rsid w:val="008043EA"/>
    <w:pPr>
      <w:numPr>
        <w:ilvl w:val="2"/>
        <w:numId w:val="23"/>
      </w:numPr>
      <w:spacing w:before="0"/>
    </w:pPr>
  </w:style>
  <w:style w:type="paragraph" w:customStyle="1" w:styleId="TableMainHeading">
    <w:name w:val="Table Main Heading"/>
    <w:basedOn w:val="Heading3"/>
    <w:next w:val="Normal"/>
    <w:qFormat/>
    <w:rsid w:val="008043EA"/>
    <w:pPr>
      <w:spacing w:before="120"/>
    </w:pPr>
    <w:rPr>
      <w:b w:val="0"/>
      <w:sz w:val="26"/>
    </w:rPr>
  </w:style>
  <w:style w:type="paragraph" w:customStyle="1" w:styleId="FooterEven">
    <w:name w:val="Footer Even"/>
    <w:basedOn w:val="Footer"/>
    <w:rsid w:val="00E81A40"/>
    <w:pPr>
      <w:tabs>
        <w:tab w:val="clear" w:pos="9072"/>
      </w:tabs>
      <w:jc w:val="left"/>
    </w:pPr>
  </w:style>
  <w:style w:type="paragraph" w:customStyle="1" w:styleId="FooterOdd">
    <w:name w:val="Footer Odd"/>
    <w:basedOn w:val="Footer"/>
    <w:rsid w:val="00E81A40"/>
    <w:pPr>
      <w:tabs>
        <w:tab w:val="clear" w:pos="9072"/>
      </w:tabs>
    </w:pPr>
    <w:rPr>
      <w:noProof w:val="0"/>
    </w:rPr>
  </w:style>
  <w:style w:type="character" w:styleId="Hyperlink">
    <w:name w:val="Hyperlink"/>
    <w:basedOn w:val="DefaultParagraphFont"/>
    <w:uiPriority w:val="99"/>
    <w:rsid w:val="00823A66"/>
    <w:rPr>
      <w:color w:val="3A6FAF"/>
      <w:u w:val="single"/>
    </w:rPr>
  </w:style>
  <w:style w:type="paragraph" w:customStyle="1" w:styleId="OutlineNumbered1">
    <w:name w:val="Outline Numbered 1"/>
    <w:basedOn w:val="Normal"/>
    <w:rsid w:val="008043EA"/>
    <w:pPr>
      <w:numPr>
        <w:numId w:val="34"/>
      </w:numPr>
      <w:spacing w:before="0"/>
    </w:pPr>
  </w:style>
  <w:style w:type="paragraph" w:customStyle="1" w:styleId="OneLevelNumberedParagraph">
    <w:name w:val="One Level Numbered Paragraph"/>
    <w:basedOn w:val="Normal"/>
    <w:rsid w:val="008043EA"/>
    <w:pPr>
      <w:numPr>
        <w:numId w:val="30"/>
      </w:numPr>
      <w:tabs>
        <w:tab w:val="clear" w:pos="284"/>
        <w:tab w:val="num" w:pos="360"/>
      </w:tabs>
      <w:spacing w:before="0"/>
      <w:ind w:left="0" w:firstLine="0"/>
    </w:pPr>
  </w:style>
  <w:style w:type="paragraph" w:customStyle="1" w:styleId="OutlineNumbered2">
    <w:name w:val="Outline Numbered 2"/>
    <w:basedOn w:val="Normal"/>
    <w:rsid w:val="008043EA"/>
    <w:pPr>
      <w:numPr>
        <w:ilvl w:val="1"/>
        <w:numId w:val="34"/>
      </w:numPr>
      <w:spacing w:before="0"/>
    </w:pPr>
  </w:style>
  <w:style w:type="paragraph" w:customStyle="1" w:styleId="OutlineNumbered3">
    <w:name w:val="Outline Numbered 3"/>
    <w:basedOn w:val="Normal"/>
    <w:rsid w:val="008043EA"/>
    <w:pPr>
      <w:numPr>
        <w:ilvl w:val="2"/>
        <w:numId w:val="34"/>
      </w:numPr>
      <w:spacing w:before="0"/>
    </w:pPr>
  </w:style>
  <w:style w:type="paragraph" w:customStyle="1" w:styleId="SingleParagraph">
    <w:name w:val="Single Paragraph"/>
    <w:basedOn w:val="Normal"/>
    <w:link w:val="SingleParagraphChar"/>
    <w:rsid w:val="008043EA"/>
    <w:pPr>
      <w:spacing w:before="0" w:after="0"/>
    </w:pPr>
  </w:style>
  <w:style w:type="paragraph" w:customStyle="1" w:styleId="TableSecondHeading">
    <w:name w:val="Table Second Heading"/>
    <w:basedOn w:val="Normal"/>
    <w:next w:val="Normal"/>
    <w:rsid w:val="008043EA"/>
    <w:pPr>
      <w:keepNext/>
      <w:spacing w:before="0" w:after="20"/>
    </w:pPr>
    <w:rPr>
      <w:b/>
      <w:color w:val="004A7F"/>
    </w:rPr>
  </w:style>
  <w:style w:type="paragraph" w:customStyle="1" w:styleId="TableColumnHeadingCentred">
    <w:name w:val="Table Column Heading Centred"/>
    <w:basedOn w:val="TableTextLeft"/>
    <w:rsid w:val="00AB6791"/>
    <w:pPr>
      <w:jc w:val="center"/>
    </w:pPr>
    <w:rPr>
      <w:b/>
      <w:color w:val="2C384A" w:themeColor="accent1"/>
      <w:sz w:val="20"/>
    </w:rPr>
  </w:style>
  <w:style w:type="paragraph" w:customStyle="1" w:styleId="TableColumnHeadingLeft">
    <w:name w:val="Table Column Heading Left"/>
    <w:basedOn w:val="TableTextLeft"/>
    <w:rsid w:val="00AB6791"/>
    <w:rPr>
      <w:b/>
      <w:color w:val="2C384A" w:themeColor="accent1"/>
      <w:sz w:val="20"/>
    </w:rPr>
  </w:style>
  <w:style w:type="paragraph" w:customStyle="1" w:styleId="TableColumnHeadingRight">
    <w:name w:val="Table Column Heading Right"/>
    <w:basedOn w:val="TableTextLeft"/>
    <w:rsid w:val="00AB6791"/>
    <w:pPr>
      <w:jc w:val="right"/>
    </w:pPr>
    <w:rPr>
      <w:b/>
      <w:color w:val="2C384A" w:themeColor="accent1"/>
      <w:sz w:val="20"/>
    </w:rPr>
  </w:style>
  <w:style w:type="table" w:styleId="TableGrid">
    <w:name w:val="Table Grid"/>
    <w:basedOn w:val="TableNormal"/>
    <w:rsid w:val="00AB6791"/>
    <w:pPr>
      <w:spacing w:before="40" w:after="40" w:line="240" w:lineRule="auto"/>
    </w:pPr>
    <w:rPr>
      <w:rFonts w:ascii="Calibri Light" w:eastAsia="Times New Roman" w:hAnsi="Calibri Light" w:cs="Times New Roman"/>
      <w:sz w:val="20"/>
      <w:szCs w:val="20"/>
      <w:lang w:eastAsia="en-AU"/>
    </w:rPr>
    <w:tblPr/>
    <w:tcPr>
      <w:shd w:val="clear" w:color="auto" w:fill="auto"/>
    </w:tcPr>
    <w:tblStylePr w:type="firstRow">
      <w:pPr>
        <w:wordWrap/>
        <w:spacing w:beforeLines="40" w:before="40" w:beforeAutospacing="0" w:afterLines="40" w:after="40" w:afterAutospacing="0" w:line="240" w:lineRule="auto"/>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8043EA"/>
    <w:pPr>
      <w:jc w:val="center"/>
    </w:pPr>
  </w:style>
  <w:style w:type="paragraph" w:customStyle="1" w:styleId="TableTextLeft">
    <w:name w:val="Table Text Left"/>
    <w:basedOn w:val="TableTextRight"/>
    <w:rsid w:val="008043EA"/>
    <w:pPr>
      <w:jc w:val="left"/>
    </w:pPr>
  </w:style>
  <w:style w:type="paragraph" w:customStyle="1" w:styleId="TableTextRight">
    <w:name w:val="Table Text Right"/>
    <w:basedOn w:val="Normal"/>
    <w:rsid w:val="008043EA"/>
    <w:pPr>
      <w:spacing w:before="40" w:after="40"/>
      <w:jc w:val="right"/>
    </w:pPr>
    <w:rPr>
      <w:color w:val="000000"/>
      <w:sz w:val="18"/>
    </w:rPr>
  </w:style>
  <w:style w:type="paragraph" w:styleId="TOC1">
    <w:name w:val="toc 1"/>
    <w:basedOn w:val="Normal"/>
    <w:next w:val="Normal"/>
    <w:uiPriority w:val="39"/>
    <w:rsid w:val="008043EA"/>
    <w:pPr>
      <w:keepNext/>
      <w:tabs>
        <w:tab w:val="right" w:leader="dot" w:pos="9072"/>
      </w:tabs>
      <w:spacing w:before="180" w:after="0"/>
      <w:ind w:right="-2"/>
    </w:pPr>
    <w:rPr>
      <w:b/>
      <w:noProof/>
      <w:color w:val="002C4A"/>
      <w:szCs w:val="22"/>
    </w:rPr>
  </w:style>
  <w:style w:type="paragraph" w:styleId="TOC2">
    <w:name w:val="toc 2"/>
    <w:basedOn w:val="Normal"/>
    <w:next w:val="Normal"/>
    <w:uiPriority w:val="39"/>
    <w:rsid w:val="008043EA"/>
    <w:pPr>
      <w:keepNext/>
      <w:tabs>
        <w:tab w:val="right" w:leader="dot" w:pos="9072"/>
      </w:tabs>
      <w:spacing w:before="40" w:after="20"/>
      <w:ind w:right="-2"/>
    </w:pPr>
    <w:rPr>
      <w:noProof/>
      <w:color w:val="004A7F"/>
    </w:rPr>
  </w:style>
  <w:style w:type="paragraph" w:styleId="TOC3">
    <w:name w:val="toc 3"/>
    <w:basedOn w:val="Normal"/>
    <w:next w:val="Normal"/>
    <w:uiPriority w:val="39"/>
    <w:rsid w:val="008043EA"/>
    <w:pPr>
      <w:tabs>
        <w:tab w:val="right" w:leader="dot" w:pos="9072"/>
      </w:tabs>
      <w:spacing w:before="20" w:after="0"/>
      <w:ind w:left="284" w:right="-2"/>
    </w:pPr>
    <w:rPr>
      <w:rFonts w:cs="Calibri"/>
      <w:noProof/>
    </w:rPr>
  </w:style>
  <w:style w:type="numbering" w:customStyle="1" w:styleId="OutlineList">
    <w:name w:val="OutlineList"/>
    <w:uiPriority w:val="99"/>
    <w:rsid w:val="008043EA"/>
    <w:pPr>
      <w:numPr>
        <w:numId w:val="4"/>
      </w:numPr>
    </w:pPr>
  </w:style>
  <w:style w:type="numbering" w:customStyle="1" w:styleId="BulletedList">
    <w:name w:val="Bulleted List"/>
    <w:uiPriority w:val="99"/>
    <w:rsid w:val="008043EA"/>
    <w:pPr>
      <w:numPr>
        <w:numId w:val="1"/>
      </w:numPr>
    </w:pPr>
  </w:style>
  <w:style w:type="numbering" w:customStyle="1" w:styleId="BoxBulletedList">
    <w:name w:val="Box Bulleted List"/>
    <w:uiPriority w:val="99"/>
    <w:rsid w:val="008043EA"/>
    <w:pPr>
      <w:numPr>
        <w:numId w:val="2"/>
      </w:numPr>
    </w:pPr>
  </w:style>
  <w:style w:type="numbering" w:customStyle="1" w:styleId="OneLevelList">
    <w:name w:val="OneLevelList"/>
    <w:uiPriority w:val="99"/>
    <w:rsid w:val="008043EA"/>
    <w:pPr>
      <w:numPr>
        <w:numId w:val="3"/>
      </w:numPr>
    </w:pPr>
  </w:style>
  <w:style w:type="numbering" w:customStyle="1" w:styleId="ChartandTableFootnoteAlphaList">
    <w:name w:val="ChartandTableFootnoteAlphaList"/>
    <w:uiPriority w:val="99"/>
    <w:rsid w:val="008043EA"/>
    <w:pPr>
      <w:numPr>
        <w:numId w:val="14"/>
      </w:numPr>
    </w:pPr>
  </w:style>
  <w:style w:type="paragraph" w:customStyle="1" w:styleId="Heading1Numbered">
    <w:name w:val="Heading 1 Numbered"/>
    <w:basedOn w:val="Heading1"/>
    <w:next w:val="Normal"/>
    <w:rsid w:val="008043EA"/>
    <w:pPr>
      <w:numPr>
        <w:numId w:val="28"/>
      </w:numPr>
    </w:pPr>
  </w:style>
  <w:style w:type="character" w:customStyle="1" w:styleId="SingleParagraphChar">
    <w:name w:val="Single Paragraph Char"/>
    <w:basedOn w:val="DefaultParagraphFont"/>
    <w:link w:val="SingleParagraph"/>
    <w:rsid w:val="008043EA"/>
    <w:rPr>
      <w:rFonts w:ascii="Calibri Light" w:eastAsia="Times New Roman" w:hAnsi="Calibri Light" w:cs="Times New Roman"/>
      <w:szCs w:val="20"/>
      <w:lang w:eastAsia="en-AU"/>
    </w:rPr>
  </w:style>
  <w:style w:type="paragraph" w:customStyle="1" w:styleId="Heading2Numbered">
    <w:name w:val="Heading 2 Numbered"/>
    <w:basedOn w:val="Heading2"/>
    <w:next w:val="Normal"/>
    <w:rsid w:val="008043EA"/>
    <w:pPr>
      <w:numPr>
        <w:ilvl w:val="1"/>
        <w:numId w:val="28"/>
      </w:numPr>
    </w:pPr>
  </w:style>
  <w:style w:type="paragraph" w:customStyle="1" w:styleId="Heading3Numbered">
    <w:name w:val="Heading 3 Numbered"/>
    <w:basedOn w:val="Heading3"/>
    <w:rsid w:val="008043EA"/>
    <w:pPr>
      <w:numPr>
        <w:ilvl w:val="2"/>
        <w:numId w:val="28"/>
      </w:numPr>
    </w:pPr>
  </w:style>
  <w:style w:type="paragraph" w:styleId="Title">
    <w:name w:val="Title"/>
    <w:basedOn w:val="Normal"/>
    <w:next w:val="Normal"/>
    <w:link w:val="TitleChar"/>
    <w:uiPriority w:val="10"/>
    <w:rsid w:val="00082FC2"/>
    <w:pPr>
      <w:spacing w:before="0"/>
      <w:contextualSpacing/>
    </w:pPr>
    <w:rPr>
      <w:rFonts w:eastAsiaTheme="majorEastAsia" w:cstheme="majorBidi"/>
      <w:b/>
      <w:color w:val="2C384A" w:themeColor="accent1"/>
      <w:spacing w:val="5"/>
      <w:kern w:val="28"/>
      <w:sz w:val="72"/>
      <w:szCs w:val="52"/>
    </w:rPr>
  </w:style>
  <w:style w:type="character" w:customStyle="1" w:styleId="TitleChar">
    <w:name w:val="Title Char"/>
    <w:basedOn w:val="DefaultParagraphFont"/>
    <w:link w:val="Title"/>
    <w:uiPriority w:val="10"/>
    <w:rsid w:val="00082FC2"/>
    <w:rPr>
      <w:rFonts w:ascii="Calibri Light" w:eastAsiaTheme="majorEastAsia" w:hAnsi="Calibri Light" w:cstheme="majorBidi"/>
      <w:b/>
      <w:color w:val="2C384A" w:themeColor="accent1"/>
      <w:spacing w:val="5"/>
      <w:kern w:val="28"/>
      <w:sz w:val="72"/>
      <w:szCs w:val="52"/>
      <w:lang w:eastAsia="en-AU"/>
    </w:rPr>
  </w:style>
  <w:style w:type="paragraph" w:styleId="Subtitle">
    <w:name w:val="Subtitle"/>
    <w:basedOn w:val="Normal"/>
    <w:next w:val="Normal"/>
    <w:link w:val="SubtitleChar"/>
    <w:uiPriority w:val="11"/>
    <w:rsid w:val="00082FC2"/>
    <w:pPr>
      <w:numPr>
        <w:ilvl w:val="1"/>
      </w:numPr>
      <w:spacing w:after="360"/>
    </w:pPr>
    <w:rPr>
      <w:rFonts w:eastAsiaTheme="majorEastAsia" w:cstheme="majorBidi"/>
      <w:iCs/>
      <w:color w:val="5D779D" w:themeColor="accent3"/>
      <w:sz w:val="44"/>
      <w:szCs w:val="44"/>
    </w:rPr>
  </w:style>
  <w:style w:type="character" w:customStyle="1" w:styleId="SubtitleChar">
    <w:name w:val="Subtitle Char"/>
    <w:basedOn w:val="DefaultParagraphFont"/>
    <w:link w:val="Subtitle"/>
    <w:uiPriority w:val="11"/>
    <w:rsid w:val="00082FC2"/>
    <w:rPr>
      <w:rFonts w:ascii="Calibri Light" w:eastAsiaTheme="majorEastAsia" w:hAnsi="Calibri Light" w:cstheme="majorBidi"/>
      <w:iCs/>
      <w:color w:val="5D779D" w:themeColor="accent3"/>
      <w:sz w:val="44"/>
      <w:szCs w:val="44"/>
      <w:lang w:eastAsia="en-AU"/>
    </w:rPr>
  </w:style>
  <w:style w:type="character" w:styleId="SubtleEmphasis">
    <w:name w:val="Subtle Emphasis"/>
    <w:basedOn w:val="DefaultParagraphFont"/>
    <w:uiPriority w:val="19"/>
    <w:rsid w:val="008043EA"/>
    <w:rPr>
      <w:i/>
      <w:iCs/>
      <w:color w:val="808080" w:themeColor="text1" w:themeTint="7F"/>
    </w:rPr>
  </w:style>
  <w:style w:type="paragraph" w:styleId="Header">
    <w:name w:val="header"/>
    <w:basedOn w:val="Normal"/>
    <w:link w:val="HeaderChar"/>
    <w:uiPriority w:val="99"/>
    <w:unhideWhenUsed/>
    <w:rsid w:val="008043EA"/>
    <w:pPr>
      <w:keepNext/>
      <w:spacing w:before="0" w:after="0"/>
      <w:jc w:val="right"/>
    </w:pPr>
    <w:rPr>
      <w:color w:val="004A7F"/>
      <w:sz w:val="20"/>
    </w:rPr>
  </w:style>
  <w:style w:type="character" w:customStyle="1" w:styleId="HeaderChar">
    <w:name w:val="Header Char"/>
    <w:basedOn w:val="DefaultParagraphFont"/>
    <w:link w:val="Header"/>
    <w:uiPriority w:val="99"/>
    <w:rsid w:val="008043EA"/>
    <w:rPr>
      <w:rFonts w:ascii="Calibri Light" w:eastAsia="Times New Roman" w:hAnsi="Calibri Light" w:cs="Times New Roman"/>
      <w:color w:val="004A7F"/>
      <w:sz w:val="20"/>
      <w:szCs w:val="20"/>
      <w:lang w:eastAsia="en-AU"/>
    </w:rPr>
  </w:style>
  <w:style w:type="character" w:styleId="PlaceholderText">
    <w:name w:val="Placeholder Text"/>
    <w:basedOn w:val="DefaultParagraphFont"/>
    <w:uiPriority w:val="99"/>
    <w:semiHidden/>
    <w:rsid w:val="008043EA"/>
    <w:rPr>
      <w:color w:val="808080"/>
    </w:rPr>
  </w:style>
  <w:style w:type="paragraph" w:customStyle="1" w:styleId="HeadingBase">
    <w:name w:val="Heading Base"/>
    <w:rsid w:val="008043EA"/>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082FC2"/>
    <w:rPr>
      <w:rFonts w:ascii="Calibri Light" w:eastAsia="Times New Roman" w:hAnsi="Calibri Light" w:cs="Times New Roman"/>
      <w:color w:val="2C384A" w:themeColor="accent1"/>
      <w:sz w:val="32"/>
      <w:szCs w:val="20"/>
      <w:lang w:eastAsia="en-AU"/>
    </w:rPr>
  </w:style>
  <w:style w:type="paragraph" w:customStyle="1" w:styleId="TableTextIndented">
    <w:name w:val="Table Text Indented"/>
    <w:basedOn w:val="TableTextLeft"/>
    <w:rsid w:val="008043EA"/>
    <w:pPr>
      <w:ind w:left="284"/>
    </w:pPr>
  </w:style>
  <w:style w:type="paragraph" w:customStyle="1" w:styleId="TableHeadingContinued">
    <w:name w:val="Table Heading Continued"/>
    <w:basedOn w:val="TableMainHeading"/>
    <w:next w:val="TableGraphic"/>
    <w:rsid w:val="008043EA"/>
  </w:style>
  <w:style w:type="paragraph" w:customStyle="1" w:styleId="TableGraphic">
    <w:name w:val="Table Graphic"/>
    <w:basedOn w:val="HeadingBase"/>
    <w:next w:val="Normal"/>
    <w:rsid w:val="008043EA"/>
    <w:pPr>
      <w:spacing w:after="0"/>
    </w:pPr>
  </w:style>
  <w:style w:type="character" w:styleId="FootnoteReference">
    <w:name w:val="footnote reference"/>
    <w:basedOn w:val="DefaultParagraphFont"/>
    <w:uiPriority w:val="99"/>
    <w:rsid w:val="00EE323D"/>
    <w:rPr>
      <w:sz w:val="18"/>
      <w:vertAlign w:val="superscript"/>
    </w:rPr>
  </w:style>
  <w:style w:type="paragraph" w:styleId="FootnoteText">
    <w:name w:val="footnote text"/>
    <w:basedOn w:val="Normal"/>
    <w:link w:val="FootnoteTextChar"/>
    <w:uiPriority w:val="99"/>
    <w:rsid w:val="008043EA"/>
    <w:pPr>
      <w:spacing w:before="0" w:after="0"/>
      <w:ind w:left="397" w:hanging="397"/>
    </w:pPr>
    <w:rPr>
      <w:sz w:val="20"/>
    </w:rPr>
  </w:style>
  <w:style w:type="character" w:customStyle="1" w:styleId="FootnoteTextChar">
    <w:name w:val="Footnote Text Char"/>
    <w:basedOn w:val="DefaultParagraphFont"/>
    <w:link w:val="FootnoteText"/>
    <w:uiPriority w:val="99"/>
    <w:rsid w:val="008043EA"/>
    <w:rPr>
      <w:rFonts w:ascii="Calibri Light" w:eastAsia="Times New Roman" w:hAnsi="Calibri Light" w:cs="Times New Roman"/>
      <w:sz w:val="20"/>
      <w:szCs w:val="20"/>
      <w:lang w:eastAsia="en-AU"/>
    </w:rPr>
  </w:style>
  <w:style w:type="paragraph" w:customStyle="1" w:styleId="Heading3noTOC">
    <w:name w:val="Heading 3 no TOC"/>
    <w:basedOn w:val="Heading3"/>
    <w:rsid w:val="00257AEE"/>
    <w:rPr>
      <w:rFonts w:cs="Calibri"/>
    </w:rPr>
  </w:style>
  <w:style w:type="paragraph" w:styleId="BalloonText">
    <w:name w:val="Balloon Text"/>
    <w:basedOn w:val="Normal"/>
    <w:link w:val="BalloonTextChar"/>
    <w:uiPriority w:val="99"/>
    <w:semiHidden/>
    <w:unhideWhenUsed/>
    <w:rsid w:val="008043E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3EA"/>
    <w:rPr>
      <w:rFonts w:ascii="Tahoma" w:eastAsia="Times New Roman" w:hAnsi="Tahoma" w:cs="Tahoma"/>
      <w:sz w:val="16"/>
      <w:szCs w:val="16"/>
      <w:lang w:eastAsia="en-AU"/>
    </w:rPr>
  </w:style>
  <w:style w:type="character" w:customStyle="1" w:styleId="BulletChar">
    <w:name w:val="Bullet Char"/>
    <w:basedOn w:val="DefaultParagraphFont"/>
    <w:link w:val="Bullet"/>
    <w:locked/>
    <w:rsid w:val="008043EA"/>
    <w:rPr>
      <w:rFonts w:ascii="Calibri Light" w:eastAsia="Times New Roman" w:hAnsi="Calibri Light" w:cs="Times New Roman"/>
      <w:szCs w:val="20"/>
      <w:lang w:eastAsia="en-AU"/>
    </w:rPr>
  </w:style>
  <w:style w:type="paragraph" w:customStyle="1" w:styleId="Boxbullet">
    <w:name w:val="Box bullet"/>
    <w:basedOn w:val="Bullet"/>
    <w:rsid w:val="008043EA"/>
    <w:pPr>
      <w:tabs>
        <w:tab w:val="num" w:pos="284"/>
      </w:tabs>
      <w:spacing w:before="60"/>
      <w:ind w:left="170" w:hanging="170"/>
    </w:pPr>
    <w:rPr>
      <w:color w:val="0D0D0D" w:themeColor="text1" w:themeTint="F2"/>
    </w:rPr>
  </w:style>
  <w:style w:type="character" w:customStyle="1" w:styleId="DashChar">
    <w:name w:val="Dash Char"/>
    <w:basedOn w:val="DefaultParagraphFont"/>
    <w:link w:val="Dash"/>
    <w:locked/>
    <w:rsid w:val="008043EA"/>
    <w:rPr>
      <w:rFonts w:ascii="Calibri Light" w:eastAsia="Times New Roman" w:hAnsi="Calibri Light" w:cs="Times New Roman"/>
      <w:szCs w:val="20"/>
      <w:lang w:eastAsia="en-AU"/>
    </w:rPr>
  </w:style>
  <w:style w:type="paragraph" w:customStyle="1" w:styleId="Boxdash">
    <w:name w:val="Box dash"/>
    <w:basedOn w:val="Dash"/>
    <w:rsid w:val="008043EA"/>
    <w:pPr>
      <w:tabs>
        <w:tab w:val="clear" w:pos="567"/>
        <w:tab w:val="num" w:pos="1040"/>
      </w:tabs>
      <w:spacing w:before="60" w:after="0" w:line="276" w:lineRule="auto"/>
      <w:ind w:left="454" w:hanging="170"/>
    </w:pPr>
    <w:rPr>
      <w:rFonts w:eastAsiaTheme="minorHAnsi"/>
      <w:color w:val="0D0D0D" w:themeColor="text1" w:themeTint="F2"/>
      <w:lang w:eastAsia="en-US"/>
    </w:rPr>
  </w:style>
  <w:style w:type="character" w:customStyle="1" w:styleId="DoubleDotChar">
    <w:name w:val="Double Dot Char"/>
    <w:basedOn w:val="DefaultParagraphFont"/>
    <w:link w:val="DoubleDot"/>
    <w:locked/>
    <w:rsid w:val="008043EA"/>
    <w:rPr>
      <w:rFonts w:ascii="Calibri Light" w:eastAsia="Times New Roman" w:hAnsi="Calibri Light" w:cs="Times New Roman"/>
      <w:szCs w:val="20"/>
      <w:lang w:eastAsia="en-AU"/>
    </w:rPr>
  </w:style>
  <w:style w:type="paragraph" w:customStyle="1" w:styleId="Boxdoubledot">
    <w:name w:val="Box double dot"/>
    <w:basedOn w:val="DoubleDot"/>
    <w:rsid w:val="008043EA"/>
    <w:pPr>
      <w:tabs>
        <w:tab w:val="clear" w:pos="850"/>
        <w:tab w:val="left" w:pos="567"/>
        <w:tab w:val="num" w:pos="1560"/>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8043EA"/>
    <w:rPr>
      <w:rFonts w:ascii="Calibri Light" w:eastAsia="Times New Roman" w:hAnsi="Calibri Light" w:cs="Times New Roman"/>
      <w:szCs w:val="20"/>
      <w:lang w:eastAsia="en-AU"/>
    </w:rPr>
  </w:style>
  <w:style w:type="character" w:styleId="Strong">
    <w:name w:val="Strong"/>
    <w:basedOn w:val="DefaultParagraphFont"/>
    <w:rsid w:val="00555D14"/>
    <w:rPr>
      <w:b/>
      <w:bCs/>
    </w:rPr>
  </w:style>
  <w:style w:type="paragraph" w:customStyle="1" w:styleId="Instructions">
    <w:name w:val="Instructions"/>
    <w:basedOn w:val="Normal"/>
    <w:uiPriority w:val="1"/>
    <w:rsid w:val="00555D14"/>
    <w:pPr>
      <w:shd w:val="clear" w:color="auto" w:fill="FFFF00"/>
      <w:ind w:left="170" w:hanging="170"/>
    </w:pPr>
    <w:rPr>
      <w:rFonts w:asciiTheme="minorHAnsi" w:hAnsiTheme="minorHAnsi"/>
      <w:sz w:val="20"/>
      <w:szCs w:val="24"/>
    </w:rPr>
  </w:style>
  <w:style w:type="character" w:styleId="UnresolvedMention">
    <w:name w:val="Unresolved Mention"/>
    <w:basedOn w:val="DefaultParagraphFont"/>
    <w:uiPriority w:val="99"/>
    <w:semiHidden/>
    <w:unhideWhenUsed/>
    <w:rsid w:val="00F347A4"/>
    <w:rPr>
      <w:color w:val="605E5C"/>
      <w:shd w:val="clear" w:color="auto" w:fill="E1DFDD"/>
    </w:rPr>
  </w:style>
  <w:style w:type="paragraph" w:styleId="Footer">
    <w:name w:val="footer"/>
    <w:basedOn w:val="Normal"/>
    <w:link w:val="FooterChar"/>
    <w:unhideWhenUsed/>
    <w:rsid w:val="00E13E90"/>
    <w:pPr>
      <w:keepNext/>
      <w:tabs>
        <w:tab w:val="center" w:pos="9072"/>
      </w:tabs>
      <w:spacing w:before="0" w:after="0"/>
      <w:jc w:val="right"/>
    </w:pPr>
    <w:rPr>
      <w:noProof/>
      <w:color w:val="2C384A" w:themeColor="accent1"/>
      <w:sz w:val="20"/>
    </w:rPr>
  </w:style>
  <w:style w:type="character" w:customStyle="1" w:styleId="FooterChar">
    <w:name w:val="Footer Char"/>
    <w:basedOn w:val="DefaultParagraphFont"/>
    <w:link w:val="Footer"/>
    <w:rsid w:val="00E13E90"/>
    <w:rPr>
      <w:rFonts w:ascii="Calibri Light" w:eastAsia="Times New Roman" w:hAnsi="Calibri Light" w:cs="Times New Roman"/>
      <w:noProof/>
      <w:color w:val="2C384A" w:themeColor="accent1"/>
      <w:sz w:val="20"/>
      <w:szCs w:val="20"/>
      <w:lang w:eastAsia="en-AU"/>
    </w:rPr>
  </w:style>
  <w:style w:type="character" w:styleId="CommentReference">
    <w:name w:val="annotation reference"/>
    <w:basedOn w:val="DefaultParagraphFont"/>
    <w:uiPriority w:val="99"/>
    <w:semiHidden/>
    <w:unhideWhenUsed/>
    <w:rsid w:val="00070648"/>
    <w:rPr>
      <w:sz w:val="16"/>
      <w:szCs w:val="16"/>
    </w:rPr>
  </w:style>
  <w:style w:type="paragraph" w:styleId="CommentText">
    <w:name w:val="annotation text"/>
    <w:basedOn w:val="Normal"/>
    <w:link w:val="CommentTextChar"/>
    <w:uiPriority w:val="99"/>
    <w:semiHidden/>
    <w:unhideWhenUsed/>
    <w:rsid w:val="00070648"/>
    <w:rPr>
      <w:sz w:val="20"/>
    </w:rPr>
  </w:style>
  <w:style w:type="character" w:customStyle="1" w:styleId="CommentTextChar">
    <w:name w:val="Comment Text Char"/>
    <w:basedOn w:val="DefaultParagraphFont"/>
    <w:link w:val="CommentText"/>
    <w:uiPriority w:val="99"/>
    <w:semiHidden/>
    <w:rsid w:val="00070648"/>
    <w:rPr>
      <w:rFonts w:ascii="Calibri Light" w:eastAsia="Times New Roman" w:hAnsi="Calibri Light"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70648"/>
    <w:rPr>
      <w:b/>
      <w:bCs/>
    </w:rPr>
  </w:style>
  <w:style w:type="character" w:customStyle="1" w:styleId="CommentSubjectChar">
    <w:name w:val="Comment Subject Char"/>
    <w:basedOn w:val="CommentTextChar"/>
    <w:link w:val="CommentSubject"/>
    <w:uiPriority w:val="99"/>
    <w:semiHidden/>
    <w:rsid w:val="00070648"/>
    <w:rPr>
      <w:rFonts w:ascii="Calibri Light" w:eastAsia="Times New Roman" w:hAnsi="Calibri Light" w:cs="Times New Roman"/>
      <w:b/>
      <w:bCs/>
      <w:sz w:val="20"/>
      <w:szCs w:val="20"/>
      <w:lang w:eastAsia="en-AU"/>
    </w:rPr>
  </w:style>
  <w:style w:type="paragraph" w:styleId="Revision">
    <w:name w:val="Revision"/>
    <w:hidden/>
    <w:uiPriority w:val="99"/>
    <w:semiHidden/>
    <w:rsid w:val="00512381"/>
    <w:pPr>
      <w:spacing w:after="0" w:line="240" w:lineRule="auto"/>
    </w:pPr>
    <w:rPr>
      <w:rFonts w:ascii="Calibri Light" w:eastAsia="Times New Roman" w:hAnsi="Calibri Light" w:cs="Times New Roman"/>
      <w:szCs w:val="20"/>
      <w:lang w:eastAsia="en-AU"/>
    </w:rPr>
  </w:style>
  <w:style w:type="character" w:styleId="FollowedHyperlink">
    <w:name w:val="FollowedHyperlink"/>
    <w:basedOn w:val="DefaultParagraphFont"/>
    <w:uiPriority w:val="99"/>
    <w:semiHidden/>
    <w:unhideWhenUsed/>
    <w:rsid w:val="00235D65"/>
    <w:rPr>
      <w:color w:val="844D9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43205">
      <w:bodyDiv w:val="1"/>
      <w:marLeft w:val="0"/>
      <w:marRight w:val="0"/>
      <w:marTop w:val="0"/>
      <w:marBottom w:val="0"/>
      <w:divBdr>
        <w:top w:val="none" w:sz="0" w:space="0" w:color="auto"/>
        <w:left w:val="none" w:sz="0" w:space="0" w:color="auto"/>
        <w:bottom w:val="none" w:sz="0" w:space="0" w:color="auto"/>
        <w:right w:val="none" w:sz="0" w:space="0" w:color="auto"/>
      </w:divBdr>
    </w:div>
    <w:div w:id="144371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creativecommons.org/licenses/by/3.0/au/deed.en" TargetMode="External"/><Relationship Id="rId18" Type="http://schemas.openxmlformats.org/officeDocument/2006/relationships/hyperlink" Target="mailto:media@treasury.gov.au"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www.pmc.gov.au/government/commonwealth-coat-arm"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creativecommons.org/licenses/by/3.0/au/deed.en" TargetMode="External"/><Relationship Id="rId20" Type="http://schemas.openxmlformats.org/officeDocument/2006/relationships/header" Target="head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yperlink" Target="https://www.ato.gov.au/super/self-managed-super-funds/in-detail/smsf-resources/valuation-guidelines-for-self-managed-super-funds/?page=2" TargetMode="External"/><Relationship Id="rId28"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3.0/au/legalcode" TargetMode="Externa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_rels/foot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_rels/header4.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Treasury\TSY%20Consultation%20Paper.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F8B505060C4AF2ABF97438517056C5"/>
        <w:category>
          <w:name w:val="General"/>
          <w:gallery w:val="placeholder"/>
        </w:category>
        <w:types>
          <w:type w:val="bbPlcHdr"/>
        </w:types>
        <w:behaviors>
          <w:behavior w:val="content"/>
        </w:behaviors>
        <w:guid w:val="{EAF69565-8628-4373-BA95-F2A7ECFFF802}"/>
      </w:docPartPr>
      <w:docPartBody>
        <w:p w:rsidR="00175B38" w:rsidRDefault="00175B38">
          <w:pPr>
            <w:pStyle w:val="D5F8B505060C4AF2ABF97438517056C5"/>
          </w:pPr>
          <w:r w:rsidRPr="00225CD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B38"/>
    <w:rsid w:val="00175B38"/>
    <w:rsid w:val="00211B59"/>
    <w:rsid w:val="00345321"/>
    <w:rsid w:val="00356D55"/>
    <w:rsid w:val="003D5149"/>
    <w:rsid w:val="004769C7"/>
    <w:rsid w:val="00570AB7"/>
    <w:rsid w:val="005D03BB"/>
    <w:rsid w:val="005F738A"/>
    <w:rsid w:val="006C694B"/>
    <w:rsid w:val="007027A9"/>
    <w:rsid w:val="008B370A"/>
    <w:rsid w:val="00A83CCB"/>
    <w:rsid w:val="00B329A4"/>
    <w:rsid w:val="00C43068"/>
    <w:rsid w:val="00C622A6"/>
    <w:rsid w:val="00DC48E0"/>
    <w:rsid w:val="00EB7784"/>
    <w:rsid w:val="00F21538"/>
    <w:rsid w:val="00F407FD"/>
    <w:rsid w:val="00FB05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5F8B505060C4AF2ABF97438517056C5">
    <w:name w:val="D5F8B505060C4AF2ABF97438517056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SY Corporat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Consultation</TermName>
          <TermId xmlns="http://schemas.microsoft.com/office/infopath/2007/PartnerControls">dc375a31-9a38-4dbf-8c94-7aeffc3c2066</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45aa7376-b351-4ab4-b1b3-956d9aa15922</TermId>
        </TermInfo>
      </Terms>
    </kfc39f3e4e2747ae990d3c8bb74a5a64>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Retirement Income</TermName>
          <TermId xmlns="http://schemas.microsoft.com/office/infopath/2007/PartnerControls">08e012f3-2b84-4155-a794-b9fc678d48ff</TermId>
        </TermInfo>
      </Terms>
    </a48f371a4a874164b16a8c4aab488f5c>
    <TaxCatchAll xmlns="1de57c58-46f3-428b-b4d3-b5fbc4164ac7">
      <Value>55</Value>
      <Value>54</Value>
      <Value>46</Value>
      <Value>1</Value>
    </TaxCatchAll>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Non-Arm’s Length Arrangements</TermName>
          <TermId xmlns="http://schemas.microsoft.com/office/infopath/2007/PartnerControls">97b462f0-b4b9-4b9e-a7ba-abe770e3766c</TermId>
        </TermInfo>
      </Terms>
    </gfba5f33532c49208d2320ce38cc3c2b>
    <_dlc_DocId xmlns="fe39d773-a83d-4623-ae74-f25711a76616">6EQ43NE64H6S-341302678-40</_dlc_DocId>
    <_dlc_DocIdUrl xmlns="fe39d773-a83d-4623-ae74-f25711a76616">
      <Url>https://austreasury.sharepoint.com/sites/ris-function/_layouts/15/DocIdRedir.aspx?ID=6EQ43NE64H6S-341302678-40</Url>
      <Description>6EQ43NE64H6S-341302678-40</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69B96C24239A74B8DA667E03006C4E1" ma:contentTypeVersion="19" ma:contentTypeDescription="Create a new document." ma:contentTypeScope="" ma:versionID="a7149baee2aca2265e7fbabd69f108a8">
  <xsd:schema xmlns:xsd="http://www.w3.org/2001/XMLSchema" xmlns:xs="http://www.w3.org/2001/XMLSchema" xmlns:p="http://schemas.microsoft.com/office/2006/metadata/properties" xmlns:ns2="fe39d773-a83d-4623-ae74-f25711a76616" xmlns:ns3="1de57c58-46f3-428b-b4d3-b5fbc4164ac7" xmlns:ns4="5deaae5e-828c-4f58-9024-0c26bd37356f" targetNamespace="http://schemas.microsoft.com/office/2006/metadata/properties" ma:root="true" ma:fieldsID="14c2a2f1df79ef208a80729c5a64902f" ns2:_="" ns3:_="" ns4:_="">
    <xsd:import namespace="fe39d773-a83d-4623-ae74-f25711a76616"/>
    <xsd:import namespace="1de57c58-46f3-428b-b4d3-b5fbc4164ac7"/>
    <xsd:import namespace="5deaae5e-828c-4f58-9024-0c26bd37356f"/>
    <xsd:element name="properties">
      <xsd:complexType>
        <xsd:sequence>
          <xsd:element name="documentManagement">
            <xsd:complexType>
              <xsd:all>
                <xsd:element ref="ns2:_dlc_DocId" minOccurs="0"/>
                <xsd:element ref="ns2:_dlc_DocIdUrl" minOccurs="0"/>
                <xsd:element ref="ns2:_dlc_DocIdPersistId" minOccurs="0"/>
                <xsd:element ref="ns2:a48f371a4a874164b16a8c4aab488f5c" minOccurs="0"/>
                <xsd:element ref="ns3:TaxCatchAll" minOccurs="0"/>
                <xsd:element ref="ns3:TaxCatchAllLabel" minOccurs="0"/>
                <xsd:element ref="ns2:e4fe7dcdd1c0411bbf19a4de3665191f" minOccurs="0"/>
                <xsd:element ref="ns2:gfba5f33532c49208d2320ce38cc3c2b" minOccurs="0"/>
                <xsd:element ref="ns2:kfc39f3e4e2747ae990d3c8bb74a5a64" minOccurs="0"/>
                <xsd:element ref="ns2:ge25bdd0d6464e36b066695d9e81d63d" minOccurs="0"/>
                <xsd:element ref="ns4:MediaServiceMetadata" minOccurs="0"/>
                <xsd:element ref="ns4: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Retirement Income|08e012f3-2b84-4155-a794-b9fc678d48f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default="" ma:fieldId="{e4fe7dcd-d1c0-411b-bf19-a4de3665191f}" ma:sspId="218240cd-c75f-40bd-87f4-262ac964b25b" ma:termSetId="ea57add9-3702-41d5-8bbb-6be5584aa092" ma:anchorId="00000000-0000-0000-0000-000000000000" ma:open="false" ma:isKeyword="false">
      <xsd:complexType>
        <xsd:sequence>
          <xsd:element ref="pc:Terms" minOccurs="0" maxOccurs="1"/>
        </xsd:sequence>
      </xsd:complexType>
    </xsd:element>
    <xsd:element name="gfba5f33532c49208d2320ce38cc3c2b" ma:index="17" ma:taxonomy="true" ma:internalName="gfba5f33532c49208d2320ce38cc3c2b" ma:taxonomyFieldName="eTopic" ma:displayName="Topic" ma:readOnly="false" ma:default="" ma:fieldId="{0fba5f33-532c-4920-8d23-20ce38cc3c2b}" ma:taxonomyMulti="true" ma:sspId="218240cd-c75f-40bd-87f4-262ac964b25b" ma:termSetId="6e484593-c419-4d5b-974e-b523c4ef17a9"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readOnly="false" ma:default="" ma:fieldId="{4fc39f3e-4e27-47ae-990d-3c8bb74a5a64}" ma:sspId="218240cd-c75f-40bd-87f4-262ac964b25b" ma:termSetId="67293259-9c3f-4bbe-9603-b344ff1b64fb"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TSY 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e57c58-46f3-428b-b4d3-b5fbc4164ac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652c27c-07bd-46cc-94ba-533bd88d304f}" ma:internalName="TaxCatchAll" ma:showField="CatchAllData" ma:web="1de57c58-46f3-428b-b4d3-b5fbc4164a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652c27c-07bd-46cc-94ba-533bd88d304f}" ma:internalName="TaxCatchAllLabel" ma:readOnly="true" ma:showField="CatchAllDataLabel" ma:web="1de57c58-46f3-428b-b4d3-b5fbc4164ac7">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eaae5e-828c-4f58-9024-0c26bd37356f"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3AFBF9-1904-477F-B083-9EFB8626EACF}">
  <ds:schemaRefs>
    <ds:schemaRef ds:uri="1de57c58-46f3-428b-b4d3-b5fbc4164ac7"/>
    <ds:schemaRef ds:uri="http://purl.org/dc/elements/1.1/"/>
    <ds:schemaRef ds:uri="fe39d773-a83d-4623-ae74-f25711a76616"/>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terms/"/>
    <ds:schemaRef ds:uri="http://purl.org/dc/dcmitype/"/>
    <ds:schemaRef ds:uri="http://schemas.openxmlformats.org/package/2006/metadata/core-properties"/>
    <ds:schemaRef ds:uri="5deaae5e-828c-4f58-9024-0c26bd37356f"/>
  </ds:schemaRefs>
</ds:datastoreItem>
</file>

<file path=customXml/itemProps2.xml><?xml version="1.0" encoding="utf-8"?>
<ds:datastoreItem xmlns:ds="http://schemas.openxmlformats.org/officeDocument/2006/customXml" ds:itemID="{16ABC14A-321F-4C8A-82B8-B4D997F73160}">
  <ds:schemaRefs>
    <ds:schemaRef ds:uri="http://schemas.openxmlformats.org/officeDocument/2006/bibliography"/>
  </ds:schemaRefs>
</ds:datastoreItem>
</file>

<file path=customXml/itemProps3.xml><?xml version="1.0" encoding="utf-8"?>
<ds:datastoreItem xmlns:ds="http://schemas.openxmlformats.org/officeDocument/2006/customXml" ds:itemID="{CDF315AC-202A-45FB-978F-680901AC806C}">
  <ds:schemaRefs>
    <ds:schemaRef ds:uri="http://schemas.microsoft.com/sharepoint/events"/>
  </ds:schemaRefs>
</ds:datastoreItem>
</file>

<file path=customXml/itemProps4.xml><?xml version="1.0" encoding="utf-8"?>
<ds:datastoreItem xmlns:ds="http://schemas.openxmlformats.org/officeDocument/2006/customXml" ds:itemID="{B969DF41-92CE-41D6-B6B0-9CC441BC4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39d773-a83d-4623-ae74-f25711a76616"/>
    <ds:schemaRef ds:uri="1de57c58-46f3-428b-b4d3-b5fbc4164ac7"/>
    <ds:schemaRef ds:uri="5deaae5e-828c-4f58-9024-0c26bd3735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85D1D9A-C8FD-43A0-8C60-0BFE134422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TSY Consultation Paper.dotm</Template>
  <TotalTime>6</TotalTime>
  <Pages>14</Pages>
  <Words>4499</Words>
  <Characters>23725</Characters>
  <Application>Microsoft Office Word</Application>
  <DocSecurity>0</DocSecurity>
  <Lines>395</Lines>
  <Paragraphs>135</Paragraphs>
  <ScaleCrop>false</ScaleCrop>
  <HeadingPairs>
    <vt:vector size="2" baseType="variant">
      <vt:variant>
        <vt:lpstr>Title</vt:lpstr>
      </vt:variant>
      <vt:variant>
        <vt:i4>1</vt:i4>
      </vt:variant>
    </vt:vector>
  </HeadingPairs>
  <TitlesOfParts>
    <vt:vector size="1" baseType="lpstr">
      <vt:lpstr>Non-arm’s length expense rules for superannuation funds - consultation paper</vt:lpstr>
    </vt:vector>
  </TitlesOfParts>
  <Company/>
  <LinksUpToDate>false</LinksUpToDate>
  <CharactersWithSpaces>28141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Non-arm’s length expense rules for superannuation funds - consultation paper</dc:title>
  <dc:subject/>
  <dc:creator>Treasury</dc:creator>
  <cp:keywords/>
  <dc:description/>
  <cp:lastModifiedBy>Hill, Christine</cp:lastModifiedBy>
  <cp:revision>7</cp:revision>
  <cp:lastPrinted>2023-01-23T04:07:00Z</cp:lastPrinted>
  <dcterms:created xsi:type="dcterms:W3CDTF">2023-01-23T04:04:00Z</dcterms:created>
  <dcterms:modified xsi:type="dcterms:W3CDTF">2023-01-23T05:00:00Z</dcterms:modified>
  <cp:category/>
</cp:coreProperties>
</file>