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0079" w14:textId="77777777" w:rsidR="00E24AA1" w:rsidRDefault="00E24AA1" w:rsidP="00E24AA1">
      <w:pPr>
        <w:pStyle w:val="Baseparagraphcentred"/>
        <w:pBdr>
          <w:bottom w:val="single" w:sz="4" w:space="1" w:color="auto"/>
        </w:pBdr>
      </w:pPr>
      <w:bookmarkStart w:id="0" w:name="BillName"/>
      <w:bookmarkStart w:id="1" w:name="_Toc78548463"/>
      <w:bookmarkStart w:id="2" w:name="_Toc78549734"/>
      <w:bookmarkStart w:id="3" w:name="_Toc78549779"/>
      <w:bookmarkStart w:id="4" w:name="_Toc80097481"/>
      <w:bookmarkStart w:id="5" w:name="_Toc80097775"/>
      <w:bookmarkStart w:id="6" w:name="_Hlk81640909"/>
      <w:bookmarkEnd w:id="0"/>
    </w:p>
    <w:p w14:paraId="2374F73A" w14:textId="590F5A0F" w:rsidR="00E24AA1" w:rsidRPr="00E24AA1" w:rsidRDefault="00532DBA" w:rsidP="00E24AA1">
      <w:pPr>
        <w:pStyle w:val="BillName"/>
      </w:pPr>
      <w:r>
        <w:t xml:space="preserve">Treasury Laws Amendment (Measures for </w:t>
      </w:r>
      <w:r w:rsidR="001732A8">
        <w:t>Consultation</w:t>
      </w:r>
      <w:r>
        <w:t>) Bill 2023: Anti-avoidance rule for product intervention orders</w:t>
      </w:r>
    </w:p>
    <w:p w14:paraId="593D3AAB" w14:textId="77777777" w:rsidR="00E24AA1" w:rsidRDefault="00E24AA1" w:rsidP="00E24AA1">
      <w:pPr>
        <w:pStyle w:val="Baseparagraphcentred"/>
        <w:pBdr>
          <w:top w:val="single" w:sz="4" w:space="1" w:color="auto"/>
        </w:pBdr>
      </w:pPr>
    </w:p>
    <w:p w14:paraId="1D00A0B8" w14:textId="77777777" w:rsidR="00E24AA1" w:rsidRDefault="00E24AA1" w:rsidP="00E24AA1">
      <w:pPr>
        <w:pStyle w:val="Baseparagraphcentred"/>
      </w:pPr>
    </w:p>
    <w:p w14:paraId="3C226A37" w14:textId="77777777" w:rsidR="00E24AA1" w:rsidRDefault="00E24AA1" w:rsidP="00E24AA1">
      <w:pPr>
        <w:pStyle w:val="Baseparagraphcentred"/>
      </w:pPr>
    </w:p>
    <w:p w14:paraId="0F51A2BD" w14:textId="77777777" w:rsidR="00E24AA1" w:rsidRDefault="00E24AA1" w:rsidP="00E24AA1">
      <w:pPr>
        <w:pStyle w:val="Baseparagraphcentred"/>
      </w:pPr>
    </w:p>
    <w:p w14:paraId="394E1752" w14:textId="77777777" w:rsidR="006F02B6" w:rsidRDefault="006F02B6" w:rsidP="006F02B6">
      <w:pPr>
        <w:pStyle w:val="Baseparagraphcentred"/>
      </w:pPr>
      <w:r>
        <w:t>EXPOSURE DRAFT EXPLANATORY MATERIALS</w:t>
      </w:r>
    </w:p>
    <w:p w14:paraId="3BDF95BF" w14:textId="77777777" w:rsidR="00E24AA1" w:rsidRDefault="00E24AA1" w:rsidP="00E24AA1">
      <w:pPr>
        <w:pStyle w:val="Baseparagraphcentred"/>
      </w:pPr>
    </w:p>
    <w:p w14:paraId="0B8094D6" w14:textId="77777777" w:rsidR="00E24AA1" w:rsidRDefault="00E24AA1" w:rsidP="00E24AA1">
      <w:pPr>
        <w:pStyle w:val="Baseparagraphcentred"/>
      </w:pPr>
    </w:p>
    <w:p w14:paraId="3962FB7C" w14:textId="77777777" w:rsidR="00873094" w:rsidRDefault="00873094" w:rsidP="00873094">
      <w:pPr>
        <w:pStyle w:val="Normalparatextnonumbers"/>
      </w:pPr>
    </w:p>
    <w:p w14:paraId="25568383" w14:textId="77777777" w:rsidR="00E24AA1" w:rsidRPr="00020288" w:rsidRDefault="00E24AA1" w:rsidP="00873094">
      <w:pPr>
        <w:pStyle w:val="Normalparatextnonumbers"/>
      </w:pPr>
    </w:p>
    <w:p w14:paraId="03000CAA"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5C24EDA3" w14:textId="77777777" w:rsidR="00873094" w:rsidRPr="00020288" w:rsidRDefault="00873094" w:rsidP="00873094">
      <w:pPr>
        <w:pStyle w:val="Heading1"/>
      </w:pPr>
      <w:bookmarkStart w:id="7" w:name="_Toc78549733"/>
      <w:bookmarkStart w:id="8" w:name="_Toc78549778"/>
      <w:bookmarkStart w:id="9" w:name="_Toc80097483"/>
      <w:bookmarkStart w:id="10" w:name="_Toc80097777"/>
      <w:bookmarkStart w:id="11" w:name="_Toc80115276"/>
      <w:bookmarkStart w:id="12" w:name="_Toc80172451"/>
      <w:bookmarkStart w:id="13" w:name="_Toc80197115"/>
      <w:bookmarkStart w:id="14" w:name="_Toc81852682"/>
      <w:bookmarkStart w:id="15" w:name="_Toc81852727"/>
      <w:bookmarkStart w:id="16" w:name="_Toc82021619"/>
      <w:bookmarkStart w:id="17" w:name="_Toc82067318"/>
      <w:bookmarkStart w:id="18" w:name="_Toc82072959"/>
      <w:bookmarkStart w:id="19" w:name="_Toc82073275"/>
      <w:bookmarkStart w:id="20" w:name="_Toc82073912"/>
      <w:bookmarkStart w:id="21" w:name="_Toc82074016"/>
      <w:bookmarkStart w:id="22" w:name="_Toc126325517"/>
      <w:bookmarkEnd w:id="1"/>
      <w:bookmarkEnd w:id="2"/>
      <w:bookmarkEnd w:id="3"/>
      <w:bookmarkEnd w:id="4"/>
      <w:bookmarkEnd w:id="5"/>
      <w:r w:rsidRPr="00020288">
        <w:lastRenderedPageBreak/>
        <w:t>Glossary</w:t>
      </w:r>
      <w:bookmarkStart w:id="23" w:name="_Toc485286223"/>
      <w:bookmarkStart w:id="24" w:name="_Toc78193244"/>
      <w:bookmarkStart w:id="25" w:name="_Toc7819340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FBD666D"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3CBAD43" w14:textId="77777777" w:rsidTr="002425D9">
        <w:tc>
          <w:tcPr>
            <w:tcW w:w="3776" w:type="dxa"/>
            <w:shd w:val="clear" w:color="auto" w:fill="auto"/>
          </w:tcPr>
          <w:p w14:paraId="700F1FC3" w14:textId="77777777" w:rsidR="00873094" w:rsidRPr="002E7A73" w:rsidRDefault="00873094" w:rsidP="00B7393A">
            <w:pPr>
              <w:pStyle w:val="Tableheaderrowtext"/>
            </w:pPr>
            <w:bookmarkStart w:id="26" w:name="GlossaryTableStart"/>
            <w:bookmarkEnd w:id="26"/>
            <w:r w:rsidRPr="002E7A73">
              <w:t>Abbreviation</w:t>
            </w:r>
          </w:p>
        </w:tc>
        <w:tc>
          <w:tcPr>
            <w:tcW w:w="3874" w:type="dxa"/>
            <w:shd w:val="clear" w:color="auto" w:fill="auto"/>
          </w:tcPr>
          <w:p w14:paraId="0F427693" w14:textId="77777777" w:rsidR="00873094" w:rsidRPr="002E7A73" w:rsidRDefault="00873094" w:rsidP="00B7393A">
            <w:pPr>
              <w:pStyle w:val="Tableheaderrowtext"/>
            </w:pPr>
            <w:r w:rsidRPr="002E7A73">
              <w:t>Definition</w:t>
            </w:r>
          </w:p>
        </w:tc>
      </w:tr>
      <w:tr w:rsidR="00AA3D63" w:rsidRPr="00020288" w14:paraId="56B8BC59" w14:textId="77777777" w:rsidTr="002425D9">
        <w:tc>
          <w:tcPr>
            <w:tcW w:w="3776" w:type="dxa"/>
          </w:tcPr>
          <w:p w14:paraId="0BA06CEF" w14:textId="01C60D0F" w:rsidR="00AA3D63" w:rsidRDefault="00AA3D63" w:rsidP="002425D9">
            <w:pPr>
              <w:pStyle w:val="Normalparatextnonumbers"/>
            </w:pPr>
            <w:r>
              <w:t>ASIC</w:t>
            </w:r>
          </w:p>
        </w:tc>
        <w:tc>
          <w:tcPr>
            <w:tcW w:w="3874" w:type="dxa"/>
          </w:tcPr>
          <w:p w14:paraId="247FD26F" w14:textId="03B7AA02" w:rsidR="00AA3D63" w:rsidRPr="00A67FB1" w:rsidRDefault="00AA3D63" w:rsidP="002425D9">
            <w:pPr>
              <w:pStyle w:val="Normalparatextnonumbers"/>
            </w:pPr>
            <w:r>
              <w:t xml:space="preserve">Australian Securities </w:t>
            </w:r>
            <w:r w:rsidR="00EF3AA5">
              <w:t>and Investments Commission</w:t>
            </w:r>
          </w:p>
        </w:tc>
      </w:tr>
      <w:tr w:rsidR="009B3629" w:rsidRPr="00020288" w14:paraId="5CE906AB" w14:textId="77777777" w:rsidTr="002425D9">
        <w:tc>
          <w:tcPr>
            <w:tcW w:w="3776" w:type="dxa"/>
          </w:tcPr>
          <w:p w14:paraId="7A3C1BB3" w14:textId="76616ACE" w:rsidR="009B3629" w:rsidRPr="009B3629" w:rsidRDefault="009B3629" w:rsidP="002425D9">
            <w:pPr>
              <w:pStyle w:val="Normalparatextnonumbers"/>
            </w:pPr>
            <w:r w:rsidRPr="00A67FB1">
              <w:t>ASIC Act</w:t>
            </w:r>
          </w:p>
        </w:tc>
        <w:tc>
          <w:tcPr>
            <w:tcW w:w="3874" w:type="dxa"/>
          </w:tcPr>
          <w:p w14:paraId="6EFF8D9F" w14:textId="340DD0D5" w:rsidR="009B3629" w:rsidRPr="00A67FB1" w:rsidRDefault="009B3629" w:rsidP="002425D9">
            <w:pPr>
              <w:pStyle w:val="Normalparatextnonumbers"/>
              <w:rPr>
                <w:i/>
                <w:iCs/>
              </w:rPr>
            </w:pPr>
            <w:r w:rsidRPr="00A67FB1">
              <w:rPr>
                <w:i/>
                <w:iCs/>
              </w:rPr>
              <w:t>Australian Securities and Investments Commission Act</w:t>
            </w:r>
          </w:p>
        </w:tc>
      </w:tr>
      <w:tr w:rsidR="00873094" w:rsidRPr="00020288" w14:paraId="75DCF03A" w14:textId="77777777" w:rsidTr="002425D9">
        <w:tc>
          <w:tcPr>
            <w:tcW w:w="3776" w:type="dxa"/>
          </w:tcPr>
          <w:p w14:paraId="539379C1" w14:textId="6B4B9765" w:rsidR="00873094" w:rsidRPr="00020288" w:rsidRDefault="009C68E3" w:rsidP="002425D9">
            <w:pPr>
              <w:pStyle w:val="Normalparatextnonumbers"/>
            </w:pPr>
            <w:r>
              <w:t>Corporations Act</w:t>
            </w:r>
          </w:p>
        </w:tc>
        <w:tc>
          <w:tcPr>
            <w:tcW w:w="3874" w:type="dxa"/>
          </w:tcPr>
          <w:p w14:paraId="5BB2CFDB" w14:textId="273828C6" w:rsidR="00873094" w:rsidRPr="009C68E3" w:rsidRDefault="009C68E3" w:rsidP="002425D9">
            <w:pPr>
              <w:pStyle w:val="Normalparatextnonumbers"/>
              <w:rPr>
                <w:i/>
                <w:iCs/>
              </w:rPr>
            </w:pPr>
            <w:r w:rsidRPr="009C68E3">
              <w:rPr>
                <w:i/>
                <w:iCs/>
              </w:rPr>
              <w:t>Corporations Act 2001</w:t>
            </w:r>
          </w:p>
        </w:tc>
      </w:tr>
      <w:tr w:rsidR="00873094" w:rsidRPr="00020288" w14:paraId="5841D3D9" w14:textId="77777777" w:rsidTr="002425D9">
        <w:tc>
          <w:tcPr>
            <w:tcW w:w="3776" w:type="dxa"/>
          </w:tcPr>
          <w:p w14:paraId="37F8E1F3" w14:textId="4522E1AF" w:rsidR="00873094" w:rsidRPr="00020288" w:rsidRDefault="00CC0BE2" w:rsidP="002425D9">
            <w:pPr>
              <w:pStyle w:val="Normalparatextnonumbers"/>
            </w:pPr>
            <w:r>
              <w:t>Credit Act</w:t>
            </w:r>
          </w:p>
        </w:tc>
        <w:tc>
          <w:tcPr>
            <w:tcW w:w="3874" w:type="dxa"/>
          </w:tcPr>
          <w:p w14:paraId="6200EAF0" w14:textId="36F96C35" w:rsidR="00873094" w:rsidRPr="00CC0BE2" w:rsidRDefault="00CC0BE2" w:rsidP="002425D9">
            <w:pPr>
              <w:pStyle w:val="Normalparatextnonumbers"/>
              <w:rPr>
                <w:i/>
                <w:iCs/>
              </w:rPr>
            </w:pPr>
            <w:r w:rsidRPr="00CC0BE2">
              <w:rPr>
                <w:i/>
                <w:iCs/>
              </w:rPr>
              <w:t>National Consumer Credit Protection Act 2009</w:t>
            </w:r>
          </w:p>
        </w:tc>
      </w:tr>
    </w:tbl>
    <w:p w14:paraId="0DF02826" w14:textId="77777777" w:rsidR="00873094" w:rsidRPr="00020288" w:rsidRDefault="00873094" w:rsidP="00873094"/>
    <w:p w14:paraId="7B54F818" w14:textId="77777777" w:rsidR="00873094" w:rsidRPr="00020288" w:rsidRDefault="00873094" w:rsidP="00873094"/>
    <w:p w14:paraId="40A588D7" w14:textId="77777777" w:rsidR="00D53E6A" w:rsidRPr="00020288" w:rsidRDefault="00D53E6A" w:rsidP="00D53E6A">
      <w:pPr>
        <w:pStyle w:val="TOC1"/>
      </w:pPr>
      <w:bookmarkStart w:id="27" w:name="_Toc78548464"/>
      <w:bookmarkStart w:id="28" w:name="_Toc78549735"/>
      <w:bookmarkStart w:id="29" w:name="_Toc78549780"/>
      <w:bookmarkStart w:id="30" w:name="_Toc80097484"/>
      <w:bookmarkStart w:id="31" w:name="_Toc80097778"/>
      <w:bookmarkStart w:id="32" w:name="_Toc80115277"/>
      <w:bookmarkStart w:id="33" w:name="_Toc80172452"/>
      <w:bookmarkStart w:id="34" w:name="_Toc80197116"/>
      <w:bookmarkStart w:id="35" w:name="_Toc81852683"/>
      <w:bookmarkStart w:id="36" w:name="_Toc81852728"/>
    </w:p>
    <w:p w14:paraId="05BEB6C5" w14:textId="77777777" w:rsidR="00873094" w:rsidRPr="00020288" w:rsidRDefault="00873094" w:rsidP="00873094">
      <w:pPr>
        <w:pStyle w:val="Heading1"/>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fmt="lowerRoman"/>
          <w:cols w:space="708"/>
          <w:docGrid w:linePitch="360"/>
        </w:sectPr>
      </w:pPr>
    </w:p>
    <w:p w14:paraId="61F3AEB2" w14:textId="64C7C690" w:rsidR="00873094" w:rsidRPr="0073326A" w:rsidRDefault="003262E5" w:rsidP="00777A92">
      <w:pPr>
        <w:pStyle w:val="Chapterheading"/>
      </w:pPr>
      <w:bookmarkStart w:id="37" w:name="GeneralOutline"/>
      <w:bookmarkStart w:id="38" w:name="_Toc126325518"/>
      <w:bookmarkEnd w:id="23"/>
      <w:bookmarkEnd w:id="24"/>
      <w:bookmarkEnd w:id="25"/>
      <w:bookmarkEnd w:id="27"/>
      <w:bookmarkEnd w:id="28"/>
      <w:bookmarkEnd w:id="29"/>
      <w:bookmarkEnd w:id="30"/>
      <w:bookmarkEnd w:id="31"/>
      <w:bookmarkEnd w:id="32"/>
      <w:bookmarkEnd w:id="33"/>
      <w:bookmarkEnd w:id="34"/>
      <w:bookmarkEnd w:id="35"/>
      <w:bookmarkEnd w:id="36"/>
      <w:bookmarkEnd w:id="37"/>
      <w:r>
        <w:lastRenderedPageBreak/>
        <w:t>Avoidance of certain product int</w:t>
      </w:r>
      <w:r w:rsidR="00F725EA">
        <w:t>ervention orders</w:t>
      </w:r>
      <w:bookmarkEnd w:id="38"/>
    </w:p>
    <w:p w14:paraId="5234A0DD" w14:textId="77777777" w:rsidR="00873094" w:rsidRPr="00020288" w:rsidRDefault="00873094" w:rsidP="005D0844">
      <w:pPr>
        <w:pStyle w:val="Heading2"/>
      </w:pPr>
      <w:r w:rsidRPr="00020288">
        <w:t xml:space="preserve">Outline </w:t>
      </w:r>
      <w:r w:rsidRPr="005D0844">
        <w:t>of</w:t>
      </w:r>
      <w:r w:rsidRPr="00020288">
        <w:t xml:space="preserve"> chapter</w:t>
      </w:r>
    </w:p>
    <w:p w14:paraId="7FC70E53" w14:textId="6A8CF68C" w:rsidR="000C6395" w:rsidRDefault="000C6395" w:rsidP="000C6395">
      <w:pPr>
        <w:pStyle w:val="Normalparatextwithnumbers"/>
        <w:numPr>
          <w:ilvl w:val="1"/>
          <w:numId w:val="3"/>
        </w:numPr>
      </w:pPr>
      <w:r>
        <w:t xml:space="preserve">Schedule </w:t>
      </w:r>
      <w:r w:rsidR="00E1560A">
        <w:t xml:space="preserve">1 </w:t>
      </w:r>
      <w:r>
        <w:t xml:space="preserve">to the Bill introduces new rules that prohibit schemes designed to avoid the application of a product intervention order (in relation to a credit facility) made under </w:t>
      </w:r>
      <w:r w:rsidRPr="00EC5D33">
        <w:t>Part 7.9A of the Corporations Act</w:t>
      </w:r>
      <w:r>
        <w:t>.</w:t>
      </w:r>
    </w:p>
    <w:p w14:paraId="11E2D330" w14:textId="77777777" w:rsidR="00873094" w:rsidRPr="00020288" w:rsidRDefault="00873094" w:rsidP="005D0844">
      <w:pPr>
        <w:pStyle w:val="Heading2"/>
      </w:pPr>
      <w:r w:rsidRPr="00020288">
        <w:t xml:space="preserve">Context of </w:t>
      </w:r>
      <w:r w:rsidRPr="005D0844">
        <w:t>amendments</w:t>
      </w:r>
    </w:p>
    <w:p w14:paraId="4ED75E3C" w14:textId="627D9A12" w:rsidR="009C68E3" w:rsidRDefault="009C68E3" w:rsidP="009C68E3">
      <w:pPr>
        <w:pStyle w:val="Normalparatextwithnumbers"/>
        <w:numPr>
          <w:ilvl w:val="1"/>
          <w:numId w:val="23"/>
        </w:numPr>
      </w:pPr>
      <w:r>
        <w:t xml:space="preserve">The </w:t>
      </w:r>
      <w:r w:rsidRPr="004A3FC1">
        <w:rPr>
          <w:i/>
          <w:iCs/>
        </w:rPr>
        <w:t xml:space="preserve">Financial Sector Reform </w:t>
      </w:r>
      <w:r w:rsidR="004A3FC1" w:rsidRPr="004A3FC1">
        <w:rPr>
          <w:i/>
          <w:iCs/>
        </w:rPr>
        <w:t>Act</w:t>
      </w:r>
      <w:r w:rsidRPr="004A3FC1">
        <w:rPr>
          <w:i/>
          <w:iCs/>
        </w:rPr>
        <w:t xml:space="preserve"> 2022</w:t>
      </w:r>
      <w:r>
        <w:t xml:space="preserve"> contained </w:t>
      </w:r>
      <w:proofErr w:type="gramStart"/>
      <w:r>
        <w:t>a number of</w:t>
      </w:r>
      <w:proofErr w:type="gramEnd"/>
      <w:r>
        <w:t xml:space="preserve"> anti-avoidance measures to encourage compliance with the Credit Act. Those measures are designed to minimise financial and other harm to consumers and disincentivise businesses from undertaking avoidance practices.</w:t>
      </w:r>
    </w:p>
    <w:p w14:paraId="250C93C5" w14:textId="1D437515" w:rsidR="009C68E3" w:rsidRDefault="009C68E3" w:rsidP="009C68E3">
      <w:pPr>
        <w:pStyle w:val="Normalparatextwithnumbers"/>
        <w:numPr>
          <w:ilvl w:val="1"/>
          <w:numId w:val="24"/>
        </w:numPr>
      </w:pPr>
      <w:r>
        <w:t xml:space="preserve">As a supplement to the </w:t>
      </w:r>
      <w:r w:rsidRPr="004A3FC1">
        <w:rPr>
          <w:i/>
          <w:iCs/>
        </w:rPr>
        <w:t xml:space="preserve">Financial Sector Reform </w:t>
      </w:r>
      <w:r w:rsidR="004A3FC1" w:rsidRPr="004A3FC1">
        <w:rPr>
          <w:i/>
          <w:iCs/>
        </w:rPr>
        <w:t>Act</w:t>
      </w:r>
      <w:r w:rsidRPr="004A3FC1">
        <w:rPr>
          <w:i/>
          <w:iCs/>
        </w:rPr>
        <w:t xml:space="preserve"> 2022</w:t>
      </w:r>
      <w:r>
        <w:t xml:space="preserve">, the Bill introduces equivalent provisions </w:t>
      </w:r>
      <w:r w:rsidR="00402885">
        <w:t xml:space="preserve">regarding the prohibition to avoid relevant product intervention orders </w:t>
      </w:r>
      <w:r>
        <w:t>in the Corporations Act</w:t>
      </w:r>
      <w:r w:rsidR="007559E7">
        <w:t>.</w:t>
      </w:r>
      <w:r>
        <w:t xml:space="preserve"> </w:t>
      </w:r>
    </w:p>
    <w:p w14:paraId="49B235C5" w14:textId="77777777" w:rsidR="00873094" w:rsidRPr="00020288" w:rsidRDefault="00873094" w:rsidP="00AF50CE">
      <w:pPr>
        <w:pStyle w:val="Heading2"/>
      </w:pPr>
      <w:r w:rsidRPr="00AF50CE">
        <w:t>Comparison</w:t>
      </w:r>
      <w:r w:rsidRPr="00020288">
        <w:t xml:space="preserve"> of key features of new law and current law</w:t>
      </w:r>
    </w:p>
    <w:p w14:paraId="64F6FAF3"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9EF43B7"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720629E5"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71822C6D" w14:textId="77777777" w:rsidR="00873094" w:rsidRPr="00A61FE9" w:rsidRDefault="00873094" w:rsidP="00873094">
            <w:pPr>
              <w:pStyle w:val="Tableheaderrowtext"/>
              <w:numPr>
                <w:ilvl w:val="3"/>
                <w:numId w:val="2"/>
              </w:numPr>
              <w:ind w:left="1701" w:hanging="1701"/>
            </w:pPr>
            <w:r w:rsidRPr="00A61FE9">
              <w:t>Current law</w:t>
            </w:r>
          </w:p>
        </w:tc>
      </w:tr>
      <w:tr w:rsidR="009C68E3" w:rsidRPr="00020288" w14:paraId="29F48060" w14:textId="77777777" w:rsidTr="002425D9">
        <w:tc>
          <w:tcPr>
            <w:tcW w:w="3776" w:type="dxa"/>
          </w:tcPr>
          <w:p w14:paraId="5B058F88" w14:textId="10E3938A" w:rsidR="009C68E3" w:rsidRPr="00020288" w:rsidRDefault="009C68E3" w:rsidP="009C68E3">
            <w:pPr>
              <w:pStyle w:val="Tabletext"/>
            </w:pPr>
            <w:r w:rsidRPr="0098329B">
              <w:rPr>
                <w:lang w:val="en-US"/>
              </w:rPr>
              <w:t xml:space="preserve">A person must not </w:t>
            </w:r>
            <w:proofErr w:type="gramStart"/>
            <w:r w:rsidRPr="0098329B">
              <w:rPr>
                <w:lang w:val="en-US"/>
              </w:rPr>
              <w:t>enter into</w:t>
            </w:r>
            <w:proofErr w:type="gramEnd"/>
            <w:r w:rsidRPr="0098329B">
              <w:rPr>
                <w:lang w:val="en-US"/>
              </w:rPr>
              <w:t xml:space="preserve">, begin to carry out, or carry out a scheme </w:t>
            </w:r>
            <w:r w:rsidR="00812351">
              <w:rPr>
                <w:lang w:val="en-US"/>
              </w:rPr>
              <w:t>to avoid</w:t>
            </w:r>
            <w:r w:rsidR="006D1961">
              <w:rPr>
                <w:lang w:val="en-US"/>
              </w:rPr>
              <w:t xml:space="preserve"> the application of</w:t>
            </w:r>
            <w:r w:rsidR="00812351">
              <w:rPr>
                <w:lang w:val="en-US"/>
              </w:rPr>
              <w:t xml:space="preserve"> </w:t>
            </w:r>
            <w:r w:rsidR="006D1961">
              <w:rPr>
                <w:lang w:val="en-US"/>
              </w:rPr>
              <w:t>a credit</w:t>
            </w:r>
            <w:r w:rsidR="00A4617A">
              <w:rPr>
                <w:lang w:val="en-US"/>
              </w:rPr>
              <w:t xml:space="preserve"> product</w:t>
            </w:r>
            <w:r w:rsidRPr="0098329B">
              <w:rPr>
                <w:lang w:val="en-US"/>
              </w:rPr>
              <w:t xml:space="preserve"> intervention order.</w:t>
            </w:r>
          </w:p>
        </w:tc>
        <w:tc>
          <w:tcPr>
            <w:tcW w:w="3874" w:type="dxa"/>
          </w:tcPr>
          <w:p w14:paraId="7F603C41" w14:textId="027F028A" w:rsidR="009C68E3" w:rsidRPr="00020288" w:rsidRDefault="009C68E3" w:rsidP="009C68E3">
            <w:pPr>
              <w:pStyle w:val="Tabletext"/>
            </w:pPr>
            <w:r w:rsidRPr="00140A7F">
              <w:rPr>
                <w:lang w:val="en-US"/>
              </w:rPr>
              <w:t>No equivalent.</w:t>
            </w:r>
          </w:p>
        </w:tc>
      </w:tr>
    </w:tbl>
    <w:p w14:paraId="0C8D3F9F" w14:textId="77777777" w:rsidR="00873094" w:rsidRPr="00020288" w:rsidRDefault="00873094" w:rsidP="00873094">
      <w:pPr>
        <w:pStyle w:val="Heading2"/>
        <w:numPr>
          <w:ilvl w:val="1"/>
          <w:numId w:val="2"/>
        </w:numPr>
        <w:tabs>
          <w:tab w:val="num" w:pos="567"/>
        </w:tabs>
        <w:ind w:left="567" w:hanging="567"/>
      </w:pPr>
      <w:r w:rsidRPr="00020288">
        <w:t>Detailed explanation of new law</w:t>
      </w:r>
    </w:p>
    <w:p w14:paraId="21CE5E7A" w14:textId="08511653" w:rsidR="00873094" w:rsidRDefault="00EC5D33" w:rsidP="00873094">
      <w:pPr>
        <w:pStyle w:val="Normalparatextwithnumbers"/>
        <w:numPr>
          <w:ilvl w:val="1"/>
          <w:numId w:val="3"/>
        </w:numPr>
      </w:pPr>
      <w:r>
        <w:t xml:space="preserve">Schedule </w:t>
      </w:r>
      <w:r w:rsidR="00E1560A">
        <w:t xml:space="preserve">1 </w:t>
      </w:r>
      <w:r>
        <w:t xml:space="preserve">to the Bill introduces new rules that prohibit schemes designed to avoid the application of a </w:t>
      </w:r>
      <w:r w:rsidR="002C4DC0">
        <w:t>product</w:t>
      </w:r>
      <w:r>
        <w:t xml:space="preserve"> intervention order</w:t>
      </w:r>
      <w:r w:rsidR="003234D2">
        <w:t xml:space="preserve"> (in relation to a cred</w:t>
      </w:r>
      <w:r w:rsidR="000C6395">
        <w:t>it facility)</w:t>
      </w:r>
      <w:r>
        <w:t xml:space="preserve"> made under </w:t>
      </w:r>
      <w:r w:rsidRPr="00EC5D33">
        <w:t>Part 7.9A of the Corporations Act</w:t>
      </w:r>
      <w:r>
        <w:t>.</w:t>
      </w:r>
    </w:p>
    <w:p w14:paraId="19319A7C" w14:textId="77AC554C" w:rsidR="00C8404A" w:rsidRDefault="000C6395" w:rsidP="00C8404A">
      <w:pPr>
        <w:pStyle w:val="Normalparatextwithnumbers"/>
        <w:numPr>
          <w:ilvl w:val="1"/>
          <w:numId w:val="3"/>
        </w:numPr>
      </w:pPr>
      <w:r>
        <w:lastRenderedPageBreak/>
        <w:t>T</w:t>
      </w:r>
      <w:r w:rsidR="00C8404A">
        <w:t>he amendments ensure that:</w:t>
      </w:r>
    </w:p>
    <w:p w14:paraId="1F004970" w14:textId="77777777" w:rsidR="00C8404A" w:rsidRDefault="00C8404A" w:rsidP="008E55A8">
      <w:pPr>
        <w:pStyle w:val="Exampledotpoint1"/>
      </w:pPr>
      <w:r>
        <w:t xml:space="preserve">where there is a product intervention order made in relation to a financial product that is a credit </w:t>
      </w:r>
      <w:proofErr w:type="gramStart"/>
      <w:r>
        <w:t>facility;</w:t>
      </w:r>
      <w:proofErr w:type="gramEnd"/>
    </w:p>
    <w:p w14:paraId="690DFE9D" w14:textId="1CF8CA50" w:rsidR="00C8404A" w:rsidRDefault="00C8404A" w:rsidP="008E55A8">
      <w:pPr>
        <w:pStyle w:val="Exampledotpoint1"/>
      </w:pPr>
      <w:r>
        <w:t xml:space="preserve">a person (alone or with others) must not engage in activity in the avoidance of that product intervention order. </w:t>
      </w:r>
    </w:p>
    <w:p w14:paraId="0F762F8A" w14:textId="5D3AF5E6" w:rsidR="003F039B" w:rsidRDefault="003F039B" w:rsidP="003F039B">
      <w:pPr>
        <w:pStyle w:val="Dotpoint1"/>
        <w:numPr>
          <w:ilvl w:val="0"/>
          <w:numId w:val="0"/>
        </w:numPr>
        <w:ind w:left="709"/>
      </w:pPr>
      <w:r>
        <w:t xml:space="preserve">This is intended to ensure that </w:t>
      </w:r>
      <w:r w:rsidR="0028550E">
        <w:t>a</w:t>
      </w:r>
      <w:r>
        <w:t xml:space="preserve"> person cannot </w:t>
      </w:r>
      <w:r w:rsidR="007559E7">
        <w:t>respond t</w:t>
      </w:r>
      <w:r w:rsidR="00CB772B">
        <w:t xml:space="preserve">o a product intervention order by engaging </w:t>
      </w:r>
      <w:r>
        <w:t xml:space="preserve">in activity that is </w:t>
      </w:r>
      <w:r w:rsidR="003F7733">
        <w:t xml:space="preserve">not covered </w:t>
      </w:r>
      <w:r>
        <w:t xml:space="preserve">by </w:t>
      </w:r>
      <w:r w:rsidRPr="001B196E">
        <w:t>the order</w:t>
      </w:r>
      <w:r w:rsidR="00CB45F0" w:rsidRPr="001B196E">
        <w:t xml:space="preserve"> but results in similar detriment to consumers</w:t>
      </w:r>
      <w:r w:rsidRPr="001B196E">
        <w:t>.</w:t>
      </w:r>
      <w:r w:rsidR="00B36CEE" w:rsidRPr="001B196E">
        <w:t xml:space="preserve"> </w:t>
      </w:r>
      <w:r w:rsidR="00B36CEE">
        <w:t>As with general integrity provisions, the intended effect of the product intervention order is a relevant consideration in the operation of these amendments.</w:t>
      </w:r>
    </w:p>
    <w:p w14:paraId="6F168C62" w14:textId="34DA2EE4" w:rsidR="00C6729B" w:rsidRPr="001A2A1A" w:rsidRDefault="00EC5D33" w:rsidP="001A2A1A">
      <w:pPr>
        <w:pStyle w:val="Normalparatextwithnumbers"/>
        <w:numPr>
          <w:ilvl w:val="1"/>
          <w:numId w:val="23"/>
        </w:numPr>
      </w:pPr>
      <w:r w:rsidRPr="00EC5D33">
        <w:t>The general prohibition provides that a person</w:t>
      </w:r>
      <w:r w:rsidR="00532C20">
        <w:t xml:space="preserve"> (alone or with others)</w:t>
      </w:r>
      <w:r w:rsidRPr="00EC5D33">
        <w:t xml:space="preserve"> must not enter into a scheme, begin to carry out a scheme, or carry out a scheme if, having regard to </w:t>
      </w:r>
      <w:r w:rsidR="00941EFC">
        <w:t>any matters prescribed by the regulations</w:t>
      </w:r>
      <w:r w:rsidRPr="00EC5D33">
        <w:t xml:space="preserve">, it would be reasonable to conclude that the purpose, or one of the purposes, of the person engaging in that conduct was </w:t>
      </w:r>
      <w:r w:rsidR="00980D8E">
        <w:t xml:space="preserve">to avoid the application of a credit </w:t>
      </w:r>
      <w:r w:rsidR="00EA38A9">
        <w:t xml:space="preserve">product </w:t>
      </w:r>
      <w:r w:rsidR="00980D8E">
        <w:t>intervention order</w:t>
      </w:r>
      <w:r w:rsidRPr="00EC5D33">
        <w:t>.</w:t>
      </w:r>
      <w:r w:rsidR="001419F4" w:rsidRPr="001A2A1A">
        <w:rPr>
          <w:b/>
          <w:bCs/>
          <w:i/>
          <w:iCs/>
        </w:rPr>
        <w:t xml:space="preserve"> </w:t>
      </w:r>
    </w:p>
    <w:p w14:paraId="4AD074DD" w14:textId="50167097" w:rsidR="00EC5D33" w:rsidRDefault="001419F4" w:rsidP="00D71EBC">
      <w:pPr>
        <w:pStyle w:val="Normalparatextwithnumbers"/>
        <w:numPr>
          <w:ilvl w:val="0"/>
          <w:numId w:val="0"/>
        </w:numPr>
        <w:spacing w:before="0"/>
        <w:ind w:left="709"/>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xml:space="preserve">, subsection </w:t>
      </w:r>
      <w:r>
        <w:rPr>
          <w:rStyle w:val="References"/>
        </w:rPr>
        <w:t>1023</w:t>
      </w:r>
      <w:proofErr w:type="gramStart"/>
      <w:r>
        <w:rPr>
          <w:rStyle w:val="References"/>
        </w:rPr>
        <w:t>S</w:t>
      </w:r>
      <w:r w:rsidRPr="002534AE">
        <w:rPr>
          <w:rStyle w:val="References"/>
        </w:rPr>
        <w:t>(</w:t>
      </w:r>
      <w:proofErr w:type="gramEnd"/>
      <w:r w:rsidRPr="002534AE">
        <w:rPr>
          <w:rStyle w:val="References"/>
        </w:rPr>
        <w:t>1)]</w:t>
      </w:r>
    </w:p>
    <w:p w14:paraId="14E1A92E" w14:textId="19A897D0" w:rsidR="00EC5D33" w:rsidRDefault="00D32801" w:rsidP="00873094">
      <w:pPr>
        <w:pStyle w:val="Normalparatextwithnumbers"/>
        <w:numPr>
          <w:ilvl w:val="1"/>
          <w:numId w:val="3"/>
        </w:numPr>
      </w:pPr>
      <w:r>
        <w:t>A</w:t>
      </w:r>
      <w:r w:rsidR="0028550E">
        <w:t xml:space="preserve"> </w:t>
      </w:r>
      <w:r w:rsidR="00FD11C7">
        <w:t xml:space="preserve">credit </w:t>
      </w:r>
      <w:r w:rsidR="0028550E">
        <w:t>product intervention order</w:t>
      </w:r>
      <w:r w:rsidR="00FD11C7">
        <w:t xml:space="preserve"> means a pro</w:t>
      </w:r>
      <w:r w:rsidR="002733FB">
        <w:t xml:space="preserve">duct intervention order </w:t>
      </w:r>
      <w:r w:rsidR="00532C20">
        <w:t>made in relation to a financial product that is a credit facility (covered by paragraph</w:t>
      </w:r>
      <w:r w:rsidR="003D6745">
        <w:t> </w:t>
      </w:r>
      <w:r w:rsidR="00532C20">
        <w:t>12BAA(7)(k) of the ASIC Act).</w:t>
      </w:r>
      <w:r w:rsidR="008D6234">
        <w:t xml:space="preserve"> </w:t>
      </w:r>
    </w:p>
    <w:p w14:paraId="37A45AD4" w14:textId="30D209BA" w:rsidR="00D32801" w:rsidRPr="00D32801" w:rsidRDefault="00D32801" w:rsidP="00D32801">
      <w:pPr>
        <w:pStyle w:val="Normalparatextwithnumbers"/>
        <w:numPr>
          <w:ilvl w:val="0"/>
          <w:numId w:val="0"/>
        </w:numPr>
        <w:spacing w:before="0"/>
        <w:ind w:left="709"/>
        <w:rPr>
          <w:rStyle w:val="References"/>
        </w:rPr>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xml:space="preserve">, subsection </w:t>
      </w:r>
      <w:r>
        <w:rPr>
          <w:rStyle w:val="References"/>
        </w:rPr>
        <w:t>1023</w:t>
      </w:r>
      <w:proofErr w:type="gramStart"/>
      <w:r>
        <w:rPr>
          <w:rStyle w:val="References"/>
        </w:rPr>
        <w:t>S</w:t>
      </w:r>
      <w:r w:rsidRPr="002534AE">
        <w:rPr>
          <w:rStyle w:val="References"/>
        </w:rPr>
        <w:t>(</w:t>
      </w:r>
      <w:proofErr w:type="gramEnd"/>
      <w:r w:rsidRPr="002534AE">
        <w:rPr>
          <w:rStyle w:val="References"/>
        </w:rPr>
        <w:t>1</w:t>
      </w:r>
      <w:r>
        <w:rPr>
          <w:rStyle w:val="References"/>
        </w:rPr>
        <w:t>1</w:t>
      </w:r>
      <w:r w:rsidRPr="002534AE">
        <w:rPr>
          <w:rStyle w:val="References"/>
        </w:rPr>
        <w:t>)]</w:t>
      </w:r>
    </w:p>
    <w:p w14:paraId="01A46883" w14:textId="001DAF81" w:rsidR="0028550E" w:rsidRDefault="00C8404A" w:rsidP="0028550E">
      <w:pPr>
        <w:pStyle w:val="Normalparatextwithnumbers"/>
        <w:numPr>
          <w:ilvl w:val="1"/>
          <w:numId w:val="23"/>
        </w:numPr>
      </w:pPr>
      <w:r>
        <w:t xml:space="preserve">Under the amendments, </w:t>
      </w:r>
      <w:r w:rsidR="0028550E">
        <w:t>the provisions require there to be an assessment of whether it is reasonable to conclude that the</w:t>
      </w:r>
      <w:r w:rsidR="00CE3AA3">
        <w:t xml:space="preserve"> purpose of the</w:t>
      </w:r>
      <w:r w:rsidR="006D1961">
        <w:t xml:space="preserve"> scheme was to avoid</w:t>
      </w:r>
      <w:r w:rsidR="00B84FB9">
        <w:t xml:space="preserve"> the application of a credit </w:t>
      </w:r>
      <w:r w:rsidR="001830F4">
        <w:t xml:space="preserve">product </w:t>
      </w:r>
      <w:r w:rsidR="00B84FB9">
        <w:t>intervention order</w:t>
      </w:r>
      <w:r w:rsidR="0028550E">
        <w:t xml:space="preserve">. </w:t>
      </w:r>
      <w:r w:rsidR="0028550E" w:rsidRPr="00140A7F">
        <w:t xml:space="preserve">The reference to whether it would be ‘reasonable’ </w:t>
      </w:r>
      <w:r w:rsidR="00CE3AA3">
        <w:t xml:space="preserve">to make such a conclusion </w:t>
      </w:r>
      <w:r w:rsidR="0028550E" w:rsidRPr="00140A7F">
        <w:t xml:space="preserve">ensures that the prohibition applies objectively. </w:t>
      </w:r>
      <w:r w:rsidR="00CE3AA3">
        <w:t>This is because having to prove the s</w:t>
      </w:r>
      <w:r w:rsidR="0028550E" w:rsidRPr="00140A7F">
        <w:t xml:space="preserve">ubjective intention of the person in question would otherwise not be feasible or would allow a person to artificially document the purpose of a scheme as being other than </w:t>
      </w:r>
      <w:r w:rsidR="00191A92">
        <w:t xml:space="preserve">to avoid the application of a credit </w:t>
      </w:r>
      <w:r w:rsidR="001830F4">
        <w:t xml:space="preserve">product </w:t>
      </w:r>
      <w:r w:rsidR="00191A92">
        <w:t>intervention order</w:t>
      </w:r>
      <w:r w:rsidR="0028550E" w:rsidRPr="00140A7F">
        <w:t>. Using</w:t>
      </w:r>
      <w:r w:rsidR="00CE3AA3">
        <w:t xml:space="preserve"> </w:t>
      </w:r>
      <w:r w:rsidR="0028550E">
        <w:t xml:space="preserve">objective criteria of </w:t>
      </w:r>
      <w:r w:rsidR="0028550E" w:rsidRPr="00140A7F">
        <w:t xml:space="preserve">reasonableness ensures the integrity of the </w:t>
      </w:r>
      <w:r w:rsidR="0028550E">
        <w:t>Corporations</w:t>
      </w:r>
      <w:r w:rsidR="001177BE">
        <w:t> </w:t>
      </w:r>
      <w:r w:rsidR="0028550E" w:rsidRPr="00140A7F">
        <w:t>Act and ensures that the effectiveness of the anti</w:t>
      </w:r>
      <w:r w:rsidR="0028550E" w:rsidRPr="00140A7F">
        <w:noBreakHyphen/>
        <w:t xml:space="preserve">avoidance provisions </w:t>
      </w:r>
      <w:r w:rsidR="00077122">
        <w:t>is</w:t>
      </w:r>
      <w:r w:rsidR="0028550E" w:rsidRPr="00140A7F">
        <w:t xml:space="preserve"> not undermined.</w:t>
      </w:r>
    </w:p>
    <w:p w14:paraId="573BCCB5" w14:textId="035162D2" w:rsidR="00C6729B" w:rsidRDefault="00BA0F28" w:rsidP="00B12843">
      <w:pPr>
        <w:pStyle w:val="Normalparatextwithnumbers"/>
        <w:numPr>
          <w:ilvl w:val="1"/>
          <w:numId w:val="23"/>
        </w:numPr>
      </w:pPr>
      <w:r>
        <w:t xml:space="preserve">In addition to the objective criteria required under the amendments, regard must be had to any matters prescribed in the regulations if they are made. </w:t>
      </w:r>
      <w:r w:rsidRPr="00140A7F">
        <w:t xml:space="preserve">The regulation-making power recognises that industry participants may develop new avoidance practices which may require the </w:t>
      </w:r>
      <w:r w:rsidR="002C1332">
        <w:t>law</w:t>
      </w:r>
      <w:r w:rsidR="002C1332" w:rsidRPr="00140A7F">
        <w:t xml:space="preserve"> </w:t>
      </w:r>
      <w:r w:rsidRPr="00140A7F">
        <w:t xml:space="preserve">to specify additional matters that must be considered in determining whether the </w:t>
      </w:r>
      <w:r w:rsidRPr="0025206F">
        <w:t>avoidance purpose</w:t>
      </w:r>
      <w:r w:rsidRPr="00140A7F">
        <w:t xml:space="preserve"> exists</w:t>
      </w:r>
      <w:r>
        <w:t xml:space="preserve">. </w:t>
      </w:r>
      <w:r w:rsidRPr="00140A7F">
        <w:t>This</w:t>
      </w:r>
      <w:r>
        <w:t xml:space="preserve"> </w:t>
      </w:r>
      <w:r w:rsidRPr="00140A7F">
        <w:t>flexibility</w:t>
      </w:r>
      <w:r>
        <w:t xml:space="preserve"> </w:t>
      </w:r>
      <w:r w:rsidRPr="00140A7F">
        <w:t>is therefore necessary to ensure the prohibition remain</w:t>
      </w:r>
      <w:r w:rsidR="00757E16">
        <w:t>s</w:t>
      </w:r>
      <w:r w:rsidRPr="00140A7F">
        <w:t xml:space="preserve"> fit for purpose as entities prepared to engage in avoidance purposes will respond to legislative changes by changing their practices accordingly.</w:t>
      </w:r>
      <w:r w:rsidR="003B1A40">
        <w:t xml:space="preserve"> </w:t>
      </w:r>
    </w:p>
    <w:p w14:paraId="5953E908" w14:textId="6A00F869" w:rsidR="00BA0F28" w:rsidRDefault="003B1A40" w:rsidP="0025206F">
      <w:pPr>
        <w:pStyle w:val="Normalparatextwithnumbers"/>
        <w:numPr>
          <w:ilvl w:val="0"/>
          <w:numId w:val="0"/>
        </w:numPr>
        <w:spacing w:before="0"/>
        <w:ind w:left="709"/>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xml:space="preserve">, subsection </w:t>
      </w:r>
      <w:r>
        <w:rPr>
          <w:rStyle w:val="References"/>
        </w:rPr>
        <w:t>1023</w:t>
      </w:r>
      <w:proofErr w:type="gramStart"/>
      <w:r>
        <w:rPr>
          <w:rStyle w:val="References"/>
        </w:rPr>
        <w:t>S</w:t>
      </w:r>
      <w:r w:rsidRPr="002534AE">
        <w:rPr>
          <w:rStyle w:val="References"/>
        </w:rPr>
        <w:t>(</w:t>
      </w:r>
      <w:proofErr w:type="gramEnd"/>
      <w:r w:rsidR="00B24DB1">
        <w:rPr>
          <w:rStyle w:val="References"/>
        </w:rPr>
        <w:t>8</w:t>
      </w:r>
      <w:r w:rsidRPr="002534AE">
        <w:rPr>
          <w:rStyle w:val="References"/>
        </w:rPr>
        <w:t>)]</w:t>
      </w:r>
    </w:p>
    <w:p w14:paraId="57DE68CB" w14:textId="6D9D2F31" w:rsidR="00F5789B" w:rsidRPr="00140A7F" w:rsidRDefault="00F5789B" w:rsidP="00471F1F">
      <w:pPr>
        <w:pStyle w:val="Normalparatextwithnumbers"/>
        <w:numPr>
          <w:ilvl w:val="1"/>
          <w:numId w:val="23"/>
        </w:numPr>
      </w:pPr>
      <w:r>
        <w:t>The</w:t>
      </w:r>
      <w:r w:rsidRPr="00D10537">
        <w:t xml:space="preserve"> regulation-making power</w:t>
      </w:r>
      <w:r>
        <w:t xml:space="preserve"> t</w:t>
      </w:r>
      <w:r w:rsidRPr="00D10537">
        <w:t>herefore gives additional flexibility to respond to evolving avoidance practices.</w:t>
      </w:r>
    </w:p>
    <w:p w14:paraId="2F502732" w14:textId="6B9D6A8C" w:rsidR="00BA0F28" w:rsidRDefault="00BA0F28" w:rsidP="00BA0F28">
      <w:pPr>
        <w:pStyle w:val="Normalparatextwithnumbers"/>
        <w:numPr>
          <w:ilvl w:val="1"/>
          <w:numId w:val="23"/>
        </w:numPr>
      </w:pPr>
      <w:r w:rsidRPr="00140A7F">
        <w:lastRenderedPageBreak/>
        <w:t xml:space="preserve">The legislation also makes clear that matters other than the matters </w:t>
      </w:r>
      <w:r w:rsidR="000F1BC4">
        <w:t>provided for in the re</w:t>
      </w:r>
      <w:r w:rsidR="00B030D3">
        <w:t xml:space="preserve">gulations </w:t>
      </w:r>
      <w:r w:rsidRPr="00090663">
        <w:rPr>
          <w:iCs/>
        </w:rPr>
        <w:t>may</w:t>
      </w:r>
      <w:r w:rsidRPr="00140A7F">
        <w:t xml:space="preserve"> be considered in determining whether the </w:t>
      </w:r>
      <w:r w:rsidR="00191A92">
        <w:t xml:space="preserve">scheme was to avoid the application of a credit </w:t>
      </w:r>
      <w:r w:rsidR="007D5B8A">
        <w:t xml:space="preserve">product </w:t>
      </w:r>
      <w:r w:rsidR="00191A92">
        <w:t>intervention order</w:t>
      </w:r>
      <w:r w:rsidRPr="00140A7F">
        <w:t xml:space="preserve">. </w:t>
      </w:r>
    </w:p>
    <w:p w14:paraId="7DE741D6" w14:textId="36433927" w:rsidR="007D5B8A" w:rsidRPr="007D5B8A" w:rsidRDefault="007D5B8A" w:rsidP="007D5B8A">
      <w:pPr>
        <w:pStyle w:val="Normalparatextwithnumbers"/>
        <w:numPr>
          <w:ilvl w:val="0"/>
          <w:numId w:val="0"/>
        </w:numPr>
        <w:spacing w:before="0"/>
        <w:ind w:left="709"/>
        <w:rPr>
          <w:rStyle w:val="References"/>
        </w:rPr>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xml:space="preserve">, subsection </w:t>
      </w:r>
      <w:r>
        <w:rPr>
          <w:rStyle w:val="References"/>
        </w:rPr>
        <w:t>1023</w:t>
      </w:r>
      <w:proofErr w:type="gramStart"/>
      <w:r>
        <w:rPr>
          <w:rStyle w:val="References"/>
        </w:rPr>
        <w:t>S</w:t>
      </w:r>
      <w:r w:rsidRPr="002534AE">
        <w:rPr>
          <w:rStyle w:val="References"/>
        </w:rPr>
        <w:t>(</w:t>
      </w:r>
      <w:proofErr w:type="gramEnd"/>
      <w:r>
        <w:rPr>
          <w:rStyle w:val="References"/>
        </w:rPr>
        <w:t>9</w:t>
      </w:r>
      <w:r w:rsidRPr="002534AE">
        <w:rPr>
          <w:rStyle w:val="References"/>
        </w:rPr>
        <w:t>)]</w:t>
      </w:r>
    </w:p>
    <w:p w14:paraId="4A9BA720" w14:textId="310C1683" w:rsidR="003F039B" w:rsidRPr="0054234D" w:rsidRDefault="00B030D3" w:rsidP="003F039B">
      <w:pPr>
        <w:pStyle w:val="Normalparatextwithnumbers"/>
        <w:numPr>
          <w:ilvl w:val="1"/>
          <w:numId w:val="23"/>
        </w:numPr>
      </w:pPr>
      <w:r>
        <w:t>Under the framework, a</w:t>
      </w:r>
      <w:r w:rsidR="003F039B" w:rsidRPr="0054234D">
        <w:t xml:space="preserve"> scheme is defined broadly to capture: </w:t>
      </w:r>
    </w:p>
    <w:p w14:paraId="5067423A" w14:textId="77777777" w:rsidR="003F039B" w:rsidRPr="00140A7F" w:rsidRDefault="003F039B" w:rsidP="00535FB6">
      <w:pPr>
        <w:pStyle w:val="Exampledotpoint1"/>
      </w:pPr>
      <w:r w:rsidRPr="00140A7F">
        <w:t xml:space="preserve">any agreement, arrangement, understanding, promise or undertaking whether express or implied; or </w:t>
      </w:r>
    </w:p>
    <w:p w14:paraId="3CD68EAA" w14:textId="3F193493" w:rsidR="00AA5B55" w:rsidRDefault="003F039B" w:rsidP="00535FB6">
      <w:pPr>
        <w:pStyle w:val="Exampledotpoint1"/>
      </w:pPr>
      <w:r w:rsidRPr="00140A7F">
        <w:t xml:space="preserve">any scheme, plan, proposal, action, course of action or course of </w:t>
      </w:r>
      <w:r w:rsidRPr="00FA498B">
        <w:t>conduct, whether unilateral of otherwise</w:t>
      </w:r>
      <w:r w:rsidR="00CB45F0" w:rsidRPr="00AA5B55">
        <w:t>; or</w:t>
      </w:r>
    </w:p>
    <w:p w14:paraId="71F7FC87" w14:textId="5AE5B00C" w:rsidR="003F039B" w:rsidRDefault="007F1BC1" w:rsidP="00535FB6">
      <w:pPr>
        <w:pStyle w:val="Exampledotpoint1"/>
      </w:pPr>
      <w:r>
        <w:t>any combination of the above.</w:t>
      </w:r>
    </w:p>
    <w:p w14:paraId="555D2366" w14:textId="6482CAF9" w:rsidR="00D32801" w:rsidRPr="00D32801" w:rsidRDefault="00D32801" w:rsidP="00D32801">
      <w:pPr>
        <w:pStyle w:val="Normalparatextwithnumbers"/>
        <w:numPr>
          <w:ilvl w:val="0"/>
          <w:numId w:val="0"/>
        </w:numPr>
        <w:spacing w:before="0"/>
        <w:ind w:left="709"/>
        <w:rPr>
          <w:rStyle w:val="References"/>
        </w:rPr>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xml:space="preserve">, subsection </w:t>
      </w:r>
      <w:r>
        <w:rPr>
          <w:rStyle w:val="References"/>
        </w:rPr>
        <w:t>1023</w:t>
      </w:r>
      <w:proofErr w:type="gramStart"/>
      <w:r>
        <w:rPr>
          <w:rStyle w:val="References"/>
        </w:rPr>
        <w:t>S</w:t>
      </w:r>
      <w:r w:rsidRPr="002534AE">
        <w:rPr>
          <w:rStyle w:val="References"/>
        </w:rPr>
        <w:t>(</w:t>
      </w:r>
      <w:proofErr w:type="gramEnd"/>
      <w:r w:rsidRPr="002534AE">
        <w:rPr>
          <w:rStyle w:val="References"/>
        </w:rPr>
        <w:t>1</w:t>
      </w:r>
      <w:r>
        <w:rPr>
          <w:rStyle w:val="References"/>
        </w:rPr>
        <w:t>1</w:t>
      </w:r>
      <w:r w:rsidRPr="002534AE">
        <w:rPr>
          <w:rStyle w:val="References"/>
        </w:rPr>
        <w:t>)]</w:t>
      </w:r>
    </w:p>
    <w:p w14:paraId="62B2824B" w14:textId="5E33CB6D" w:rsidR="0028550E" w:rsidRDefault="0028550E" w:rsidP="0028550E">
      <w:pPr>
        <w:pStyle w:val="Normalparatextwithnumbers"/>
        <w:numPr>
          <w:ilvl w:val="1"/>
          <w:numId w:val="23"/>
        </w:numPr>
      </w:pPr>
      <w:r w:rsidRPr="00140A7F">
        <w:t xml:space="preserve">This definition mirrors the definition of </w:t>
      </w:r>
      <w:r w:rsidRPr="00090663">
        <w:rPr>
          <w:iCs/>
        </w:rPr>
        <w:t>scheme</w:t>
      </w:r>
      <w:r w:rsidRPr="00140A7F">
        <w:t xml:space="preserve"> in other anti</w:t>
      </w:r>
      <w:r w:rsidRPr="00140A7F">
        <w:noBreakHyphen/>
        <w:t xml:space="preserve">avoidance provisions in the </w:t>
      </w:r>
      <w:r w:rsidRPr="00140A7F">
        <w:rPr>
          <w:i/>
        </w:rPr>
        <w:t>A New Tax System (Goods and Services Tax) Act 1999</w:t>
      </w:r>
      <w:r w:rsidRPr="00140A7F">
        <w:t xml:space="preserve"> and the </w:t>
      </w:r>
      <w:r w:rsidRPr="00140A7F">
        <w:rPr>
          <w:i/>
        </w:rPr>
        <w:t>Income Tax Assessment Act 1997</w:t>
      </w:r>
      <w:r w:rsidRPr="00140A7F">
        <w:t>.</w:t>
      </w:r>
      <w:r w:rsidR="005448C0">
        <w:t xml:space="preserve"> </w:t>
      </w:r>
    </w:p>
    <w:p w14:paraId="51E2B015" w14:textId="77777777" w:rsidR="0083687A" w:rsidRDefault="007A3281" w:rsidP="0028550E">
      <w:pPr>
        <w:pStyle w:val="Normalparatextwithnumbers"/>
        <w:numPr>
          <w:ilvl w:val="1"/>
          <w:numId w:val="23"/>
        </w:numPr>
      </w:pPr>
      <w:r>
        <w:t xml:space="preserve">The nature of avoidance schemes means that </w:t>
      </w:r>
      <w:proofErr w:type="gramStart"/>
      <w:r>
        <w:t>a number of</w:t>
      </w:r>
      <w:proofErr w:type="gramEnd"/>
      <w:r>
        <w:t xml:space="preserve"> different people or entities can be involved, undertaking different activities that can change over time or altering the legal structure of the contracts they offer in response to legislative changes. </w:t>
      </w:r>
    </w:p>
    <w:p w14:paraId="7760F7CE" w14:textId="029FCFE5" w:rsidR="004D193D" w:rsidRDefault="004D193D" w:rsidP="0028550E">
      <w:pPr>
        <w:pStyle w:val="Normalparatextwithnumbers"/>
        <w:numPr>
          <w:ilvl w:val="1"/>
          <w:numId w:val="23"/>
        </w:numPr>
      </w:pPr>
      <w:r>
        <w:t xml:space="preserve">As with most general anti-avoidance legislation, </w:t>
      </w:r>
      <w:r w:rsidR="00583F5E">
        <w:t>the relevant inquiry is the substance</w:t>
      </w:r>
      <w:r w:rsidR="009C0D72">
        <w:t xml:space="preserve"> and effect of the </w:t>
      </w:r>
      <w:r w:rsidR="00090663">
        <w:t>activity</w:t>
      </w:r>
      <w:r w:rsidR="00402885">
        <w:t xml:space="preserve"> in avoiding the relevant product intervention order</w:t>
      </w:r>
      <w:r w:rsidR="00583F5E">
        <w:t xml:space="preserve">. In these situations, while the legislation applies broadly to ensure the effectiveness of a relevant product intervention order, </w:t>
      </w:r>
      <w:r w:rsidR="009C0D72">
        <w:t xml:space="preserve">it </w:t>
      </w:r>
      <w:r w:rsidR="00766051">
        <w:t>h</w:t>
      </w:r>
      <w:r w:rsidR="00DD6608">
        <w:t xml:space="preserve">as limitations in that </w:t>
      </w:r>
      <w:r w:rsidR="009C0D72">
        <w:t>person</w:t>
      </w:r>
      <w:r w:rsidR="00A50C58">
        <w:t xml:space="preserve">s can adapt </w:t>
      </w:r>
      <w:r w:rsidR="0083687A">
        <w:t>to</w:t>
      </w:r>
      <w:r w:rsidR="00A50C58">
        <w:t xml:space="preserve"> change their practices to engage in con</w:t>
      </w:r>
      <w:r w:rsidR="0083687A">
        <w:t xml:space="preserve">duct that is not prohibited by the </w:t>
      </w:r>
      <w:r w:rsidR="009C0D72">
        <w:t>product intervention order</w:t>
      </w:r>
      <w:r w:rsidR="002026B3">
        <w:t xml:space="preserve"> and does not result in the same or similar detriment to co</w:t>
      </w:r>
      <w:r w:rsidR="00236717">
        <w:t>nsumers</w:t>
      </w:r>
      <w:r w:rsidR="009C0D72">
        <w:t>. The intended policy outcome of the amendment</w:t>
      </w:r>
      <w:r w:rsidR="00402885">
        <w:t>s</w:t>
      </w:r>
      <w:r w:rsidR="009C0D72">
        <w:t xml:space="preserve"> is to ensure </w:t>
      </w:r>
      <w:r w:rsidR="00402885">
        <w:t xml:space="preserve">the effective operation of </w:t>
      </w:r>
      <w:r w:rsidR="009C0D72">
        <w:t xml:space="preserve">product intervention orders issued under the Corporations Act and prohibit </w:t>
      </w:r>
      <w:r w:rsidR="00236717">
        <w:t xml:space="preserve">persons engaging in </w:t>
      </w:r>
      <w:r w:rsidR="00250E6F">
        <w:t>s</w:t>
      </w:r>
      <w:r w:rsidR="00236717">
        <w:t>cheme</w:t>
      </w:r>
      <w:r w:rsidR="00250E6F">
        <w:t>s</w:t>
      </w:r>
      <w:r w:rsidR="00402885">
        <w:t xml:space="preserve"> that circumvent the application of those orders</w:t>
      </w:r>
      <w:r w:rsidR="005448C0">
        <w:t xml:space="preserve"> </w:t>
      </w:r>
      <w:r w:rsidR="00402885">
        <w:t>in a contrived or artificial manner</w:t>
      </w:r>
      <w:r w:rsidR="005448C0" w:rsidRPr="005448C0">
        <w:t xml:space="preserve"> </w:t>
      </w:r>
      <w:r w:rsidR="00250E6F">
        <w:t>that results in, or is likely to result in</w:t>
      </w:r>
      <w:r w:rsidR="006B2F09">
        <w:t>,</w:t>
      </w:r>
      <w:r w:rsidR="00250E6F">
        <w:t xml:space="preserve"> </w:t>
      </w:r>
      <w:r w:rsidR="005448C0">
        <w:t>a similar outcome</w:t>
      </w:r>
      <w:r w:rsidR="00250E6F">
        <w:t xml:space="preserve"> to the </w:t>
      </w:r>
      <w:r w:rsidR="00D2039D">
        <w:t>conduct that ASIC addressed in</w:t>
      </w:r>
      <w:r w:rsidR="00090663">
        <w:t xml:space="preserve"> the product intervention order</w:t>
      </w:r>
      <w:r w:rsidR="00402885">
        <w:t>.</w:t>
      </w:r>
    </w:p>
    <w:p w14:paraId="7991434E" w14:textId="55B222D7" w:rsidR="003F039B" w:rsidRPr="00140A7F" w:rsidRDefault="003F039B" w:rsidP="003F039B">
      <w:pPr>
        <w:pStyle w:val="Normalparatextwithnumbers"/>
        <w:numPr>
          <w:ilvl w:val="1"/>
          <w:numId w:val="23"/>
        </w:numPr>
      </w:pPr>
      <w:r w:rsidRPr="00140A7F">
        <w:t xml:space="preserve">In addition to the general prohibition on persons, </w:t>
      </w:r>
      <w:r w:rsidR="004D193D">
        <w:t xml:space="preserve">the </w:t>
      </w:r>
      <w:r>
        <w:t xml:space="preserve">amendments ensure that the </w:t>
      </w:r>
      <w:r w:rsidRPr="00140A7F">
        <w:t>prohibition</w:t>
      </w:r>
      <w:r>
        <w:t xml:space="preserve"> also </w:t>
      </w:r>
      <w:r w:rsidR="00560E37" w:rsidRPr="00140A7F">
        <w:t>appl</w:t>
      </w:r>
      <w:r w:rsidR="00560E37">
        <w:t>ies</w:t>
      </w:r>
      <w:r w:rsidR="00560E37" w:rsidRPr="00140A7F">
        <w:t xml:space="preserve"> </w:t>
      </w:r>
      <w:r w:rsidRPr="00140A7F">
        <w:t>to:</w:t>
      </w:r>
    </w:p>
    <w:p w14:paraId="54CFF70E" w14:textId="77777777" w:rsidR="003F039B" w:rsidRPr="00140A7F" w:rsidRDefault="003F039B" w:rsidP="00535FB6">
      <w:pPr>
        <w:pStyle w:val="Exampledotpoint1"/>
      </w:pPr>
      <w:r w:rsidRPr="00140A7F">
        <w:t xml:space="preserve">any constitutional corporations (either alone or with others) that enter into a scheme, begin to carry out a scheme or carry out a </w:t>
      </w:r>
      <w:proofErr w:type="gramStart"/>
      <w:r w:rsidRPr="00140A7F">
        <w:t>scheme;</w:t>
      </w:r>
      <w:proofErr w:type="gramEnd"/>
    </w:p>
    <w:p w14:paraId="4945A755" w14:textId="77777777" w:rsidR="003F039B" w:rsidRPr="00140A7F" w:rsidRDefault="003F039B" w:rsidP="00535FB6">
      <w:pPr>
        <w:pStyle w:val="Exampledotpoint1"/>
      </w:pPr>
      <w:r w:rsidRPr="00140A7F">
        <w:t xml:space="preserve">any person (either alone or with others) who </w:t>
      </w:r>
      <w:proofErr w:type="gramStart"/>
      <w:r w:rsidRPr="00140A7F">
        <w:t>enters into</w:t>
      </w:r>
      <w:proofErr w:type="gramEnd"/>
      <w:r w:rsidRPr="00140A7F">
        <w:t xml:space="preserve"> a scheme, begins to carry out a scheme or carries out a scheme in the course of constitutional trade or commerce; and </w:t>
      </w:r>
    </w:p>
    <w:p w14:paraId="10313A27" w14:textId="3292F4A2" w:rsidR="003F039B" w:rsidRDefault="003F039B" w:rsidP="00535FB6">
      <w:pPr>
        <w:pStyle w:val="Exampledotpoint1"/>
      </w:pPr>
      <w:r w:rsidRPr="00140A7F">
        <w:t xml:space="preserve">any person (either alone or with others) using postal, telegraphic, </w:t>
      </w:r>
      <w:proofErr w:type="gramStart"/>
      <w:r w:rsidRPr="00140A7F">
        <w:t>telephonic</w:t>
      </w:r>
      <w:proofErr w:type="gramEnd"/>
      <w:r w:rsidRPr="00140A7F">
        <w:t xml:space="preserve"> or other like </w:t>
      </w:r>
      <w:r w:rsidRPr="0054234D">
        <w:t xml:space="preserve">services (within the meaning of paragraph 51(v) of the Constitution) who </w:t>
      </w:r>
      <w:r w:rsidRPr="0054234D">
        <w:lastRenderedPageBreak/>
        <w:t>enters into a scheme, begins to carry out a scheme, or carries out a scheme.</w:t>
      </w:r>
    </w:p>
    <w:p w14:paraId="5EE4EA9C" w14:textId="6D1BA903" w:rsidR="00B41510" w:rsidRPr="00D32801" w:rsidRDefault="00B41510" w:rsidP="00D32801">
      <w:pPr>
        <w:pStyle w:val="Normalparatextwithnumbers"/>
        <w:numPr>
          <w:ilvl w:val="0"/>
          <w:numId w:val="0"/>
        </w:numPr>
        <w:spacing w:before="0"/>
        <w:ind w:left="709"/>
        <w:rPr>
          <w:rStyle w:val="References"/>
        </w:rPr>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subsection</w:t>
      </w:r>
      <w:r>
        <w:rPr>
          <w:rStyle w:val="References"/>
        </w:rPr>
        <w:t>s</w:t>
      </w:r>
      <w:r w:rsidRPr="002534AE">
        <w:rPr>
          <w:rStyle w:val="References"/>
        </w:rPr>
        <w:t xml:space="preserve"> </w:t>
      </w:r>
      <w:r>
        <w:rPr>
          <w:rStyle w:val="References"/>
        </w:rPr>
        <w:t>1023</w:t>
      </w:r>
      <w:proofErr w:type="gramStart"/>
      <w:r>
        <w:rPr>
          <w:rStyle w:val="References"/>
        </w:rPr>
        <w:t>S</w:t>
      </w:r>
      <w:r w:rsidRPr="002534AE">
        <w:rPr>
          <w:rStyle w:val="References"/>
        </w:rPr>
        <w:t>(</w:t>
      </w:r>
      <w:proofErr w:type="gramEnd"/>
      <w:r w:rsidR="006D62F9">
        <w:rPr>
          <w:rStyle w:val="References"/>
        </w:rPr>
        <w:t>2</w:t>
      </w:r>
      <w:r w:rsidRPr="002534AE">
        <w:rPr>
          <w:rStyle w:val="References"/>
        </w:rPr>
        <w:t>)</w:t>
      </w:r>
      <w:r w:rsidR="006D62F9">
        <w:rPr>
          <w:rStyle w:val="References"/>
        </w:rPr>
        <w:t>, (3)</w:t>
      </w:r>
      <w:r w:rsidR="004037DE">
        <w:rPr>
          <w:rStyle w:val="References"/>
        </w:rPr>
        <w:t xml:space="preserve">, </w:t>
      </w:r>
      <w:r>
        <w:rPr>
          <w:rStyle w:val="References"/>
        </w:rPr>
        <w:t>(</w:t>
      </w:r>
      <w:r w:rsidR="003E1C3B">
        <w:rPr>
          <w:rStyle w:val="References"/>
        </w:rPr>
        <w:t>4</w:t>
      </w:r>
      <w:r>
        <w:rPr>
          <w:rStyle w:val="References"/>
        </w:rPr>
        <w:t>)</w:t>
      </w:r>
      <w:r w:rsidR="004037DE">
        <w:rPr>
          <w:rStyle w:val="References"/>
        </w:rPr>
        <w:t xml:space="preserve"> and (11)</w:t>
      </w:r>
      <w:r w:rsidRPr="002534AE">
        <w:rPr>
          <w:rStyle w:val="References"/>
        </w:rPr>
        <w:t>]</w:t>
      </w:r>
    </w:p>
    <w:p w14:paraId="60DB2717" w14:textId="21FFCDAD" w:rsidR="00C6729B" w:rsidRPr="00B030D3" w:rsidRDefault="003F039B" w:rsidP="00B030D3">
      <w:pPr>
        <w:pStyle w:val="Normalparatextwithnumbers"/>
        <w:numPr>
          <w:ilvl w:val="1"/>
          <w:numId w:val="23"/>
        </w:numPr>
      </w:pPr>
      <w:r w:rsidRPr="00140A7F">
        <w:t>These prohibitions are independent from and do not limit each other.</w:t>
      </w:r>
      <w:r w:rsidR="00064077" w:rsidRPr="00064077">
        <w:t xml:space="preserve"> However, </w:t>
      </w:r>
      <w:r w:rsidR="00064077">
        <w:t>the amendments ensure that</w:t>
      </w:r>
      <w:r w:rsidR="00064077" w:rsidRPr="00064077">
        <w:t>, while the same conduct may engage more than one of these prohibitions, a person can only be ordered to pay a pecuniary penalty under one of the prohibitions.</w:t>
      </w:r>
      <w:r w:rsidR="00D61FD9" w:rsidRPr="00B030D3">
        <w:t xml:space="preserve"> </w:t>
      </w:r>
    </w:p>
    <w:p w14:paraId="0F2DCBFF" w14:textId="40464818" w:rsidR="003F039B" w:rsidRPr="00315125" w:rsidRDefault="00767DD8" w:rsidP="00D32801">
      <w:pPr>
        <w:pStyle w:val="Normalparatextwithnumbers"/>
        <w:numPr>
          <w:ilvl w:val="0"/>
          <w:numId w:val="0"/>
        </w:numPr>
        <w:spacing w:before="0"/>
        <w:ind w:left="709"/>
        <w:rPr>
          <w:rStyle w:val="References"/>
        </w:rPr>
      </w:pPr>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subsection</w:t>
      </w:r>
      <w:r w:rsidR="00C676CC">
        <w:rPr>
          <w:rStyle w:val="References"/>
        </w:rPr>
        <w:t>s</w:t>
      </w:r>
      <w:r w:rsidRPr="002534AE">
        <w:rPr>
          <w:rStyle w:val="References"/>
        </w:rPr>
        <w:t xml:space="preserve"> </w:t>
      </w:r>
      <w:r>
        <w:rPr>
          <w:rStyle w:val="References"/>
        </w:rPr>
        <w:t>1023</w:t>
      </w:r>
      <w:proofErr w:type="gramStart"/>
      <w:r>
        <w:rPr>
          <w:rStyle w:val="References"/>
        </w:rPr>
        <w:t>S</w:t>
      </w:r>
      <w:r w:rsidRPr="002534AE">
        <w:rPr>
          <w:rStyle w:val="References"/>
        </w:rPr>
        <w:t>(</w:t>
      </w:r>
      <w:proofErr w:type="gramEnd"/>
      <w:r w:rsidR="000B4DA0">
        <w:rPr>
          <w:rStyle w:val="References"/>
        </w:rPr>
        <w:t>5</w:t>
      </w:r>
      <w:r>
        <w:rPr>
          <w:rStyle w:val="References"/>
        </w:rPr>
        <w:t>)</w:t>
      </w:r>
      <w:r w:rsidR="00DE0270">
        <w:rPr>
          <w:rStyle w:val="References"/>
        </w:rPr>
        <w:t>, (6) and (7)</w:t>
      </w:r>
      <w:r w:rsidRPr="002534AE">
        <w:rPr>
          <w:rStyle w:val="References"/>
        </w:rPr>
        <w:t>]</w:t>
      </w:r>
    </w:p>
    <w:p w14:paraId="2E2EB86B" w14:textId="77777777" w:rsidR="00F5789B" w:rsidRPr="00140A7F" w:rsidRDefault="00F5789B" w:rsidP="00F5789B">
      <w:pPr>
        <w:pStyle w:val="Heading4"/>
        <w:numPr>
          <w:ilvl w:val="3"/>
          <w:numId w:val="2"/>
        </w:numPr>
      </w:pPr>
      <w:r w:rsidRPr="00140A7F">
        <w:t>Consequences of failing to comply with the prohibition</w:t>
      </w:r>
    </w:p>
    <w:p w14:paraId="588DD4F3" w14:textId="138B8B7E" w:rsidR="00327A9D" w:rsidRPr="00EB2731" w:rsidRDefault="00F5789B" w:rsidP="00B030D3">
      <w:pPr>
        <w:pStyle w:val="Normalparatextwithnumbers"/>
        <w:numPr>
          <w:ilvl w:val="1"/>
          <w:numId w:val="23"/>
        </w:numPr>
      </w:pPr>
      <w:r w:rsidRPr="00140A7F">
        <w:t>Failure to comply with any of the new prohibitions attracts a civil penalty</w:t>
      </w:r>
      <w:r w:rsidR="00A11ADF">
        <w:t xml:space="preserve"> in accorda</w:t>
      </w:r>
      <w:r w:rsidR="008C701C">
        <w:t>nce with the Corporations Act</w:t>
      </w:r>
      <w:r>
        <w:t xml:space="preserve">. </w:t>
      </w:r>
      <w:r w:rsidR="00E66D39">
        <w:t>The maximum pecuniary penalties applicable to the contravention of a civil penalty provision by an individual or a body corporate are set out in subsections 1317</w:t>
      </w:r>
      <w:proofErr w:type="gramStart"/>
      <w:r w:rsidR="00E66D39">
        <w:t>G(</w:t>
      </w:r>
      <w:proofErr w:type="gramEnd"/>
      <w:r w:rsidR="00E66D39">
        <w:t>3) and (4) of the Corporations Act</w:t>
      </w:r>
      <w:r w:rsidR="00E66D39" w:rsidRPr="00914AB8">
        <w:t>.</w:t>
      </w:r>
      <w:r w:rsidR="00914AB8" w:rsidRPr="00B030D3">
        <w:rPr>
          <w:b/>
          <w:bCs/>
          <w:i/>
          <w:iCs/>
        </w:rPr>
        <w:t xml:space="preserve"> </w:t>
      </w:r>
    </w:p>
    <w:p w14:paraId="1F10C625" w14:textId="487E290B" w:rsidR="00EB2731" w:rsidRPr="00B030D3" w:rsidRDefault="00EB2731" w:rsidP="00EB2731">
      <w:pPr>
        <w:pStyle w:val="Normalparatextwithnumbers"/>
        <w:numPr>
          <w:ilvl w:val="1"/>
          <w:numId w:val="23"/>
        </w:numPr>
      </w:pPr>
      <w:r>
        <w:t>The amendments update the table in subsection 1317</w:t>
      </w:r>
      <w:proofErr w:type="gramStart"/>
      <w:r>
        <w:t>E(</w:t>
      </w:r>
      <w:proofErr w:type="gramEnd"/>
      <w:r>
        <w:t xml:space="preserve">3) of the Corporations Act where a comprehensive list of civil penalty provisions are included. The penalties relating to the avoidance of product intervention orders under the amendments are uncategorised. </w:t>
      </w:r>
    </w:p>
    <w:p w14:paraId="6B2DD59D" w14:textId="3B0F15D7" w:rsidR="00E66D39" w:rsidRPr="005E7912" w:rsidRDefault="00914AB8" w:rsidP="00327A9D">
      <w:pPr>
        <w:pStyle w:val="Normalparatextwithnumbers"/>
        <w:numPr>
          <w:ilvl w:val="0"/>
          <w:numId w:val="0"/>
        </w:numPr>
        <w:spacing w:before="0" w:after="0"/>
        <w:ind w:left="709"/>
        <w:rPr>
          <w:sz w:val="18"/>
        </w:rPr>
      </w:pPr>
      <w:r w:rsidRPr="005E7912">
        <w:rPr>
          <w:rStyle w:val="References"/>
        </w:rPr>
        <w:t xml:space="preserve">[Schedule </w:t>
      </w:r>
      <w:r w:rsidR="00E1560A">
        <w:rPr>
          <w:rStyle w:val="References"/>
        </w:rPr>
        <w:t>1</w:t>
      </w:r>
      <w:r w:rsidRPr="005E7912">
        <w:rPr>
          <w:rStyle w:val="References"/>
        </w:rPr>
        <w:t>, items 1 and 2, subsections 1023</w:t>
      </w:r>
      <w:proofErr w:type="gramStart"/>
      <w:r w:rsidRPr="005E7912">
        <w:rPr>
          <w:rStyle w:val="References"/>
        </w:rPr>
        <w:t>S(</w:t>
      </w:r>
      <w:proofErr w:type="gramEnd"/>
      <w:r w:rsidRPr="005E7912">
        <w:rPr>
          <w:rStyle w:val="References"/>
        </w:rPr>
        <w:t>1), (2), (3) and (4) and subsection 1317E(3)]</w:t>
      </w:r>
    </w:p>
    <w:p w14:paraId="509AD6D1" w14:textId="77777777" w:rsidR="00741976" w:rsidRPr="005E7912" w:rsidRDefault="00741976" w:rsidP="005E7912">
      <w:pPr>
        <w:pStyle w:val="Normalparatextwithnumbers"/>
        <w:numPr>
          <w:ilvl w:val="0"/>
          <w:numId w:val="0"/>
        </w:numPr>
        <w:spacing w:before="0" w:after="0"/>
        <w:ind w:left="709"/>
        <w:rPr>
          <w:sz w:val="18"/>
        </w:rPr>
      </w:pPr>
    </w:p>
    <w:p w14:paraId="47DAC619" w14:textId="3DEAC982" w:rsidR="00741976" w:rsidRPr="00F6106F" w:rsidRDefault="00741976" w:rsidP="00741976">
      <w:pPr>
        <w:pStyle w:val="Normalparatextwithnumbers"/>
        <w:numPr>
          <w:ilvl w:val="1"/>
          <w:numId w:val="23"/>
        </w:numPr>
        <w:spacing w:before="0" w:after="0"/>
        <w:rPr>
          <w:sz w:val="18"/>
        </w:rPr>
      </w:pPr>
      <w:r>
        <w:t>For an individual, the maximum pecuniary penalty is the greate</w:t>
      </w:r>
      <w:r w:rsidR="005A5B6B">
        <w:t>r</w:t>
      </w:r>
      <w:r>
        <w:t xml:space="preserve"> of:</w:t>
      </w:r>
    </w:p>
    <w:p w14:paraId="2EEE783D" w14:textId="77777777" w:rsidR="00741976" w:rsidRPr="0027268A" w:rsidRDefault="00741976" w:rsidP="005E7912">
      <w:pPr>
        <w:pStyle w:val="Exampledotpoint1"/>
      </w:pPr>
      <w:bookmarkStart w:id="39" w:name="_Hlk126316234"/>
      <w:r w:rsidRPr="0027268A">
        <w:t>5,000 penalty units; and</w:t>
      </w:r>
    </w:p>
    <w:p w14:paraId="2F4EE942" w14:textId="48EF4DE1" w:rsidR="00563100" w:rsidRPr="008E55A8" w:rsidRDefault="005A5B6B" w:rsidP="005E7912">
      <w:pPr>
        <w:pStyle w:val="Exampledotpoint1"/>
        <w:spacing w:after="0"/>
      </w:pPr>
      <w:r>
        <w:t>i</w:t>
      </w:r>
      <w:r w:rsidR="00DE1395" w:rsidRPr="0027268A">
        <w:t>f the Court can determine the benefit derived and detriment avoided because of the contravention – that amount multiplied by 3.</w:t>
      </w:r>
    </w:p>
    <w:bookmarkEnd w:id="39"/>
    <w:p w14:paraId="6DC194F9" w14:textId="77777777" w:rsidR="00563100" w:rsidRPr="00563100" w:rsidRDefault="00563100" w:rsidP="008E55A8">
      <w:pPr>
        <w:pStyle w:val="Dotpoint1"/>
        <w:numPr>
          <w:ilvl w:val="0"/>
          <w:numId w:val="0"/>
        </w:numPr>
        <w:spacing w:before="0" w:after="0"/>
        <w:ind w:left="709"/>
        <w:rPr>
          <w:sz w:val="18"/>
        </w:rPr>
      </w:pPr>
    </w:p>
    <w:p w14:paraId="184F60AA" w14:textId="455F3396" w:rsidR="00E66D39" w:rsidRPr="008E55A8" w:rsidRDefault="00563100" w:rsidP="00741976">
      <w:pPr>
        <w:pStyle w:val="Normalparatextwithnumbers"/>
        <w:numPr>
          <w:ilvl w:val="1"/>
          <w:numId w:val="23"/>
        </w:numPr>
        <w:spacing w:before="0" w:after="0"/>
        <w:rPr>
          <w:sz w:val="18"/>
        </w:rPr>
      </w:pPr>
      <w:r w:rsidRPr="00F6106F">
        <w:t>For a body corporate, the maximum pecuniary</w:t>
      </w:r>
      <w:r w:rsidR="00500070">
        <w:t xml:space="preserve"> penalty is the greate</w:t>
      </w:r>
      <w:r w:rsidR="007F1F2C">
        <w:t>st</w:t>
      </w:r>
      <w:r w:rsidR="00500070">
        <w:t xml:space="preserve"> of:</w:t>
      </w:r>
    </w:p>
    <w:p w14:paraId="0F19EF45" w14:textId="7CB2F0AE" w:rsidR="0027268A" w:rsidRDefault="00F6028C" w:rsidP="0027268A">
      <w:pPr>
        <w:pStyle w:val="Exampledotpoint1"/>
      </w:pPr>
      <w:r>
        <w:t xml:space="preserve">50,000 penalty </w:t>
      </w:r>
      <w:proofErr w:type="gramStart"/>
      <w:r>
        <w:t>units;</w:t>
      </w:r>
      <w:proofErr w:type="gramEnd"/>
    </w:p>
    <w:p w14:paraId="289D6699" w14:textId="76055EB2" w:rsidR="00F6028C" w:rsidRDefault="00F856A5" w:rsidP="0027268A">
      <w:pPr>
        <w:pStyle w:val="Exampledotpoint1"/>
      </w:pPr>
      <w:r>
        <w:t>i</w:t>
      </w:r>
      <w:r w:rsidR="00EC615E">
        <w:t>f the Court can determine the benefit derived and detriment avoided because of the contravention – that amount multiplied by 3; and</w:t>
      </w:r>
    </w:p>
    <w:p w14:paraId="6B56657A" w14:textId="0C896631" w:rsidR="00EC615E" w:rsidRDefault="00EC615E" w:rsidP="0027268A">
      <w:pPr>
        <w:pStyle w:val="Exampledotpoint1"/>
      </w:pPr>
      <w:r>
        <w:t>Either</w:t>
      </w:r>
    </w:p>
    <w:p w14:paraId="4E7C2244" w14:textId="43F7AF62" w:rsidR="00EC615E" w:rsidRDefault="00BD5598" w:rsidP="008E55A8">
      <w:pPr>
        <w:pStyle w:val="Exampledotpoint1"/>
        <w:numPr>
          <w:ilvl w:val="0"/>
          <w:numId w:val="34"/>
        </w:numPr>
      </w:pPr>
      <w:r w:rsidRPr="00BD5598">
        <w:t>10% of the annual turnover of the body corporate for the 12-month period ending at the end of the month in which the body corporate contravened, or began to contravene, the civil penalty provision; or</w:t>
      </w:r>
    </w:p>
    <w:p w14:paraId="090A63A6" w14:textId="13A7E2FD" w:rsidR="00741976" w:rsidRPr="00BD5598" w:rsidRDefault="00BD5598" w:rsidP="008E55A8">
      <w:pPr>
        <w:pStyle w:val="Exampledotpoint1"/>
        <w:numPr>
          <w:ilvl w:val="0"/>
          <w:numId w:val="34"/>
        </w:numPr>
      </w:pPr>
      <w:r w:rsidRPr="00BD5598">
        <w:t xml:space="preserve">if the amount worked out </w:t>
      </w:r>
      <w:r w:rsidR="008B2C64">
        <w:t>above</w:t>
      </w:r>
      <w:r w:rsidRPr="00BD5598">
        <w:t xml:space="preserve"> is greater than an amount equal to 2.5 million penalty units</w:t>
      </w:r>
      <w:r>
        <w:t xml:space="preserve"> – </w:t>
      </w:r>
      <w:r w:rsidRPr="00BD5598">
        <w:t>2.5 million penalty units.</w:t>
      </w:r>
    </w:p>
    <w:p w14:paraId="5165B77D" w14:textId="74790F0D" w:rsidR="00F5789B" w:rsidRPr="00834540" w:rsidRDefault="00F5789B" w:rsidP="006B0CD4">
      <w:pPr>
        <w:pStyle w:val="Normalparatextwithnumbers"/>
        <w:numPr>
          <w:ilvl w:val="0"/>
          <w:numId w:val="0"/>
        </w:numPr>
        <w:spacing w:before="0"/>
        <w:ind w:left="709"/>
        <w:rPr>
          <w:rStyle w:val="References"/>
        </w:rPr>
      </w:pPr>
    </w:p>
    <w:p w14:paraId="7AFA9250" w14:textId="388437E9" w:rsidR="00E73F25" w:rsidRPr="00E73F25" w:rsidRDefault="00E73F25" w:rsidP="00E73F25">
      <w:pPr>
        <w:pStyle w:val="Normalparatextwithnumbers"/>
        <w:numPr>
          <w:ilvl w:val="1"/>
          <w:numId w:val="23"/>
        </w:numPr>
      </w:pPr>
      <w:r w:rsidRPr="00E73F25">
        <w:lastRenderedPageBreak/>
        <w:t xml:space="preserve">Civil penalties are designed to deter prohibited </w:t>
      </w:r>
      <w:r w:rsidR="00B030D3" w:rsidRPr="00E73F25">
        <w:t>activities and</w:t>
      </w:r>
      <w:r w:rsidRPr="00E73F25">
        <w:t xml:space="preserve"> are part of the standard suite of enforcement tools. Strong penalties are warranted given the harm of the avoidance conduct on the community, and to ensure that incurring a civil penalty is not considered a mere cost of doing business.</w:t>
      </w:r>
    </w:p>
    <w:p w14:paraId="463D0F5A" w14:textId="1CA24729" w:rsidR="00F5789B" w:rsidRDefault="00F5789B" w:rsidP="00D52511">
      <w:pPr>
        <w:pStyle w:val="Normalparatextwithnumbers"/>
        <w:numPr>
          <w:ilvl w:val="1"/>
          <w:numId w:val="23"/>
        </w:numPr>
      </w:pPr>
      <w:r w:rsidRPr="00140A7F">
        <w:t>A contravention of any of the prohibitions also constitutes the commission of an offence, with a financial penalty of up to 100 penalty units if fault is proven in respect of the offence</w:t>
      </w:r>
      <w:r w:rsidR="00C83D7A">
        <w:t xml:space="preserve"> for</w:t>
      </w:r>
      <w:r w:rsidR="000632C4">
        <w:t xml:space="preserve"> an</w:t>
      </w:r>
      <w:r w:rsidR="00C83D7A">
        <w:t xml:space="preserve"> in</w:t>
      </w:r>
      <w:r w:rsidR="00DE35E8">
        <w:t xml:space="preserve">dividual, and </w:t>
      </w:r>
      <w:r w:rsidR="001A6049">
        <w:t>1</w:t>
      </w:r>
      <w:r w:rsidR="00A50C58">
        <w:t xml:space="preserve">,000 penalty units for </w:t>
      </w:r>
      <w:r w:rsidR="000632C4">
        <w:t xml:space="preserve">a </w:t>
      </w:r>
      <w:r w:rsidR="007471CE">
        <w:t>body corporate</w:t>
      </w:r>
      <w:r w:rsidRPr="00140A7F">
        <w:t>.</w:t>
      </w:r>
    </w:p>
    <w:p w14:paraId="28DDDD44" w14:textId="7C639389" w:rsidR="00C6729B" w:rsidRPr="00140A7F" w:rsidRDefault="00C6729B" w:rsidP="00834540">
      <w:pPr>
        <w:pStyle w:val="Normalparatextwithnumbers"/>
        <w:numPr>
          <w:ilvl w:val="0"/>
          <w:numId w:val="0"/>
        </w:numPr>
        <w:ind w:left="709"/>
      </w:pPr>
      <w:r w:rsidRPr="002534AE">
        <w:rPr>
          <w:rStyle w:val="References"/>
        </w:rPr>
        <w:t xml:space="preserve">[Schedule </w:t>
      </w:r>
      <w:r w:rsidR="00E1560A">
        <w:rPr>
          <w:rStyle w:val="References"/>
        </w:rPr>
        <w:t>1</w:t>
      </w:r>
      <w:r w:rsidRPr="002534AE">
        <w:rPr>
          <w:rStyle w:val="References"/>
        </w:rPr>
        <w:t xml:space="preserve">, item </w:t>
      </w:r>
      <w:r w:rsidR="00D6380D">
        <w:rPr>
          <w:rStyle w:val="References"/>
        </w:rPr>
        <w:t>1</w:t>
      </w:r>
      <w:r w:rsidRPr="002534AE">
        <w:rPr>
          <w:rStyle w:val="References"/>
        </w:rPr>
        <w:t xml:space="preserve">, subsection </w:t>
      </w:r>
      <w:r>
        <w:rPr>
          <w:rStyle w:val="References"/>
        </w:rPr>
        <w:t>1023</w:t>
      </w:r>
      <w:proofErr w:type="gramStart"/>
      <w:r>
        <w:rPr>
          <w:rStyle w:val="References"/>
        </w:rPr>
        <w:t>S</w:t>
      </w:r>
      <w:r w:rsidRPr="002534AE">
        <w:rPr>
          <w:rStyle w:val="References"/>
        </w:rPr>
        <w:t>(</w:t>
      </w:r>
      <w:proofErr w:type="gramEnd"/>
      <w:r>
        <w:rPr>
          <w:rStyle w:val="References"/>
        </w:rPr>
        <w:t>1</w:t>
      </w:r>
      <w:r w:rsidR="00D13599">
        <w:rPr>
          <w:rStyle w:val="References"/>
        </w:rPr>
        <w:t>0</w:t>
      </w:r>
      <w:r>
        <w:rPr>
          <w:rStyle w:val="References"/>
        </w:rPr>
        <w:t>)</w:t>
      </w:r>
      <w:r w:rsidRPr="002534AE">
        <w:rPr>
          <w:rStyle w:val="References"/>
        </w:rPr>
        <w:t>]</w:t>
      </w:r>
    </w:p>
    <w:p w14:paraId="760C3929" w14:textId="3FE5D8FF" w:rsidR="008103DA" w:rsidRDefault="00D476C8" w:rsidP="001416BA">
      <w:pPr>
        <w:pStyle w:val="Normalparatextwithnumbers"/>
        <w:numPr>
          <w:ilvl w:val="1"/>
          <w:numId w:val="3"/>
        </w:numPr>
      </w:pPr>
      <w:r>
        <w:t>The amendments also update the</w:t>
      </w:r>
      <w:r w:rsidR="00AD3C3E">
        <w:t xml:space="preserve"> penalties</w:t>
      </w:r>
      <w:r>
        <w:t xml:space="preserve"> table in Schedule 3 </w:t>
      </w:r>
      <w:r w:rsidR="00124D54">
        <w:t>to</w:t>
      </w:r>
      <w:r>
        <w:t xml:space="preserve"> the Corporations Act</w:t>
      </w:r>
      <w:r w:rsidR="00AD3C3E">
        <w:t>.</w:t>
      </w:r>
    </w:p>
    <w:p w14:paraId="4B64A8F9" w14:textId="611EB5A2" w:rsidR="00AD3C3E" w:rsidRPr="00140A7F" w:rsidRDefault="00AD3C3E" w:rsidP="00AD3C3E">
      <w:pPr>
        <w:pStyle w:val="Normalparatextwithnumbers"/>
        <w:numPr>
          <w:ilvl w:val="0"/>
          <w:numId w:val="0"/>
        </w:numPr>
        <w:ind w:left="709"/>
      </w:pPr>
      <w:r w:rsidRPr="002534AE">
        <w:rPr>
          <w:rStyle w:val="References"/>
        </w:rPr>
        <w:t xml:space="preserve">[Schedule </w:t>
      </w:r>
      <w:r>
        <w:rPr>
          <w:rStyle w:val="References"/>
        </w:rPr>
        <w:t>1</w:t>
      </w:r>
      <w:r w:rsidRPr="002534AE">
        <w:rPr>
          <w:rStyle w:val="References"/>
        </w:rPr>
        <w:t>, item</w:t>
      </w:r>
      <w:r>
        <w:rPr>
          <w:rStyle w:val="References"/>
        </w:rPr>
        <w:t xml:space="preserve"> 4</w:t>
      </w:r>
      <w:r w:rsidRPr="002534AE">
        <w:rPr>
          <w:rStyle w:val="References"/>
        </w:rPr>
        <w:t>]</w:t>
      </w:r>
    </w:p>
    <w:p w14:paraId="3BFC979B" w14:textId="6788615E" w:rsidR="00F5789B" w:rsidRDefault="00F5789B" w:rsidP="001416BA">
      <w:pPr>
        <w:pStyle w:val="Normalparatextwithnumbers"/>
        <w:numPr>
          <w:ilvl w:val="1"/>
          <w:numId w:val="3"/>
        </w:numPr>
      </w:pPr>
      <w:r w:rsidRPr="00140A7F">
        <w:t xml:space="preserve">These penalties reflect the serious financial impact that avoidance schemes have on consumers and regulated industry participants, and the need for a strong deterrent. It also supports </w:t>
      </w:r>
      <w:r w:rsidR="00C1294C">
        <w:t xml:space="preserve">the effectiveness of </w:t>
      </w:r>
      <w:r w:rsidRPr="00140A7F">
        <w:t>ASIC’s</w:t>
      </w:r>
      <w:r w:rsidR="00C1294C">
        <w:t xml:space="preserve"> enforcement action </w:t>
      </w:r>
      <w:r w:rsidRPr="00140A7F">
        <w:t xml:space="preserve">in respect of these schemes. </w:t>
      </w:r>
    </w:p>
    <w:p w14:paraId="4E70CD35" w14:textId="77777777" w:rsidR="00F5789B" w:rsidRPr="00140A7F" w:rsidRDefault="00F5789B" w:rsidP="00F5789B">
      <w:pPr>
        <w:pStyle w:val="Heading4"/>
        <w:numPr>
          <w:ilvl w:val="3"/>
          <w:numId w:val="2"/>
        </w:numPr>
      </w:pPr>
      <w:r w:rsidRPr="00140A7F">
        <w:t xml:space="preserve">Presumption of avoidance for certain schemes </w:t>
      </w:r>
    </w:p>
    <w:p w14:paraId="587D533A" w14:textId="6F60BF7F" w:rsidR="00F5789B" w:rsidRDefault="00F5789B" w:rsidP="00D52511">
      <w:pPr>
        <w:pStyle w:val="Normalparatextwithnumbers"/>
        <w:numPr>
          <w:ilvl w:val="1"/>
          <w:numId w:val="23"/>
        </w:numPr>
      </w:pPr>
      <w:r w:rsidRPr="00140A7F">
        <w:t xml:space="preserve">It is presumed, </w:t>
      </w:r>
      <w:r>
        <w:t xml:space="preserve">for proceedings </w:t>
      </w:r>
      <w:r w:rsidRPr="00140A7F">
        <w:t xml:space="preserve">other than criminal proceedings, that it is reasonable to conclude that a person </w:t>
      </w:r>
      <w:proofErr w:type="gramStart"/>
      <w:r w:rsidRPr="00140A7F">
        <w:t>entered into</w:t>
      </w:r>
      <w:proofErr w:type="gramEnd"/>
      <w:r w:rsidRPr="00140A7F">
        <w:t xml:space="preserve"> or carried out a scheme </w:t>
      </w:r>
      <w:r w:rsidR="00191A92">
        <w:t>to avoid the application of a credit</w:t>
      </w:r>
      <w:r w:rsidR="00E72BE0">
        <w:t xml:space="preserve"> product</w:t>
      </w:r>
      <w:r w:rsidR="00191A92">
        <w:t xml:space="preserve"> intervention order</w:t>
      </w:r>
      <w:r w:rsidRPr="00140A7F">
        <w:t xml:space="preserve"> if the scheme is a scheme prescribed by the regulations or determined by ASIC in a legislative instrument. </w:t>
      </w:r>
    </w:p>
    <w:p w14:paraId="292CF849" w14:textId="5E40AFB8" w:rsidR="00E317D7" w:rsidRPr="00140A7F" w:rsidRDefault="00E317D7" w:rsidP="00E72BE0">
      <w:pPr>
        <w:pStyle w:val="Normalparatextwithnumbers"/>
        <w:numPr>
          <w:ilvl w:val="0"/>
          <w:numId w:val="0"/>
        </w:numPr>
        <w:spacing w:before="0"/>
        <w:ind w:left="709"/>
      </w:pPr>
      <w:bookmarkStart w:id="40" w:name="_Hlk127798953"/>
      <w:r w:rsidRPr="002534AE">
        <w:rPr>
          <w:rStyle w:val="References"/>
        </w:rPr>
        <w:t xml:space="preserve">[Schedule </w:t>
      </w:r>
      <w:r w:rsidR="00E1560A">
        <w:rPr>
          <w:rStyle w:val="References"/>
        </w:rPr>
        <w:t>1</w:t>
      </w:r>
      <w:r w:rsidRPr="002534AE">
        <w:rPr>
          <w:rStyle w:val="References"/>
        </w:rPr>
        <w:t xml:space="preserve">, item </w:t>
      </w:r>
      <w:r>
        <w:rPr>
          <w:rStyle w:val="References"/>
        </w:rPr>
        <w:t>1</w:t>
      </w:r>
      <w:r w:rsidRPr="002534AE">
        <w:rPr>
          <w:rStyle w:val="References"/>
        </w:rPr>
        <w:t>, subsection</w:t>
      </w:r>
      <w:r w:rsidR="00495102">
        <w:rPr>
          <w:rStyle w:val="References"/>
        </w:rPr>
        <w:t>s</w:t>
      </w:r>
      <w:r w:rsidRPr="002534AE">
        <w:rPr>
          <w:rStyle w:val="References"/>
        </w:rPr>
        <w:t xml:space="preserve"> </w:t>
      </w:r>
      <w:r>
        <w:rPr>
          <w:rStyle w:val="References"/>
        </w:rPr>
        <w:t>1023</w:t>
      </w:r>
      <w:proofErr w:type="gramStart"/>
      <w:r>
        <w:rPr>
          <w:rStyle w:val="References"/>
        </w:rPr>
        <w:t>T</w:t>
      </w:r>
      <w:r w:rsidRPr="002534AE">
        <w:rPr>
          <w:rStyle w:val="References"/>
        </w:rPr>
        <w:t>(</w:t>
      </w:r>
      <w:proofErr w:type="gramEnd"/>
      <w:r>
        <w:rPr>
          <w:rStyle w:val="References"/>
        </w:rPr>
        <w:t>1</w:t>
      </w:r>
      <w:r w:rsidR="00671268">
        <w:rPr>
          <w:rStyle w:val="References"/>
        </w:rPr>
        <w:t>)</w:t>
      </w:r>
      <w:r w:rsidR="00495102">
        <w:rPr>
          <w:rStyle w:val="References"/>
        </w:rPr>
        <w:t xml:space="preserve"> and (3</w:t>
      </w:r>
      <w:r>
        <w:rPr>
          <w:rStyle w:val="References"/>
        </w:rPr>
        <w:t>)</w:t>
      </w:r>
      <w:r w:rsidRPr="002534AE">
        <w:rPr>
          <w:rStyle w:val="References"/>
        </w:rPr>
        <w:t>]</w:t>
      </w:r>
    </w:p>
    <w:bookmarkEnd w:id="40"/>
    <w:p w14:paraId="5AEEC444" w14:textId="52A9E5EB" w:rsidR="00F5789B" w:rsidRDefault="00F5789B" w:rsidP="00D52511">
      <w:pPr>
        <w:pStyle w:val="Normalparatextwithnumbers"/>
        <w:numPr>
          <w:ilvl w:val="1"/>
          <w:numId w:val="23"/>
        </w:numPr>
      </w:pPr>
      <w:r w:rsidRPr="00140A7F">
        <w:t xml:space="preserve">However, the presumption does not apply if the person proves that it would not be reasonable to conclude that </w:t>
      </w:r>
      <w:r w:rsidR="00D94CA6">
        <w:t xml:space="preserve">the purpose </w:t>
      </w:r>
      <w:r w:rsidR="00336070">
        <w:t>was to avoid a credit</w:t>
      </w:r>
      <w:r w:rsidR="00E72BE0">
        <w:t xml:space="preserve"> product</w:t>
      </w:r>
      <w:r w:rsidR="00336070">
        <w:t xml:space="preserve"> intervention order</w:t>
      </w:r>
      <w:r w:rsidRPr="00140A7F">
        <w:t xml:space="preserve">, having regard to </w:t>
      </w:r>
      <w:r w:rsidR="00094692">
        <w:t>any matters prescribed by the regulations</w:t>
      </w:r>
      <w:r w:rsidRPr="00140A7F">
        <w:t xml:space="preserve">. </w:t>
      </w:r>
    </w:p>
    <w:p w14:paraId="2C2A2967" w14:textId="6E1F47CD" w:rsidR="00A002B3" w:rsidRPr="00140A7F" w:rsidRDefault="00A002B3" w:rsidP="00502ED6">
      <w:pPr>
        <w:pStyle w:val="Normalparatextwithnumbers"/>
        <w:numPr>
          <w:ilvl w:val="0"/>
          <w:numId w:val="0"/>
        </w:numPr>
        <w:spacing w:before="0"/>
        <w:ind w:left="709"/>
      </w:pPr>
      <w:r w:rsidRPr="002534AE">
        <w:rPr>
          <w:rStyle w:val="References"/>
        </w:rPr>
        <w:t xml:space="preserve">[Schedule </w:t>
      </w:r>
      <w:r w:rsidR="00FD723F">
        <w:rPr>
          <w:rStyle w:val="References"/>
        </w:rPr>
        <w:t>1</w:t>
      </w:r>
      <w:r w:rsidRPr="002534AE">
        <w:rPr>
          <w:rStyle w:val="References"/>
        </w:rPr>
        <w:t xml:space="preserve">, item </w:t>
      </w:r>
      <w:r>
        <w:rPr>
          <w:rStyle w:val="References"/>
        </w:rPr>
        <w:t>1</w:t>
      </w:r>
      <w:r w:rsidRPr="002534AE">
        <w:rPr>
          <w:rStyle w:val="References"/>
        </w:rPr>
        <w:t xml:space="preserve">, subsection </w:t>
      </w:r>
      <w:r>
        <w:rPr>
          <w:rStyle w:val="References"/>
        </w:rPr>
        <w:t>1023</w:t>
      </w:r>
      <w:proofErr w:type="gramStart"/>
      <w:r>
        <w:rPr>
          <w:rStyle w:val="References"/>
        </w:rPr>
        <w:t>T</w:t>
      </w:r>
      <w:r w:rsidRPr="002534AE">
        <w:rPr>
          <w:rStyle w:val="References"/>
        </w:rPr>
        <w:t>(</w:t>
      </w:r>
      <w:proofErr w:type="gramEnd"/>
      <w:r w:rsidR="00420FD8">
        <w:rPr>
          <w:rStyle w:val="References"/>
        </w:rPr>
        <w:t>2</w:t>
      </w:r>
      <w:r>
        <w:rPr>
          <w:rStyle w:val="References"/>
        </w:rPr>
        <w:t>)</w:t>
      </w:r>
      <w:r w:rsidRPr="002534AE">
        <w:rPr>
          <w:rStyle w:val="References"/>
        </w:rPr>
        <w:t>]</w:t>
      </w:r>
    </w:p>
    <w:p w14:paraId="14EC49A2" w14:textId="3F0419D6" w:rsidR="00F5789B" w:rsidRPr="00140A7F" w:rsidRDefault="00F5789B" w:rsidP="00F5789B">
      <w:pPr>
        <w:pStyle w:val="Normalparatextwithnumbers"/>
        <w:numPr>
          <w:ilvl w:val="1"/>
          <w:numId w:val="23"/>
        </w:numPr>
      </w:pPr>
      <w:r w:rsidRPr="00140A7F">
        <w:t xml:space="preserve">Placing the legal burden of proof on the person is appropriate as it will be </w:t>
      </w:r>
      <w:r>
        <w:t>peculiarly within the knowledge of</w:t>
      </w:r>
      <w:r w:rsidRPr="00140A7F">
        <w:t xml:space="preserve"> the person to establish that it would not be reasonable to conclude that there was a</w:t>
      </w:r>
      <w:r w:rsidR="00502ED6">
        <w:t>n</w:t>
      </w:r>
      <w:r w:rsidRPr="00140A7F">
        <w:t xml:space="preserve"> </w:t>
      </w:r>
      <w:r w:rsidRPr="00502ED6">
        <w:t>avoidance purpose</w:t>
      </w:r>
      <w:r w:rsidRPr="00140A7F">
        <w:t xml:space="preserve">, compared with requiring ASIC to disprove that matter. For example, if the scheme in question does have a legitimate (non-avoidance) purpose, that matter would be peculiarly within the knowledge of the person. </w:t>
      </w:r>
    </w:p>
    <w:p w14:paraId="47D19907" w14:textId="20CD8110" w:rsidR="00F5789B" w:rsidRDefault="00F5789B" w:rsidP="00F5789B">
      <w:pPr>
        <w:pStyle w:val="Normalparatextwithnumbers"/>
        <w:numPr>
          <w:ilvl w:val="1"/>
          <w:numId w:val="23"/>
        </w:numPr>
      </w:pPr>
      <w:r w:rsidRPr="00140A7F">
        <w:t xml:space="preserve">Further, the presumption applies only in civil cases (not in criminal proceedings), and any regulations or legislative instrument made to prescribe or determine schemes that are presumed to have </w:t>
      </w:r>
      <w:r w:rsidRPr="006B7055">
        <w:t>the avoidance purpose will be subject to parliamentary scrutiny an</w:t>
      </w:r>
      <w:r w:rsidRPr="00140A7F">
        <w:t xml:space="preserve">d disallowance. </w:t>
      </w:r>
    </w:p>
    <w:p w14:paraId="3BADBA78" w14:textId="515DD530" w:rsidR="00495102" w:rsidRPr="00140A7F" w:rsidRDefault="00495102" w:rsidP="00495102">
      <w:pPr>
        <w:pStyle w:val="Normalparatextwithnumbers"/>
        <w:numPr>
          <w:ilvl w:val="0"/>
          <w:numId w:val="0"/>
        </w:numPr>
        <w:spacing w:before="0"/>
        <w:ind w:left="709"/>
      </w:pPr>
      <w:r w:rsidRPr="002534AE">
        <w:rPr>
          <w:rStyle w:val="References"/>
        </w:rPr>
        <w:t xml:space="preserve">[Schedule </w:t>
      </w:r>
      <w:r>
        <w:rPr>
          <w:rStyle w:val="References"/>
        </w:rPr>
        <w:t>1</w:t>
      </w:r>
      <w:r w:rsidRPr="002534AE">
        <w:rPr>
          <w:rStyle w:val="References"/>
        </w:rPr>
        <w:t xml:space="preserve">, item </w:t>
      </w:r>
      <w:r>
        <w:rPr>
          <w:rStyle w:val="References"/>
        </w:rPr>
        <w:t>1</w:t>
      </w:r>
      <w:r w:rsidRPr="002534AE">
        <w:rPr>
          <w:rStyle w:val="References"/>
        </w:rPr>
        <w:t>, subsection</w:t>
      </w:r>
      <w:r>
        <w:rPr>
          <w:rStyle w:val="References"/>
        </w:rPr>
        <w:t>s</w:t>
      </w:r>
      <w:r w:rsidRPr="002534AE">
        <w:rPr>
          <w:rStyle w:val="References"/>
        </w:rPr>
        <w:t xml:space="preserve"> </w:t>
      </w:r>
      <w:r>
        <w:rPr>
          <w:rStyle w:val="References"/>
        </w:rPr>
        <w:t>1023</w:t>
      </w:r>
      <w:proofErr w:type="gramStart"/>
      <w:r>
        <w:rPr>
          <w:rStyle w:val="References"/>
        </w:rPr>
        <w:t>T</w:t>
      </w:r>
      <w:r w:rsidRPr="002534AE">
        <w:rPr>
          <w:rStyle w:val="References"/>
        </w:rPr>
        <w:t>(</w:t>
      </w:r>
      <w:proofErr w:type="gramEnd"/>
      <w:r w:rsidR="00671268">
        <w:rPr>
          <w:rStyle w:val="References"/>
        </w:rPr>
        <w:t>3</w:t>
      </w:r>
      <w:r>
        <w:rPr>
          <w:rStyle w:val="References"/>
        </w:rPr>
        <w:t>) and (4)</w:t>
      </w:r>
      <w:r w:rsidRPr="002534AE">
        <w:rPr>
          <w:rStyle w:val="References"/>
        </w:rPr>
        <w:t>]</w:t>
      </w:r>
    </w:p>
    <w:p w14:paraId="4EE87ED4" w14:textId="0E174AA4" w:rsidR="00F5789B" w:rsidRPr="00140A7F" w:rsidRDefault="00F5789B" w:rsidP="00F5789B">
      <w:pPr>
        <w:pStyle w:val="Normalparatextwithnumbers"/>
        <w:numPr>
          <w:ilvl w:val="1"/>
          <w:numId w:val="23"/>
        </w:numPr>
      </w:pPr>
      <w:r>
        <w:t xml:space="preserve">Merely reversing the evidential burden of proof is insufficient as doing so will likely still result in ASIC being required to establish that it would not be </w:t>
      </w:r>
      <w:r>
        <w:lastRenderedPageBreak/>
        <w:t xml:space="preserve">reasonable to conclude that </w:t>
      </w:r>
      <w:r w:rsidRPr="006B7055">
        <w:t>there was a</w:t>
      </w:r>
      <w:r w:rsidR="006B7055">
        <w:t>n</w:t>
      </w:r>
      <w:r w:rsidRPr="006B7055">
        <w:t xml:space="preserve"> avoidance purpose. This is inappropriate as it will be considerably easier for the person, </w:t>
      </w:r>
      <w:r w:rsidR="005A7C8F">
        <w:t xml:space="preserve">as </w:t>
      </w:r>
      <w:r w:rsidRPr="006B7055">
        <w:t>opposed to ASIC, to establish that it would not be reasonable to conclude that there was a</w:t>
      </w:r>
      <w:r w:rsidR="006B7055">
        <w:t>n</w:t>
      </w:r>
      <w:r w:rsidRPr="006B7055">
        <w:t xml:space="preserve"> avoidance purpose. It also jeopardises the ability of the law to achieve its purpose of prohibiting avoidance</w:t>
      </w:r>
      <w:r>
        <w:t xml:space="preserve"> schemes. </w:t>
      </w:r>
    </w:p>
    <w:p w14:paraId="48566A53" w14:textId="77777777" w:rsidR="00F5789B" w:rsidRPr="0054234D" w:rsidRDefault="00F5789B" w:rsidP="00F5789B">
      <w:pPr>
        <w:pStyle w:val="Normalparatextwithnumbers"/>
        <w:numPr>
          <w:ilvl w:val="1"/>
          <w:numId w:val="23"/>
        </w:numPr>
      </w:pPr>
      <w:r w:rsidRPr="0054234D">
        <w:t>The conferral of a regulation-making power and a power for ASIC to make a legislative instrument in this context also reflects historical experience that avoidance schemes tend to proliferate quickly if they are seen by other industry participants to be effective. This flexibility therefore ensures that either the Government or ASIC can respond quickly to evolving practices as needed.</w:t>
      </w:r>
    </w:p>
    <w:p w14:paraId="3639CDCA" w14:textId="77777777" w:rsidR="00F5789B" w:rsidRPr="00140A7F" w:rsidRDefault="00F5789B" w:rsidP="00F5789B">
      <w:pPr>
        <w:pStyle w:val="Heading4"/>
        <w:numPr>
          <w:ilvl w:val="3"/>
          <w:numId w:val="2"/>
        </w:numPr>
        <w:spacing w:before="240"/>
      </w:pPr>
      <w:r w:rsidRPr="00140A7F">
        <w:t xml:space="preserve">Exemption by ASIC </w:t>
      </w:r>
    </w:p>
    <w:p w14:paraId="62989DD7" w14:textId="1FD9CFC0" w:rsidR="00F5789B" w:rsidRPr="00140A7F" w:rsidRDefault="00F5789B" w:rsidP="00F5789B">
      <w:pPr>
        <w:pStyle w:val="Normalparatextwithnumbers"/>
        <w:numPr>
          <w:ilvl w:val="1"/>
          <w:numId w:val="23"/>
        </w:numPr>
        <w:rPr>
          <w:rStyle w:val="Referencingstyle"/>
          <w:b w:val="0"/>
          <w:i w:val="0"/>
        </w:rPr>
      </w:pPr>
      <w:r w:rsidRPr="00140A7F">
        <w:t xml:space="preserve">ASIC also has </w:t>
      </w:r>
      <w:r>
        <w:t xml:space="preserve">the </w:t>
      </w:r>
      <w:r w:rsidRPr="00140A7F">
        <w:t xml:space="preserve">power to, by legislative instrument, exempt a scheme or class of schemes from all or specified parts of the prohibitions set out in section </w:t>
      </w:r>
      <w:r w:rsidR="0029661C">
        <w:t>1023S</w:t>
      </w:r>
      <w:r w:rsidRPr="00140A7F">
        <w:t>. ASIC may impose any conditions on such an exemption.</w:t>
      </w:r>
      <w:r w:rsidRPr="00140A7F">
        <w:rPr>
          <w:rStyle w:val="Referencingstyle"/>
        </w:rPr>
        <w:t xml:space="preserve"> </w:t>
      </w:r>
      <w:r>
        <w:rPr>
          <w:rStyle w:val="Referencingstyle"/>
        </w:rPr>
        <w:br/>
      </w:r>
      <w:r w:rsidRPr="002534AE">
        <w:rPr>
          <w:rStyle w:val="References"/>
        </w:rPr>
        <w:t>[</w:t>
      </w:r>
      <w:r w:rsidR="00B34EDA" w:rsidRPr="002534AE">
        <w:rPr>
          <w:rStyle w:val="References"/>
        </w:rPr>
        <w:t xml:space="preserve">Schedule </w:t>
      </w:r>
      <w:r w:rsidR="00FD723F">
        <w:rPr>
          <w:rStyle w:val="References"/>
        </w:rPr>
        <w:t>1</w:t>
      </w:r>
      <w:r w:rsidR="00B34EDA" w:rsidRPr="002534AE">
        <w:rPr>
          <w:rStyle w:val="References"/>
        </w:rPr>
        <w:t xml:space="preserve">, item </w:t>
      </w:r>
      <w:r w:rsidR="00B34EDA">
        <w:rPr>
          <w:rStyle w:val="References"/>
        </w:rPr>
        <w:t>1</w:t>
      </w:r>
      <w:r w:rsidRPr="002534AE">
        <w:rPr>
          <w:rStyle w:val="References"/>
        </w:rPr>
        <w:t xml:space="preserve">, section </w:t>
      </w:r>
      <w:r w:rsidR="00564678">
        <w:rPr>
          <w:rStyle w:val="References"/>
        </w:rPr>
        <w:t>1023U</w:t>
      </w:r>
      <w:r w:rsidRPr="002534AE">
        <w:rPr>
          <w:rStyle w:val="References"/>
        </w:rPr>
        <w:t>]</w:t>
      </w:r>
      <w:r w:rsidRPr="00140A7F">
        <w:rPr>
          <w:rStyle w:val="Referencingstyle"/>
        </w:rPr>
        <w:t xml:space="preserve"> </w:t>
      </w:r>
    </w:p>
    <w:p w14:paraId="13EC2AAF" w14:textId="3EB47B8E" w:rsidR="00F5789B" w:rsidRPr="0054234D" w:rsidRDefault="00F5789B" w:rsidP="00F5789B">
      <w:pPr>
        <w:pStyle w:val="Normalparatextwithnumbers"/>
        <w:numPr>
          <w:ilvl w:val="1"/>
          <w:numId w:val="23"/>
        </w:numPr>
      </w:pPr>
      <w:r w:rsidRPr="0054234D">
        <w:t xml:space="preserve">This </w:t>
      </w:r>
      <w:r w:rsidR="006F7F1F">
        <w:t xml:space="preserve">instrument making power </w:t>
      </w:r>
      <w:r w:rsidRPr="0054234D">
        <w:t xml:space="preserve">ensures that ASIC </w:t>
      </w:r>
      <w:proofErr w:type="gramStart"/>
      <w:r w:rsidRPr="0054234D">
        <w:t>is able to</w:t>
      </w:r>
      <w:proofErr w:type="gramEnd"/>
      <w:r w:rsidRPr="0054234D">
        <w:t xml:space="preserve"> </w:t>
      </w:r>
      <w:r w:rsidR="005F022C">
        <w:t>promptly provide clarity and certainty to industry and consumers</w:t>
      </w:r>
      <w:r w:rsidRPr="0054234D">
        <w:t xml:space="preserve"> where the scheme:</w:t>
      </w:r>
    </w:p>
    <w:p w14:paraId="662E2C6D" w14:textId="77777777" w:rsidR="00F5789B" w:rsidRPr="0054234D" w:rsidRDefault="00F5789B" w:rsidP="00F5789B">
      <w:pPr>
        <w:pStyle w:val="Dotpoint1"/>
        <w:numPr>
          <w:ilvl w:val="0"/>
          <w:numId w:val="8"/>
        </w:numPr>
        <w:ind w:left="1418" w:hanging="709"/>
      </w:pPr>
      <w:r w:rsidRPr="0054234D">
        <w:t xml:space="preserve">does not cause harm to consumers or regulated industry participants; and </w:t>
      </w:r>
    </w:p>
    <w:p w14:paraId="7D85343F" w14:textId="2AA3CCE7" w:rsidR="00F5789B" w:rsidRDefault="00F5789B" w:rsidP="008F2A70">
      <w:pPr>
        <w:pStyle w:val="Dotpoint1"/>
        <w:numPr>
          <w:ilvl w:val="0"/>
          <w:numId w:val="8"/>
        </w:numPr>
        <w:ind w:left="1418" w:hanging="709"/>
      </w:pPr>
      <w:r w:rsidRPr="0054234D">
        <w:t xml:space="preserve">has a legitimate (non-avoidance) purpose. </w:t>
      </w:r>
    </w:p>
    <w:p w14:paraId="3E5908AC" w14:textId="77777777" w:rsidR="005D5671" w:rsidRDefault="005D5671">
      <w:pPr>
        <w:pStyle w:val="Normalparatextwithnumbers"/>
        <w:numPr>
          <w:ilvl w:val="1"/>
          <w:numId w:val="23"/>
        </w:numPr>
      </w:pPr>
      <w:r>
        <w:t xml:space="preserve">The use of delegated legislation is critical to ensure that the legislative framework can respond promptly to changing circumstances.  </w:t>
      </w:r>
      <w:r w:rsidR="00153BCA">
        <w:t>This</w:t>
      </w:r>
      <w:r w:rsidR="00745D51">
        <w:t xml:space="preserve"> </w:t>
      </w:r>
      <w:r w:rsidR="00153BCA">
        <w:t xml:space="preserve">power </w:t>
      </w:r>
      <w:r w:rsidR="00D31A96">
        <w:t xml:space="preserve">to exempt from the </w:t>
      </w:r>
      <w:r w:rsidR="0081082F">
        <w:t xml:space="preserve">general anti-avoidance provisions </w:t>
      </w:r>
      <w:r w:rsidR="00153BCA">
        <w:t xml:space="preserve">is </w:t>
      </w:r>
      <w:r w:rsidR="00814C3A">
        <w:t>proportionate</w:t>
      </w:r>
      <w:r w:rsidR="00153BCA">
        <w:t xml:space="preserve"> an</w:t>
      </w:r>
      <w:r w:rsidR="00814C3A">
        <w:t>d</w:t>
      </w:r>
      <w:r w:rsidR="00153BCA">
        <w:t xml:space="preserve"> </w:t>
      </w:r>
      <w:r w:rsidR="00814C3A">
        <w:t>necessary as it allows ASIC to ensure that</w:t>
      </w:r>
      <w:r w:rsidR="00CE6596">
        <w:t xml:space="preserve"> the prohibition does not apply to</w:t>
      </w:r>
      <w:r w:rsidR="00814C3A">
        <w:t xml:space="preserve"> </w:t>
      </w:r>
      <w:r w:rsidR="0081082F">
        <w:t>schemes</w:t>
      </w:r>
      <w:r w:rsidR="00814C3A">
        <w:t xml:space="preserve"> that should not </w:t>
      </w:r>
      <w:r w:rsidR="005F32F5">
        <w:t xml:space="preserve">be captured, and </w:t>
      </w:r>
      <w:r w:rsidR="0081082F">
        <w:t>do</w:t>
      </w:r>
      <w:r w:rsidR="005F32F5">
        <w:t xml:space="preserve"> not cause harm. </w:t>
      </w:r>
    </w:p>
    <w:p w14:paraId="62681C73" w14:textId="263FF245" w:rsidR="00D9215D" w:rsidRDefault="005D5671">
      <w:pPr>
        <w:pStyle w:val="Normalparatextwithnumbers"/>
        <w:numPr>
          <w:ilvl w:val="1"/>
          <w:numId w:val="23"/>
        </w:numPr>
      </w:pPr>
      <w:r>
        <w:t xml:space="preserve">It is appropriate that ASIC has this instrument making power because, as the administrator of </w:t>
      </w:r>
      <w:proofErr w:type="gramStart"/>
      <w:r>
        <w:t>corporations</w:t>
      </w:r>
      <w:proofErr w:type="gramEnd"/>
      <w:r>
        <w:t xml:space="preserve"> legislation, </w:t>
      </w:r>
      <w:r w:rsidR="00745D51">
        <w:t xml:space="preserve">ASIC </w:t>
      </w:r>
      <w:r w:rsidR="00CE4519">
        <w:t>has</w:t>
      </w:r>
      <w:r w:rsidR="0081082F">
        <w:t xml:space="preserve"> </w:t>
      </w:r>
      <w:r w:rsidR="00773864">
        <w:t xml:space="preserve">relevant </w:t>
      </w:r>
      <w:r w:rsidR="00CE6596">
        <w:t xml:space="preserve">industry </w:t>
      </w:r>
      <w:r w:rsidR="00773864">
        <w:t>information and</w:t>
      </w:r>
      <w:r w:rsidR="00CE4519">
        <w:t xml:space="preserve"> understanding </w:t>
      </w:r>
      <w:r w:rsidR="004A5431">
        <w:t>to effectively apply this exemption</w:t>
      </w:r>
      <w:r w:rsidR="00773864">
        <w:t xml:space="preserve"> in accordance with the policy intention</w:t>
      </w:r>
      <w:r w:rsidR="004A5431">
        <w:t>.</w:t>
      </w:r>
      <w:r w:rsidR="00464946">
        <w:t xml:space="preserve">  Additionally, any instrument that ASIC makes would be subject to Parliamentary scrutiny and disallowance. </w:t>
      </w:r>
    </w:p>
    <w:p w14:paraId="7D542EF5" w14:textId="77777777" w:rsidR="00873094" w:rsidRPr="00020288" w:rsidRDefault="00873094" w:rsidP="00AF50CE">
      <w:pPr>
        <w:pStyle w:val="Heading2"/>
      </w:pPr>
      <w:bookmarkStart w:id="41" w:name="_Toc78193246"/>
      <w:bookmarkStart w:id="42" w:name="_Toc78193403"/>
      <w:bookmarkStart w:id="43" w:name="_Toc78548476"/>
      <w:bookmarkStart w:id="44" w:name="_Toc78549747"/>
      <w:bookmarkStart w:id="45" w:name="_Toc78549791"/>
      <w:r w:rsidRPr="00020288">
        <w:t xml:space="preserve">Commencement, </w:t>
      </w:r>
      <w:r w:rsidRPr="00AF50CE">
        <w:t>application</w:t>
      </w:r>
      <w:r w:rsidRPr="00020288">
        <w:t>, and transitional provisions</w:t>
      </w:r>
    </w:p>
    <w:p w14:paraId="219A700E" w14:textId="7DB1E5EF" w:rsidR="00873094" w:rsidRDefault="00F5789B" w:rsidP="00873094">
      <w:pPr>
        <w:pStyle w:val="Normalparatextwithnumbers"/>
        <w:numPr>
          <w:ilvl w:val="1"/>
          <w:numId w:val="3"/>
        </w:numPr>
      </w:pPr>
      <w:r>
        <w:t>The amendments commence on the day after Royal Assent.</w:t>
      </w:r>
    </w:p>
    <w:p w14:paraId="60974937" w14:textId="6BA560CC" w:rsidR="00F5789B" w:rsidRPr="00140A7F" w:rsidRDefault="00F5789B" w:rsidP="00D52511">
      <w:pPr>
        <w:pStyle w:val="Normalparatextwithnumbers"/>
        <w:numPr>
          <w:ilvl w:val="1"/>
          <w:numId w:val="23"/>
        </w:numPr>
      </w:pPr>
      <w:r w:rsidRPr="00140A7F">
        <w:t xml:space="preserve">These amendments apply to conduct </w:t>
      </w:r>
      <w:r w:rsidR="00A45D62">
        <w:t xml:space="preserve">engaged in on or after </w:t>
      </w:r>
      <w:r w:rsidRPr="00140A7F">
        <w:t>that day</w:t>
      </w:r>
      <w:r w:rsidR="00D05FE3">
        <w:t xml:space="preserve">, whether </w:t>
      </w:r>
      <w:r w:rsidR="00271D81">
        <w:t xml:space="preserve">the credit </w:t>
      </w:r>
      <w:r w:rsidR="008F2A70">
        <w:t xml:space="preserve">product </w:t>
      </w:r>
      <w:r w:rsidR="00271D81">
        <w:t>intervention order was made before, on or after commencement</w:t>
      </w:r>
      <w:r>
        <w:t>.</w:t>
      </w:r>
    </w:p>
    <w:p w14:paraId="672B90FE" w14:textId="7A7E771E" w:rsidR="005D0844" w:rsidRPr="005D0844" w:rsidRDefault="003F5A4A" w:rsidP="00F34282">
      <w:pPr>
        <w:spacing w:before="0" w:after="0" w:line="360" w:lineRule="auto"/>
        <w:ind w:left="709"/>
        <w:contextualSpacing/>
      </w:pPr>
      <w:bookmarkStart w:id="46" w:name="_Hlk83390738"/>
      <w:r w:rsidRPr="002534AE">
        <w:rPr>
          <w:rStyle w:val="References"/>
        </w:rPr>
        <w:t xml:space="preserve">[Schedule </w:t>
      </w:r>
      <w:r w:rsidR="00FD723F">
        <w:rPr>
          <w:rStyle w:val="References"/>
        </w:rPr>
        <w:t>1</w:t>
      </w:r>
      <w:r w:rsidRPr="002534AE">
        <w:rPr>
          <w:rStyle w:val="References"/>
        </w:rPr>
        <w:t xml:space="preserve">, item </w:t>
      </w:r>
      <w:r>
        <w:rPr>
          <w:rStyle w:val="References"/>
        </w:rPr>
        <w:t>3</w:t>
      </w:r>
      <w:r w:rsidRPr="002534AE">
        <w:rPr>
          <w:rStyle w:val="References"/>
        </w:rPr>
        <w:t xml:space="preserve">, </w:t>
      </w:r>
      <w:r>
        <w:rPr>
          <w:rStyle w:val="References"/>
        </w:rPr>
        <w:t>section 17</w:t>
      </w:r>
      <w:r w:rsidR="002E342B">
        <w:rPr>
          <w:rStyle w:val="References"/>
        </w:rPr>
        <w:t>01</w:t>
      </w:r>
      <w:bookmarkEnd w:id="6"/>
      <w:bookmarkEnd w:id="41"/>
      <w:bookmarkEnd w:id="42"/>
      <w:bookmarkEnd w:id="43"/>
      <w:bookmarkEnd w:id="44"/>
      <w:bookmarkEnd w:id="45"/>
      <w:bookmarkEnd w:id="46"/>
      <w:r w:rsidR="00F34282">
        <w:rPr>
          <w:rStyle w:val="References"/>
        </w:rPr>
        <w:t>]</w:t>
      </w:r>
    </w:p>
    <w:sectPr w:rsidR="005D0844" w:rsidRPr="005D0844" w:rsidSect="00000BFC">
      <w:headerReference w:type="even" r:id="rId18"/>
      <w:headerReference w:type="default" r:id="rId19"/>
      <w:headerReference w:type="first" r:id="rId2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2F89" w14:textId="77777777" w:rsidR="00B1107E" w:rsidRDefault="00B1107E">
      <w:pPr>
        <w:spacing w:before="0" w:after="0"/>
      </w:pPr>
      <w:r>
        <w:separator/>
      </w:r>
    </w:p>
  </w:endnote>
  <w:endnote w:type="continuationSeparator" w:id="0">
    <w:p w14:paraId="4FCC408F" w14:textId="77777777" w:rsidR="00B1107E" w:rsidRDefault="00B1107E">
      <w:pPr>
        <w:spacing w:before="0" w:after="0"/>
      </w:pPr>
      <w:r>
        <w:continuationSeparator/>
      </w:r>
    </w:p>
  </w:endnote>
  <w:endnote w:type="continuationNotice" w:id="1">
    <w:p w14:paraId="4281B104" w14:textId="77777777" w:rsidR="00B1107E" w:rsidRDefault="00B110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7E40"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6052"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148F" w14:textId="77777777" w:rsidR="00B1107E" w:rsidRDefault="00B1107E">
      <w:pPr>
        <w:spacing w:before="0" w:after="0"/>
      </w:pPr>
      <w:r>
        <w:separator/>
      </w:r>
    </w:p>
  </w:footnote>
  <w:footnote w:type="continuationSeparator" w:id="0">
    <w:p w14:paraId="025B412F" w14:textId="77777777" w:rsidR="00B1107E" w:rsidRDefault="00B1107E">
      <w:pPr>
        <w:spacing w:before="0" w:after="0"/>
      </w:pPr>
      <w:r>
        <w:continuationSeparator/>
      </w:r>
    </w:p>
  </w:footnote>
  <w:footnote w:type="continuationNotice" w:id="1">
    <w:p w14:paraId="15CEF14A" w14:textId="77777777" w:rsidR="00B1107E" w:rsidRDefault="00B110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Content>
      <w:p w14:paraId="6358517E" w14:textId="77777777" w:rsidR="007A2DBD" w:rsidRDefault="00000000">
        <w:pPr>
          <w:pStyle w:val="Header"/>
        </w:pPr>
        <w:r>
          <w:rPr>
            <w:noProof/>
          </w:rPr>
          <w:pict w14:anchorId="29CAB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15FE" w14:textId="446770D6" w:rsidR="007A2DBD" w:rsidRPr="00816825" w:rsidRDefault="00000000" w:rsidP="002425D9">
    <w:pPr>
      <w:pStyle w:val="leftheader"/>
    </w:pPr>
    <w:fldSimple w:instr=" STYLEREF  &quot;Heading 1&quot;  \* MERGEFORMAT ">
      <w:r w:rsidR="000B7174" w:rsidRPr="000B7174">
        <w:rPr>
          <w:noProof/>
          <w:lang w:val="en-US"/>
        </w:rPr>
        <w:t>Glossary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842A" w14:textId="77777777" w:rsidR="007A2DBD" w:rsidRPr="00091474" w:rsidRDefault="007A2DBD" w:rsidP="002425D9">
    <w:pPr>
      <w:pStyle w:val="right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0B94"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1505" w14:textId="00EB695C" w:rsidR="007A2DBD" w:rsidRPr="00A74B1A" w:rsidRDefault="007A2DBD" w:rsidP="00A74B1A">
    <w:pPr>
      <w:pStyle w:val="left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1507" w14:textId="212C4C93" w:rsidR="007A2DBD" w:rsidRPr="00A74B1A" w:rsidRDefault="00000000" w:rsidP="00A74B1A">
    <w:pPr>
      <w:pStyle w:val="rightheader"/>
    </w:pPr>
    <w:fldSimple w:instr=" STYLEREF &quot;Bill Name&quot; \* MERGEFORMAT ">
      <w:r w:rsidR="000B7174">
        <w:rPr>
          <w:noProof/>
        </w:rPr>
        <w:t>Treasury Laws Amendment (Measures for Consultation) Bill 2023: Anti-avoidance rule for product intervention orders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C873" w14:textId="77777777" w:rsidR="007A2DBD" w:rsidRDefault="007A2DBD" w:rsidP="00622763">
    <w:pPr>
      <w:pStyle w:val="righ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5AA2253"/>
    <w:multiLevelType w:val="hybridMultilevel"/>
    <w:tmpl w:val="96C8DA42"/>
    <w:lvl w:ilvl="0" w:tplc="9D4E46DA">
      <w:numFmt w:val="bullet"/>
      <w:lvlText w:val="-"/>
      <w:lvlJc w:val="left"/>
      <w:pPr>
        <w:ind w:left="2520" w:hanging="360"/>
      </w:pPr>
      <w:rPr>
        <w:rFonts w:ascii="Times New Roman" w:eastAsiaTheme="minorHAnsi"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560BA3"/>
    <w:multiLevelType w:val="multilevel"/>
    <w:tmpl w:val="89227B6E"/>
    <w:name w:val="StandardBulletedList"/>
    <w:lvl w:ilvl="0">
      <w:start w:val="1"/>
      <w:numFmt w:val="bullet"/>
      <w:pStyle w:val="Bullet"/>
      <w:lvlText w:val="•"/>
      <w:lvlJc w:val="left"/>
      <w:pPr>
        <w:tabs>
          <w:tab w:val="num" w:pos="1181"/>
        </w:tabs>
        <w:ind w:left="1181" w:hanging="472"/>
      </w:pPr>
      <w:rPr>
        <w:rFonts w:ascii="Times New Roman" w:hAnsi="Times New Roman" w:cs="Times New Roman"/>
      </w:rPr>
    </w:lvl>
    <w:lvl w:ilvl="1">
      <w:start w:val="1"/>
      <w:numFmt w:val="bullet"/>
      <w:pStyle w:val="Dash"/>
      <w:lvlText w:val="–"/>
      <w:lvlJc w:val="left"/>
      <w:pPr>
        <w:tabs>
          <w:tab w:val="num" w:pos="1701"/>
        </w:tabs>
        <w:ind w:left="1701" w:hanging="520"/>
      </w:pPr>
      <w:rPr>
        <w:rFonts w:ascii="Times New Roman" w:hAnsi="Times New Roman" w:cs="Times New Roman"/>
      </w:rPr>
    </w:lvl>
    <w:lvl w:ilvl="2">
      <w:start w:val="1"/>
      <w:numFmt w:val="bullet"/>
      <w:pStyle w:val="DoubleDot"/>
      <w:lvlText w:val=":"/>
      <w:lvlJc w:val="left"/>
      <w:pPr>
        <w:tabs>
          <w:tab w:val="num" w:pos="2173"/>
        </w:tabs>
        <w:ind w:left="2173" w:hanging="472"/>
      </w:pPr>
      <w:rPr>
        <w:rFonts w:ascii="Times New Roman" w:hAnsi="Times New Roman" w:cs="Times New Roman"/>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8"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05C5A"/>
    <w:multiLevelType w:val="multilevel"/>
    <w:tmpl w:val="86862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1559990">
    <w:abstractNumId w:val="0"/>
  </w:num>
  <w:num w:numId="2" w16cid:durableId="1024285018">
    <w:abstractNumId w:val="13"/>
  </w:num>
  <w:num w:numId="3" w16cid:durableId="146161341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75439680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702576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342514959">
    <w:abstractNumId w:val="4"/>
  </w:num>
  <w:num w:numId="7" w16cid:durableId="572741665">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047144764">
    <w:abstractNumId w:val="5"/>
  </w:num>
  <w:num w:numId="9" w16cid:durableId="267547463">
    <w:abstractNumId w:val="15"/>
  </w:num>
  <w:num w:numId="10" w16cid:durableId="1144783116">
    <w:abstractNumId w:val="8"/>
  </w:num>
  <w:num w:numId="11" w16cid:durableId="1643996012">
    <w:abstractNumId w:val="7"/>
  </w:num>
  <w:num w:numId="12" w16cid:durableId="68945685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14827533">
    <w:abstractNumId w:val="13"/>
  </w:num>
  <w:num w:numId="14" w16cid:durableId="1038357867">
    <w:abstractNumId w:val="10"/>
  </w:num>
  <w:num w:numId="15" w16cid:durableId="1481339503">
    <w:abstractNumId w:val="11"/>
  </w:num>
  <w:num w:numId="16" w16cid:durableId="174236871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990984026">
    <w:abstractNumId w:val="5"/>
  </w:num>
  <w:num w:numId="18" w16cid:durableId="1768113435">
    <w:abstractNumId w:val="2"/>
  </w:num>
  <w:num w:numId="19" w16cid:durableId="697699056">
    <w:abstractNumId w:val="9"/>
  </w:num>
  <w:num w:numId="20" w16cid:durableId="1547792665">
    <w:abstractNumId w:val="14"/>
  </w:num>
  <w:num w:numId="21" w16cid:durableId="650134521">
    <w:abstractNumId w:val="13"/>
  </w:num>
  <w:num w:numId="22" w16cid:durableId="523638563">
    <w:abstractNumId w:val="1"/>
  </w:num>
  <w:num w:numId="23" w16cid:durableId="1220172158">
    <w:abstractNumId w:val="4"/>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sz w:val="22"/>
          <w:szCs w:val="22"/>
        </w:rPr>
      </w:lvl>
    </w:lvlOverride>
  </w:num>
  <w:num w:numId="24" w16cid:durableId="1603805367">
    <w:abstractNumId w:val="4"/>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sz w:val="22"/>
          <w:szCs w:val="22"/>
        </w:rPr>
      </w:lvl>
    </w:lvlOverride>
  </w:num>
  <w:num w:numId="25" w16cid:durableId="1703048309">
    <w:abstractNumId w:val="12"/>
  </w:num>
  <w:num w:numId="26" w16cid:durableId="288826926">
    <w:abstractNumId w:val="6"/>
  </w:num>
  <w:num w:numId="27" w16cid:durableId="1243414812">
    <w:abstractNumId w:val="4"/>
  </w:num>
  <w:num w:numId="28" w16cid:durableId="1167786990">
    <w:abstractNumId w:val="4"/>
  </w:num>
  <w:num w:numId="29" w16cid:durableId="222374593">
    <w:abstractNumId w:val="4"/>
  </w:num>
  <w:num w:numId="30" w16cid:durableId="526918385">
    <w:abstractNumId w:val="4"/>
  </w:num>
  <w:num w:numId="31" w16cid:durableId="137067982">
    <w:abstractNumId w:val="4"/>
  </w:num>
  <w:num w:numId="32" w16cid:durableId="356197528">
    <w:abstractNumId w:val="4"/>
  </w:num>
  <w:num w:numId="33" w16cid:durableId="574977876">
    <w:abstractNumId w:val="5"/>
  </w:num>
  <w:num w:numId="34" w16cid:durableId="589049432">
    <w:abstractNumId w:val="3"/>
  </w:num>
  <w:num w:numId="35" w16cid:durableId="1575554701">
    <w:abstractNumId w:val="4"/>
  </w:num>
  <w:num w:numId="36" w16cid:durableId="803231627">
    <w:abstractNumId w:val="4"/>
  </w:num>
  <w:num w:numId="37" w16cid:durableId="365182518">
    <w:abstractNumId w:val="4"/>
  </w:num>
  <w:num w:numId="38" w16cid:durableId="463736418">
    <w:abstractNumId w:val="4"/>
  </w:num>
  <w:num w:numId="39" w16cid:durableId="1980842753">
    <w:abstractNumId w:val="4"/>
  </w:num>
  <w:num w:numId="40" w16cid:durableId="1448621184">
    <w:abstractNumId w:val="4"/>
  </w:num>
  <w:num w:numId="41" w16cid:durableId="1093210968">
    <w:abstractNumId w:val="4"/>
  </w:num>
  <w:num w:numId="42" w16cid:durableId="114371058">
    <w:abstractNumId w:val="4"/>
  </w:num>
  <w:num w:numId="43" w16cid:durableId="1301961339">
    <w:abstractNumId w:val="4"/>
  </w:num>
  <w:num w:numId="44" w16cid:durableId="722605265">
    <w:abstractNumId w:val="4"/>
  </w:num>
  <w:num w:numId="45" w16cid:durableId="521627455">
    <w:abstractNumId w:val="4"/>
  </w:num>
  <w:num w:numId="46" w16cid:durableId="1628121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E"/>
    <w:rsid w:val="00000441"/>
    <w:rsid w:val="000007EE"/>
    <w:rsid w:val="00000BFC"/>
    <w:rsid w:val="000024B4"/>
    <w:rsid w:val="00016E6A"/>
    <w:rsid w:val="00017B8A"/>
    <w:rsid w:val="00021208"/>
    <w:rsid w:val="00021DAA"/>
    <w:rsid w:val="0002276B"/>
    <w:rsid w:val="00027B1A"/>
    <w:rsid w:val="000336D6"/>
    <w:rsid w:val="0003435F"/>
    <w:rsid w:val="00040058"/>
    <w:rsid w:val="00047FF2"/>
    <w:rsid w:val="00056C0E"/>
    <w:rsid w:val="00062D61"/>
    <w:rsid w:val="000632C4"/>
    <w:rsid w:val="00064077"/>
    <w:rsid w:val="00072CAF"/>
    <w:rsid w:val="00077122"/>
    <w:rsid w:val="00077929"/>
    <w:rsid w:val="0008455C"/>
    <w:rsid w:val="00087F47"/>
    <w:rsid w:val="00087FE9"/>
    <w:rsid w:val="00090663"/>
    <w:rsid w:val="00090A2C"/>
    <w:rsid w:val="00092309"/>
    <w:rsid w:val="00093543"/>
    <w:rsid w:val="00094692"/>
    <w:rsid w:val="000A3230"/>
    <w:rsid w:val="000A5D2B"/>
    <w:rsid w:val="000B04E2"/>
    <w:rsid w:val="000B4DA0"/>
    <w:rsid w:val="000B6B3E"/>
    <w:rsid w:val="000B7174"/>
    <w:rsid w:val="000B7D6E"/>
    <w:rsid w:val="000C54D2"/>
    <w:rsid w:val="000C6395"/>
    <w:rsid w:val="000D4CC3"/>
    <w:rsid w:val="000E4D39"/>
    <w:rsid w:val="000E521B"/>
    <w:rsid w:val="000F1BC4"/>
    <w:rsid w:val="00105E85"/>
    <w:rsid w:val="00106FDC"/>
    <w:rsid w:val="00115509"/>
    <w:rsid w:val="001177BE"/>
    <w:rsid w:val="00120C53"/>
    <w:rsid w:val="00121385"/>
    <w:rsid w:val="001227A2"/>
    <w:rsid w:val="001231A5"/>
    <w:rsid w:val="00124D54"/>
    <w:rsid w:val="001271D9"/>
    <w:rsid w:val="00132C46"/>
    <w:rsid w:val="00136264"/>
    <w:rsid w:val="00141701"/>
    <w:rsid w:val="001419F4"/>
    <w:rsid w:val="00153BCA"/>
    <w:rsid w:val="00157FCF"/>
    <w:rsid w:val="00163457"/>
    <w:rsid w:val="001666EC"/>
    <w:rsid w:val="00167136"/>
    <w:rsid w:val="00170C78"/>
    <w:rsid w:val="001732A8"/>
    <w:rsid w:val="001741A2"/>
    <w:rsid w:val="00177892"/>
    <w:rsid w:val="001830F4"/>
    <w:rsid w:val="00191A92"/>
    <w:rsid w:val="00195D1C"/>
    <w:rsid w:val="001A1766"/>
    <w:rsid w:val="001A2A1A"/>
    <w:rsid w:val="001A6049"/>
    <w:rsid w:val="001A68F5"/>
    <w:rsid w:val="001B07FA"/>
    <w:rsid w:val="001B1306"/>
    <w:rsid w:val="001B196E"/>
    <w:rsid w:val="001B761A"/>
    <w:rsid w:val="001B7A6F"/>
    <w:rsid w:val="001C10EB"/>
    <w:rsid w:val="001C14E1"/>
    <w:rsid w:val="001C5CBF"/>
    <w:rsid w:val="001C7D75"/>
    <w:rsid w:val="001D30E2"/>
    <w:rsid w:val="001E01BF"/>
    <w:rsid w:val="001F2469"/>
    <w:rsid w:val="001F7B7B"/>
    <w:rsid w:val="002026B3"/>
    <w:rsid w:val="00212C0D"/>
    <w:rsid w:val="00230C17"/>
    <w:rsid w:val="0023409D"/>
    <w:rsid w:val="00236717"/>
    <w:rsid w:val="002425D9"/>
    <w:rsid w:val="00242B2A"/>
    <w:rsid w:val="00244052"/>
    <w:rsid w:val="0024784F"/>
    <w:rsid w:val="00250844"/>
    <w:rsid w:val="00250E6F"/>
    <w:rsid w:val="0025206F"/>
    <w:rsid w:val="00260B8B"/>
    <w:rsid w:val="00263B6D"/>
    <w:rsid w:val="00263F4D"/>
    <w:rsid w:val="0026452B"/>
    <w:rsid w:val="00264F82"/>
    <w:rsid w:val="002704BC"/>
    <w:rsid w:val="00271D81"/>
    <w:rsid w:val="0027268A"/>
    <w:rsid w:val="002729A6"/>
    <w:rsid w:val="002733FB"/>
    <w:rsid w:val="00274D5C"/>
    <w:rsid w:val="00276753"/>
    <w:rsid w:val="00280272"/>
    <w:rsid w:val="00280FA9"/>
    <w:rsid w:val="00282220"/>
    <w:rsid w:val="0028550E"/>
    <w:rsid w:val="002872AB"/>
    <w:rsid w:val="00292D44"/>
    <w:rsid w:val="002935AC"/>
    <w:rsid w:val="0029661C"/>
    <w:rsid w:val="00297081"/>
    <w:rsid w:val="002A2137"/>
    <w:rsid w:val="002A52E5"/>
    <w:rsid w:val="002B0B67"/>
    <w:rsid w:val="002B13DC"/>
    <w:rsid w:val="002B1D9E"/>
    <w:rsid w:val="002B623C"/>
    <w:rsid w:val="002B6F60"/>
    <w:rsid w:val="002C1332"/>
    <w:rsid w:val="002C4DC0"/>
    <w:rsid w:val="002C78D6"/>
    <w:rsid w:val="002D080A"/>
    <w:rsid w:val="002E342B"/>
    <w:rsid w:val="002E6A13"/>
    <w:rsid w:val="002F1CB0"/>
    <w:rsid w:val="002F4B60"/>
    <w:rsid w:val="002F5302"/>
    <w:rsid w:val="0030259F"/>
    <w:rsid w:val="00306505"/>
    <w:rsid w:val="00315125"/>
    <w:rsid w:val="00315D81"/>
    <w:rsid w:val="003234D2"/>
    <w:rsid w:val="003262E5"/>
    <w:rsid w:val="00327A9D"/>
    <w:rsid w:val="00336070"/>
    <w:rsid w:val="00336CFC"/>
    <w:rsid w:val="003510A8"/>
    <w:rsid w:val="00351274"/>
    <w:rsid w:val="00351D4D"/>
    <w:rsid w:val="003556BF"/>
    <w:rsid w:val="00360D43"/>
    <w:rsid w:val="0036790F"/>
    <w:rsid w:val="00385B2A"/>
    <w:rsid w:val="00387402"/>
    <w:rsid w:val="0039391C"/>
    <w:rsid w:val="00396938"/>
    <w:rsid w:val="003971ED"/>
    <w:rsid w:val="003A0372"/>
    <w:rsid w:val="003A435D"/>
    <w:rsid w:val="003B1073"/>
    <w:rsid w:val="003B1A40"/>
    <w:rsid w:val="003B529F"/>
    <w:rsid w:val="003D34E6"/>
    <w:rsid w:val="003D6745"/>
    <w:rsid w:val="003E1C3B"/>
    <w:rsid w:val="003E2680"/>
    <w:rsid w:val="003E783C"/>
    <w:rsid w:val="003F039B"/>
    <w:rsid w:val="003F1AD7"/>
    <w:rsid w:val="003F5A4A"/>
    <w:rsid w:val="003F7733"/>
    <w:rsid w:val="00402885"/>
    <w:rsid w:val="004037DE"/>
    <w:rsid w:val="00405D7C"/>
    <w:rsid w:val="00414017"/>
    <w:rsid w:val="00420FD8"/>
    <w:rsid w:val="004224AA"/>
    <w:rsid w:val="00427702"/>
    <w:rsid w:val="00427EDF"/>
    <w:rsid w:val="00430A32"/>
    <w:rsid w:val="00437C55"/>
    <w:rsid w:val="004432E1"/>
    <w:rsid w:val="00453887"/>
    <w:rsid w:val="00454AE3"/>
    <w:rsid w:val="00456AA4"/>
    <w:rsid w:val="004603EF"/>
    <w:rsid w:val="00464946"/>
    <w:rsid w:val="0047593B"/>
    <w:rsid w:val="00477C04"/>
    <w:rsid w:val="00485FD0"/>
    <w:rsid w:val="00492729"/>
    <w:rsid w:val="00495102"/>
    <w:rsid w:val="0049548D"/>
    <w:rsid w:val="00496642"/>
    <w:rsid w:val="00496C21"/>
    <w:rsid w:val="004971E2"/>
    <w:rsid w:val="00497F70"/>
    <w:rsid w:val="004A1E3B"/>
    <w:rsid w:val="004A3FC1"/>
    <w:rsid w:val="004A5431"/>
    <w:rsid w:val="004B1C70"/>
    <w:rsid w:val="004B1F33"/>
    <w:rsid w:val="004B2A62"/>
    <w:rsid w:val="004C57E1"/>
    <w:rsid w:val="004D193D"/>
    <w:rsid w:val="004D43DA"/>
    <w:rsid w:val="004E43EF"/>
    <w:rsid w:val="004F23C3"/>
    <w:rsid w:val="004F3E5D"/>
    <w:rsid w:val="004F7C15"/>
    <w:rsid w:val="00500070"/>
    <w:rsid w:val="00502ED6"/>
    <w:rsid w:val="00505347"/>
    <w:rsid w:val="005066F5"/>
    <w:rsid w:val="00512A69"/>
    <w:rsid w:val="00515B48"/>
    <w:rsid w:val="00517D6E"/>
    <w:rsid w:val="00522FB8"/>
    <w:rsid w:val="00525229"/>
    <w:rsid w:val="00531C67"/>
    <w:rsid w:val="00532C20"/>
    <w:rsid w:val="00532DBA"/>
    <w:rsid w:val="005337EB"/>
    <w:rsid w:val="005356CB"/>
    <w:rsid w:val="00535FB6"/>
    <w:rsid w:val="005448C0"/>
    <w:rsid w:val="0055054F"/>
    <w:rsid w:val="005515C0"/>
    <w:rsid w:val="0055615D"/>
    <w:rsid w:val="00557FE9"/>
    <w:rsid w:val="00560E37"/>
    <w:rsid w:val="00563100"/>
    <w:rsid w:val="00564678"/>
    <w:rsid w:val="0056675C"/>
    <w:rsid w:val="0057163B"/>
    <w:rsid w:val="00583F5E"/>
    <w:rsid w:val="00590E8E"/>
    <w:rsid w:val="0059200B"/>
    <w:rsid w:val="00594573"/>
    <w:rsid w:val="005A3AA3"/>
    <w:rsid w:val="005A5B6B"/>
    <w:rsid w:val="005A7C8F"/>
    <w:rsid w:val="005C2BD1"/>
    <w:rsid w:val="005D0844"/>
    <w:rsid w:val="005D169F"/>
    <w:rsid w:val="005D5671"/>
    <w:rsid w:val="005D5F12"/>
    <w:rsid w:val="005D79FB"/>
    <w:rsid w:val="005E1542"/>
    <w:rsid w:val="005E7912"/>
    <w:rsid w:val="005F022C"/>
    <w:rsid w:val="005F32F5"/>
    <w:rsid w:val="005F442E"/>
    <w:rsid w:val="005F6466"/>
    <w:rsid w:val="006042C2"/>
    <w:rsid w:val="006114C0"/>
    <w:rsid w:val="0062221C"/>
    <w:rsid w:val="00622763"/>
    <w:rsid w:val="006235C8"/>
    <w:rsid w:val="00624905"/>
    <w:rsid w:val="00630725"/>
    <w:rsid w:val="00642420"/>
    <w:rsid w:val="006479AC"/>
    <w:rsid w:val="00671268"/>
    <w:rsid w:val="00675A52"/>
    <w:rsid w:val="00683846"/>
    <w:rsid w:val="00683847"/>
    <w:rsid w:val="00694D7A"/>
    <w:rsid w:val="006A2BC6"/>
    <w:rsid w:val="006A508E"/>
    <w:rsid w:val="006B0CD4"/>
    <w:rsid w:val="006B2F09"/>
    <w:rsid w:val="006B5FBF"/>
    <w:rsid w:val="006B7055"/>
    <w:rsid w:val="006C192F"/>
    <w:rsid w:val="006C227C"/>
    <w:rsid w:val="006C40A4"/>
    <w:rsid w:val="006C4926"/>
    <w:rsid w:val="006C53F1"/>
    <w:rsid w:val="006C67F6"/>
    <w:rsid w:val="006D1961"/>
    <w:rsid w:val="006D62F9"/>
    <w:rsid w:val="006E0237"/>
    <w:rsid w:val="006E0B4C"/>
    <w:rsid w:val="006E699E"/>
    <w:rsid w:val="006F02B6"/>
    <w:rsid w:val="006F4A15"/>
    <w:rsid w:val="006F7F1F"/>
    <w:rsid w:val="00702265"/>
    <w:rsid w:val="00702968"/>
    <w:rsid w:val="00704022"/>
    <w:rsid w:val="00706018"/>
    <w:rsid w:val="00712635"/>
    <w:rsid w:val="00713B73"/>
    <w:rsid w:val="007145E8"/>
    <w:rsid w:val="00715933"/>
    <w:rsid w:val="007175A8"/>
    <w:rsid w:val="00724763"/>
    <w:rsid w:val="007316F6"/>
    <w:rsid w:val="00731BE4"/>
    <w:rsid w:val="0073326A"/>
    <w:rsid w:val="00734238"/>
    <w:rsid w:val="00741976"/>
    <w:rsid w:val="007426A8"/>
    <w:rsid w:val="00745D51"/>
    <w:rsid w:val="007471CE"/>
    <w:rsid w:val="007479A1"/>
    <w:rsid w:val="00752137"/>
    <w:rsid w:val="00752190"/>
    <w:rsid w:val="00755582"/>
    <w:rsid w:val="007559E7"/>
    <w:rsid w:val="00757E16"/>
    <w:rsid w:val="00761661"/>
    <w:rsid w:val="00763484"/>
    <w:rsid w:val="00766051"/>
    <w:rsid w:val="00766AE2"/>
    <w:rsid w:val="00766B37"/>
    <w:rsid w:val="00767C99"/>
    <w:rsid w:val="00767DD8"/>
    <w:rsid w:val="00773864"/>
    <w:rsid w:val="00773B30"/>
    <w:rsid w:val="007742AD"/>
    <w:rsid w:val="007754C7"/>
    <w:rsid w:val="00777A92"/>
    <w:rsid w:val="007850A3"/>
    <w:rsid w:val="007A1564"/>
    <w:rsid w:val="007A2DBD"/>
    <w:rsid w:val="007A3281"/>
    <w:rsid w:val="007A4855"/>
    <w:rsid w:val="007A4E20"/>
    <w:rsid w:val="007A563A"/>
    <w:rsid w:val="007B1509"/>
    <w:rsid w:val="007B6304"/>
    <w:rsid w:val="007C1906"/>
    <w:rsid w:val="007C1F94"/>
    <w:rsid w:val="007C6371"/>
    <w:rsid w:val="007D0737"/>
    <w:rsid w:val="007D37E1"/>
    <w:rsid w:val="007D5B8A"/>
    <w:rsid w:val="007E1ED8"/>
    <w:rsid w:val="007E29F9"/>
    <w:rsid w:val="007E62B0"/>
    <w:rsid w:val="007F1BC1"/>
    <w:rsid w:val="007F1F2C"/>
    <w:rsid w:val="007F3B53"/>
    <w:rsid w:val="00804820"/>
    <w:rsid w:val="00806DC6"/>
    <w:rsid w:val="008103DA"/>
    <w:rsid w:val="0081082F"/>
    <w:rsid w:val="008108A4"/>
    <w:rsid w:val="008111C7"/>
    <w:rsid w:val="00812351"/>
    <w:rsid w:val="008132B7"/>
    <w:rsid w:val="00814C3A"/>
    <w:rsid w:val="0082284C"/>
    <w:rsid w:val="00822B25"/>
    <w:rsid w:val="00834173"/>
    <w:rsid w:val="00834540"/>
    <w:rsid w:val="0083687A"/>
    <w:rsid w:val="00840882"/>
    <w:rsid w:val="00855843"/>
    <w:rsid w:val="00870071"/>
    <w:rsid w:val="00873094"/>
    <w:rsid w:val="008760AF"/>
    <w:rsid w:val="00881B24"/>
    <w:rsid w:val="008829C7"/>
    <w:rsid w:val="00883A1C"/>
    <w:rsid w:val="008919A7"/>
    <w:rsid w:val="008A5A27"/>
    <w:rsid w:val="008B2C64"/>
    <w:rsid w:val="008C5717"/>
    <w:rsid w:val="008C5B59"/>
    <w:rsid w:val="008C701C"/>
    <w:rsid w:val="008D6234"/>
    <w:rsid w:val="008E3753"/>
    <w:rsid w:val="008E3DC9"/>
    <w:rsid w:val="008E55A8"/>
    <w:rsid w:val="008F2A70"/>
    <w:rsid w:val="008F3678"/>
    <w:rsid w:val="008F4CF5"/>
    <w:rsid w:val="00902AAF"/>
    <w:rsid w:val="00907EB9"/>
    <w:rsid w:val="009126B6"/>
    <w:rsid w:val="00914AB8"/>
    <w:rsid w:val="00924F12"/>
    <w:rsid w:val="009275EE"/>
    <w:rsid w:val="0094065E"/>
    <w:rsid w:val="00941EFC"/>
    <w:rsid w:val="00945DEC"/>
    <w:rsid w:val="00947A8B"/>
    <w:rsid w:val="00963E70"/>
    <w:rsid w:val="00966650"/>
    <w:rsid w:val="009673E0"/>
    <w:rsid w:val="009732E4"/>
    <w:rsid w:val="009747C3"/>
    <w:rsid w:val="00980D8E"/>
    <w:rsid w:val="00981B1B"/>
    <w:rsid w:val="00984A38"/>
    <w:rsid w:val="00985C7C"/>
    <w:rsid w:val="009929B9"/>
    <w:rsid w:val="00992A2F"/>
    <w:rsid w:val="009A1222"/>
    <w:rsid w:val="009A1994"/>
    <w:rsid w:val="009B3629"/>
    <w:rsid w:val="009B373B"/>
    <w:rsid w:val="009C0D72"/>
    <w:rsid w:val="009C68E3"/>
    <w:rsid w:val="009D095E"/>
    <w:rsid w:val="009D597B"/>
    <w:rsid w:val="009F3F31"/>
    <w:rsid w:val="009F3FA5"/>
    <w:rsid w:val="00A002B3"/>
    <w:rsid w:val="00A04BF2"/>
    <w:rsid w:val="00A07C8D"/>
    <w:rsid w:val="00A11239"/>
    <w:rsid w:val="00A11ADF"/>
    <w:rsid w:val="00A13BEA"/>
    <w:rsid w:val="00A14B48"/>
    <w:rsid w:val="00A26C75"/>
    <w:rsid w:val="00A3220F"/>
    <w:rsid w:val="00A32267"/>
    <w:rsid w:val="00A444AF"/>
    <w:rsid w:val="00A45D62"/>
    <w:rsid w:val="00A4617A"/>
    <w:rsid w:val="00A50270"/>
    <w:rsid w:val="00A50C58"/>
    <w:rsid w:val="00A63A51"/>
    <w:rsid w:val="00A67FB1"/>
    <w:rsid w:val="00A70F09"/>
    <w:rsid w:val="00A7111A"/>
    <w:rsid w:val="00A744F6"/>
    <w:rsid w:val="00A74B1A"/>
    <w:rsid w:val="00A855B9"/>
    <w:rsid w:val="00A85CDE"/>
    <w:rsid w:val="00A941B0"/>
    <w:rsid w:val="00A9588A"/>
    <w:rsid w:val="00AA2654"/>
    <w:rsid w:val="00AA3D63"/>
    <w:rsid w:val="00AA5B55"/>
    <w:rsid w:val="00AA7D18"/>
    <w:rsid w:val="00AB31B1"/>
    <w:rsid w:val="00AB4B28"/>
    <w:rsid w:val="00AC069E"/>
    <w:rsid w:val="00AC3AD8"/>
    <w:rsid w:val="00AD3C3E"/>
    <w:rsid w:val="00AE4612"/>
    <w:rsid w:val="00AE605A"/>
    <w:rsid w:val="00AE66AC"/>
    <w:rsid w:val="00AF35D7"/>
    <w:rsid w:val="00AF50CE"/>
    <w:rsid w:val="00AF64AD"/>
    <w:rsid w:val="00AF7CC4"/>
    <w:rsid w:val="00B030D3"/>
    <w:rsid w:val="00B06C7A"/>
    <w:rsid w:val="00B07271"/>
    <w:rsid w:val="00B1107E"/>
    <w:rsid w:val="00B12843"/>
    <w:rsid w:val="00B16170"/>
    <w:rsid w:val="00B23FEA"/>
    <w:rsid w:val="00B24DB1"/>
    <w:rsid w:val="00B255C5"/>
    <w:rsid w:val="00B34EDA"/>
    <w:rsid w:val="00B36649"/>
    <w:rsid w:val="00B36B3D"/>
    <w:rsid w:val="00B36CEE"/>
    <w:rsid w:val="00B41510"/>
    <w:rsid w:val="00B47F85"/>
    <w:rsid w:val="00B5009E"/>
    <w:rsid w:val="00B61EF2"/>
    <w:rsid w:val="00B65CF9"/>
    <w:rsid w:val="00B7393A"/>
    <w:rsid w:val="00B74E35"/>
    <w:rsid w:val="00B77D03"/>
    <w:rsid w:val="00B8187E"/>
    <w:rsid w:val="00B84FB9"/>
    <w:rsid w:val="00B854A0"/>
    <w:rsid w:val="00B857D7"/>
    <w:rsid w:val="00B9126A"/>
    <w:rsid w:val="00B91FE9"/>
    <w:rsid w:val="00B96479"/>
    <w:rsid w:val="00BA0F28"/>
    <w:rsid w:val="00BA54C2"/>
    <w:rsid w:val="00BB49E2"/>
    <w:rsid w:val="00BB6469"/>
    <w:rsid w:val="00BC2E4A"/>
    <w:rsid w:val="00BC3F1E"/>
    <w:rsid w:val="00BC759C"/>
    <w:rsid w:val="00BD0751"/>
    <w:rsid w:val="00BD38FF"/>
    <w:rsid w:val="00BD3F17"/>
    <w:rsid w:val="00BD5598"/>
    <w:rsid w:val="00BE27E8"/>
    <w:rsid w:val="00BE5BC9"/>
    <w:rsid w:val="00BF1FCE"/>
    <w:rsid w:val="00C014F3"/>
    <w:rsid w:val="00C01729"/>
    <w:rsid w:val="00C05F5A"/>
    <w:rsid w:val="00C1294C"/>
    <w:rsid w:val="00C13E3B"/>
    <w:rsid w:val="00C2087B"/>
    <w:rsid w:val="00C20D6F"/>
    <w:rsid w:val="00C2649F"/>
    <w:rsid w:val="00C54465"/>
    <w:rsid w:val="00C567A5"/>
    <w:rsid w:val="00C57052"/>
    <w:rsid w:val="00C6729B"/>
    <w:rsid w:val="00C676CC"/>
    <w:rsid w:val="00C83D7A"/>
    <w:rsid w:val="00C8404A"/>
    <w:rsid w:val="00C93E28"/>
    <w:rsid w:val="00CA4331"/>
    <w:rsid w:val="00CB3CB6"/>
    <w:rsid w:val="00CB45F0"/>
    <w:rsid w:val="00CB4F57"/>
    <w:rsid w:val="00CB772B"/>
    <w:rsid w:val="00CC0025"/>
    <w:rsid w:val="00CC0BE2"/>
    <w:rsid w:val="00CC55AD"/>
    <w:rsid w:val="00CD74DD"/>
    <w:rsid w:val="00CE2639"/>
    <w:rsid w:val="00CE3AA3"/>
    <w:rsid w:val="00CE4519"/>
    <w:rsid w:val="00CE5B6B"/>
    <w:rsid w:val="00CE6596"/>
    <w:rsid w:val="00CE67AE"/>
    <w:rsid w:val="00CF04CD"/>
    <w:rsid w:val="00CF0A96"/>
    <w:rsid w:val="00CF16E1"/>
    <w:rsid w:val="00CF2919"/>
    <w:rsid w:val="00CF6524"/>
    <w:rsid w:val="00D00269"/>
    <w:rsid w:val="00D02601"/>
    <w:rsid w:val="00D033EF"/>
    <w:rsid w:val="00D04320"/>
    <w:rsid w:val="00D04933"/>
    <w:rsid w:val="00D05FE3"/>
    <w:rsid w:val="00D13599"/>
    <w:rsid w:val="00D2039D"/>
    <w:rsid w:val="00D21B7A"/>
    <w:rsid w:val="00D31A96"/>
    <w:rsid w:val="00D32801"/>
    <w:rsid w:val="00D33AF3"/>
    <w:rsid w:val="00D34E72"/>
    <w:rsid w:val="00D366DF"/>
    <w:rsid w:val="00D36AB4"/>
    <w:rsid w:val="00D4083B"/>
    <w:rsid w:val="00D472D9"/>
    <w:rsid w:val="00D476C8"/>
    <w:rsid w:val="00D50178"/>
    <w:rsid w:val="00D52511"/>
    <w:rsid w:val="00D528FF"/>
    <w:rsid w:val="00D53E6A"/>
    <w:rsid w:val="00D54BF5"/>
    <w:rsid w:val="00D61FD9"/>
    <w:rsid w:val="00D62D5A"/>
    <w:rsid w:val="00D6380D"/>
    <w:rsid w:val="00D7166A"/>
    <w:rsid w:val="00D71A86"/>
    <w:rsid w:val="00D71EBC"/>
    <w:rsid w:val="00D748AF"/>
    <w:rsid w:val="00D749AA"/>
    <w:rsid w:val="00D750C3"/>
    <w:rsid w:val="00D85918"/>
    <w:rsid w:val="00D85956"/>
    <w:rsid w:val="00D85D04"/>
    <w:rsid w:val="00D91498"/>
    <w:rsid w:val="00D9204A"/>
    <w:rsid w:val="00D9215D"/>
    <w:rsid w:val="00D92D54"/>
    <w:rsid w:val="00D94CA6"/>
    <w:rsid w:val="00D975E9"/>
    <w:rsid w:val="00DA3496"/>
    <w:rsid w:val="00DB0A95"/>
    <w:rsid w:val="00DB5EE1"/>
    <w:rsid w:val="00DC5179"/>
    <w:rsid w:val="00DD6608"/>
    <w:rsid w:val="00DD6655"/>
    <w:rsid w:val="00DD6CB7"/>
    <w:rsid w:val="00DE0270"/>
    <w:rsid w:val="00DE1395"/>
    <w:rsid w:val="00DE35E8"/>
    <w:rsid w:val="00DE6EBD"/>
    <w:rsid w:val="00DF2020"/>
    <w:rsid w:val="00DF5D0C"/>
    <w:rsid w:val="00DF647C"/>
    <w:rsid w:val="00E020D6"/>
    <w:rsid w:val="00E1142A"/>
    <w:rsid w:val="00E12E28"/>
    <w:rsid w:val="00E14003"/>
    <w:rsid w:val="00E1560A"/>
    <w:rsid w:val="00E17D90"/>
    <w:rsid w:val="00E2336E"/>
    <w:rsid w:val="00E24AA1"/>
    <w:rsid w:val="00E26B56"/>
    <w:rsid w:val="00E27D54"/>
    <w:rsid w:val="00E3176D"/>
    <w:rsid w:val="00E317D7"/>
    <w:rsid w:val="00E326A8"/>
    <w:rsid w:val="00E45EE8"/>
    <w:rsid w:val="00E50554"/>
    <w:rsid w:val="00E50D6D"/>
    <w:rsid w:val="00E57971"/>
    <w:rsid w:val="00E607C9"/>
    <w:rsid w:val="00E62DE5"/>
    <w:rsid w:val="00E66D39"/>
    <w:rsid w:val="00E72862"/>
    <w:rsid w:val="00E72BE0"/>
    <w:rsid w:val="00E73F25"/>
    <w:rsid w:val="00E7751B"/>
    <w:rsid w:val="00E83723"/>
    <w:rsid w:val="00E92E7C"/>
    <w:rsid w:val="00E93DEB"/>
    <w:rsid w:val="00E9444F"/>
    <w:rsid w:val="00E95EB2"/>
    <w:rsid w:val="00EA38A9"/>
    <w:rsid w:val="00EB2731"/>
    <w:rsid w:val="00EB4255"/>
    <w:rsid w:val="00EC28E9"/>
    <w:rsid w:val="00EC5D33"/>
    <w:rsid w:val="00EC615E"/>
    <w:rsid w:val="00ED2FE6"/>
    <w:rsid w:val="00ED5E39"/>
    <w:rsid w:val="00EE2971"/>
    <w:rsid w:val="00EF0E20"/>
    <w:rsid w:val="00EF0E5B"/>
    <w:rsid w:val="00EF3AA5"/>
    <w:rsid w:val="00EF49E9"/>
    <w:rsid w:val="00EF6DB8"/>
    <w:rsid w:val="00EF7691"/>
    <w:rsid w:val="00F04C67"/>
    <w:rsid w:val="00F16C15"/>
    <w:rsid w:val="00F209F8"/>
    <w:rsid w:val="00F225C1"/>
    <w:rsid w:val="00F22F58"/>
    <w:rsid w:val="00F254C2"/>
    <w:rsid w:val="00F2698C"/>
    <w:rsid w:val="00F27412"/>
    <w:rsid w:val="00F34282"/>
    <w:rsid w:val="00F35961"/>
    <w:rsid w:val="00F4105F"/>
    <w:rsid w:val="00F426D8"/>
    <w:rsid w:val="00F42748"/>
    <w:rsid w:val="00F44C13"/>
    <w:rsid w:val="00F554CF"/>
    <w:rsid w:val="00F5789B"/>
    <w:rsid w:val="00F6028C"/>
    <w:rsid w:val="00F62519"/>
    <w:rsid w:val="00F71310"/>
    <w:rsid w:val="00F725EA"/>
    <w:rsid w:val="00F72AEE"/>
    <w:rsid w:val="00F76029"/>
    <w:rsid w:val="00F856A5"/>
    <w:rsid w:val="00F91267"/>
    <w:rsid w:val="00F91929"/>
    <w:rsid w:val="00F91E31"/>
    <w:rsid w:val="00F96121"/>
    <w:rsid w:val="00FA3D7D"/>
    <w:rsid w:val="00FA48C3"/>
    <w:rsid w:val="00FA7DE4"/>
    <w:rsid w:val="00FB1A47"/>
    <w:rsid w:val="00FB2247"/>
    <w:rsid w:val="00FD11C7"/>
    <w:rsid w:val="00FD723F"/>
    <w:rsid w:val="00FE02F5"/>
    <w:rsid w:val="00FE2322"/>
    <w:rsid w:val="00FE4781"/>
    <w:rsid w:val="00FE5CA0"/>
    <w:rsid w:val="00FF5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A2F8"/>
  <w15:chartTrackingRefBased/>
  <w15:docId w15:val="{949E75BE-B422-4E85-BDAE-BE01606F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6"/>
      </w:numPr>
      <w:tabs>
        <w:tab w:val="num" w:pos="992"/>
      </w:tabs>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FA3D7D"/>
    <w:rPr>
      <w:sz w:val="16"/>
      <w:szCs w:val="16"/>
    </w:rPr>
  </w:style>
  <w:style w:type="paragraph" w:styleId="CommentText">
    <w:name w:val="annotation text"/>
    <w:basedOn w:val="Normal"/>
    <w:link w:val="CommentTextChar"/>
    <w:uiPriority w:val="99"/>
    <w:semiHidden/>
    <w:unhideWhenUsed/>
    <w:rsid w:val="00FA3D7D"/>
    <w:rPr>
      <w:sz w:val="20"/>
      <w:szCs w:val="20"/>
    </w:rPr>
  </w:style>
  <w:style w:type="character" w:customStyle="1" w:styleId="CommentTextChar">
    <w:name w:val="Comment Text Char"/>
    <w:basedOn w:val="DefaultParagraphFont"/>
    <w:link w:val="CommentText"/>
    <w:uiPriority w:val="99"/>
    <w:semiHidden/>
    <w:rsid w:val="00FA3D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3D7D"/>
    <w:rPr>
      <w:b/>
      <w:bCs/>
    </w:rPr>
  </w:style>
  <w:style w:type="character" w:customStyle="1" w:styleId="CommentSubjectChar">
    <w:name w:val="Comment Subject Char"/>
    <w:basedOn w:val="CommentTextChar"/>
    <w:link w:val="CommentSubject"/>
    <w:uiPriority w:val="99"/>
    <w:semiHidden/>
    <w:rsid w:val="00FA3D7D"/>
    <w:rPr>
      <w:rFonts w:ascii="Times New Roman" w:hAnsi="Times New Roman"/>
      <w:b/>
      <w:bCs/>
      <w:sz w:val="20"/>
      <w:szCs w:val="20"/>
    </w:rPr>
  </w:style>
  <w:style w:type="character" w:customStyle="1" w:styleId="NormalparatextwithnumbersChar">
    <w:name w:val="Normal para text (with numbers) Char"/>
    <w:basedOn w:val="DefaultParagraphFont"/>
    <w:link w:val="Normalparatextwithnumbers"/>
    <w:rsid w:val="009C68E3"/>
    <w:rPr>
      <w:rFonts w:ascii="Times New Roman" w:hAnsi="Times New Roman"/>
    </w:rPr>
  </w:style>
  <w:style w:type="character" w:customStyle="1" w:styleId="Referencingstyle">
    <w:name w:val="Referencing style"/>
    <w:basedOn w:val="DefaultParagraphFont"/>
    <w:rsid w:val="00BA0F28"/>
    <w:rPr>
      <w:b/>
      <w:i/>
      <w:sz w:val="18"/>
    </w:rPr>
  </w:style>
  <w:style w:type="paragraph" w:customStyle="1" w:styleId="Bullet">
    <w:name w:val="Bullet"/>
    <w:basedOn w:val="Normal"/>
    <w:link w:val="BulletChar"/>
    <w:rsid w:val="0094065E"/>
    <w:pPr>
      <w:numPr>
        <w:numId w:val="26"/>
      </w:numPr>
    </w:pPr>
    <w:rPr>
      <w:sz w:val="20"/>
      <w:szCs w:val="20"/>
    </w:rPr>
  </w:style>
  <w:style w:type="character" w:customStyle="1" w:styleId="BulletChar">
    <w:name w:val="Bullet Char"/>
    <w:basedOn w:val="CommentTextChar"/>
    <w:link w:val="Bullet"/>
    <w:rsid w:val="0094065E"/>
    <w:rPr>
      <w:rFonts w:ascii="Times New Roman" w:hAnsi="Times New Roman"/>
      <w:sz w:val="20"/>
      <w:szCs w:val="20"/>
    </w:rPr>
  </w:style>
  <w:style w:type="paragraph" w:customStyle="1" w:styleId="DoubleDot">
    <w:name w:val="Double Dot"/>
    <w:basedOn w:val="Normal"/>
    <w:link w:val="DoubleDotChar"/>
    <w:rsid w:val="0094065E"/>
    <w:pPr>
      <w:numPr>
        <w:ilvl w:val="2"/>
        <w:numId w:val="26"/>
      </w:numPr>
    </w:pPr>
    <w:rPr>
      <w:sz w:val="20"/>
      <w:szCs w:val="20"/>
    </w:rPr>
  </w:style>
  <w:style w:type="character" w:customStyle="1" w:styleId="DoubleDotChar">
    <w:name w:val="Double Dot Char"/>
    <w:basedOn w:val="CommentTextChar"/>
    <w:link w:val="DoubleDot"/>
    <w:rsid w:val="0094065E"/>
    <w:rPr>
      <w:rFonts w:ascii="Times New Roman" w:hAnsi="Times New Roman"/>
      <w:sz w:val="20"/>
      <w:szCs w:val="20"/>
    </w:rPr>
  </w:style>
  <w:style w:type="paragraph" w:styleId="ListParagraph">
    <w:name w:val="List Paragraph"/>
    <w:basedOn w:val="Normal"/>
    <w:uiPriority w:val="34"/>
    <w:qFormat/>
    <w:rsid w:val="00940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5D7SUYYWNZQE-1616336108-392</_dlc_DocId>
    <TaxCatchAll xmlns="ff38c824-6e29-4496-8487-69f397e7ed29">
      <Value>50</Value>
      <Value>28</Value>
      <Value>95</Value>
      <Value>90</Value>
      <Value>3</Value>
      <Value>1</Value>
    </TaxCatchAll>
    <_dlc_DocIdUrl xmlns="fe39d773-a83d-4623-ae74-f25711a76616">
      <Url>https://austreasury.sharepoint.com/sites/leg-meas-function/_layouts/15/DocIdRedir.aspx?ID=5D7SUYYWNZQE-1616336108-392</Url>
      <Description>5D7SUYYWNZQE-1616336108-392</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faf76e06-3cdb-48f5-b70e-ae5aeebaff66</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TSY/47/0119</PT_x002f_Measure_x0020_No.>
    <Keydoc xmlns="a289cb20-8bb9-401f-8d7b-706fb1a2988d" xsi:nil="true"/>
    <Act_x0028_s_x0029_beingamended xmlns="a289cb20-8bb9-401f-8d7b-706fb1a2988d">Corporations Act 2001</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Info xmlns="http://schemas.microsoft.com/office/infopath/2007/PartnerControls">
          <TermName xmlns="http://schemas.microsoft.com/office/infopath/2007/PartnerControls">Consumer</TermName>
          <TermId xmlns="http://schemas.microsoft.com/office/infopath/2007/PartnerControls">061f16b5-21de-40bb-a136-07b896bfb829</TermId>
        </TermInfo>
      </Terms>
    </gfba5f33532c49208d2320ce38cc3c2b>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2" ma:contentTypeDescription="Create a new document." ma:contentTypeScope="" ma:versionID="9c8b23ea432625bb798f5c374917b678">
  <xsd:schema xmlns:xsd="http://www.w3.org/2001/XMLSchema" xmlns:xs="http://www.w3.org/2001/XMLSchema" xmlns:p="http://schemas.microsoft.com/office/2006/metadata/properties" xmlns:ns1="http://schemas.microsoft.com/sharepoint/v3" xmlns:ns2="fe39d773-a83d-4623-ae74-f25711a76616" xmlns:ns3="ff38c824-6e29-4496-8487-69f397e7ed29" xmlns:ns4="a289cb20-8bb9-401f-8d7b-706fb1a2988d" targetNamespace="http://schemas.microsoft.com/office/2006/metadata/properties" ma:root="true" ma:fieldsID="9b53fe0912df1d47ff3e87dc3aa3b3ee" ns1:_="" ns2:_="" ns3:_="" ns4:_="">
    <xsd:import namespace="http://schemas.microsoft.com/sharepoint/v3"/>
    <xsd:import namespace="fe39d773-a83d-4623-ae74-f25711a76616"/>
    <xsd:import namespace="ff38c824-6e29-4496-8487-69f397e7ed29"/>
    <xsd:import namespace="a289cb20-8bb9-401f-8d7b-706fb1a2988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xsd:element ref="ns3:TaxCatchAll" minOccurs="0"/>
                <xsd:element ref="ns3:TaxCatchAllLabel" minOccurs="0"/>
                <xsd:element ref="ns2:e4fe7dcdd1c0411bbf19a4de3665191f"/>
                <xsd:element ref="ns2:gfba5f33532c49208d2320ce38cc3c2b"/>
                <xsd:element ref="ns2:kfc39f3e4e2747ae990d3c8bb74a5a64"/>
                <xsd:element ref="ns2: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3:PT_x002f_Measure_x0020_No." minOccurs="0"/>
                <xsd:element ref="ns1:DocumentSet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5A68B-AA5F-4849-8720-F54E97053EC2}">
  <ds:schemaRefs>
    <ds:schemaRef ds:uri="http://schemas.microsoft.com/sharepoint/events"/>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4.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5.xml><?xml version="1.0" encoding="utf-8"?>
<ds:datastoreItem xmlns:ds="http://schemas.openxmlformats.org/officeDocument/2006/customXml" ds:itemID="{231864AF-B1A9-4FEB-A2BF-2A09815E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39d773-a83d-4623-ae74-f25711a76616"/>
    <ds:schemaRef ds:uri="ff38c824-6e29-4496-8487-69f397e7ed29"/>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Pri-EM.dotx</Template>
  <TotalTime>21</TotalTime>
  <Pages>10</Pages>
  <Words>2198</Words>
  <Characters>11786</Characters>
  <Application>Microsoft Office Word</Application>
  <DocSecurity>0</DocSecurity>
  <Lines>261</Lines>
  <Paragraphs>113</Paragraphs>
  <ScaleCrop>false</ScaleCrop>
  <HeadingPairs>
    <vt:vector size="2" baseType="variant">
      <vt:variant>
        <vt:lpstr>Title</vt:lpstr>
      </vt:variant>
      <vt:variant>
        <vt:i4>1</vt:i4>
      </vt:variant>
    </vt:vector>
  </HeadingPairs>
  <TitlesOfParts>
    <vt:vector size="1" baseType="lpstr">
      <vt:lpstr>Explanatory materials: TREASURY LAWS AMENDMENT (MEASURES FOR CONSULTATION) BILL 2023: ANTI-AVOIDANCE RULE FOR PRODUCT INTERVENTION ORDERS</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(MEASURES FOR CONSULTATION) BILL 2023: ANTI-AVOIDANCE RULE FOR PRODUCT INTERVENTION ORDERS</dc:title>
  <dc:subject/>
  <dc:creator>Treasury</dc:creator>
  <cp:keywords/>
  <dc:description/>
  <cp:lastModifiedBy>Thompson, Lynette</cp:lastModifiedBy>
  <cp:revision>21</cp:revision>
  <cp:lastPrinted>2023-02-20T04:37:00Z</cp:lastPrinted>
  <dcterms:created xsi:type="dcterms:W3CDTF">2023-02-20T04:11:00Z</dcterms:created>
  <dcterms:modified xsi:type="dcterms:W3CDTF">2023-02-20T06:02:00Z</dcterms:modified>
</cp:coreProperties>
</file>