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114F" w14:textId="77777777" w:rsidR="00E24AA1" w:rsidRDefault="00E24AA1" w:rsidP="000B78BC">
      <w:pPr>
        <w:pStyle w:val="Baseparagraphcentred"/>
        <w:pBdr>
          <w:bottom w:val="single" w:sz="4" w:space="1" w:color="auto"/>
        </w:pBdr>
        <w:jc w:val="left"/>
      </w:pPr>
      <w:bookmarkStart w:id="0" w:name="_Toc78548463"/>
      <w:bookmarkStart w:id="1" w:name="_Toc78549734"/>
      <w:bookmarkStart w:id="2" w:name="_Toc78549779"/>
      <w:bookmarkStart w:id="3" w:name="_Toc80097481"/>
      <w:bookmarkStart w:id="4" w:name="_Toc80097775"/>
      <w:bookmarkStart w:id="5" w:name="_Hlk81640909"/>
    </w:p>
    <w:p w14:paraId="698D0792" w14:textId="0603EB77" w:rsidR="00E24AA1" w:rsidRPr="00E24AA1" w:rsidRDefault="00E3287C" w:rsidP="00E24AA1">
      <w:pPr>
        <w:pStyle w:val="BillName"/>
      </w:pPr>
      <w:r w:rsidRPr="00E3287C">
        <w:t>Treasury Laws Amendment (Measures for Future Bills) Bill 2023: Thin capitalisation interest limitation</w:t>
      </w:r>
    </w:p>
    <w:p w14:paraId="62686040" w14:textId="77777777" w:rsidR="00E24AA1" w:rsidRDefault="00E24AA1" w:rsidP="00E24AA1">
      <w:pPr>
        <w:pStyle w:val="Baseparagraphcentred"/>
        <w:pBdr>
          <w:top w:val="single" w:sz="4" w:space="1" w:color="auto"/>
        </w:pBdr>
      </w:pPr>
    </w:p>
    <w:p w14:paraId="59416CE3" w14:textId="77777777" w:rsidR="00E24AA1" w:rsidRDefault="00E24AA1" w:rsidP="00E24AA1">
      <w:pPr>
        <w:pStyle w:val="Baseparagraphcentred"/>
      </w:pPr>
    </w:p>
    <w:p w14:paraId="3DFB210C" w14:textId="77777777" w:rsidR="00E24AA1" w:rsidRDefault="00E24AA1" w:rsidP="00E24AA1">
      <w:pPr>
        <w:pStyle w:val="Baseparagraphcentred"/>
      </w:pPr>
    </w:p>
    <w:p w14:paraId="662FA85E" w14:textId="77777777" w:rsidR="00E24AA1" w:rsidRDefault="00E24AA1" w:rsidP="00E24AA1">
      <w:pPr>
        <w:pStyle w:val="Baseparagraphcentred"/>
      </w:pPr>
    </w:p>
    <w:p w14:paraId="26C6A717" w14:textId="1857AD62" w:rsidR="00873094" w:rsidRPr="00020288" w:rsidRDefault="00FE357C" w:rsidP="000B78BC">
      <w:pPr>
        <w:pStyle w:val="Baseparagraphcentred"/>
        <w:sectPr w:rsidR="00873094" w:rsidRPr="00020288" w:rsidSect="00000BFC">
          <w:headerReference w:type="even" r:id="rId12"/>
          <w:headerReference w:type="default" r:id="rId13"/>
          <w:footerReference w:type="even" r:id="rId14"/>
          <w:foot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r>
        <w:t xml:space="preserve">EXPOSURE DRAFT </w:t>
      </w:r>
      <w:r w:rsidR="00E24AA1">
        <w:t>EXPLANATORY MEMORANDUM</w:t>
      </w:r>
      <w:bookmarkStart w:id="6" w:name="_Toc78549733"/>
      <w:bookmarkStart w:id="7" w:name="_Toc78549778"/>
      <w:bookmarkStart w:id="8" w:name="_Toc80097483"/>
      <w:bookmarkStart w:id="9" w:name="_Toc80097777"/>
      <w:bookmarkStart w:id="10" w:name="_Toc80115276"/>
      <w:bookmarkStart w:id="11" w:name="_Toc80172451"/>
      <w:bookmarkStart w:id="12" w:name="_Toc80197115"/>
      <w:bookmarkStart w:id="13" w:name="_Toc81852682"/>
      <w:bookmarkStart w:id="14" w:name="_Toc81852727"/>
      <w:bookmarkEnd w:id="0"/>
      <w:bookmarkEnd w:id="1"/>
      <w:bookmarkEnd w:id="2"/>
      <w:bookmarkEnd w:id="3"/>
      <w:bookmarkEnd w:id="4"/>
    </w:p>
    <w:p w14:paraId="2E04EA88" w14:textId="77777777" w:rsidR="00873094" w:rsidRPr="00020288" w:rsidRDefault="00873094" w:rsidP="00873094">
      <w:pPr>
        <w:pStyle w:val="Heading1"/>
        <w:rPr>
          <w:rFonts w:hint="eastAsia"/>
        </w:rPr>
      </w:pPr>
      <w:bookmarkStart w:id="15" w:name="_Toc82021619"/>
      <w:bookmarkStart w:id="16" w:name="_Toc82067318"/>
      <w:bookmarkStart w:id="17" w:name="_Toc82072959"/>
      <w:bookmarkStart w:id="18" w:name="_Toc82073275"/>
      <w:bookmarkStart w:id="19" w:name="_Toc82073912"/>
      <w:bookmarkStart w:id="20" w:name="_Toc82074016"/>
      <w:bookmarkStart w:id="21" w:name="_Toc128655276"/>
      <w:r w:rsidRPr="00020288">
        <w:lastRenderedPageBreak/>
        <w:t>Glossary</w:t>
      </w:r>
      <w:bookmarkStart w:id="22" w:name="_Toc485286223"/>
      <w:bookmarkStart w:id="23" w:name="_Toc78193244"/>
      <w:bookmarkStart w:id="24" w:name="_Toc7819340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DA640B2"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0E90F29" w14:textId="77777777" w:rsidTr="002425D9">
        <w:tc>
          <w:tcPr>
            <w:tcW w:w="3776" w:type="dxa"/>
            <w:shd w:val="clear" w:color="auto" w:fill="auto"/>
          </w:tcPr>
          <w:p w14:paraId="3E0CA59C" w14:textId="77777777" w:rsidR="00873094" w:rsidRPr="002E7A73" w:rsidRDefault="00873094" w:rsidP="00B7393A">
            <w:pPr>
              <w:pStyle w:val="Tableheaderrowtext"/>
            </w:pPr>
            <w:bookmarkStart w:id="25" w:name="GlossaryTableStart"/>
            <w:bookmarkEnd w:id="25"/>
            <w:r w:rsidRPr="002E7A73">
              <w:t>Abbreviation</w:t>
            </w:r>
          </w:p>
        </w:tc>
        <w:tc>
          <w:tcPr>
            <w:tcW w:w="3874" w:type="dxa"/>
            <w:shd w:val="clear" w:color="auto" w:fill="auto"/>
          </w:tcPr>
          <w:p w14:paraId="063A2D50" w14:textId="77777777" w:rsidR="00873094" w:rsidRPr="002E7A73" w:rsidRDefault="00873094" w:rsidP="00B7393A">
            <w:pPr>
              <w:pStyle w:val="Tableheaderrowtext"/>
            </w:pPr>
            <w:r w:rsidRPr="002E7A73">
              <w:t>Definition</w:t>
            </w:r>
          </w:p>
        </w:tc>
      </w:tr>
      <w:tr w:rsidR="004664BD" w:rsidRPr="00020288" w14:paraId="3647C601" w14:textId="77777777" w:rsidTr="002425D9">
        <w:tc>
          <w:tcPr>
            <w:tcW w:w="3776" w:type="dxa"/>
          </w:tcPr>
          <w:p w14:paraId="07F75B1C" w14:textId="0B893732" w:rsidR="004664BD" w:rsidRPr="00020288" w:rsidRDefault="004664BD" w:rsidP="004664BD">
            <w:pPr>
              <w:pStyle w:val="Normalparatextnonumbers"/>
            </w:pPr>
            <w:r>
              <w:t>ATO</w:t>
            </w:r>
          </w:p>
        </w:tc>
        <w:tc>
          <w:tcPr>
            <w:tcW w:w="3874" w:type="dxa"/>
          </w:tcPr>
          <w:p w14:paraId="376EF207" w14:textId="2A1736AF" w:rsidR="004664BD" w:rsidRPr="00020288" w:rsidRDefault="004664BD" w:rsidP="004664BD">
            <w:pPr>
              <w:pStyle w:val="Normalparatextnonumbers"/>
            </w:pPr>
            <w:r>
              <w:t xml:space="preserve">Australian Taxation Office </w:t>
            </w:r>
          </w:p>
        </w:tc>
      </w:tr>
      <w:tr w:rsidR="004664BD" w:rsidRPr="00020288" w14:paraId="0780AE75" w14:textId="77777777" w:rsidTr="002425D9">
        <w:tc>
          <w:tcPr>
            <w:tcW w:w="3776" w:type="dxa"/>
          </w:tcPr>
          <w:p w14:paraId="7A83F338" w14:textId="57998FEB" w:rsidR="004664BD" w:rsidRPr="00020288" w:rsidRDefault="004664BD" w:rsidP="004664BD">
            <w:pPr>
              <w:pStyle w:val="Normalparatextnonumbers"/>
            </w:pPr>
            <w:r>
              <w:t>ADI</w:t>
            </w:r>
          </w:p>
        </w:tc>
        <w:tc>
          <w:tcPr>
            <w:tcW w:w="3874" w:type="dxa"/>
          </w:tcPr>
          <w:p w14:paraId="3316A9E6" w14:textId="39331AFD" w:rsidR="004664BD" w:rsidRPr="00020288" w:rsidRDefault="004664BD" w:rsidP="004664BD">
            <w:pPr>
              <w:pStyle w:val="Normalparatextnonumbers"/>
            </w:pPr>
            <w:r>
              <w:t xml:space="preserve">Authorised deposit-taking institution </w:t>
            </w:r>
          </w:p>
        </w:tc>
      </w:tr>
      <w:tr w:rsidR="004664BD" w:rsidRPr="00020288" w14:paraId="3DD57E28" w14:textId="77777777" w:rsidTr="002425D9">
        <w:tc>
          <w:tcPr>
            <w:tcW w:w="3776" w:type="dxa"/>
          </w:tcPr>
          <w:p w14:paraId="6EB16012" w14:textId="789F35F9" w:rsidR="004664BD" w:rsidRPr="00020288" w:rsidRDefault="004664BD" w:rsidP="004664BD">
            <w:pPr>
              <w:pStyle w:val="Normalparatextnonumbers"/>
            </w:pPr>
            <w:r>
              <w:t>Commissioner</w:t>
            </w:r>
          </w:p>
        </w:tc>
        <w:tc>
          <w:tcPr>
            <w:tcW w:w="3874" w:type="dxa"/>
          </w:tcPr>
          <w:p w14:paraId="25BF7AC4" w14:textId="0EE6780A" w:rsidR="004664BD" w:rsidRPr="00020288" w:rsidRDefault="004664BD" w:rsidP="004664BD">
            <w:pPr>
              <w:pStyle w:val="Normalparatextnonumbers"/>
            </w:pPr>
            <w:r>
              <w:t>Commissioner of Taxation</w:t>
            </w:r>
          </w:p>
        </w:tc>
      </w:tr>
      <w:tr w:rsidR="00747A6C" w:rsidRPr="00020288" w14:paraId="7386E10A" w14:textId="77777777" w:rsidTr="002425D9">
        <w:tc>
          <w:tcPr>
            <w:tcW w:w="3776" w:type="dxa"/>
          </w:tcPr>
          <w:p w14:paraId="2BDBA81E" w14:textId="6B2D4C8A" w:rsidR="00747A6C" w:rsidRDefault="00747A6C" w:rsidP="004664BD">
            <w:pPr>
              <w:pStyle w:val="Normalparatextnonumbers"/>
            </w:pPr>
            <w:r>
              <w:t>FRT</w:t>
            </w:r>
          </w:p>
        </w:tc>
        <w:tc>
          <w:tcPr>
            <w:tcW w:w="3874" w:type="dxa"/>
          </w:tcPr>
          <w:p w14:paraId="24CD501B" w14:textId="557A1549" w:rsidR="00747A6C" w:rsidRDefault="00747A6C" w:rsidP="004664BD">
            <w:pPr>
              <w:pStyle w:val="Normalparatextnonumbers"/>
            </w:pPr>
            <w:r>
              <w:t>Fixed ratio test</w:t>
            </w:r>
          </w:p>
        </w:tc>
      </w:tr>
      <w:tr w:rsidR="002A5DA6" w:rsidRPr="00020288" w14:paraId="7DD81FAC" w14:textId="77777777" w:rsidTr="002425D9">
        <w:tc>
          <w:tcPr>
            <w:tcW w:w="3776" w:type="dxa"/>
          </w:tcPr>
          <w:p w14:paraId="6781AE51" w14:textId="1076F031" w:rsidR="002A5DA6" w:rsidRDefault="002A5DA6" w:rsidP="004664BD">
            <w:pPr>
              <w:pStyle w:val="Normalparatextnonumbers"/>
            </w:pPr>
            <w:r>
              <w:t>GR</w:t>
            </w:r>
          </w:p>
        </w:tc>
        <w:tc>
          <w:tcPr>
            <w:tcW w:w="3874" w:type="dxa"/>
          </w:tcPr>
          <w:p w14:paraId="750938E2" w14:textId="083C276A" w:rsidR="002A5DA6" w:rsidRDefault="002A5DA6" w:rsidP="004664BD">
            <w:pPr>
              <w:pStyle w:val="Normalparatextnonumbers"/>
            </w:pPr>
            <w:r>
              <w:t>Group ratio</w:t>
            </w:r>
          </w:p>
        </w:tc>
      </w:tr>
      <w:tr w:rsidR="004664BD" w:rsidRPr="00020288" w14:paraId="46C4A7F0" w14:textId="77777777" w:rsidTr="002425D9">
        <w:tc>
          <w:tcPr>
            <w:tcW w:w="3776" w:type="dxa"/>
          </w:tcPr>
          <w:p w14:paraId="42558CEA" w14:textId="3A97BE5F" w:rsidR="004664BD" w:rsidRPr="00020288" w:rsidRDefault="004664BD" w:rsidP="004664BD">
            <w:pPr>
              <w:pStyle w:val="Normalparatextnonumbers"/>
            </w:pPr>
            <w:r>
              <w:t>ITAA 1936</w:t>
            </w:r>
          </w:p>
        </w:tc>
        <w:tc>
          <w:tcPr>
            <w:tcW w:w="3874" w:type="dxa"/>
          </w:tcPr>
          <w:p w14:paraId="670BB250" w14:textId="6A6F18D4" w:rsidR="004664BD" w:rsidRPr="00020288" w:rsidRDefault="004664BD" w:rsidP="004664BD">
            <w:pPr>
              <w:pStyle w:val="Normalparatextnonumbers"/>
            </w:pPr>
            <w:r>
              <w:rPr>
                <w:i/>
                <w:iCs/>
              </w:rPr>
              <w:t>Income Tax Assessment Act 1936</w:t>
            </w:r>
          </w:p>
        </w:tc>
      </w:tr>
      <w:tr w:rsidR="004664BD" w:rsidRPr="00020288" w14:paraId="056C71C2" w14:textId="77777777" w:rsidTr="002425D9">
        <w:tc>
          <w:tcPr>
            <w:tcW w:w="3776" w:type="dxa"/>
          </w:tcPr>
          <w:p w14:paraId="016B8C37" w14:textId="0B5526B3" w:rsidR="004664BD" w:rsidRPr="00020288" w:rsidRDefault="004664BD" w:rsidP="004664BD">
            <w:pPr>
              <w:pStyle w:val="Normalparatextnonumbers"/>
            </w:pPr>
            <w:r>
              <w:t>ITAA 1997</w:t>
            </w:r>
          </w:p>
        </w:tc>
        <w:tc>
          <w:tcPr>
            <w:tcW w:w="3874" w:type="dxa"/>
          </w:tcPr>
          <w:p w14:paraId="15EECE49" w14:textId="1938D0AE" w:rsidR="004664BD" w:rsidRPr="00020288" w:rsidRDefault="004664BD" w:rsidP="004664BD">
            <w:pPr>
              <w:pStyle w:val="Normalparatextnonumbers"/>
            </w:pPr>
            <w:r>
              <w:rPr>
                <w:i/>
                <w:iCs/>
              </w:rPr>
              <w:t>Income Tax Assessment Act 1997</w:t>
            </w:r>
          </w:p>
        </w:tc>
      </w:tr>
      <w:tr w:rsidR="004664BD" w:rsidRPr="00020288" w14:paraId="6635DD7E" w14:textId="77777777" w:rsidTr="002425D9">
        <w:tc>
          <w:tcPr>
            <w:tcW w:w="3776" w:type="dxa"/>
          </w:tcPr>
          <w:p w14:paraId="2C54D70A" w14:textId="33AA5FD4" w:rsidR="004664BD" w:rsidRPr="00020288" w:rsidRDefault="004664BD" w:rsidP="004664BD">
            <w:pPr>
              <w:pStyle w:val="Normalparatextnonumbers"/>
            </w:pPr>
            <w:r>
              <w:t xml:space="preserve">OECD </w:t>
            </w:r>
          </w:p>
        </w:tc>
        <w:tc>
          <w:tcPr>
            <w:tcW w:w="3874" w:type="dxa"/>
          </w:tcPr>
          <w:p w14:paraId="4DCA5544" w14:textId="2A2B1FD5" w:rsidR="004664BD" w:rsidRPr="00020288" w:rsidRDefault="004664BD" w:rsidP="004664BD">
            <w:pPr>
              <w:pStyle w:val="Normalparatextnonumbers"/>
            </w:pPr>
            <w:r>
              <w:t xml:space="preserve">Organisation for Economic Cooperation and Development </w:t>
            </w:r>
          </w:p>
        </w:tc>
      </w:tr>
      <w:tr w:rsidR="004664BD" w:rsidRPr="00020288" w14:paraId="0F381248" w14:textId="77777777" w:rsidTr="002425D9">
        <w:tc>
          <w:tcPr>
            <w:tcW w:w="3776" w:type="dxa"/>
          </w:tcPr>
          <w:p w14:paraId="2DEC8767" w14:textId="75220276" w:rsidR="004664BD" w:rsidRDefault="004664BD" w:rsidP="004664BD">
            <w:pPr>
              <w:pStyle w:val="Normalparatextnonumbers"/>
            </w:pPr>
            <w:r>
              <w:t>TAA 1953</w:t>
            </w:r>
          </w:p>
        </w:tc>
        <w:tc>
          <w:tcPr>
            <w:tcW w:w="3874" w:type="dxa"/>
          </w:tcPr>
          <w:p w14:paraId="66135887" w14:textId="34C54C73" w:rsidR="004664BD" w:rsidRDefault="004664BD" w:rsidP="004664BD">
            <w:pPr>
              <w:pStyle w:val="Normalparatextnonumbers"/>
            </w:pPr>
            <w:r w:rsidRPr="0016572F">
              <w:rPr>
                <w:i/>
                <w:iCs/>
              </w:rPr>
              <w:t>Taxation Administration Act 1953</w:t>
            </w:r>
          </w:p>
        </w:tc>
      </w:tr>
    </w:tbl>
    <w:p w14:paraId="1FEA84E4" w14:textId="77777777" w:rsidR="00873094" w:rsidRPr="00020288" w:rsidRDefault="00873094" w:rsidP="00873094">
      <w:pPr>
        <w:spacing w:before="0" w:after="0" w:line="360" w:lineRule="auto"/>
        <w:contextualSpacing/>
        <w:sectPr w:rsidR="00873094" w:rsidRPr="00020288" w:rsidSect="00DD6CB7">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bookmarkStart w:id="26" w:name="GeneralOutline"/>
      <w:bookmarkStart w:id="27" w:name="_Toc78548467"/>
      <w:bookmarkStart w:id="28" w:name="_Toc78549738"/>
      <w:bookmarkStart w:id="29" w:name="_Toc78549783"/>
      <w:bookmarkEnd w:id="22"/>
      <w:bookmarkEnd w:id="23"/>
      <w:bookmarkEnd w:id="24"/>
      <w:bookmarkEnd w:id="26"/>
    </w:p>
    <w:p w14:paraId="7911E36B" w14:textId="72AD5805" w:rsidR="00873094" w:rsidRPr="00020288" w:rsidRDefault="00E30744">
      <w:pPr>
        <w:pStyle w:val="Chapterheading"/>
        <w:rPr>
          <w:rFonts w:hint="eastAsia"/>
        </w:rPr>
      </w:pPr>
      <w:bookmarkStart w:id="30" w:name="_Toc128655277"/>
      <w:bookmarkEnd w:id="27"/>
      <w:bookmarkEnd w:id="28"/>
      <w:bookmarkEnd w:id="29"/>
      <w:r>
        <w:lastRenderedPageBreak/>
        <w:t xml:space="preserve">Strengthening </w:t>
      </w:r>
      <w:r w:rsidR="00217760">
        <w:t>Australia’s</w:t>
      </w:r>
      <w:r>
        <w:t xml:space="preserve"> </w:t>
      </w:r>
      <w:r w:rsidR="0066546E">
        <w:t>thin capitalisatio</w:t>
      </w:r>
      <w:r w:rsidR="0066546E">
        <w:rPr>
          <w:rFonts w:hint="eastAsia"/>
        </w:rPr>
        <w:t>n</w:t>
      </w:r>
      <w:r w:rsidR="00217760">
        <w:t xml:space="preserve"> </w:t>
      </w:r>
      <w:r>
        <w:t>rules</w:t>
      </w:r>
      <w:bookmarkEnd w:id="30"/>
    </w:p>
    <w:p w14:paraId="0E78B96B" w14:textId="652AB528" w:rsidR="000B79AE" w:rsidRDefault="000B79AE" w:rsidP="000B79AE">
      <w:pPr>
        <w:pStyle w:val="TOCHeading"/>
      </w:pPr>
      <w:bookmarkStart w:id="31" w:name="Chapter1"/>
      <w:r>
        <w:t xml:space="preserve">Table of Contents: </w:t>
      </w:r>
    </w:p>
    <w:p w14:paraId="4096FE0E" w14:textId="17678346" w:rsidR="00CF270F" w:rsidRDefault="000B79AE">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CF270F">
        <w:t>Outline of chapter</w:t>
      </w:r>
      <w:r w:rsidR="00CF270F">
        <w:rPr>
          <w:webHidden/>
        </w:rPr>
        <w:tab/>
      </w:r>
      <w:r w:rsidR="00CF270F">
        <w:rPr>
          <w:webHidden/>
        </w:rPr>
        <w:fldChar w:fldCharType="begin"/>
      </w:r>
      <w:r w:rsidR="00CF270F">
        <w:rPr>
          <w:webHidden/>
        </w:rPr>
        <w:instrText xml:space="preserve"> PAGEREF _Toc128658064 \h </w:instrText>
      </w:r>
      <w:r w:rsidR="00CF270F">
        <w:rPr>
          <w:webHidden/>
        </w:rPr>
      </w:r>
      <w:r w:rsidR="00CF270F">
        <w:rPr>
          <w:webHidden/>
        </w:rPr>
        <w:fldChar w:fldCharType="separate"/>
      </w:r>
      <w:r w:rsidR="00B25767">
        <w:rPr>
          <w:webHidden/>
        </w:rPr>
        <w:t>3</w:t>
      </w:r>
      <w:r w:rsidR="00CF270F">
        <w:rPr>
          <w:webHidden/>
        </w:rPr>
        <w:fldChar w:fldCharType="end"/>
      </w:r>
    </w:p>
    <w:p w14:paraId="7B9D278A" w14:textId="6D00BDB8" w:rsidR="00CF270F" w:rsidRDefault="00CF270F">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_Toc128658065 \h </w:instrText>
      </w:r>
      <w:r>
        <w:rPr>
          <w:webHidden/>
        </w:rPr>
      </w:r>
      <w:r>
        <w:rPr>
          <w:webHidden/>
        </w:rPr>
        <w:fldChar w:fldCharType="separate"/>
      </w:r>
      <w:r w:rsidR="00B25767">
        <w:rPr>
          <w:webHidden/>
        </w:rPr>
        <w:t>3</w:t>
      </w:r>
      <w:r>
        <w:rPr>
          <w:webHidden/>
        </w:rPr>
        <w:fldChar w:fldCharType="end"/>
      </w:r>
    </w:p>
    <w:p w14:paraId="5702CBC6" w14:textId="1EBC1826" w:rsidR="00CF270F" w:rsidRDefault="00CF270F">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_Toc128658066 \h </w:instrText>
      </w:r>
      <w:r>
        <w:rPr>
          <w:webHidden/>
        </w:rPr>
      </w:r>
      <w:r>
        <w:rPr>
          <w:webHidden/>
        </w:rPr>
        <w:fldChar w:fldCharType="separate"/>
      </w:r>
      <w:r w:rsidR="00B25767">
        <w:rPr>
          <w:webHidden/>
        </w:rPr>
        <w:t>5</w:t>
      </w:r>
      <w:r>
        <w:rPr>
          <w:webHidden/>
        </w:rPr>
        <w:fldChar w:fldCharType="end"/>
      </w:r>
    </w:p>
    <w:p w14:paraId="21504179" w14:textId="1589A98B" w:rsidR="00CF270F" w:rsidRDefault="00CF270F">
      <w:pPr>
        <w:pStyle w:val="TOC2"/>
        <w:rPr>
          <w:rFonts w:asciiTheme="minorHAnsi" w:eastAsiaTheme="minorEastAsia" w:hAnsiTheme="minorHAnsi"/>
          <w:sz w:val="22"/>
          <w:lang w:eastAsia="en-AU"/>
        </w:rPr>
      </w:pPr>
      <w:r>
        <w:t>Comparison of key features of new law and current law</w:t>
      </w:r>
      <w:r>
        <w:rPr>
          <w:webHidden/>
        </w:rPr>
        <w:tab/>
      </w:r>
      <w:r>
        <w:rPr>
          <w:webHidden/>
        </w:rPr>
        <w:fldChar w:fldCharType="begin"/>
      </w:r>
      <w:r>
        <w:rPr>
          <w:webHidden/>
        </w:rPr>
        <w:instrText xml:space="preserve"> PAGEREF _Toc128658067 \h </w:instrText>
      </w:r>
      <w:r>
        <w:rPr>
          <w:webHidden/>
        </w:rPr>
      </w:r>
      <w:r>
        <w:rPr>
          <w:webHidden/>
        </w:rPr>
        <w:fldChar w:fldCharType="separate"/>
      </w:r>
      <w:r w:rsidR="00B25767">
        <w:rPr>
          <w:webHidden/>
        </w:rPr>
        <w:t>6</w:t>
      </w:r>
      <w:r>
        <w:rPr>
          <w:webHidden/>
        </w:rPr>
        <w:fldChar w:fldCharType="end"/>
      </w:r>
    </w:p>
    <w:p w14:paraId="1EEC90EE" w14:textId="141F28CB" w:rsidR="00CF270F" w:rsidRDefault="00CF270F">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_Toc128658068 \h </w:instrText>
      </w:r>
      <w:r>
        <w:rPr>
          <w:webHidden/>
        </w:rPr>
      </w:r>
      <w:r>
        <w:rPr>
          <w:webHidden/>
        </w:rPr>
        <w:fldChar w:fldCharType="separate"/>
      </w:r>
      <w:r w:rsidR="00B25767">
        <w:rPr>
          <w:webHidden/>
        </w:rPr>
        <w:t>7</w:t>
      </w:r>
      <w:r>
        <w:rPr>
          <w:webHidden/>
        </w:rPr>
        <w:fldChar w:fldCharType="end"/>
      </w:r>
    </w:p>
    <w:p w14:paraId="7480C95C" w14:textId="06DC15EC" w:rsidR="00CF270F" w:rsidRDefault="00CF270F">
      <w:pPr>
        <w:pStyle w:val="TOC3"/>
        <w:rPr>
          <w:rFonts w:asciiTheme="minorHAnsi" w:eastAsiaTheme="minorEastAsia" w:hAnsiTheme="minorHAnsi" w:cstheme="minorBidi"/>
          <w:iCs w:val="0"/>
          <w:noProof/>
          <w:sz w:val="22"/>
          <w:szCs w:val="22"/>
          <w:lang w:eastAsia="en-AU"/>
        </w:rPr>
      </w:pPr>
      <w:r>
        <w:rPr>
          <w:noProof/>
        </w:rPr>
        <w:t>New ‘general class investor’ definition</w:t>
      </w:r>
      <w:r>
        <w:rPr>
          <w:noProof/>
          <w:webHidden/>
        </w:rPr>
        <w:tab/>
      </w:r>
      <w:r>
        <w:rPr>
          <w:noProof/>
          <w:webHidden/>
        </w:rPr>
        <w:fldChar w:fldCharType="begin"/>
      </w:r>
      <w:r>
        <w:rPr>
          <w:noProof/>
          <w:webHidden/>
        </w:rPr>
        <w:instrText xml:space="preserve"> PAGEREF _Toc128658069 \h </w:instrText>
      </w:r>
      <w:r>
        <w:rPr>
          <w:noProof/>
          <w:webHidden/>
        </w:rPr>
      </w:r>
      <w:r>
        <w:rPr>
          <w:noProof/>
          <w:webHidden/>
        </w:rPr>
        <w:fldChar w:fldCharType="separate"/>
      </w:r>
      <w:r w:rsidR="00B25767">
        <w:rPr>
          <w:noProof/>
          <w:webHidden/>
        </w:rPr>
        <w:t>7</w:t>
      </w:r>
      <w:r>
        <w:rPr>
          <w:noProof/>
          <w:webHidden/>
        </w:rPr>
        <w:fldChar w:fldCharType="end"/>
      </w:r>
    </w:p>
    <w:p w14:paraId="0BB9B288" w14:textId="2A2A5317" w:rsidR="00CF270F" w:rsidRDefault="00CF270F">
      <w:pPr>
        <w:pStyle w:val="TOC3"/>
        <w:rPr>
          <w:rFonts w:asciiTheme="minorHAnsi" w:eastAsiaTheme="minorEastAsia" w:hAnsiTheme="minorHAnsi" w:cstheme="minorBidi"/>
          <w:iCs w:val="0"/>
          <w:noProof/>
          <w:sz w:val="22"/>
          <w:szCs w:val="22"/>
          <w:lang w:eastAsia="en-AU"/>
        </w:rPr>
      </w:pPr>
      <w:r>
        <w:rPr>
          <w:noProof/>
        </w:rPr>
        <w:t>Definition of ‘financial entity’</w:t>
      </w:r>
      <w:r>
        <w:rPr>
          <w:noProof/>
          <w:webHidden/>
        </w:rPr>
        <w:tab/>
      </w:r>
      <w:r>
        <w:rPr>
          <w:noProof/>
          <w:webHidden/>
        </w:rPr>
        <w:fldChar w:fldCharType="begin"/>
      </w:r>
      <w:r>
        <w:rPr>
          <w:noProof/>
          <w:webHidden/>
        </w:rPr>
        <w:instrText xml:space="preserve"> PAGEREF _Toc128658070 \h </w:instrText>
      </w:r>
      <w:r>
        <w:rPr>
          <w:noProof/>
          <w:webHidden/>
        </w:rPr>
      </w:r>
      <w:r>
        <w:rPr>
          <w:noProof/>
          <w:webHidden/>
        </w:rPr>
        <w:fldChar w:fldCharType="separate"/>
      </w:r>
      <w:r w:rsidR="00B25767">
        <w:rPr>
          <w:noProof/>
          <w:webHidden/>
        </w:rPr>
        <w:t>8</w:t>
      </w:r>
      <w:r>
        <w:rPr>
          <w:noProof/>
          <w:webHidden/>
        </w:rPr>
        <w:fldChar w:fldCharType="end"/>
      </w:r>
    </w:p>
    <w:p w14:paraId="6E02B24B" w14:textId="1E6BE925" w:rsidR="00CF270F" w:rsidRDefault="00CF270F">
      <w:pPr>
        <w:pStyle w:val="TOC3"/>
        <w:rPr>
          <w:rFonts w:asciiTheme="minorHAnsi" w:eastAsiaTheme="minorEastAsia" w:hAnsiTheme="minorHAnsi" w:cstheme="minorBidi"/>
          <w:iCs w:val="0"/>
          <w:noProof/>
          <w:sz w:val="22"/>
          <w:szCs w:val="22"/>
          <w:lang w:eastAsia="en-AU"/>
        </w:rPr>
      </w:pPr>
      <w:r>
        <w:rPr>
          <w:noProof/>
        </w:rPr>
        <w:t>New thin capitalisation tests</w:t>
      </w:r>
      <w:r>
        <w:rPr>
          <w:noProof/>
          <w:webHidden/>
        </w:rPr>
        <w:tab/>
      </w:r>
      <w:r>
        <w:rPr>
          <w:noProof/>
          <w:webHidden/>
        </w:rPr>
        <w:fldChar w:fldCharType="begin"/>
      </w:r>
      <w:r>
        <w:rPr>
          <w:noProof/>
          <w:webHidden/>
        </w:rPr>
        <w:instrText xml:space="preserve"> PAGEREF _Toc128658071 \h </w:instrText>
      </w:r>
      <w:r>
        <w:rPr>
          <w:noProof/>
          <w:webHidden/>
        </w:rPr>
      </w:r>
      <w:r>
        <w:rPr>
          <w:noProof/>
          <w:webHidden/>
        </w:rPr>
        <w:fldChar w:fldCharType="separate"/>
      </w:r>
      <w:r w:rsidR="00B25767">
        <w:rPr>
          <w:noProof/>
          <w:webHidden/>
        </w:rPr>
        <w:t>9</w:t>
      </w:r>
      <w:r>
        <w:rPr>
          <w:noProof/>
          <w:webHidden/>
        </w:rPr>
        <w:fldChar w:fldCharType="end"/>
      </w:r>
    </w:p>
    <w:p w14:paraId="787ECB7F" w14:textId="0F38ACB4" w:rsidR="00CF270F" w:rsidRDefault="00CF270F">
      <w:pPr>
        <w:pStyle w:val="TOC2"/>
        <w:rPr>
          <w:rFonts w:asciiTheme="minorHAnsi" w:eastAsiaTheme="minorEastAsia" w:hAnsiTheme="minorHAnsi"/>
          <w:sz w:val="22"/>
          <w:lang w:eastAsia="en-AU"/>
        </w:rPr>
      </w:pPr>
      <w:r>
        <w:t>Consequential amendments</w:t>
      </w:r>
      <w:r>
        <w:rPr>
          <w:webHidden/>
        </w:rPr>
        <w:tab/>
      </w:r>
      <w:r>
        <w:rPr>
          <w:webHidden/>
        </w:rPr>
        <w:fldChar w:fldCharType="begin"/>
      </w:r>
      <w:r>
        <w:rPr>
          <w:webHidden/>
        </w:rPr>
        <w:instrText xml:space="preserve"> PAGEREF _Toc128658072 \h </w:instrText>
      </w:r>
      <w:r>
        <w:rPr>
          <w:webHidden/>
        </w:rPr>
      </w:r>
      <w:r>
        <w:rPr>
          <w:webHidden/>
        </w:rPr>
        <w:fldChar w:fldCharType="separate"/>
      </w:r>
      <w:r w:rsidR="00B25767">
        <w:rPr>
          <w:webHidden/>
        </w:rPr>
        <w:t>24</w:t>
      </w:r>
      <w:r>
        <w:rPr>
          <w:webHidden/>
        </w:rPr>
        <w:fldChar w:fldCharType="end"/>
      </w:r>
    </w:p>
    <w:p w14:paraId="3351C8D7" w14:textId="7C91A7AF" w:rsidR="00CF270F" w:rsidRDefault="00CF270F">
      <w:pPr>
        <w:pStyle w:val="TOC2"/>
        <w:rPr>
          <w:rFonts w:asciiTheme="minorHAnsi" w:eastAsiaTheme="minorEastAsia" w:hAnsiTheme="minorHAnsi"/>
          <w:sz w:val="22"/>
          <w:lang w:eastAsia="en-AU"/>
        </w:rPr>
      </w:pPr>
      <w:r>
        <w:t>Commencement and application provisions</w:t>
      </w:r>
      <w:r>
        <w:rPr>
          <w:webHidden/>
        </w:rPr>
        <w:tab/>
      </w:r>
      <w:r>
        <w:rPr>
          <w:webHidden/>
        </w:rPr>
        <w:fldChar w:fldCharType="begin"/>
      </w:r>
      <w:r>
        <w:rPr>
          <w:webHidden/>
        </w:rPr>
        <w:instrText xml:space="preserve"> PAGEREF _Toc128658073 \h </w:instrText>
      </w:r>
      <w:r>
        <w:rPr>
          <w:webHidden/>
        </w:rPr>
      </w:r>
      <w:r>
        <w:rPr>
          <w:webHidden/>
        </w:rPr>
        <w:fldChar w:fldCharType="separate"/>
      </w:r>
      <w:r w:rsidR="00B25767">
        <w:rPr>
          <w:webHidden/>
        </w:rPr>
        <w:t>26</w:t>
      </w:r>
      <w:r>
        <w:rPr>
          <w:webHidden/>
        </w:rPr>
        <w:fldChar w:fldCharType="end"/>
      </w:r>
    </w:p>
    <w:p w14:paraId="7E077CCF" w14:textId="57448F43" w:rsidR="000B79AE" w:rsidRPr="000B79AE" w:rsidRDefault="000B79AE" w:rsidP="000B79AE">
      <w:r>
        <w:fldChar w:fldCharType="end"/>
      </w:r>
    </w:p>
    <w:p w14:paraId="0E76DBD1" w14:textId="7EB8B15A" w:rsidR="00873094" w:rsidRPr="00020288" w:rsidRDefault="00873094" w:rsidP="005D0844">
      <w:pPr>
        <w:pStyle w:val="Heading2"/>
        <w:rPr>
          <w:rFonts w:hint="eastAsia"/>
        </w:rPr>
      </w:pPr>
      <w:bookmarkStart w:id="32" w:name="_Toc128658064"/>
      <w:r w:rsidRPr="00020288">
        <w:t xml:space="preserve">Outline </w:t>
      </w:r>
      <w:r w:rsidRPr="005D0844">
        <w:t>of</w:t>
      </w:r>
      <w:r w:rsidRPr="00020288">
        <w:t xml:space="preserve"> chapter</w:t>
      </w:r>
      <w:bookmarkEnd w:id="32"/>
    </w:p>
    <w:p w14:paraId="15D85077" w14:textId="7ABBD60D" w:rsidR="00892DBC" w:rsidRPr="000E521B" w:rsidRDefault="00191A9A" w:rsidP="00463D1C">
      <w:pPr>
        <w:pStyle w:val="Normalparatextwithnumbers"/>
      </w:pPr>
      <w:r>
        <w:t xml:space="preserve">Schedule </w:t>
      </w:r>
      <w:r w:rsidR="00D90226">
        <w:t>1</w:t>
      </w:r>
      <w:r>
        <w:t xml:space="preserve"> to the Bil</w:t>
      </w:r>
      <w:r w:rsidR="00865358">
        <w:t>l</w:t>
      </w:r>
      <w:r>
        <w:t xml:space="preserve"> </w:t>
      </w:r>
      <w:r w:rsidR="00865358">
        <w:t>strengthens</w:t>
      </w:r>
      <w:r w:rsidR="00197142">
        <w:t xml:space="preserve"> </w:t>
      </w:r>
      <w:r w:rsidR="00865358">
        <w:t xml:space="preserve">the thin capitalisation rules in </w:t>
      </w:r>
      <w:r w:rsidR="003D2432">
        <w:t>Division</w:t>
      </w:r>
      <w:r w:rsidR="00865358">
        <w:t xml:space="preserve"> 820 of the ITAA 1997</w:t>
      </w:r>
      <w:r w:rsidR="003D2432">
        <w:t xml:space="preserve">. The amendments </w:t>
      </w:r>
      <w:r w:rsidR="00865358">
        <w:t xml:space="preserve">address risks to the </w:t>
      </w:r>
      <w:r w:rsidR="007658E2">
        <w:t xml:space="preserve">domestic </w:t>
      </w:r>
      <w:r w:rsidR="00865358">
        <w:t>tax base arising from the use of debt</w:t>
      </w:r>
      <w:r w:rsidR="00F4491D">
        <w:t xml:space="preserve"> deductions</w:t>
      </w:r>
      <w:r w:rsidR="00010394">
        <w:t xml:space="preserve">, which </w:t>
      </w:r>
      <w:r w:rsidR="00B74725">
        <w:t>amount to</w:t>
      </w:r>
      <w:r w:rsidR="0023694E">
        <w:t xml:space="preserve"> base erosion</w:t>
      </w:r>
      <w:r w:rsidR="003E740B">
        <w:t xml:space="preserve"> or profit shifting arrangement</w:t>
      </w:r>
      <w:r w:rsidR="00B73E4C">
        <w:t>s</w:t>
      </w:r>
      <w:r w:rsidR="005069C0">
        <w:t>. The amendments introduce</w:t>
      </w:r>
      <w:r w:rsidR="00153A15">
        <w:t xml:space="preserve"> new thin capitalisation earnings-based </w:t>
      </w:r>
      <w:r w:rsidR="002D5C04">
        <w:t>rules</w:t>
      </w:r>
      <w:r w:rsidR="00153A15">
        <w:t xml:space="preserve"> for certain entity types, replacing the existing asset-based </w:t>
      </w:r>
      <w:r w:rsidR="001F432D">
        <w:t>rules</w:t>
      </w:r>
      <w:r w:rsidR="00153A15">
        <w:t>, and establishing a new arm’s length debt test, in the form of a</w:t>
      </w:r>
      <w:r w:rsidR="00A90B72">
        <w:t>n</w:t>
      </w:r>
      <w:r w:rsidR="00153A15">
        <w:t xml:space="preserve"> </w:t>
      </w:r>
      <w:r w:rsidR="0029354F">
        <w:t>e</w:t>
      </w:r>
      <w:r w:rsidR="005158C7">
        <w:t>xternal</w:t>
      </w:r>
      <w:r w:rsidR="00153A15">
        <w:t xml:space="preserve"> </w:t>
      </w:r>
      <w:proofErr w:type="gramStart"/>
      <w:r w:rsidR="00153A15">
        <w:t>third</w:t>
      </w:r>
      <w:r w:rsidR="00752FFF">
        <w:t xml:space="preserve"> </w:t>
      </w:r>
      <w:r w:rsidR="00153A15">
        <w:t>party</w:t>
      </w:r>
      <w:proofErr w:type="gramEnd"/>
      <w:r w:rsidR="00153A15">
        <w:t xml:space="preserve"> debt test. The Bill also amends the existing thin capitalisation rules as appropriate to ensure Division</w:t>
      </w:r>
      <w:r w:rsidR="00A41EBD">
        <w:t xml:space="preserve"> 820</w:t>
      </w:r>
      <w:r w:rsidR="00153A15">
        <w:t xml:space="preserve"> continues to be fit for purpose</w:t>
      </w:r>
      <w:r w:rsidR="00865358">
        <w:t>. Th</w:t>
      </w:r>
      <w:r w:rsidR="003D2432">
        <w:t>e</w:t>
      </w:r>
      <w:r w:rsidR="00865358">
        <w:t xml:space="preserve"> </w:t>
      </w:r>
      <w:r w:rsidR="003D2432">
        <w:t xml:space="preserve">amendments </w:t>
      </w:r>
      <w:r w:rsidR="00865358">
        <w:t>appl</w:t>
      </w:r>
      <w:r w:rsidR="003D2432">
        <w:t>y</w:t>
      </w:r>
      <w:r w:rsidR="00865358">
        <w:t xml:space="preserve"> to income years commencing on or after 1 July 2023.</w:t>
      </w:r>
    </w:p>
    <w:p w14:paraId="4C316F2F" w14:textId="77777777" w:rsidR="00873094" w:rsidRPr="00020288" w:rsidRDefault="00873094" w:rsidP="005D0844">
      <w:pPr>
        <w:pStyle w:val="Heading2"/>
        <w:rPr>
          <w:rFonts w:hint="eastAsia"/>
        </w:rPr>
      </w:pPr>
      <w:bookmarkStart w:id="33" w:name="_Toc128658065"/>
      <w:r w:rsidRPr="00020288">
        <w:t xml:space="preserve">Context of </w:t>
      </w:r>
      <w:r w:rsidRPr="005D0844">
        <w:t>amendments</w:t>
      </w:r>
      <w:bookmarkEnd w:id="33"/>
    </w:p>
    <w:p w14:paraId="538548FF" w14:textId="2BBA9173" w:rsidR="00C019B0" w:rsidRDefault="00C019B0" w:rsidP="00F043EE">
      <w:pPr>
        <w:pStyle w:val="Normalparatextwithnumbers"/>
      </w:pPr>
      <w:r>
        <w:t xml:space="preserve">Excessive </w:t>
      </w:r>
      <w:r w:rsidR="00683443">
        <w:t>interest deductions</w:t>
      </w:r>
      <w:r>
        <w:t xml:space="preserve"> </w:t>
      </w:r>
      <w:r w:rsidR="008064C4">
        <w:t xml:space="preserve">(or debt deductions) </w:t>
      </w:r>
      <w:r>
        <w:t xml:space="preserve">pose a significant risk to Australia’s </w:t>
      </w:r>
      <w:r w:rsidR="007658E2">
        <w:t xml:space="preserve">domestic </w:t>
      </w:r>
      <w:r>
        <w:t xml:space="preserve">tax base. </w:t>
      </w:r>
    </w:p>
    <w:p w14:paraId="67EB8D19" w14:textId="6EDFAFEC" w:rsidR="0020308A" w:rsidRDefault="00727DEF" w:rsidP="00F043EE">
      <w:pPr>
        <w:pStyle w:val="Normalparatextwithnumbers"/>
      </w:pPr>
      <w:r>
        <w:lastRenderedPageBreak/>
        <w:t>The OECD’s base erosion and profit shifting (BEPS) project outlines the problem o</w:t>
      </w:r>
      <w:r w:rsidR="007658E2">
        <w:t>f</w:t>
      </w:r>
      <w:r>
        <w:t xml:space="preserve"> using third party, related party</w:t>
      </w:r>
      <w:r w:rsidR="0020308A">
        <w:t>,</w:t>
      </w:r>
      <w:r>
        <w:t xml:space="preserve"> and intragroup debt to </w:t>
      </w:r>
      <w:r w:rsidR="007658E2">
        <w:t>generate excessive deductions for interest and other financial payments</w:t>
      </w:r>
      <w:r>
        <w:t>.</w:t>
      </w:r>
      <w:r>
        <w:rPr>
          <w:rStyle w:val="FootnoteReference"/>
        </w:rPr>
        <w:footnoteReference w:id="2"/>
      </w:r>
      <w:r>
        <w:t xml:space="preserve"> In particular, the OECD notes that “</w:t>
      </w:r>
      <w:r w:rsidR="00D00447">
        <w:t>t</w:t>
      </w:r>
      <w:r>
        <w:t xml:space="preserve">he use of third party and related party interest is perhaps one of the simplest of the profit-shifting techniques available in international tax planning. The fluidity and fungibility of money </w:t>
      </w:r>
      <w:proofErr w:type="gramStart"/>
      <w:r>
        <w:t>makes</w:t>
      </w:r>
      <w:proofErr w:type="gramEnd"/>
      <w:r w:rsidR="00AB2A6F">
        <w:t xml:space="preserve"> </w:t>
      </w:r>
      <w:r>
        <w:t>it a relatively simple exercise to adjust the mix of debt and equity in a controlled entity.”</w:t>
      </w:r>
      <w:r w:rsidR="00F043EE">
        <w:t xml:space="preserve"> </w:t>
      </w:r>
    </w:p>
    <w:p w14:paraId="2EFEDFAF" w14:textId="7DD74B5A" w:rsidR="00727DEF" w:rsidRDefault="00727DEF" w:rsidP="00727DEF">
      <w:pPr>
        <w:pStyle w:val="Normalparatextwithnumbers"/>
      </w:pPr>
      <w:r>
        <w:t xml:space="preserve">In the 2022-23 October Budget, the Government announced that </w:t>
      </w:r>
      <w:r w:rsidR="001713CC">
        <w:t xml:space="preserve">it </w:t>
      </w:r>
      <w:r>
        <w:t xml:space="preserve">will strengthen Australia’s thin capitalisation rules to address risks to the </w:t>
      </w:r>
      <w:r w:rsidR="007658E2">
        <w:t>domestic</w:t>
      </w:r>
      <w:r>
        <w:t xml:space="preserve"> tax base arising from the use of excessive debt deductions.</w:t>
      </w:r>
      <w:r w:rsidR="00C019B0">
        <w:t xml:space="preserve"> </w:t>
      </w:r>
      <w:r w:rsidR="00697117">
        <w:t>The Government’s Budget announcement was informed by the OECD’s best practice guidance</w:t>
      </w:r>
      <w:r w:rsidR="00D75EA0">
        <w:t>.</w:t>
      </w:r>
      <w:r w:rsidR="00697117">
        <w:t xml:space="preserve"> </w:t>
      </w:r>
      <w:r w:rsidR="00C019B0">
        <w:t>The measure will apply</w:t>
      </w:r>
      <w:r w:rsidR="00602CCA">
        <w:t xml:space="preserve"> to income years </w:t>
      </w:r>
      <w:r w:rsidR="00795EDD">
        <w:t>commenc</w:t>
      </w:r>
      <w:r w:rsidR="00602CCA">
        <w:t xml:space="preserve">ing on or after 1 July 2023. </w:t>
      </w:r>
    </w:p>
    <w:p w14:paraId="5C6F4F9E" w14:textId="32A7D016" w:rsidR="00FD5FD8" w:rsidRDefault="00FD5FD8" w:rsidP="00384CA5">
      <w:pPr>
        <w:pStyle w:val="Normalparatextwithnumbers"/>
      </w:pPr>
      <w:r>
        <w:t xml:space="preserve">The thin capitalisation regime is Australia’s current approach to limiting debt deductions. These rules are designed to limit the debt deductions that an entity can claim for tax purposes based on the amount of debt used to finance its operations compared </w:t>
      </w:r>
      <w:r w:rsidR="006E0F8F">
        <w:t>with</w:t>
      </w:r>
      <w:r>
        <w:t xml:space="preserve"> its level of equity, by restricting the amount of interest deductions a company can have based on its level of assets.</w:t>
      </w:r>
    </w:p>
    <w:p w14:paraId="7690DE7C" w14:textId="04A63E3D" w:rsidR="00FD5FD8" w:rsidRDefault="00FD5FD8" w:rsidP="00FD5FD8">
      <w:pPr>
        <w:pStyle w:val="Normalparatextwithnumbers"/>
      </w:pPr>
      <w:r>
        <w:t xml:space="preserve">This approach indirectly limits the amount of debt an entity can use to generate allowable interest deduction. The OECD best practice sets out a direct approach </w:t>
      </w:r>
      <w:r w:rsidR="00B65070">
        <w:t>to</w:t>
      </w:r>
      <w:r>
        <w:t xml:space="preserve"> limit the interest expenses an entity can claim.</w:t>
      </w:r>
    </w:p>
    <w:p w14:paraId="67078994" w14:textId="6F28164C" w:rsidR="00450F4F" w:rsidRDefault="00727DEF" w:rsidP="00450F4F">
      <w:pPr>
        <w:pStyle w:val="Normalparatextwithnumbers"/>
      </w:pPr>
      <w:r>
        <w:t>For certain entities</w:t>
      </w:r>
      <w:r w:rsidR="00450F4F">
        <w:t xml:space="preserve"> (namely, general class investors)</w:t>
      </w:r>
      <w:r>
        <w:t xml:space="preserve">, </w:t>
      </w:r>
      <w:r w:rsidR="00AC49D7">
        <w:t xml:space="preserve">the amendments replace the existing thin capitalisation </w:t>
      </w:r>
      <w:r w:rsidR="0067585B">
        <w:t>rules</w:t>
      </w:r>
      <w:r w:rsidR="00AC49D7">
        <w:t xml:space="preserve"> with </w:t>
      </w:r>
      <w:r w:rsidR="0067585B">
        <w:t>rules</w:t>
      </w:r>
      <w:r w:rsidR="00BA3F0A">
        <w:t xml:space="preserve"> </w:t>
      </w:r>
      <w:r w:rsidR="00DF1A3C">
        <w:t>which</w:t>
      </w:r>
      <w:r w:rsidR="00BA3F0A">
        <w:t xml:space="preserve"> are in line with those recommended in the OECD</w:t>
      </w:r>
      <w:r w:rsidR="00697C33">
        <w:t xml:space="preserve"> best practice guidance.</w:t>
      </w:r>
      <w:r w:rsidR="00140DBD">
        <w:t xml:space="preserve"> In addition, financial entities</w:t>
      </w:r>
      <w:r w:rsidR="0065185F">
        <w:t xml:space="preserve"> (non-ADI)</w:t>
      </w:r>
      <w:r w:rsidR="00140DBD">
        <w:t xml:space="preserve"> </w:t>
      </w:r>
      <w:r w:rsidR="001C62E5">
        <w:t xml:space="preserve">will be subject to the </w:t>
      </w:r>
      <w:r w:rsidR="00370DAC">
        <w:t xml:space="preserve">new </w:t>
      </w:r>
      <w:r w:rsidR="001C62E5">
        <w:t xml:space="preserve">external </w:t>
      </w:r>
      <w:proofErr w:type="gramStart"/>
      <w:r w:rsidR="001C62E5">
        <w:t>third party</w:t>
      </w:r>
      <w:proofErr w:type="gramEnd"/>
      <w:r w:rsidR="001C62E5">
        <w:t xml:space="preserve"> debt test in place of the former arm’s length debt test</w:t>
      </w:r>
      <w:r w:rsidR="00312544">
        <w:t xml:space="preserve">. </w:t>
      </w:r>
      <w:r w:rsidR="00CA6384">
        <w:t>Financial entities and ADIs will</w:t>
      </w:r>
      <w:r w:rsidR="00312544">
        <w:t xml:space="preserve"> otherwise</w:t>
      </w:r>
      <w:r w:rsidR="00CA6384">
        <w:t xml:space="preserve"> continue to be subject to their existing asset-based thin capitalisation safe harbour and worldwide gearing tests. </w:t>
      </w:r>
      <w:r w:rsidR="00C42A6D">
        <w:t>This is because the OECD recognises that the earnings-based tests are unlikely to be effective for these types of entities</w:t>
      </w:r>
      <w:r w:rsidR="001F222B">
        <w:t>,</w:t>
      </w:r>
      <w:r w:rsidR="00C42A6D">
        <w:t xml:space="preserve"> partly as they are net lenders and subject to regulatory capital rules.</w:t>
      </w:r>
    </w:p>
    <w:p w14:paraId="62002CCD" w14:textId="6FEC4D5B" w:rsidR="00112470" w:rsidRDefault="00C90F13">
      <w:pPr>
        <w:pStyle w:val="Normalparatextwithnumbers"/>
      </w:pPr>
      <w:r>
        <w:t xml:space="preserve">These amendments </w:t>
      </w:r>
      <w:r w:rsidR="00021460">
        <w:t xml:space="preserve">align with </w:t>
      </w:r>
      <w:r w:rsidR="00494163">
        <w:t xml:space="preserve">the </w:t>
      </w:r>
      <w:r w:rsidR="00112470">
        <w:t xml:space="preserve">OECD </w:t>
      </w:r>
      <w:r w:rsidR="009979AB">
        <w:t>best practice guidance</w:t>
      </w:r>
      <w:r w:rsidR="006700A2">
        <w:t>, which</w:t>
      </w:r>
      <w:r w:rsidR="009979AB">
        <w:t xml:space="preserve"> </w:t>
      </w:r>
      <w:r w:rsidR="00112470">
        <w:t xml:space="preserve">recommends limiting an entity’s deductions for </w:t>
      </w:r>
      <w:r w:rsidR="78FB47E1">
        <w:t xml:space="preserve">net </w:t>
      </w:r>
      <w:r w:rsidR="1C0B0AE8">
        <w:t>interest</w:t>
      </w:r>
      <w:r w:rsidR="00BF1CC6">
        <w:t>,</w:t>
      </w:r>
      <w:r w:rsidR="00112470">
        <w:t xml:space="preserve"> and payments economically equivalent to interest</w:t>
      </w:r>
      <w:r w:rsidR="00BF1CC6">
        <w:t>,</w:t>
      </w:r>
      <w:r w:rsidR="00112470">
        <w:t xml:space="preserve"> to a percentage of the entity’s earnings before interest, taxes, </w:t>
      </w:r>
      <w:proofErr w:type="gramStart"/>
      <w:r w:rsidR="00112470">
        <w:t>depreciation</w:t>
      </w:r>
      <w:proofErr w:type="gramEnd"/>
      <w:r w:rsidR="00112470">
        <w:t xml:space="preserve"> and amortisation (EBITDA).</w:t>
      </w:r>
      <w:r w:rsidR="0012552B">
        <w:t xml:space="preserve"> </w:t>
      </w:r>
      <w:r w:rsidR="00033BFC">
        <w:t>This reflects th</w:t>
      </w:r>
      <w:r w:rsidR="005407BC">
        <w:t xml:space="preserve">e view that </w:t>
      </w:r>
      <w:r w:rsidR="00033BFC">
        <w:t>aligning interest deductions with taxable economic activity is a more robust approach to address base erosion and profit shifting.</w:t>
      </w:r>
      <w:r w:rsidR="00854AC1">
        <w:t xml:space="preserve"> </w:t>
      </w:r>
    </w:p>
    <w:p w14:paraId="3F07AA2C" w14:textId="720EDC3A" w:rsidR="008E60DB" w:rsidRDefault="008E60DB" w:rsidP="00727DEF">
      <w:pPr>
        <w:pStyle w:val="Normalparatextwithnumbers"/>
      </w:pPr>
      <w:r>
        <w:t>The</w:t>
      </w:r>
      <w:r w:rsidR="00530003">
        <w:t xml:space="preserve"> </w:t>
      </w:r>
      <w:r w:rsidR="00513EB0">
        <w:t>earnings-based</w:t>
      </w:r>
      <w:r>
        <w:t xml:space="preserve"> tests </w:t>
      </w:r>
      <w:r w:rsidR="0026311E">
        <w:t xml:space="preserve">are supplemented by an external </w:t>
      </w:r>
      <w:proofErr w:type="gramStart"/>
      <w:r w:rsidR="0026311E">
        <w:t>third party</w:t>
      </w:r>
      <w:proofErr w:type="gramEnd"/>
      <w:r w:rsidR="0026311E">
        <w:t xml:space="preserve"> debt test</w:t>
      </w:r>
      <w:r w:rsidR="00B543B4">
        <w:t>, which allows interest expense</w:t>
      </w:r>
      <w:r w:rsidR="00910829">
        <w:t>s</w:t>
      </w:r>
      <w:r w:rsidR="00B543B4">
        <w:t xml:space="preserve"> </w:t>
      </w:r>
      <w:r w:rsidR="00910829">
        <w:t xml:space="preserve">to be deducted where those expenses are attributable </w:t>
      </w:r>
      <w:r w:rsidR="00B543B4">
        <w:t xml:space="preserve">to genuine third party debt which is used </w:t>
      </w:r>
      <w:r w:rsidR="008A1767">
        <w:t>wholly</w:t>
      </w:r>
      <w:r w:rsidR="00B543B4">
        <w:t xml:space="preserve"> to fund Australian business operations.</w:t>
      </w:r>
      <w:r w:rsidR="00C20D69">
        <w:t xml:space="preserve"> That is, deductions for related party debt will be </w:t>
      </w:r>
      <w:r w:rsidR="00530003">
        <w:t>entirely</w:t>
      </w:r>
      <w:r w:rsidR="00C20D69">
        <w:t xml:space="preserve"> </w:t>
      </w:r>
      <w:r w:rsidR="00C20D69">
        <w:lastRenderedPageBreak/>
        <w:t xml:space="preserve">disallowed under this test. The external third-party debt test replaces the existing arm’s length debt test for ‘general class </w:t>
      </w:r>
      <w:proofErr w:type="gramStart"/>
      <w:r w:rsidR="00C20D69">
        <w:t>investors’</w:t>
      </w:r>
      <w:proofErr w:type="gramEnd"/>
      <w:r w:rsidR="00C20D69">
        <w:t xml:space="preserve"> and financial entities</w:t>
      </w:r>
      <w:r w:rsidR="00CA6356">
        <w:t xml:space="preserve"> (non-ADI)</w:t>
      </w:r>
      <w:r w:rsidR="00C20D69">
        <w:t xml:space="preserve">, as announced in the </w:t>
      </w:r>
      <w:r w:rsidR="0065185F">
        <w:t xml:space="preserve">2022-23 </w:t>
      </w:r>
      <w:r w:rsidR="00C20D69">
        <w:t>Budget.</w:t>
      </w:r>
    </w:p>
    <w:p w14:paraId="1CF837A7" w14:textId="77777777" w:rsidR="00873094" w:rsidRPr="00020288" w:rsidRDefault="00873094" w:rsidP="005D0844">
      <w:pPr>
        <w:pStyle w:val="Heading2"/>
        <w:rPr>
          <w:rFonts w:hint="eastAsia"/>
        </w:rPr>
      </w:pPr>
      <w:bookmarkStart w:id="34" w:name="_Toc128658066"/>
      <w:r w:rsidRPr="00020288">
        <w:t xml:space="preserve">Summary of </w:t>
      </w:r>
      <w:r w:rsidRPr="005D0844">
        <w:t>new</w:t>
      </w:r>
      <w:r w:rsidRPr="00020288">
        <w:t xml:space="preserve"> law</w:t>
      </w:r>
      <w:bookmarkEnd w:id="34"/>
    </w:p>
    <w:p w14:paraId="797BB601" w14:textId="6F75DF77" w:rsidR="00873094" w:rsidRDefault="00346C8F" w:rsidP="00873094">
      <w:pPr>
        <w:pStyle w:val="Normalparatextwithnumbers"/>
        <w:numPr>
          <w:ilvl w:val="1"/>
          <w:numId w:val="3"/>
        </w:numPr>
      </w:pPr>
      <w:r>
        <w:t xml:space="preserve">The Bill introduces new thin capitalisation </w:t>
      </w:r>
      <w:r w:rsidR="002F2F00">
        <w:t xml:space="preserve">earnings-based </w:t>
      </w:r>
      <w:r>
        <w:t>tests for ‘</w:t>
      </w:r>
      <w:r w:rsidRPr="004B1B70">
        <w:t>general class investors</w:t>
      </w:r>
      <w:r>
        <w:t>’</w:t>
      </w:r>
      <w:r w:rsidR="009B670D">
        <w:t>, s</w:t>
      </w:r>
      <w:r w:rsidR="00C9200E">
        <w:t xml:space="preserve">pecifically, a fixed ratio </w:t>
      </w:r>
      <w:r w:rsidR="00507338">
        <w:t>test</w:t>
      </w:r>
      <w:r w:rsidR="00C9200E">
        <w:t xml:space="preserve"> that replaces </w:t>
      </w:r>
      <w:r w:rsidR="00CC19E6">
        <w:t xml:space="preserve">the existing safe harbour </w:t>
      </w:r>
      <w:r w:rsidR="00507338">
        <w:t>test</w:t>
      </w:r>
      <w:r w:rsidR="00C9200E">
        <w:t xml:space="preserve">, and a group ratio </w:t>
      </w:r>
      <w:r w:rsidR="00507338">
        <w:t>test</w:t>
      </w:r>
      <w:r w:rsidR="00C9200E">
        <w:t xml:space="preserve"> that replaces the existing</w:t>
      </w:r>
      <w:r w:rsidR="00CC19E6">
        <w:t xml:space="preserve"> worldwide gearing </w:t>
      </w:r>
      <w:r w:rsidR="00507338">
        <w:t>test</w:t>
      </w:r>
      <w:r w:rsidR="00CC19E6">
        <w:t>.</w:t>
      </w:r>
      <w:r w:rsidR="00B23C80" w:rsidRPr="00B23C80">
        <w:t xml:space="preserve"> </w:t>
      </w:r>
      <w:r w:rsidR="00E1743E">
        <w:t xml:space="preserve">In addition, the Bill introduces an external </w:t>
      </w:r>
      <w:proofErr w:type="gramStart"/>
      <w:r w:rsidR="00E1743E">
        <w:t>third party</w:t>
      </w:r>
      <w:proofErr w:type="gramEnd"/>
      <w:r w:rsidR="00E1743E">
        <w:t xml:space="preserve"> debt test for </w:t>
      </w:r>
      <w:r w:rsidR="00072A2B">
        <w:t>general class investors and financial entities that are not ADIs.</w:t>
      </w:r>
      <w:r w:rsidR="00207F7A" w:rsidRPr="00207F7A">
        <w:t xml:space="preserve"> </w:t>
      </w:r>
      <w:r w:rsidR="00207F7A" w:rsidRPr="00834936">
        <w:t>The new thin capitalisation rules may disallow all or part of a general class investor’s debt deductions for an income year.</w:t>
      </w:r>
    </w:p>
    <w:p w14:paraId="7F27FCA8" w14:textId="57607DB0" w:rsidR="00346C8F" w:rsidRDefault="00346C8F" w:rsidP="00873094">
      <w:pPr>
        <w:pStyle w:val="Normalparatextwithnumbers"/>
        <w:numPr>
          <w:ilvl w:val="1"/>
          <w:numId w:val="3"/>
        </w:numPr>
      </w:pPr>
      <w:r>
        <w:t xml:space="preserve">The ‘general class investor’ concept represents a consolidation of the existing ‘general’ classes of entities, being ‘outward investor (general)’, ‘inward investment vehicle (general)’ and ‘inward investor (general)’. Entities which previously fell into one of those classes of entities </w:t>
      </w:r>
      <w:r w:rsidR="00D47424">
        <w:t>will</w:t>
      </w:r>
      <w:r>
        <w:t xml:space="preserve"> now</w:t>
      </w:r>
      <w:r w:rsidDel="00EF011D">
        <w:t xml:space="preserve"> </w:t>
      </w:r>
      <w:r>
        <w:t>fall under the new ‘general class investor’ definition.</w:t>
      </w:r>
      <w:r w:rsidR="00643B04">
        <w:t xml:space="preserve"> This approach </w:t>
      </w:r>
      <w:r w:rsidR="005C7401">
        <w:t xml:space="preserve">simplifies </w:t>
      </w:r>
      <w:r w:rsidR="006C6F3A">
        <w:t xml:space="preserve">elements of </w:t>
      </w:r>
      <w:r w:rsidR="005C7401">
        <w:t xml:space="preserve">the </w:t>
      </w:r>
      <w:r w:rsidR="006C6F3A">
        <w:t>thin capitalisation regime</w:t>
      </w:r>
      <w:r w:rsidR="00643B04">
        <w:t xml:space="preserve">, while being clear that financial entities and ADIs are not </w:t>
      </w:r>
      <w:r w:rsidR="00A9653D">
        <w:t>with</w:t>
      </w:r>
      <w:r w:rsidR="00643B04">
        <w:t xml:space="preserve">in </w:t>
      </w:r>
      <w:r w:rsidR="00A9653D">
        <w:t xml:space="preserve">the </w:t>
      </w:r>
      <w:r w:rsidR="00643B04">
        <w:t>scope</w:t>
      </w:r>
      <w:r w:rsidR="00A9653D">
        <w:t xml:space="preserve"> of that concept</w:t>
      </w:r>
      <w:r w:rsidR="00816C99">
        <w:t>.</w:t>
      </w:r>
    </w:p>
    <w:p w14:paraId="0F2A16EA" w14:textId="2668E23A" w:rsidR="00E17F4F" w:rsidRDefault="00E17F4F" w:rsidP="009B25D1">
      <w:pPr>
        <w:pStyle w:val="Heading4"/>
      </w:pPr>
      <w:r>
        <w:t xml:space="preserve">Fixed </w:t>
      </w:r>
      <w:r w:rsidR="001B5AD6">
        <w:t>r</w:t>
      </w:r>
      <w:r>
        <w:t xml:space="preserve">atio </w:t>
      </w:r>
      <w:r w:rsidR="001B5AD6">
        <w:t>t</w:t>
      </w:r>
      <w:r>
        <w:t>est</w:t>
      </w:r>
    </w:p>
    <w:p w14:paraId="7DB70A6F" w14:textId="7BA1BAA7" w:rsidR="00426364" w:rsidRDefault="00426364" w:rsidP="00426364">
      <w:pPr>
        <w:pStyle w:val="Normalparatextwithnumbers"/>
      </w:pPr>
      <w:r>
        <w:t xml:space="preserve">The fixed ratio test allows </w:t>
      </w:r>
      <w:r w:rsidR="00BA07B2">
        <w:t>a</w:t>
      </w:r>
      <w:r w:rsidR="00EC16FB">
        <w:t>n entity</w:t>
      </w:r>
      <w:r w:rsidR="00BA07B2">
        <w:t xml:space="preserve"> to claim </w:t>
      </w:r>
      <w:r w:rsidR="79C277C1">
        <w:t xml:space="preserve">net </w:t>
      </w:r>
      <w:r>
        <w:t>debt deductions up to 30</w:t>
      </w:r>
      <w:r w:rsidR="00541B3E">
        <w:t xml:space="preserve"> per cent</w:t>
      </w:r>
      <w:r>
        <w:t xml:space="preserve"> of</w:t>
      </w:r>
      <w:r w:rsidR="00541B3E">
        <w:t xml:space="preserve"> </w:t>
      </w:r>
      <w:r w:rsidR="00EC16FB">
        <w:t>its</w:t>
      </w:r>
      <w:r w:rsidR="00BA07B2">
        <w:t xml:space="preserve"> </w:t>
      </w:r>
      <w:r w:rsidR="00866836">
        <w:t>‘</w:t>
      </w:r>
      <w:r w:rsidR="00541B3E">
        <w:t>tax</w:t>
      </w:r>
      <w:r>
        <w:t xml:space="preserve"> EBITDA</w:t>
      </w:r>
      <w:r w:rsidR="00866836">
        <w:t>’</w:t>
      </w:r>
      <w:r w:rsidR="00E22D5E">
        <w:t xml:space="preserve">, </w:t>
      </w:r>
      <w:r w:rsidR="006E6E44">
        <w:t xml:space="preserve">which is </w:t>
      </w:r>
      <w:r w:rsidR="00E22D5E">
        <w:t xml:space="preserve">broadly, </w:t>
      </w:r>
      <w:r w:rsidR="00CF3AD5">
        <w:t xml:space="preserve">the entity’s </w:t>
      </w:r>
      <w:r w:rsidR="00E22D5E">
        <w:t xml:space="preserve">taxable income or </w:t>
      </w:r>
      <w:r w:rsidR="00CF3AD5">
        <w:t xml:space="preserve">tax </w:t>
      </w:r>
      <w:r w:rsidR="00E22D5E">
        <w:t xml:space="preserve">loss </w:t>
      </w:r>
      <w:r w:rsidR="006E6E44">
        <w:t>adding back</w:t>
      </w:r>
      <w:r w:rsidR="00E22D5E">
        <w:t xml:space="preserve"> </w:t>
      </w:r>
      <w:r w:rsidR="006E6E44">
        <w:t xml:space="preserve">deductions for </w:t>
      </w:r>
      <w:r w:rsidR="00E22D5E">
        <w:t>interest</w:t>
      </w:r>
      <w:r w:rsidR="006E6E44">
        <w:t xml:space="preserve">, </w:t>
      </w:r>
      <w:r w:rsidR="00E22D5E">
        <w:t>decline in value, capital works</w:t>
      </w:r>
      <w:r w:rsidR="006E6E44">
        <w:t xml:space="preserve"> and prior year tax losses</w:t>
      </w:r>
      <w:r>
        <w:t>. This ensures that a portion of an entity’s profit</w:t>
      </w:r>
      <w:r w:rsidR="00CF3AD5">
        <w:t>s</w:t>
      </w:r>
      <w:r>
        <w:t xml:space="preserve"> remains subject to tax </w:t>
      </w:r>
      <w:r w:rsidR="00867C89">
        <w:t xml:space="preserve">in </w:t>
      </w:r>
      <w:r>
        <w:t>Australia and cannot be eroded by excessive debt deductions.</w:t>
      </w:r>
    </w:p>
    <w:p w14:paraId="22966C72" w14:textId="6B51E17A" w:rsidR="007E19DD" w:rsidRDefault="0017166D" w:rsidP="007E19DD">
      <w:pPr>
        <w:pStyle w:val="Normalparatextwithnumbers"/>
      </w:pPr>
      <w:r>
        <w:t>Under the fixed ratio test, a</w:t>
      </w:r>
      <w:r w:rsidR="007E19DD">
        <w:t xml:space="preserve"> special </w:t>
      </w:r>
      <w:r w:rsidR="009C3DB7">
        <w:t>deduction is allowed</w:t>
      </w:r>
      <w:r w:rsidR="00825F0F">
        <w:t xml:space="preserve"> for </w:t>
      </w:r>
      <w:r>
        <w:t xml:space="preserve">debt deductions that were </w:t>
      </w:r>
      <w:r w:rsidR="00825F0F">
        <w:t>previously disallowed under the fixed ratio test</w:t>
      </w:r>
      <w:r w:rsidR="00B710CC">
        <w:t xml:space="preserve"> if </w:t>
      </w:r>
      <w:r>
        <w:t xml:space="preserve">the </w:t>
      </w:r>
      <w:r w:rsidR="00B710CC">
        <w:t xml:space="preserve">entity’s </w:t>
      </w:r>
      <w:r>
        <w:t xml:space="preserve">net debt deductions are less than </w:t>
      </w:r>
      <w:r w:rsidR="002157AD">
        <w:t>30 per cent of its ‘tax EBITDA’ for an income year</w:t>
      </w:r>
      <w:r>
        <w:t xml:space="preserve">. </w:t>
      </w:r>
      <w:r w:rsidR="00CF1C5A">
        <w:t>D</w:t>
      </w:r>
      <w:r w:rsidR="003542B6">
        <w:t>ebt deduction</w:t>
      </w:r>
      <w:r w:rsidR="00A85CD8">
        <w:t>s</w:t>
      </w:r>
      <w:r w:rsidR="003542B6">
        <w:t xml:space="preserve"> </w:t>
      </w:r>
      <w:r w:rsidR="00CF1C5A">
        <w:t xml:space="preserve">disallowed </w:t>
      </w:r>
      <w:r w:rsidR="00DF4B0A">
        <w:t xml:space="preserve">over the previous 15 years </w:t>
      </w:r>
      <w:r w:rsidR="00A85CD8">
        <w:t xml:space="preserve">can be </w:t>
      </w:r>
      <w:r w:rsidR="00CF1C5A">
        <w:t>claimed under this special deduction rule</w:t>
      </w:r>
      <w:r w:rsidR="007E19DD">
        <w:t xml:space="preserve">. </w:t>
      </w:r>
    </w:p>
    <w:p w14:paraId="7FCB269B" w14:textId="77777777" w:rsidR="007E19DD" w:rsidRDefault="007E19DD" w:rsidP="007E19DD">
      <w:pPr>
        <w:pStyle w:val="Normalparatextwithnumbers"/>
        <w:numPr>
          <w:ilvl w:val="1"/>
          <w:numId w:val="3"/>
        </w:numPr>
      </w:pPr>
      <w:r>
        <w:t>The special deduction is included as part of the fixed ratio test to address year-on-year earnings volatility concerns for businesses which limit their ability to claim debt deductions depending on their economic performance for an income year.</w:t>
      </w:r>
    </w:p>
    <w:p w14:paraId="30F4DC79" w14:textId="7A4C7D06" w:rsidR="00F252D9" w:rsidRDefault="001B5AD6" w:rsidP="009B25D1">
      <w:pPr>
        <w:pStyle w:val="Heading4"/>
      </w:pPr>
      <w:r>
        <w:t>Group ratio test</w:t>
      </w:r>
    </w:p>
    <w:p w14:paraId="02081DED" w14:textId="3BC3FD58" w:rsidR="00426364" w:rsidRDefault="003624D0" w:rsidP="00426364">
      <w:pPr>
        <w:pStyle w:val="Normalparatextwithnumbers"/>
      </w:pPr>
      <w:r w:rsidDel="00D870EC">
        <w:t>T</w:t>
      </w:r>
      <w:r w:rsidR="00426364" w:rsidDel="00D870EC">
        <w:t xml:space="preserve">he </w:t>
      </w:r>
      <w:r w:rsidR="00426364">
        <w:t>group ratio test</w:t>
      </w:r>
      <w:r w:rsidR="007D4486">
        <w:t xml:space="preserve"> can be used as an alternative</w:t>
      </w:r>
      <w:r w:rsidR="00A55233">
        <w:t xml:space="preserve"> to </w:t>
      </w:r>
      <w:r w:rsidR="007D4486">
        <w:t>the fixed ratio test</w:t>
      </w:r>
      <w:r w:rsidR="00A55233">
        <w:t xml:space="preserve"> for more highly leveraged groups</w:t>
      </w:r>
      <w:r w:rsidR="00426364">
        <w:t xml:space="preserve">. The group ratio test allows an entity in a </w:t>
      </w:r>
      <w:r w:rsidR="00426364" w:rsidDel="00C74F1E">
        <w:t>highly</w:t>
      </w:r>
      <w:r w:rsidR="00C74F1E">
        <w:t xml:space="preserve"> </w:t>
      </w:r>
      <w:r w:rsidR="00C74F1E">
        <w:lastRenderedPageBreak/>
        <w:t>leveraged</w:t>
      </w:r>
      <w:r w:rsidR="00426364">
        <w:t xml:space="preserve"> group to deduct net </w:t>
      </w:r>
      <w:r w:rsidR="003A28CF">
        <w:t>debt deductions</w:t>
      </w:r>
      <w:r w:rsidR="00426364">
        <w:t xml:space="preserve"> </w:t>
      </w:r>
      <w:proofErr w:type="gramStart"/>
      <w:r w:rsidR="00426364">
        <w:t>in excess of</w:t>
      </w:r>
      <w:proofErr w:type="gramEnd"/>
      <w:r w:rsidR="00426364">
        <w:t xml:space="preserve"> the amount permitted under the fixed ratio rule, based on a relevant financial ratio of the worldwide group.</w:t>
      </w:r>
    </w:p>
    <w:p w14:paraId="0C70B27E" w14:textId="62CD1073" w:rsidR="00426364" w:rsidRDefault="00426364" w:rsidP="00426364">
      <w:pPr>
        <w:pStyle w:val="Normalparatextwithnumbers"/>
      </w:pPr>
      <w:r>
        <w:t xml:space="preserve">If the group ratio test applies, the amount of debt deductions of an entity for an income year that are disallowed is the amount by which the entity’s net debt deductions exceed the entity’s group ratio earnings limit for the income year. </w:t>
      </w:r>
    </w:p>
    <w:p w14:paraId="519B81E6" w14:textId="1EE732CD" w:rsidR="00825F9C" w:rsidRDefault="00FC3C1B" w:rsidP="004F23A0">
      <w:pPr>
        <w:pStyle w:val="Heading4"/>
      </w:pPr>
      <w:r>
        <w:t xml:space="preserve">External </w:t>
      </w:r>
      <w:proofErr w:type="gramStart"/>
      <w:r>
        <w:t>third party</w:t>
      </w:r>
      <w:proofErr w:type="gramEnd"/>
      <w:r>
        <w:t xml:space="preserve"> debt test</w:t>
      </w:r>
    </w:p>
    <w:p w14:paraId="766732E7" w14:textId="0E51EA9D" w:rsidR="00FA3E2F" w:rsidRPr="00020288" w:rsidRDefault="004F23A0" w:rsidP="00892DBC">
      <w:pPr>
        <w:pStyle w:val="Normalparatextwithnumbers"/>
        <w:numPr>
          <w:ilvl w:val="1"/>
          <w:numId w:val="3"/>
        </w:numPr>
      </w:pPr>
      <w:r>
        <w:t xml:space="preserve">The external </w:t>
      </w:r>
      <w:proofErr w:type="gramStart"/>
      <w:r>
        <w:t>third party</w:t>
      </w:r>
      <w:proofErr w:type="gramEnd"/>
      <w:r>
        <w:t xml:space="preserve"> debt </w:t>
      </w:r>
      <w:r w:rsidR="00D5357D">
        <w:t>test allow</w:t>
      </w:r>
      <w:r>
        <w:t>s</w:t>
      </w:r>
      <w:r w:rsidR="00D5357D">
        <w:t xml:space="preserve"> all debt deductions which are attributable to third party debt and </w:t>
      </w:r>
      <w:r w:rsidR="00825F9C">
        <w:t xml:space="preserve">that </w:t>
      </w:r>
      <w:r w:rsidR="00D5357D">
        <w:t>satisfy certain other conditions. This test replaces the arm’s length debt test for all entities</w:t>
      </w:r>
      <w:r w:rsidR="1C27256A">
        <w:t xml:space="preserve"> </w:t>
      </w:r>
      <w:r w:rsidR="000E6E1D">
        <w:t>previously subject to the arm’s length debt test</w:t>
      </w:r>
      <w:r w:rsidR="359252CE">
        <w:t>.</w:t>
      </w:r>
      <w:r w:rsidR="00DF7CE4">
        <w:t xml:space="preserve"> </w:t>
      </w:r>
    </w:p>
    <w:p w14:paraId="2F0DD652" w14:textId="77777777" w:rsidR="00873094" w:rsidRPr="00020288" w:rsidRDefault="00873094" w:rsidP="00AF50CE">
      <w:pPr>
        <w:pStyle w:val="Heading2"/>
        <w:rPr>
          <w:rFonts w:hint="eastAsia"/>
        </w:rPr>
      </w:pPr>
      <w:bookmarkStart w:id="35" w:name="_Toc128658067"/>
      <w:r w:rsidRPr="00AF50CE">
        <w:t>Comparison</w:t>
      </w:r>
      <w:r w:rsidRPr="00020288">
        <w:t xml:space="preserve"> of key features of new law and current law</w:t>
      </w:r>
      <w:bookmarkEnd w:id="35"/>
    </w:p>
    <w:p w14:paraId="71176C73" w14:textId="77777777" w:rsidR="00873094" w:rsidRPr="002D3B91" w:rsidRDefault="00873094" w:rsidP="00873094">
      <w:pPr>
        <w:pStyle w:val="TableHeading"/>
        <w:numPr>
          <w:ilvl w:val="4"/>
          <w:numId w:val="3"/>
        </w:numPr>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3827E2" w:rsidRPr="00020288" w14:paraId="20352A09" w14:textId="77777777" w:rsidTr="002425D9">
        <w:trPr>
          <w:cnfStyle w:val="100000000000" w:firstRow="1" w:lastRow="0" w:firstColumn="0" w:lastColumn="0" w:oddVBand="0" w:evenVBand="0" w:oddHBand="0" w:evenHBand="0" w:firstRowFirstColumn="0" w:firstRowLastColumn="0" w:lastRowFirstColumn="0" w:lastRowLastColumn="0"/>
        </w:trPr>
        <w:tc>
          <w:tcPr>
            <w:tcW w:w="3776" w:type="dxa"/>
          </w:tcPr>
          <w:p w14:paraId="2AA86E3E" w14:textId="77777777" w:rsidR="00873094" w:rsidRPr="00A61FE9" w:rsidRDefault="00873094" w:rsidP="00873094">
            <w:pPr>
              <w:pStyle w:val="Tableheaderrowtext"/>
              <w:numPr>
                <w:ilvl w:val="3"/>
                <w:numId w:val="2"/>
              </w:numPr>
              <w:ind w:left="1701" w:hanging="1701"/>
            </w:pPr>
            <w:r w:rsidRPr="00A61FE9">
              <w:t>New law</w:t>
            </w:r>
          </w:p>
        </w:tc>
        <w:tc>
          <w:tcPr>
            <w:tcW w:w="3874" w:type="dxa"/>
          </w:tcPr>
          <w:p w14:paraId="1A99FABF" w14:textId="77777777" w:rsidR="00873094" w:rsidRPr="00A61FE9" w:rsidRDefault="00873094" w:rsidP="00873094">
            <w:pPr>
              <w:pStyle w:val="Tableheaderrowtext"/>
              <w:numPr>
                <w:ilvl w:val="3"/>
                <w:numId w:val="2"/>
              </w:numPr>
              <w:ind w:left="1701" w:hanging="1701"/>
            </w:pPr>
            <w:r w:rsidRPr="00A61FE9">
              <w:t>Current law</w:t>
            </w:r>
          </w:p>
        </w:tc>
      </w:tr>
      <w:tr w:rsidR="00873094" w:rsidRPr="00020288" w14:paraId="1DBC39E9" w14:textId="77777777" w:rsidTr="002425D9">
        <w:tc>
          <w:tcPr>
            <w:tcW w:w="3776" w:type="dxa"/>
          </w:tcPr>
          <w:p w14:paraId="329A5B09" w14:textId="6746D9B0" w:rsidR="00873094" w:rsidRPr="00020288" w:rsidRDefault="00945679" w:rsidP="002425D9">
            <w:pPr>
              <w:pStyle w:val="Tabletext"/>
            </w:pPr>
            <w:r>
              <w:t xml:space="preserve">The ‘general class investor’ </w:t>
            </w:r>
            <w:r w:rsidR="002F710C">
              <w:t xml:space="preserve">definition is introduced. The definition is a consolidation of </w:t>
            </w:r>
            <w:r w:rsidR="00385B85">
              <w:t xml:space="preserve">the previous general classes of entities. </w:t>
            </w:r>
          </w:p>
        </w:tc>
        <w:tc>
          <w:tcPr>
            <w:tcW w:w="3874" w:type="dxa"/>
          </w:tcPr>
          <w:p w14:paraId="66A331D9" w14:textId="4BEE04E4" w:rsidR="00873094" w:rsidRPr="00020288" w:rsidRDefault="00385B85" w:rsidP="002425D9">
            <w:pPr>
              <w:pStyle w:val="Tabletext"/>
            </w:pPr>
            <w:r>
              <w:t xml:space="preserve">General class investors </w:t>
            </w:r>
            <w:r w:rsidR="00523690">
              <w:t xml:space="preserve">are </w:t>
            </w:r>
            <w:r w:rsidR="007E5555">
              <w:t xml:space="preserve">either an ‘outward investor (general)’, ‘inward investment vehicle (general)’ </w:t>
            </w:r>
            <w:r w:rsidR="00886CE1">
              <w:t>or</w:t>
            </w:r>
            <w:r w:rsidR="007E5555">
              <w:t xml:space="preserve"> ‘inward investor (general)’.</w:t>
            </w:r>
          </w:p>
        </w:tc>
      </w:tr>
      <w:tr w:rsidR="00873094" w:rsidRPr="00020288" w14:paraId="6E5FFC7C" w14:textId="77777777" w:rsidTr="002425D9">
        <w:tc>
          <w:tcPr>
            <w:tcW w:w="3776" w:type="dxa"/>
          </w:tcPr>
          <w:p w14:paraId="59065E95" w14:textId="21141832" w:rsidR="00873094" w:rsidRPr="00020288" w:rsidRDefault="007E5555" w:rsidP="002425D9">
            <w:pPr>
              <w:pStyle w:val="Tabletext"/>
            </w:pPr>
            <w:r>
              <w:t>Earnings</w:t>
            </w:r>
            <w:r w:rsidR="0093575D">
              <w:t>-</w:t>
            </w:r>
            <w:r>
              <w:t xml:space="preserve">based tests </w:t>
            </w:r>
            <w:r w:rsidR="00D62A61">
              <w:t>(being the fixed ratio test</w:t>
            </w:r>
            <w:r w:rsidR="00633756">
              <w:t xml:space="preserve"> and</w:t>
            </w:r>
            <w:r w:rsidR="00D62A61">
              <w:t xml:space="preserve"> the group ratio test</w:t>
            </w:r>
            <w:r w:rsidR="0049330D">
              <w:t>)</w:t>
            </w:r>
            <w:r w:rsidR="00D62A61">
              <w:t xml:space="preserve"> disallow</w:t>
            </w:r>
            <w:r w:rsidR="00F93A3E">
              <w:t xml:space="preserve"> </w:t>
            </w:r>
            <w:r w:rsidR="00322C1B">
              <w:t xml:space="preserve">an amount of an entity’s </w:t>
            </w:r>
            <w:r w:rsidR="00F93A3E">
              <w:t xml:space="preserve">debt deductions </w:t>
            </w:r>
            <w:r w:rsidR="00322C1B">
              <w:t>based on the</w:t>
            </w:r>
            <w:r w:rsidR="003307B3">
              <w:t xml:space="preserve"> entity’s earnings or profits. </w:t>
            </w:r>
          </w:p>
        </w:tc>
        <w:tc>
          <w:tcPr>
            <w:tcW w:w="3874" w:type="dxa"/>
          </w:tcPr>
          <w:p w14:paraId="64676A25" w14:textId="29A72E93" w:rsidR="00873094" w:rsidRPr="00020288" w:rsidRDefault="00EF1062" w:rsidP="00701DFD">
            <w:pPr>
              <w:pStyle w:val="Tabletext"/>
            </w:pPr>
            <w:r>
              <w:t xml:space="preserve">The thin capitalisation rules disallow </w:t>
            </w:r>
            <w:r w:rsidR="00322C1B">
              <w:t xml:space="preserve">an amount of an entity’s </w:t>
            </w:r>
            <w:r>
              <w:t xml:space="preserve">debt deductions by reference to the quantum of debt </w:t>
            </w:r>
            <w:r w:rsidR="00E13EBC">
              <w:t xml:space="preserve">held by </w:t>
            </w:r>
            <w:r w:rsidR="00322C1B">
              <w:t>the</w:t>
            </w:r>
            <w:r w:rsidR="00E13EBC">
              <w:t xml:space="preserve"> entity relative to its assets</w:t>
            </w:r>
            <w:r w:rsidR="00075F07">
              <w:t>.</w:t>
            </w:r>
            <w:r w:rsidR="00E13EBC">
              <w:t xml:space="preserve"> </w:t>
            </w:r>
            <w:r>
              <w:t xml:space="preserve"> </w:t>
            </w:r>
          </w:p>
        </w:tc>
      </w:tr>
      <w:tr w:rsidR="00873094" w:rsidRPr="00020288" w14:paraId="10748957" w14:textId="77777777" w:rsidTr="002425D9">
        <w:tc>
          <w:tcPr>
            <w:tcW w:w="3776" w:type="dxa"/>
          </w:tcPr>
          <w:p w14:paraId="1D6D1B6E" w14:textId="1760F733" w:rsidR="00D16477" w:rsidRDefault="00D62A61" w:rsidP="002425D9">
            <w:pPr>
              <w:pStyle w:val="Tabletext"/>
            </w:pPr>
            <w:r>
              <w:t xml:space="preserve">A fixed ratio test </w:t>
            </w:r>
            <w:r w:rsidR="00F81BB9">
              <w:t>dis</w:t>
            </w:r>
            <w:r>
              <w:t xml:space="preserve">allows net debt deductions </w:t>
            </w:r>
            <w:r w:rsidR="00F81BB9">
              <w:t>that exceed</w:t>
            </w:r>
            <w:r>
              <w:t xml:space="preserve"> a specified proportion (30 per cent) of tax EBITDA.</w:t>
            </w:r>
          </w:p>
          <w:p w14:paraId="7366023A" w14:textId="3CE78167" w:rsidR="00873094" w:rsidRPr="00020288" w:rsidRDefault="00D16477" w:rsidP="002425D9">
            <w:pPr>
              <w:pStyle w:val="Tabletext"/>
            </w:pPr>
            <w:r>
              <w:t xml:space="preserve">The fixed ratio test replaces the safe harbour debt test for all general class investors. </w:t>
            </w:r>
          </w:p>
        </w:tc>
        <w:tc>
          <w:tcPr>
            <w:tcW w:w="3874" w:type="dxa"/>
          </w:tcPr>
          <w:p w14:paraId="114D214F" w14:textId="27A0A170" w:rsidR="001237BC" w:rsidRDefault="00D62A61" w:rsidP="002425D9">
            <w:pPr>
              <w:pStyle w:val="Tabletext"/>
            </w:pPr>
            <w:r>
              <w:t xml:space="preserve">No </w:t>
            </w:r>
            <w:r w:rsidR="00FA116F">
              <w:t xml:space="preserve">direct </w:t>
            </w:r>
            <w:r>
              <w:t>equivalent.</w:t>
            </w:r>
          </w:p>
          <w:p w14:paraId="2B705B8A" w14:textId="0C5E4739" w:rsidR="00873094" w:rsidRPr="00020288" w:rsidRDefault="00692B07" w:rsidP="002425D9">
            <w:pPr>
              <w:pStyle w:val="Tabletext"/>
            </w:pPr>
            <w:r>
              <w:t xml:space="preserve">Under the </w:t>
            </w:r>
            <w:r w:rsidR="000307F1">
              <w:t>safe harbour debt test</w:t>
            </w:r>
            <w:r>
              <w:t xml:space="preserve">, debt deductions </w:t>
            </w:r>
            <w:proofErr w:type="gramStart"/>
            <w:r w:rsidR="00C36F33">
              <w:t>in excess of</w:t>
            </w:r>
            <w:proofErr w:type="gramEnd"/>
            <w:r w:rsidR="00FA116F">
              <w:t xml:space="preserve"> </w:t>
            </w:r>
            <w:r w:rsidR="000307F1">
              <w:t>60 per cent of the average value of the entity’s Australian assets</w:t>
            </w:r>
            <w:r>
              <w:t xml:space="preserve"> </w:t>
            </w:r>
            <w:r w:rsidR="00C36F33">
              <w:t>are</w:t>
            </w:r>
            <w:r>
              <w:t xml:space="preserve"> </w:t>
            </w:r>
            <w:r w:rsidR="00C36F33">
              <w:t>dis</w:t>
            </w:r>
            <w:r>
              <w:t xml:space="preserve">allowed. </w:t>
            </w:r>
            <w:r w:rsidR="00D62A61">
              <w:t xml:space="preserve"> </w:t>
            </w:r>
          </w:p>
        </w:tc>
      </w:tr>
      <w:tr w:rsidR="00873094" w:rsidRPr="00020288" w14:paraId="0160B190" w14:textId="77777777" w:rsidTr="002425D9">
        <w:tc>
          <w:tcPr>
            <w:tcW w:w="3776" w:type="dxa"/>
          </w:tcPr>
          <w:p w14:paraId="61C577AA" w14:textId="75E354AD" w:rsidR="00873094" w:rsidRPr="00020288" w:rsidRDefault="00F93400" w:rsidP="002425D9">
            <w:pPr>
              <w:pStyle w:val="Tabletext"/>
            </w:pPr>
            <w:r>
              <w:t xml:space="preserve">A special </w:t>
            </w:r>
            <w:r w:rsidR="005E5D98">
              <w:t xml:space="preserve">deduction is allowed </w:t>
            </w:r>
            <w:r w:rsidR="008050BD">
              <w:t xml:space="preserve">in an income year </w:t>
            </w:r>
            <w:r w:rsidR="005E5D98">
              <w:t>for debt</w:t>
            </w:r>
            <w:r w:rsidR="00CD4684">
              <w:t xml:space="preserve"> deductions disallowed </w:t>
            </w:r>
            <w:r w:rsidR="00A93C13">
              <w:t xml:space="preserve">under the </w:t>
            </w:r>
            <w:r w:rsidR="00384CA5">
              <w:t xml:space="preserve">fixed </w:t>
            </w:r>
            <w:r w:rsidR="00A93C13">
              <w:t>ratio</w:t>
            </w:r>
            <w:r w:rsidR="00DC462F">
              <w:t xml:space="preserve"> test</w:t>
            </w:r>
            <w:r w:rsidR="00A93C13">
              <w:t xml:space="preserve"> </w:t>
            </w:r>
            <w:r w:rsidR="00CD4684">
              <w:t xml:space="preserve">over the previous </w:t>
            </w:r>
            <w:r>
              <w:t>15</w:t>
            </w:r>
            <w:r w:rsidR="00CD4684">
              <w:t xml:space="preserve"> </w:t>
            </w:r>
            <w:r>
              <w:t>year</w:t>
            </w:r>
            <w:r w:rsidR="00CD4684">
              <w:t>s</w:t>
            </w:r>
            <w:r w:rsidR="00DC462F">
              <w:t xml:space="preserve"> </w:t>
            </w:r>
            <w:r w:rsidR="008050BD">
              <w:t xml:space="preserve">to the extent that the </w:t>
            </w:r>
            <w:r w:rsidR="00002288">
              <w:t>fixed ratio earnings limit (tax EBITDA) of the entity exceeds</w:t>
            </w:r>
            <w:r w:rsidR="007B19E1">
              <w:t xml:space="preserve"> the </w:t>
            </w:r>
            <w:r w:rsidR="008050BD">
              <w:t xml:space="preserve">entity’s </w:t>
            </w:r>
            <w:r w:rsidR="001E29FA">
              <w:t xml:space="preserve">net debt deductions </w:t>
            </w:r>
            <w:r w:rsidR="006534AF">
              <w:t>for the income year</w:t>
            </w:r>
            <w:r w:rsidR="001E29FA">
              <w:t xml:space="preserve">. </w:t>
            </w:r>
          </w:p>
        </w:tc>
        <w:tc>
          <w:tcPr>
            <w:tcW w:w="3874" w:type="dxa"/>
          </w:tcPr>
          <w:p w14:paraId="6F8CA346" w14:textId="121788C4" w:rsidR="00873094" w:rsidRPr="00020288" w:rsidRDefault="002103F1" w:rsidP="002425D9">
            <w:pPr>
              <w:pStyle w:val="Tabletext"/>
            </w:pPr>
            <w:r>
              <w:t xml:space="preserve">No equivalent. </w:t>
            </w:r>
          </w:p>
        </w:tc>
      </w:tr>
      <w:tr w:rsidR="00873094" w:rsidRPr="00020288" w14:paraId="390959C6" w14:textId="77777777" w:rsidTr="002425D9">
        <w:tc>
          <w:tcPr>
            <w:tcW w:w="3776" w:type="dxa"/>
          </w:tcPr>
          <w:p w14:paraId="26F2C142" w14:textId="2D34740C" w:rsidR="00D16477" w:rsidRDefault="00A335DD" w:rsidP="002425D9">
            <w:pPr>
              <w:pStyle w:val="Tabletext"/>
            </w:pPr>
            <w:r>
              <w:lastRenderedPageBreak/>
              <w:t>As an alternative to the fixed ratio test, the</w:t>
            </w:r>
            <w:r w:rsidR="00DC69C8">
              <w:t xml:space="preserve"> group ratio test</w:t>
            </w:r>
            <w:r w:rsidR="00F62E96">
              <w:t xml:space="preserve"> </w:t>
            </w:r>
            <w:r>
              <w:t xml:space="preserve">disallows </w:t>
            </w:r>
            <w:r w:rsidR="005D158A">
              <w:t xml:space="preserve">debt deductions to the extent that the </w:t>
            </w:r>
            <w:r w:rsidR="00DF7BBF">
              <w:t xml:space="preserve">entity’s net debt deductions exceed the </w:t>
            </w:r>
            <w:r w:rsidR="005D158A">
              <w:t>group</w:t>
            </w:r>
            <w:r w:rsidR="00DF7BBF">
              <w:t xml:space="preserve"> ratio </w:t>
            </w:r>
            <w:r w:rsidR="00EC1E22">
              <w:t>earnings limit</w:t>
            </w:r>
            <w:r w:rsidR="004F2110">
              <w:t xml:space="preserve"> for the income year</w:t>
            </w:r>
            <w:r w:rsidR="00EC1E22">
              <w:t xml:space="preserve">. </w:t>
            </w:r>
          </w:p>
          <w:p w14:paraId="4D013349" w14:textId="7DB16400" w:rsidR="00D16477" w:rsidRDefault="00D16477" w:rsidP="002425D9">
            <w:pPr>
              <w:pStyle w:val="Tabletext"/>
            </w:pPr>
            <w:r>
              <w:t xml:space="preserve">The group ratio test replaces the worldwide gearing debt test for all general class investors.  </w:t>
            </w:r>
          </w:p>
          <w:p w14:paraId="7588A1F9" w14:textId="5D0EB4E3" w:rsidR="00873094" w:rsidRPr="00020288" w:rsidRDefault="00873094" w:rsidP="002425D9">
            <w:pPr>
              <w:pStyle w:val="Tabletext"/>
            </w:pPr>
          </w:p>
        </w:tc>
        <w:tc>
          <w:tcPr>
            <w:tcW w:w="3874" w:type="dxa"/>
          </w:tcPr>
          <w:p w14:paraId="136A92BC" w14:textId="77777777" w:rsidR="00873094" w:rsidRDefault="00F03589" w:rsidP="002425D9">
            <w:pPr>
              <w:pStyle w:val="Tabletext"/>
            </w:pPr>
            <w:r>
              <w:t xml:space="preserve">No direct equivalent. </w:t>
            </w:r>
          </w:p>
          <w:p w14:paraId="15BAC44C" w14:textId="6F4C7579" w:rsidR="00873094" w:rsidRPr="00020288" w:rsidRDefault="00144A5E" w:rsidP="002425D9">
            <w:pPr>
              <w:pStyle w:val="Tabletext"/>
            </w:pPr>
            <w:r>
              <w:t>T</w:t>
            </w:r>
            <w:r w:rsidR="00CC30D3">
              <w:t xml:space="preserve">he worldwide gearing </w:t>
            </w:r>
            <w:r w:rsidR="00551E9F">
              <w:t xml:space="preserve">debt test </w:t>
            </w:r>
            <w:r w:rsidR="000A5415">
              <w:t>allows an entity’s Australian operations to be geared up to 100 per cent of the gearing of the worldwide group to which the Australian entity belongs</w:t>
            </w:r>
            <w:r w:rsidR="00610303">
              <w:t>.</w:t>
            </w:r>
          </w:p>
        </w:tc>
      </w:tr>
      <w:tr w:rsidR="00F93400" w:rsidRPr="00020288" w14:paraId="4BB62E97" w14:textId="77777777" w:rsidTr="002425D9">
        <w:tc>
          <w:tcPr>
            <w:tcW w:w="3776" w:type="dxa"/>
          </w:tcPr>
          <w:p w14:paraId="599A116B" w14:textId="651CD48B" w:rsidR="00F93400" w:rsidRDefault="00197B3F" w:rsidP="002425D9">
            <w:pPr>
              <w:pStyle w:val="Tabletext"/>
            </w:pPr>
            <w:r>
              <w:t>The</w:t>
            </w:r>
            <w:r w:rsidR="00455DAF">
              <w:t xml:space="preserve"> external </w:t>
            </w:r>
            <w:proofErr w:type="gramStart"/>
            <w:r w:rsidR="00455DAF">
              <w:t>third party</w:t>
            </w:r>
            <w:proofErr w:type="gramEnd"/>
            <w:r w:rsidR="00455DAF">
              <w:t xml:space="preserve"> debt test </w:t>
            </w:r>
            <w:r w:rsidR="00953558">
              <w:t>dis</w:t>
            </w:r>
            <w:r w:rsidR="0073505A">
              <w:t>a</w:t>
            </w:r>
            <w:r w:rsidR="00455DAF">
              <w:t>llow</w:t>
            </w:r>
            <w:r w:rsidR="0073505A">
              <w:t>s</w:t>
            </w:r>
            <w:r w:rsidR="00455DAF">
              <w:t xml:space="preserve"> all debt deductions which are </w:t>
            </w:r>
            <w:r w:rsidR="007F6671">
              <w:t xml:space="preserve">not </w:t>
            </w:r>
            <w:r w:rsidR="00455DAF">
              <w:t>attributable to third party debt and</w:t>
            </w:r>
            <w:r w:rsidR="004A34FF">
              <w:t xml:space="preserve"> that</w:t>
            </w:r>
            <w:r w:rsidR="00455DAF">
              <w:t xml:space="preserve"> satisfy certain other conditions.</w:t>
            </w:r>
            <w:r w:rsidR="0073505A">
              <w:t xml:space="preserve"> This test replaces the arm’s length debt test for </w:t>
            </w:r>
            <w:r w:rsidR="00C3001C" w:rsidRPr="0010684D">
              <w:rPr>
                <w:i/>
              </w:rPr>
              <w:t>all</w:t>
            </w:r>
            <w:r w:rsidR="00C3001C">
              <w:t xml:space="preserve"> entities previously subject to th</w:t>
            </w:r>
            <w:r w:rsidR="0010684D">
              <w:t>at test</w:t>
            </w:r>
            <w:r w:rsidR="003A3A15">
              <w:t xml:space="preserve">. </w:t>
            </w:r>
          </w:p>
          <w:p w14:paraId="2CC0A52C" w14:textId="0957A762" w:rsidR="00F93400" w:rsidRPr="00020288" w:rsidRDefault="00F93400" w:rsidP="002425D9">
            <w:pPr>
              <w:pStyle w:val="Tabletext"/>
            </w:pPr>
          </w:p>
        </w:tc>
        <w:tc>
          <w:tcPr>
            <w:tcW w:w="3874" w:type="dxa"/>
          </w:tcPr>
          <w:p w14:paraId="758D6059" w14:textId="0EB0BBE2" w:rsidR="00F93400" w:rsidRPr="00020288" w:rsidRDefault="00F42D9A" w:rsidP="002425D9">
            <w:pPr>
              <w:pStyle w:val="Tabletext"/>
            </w:pPr>
            <w:r>
              <w:t>T</w:t>
            </w:r>
            <w:r w:rsidR="00AE377C">
              <w:t xml:space="preserve">he </w:t>
            </w:r>
            <w:r w:rsidR="007F1F6B">
              <w:t>arm’s length debt test</w:t>
            </w:r>
            <w:r w:rsidR="00E75ACC">
              <w:t xml:space="preserve"> </w:t>
            </w:r>
            <w:r w:rsidR="00E00C20">
              <w:t>disallows debt deductions</w:t>
            </w:r>
            <w:r w:rsidR="00CC466B">
              <w:t xml:space="preserve"> </w:t>
            </w:r>
            <w:r w:rsidR="00E9431C">
              <w:t>where the</w:t>
            </w:r>
            <w:r w:rsidR="00E75ACC">
              <w:t xml:space="preserve"> amount of </w:t>
            </w:r>
            <w:r w:rsidR="00032CCD">
              <w:t xml:space="preserve">the entity’s </w:t>
            </w:r>
            <w:r w:rsidR="00E75ACC">
              <w:t>debt</w:t>
            </w:r>
            <w:r w:rsidR="00032CCD">
              <w:t xml:space="preserve"> exceeds</w:t>
            </w:r>
            <w:r w:rsidR="002241D2">
              <w:t xml:space="preserve"> the </w:t>
            </w:r>
            <w:r w:rsidR="004021DD">
              <w:t xml:space="preserve">amount of debt </w:t>
            </w:r>
            <w:r w:rsidR="00E75ACC">
              <w:t xml:space="preserve">that could have been borrowed by an independent party carrying on </w:t>
            </w:r>
            <w:r w:rsidR="000063CE">
              <w:t>compa</w:t>
            </w:r>
            <w:r w:rsidR="002241D2">
              <w:t>ra</w:t>
            </w:r>
            <w:r w:rsidR="000063CE">
              <w:t>ble</w:t>
            </w:r>
            <w:r w:rsidR="002241D2">
              <w:t xml:space="preserve"> </w:t>
            </w:r>
            <w:r w:rsidR="00E75ACC">
              <w:t>operations as the Australian entity</w:t>
            </w:r>
            <w:r w:rsidR="00AE377C">
              <w:t xml:space="preserve">. </w:t>
            </w:r>
          </w:p>
        </w:tc>
      </w:tr>
    </w:tbl>
    <w:p w14:paraId="36C5C351" w14:textId="77777777" w:rsidR="00873094" w:rsidRPr="00020288" w:rsidRDefault="00873094" w:rsidP="00873094">
      <w:pPr>
        <w:pStyle w:val="Heading2"/>
        <w:numPr>
          <w:ilvl w:val="1"/>
          <w:numId w:val="2"/>
        </w:numPr>
        <w:tabs>
          <w:tab w:val="num" w:pos="567"/>
        </w:tabs>
        <w:ind w:left="567" w:hanging="567"/>
        <w:rPr>
          <w:rFonts w:hint="eastAsia"/>
        </w:rPr>
      </w:pPr>
      <w:bookmarkStart w:id="36" w:name="_Toc128658068"/>
      <w:r w:rsidRPr="00020288">
        <w:t>Detailed explanation of new law</w:t>
      </w:r>
      <w:bookmarkEnd w:id="36"/>
    </w:p>
    <w:p w14:paraId="5BE2D1B7" w14:textId="0FEC4750" w:rsidR="00873094" w:rsidRDefault="00F41375" w:rsidP="004F5673">
      <w:pPr>
        <w:pStyle w:val="Heading3"/>
        <w:rPr>
          <w:rFonts w:hint="eastAsia"/>
        </w:rPr>
      </w:pPr>
      <w:bookmarkStart w:id="37" w:name="_Toc128658069"/>
      <w:r w:rsidRPr="00F41375">
        <w:t xml:space="preserve">New </w:t>
      </w:r>
      <w:r w:rsidR="009C4FE4">
        <w:t>‘</w:t>
      </w:r>
      <w:r w:rsidRPr="009C4FE4">
        <w:t>general class investor</w:t>
      </w:r>
      <w:r w:rsidR="009C4FE4">
        <w:t>’</w:t>
      </w:r>
      <w:r w:rsidRPr="00F41375">
        <w:t xml:space="preserve"> definition</w:t>
      </w:r>
      <w:bookmarkEnd w:id="37"/>
      <w:r w:rsidRPr="00F41375">
        <w:t xml:space="preserve"> </w:t>
      </w:r>
    </w:p>
    <w:p w14:paraId="274C6A1E" w14:textId="02EBD826" w:rsidR="00A31043" w:rsidRDefault="00A31043" w:rsidP="00A31043">
      <w:pPr>
        <w:pStyle w:val="Normalparatextwithnumbers"/>
      </w:pPr>
      <w:r>
        <w:t xml:space="preserve">The Bill introduces new thin capitalisation tests for </w:t>
      </w:r>
      <w:r w:rsidR="004B1B70">
        <w:t>‘</w:t>
      </w:r>
      <w:r w:rsidRPr="004B1B70">
        <w:t xml:space="preserve">general class </w:t>
      </w:r>
      <w:proofErr w:type="gramStart"/>
      <w:r w:rsidRPr="004B1B70">
        <w:t>investors</w:t>
      </w:r>
      <w:r w:rsidR="004B1B70">
        <w:t>’</w:t>
      </w:r>
      <w:proofErr w:type="gramEnd"/>
      <w:r>
        <w:t>. Entities which are general class investors must apply one of the new thin capitalisation tests. The new test</w:t>
      </w:r>
      <w:r w:rsidR="000534E8">
        <w:t>s</w:t>
      </w:r>
      <w:r>
        <w:t xml:space="preserve"> are the fixed ratio test, the group ratio test, and the external </w:t>
      </w:r>
      <w:proofErr w:type="gramStart"/>
      <w:r>
        <w:t>third party</w:t>
      </w:r>
      <w:proofErr w:type="gramEnd"/>
      <w:r>
        <w:t xml:space="preserve"> debt test. Entities which are not general class investors will continue to be subject to the existing thin capitalisation tests, with the exception of the arm’s length debt test which is being replaced by the external </w:t>
      </w:r>
      <w:proofErr w:type="gramStart"/>
      <w:r>
        <w:t>third party</w:t>
      </w:r>
      <w:proofErr w:type="gramEnd"/>
      <w:r>
        <w:t xml:space="preserve"> debt test for </w:t>
      </w:r>
      <w:r w:rsidDel="00C115E7">
        <w:t>all entities</w:t>
      </w:r>
      <w:r w:rsidR="003F381E">
        <w:t xml:space="preserve"> previously subject to it</w:t>
      </w:r>
      <w:r>
        <w:t xml:space="preserve">. </w:t>
      </w:r>
    </w:p>
    <w:p w14:paraId="74CD848B" w14:textId="24F60A5A" w:rsidR="00913051" w:rsidRDefault="00A31043" w:rsidP="00A31043">
      <w:pPr>
        <w:pStyle w:val="Normalparatextwithnumbers"/>
      </w:pPr>
      <w:r>
        <w:t>‘General class investor’ is a new concept introduced by the Bill. The concept represents a consolidation of the of the existing ‘general’ classes of entities, being ‘outward investor (general)’, ‘inward investment vehicle (general)’ and ‘inward investor (general)’. Entities which previously fell into one of those classes are now intended to fall under the new ‘general class investor’ definition.</w:t>
      </w:r>
    </w:p>
    <w:p w14:paraId="68556E85" w14:textId="6ADD7C42" w:rsidR="008A02EE" w:rsidRDefault="00AE1DC0" w:rsidP="00A31043">
      <w:pPr>
        <w:pStyle w:val="Normalparatextwithnumbers"/>
      </w:pPr>
      <w:bookmarkStart w:id="38" w:name="_Ref127881117"/>
      <w:r>
        <w:t>An entity is a</w:t>
      </w:r>
      <w:r w:rsidR="00A930E0" w:rsidRPr="00A930E0">
        <w:t xml:space="preserve"> ‘general class investor’ </w:t>
      </w:r>
      <w:r w:rsidR="00D71970">
        <w:t xml:space="preserve">for an income year </w:t>
      </w:r>
      <w:r w:rsidR="00A930E0" w:rsidRPr="00A930E0">
        <w:t>provide</w:t>
      </w:r>
      <w:r>
        <w:t>d</w:t>
      </w:r>
      <w:r w:rsidR="00E43579">
        <w:t>:</w:t>
      </w:r>
    </w:p>
    <w:p w14:paraId="4D38DFB4" w14:textId="66900508" w:rsidR="00AA5C3B" w:rsidRDefault="00DF24A0" w:rsidP="002451CD">
      <w:pPr>
        <w:pStyle w:val="Dotpoint1"/>
      </w:pPr>
      <w:r>
        <w:t>it i</w:t>
      </w:r>
      <w:r w:rsidRPr="00A930E0">
        <w:t>s</w:t>
      </w:r>
      <w:r>
        <w:t xml:space="preserve"> not, </w:t>
      </w:r>
      <w:r w:rsidR="00F81CA6">
        <w:t xml:space="preserve">for </w:t>
      </w:r>
      <w:r w:rsidR="000B79AE">
        <w:t>all</w:t>
      </w:r>
      <w:r>
        <w:t xml:space="preserve"> the year</w:t>
      </w:r>
      <w:r w:rsidR="0022047E">
        <w:t xml:space="preserve">, </w:t>
      </w:r>
      <w:r w:rsidR="0017559C">
        <w:t>a financial</w:t>
      </w:r>
      <w:r w:rsidR="001923C0">
        <w:t xml:space="preserve"> entity</w:t>
      </w:r>
      <w:r w:rsidR="0017559C">
        <w:t xml:space="preserve"> or</w:t>
      </w:r>
      <w:r w:rsidR="00A50F14">
        <w:t xml:space="preserve"> an</w:t>
      </w:r>
      <w:r w:rsidR="0017559C">
        <w:t xml:space="preserve"> ADI </w:t>
      </w:r>
      <w:r w:rsidR="001923C0">
        <w:t xml:space="preserve">that is either an </w:t>
      </w:r>
      <w:r w:rsidR="0017559C">
        <w:t xml:space="preserve">outward </w:t>
      </w:r>
      <w:r w:rsidR="00912F1C">
        <w:t>or in</w:t>
      </w:r>
      <w:r w:rsidR="00250AD2">
        <w:t xml:space="preserve">ward </w:t>
      </w:r>
      <w:r w:rsidR="0017559C">
        <w:t>investing</w:t>
      </w:r>
      <w:r w:rsidR="00912F1C">
        <w:t xml:space="preserve"> entity</w:t>
      </w:r>
      <w:r w:rsidR="002E3FF8">
        <w:t>;</w:t>
      </w:r>
      <w:r w:rsidR="00C521D0">
        <w:t xml:space="preserve"> </w:t>
      </w:r>
      <w:r w:rsidR="00C12555">
        <w:t>and</w:t>
      </w:r>
    </w:p>
    <w:p w14:paraId="2798DB18" w14:textId="15B06EFE" w:rsidR="002E5914" w:rsidRDefault="00820386" w:rsidP="002451CD">
      <w:pPr>
        <w:pStyle w:val="Dotpoint1"/>
      </w:pPr>
      <w:r>
        <w:t xml:space="preserve">on the assumption that the entity </w:t>
      </w:r>
      <w:proofErr w:type="gramStart"/>
      <w:r>
        <w:t>were</w:t>
      </w:r>
      <w:proofErr w:type="gramEnd"/>
      <w:r>
        <w:t xml:space="preserve"> a financial entity, it would be either an </w:t>
      </w:r>
      <w:r w:rsidR="009F1B21">
        <w:t xml:space="preserve">outward or inward </w:t>
      </w:r>
      <w:r w:rsidR="00AB4B73">
        <w:t>investing financial entity that is not an ADI</w:t>
      </w:r>
      <w:r w:rsidR="00DE78D2">
        <w:t xml:space="preserve"> </w:t>
      </w:r>
      <w:r w:rsidR="00DE78D2">
        <w:lastRenderedPageBreak/>
        <w:t>for the income year</w:t>
      </w:r>
      <w:r w:rsidR="00AB4B73">
        <w:t xml:space="preserve">. </w:t>
      </w:r>
      <w:bookmarkEnd w:id="38"/>
      <w:r w:rsidR="007B474A">
        <w:br/>
      </w:r>
      <w:r w:rsidR="007B474A" w:rsidRPr="00F20E14">
        <w:rPr>
          <w:rStyle w:val="References"/>
        </w:rPr>
        <w:t>[Schedule 1, item</w:t>
      </w:r>
      <w:r w:rsidR="00C83B5C">
        <w:rPr>
          <w:rStyle w:val="References"/>
        </w:rPr>
        <w:t>s</w:t>
      </w:r>
      <w:r w:rsidR="007B474A" w:rsidRPr="00F20E14">
        <w:rPr>
          <w:rStyle w:val="References"/>
        </w:rPr>
        <w:t xml:space="preserve"> 12</w:t>
      </w:r>
      <w:r w:rsidR="00C83B5C">
        <w:rPr>
          <w:rStyle w:val="References"/>
        </w:rPr>
        <w:t xml:space="preserve"> and 50</w:t>
      </w:r>
      <w:r w:rsidR="007B474A" w:rsidRPr="00F20E14">
        <w:rPr>
          <w:rStyle w:val="References"/>
        </w:rPr>
        <w:t>, subsection</w:t>
      </w:r>
      <w:r w:rsidR="00944D08">
        <w:rPr>
          <w:rStyle w:val="References"/>
        </w:rPr>
        <w:t>s</w:t>
      </w:r>
      <w:r w:rsidR="007B474A" w:rsidRPr="00F20E14">
        <w:rPr>
          <w:rStyle w:val="References"/>
        </w:rPr>
        <w:t xml:space="preserve"> 820-43(2)</w:t>
      </w:r>
      <w:r w:rsidR="00C83B5C">
        <w:rPr>
          <w:rStyle w:val="References"/>
        </w:rPr>
        <w:t xml:space="preserve"> and 995</w:t>
      </w:r>
      <w:r w:rsidR="00944D08">
        <w:rPr>
          <w:rStyle w:val="References"/>
        </w:rPr>
        <w:noBreakHyphen/>
      </w:r>
      <w:r w:rsidR="00C83B5C">
        <w:rPr>
          <w:rStyle w:val="References"/>
        </w:rPr>
        <w:t>1</w:t>
      </w:r>
      <w:r w:rsidR="00944D08">
        <w:rPr>
          <w:rStyle w:val="References"/>
        </w:rPr>
        <w:t>(1)</w:t>
      </w:r>
      <w:r w:rsidR="007B474A" w:rsidRPr="00F20E14">
        <w:rPr>
          <w:rStyle w:val="References"/>
        </w:rPr>
        <w:t>]</w:t>
      </w:r>
    </w:p>
    <w:p w14:paraId="77D18CB8" w14:textId="173C1FFF" w:rsidR="00EA72F9" w:rsidRDefault="008C040F" w:rsidP="00EA72F9">
      <w:pPr>
        <w:pStyle w:val="Normalparatextwithnumbers"/>
      </w:pPr>
      <w:r>
        <w:t>T</w:t>
      </w:r>
      <w:r w:rsidR="00EA72F9">
        <w:t>he effect of the definition of ‘general class investor’ is that the following entities, which are not financial entities or ADIs, will be general class investors:</w:t>
      </w:r>
    </w:p>
    <w:p w14:paraId="3D105D10" w14:textId="6D9EF8EA" w:rsidR="00EA72F9" w:rsidRDefault="00EA72F9" w:rsidP="0001519D">
      <w:pPr>
        <w:pStyle w:val="Dotpoint1"/>
      </w:pPr>
      <w:r>
        <w:t xml:space="preserve">an Australian entity that carries on a business in a foreign country at or through a permanent establishment or through an entity that it </w:t>
      </w:r>
      <w:proofErr w:type="gramStart"/>
      <w:r>
        <w:t>controls</w:t>
      </w:r>
      <w:r w:rsidR="0001519D">
        <w:t>;</w:t>
      </w:r>
      <w:proofErr w:type="gramEnd"/>
    </w:p>
    <w:p w14:paraId="37CF1025" w14:textId="2623243A" w:rsidR="00EA72F9" w:rsidRDefault="00EA72F9" w:rsidP="0001519D">
      <w:pPr>
        <w:pStyle w:val="Dotpoint1"/>
      </w:pPr>
      <w:r>
        <w:t>an Australian entity that is controlled by foreign residents</w:t>
      </w:r>
      <w:r w:rsidR="0001519D">
        <w:t>; and</w:t>
      </w:r>
    </w:p>
    <w:p w14:paraId="1DAB3369" w14:textId="77777777" w:rsidR="00EA72F9" w:rsidRDefault="00EA72F9" w:rsidP="0001519D">
      <w:pPr>
        <w:pStyle w:val="Dotpoint1"/>
      </w:pPr>
      <w:r>
        <w:t>a foreign entity having investments in Australia.</w:t>
      </w:r>
    </w:p>
    <w:p w14:paraId="1E261A30" w14:textId="4E80C7C8" w:rsidR="001D45A8" w:rsidRDefault="00477844" w:rsidP="00A31043">
      <w:pPr>
        <w:pStyle w:val="Normalparatextwithnumbers"/>
      </w:pPr>
      <w:r w:rsidRPr="00477844">
        <w:t>Entities which are financial entities or ADIs for all an income year will need to consider if the</w:t>
      </w:r>
      <w:r w:rsidR="00102C1F">
        <w:t>y</w:t>
      </w:r>
      <w:r w:rsidRPr="00477844">
        <w:t xml:space="preserve"> fall under one</w:t>
      </w:r>
      <w:r w:rsidR="001A672B">
        <w:t xml:space="preserve"> of</w:t>
      </w:r>
      <w:r w:rsidRPr="00477844">
        <w:t xml:space="preserve"> the other classes of entities.</w:t>
      </w:r>
    </w:p>
    <w:p w14:paraId="62700DD2" w14:textId="15783C47" w:rsidR="007457F1" w:rsidRDefault="00AD371B" w:rsidP="00A31043">
      <w:pPr>
        <w:pStyle w:val="Normalparatextwithnumbers"/>
      </w:pPr>
      <w:r>
        <w:t>A</w:t>
      </w:r>
      <w:r w:rsidR="00C24F7B" w:rsidRPr="00C24F7B">
        <w:t xml:space="preserve">n entity </w:t>
      </w:r>
      <w:r w:rsidR="00251E40">
        <w:t>will need to be</w:t>
      </w:r>
      <w:r w:rsidR="00C24F7B" w:rsidRPr="00C24F7B">
        <w:t xml:space="preserve"> </w:t>
      </w:r>
      <w:r w:rsidR="00326BA6">
        <w:t xml:space="preserve">a financial entity or an ADI </w:t>
      </w:r>
      <w:r w:rsidR="00251E40">
        <w:t xml:space="preserve">for </w:t>
      </w:r>
      <w:r w:rsidR="00C24F7B" w:rsidRPr="00C24F7B">
        <w:t xml:space="preserve">an </w:t>
      </w:r>
      <w:r w:rsidR="00251E40">
        <w:t>entire</w:t>
      </w:r>
      <w:r w:rsidR="00C24F7B" w:rsidRPr="00C24F7B">
        <w:t xml:space="preserve"> income year</w:t>
      </w:r>
      <w:r w:rsidR="00251E40">
        <w:t xml:space="preserve"> to be precluded from</w:t>
      </w:r>
      <w:r w:rsidR="00C24F7B" w:rsidRPr="00C24F7B">
        <w:t xml:space="preserve"> being a general class investor for the income year. This </w:t>
      </w:r>
      <w:r w:rsidR="002451CD">
        <w:t>is because t</w:t>
      </w:r>
      <w:r w:rsidR="00C24F7B" w:rsidRPr="00C24F7B">
        <w:t xml:space="preserve">he thin capitalisation rules </w:t>
      </w:r>
      <w:r w:rsidR="009F3469">
        <w:t>that</w:t>
      </w:r>
      <w:r w:rsidR="00C24F7B" w:rsidRPr="00C24F7B">
        <w:t xml:space="preserve"> apply to entities which are not general class investors are generally more favourable than the rules which apply to general class investors.</w:t>
      </w:r>
      <w:r w:rsidR="007A6F80" w:rsidRPr="007A6F80">
        <w:rPr>
          <w:rStyle w:val="References"/>
        </w:rPr>
        <w:t xml:space="preserve"> </w:t>
      </w:r>
    </w:p>
    <w:p w14:paraId="13E33AB7" w14:textId="35960E1D" w:rsidR="007457F1" w:rsidRDefault="00CA7D9D" w:rsidP="00CA7D9D">
      <w:pPr>
        <w:pStyle w:val="Heading3"/>
        <w:rPr>
          <w:rFonts w:hint="eastAsia"/>
        </w:rPr>
      </w:pPr>
      <w:bookmarkStart w:id="39" w:name="_Toc128658070"/>
      <w:r>
        <w:t>Definition of ‘financial entity’</w:t>
      </w:r>
      <w:bookmarkEnd w:id="39"/>
    </w:p>
    <w:p w14:paraId="214AD723" w14:textId="70460F77" w:rsidR="00095247" w:rsidRDefault="00095247" w:rsidP="00095247">
      <w:pPr>
        <w:pStyle w:val="Normalparatextwithnumbers"/>
      </w:pPr>
      <w:r>
        <w:t>The Bill repeals paragraph (a) of the definition of ‘financial entity’ in subsection 995-1</w:t>
      </w:r>
      <w:r w:rsidR="00C729F1">
        <w:t>(1)</w:t>
      </w:r>
      <w:r>
        <w:t xml:space="preserve"> of the </w:t>
      </w:r>
      <w:r w:rsidR="00A06C9D">
        <w:t>ITAA 1997</w:t>
      </w:r>
      <w:r>
        <w:t xml:space="preserve">. Existing paragraph (a) of the definition of ‘financial entity’ provides that “financial entity, at a particular time, means an entity other than an ADI that is … a registered corporation under the </w:t>
      </w:r>
      <w:r w:rsidRPr="00D26D3B">
        <w:rPr>
          <w:i/>
          <w:iCs/>
        </w:rPr>
        <w:t>Financial Sector (Collection of Data) Act 2001</w:t>
      </w:r>
      <w:r>
        <w:t xml:space="preserve"> …”. </w:t>
      </w:r>
      <w:r w:rsidR="004147B5">
        <w:t xml:space="preserve">This is a broad definition and </w:t>
      </w:r>
      <w:r w:rsidR="00C52F64">
        <w:t xml:space="preserve">non-ADI </w:t>
      </w:r>
      <w:r w:rsidR="00EE2730">
        <w:t>corporations</w:t>
      </w:r>
      <w:r w:rsidR="00C52F64">
        <w:t xml:space="preserve"> can register </w:t>
      </w:r>
      <w:r w:rsidR="007655F6">
        <w:t xml:space="preserve">under that Act for </w:t>
      </w:r>
      <w:r w:rsidR="00E10D88">
        <w:t>reasons unrelated to income tax.</w:t>
      </w:r>
      <w:r w:rsidR="004147B5">
        <w:t xml:space="preserve"> </w:t>
      </w:r>
      <w:r w:rsidR="00A721A9">
        <w:t xml:space="preserve">As a result, an increasing number of entities are now purporting (for tax purposes) to be financial entities. </w:t>
      </w:r>
    </w:p>
    <w:p w14:paraId="6B89CD42" w14:textId="196E22CC" w:rsidR="005C7A4F" w:rsidRDefault="00095247" w:rsidP="00095247">
      <w:pPr>
        <w:pStyle w:val="Normalparatextwithnumbers"/>
      </w:pPr>
      <w:r>
        <w:t>‘</w:t>
      </w:r>
      <w:r w:rsidR="00412A5E">
        <w:t>F</w:t>
      </w:r>
      <w:r>
        <w:t>inancial entit</w:t>
      </w:r>
      <w:r w:rsidR="00363EA3">
        <w:t>ies</w:t>
      </w:r>
      <w:r>
        <w:t xml:space="preserve">’ </w:t>
      </w:r>
      <w:r w:rsidR="00594A05">
        <w:t xml:space="preserve">and ADIs </w:t>
      </w:r>
      <w:r>
        <w:t xml:space="preserve">continue to have access to </w:t>
      </w:r>
      <w:r w:rsidR="00ED162C">
        <w:t xml:space="preserve">the </w:t>
      </w:r>
      <w:r>
        <w:t>existing thin capitalisation tests</w:t>
      </w:r>
      <w:r w:rsidR="00731C1D">
        <w:t xml:space="preserve"> (with the exception of the </w:t>
      </w:r>
      <w:r w:rsidR="004E160F">
        <w:t>arm’s length debt test</w:t>
      </w:r>
      <w:r w:rsidR="00A7122A">
        <w:t xml:space="preserve">, which is being replaced by the external </w:t>
      </w:r>
      <w:proofErr w:type="gramStart"/>
      <w:r w:rsidR="00A7122A">
        <w:t>third party</w:t>
      </w:r>
      <w:proofErr w:type="gramEnd"/>
      <w:r w:rsidR="00A7122A">
        <w:t xml:space="preserve"> debt test for all entities</w:t>
      </w:r>
      <w:r w:rsidR="00BF1D92">
        <w:t xml:space="preserve"> previously subject to it</w:t>
      </w:r>
      <w:r w:rsidR="00A7122A">
        <w:t>)</w:t>
      </w:r>
      <w:r w:rsidR="00ED162C">
        <w:t xml:space="preserve">. The existing tests </w:t>
      </w:r>
      <w:r>
        <w:t>are generally more favourable to taxpayers than the new tests which only apply to general class investors</w:t>
      </w:r>
      <w:r w:rsidR="00BD48F0">
        <w:t>.</w:t>
      </w:r>
    </w:p>
    <w:p w14:paraId="51295855" w14:textId="68D3D0F5" w:rsidR="007457F1" w:rsidRDefault="00186BF3" w:rsidP="00095247">
      <w:pPr>
        <w:pStyle w:val="Normalparatextwithnumbers"/>
      </w:pPr>
      <w:r>
        <w:t>This has given rise to integrity concerns that entities which satisfy this b</w:t>
      </w:r>
      <w:r w:rsidR="00216A71">
        <w:t>road definition</w:t>
      </w:r>
      <w:r w:rsidR="00032CAF">
        <w:t xml:space="preserve"> </w:t>
      </w:r>
      <w:r w:rsidR="00296554">
        <w:t xml:space="preserve">should </w:t>
      </w:r>
      <w:r>
        <w:t>genuine</w:t>
      </w:r>
      <w:r w:rsidR="00816FE4">
        <w:t>ly be considered</w:t>
      </w:r>
      <w:r>
        <w:t xml:space="preserve"> financial entities</w:t>
      </w:r>
      <w:r w:rsidR="00816FE4">
        <w:t>, with access to the generally more favourable tax</w:t>
      </w:r>
      <w:r w:rsidR="00BB55D8">
        <w:t>a</w:t>
      </w:r>
      <w:r w:rsidR="00816FE4">
        <w:t>tion</w:t>
      </w:r>
      <w:r w:rsidR="00BB55D8">
        <w:t xml:space="preserve"> treatment. </w:t>
      </w:r>
      <w:r w:rsidR="000B2FC2">
        <w:t>The repeal of paragraph (a) is an integrity measure to ensure the thin capitalisation rules are fit for purpose and that the amendments to introduce the new earnings-based rules are not undermined.</w:t>
      </w:r>
      <w:r w:rsidR="000D1461">
        <w:br/>
      </w:r>
      <w:r w:rsidR="000D1461" w:rsidRPr="000D1461">
        <w:rPr>
          <w:rStyle w:val="References"/>
        </w:rPr>
        <w:t xml:space="preserve"> </w:t>
      </w:r>
      <w:r w:rsidR="00BF04E0" w:rsidRPr="00BF04E0">
        <w:rPr>
          <w:rStyle w:val="References"/>
        </w:rPr>
        <w:t xml:space="preserve">[Schedule 1, item 49, </w:t>
      </w:r>
      <w:r w:rsidR="00E57B84">
        <w:rPr>
          <w:rStyle w:val="References"/>
        </w:rPr>
        <w:t>sub</w:t>
      </w:r>
      <w:r w:rsidR="00BF04E0" w:rsidRPr="00BF04E0">
        <w:rPr>
          <w:rStyle w:val="References"/>
        </w:rPr>
        <w:t>section 995-1</w:t>
      </w:r>
      <w:r w:rsidR="00E57B84">
        <w:rPr>
          <w:rStyle w:val="References"/>
        </w:rPr>
        <w:t>(1)</w:t>
      </w:r>
      <w:r w:rsidR="00BF04E0" w:rsidRPr="00BF04E0">
        <w:rPr>
          <w:rStyle w:val="References"/>
        </w:rPr>
        <w:t>]</w:t>
      </w:r>
    </w:p>
    <w:p w14:paraId="7CF35403" w14:textId="77777777" w:rsidR="00B96592" w:rsidRDefault="00B96592" w:rsidP="00B96592">
      <w:pPr>
        <w:pStyle w:val="Heading3"/>
        <w:rPr>
          <w:rFonts w:hint="eastAsia"/>
        </w:rPr>
      </w:pPr>
      <w:bookmarkStart w:id="40" w:name="_Toc128658071"/>
      <w:r>
        <w:lastRenderedPageBreak/>
        <w:t>New thin capitalisation tests</w:t>
      </w:r>
      <w:bookmarkEnd w:id="40"/>
    </w:p>
    <w:p w14:paraId="6F5CA49B" w14:textId="60AC23CF" w:rsidR="007457F1" w:rsidRDefault="00B96592" w:rsidP="00B96592">
      <w:pPr>
        <w:pStyle w:val="Heading4"/>
      </w:pPr>
      <w:r>
        <w:t>Application of the new tests</w:t>
      </w:r>
    </w:p>
    <w:p w14:paraId="5FA63528" w14:textId="5BE08552" w:rsidR="00914DF9" w:rsidRDefault="00834936" w:rsidP="00B545E0">
      <w:pPr>
        <w:pStyle w:val="Normalparatextwithnumbers"/>
      </w:pPr>
      <w:r w:rsidRPr="00834936">
        <w:t>The new thin capitalisation rules may disallow all or part of a general class investor’s debt deductions for an income year. The amount of debt deductions disallowed (if any) is determined through the application of one of the new thin capitalisation test</w:t>
      </w:r>
      <w:r w:rsidR="000C280B">
        <w:t>s</w:t>
      </w:r>
      <w:r w:rsidRPr="00834936">
        <w:t xml:space="preserve">. The new tests are the fixed ratio test, the group ratio test, and the external </w:t>
      </w:r>
      <w:proofErr w:type="gramStart"/>
      <w:r w:rsidRPr="00834936">
        <w:t>third party</w:t>
      </w:r>
      <w:proofErr w:type="gramEnd"/>
      <w:r w:rsidRPr="00834936">
        <w:t xml:space="preserve"> debt test.</w:t>
      </w:r>
      <w:r w:rsidR="00F51FA8">
        <w:t xml:space="preserve"> </w:t>
      </w:r>
      <w:r w:rsidR="00CD6688">
        <w:t xml:space="preserve">An entity chooses which test to apply for </w:t>
      </w:r>
      <w:proofErr w:type="gramStart"/>
      <w:r w:rsidR="00CD6688">
        <w:t>all of</w:t>
      </w:r>
      <w:proofErr w:type="gramEnd"/>
      <w:r w:rsidR="00CD6688">
        <w:t xml:space="preserve"> its debt deductions for an income year.</w:t>
      </w:r>
      <w:r w:rsidR="00E57B84">
        <w:br/>
      </w:r>
      <w:r w:rsidR="00E57B84" w:rsidRPr="00E57B84">
        <w:rPr>
          <w:rFonts w:cs="Times New Roman"/>
          <w:b/>
          <w:bCs/>
          <w:i/>
          <w:iCs/>
        </w:rPr>
        <w:t xml:space="preserve">[Schedule 1, item 12, </w:t>
      </w:r>
      <w:r w:rsidR="00E57B84">
        <w:rPr>
          <w:rFonts w:cs="Times New Roman"/>
          <w:b/>
          <w:bCs/>
          <w:i/>
          <w:iCs/>
        </w:rPr>
        <w:t>sub</w:t>
      </w:r>
      <w:r w:rsidR="00E57B84" w:rsidRPr="00E57B84">
        <w:rPr>
          <w:rFonts w:cs="Times New Roman"/>
          <w:b/>
          <w:bCs/>
          <w:i/>
          <w:iCs/>
        </w:rPr>
        <w:t>section 820-</w:t>
      </w:r>
      <w:r w:rsidR="00E57B84">
        <w:rPr>
          <w:rFonts w:cs="Times New Roman"/>
          <w:b/>
          <w:bCs/>
          <w:i/>
          <w:iCs/>
        </w:rPr>
        <w:t>43</w:t>
      </w:r>
      <w:r w:rsidR="00E57B84" w:rsidRPr="00E57B84">
        <w:rPr>
          <w:rFonts w:cs="Times New Roman"/>
          <w:b/>
          <w:bCs/>
          <w:i/>
          <w:iCs/>
        </w:rPr>
        <w:t>(</w:t>
      </w:r>
      <w:r w:rsidR="00E57B84">
        <w:rPr>
          <w:rFonts w:cs="Times New Roman"/>
          <w:b/>
          <w:bCs/>
          <w:i/>
          <w:iCs/>
        </w:rPr>
        <w:t>1</w:t>
      </w:r>
      <w:r w:rsidR="00E57B84" w:rsidRPr="00E57B84">
        <w:rPr>
          <w:rFonts w:cs="Times New Roman"/>
          <w:b/>
          <w:bCs/>
          <w:i/>
          <w:iCs/>
        </w:rPr>
        <w:t>)]</w:t>
      </w:r>
    </w:p>
    <w:p w14:paraId="6DFCFD95" w14:textId="112AE4B8" w:rsidR="00AC2955" w:rsidRDefault="00D26272" w:rsidP="00AA7D04">
      <w:pPr>
        <w:pStyle w:val="Heading5"/>
      </w:pPr>
      <w:r>
        <w:t>Application of the f</w:t>
      </w:r>
      <w:r w:rsidR="00D268F4">
        <w:t>ixed ratio test</w:t>
      </w:r>
    </w:p>
    <w:p w14:paraId="7A4AA753" w14:textId="51017A4C" w:rsidR="00AC2955" w:rsidRDefault="00AA7D04" w:rsidP="00A31043">
      <w:pPr>
        <w:pStyle w:val="Normalparatextwithnumbers"/>
      </w:pPr>
      <w:r w:rsidRPr="00AA7D04">
        <w:t xml:space="preserve">The fixed ratio test </w:t>
      </w:r>
      <w:r w:rsidR="006D7911">
        <w:t xml:space="preserve">is the default test that </w:t>
      </w:r>
      <w:r w:rsidRPr="00AA7D04">
        <w:t>appl</w:t>
      </w:r>
      <w:r w:rsidR="006D7911">
        <w:t>ies</w:t>
      </w:r>
      <w:r w:rsidRPr="00AA7D04">
        <w:t xml:space="preserve"> </w:t>
      </w:r>
      <w:r w:rsidR="00C861C0">
        <w:t>for general class investors that do</w:t>
      </w:r>
      <w:r w:rsidRPr="00AA7D04">
        <w:t xml:space="preserve"> not make </w:t>
      </w:r>
      <w:r w:rsidR="18766C1E">
        <w:t xml:space="preserve">a </w:t>
      </w:r>
      <w:r w:rsidRPr="00AA7D04">
        <w:t xml:space="preserve">choice to use </w:t>
      </w:r>
      <w:r w:rsidR="52D44BA1">
        <w:t>e</w:t>
      </w:r>
      <w:r w:rsidRPr="00AA7D04">
        <w:t xml:space="preserve">ither the group ratio test or the external </w:t>
      </w:r>
      <w:proofErr w:type="gramStart"/>
      <w:r w:rsidRPr="00AA7D04">
        <w:t>third party</w:t>
      </w:r>
      <w:proofErr w:type="gramEnd"/>
      <w:r w:rsidRPr="00AA7D04">
        <w:t xml:space="preserve"> debt test. </w:t>
      </w:r>
      <w:r w:rsidR="004719FF">
        <w:t xml:space="preserve">As the default test, the fixed ratio test is expected to apply to </w:t>
      </w:r>
      <w:proofErr w:type="gramStart"/>
      <w:r w:rsidR="004719FF">
        <w:t>the majority of</w:t>
      </w:r>
      <w:proofErr w:type="gramEnd"/>
      <w:r w:rsidR="004719FF">
        <w:t xml:space="preserve"> general class investors. </w:t>
      </w:r>
    </w:p>
    <w:p w14:paraId="1E97E932" w14:textId="2276D34C" w:rsidR="00AA7D04" w:rsidRDefault="00D26272" w:rsidP="00C97E4A">
      <w:pPr>
        <w:pStyle w:val="Heading5"/>
      </w:pPr>
      <w:r>
        <w:t>Application of the g</w:t>
      </w:r>
      <w:r w:rsidR="00C1728B">
        <w:t>roup ratio test</w:t>
      </w:r>
    </w:p>
    <w:p w14:paraId="6DB203EF" w14:textId="53212FA9" w:rsidR="000C6E44" w:rsidRDefault="000B202C" w:rsidP="00C1728B">
      <w:pPr>
        <w:pStyle w:val="Normalparatextwithnumbers"/>
      </w:pPr>
      <w:r>
        <w:t xml:space="preserve">The group ratio test requires an entity to determine the </w:t>
      </w:r>
      <w:r w:rsidR="00664F9A">
        <w:t xml:space="preserve">ratio of </w:t>
      </w:r>
      <w:r w:rsidR="008C053F">
        <w:t>its worldwide</w:t>
      </w:r>
      <w:r w:rsidR="00B62414">
        <w:t xml:space="preserve"> group’s</w:t>
      </w:r>
      <w:r>
        <w:t xml:space="preserve"> net third party interest </w:t>
      </w:r>
      <w:r w:rsidR="00664F9A">
        <w:t xml:space="preserve">expense </w:t>
      </w:r>
      <w:r>
        <w:t xml:space="preserve">to </w:t>
      </w:r>
      <w:r w:rsidR="00664F9A">
        <w:t xml:space="preserve">the </w:t>
      </w:r>
      <w:r w:rsidR="00B62414">
        <w:t xml:space="preserve">group’s </w:t>
      </w:r>
      <w:r>
        <w:t xml:space="preserve">EBITDA </w:t>
      </w:r>
      <w:r w:rsidR="00B62414">
        <w:t xml:space="preserve">for an income year. </w:t>
      </w:r>
      <w:r>
        <w:t xml:space="preserve">Therefore, the group ratio test </w:t>
      </w:r>
      <w:r w:rsidR="00B62414">
        <w:t xml:space="preserve">is only available </w:t>
      </w:r>
      <w:r w:rsidR="00690438">
        <w:t xml:space="preserve">if the entity is a member of a </w:t>
      </w:r>
      <w:r w:rsidR="00B62414">
        <w:t>relevant worldwide</w:t>
      </w:r>
      <w:r w:rsidR="00690438">
        <w:t xml:space="preserve"> group. </w:t>
      </w:r>
    </w:p>
    <w:p w14:paraId="5F784187" w14:textId="03F74D0F" w:rsidR="00C1728B" w:rsidRDefault="0074767D" w:rsidP="009B25D1">
      <w:pPr>
        <w:pStyle w:val="Normalparatextwithnumbers"/>
      </w:pPr>
      <w:r>
        <w:t>Specifically, a</w:t>
      </w:r>
      <w:r w:rsidR="00C1728B">
        <w:t xml:space="preserve"> general class investor can only choose to use the group ratio test if it is a </w:t>
      </w:r>
      <w:r w:rsidR="009F783C">
        <w:t xml:space="preserve">member of a </w:t>
      </w:r>
      <w:r w:rsidR="00EB6264">
        <w:t>‘</w:t>
      </w:r>
      <w:r w:rsidR="00C1728B">
        <w:t>GR group</w:t>
      </w:r>
      <w:r w:rsidR="00EB6264">
        <w:t>’</w:t>
      </w:r>
      <w:r w:rsidR="00C1728B">
        <w:t xml:space="preserve"> and the </w:t>
      </w:r>
      <w:r w:rsidR="00EB6264">
        <w:t>‘</w:t>
      </w:r>
      <w:r w:rsidR="00C1728B">
        <w:t>GR group EBTIDA</w:t>
      </w:r>
      <w:r w:rsidR="00EB6264">
        <w:t>’</w:t>
      </w:r>
      <w:r w:rsidR="00C1728B">
        <w:t xml:space="preserve"> for the period is not less than zero. </w:t>
      </w:r>
      <w:r w:rsidR="00287444">
        <w:t xml:space="preserve">A ‘GR group’, for a period, is the group comprised of the relevant worldwide parent entity and, generally, all other entities in the group.  The worldwide parent entity is referred to as the ‘GR group parent’ and must have </w:t>
      </w:r>
      <w:r w:rsidR="00C1728B">
        <w:t xml:space="preserve">financial statements </w:t>
      </w:r>
      <w:r w:rsidR="002E7992">
        <w:t>that</w:t>
      </w:r>
      <w:r w:rsidR="00C1728B">
        <w:t xml:space="preserve"> are audited consolidated financial statements for the </w:t>
      </w:r>
      <w:r w:rsidR="00070820">
        <w:t>period. Each</w:t>
      </w:r>
      <w:r w:rsidR="00C1728B">
        <w:t xml:space="preserve"> entity that is fully consolidated on a line-by-line basis in </w:t>
      </w:r>
      <w:r w:rsidR="00733490">
        <w:t>the GR group parent’s</w:t>
      </w:r>
      <w:r w:rsidR="00C1728B">
        <w:t xml:space="preserve"> audited consolidated financial statements</w:t>
      </w:r>
      <w:r w:rsidR="00070820">
        <w:t xml:space="preserve"> is referred to as a ‘GR group member’.</w:t>
      </w:r>
      <w:r w:rsidR="005B6CF4" w:rsidRPr="005B6CF4">
        <w:rPr>
          <w:rStyle w:val="References"/>
        </w:rPr>
        <w:t xml:space="preserve"> </w:t>
      </w:r>
      <w:r w:rsidR="000B79AE">
        <w:rPr>
          <w:rStyle w:val="References"/>
        </w:rPr>
        <w:br/>
      </w:r>
      <w:r w:rsidR="00C83B5C" w:rsidRPr="00576C1F">
        <w:rPr>
          <w:rStyle w:val="References"/>
        </w:rPr>
        <w:t>[Schedule 1, item</w:t>
      </w:r>
      <w:r w:rsidR="00C83B5C">
        <w:rPr>
          <w:rStyle w:val="References"/>
        </w:rPr>
        <w:t>s</w:t>
      </w:r>
      <w:r w:rsidR="00C83B5C" w:rsidRPr="00576C1F">
        <w:rPr>
          <w:rStyle w:val="References"/>
        </w:rPr>
        <w:t xml:space="preserve"> 12</w:t>
      </w:r>
      <w:r w:rsidR="00C83B5C">
        <w:rPr>
          <w:rStyle w:val="References"/>
        </w:rPr>
        <w:t xml:space="preserve"> and 50</w:t>
      </w:r>
      <w:r w:rsidR="00C83B5C" w:rsidRPr="00576C1F">
        <w:rPr>
          <w:rStyle w:val="References"/>
        </w:rPr>
        <w:t>, subsection</w:t>
      </w:r>
      <w:r w:rsidR="00C83B5C">
        <w:rPr>
          <w:rStyle w:val="References"/>
        </w:rPr>
        <w:t>s</w:t>
      </w:r>
      <w:r w:rsidR="00C83B5C" w:rsidRPr="00576C1F">
        <w:rPr>
          <w:rStyle w:val="References"/>
        </w:rPr>
        <w:t xml:space="preserve"> 820-</w:t>
      </w:r>
      <w:r w:rsidR="00C83B5C">
        <w:rPr>
          <w:rStyle w:val="References"/>
        </w:rPr>
        <w:t>51</w:t>
      </w:r>
      <w:r w:rsidR="00C83B5C" w:rsidRPr="00576C1F">
        <w:rPr>
          <w:rStyle w:val="References"/>
        </w:rPr>
        <w:t>(</w:t>
      </w:r>
      <w:r w:rsidR="00C83B5C">
        <w:rPr>
          <w:rStyle w:val="References"/>
        </w:rPr>
        <w:t>2</w:t>
      </w:r>
      <w:r w:rsidR="00C83B5C" w:rsidRPr="00576C1F">
        <w:rPr>
          <w:rStyle w:val="References"/>
        </w:rPr>
        <w:t>)</w:t>
      </w:r>
      <w:r w:rsidR="00C83B5C">
        <w:rPr>
          <w:rStyle w:val="References"/>
        </w:rPr>
        <w:t>-(4) and 995</w:t>
      </w:r>
      <w:r w:rsidR="000B22D0">
        <w:rPr>
          <w:rStyle w:val="References"/>
        </w:rPr>
        <w:noBreakHyphen/>
      </w:r>
      <w:r w:rsidR="00C83B5C">
        <w:rPr>
          <w:rStyle w:val="References"/>
        </w:rPr>
        <w:t>1</w:t>
      </w:r>
      <w:r w:rsidR="000B22D0">
        <w:rPr>
          <w:rStyle w:val="References"/>
        </w:rPr>
        <w:t>(1)</w:t>
      </w:r>
      <w:r w:rsidR="00C83B5C">
        <w:rPr>
          <w:rStyle w:val="References"/>
        </w:rPr>
        <w:t>]</w:t>
      </w:r>
    </w:p>
    <w:p w14:paraId="1C828EDF" w14:textId="2BCFCAF7" w:rsidR="002E644F" w:rsidRDefault="00C1728B" w:rsidP="00D03C35">
      <w:pPr>
        <w:pStyle w:val="Normalparatextwithnumbers"/>
      </w:pPr>
      <w:r>
        <w:t xml:space="preserve">The GR group EBTIDA is relevant to calculating the group ratio earnings limit, which is discussed below from </w:t>
      </w:r>
      <w:r w:rsidR="00190353">
        <w:t xml:space="preserve">paragraph </w:t>
      </w:r>
      <w:r w:rsidR="001D59F0">
        <w:t>1.54</w:t>
      </w:r>
      <w:r>
        <w:t xml:space="preserve">. The requirement for the GR group EBTIDA to not be less than zero is necessary to </w:t>
      </w:r>
      <w:r w:rsidR="0034374C">
        <w:t>ensure the meaningful application of the group ratio test</w:t>
      </w:r>
      <w:r w:rsidR="00F1522E">
        <w:t xml:space="preserve"> and</w:t>
      </w:r>
      <w:r>
        <w:t xml:space="preserve"> </w:t>
      </w:r>
      <w:r w:rsidR="00D75A69">
        <w:t xml:space="preserve">prevent </w:t>
      </w:r>
      <w:r>
        <w:t xml:space="preserve">entities </w:t>
      </w:r>
      <w:r w:rsidR="00D75A69">
        <w:t xml:space="preserve">from exploiting </w:t>
      </w:r>
      <w:r w:rsidR="00F1522E">
        <w:t xml:space="preserve">its operation to claim </w:t>
      </w:r>
      <w:r w:rsidR="00D75A69">
        <w:t>excessive debt deductions</w:t>
      </w:r>
      <w:r w:rsidR="00F1522E">
        <w:t xml:space="preserve"> that </w:t>
      </w:r>
      <w:r w:rsidR="00CB70A8">
        <w:t xml:space="preserve">are not linked to their </w:t>
      </w:r>
      <w:r w:rsidR="001701B8">
        <w:t>profit</w:t>
      </w:r>
      <w:r w:rsidR="00832FEB">
        <w:t>s</w:t>
      </w:r>
      <w:r>
        <w:t>.</w:t>
      </w:r>
      <w:r w:rsidR="00AB1214">
        <w:t xml:space="preserve"> This is consistent with the OECD best practice guidance.</w:t>
      </w:r>
      <w:r>
        <w:t xml:space="preserve"> </w:t>
      </w:r>
    </w:p>
    <w:p w14:paraId="3714C585" w14:textId="748CCC16" w:rsidR="00AA7D04" w:rsidRDefault="003E48FA" w:rsidP="003E48FA">
      <w:pPr>
        <w:pStyle w:val="Heading5"/>
      </w:pPr>
      <w:r>
        <w:lastRenderedPageBreak/>
        <w:t>Application of the e</w:t>
      </w:r>
      <w:r w:rsidRPr="003E48FA">
        <w:t xml:space="preserve">xternal </w:t>
      </w:r>
      <w:proofErr w:type="gramStart"/>
      <w:r w:rsidRPr="003E48FA">
        <w:t>third party</w:t>
      </w:r>
      <w:proofErr w:type="gramEnd"/>
      <w:r w:rsidRPr="003E48FA">
        <w:t xml:space="preserve"> debt test</w:t>
      </w:r>
    </w:p>
    <w:p w14:paraId="7EDA34CB" w14:textId="57C184CD" w:rsidR="00A46DEE" w:rsidRDefault="00A46DEE" w:rsidP="00504A14">
      <w:pPr>
        <w:pStyle w:val="Normalparatextwithnumbers"/>
      </w:pPr>
      <w:r>
        <w:t xml:space="preserve">General class investors can choose to apply the external </w:t>
      </w:r>
      <w:proofErr w:type="gramStart"/>
      <w:r>
        <w:t>third party</w:t>
      </w:r>
      <w:proofErr w:type="gramEnd"/>
      <w:r>
        <w:t xml:space="preserve"> debt test in relation to </w:t>
      </w:r>
      <w:r w:rsidR="00167DE1">
        <w:t xml:space="preserve">an </w:t>
      </w:r>
      <w:r>
        <w:t>income year.</w:t>
      </w:r>
      <w:r w:rsidR="00504A14">
        <w:t xml:space="preserve"> </w:t>
      </w:r>
      <w:r>
        <w:t>However, general class investors cannot make this choice if:</w:t>
      </w:r>
    </w:p>
    <w:p w14:paraId="142841B7" w14:textId="30B7300A" w:rsidR="00A46DEE" w:rsidRDefault="00A46DEE" w:rsidP="003E48FA">
      <w:pPr>
        <w:pStyle w:val="Dotpoint1"/>
      </w:pPr>
      <w:r>
        <w:t>the entity has one or more associate entities who are general class investors for the income year</w:t>
      </w:r>
      <w:r w:rsidR="003E48FA">
        <w:t xml:space="preserve">; </w:t>
      </w:r>
      <w:r>
        <w:t xml:space="preserve">and </w:t>
      </w:r>
    </w:p>
    <w:p w14:paraId="676DC798" w14:textId="77777777" w:rsidR="00A46DEE" w:rsidRDefault="00A46DEE" w:rsidP="003E48FA">
      <w:pPr>
        <w:pStyle w:val="Dotpoint1"/>
      </w:pPr>
      <w:r>
        <w:t xml:space="preserve">those associate entities are not exempt from the thin capitalisation rules; and </w:t>
      </w:r>
    </w:p>
    <w:p w14:paraId="798F024F" w14:textId="1F919B10" w:rsidR="00A46DEE" w:rsidRDefault="00A46DEE" w:rsidP="003E48FA">
      <w:pPr>
        <w:pStyle w:val="Dotpoint1"/>
      </w:pPr>
      <w:r>
        <w:t xml:space="preserve">at least one of the associate entities does not make a choice to use the external </w:t>
      </w:r>
      <w:proofErr w:type="gramStart"/>
      <w:r>
        <w:t>third party</w:t>
      </w:r>
      <w:proofErr w:type="gramEnd"/>
      <w:r>
        <w:t xml:space="preserve"> debt test.</w:t>
      </w:r>
      <w:r w:rsidR="00E57B84">
        <w:br/>
      </w:r>
      <w:r w:rsidR="00E57B84" w:rsidRPr="00E57B84">
        <w:rPr>
          <w:rFonts w:cs="Times New Roman"/>
          <w:b/>
          <w:bCs/>
          <w:i/>
          <w:iCs/>
        </w:rPr>
        <w:t>[Schedule 1, item 12, section 820-</w:t>
      </w:r>
      <w:r w:rsidR="00E57B84">
        <w:rPr>
          <w:rFonts w:cs="Times New Roman"/>
          <w:b/>
          <w:bCs/>
          <w:i/>
          <w:iCs/>
        </w:rPr>
        <w:t>43</w:t>
      </w:r>
      <w:r w:rsidR="00E57B84" w:rsidRPr="00E57B84">
        <w:rPr>
          <w:rFonts w:cs="Times New Roman"/>
          <w:b/>
          <w:bCs/>
          <w:i/>
          <w:iCs/>
        </w:rPr>
        <w:t>(</w:t>
      </w:r>
      <w:r w:rsidR="00E57B84">
        <w:rPr>
          <w:rFonts w:cs="Times New Roman"/>
          <w:b/>
          <w:bCs/>
          <w:i/>
          <w:iCs/>
        </w:rPr>
        <w:t>5</w:t>
      </w:r>
      <w:r w:rsidR="00E57B84" w:rsidRPr="00E57B84">
        <w:rPr>
          <w:rFonts w:cs="Times New Roman"/>
          <w:b/>
          <w:bCs/>
          <w:i/>
          <w:iCs/>
        </w:rPr>
        <w:t>)]</w:t>
      </w:r>
    </w:p>
    <w:p w14:paraId="7E5886B5" w14:textId="68FEF322" w:rsidR="00A46DEE" w:rsidRDefault="00A46DEE" w:rsidP="00A46DEE">
      <w:pPr>
        <w:pStyle w:val="Normalparatextwithnumbers"/>
      </w:pPr>
      <w:r>
        <w:t>Th</w:t>
      </w:r>
      <w:r w:rsidR="00B207A8">
        <w:t xml:space="preserve">e restriction on </w:t>
      </w:r>
      <w:r w:rsidR="002F4700">
        <w:t>th</w:t>
      </w:r>
      <w:r>
        <w:t xml:space="preserve">is choice </w:t>
      </w:r>
      <w:r w:rsidR="00CF2C73">
        <w:t>ensures that g</w:t>
      </w:r>
      <w:r>
        <w:t xml:space="preserve">eneral class investors and their associates </w:t>
      </w:r>
      <w:r w:rsidR="00D720A9">
        <w:t xml:space="preserve">are </w:t>
      </w:r>
      <w:r>
        <w:t xml:space="preserve">not </w:t>
      </w:r>
      <w:r w:rsidR="00633C29">
        <w:t xml:space="preserve">able </w:t>
      </w:r>
      <w:r>
        <w:t>to structure their affairs in a way that allows them to artificially maximise the</w:t>
      </w:r>
      <w:r w:rsidR="00C1334E">
        <w:t>ir</w:t>
      </w:r>
      <w:r>
        <w:t xml:space="preserve"> tax benefits </w:t>
      </w:r>
      <w:r w:rsidR="003369E7">
        <w:t>by applying a combination of different thin capitalisation tests</w:t>
      </w:r>
      <w:r>
        <w:t xml:space="preserve">. </w:t>
      </w:r>
      <w:r w:rsidR="00651079">
        <w:t>T</w:t>
      </w:r>
      <w:r>
        <w:t xml:space="preserve">he restriction effectively requires a general class investor and all of </w:t>
      </w:r>
      <w:r w:rsidR="00D16EF4">
        <w:t>its</w:t>
      </w:r>
      <w:r>
        <w:t xml:space="preserve"> associate entities</w:t>
      </w:r>
      <w:r w:rsidR="00D86AF4">
        <w:t xml:space="preserve"> </w:t>
      </w:r>
      <w:r w:rsidR="00E6319B">
        <w:t>to</w:t>
      </w:r>
      <w:r>
        <w:t xml:space="preserve"> </w:t>
      </w:r>
      <w:r w:rsidR="0028084F">
        <w:t>make a mutual choice to use</w:t>
      </w:r>
      <w:r>
        <w:t xml:space="preserve"> the </w:t>
      </w:r>
      <w:proofErr w:type="gramStart"/>
      <w:r>
        <w:t>third party</w:t>
      </w:r>
      <w:proofErr w:type="gramEnd"/>
      <w:r>
        <w:t xml:space="preserve"> debt test, if </w:t>
      </w:r>
      <w:r w:rsidR="0028084F">
        <w:t xml:space="preserve">any </w:t>
      </w:r>
      <w:r>
        <w:t xml:space="preserve">one of those entities wishes to use that test.     </w:t>
      </w:r>
    </w:p>
    <w:p w14:paraId="2534D141" w14:textId="146E9811" w:rsidR="00A46DEE" w:rsidRDefault="00A46DEE" w:rsidP="00A46DEE">
      <w:pPr>
        <w:pStyle w:val="Normalparatextwithnumbers"/>
      </w:pPr>
      <w:bookmarkStart w:id="41" w:name="_Ref128033793"/>
      <w:bookmarkStart w:id="42" w:name="_Ref128382023"/>
      <w:r>
        <w:t xml:space="preserve">A modified definition of ‘associate entity’ applies for the purposes of the restriction. In determining whether an entity is an associate entity of another entity, the reference in paragraph 820-905(1)(a) </w:t>
      </w:r>
      <w:r w:rsidR="002E0A0A">
        <w:t xml:space="preserve">of the Act </w:t>
      </w:r>
      <w:r>
        <w:t xml:space="preserve">to “an *associate interest of 50% or more” is instead treated as being a reference to “a *TC control interest of 10% or more”. ‘TC control interest’ is defined in 820-815 and its meaning is affected by sections 820-820 to 820- 835. </w:t>
      </w:r>
      <w:bookmarkEnd w:id="41"/>
      <w:r w:rsidR="00C83B5C">
        <w:br/>
      </w:r>
      <w:r w:rsidR="00C83B5C" w:rsidRPr="00576C1F">
        <w:rPr>
          <w:rStyle w:val="References"/>
        </w:rPr>
        <w:t>[Schedule 1, item</w:t>
      </w:r>
      <w:r w:rsidR="00C83B5C">
        <w:rPr>
          <w:rStyle w:val="References"/>
        </w:rPr>
        <w:t>s</w:t>
      </w:r>
      <w:r w:rsidR="00C83B5C" w:rsidRPr="00576C1F">
        <w:rPr>
          <w:rStyle w:val="References"/>
        </w:rPr>
        <w:t xml:space="preserve"> 12, subsection 820-</w:t>
      </w:r>
      <w:r w:rsidR="00C83B5C">
        <w:rPr>
          <w:rStyle w:val="References"/>
        </w:rPr>
        <w:t>61</w:t>
      </w:r>
      <w:r w:rsidR="00C83B5C" w:rsidRPr="00576C1F">
        <w:rPr>
          <w:rStyle w:val="References"/>
        </w:rPr>
        <w:t>(</w:t>
      </w:r>
      <w:r w:rsidR="00C83B5C">
        <w:rPr>
          <w:rStyle w:val="References"/>
        </w:rPr>
        <w:t>9</w:t>
      </w:r>
      <w:r w:rsidR="00C83B5C" w:rsidRPr="00576C1F">
        <w:rPr>
          <w:rStyle w:val="References"/>
        </w:rPr>
        <w:t>)</w:t>
      </w:r>
      <w:r w:rsidR="00C83B5C">
        <w:rPr>
          <w:rStyle w:val="References"/>
        </w:rPr>
        <w:t>]</w:t>
      </w:r>
      <w:bookmarkEnd w:id="42"/>
    </w:p>
    <w:p w14:paraId="764C7C0F" w14:textId="3F2AD5B5" w:rsidR="00A46DEE" w:rsidRDefault="00A46DEE" w:rsidP="00A46DEE">
      <w:pPr>
        <w:pStyle w:val="Normalparatextwithnumbers"/>
      </w:pPr>
      <w:r>
        <w:t xml:space="preserve">The modified definition of ‘associate entity’ strengthens </w:t>
      </w:r>
      <w:r w:rsidR="00BC774C">
        <w:t xml:space="preserve">the existing </w:t>
      </w:r>
      <w:r>
        <w:t xml:space="preserve">definition and helps </w:t>
      </w:r>
      <w:r w:rsidR="00431790">
        <w:t xml:space="preserve">to </w:t>
      </w:r>
      <w:r>
        <w:t>ensure that entities cannot structure their affairs in a manner which avoids the application of the definition</w:t>
      </w:r>
      <w:r w:rsidR="002161DB">
        <w:t xml:space="preserve"> and, by extension, the restriction</w:t>
      </w:r>
      <w:r>
        <w:t xml:space="preserve">. </w:t>
      </w:r>
    </w:p>
    <w:p w14:paraId="439D66B6" w14:textId="7824245C" w:rsidR="00AA7D04" w:rsidRDefault="00D62B7E" w:rsidP="00606F60">
      <w:pPr>
        <w:pStyle w:val="Heading5"/>
      </w:pPr>
      <w:r w:rsidRPr="00D62B7E">
        <w:t>Procedure of choices</w:t>
      </w:r>
    </w:p>
    <w:p w14:paraId="60F50DB3" w14:textId="642DD00E" w:rsidR="00606F60" w:rsidRDefault="00606F60" w:rsidP="00606F60">
      <w:pPr>
        <w:pStyle w:val="Normalparatextwithnumbers"/>
      </w:pPr>
      <w:r>
        <w:t xml:space="preserve">A choice </w:t>
      </w:r>
      <w:r w:rsidR="0030121E">
        <w:t>for an income year</w:t>
      </w:r>
      <w:r>
        <w:t xml:space="preserve"> to use either the group ratio test or the external </w:t>
      </w:r>
      <w:proofErr w:type="gramStart"/>
      <w:r>
        <w:t>third party</w:t>
      </w:r>
      <w:proofErr w:type="gramEnd"/>
      <w:r>
        <w:t xml:space="preserve"> debt test must be made:</w:t>
      </w:r>
    </w:p>
    <w:p w14:paraId="341B8364" w14:textId="77777777" w:rsidR="00606F60" w:rsidRDefault="00606F60" w:rsidP="00606F60">
      <w:pPr>
        <w:pStyle w:val="Dotpoint1"/>
      </w:pPr>
      <w:r>
        <w:t>in the approved form; and</w:t>
      </w:r>
    </w:p>
    <w:p w14:paraId="1E8C545E" w14:textId="77777777" w:rsidR="00606F60" w:rsidRDefault="00606F60" w:rsidP="00606F60">
      <w:pPr>
        <w:pStyle w:val="Dotpoint1"/>
      </w:pPr>
      <w:r>
        <w:t>on or before the earlier of the day the entity lodges its income tax return for the income year and the day the entity is required to lodge its income tax return for the income year.</w:t>
      </w:r>
    </w:p>
    <w:p w14:paraId="33B918D4" w14:textId="45625631" w:rsidR="00606F60" w:rsidRDefault="00606F60" w:rsidP="00606F60">
      <w:pPr>
        <w:pStyle w:val="Normalparatextwithnumbers"/>
      </w:pPr>
      <w:r>
        <w:t xml:space="preserve">A choice </w:t>
      </w:r>
      <w:r w:rsidR="00DE0EC0">
        <w:t xml:space="preserve">for an income year </w:t>
      </w:r>
      <w:r>
        <w:t xml:space="preserve">cannot be revoked. </w:t>
      </w:r>
    </w:p>
    <w:p w14:paraId="5EFA4253" w14:textId="69C54D7F" w:rsidR="00606F60" w:rsidRDefault="00606F60" w:rsidP="00606F60">
      <w:pPr>
        <w:pStyle w:val="Normalparatextwithnumbers"/>
      </w:pPr>
      <w:r>
        <w:t xml:space="preserve">The Commissioner may defer the time within which an approved form is required to be given to </w:t>
      </w:r>
      <w:r w:rsidR="001713CC">
        <w:t xml:space="preserve">them </w:t>
      </w:r>
      <w:r>
        <w:t xml:space="preserve">(see section 388-55 in Schedule 1 to the </w:t>
      </w:r>
      <w:r w:rsidR="005610DF">
        <w:t>TAA</w:t>
      </w:r>
      <w:r>
        <w:t xml:space="preserve"> 1953). </w:t>
      </w:r>
      <w:r w:rsidR="00D35D82">
        <w:br/>
      </w:r>
      <w:r w:rsidR="00D35D82" w:rsidRPr="00CE6667">
        <w:rPr>
          <w:rStyle w:val="References"/>
        </w:rPr>
        <w:lastRenderedPageBreak/>
        <w:t xml:space="preserve">[Schedule 1, </w:t>
      </w:r>
      <w:r w:rsidR="00D35D82">
        <w:rPr>
          <w:rStyle w:val="References"/>
        </w:rPr>
        <w:t xml:space="preserve">item 12, subsections 820-43(3)-(4), (7)-(8), </w:t>
      </w:r>
      <w:r w:rsidR="00D35D82" w:rsidRPr="00CE6667">
        <w:rPr>
          <w:rStyle w:val="References"/>
        </w:rPr>
        <w:t xml:space="preserve">item </w:t>
      </w:r>
      <w:r w:rsidR="00D35D82">
        <w:rPr>
          <w:rStyle w:val="References"/>
        </w:rPr>
        <w:t>13</w:t>
      </w:r>
      <w:r w:rsidR="00D35D82" w:rsidRPr="00CE6667">
        <w:rPr>
          <w:rStyle w:val="References"/>
        </w:rPr>
        <w:t>, subsections</w:t>
      </w:r>
      <w:r w:rsidR="00D35D82">
        <w:rPr>
          <w:rStyle w:val="References"/>
        </w:rPr>
        <w:t xml:space="preserve"> 820-85(2A), (2B) </w:t>
      </w:r>
      <w:r w:rsidR="00576C1F">
        <w:rPr>
          <w:rStyle w:val="References"/>
        </w:rPr>
        <w:t>and</w:t>
      </w:r>
      <w:r w:rsidR="00D35D82">
        <w:rPr>
          <w:rStyle w:val="References"/>
        </w:rPr>
        <w:t xml:space="preserve"> (2C) and item 26, </w:t>
      </w:r>
      <w:r w:rsidR="002E5530">
        <w:rPr>
          <w:rStyle w:val="References"/>
        </w:rPr>
        <w:t xml:space="preserve">subsections </w:t>
      </w:r>
      <w:r w:rsidR="00D35D82">
        <w:rPr>
          <w:rStyle w:val="References"/>
        </w:rPr>
        <w:t>820-185(2A)</w:t>
      </w:r>
      <w:r w:rsidR="00576C1F">
        <w:rPr>
          <w:rStyle w:val="References"/>
        </w:rPr>
        <w:t>,</w:t>
      </w:r>
      <w:r w:rsidR="00D35D82">
        <w:rPr>
          <w:rStyle w:val="References"/>
        </w:rPr>
        <w:t xml:space="preserve"> (2B) and (2C)]</w:t>
      </w:r>
    </w:p>
    <w:p w14:paraId="159A74D6" w14:textId="1ED528B3" w:rsidR="00AA7D04" w:rsidRDefault="004A0424" w:rsidP="004A0424">
      <w:pPr>
        <w:pStyle w:val="Heading4"/>
      </w:pPr>
      <w:r>
        <w:t>Operation of the new tests</w:t>
      </w:r>
    </w:p>
    <w:p w14:paraId="59B294B1" w14:textId="71F465D9" w:rsidR="00B530FA" w:rsidRDefault="00B530FA" w:rsidP="00B530FA">
      <w:pPr>
        <w:pStyle w:val="Normalparatextwithnumbers"/>
      </w:pPr>
      <w:r>
        <w:t xml:space="preserve">The amount of debt deductions of an entity for an income year that </w:t>
      </w:r>
      <w:r w:rsidR="006C6378">
        <w:t>is</w:t>
      </w:r>
      <w:r>
        <w:t xml:space="preserve"> disallowed is the amount by which the entity’s</w:t>
      </w:r>
      <w:r w:rsidR="00240F87">
        <w:t>:</w:t>
      </w:r>
    </w:p>
    <w:p w14:paraId="32FF2856" w14:textId="0A62DB4D" w:rsidR="00B530FA" w:rsidRDefault="00B530FA" w:rsidP="00574B15">
      <w:pPr>
        <w:pStyle w:val="Dotpoint1"/>
      </w:pPr>
      <w:r>
        <w:t xml:space="preserve">if the </w:t>
      </w:r>
      <w:r w:rsidR="00AA381E">
        <w:t>default</w:t>
      </w:r>
      <w:r>
        <w:t xml:space="preserve"> fixed ratio test applies – </w:t>
      </w:r>
      <w:r w:rsidR="00953818" w:rsidRPr="00AC66F3">
        <w:rPr>
          <w:i/>
          <w:iCs/>
        </w:rPr>
        <w:t xml:space="preserve">net </w:t>
      </w:r>
      <w:r w:rsidR="00841A4C" w:rsidRPr="00AC66F3">
        <w:rPr>
          <w:i/>
          <w:iCs/>
        </w:rPr>
        <w:t>debt deductions</w:t>
      </w:r>
      <w:r w:rsidR="00841A4C">
        <w:t xml:space="preserve"> </w:t>
      </w:r>
      <w:r w:rsidR="00734E7E">
        <w:t xml:space="preserve">exceed </w:t>
      </w:r>
      <w:r>
        <w:t>the entity’s ‘fixed ratio earnings limit’ for the income year; or</w:t>
      </w:r>
    </w:p>
    <w:p w14:paraId="01BB4383" w14:textId="1627253B" w:rsidR="00B530FA" w:rsidRDefault="00B530FA" w:rsidP="00574B15">
      <w:pPr>
        <w:pStyle w:val="Dotpoint1"/>
      </w:pPr>
      <w:r>
        <w:t xml:space="preserve">if the entity has made a choice to use the group ratio test for the income year – </w:t>
      </w:r>
      <w:r w:rsidR="00240F87" w:rsidRPr="00AC66F3">
        <w:rPr>
          <w:i/>
          <w:iCs/>
        </w:rPr>
        <w:t>net debt deductions</w:t>
      </w:r>
      <w:r w:rsidR="00240F87">
        <w:t xml:space="preserve"> </w:t>
      </w:r>
      <w:r w:rsidR="000D7620">
        <w:t xml:space="preserve">exceed </w:t>
      </w:r>
      <w:r>
        <w:t>the entity’s ‘group ratio earnings limit’ for the income year; or</w:t>
      </w:r>
    </w:p>
    <w:p w14:paraId="0819AB05" w14:textId="32448B7F" w:rsidR="00B530FA" w:rsidRDefault="00B530FA" w:rsidP="00574B15">
      <w:pPr>
        <w:pStyle w:val="Dotpoint1"/>
      </w:pPr>
      <w:r>
        <w:t xml:space="preserve">if the entity has made a choice to use the external </w:t>
      </w:r>
      <w:proofErr w:type="gramStart"/>
      <w:r>
        <w:t>third party</w:t>
      </w:r>
      <w:proofErr w:type="gramEnd"/>
      <w:r>
        <w:t xml:space="preserve"> debt test for the income year – </w:t>
      </w:r>
      <w:r w:rsidR="000D7620" w:rsidRPr="00344213">
        <w:rPr>
          <w:i/>
          <w:iCs/>
        </w:rPr>
        <w:t>debt deductions</w:t>
      </w:r>
      <w:r w:rsidR="000D7620">
        <w:t xml:space="preserve"> exceed </w:t>
      </w:r>
      <w:r>
        <w:t>the entity’s ‘external third party earnings limit’ for the income year.</w:t>
      </w:r>
      <w:r w:rsidR="00114402">
        <w:br/>
      </w:r>
      <w:r w:rsidR="00114402" w:rsidRPr="00114402">
        <w:rPr>
          <w:rStyle w:val="References"/>
        </w:rPr>
        <w:t>[Schedule 1, item 12, subsection 820-45(1)]</w:t>
      </w:r>
    </w:p>
    <w:p w14:paraId="1A8B7A11" w14:textId="5E6783F0" w:rsidR="006C6C33" w:rsidRDefault="006800E8" w:rsidP="00B530FA">
      <w:pPr>
        <w:pStyle w:val="Normalparatextwithnumbers"/>
      </w:pPr>
      <w:r>
        <w:t>Th</w:t>
      </w:r>
      <w:r w:rsidR="009A5D7A">
        <w:t>is</w:t>
      </w:r>
      <w:r>
        <w:t xml:space="preserve"> approach </w:t>
      </w:r>
      <w:r w:rsidR="009A5D7A">
        <w:t xml:space="preserve">to disallowing debt deductions is consistent with the </w:t>
      </w:r>
      <w:r w:rsidR="00386C4A">
        <w:t xml:space="preserve">OECD best practice guidance in relation to the </w:t>
      </w:r>
      <w:r w:rsidR="009A5D7A">
        <w:t xml:space="preserve">fixed and group ratio </w:t>
      </w:r>
      <w:r w:rsidR="00386C4A">
        <w:t>tests. T</w:t>
      </w:r>
      <w:r w:rsidR="009A5D7A">
        <w:t xml:space="preserve">he ‘earnings limit’ is the absolute cap on the net debt deductions that an entity is entitled to deduct. </w:t>
      </w:r>
      <w:r w:rsidR="00386C4A">
        <w:t xml:space="preserve">Debt deductions are denied by the amount by which net debt deductions exceed the relevant earnings limit. </w:t>
      </w:r>
    </w:p>
    <w:p w14:paraId="2F8799F7" w14:textId="44DE672A" w:rsidR="00386C4A" w:rsidRDefault="00386C4A" w:rsidP="00B530FA">
      <w:pPr>
        <w:pStyle w:val="Normalparatextwithnumbers"/>
      </w:pPr>
      <w:r>
        <w:t>It is important to note that</w:t>
      </w:r>
      <w:r w:rsidR="009557B5">
        <w:t>, contrary to the fixed and group ratio tests,</w:t>
      </w:r>
      <w:r>
        <w:t xml:space="preserve"> the external </w:t>
      </w:r>
      <w:proofErr w:type="gramStart"/>
      <w:r>
        <w:t>third party</w:t>
      </w:r>
      <w:proofErr w:type="gramEnd"/>
      <w:r>
        <w:t xml:space="preserve"> debt test </w:t>
      </w:r>
      <w:r w:rsidR="00E02753">
        <w:t>denies debt deductions by the amount by which debt deductions (</w:t>
      </w:r>
      <w:r w:rsidR="00E02753" w:rsidRPr="00532C5D">
        <w:rPr>
          <w:i/>
          <w:iCs/>
        </w:rPr>
        <w:t>not</w:t>
      </w:r>
      <w:r w:rsidR="00E02753">
        <w:t xml:space="preserve"> net debt deductions) exceeds the relevant</w:t>
      </w:r>
      <w:r w:rsidR="009C3047">
        <w:t xml:space="preserve"> earnings limit. This approach is taken to</w:t>
      </w:r>
      <w:r w:rsidR="00182AB2">
        <w:t xml:space="preserve"> ensure that test achieves its policy of effectively deny</w:t>
      </w:r>
      <w:r w:rsidR="0027225A">
        <w:t>ing</w:t>
      </w:r>
      <w:r w:rsidR="00182AB2">
        <w:t xml:space="preserve"> all debt deductions which </w:t>
      </w:r>
      <w:r w:rsidR="007B3ED0">
        <w:t xml:space="preserve">are attributable </w:t>
      </w:r>
      <w:r w:rsidR="00182AB2">
        <w:t xml:space="preserve">to </w:t>
      </w:r>
      <w:r w:rsidR="00087A5E">
        <w:t xml:space="preserve">related </w:t>
      </w:r>
      <w:r w:rsidR="00182AB2">
        <w:t xml:space="preserve">party debt. </w:t>
      </w:r>
    </w:p>
    <w:p w14:paraId="5BC29BA9" w14:textId="08E3E7E1" w:rsidR="00B530FA" w:rsidRDefault="00B530FA" w:rsidP="00B530FA">
      <w:pPr>
        <w:pStyle w:val="Normalparatextwithnumbers"/>
      </w:pPr>
      <w:r>
        <w:t xml:space="preserve">If one of the new tests operates to disallow all or part of an entity’s debt deductions, then each individual debt deduction </w:t>
      </w:r>
      <w:r w:rsidR="00AB6053">
        <w:t>is</w:t>
      </w:r>
      <w:r>
        <w:t xml:space="preserve"> </w:t>
      </w:r>
      <w:r w:rsidR="00B372F0">
        <w:t xml:space="preserve">disallowed in </w:t>
      </w:r>
      <w:r>
        <w:t xml:space="preserve">the same proportion. </w:t>
      </w:r>
      <w:r w:rsidR="00386C4A">
        <w:t>This approach is broadly consistent with the existing thin capitalisation rules and ensures that e</w:t>
      </w:r>
      <w:r>
        <w:t xml:space="preserve">ntities cannot choose to disallow certain debt deductions </w:t>
      </w:r>
      <w:r w:rsidR="00E97066">
        <w:t>in preference to</w:t>
      </w:r>
      <w:r>
        <w:t xml:space="preserve"> others.   </w:t>
      </w:r>
    </w:p>
    <w:p w14:paraId="07FBB881" w14:textId="0F00AE3C" w:rsidR="00AA7D04" w:rsidRDefault="00C738AA" w:rsidP="00C738AA">
      <w:pPr>
        <w:pStyle w:val="Heading5"/>
      </w:pPr>
      <w:r>
        <w:t>Operation of the fixed ratio test</w:t>
      </w:r>
    </w:p>
    <w:p w14:paraId="1E8803CF" w14:textId="00CCC99A" w:rsidR="00AF7492" w:rsidRDefault="00AF7492" w:rsidP="00AF7492">
      <w:pPr>
        <w:pStyle w:val="Normalparatextwithnumbers"/>
      </w:pPr>
      <w:r>
        <w:t xml:space="preserve">The fixed ratio test </w:t>
      </w:r>
      <w:r w:rsidR="000D454F">
        <w:t>dis</w:t>
      </w:r>
      <w:r>
        <w:t xml:space="preserve">allows debt deductions </w:t>
      </w:r>
      <w:r w:rsidR="00487DCA">
        <w:t>to the extent that net debt de</w:t>
      </w:r>
      <w:r w:rsidR="00763B59">
        <w:t>ductions exceed</w:t>
      </w:r>
      <w:r>
        <w:t xml:space="preserve"> a specified proportion (30</w:t>
      </w:r>
      <w:r w:rsidR="00C50ACB">
        <w:t xml:space="preserve"> per cent) </w:t>
      </w:r>
      <w:r>
        <w:t xml:space="preserve">of </w:t>
      </w:r>
      <w:r w:rsidR="00C50ACB">
        <w:t xml:space="preserve">tax </w:t>
      </w:r>
      <w:r>
        <w:t xml:space="preserve">EBITDA. This ensures that a portion of an entity’s profit remains subject to tax </w:t>
      </w:r>
      <w:r w:rsidR="0032349B">
        <w:t xml:space="preserve">in </w:t>
      </w:r>
      <w:r>
        <w:t xml:space="preserve">Australia and cannot be eroded </w:t>
      </w:r>
      <w:r w:rsidR="008F4FC1">
        <w:t>by</w:t>
      </w:r>
      <w:r>
        <w:t xml:space="preserve"> excessive debt deductions.</w:t>
      </w:r>
    </w:p>
    <w:p w14:paraId="6306E879" w14:textId="134C2441" w:rsidR="00AF7492" w:rsidRDefault="00AF7492" w:rsidP="00AF7492">
      <w:pPr>
        <w:pStyle w:val="Normalparatextwithnumbers"/>
      </w:pPr>
      <w:r>
        <w:t xml:space="preserve">If the fixed ratio test applies, the amount of debt deductions of an entity for an income year that </w:t>
      </w:r>
      <w:r w:rsidR="00B24265">
        <w:t>is</w:t>
      </w:r>
      <w:r>
        <w:t xml:space="preserve"> disallowed is the amount by which the entity’s</w:t>
      </w:r>
      <w:r w:rsidR="00C62910">
        <w:t xml:space="preserve"> net</w:t>
      </w:r>
      <w:r>
        <w:t xml:space="preserve"> debt </w:t>
      </w:r>
      <w:r>
        <w:lastRenderedPageBreak/>
        <w:t xml:space="preserve">deductions exceed the entity’s fixed ratio earnings limit for the income year. </w:t>
      </w:r>
      <w:r w:rsidR="00576C1F">
        <w:br/>
      </w:r>
      <w:r w:rsidR="00576C1F" w:rsidRPr="00576C1F">
        <w:rPr>
          <w:rStyle w:val="References"/>
        </w:rPr>
        <w:t>[Schedule 1, item 12, subsection 820-4</w:t>
      </w:r>
      <w:r w:rsidR="00576C1F">
        <w:rPr>
          <w:rStyle w:val="References"/>
        </w:rPr>
        <w:t>5</w:t>
      </w:r>
      <w:r w:rsidR="00576C1F" w:rsidRPr="00576C1F">
        <w:rPr>
          <w:rStyle w:val="References"/>
        </w:rPr>
        <w:t>(</w:t>
      </w:r>
      <w:r w:rsidR="00576C1F">
        <w:rPr>
          <w:rStyle w:val="References"/>
        </w:rPr>
        <w:t>2</w:t>
      </w:r>
      <w:r w:rsidR="00576C1F" w:rsidRPr="00576C1F">
        <w:rPr>
          <w:rStyle w:val="References"/>
        </w:rPr>
        <w:t>)</w:t>
      </w:r>
      <w:r w:rsidR="00576C1F">
        <w:rPr>
          <w:rStyle w:val="References"/>
        </w:rPr>
        <w:t>]</w:t>
      </w:r>
    </w:p>
    <w:p w14:paraId="1B1166B7" w14:textId="56F0EA55" w:rsidR="00AF7492" w:rsidRDefault="00AF7492" w:rsidP="00AF7492">
      <w:pPr>
        <w:pStyle w:val="Normalparatextwithnumbers"/>
      </w:pPr>
      <w:r>
        <w:t xml:space="preserve">An entity’s </w:t>
      </w:r>
      <w:r w:rsidR="008F4FC1">
        <w:t>‘</w:t>
      </w:r>
      <w:r>
        <w:t>fixed ratio earnings limit</w:t>
      </w:r>
      <w:r w:rsidR="008F4FC1">
        <w:t>’</w:t>
      </w:r>
      <w:r>
        <w:t xml:space="preserve"> for an income year is 30</w:t>
      </w:r>
      <w:r w:rsidR="00B12193">
        <w:t xml:space="preserve"> per cent</w:t>
      </w:r>
      <w:r>
        <w:t xml:space="preserve"> of its tax EBITDA for th</w:t>
      </w:r>
      <w:r w:rsidR="00D65B63">
        <w:t>at</w:t>
      </w:r>
      <w:r>
        <w:t xml:space="preserve"> income year. </w:t>
      </w:r>
      <w:r w:rsidR="00576C1F">
        <w:br/>
      </w:r>
      <w:bookmarkStart w:id="43" w:name="_Hlk128380049"/>
      <w:r w:rsidR="00576C1F" w:rsidRPr="00576C1F">
        <w:rPr>
          <w:rStyle w:val="References"/>
        </w:rPr>
        <w:t>[Schedule 1, item</w:t>
      </w:r>
      <w:r w:rsidR="00576C1F">
        <w:rPr>
          <w:rStyle w:val="References"/>
        </w:rPr>
        <w:t>s</w:t>
      </w:r>
      <w:r w:rsidR="00576C1F" w:rsidRPr="00576C1F">
        <w:rPr>
          <w:rStyle w:val="References"/>
        </w:rPr>
        <w:t xml:space="preserve"> 12</w:t>
      </w:r>
      <w:r w:rsidR="00576C1F">
        <w:rPr>
          <w:rStyle w:val="References"/>
        </w:rPr>
        <w:t xml:space="preserve"> and 56</w:t>
      </w:r>
      <w:r w:rsidR="00576C1F" w:rsidRPr="00576C1F">
        <w:rPr>
          <w:rStyle w:val="References"/>
        </w:rPr>
        <w:t>, subsection 820-4</w:t>
      </w:r>
      <w:r w:rsidR="00576C1F">
        <w:rPr>
          <w:rStyle w:val="References"/>
        </w:rPr>
        <w:t>7</w:t>
      </w:r>
      <w:r w:rsidR="00576C1F" w:rsidRPr="00576C1F">
        <w:rPr>
          <w:rStyle w:val="References"/>
        </w:rPr>
        <w:t>(</w:t>
      </w:r>
      <w:r w:rsidR="00576C1F">
        <w:rPr>
          <w:rStyle w:val="References"/>
        </w:rPr>
        <w:t>1</w:t>
      </w:r>
      <w:r w:rsidR="00576C1F" w:rsidRPr="00576C1F">
        <w:rPr>
          <w:rStyle w:val="References"/>
        </w:rPr>
        <w:t>)</w:t>
      </w:r>
      <w:r w:rsidR="00576C1F">
        <w:rPr>
          <w:rStyle w:val="References"/>
        </w:rPr>
        <w:t xml:space="preserve"> </w:t>
      </w:r>
      <w:bookmarkEnd w:id="43"/>
      <w:r w:rsidR="00576C1F">
        <w:rPr>
          <w:rStyle w:val="References"/>
        </w:rPr>
        <w:t>and section 995-1</w:t>
      </w:r>
      <w:r w:rsidR="00576C1F" w:rsidRPr="00576C1F">
        <w:rPr>
          <w:rStyle w:val="References"/>
        </w:rPr>
        <w:t>]</w:t>
      </w:r>
    </w:p>
    <w:p w14:paraId="059E3E85" w14:textId="62065437" w:rsidR="00AF7492" w:rsidRDefault="00AF7492" w:rsidP="00AF7492">
      <w:pPr>
        <w:pStyle w:val="Normalparatextwithnumbers"/>
      </w:pPr>
      <w:r>
        <w:t xml:space="preserve">An entity’s </w:t>
      </w:r>
      <w:r w:rsidR="008F4FC1">
        <w:t>‘</w:t>
      </w:r>
      <w:r>
        <w:t>tax EBITDA</w:t>
      </w:r>
      <w:r w:rsidR="008F4FC1">
        <w:t>’</w:t>
      </w:r>
      <w:r>
        <w:t xml:space="preserve"> for an income year is worked out accord</w:t>
      </w:r>
      <w:r w:rsidR="00514DC8">
        <w:t>ing</w:t>
      </w:r>
      <w:r>
        <w:t xml:space="preserve"> </w:t>
      </w:r>
      <w:r w:rsidR="00514DC8">
        <w:t>to</w:t>
      </w:r>
      <w:r>
        <w:t xml:space="preserve"> the following steps:</w:t>
      </w:r>
    </w:p>
    <w:p w14:paraId="22D12519" w14:textId="10A7936B" w:rsidR="00AF7492" w:rsidRDefault="001E2A71" w:rsidP="008F4FC1">
      <w:pPr>
        <w:pStyle w:val="Dotpoint1"/>
      </w:pPr>
      <w:r>
        <w:t xml:space="preserve">Step </w:t>
      </w:r>
      <w:r w:rsidR="002A3ACF">
        <w:t>1</w:t>
      </w:r>
      <w:r w:rsidR="00D42FD1">
        <w:t xml:space="preserve">: </w:t>
      </w:r>
      <w:r w:rsidR="00AF7492">
        <w:t>Work out the entity’s taxable income or tax loss for the income year (disregarding the operation of the thin capitalisation rules and treating a tax loss as a negative amount)</w:t>
      </w:r>
      <w:r w:rsidR="00D42FD1">
        <w:t>.</w:t>
      </w:r>
    </w:p>
    <w:p w14:paraId="4C88ED13" w14:textId="54216998" w:rsidR="00AF7492" w:rsidRDefault="001E2A71" w:rsidP="008F4FC1">
      <w:pPr>
        <w:pStyle w:val="Dotpoint1"/>
      </w:pPr>
      <w:r>
        <w:t xml:space="preserve">Step </w:t>
      </w:r>
      <w:r w:rsidR="002A3ACF">
        <w:t>2</w:t>
      </w:r>
      <w:r w:rsidR="00D42FD1">
        <w:t xml:space="preserve">: </w:t>
      </w:r>
      <w:r w:rsidR="00AF7492">
        <w:t>Add the entity’s ‘net debt deductions’ for the income year</w:t>
      </w:r>
      <w:r w:rsidR="00D42FD1">
        <w:t>.</w:t>
      </w:r>
    </w:p>
    <w:p w14:paraId="3BFBC632" w14:textId="54A361AC" w:rsidR="00AF7492" w:rsidRDefault="001E2A71" w:rsidP="008F4FC1">
      <w:pPr>
        <w:pStyle w:val="Dotpoint1"/>
      </w:pPr>
      <w:r>
        <w:t xml:space="preserve">Step </w:t>
      </w:r>
      <w:r w:rsidR="002A3ACF">
        <w:t>3</w:t>
      </w:r>
      <w:r w:rsidR="00D42FD1">
        <w:t xml:space="preserve">: </w:t>
      </w:r>
      <w:r w:rsidR="00AF7492">
        <w:t xml:space="preserve">Add the sum of the entity’s </w:t>
      </w:r>
      <w:r w:rsidR="008F17AA">
        <w:t xml:space="preserve">decline in value and capital works </w:t>
      </w:r>
      <w:r w:rsidR="00AF7492">
        <w:t xml:space="preserve">deductions (if any) for the income year. </w:t>
      </w:r>
    </w:p>
    <w:p w14:paraId="44EF5344" w14:textId="5C47CB25" w:rsidR="00AF7492" w:rsidRDefault="001E2A71" w:rsidP="008F4FC1">
      <w:pPr>
        <w:pStyle w:val="Dotpoint1"/>
      </w:pPr>
      <w:r>
        <w:t xml:space="preserve">Step </w:t>
      </w:r>
      <w:r w:rsidR="002A3ACF">
        <w:t>4</w:t>
      </w:r>
      <w:r w:rsidR="00D42FD1">
        <w:t xml:space="preserve">: </w:t>
      </w:r>
      <w:r w:rsidR="00AF7492">
        <w:t xml:space="preserve">Add the sum of each of the entity’s </w:t>
      </w:r>
      <w:r w:rsidR="00CB5A96">
        <w:t xml:space="preserve">deductions for </w:t>
      </w:r>
      <w:r w:rsidR="00AF7492">
        <w:t xml:space="preserve">tax losses </w:t>
      </w:r>
      <w:r w:rsidR="00CC27DE">
        <w:t xml:space="preserve">from </w:t>
      </w:r>
      <w:r w:rsidR="00AF7492">
        <w:t>earlier income years</w:t>
      </w:r>
      <w:r w:rsidR="00C70C8E">
        <w:t>.</w:t>
      </w:r>
    </w:p>
    <w:p w14:paraId="57B04E33" w14:textId="59217280" w:rsidR="006E7BCB" w:rsidRDefault="006E7BCB" w:rsidP="00022590">
      <w:pPr>
        <w:pStyle w:val="Dotpoint1"/>
        <w:numPr>
          <w:ilvl w:val="0"/>
          <w:numId w:val="0"/>
        </w:numPr>
        <w:ind w:left="1352"/>
      </w:pPr>
      <w:r>
        <w:t xml:space="preserve">Subject to Step 5, the result of Step 4 </w:t>
      </w:r>
      <w:r w:rsidR="00AE04E9">
        <w:t>is the entity’s tax EBITDA</w:t>
      </w:r>
      <w:r w:rsidR="00C041D5">
        <w:t xml:space="preserve"> for the income year</w:t>
      </w:r>
      <w:r w:rsidR="00AE04E9">
        <w:t xml:space="preserve">. </w:t>
      </w:r>
    </w:p>
    <w:p w14:paraId="2C5A2F25" w14:textId="49493F8E" w:rsidR="00AF7492" w:rsidRDefault="001E2A71" w:rsidP="008F4FC1">
      <w:pPr>
        <w:pStyle w:val="Dotpoint1"/>
      </w:pPr>
      <w:r>
        <w:t xml:space="preserve">Step </w:t>
      </w:r>
      <w:r w:rsidR="002A3ACF">
        <w:t>5</w:t>
      </w:r>
      <w:r w:rsidR="0037219F">
        <w:t>:</w:t>
      </w:r>
      <w:r w:rsidR="006E7BCB">
        <w:t xml:space="preserve"> </w:t>
      </w:r>
      <w:r w:rsidR="00AF7492">
        <w:t xml:space="preserve">If the result of </w:t>
      </w:r>
      <w:r w:rsidR="002A3ACF">
        <w:t>Step 4</w:t>
      </w:r>
      <w:r w:rsidR="00AF7492">
        <w:t xml:space="preserve"> is less than zero, treat it as being zero.</w:t>
      </w:r>
      <w:r w:rsidR="00F91110">
        <w:br/>
      </w:r>
      <w:r w:rsidR="00F91110" w:rsidRPr="00955955">
        <w:rPr>
          <w:b/>
          <w:bCs/>
          <w:i/>
          <w:iCs/>
        </w:rPr>
        <w:t xml:space="preserve">[Schedule 1, items </w:t>
      </w:r>
      <w:r w:rsidR="00F91110">
        <w:rPr>
          <w:b/>
          <w:bCs/>
          <w:i/>
          <w:iCs/>
        </w:rPr>
        <w:t>12</w:t>
      </w:r>
      <w:r w:rsidR="00F91110" w:rsidRPr="00955955">
        <w:rPr>
          <w:b/>
          <w:bCs/>
          <w:i/>
          <w:iCs/>
        </w:rPr>
        <w:t xml:space="preserve"> and </w:t>
      </w:r>
      <w:r w:rsidR="00F91110">
        <w:rPr>
          <w:b/>
          <w:bCs/>
          <w:i/>
          <w:iCs/>
        </w:rPr>
        <w:t>6</w:t>
      </w:r>
      <w:r w:rsidR="00E85ECD">
        <w:rPr>
          <w:b/>
          <w:bCs/>
          <w:i/>
          <w:iCs/>
        </w:rPr>
        <w:t>0</w:t>
      </w:r>
      <w:r w:rsidR="00F91110" w:rsidRPr="00955955">
        <w:rPr>
          <w:b/>
          <w:bCs/>
          <w:i/>
          <w:iCs/>
        </w:rPr>
        <w:t>, section</w:t>
      </w:r>
      <w:r w:rsidR="00F91110">
        <w:rPr>
          <w:b/>
          <w:bCs/>
          <w:i/>
          <w:iCs/>
        </w:rPr>
        <w:t>s</w:t>
      </w:r>
      <w:r w:rsidR="00F91110" w:rsidRPr="00955955">
        <w:rPr>
          <w:b/>
          <w:bCs/>
          <w:i/>
          <w:iCs/>
        </w:rPr>
        <w:t xml:space="preserve"> 820-</w:t>
      </w:r>
      <w:r w:rsidR="00576C1F">
        <w:rPr>
          <w:b/>
          <w:bCs/>
          <w:i/>
          <w:iCs/>
        </w:rPr>
        <w:t>4</w:t>
      </w:r>
      <w:r w:rsidR="00F91110" w:rsidRPr="00955955">
        <w:rPr>
          <w:b/>
          <w:bCs/>
          <w:i/>
          <w:iCs/>
        </w:rPr>
        <w:t>9 and 995-</w:t>
      </w:r>
      <w:r w:rsidR="00F91110">
        <w:rPr>
          <w:b/>
          <w:bCs/>
          <w:i/>
          <w:iCs/>
        </w:rPr>
        <w:t>1</w:t>
      </w:r>
      <w:r w:rsidR="00F91110" w:rsidRPr="00955955">
        <w:rPr>
          <w:b/>
          <w:bCs/>
          <w:i/>
          <w:iCs/>
        </w:rPr>
        <w:t>]</w:t>
      </w:r>
    </w:p>
    <w:p w14:paraId="1ACF774F" w14:textId="44703DCF" w:rsidR="00AF7492" w:rsidRDefault="00AF7492" w:rsidP="00AF7492">
      <w:pPr>
        <w:pStyle w:val="Normalparatextwithnumbers"/>
      </w:pPr>
      <w:r>
        <w:t xml:space="preserve">These steps </w:t>
      </w:r>
      <w:r w:rsidR="009F122D">
        <w:t xml:space="preserve">allow for an </w:t>
      </w:r>
      <w:r>
        <w:t xml:space="preserve">entity’s </w:t>
      </w:r>
      <w:r w:rsidR="00EB55C4">
        <w:t xml:space="preserve">tax </w:t>
      </w:r>
      <w:r w:rsidR="00FD02E4">
        <w:t>EBITDA</w:t>
      </w:r>
      <w:r>
        <w:t xml:space="preserve"> to be calculated according to concepts </w:t>
      </w:r>
      <w:r w:rsidR="000B3BA8">
        <w:t>from</w:t>
      </w:r>
      <w:r>
        <w:t xml:space="preserve"> Australia’s income tax system. </w:t>
      </w:r>
    </w:p>
    <w:p w14:paraId="2420D583" w14:textId="01F1F3A4" w:rsidR="00AF7492" w:rsidRDefault="00AF7492" w:rsidP="00AF7492">
      <w:pPr>
        <w:pStyle w:val="Normalparatextwithnumbers"/>
      </w:pPr>
      <w:r>
        <w:t xml:space="preserve">An entity’s </w:t>
      </w:r>
      <w:r w:rsidR="000A3C45">
        <w:t>‘</w:t>
      </w:r>
      <w:r>
        <w:t>net debt deductions</w:t>
      </w:r>
      <w:r w:rsidR="000A3C45">
        <w:t>’</w:t>
      </w:r>
      <w:r>
        <w:t xml:space="preserve"> for an income year </w:t>
      </w:r>
      <w:r w:rsidR="00514DC8">
        <w:t>is</w:t>
      </w:r>
      <w:r>
        <w:t xml:space="preserve"> worked out according to the following steps:</w:t>
      </w:r>
    </w:p>
    <w:p w14:paraId="1AABC4D4" w14:textId="64E93E5B" w:rsidR="00AF7492" w:rsidRDefault="000A6774" w:rsidP="001E2A71">
      <w:pPr>
        <w:pStyle w:val="Dotpoint1"/>
      </w:pPr>
      <w:r>
        <w:t xml:space="preserve">Step </w:t>
      </w:r>
      <w:r w:rsidR="002A3ACF">
        <w:t>1</w:t>
      </w:r>
      <w:r>
        <w:t>: W</w:t>
      </w:r>
      <w:r w:rsidR="00AF7492">
        <w:t>ork out the sum of the entity’s debt deductions for the income year</w:t>
      </w:r>
      <w:r w:rsidR="00514DC8">
        <w:t>.</w:t>
      </w:r>
    </w:p>
    <w:p w14:paraId="4AAAC25F" w14:textId="0A38E86E" w:rsidR="00AF7492" w:rsidRDefault="000A6774" w:rsidP="001E2A71">
      <w:pPr>
        <w:pStyle w:val="Dotpoint1"/>
      </w:pPr>
      <w:r>
        <w:t xml:space="preserve">Step </w:t>
      </w:r>
      <w:r w:rsidR="00035FC7">
        <w:t>2</w:t>
      </w:r>
      <w:r>
        <w:t>: W</w:t>
      </w:r>
      <w:r w:rsidR="00AF7492">
        <w:t>ork out the sum of each amount included in the entity’s assessable income for that year that is:</w:t>
      </w:r>
    </w:p>
    <w:p w14:paraId="13EF89AF" w14:textId="77777777" w:rsidR="00AF7492" w:rsidRDefault="00AF7492" w:rsidP="000A6774">
      <w:pPr>
        <w:pStyle w:val="Dotpoint2"/>
      </w:pPr>
      <w:r>
        <w:t>interest; or</w:t>
      </w:r>
    </w:p>
    <w:p w14:paraId="6781C9E0" w14:textId="77777777" w:rsidR="00AF7492" w:rsidRDefault="00AF7492" w:rsidP="000A6774">
      <w:pPr>
        <w:pStyle w:val="Dotpoint2"/>
      </w:pPr>
      <w:r>
        <w:t xml:space="preserve">an amount </w:t>
      </w:r>
      <w:proofErr w:type="gramStart"/>
      <w:r>
        <w:t>in the nature of interest</w:t>
      </w:r>
      <w:proofErr w:type="gramEnd"/>
      <w:r>
        <w:t>; or</w:t>
      </w:r>
    </w:p>
    <w:p w14:paraId="792A8544" w14:textId="38D069B9" w:rsidR="00AF7492" w:rsidRDefault="00AF7492" w:rsidP="000A6774">
      <w:pPr>
        <w:pStyle w:val="Dotpoint2"/>
      </w:pPr>
      <w:r>
        <w:t>any other amount that is calculated by reference to the time value of money</w:t>
      </w:r>
      <w:r w:rsidR="00514DC8">
        <w:t>.</w:t>
      </w:r>
    </w:p>
    <w:p w14:paraId="6F477B4F" w14:textId="4A6E6AF7" w:rsidR="00AF7492" w:rsidRDefault="000A6774" w:rsidP="001E2A71">
      <w:pPr>
        <w:pStyle w:val="Dotpoint1"/>
      </w:pPr>
      <w:r>
        <w:t xml:space="preserve">Step </w:t>
      </w:r>
      <w:r w:rsidR="00035FC7">
        <w:t>3</w:t>
      </w:r>
      <w:r>
        <w:t>: S</w:t>
      </w:r>
      <w:r w:rsidR="00AF7492">
        <w:t xml:space="preserve">ubtract the result of </w:t>
      </w:r>
      <w:r w:rsidR="00035FC7">
        <w:t>S</w:t>
      </w:r>
      <w:r>
        <w:t xml:space="preserve">tep </w:t>
      </w:r>
      <w:r w:rsidR="00035FC7">
        <w:t>2</w:t>
      </w:r>
      <w:r>
        <w:t xml:space="preserve"> </w:t>
      </w:r>
      <w:r w:rsidR="00AF7492">
        <w:t xml:space="preserve">from the result of </w:t>
      </w:r>
      <w:r w:rsidR="00035FC7">
        <w:t>S</w:t>
      </w:r>
      <w:r>
        <w:t xml:space="preserve">tep </w:t>
      </w:r>
      <w:r w:rsidR="00035FC7">
        <w:t>1</w:t>
      </w:r>
      <w:r w:rsidR="00AF7492">
        <w:t>.</w:t>
      </w:r>
    </w:p>
    <w:p w14:paraId="090A5BE7" w14:textId="3B2438AC" w:rsidR="00D97013" w:rsidRDefault="00D97013" w:rsidP="00750640">
      <w:pPr>
        <w:pStyle w:val="Dotpoint1"/>
        <w:numPr>
          <w:ilvl w:val="0"/>
          <w:numId w:val="0"/>
        </w:numPr>
        <w:ind w:left="1352"/>
      </w:pPr>
      <w:r>
        <w:t xml:space="preserve">The result of Step 3 is the entity’s net debt deductions for an income year. </w:t>
      </w:r>
      <w:r w:rsidR="0068358A">
        <w:br/>
      </w:r>
      <w:r w:rsidR="0068358A" w:rsidRPr="0049187E">
        <w:rPr>
          <w:rStyle w:val="References"/>
        </w:rPr>
        <w:t xml:space="preserve">[Schedule </w:t>
      </w:r>
      <w:r w:rsidR="0068358A" w:rsidRPr="007D3947">
        <w:rPr>
          <w:rStyle w:val="References"/>
        </w:rPr>
        <w:t xml:space="preserve">1, items </w:t>
      </w:r>
      <w:r w:rsidR="0068358A">
        <w:rPr>
          <w:rStyle w:val="References"/>
        </w:rPr>
        <w:t>12</w:t>
      </w:r>
      <w:r w:rsidR="0068358A" w:rsidRPr="007D3947">
        <w:rPr>
          <w:rStyle w:val="References"/>
        </w:rPr>
        <w:t xml:space="preserve"> and </w:t>
      </w:r>
      <w:r w:rsidR="00E85ECD">
        <w:rPr>
          <w:rStyle w:val="References"/>
        </w:rPr>
        <w:t>55</w:t>
      </w:r>
      <w:r w:rsidR="0068358A" w:rsidRPr="007D3947">
        <w:rPr>
          <w:rStyle w:val="References"/>
        </w:rPr>
        <w:t xml:space="preserve">, </w:t>
      </w:r>
      <w:r w:rsidR="0068358A">
        <w:rPr>
          <w:rStyle w:val="References"/>
        </w:rPr>
        <w:t>s</w:t>
      </w:r>
      <w:r w:rsidR="00576C1F">
        <w:rPr>
          <w:rStyle w:val="References"/>
        </w:rPr>
        <w:t>ubs</w:t>
      </w:r>
      <w:r w:rsidR="0068358A">
        <w:rPr>
          <w:rStyle w:val="References"/>
        </w:rPr>
        <w:t xml:space="preserve">ection </w:t>
      </w:r>
      <w:r w:rsidR="0068358A" w:rsidRPr="007D3947">
        <w:rPr>
          <w:rStyle w:val="References"/>
        </w:rPr>
        <w:t>820-</w:t>
      </w:r>
      <w:r w:rsidR="0068358A">
        <w:rPr>
          <w:rStyle w:val="References"/>
        </w:rPr>
        <w:t>45</w:t>
      </w:r>
      <w:r w:rsidR="00576C1F">
        <w:rPr>
          <w:rStyle w:val="References"/>
        </w:rPr>
        <w:t>(3)</w:t>
      </w:r>
      <w:r w:rsidR="0068358A">
        <w:rPr>
          <w:rStyle w:val="References"/>
        </w:rPr>
        <w:t xml:space="preserve"> and </w:t>
      </w:r>
      <w:r w:rsidR="00750640">
        <w:rPr>
          <w:rStyle w:val="References"/>
        </w:rPr>
        <w:t>sub</w:t>
      </w:r>
      <w:r w:rsidR="00576C1F">
        <w:rPr>
          <w:rStyle w:val="References"/>
        </w:rPr>
        <w:t xml:space="preserve">section </w:t>
      </w:r>
      <w:r w:rsidR="0068358A">
        <w:rPr>
          <w:rStyle w:val="References"/>
        </w:rPr>
        <w:t>995-1</w:t>
      </w:r>
      <w:r w:rsidR="00750640">
        <w:rPr>
          <w:rStyle w:val="References"/>
        </w:rPr>
        <w:t>(1)</w:t>
      </w:r>
      <w:r w:rsidR="0068358A">
        <w:rPr>
          <w:rStyle w:val="References"/>
        </w:rPr>
        <w:t>]</w:t>
      </w:r>
    </w:p>
    <w:p w14:paraId="24527E69" w14:textId="0BBA006D" w:rsidR="00AF7492" w:rsidRDefault="00AF7492" w:rsidP="00AF7492">
      <w:pPr>
        <w:pStyle w:val="Normalparatextwithnumbers"/>
      </w:pPr>
      <w:r>
        <w:lastRenderedPageBreak/>
        <w:t xml:space="preserve">These </w:t>
      </w:r>
      <w:r w:rsidR="002428FE">
        <w:t xml:space="preserve">steps </w:t>
      </w:r>
      <w:r w:rsidR="00035FC7">
        <w:t>allow</w:t>
      </w:r>
      <w:r>
        <w:t xml:space="preserve"> for an entity’s net interest expense to be calculated </w:t>
      </w:r>
      <w:r w:rsidR="008F3D5C">
        <w:t>according to</w:t>
      </w:r>
      <w:r w:rsidR="000B3BA8">
        <w:t xml:space="preserve"> concepts from</w:t>
      </w:r>
      <w:r>
        <w:t xml:space="preserve"> Australia’s income tax system. For these purposes, ‘interest’ is intended to include amounts economically equivalent to interest</w:t>
      </w:r>
      <w:r w:rsidR="00884E53">
        <w:t>, as outlined in the OECD best practice guidance</w:t>
      </w:r>
      <w:r>
        <w:t xml:space="preserve">. </w:t>
      </w:r>
    </w:p>
    <w:p w14:paraId="0BC84D9A" w14:textId="246D4E10" w:rsidR="00AF7492" w:rsidRDefault="00AF7492" w:rsidP="00AF7492">
      <w:pPr>
        <w:pStyle w:val="Normalparatextwithnumbers"/>
      </w:pPr>
      <w:r>
        <w:t xml:space="preserve">A special deduction in relation to debt deductions </w:t>
      </w:r>
      <w:r w:rsidR="00BE034F">
        <w:t>prev</w:t>
      </w:r>
      <w:r w:rsidR="00527652">
        <w:t>iously</w:t>
      </w:r>
      <w:r>
        <w:t xml:space="preserve"> disallowed under the fixed ratio test may be available to taxpayers. The special deduction is discussed below from paragrap</w:t>
      </w:r>
      <w:r w:rsidRPr="00043327">
        <w:t xml:space="preserve">h </w:t>
      </w:r>
      <w:r w:rsidR="00FB7785">
        <w:t>1.83</w:t>
      </w:r>
      <w:r w:rsidR="008160D8">
        <w:t>.</w:t>
      </w:r>
      <w:r>
        <w:t xml:space="preserve"> </w:t>
      </w:r>
    </w:p>
    <w:p w14:paraId="2DC2BFF6" w14:textId="6493CA56" w:rsidR="00AA7D04" w:rsidRDefault="00873D35" w:rsidP="00F52986">
      <w:pPr>
        <w:pStyle w:val="Heading5"/>
      </w:pPr>
      <w:r>
        <w:t>Operation of the group ratio test</w:t>
      </w:r>
    </w:p>
    <w:p w14:paraId="30040F17" w14:textId="6325F400" w:rsidR="00C62910" w:rsidRDefault="00F52986" w:rsidP="00F52986">
      <w:pPr>
        <w:pStyle w:val="Normalparatextwithnumbers"/>
      </w:pPr>
      <w:bookmarkStart w:id="44" w:name="_Ref128035067"/>
      <w:r>
        <w:t xml:space="preserve">The fixed ratio test does not account for the fact that groups in different sectors may be leveraged differently for genuine commercial reasons. </w:t>
      </w:r>
      <w:r w:rsidR="00355A4E">
        <w:t>To supplement the operation of the default fixed ratio test and</w:t>
      </w:r>
      <w:r>
        <w:t xml:space="preserve"> account for more highly leveraged groups, the Bill also introduces a group ratio test.</w:t>
      </w:r>
      <w:bookmarkEnd w:id="44"/>
      <w:r>
        <w:t xml:space="preserve"> </w:t>
      </w:r>
    </w:p>
    <w:p w14:paraId="23236F04" w14:textId="6EAEC9F6" w:rsidR="00F52986" w:rsidRDefault="00F52986" w:rsidP="00F52986">
      <w:pPr>
        <w:pStyle w:val="Normalparatextwithnumbers"/>
      </w:pPr>
      <w:r>
        <w:t>Broadly put, the group ratio test allows an entity in a highly leveraged group to deduct net interest expense</w:t>
      </w:r>
      <w:r w:rsidR="003D68C9">
        <w:t>s</w:t>
      </w:r>
      <w:r>
        <w:t xml:space="preserve"> </w:t>
      </w:r>
      <w:proofErr w:type="gramStart"/>
      <w:r>
        <w:t>in excess of</w:t>
      </w:r>
      <w:proofErr w:type="gramEnd"/>
      <w:r>
        <w:t xml:space="preserve"> the amount permitted under the fixed ratio rule, based on a relevant financial ratio of the worldwide group</w:t>
      </w:r>
      <w:r w:rsidR="00EF49DE">
        <w:t xml:space="preserve">’s </w:t>
      </w:r>
      <w:r w:rsidR="001B135E">
        <w:t>profits</w:t>
      </w:r>
      <w:r w:rsidR="00EF49DE">
        <w:t xml:space="preserve"> </w:t>
      </w:r>
      <w:r w:rsidR="001B135E">
        <w:t>adding back</w:t>
      </w:r>
      <w:r w:rsidR="00EF49DE">
        <w:t xml:space="preserve"> </w:t>
      </w:r>
      <w:r w:rsidR="00D3366A">
        <w:t xml:space="preserve">certain </w:t>
      </w:r>
      <w:r w:rsidR="001B135E">
        <w:t>deductions</w:t>
      </w:r>
      <w:r>
        <w:t>.</w:t>
      </w:r>
    </w:p>
    <w:p w14:paraId="21669E95" w14:textId="4A102E7D" w:rsidR="00F52986" w:rsidRDefault="00F52986" w:rsidP="00F52986">
      <w:pPr>
        <w:pStyle w:val="Normalparatextwithnumbers"/>
      </w:pPr>
      <w:r>
        <w:t xml:space="preserve">If the group ratio test </w:t>
      </w:r>
      <w:r w:rsidR="007B03CC">
        <w:t>is chosen</w:t>
      </w:r>
      <w:r>
        <w:t xml:space="preserve">, the amount of </w:t>
      </w:r>
      <w:r w:rsidR="007B03CC">
        <w:t xml:space="preserve">an entity’s </w:t>
      </w:r>
      <w:r>
        <w:t xml:space="preserve">debt deductions for an income year that are disallowed is the amount by which the entity’s </w:t>
      </w:r>
      <w:r w:rsidR="00C62910">
        <w:t xml:space="preserve">net </w:t>
      </w:r>
      <w:r>
        <w:t xml:space="preserve">debt deductions exceed the entity’s group ratio earnings limit for the income year. </w:t>
      </w:r>
    </w:p>
    <w:p w14:paraId="78DE8175" w14:textId="6E51E15E" w:rsidR="00F52986" w:rsidRDefault="00F52986" w:rsidP="00F52986">
      <w:pPr>
        <w:pStyle w:val="Normalparatextwithnumbers"/>
      </w:pPr>
      <w:r>
        <w:t xml:space="preserve">An entity’s </w:t>
      </w:r>
      <w:r w:rsidR="00566F0D">
        <w:t>‘</w:t>
      </w:r>
      <w:r>
        <w:t>group ratio earnings limit</w:t>
      </w:r>
      <w:r w:rsidR="00566F0D">
        <w:t>’</w:t>
      </w:r>
      <w:r>
        <w:t xml:space="preserve"> for an income year is its </w:t>
      </w:r>
      <w:r w:rsidR="003C234A">
        <w:t>‘</w:t>
      </w:r>
      <w:r>
        <w:t>group ratio</w:t>
      </w:r>
      <w:r w:rsidR="003C234A">
        <w:t>’</w:t>
      </w:r>
      <w:r>
        <w:t xml:space="preserve"> for the income year multiplied by its tax EBITDA for the income year.</w:t>
      </w:r>
      <w:r w:rsidR="00FE337A">
        <w:br/>
      </w:r>
      <w:r w:rsidR="00FE337A" w:rsidRPr="00A670CC">
        <w:rPr>
          <w:rStyle w:val="References"/>
        </w:rPr>
        <w:t xml:space="preserve">[Schedule 1, </w:t>
      </w:r>
      <w:r w:rsidR="00FE337A">
        <w:rPr>
          <w:rStyle w:val="References"/>
        </w:rPr>
        <w:t>item</w:t>
      </w:r>
      <w:r w:rsidR="001742B2">
        <w:rPr>
          <w:rStyle w:val="References"/>
        </w:rPr>
        <w:t>s</w:t>
      </w:r>
      <w:r w:rsidR="00FE337A">
        <w:rPr>
          <w:rStyle w:val="References"/>
        </w:rPr>
        <w:t xml:space="preserve"> 12</w:t>
      </w:r>
      <w:r w:rsidR="001742B2">
        <w:rPr>
          <w:rStyle w:val="References"/>
        </w:rPr>
        <w:t xml:space="preserve"> and 50</w:t>
      </w:r>
      <w:r w:rsidR="00FE337A" w:rsidRPr="00A670CC">
        <w:rPr>
          <w:rStyle w:val="References"/>
        </w:rPr>
        <w:t>, subsection 820-</w:t>
      </w:r>
      <w:r w:rsidR="00576C1F">
        <w:rPr>
          <w:rStyle w:val="References"/>
        </w:rPr>
        <w:t>47</w:t>
      </w:r>
      <w:r w:rsidR="00FE337A" w:rsidRPr="00A670CC">
        <w:rPr>
          <w:rStyle w:val="References"/>
        </w:rPr>
        <w:t>(</w:t>
      </w:r>
      <w:r w:rsidR="00576C1F">
        <w:rPr>
          <w:rStyle w:val="References"/>
        </w:rPr>
        <w:t>2</w:t>
      </w:r>
      <w:r w:rsidR="00FE337A" w:rsidRPr="00A670CC">
        <w:rPr>
          <w:rStyle w:val="References"/>
        </w:rPr>
        <w:t>)</w:t>
      </w:r>
      <w:r w:rsidR="001742B2">
        <w:rPr>
          <w:rStyle w:val="References"/>
        </w:rPr>
        <w:t xml:space="preserve"> and </w:t>
      </w:r>
      <w:r w:rsidR="00750640">
        <w:rPr>
          <w:rStyle w:val="References"/>
        </w:rPr>
        <w:t>sub</w:t>
      </w:r>
      <w:r w:rsidR="001742B2">
        <w:rPr>
          <w:rStyle w:val="References"/>
        </w:rPr>
        <w:t>section 995-1</w:t>
      </w:r>
      <w:r w:rsidR="00750640">
        <w:rPr>
          <w:rStyle w:val="References"/>
        </w:rPr>
        <w:t>(1)</w:t>
      </w:r>
      <w:r w:rsidR="00FE337A" w:rsidRPr="00A670CC">
        <w:rPr>
          <w:rStyle w:val="References"/>
        </w:rPr>
        <w:t>]</w:t>
      </w:r>
    </w:p>
    <w:p w14:paraId="0B1962B6" w14:textId="130C68C2" w:rsidR="00F52986" w:rsidRDefault="00F52986" w:rsidP="00F52986">
      <w:pPr>
        <w:pStyle w:val="Normalparatextwithnumbers"/>
      </w:pPr>
      <w:r>
        <w:t xml:space="preserve">An entity’s </w:t>
      </w:r>
      <w:r w:rsidR="00566F0D">
        <w:t>‘</w:t>
      </w:r>
      <w:r>
        <w:t>group ratio</w:t>
      </w:r>
      <w:r w:rsidR="00566F0D">
        <w:t>’</w:t>
      </w:r>
      <w:r>
        <w:t xml:space="preserve"> for an income year is calculated by reference to information contained in the audited consolidated financial statements for the GR group parent for the group for the period corresponding to the relevant income year. In certain circumstances, taxpayers will be required to </w:t>
      </w:r>
      <w:proofErr w:type="gramStart"/>
      <w:r>
        <w:t>make adjustments to</w:t>
      </w:r>
      <w:proofErr w:type="gramEnd"/>
      <w:r>
        <w:t xml:space="preserve"> the </w:t>
      </w:r>
      <w:r w:rsidR="009F060B">
        <w:t>amounts disclosed in</w:t>
      </w:r>
      <w:r>
        <w:t xml:space="preserve"> the audited consolidated financial statements</w:t>
      </w:r>
      <w:r w:rsidR="00677895">
        <w:t xml:space="preserve"> to </w:t>
      </w:r>
      <w:r w:rsidR="00026856">
        <w:t xml:space="preserve">include </w:t>
      </w:r>
      <w:r w:rsidR="00995EF1">
        <w:t xml:space="preserve">amounts </w:t>
      </w:r>
      <w:r w:rsidR="00CD6281">
        <w:t>akin to</w:t>
      </w:r>
      <w:r w:rsidR="00995EF1">
        <w:t xml:space="preserve"> interest and to </w:t>
      </w:r>
      <w:r w:rsidR="00677895">
        <w:t xml:space="preserve">disregard </w:t>
      </w:r>
      <w:r w:rsidR="00FD6F31">
        <w:t xml:space="preserve">certain </w:t>
      </w:r>
      <w:r w:rsidR="009E4640">
        <w:t>payments to associate entities</w:t>
      </w:r>
      <w:r>
        <w:t>.</w:t>
      </w:r>
      <w:r w:rsidR="00FE337A">
        <w:br/>
      </w:r>
      <w:r w:rsidR="00FE337A" w:rsidRPr="00B248F3">
        <w:rPr>
          <w:rStyle w:val="References"/>
        </w:rPr>
        <w:t xml:space="preserve">[Schedule 1, </w:t>
      </w:r>
      <w:r w:rsidR="00FE337A">
        <w:rPr>
          <w:rStyle w:val="References"/>
        </w:rPr>
        <w:t>item 12</w:t>
      </w:r>
      <w:r w:rsidR="00FE337A" w:rsidRPr="00B248F3">
        <w:rPr>
          <w:rStyle w:val="References"/>
        </w:rPr>
        <w:t xml:space="preserve">, </w:t>
      </w:r>
      <w:r w:rsidR="00FE337A">
        <w:rPr>
          <w:rStyle w:val="References"/>
        </w:rPr>
        <w:t>subsections</w:t>
      </w:r>
      <w:r w:rsidR="00FE337A" w:rsidRPr="00B248F3">
        <w:rPr>
          <w:rStyle w:val="References"/>
        </w:rPr>
        <w:t xml:space="preserve"> 820-</w:t>
      </w:r>
      <w:r w:rsidR="00FE337A">
        <w:rPr>
          <w:rStyle w:val="References"/>
        </w:rPr>
        <w:t>5</w:t>
      </w:r>
      <w:r w:rsidR="00FD6F31">
        <w:rPr>
          <w:rStyle w:val="References"/>
        </w:rPr>
        <w:t>3</w:t>
      </w:r>
      <w:r w:rsidR="00FE337A" w:rsidRPr="00B248F3">
        <w:rPr>
          <w:rStyle w:val="References"/>
        </w:rPr>
        <w:t>(</w:t>
      </w:r>
      <w:r w:rsidR="00FE337A">
        <w:rPr>
          <w:rStyle w:val="References"/>
        </w:rPr>
        <w:t>2)-(4)</w:t>
      </w:r>
      <w:r w:rsidR="00FE337A" w:rsidRPr="00B248F3">
        <w:rPr>
          <w:rStyle w:val="References"/>
        </w:rPr>
        <w:t>]</w:t>
      </w:r>
      <w:r>
        <w:t xml:space="preserve"> </w:t>
      </w:r>
    </w:p>
    <w:p w14:paraId="67ECA7AC" w14:textId="72728BA7" w:rsidR="00F52986" w:rsidRDefault="00F52986" w:rsidP="00F52986">
      <w:pPr>
        <w:pStyle w:val="Normalparatextwithnumbers"/>
      </w:pPr>
      <w:r>
        <w:t xml:space="preserve">An entity’s </w:t>
      </w:r>
      <w:r w:rsidR="004447DF">
        <w:t>‘</w:t>
      </w:r>
      <w:r>
        <w:t>group ratio</w:t>
      </w:r>
      <w:r w:rsidR="004447DF">
        <w:t>’</w:t>
      </w:r>
      <w:r>
        <w:t xml:space="preserve"> for an income year is worked out according to the following steps:</w:t>
      </w:r>
    </w:p>
    <w:p w14:paraId="7CE95D3A" w14:textId="174685C1" w:rsidR="00F52986" w:rsidRDefault="00747348" w:rsidP="009D72F8">
      <w:pPr>
        <w:pStyle w:val="Dotpoint1"/>
      </w:pPr>
      <w:r>
        <w:t>Step 1: W</w:t>
      </w:r>
      <w:r w:rsidR="00F52986">
        <w:t>ork out the GR group net third party interest expense of the GR group</w:t>
      </w:r>
      <w:r w:rsidR="0026426B">
        <w:t>.</w:t>
      </w:r>
    </w:p>
    <w:p w14:paraId="1FAA81EB" w14:textId="2F1595A4" w:rsidR="00F52986" w:rsidRDefault="00747348" w:rsidP="009D72F8">
      <w:pPr>
        <w:pStyle w:val="Dotpoint1"/>
      </w:pPr>
      <w:r>
        <w:t>Step 2: W</w:t>
      </w:r>
      <w:r w:rsidR="00F52986">
        <w:t>ork out the GR group EBITDA of the GR group</w:t>
      </w:r>
      <w:r w:rsidR="0026426B">
        <w:t xml:space="preserve">. </w:t>
      </w:r>
    </w:p>
    <w:p w14:paraId="6B46D3FC" w14:textId="2DBEE7B2" w:rsidR="00F52986" w:rsidRDefault="00747348" w:rsidP="009D72F8">
      <w:pPr>
        <w:pStyle w:val="Dotpoint1"/>
      </w:pPr>
      <w:r>
        <w:t xml:space="preserve">Step 3: </w:t>
      </w:r>
      <w:r w:rsidR="0068358A">
        <w:t>D</w:t>
      </w:r>
      <w:r w:rsidR="00F52986">
        <w:t xml:space="preserve">ivide the result of </w:t>
      </w:r>
      <w:r>
        <w:t xml:space="preserve">Step </w:t>
      </w:r>
      <w:r w:rsidR="00F52986">
        <w:t xml:space="preserve">1 by the result of </w:t>
      </w:r>
      <w:r>
        <w:t xml:space="preserve">Step </w:t>
      </w:r>
      <w:r w:rsidR="00F52986">
        <w:t>2.</w:t>
      </w:r>
    </w:p>
    <w:p w14:paraId="3350F1AF" w14:textId="280E7E04" w:rsidR="00AC0A61" w:rsidRDefault="00AC0A61" w:rsidP="00750640">
      <w:pPr>
        <w:pStyle w:val="Dotpoint1"/>
        <w:numPr>
          <w:ilvl w:val="0"/>
          <w:numId w:val="0"/>
        </w:numPr>
        <w:ind w:left="1352"/>
      </w:pPr>
      <w:r>
        <w:t xml:space="preserve">Subject to Step 4, the result of Step </w:t>
      </w:r>
      <w:r w:rsidR="00583E7C">
        <w:t>3</w:t>
      </w:r>
      <w:r>
        <w:t xml:space="preserve"> is the entity’s </w:t>
      </w:r>
      <w:r w:rsidR="005D00E1">
        <w:t>group ratio</w:t>
      </w:r>
      <w:r w:rsidR="00583E7C">
        <w:t xml:space="preserve"> for the income year</w:t>
      </w:r>
      <w:r w:rsidR="005D00E1">
        <w:t xml:space="preserve">. </w:t>
      </w:r>
    </w:p>
    <w:p w14:paraId="173F4C8E" w14:textId="50F513D2" w:rsidR="00F52986" w:rsidRDefault="00AC0A61" w:rsidP="009D72F8">
      <w:pPr>
        <w:pStyle w:val="Dotpoint1"/>
      </w:pPr>
      <w:r>
        <w:lastRenderedPageBreak/>
        <w:t>Step</w:t>
      </w:r>
      <w:r w:rsidR="00970B21">
        <w:t xml:space="preserve"> 4</w:t>
      </w:r>
      <w:r>
        <w:t>: I</w:t>
      </w:r>
      <w:r w:rsidR="00F52986">
        <w:t xml:space="preserve">f the result of </w:t>
      </w:r>
      <w:r w:rsidR="00970B21">
        <w:t xml:space="preserve">Step </w:t>
      </w:r>
      <w:r w:rsidR="00F52986">
        <w:t>2 is zero or less, the entity’s group ratio for the income year is zero.</w:t>
      </w:r>
      <w:r w:rsidR="00E85ECD">
        <w:br/>
      </w:r>
      <w:r w:rsidR="00E85ECD" w:rsidRPr="00576C1F">
        <w:rPr>
          <w:rStyle w:val="References"/>
        </w:rPr>
        <w:t>[Schedule 1, item</w:t>
      </w:r>
      <w:r w:rsidR="00E85ECD">
        <w:rPr>
          <w:rStyle w:val="References"/>
        </w:rPr>
        <w:t>s</w:t>
      </w:r>
      <w:r w:rsidR="00E85ECD" w:rsidRPr="00576C1F">
        <w:rPr>
          <w:rStyle w:val="References"/>
        </w:rPr>
        <w:t xml:space="preserve"> 12</w:t>
      </w:r>
      <w:r w:rsidR="00E85ECD">
        <w:rPr>
          <w:rStyle w:val="References"/>
        </w:rPr>
        <w:t xml:space="preserve"> and 50</w:t>
      </w:r>
      <w:r w:rsidR="00E85ECD" w:rsidRPr="00576C1F">
        <w:rPr>
          <w:rStyle w:val="References"/>
        </w:rPr>
        <w:t>, subsection</w:t>
      </w:r>
      <w:r w:rsidR="00944D08">
        <w:rPr>
          <w:rStyle w:val="References"/>
        </w:rPr>
        <w:t>s</w:t>
      </w:r>
      <w:r w:rsidR="00E85ECD" w:rsidRPr="00576C1F">
        <w:rPr>
          <w:rStyle w:val="References"/>
        </w:rPr>
        <w:t xml:space="preserve"> 820-</w:t>
      </w:r>
      <w:r w:rsidR="00E85ECD">
        <w:rPr>
          <w:rStyle w:val="References"/>
        </w:rPr>
        <w:t>51</w:t>
      </w:r>
      <w:r w:rsidR="00E85ECD" w:rsidRPr="00576C1F">
        <w:rPr>
          <w:rStyle w:val="References"/>
        </w:rPr>
        <w:t>(</w:t>
      </w:r>
      <w:r w:rsidR="00E85ECD">
        <w:rPr>
          <w:rStyle w:val="References"/>
        </w:rPr>
        <w:t>1</w:t>
      </w:r>
      <w:r w:rsidR="00E85ECD" w:rsidRPr="00576C1F">
        <w:rPr>
          <w:rStyle w:val="References"/>
        </w:rPr>
        <w:t>)</w:t>
      </w:r>
      <w:r w:rsidR="00E85ECD">
        <w:rPr>
          <w:rStyle w:val="References"/>
        </w:rPr>
        <w:t xml:space="preserve"> and 995-1</w:t>
      </w:r>
      <w:r w:rsidR="00944D08">
        <w:rPr>
          <w:rStyle w:val="References"/>
        </w:rPr>
        <w:t>(1)</w:t>
      </w:r>
      <w:r w:rsidR="00E85ECD">
        <w:rPr>
          <w:rStyle w:val="References"/>
        </w:rPr>
        <w:t>]</w:t>
      </w:r>
    </w:p>
    <w:p w14:paraId="7268AD8A" w14:textId="35DF730A" w:rsidR="00F52986" w:rsidRDefault="00F52986" w:rsidP="00F52986">
      <w:pPr>
        <w:pStyle w:val="Normalparatextwithnumbers"/>
      </w:pPr>
      <w:r>
        <w:t xml:space="preserve">The </w:t>
      </w:r>
      <w:r w:rsidR="004B15A1">
        <w:t>‘</w:t>
      </w:r>
      <w:r>
        <w:t>GR group net third party interest expense</w:t>
      </w:r>
      <w:r w:rsidR="004B15A1">
        <w:t>’</w:t>
      </w:r>
      <w:r>
        <w:t xml:space="preserve"> of a GR group </w:t>
      </w:r>
      <w:r w:rsidR="00444E51">
        <w:t xml:space="preserve">for a period </w:t>
      </w:r>
      <w:r>
        <w:t xml:space="preserve">is the amount that would be the group’s financial statement net third party interest expense if the </w:t>
      </w:r>
      <w:r w:rsidR="00A4267C">
        <w:t xml:space="preserve">relevant </w:t>
      </w:r>
      <w:r>
        <w:t>audited consolidated financial statements were prepared on the basis that the following were treated as interest:</w:t>
      </w:r>
    </w:p>
    <w:p w14:paraId="34D66BB0" w14:textId="77777777" w:rsidR="00F52986" w:rsidRDefault="00F52986" w:rsidP="004B15A1">
      <w:pPr>
        <w:pStyle w:val="Dotpoint1"/>
      </w:pPr>
      <w:r>
        <w:t xml:space="preserve">an amount in the nature of </w:t>
      </w:r>
      <w:proofErr w:type="gramStart"/>
      <w:r>
        <w:t>interest;</w:t>
      </w:r>
      <w:proofErr w:type="gramEnd"/>
    </w:p>
    <w:p w14:paraId="20EE0FCA" w14:textId="3CC62293" w:rsidR="00F52986" w:rsidRDefault="00F52986" w:rsidP="004B15A1">
      <w:pPr>
        <w:pStyle w:val="Dotpoint1"/>
      </w:pPr>
      <w:r>
        <w:t>any other amount that is calculated by reference to the time value of money.</w:t>
      </w:r>
      <w:r w:rsidR="004106F8">
        <w:br/>
      </w:r>
      <w:r w:rsidR="004106F8" w:rsidRPr="00D105FA">
        <w:rPr>
          <w:rStyle w:val="References"/>
        </w:rPr>
        <w:t xml:space="preserve">[Schedule 1, </w:t>
      </w:r>
      <w:r w:rsidR="004106F8">
        <w:rPr>
          <w:rStyle w:val="References"/>
        </w:rPr>
        <w:t>item</w:t>
      </w:r>
      <w:r w:rsidR="00304F79">
        <w:rPr>
          <w:rStyle w:val="References"/>
        </w:rPr>
        <w:t>s</w:t>
      </w:r>
      <w:r w:rsidR="004106F8">
        <w:rPr>
          <w:rStyle w:val="References"/>
        </w:rPr>
        <w:t xml:space="preserve"> 12</w:t>
      </w:r>
      <w:r w:rsidR="00304F79">
        <w:rPr>
          <w:rStyle w:val="References"/>
        </w:rPr>
        <w:t xml:space="preserve"> and 50</w:t>
      </w:r>
      <w:r w:rsidR="004106F8" w:rsidRPr="00D105FA">
        <w:rPr>
          <w:rStyle w:val="References"/>
        </w:rPr>
        <w:t xml:space="preserve">, </w:t>
      </w:r>
      <w:r w:rsidR="004106F8">
        <w:rPr>
          <w:rStyle w:val="References"/>
        </w:rPr>
        <w:t>sub</w:t>
      </w:r>
      <w:r w:rsidR="004106F8" w:rsidRPr="00D105FA">
        <w:rPr>
          <w:rStyle w:val="References"/>
        </w:rPr>
        <w:t>section</w:t>
      </w:r>
      <w:r w:rsidR="00944D08">
        <w:rPr>
          <w:rStyle w:val="References"/>
        </w:rPr>
        <w:t>s</w:t>
      </w:r>
      <w:r w:rsidR="004106F8" w:rsidRPr="00D105FA">
        <w:rPr>
          <w:rStyle w:val="References"/>
        </w:rPr>
        <w:t xml:space="preserve"> 820-</w:t>
      </w:r>
      <w:r w:rsidR="004106F8">
        <w:rPr>
          <w:rStyle w:val="References"/>
        </w:rPr>
        <w:t>53(1)</w:t>
      </w:r>
      <w:r w:rsidR="00304F79">
        <w:rPr>
          <w:rStyle w:val="References"/>
        </w:rPr>
        <w:t xml:space="preserve"> </w:t>
      </w:r>
      <w:r w:rsidR="00944D08">
        <w:rPr>
          <w:rStyle w:val="References"/>
        </w:rPr>
        <w:t>and</w:t>
      </w:r>
      <w:r w:rsidR="00304F79">
        <w:rPr>
          <w:rStyle w:val="References"/>
        </w:rPr>
        <w:t xml:space="preserve"> 995-1</w:t>
      </w:r>
      <w:r w:rsidR="00944D08">
        <w:rPr>
          <w:rStyle w:val="References"/>
        </w:rPr>
        <w:t>(1)</w:t>
      </w:r>
      <w:r w:rsidR="004106F8" w:rsidRPr="00D105FA">
        <w:rPr>
          <w:rStyle w:val="References"/>
        </w:rPr>
        <w:t>]</w:t>
      </w:r>
    </w:p>
    <w:p w14:paraId="67E06B7B" w14:textId="084EBBEA" w:rsidR="00F52986" w:rsidRDefault="00F52986" w:rsidP="00F52986">
      <w:pPr>
        <w:pStyle w:val="Normalparatextwithnumbers"/>
      </w:pPr>
      <w:r>
        <w:t xml:space="preserve">Treating those amounts as interest ensures that amounts that are economically equivalent to interest are used to calculate the GR group net third party interest expense. </w:t>
      </w:r>
    </w:p>
    <w:p w14:paraId="2788493E" w14:textId="4CBA8E6C" w:rsidR="00F52986" w:rsidRDefault="00F52986" w:rsidP="00F52986">
      <w:pPr>
        <w:pStyle w:val="Normalparatextwithnumbers"/>
      </w:pPr>
      <w:r>
        <w:t xml:space="preserve">The </w:t>
      </w:r>
      <w:r w:rsidR="0099379E">
        <w:t>‘</w:t>
      </w:r>
      <w:r>
        <w:t>financial statement net third party interest expense</w:t>
      </w:r>
      <w:r w:rsidR="0099379E">
        <w:t>’</w:t>
      </w:r>
      <w:r>
        <w:t xml:space="preserve"> of a GR group </w:t>
      </w:r>
      <w:r w:rsidR="00444E51">
        <w:t xml:space="preserve">for a period </w:t>
      </w:r>
      <w:r>
        <w:t>is the amount disclosed</w:t>
      </w:r>
      <w:r w:rsidR="00143495">
        <w:t xml:space="preserve"> as such</w:t>
      </w:r>
      <w:r>
        <w:t xml:space="preserve"> in the audited consolidated financial statements for the </w:t>
      </w:r>
      <w:r w:rsidR="00444E51">
        <w:t>period</w:t>
      </w:r>
      <w:r w:rsidR="00143495">
        <w:t xml:space="preserve">, </w:t>
      </w:r>
      <w:r w:rsidR="00E75DA7">
        <w:t>disregarding</w:t>
      </w:r>
      <w:r w:rsidR="00143495">
        <w:t xml:space="preserve"> </w:t>
      </w:r>
      <w:r w:rsidR="00AF15DA">
        <w:t xml:space="preserve">certain </w:t>
      </w:r>
      <w:r w:rsidR="00143495">
        <w:t>payments</w:t>
      </w:r>
      <w:r w:rsidR="00D72459">
        <w:t xml:space="preserve"> made to or by</w:t>
      </w:r>
      <w:r w:rsidR="00143495">
        <w:t xml:space="preserve"> associate</w:t>
      </w:r>
      <w:r w:rsidR="00F4629C">
        <w:t xml:space="preserve"> entitie</w:t>
      </w:r>
      <w:r w:rsidR="00143495">
        <w:t>s</w:t>
      </w:r>
      <w:r w:rsidR="00AF15DA">
        <w:t xml:space="preserve"> outside the group</w:t>
      </w:r>
      <w:r>
        <w:t>. If no such amount is disclosed</w:t>
      </w:r>
      <w:r w:rsidR="00143495">
        <w:t xml:space="preserve"> in the financial statements</w:t>
      </w:r>
      <w:r>
        <w:t>, then it is the amount of the group’s third party interest expenses</w:t>
      </w:r>
      <w:r w:rsidR="00F4629C">
        <w:t xml:space="preserve"> (</w:t>
      </w:r>
      <w:r w:rsidR="00E75DA7">
        <w:t>disregarding</w:t>
      </w:r>
      <w:r w:rsidR="00F4629C">
        <w:t xml:space="preserve"> certain payments </w:t>
      </w:r>
      <w:r w:rsidR="00793F8E">
        <w:t>made to or by</w:t>
      </w:r>
      <w:r w:rsidR="00F4629C">
        <w:t xml:space="preserve"> associate entities</w:t>
      </w:r>
      <w:r w:rsidR="00793F8E">
        <w:t xml:space="preserve"> outside the group</w:t>
      </w:r>
      <w:r w:rsidR="00F4629C">
        <w:t>)</w:t>
      </w:r>
      <w:r>
        <w:t xml:space="preserve"> reduced by the amount of the group’s third party interest income as disclosed in the audited consolidated financial statements</w:t>
      </w:r>
      <w:r w:rsidR="00BF1BDD">
        <w:t xml:space="preserve"> for the relevant period</w:t>
      </w:r>
      <w:r>
        <w:t>.</w:t>
      </w:r>
      <w:r w:rsidR="004106F8">
        <w:br/>
      </w:r>
      <w:r w:rsidR="004106F8" w:rsidRPr="004106F8">
        <w:rPr>
          <w:rStyle w:val="References"/>
        </w:rPr>
        <w:t>[Schedule 1, item</w:t>
      </w:r>
      <w:r w:rsidR="00304F79">
        <w:rPr>
          <w:rStyle w:val="References"/>
        </w:rPr>
        <w:t>s</w:t>
      </w:r>
      <w:r w:rsidR="004106F8" w:rsidRPr="004106F8">
        <w:rPr>
          <w:rStyle w:val="References"/>
        </w:rPr>
        <w:t xml:space="preserve"> 12</w:t>
      </w:r>
      <w:r w:rsidR="00304F79">
        <w:rPr>
          <w:rStyle w:val="References"/>
        </w:rPr>
        <w:t xml:space="preserve"> and 50</w:t>
      </w:r>
      <w:r w:rsidR="004106F8" w:rsidRPr="004106F8">
        <w:rPr>
          <w:rStyle w:val="References"/>
        </w:rPr>
        <w:t>, subsection</w:t>
      </w:r>
      <w:r w:rsidR="00944D08">
        <w:rPr>
          <w:rStyle w:val="References"/>
        </w:rPr>
        <w:t>s</w:t>
      </w:r>
      <w:r w:rsidR="004106F8" w:rsidRPr="004106F8">
        <w:rPr>
          <w:rStyle w:val="References"/>
        </w:rPr>
        <w:t xml:space="preserve"> 820-53(2)</w:t>
      </w:r>
      <w:r w:rsidR="00087A68">
        <w:rPr>
          <w:rStyle w:val="References"/>
        </w:rPr>
        <w:t>, (3)</w:t>
      </w:r>
      <w:r w:rsidR="00304F79">
        <w:rPr>
          <w:rStyle w:val="References"/>
        </w:rPr>
        <w:t xml:space="preserve"> and 995-1</w:t>
      </w:r>
      <w:r w:rsidR="00944D08">
        <w:rPr>
          <w:rStyle w:val="References"/>
        </w:rPr>
        <w:t>(1)</w:t>
      </w:r>
      <w:r w:rsidR="004106F8" w:rsidRPr="004106F8">
        <w:rPr>
          <w:rStyle w:val="References"/>
        </w:rPr>
        <w:t>]</w:t>
      </w:r>
    </w:p>
    <w:p w14:paraId="326E9728" w14:textId="54247E09" w:rsidR="00F52986" w:rsidRDefault="00F52986" w:rsidP="00F52986">
      <w:pPr>
        <w:pStyle w:val="Normalparatextwithnumbers"/>
      </w:pPr>
      <w:r>
        <w:t xml:space="preserve">To ensure only </w:t>
      </w:r>
      <w:proofErr w:type="gramStart"/>
      <w:r>
        <w:t>third party</w:t>
      </w:r>
      <w:proofErr w:type="gramEnd"/>
      <w:r>
        <w:t xml:space="preserve"> amounts are used in the calculation of net third party interest expense, payments between GR group members and their associate entities</w:t>
      </w:r>
      <w:r w:rsidR="00F35568">
        <w:t xml:space="preserve"> that are outside the group</w:t>
      </w:r>
      <w:r>
        <w:t xml:space="preserve"> are disregarded. For these purposes, the </w:t>
      </w:r>
      <w:r w:rsidR="00B92704">
        <w:t xml:space="preserve">same </w:t>
      </w:r>
      <w:r>
        <w:t xml:space="preserve">modified definition of </w:t>
      </w:r>
      <w:r w:rsidR="00AC2FBF">
        <w:t>‘</w:t>
      </w:r>
      <w:r>
        <w:t>associate entity</w:t>
      </w:r>
      <w:r w:rsidR="00AC2FBF">
        <w:t>’</w:t>
      </w:r>
      <w:r>
        <w:t xml:space="preserve"> discussed in </w:t>
      </w:r>
      <w:r w:rsidR="00B92704">
        <w:t>paragraph</w:t>
      </w:r>
      <w:r>
        <w:t xml:space="preserve"> </w:t>
      </w:r>
      <w:r w:rsidR="009D5F98">
        <w:t>1.34</w:t>
      </w:r>
      <w:r>
        <w:t xml:space="preserve"> above applies. </w:t>
      </w:r>
      <w:r w:rsidR="004222A7">
        <w:t xml:space="preserve">This </w:t>
      </w:r>
      <w:r w:rsidR="00DB3AB2">
        <w:t xml:space="preserve">prevents inappropriate inflation of the group ratio. </w:t>
      </w:r>
      <w:r w:rsidR="004106F8">
        <w:br/>
      </w:r>
      <w:bookmarkStart w:id="45" w:name="_Hlk128381161"/>
      <w:r w:rsidR="004106F8" w:rsidRPr="00D105FA">
        <w:rPr>
          <w:rStyle w:val="References"/>
        </w:rPr>
        <w:t xml:space="preserve">[Schedule 1, </w:t>
      </w:r>
      <w:r w:rsidR="004106F8">
        <w:rPr>
          <w:rStyle w:val="References"/>
        </w:rPr>
        <w:t>item 12</w:t>
      </w:r>
      <w:r w:rsidR="004106F8" w:rsidRPr="00D105FA">
        <w:rPr>
          <w:rStyle w:val="References"/>
        </w:rPr>
        <w:t xml:space="preserve">, </w:t>
      </w:r>
      <w:r w:rsidR="004106F8">
        <w:rPr>
          <w:rStyle w:val="References"/>
        </w:rPr>
        <w:t>sub</w:t>
      </w:r>
      <w:r w:rsidR="004106F8" w:rsidRPr="00D105FA">
        <w:rPr>
          <w:rStyle w:val="References"/>
        </w:rPr>
        <w:t>section 820-</w:t>
      </w:r>
      <w:r w:rsidR="004106F8">
        <w:rPr>
          <w:rStyle w:val="References"/>
        </w:rPr>
        <w:t>53(3)</w:t>
      </w:r>
      <w:r w:rsidR="00AD09A2">
        <w:rPr>
          <w:rStyle w:val="References"/>
        </w:rPr>
        <w:t>-</w:t>
      </w:r>
      <w:r w:rsidR="004106F8">
        <w:rPr>
          <w:rStyle w:val="References"/>
        </w:rPr>
        <w:t>(5)</w:t>
      </w:r>
      <w:r w:rsidR="004106F8" w:rsidRPr="00D105FA">
        <w:rPr>
          <w:rStyle w:val="References"/>
        </w:rPr>
        <w:t>]</w:t>
      </w:r>
      <w:r>
        <w:t xml:space="preserve"> </w:t>
      </w:r>
      <w:bookmarkEnd w:id="45"/>
    </w:p>
    <w:p w14:paraId="603A124E" w14:textId="39E7E80D" w:rsidR="003749C5" w:rsidRDefault="003749C5" w:rsidP="003749C5">
      <w:pPr>
        <w:pStyle w:val="Normalparatextwithnumbers"/>
      </w:pPr>
      <w:bookmarkStart w:id="46" w:name="_Ref128385686"/>
      <w:r>
        <w:t>The ‘GR group EBITDA’ of a</w:t>
      </w:r>
      <w:r w:rsidR="00DB3F59">
        <w:t xml:space="preserve"> GR group</w:t>
      </w:r>
      <w:r>
        <w:t xml:space="preserve"> for a period is the sum of the following</w:t>
      </w:r>
      <w:r w:rsidR="00090AA6">
        <w:t xml:space="preserve"> (as disclosed in the audited consolidated financial statements for the GR group for the period):</w:t>
      </w:r>
      <w:bookmarkEnd w:id="46"/>
    </w:p>
    <w:p w14:paraId="2EDD282F" w14:textId="42B27AC9" w:rsidR="003749C5" w:rsidRDefault="003749C5" w:rsidP="003749C5">
      <w:pPr>
        <w:pStyle w:val="Dotpoint1"/>
      </w:pPr>
      <w:r>
        <w:t xml:space="preserve">the </w:t>
      </w:r>
      <w:r w:rsidR="00090AA6">
        <w:t xml:space="preserve">GR group’s </w:t>
      </w:r>
      <w:r>
        <w:t>net profit (disregarding tax expenses</w:t>
      </w:r>
      <w:proofErr w:type="gramStart"/>
      <w:r>
        <w:t>);</w:t>
      </w:r>
      <w:proofErr w:type="gramEnd"/>
    </w:p>
    <w:p w14:paraId="755B517D" w14:textId="563D58BC" w:rsidR="003749C5" w:rsidRDefault="003749C5" w:rsidP="003749C5">
      <w:pPr>
        <w:pStyle w:val="Dotpoint1"/>
      </w:pPr>
      <w:r>
        <w:t xml:space="preserve">the </w:t>
      </w:r>
      <w:r w:rsidR="00090AA6">
        <w:t>GR group’s</w:t>
      </w:r>
      <w:r>
        <w:t xml:space="preserve"> adjusted net third party interest expense; and</w:t>
      </w:r>
    </w:p>
    <w:p w14:paraId="4B520E03" w14:textId="0A8A4529" w:rsidR="009C0727" w:rsidRDefault="003749C5" w:rsidP="003749C5">
      <w:pPr>
        <w:pStyle w:val="Dotpoint1"/>
      </w:pPr>
      <w:r>
        <w:t xml:space="preserve">the </w:t>
      </w:r>
      <w:r w:rsidR="00202CE7">
        <w:t>GR group’s</w:t>
      </w:r>
      <w:r w:rsidR="00F52986">
        <w:t xml:space="preserve"> depreciation and amortisation expenses.</w:t>
      </w:r>
      <w:r w:rsidR="00F91110">
        <w:br/>
      </w:r>
      <w:r w:rsidR="00F91110" w:rsidRPr="00B73F68">
        <w:rPr>
          <w:rStyle w:val="References"/>
        </w:rPr>
        <w:t xml:space="preserve">[Schedule 1, </w:t>
      </w:r>
      <w:r w:rsidR="00F91110">
        <w:rPr>
          <w:rStyle w:val="References"/>
        </w:rPr>
        <w:t>item</w:t>
      </w:r>
      <w:r w:rsidR="001742B2">
        <w:rPr>
          <w:rStyle w:val="References"/>
        </w:rPr>
        <w:t>s</w:t>
      </w:r>
      <w:r w:rsidR="00F91110">
        <w:rPr>
          <w:rStyle w:val="References"/>
        </w:rPr>
        <w:t xml:space="preserve"> 12</w:t>
      </w:r>
      <w:r w:rsidR="001742B2">
        <w:rPr>
          <w:rStyle w:val="References"/>
        </w:rPr>
        <w:t xml:space="preserve"> and 50</w:t>
      </w:r>
      <w:r w:rsidR="00F91110" w:rsidRPr="00B73F68">
        <w:rPr>
          <w:rStyle w:val="References"/>
        </w:rPr>
        <w:t xml:space="preserve">, </w:t>
      </w:r>
      <w:r w:rsidR="00944D08">
        <w:rPr>
          <w:rStyle w:val="References"/>
        </w:rPr>
        <w:t>sub</w:t>
      </w:r>
      <w:r w:rsidR="00F91110" w:rsidRPr="00B73F68">
        <w:rPr>
          <w:rStyle w:val="References"/>
        </w:rPr>
        <w:t>section</w:t>
      </w:r>
      <w:r w:rsidR="00944D08">
        <w:rPr>
          <w:rStyle w:val="References"/>
        </w:rPr>
        <w:t>s</w:t>
      </w:r>
      <w:r w:rsidR="00F91110" w:rsidRPr="00B73F68">
        <w:rPr>
          <w:rStyle w:val="References"/>
        </w:rPr>
        <w:t xml:space="preserve"> 820-</w:t>
      </w:r>
      <w:r w:rsidR="00F91110">
        <w:rPr>
          <w:rStyle w:val="References"/>
        </w:rPr>
        <w:t>55</w:t>
      </w:r>
      <w:r w:rsidR="00F91110" w:rsidRPr="00B73F68">
        <w:rPr>
          <w:rStyle w:val="References"/>
        </w:rPr>
        <w:t>(</w:t>
      </w:r>
      <w:r w:rsidR="00F91110">
        <w:rPr>
          <w:rStyle w:val="References"/>
        </w:rPr>
        <w:t>2</w:t>
      </w:r>
      <w:r w:rsidR="00F91110" w:rsidRPr="00B73F68">
        <w:rPr>
          <w:rStyle w:val="References"/>
        </w:rPr>
        <w:t>)</w:t>
      </w:r>
      <w:r w:rsidR="001742B2">
        <w:rPr>
          <w:rStyle w:val="References"/>
        </w:rPr>
        <w:t xml:space="preserve"> and 995-1</w:t>
      </w:r>
      <w:r w:rsidR="00944D08">
        <w:rPr>
          <w:rStyle w:val="References"/>
        </w:rPr>
        <w:t>(1)</w:t>
      </w:r>
      <w:r w:rsidR="00F91110" w:rsidRPr="00B73F68">
        <w:rPr>
          <w:rStyle w:val="References"/>
        </w:rPr>
        <w:t>]</w:t>
      </w:r>
    </w:p>
    <w:p w14:paraId="535389D6" w14:textId="070011B5" w:rsidR="00F52986" w:rsidRDefault="00DE27C4" w:rsidP="00F52986">
      <w:pPr>
        <w:pStyle w:val="Normalparatextwithnumbers"/>
      </w:pPr>
      <w:r>
        <w:t xml:space="preserve">However, in working </w:t>
      </w:r>
      <w:r w:rsidR="00EB0E8C">
        <w:t>out the GR group EBITDA</w:t>
      </w:r>
      <w:r w:rsidR="00CC1750">
        <w:t xml:space="preserve"> which includes </w:t>
      </w:r>
      <w:r w:rsidR="008D0CB3">
        <w:t xml:space="preserve">one or more entities with a negative entity EBITDA amount, those negative amounts </w:t>
      </w:r>
      <w:r w:rsidR="009C0727">
        <w:t xml:space="preserve">are disregarded. This ensures the operation of the group ratio test cannot be </w:t>
      </w:r>
      <w:r w:rsidR="009C0727">
        <w:lastRenderedPageBreak/>
        <w:t xml:space="preserve">exploited by an entity </w:t>
      </w:r>
      <w:r w:rsidR="008E07EB">
        <w:t xml:space="preserve">to allow them to claim excessive debt deductions. </w:t>
      </w:r>
      <w:r w:rsidR="009C0727">
        <w:t xml:space="preserve"> </w:t>
      </w:r>
      <w:r w:rsidR="00F91110">
        <w:br/>
      </w:r>
      <w:r w:rsidR="00F91110" w:rsidRPr="00403CDB">
        <w:rPr>
          <w:rStyle w:val="References"/>
        </w:rPr>
        <w:t xml:space="preserve">[Schedule 1, </w:t>
      </w:r>
      <w:r w:rsidR="00F91110">
        <w:rPr>
          <w:rStyle w:val="References"/>
        </w:rPr>
        <w:t>item 12</w:t>
      </w:r>
      <w:r w:rsidR="00F91110" w:rsidRPr="00403CDB">
        <w:rPr>
          <w:rStyle w:val="References"/>
        </w:rPr>
        <w:t>, subsection 820-</w:t>
      </w:r>
      <w:r w:rsidR="00F91110">
        <w:rPr>
          <w:rStyle w:val="References"/>
        </w:rPr>
        <w:t>55</w:t>
      </w:r>
      <w:r w:rsidR="00F91110" w:rsidRPr="00403CDB">
        <w:rPr>
          <w:rStyle w:val="References"/>
        </w:rPr>
        <w:t>(</w:t>
      </w:r>
      <w:r w:rsidR="00F91110">
        <w:rPr>
          <w:rStyle w:val="References"/>
        </w:rPr>
        <w:t>3</w:t>
      </w:r>
      <w:r w:rsidR="00F91110" w:rsidRPr="00403CDB">
        <w:rPr>
          <w:rStyle w:val="References"/>
        </w:rPr>
        <w:t>)]</w:t>
      </w:r>
    </w:p>
    <w:p w14:paraId="0814780D" w14:textId="77777777" w:rsidR="00873869" w:rsidRDefault="00873869" w:rsidP="00873869">
      <w:pPr>
        <w:pStyle w:val="Normalparatextwithnumbers"/>
      </w:pPr>
      <w:r>
        <w:t>The ‘entity EBITDA’ of an entity for a period is the sum of the following for the period:</w:t>
      </w:r>
    </w:p>
    <w:p w14:paraId="144E3D87" w14:textId="77777777" w:rsidR="00873869" w:rsidRDefault="00873869" w:rsidP="00873869">
      <w:pPr>
        <w:pStyle w:val="Dotpoint1"/>
      </w:pPr>
      <w:r>
        <w:t>the entity’s net profit (disregarding tax expenses</w:t>
      </w:r>
      <w:proofErr w:type="gramStart"/>
      <w:r>
        <w:t>);</w:t>
      </w:r>
      <w:proofErr w:type="gramEnd"/>
    </w:p>
    <w:p w14:paraId="189B1D5E" w14:textId="77777777" w:rsidR="00873869" w:rsidRDefault="00873869" w:rsidP="00873869">
      <w:pPr>
        <w:pStyle w:val="Dotpoint1"/>
      </w:pPr>
      <w:r>
        <w:t>the entity’s adjusted net third party interest expense; and</w:t>
      </w:r>
    </w:p>
    <w:p w14:paraId="11C250E7" w14:textId="6AEAFFCF" w:rsidR="00873869" w:rsidRDefault="00873869" w:rsidP="00873869">
      <w:pPr>
        <w:pStyle w:val="Dotpoint1"/>
      </w:pPr>
      <w:r>
        <w:t>the entity’s depreciation and amortisation expenses.</w:t>
      </w:r>
      <w:r>
        <w:br/>
      </w:r>
      <w:r w:rsidRPr="00B73F68">
        <w:rPr>
          <w:rStyle w:val="References"/>
        </w:rPr>
        <w:t xml:space="preserve">[Schedule 1, </w:t>
      </w:r>
      <w:r>
        <w:rPr>
          <w:rStyle w:val="References"/>
        </w:rPr>
        <w:t>item 12</w:t>
      </w:r>
      <w:r w:rsidR="001742B2">
        <w:rPr>
          <w:rStyle w:val="References"/>
        </w:rPr>
        <w:t xml:space="preserve"> and 48</w:t>
      </w:r>
      <w:r w:rsidRPr="00B73F68">
        <w:rPr>
          <w:rStyle w:val="References"/>
        </w:rPr>
        <w:t>, s</w:t>
      </w:r>
      <w:r w:rsidR="001742B2">
        <w:rPr>
          <w:rStyle w:val="References"/>
        </w:rPr>
        <w:t>ubs</w:t>
      </w:r>
      <w:r w:rsidRPr="00B73F68">
        <w:rPr>
          <w:rStyle w:val="References"/>
        </w:rPr>
        <w:t>ection</w:t>
      </w:r>
      <w:r w:rsidR="00944D08">
        <w:rPr>
          <w:rStyle w:val="References"/>
        </w:rPr>
        <w:t>s</w:t>
      </w:r>
      <w:r w:rsidRPr="00B73F68">
        <w:rPr>
          <w:rStyle w:val="References"/>
        </w:rPr>
        <w:t xml:space="preserve"> 820-</w:t>
      </w:r>
      <w:r>
        <w:rPr>
          <w:rStyle w:val="References"/>
        </w:rPr>
        <w:t>55</w:t>
      </w:r>
      <w:r w:rsidRPr="00B73F68">
        <w:rPr>
          <w:rStyle w:val="References"/>
        </w:rPr>
        <w:t>(</w:t>
      </w:r>
      <w:r>
        <w:rPr>
          <w:rStyle w:val="References"/>
        </w:rPr>
        <w:t>1</w:t>
      </w:r>
      <w:r w:rsidRPr="00B73F68">
        <w:rPr>
          <w:rStyle w:val="References"/>
        </w:rPr>
        <w:t>)</w:t>
      </w:r>
      <w:r w:rsidR="001742B2">
        <w:rPr>
          <w:rStyle w:val="References"/>
        </w:rPr>
        <w:t xml:space="preserve"> and 995-1</w:t>
      </w:r>
      <w:r w:rsidR="00944D08">
        <w:rPr>
          <w:rStyle w:val="References"/>
        </w:rPr>
        <w:t>(1)</w:t>
      </w:r>
      <w:r w:rsidRPr="00B73F68">
        <w:rPr>
          <w:rStyle w:val="References"/>
        </w:rPr>
        <w:t>]</w:t>
      </w:r>
    </w:p>
    <w:p w14:paraId="16FCEE39" w14:textId="48CE809D" w:rsidR="00645031" w:rsidRDefault="00645031" w:rsidP="00645031">
      <w:pPr>
        <w:pStyle w:val="Normalparatextwithnumbers"/>
      </w:pPr>
      <w:r>
        <w:t xml:space="preserve">The ‘adjusted net third party interest expense’ </w:t>
      </w:r>
      <w:r w:rsidR="000E5A5D">
        <w:t>o</w:t>
      </w:r>
      <w:r>
        <w:t>f an entity for a period, is the amount that would be the entity’s net interest expense for the period if the following payments were disregarded:</w:t>
      </w:r>
    </w:p>
    <w:p w14:paraId="004BADAB" w14:textId="324F8596" w:rsidR="00645031" w:rsidRDefault="00645031" w:rsidP="000E5A5D">
      <w:pPr>
        <w:pStyle w:val="Dotpoint1"/>
      </w:pPr>
      <w:r>
        <w:t xml:space="preserve">a payment made by the entity to an associate </w:t>
      </w:r>
      <w:proofErr w:type="gramStart"/>
      <w:r>
        <w:t>entity;</w:t>
      </w:r>
      <w:proofErr w:type="gramEnd"/>
    </w:p>
    <w:p w14:paraId="4E39B5A0" w14:textId="5D1840E1" w:rsidR="004464D5" w:rsidRDefault="00645031" w:rsidP="000E5A5D">
      <w:pPr>
        <w:pStyle w:val="Dotpoint1"/>
      </w:pPr>
      <w:r>
        <w:t>a payment made by an associate entity to the entity.</w:t>
      </w:r>
      <w:r w:rsidR="00003B5D">
        <w:br/>
      </w:r>
      <w:r w:rsidR="00003B5D" w:rsidRPr="00D105FA">
        <w:rPr>
          <w:rStyle w:val="References"/>
        </w:rPr>
        <w:t xml:space="preserve">[Schedule 1, </w:t>
      </w:r>
      <w:r w:rsidR="00003B5D">
        <w:rPr>
          <w:rStyle w:val="References"/>
        </w:rPr>
        <w:t>items 12 and 46</w:t>
      </w:r>
      <w:r w:rsidR="00003B5D" w:rsidRPr="00D105FA">
        <w:rPr>
          <w:rStyle w:val="References"/>
        </w:rPr>
        <w:t xml:space="preserve">, </w:t>
      </w:r>
      <w:r w:rsidR="00003B5D">
        <w:rPr>
          <w:rStyle w:val="References"/>
        </w:rPr>
        <w:t>sub</w:t>
      </w:r>
      <w:r w:rsidR="00003B5D" w:rsidRPr="00D105FA">
        <w:rPr>
          <w:rStyle w:val="References"/>
        </w:rPr>
        <w:t>section</w:t>
      </w:r>
      <w:r w:rsidR="00944D08">
        <w:rPr>
          <w:rStyle w:val="References"/>
        </w:rPr>
        <w:t>s</w:t>
      </w:r>
      <w:r w:rsidR="00003B5D" w:rsidRPr="00D105FA">
        <w:rPr>
          <w:rStyle w:val="References"/>
        </w:rPr>
        <w:t xml:space="preserve"> 820-</w:t>
      </w:r>
      <w:r w:rsidR="00003B5D">
        <w:rPr>
          <w:rStyle w:val="References"/>
        </w:rPr>
        <w:t>53(4) and 995-1</w:t>
      </w:r>
      <w:r w:rsidR="00944D08">
        <w:rPr>
          <w:rStyle w:val="References"/>
        </w:rPr>
        <w:t>(1)</w:t>
      </w:r>
      <w:r w:rsidR="00003B5D" w:rsidRPr="00D105FA">
        <w:rPr>
          <w:rStyle w:val="References"/>
        </w:rPr>
        <w:t>]</w:t>
      </w:r>
    </w:p>
    <w:p w14:paraId="009A228D" w14:textId="05BFC0D5" w:rsidR="00AC2FBF" w:rsidRDefault="00AC2FBF" w:rsidP="00F52986">
      <w:pPr>
        <w:pStyle w:val="Normalparatextwithnumbers"/>
      </w:pPr>
      <w:r>
        <w:t xml:space="preserve">These adjustments ensure only </w:t>
      </w:r>
      <w:proofErr w:type="gramStart"/>
      <w:r>
        <w:t>third party</w:t>
      </w:r>
      <w:proofErr w:type="gramEnd"/>
      <w:r>
        <w:t xml:space="preserve"> amounts are used in the calculation of ‘adjusted net third party interest expense’. For the purposes of the adjustments, the same modified definition of ‘associate entity’ discussed in paragraph </w:t>
      </w:r>
      <w:r w:rsidR="009D5F98">
        <w:t>1.34</w:t>
      </w:r>
      <w:r>
        <w:t xml:space="preserve"> above applies.</w:t>
      </w:r>
      <w:r w:rsidR="0029337A">
        <w:br/>
      </w:r>
      <w:r w:rsidR="0029337A" w:rsidRPr="0029337A">
        <w:rPr>
          <w:rFonts w:cs="Times New Roman"/>
          <w:b/>
          <w:bCs/>
          <w:i/>
          <w:iCs/>
        </w:rPr>
        <w:t xml:space="preserve">[Schedule 1, item 12, </w:t>
      </w:r>
      <w:r w:rsidR="00D50515">
        <w:rPr>
          <w:rFonts w:cs="Times New Roman"/>
          <w:b/>
          <w:bCs/>
          <w:i/>
          <w:iCs/>
        </w:rPr>
        <w:t>sub</w:t>
      </w:r>
      <w:r w:rsidR="0029337A" w:rsidRPr="0029337A">
        <w:rPr>
          <w:rFonts w:cs="Times New Roman"/>
          <w:b/>
          <w:bCs/>
          <w:i/>
          <w:iCs/>
        </w:rPr>
        <w:t>section</w:t>
      </w:r>
      <w:r w:rsidR="00D50515">
        <w:rPr>
          <w:rFonts w:cs="Times New Roman"/>
          <w:b/>
          <w:bCs/>
          <w:i/>
          <w:iCs/>
        </w:rPr>
        <w:t>s</w:t>
      </w:r>
      <w:r w:rsidR="0029337A" w:rsidRPr="0029337A">
        <w:rPr>
          <w:rFonts w:cs="Times New Roman"/>
          <w:b/>
          <w:bCs/>
          <w:i/>
          <w:iCs/>
        </w:rPr>
        <w:t xml:space="preserve"> 820-</w:t>
      </w:r>
      <w:r w:rsidR="0029337A">
        <w:rPr>
          <w:rFonts w:cs="Times New Roman"/>
          <w:b/>
          <w:bCs/>
          <w:i/>
          <w:iCs/>
        </w:rPr>
        <w:t>43</w:t>
      </w:r>
      <w:r w:rsidR="0029337A" w:rsidRPr="0029337A">
        <w:rPr>
          <w:rFonts w:cs="Times New Roman"/>
          <w:b/>
          <w:bCs/>
          <w:i/>
          <w:iCs/>
        </w:rPr>
        <w:t>(</w:t>
      </w:r>
      <w:r w:rsidR="0029337A">
        <w:rPr>
          <w:rFonts w:cs="Times New Roman"/>
          <w:b/>
          <w:bCs/>
          <w:i/>
          <w:iCs/>
        </w:rPr>
        <w:t>6</w:t>
      </w:r>
      <w:r w:rsidR="0029337A" w:rsidRPr="0029337A">
        <w:rPr>
          <w:rFonts w:cs="Times New Roman"/>
          <w:b/>
          <w:bCs/>
          <w:i/>
          <w:iCs/>
        </w:rPr>
        <w:t>)</w:t>
      </w:r>
      <w:r w:rsidR="00D50515">
        <w:rPr>
          <w:rFonts w:cs="Times New Roman"/>
          <w:b/>
          <w:bCs/>
          <w:i/>
          <w:iCs/>
        </w:rPr>
        <w:t xml:space="preserve"> and 820-53(5)</w:t>
      </w:r>
      <w:r w:rsidR="0029337A" w:rsidRPr="0029337A">
        <w:rPr>
          <w:rFonts w:cs="Times New Roman"/>
          <w:b/>
          <w:bCs/>
          <w:i/>
          <w:iCs/>
        </w:rPr>
        <w:t>]</w:t>
      </w:r>
    </w:p>
    <w:p w14:paraId="079C83F1" w14:textId="2F8CB4FD" w:rsidR="00F80FD2" w:rsidRDefault="00F80FD2" w:rsidP="003534BE">
      <w:pPr>
        <w:pStyle w:val="Heading6"/>
        <w:rPr>
          <w:rFonts w:hint="eastAsia"/>
        </w:rPr>
      </w:pPr>
      <w:r>
        <w:t>Group ratio records</w:t>
      </w:r>
    </w:p>
    <w:p w14:paraId="46DBBCCB" w14:textId="0EFEA536" w:rsidR="00F52986" w:rsidRDefault="00F52986" w:rsidP="00F52986">
      <w:pPr>
        <w:pStyle w:val="Normalparatextwithnumbers"/>
      </w:pPr>
      <w:r>
        <w:t xml:space="preserve">Entities are required to </w:t>
      </w:r>
      <w:r w:rsidR="00A06413">
        <w:t>prepare and</w:t>
      </w:r>
      <w:r>
        <w:t xml:space="preserve"> keep records </w:t>
      </w:r>
      <w:r w:rsidR="006D5DCC">
        <w:t xml:space="preserve">of how they worked out </w:t>
      </w:r>
      <w:r w:rsidR="00794784">
        <w:t>their</w:t>
      </w:r>
      <w:r>
        <w:t xml:space="preserve"> group ratio. Specific record keep</w:t>
      </w:r>
      <w:r w:rsidR="006D5DCC">
        <w:t>ing</w:t>
      </w:r>
      <w:r>
        <w:t xml:space="preserve"> rules are necessary because entities may work out </w:t>
      </w:r>
      <w:r w:rsidR="00F00CF2">
        <w:t>their</w:t>
      </w:r>
      <w:r>
        <w:t xml:space="preserve"> group ratio using information </w:t>
      </w:r>
      <w:r w:rsidR="00C662BF">
        <w:t xml:space="preserve">that </w:t>
      </w:r>
      <w:r>
        <w:t xml:space="preserve">is </w:t>
      </w:r>
      <w:r w:rsidR="00BB155C">
        <w:t xml:space="preserve">not publicly </w:t>
      </w:r>
      <w:proofErr w:type="gramStart"/>
      <w:r w:rsidR="00BB155C">
        <w:t>available</w:t>
      </w:r>
      <w:r w:rsidR="006D5DCC">
        <w:t>,</w:t>
      </w:r>
      <w:r>
        <w:t xml:space="preserve"> or</w:t>
      </w:r>
      <w:proofErr w:type="gramEnd"/>
      <w:r>
        <w:t xml:space="preserve"> </w:t>
      </w:r>
      <w:r w:rsidR="00327BA2">
        <w:t>have made</w:t>
      </w:r>
      <w:r>
        <w:t xml:space="preserve"> certain adjustments to </w:t>
      </w:r>
      <w:r w:rsidR="0028287D">
        <w:t>their calculation</w:t>
      </w:r>
      <w:r w:rsidR="00203B61">
        <w:t>s</w:t>
      </w:r>
      <w:r w:rsidR="0028287D">
        <w:t xml:space="preserve"> </w:t>
      </w:r>
      <w:r>
        <w:t>on a self</w:t>
      </w:r>
      <w:r w:rsidR="00E57B84">
        <w:noBreakHyphen/>
      </w:r>
      <w:r>
        <w:t>assessment basis.</w:t>
      </w:r>
      <w:r w:rsidDel="00EE14D8">
        <w:t xml:space="preserve"> </w:t>
      </w:r>
      <w:r>
        <w:t xml:space="preserve">  </w:t>
      </w:r>
    </w:p>
    <w:p w14:paraId="76E6A0B8" w14:textId="21F982E8" w:rsidR="00F52986" w:rsidRDefault="00F52986" w:rsidP="00F52986">
      <w:pPr>
        <w:pStyle w:val="Normalparatextwithnumbers"/>
      </w:pPr>
      <w:r>
        <w:t xml:space="preserve">The records must contain </w:t>
      </w:r>
      <w:r w:rsidR="007D22FC">
        <w:t xml:space="preserve">the </w:t>
      </w:r>
      <w:r>
        <w:t xml:space="preserve">particulars that have been </w:t>
      </w:r>
      <w:proofErr w:type="gramStart"/>
      <w:r>
        <w:t>taken into account</w:t>
      </w:r>
      <w:proofErr w:type="gramEnd"/>
      <w:r>
        <w:t xml:space="preserve"> in working out the group ratio and must be sufficient for a reasonable person to understand how the group ratio has been </w:t>
      </w:r>
      <w:r w:rsidR="00286092">
        <w:t>calculated</w:t>
      </w:r>
      <w:r>
        <w:t xml:space="preserve">. The entity must prepare the records by </w:t>
      </w:r>
      <w:r w:rsidR="00D90D82">
        <w:t>the time</w:t>
      </w:r>
      <w:r>
        <w:t xml:space="preserve"> the entity </w:t>
      </w:r>
      <w:r w:rsidR="00D55CF4">
        <w:t>is due to lodge</w:t>
      </w:r>
      <w:r>
        <w:t xml:space="preserve"> its income tax return </w:t>
      </w:r>
      <w:r w:rsidR="00241560">
        <w:t>for the income year</w:t>
      </w:r>
      <w:r w:rsidR="000B4F6A">
        <w:t>.</w:t>
      </w:r>
      <w:r w:rsidR="00FE337A">
        <w:br/>
      </w:r>
      <w:r w:rsidR="00FE337A" w:rsidRPr="00D61A34">
        <w:rPr>
          <w:rFonts w:eastAsia="Calibri" w:cs="Times New Roman"/>
          <w:b/>
          <w:bCs/>
          <w:i/>
          <w:iCs/>
        </w:rPr>
        <w:t xml:space="preserve">[Schedule 1, item </w:t>
      </w:r>
      <w:r w:rsidR="00FE337A">
        <w:rPr>
          <w:rFonts w:eastAsia="Calibri" w:cs="Times New Roman"/>
          <w:b/>
          <w:bCs/>
          <w:i/>
          <w:iCs/>
        </w:rPr>
        <w:t>44</w:t>
      </w:r>
      <w:r w:rsidR="00FE337A" w:rsidRPr="00D61A34">
        <w:rPr>
          <w:rFonts w:eastAsia="Calibri" w:cs="Times New Roman"/>
          <w:b/>
          <w:bCs/>
          <w:i/>
          <w:iCs/>
        </w:rPr>
        <w:t>, section 820-</w:t>
      </w:r>
      <w:r w:rsidR="00FE337A">
        <w:rPr>
          <w:rFonts w:eastAsia="Calibri" w:cs="Times New Roman"/>
          <w:b/>
          <w:bCs/>
          <w:i/>
          <w:iCs/>
        </w:rPr>
        <w:t>985]</w:t>
      </w:r>
    </w:p>
    <w:p w14:paraId="14C6272D" w14:textId="5B015971" w:rsidR="00873D35" w:rsidRDefault="004057E6" w:rsidP="00ED4414">
      <w:pPr>
        <w:pStyle w:val="Heading5"/>
      </w:pPr>
      <w:r>
        <w:t xml:space="preserve">Operation of the </w:t>
      </w:r>
      <w:r w:rsidR="00ED4414">
        <w:t>e</w:t>
      </w:r>
      <w:r w:rsidRPr="004057E6">
        <w:t xml:space="preserve">xternal </w:t>
      </w:r>
      <w:proofErr w:type="gramStart"/>
      <w:r w:rsidRPr="004057E6">
        <w:t>third party</w:t>
      </w:r>
      <w:proofErr w:type="gramEnd"/>
      <w:r w:rsidRPr="004057E6">
        <w:t xml:space="preserve"> debt test</w:t>
      </w:r>
    </w:p>
    <w:p w14:paraId="5396F958" w14:textId="5888F275" w:rsidR="00CE0E5E" w:rsidRDefault="00CE0E5E" w:rsidP="00CE0E5E">
      <w:pPr>
        <w:pStyle w:val="Heading6"/>
        <w:rPr>
          <w:rFonts w:hint="eastAsia"/>
        </w:rPr>
      </w:pPr>
      <w:r>
        <w:t xml:space="preserve">Overview </w:t>
      </w:r>
      <w:r w:rsidR="0093153F">
        <w:t xml:space="preserve">of the external </w:t>
      </w:r>
      <w:proofErr w:type="gramStart"/>
      <w:r w:rsidR="0093153F">
        <w:t>third party</w:t>
      </w:r>
      <w:proofErr w:type="gramEnd"/>
      <w:r w:rsidR="0093153F">
        <w:t xml:space="preserve"> debt test</w:t>
      </w:r>
    </w:p>
    <w:p w14:paraId="4D9AB89C" w14:textId="78C75FD5" w:rsidR="00ED4414" w:rsidRDefault="00ED4414" w:rsidP="00ED4414">
      <w:pPr>
        <w:pStyle w:val="Normalparatextwithnumbers"/>
      </w:pPr>
      <w:r>
        <w:t xml:space="preserve">The external </w:t>
      </w:r>
      <w:proofErr w:type="gramStart"/>
      <w:r>
        <w:t>third party</w:t>
      </w:r>
      <w:proofErr w:type="gramEnd"/>
      <w:r>
        <w:t xml:space="preserve"> debt test </w:t>
      </w:r>
      <w:r w:rsidR="00B35F73">
        <w:t xml:space="preserve">effectively </w:t>
      </w:r>
      <w:r w:rsidR="000A2207">
        <w:t>dis</w:t>
      </w:r>
      <w:r>
        <w:t>allows</w:t>
      </w:r>
      <w:r w:rsidDel="00AA1A5A">
        <w:t xml:space="preserve"> </w:t>
      </w:r>
      <w:r w:rsidR="00AA1A5A">
        <w:t>an entity’s</w:t>
      </w:r>
      <w:r w:rsidR="00905DB3">
        <w:t xml:space="preserve"> </w:t>
      </w:r>
      <w:r>
        <w:t xml:space="preserve">debt deductions </w:t>
      </w:r>
      <w:r w:rsidR="00AA1A5A">
        <w:t xml:space="preserve">to the extent that they exceed the entity’s </w:t>
      </w:r>
      <w:r w:rsidR="002D7FC4">
        <w:t xml:space="preserve">debt deductions </w:t>
      </w:r>
      <w:r>
        <w:t xml:space="preserve">attributable to external third party debt and </w:t>
      </w:r>
      <w:r w:rsidR="00912B5E">
        <w:t xml:space="preserve">which </w:t>
      </w:r>
      <w:r>
        <w:t>satisfy certain other conditions.</w:t>
      </w:r>
      <w:r w:rsidR="00905DB3">
        <w:t xml:space="preserve"> </w:t>
      </w:r>
      <w:r>
        <w:t xml:space="preserve">This test replaces the arm’s length debt test for </w:t>
      </w:r>
      <w:r w:rsidR="008E5845">
        <w:t xml:space="preserve">general class </w:t>
      </w:r>
      <w:r w:rsidR="00534381">
        <w:lastRenderedPageBreak/>
        <w:t>investors and financial entities</w:t>
      </w:r>
      <w:r w:rsidR="00B35F73">
        <w:t xml:space="preserve">. </w:t>
      </w:r>
      <w:r w:rsidR="007542AF">
        <w:t xml:space="preserve">However, </w:t>
      </w:r>
      <w:r w:rsidR="00B35F73">
        <w:t xml:space="preserve">ADIs will continue </w:t>
      </w:r>
      <w:r w:rsidR="007542AF">
        <w:t>to have access to the arm’s length capital test.</w:t>
      </w:r>
      <w:r>
        <w:t xml:space="preserve"> </w:t>
      </w:r>
    </w:p>
    <w:p w14:paraId="363DE3C3" w14:textId="7DE7865D" w:rsidR="007542AF" w:rsidRDefault="007542AF" w:rsidP="007542AF">
      <w:pPr>
        <w:pStyle w:val="Normalparatextwithnumbers"/>
      </w:pPr>
      <w:r>
        <w:t xml:space="preserve">The external </w:t>
      </w:r>
      <w:proofErr w:type="gramStart"/>
      <w:r>
        <w:t>third party</w:t>
      </w:r>
      <w:proofErr w:type="gramEnd"/>
      <w:r>
        <w:t xml:space="preserve"> debt </w:t>
      </w:r>
      <w:r w:rsidR="00AF4054">
        <w:t xml:space="preserve">test </w:t>
      </w:r>
      <w:r>
        <w:t xml:space="preserve">operates effectively as a credit assessment test, in which an independent commercial lender determines the level and structure of debt </w:t>
      </w:r>
      <w:r w:rsidR="0072770A">
        <w:t xml:space="preserve">finance it is prepared to </w:t>
      </w:r>
      <w:r w:rsidR="00440C67">
        <w:t>provide</w:t>
      </w:r>
      <w:r>
        <w:t xml:space="preserve"> an entity. As the debt </w:t>
      </w:r>
      <w:r w:rsidR="00B312A8">
        <w:t xml:space="preserve">finance </w:t>
      </w:r>
      <w:r>
        <w:t>is provided by an independent third</w:t>
      </w:r>
      <w:r w:rsidR="00AF4054">
        <w:t xml:space="preserve"> </w:t>
      </w:r>
      <w:r>
        <w:t>party, it is assumed to satisfy arm’s length conditions.</w:t>
      </w:r>
    </w:p>
    <w:p w14:paraId="5983A9D3" w14:textId="612DF959" w:rsidR="007542AF" w:rsidRDefault="007542AF" w:rsidP="007542AF">
      <w:pPr>
        <w:pStyle w:val="Normalparatextwithnumbers"/>
      </w:pPr>
      <w:r>
        <w:t xml:space="preserve">The test is therefore intended to be a simpler and more streamlined test to apply and administer than the </w:t>
      </w:r>
      <w:r w:rsidR="00D475BD">
        <w:t xml:space="preserve">former </w:t>
      </w:r>
      <w:r>
        <w:t xml:space="preserve">arm’s length debt test, which operates based on valuation metrics and the ‘hypothesised entity comparison’. </w:t>
      </w:r>
    </w:p>
    <w:p w14:paraId="2A3E59CA" w14:textId="6469A277" w:rsidR="007542AF" w:rsidRDefault="007542AF" w:rsidP="007542AF">
      <w:pPr>
        <w:pStyle w:val="Normalparatextwithnumbers"/>
      </w:pPr>
      <w:r>
        <w:t xml:space="preserve">The third-party debt test is designed specifically to be narrow, to accommodate only genuine commercial arrangements relating </w:t>
      </w:r>
      <w:r w:rsidR="0079018F">
        <w:t xml:space="preserve">only </w:t>
      </w:r>
      <w:r>
        <w:t>to Australian operations and investments.</w:t>
      </w:r>
    </w:p>
    <w:p w14:paraId="670631BE" w14:textId="00E23567" w:rsidR="007542AF" w:rsidRDefault="007542AF" w:rsidP="007542AF">
      <w:pPr>
        <w:pStyle w:val="Normalparatextwithnumbers"/>
      </w:pPr>
      <w:r>
        <w:t xml:space="preserve">This is a considered design approach and is not intended to accommodate all debt financing arrangements that may be accepted as current practice within industry. </w:t>
      </w:r>
    </w:p>
    <w:p w14:paraId="07A509D3" w14:textId="3BC3C46B" w:rsidR="007542AF" w:rsidRDefault="007542AF" w:rsidP="007542AF">
      <w:pPr>
        <w:pStyle w:val="Normalparatextwithnumbers"/>
      </w:pPr>
      <w:r>
        <w:t xml:space="preserve">In this regard, the external </w:t>
      </w:r>
      <w:proofErr w:type="gramStart"/>
      <w:r>
        <w:t>third</w:t>
      </w:r>
      <w:r w:rsidR="00CE0E5E">
        <w:t xml:space="preserve"> </w:t>
      </w:r>
      <w:r>
        <w:t>party</w:t>
      </w:r>
      <w:proofErr w:type="gramEnd"/>
      <w:r>
        <w:t xml:space="preserve"> debt </w:t>
      </w:r>
      <w:r w:rsidR="00CE0E5E">
        <w:t xml:space="preserve">test </w:t>
      </w:r>
      <w:r>
        <w:t xml:space="preserve">balances delicately the tax integrity policy intent </w:t>
      </w:r>
      <w:r w:rsidR="00CE0E5E">
        <w:t>and</w:t>
      </w:r>
      <w:r>
        <w:t xml:space="preserve"> </w:t>
      </w:r>
      <w:r w:rsidR="007336C3">
        <w:t>the need to ensure</w:t>
      </w:r>
      <w:r>
        <w:t xml:space="preserve"> genuine commercial arrangements are not unduly impeded.</w:t>
      </w:r>
    </w:p>
    <w:p w14:paraId="0D798871" w14:textId="3935ACB5" w:rsidR="00CE0E5E" w:rsidRDefault="00CE0E5E" w:rsidP="00CE0E5E">
      <w:pPr>
        <w:pStyle w:val="Heading6"/>
        <w:rPr>
          <w:rFonts w:hint="eastAsia"/>
        </w:rPr>
      </w:pPr>
      <w:r>
        <w:t>Operation</w:t>
      </w:r>
      <w:r w:rsidR="00D4717C">
        <w:t xml:space="preserve"> of the </w:t>
      </w:r>
      <w:r w:rsidR="00DB04D0">
        <w:t>externa</w:t>
      </w:r>
      <w:r w:rsidR="00DB04D0">
        <w:rPr>
          <w:rFonts w:hint="eastAsia"/>
        </w:rPr>
        <w:t>l</w:t>
      </w:r>
      <w:r w:rsidR="00D4717C">
        <w:t xml:space="preserve"> </w:t>
      </w:r>
      <w:proofErr w:type="gramStart"/>
      <w:r w:rsidR="00D4717C">
        <w:t xml:space="preserve">third </w:t>
      </w:r>
      <w:r w:rsidR="00DB04D0">
        <w:t>party</w:t>
      </w:r>
      <w:proofErr w:type="gramEnd"/>
      <w:r w:rsidR="00DB04D0">
        <w:t xml:space="preserve"> debt test</w:t>
      </w:r>
    </w:p>
    <w:p w14:paraId="5C35FD28" w14:textId="4549E52F" w:rsidR="00905DB3" w:rsidRDefault="00905DB3" w:rsidP="00ED4414">
      <w:pPr>
        <w:pStyle w:val="Normalparatextwithnumbers"/>
      </w:pPr>
      <w:r w:rsidRPr="00905DB3">
        <w:t xml:space="preserve">If the </w:t>
      </w:r>
      <w:r>
        <w:t xml:space="preserve">external </w:t>
      </w:r>
      <w:proofErr w:type="gramStart"/>
      <w:r>
        <w:t>third party</w:t>
      </w:r>
      <w:proofErr w:type="gramEnd"/>
      <w:r>
        <w:t xml:space="preserve"> debt test applies</w:t>
      </w:r>
      <w:r w:rsidR="002D229C">
        <w:t xml:space="preserve"> </w:t>
      </w:r>
      <w:r w:rsidRPr="00905DB3">
        <w:t xml:space="preserve">for an income year, the amount of </w:t>
      </w:r>
      <w:r w:rsidR="00315F5E">
        <w:t xml:space="preserve">an entity’s </w:t>
      </w:r>
      <w:r w:rsidRPr="00905DB3">
        <w:t xml:space="preserve">debt deductions for </w:t>
      </w:r>
      <w:r w:rsidR="002D229C">
        <w:t>the</w:t>
      </w:r>
      <w:r w:rsidRPr="00905DB3">
        <w:t xml:space="preserve"> income year that </w:t>
      </w:r>
      <w:r w:rsidR="00123F11">
        <w:t>is</w:t>
      </w:r>
      <w:r w:rsidR="00123F11" w:rsidRPr="00905DB3">
        <w:t xml:space="preserve"> </w:t>
      </w:r>
      <w:r w:rsidRPr="00905DB3">
        <w:t xml:space="preserve">disallowed is the amount by which the entity’s debt deductions exceed the entity’s </w:t>
      </w:r>
      <w:r w:rsidR="000950B8">
        <w:t xml:space="preserve">external third party earnings limit </w:t>
      </w:r>
      <w:r w:rsidRPr="00905DB3">
        <w:t>for the income year</w:t>
      </w:r>
      <w:r w:rsidR="2AE68CA7">
        <w:t>.</w:t>
      </w:r>
    </w:p>
    <w:p w14:paraId="43A90BFE" w14:textId="7017634D" w:rsidR="00ED4414" w:rsidRDefault="00ED4414" w:rsidP="00E42009">
      <w:pPr>
        <w:pStyle w:val="Normalparatextwithnumbers"/>
      </w:pPr>
      <w:r>
        <w:t xml:space="preserve">An entity’s </w:t>
      </w:r>
      <w:r w:rsidR="000950B8">
        <w:t>‘</w:t>
      </w:r>
      <w:r>
        <w:t xml:space="preserve">external </w:t>
      </w:r>
      <w:proofErr w:type="gramStart"/>
      <w:r>
        <w:t>third party</w:t>
      </w:r>
      <w:proofErr w:type="gramEnd"/>
      <w:r>
        <w:t xml:space="preserve"> earnings limit</w:t>
      </w:r>
      <w:r w:rsidR="000950B8">
        <w:t>’</w:t>
      </w:r>
      <w:r>
        <w:t xml:space="preserve"> for an income year is the sum of each debt deduction of the entity for the income year that is attributable to a debt interest issued by the entity that satisfies the external third-party debt conditions in relation to the income year. </w:t>
      </w:r>
      <w:r w:rsidR="00E42009">
        <w:t xml:space="preserve">For the purposes of the external </w:t>
      </w:r>
      <w:proofErr w:type="gramStart"/>
      <w:r w:rsidR="00E42009">
        <w:t>third party</w:t>
      </w:r>
      <w:proofErr w:type="gramEnd"/>
      <w:r w:rsidR="00E42009">
        <w:t xml:space="preserve"> earnings limit, ‘debt interest’ takes its meaning as defined in Subdivision 974-B of the ITAA 1997.</w:t>
      </w:r>
      <w:r w:rsidR="00F91110">
        <w:br/>
      </w:r>
      <w:r w:rsidR="00F91110" w:rsidRPr="00896032">
        <w:rPr>
          <w:rStyle w:val="References"/>
        </w:rPr>
        <w:t xml:space="preserve">[Schedule 1, </w:t>
      </w:r>
      <w:r w:rsidR="00F91110">
        <w:rPr>
          <w:rStyle w:val="References"/>
        </w:rPr>
        <w:t>item</w:t>
      </w:r>
      <w:r w:rsidR="00F321D2">
        <w:rPr>
          <w:rStyle w:val="References"/>
        </w:rPr>
        <w:t>s</w:t>
      </w:r>
      <w:r w:rsidR="00F91110">
        <w:rPr>
          <w:rStyle w:val="References"/>
        </w:rPr>
        <w:t xml:space="preserve"> 12</w:t>
      </w:r>
      <w:r w:rsidR="00F321D2">
        <w:rPr>
          <w:rStyle w:val="References"/>
        </w:rPr>
        <w:t xml:space="preserve"> and 48</w:t>
      </w:r>
      <w:r w:rsidR="00F91110" w:rsidRPr="00896032">
        <w:rPr>
          <w:rStyle w:val="References"/>
        </w:rPr>
        <w:t xml:space="preserve">, </w:t>
      </w:r>
      <w:r w:rsidR="00F91110">
        <w:rPr>
          <w:rStyle w:val="References"/>
        </w:rPr>
        <w:t>subsection</w:t>
      </w:r>
      <w:r w:rsidR="00944D08">
        <w:rPr>
          <w:rStyle w:val="References"/>
        </w:rPr>
        <w:t>s</w:t>
      </w:r>
      <w:r w:rsidR="00F91110">
        <w:rPr>
          <w:rStyle w:val="References"/>
        </w:rPr>
        <w:t xml:space="preserve"> 820-</w:t>
      </w:r>
      <w:r w:rsidR="00F321D2">
        <w:rPr>
          <w:rStyle w:val="References"/>
        </w:rPr>
        <w:t>61</w:t>
      </w:r>
      <w:r w:rsidR="00F91110">
        <w:rPr>
          <w:rStyle w:val="References"/>
        </w:rPr>
        <w:t>(</w:t>
      </w:r>
      <w:r w:rsidR="00F321D2">
        <w:rPr>
          <w:rStyle w:val="References"/>
        </w:rPr>
        <w:t>1</w:t>
      </w:r>
      <w:r w:rsidR="00F91110">
        <w:rPr>
          <w:rStyle w:val="References"/>
        </w:rPr>
        <w:t>)</w:t>
      </w:r>
      <w:r w:rsidR="00F321D2">
        <w:rPr>
          <w:rStyle w:val="References"/>
        </w:rPr>
        <w:t xml:space="preserve"> and 995-1</w:t>
      </w:r>
      <w:r w:rsidR="00944D08">
        <w:rPr>
          <w:rStyle w:val="References"/>
        </w:rPr>
        <w:t>(1)</w:t>
      </w:r>
      <w:r w:rsidR="00F91110" w:rsidRPr="00896032">
        <w:rPr>
          <w:rStyle w:val="References"/>
        </w:rPr>
        <w:t>]</w:t>
      </w:r>
    </w:p>
    <w:p w14:paraId="2D0DD03E" w14:textId="7F85D8DD" w:rsidR="00ED4414" w:rsidRDefault="00ED4414" w:rsidP="00ED4414">
      <w:pPr>
        <w:pStyle w:val="Normalparatextwithnumbers"/>
      </w:pPr>
      <w:bookmarkStart w:id="47" w:name="_Ref127982001"/>
      <w:r>
        <w:t xml:space="preserve">A debt interest issued by an entity satisfies the </w:t>
      </w:r>
      <w:r w:rsidR="000E2728">
        <w:t>‘</w:t>
      </w:r>
      <w:r>
        <w:t>external third-party debt conditions</w:t>
      </w:r>
      <w:r w:rsidR="000E2728">
        <w:t>’</w:t>
      </w:r>
      <w:r>
        <w:t xml:space="preserve"> in relation to an income year if the following conditions are satisfied:</w:t>
      </w:r>
      <w:bookmarkEnd w:id="47"/>
    </w:p>
    <w:p w14:paraId="05FAAE86" w14:textId="1A66B140" w:rsidR="00ED4414" w:rsidRDefault="00ED4414" w:rsidP="003B17B3">
      <w:pPr>
        <w:pStyle w:val="Dotpoint1"/>
      </w:pPr>
      <w:r>
        <w:t xml:space="preserve">the entity issued the debt interest to an entity that is not an associate entity of the </w:t>
      </w:r>
      <w:proofErr w:type="gramStart"/>
      <w:r>
        <w:t>entity;</w:t>
      </w:r>
      <w:proofErr w:type="gramEnd"/>
    </w:p>
    <w:p w14:paraId="7D05EF8A" w14:textId="601A97BC" w:rsidR="00ED4414" w:rsidRDefault="00ED4414" w:rsidP="003B17B3">
      <w:pPr>
        <w:pStyle w:val="Dotpoint1"/>
      </w:pPr>
      <w:r>
        <w:t xml:space="preserve">the debt interest is </w:t>
      </w:r>
      <w:r w:rsidR="005B7397">
        <w:t xml:space="preserve">not </w:t>
      </w:r>
      <w:r>
        <w:t xml:space="preserve">held </w:t>
      </w:r>
      <w:r w:rsidR="005B7397">
        <w:t>at any time in</w:t>
      </w:r>
      <w:r>
        <w:t xml:space="preserve"> the income year by an entity that is an associate entity of the </w:t>
      </w:r>
      <w:proofErr w:type="gramStart"/>
      <w:r>
        <w:t>entity;</w:t>
      </w:r>
      <w:proofErr w:type="gramEnd"/>
    </w:p>
    <w:p w14:paraId="67C38F6B" w14:textId="77777777" w:rsidR="00ED4414" w:rsidRDefault="00ED4414" w:rsidP="003B17B3">
      <w:pPr>
        <w:pStyle w:val="Dotpoint1"/>
      </w:pPr>
      <w:r>
        <w:t>the holder of the debt interest has recourse for payment of the debt only to the assets of the entity; and</w:t>
      </w:r>
    </w:p>
    <w:p w14:paraId="5461F9AD" w14:textId="773BEF85" w:rsidR="00ED4414" w:rsidRDefault="00ED4414" w:rsidP="003B17B3">
      <w:pPr>
        <w:pStyle w:val="Dotpoint1"/>
      </w:pPr>
      <w:r>
        <w:lastRenderedPageBreak/>
        <w:t>the entity uses the proceeds of issuing the debt interest wholly to fund</w:t>
      </w:r>
      <w:r w:rsidR="00AE15E0">
        <w:t>:</w:t>
      </w:r>
    </w:p>
    <w:p w14:paraId="4DB43AB6" w14:textId="067DDE8B" w:rsidR="00ED4414" w:rsidRDefault="00286C8F" w:rsidP="00440D08">
      <w:pPr>
        <w:pStyle w:val="Dotpoint2"/>
      </w:pPr>
      <w:r>
        <w:t xml:space="preserve">its </w:t>
      </w:r>
      <w:r w:rsidR="00ED4414">
        <w:t xml:space="preserve">investments that relate only to assets that are attributable to the entity’s Australian permanent establishments or that the entity holds for the purposes of producing assessable income; </w:t>
      </w:r>
      <w:r w:rsidR="00BF1CA5">
        <w:t>and</w:t>
      </w:r>
    </w:p>
    <w:p w14:paraId="6CA89931" w14:textId="36C8DDCE" w:rsidR="00F51DE6" w:rsidRDefault="00286C8F" w:rsidP="00440D08">
      <w:pPr>
        <w:pStyle w:val="Dotpoint2"/>
      </w:pPr>
      <w:r>
        <w:t xml:space="preserve">its </w:t>
      </w:r>
      <w:r w:rsidR="00ED4414">
        <w:t>Australian operations.</w:t>
      </w:r>
    </w:p>
    <w:p w14:paraId="163D424B" w14:textId="3460BC9E" w:rsidR="00ED4414" w:rsidRPr="00F51DE6" w:rsidRDefault="0016150E" w:rsidP="00F51DE6">
      <w:pPr>
        <w:pStyle w:val="Normalparatextnonumbers"/>
        <w:ind w:firstLine="709"/>
        <w:rPr>
          <w:rStyle w:val="References"/>
        </w:rPr>
      </w:pPr>
      <w:r w:rsidRPr="00F51DE6">
        <w:rPr>
          <w:rStyle w:val="References"/>
        </w:rPr>
        <w:t>[Schedule 1, item</w:t>
      </w:r>
      <w:r w:rsidR="00F321D2" w:rsidRPr="00F51DE6">
        <w:rPr>
          <w:rStyle w:val="References"/>
        </w:rPr>
        <w:t>s</w:t>
      </w:r>
      <w:r w:rsidRPr="00F51DE6">
        <w:rPr>
          <w:rStyle w:val="References"/>
        </w:rPr>
        <w:t xml:space="preserve"> 12</w:t>
      </w:r>
      <w:r w:rsidR="00F321D2" w:rsidRPr="00F51DE6">
        <w:rPr>
          <w:rStyle w:val="References"/>
        </w:rPr>
        <w:t xml:space="preserve"> and 48</w:t>
      </w:r>
      <w:r w:rsidRPr="00F51DE6">
        <w:rPr>
          <w:rStyle w:val="References"/>
        </w:rPr>
        <w:t>, subsection</w:t>
      </w:r>
      <w:r w:rsidR="00944D08">
        <w:rPr>
          <w:rStyle w:val="References"/>
        </w:rPr>
        <w:t>s</w:t>
      </w:r>
      <w:r w:rsidRPr="00F51DE6">
        <w:rPr>
          <w:rStyle w:val="References"/>
        </w:rPr>
        <w:t xml:space="preserve"> 820-61(2)</w:t>
      </w:r>
      <w:r w:rsidR="00B736F7">
        <w:rPr>
          <w:rStyle w:val="References"/>
        </w:rPr>
        <w:t>,</w:t>
      </w:r>
      <w:r w:rsidR="00B736F7" w:rsidRPr="00501E0E">
        <w:rPr>
          <w:rStyle w:val="References"/>
        </w:rPr>
        <w:t xml:space="preserve"> (3)</w:t>
      </w:r>
      <w:r w:rsidR="00F321D2" w:rsidRPr="00F51DE6">
        <w:rPr>
          <w:rStyle w:val="References"/>
        </w:rPr>
        <w:t xml:space="preserve"> and 995-1</w:t>
      </w:r>
      <w:r w:rsidR="00944D08">
        <w:rPr>
          <w:rStyle w:val="References"/>
        </w:rPr>
        <w:t>(1)</w:t>
      </w:r>
      <w:r w:rsidRPr="00F51DE6">
        <w:rPr>
          <w:rStyle w:val="References"/>
        </w:rPr>
        <w:t>]</w:t>
      </w:r>
    </w:p>
    <w:p w14:paraId="4724F97C" w14:textId="60B378B3" w:rsidR="00ED4414" w:rsidRDefault="00ED4414" w:rsidP="00ED4414">
      <w:pPr>
        <w:pStyle w:val="Normalparatextwithnumbers"/>
      </w:pPr>
      <w:r>
        <w:t xml:space="preserve">These conditions aim to ensure the external </w:t>
      </w:r>
      <w:proofErr w:type="gramStart"/>
      <w:r>
        <w:t>third party</w:t>
      </w:r>
      <w:proofErr w:type="gramEnd"/>
      <w:r>
        <w:t xml:space="preserve"> debt test only captures genuine third party debt which is used wholly to fund Australian business operations (</w:t>
      </w:r>
      <w:r w:rsidR="005530D6">
        <w:t xml:space="preserve">as </w:t>
      </w:r>
      <w:r>
        <w:t xml:space="preserve">opposed to offshore business operations). </w:t>
      </w:r>
      <w:r w:rsidR="0016150E">
        <w:br/>
      </w:r>
      <w:r w:rsidR="0016150E" w:rsidRPr="00AA32A1">
        <w:rPr>
          <w:rStyle w:val="References"/>
        </w:rPr>
        <w:t xml:space="preserve">[Schedule 1, </w:t>
      </w:r>
      <w:r w:rsidR="0016150E">
        <w:rPr>
          <w:rStyle w:val="References"/>
        </w:rPr>
        <w:t>item 12</w:t>
      </w:r>
      <w:r w:rsidR="0016150E" w:rsidRPr="00AA32A1">
        <w:rPr>
          <w:rStyle w:val="References"/>
        </w:rPr>
        <w:t>, section 820-</w:t>
      </w:r>
      <w:r w:rsidR="0016150E">
        <w:rPr>
          <w:rStyle w:val="References"/>
        </w:rPr>
        <w:t>61</w:t>
      </w:r>
      <w:r w:rsidR="0016150E" w:rsidRPr="00AA32A1">
        <w:rPr>
          <w:rStyle w:val="References"/>
        </w:rPr>
        <w:t>(</w:t>
      </w:r>
      <w:r w:rsidR="00F51DE6">
        <w:rPr>
          <w:rStyle w:val="References"/>
        </w:rPr>
        <w:t>3</w:t>
      </w:r>
      <w:r w:rsidR="0016150E">
        <w:rPr>
          <w:rStyle w:val="References"/>
        </w:rPr>
        <w:t>)</w:t>
      </w:r>
      <w:r w:rsidR="0016150E" w:rsidRPr="00AA32A1">
        <w:rPr>
          <w:rStyle w:val="References"/>
        </w:rPr>
        <w:t>]</w:t>
      </w:r>
    </w:p>
    <w:p w14:paraId="7083D366" w14:textId="25CF3611" w:rsidR="00ED4414" w:rsidRDefault="00ED4414" w:rsidP="00ED4414">
      <w:pPr>
        <w:pStyle w:val="Normalparatextwithnumbers"/>
      </w:pPr>
      <w:r>
        <w:t xml:space="preserve">Additional rules allow conduit financer arrangements to satisfy the external </w:t>
      </w:r>
      <w:proofErr w:type="gramStart"/>
      <w:r>
        <w:t>third party</w:t>
      </w:r>
      <w:proofErr w:type="gramEnd"/>
      <w:r>
        <w:t xml:space="preserve"> debt conditions in certain circumstances. Conduit financer arrangements are relatively common commercial arrangements which </w:t>
      </w:r>
      <w:r w:rsidR="0003158A">
        <w:t xml:space="preserve">are generally implemented to </w:t>
      </w:r>
      <w:r>
        <w:t>allow one entity in a group to raise funds on behalf of other entities in the group</w:t>
      </w:r>
      <w:r w:rsidR="006044A3">
        <w:t>. This can s</w:t>
      </w:r>
      <w:r>
        <w:t>treamlin</w:t>
      </w:r>
      <w:r w:rsidR="006044A3">
        <w:t>e</w:t>
      </w:r>
      <w:r w:rsidR="00911A7E">
        <w:t xml:space="preserve"> and simplify</w:t>
      </w:r>
      <w:r>
        <w:t xml:space="preserve"> borrowing </w:t>
      </w:r>
      <w:r w:rsidR="00911A7E">
        <w:t xml:space="preserve">processes </w:t>
      </w:r>
      <w:r>
        <w:t xml:space="preserve">for the group.    </w:t>
      </w:r>
    </w:p>
    <w:p w14:paraId="3D7B114F" w14:textId="7095EAF5" w:rsidR="00ED4414" w:rsidRDefault="00ED4414" w:rsidP="00ED4414">
      <w:pPr>
        <w:pStyle w:val="Normalparatextwithnumbers"/>
      </w:pPr>
      <w:r>
        <w:t xml:space="preserve">In the context of the external </w:t>
      </w:r>
      <w:proofErr w:type="gramStart"/>
      <w:r>
        <w:t>third party</w:t>
      </w:r>
      <w:proofErr w:type="gramEnd"/>
      <w:r>
        <w:t xml:space="preserve"> debt test, conduit </w:t>
      </w:r>
      <w:r w:rsidR="56531EF1">
        <w:t>financer</w:t>
      </w:r>
      <w:r>
        <w:t xml:space="preserve"> arrangements </w:t>
      </w:r>
      <w:r w:rsidR="008E45FE">
        <w:t>exist where</w:t>
      </w:r>
      <w:r>
        <w:t xml:space="preserve"> an entity (a </w:t>
      </w:r>
      <w:r w:rsidR="00043CDE">
        <w:t>‘</w:t>
      </w:r>
      <w:r>
        <w:t>conduit financer</w:t>
      </w:r>
      <w:r w:rsidR="00043CDE">
        <w:t>’</w:t>
      </w:r>
      <w:r>
        <w:t xml:space="preserve">) issues a debt interest to </w:t>
      </w:r>
      <w:r w:rsidR="00361887">
        <w:t>an</w:t>
      </w:r>
      <w:r w:rsidR="00A33AF8">
        <w:t>other</w:t>
      </w:r>
      <w:r>
        <w:t xml:space="preserve"> </w:t>
      </w:r>
      <w:r w:rsidR="00A33AF8">
        <w:t>entity (</w:t>
      </w:r>
      <w:r>
        <w:t>an ‘ultimate lender’</w:t>
      </w:r>
      <w:r w:rsidR="00A33AF8">
        <w:t>)</w:t>
      </w:r>
      <w:r>
        <w:t xml:space="preserve"> and that debt interest satisfies the external third party debt conditions. The conduit financier then on</w:t>
      </w:r>
      <w:r w:rsidR="009A3758">
        <w:noBreakHyphen/>
      </w:r>
      <w:r>
        <w:t xml:space="preserve">lends the proceeds of that debt interest to one or more associate entities on the same terms as the debt interest issued to the ultimate lender. </w:t>
      </w:r>
      <w:r w:rsidR="0016150E">
        <w:br/>
      </w:r>
      <w:r w:rsidR="0016150E" w:rsidRPr="00D5188C">
        <w:rPr>
          <w:rStyle w:val="References"/>
        </w:rPr>
        <w:t xml:space="preserve">[Schedule 1, </w:t>
      </w:r>
      <w:r w:rsidR="0016150E">
        <w:rPr>
          <w:rStyle w:val="References"/>
        </w:rPr>
        <w:t>item 12</w:t>
      </w:r>
      <w:r w:rsidR="0016150E" w:rsidRPr="00D5188C">
        <w:rPr>
          <w:rStyle w:val="References"/>
        </w:rPr>
        <w:t xml:space="preserve">, </w:t>
      </w:r>
      <w:r w:rsidR="009648C8">
        <w:rPr>
          <w:rStyle w:val="References"/>
        </w:rPr>
        <w:t>subsection 820-</w:t>
      </w:r>
      <w:r w:rsidR="00937B3C">
        <w:rPr>
          <w:rStyle w:val="References"/>
        </w:rPr>
        <w:t>61(4) and</w:t>
      </w:r>
      <w:r w:rsidR="009648C8">
        <w:rPr>
          <w:rStyle w:val="References"/>
        </w:rPr>
        <w:t xml:space="preserve"> </w:t>
      </w:r>
      <w:r w:rsidR="0016150E" w:rsidRPr="00D5188C">
        <w:rPr>
          <w:rStyle w:val="References"/>
        </w:rPr>
        <w:t>paragraph</w:t>
      </w:r>
      <w:r w:rsidR="00C66FDD">
        <w:rPr>
          <w:rStyle w:val="References"/>
        </w:rPr>
        <w:t>s</w:t>
      </w:r>
      <w:r w:rsidR="0016150E" w:rsidRPr="00D5188C">
        <w:rPr>
          <w:rStyle w:val="References"/>
        </w:rPr>
        <w:t xml:space="preserve"> 820-6</w:t>
      </w:r>
      <w:r w:rsidR="0016150E">
        <w:rPr>
          <w:rStyle w:val="References"/>
        </w:rPr>
        <w:t>1</w:t>
      </w:r>
      <w:r w:rsidR="0016150E" w:rsidRPr="00D5188C">
        <w:rPr>
          <w:rStyle w:val="References"/>
        </w:rPr>
        <w:t>(</w:t>
      </w:r>
      <w:r w:rsidR="00937B3C">
        <w:rPr>
          <w:rStyle w:val="References"/>
        </w:rPr>
        <w:t>5</w:t>
      </w:r>
      <w:r w:rsidR="00F51DE6">
        <w:rPr>
          <w:rStyle w:val="References"/>
        </w:rPr>
        <w:t>)</w:t>
      </w:r>
      <w:r w:rsidR="0016150E" w:rsidRPr="00D5188C">
        <w:rPr>
          <w:rStyle w:val="References"/>
        </w:rPr>
        <w:t>(</w:t>
      </w:r>
      <w:r w:rsidR="00F51DE6">
        <w:rPr>
          <w:rStyle w:val="References"/>
        </w:rPr>
        <w:t>a</w:t>
      </w:r>
      <w:r w:rsidR="0016150E" w:rsidRPr="00D5188C">
        <w:rPr>
          <w:rStyle w:val="References"/>
        </w:rPr>
        <w:t>)</w:t>
      </w:r>
      <w:r w:rsidR="00F51DE6">
        <w:rPr>
          <w:rStyle w:val="References"/>
        </w:rPr>
        <w:t>-</w:t>
      </w:r>
      <w:r w:rsidR="00C66FDD">
        <w:rPr>
          <w:rStyle w:val="References"/>
        </w:rPr>
        <w:t>(</w:t>
      </w:r>
      <w:r w:rsidR="006D0DA5">
        <w:rPr>
          <w:rStyle w:val="References"/>
        </w:rPr>
        <w:t>f</w:t>
      </w:r>
      <w:r w:rsidR="00C66FDD">
        <w:rPr>
          <w:rStyle w:val="References"/>
        </w:rPr>
        <w:t>)</w:t>
      </w:r>
      <w:r w:rsidR="0016150E" w:rsidRPr="00D5188C">
        <w:rPr>
          <w:rStyle w:val="References"/>
        </w:rPr>
        <w:t>]</w:t>
      </w:r>
    </w:p>
    <w:p w14:paraId="3553DA2B" w14:textId="1981055C" w:rsidR="00ED4414" w:rsidRDefault="00ED4414" w:rsidP="00ED4414">
      <w:pPr>
        <w:pStyle w:val="Normalparatextwithnumbers"/>
      </w:pPr>
      <w:r>
        <w:t xml:space="preserve">Broadly put, the debt interest that the </w:t>
      </w:r>
      <w:r w:rsidR="005715CE">
        <w:t>associat</w:t>
      </w:r>
      <w:r w:rsidR="00CA722B">
        <w:t>e</w:t>
      </w:r>
      <w:r w:rsidR="005715CE">
        <w:t xml:space="preserve"> entities </w:t>
      </w:r>
      <w:r w:rsidR="005A66DB">
        <w:t>(</w:t>
      </w:r>
      <w:r w:rsidR="00EB34B3">
        <w:t xml:space="preserve">the ‘ultimate borrowers’) </w:t>
      </w:r>
      <w:r>
        <w:t xml:space="preserve">issue to the conduit financier </w:t>
      </w:r>
      <w:r w:rsidR="006C1D4A">
        <w:t xml:space="preserve">(the relevant debt interest) </w:t>
      </w:r>
      <w:r>
        <w:t>will satisfy the external third</w:t>
      </w:r>
      <w:r w:rsidR="00366D85">
        <w:t>-</w:t>
      </w:r>
      <w:r>
        <w:t>party debt conditions if the following conditions are satisfied:</w:t>
      </w:r>
    </w:p>
    <w:p w14:paraId="29FD76CB" w14:textId="5B61270B" w:rsidR="00241A01" w:rsidRDefault="00241A01" w:rsidP="00241A01">
      <w:pPr>
        <w:pStyle w:val="Dotpoint1"/>
      </w:pPr>
      <w:r>
        <w:t>the conduit financer financed the amount loaned under the relevant debt interest only with proceeds from another debt interest (the ‘ultimate debt interest’</w:t>
      </w:r>
      <w:proofErr w:type="gramStart"/>
      <w:r>
        <w:t>);</w:t>
      </w:r>
      <w:proofErr w:type="gramEnd"/>
      <w:r>
        <w:t xml:space="preserve"> </w:t>
      </w:r>
    </w:p>
    <w:p w14:paraId="7BC319B1" w14:textId="78B9BEB9" w:rsidR="00241A01" w:rsidRDefault="00241A01" w:rsidP="00241A01">
      <w:pPr>
        <w:pStyle w:val="Dotpoint1"/>
      </w:pPr>
      <w:r>
        <w:t>the conduit financer issued the ultimate debt interest to another entity (the ultimate lender</w:t>
      </w:r>
      <w:proofErr w:type="gramStart"/>
      <w:r>
        <w:t>);</w:t>
      </w:r>
      <w:proofErr w:type="gramEnd"/>
      <w:r>
        <w:t xml:space="preserve"> </w:t>
      </w:r>
    </w:p>
    <w:p w14:paraId="06BD943D" w14:textId="53C00B8F" w:rsidR="00241A01" w:rsidRDefault="00241A01" w:rsidP="00241A01">
      <w:pPr>
        <w:pStyle w:val="Dotpoint1"/>
      </w:pPr>
      <w:r>
        <w:t xml:space="preserve">the ultimate debt interest </w:t>
      </w:r>
      <w:r w:rsidR="00F4567B">
        <w:t xml:space="preserve">satisfies the external </w:t>
      </w:r>
      <w:proofErr w:type="gramStart"/>
      <w:r w:rsidR="00F4567B">
        <w:t>third party</w:t>
      </w:r>
      <w:proofErr w:type="gramEnd"/>
      <w:r w:rsidR="00F4567B">
        <w:t xml:space="preserve"> debt conditions in relation to any income year (or would satisfy the conditions if paragraph 820-61(2)(c)</w:t>
      </w:r>
      <w:r w:rsidR="00E57DE4">
        <w:t xml:space="preserve"> were </w:t>
      </w:r>
      <w:r w:rsidR="006C255D">
        <w:t>disregarded</w:t>
      </w:r>
      <w:r w:rsidR="00F4567B">
        <w:t>)</w:t>
      </w:r>
      <w:r>
        <w:t xml:space="preserve">; </w:t>
      </w:r>
    </w:p>
    <w:p w14:paraId="31ECA23B" w14:textId="6C034A9A" w:rsidR="00241A01" w:rsidRDefault="00241A01" w:rsidP="00241A01">
      <w:pPr>
        <w:pStyle w:val="Dotpoint1"/>
      </w:pPr>
      <w:r>
        <w:t>the terms of the relevant debt interest are the same as the terms of the ultimate debt interest (other than terms as to the amount of the debt</w:t>
      </w:r>
      <w:r w:rsidR="00C7503A">
        <w:t>, the con</w:t>
      </w:r>
      <w:r w:rsidR="00F00EE6">
        <w:t xml:space="preserve">duit financer may </w:t>
      </w:r>
      <w:r w:rsidR="000D5D30">
        <w:t>on-lend the funds across a number of borrowers in the group</w:t>
      </w:r>
      <w:proofErr w:type="gramStart"/>
      <w:r>
        <w:t>);</w:t>
      </w:r>
      <w:proofErr w:type="gramEnd"/>
    </w:p>
    <w:p w14:paraId="5E188281" w14:textId="48D9284D" w:rsidR="00241A01" w:rsidRDefault="00241A01" w:rsidP="00241A01">
      <w:pPr>
        <w:pStyle w:val="Dotpoint1"/>
      </w:pPr>
      <w:r>
        <w:lastRenderedPageBreak/>
        <w:t xml:space="preserve">the ultimate lender has recourse for payment of the ultimate debt interest </w:t>
      </w:r>
      <w:r w:rsidRPr="003F5633">
        <w:rPr>
          <w:i/>
        </w:rPr>
        <w:t>only</w:t>
      </w:r>
      <w:r>
        <w:t xml:space="preserve"> to the assets of </w:t>
      </w:r>
      <w:r w:rsidR="008C04EC">
        <w:t>the ultimate borrowe</w:t>
      </w:r>
      <w:r w:rsidR="00B014D5">
        <w:t>rs</w:t>
      </w:r>
      <w:r>
        <w:t xml:space="preserve"> </w:t>
      </w:r>
      <w:r w:rsidR="00E109EB">
        <w:t xml:space="preserve">and </w:t>
      </w:r>
      <w:r w:rsidR="00F06F88">
        <w:t>each asset of the conduit financer that is a relevant debt interest</w:t>
      </w:r>
      <w:r>
        <w:t>; and</w:t>
      </w:r>
    </w:p>
    <w:p w14:paraId="6238462B" w14:textId="65FAC264" w:rsidR="00ED4414" w:rsidRDefault="00ED4414" w:rsidP="005F16E0">
      <w:pPr>
        <w:pStyle w:val="Dotpoint1"/>
      </w:pPr>
      <w:r>
        <w:t xml:space="preserve">an irrevocable choice has been made, in the approved form, by the conduit financer and </w:t>
      </w:r>
      <w:r w:rsidR="004D33FA">
        <w:t>ultimate borrowers</w:t>
      </w:r>
      <w:r>
        <w:t>.</w:t>
      </w:r>
      <w:r w:rsidR="0016150E">
        <w:br/>
      </w:r>
      <w:r w:rsidR="0016150E" w:rsidRPr="00783825">
        <w:rPr>
          <w:rStyle w:val="References"/>
        </w:rPr>
        <w:t xml:space="preserve">[Schedule </w:t>
      </w:r>
      <w:r w:rsidR="0016150E">
        <w:rPr>
          <w:rStyle w:val="References"/>
        </w:rPr>
        <w:t>1</w:t>
      </w:r>
      <w:r w:rsidR="0016150E" w:rsidRPr="00783825">
        <w:rPr>
          <w:rStyle w:val="References"/>
        </w:rPr>
        <w:t xml:space="preserve">, </w:t>
      </w:r>
      <w:r w:rsidR="0016150E">
        <w:rPr>
          <w:rStyle w:val="References"/>
        </w:rPr>
        <w:t>item 12</w:t>
      </w:r>
      <w:r w:rsidR="0016150E" w:rsidRPr="00783825">
        <w:rPr>
          <w:rStyle w:val="References"/>
        </w:rPr>
        <w:t xml:space="preserve">, </w:t>
      </w:r>
      <w:r w:rsidR="00DC2948">
        <w:rPr>
          <w:rStyle w:val="References"/>
        </w:rPr>
        <w:t>subsection</w:t>
      </w:r>
      <w:r w:rsidR="00C66FDD">
        <w:rPr>
          <w:rStyle w:val="References"/>
        </w:rPr>
        <w:t>s</w:t>
      </w:r>
      <w:r w:rsidR="00DC2948">
        <w:rPr>
          <w:rStyle w:val="References"/>
        </w:rPr>
        <w:t xml:space="preserve"> 820</w:t>
      </w:r>
      <w:r w:rsidR="00C66FDD">
        <w:rPr>
          <w:rStyle w:val="References"/>
        </w:rPr>
        <w:noBreakHyphen/>
      </w:r>
      <w:r w:rsidR="00DC2948">
        <w:rPr>
          <w:rStyle w:val="References"/>
        </w:rPr>
        <w:t>61(</w:t>
      </w:r>
      <w:r w:rsidR="00F2353C">
        <w:rPr>
          <w:rStyle w:val="References"/>
        </w:rPr>
        <w:t>4</w:t>
      </w:r>
      <w:r w:rsidR="00DC2948">
        <w:rPr>
          <w:rStyle w:val="References"/>
        </w:rPr>
        <w:t>)-(8)</w:t>
      </w:r>
      <w:r w:rsidR="0016150E" w:rsidRPr="00783825">
        <w:rPr>
          <w:rStyle w:val="References"/>
        </w:rPr>
        <w:t>]</w:t>
      </w:r>
    </w:p>
    <w:p w14:paraId="23E8D6C2" w14:textId="26B717FC" w:rsidR="00ED4414" w:rsidRDefault="00ED4414" w:rsidP="00ED4414">
      <w:pPr>
        <w:pStyle w:val="Normalparatextwithnumbers"/>
      </w:pPr>
      <w:r>
        <w:t xml:space="preserve">The requirement for the terms of the </w:t>
      </w:r>
      <w:r w:rsidR="002A7263">
        <w:t xml:space="preserve">relevant </w:t>
      </w:r>
      <w:r>
        <w:t xml:space="preserve">debt interest to be on the same terms </w:t>
      </w:r>
      <w:r w:rsidR="002A7263">
        <w:t xml:space="preserve">as </w:t>
      </w:r>
      <w:r w:rsidR="00D82C26">
        <w:t>the terms of the ultimate debt interest</w:t>
      </w:r>
      <w:r>
        <w:t xml:space="preserve"> is intended to ensure that </w:t>
      </w:r>
      <w:r w:rsidR="00AD064F">
        <w:t>conduit finance arrangements</w:t>
      </w:r>
      <w:r w:rsidR="009D0507">
        <w:t xml:space="preserve"> that </w:t>
      </w:r>
      <w:r w:rsidR="00A5119F">
        <w:t>satisfy these criteria,</w:t>
      </w:r>
      <w:r w:rsidR="00AD064F">
        <w:t xml:space="preserve"> </w:t>
      </w:r>
      <w:r w:rsidR="006D08BA">
        <w:t xml:space="preserve">are afforded </w:t>
      </w:r>
      <w:r w:rsidR="006954F6">
        <w:t xml:space="preserve">the same </w:t>
      </w:r>
      <w:r w:rsidR="00A5119F">
        <w:t xml:space="preserve">tax </w:t>
      </w:r>
      <w:r w:rsidR="006954F6">
        <w:t>treatment</w:t>
      </w:r>
      <w:r w:rsidR="00A5119F">
        <w:t xml:space="preserve"> as if the finance had been provided directly</w:t>
      </w:r>
      <w:r w:rsidR="00A82C18">
        <w:t xml:space="preserve"> to the ultimate borrowers</w:t>
      </w:r>
      <w:r>
        <w:t>.</w:t>
      </w:r>
    </w:p>
    <w:p w14:paraId="731003C5" w14:textId="2055B0C0" w:rsidR="00ED4414" w:rsidRDefault="00ED4414" w:rsidP="00ED4414">
      <w:pPr>
        <w:pStyle w:val="Normalparatextwithnumbers"/>
      </w:pPr>
      <w:r>
        <w:t xml:space="preserve">To ensure the external </w:t>
      </w:r>
      <w:proofErr w:type="gramStart"/>
      <w:r>
        <w:t>third party</w:t>
      </w:r>
      <w:proofErr w:type="gramEnd"/>
      <w:r>
        <w:t xml:space="preserve"> debt conditions are effective and cannot be readily avoided, the </w:t>
      </w:r>
      <w:r w:rsidR="00AC3043">
        <w:t xml:space="preserve">same </w:t>
      </w:r>
      <w:r>
        <w:t xml:space="preserve">modified definition of associate entity </w:t>
      </w:r>
      <w:r w:rsidR="00800099">
        <w:t xml:space="preserve">discussed in paragraph </w:t>
      </w:r>
      <w:r w:rsidR="009D5F98">
        <w:t>1.34</w:t>
      </w:r>
      <w:r w:rsidR="00DF55E3">
        <w:t xml:space="preserve"> </w:t>
      </w:r>
      <w:r w:rsidR="00800099">
        <w:t xml:space="preserve">above </w:t>
      </w:r>
      <w:r>
        <w:t>applies.</w:t>
      </w:r>
      <w:r w:rsidR="002F4DA7">
        <w:br/>
      </w:r>
      <w:r w:rsidR="002F4DA7" w:rsidRPr="00D105FA">
        <w:rPr>
          <w:rStyle w:val="References"/>
        </w:rPr>
        <w:t xml:space="preserve">[Schedule 1, </w:t>
      </w:r>
      <w:r w:rsidR="002F4DA7">
        <w:rPr>
          <w:rStyle w:val="References"/>
        </w:rPr>
        <w:t>items 12, subsection 820-61(9)</w:t>
      </w:r>
      <w:r w:rsidR="002F4DA7" w:rsidRPr="00D105FA">
        <w:rPr>
          <w:rStyle w:val="References"/>
        </w:rPr>
        <w:t>]</w:t>
      </w:r>
      <w:r w:rsidR="002F4DA7">
        <w:t xml:space="preserve"> </w:t>
      </w:r>
      <w:r>
        <w:t xml:space="preserve">  </w:t>
      </w:r>
    </w:p>
    <w:p w14:paraId="083DE8C6" w14:textId="77777777" w:rsidR="00160286" w:rsidRDefault="00160286" w:rsidP="00160286">
      <w:pPr>
        <w:pStyle w:val="Heading4"/>
      </w:pPr>
      <w:r>
        <w:t xml:space="preserve">Special 15-year carry-forward deduction for the fixed ratio test </w:t>
      </w:r>
    </w:p>
    <w:p w14:paraId="37AFBE07" w14:textId="40B288EE" w:rsidR="000016F3" w:rsidRDefault="000016F3" w:rsidP="000016F3">
      <w:pPr>
        <w:pStyle w:val="Normalparatextwithnumbers"/>
      </w:pPr>
      <w:bookmarkStart w:id="48" w:name="_Ref127970332"/>
      <w:r>
        <w:t xml:space="preserve">A special </w:t>
      </w:r>
      <w:r w:rsidR="00754490">
        <w:t xml:space="preserve">deduction for </w:t>
      </w:r>
      <w:r w:rsidR="00D619DA">
        <w:t>debt deductions disallowed</w:t>
      </w:r>
      <w:r w:rsidR="005E0EF8">
        <w:t xml:space="preserve"> under the fixed ratio test</w:t>
      </w:r>
      <w:r w:rsidR="00D619DA">
        <w:t xml:space="preserve"> over the previous </w:t>
      </w:r>
      <w:r>
        <w:t>15</w:t>
      </w:r>
      <w:r w:rsidR="00D619DA">
        <w:t xml:space="preserve"> </w:t>
      </w:r>
      <w:r>
        <w:t>year</w:t>
      </w:r>
      <w:r w:rsidR="00D619DA">
        <w:t>s</w:t>
      </w:r>
      <w:r w:rsidDel="0090186D">
        <w:t xml:space="preserve"> </w:t>
      </w:r>
      <w:r w:rsidR="00E75388">
        <w:t>is</w:t>
      </w:r>
      <w:r>
        <w:t xml:space="preserve"> available to </w:t>
      </w:r>
      <w:r w:rsidR="00A43295">
        <w:t xml:space="preserve">general </w:t>
      </w:r>
      <w:r w:rsidR="00ED5611">
        <w:t>class</w:t>
      </w:r>
      <w:r w:rsidR="00A43295">
        <w:t xml:space="preserve"> investors</w:t>
      </w:r>
      <w:r w:rsidR="00E75388">
        <w:t xml:space="preserve"> in certain circumstances</w:t>
      </w:r>
      <w:r>
        <w:t>.</w:t>
      </w:r>
      <w:bookmarkEnd w:id="48"/>
      <w:r>
        <w:t xml:space="preserve"> </w:t>
      </w:r>
    </w:p>
    <w:p w14:paraId="6C19DE5E" w14:textId="2E5D2C69" w:rsidR="000016F3" w:rsidRDefault="000016F3" w:rsidP="000016F3">
      <w:pPr>
        <w:pStyle w:val="Normalparatextwithnumbers"/>
      </w:pPr>
      <w:r>
        <w:t xml:space="preserve">The special deduction </w:t>
      </w:r>
      <w:r w:rsidR="00366F04">
        <w:t>available</w:t>
      </w:r>
      <w:r>
        <w:t xml:space="preserve"> as part of the fixed ratio test address</w:t>
      </w:r>
      <w:r w:rsidR="00A51244">
        <w:t>es</w:t>
      </w:r>
      <w:r>
        <w:t xml:space="preserve"> year-on-year earnings volatility concerns for business</w:t>
      </w:r>
      <w:r w:rsidR="00A301CC">
        <w:t>es</w:t>
      </w:r>
      <w:r>
        <w:t xml:space="preserve"> which </w:t>
      </w:r>
      <w:r w:rsidR="00A301CC">
        <w:t>are limited in</w:t>
      </w:r>
      <w:r>
        <w:t xml:space="preserve"> their ability to claim debt deductions depending on the</w:t>
      </w:r>
      <w:r w:rsidR="00A301CC">
        <w:t>ir</w:t>
      </w:r>
      <w:r>
        <w:t xml:space="preserve"> economic </w:t>
      </w:r>
      <w:r w:rsidR="007D6727">
        <w:t>situation</w:t>
      </w:r>
      <w:r>
        <w:t>. The carry forward rule also accommodates entities with initial periods of high upfront capital investment relative to their initial income</w:t>
      </w:r>
      <w:r w:rsidR="00CB2D58">
        <w:t xml:space="preserve"> or </w:t>
      </w:r>
      <w:r w:rsidR="00076295" w:rsidRPr="00076295">
        <w:t>which incur interest expenses on long-term</w:t>
      </w:r>
      <w:r w:rsidR="00076295">
        <w:t xml:space="preserve"> </w:t>
      </w:r>
      <w:r w:rsidR="00076295" w:rsidRPr="00076295">
        <w:t>investments that are expected to generate taxable income only in later years</w:t>
      </w:r>
      <w:r>
        <w:t>. Such entities may be start-ups, tech firms and greenfield investments.</w:t>
      </w:r>
      <w:r w:rsidR="00D550F7">
        <w:t xml:space="preserve"> </w:t>
      </w:r>
    </w:p>
    <w:p w14:paraId="09FF289B" w14:textId="463CCD1D" w:rsidR="00DE1D41" w:rsidRDefault="007A50CC">
      <w:pPr>
        <w:pStyle w:val="Normalparatextwithnumbers"/>
      </w:pPr>
      <w:r>
        <w:t>The special 15-year carry</w:t>
      </w:r>
      <w:r w:rsidR="00732A9C">
        <w:t>-</w:t>
      </w:r>
      <w:r>
        <w:t>forward deduction allow</w:t>
      </w:r>
      <w:r w:rsidR="001107FB">
        <w:t>s</w:t>
      </w:r>
      <w:r>
        <w:t xml:space="preserve"> entities </w:t>
      </w:r>
      <w:r w:rsidR="00862423">
        <w:t xml:space="preserve">to </w:t>
      </w:r>
      <w:r w:rsidR="00D5669D">
        <w:t>claim</w:t>
      </w:r>
      <w:r w:rsidR="00862423">
        <w:t xml:space="preserve"> </w:t>
      </w:r>
      <w:r w:rsidR="00D5669D">
        <w:t xml:space="preserve">debt deductions that have been previously </w:t>
      </w:r>
      <w:r>
        <w:t xml:space="preserve">disallowed </w:t>
      </w:r>
      <w:r w:rsidR="001271C8">
        <w:t>within the past 15 years</w:t>
      </w:r>
      <w:r w:rsidR="00C506CD">
        <w:t xml:space="preserve"> </w:t>
      </w:r>
      <w:r w:rsidR="000D6B3E">
        <w:t>under the fixed ratio test</w:t>
      </w:r>
      <w:r w:rsidR="000D6B3E" w:rsidDel="00046061">
        <w:t xml:space="preserve"> </w:t>
      </w:r>
      <w:r>
        <w:t xml:space="preserve">when they </w:t>
      </w:r>
      <w:r w:rsidR="00B40F4F">
        <w:t>are sufficiently profitable</w:t>
      </w:r>
      <w:r>
        <w:t xml:space="preserve"> in a</w:t>
      </w:r>
      <w:r w:rsidR="00A80246">
        <w:t xml:space="preserve">n income year if their </w:t>
      </w:r>
      <w:r>
        <w:t>fixed ratio earnings limit</w:t>
      </w:r>
      <w:r w:rsidR="00A80246">
        <w:t xml:space="preserve"> exceeds their net de</w:t>
      </w:r>
      <w:r w:rsidR="001271C8">
        <w:t>bt deductions in the income year</w:t>
      </w:r>
      <w:r>
        <w:t xml:space="preserve">. </w:t>
      </w:r>
    </w:p>
    <w:p w14:paraId="4C9AD9EF" w14:textId="5D0EBBD3" w:rsidR="007A50CC" w:rsidRDefault="007A50CC">
      <w:pPr>
        <w:pStyle w:val="Normalparatextwithnumbers"/>
      </w:pPr>
      <w:r>
        <w:t>The 15</w:t>
      </w:r>
      <w:r w:rsidR="0020758E">
        <w:t>-</w:t>
      </w:r>
      <w:r>
        <w:t xml:space="preserve">year </w:t>
      </w:r>
      <w:r w:rsidR="0020758E">
        <w:t>period</w:t>
      </w:r>
      <w:r>
        <w:t xml:space="preserve"> is introduced to limit the tax benefit of disallowed amounts </w:t>
      </w:r>
      <w:r w:rsidR="00DE1D41">
        <w:t>to a</w:t>
      </w:r>
      <w:r>
        <w:t xml:space="preserve"> defined period.</w:t>
      </w:r>
      <w:r w:rsidR="000D6B3E">
        <w:t xml:space="preserve"> </w:t>
      </w:r>
      <w:r>
        <w:t xml:space="preserve">This </w:t>
      </w:r>
      <w:r w:rsidR="00DE1D41">
        <w:t>reduces</w:t>
      </w:r>
      <w:r>
        <w:t xml:space="preserve"> the </w:t>
      </w:r>
      <w:r w:rsidR="0039442D">
        <w:t xml:space="preserve">impact </w:t>
      </w:r>
      <w:r>
        <w:t xml:space="preserve">of </w:t>
      </w:r>
      <w:r w:rsidR="00AB6F09">
        <w:t>debt deductions being</w:t>
      </w:r>
      <w:r w:rsidR="00F923DB">
        <w:t xml:space="preserve"> p</w:t>
      </w:r>
      <w:r>
        <w:t>ermanent</w:t>
      </w:r>
      <w:r w:rsidR="00F923DB">
        <w:t>ly</w:t>
      </w:r>
      <w:r w:rsidR="00DE7671">
        <w:t xml:space="preserve"> </w:t>
      </w:r>
      <w:r>
        <w:t>disallow</w:t>
      </w:r>
      <w:r w:rsidR="00F923DB">
        <w:t>ed</w:t>
      </w:r>
      <w:r>
        <w:t xml:space="preserve"> </w:t>
      </w:r>
      <w:r w:rsidR="00DE1D41">
        <w:t xml:space="preserve">and </w:t>
      </w:r>
      <w:r>
        <w:t>allows for the level of an entity’s net debt deductions to be linked to its earnings over time.</w:t>
      </w:r>
    </w:p>
    <w:p w14:paraId="3774B575" w14:textId="13534D3D" w:rsidR="000016F3" w:rsidRDefault="000016F3" w:rsidP="000016F3">
      <w:pPr>
        <w:pStyle w:val="Normalparatextwithnumbers"/>
      </w:pPr>
      <w:r>
        <w:t xml:space="preserve">For the </w:t>
      </w:r>
      <w:r w:rsidR="00057993">
        <w:t xml:space="preserve">special </w:t>
      </w:r>
      <w:r>
        <w:t xml:space="preserve">deduction to apply, the entity must be using the fixed ratio test for the income </w:t>
      </w:r>
      <w:r w:rsidR="27BE8914">
        <w:t>year</w:t>
      </w:r>
      <w:r>
        <w:t xml:space="preserve"> and </w:t>
      </w:r>
      <w:r w:rsidR="0050565A">
        <w:t>its</w:t>
      </w:r>
      <w:r>
        <w:t xml:space="preserve"> fixed ratio earnings limit for the income year</w:t>
      </w:r>
      <w:r w:rsidR="00141521">
        <w:t xml:space="preserve"> must exceed its net debt deductions. </w:t>
      </w:r>
      <w:r w:rsidR="0064692F">
        <w:t>An amount of th</w:t>
      </w:r>
      <w:r w:rsidR="00DB125D">
        <w:t>ose previously disallowed debt deductions up</w:t>
      </w:r>
      <w:r w:rsidR="0064692F">
        <w:t xml:space="preserve"> to this excess </w:t>
      </w:r>
      <w:r w:rsidR="000E2DD1">
        <w:t xml:space="preserve">may be able to be deducted, subject to satisfying </w:t>
      </w:r>
      <w:r w:rsidR="000E2DD1">
        <w:lastRenderedPageBreak/>
        <w:t xml:space="preserve">further criteria. </w:t>
      </w:r>
      <w:r w:rsidR="00CD5029">
        <w:t>If net debt deductions are equal to or higher than the</w:t>
      </w:r>
      <w:r w:rsidR="00C10245">
        <w:t xml:space="preserve"> fixed ratio earnings limit, then </w:t>
      </w:r>
      <w:r w:rsidR="00340663">
        <w:t xml:space="preserve">no previously disallowed debt deductions can </w:t>
      </w:r>
      <w:r w:rsidR="001520B6">
        <w:t>be</w:t>
      </w:r>
      <w:r w:rsidR="00340663">
        <w:t xml:space="preserve"> deducted</w:t>
      </w:r>
      <w:r w:rsidR="00C10245">
        <w:t xml:space="preserve">. </w:t>
      </w:r>
      <w:r w:rsidR="00981936">
        <w:br/>
      </w:r>
      <w:r w:rsidR="00981936" w:rsidRPr="00DF5DCF">
        <w:rPr>
          <w:rStyle w:val="References"/>
        </w:rPr>
        <w:t xml:space="preserve">[Schedule </w:t>
      </w:r>
      <w:r w:rsidR="00981936">
        <w:rPr>
          <w:rStyle w:val="References"/>
        </w:rPr>
        <w:t>1</w:t>
      </w:r>
      <w:r w:rsidR="00981936" w:rsidRPr="00DF5DCF">
        <w:rPr>
          <w:rStyle w:val="References"/>
        </w:rPr>
        <w:t xml:space="preserve">, </w:t>
      </w:r>
      <w:r w:rsidR="00981936">
        <w:rPr>
          <w:rStyle w:val="References"/>
        </w:rPr>
        <w:t>item 12</w:t>
      </w:r>
      <w:r w:rsidR="00981936" w:rsidRPr="00DF5DCF">
        <w:rPr>
          <w:rStyle w:val="References"/>
        </w:rPr>
        <w:t xml:space="preserve">, </w:t>
      </w:r>
      <w:r w:rsidR="00981936">
        <w:rPr>
          <w:rStyle w:val="References"/>
        </w:rPr>
        <w:t>sub</w:t>
      </w:r>
      <w:r w:rsidR="00981936" w:rsidRPr="00DF5DCF">
        <w:rPr>
          <w:rStyle w:val="References"/>
        </w:rPr>
        <w:t>section 820-</w:t>
      </w:r>
      <w:r w:rsidR="00981936">
        <w:rPr>
          <w:rStyle w:val="References"/>
        </w:rPr>
        <w:t>57(1)</w:t>
      </w:r>
      <w:r w:rsidR="00981936" w:rsidRPr="00DF5DCF">
        <w:rPr>
          <w:rStyle w:val="References"/>
        </w:rPr>
        <w:t>]</w:t>
      </w:r>
    </w:p>
    <w:p w14:paraId="13622658" w14:textId="77777777" w:rsidR="000016F3" w:rsidRDefault="000016F3" w:rsidP="000016F3">
      <w:pPr>
        <w:pStyle w:val="Normalparatextwithnumbers"/>
      </w:pPr>
      <w:r>
        <w:t>The amount of the deduction for an income year is worked out according to the following steps:</w:t>
      </w:r>
    </w:p>
    <w:p w14:paraId="3765B378" w14:textId="25ED098E" w:rsidR="000016F3" w:rsidRDefault="00F82912" w:rsidP="00F82912">
      <w:pPr>
        <w:pStyle w:val="Dotpoint1"/>
      </w:pPr>
      <w:r>
        <w:t>Step 1: W</w:t>
      </w:r>
      <w:r w:rsidR="000016F3">
        <w:t xml:space="preserve">ork out the amount </w:t>
      </w:r>
      <w:r w:rsidR="00397143">
        <w:t xml:space="preserve">by which the entity’s </w:t>
      </w:r>
      <w:r w:rsidR="000016F3">
        <w:t>fixed ratio earnings limit</w:t>
      </w:r>
      <w:r w:rsidR="00397143">
        <w:t xml:space="preserve"> exceeds its net debt deductions for the income year</w:t>
      </w:r>
      <w:r>
        <w:t>.</w:t>
      </w:r>
    </w:p>
    <w:p w14:paraId="53A2D098" w14:textId="6C14BA09" w:rsidR="000016F3" w:rsidRDefault="00F82912" w:rsidP="00F82912">
      <w:pPr>
        <w:pStyle w:val="Dotpoint1"/>
      </w:pPr>
      <w:r w:rsidRPr="00AE2D23">
        <w:rPr>
          <w:b/>
          <w:i/>
        </w:rPr>
        <w:t>Step 2</w:t>
      </w:r>
      <w:r w:rsidR="00AE2D23" w:rsidRPr="00AE2D23">
        <w:rPr>
          <w:b/>
          <w:bCs/>
          <w:i/>
          <w:iCs/>
        </w:rPr>
        <w:t xml:space="preserve"> (</w:t>
      </w:r>
      <w:r w:rsidR="0057164A">
        <w:rPr>
          <w:b/>
          <w:bCs/>
          <w:i/>
          <w:iCs/>
        </w:rPr>
        <w:t xml:space="preserve">the </w:t>
      </w:r>
      <w:r w:rsidR="00AE2D23" w:rsidRPr="00AE2D23">
        <w:rPr>
          <w:b/>
          <w:bCs/>
          <w:i/>
          <w:iCs/>
        </w:rPr>
        <w:t>apply against excess step)</w:t>
      </w:r>
      <w:r>
        <w:t>: A</w:t>
      </w:r>
      <w:r w:rsidR="000016F3">
        <w:t xml:space="preserve">pply against that excess each of the entity’s </w:t>
      </w:r>
      <w:r w:rsidR="00747A6C">
        <w:t>fixed ratio test (</w:t>
      </w:r>
      <w:r w:rsidR="000016F3">
        <w:t>FRT</w:t>
      </w:r>
      <w:r w:rsidR="00747A6C">
        <w:t>)</w:t>
      </w:r>
      <w:r w:rsidR="000016F3">
        <w:t xml:space="preserve"> disallowed amounts for the previous 15 income years (to the extent that they have not already been applied under this step</w:t>
      </w:r>
      <w:r w:rsidR="58FF710F">
        <w:t xml:space="preserve"> in a previous income year</w:t>
      </w:r>
      <w:r w:rsidR="000016F3">
        <w:t>).</w:t>
      </w:r>
    </w:p>
    <w:p w14:paraId="2829346E" w14:textId="50CE2847" w:rsidR="000016F3" w:rsidRDefault="00CB3355" w:rsidP="00F82912">
      <w:pPr>
        <w:pStyle w:val="Dotpoint1"/>
      </w:pPr>
      <w:r>
        <w:t>Step 3: T</w:t>
      </w:r>
      <w:r w:rsidR="000016F3">
        <w:t xml:space="preserve">he amount of the deduction is the total amount applied under </w:t>
      </w:r>
      <w:r>
        <w:t>Step 2</w:t>
      </w:r>
      <w:r w:rsidR="000016F3">
        <w:t xml:space="preserve">. </w:t>
      </w:r>
      <w:r w:rsidR="00D70E20">
        <w:br/>
      </w:r>
      <w:r w:rsidR="00D70E20" w:rsidRPr="00DF5DCF">
        <w:rPr>
          <w:rStyle w:val="References"/>
        </w:rPr>
        <w:t xml:space="preserve">[Schedule </w:t>
      </w:r>
      <w:r w:rsidR="00D70E20">
        <w:rPr>
          <w:rStyle w:val="References"/>
        </w:rPr>
        <w:t>1</w:t>
      </w:r>
      <w:r w:rsidR="00D70E20" w:rsidRPr="00DF5DCF">
        <w:rPr>
          <w:rStyle w:val="References"/>
        </w:rPr>
        <w:t xml:space="preserve">, </w:t>
      </w:r>
      <w:r w:rsidR="00D70E20">
        <w:rPr>
          <w:rStyle w:val="References"/>
        </w:rPr>
        <w:t>item 12</w:t>
      </w:r>
      <w:r w:rsidR="00D70E20" w:rsidRPr="00DF5DCF">
        <w:rPr>
          <w:rStyle w:val="References"/>
        </w:rPr>
        <w:t xml:space="preserve">, </w:t>
      </w:r>
      <w:r w:rsidR="00D70E20">
        <w:rPr>
          <w:rStyle w:val="References"/>
        </w:rPr>
        <w:t>sub</w:t>
      </w:r>
      <w:r w:rsidR="00D70E20" w:rsidRPr="00DF5DCF">
        <w:rPr>
          <w:rStyle w:val="References"/>
        </w:rPr>
        <w:t>section 820-</w:t>
      </w:r>
      <w:r w:rsidR="00D70E20">
        <w:rPr>
          <w:rStyle w:val="References"/>
        </w:rPr>
        <w:t>57(</w:t>
      </w:r>
      <w:r w:rsidR="00981936">
        <w:rPr>
          <w:rStyle w:val="References"/>
        </w:rPr>
        <w:t>2</w:t>
      </w:r>
      <w:r w:rsidR="00D70E20">
        <w:rPr>
          <w:rStyle w:val="References"/>
        </w:rPr>
        <w:t>)</w:t>
      </w:r>
      <w:r w:rsidR="00D70E20" w:rsidRPr="00DF5DCF">
        <w:rPr>
          <w:rStyle w:val="References"/>
        </w:rPr>
        <w:t>]</w:t>
      </w:r>
    </w:p>
    <w:p w14:paraId="4FCD384D" w14:textId="5EE527DC" w:rsidR="000016F3" w:rsidRDefault="000016F3" w:rsidP="000016F3">
      <w:pPr>
        <w:pStyle w:val="Normalparatextwithnumbers"/>
      </w:pPr>
      <w:r>
        <w:t xml:space="preserve">An entity has a </w:t>
      </w:r>
      <w:r w:rsidR="002479EB">
        <w:t>‘</w:t>
      </w:r>
      <w:r>
        <w:t>fixed ratio test disallowed amount</w:t>
      </w:r>
      <w:r w:rsidR="002479EB">
        <w:t>’</w:t>
      </w:r>
      <w:r>
        <w:t xml:space="preserve"> (or </w:t>
      </w:r>
      <w:r w:rsidR="00901A78">
        <w:t>‘</w:t>
      </w:r>
      <w:r>
        <w:t>FRT disallowed amount</w:t>
      </w:r>
      <w:r w:rsidR="00901A78">
        <w:t>’</w:t>
      </w:r>
      <w:r>
        <w:t>) for an income year equal to the debt deductions of the entity for the income year that are disallowed under the fixed ratio test</w:t>
      </w:r>
      <w:r w:rsidR="002479EB">
        <w:t xml:space="preserve"> for that income year</w:t>
      </w:r>
      <w:r>
        <w:t xml:space="preserve">. </w:t>
      </w:r>
      <w:r w:rsidR="00981936">
        <w:br/>
      </w:r>
      <w:r w:rsidR="00981936" w:rsidRPr="00DF5DCF">
        <w:rPr>
          <w:rStyle w:val="References"/>
        </w:rPr>
        <w:t xml:space="preserve">[Schedule </w:t>
      </w:r>
      <w:r w:rsidR="00981936">
        <w:rPr>
          <w:rStyle w:val="References"/>
        </w:rPr>
        <w:t>1</w:t>
      </w:r>
      <w:r w:rsidR="00981936" w:rsidRPr="00DF5DCF">
        <w:rPr>
          <w:rStyle w:val="References"/>
        </w:rPr>
        <w:t xml:space="preserve">, </w:t>
      </w:r>
      <w:r w:rsidR="00981936">
        <w:rPr>
          <w:rStyle w:val="References"/>
        </w:rPr>
        <w:t>items 12 and 50</w:t>
      </w:r>
      <w:r w:rsidR="00981936" w:rsidRPr="00DF5DCF">
        <w:rPr>
          <w:rStyle w:val="References"/>
        </w:rPr>
        <w:t xml:space="preserve">, </w:t>
      </w:r>
      <w:r w:rsidR="00981936">
        <w:rPr>
          <w:rStyle w:val="References"/>
        </w:rPr>
        <w:t>sub</w:t>
      </w:r>
      <w:r w:rsidR="00981936" w:rsidRPr="00DF5DCF">
        <w:rPr>
          <w:rStyle w:val="References"/>
        </w:rPr>
        <w:t>section</w:t>
      </w:r>
      <w:r w:rsidR="00702053">
        <w:rPr>
          <w:rStyle w:val="References"/>
        </w:rPr>
        <w:t>s</w:t>
      </w:r>
      <w:r w:rsidR="00981936" w:rsidRPr="00DF5DCF">
        <w:rPr>
          <w:rStyle w:val="References"/>
        </w:rPr>
        <w:t xml:space="preserve"> 820-</w:t>
      </w:r>
      <w:r w:rsidR="00981936">
        <w:rPr>
          <w:rStyle w:val="References"/>
        </w:rPr>
        <w:t>59(1</w:t>
      </w:r>
      <w:r w:rsidR="00702053">
        <w:rPr>
          <w:rStyle w:val="References"/>
        </w:rPr>
        <w:t>)</w:t>
      </w:r>
      <w:r w:rsidR="00981936">
        <w:rPr>
          <w:rStyle w:val="References"/>
        </w:rPr>
        <w:t xml:space="preserve"> and 995-1</w:t>
      </w:r>
      <w:r w:rsidR="00702053">
        <w:rPr>
          <w:rStyle w:val="References"/>
        </w:rPr>
        <w:t>(1</w:t>
      </w:r>
      <w:r w:rsidR="00981936">
        <w:rPr>
          <w:rStyle w:val="References"/>
        </w:rPr>
        <w:t>)</w:t>
      </w:r>
      <w:r w:rsidR="00981936" w:rsidRPr="00DF5DCF">
        <w:rPr>
          <w:rStyle w:val="References"/>
        </w:rPr>
        <w:t>]</w:t>
      </w:r>
    </w:p>
    <w:p w14:paraId="0EF5C1BC" w14:textId="5790F46D" w:rsidR="000016F3" w:rsidRDefault="000016F3" w:rsidP="000016F3">
      <w:pPr>
        <w:pStyle w:val="Normalparatextwithnumbers"/>
      </w:pPr>
      <w:r>
        <w:t xml:space="preserve">If an entity uses the fixed ratio test in an income </w:t>
      </w:r>
      <w:r w:rsidR="00B63F1A">
        <w:t>year</w:t>
      </w:r>
      <w:r>
        <w:t xml:space="preserve"> and does not use the fixed ratio test in a subsequent income year, the entity loses the ability to carry forward any </w:t>
      </w:r>
      <w:r w:rsidR="006A448F" w:rsidRPr="00DE7722">
        <w:t>existing</w:t>
      </w:r>
      <w:r w:rsidR="006A448F">
        <w:t xml:space="preserve"> </w:t>
      </w:r>
      <w:r>
        <w:t xml:space="preserve">FRT disallowed amounts for income years </w:t>
      </w:r>
      <w:r w:rsidR="006A448F">
        <w:t>going forward</w:t>
      </w:r>
      <w:r>
        <w:t xml:space="preserve">. Entities must continue to use the fixed ratio test every income year to maintain access to their </w:t>
      </w:r>
      <w:r w:rsidR="002E78D9">
        <w:t xml:space="preserve">current </w:t>
      </w:r>
      <w:r w:rsidR="006A448F">
        <w:t>carried forward</w:t>
      </w:r>
      <w:r>
        <w:t xml:space="preserve"> FRT disallowed amounts. </w:t>
      </w:r>
      <w:r w:rsidR="00D15DE1">
        <w:br/>
      </w:r>
      <w:r w:rsidR="00D15DE1" w:rsidRPr="000E193A">
        <w:rPr>
          <w:rFonts w:cs="Times New Roman"/>
          <w:b/>
          <w:bCs/>
          <w:i/>
          <w:iCs/>
          <w:color w:val="000000" w:themeColor="text1"/>
        </w:rPr>
        <w:t xml:space="preserve">[Schedule </w:t>
      </w:r>
      <w:r w:rsidR="00D15DE1">
        <w:rPr>
          <w:rFonts w:cs="Times New Roman"/>
          <w:b/>
          <w:bCs/>
          <w:i/>
          <w:iCs/>
          <w:color w:val="000000" w:themeColor="text1"/>
        </w:rPr>
        <w:t>1</w:t>
      </w:r>
      <w:r w:rsidR="00D15DE1" w:rsidRPr="000E193A">
        <w:rPr>
          <w:rFonts w:cs="Times New Roman"/>
          <w:b/>
          <w:bCs/>
          <w:i/>
          <w:iCs/>
          <w:color w:val="000000" w:themeColor="text1"/>
        </w:rPr>
        <w:t xml:space="preserve">, </w:t>
      </w:r>
      <w:r w:rsidR="00D15DE1">
        <w:rPr>
          <w:rFonts w:cs="Times New Roman"/>
          <w:b/>
          <w:bCs/>
          <w:i/>
          <w:iCs/>
          <w:color w:val="000000" w:themeColor="text1"/>
        </w:rPr>
        <w:t>item 12</w:t>
      </w:r>
      <w:r w:rsidR="00D15DE1" w:rsidRPr="000E193A">
        <w:rPr>
          <w:rFonts w:cs="Times New Roman"/>
          <w:b/>
          <w:bCs/>
          <w:i/>
          <w:iCs/>
          <w:color w:val="000000" w:themeColor="text1"/>
        </w:rPr>
        <w:t xml:space="preserve">, </w:t>
      </w:r>
      <w:r w:rsidR="00D15DE1">
        <w:rPr>
          <w:rFonts w:cs="Times New Roman"/>
          <w:b/>
          <w:bCs/>
          <w:i/>
          <w:iCs/>
          <w:color w:val="000000" w:themeColor="text1"/>
        </w:rPr>
        <w:t>sub</w:t>
      </w:r>
      <w:r w:rsidR="00D15DE1" w:rsidRPr="000E193A">
        <w:rPr>
          <w:rFonts w:cs="Times New Roman"/>
          <w:b/>
          <w:bCs/>
          <w:i/>
          <w:iCs/>
          <w:color w:val="000000" w:themeColor="text1"/>
        </w:rPr>
        <w:t>section</w:t>
      </w:r>
      <w:r w:rsidR="00CC1C1C">
        <w:rPr>
          <w:rFonts w:cs="Times New Roman"/>
          <w:b/>
          <w:bCs/>
          <w:i/>
          <w:iCs/>
          <w:color w:val="000000" w:themeColor="text1"/>
        </w:rPr>
        <w:t>s</w:t>
      </w:r>
      <w:r w:rsidR="00D15DE1" w:rsidRPr="000E193A">
        <w:rPr>
          <w:rFonts w:cs="Times New Roman"/>
          <w:b/>
          <w:bCs/>
          <w:i/>
          <w:iCs/>
          <w:color w:val="000000" w:themeColor="text1"/>
        </w:rPr>
        <w:t xml:space="preserve"> </w:t>
      </w:r>
      <w:r w:rsidR="00D15DE1" w:rsidRPr="00654A62">
        <w:rPr>
          <w:rFonts w:cs="Times New Roman"/>
          <w:b/>
          <w:bCs/>
          <w:i/>
          <w:iCs/>
          <w:color w:val="000000" w:themeColor="text1"/>
        </w:rPr>
        <w:t>820-</w:t>
      </w:r>
      <w:r w:rsidR="00D15DE1">
        <w:rPr>
          <w:rFonts w:cs="Times New Roman"/>
          <w:b/>
          <w:bCs/>
          <w:i/>
          <w:iCs/>
          <w:color w:val="000000" w:themeColor="text1"/>
        </w:rPr>
        <w:t>59(2)</w:t>
      </w:r>
      <w:r w:rsidR="00437116">
        <w:rPr>
          <w:rFonts w:cs="Times New Roman"/>
          <w:b/>
          <w:bCs/>
          <w:i/>
          <w:iCs/>
          <w:color w:val="000000" w:themeColor="text1"/>
        </w:rPr>
        <w:t xml:space="preserve"> </w:t>
      </w:r>
      <w:r w:rsidR="00CC1C1C">
        <w:rPr>
          <w:rFonts w:cs="Times New Roman"/>
          <w:b/>
          <w:bCs/>
          <w:i/>
          <w:iCs/>
          <w:color w:val="000000" w:themeColor="text1"/>
        </w:rPr>
        <w:t>and (3)</w:t>
      </w:r>
      <w:r w:rsidR="00D15DE1" w:rsidRPr="000E193A">
        <w:rPr>
          <w:rFonts w:cs="Times New Roman"/>
          <w:b/>
          <w:bCs/>
          <w:i/>
          <w:iCs/>
          <w:color w:val="000000" w:themeColor="text1"/>
        </w:rPr>
        <w:t>]</w:t>
      </w:r>
    </w:p>
    <w:p w14:paraId="05160206" w14:textId="1194429D" w:rsidR="000016F3" w:rsidRDefault="000016F3" w:rsidP="000016F3">
      <w:pPr>
        <w:pStyle w:val="Normalparatextwithnumbers"/>
      </w:pPr>
      <w:r>
        <w:t>FRT disallowed amounts must be applied in sequence, such that FRT disallowed amounts attributable to the earliest income year</w:t>
      </w:r>
      <w:r w:rsidR="004958CF">
        <w:t>, subject to the 15</w:t>
      </w:r>
      <w:r w:rsidR="00437116">
        <w:t>-year</w:t>
      </w:r>
      <w:r w:rsidR="004958CF">
        <w:t xml:space="preserve"> </w:t>
      </w:r>
      <w:r w:rsidR="001C14EF">
        <w:t>limit,</w:t>
      </w:r>
      <w:r>
        <w:t xml:space="preserve"> are applied first.</w:t>
      </w:r>
      <w:r w:rsidR="00D15DE1">
        <w:br/>
      </w:r>
      <w:bookmarkStart w:id="49" w:name="_Hlk127356841"/>
      <w:r w:rsidR="00D15DE1" w:rsidRPr="000E193A">
        <w:rPr>
          <w:rFonts w:cs="Times New Roman"/>
          <w:b/>
          <w:bCs/>
          <w:i/>
          <w:iCs/>
          <w:color w:val="000000" w:themeColor="text1"/>
        </w:rPr>
        <w:t xml:space="preserve">[Schedule </w:t>
      </w:r>
      <w:r w:rsidR="00D15DE1">
        <w:rPr>
          <w:rFonts w:cs="Times New Roman"/>
          <w:b/>
          <w:bCs/>
          <w:i/>
          <w:iCs/>
          <w:color w:val="000000" w:themeColor="text1"/>
        </w:rPr>
        <w:t>1</w:t>
      </w:r>
      <w:r w:rsidR="00D15DE1" w:rsidRPr="000E193A">
        <w:rPr>
          <w:rFonts w:cs="Times New Roman"/>
          <w:b/>
          <w:bCs/>
          <w:i/>
          <w:iCs/>
          <w:color w:val="000000" w:themeColor="text1"/>
        </w:rPr>
        <w:t xml:space="preserve">, </w:t>
      </w:r>
      <w:r w:rsidR="00D15DE1">
        <w:rPr>
          <w:rFonts w:cs="Times New Roman"/>
          <w:b/>
          <w:bCs/>
          <w:i/>
          <w:iCs/>
          <w:color w:val="000000" w:themeColor="text1"/>
        </w:rPr>
        <w:t>item 12</w:t>
      </w:r>
      <w:r w:rsidR="00D15DE1" w:rsidRPr="000E193A">
        <w:rPr>
          <w:rFonts w:cs="Times New Roman"/>
          <w:b/>
          <w:bCs/>
          <w:i/>
          <w:iCs/>
          <w:color w:val="000000" w:themeColor="text1"/>
        </w:rPr>
        <w:t xml:space="preserve">, </w:t>
      </w:r>
      <w:r w:rsidR="00D15DE1">
        <w:rPr>
          <w:rFonts w:cs="Times New Roman"/>
          <w:b/>
          <w:bCs/>
          <w:i/>
          <w:iCs/>
          <w:color w:val="000000" w:themeColor="text1"/>
        </w:rPr>
        <w:t>sub</w:t>
      </w:r>
      <w:r w:rsidR="00D15DE1" w:rsidRPr="000E193A">
        <w:rPr>
          <w:rFonts w:cs="Times New Roman"/>
          <w:b/>
          <w:bCs/>
          <w:i/>
          <w:iCs/>
          <w:color w:val="000000" w:themeColor="text1"/>
        </w:rPr>
        <w:t xml:space="preserve">section </w:t>
      </w:r>
      <w:r w:rsidR="00D15DE1" w:rsidRPr="00654A62">
        <w:rPr>
          <w:rFonts w:cs="Times New Roman"/>
          <w:b/>
          <w:bCs/>
          <w:i/>
          <w:iCs/>
          <w:color w:val="000000" w:themeColor="text1"/>
        </w:rPr>
        <w:t>820-</w:t>
      </w:r>
      <w:r w:rsidR="00D15DE1">
        <w:rPr>
          <w:rFonts w:cs="Times New Roman"/>
          <w:b/>
          <w:bCs/>
          <w:i/>
          <w:iCs/>
          <w:color w:val="000000" w:themeColor="text1"/>
        </w:rPr>
        <w:t>57(3)</w:t>
      </w:r>
      <w:r w:rsidR="00D15DE1" w:rsidRPr="000E193A">
        <w:rPr>
          <w:rFonts w:cs="Times New Roman"/>
          <w:b/>
          <w:bCs/>
          <w:i/>
          <w:iCs/>
          <w:color w:val="000000" w:themeColor="text1"/>
        </w:rPr>
        <w:t>]</w:t>
      </w:r>
      <w:bookmarkEnd w:id="49"/>
    </w:p>
    <w:p w14:paraId="5249288C" w14:textId="4B2BB26D" w:rsidR="00AA7D04" w:rsidRDefault="00990E11" w:rsidP="001962F8">
      <w:pPr>
        <w:pStyle w:val="Heading5"/>
      </w:pPr>
      <w:r w:rsidRPr="00990E11">
        <w:t>Modified COT for FRT disallowed amounts</w:t>
      </w:r>
    </w:p>
    <w:p w14:paraId="7EBC6FE2" w14:textId="351C9162" w:rsidR="001962F8" w:rsidRDefault="001962F8" w:rsidP="001962F8">
      <w:pPr>
        <w:pStyle w:val="Normalparatextwithnumbers"/>
      </w:pPr>
      <w:r>
        <w:t xml:space="preserve">If </w:t>
      </w:r>
      <w:r w:rsidR="00813AE9">
        <w:t>an</w:t>
      </w:r>
      <w:r>
        <w:t xml:space="preserve"> entity is a company, then they must pass a modified version of the continuity of ownership test (COT) in relation to each of their FRT disallowed amounts they are seeking to apply under </w:t>
      </w:r>
      <w:r w:rsidR="00813AE9">
        <w:t>S</w:t>
      </w:r>
      <w:r>
        <w:t xml:space="preserve">tep </w:t>
      </w:r>
      <w:r w:rsidR="00813AE9">
        <w:t xml:space="preserve">2 </w:t>
      </w:r>
      <w:r w:rsidR="00AE2D23">
        <w:t>(</w:t>
      </w:r>
      <w:r w:rsidR="0057164A">
        <w:t xml:space="preserve">the </w:t>
      </w:r>
      <w:r w:rsidR="00AE2D23">
        <w:t>apply against excess step)</w:t>
      </w:r>
      <w:r>
        <w:t xml:space="preserve">. If the modified COT is not passed in relation to an FRT disallowed amount, the entity cannot apply the amount under </w:t>
      </w:r>
      <w:r w:rsidR="00630477">
        <w:t>Step 2</w:t>
      </w:r>
      <w:r>
        <w:t xml:space="preserve">. </w:t>
      </w:r>
    </w:p>
    <w:p w14:paraId="624B1A9D" w14:textId="751AE594" w:rsidR="001962F8" w:rsidRDefault="00F801DA" w:rsidP="00F85B41">
      <w:pPr>
        <w:pStyle w:val="Normalparatextwithnumbers"/>
      </w:pPr>
      <w:r>
        <w:t xml:space="preserve">In line with </w:t>
      </w:r>
      <w:r w:rsidR="003C663B">
        <w:t>the policy objective of the COT</w:t>
      </w:r>
      <w:r w:rsidR="009520A8">
        <w:t xml:space="preserve"> </w:t>
      </w:r>
      <w:r w:rsidR="007A275E">
        <w:t xml:space="preserve">relevant </w:t>
      </w:r>
      <w:r w:rsidR="009520A8">
        <w:t xml:space="preserve">for </w:t>
      </w:r>
      <w:r w:rsidR="007A275E">
        <w:t xml:space="preserve">carried-forward </w:t>
      </w:r>
      <w:r w:rsidR="009520A8">
        <w:t xml:space="preserve">company </w:t>
      </w:r>
      <w:r w:rsidR="008857DD">
        <w:t xml:space="preserve">tax </w:t>
      </w:r>
      <w:r w:rsidR="007A275E">
        <w:t>losses</w:t>
      </w:r>
      <w:r w:rsidR="003C663B">
        <w:t xml:space="preserve"> in section 165-12 of the ITAA 1997, the </w:t>
      </w:r>
      <w:r w:rsidR="009520A8">
        <w:t>modified COT ensures that</w:t>
      </w:r>
      <w:r w:rsidR="002843BF">
        <w:t xml:space="preserve"> </w:t>
      </w:r>
      <w:r w:rsidR="009A0728">
        <w:t>a</w:t>
      </w:r>
      <w:r w:rsidR="00A87829">
        <w:t xml:space="preserve"> company </w:t>
      </w:r>
      <w:r w:rsidR="009A0728">
        <w:t xml:space="preserve">can only deduct </w:t>
      </w:r>
      <w:r w:rsidR="00564B0F">
        <w:t xml:space="preserve">an </w:t>
      </w:r>
      <w:r w:rsidR="009A0728">
        <w:t>FRT</w:t>
      </w:r>
      <w:r w:rsidR="00564B0F">
        <w:t xml:space="preserve"> disallowed amount where it has maintained </w:t>
      </w:r>
      <w:proofErr w:type="gramStart"/>
      <w:r w:rsidR="000D6B8A">
        <w:t xml:space="preserve">a </w:t>
      </w:r>
      <w:r w:rsidR="00564B0F">
        <w:t>majo</w:t>
      </w:r>
      <w:r w:rsidR="000D6B8A">
        <w:t>rity of</w:t>
      </w:r>
      <w:proofErr w:type="gramEnd"/>
      <w:r w:rsidR="000D6B8A">
        <w:t xml:space="preserve"> the same owners</w:t>
      </w:r>
      <w:r w:rsidR="00A516EE">
        <w:t xml:space="preserve"> since th</w:t>
      </w:r>
      <w:r w:rsidR="003001F7">
        <w:t>os</w:t>
      </w:r>
      <w:r w:rsidR="00A516EE">
        <w:t>e amounts were disallowed</w:t>
      </w:r>
      <w:r w:rsidR="000D6B8A">
        <w:t xml:space="preserve">. </w:t>
      </w:r>
    </w:p>
    <w:p w14:paraId="7648D425" w14:textId="0A2BADCD" w:rsidR="001962F8" w:rsidRDefault="001962F8" w:rsidP="001962F8">
      <w:pPr>
        <w:pStyle w:val="Normalparatextwithnumbers"/>
      </w:pPr>
      <w:bookmarkStart w:id="50" w:name="_Ref128033500"/>
      <w:r>
        <w:lastRenderedPageBreak/>
        <w:t xml:space="preserve">The modified COT </w:t>
      </w:r>
      <w:r w:rsidR="00B36408">
        <w:t>prevents</w:t>
      </w:r>
      <w:r w:rsidR="00295F44">
        <w:t xml:space="preserve"> an</w:t>
      </w:r>
      <w:r w:rsidDel="00295F44">
        <w:t xml:space="preserve"> </w:t>
      </w:r>
      <w:r>
        <w:t xml:space="preserve">FRT disallowed amount </w:t>
      </w:r>
      <w:r w:rsidR="00295F44">
        <w:t xml:space="preserve">from being </w:t>
      </w:r>
      <w:r>
        <w:t xml:space="preserve">applied under </w:t>
      </w:r>
      <w:r w:rsidR="00677582">
        <w:t>Step 2</w:t>
      </w:r>
      <w:r>
        <w:t xml:space="preserve"> </w:t>
      </w:r>
      <w:r w:rsidR="0057164A">
        <w:t xml:space="preserve">(the apply against excess step) </w:t>
      </w:r>
      <w:r>
        <w:t>unless</w:t>
      </w:r>
      <w:bookmarkEnd w:id="50"/>
      <w:r w:rsidR="00090A16">
        <w:t xml:space="preserve"> </w:t>
      </w:r>
      <w:r w:rsidR="00A6075F">
        <w:t>(</w:t>
      </w:r>
      <w:r w:rsidR="00090A16">
        <w:t>based on certain modifications</w:t>
      </w:r>
      <w:r w:rsidR="00A6075F">
        <w:t>)</w:t>
      </w:r>
      <w:r>
        <w:t>:</w:t>
      </w:r>
    </w:p>
    <w:p w14:paraId="62FF8AD9" w14:textId="28F1B105" w:rsidR="001962F8" w:rsidRDefault="0022576A" w:rsidP="00032CC4">
      <w:pPr>
        <w:pStyle w:val="Dotpoint1"/>
      </w:pPr>
      <w:r>
        <w:t>the company maintains the same owners per the conditions in section 165-12 of the ITAA</w:t>
      </w:r>
      <w:r w:rsidR="00B83CC5">
        <w:t xml:space="preserve"> </w:t>
      </w:r>
      <w:r>
        <w:t>1997</w:t>
      </w:r>
      <w:r w:rsidR="001962F8">
        <w:t>and</w:t>
      </w:r>
    </w:p>
    <w:p w14:paraId="007E86F8" w14:textId="7FCC3315" w:rsidR="001962F8" w:rsidRDefault="00B83CC5" w:rsidP="00032CC4">
      <w:pPr>
        <w:pStyle w:val="Dotpoint1"/>
      </w:pPr>
      <w:r>
        <w:t xml:space="preserve">the same people control the voting power of the company per </w:t>
      </w:r>
      <w:r w:rsidR="001962F8">
        <w:t>the conditions in one or more of paragraphs 165</w:t>
      </w:r>
      <w:r w:rsidR="00CD1D78">
        <w:noBreakHyphen/>
      </w:r>
      <w:r w:rsidR="001962F8">
        <w:t>15(1)(a), (b) and (c)</w:t>
      </w:r>
      <w:r w:rsidR="00D51D96">
        <w:t xml:space="preserve"> of the </w:t>
      </w:r>
      <w:r>
        <w:t>ITAA 1997.</w:t>
      </w:r>
      <w:r w:rsidR="001962F8">
        <w:t xml:space="preserve"> </w:t>
      </w:r>
      <w:r w:rsidR="00CD1D78">
        <w:br/>
      </w:r>
      <w:r w:rsidR="00CD1D78" w:rsidRPr="007D5AE7">
        <w:rPr>
          <w:rStyle w:val="References"/>
        </w:rPr>
        <w:t xml:space="preserve">[Schedule 1, </w:t>
      </w:r>
      <w:r w:rsidR="00CD1D78">
        <w:rPr>
          <w:rStyle w:val="References"/>
        </w:rPr>
        <w:t>item 12</w:t>
      </w:r>
      <w:r w:rsidR="00CD1D78" w:rsidRPr="007D5AE7">
        <w:rPr>
          <w:rStyle w:val="References"/>
        </w:rPr>
        <w:t xml:space="preserve">, </w:t>
      </w:r>
      <w:r w:rsidR="00CD1D78">
        <w:rPr>
          <w:rStyle w:val="References"/>
        </w:rPr>
        <w:t>sub</w:t>
      </w:r>
      <w:r w:rsidR="00CD1D78" w:rsidRPr="007D5AE7">
        <w:rPr>
          <w:rStyle w:val="References"/>
        </w:rPr>
        <w:t>section</w:t>
      </w:r>
      <w:r w:rsidR="00CD1D78">
        <w:rPr>
          <w:rStyle w:val="References"/>
        </w:rPr>
        <w:t>s</w:t>
      </w:r>
      <w:r w:rsidR="00CD1D78" w:rsidRPr="007D5AE7">
        <w:rPr>
          <w:rStyle w:val="References"/>
        </w:rPr>
        <w:t xml:space="preserve"> 820-</w:t>
      </w:r>
      <w:r w:rsidR="00CD1D78">
        <w:rPr>
          <w:rStyle w:val="References"/>
        </w:rPr>
        <w:t>59(4)-</w:t>
      </w:r>
      <w:r w:rsidR="00CD1D78" w:rsidRPr="007D5AE7">
        <w:rPr>
          <w:rStyle w:val="References"/>
        </w:rPr>
        <w:t>(</w:t>
      </w:r>
      <w:r w:rsidR="00A30B1E">
        <w:rPr>
          <w:rStyle w:val="References"/>
        </w:rPr>
        <w:t>8</w:t>
      </w:r>
      <w:r w:rsidR="00CD1D78" w:rsidRPr="007D5AE7">
        <w:rPr>
          <w:rStyle w:val="References"/>
        </w:rPr>
        <w:t>)]</w:t>
      </w:r>
    </w:p>
    <w:p w14:paraId="110C8D4C" w14:textId="46AD1F8A" w:rsidR="001962F8" w:rsidRDefault="00E629EC" w:rsidP="001962F8">
      <w:pPr>
        <w:pStyle w:val="Normalparatextwithnumbers"/>
      </w:pPr>
      <w:r>
        <w:t xml:space="preserve">To adapt the </w:t>
      </w:r>
      <w:r w:rsidR="00A16A6E">
        <w:t xml:space="preserve">legislative </w:t>
      </w:r>
      <w:r>
        <w:t xml:space="preserve">conditions listed in the above paragraph to </w:t>
      </w:r>
      <w:r w:rsidR="00101384">
        <w:t xml:space="preserve">FRT disallowed amounts, certain modifications are made </w:t>
      </w:r>
      <w:r w:rsidR="00A45A28">
        <w:t xml:space="preserve">for the purposes </w:t>
      </w:r>
      <w:r w:rsidR="006C330A">
        <w:t>for</w:t>
      </w:r>
      <w:r w:rsidR="00A45A28">
        <w:t xml:space="preserve"> determining whether the </w:t>
      </w:r>
      <w:r w:rsidR="00A16A6E">
        <w:t xml:space="preserve">legislative </w:t>
      </w:r>
      <w:r w:rsidR="00A45A28">
        <w:t>conditions are satisfied</w:t>
      </w:r>
      <w:r w:rsidR="001962F8">
        <w:t>:</w:t>
      </w:r>
    </w:p>
    <w:p w14:paraId="29954EBD" w14:textId="290CEB9B" w:rsidR="001962F8" w:rsidRDefault="001962F8" w:rsidP="00D51D96">
      <w:pPr>
        <w:pStyle w:val="Dotpoint1"/>
      </w:pPr>
      <w:r>
        <w:t xml:space="preserve">treat the FRT disallowed amount as the company’s tax </w:t>
      </w:r>
      <w:proofErr w:type="gramStart"/>
      <w:r>
        <w:t>loss;</w:t>
      </w:r>
      <w:proofErr w:type="gramEnd"/>
    </w:p>
    <w:p w14:paraId="5FFA7B7E" w14:textId="7BD119AC" w:rsidR="001962F8" w:rsidRDefault="001962F8" w:rsidP="00D51D96">
      <w:pPr>
        <w:pStyle w:val="Dotpoint1"/>
      </w:pPr>
      <w:r>
        <w:t>treat the disallowa</w:t>
      </w:r>
      <w:r w:rsidR="00DF55E3">
        <w:t>nce</w:t>
      </w:r>
      <w:r>
        <w:t xml:space="preserve"> year as the loss </w:t>
      </w:r>
      <w:proofErr w:type="gramStart"/>
      <w:r>
        <w:t>year;</w:t>
      </w:r>
      <w:proofErr w:type="gramEnd"/>
    </w:p>
    <w:p w14:paraId="27607644" w14:textId="517882B6" w:rsidR="001962F8" w:rsidRDefault="001962F8" w:rsidP="00D51D96">
      <w:pPr>
        <w:pStyle w:val="Dotpoint1"/>
      </w:pPr>
      <w:r>
        <w:t>treat the period from the start of the disallowa</w:t>
      </w:r>
      <w:r w:rsidR="00DF55E3">
        <w:t>nce</w:t>
      </w:r>
      <w:r>
        <w:t xml:space="preserve"> year to the end of the deduction year as the ownership test </w:t>
      </w:r>
      <w:proofErr w:type="gramStart"/>
      <w:r>
        <w:t>period;</w:t>
      </w:r>
      <w:proofErr w:type="gramEnd"/>
    </w:p>
    <w:p w14:paraId="3AA5D6A3" w14:textId="77777777" w:rsidR="001962F8" w:rsidRDefault="001962F8" w:rsidP="00D51D96">
      <w:pPr>
        <w:pStyle w:val="Dotpoint1"/>
      </w:pPr>
      <w:r>
        <w:t>disregard the following provisions:</w:t>
      </w:r>
    </w:p>
    <w:p w14:paraId="0727ED15" w14:textId="382C0B0C" w:rsidR="001962F8" w:rsidRDefault="001962F8" w:rsidP="00BA60D7">
      <w:pPr>
        <w:pStyle w:val="Dotpoint2"/>
      </w:pPr>
      <w:r>
        <w:t>subsection 165-12(1) (this subsection define</w:t>
      </w:r>
      <w:r w:rsidR="00BA60D7">
        <w:t>s</w:t>
      </w:r>
      <w:r>
        <w:t xml:space="preserve"> ‘ownership test period’</w:t>
      </w:r>
      <w:proofErr w:type="gramStart"/>
      <w:r w:rsidR="00BA60D7">
        <w:t>)</w:t>
      </w:r>
      <w:r>
        <w:t>;</w:t>
      </w:r>
      <w:proofErr w:type="gramEnd"/>
    </w:p>
    <w:p w14:paraId="21BEE525" w14:textId="77777777" w:rsidR="001962F8" w:rsidRDefault="001962F8" w:rsidP="00BA60D7">
      <w:pPr>
        <w:pStyle w:val="Dotpoint2"/>
      </w:pPr>
      <w:r>
        <w:t>subsection 165-115</w:t>
      </w:r>
      <w:proofErr w:type="gramStart"/>
      <w:r>
        <w:t>B(</w:t>
      </w:r>
      <w:proofErr w:type="gramEnd"/>
      <w:r>
        <w:t>3) (this subsection concerns a net capital loss);</w:t>
      </w:r>
    </w:p>
    <w:p w14:paraId="33697DDB" w14:textId="15A481FE" w:rsidR="001962F8" w:rsidRDefault="001962F8" w:rsidP="00BA60D7">
      <w:pPr>
        <w:pStyle w:val="Dotpoint2"/>
      </w:pPr>
      <w:r>
        <w:t>subsection 415-35(3) (this subsection contains a special rule for designated infrastructure project entities).</w:t>
      </w:r>
      <w:r w:rsidR="00B07384">
        <w:br/>
      </w:r>
      <w:r w:rsidR="00B07384" w:rsidRPr="007D5AE7">
        <w:rPr>
          <w:rStyle w:val="References"/>
        </w:rPr>
        <w:t xml:space="preserve">[Schedule 1, </w:t>
      </w:r>
      <w:r w:rsidR="00B07384">
        <w:rPr>
          <w:rStyle w:val="References"/>
        </w:rPr>
        <w:t>item 12</w:t>
      </w:r>
      <w:r w:rsidR="00B07384" w:rsidRPr="007D5AE7">
        <w:rPr>
          <w:rStyle w:val="References"/>
        </w:rPr>
        <w:t xml:space="preserve">, </w:t>
      </w:r>
      <w:r w:rsidR="00631CBE">
        <w:rPr>
          <w:rStyle w:val="References"/>
        </w:rPr>
        <w:t>sub</w:t>
      </w:r>
      <w:r w:rsidR="00B07384" w:rsidRPr="007D5AE7">
        <w:rPr>
          <w:rStyle w:val="References"/>
        </w:rPr>
        <w:t>section 820-</w:t>
      </w:r>
      <w:r w:rsidR="00B07384">
        <w:rPr>
          <w:rStyle w:val="References"/>
        </w:rPr>
        <w:t>59</w:t>
      </w:r>
      <w:r w:rsidR="00B07384" w:rsidRPr="007D5AE7">
        <w:rPr>
          <w:rStyle w:val="References"/>
        </w:rPr>
        <w:t>(7)]</w:t>
      </w:r>
    </w:p>
    <w:p w14:paraId="79430D3E" w14:textId="3926F37F" w:rsidR="00D15DE1" w:rsidRDefault="001962F8" w:rsidP="001962F8">
      <w:pPr>
        <w:pStyle w:val="Normalparatextwithnumbers"/>
      </w:pPr>
      <w:r>
        <w:t>In applying the modified COT, Divisions 165, 166 and 167</w:t>
      </w:r>
      <w:r w:rsidR="00BA60D7">
        <w:t xml:space="preserve"> of the </w:t>
      </w:r>
      <w:r w:rsidR="00A16A6E">
        <w:t>ITAA 1997</w:t>
      </w:r>
      <w:r w:rsidR="00BA60D7">
        <w:t xml:space="preserve"> are intended to</w:t>
      </w:r>
      <w:r>
        <w:t xml:space="preserve"> apply. </w:t>
      </w:r>
      <w:bookmarkStart w:id="51" w:name="_Hlk127361367"/>
      <w:r w:rsidR="00D15DE1">
        <w:br/>
      </w:r>
      <w:r w:rsidR="00D15DE1" w:rsidRPr="007D5AE7">
        <w:rPr>
          <w:rStyle w:val="References"/>
        </w:rPr>
        <w:t xml:space="preserve">[Schedule 1, </w:t>
      </w:r>
      <w:r w:rsidR="00D15DE1">
        <w:rPr>
          <w:rStyle w:val="References"/>
        </w:rPr>
        <w:t>item 12</w:t>
      </w:r>
      <w:r w:rsidR="00D15DE1" w:rsidRPr="007D5AE7">
        <w:rPr>
          <w:rStyle w:val="References"/>
        </w:rPr>
        <w:t xml:space="preserve">, </w:t>
      </w:r>
      <w:r w:rsidR="00631CBE">
        <w:rPr>
          <w:rStyle w:val="References"/>
        </w:rPr>
        <w:t>sub</w:t>
      </w:r>
      <w:r w:rsidR="00D15DE1" w:rsidRPr="007D5AE7">
        <w:rPr>
          <w:rStyle w:val="References"/>
        </w:rPr>
        <w:t>section 820-</w:t>
      </w:r>
      <w:r w:rsidR="00D15DE1">
        <w:rPr>
          <w:rStyle w:val="References"/>
        </w:rPr>
        <w:t>59</w:t>
      </w:r>
      <w:r w:rsidR="00D15DE1" w:rsidRPr="007D5AE7">
        <w:rPr>
          <w:rStyle w:val="References"/>
        </w:rPr>
        <w:t>(</w:t>
      </w:r>
      <w:r w:rsidR="00B07384">
        <w:rPr>
          <w:rStyle w:val="References"/>
        </w:rPr>
        <w:t>8</w:t>
      </w:r>
      <w:r w:rsidR="00D15DE1" w:rsidRPr="007D5AE7">
        <w:rPr>
          <w:rStyle w:val="References"/>
        </w:rPr>
        <w:t>)]</w:t>
      </w:r>
      <w:bookmarkEnd w:id="51"/>
    </w:p>
    <w:p w14:paraId="4F05CFFA" w14:textId="54867D23" w:rsidR="00D15DE1" w:rsidRDefault="001962F8" w:rsidP="00DA07D9">
      <w:pPr>
        <w:pStyle w:val="Normalparatextwithnumbers"/>
      </w:pPr>
      <w:r>
        <w:t>Division 165 concerns whether a company can deduct its tax losses of earlier income years. Division 166 modifies the way the rules in Division 165 apply to a widely held or eligible Division 166 company by making it easier for the company to apply the rules. Division 167 modifies the way conditions relating to Part 3-5 (which includes Divisions 165, 166 and 167) apply to companies whose shares do not all carry the same rights to dividends or capital distributions or do not all carry the same voting rights, or do not carry all the voting rights in the company.</w:t>
      </w:r>
      <w:r w:rsidR="00D15DE1">
        <w:t xml:space="preserve"> </w:t>
      </w:r>
    </w:p>
    <w:p w14:paraId="661AC7BD" w14:textId="7A11F2CA" w:rsidR="001962F8" w:rsidRDefault="00721CF7" w:rsidP="00721CF7">
      <w:pPr>
        <w:pStyle w:val="Heading5"/>
      </w:pPr>
      <w:r>
        <w:t>T</w:t>
      </w:r>
      <w:r w:rsidRPr="00721CF7">
        <w:t xml:space="preserve">he special deduction </w:t>
      </w:r>
      <w:r>
        <w:t>and</w:t>
      </w:r>
      <w:r w:rsidRPr="00721CF7">
        <w:t xml:space="preserve"> consolidated groups</w:t>
      </w:r>
    </w:p>
    <w:p w14:paraId="1FCAB0BC" w14:textId="4C279230" w:rsidR="007A721A" w:rsidRDefault="00DD657F" w:rsidP="007A721A">
      <w:pPr>
        <w:pStyle w:val="Normalparatextwithnumbers"/>
      </w:pPr>
      <w:r>
        <w:t xml:space="preserve">To align with the tax consolidation rules that allow the transfer of </w:t>
      </w:r>
      <w:r w:rsidR="007A3385">
        <w:t xml:space="preserve">tax </w:t>
      </w:r>
      <w:r>
        <w:t>losses into a tax consolidated group</w:t>
      </w:r>
      <w:r w:rsidR="000F2460">
        <w:t xml:space="preserve"> when an entity joins the group </w:t>
      </w:r>
      <w:r>
        <w:t xml:space="preserve">and </w:t>
      </w:r>
      <w:r w:rsidR="007A3385">
        <w:t xml:space="preserve">limits the rate </w:t>
      </w:r>
      <w:r w:rsidR="007A3385">
        <w:lastRenderedPageBreak/>
        <w:t>at which those losses can be utilised, the FRT disallowed</w:t>
      </w:r>
      <w:r w:rsidR="00B325F8">
        <w:t xml:space="preserve"> amounts </w:t>
      </w:r>
      <w:r w:rsidR="00A70FE2">
        <w:t xml:space="preserve">may also be transferred </w:t>
      </w:r>
      <w:r w:rsidR="006B7F6B">
        <w:t>to and utilised by the head company of a tax consolidated group.</w:t>
      </w:r>
      <w:r>
        <w:t xml:space="preserve"> </w:t>
      </w:r>
    </w:p>
    <w:p w14:paraId="0C4062F8" w14:textId="223636F8" w:rsidR="007A721A" w:rsidRDefault="00C25D63" w:rsidP="00DF2CB0">
      <w:pPr>
        <w:pStyle w:val="Normalparatextwithnumbers"/>
      </w:pPr>
      <w:r>
        <w:t xml:space="preserve">When an entity </w:t>
      </w:r>
      <w:r w:rsidR="009F770F">
        <w:t xml:space="preserve">with an FRT disallowed amount </w:t>
      </w:r>
      <w:r>
        <w:t xml:space="preserve">joins a </w:t>
      </w:r>
      <w:r w:rsidR="007F6F53">
        <w:t xml:space="preserve">tax </w:t>
      </w:r>
      <w:r>
        <w:t>consolidated group</w:t>
      </w:r>
      <w:r w:rsidR="006A40EF">
        <w:t>,</w:t>
      </w:r>
      <w:r w:rsidR="009F770F">
        <w:t xml:space="preserve"> that FRT disallowed amount is transferred to the head company of that group at the joining time. </w:t>
      </w:r>
      <w:r w:rsidR="006A40EF">
        <w:t xml:space="preserve"> </w:t>
      </w:r>
      <w:r w:rsidR="00C8383C">
        <w:t>This transfer occurs even where the joining entity becomes the</w:t>
      </w:r>
      <w:r w:rsidR="00816AD4">
        <w:t xml:space="preserve"> head company of the </w:t>
      </w:r>
      <w:r w:rsidR="0069582E">
        <w:t xml:space="preserve">tax </w:t>
      </w:r>
      <w:r w:rsidR="00816AD4">
        <w:t>consolidated group at the joining time.</w:t>
      </w:r>
      <w:r w:rsidR="00C8383C">
        <w:t xml:space="preserve"> </w:t>
      </w:r>
      <w:r w:rsidR="001E2F5F">
        <w:br/>
      </w:r>
      <w:r w:rsidR="001E2F5F" w:rsidRPr="00632491">
        <w:rPr>
          <w:rStyle w:val="References"/>
        </w:rPr>
        <w:t xml:space="preserve">[Schedule 1, item </w:t>
      </w:r>
      <w:r w:rsidR="001E2F5F">
        <w:rPr>
          <w:rStyle w:val="References"/>
        </w:rPr>
        <w:t>43</w:t>
      </w:r>
      <w:r w:rsidR="001E2F5F" w:rsidRPr="00632491">
        <w:rPr>
          <w:rStyle w:val="References"/>
        </w:rPr>
        <w:t>, subsection</w:t>
      </w:r>
      <w:r w:rsidR="001E2F5F">
        <w:rPr>
          <w:rStyle w:val="References"/>
        </w:rPr>
        <w:t>s</w:t>
      </w:r>
      <w:r w:rsidR="001E2F5F" w:rsidRPr="00632491">
        <w:rPr>
          <w:rStyle w:val="References"/>
        </w:rPr>
        <w:t xml:space="preserve"> 820-</w:t>
      </w:r>
      <w:r w:rsidR="001E2F5F">
        <w:rPr>
          <w:rStyle w:val="References"/>
        </w:rPr>
        <w:t>6</w:t>
      </w:r>
      <w:r w:rsidR="001E2F5F" w:rsidRPr="00632491">
        <w:rPr>
          <w:rStyle w:val="References"/>
        </w:rPr>
        <w:t>2(1</w:t>
      </w:r>
      <w:r w:rsidR="001E2F5F">
        <w:rPr>
          <w:rStyle w:val="References"/>
        </w:rPr>
        <w:t>)</w:t>
      </w:r>
      <w:r w:rsidR="009200D0">
        <w:rPr>
          <w:rStyle w:val="References"/>
        </w:rPr>
        <w:t>, (2)</w:t>
      </w:r>
      <w:r w:rsidR="00F2334D">
        <w:rPr>
          <w:rStyle w:val="References"/>
        </w:rPr>
        <w:t xml:space="preserve"> and (</w:t>
      </w:r>
      <w:r w:rsidR="009200D0">
        <w:rPr>
          <w:rStyle w:val="References"/>
        </w:rPr>
        <w:t>3</w:t>
      </w:r>
      <w:r w:rsidR="00F2334D">
        <w:rPr>
          <w:rStyle w:val="References"/>
        </w:rPr>
        <w:t>)</w:t>
      </w:r>
      <w:r w:rsidR="001E2F5F" w:rsidRPr="00632491">
        <w:rPr>
          <w:rStyle w:val="References"/>
        </w:rPr>
        <w:t>]</w:t>
      </w:r>
    </w:p>
    <w:p w14:paraId="7475C5E6" w14:textId="46F3BE25" w:rsidR="007C22E6" w:rsidRDefault="00251E2E" w:rsidP="007A721A">
      <w:pPr>
        <w:pStyle w:val="Normalparatextwithnumbers"/>
      </w:pPr>
      <w:r>
        <w:t>However, t</w:t>
      </w:r>
      <w:r w:rsidR="007A721A">
        <w:t xml:space="preserve">he FRT disallowed amount is transferred only to the extent (if any) that the FRT disallowed amount could have been applied by the joining entity under </w:t>
      </w:r>
      <w:r w:rsidR="00BB757E">
        <w:t>S</w:t>
      </w:r>
      <w:r w:rsidR="007A721A">
        <w:t xml:space="preserve">tep </w:t>
      </w:r>
      <w:r w:rsidR="00BB757E">
        <w:t>2</w:t>
      </w:r>
      <w:r w:rsidR="00B929A3">
        <w:t xml:space="preserve"> (</w:t>
      </w:r>
      <w:r w:rsidR="00A01336">
        <w:t>the apply against excess step</w:t>
      </w:r>
      <w:r w:rsidR="00B929A3">
        <w:t>)</w:t>
      </w:r>
      <w:r w:rsidR="007A721A">
        <w:t xml:space="preserve"> in respect of an income year (the trial year)</w:t>
      </w:r>
      <w:r w:rsidR="007C22E6">
        <w:t xml:space="preserve">. </w:t>
      </w:r>
      <w:r w:rsidR="004C7DDB">
        <w:t>The trial year is</w:t>
      </w:r>
      <w:r w:rsidR="007A721A" w:rsidDel="0022530B">
        <w:t xml:space="preserve"> </w:t>
      </w:r>
      <w:r w:rsidR="007A721A">
        <w:t xml:space="preserve">generally </w:t>
      </w:r>
      <w:r w:rsidR="0022530B">
        <w:t>the period commencing</w:t>
      </w:r>
      <w:r w:rsidR="009D1D32" w:rsidDel="0022530B">
        <w:t xml:space="preserve"> </w:t>
      </w:r>
      <w:r w:rsidR="007A721A">
        <w:t>12 month</w:t>
      </w:r>
      <w:r w:rsidR="00640CA5">
        <w:t>s</w:t>
      </w:r>
      <w:r w:rsidR="007A721A">
        <w:t xml:space="preserve"> before the joining time to just after the joining time)</w:t>
      </w:r>
      <w:r w:rsidR="0022530B">
        <w:t xml:space="preserve">. </w:t>
      </w:r>
      <w:r w:rsidR="007A721A">
        <w:t xml:space="preserve"> </w:t>
      </w:r>
    </w:p>
    <w:p w14:paraId="1D2178B2" w14:textId="6AB361CE" w:rsidR="007A721A" w:rsidRDefault="00661987" w:rsidP="007A721A">
      <w:pPr>
        <w:pStyle w:val="Normalparatextwithnumbers"/>
      </w:pPr>
      <w:r>
        <w:t xml:space="preserve">Specifically, </w:t>
      </w:r>
      <w:r w:rsidR="00F91C56">
        <w:t xml:space="preserve">the FRT disallowed amount is transferred </w:t>
      </w:r>
      <w:r w:rsidR="00075B06">
        <w:t xml:space="preserve">at the joining time from the joining entity to the head company </w:t>
      </w:r>
      <w:r w:rsidR="007A721A">
        <w:t>if:</w:t>
      </w:r>
    </w:p>
    <w:p w14:paraId="28200BC6" w14:textId="77777777" w:rsidR="007A721A" w:rsidRDefault="007A721A" w:rsidP="009D1D32">
      <w:pPr>
        <w:pStyle w:val="Dotpoint1"/>
      </w:pPr>
      <w:r>
        <w:t xml:space="preserve">at the joining time, the joining entity had not become a member of the joined group (but had been a </w:t>
      </w:r>
      <w:proofErr w:type="gramStart"/>
      <w:r>
        <w:t>wholly-owned</w:t>
      </w:r>
      <w:proofErr w:type="gramEnd"/>
      <w:r>
        <w:t xml:space="preserve"> subsidiary of the head company if the joining entity is not the head company); and</w:t>
      </w:r>
    </w:p>
    <w:p w14:paraId="70706CDD" w14:textId="3BE4C2C8" w:rsidR="007A721A" w:rsidRDefault="007A721A" w:rsidP="009D1D32">
      <w:pPr>
        <w:pStyle w:val="Dotpoint1"/>
      </w:pPr>
      <w:r>
        <w:t xml:space="preserve">the amount applied by the joining entity </w:t>
      </w:r>
      <w:r w:rsidR="00A01336">
        <w:t xml:space="preserve">under Step 2 (the apply against excess </w:t>
      </w:r>
      <w:r>
        <w:t>step</w:t>
      </w:r>
      <w:r w:rsidR="00A01336">
        <w:t>)</w:t>
      </w:r>
      <w:r>
        <w:t xml:space="preserve"> in respect of the trial year were not limited by the joining entity’s excess.</w:t>
      </w:r>
      <w:r w:rsidR="001E2F5F">
        <w:br/>
      </w:r>
      <w:r w:rsidR="001E2F5F" w:rsidRPr="00632491">
        <w:rPr>
          <w:rStyle w:val="References"/>
        </w:rPr>
        <w:t xml:space="preserve">[Schedule 1, item </w:t>
      </w:r>
      <w:r w:rsidR="001E2F5F">
        <w:rPr>
          <w:rStyle w:val="References"/>
        </w:rPr>
        <w:t>43</w:t>
      </w:r>
      <w:r w:rsidR="001E2F5F" w:rsidRPr="00632491">
        <w:rPr>
          <w:rStyle w:val="References"/>
        </w:rPr>
        <w:t>, subsection</w:t>
      </w:r>
      <w:r w:rsidR="001E2F5F">
        <w:rPr>
          <w:rStyle w:val="References"/>
        </w:rPr>
        <w:t>s</w:t>
      </w:r>
      <w:r w:rsidR="001E2F5F" w:rsidRPr="00632491">
        <w:rPr>
          <w:rStyle w:val="References"/>
        </w:rPr>
        <w:t xml:space="preserve"> 820</w:t>
      </w:r>
      <w:r w:rsidR="001E2F5F">
        <w:rPr>
          <w:rStyle w:val="References"/>
        </w:rPr>
        <w:t>-6</w:t>
      </w:r>
      <w:r w:rsidR="001E2F5F" w:rsidRPr="00632491">
        <w:rPr>
          <w:rStyle w:val="References"/>
        </w:rPr>
        <w:t>2(</w:t>
      </w:r>
      <w:r w:rsidR="001E2F5F">
        <w:rPr>
          <w:rStyle w:val="References"/>
        </w:rPr>
        <w:t>2)-(</w:t>
      </w:r>
      <w:r w:rsidR="00A65CB1">
        <w:rPr>
          <w:rStyle w:val="References"/>
        </w:rPr>
        <w:t>6</w:t>
      </w:r>
      <w:r w:rsidR="001E2F5F">
        <w:rPr>
          <w:rStyle w:val="References"/>
        </w:rPr>
        <w:t>)]</w:t>
      </w:r>
      <w:r>
        <w:t xml:space="preserve"> </w:t>
      </w:r>
    </w:p>
    <w:p w14:paraId="240D547F" w14:textId="1AB199FB" w:rsidR="007A721A" w:rsidRDefault="007A721A" w:rsidP="007A721A">
      <w:pPr>
        <w:pStyle w:val="Normalparatextwithnumbers"/>
      </w:pPr>
      <w:r>
        <w:t xml:space="preserve">If an FRT disallowed amount cannot be transferred, then the amount is effectively lost and cannot be applied </w:t>
      </w:r>
      <w:r w:rsidR="00F13AFC">
        <w:t xml:space="preserve">under Step 2 </w:t>
      </w:r>
      <w:r w:rsidR="00A01336">
        <w:t xml:space="preserve">(the apply against excess step) </w:t>
      </w:r>
      <w:r>
        <w:t xml:space="preserve">by any entity. </w:t>
      </w:r>
      <w:r w:rsidR="00046502">
        <w:br/>
      </w:r>
      <w:bookmarkStart w:id="52" w:name="_Hlk127889871"/>
      <w:r w:rsidR="00046502" w:rsidRPr="00632491">
        <w:rPr>
          <w:rStyle w:val="References"/>
        </w:rPr>
        <w:t xml:space="preserve">[Schedule 1, item </w:t>
      </w:r>
      <w:r w:rsidR="00046502">
        <w:rPr>
          <w:rStyle w:val="References"/>
        </w:rPr>
        <w:t>4</w:t>
      </w:r>
      <w:r w:rsidR="00F47C30">
        <w:rPr>
          <w:rStyle w:val="References"/>
        </w:rPr>
        <w:t>3</w:t>
      </w:r>
      <w:r w:rsidR="00046502" w:rsidRPr="00632491">
        <w:rPr>
          <w:rStyle w:val="References"/>
        </w:rPr>
        <w:t>, subsection 820</w:t>
      </w:r>
      <w:r w:rsidR="00046502">
        <w:rPr>
          <w:rStyle w:val="References"/>
        </w:rPr>
        <w:t>-6</w:t>
      </w:r>
      <w:r w:rsidR="00046502" w:rsidRPr="00632491">
        <w:rPr>
          <w:rStyle w:val="References"/>
        </w:rPr>
        <w:t>2(</w:t>
      </w:r>
      <w:bookmarkEnd w:id="52"/>
      <w:r w:rsidR="00695004">
        <w:rPr>
          <w:rStyle w:val="References"/>
        </w:rPr>
        <w:t>8</w:t>
      </w:r>
      <w:r w:rsidR="00046502">
        <w:rPr>
          <w:rStyle w:val="References"/>
        </w:rPr>
        <w:t>)]</w:t>
      </w:r>
    </w:p>
    <w:p w14:paraId="2E6F4981" w14:textId="3AD45282" w:rsidR="007A721A" w:rsidRDefault="007A721A" w:rsidP="007A721A">
      <w:pPr>
        <w:pStyle w:val="Normalparatextwithnumbers"/>
      </w:pPr>
      <w:r>
        <w:t xml:space="preserve">The rules </w:t>
      </w:r>
      <w:r w:rsidR="00156D41">
        <w:t xml:space="preserve">outlined above </w:t>
      </w:r>
      <w:r>
        <w:t xml:space="preserve">aim to ensure that FRT disallowed amounts can only be transferred if the joining entity is able to </w:t>
      </w:r>
      <w:r w:rsidR="00156D41">
        <w:t>apply</w:t>
      </w:r>
      <w:r>
        <w:t xml:space="preserve"> the FRT disallowed amounts</w:t>
      </w:r>
      <w:r w:rsidR="00156D41">
        <w:t xml:space="preserve"> under Step 2</w:t>
      </w:r>
      <w:r w:rsidR="00A01336">
        <w:t xml:space="preserve"> (the apply against excess step)</w:t>
      </w:r>
      <w:r>
        <w:t xml:space="preserve">. Otherwise, taxpayers may be able to circumvent the policy and rules relating to FRT disallowed amounts </w:t>
      </w:r>
      <w:r w:rsidR="00B929A3">
        <w:t>through the consolidation process</w:t>
      </w:r>
      <w:r>
        <w:t xml:space="preserve">. </w:t>
      </w:r>
    </w:p>
    <w:p w14:paraId="7E63AAA2" w14:textId="2F4ECCE9" w:rsidR="007A721A" w:rsidRDefault="007A721A" w:rsidP="007A721A">
      <w:pPr>
        <w:pStyle w:val="Normalparatextwithnumbers"/>
      </w:pPr>
      <w:r>
        <w:t xml:space="preserve">If </w:t>
      </w:r>
      <w:r w:rsidR="00EA7E4E">
        <w:t xml:space="preserve">a </w:t>
      </w:r>
      <w:r>
        <w:t>FRT disallowed amount is successfully transferred, then the head company is treated as having th</w:t>
      </w:r>
      <w:r w:rsidR="00EA7E4E">
        <w:t>at</w:t>
      </w:r>
      <w:r>
        <w:t xml:space="preserve"> amount</w:t>
      </w:r>
      <w:r w:rsidR="00146151">
        <w:t xml:space="preserve"> for the </w:t>
      </w:r>
      <w:r w:rsidDel="00D77C33">
        <w:t xml:space="preserve">same income year </w:t>
      </w:r>
      <w:r w:rsidR="00EA7E4E" w:rsidDel="00D77C33">
        <w:t xml:space="preserve">in </w:t>
      </w:r>
      <w:r w:rsidDel="00D77C33">
        <w:t xml:space="preserve">which the joining entity </w:t>
      </w:r>
      <w:r w:rsidR="005110B0">
        <w:t>had</w:t>
      </w:r>
      <w:r w:rsidDel="00D77C33">
        <w:t xml:space="preserve"> the amount. This preserves the </w:t>
      </w:r>
      <w:r w:rsidR="005110B0">
        <w:t>effect</w:t>
      </w:r>
      <w:r w:rsidR="00EA7E4E" w:rsidDel="00D77C33">
        <w:t xml:space="preserve"> of the </w:t>
      </w:r>
      <w:r w:rsidDel="00D77C33">
        <w:t>15-year carry forward rule.</w:t>
      </w:r>
      <w:r w:rsidR="00DA5973">
        <w:br/>
      </w:r>
      <w:r w:rsidR="00B07384" w:rsidRPr="007D5AE7">
        <w:rPr>
          <w:rStyle w:val="References"/>
        </w:rPr>
        <w:t xml:space="preserve">[Schedule 1, </w:t>
      </w:r>
      <w:r w:rsidR="00B07384">
        <w:rPr>
          <w:rStyle w:val="References"/>
        </w:rPr>
        <w:t>item 43</w:t>
      </w:r>
      <w:r w:rsidR="00B07384" w:rsidRPr="007D5AE7">
        <w:rPr>
          <w:rStyle w:val="References"/>
        </w:rPr>
        <w:t xml:space="preserve">, </w:t>
      </w:r>
      <w:r w:rsidR="002A4669">
        <w:rPr>
          <w:rStyle w:val="References"/>
        </w:rPr>
        <w:t xml:space="preserve">paragraph 820-62(1)(b) and </w:t>
      </w:r>
      <w:r w:rsidR="007E0C37">
        <w:rPr>
          <w:rStyle w:val="References"/>
        </w:rPr>
        <w:t>sub</w:t>
      </w:r>
      <w:r w:rsidR="00B07384" w:rsidRPr="007D5AE7">
        <w:rPr>
          <w:rStyle w:val="References"/>
        </w:rPr>
        <w:t>section 820-</w:t>
      </w:r>
      <w:r w:rsidR="00B07384">
        <w:rPr>
          <w:rStyle w:val="References"/>
        </w:rPr>
        <w:t>62</w:t>
      </w:r>
      <w:r w:rsidR="00B07384" w:rsidRPr="007D5AE7">
        <w:rPr>
          <w:rStyle w:val="References"/>
        </w:rPr>
        <w:t>(</w:t>
      </w:r>
      <w:r w:rsidR="00CE0DFC">
        <w:rPr>
          <w:rStyle w:val="References"/>
        </w:rPr>
        <w:t>3)</w:t>
      </w:r>
      <w:r w:rsidR="00B07384" w:rsidRPr="007D5AE7">
        <w:rPr>
          <w:rStyle w:val="References"/>
        </w:rPr>
        <w:t>]</w:t>
      </w:r>
    </w:p>
    <w:p w14:paraId="509601B6" w14:textId="046A89CB" w:rsidR="007A721A" w:rsidDel="00F63EA4" w:rsidRDefault="00C362BC" w:rsidP="007A721A">
      <w:pPr>
        <w:pStyle w:val="Normalparatextwithnumbers"/>
      </w:pPr>
      <w:r>
        <w:t>However,</w:t>
      </w:r>
      <w:r w:rsidR="007A721A" w:rsidDel="00F63EA4">
        <w:t xml:space="preserve"> for the purposes of applying the modified COT, the head company is treated as acquiring FRT disallowed amounts at the joining time. This </w:t>
      </w:r>
      <w:r w:rsidR="007A721A">
        <w:t>rule</w:t>
      </w:r>
      <w:r w:rsidR="007A721A" w:rsidDel="00F63EA4">
        <w:t xml:space="preserve"> </w:t>
      </w:r>
      <w:r w:rsidR="00625FC0" w:rsidDel="00F63EA4">
        <w:t xml:space="preserve">is </w:t>
      </w:r>
      <w:proofErr w:type="gramStart"/>
      <w:r w:rsidR="005E5C3B" w:rsidDel="00F63EA4">
        <w:t>similar to</w:t>
      </w:r>
      <w:proofErr w:type="gramEnd"/>
      <w:r w:rsidR="007A721A" w:rsidDel="00F63EA4">
        <w:t xml:space="preserve"> </w:t>
      </w:r>
      <w:r>
        <w:t>that</w:t>
      </w:r>
      <w:r w:rsidR="007A721A" w:rsidDel="00F63EA4">
        <w:t xml:space="preserve"> provided by </w:t>
      </w:r>
      <w:r w:rsidR="00AD6DAE" w:rsidDel="00F63EA4">
        <w:t xml:space="preserve">existing </w:t>
      </w:r>
      <w:r w:rsidR="007A721A" w:rsidDel="00F63EA4">
        <w:t xml:space="preserve">section 707-140 </w:t>
      </w:r>
      <w:r w:rsidR="00625FC0" w:rsidDel="00F63EA4">
        <w:t xml:space="preserve">of the </w:t>
      </w:r>
      <w:r w:rsidR="00AD4989">
        <w:t>ITAA 1997</w:t>
      </w:r>
      <w:r w:rsidR="00625FC0" w:rsidDel="00F63EA4">
        <w:t xml:space="preserve"> </w:t>
      </w:r>
      <w:r w:rsidR="007A721A" w:rsidDel="00F63EA4">
        <w:t>in relation to tax losses and</w:t>
      </w:r>
      <w:r w:rsidR="005E5C3B" w:rsidDel="00F63EA4">
        <w:t xml:space="preserve"> </w:t>
      </w:r>
      <w:r w:rsidR="007A721A" w:rsidDel="00F63EA4">
        <w:t xml:space="preserve">is necessary to ensure the modified COT is not automatically failed </w:t>
      </w:r>
      <w:r w:rsidR="00EA0505" w:rsidDel="00F63EA4">
        <w:t xml:space="preserve">for income years </w:t>
      </w:r>
      <w:r w:rsidR="002E049C" w:rsidDel="00F63EA4">
        <w:t>occurring after</w:t>
      </w:r>
      <w:r w:rsidR="003F55E0" w:rsidDel="00F63EA4">
        <w:t xml:space="preserve"> consolidation</w:t>
      </w:r>
      <w:r w:rsidR="007A721A" w:rsidDel="00F63EA4">
        <w:t>.</w:t>
      </w:r>
      <w:r>
        <w:t xml:space="preserve"> </w:t>
      </w:r>
      <w:r w:rsidR="00DA5973" w:rsidDel="00F63EA4">
        <w:br/>
      </w:r>
      <w:r w:rsidR="00B07384" w:rsidRPr="007D5AE7" w:rsidDel="00F63EA4">
        <w:rPr>
          <w:rStyle w:val="References"/>
        </w:rPr>
        <w:t xml:space="preserve">[Schedule 1, </w:t>
      </w:r>
      <w:r w:rsidR="00B07384" w:rsidDel="00F63EA4">
        <w:rPr>
          <w:rStyle w:val="References"/>
        </w:rPr>
        <w:t>item 43</w:t>
      </w:r>
      <w:r w:rsidR="00B07384" w:rsidRPr="007D5AE7" w:rsidDel="00F63EA4">
        <w:rPr>
          <w:rStyle w:val="References"/>
        </w:rPr>
        <w:t xml:space="preserve">, </w:t>
      </w:r>
      <w:r w:rsidR="007E0C37" w:rsidDel="00F63EA4">
        <w:rPr>
          <w:rStyle w:val="References"/>
        </w:rPr>
        <w:t>sub</w:t>
      </w:r>
      <w:r w:rsidR="00B07384" w:rsidRPr="007D5AE7" w:rsidDel="00F63EA4">
        <w:rPr>
          <w:rStyle w:val="References"/>
        </w:rPr>
        <w:t>section 820-</w:t>
      </w:r>
      <w:r w:rsidR="00B07384" w:rsidDel="00F63EA4">
        <w:rPr>
          <w:rStyle w:val="References"/>
        </w:rPr>
        <w:t>62</w:t>
      </w:r>
      <w:r w:rsidR="00B07384" w:rsidRPr="007D5AE7" w:rsidDel="00F63EA4">
        <w:rPr>
          <w:rStyle w:val="References"/>
        </w:rPr>
        <w:t>(</w:t>
      </w:r>
      <w:r w:rsidR="00301350">
        <w:rPr>
          <w:rStyle w:val="References"/>
        </w:rPr>
        <w:t>7</w:t>
      </w:r>
      <w:r w:rsidR="00B07384" w:rsidRPr="007D5AE7" w:rsidDel="00F63EA4">
        <w:rPr>
          <w:rStyle w:val="References"/>
        </w:rPr>
        <w:t>)]</w:t>
      </w:r>
    </w:p>
    <w:p w14:paraId="215B3E4E" w14:textId="14AA30F4" w:rsidR="007863AA" w:rsidRDefault="007863AA">
      <w:pPr>
        <w:pStyle w:val="Normalparatextwithnumbers"/>
      </w:pPr>
      <w:r>
        <w:lastRenderedPageBreak/>
        <w:t xml:space="preserve">When a </w:t>
      </w:r>
      <w:r w:rsidR="003477E9">
        <w:t xml:space="preserve">tax </w:t>
      </w:r>
      <w:r>
        <w:t>consolidated group forms</w:t>
      </w:r>
      <w:r w:rsidR="004678DE">
        <w:t>,</w:t>
      </w:r>
      <w:r>
        <w:t xml:space="preserve"> or one or more entities join a</w:t>
      </w:r>
      <w:r w:rsidR="004678DE">
        <w:t xml:space="preserve"> tax</w:t>
      </w:r>
      <w:r>
        <w:t xml:space="preserve"> consolidated group, tax costs for the assets of each </w:t>
      </w:r>
      <w:r w:rsidR="00633144">
        <w:t>joining entity</w:t>
      </w:r>
      <w:r>
        <w:t xml:space="preserve"> are calculated by reference to the allocable cost amount (ACA) for the </w:t>
      </w:r>
      <w:r w:rsidR="00633144">
        <w:t>joining entity</w:t>
      </w:r>
      <w:r>
        <w:t xml:space="preserve">. The ACA is essentially the sum of the cost base of membership interests in the </w:t>
      </w:r>
      <w:r w:rsidR="00633144">
        <w:t xml:space="preserve">joining entity </w:t>
      </w:r>
      <w:r>
        <w:t xml:space="preserve">and the </w:t>
      </w:r>
      <w:r w:rsidR="00633144">
        <w:t xml:space="preserve">joining entity’s </w:t>
      </w:r>
      <w:r>
        <w:t xml:space="preserve">liabilities and certain profits. </w:t>
      </w:r>
      <w:r w:rsidR="006D5A33">
        <w:t>T</w:t>
      </w:r>
      <w:r>
        <w:t>he cost base of the membership interests in the joining entity is effectively transferred to the assets of that entity. The ACA is generally allocated to the assets the subsidiary brings into the group in proportion to their market values.</w:t>
      </w:r>
    </w:p>
    <w:p w14:paraId="6A1D3FFB" w14:textId="3082CA89" w:rsidR="004761D4" w:rsidRDefault="007863AA">
      <w:pPr>
        <w:pStyle w:val="Normalparatextwithnumbers"/>
      </w:pPr>
      <w:r>
        <w:t xml:space="preserve">On exit from the group, the process is reversed and the group’s cost base of the equity in the </w:t>
      </w:r>
      <w:r w:rsidR="00184040">
        <w:t>leaving</w:t>
      </w:r>
      <w:r w:rsidR="00327349">
        <w:t xml:space="preserve"> entity </w:t>
      </w:r>
      <w:r>
        <w:t xml:space="preserve">is derived from the net assets of the </w:t>
      </w:r>
      <w:r w:rsidR="00184040">
        <w:t>leaving</w:t>
      </w:r>
      <w:r w:rsidR="00327349">
        <w:t xml:space="preserve"> entity</w:t>
      </w:r>
      <w:r w:rsidR="00184040">
        <w:t xml:space="preserve"> </w:t>
      </w:r>
      <w:r>
        <w:t>at the designated time.</w:t>
      </w:r>
      <w:r w:rsidR="007E0C37">
        <w:br/>
      </w:r>
      <w:r w:rsidR="007E0C37" w:rsidRPr="007D5AE7">
        <w:rPr>
          <w:rStyle w:val="References"/>
        </w:rPr>
        <w:t xml:space="preserve">[Schedule 1, </w:t>
      </w:r>
      <w:r w:rsidR="007E0C37">
        <w:rPr>
          <w:rStyle w:val="References"/>
        </w:rPr>
        <w:t>item 12</w:t>
      </w:r>
      <w:r w:rsidR="007E0C37" w:rsidRPr="007D5AE7">
        <w:rPr>
          <w:rStyle w:val="References"/>
        </w:rPr>
        <w:t>, section 820-</w:t>
      </w:r>
      <w:r w:rsidR="007E0C37">
        <w:rPr>
          <w:rStyle w:val="References"/>
        </w:rPr>
        <w:t>63</w:t>
      </w:r>
      <w:r w:rsidR="007E0C37" w:rsidRPr="007D5AE7">
        <w:rPr>
          <w:rStyle w:val="References"/>
        </w:rPr>
        <w:t>]</w:t>
      </w:r>
    </w:p>
    <w:p w14:paraId="5C40698E" w14:textId="535548F0" w:rsidR="00D02A1B" w:rsidRDefault="00BC36BE">
      <w:pPr>
        <w:pStyle w:val="Normalparatextwithnumbers"/>
      </w:pPr>
      <w:r>
        <w:t>A new step is added to the</w:t>
      </w:r>
      <w:r w:rsidR="00517DA6">
        <w:t xml:space="preserve"> how the ACA of a </w:t>
      </w:r>
      <w:r w:rsidR="003423B9">
        <w:t xml:space="preserve">joining entity </w:t>
      </w:r>
      <w:r w:rsidR="00517DA6">
        <w:t>is worked out</w:t>
      </w:r>
      <w:r>
        <w:t xml:space="preserve"> </w:t>
      </w:r>
      <w:r w:rsidR="003423B9">
        <w:t xml:space="preserve">under </w:t>
      </w:r>
      <w:r w:rsidR="00E55A24">
        <w:t xml:space="preserve">existing </w:t>
      </w:r>
      <w:r w:rsidR="004B5B85">
        <w:t xml:space="preserve">section </w:t>
      </w:r>
      <w:r w:rsidR="003423B9">
        <w:t xml:space="preserve">705-60 of the </w:t>
      </w:r>
      <w:r w:rsidR="00695004">
        <w:t>Act</w:t>
      </w:r>
      <w:r w:rsidR="003423B9">
        <w:t>.</w:t>
      </w:r>
      <w:r w:rsidR="001F29AC">
        <w:t xml:space="preserve"> New step 6A </w:t>
      </w:r>
      <w:r w:rsidR="00E27024">
        <w:t>requires taxpayers to s</w:t>
      </w:r>
      <w:r w:rsidR="001F29AC" w:rsidRPr="001F29AC">
        <w:t>ubtract from the result of step 6 the step 6A amount worked out under section 705</w:t>
      </w:r>
      <w:r w:rsidR="00E27024">
        <w:t>-</w:t>
      </w:r>
      <w:r w:rsidR="001F29AC" w:rsidRPr="001F29AC">
        <w:t>112</w:t>
      </w:r>
      <w:r w:rsidR="00F80F43">
        <w:t xml:space="preserve">. </w:t>
      </w:r>
      <w:r w:rsidR="001E2F5F">
        <w:br/>
      </w:r>
      <w:r w:rsidR="001E2F5F" w:rsidRPr="00685FDF">
        <w:rPr>
          <w:rFonts w:cs="Times New Roman"/>
          <w:b/>
          <w:bCs/>
          <w:i/>
          <w:iCs/>
        </w:rPr>
        <w:t>[Schedule 1, item</w:t>
      </w:r>
      <w:r w:rsidR="00094DB1">
        <w:rPr>
          <w:rFonts w:cs="Times New Roman"/>
          <w:b/>
          <w:bCs/>
          <w:i/>
          <w:iCs/>
        </w:rPr>
        <w:t>s</w:t>
      </w:r>
      <w:r w:rsidR="001E2F5F" w:rsidRPr="00685FDF">
        <w:rPr>
          <w:rFonts w:cs="Times New Roman"/>
          <w:b/>
          <w:bCs/>
          <w:i/>
          <w:iCs/>
        </w:rPr>
        <w:t xml:space="preserve"> </w:t>
      </w:r>
      <w:r w:rsidR="001E2F5F">
        <w:rPr>
          <w:rFonts w:cs="Times New Roman"/>
          <w:b/>
          <w:bCs/>
          <w:i/>
          <w:iCs/>
        </w:rPr>
        <w:t>3 and 4,</w:t>
      </w:r>
      <w:r w:rsidR="001E2F5F" w:rsidRPr="00685FDF">
        <w:rPr>
          <w:rFonts w:cs="Times New Roman"/>
          <w:b/>
          <w:bCs/>
          <w:i/>
          <w:iCs/>
        </w:rPr>
        <w:t xml:space="preserve"> </w:t>
      </w:r>
      <w:r w:rsidR="001E2F5F">
        <w:rPr>
          <w:rFonts w:cs="Times New Roman"/>
          <w:b/>
          <w:bCs/>
          <w:i/>
          <w:iCs/>
        </w:rPr>
        <w:t>table item</w:t>
      </w:r>
      <w:r w:rsidR="00E43A14">
        <w:rPr>
          <w:rFonts w:cs="Times New Roman"/>
          <w:b/>
          <w:bCs/>
          <w:i/>
          <w:iCs/>
        </w:rPr>
        <w:t>s</w:t>
      </w:r>
      <w:r w:rsidR="001E2F5F">
        <w:rPr>
          <w:rFonts w:cs="Times New Roman"/>
          <w:b/>
          <w:bCs/>
          <w:i/>
          <w:iCs/>
        </w:rPr>
        <w:t xml:space="preserve"> 6 and </w:t>
      </w:r>
      <w:r w:rsidR="00094DB1">
        <w:rPr>
          <w:rFonts w:cs="Times New Roman"/>
          <w:b/>
          <w:bCs/>
          <w:i/>
          <w:iCs/>
        </w:rPr>
        <w:t>7</w:t>
      </w:r>
      <w:r w:rsidR="001E2F5F">
        <w:rPr>
          <w:rFonts w:cs="Times New Roman"/>
          <w:b/>
          <w:bCs/>
          <w:i/>
          <w:iCs/>
        </w:rPr>
        <w:t xml:space="preserve"> in </w:t>
      </w:r>
      <w:r w:rsidR="001E2F5F" w:rsidRPr="00685FDF">
        <w:rPr>
          <w:rFonts w:cs="Times New Roman"/>
          <w:b/>
          <w:bCs/>
          <w:i/>
          <w:iCs/>
        </w:rPr>
        <w:t xml:space="preserve">section </w:t>
      </w:r>
      <w:r w:rsidR="001E2F5F">
        <w:rPr>
          <w:rFonts w:cs="Times New Roman"/>
          <w:b/>
          <w:bCs/>
          <w:i/>
          <w:iCs/>
        </w:rPr>
        <w:t>705</w:t>
      </w:r>
      <w:r w:rsidR="001E2F5F" w:rsidRPr="00685FDF">
        <w:rPr>
          <w:rFonts w:cs="Times New Roman"/>
          <w:b/>
          <w:bCs/>
          <w:i/>
          <w:iCs/>
        </w:rPr>
        <w:t>-</w:t>
      </w:r>
      <w:r w:rsidR="001E2F5F">
        <w:rPr>
          <w:rFonts w:cs="Times New Roman"/>
          <w:b/>
          <w:bCs/>
          <w:i/>
          <w:iCs/>
        </w:rPr>
        <w:t>60</w:t>
      </w:r>
      <w:r w:rsidR="001E2F5F" w:rsidRPr="00685FDF">
        <w:rPr>
          <w:rFonts w:cs="Times New Roman"/>
          <w:b/>
          <w:bCs/>
          <w:i/>
          <w:iCs/>
        </w:rPr>
        <w:t>]</w:t>
      </w:r>
    </w:p>
    <w:p w14:paraId="4E542BE8" w14:textId="7A81C606" w:rsidR="00E53232" w:rsidRDefault="001F209E" w:rsidP="00133359">
      <w:pPr>
        <w:pStyle w:val="Normalparatextwithnumbers"/>
      </w:pPr>
      <w:r>
        <w:t xml:space="preserve">The purposes of new step 6A is to stop the joined group getting benefits both through higher tax cost setting amounts for the joining entity’s assets and through FRT disallowed amounts transferred to the head company. </w:t>
      </w:r>
      <w:r w:rsidR="00083791">
        <w:t xml:space="preserve">This is </w:t>
      </w:r>
      <w:proofErr w:type="gramStart"/>
      <w:r w:rsidR="00083791">
        <w:t>similar to</w:t>
      </w:r>
      <w:proofErr w:type="gramEnd"/>
      <w:r w:rsidR="00083791">
        <w:t xml:space="preserve"> purpose of step 6, which is about tax losses. </w:t>
      </w:r>
      <w:r>
        <w:t xml:space="preserve"> </w:t>
      </w:r>
    </w:p>
    <w:p w14:paraId="54F13076" w14:textId="760FEFFF" w:rsidR="009F1067" w:rsidRDefault="00952F42">
      <w:pPr>
        <w:pStyle w:val="Normalparatextwithnumbers"/>
      </w:pPr>
      <w:r>
        <w:t xml:space="preserve">Whilst </w:t>
      </w:r>
      <w:r w:rsidR="007E5C98">
        <w:t xml:space="preserve">it may not </w:t>
      </w:r>
      <w:r w:rsidR="00607FB3">
        <w:t xml:space="preserve">technically </w:t>
      </w:r>
      <w:r w:rsidR="007E5C98">
        <w:t xml:space="preserve">be </w:t>
      </w:r>
      <w:r w:rsidR="00977C64">
        <w:t xml:space="preserve">a </w:t>
      </w:r>
      <w:r w:rsidR="007E5C98">
        <w:t>certain</w:t>
      </w:r>
      <w:r w:rsidR="00977C64">
        <w:t>ty</w:t>
      </w:r>
      <w:r w:rsidR="007E5C98">
        <w:t xml:space="preserve"> that a head company will be able to </w:t>
      </w:r>
      <w:r w:rsidR="00097A36">
        <w:t>utilise</w:t>
      </w:r>
      <w:r w:rsidR="003713B5">
        <w:t xml:space="preserve"> </w:t>
      </w:r>
      <w:r w:rsidR="007E5C98">
        <w:t xml:space="preserve">a </w:t>
      </w:r>
      <w:r w:rsidR="003A0626">
        <w:t>transferred</w:t>
      </w:r>
      <w:r w:rsidR="003713B5">
        <w:t xml:space="preserve"> FRT disallowed amount</w:t>
      </w:r>
      <w:r w:rsidR="003A0626">
        <w:t xml:space="preserve">, </w:t>
      </w:r>
      <w:r w:rsidR="00977C64">
        <w:t xml:space="preserve">it is expected that the </w:t>
      </w:r>
      <w:r w:rsidR="00097A36">
        <w:t xml:space="preserve">head company will generally be </w:t>
      </w:r>
      <w:r w:rsidR="0088681B">
        <w:t>able</w:t>
      </w:r>
      <w:r w:rsidR="00097A36">
        <w:t xml:space="preserve"> to utilise the FRT disallowed amounts, hence the addition of step 6A.  </w:t>
      </w:r>
    </w:p>
    <w:p w14:paraId="4C2394FD" w14:textId="1CD5255E" w:rsidR="00E36617" w:rsidRDefault="008F4EF5">
      <w:pPr>
        <w:pStyle w:val="Normalparatextwithnumbers"/>
      </w:pPr>
      <w:r>
        <w:t xml:space="preserve">The </w:t>
      </w:r>
      <w:r w:rsidRPr="001F29AC">
        <w:t xml:space="preserve">step 6A amount worked out under </w:t>
      </w:r>
      <w:r>
        <w:t xml:space="preserve">new </w:t>
      </w:r>
      <w:r w:rsidRPr="001F29AC">
        <w:t>section 705</w:t>
      </w:r>
      <w:r>
        <w:t>-</w:t>
      </w:r>
      <w:r w:rsidRPr="001F29AC">
        <w:t>112</w:t>
      </w:r>
      <w:r>
        <w:t xml:space="preserve"> is worked out by </w:t>
      </w:r>
      <w:r w:rsidR="00284BC7" w:rsidRPr="008B6DA5">
        <w:t xml:space="preserve">multiplying the sum of the </w:t>
      </w:r>
      <w:r w:rsidR="00284BC7">
        <w:t>transferred FRT disallowed amounts</w:t>
      </w:r>
      <w:r w:rsidR="00284BC7" w:rsidRPr="008B6DA5">
        <w:t xml:space="preserve"> by the corporate tax rate</w:t>
      </w:r>
      <w:r w:rsidR="00184040">
        <w:t xml:space="preserve">. </w:t>
      </w:r>
      <w:r w:rsidR="0001796C" w:rsidRPr="00BB6C26">
        <w:t xml:space="preserve">The </w:t>
      </w:r>
      <w:r w:rsidR="0001796C">
        <w:t xml:space="preserve">transferred </w:t>
      </w:r>
      <w:r w:rsidR="0001796C" w:rsidRPr="00BB6C26">
        <w:t xml:space="preserve">FRT disallowed amounts are the joining entity’s FRT disallowed amounts that are transferred to the head company, to the extent that they </w:t>
      </w:r>
      <w:r w:rsidR="0001796C">
        <w:t>have not already been applied by the joining entity.</w:t>
      </w:r>
      <w:r w:rsidR="001E2F5F">
        <w:br/>
      </w:r>
      <w:r w:rsidR="001E2F5F" w:rsidRPr="00D50115">
        <w:rPr>
          <w:rFonts w:cs="Times New Roman"/>
          <w:b/>
          <w:bCs/>
          <w:i/>
          <w:iCs/>
        </w:rPr>
        <w:t xml:space="preserve">[Schedule 1, item </w:t>
      </w:r>
      <w:r w:rsidR="001E2F5F">
        <w:rPr>
          <w:rFonts w:cs="Times New Roman"/>
          <w:b/>
          <w:bCs/>
          <w:i/>
          <w:iCs/>
        </w:rPr>
        <w:t>5,</w:t>
      </w:r>
      <w:r w:rsidR="001E2F5F" w:rsidRPr="00D50115">
        <w:rPr>
          <w:rFonts w:cs="Times New Roman"/>
          <w:b/>
          <w:bCs/>
          <w:i/>
          <w:iCs/>
        </w:rPr>
        <w:t xml:space="preserve"> section 705-112]</w:t>
      </w:r>
    </w:p>
    <w:p w14:paraId="26C91BDB" w14:textId="716F5EE6" w:rsidR="007A721A" w:rsidRDefault="00A4005A" w:rsidP="00A4005A">
      <w:pPr>
        <w:pStyle w:val="Heading4"/>
      </w:pPr>
      <w:r>
        <w:t>Exemptions to the thin capitalisation rules</w:t>
      </w:r>
    </w:p>
    <w:p w14:paraId="58145664" w14:textId="205E07AD" w:rsidR="00065443" w:rsidRDefault="00EA5D24" w:rsidP="00A31043">
      <w:pPr>
        <w:pStyle w:val="Normalparatextwithnumbers"/>
      </w:pPr>
      <w:r>
        <w:t xml:space="preserve">Section 820-37 </w:t>
      </w:r>
      <w:r w:rsidR="009654DC">
        <w:t xml:space="preserve">of the </w:t>
      </w:r>
      <w:r w:rsidR="000F4EEA">
        <w:t>ITAA 1997</w:t>
      </w:r>
      <w:r w:rsidR="009654DC">
        <w:t xml:space="preserve"> </w:t>
      </w:r>
      <w:r w:rsidR="00E60DA5">
        <w:t xml:space="preserve">currently provides an </w:t>
      </w:r>
      <w:r w:rsidR="00254464">
        <w:t>exemption</w:t>
      </w:r>
      <w:r w:rsidR="00E60DA5">
        <w:t xml:space="preserve"> </w:t>
      </w:r>
      <w:r w:rsidR="00065443">
        <w:t xml:space="preserve">to the thin capitalisation rules </w:t>
      </w:r>
      <w:r w:rsidR="00E60DA5">
        <w:t>for out</w:t>
      </w:r>
      <w:r w:rsidR="00254464">
        <w:t xml:space="preserve">ward investing entities in certain circumstances. </w:t>
      </w:r>
    </w:p>
    <w:p w14:paraId="332B8F62" w14:textId="5E1FFFD4" w:rsidR="0087760D" w:rsidRDefault="0012409A" w:rsidP="00A31043">
      <w:pPr>
        <w:pStyle w:val="Normalparatextwithnumbers"/>
      </w:pPr>
      <w:r>
        <w:t xml:space="preserve">With the </w:t>
      </w:r>
      <w:r w:rsidR="003E74BD">
        <w:t>introduction of</w:t>
      </w:r>
      <w:r>
        <w:t xml:space="preserve"> the new ‘general class inve</w:t>
      </w:r>
      <w:r w:rsidR="00D803A1">
        <w:t>s</w:t>
      </w:r>
      <w:r>
        <w:t>tor’ concept, s</w:t>
      </w:r>
      <w:r w:rsidR="00885CC0">
        <w:t>ection 820-37 is</w:t>
      </w:r>
      <w:r w:rsidR="000940C5">
        <w:t xml:space="preserve"> </w:t>
      </w:r>
      <w:r w:rsidR="00885CC0">
        <w:t xml:space="preserve">amended to ensure it continues to apply to outward investing entities </w:t>
      </w:r>
      <w:r w:rsidR="00EC1CC2">
        <w:t>and</w:t>
      </w:r>
      <w:r w:rsidR="00885CC0">
        <w:t xml:space="preserve"> </w:t>
      </w:r>
      <w:r w:rsidR="00E344D2">
        <w:t xml:space="preserve">now </w:t>
      </w:r>
      <w:r w:rsidR="00885CC0">
        <w:t xml:space="preserve">applies to </w:t>
      </w:r>
      <w:r w:rsidR="007A370F">
        <w:t>general class investors who</w:t>
      </w:r>
      <w:r w:rsidR="005100EA">
        <w:t xml:space="preserve">, assuming those general class investors </w:t>
      </w:r>
      <w:r w:rsidR="007B7D2B">
        <w:t xml:space="preserve">were financial entities, </w:t>
      </w:r>
      <w:r w:rsidR="00900082">
        <w:t xml:space="preserve">would be an outward investing </w:t>
      </w:r>
      <w:r w:rsidR="00B143D5">
        <w:t xml:space="preserve">financial </w:t>
      </w:r>
      <w:r w:rsidR="00900082">
        <w:t>entity</w:t>
      </w:r>
      <w:r w:rsidR="00B143D5">
        <w:t xml:space="preserve"> (non-ADI)</w:t>
      </w:r>
      <w:r w:rsidR="00900082">
        <w:t xml:space="preserve">. </w:t>
      </w:r>
      <w:r w:rsidR="007B7D2B">
        <w:t xml:space="preserve"> </w:t>
      </w:r>
      <w:r w:rsidR="007A370F">
        <w:t xml:space="preserve"> </w:t>
      </w:r>
      <w:r w:rsidR="00BF04E0">
        <w:br/>
      </w:r>
      <w:r w:rsidR="00BF04E0" w:rsidRPr="00BF04E0">
        <w:rPr>
          <w:rStyle w:val="References"/>
        </w:rPr>
        <w:t>[Schedule 1, item 8, paragraph 820</w:t>
      </w:r>
      <w:r w:rsidR="00711AF0">
        <w:rPr>
          <w:rStyle w:val="References"/>
        </w:rPr>
        <w:noBreakHyphen/>
      </w:r>
      <w:r w:rsidR="00BF04E0" w:rsidRPr="00BF04E0">
        <w:rPr>
          <w:rStyle w:val="References"/>
        </w:rPr>
        <w:t>37(1)(a)]</w:t>
      </w:r>
    </w:p>
    <w:p w14:paraId="36FB3E5A" w14:textId="6B6D4D1D" w:rsidR="00900082" w:rsidRDefault="00900082" w:rsidP="00A31043">
      <w:pPr>
        <w:pStyle w:val="Normalparatextwithnumbers"/>
      </w:pPr>
      <w:r>
        <w:lastRenderedPageBreak/>
        <w:t xml:space="preserve">These amendments maintain the policy intention of </w:t>
      </w:r>
      <w:r w:rsidR="004C6AE8">
        <w:t xml:space="preserve">providing an exemption </w:t>
      </w:r>
      <w:r w:rsidR="24646096">
        <w:t>from</w:t>
      </w:r>
      <w:r w:rsidR="004C6AE8">
        <w:t xml:space="preserve"> the thin capitalisation rules for outward investing entities in certain circumstances. </w:t>
      </w:r>
    </w:p>
    <w:p w14:paraId="4DF42E26" w14:textId="68C34856" w:rsidR="00021265" w:rsidRDefault="009654DC" w:rsidP="00A31043">
      <w:pPr>
        <w:pStyle w:val="Normalparatextwithnumbers"/>
      </w:pPr>
      <w:r>
        <w:t xml:space="preserve">Section 820-35 of the </w:t>
      </w:r>
      <w:r w:rsidR="009C5EE5">
        <w:t>ITAA 1997</w:t>
      </w:r>
      <w:r>
        <w:t xml:space="preserve"> currently provides an </w:t>
      </w:r>
      <w:r w:rsidR="007A5943">
        <w:t xml:space="preserve">exemption </w:t>
      </w:r>
      <w:r w:rsidR="7CF20B12">
        <w:t>from</w:t>
      </w:r>
      <w:r w:rsidR="007A5943">
        <w:t xml:space="preserve"> the thin capitalisation rules </w:t>
      </w:r>
      <w:r w:rsidR="00D53246">
        <w:t xml:space="preserve">for </w:t>
      </w:r>
      <w:r w:rsidR="00D53246" w:rsidRPr="00D53246">
        <w:t xml:space="preserve">an entity if the total debt deductions of that entity and all its associate entities for </w:t>
      </w:r>
      <w:r w:rsidR="008F17C9">
        <w:t>an income</w:t>
      </w:r>
      <w:r w:rsidR="00D53246" w:rsidRPr="00D53246">
        <w:t xml:space="preserve"> year are $2 million or less</w:t>
      </w:r>
      <w:r w:rsidR="00D53246">
        <w:t xml:space="preserve">. </w:t>
      </w:r>
      <w:r w:rsidR="00827F75">
        <w:t>Minor</w:t>
      </w:r>
      <w:r w:rsidR="00E344D2">
        <w:t xml:space="preserve"> amendments </w:t>
      </w:r>
      <w:r w:rsidR="00827F75">
        <w:t>are made to this section to ensure it</w:t>
      </w:r>
      <w:r w:rsidR="00770B24">
        <w:t xml:space="preserve"> includes the new thin capitalisation rules set out in new </w:t>
      </w:r>
      <w:r w:rsidR="00E939B5">
        <w:t>subdivision 820-AA.</w:t>
      </w:r>
      <w:r w:rsidR="008C5CC5">
        <w:t xml:space="preserve"> However, th</w:t>
      </w:r>
      <w:r w:rsidR="005D0EEF">
        <w:t xml:space="preserve">e </w:t>
      </w:r>
      <w:r w:rsidR="008C5CC5">
        <w:t>$2 million or less threshold is unchanged</w:t>
      </w:r>
      <w:r w:rsidR="00432141">
        <w:t>.</w:t>
      </w:r>
      <w:r w:rsidR="00E939B5">
        <w:t xml:space="preserve"> </w:t>
      </w:r>
      <w:r w:rsidR="00770B24">
        <w:t xml:space="preserve"> </w:t>
      </w:r>
      <w:r w:rsidR="009C2C81">
        <w:br/>
      </w:r>
      <w:r w:rsidR="009C2C81" w:rsidRPr="009C2C81">
        <w:rPr>
          <w:rStyle w:val="References"/>
        </w:rPr>
        <w:t>[Schedule 1, item 7, section 820-35]</w:t>
      </w:r>
    </w:p>
    <w:p w14:paraId="540FB99C" w14:textId="639099EA" w:rsidR="00AA7D04" w:rsidRDefault="00BB5844" w:rsidP="00BB5844">
      <w:pPr>
        <w:pStyle w:val="Heading4"/>
      </w:pPr>
      <w:r>
        <w:t xml:space="preserve">Definition of </w:t>
      </w:r>
      <w:r w:rsidR="002F1FDE">
        <w:t>‘</w:t>
      </w:r>
      <w:r>
        <w:t>debt deduction</w:t>
      </w:r>
      <w:r w:rsidR="002F1FDE">
        <w:t>’</w:t>
      </w:r>
    </w:p>
    <w:p w14:paraId="19195188" w14:textId="4694E90A" w:rsidR="00AA7D04" w:rsidRDefault="007D4C79" w:rsidP="00A31043">
      <w:pPr>
        <w:pStyle w:val="Normalparatextwithnumbers"/>
      </w:pPr>
      <w:r>
        <w:t xml:space="preserve">The definition of ‘debt deduction’ in section 820-40 of the </w:t>
      </w:r>
      <w:r w:rsidR="00F07F3D">
        <w:t>ITAA 1997</w:t>
      </w:r>
      <w:r>
        <w:t xml:space="preserve"> is amended </w:t>
      </w:r>
      <w:r w:rsidR="00B53814">
        <w:t xml:space="preserve">with the intention to </w:t>
      </w:r>
      <w:r w:rsidR="00A8762F">
        <w:t>capture interest and amounts economically equivalent to interest</w:t>
      </w:r>
      <w:r w:rsidR="004738EA">
        <w:t>, in line with the OECD best practice guidance</w:t>
      </w:r>
      <w:r w:rsidR="00A8762F">
        <w:t xml:space="preserve">. </w:t>
      </w:r>
    </w:p>
    <w:p w14:paraId="170B8886" w14:textId="5F24D183" w:rsidR="00455ED3" w:rsidRDefault="00B27532" w:rsidP="00A31043">
      <w:pPr>
        <w:pStyle w:val="Normalparatextwithnumbers"/>
      </w:pPr>
      <w:r>
        <w:t xml:space="preserve">In particular, the definition is amended to ensure that a cost </w:t>
      </w:r>
      <w:r w:rsidR="00F16568">
        <w:t>incurred</w:t>
      </w:r>
      <w:r>
        <w:t xml:space="preserve"> by an entity does </w:t>
      </w:r>
      <w:r w:rsidR="00F16568" w:rsidRPr="00F16568">
        <w:rPr>
          <w:i/>
          <w:iCs/>
        </w:rPr>
        <w:t>not</w:t>
      </w:r>
      <w:r w:rsidR="00F16568">
        <w:t xml:space="preserve"> need to be incurred in r</w:t>
      </w:r>
      <w:r w:rsidR="00102844">
        <w:t xml:space="preserve">elation to a debt interest </w:t>
      </w:r>
      <w:r w:rsidR="00B879BC">
        <w:t>issued by the entity</w:t>
      </w:r>
      <w:r w:rsidR="00102844">
        <w:t xml:space="preserve"> for that cost to</w:t>
      </w:r>
      <w:r w:rsidR="00175A49">
        <w:t xml:space="preserve"> be </w:t>
      </w:r>
      <w:r w:rsidR="00FD46E6">
        <w:t xml:space="preserve">a </w:t>
      </w:r>
      <w:r w:rsidR="00175A49">
        <w:t xml:space="preserve">debt deduction. </w:t>
      </w:r>
      <w:r w:rsidR="00FD5937">
        <w:t xml:space="preserve">This change means that amounts which </w:t>
      </w:r>
      <w:r w:rsidR="00D558DB">
        <w:t>are economically equivalent to interest</w:t>
      </w:r>
      <w:r w:rsidR="00ED4394">
        <w:t>,</w:t>
      </w:r>
      <w:r w:rsidR="00D558DB">
        <w:t xml:space="preserve"> but </w:t>
      </w:r>
      <w:r w:rsidR="00ED4394">
        <w:t>which</w:t>
      </w:r>
      <w:r w:rsidR="00D558DB">
        <w:t xml:space="preserve"> may not necessarily be incurred in relation to a debt interest</w:t>
      </w:r>
      <w:r w:rsidR="00951643">
        <w:t xml:space="preserve"> issued by the entity</w:t>
      </w:r>
      <w:r w:rsidR="00D558DB">
        <w:t xml:space="preserve">, </w:t>
      </w:r>
      <w:r w:rsidR="00951643">
        <w:t xml:space="preserve">fall within the </w:t>
      </w:r>
      <w:r w:rsidR="00ED4394">
        <w:t>definition</w:t>
      </w:r>
      <w:r w:rsidR="00951643">
        <w:t xml:space="preserve"> of </w:t>
      </w:r>
      <w:r w:rsidR="003B637D">
        <w:t>debt deductions.</w:t>
      </w:r>
      <w:r w:rsidR="009C2C81">
        <w:br/>
      </w:r>
      <w:r w:rsidR="009C2C81" w:rsidRPr="0049187E">
        <w:rPr>
          <w:rStyle w:val="References"/>
        </w:rPr>
        <w:t xml:space="preserve">[Schedule </w:t>
      </w:r>
      <w:r w:rsidR="009C2C81" w:rsidRPr="007D3947">
        <w:rPr>
          <w:rStyle w:val="References"/>
        </w:rPr>
        <w:t xml:space="preserve">1, items </w:t>
      </w:r>
      <w:r w:rsidR="009C2C81">
        <w:rPr>
          <w:rStyle w:val="References"/>
        </w:rPr>
        <w:t>9</w:t>
      </w:r>
      <w:r w:rsidR="0068358A">
        <w:rPr>
          <w:rStyle w:val="References"/>
        </w:rPr>
        <w:t>-11</w:t>
      </w:r>
      <w:r w:rsidR="009C2C81" w:rsidRPr="007D3947">
        <w:rPr>
          <w:rStyle w:val="References"/>
        </w:rPr>
        <w:t xml:space="preserve">, </w:t>
      </w:r>
      <w:r w:rsidR="00094DB1">
        <w:rPr>
          <w:rStyle w:val="References"/>
        </w:rPr>
        <w:t>sub</w:t>
      </w:r>
      <w:r w:rsidR="009C2C81" w:rsidRPr="007D3947">
        <w:rPr>
          <w:rStyle w:val="References"/>
        </w:rPr>
        <w:t>section 820-</w:t>
      </w:r>
      <w:r w:rsidR="009C2C81">
        <w:rPr>
          <w:rStyle w:val="References"/>
        </w:rPr>
        <w:t>40</w:t>
      </w:r>
      <w:r w:rsidR="00094DB1">
        <w:rPr>
          <w:rStyle w:val="References"/>
        </w:rPr>
        <w:t>(1)</w:t>
      </w:r>
      <w:r w:rsidR="009C2C81" w:rsidRPr="007D3947">
        <w:rPr>
          <w:rStyle w:val="References"/>
        </w:rPr>
        <w:t>]</w:t>
      </w:r>
    </w:p>
    <w:p w14:paraId="09B7E2F4" w14:textId="1F6EDE1C" w:rsidR="00AA7D04" w:rsidRDefault="003B7057" w:rsidP="00926220">
      <w:pPr>
        <w:pStyle w:val="Heading4"/>
      </w:pPr>
      <w:r>
        <w:t xml:space="preserve">Removing the deduction for </w:t>
      </w:r>
      <w:r w:rsidR="001D43CE">
        <w:t>768-5</w:t>
      </w:r>
      <w:r w:rsidR="00044731">
        <w:t xml:space="preserve"> </w:t>
      </w:r>
      <w:r>
        <w:t>NANE incom</w:t>
      </w:r>
      <w:r w:rsidR="00044731">
        <w:t>e</w:t>
      </w:r>
    </w:p>
    <w:p w14:paraId="39737C98" w14:textId="68716266" w:rsidR="001C3EBE" w:rsidRDefault="002C228F" w:rsidP="002C228F">
      <w:pPr>
        <w:pStyle w:val="Normalparatextwithnumbers"/>
      </w:pPr>
      <w:r>
        <w:t xml:space="preserve">Section 768-5 of the </w:t>
      </w:r>
      <w:r w:rsidR="00542EDD">
        <w:t>ITAA 1997</w:t>
      </w:r>
      <w:r>
        <w:t xml:space="preserve"> deems certain foreign equity </w:t>
      </w:r>
      <w:r w:rsidR="00CB48DF">
        <w:t>distributions</w:t>
      </w:r>
      <w:r>
        <w:t xml:space="preserve"> as no</w:t>
      </w:r>
      <w:r w:rsidR="00CE0A02">
        <w:t>n-</w:t>
      </w:r>
      <w:r>
        <w:t>assessable no</w:t>
      </w:r>
      <w:r w:rsidR="00CE0A02">
        <w:t>n-</w:t>
      </w:r>
      <w:r>
        <w:t>exempt (NANE) income of an entity. At the same time, section</w:t>
      </w:r>
      <w:r w:rsidR="00B2445D">
        <w:t>s</w:t>
      </w:r>
      <w:r>
        <w:t xml:space="preserve"> 25-90 </w:t>
      </w:r>
      <w:r w:rsidR="00B2445D">
        <w:t xml:space="preserve">and 230-15 </w:t>
      </w:r>
      <w:r>
        <w:t xml:space="preserve">of the </w:t>
      </w:r>
      <w:r w:rsidR="00542EDD">
        <w:t>ITAA 1997</w:t>
      </w:r>
      <w:r>
        <w:t xml:space="preserve"> provide that interest expenses incurred to derive this NANE income </w:t>
      </w:r>
      <w:r w:rsidR="001C3EBE">
        <w:t>are</w:t>
      </w:r>
      <w:r>
        <w:t xml:space="preserve"> deductible. This is contrary to the general rule in Australia’s tax system </w:t>
      </w:r>
      <w:r w:rsidR="000F002F">
        <w:t>which</w:t>
      </w:r>
      <w:r>
        <w:t xml:space="preserve"> provides that expenses incurred in deriving NANE income are non-deductible. </w:t>
      </w:r>
    </w:p>
    <w:p w14:paraId="67A99A6C" w14:textId="178D89FF" w:rsidR="00D3428A" w:rsidRDefault="00D3428A" w:rsidP="002C228F">
      <w:pPr>
        <w:pStyle w:val="Normalparatextwithnumbers"/>
      </w:pPr>
      <w:r>
        <w:t xml:space="preserve">Additionally, the policy intent of the new earnings-based </w:t>
      </w:r>
      <w:r w:rsidR="001B4056">
        <w:t>tests</w:t>
      </w:r>
      <w:r>
        <w:t xml:space="preserve"> is to limit the amount of deductible inter</w:t>
      </w:r>
      <w:r w:rsidRPr="00005026">
        <w:t xml:space="preserve">est expense </w:t>
      </w:r>
      <w:r w:rsidR="00A53483">
        <w:t xml:space="preserve">by reference to </w:t>
      </w:r>
      <w:r w:rsidRPr="00005026">
        <w:t>earnings – that is, an entity is only able</w:t>
      </w:r>
      <w:r>
        <w:t xml:space="preserve"> to increase its net interest deductions in Australia by increasing earnings in Australia. The rules </w:t>
      </w:r>
      <w:r w:rsidR="00005026">
        <w:t xml:space="preserve">described in the paragraph above </w:t>
      </w:r>
      <w:r>
        <w:t>go against the policy underlying the new rules as it gives rise to a double benefit</w:t>
      </w:r>
      <w:r w:rsidR="00005026">
        <w:t>;</w:t>
      </w:r>
      <w:r>
        <w:t xml:space="preserve"> the benefit of the income being </w:t>
      </w:r>
      <w:r w:rsidR="00005026">
        <w:t>NANE</w:t>
      </w:r>
      <w:r>
        <w:t xml:space="preserve"> income and the benefit of a deduction for the interest expenses incurred to derive such NANE income. </w:t>
      </w:r>
    </w:p>
    <w:p w14:paraId="2BF46629" w14:textId="4676F529" w:rsidR="001D1E55" w:rsidRDefault="001D1E55" w:rsidP="002C228F">
      <w:pPr>
        <w:pStyle w:val="Normalparatextwithnumbers"/>
      </w:pPr>
      <w:r>
        <w:t xml:space="preserve">To address this double benefit and ensure the effectiveness of the thin capitalisation </w:t>
      </w:r>
      <w:r w:rsidR="00746A8A">
        <w:t>rules</w:t>
      </w:r>
      <w:r>
        <w:t xml:space="preserve">, sections 25-90 and 230-15 are amended </w:t>
      </w:r>
      <w:r w:rsidR="00B93DB2">
        <w:t>so that</w:t>
      </w:r>
      <w:r>
        <w:t xml:space="preserve"> they do not </w:t>
      </w:r>
      <w:r w:rsidR="00CF5E9A">
        <w:t>allow a deduction for</w:t>
      </w:r>
      <w:r>
        <w:t xml:space="preserve"> interest expenses incurred to derive </w:t>
      </w:r>
      <w:r w:rsidR="00144ED0">
        <w:t>the</w:t>
      </w:r>
      <w:r>
        <w:t xml:space="preserve"> NANE income </w:t>
      </w:r>
      <w:r w:rsidR="00CF5E9A">
        <w:lastRenderedPageBreak/>
        <w:t xml:space="preserve">under section 768-5. </w:t>
      </w:r>
      <w:r w:rsidR="00BF04E0">
        <w:br/>
      </w:r>
      <w:r w:rsidR="00BF04E0" w:rsidRPr="00BF04E0">
        <w:rPr>
          <w:rStyle w:val="References"/>
        </w:rPr>
        <w:t xml:space="preserve">[Schedule </w:t>
      </w:r>
      <w:r w:rsidR="00BF04E0">
        <w:rPr>
          <w:rStyle w:val="References"/>
        </w:rPr>
        <w:t>1</w:t>
      </w:r>
      <w:r w:rsidR="00BF04E0" w:rsidRPr="00BF04E0">
        <w:rPr>
          <w:rStyle w:val="References"/>
        </w:rPr>
        <w:t>, items 1</w:t>
      </w:r>
      <w:r w:rsidR="00711AF0">
        <w:rPr>
          <w:rStyle w:val="References"/>
        </w:rPr>
        <w:t xml:space="preserve"> and</w:t>
      </w:r>
      <w:r w:rsidR="00093F53">
        <w:rPr>
          <w:rStyle w:val="References"/>
        </w:rPr>
        <w:t xml:space="preserve"> </w:t>
      </w:r>
      <w:r w:rsidR="00BF04E0" w:rsidRPr="00BF04E0">
        <w:rPr>
          <w:rStyle w:val="References"/>
        </w:rPr>
        <w:t xml:space="preserve">2, </w:t>
      </w:r>
      <w:r w:rsidR="00711AF0">
        <w:rPr>
          <w:rStyle w:val="References"/>
        </w:rPr>
        <w:t>paragraphs</w:t>
      </w:r>
      <w:r w:rsidR="00711AF0" w:rsidRPr="00BF04E0">
        <w:rPr>
          <w:rStyle w:val="References"/>
        </w:rPr>
        <w:t xml:space="preserve"> </w:t>
      </w:r>
      <w:r w:rsidR="00BF04E0" w:rsidRPr="00BF04E0">
        <w:rPr>
          <w:rStyle w:val="References"/>
        </w:rPr>
        <w:t>25-90</w:t>
      </w:r>
      <w:r w:rsidR="00711AF0">
        <w:rPr>
          <w:rStyle w:val="References"/>
        </w:rPr>
        <w:t>(b)</w:t>
      </w:r>
      <w:r w:rsidR="00BF04E0" w:rsidRPr="00BF04E0">
        <w:rPr>
          <w:rStyle w:val="References"/>
        </w:rPr>
        <w:t xml:space="preserve"> and 230-15</w:t>
      </w:r>
      <w:r w:rsidR="00711AF0">
        <w:rPr>
          <w:rStyle w:val="References"/>
        </w:rPr>
        <w:t>(3)(c)</w:t>
      </w:r>
      <w:r w:rsidR="00BF04E0" w:rsidRPr="00BF04E0">
        <w:rPr>
          <w:rStyle w:val="References"/>
        </w:rPr>
        <w:t>]</w:t>
      </w:r>
    </w:p>
    <w:p w14:paraId="470BAD1F" w14:textId="17B851A3" w:rsidR="00BB5844" w:rsidRDefault="00003E43" w:rsidP="00003E43">
      <w:pPr>
        <w:pStyle w:val="Heading4"/>
      </w:pPr>
      <w:r>
        <w:t>‘Associate entity’ – complying superannuation fund exemption</w:t>
      </w:r>
    </w:p>
    <w:p w14:paraId="1A9D04E1" w14:textId="38C65073" w:rsidR="00471E3B" w:rsidRDefault="00BE3DA6" w:rsidP="002F1FDE">
      <w:pPr>
        <w:pStyle w:val="Normalparatextwithnumbers"/>
      </w:pPr>
      <w:bookmarkStart w:id="53" w:name="_Ref127981968"/>
      <w:r>
        <w:t>The</w:t>
      </w:r>
      <w:r w:rsidR="00C97CCB">
        <w:t xml:space="preserve"> </w:t>
      </w:r>
      <w:r w:rsidR="00964E25">
        <w:t xml:space="preserve">definition of ‘associate entity’ in section 820-905 of the </w:t>
      </w:r>
      <w:r w:rsidR="00144ED0">
        <w:t>ITAA 1997</w:t>
      </w:r>
      <w:r w:rsidR="00964E25">
        <w:t xml:space="preserve"> </w:t>
      </w:r>
      <w:r w:rsidR="00144ED0">
        <w:t>can</w:t>
      </w:r>
      <w:r w:rsidR="00964E25">
        <w:t xml:space="preserve"> </w:t>
      </w:r>
      <w:r w:rsidR="00B477D9">
        <w:t>operate too broadly in relation to superannuation funds</w:t>
      </w:r>
      <w:r w:rsidR="003234F3">
        <w:t xml:space="preserve"> and </w:t>
      </w:r>
      <w:r w:rsidR="00471E3B">
        <w:t>inappropriately restrict their ability to borrow</w:t>
      </w:r>
      <w:r w:rsidR="00B477D9">
        <w:t xml:space="preserve">. </w:t>
      </w:r>
      <w:r w:rsidR="00B7057B">
        <w:t xml:space="preserve">The associate entity rules were introduced at a point when the Australian superannuation sector was in a relatively </w:t>
      </w:r>
      <w:r w:rsidR="000E162B">
        <w:t>early</w:t>
      </w:r>
      <w:r w:rsidR="00B7057B">
        <w:t xml:space="preserve"> stage.</w:t>
      </w:r>
      <w:bookmarkEnd w:id="53"/>
    </w:p>
    <w:p w14:paraId="6416334B" w14:textId="2698D65A" w:rsidR="003234F3" w:rsidRDefault="00B7057B" w:rsidP="002F1FDE">
      <w:pPr>
        <w:pStyle w:val="Normalparatextwithnumbers"/>
      </w:pPr>
      <w:r>
        <w:t>In the intervening period, s</w:t>
      </w:r>
      <w:r w:rsidR="003A4711">
        <w:t>uperannuation funds</w:t>
      </w:r>
      <w:r w:rsidR="00C16E93">
        <w:t xml:space="preserve"> </w:t>
      </w:r>
      <w:r w:rsidR="00D06E3B">
        <w:t xml:space="preserve">have grown </w:t>
      </w:r>
      <w:r w:rsidR="005E70A1">
        <w:t>to</w:t>
      </w:r>
      <w:r w:rsidR="003A4711">
        <w:t xml:space="preserve"> have significant investments in a variety of different assets</w:t>
      </w:r>
      <w:r w:rsidR="00DB7CDF">
        <w:t xml:space="preserve"> and are now an important </w:t>
      </w:r>
      <w:r w:rsidR="398C6842">
        <w:t>s</w:t>
      </w:r>
      <w:r w:rsidR="0144AB6F">
        <w:t>o</w:t>
      </w:r>
      <w:r w:rsidR="398C6842">
        <w:t>urce</w:t>
      </w:r>
      <w:r w:rsidR="00DB7CDF">
        <w:t xml:space="preserve"> of capital </w:t>
      </w:r>
      <w:r w:rsidR="004955C5">
        <w:t>investment for</w:t>
      </w:r>
      <w:r w:rsidR="00DB7CDF">
        <w:t xml:space="preserve"> Australian assets, particularly infrastructure assets</w:t>
      </w:r>
      <w:r w:rsidR="003A4711">
        <w:t xml:space="preserve">. </w:t>
      </w:r>
      <w:r w:rsidR="006E5223">
        <w:t>Under the current rules, t</w:t>
      </w:r>
      <w:r w:rsidR="0025543C">
        <w:t xml:space="preserve">hese investments </w:t>
      </w:r>
      <w:r w:rsidR="00233A47">
        <w:t xml:space="preserve">may cause </w:t>
      </w:r>
      <w:r w:rsidR="00F84FEF">
        <w:t xml:space="preserve">superannuation funds to have a relatively large number of </w:t>
      </w:r>
      <w:r w:rsidR="00C16E93">
        <w:t>associate entities</w:t>
      </w:r>
      <w:r w:rsidR="00DA5D67">
        <w:t>, which would bring their investments into scope of the thin capitalisation rules</w:t>
      </w:r>
      <w:r w:rsidR="00DC2C15">
        <w:t xml:space="preserve">. However, superannuation funds </w:t>
      </w:r>
      <w:r w:rsidR="00961C4D">
        <w:t xml:space="preserve">are subject to a relatively strong </w:t>
      </w:r>
      <w:r w:rsidR="00336119">
        <w:t>regula</w:t>
      </w:r>
      <w:r w:rsidR="004328E5">
        <w:t>t</w:t>
      </w:r>
      <w:r w:rsidR="00336119">
        <w:t xml:space="preserve">ory regime and generally </w:t>
      </w:r>
      <w:r w:rsidR="00C16E93">
        <w:t>do not</w:t>
      </w:r>
      <w:r w:rsidR="003234F3">
        <w:t xml:space="preserve"> exercise </w:t>
      </w:r>
      <w:r w:rsidR="00CD765A">
        <w:t xml:space="preserve">any </w:t>
      </w:r>
      <w:r w:rsidR="003234F3">
        <w:t>meaningful control over their associate entities.</w:t>
      </w:r>
      <w:r w:rsidR="004F19D4">
        <w:t xml:space="preserve"> On this basis, the associate entity definition (to the extent it relates to the thin capitalisation rules) </w:t>
      </w:r>
      <w:r w:rsidR="00AA6787">
        <w:t>is</w:t>
      </w:r>
      <w:r w:rsidR="000150F9">
        <w:t xml:space="preserve"> </w:t>
      </w:r>
      <w:r w:rsidR="004F19D4">
        <w:t>no longer fit-for-purpose for Australian superannuation funds.</w:t>
      </w:r>
    </w:p>
    <w:p w14:paraId="6E272DB3" w14:textId="7641F64B" w:rsidR="003A4711" w:rsidRDefault="00471E3B" w:rsidP="002F1FDE">
      <w:pPr>
        <w:pStyle w:val="Normalparatextwithnumbers"/>
      </w:pPr>
      <w:r>
        <w:t>To address this issue, the definition of ‘associate entity’</w:t>
      </w:r>
      <w:r w:rsidR="00C642CC">
        <w:t xml:space="preserve"> </w:t>
      </w:r>
      <w:r w:rsidR="00FA17AD">
        <w:t>in section 820</w:t>
      </w:r>
      <w:r w:rsidR="00711AF0">
        <w:noBreakHyphen/>
      </w:r>
      <w:r w:rsidR="00FA17AD">
        <w:t xml:space="preserve">905 </w:t>
      </w:r>
      <w:r w:rsidR="00C642CC">
        <w:t xml:space="preserve">is amended </w:t>
      </w:r>
      <w:r w:rsidR="00FA17AD">
        <w:t xml:space="preserve">so that it does not apply </w:t>
      </w:r>
      <w:r w:rsidR="000D16CE">
        <w:t xml:space="preserve">to a trustee of a </w:t>
      </w:r>
      <w:r w:rsidR="000D16CE" w:rsidRPr="00F03719">
        <w:t>complying superannuation entity</w:t>
      </w:r>
      <w:r w:rsidR="000D16CE">
        <w:t xml:space="preserve"> </w:t>
      </w:r>
      <w:r w:rsidR="000D16CE" w:rsidRPr="006F2A46">
        <w:t>(other than a self</w:t>
      </w:r>
      <w:r w:rsidR="000150F9">
        <w:t>-</w:t>
      </w:r>
      <w:r w:rsidR="000D16CE" w:rsidRPr="006F2A46">
        <w:t>managed superannuation fund)</w:t>
      </w:r>
      <w:r w:rsidR="000D16CE">
        <w:t>.</w:t>
      </w:r>
      <w:r w:rsidR="00BF04E0">
        <w:br/>
      </w:r>
      <w:r w:rsidR="00BF04E0" w:rsidRPr="00BF04E0">
        <w:rPr>
          <w:rStyle w:val="References"/>
        </w:rPr>
        <w:t>[Schedule 1, item 4</w:t>
      </w:r>
      <w:r w:rsidR="00BF04E0">
        <w:rPr>
          <w:rStyle w:val="References"/>
        </w:rPr>
        <w:t>5,</w:t>
      </w:r>
      <w:r w:rsidR="00BF04E0" w:rsidRPr="00BF04E0">
        <w:rPr>
          <w:rStyle w:val="References"/>
        </w:rPr>
        <w:t xml:space="preserve"> subsection 820-905(1)]</w:t>
      </w:r>
    </w:p>
    <w:p w14:paraId="5D735D11" w14:textId="77777777" w:rsidR="00873094" w:rsidRPr="00020288" w:rsidRDefault="00873094" w:rsidP="005D0844">
      <w:pPr>
        <w:pStyle w:val="Heading2"/>
        <w:rPr>
          <w:rFonts w:hint="eastAsia"/>
        </w:rPr>
      </w:pPr>
      <w:bookmarkStart w:id="54" w:name="_Toc128658072"/>
      <w:bookmarkStart w:id="55" w:name="_Toc78193246"/>
      <w:bookmarkStart w:id="56" w:name="_Toc78193403"/>
      <w:bookmarkStart w:id="57" w:name="_Toc78548476"/>
      <w:bookmarkStart w:id="58" w:name="_Toc78549747"/>
      <w:bookmarkStart w:id="59" w:name="_Toc78549791"/>
      <w:r w:rsidRPr="005D0844">
        <w:t>Consequential</w:t>
      </w:r>
      <w:r w:rsidRPr="00020288">
        <w:t xml:space="preserve"> amendments</w:t>
      </w:r>
      <w:bookmarkEnd w:id="54"/>
    </w:p>
    <w:p w14:paraId="69308F55" w14:textId="7B62AEE3" w:rsidR="009C7D13" w:rsidRDefault="009C2C81" w:rsidP="00CF7B83">
      <w:pPr>
        <w:pStyle w:val="Normalparatextwithnumbers"/>
        <w:numPr>
          <w:ilvl w:val="1"/>
          <w:numId w:val="3"/>
        </w:numPr>
      </w:pPr>
      <w:r w:rsidRPr="009C2C81">
        <w:t xml:space="preserve">Section 815-140 </w:t>
      </w:r>
      <w:r w:rsidR="00B021EA">
        <w:t xml:space="preserve">of the ITAA 1997 </w:t>
      </w:r>
      <w:r w:rsidR="00203CA0">
        <w:t>m</w:t>
      </w:r>
      <w:r w:rsidR="004A53AF">
        <w:t xml:space="preserve">akes modifications to </w:t>
      </w:r>
      <w:r w:rsidR="00103457">
        <w:t>certain transfer pricing rules in Division 815</w:t>
      </w:r>
      <w:r w:rsidR="004A53AF">
        <w:t xml:space="preserve"> where </w:t>
      </w:r>
      <w:r w:rsidR="00BE1CA8">
        <w:t>the arm’s length conditions</w:t>
      </w:r>
      <w:r w:rsidR="004A53AF">
        <w:t xml:space="preserve"> have</w:t>
      </w:r>
      <w:r w:rsidR="00093F53">
        <w:t xml:space="preserve"> </w:t>
      </w:r>
      <w:r w:rsidR="004A53AF">
        <w:t>operated to affect costs that are debt deduction</w:t>
      </w:r>
      <w:r w:rsidR="00103457">
        <w:t>s</w:t>
      </w:r>
      <w:r w:rsidR="0058764C">
        <w:t xml:space="preserve"> </w:t>
      </w:r>
      <w:r w:rsidR="00A25D33">
        <w:t xml:space="preserve">may operate to </w:t>
      </w:r>
      <w:r w:rsidR="0045449A">
        <w:t xml:space="preserve">the application of </w:t>
      </w:r>
    </w:p>
    <w:p w14:paraId="30457672" w14:textId="3583E3EB" w:rsidR="0045449A" w:rsidRDefault="00CE1779" w:rsidP="00CF7B83">
      <w:pPr>
        <w:pStyle w:val="Normalparatextwithnumbers"/>
        <w:numPr>
          <w:ilvl w:val="1"/>
          <w:numId w:val="3"/>
        </w:numPr>
      </w:pPr>
      <w:r>
        <w:t xml:space="preserve">The existing </w:t>
      </w:r>
      <w:r w:rsidR="004676CD">
        <w:t xml:space="preserve">thin </w:t>
      </w:r>
      <w:r w:rsidR="00630A89">
        <w:t xml:space="preserve">capitalisation </w:t>
      </w:r>
      <w:r w:rsidR="004676CD">
        <w:t xml:space="preserve">rules </w:t>
      </w:r>
      <w:r w:rsidR="00630A89">
        <w:t>operate to determine a</w:t>
      </w:r>
      <w:r w:rsidR="00E03547">
        <w:t xml:space="preserve">n amount of maximum allowable debt. Broadly, this is amount of debt that an entity can have before it </w:t>
      </w:r>
      <w:proofErr w:type="gramStart"/>
      <w:r w:rsidR="00E03547">
        <w:t>is considered to be</w:t>
      </w:r>
      <w:proofErr w:type="gramEnd"/>
      <w:r w:rsidR="00E03547">
        <w:t xml:space="preserve"> thinly capitalised and debt deductions </w:t>
      </w:r>
      <w:r w:rsidR="00023176">
        <w:t>are</w:t>
      </w:r>
      <w:r w:rsidR="00E03547">
        <w:t xml:space="preserve"> disallowed. </w:t>
      </w:r>
    </w:p>
    <w:p w14:paraId="340C51C1" w14:textId="47305DF8" w:rsidR="00FC14B3" w:rsidRDefault="00FC14B3" w:rsidP="00CF7B83">
      <w:pPr>
        <w:pStyle w:val="Normalparatextwithnumbers"/>
        <w:numPr>
          <w:ilvl w:val="1"/>
          <w:numId w:val="3"/>
        </w:numPr>
      </w:pPr>
      <w:r>
        <w:t xml:space="preserve">As debt deductions </w:t>
      </w:r>
      <w:r w:rsidR="004676CD">
        <w:t>are</w:t>
      </w:r>
      <w:r w:rsidR="005B6544">
        <w:t xml:space="preserve"> disallowed on a quantum</w:t>
      </w:r>
      <w:r w:rsidR="004676CD">
        <w:t xml:space="preserve"> of debt</w:t>
      </w:r>
      <w:r w:rsidR="005B6544">
        <w:t xml:space="preserve"> basis in </w:t>
      </w:r>
      <w:r w:rsidR="0017746E">
        <w:t xml:space="preserve">existing </w:t>
      </w:r>
      <w:r w:rsidR="005B6544">
        <w:t xml:space="preserve">Division 820, </w:t>
      </w:r>
      <w:r w:rsidR="009355EF">
        <w:t xml:space="preserve">it was not necessary for the </w:t>
      </w:r>
      <w:r w:rsidR="009273FF">
        <w:t>ar</w:t>
      </w:r>
      <w:r w:rsidR="009273FF" w:rsidRPr="009273FF">
        <w:t>m's length conditions</w:t>
      </w:r>
      <w:r w:rsidR="009273FF">
        <w:t xml:space="preserve"> in Division 815 to </w:t>
      </w:r>
      <w:r w:rsidR="00B8533C">
        <w:t xml:space="preserve">also </w:t>
      </w:r>
      <w:r w:rsidR="00A467BD">
        <w:t xml:space="preserve">seek to do this. </w:t>
      </w:r>
      <w:r w:rsidR="002C6547">
        <w:t xml:space="preserve">Section 815-140 effectively disapplied the arm’s length conditions in relation to the quantum </w:t>
      </w:r>
      <w:r w:rsidR="00434659">
        <w:t xml:space="preserve">of the debt interest. </w:t>
      </w:r>
    </w:p>
    <w:p w14:paraId="77CF0FB1" w14:textId="3540FB1C" w:rsidR="009C2C81" w:rsidRPr="002E521E" w:rsidRDefault="00A467BD">
      <w:pPr>
        <w:pStyle w:val="Normalparatextwithnumbers"/>
        <w:numPr>
          <w:ilvl w:val="1"/>
          <w:numId w:val="3"/>
        </w:numPr>
        <w:rPr>
          <w:rStyle w:val="References"/>
          <w:b w:val="0"/>
          <w:bCs w:val="0"/>
          <w:i w:val="0"/>
          <w:iCs w:val="0"/>
        </w:rPr>
      </w:pPr>
      <w:r>
        <w:t xml:space="preserve">However, as the new thin capitalisation </w:t>
      </w:r>
      <w:r w:rsidR="002F0CE4">
        <w:t xml:space="preserve">tests </w:t>
      </w:r>
      <w:r w:rsidR="003A3DCD">
        <w:t>deny debt deductions on an earnings basis</w:t>
      </w:r>
      <w:r w:rsidR="00434659">
        <w:t>,</w:t>
      </w:r>
      <w:r w:rsidR="003A3DCD">
        <w:t xml:space="preserve"> </w:t>
      </w:r>
      <w:r w:rsidR="00B34871">
        <w:t xml:space="preserve">the </w:t>
      </w:r>
      <w:r w:rsidR="002C6547">
        <w:t>arm’s length conditions should not be disapplied</w:t>
      </w:r>
      <w:r w:rsidR="00434659">
        <w:t xml:space="preserve"> for </w:t>
      </w:r>
      <w:r w:rsidR="00964B81">
        <w:t xml:space="preserve">entities using the new </w:t>
      </w:r>
      <w:r w:rsidR="00C00269">
        <w:t>earnings</w:t>
      </w:r>
      <w:r w:rsidR="0017746E">
        <w:t>-</w:t>
      </w:r>
      <w:r w:rsidR="00C00269">
        <w:t xml:space="preserve">based tests. Consequential amendments are made to </w:t>
      </w:r>
      <w:r w:rsidR="0017746E">
        <w:lastRenderedPageBreak/>
        <w:t>ensure this outcome</w:t>
      </w:r>
      <w:r w:rsidR="00C00269">
        <w:t>.</w:t>
      </w:r>
      <w:r w:rsidR="009C2C81">
        <w:t xml:space="preserve"> </w:t>
      </w:r>
      <w:r w:rsidR="009C2C81">
        <w:br/>
      </w:r>
      <w:r w:rsidR="009C2C81" w:rsidRPr="009C2C81">
        <w:rPr>
          <w:rStyle w:val="References"/>
        </w:rPr>
        <w:t xml:space="preserve">[Schedule </w:t>
      </w:r>
      <w:r w:rsidR="009C2C81">
        <w:rPr>
          <w:rStyle w:val="References"/>
        </w:rPr>
        <w:t>1</w:t>
      </w:r>
      <w:r w:rsidR="009C2C81" w:rsidRPr="009C2C81">
        <w:rPr>
          <w:rStyle w:val="References"/>
        </w:rPr>
        <w:t xml:space="preserve">, item </w:t>
      </w:r>
      <w:r w:rsidR="006D2F71">
        <w:rPr>
          <w:rStyle w:val="References"/>
        </w:rPr>
        <w:t>6</w:t>
      </w:r>
      <w:r w:rsidR="009C2C81" w:rsidRPr="009C2C81">
        <w:rPr>
          <w:rStyle w:val="References"/>
        </w:rPr>
        <w:t>, section 815-140</w:t>
      </w:r>
      <w:r w:rsidR="009C2C81">
        <w:rPr>
          <w:rStyle w:val="References"/>
        </w:rPr>
        <w:t>]</w:t>
      </w:r>
    </w:p>
    <w:p w14:paraId="24EA93A4" w14:textId="264000D3" w:rsidR="002E521E" w:rsidRPr="00180153" w:rsidRDefault="002E521E" w:rsidP="00180153">
      <w:pPr>
        <w:pStyle w:val="Heading6"/>
        <w:rPr>
          <w:rStyle w:val="References"/>
          <w:rFonts w:ascii="Helvetica" w:hAnsi="Helvetica" w:cs="Helvetica"/>
          <w:b w:val="0"/>
          <w:bCs w:val="0"/>
          <w:i/>
        </w:rPr>
      </w:pPr>
      <w:r w:rsidRPr="00180153">
        <w:rPr>
          <w:rStyle w:val="References"/>
          <w:rFonts w:ascii="Helvetica" w:hAnsi="Helvetica" w:cs="Helvetica"/>
          <w:b w:val="0"/>
          <w:bCs w:val="0"/>
          <w:i/>
        </w:rPr>
        <w:t xml:space="preserve">General class investor </w:t>
      </w:r>
      <w:r w:rsidR="00B021EA">
        <w:rPr>
          <w:rStyle w:val="References"/>
          <w:rFonts w:ascii="Helvetica" w:hAnsi="Helvetica" w:cs="Helvetica"/>
          <w:b w:val="0"/>
          <w:bCs w:val="0"/>
          <w:i/>
        </w:rPr>
        <w:t xml:space="preserve">consequential </w:t>
      </w:r>
      <w:r w:rsidR="009C7D13">
        <w:rPr>
          <w:rStyle w:val="References"/>
          <w:rFonts w:ascii="Helvetica" w:hAnsi="Helvetica" w:cs="Helvetica"/>
          <w:b w:val="0"/>
          <w:bCs w:val="0"/>
          <w:i/>
        </w:rPr>
        <w:t>amendments</w:t>
      </w:r>
    </w:p>
    <w:p w14:paraId="23755551" w14:textId="1FCB78DA" w:rsidR="002E521E" w:rsidRPr="006D2F71" w:rsidRDefault="002E521E">
      <w:pPr>
        <w:pStyle w:val="Normalparatextwithnumbers"/>
        <w:numPr>
          <w:ilvl w:val="1"/>
          <w:numId w:val="3"/>
        </w:numPr>
        <w:rPr>
          <w:rStyle w:val="References"/>
          <w:b w:val="0"/>
          <w:bCs w:val="0"/>
          <w:i w:val="0"/>
          <w:iCs w:val="0"/>
        </w:rPr>
      </w:pPr>
      <w:r>
        <w:t xml:space="preserve">In line with the consolidated approach to group general investors, references to the definitions of </w:t>
      </w:r>
      <w:r w:rsidRPr="0078173C">
        <w:t>‘outward investor (general)’, ‘inward investor (general)’ and ‘inward investment vehicle (general)’</w:t>
      </w:r>
      <w:r>
        <w:t xml:space="preserve"> throughout Division 820 and the section 995-1 have been removed. </w:t>
      </w:r>
      <w:r>
        <w:br/>
      </w:r>
      <w:r w:rsidRPr="008A79B0">
        <w:rPr>
          <w:rStyle w:val="References"/>
        </w:rPr>
        <w:t xml:space="preserve">[Schedule 1, items </w:t>
      </w:r>
      <w:r>
        <w:rPr>
          <w:rStyle w:val="References"/>
        </w:rPr>
        <w:t>14</w:t>
      </w:r>
      <w:r w:rsidRPr="008A79B0">
        <w:rPr>
          <w:rStyle w:val="References"/>
        </w:rPr>
        <w:t>, 1</w:t>
      </w:r>
      <w:r>
        <w:rPr>
          <w:rStyle w:val="References"/>
        </w:rPr>
        <w:t>7</w:t>
      </w:r>
      <w:r w:rsidRPr="008A79B0">
        <w:rPr>
          <w:rStyle w:val="References"/>
        </w:rPr>
        <w:t>, subsections 820-90(1) and (2)</w:t>
      </w:r>
      <w:r>
        <w:rPr>
          <w:rStyle w:val="References"/>
        </w:rPr>
        <w:t>,</w:t>
      </w:r>
      <w:r w:rsidRPr="008A79B0">
        <w:rPr>
          <w:rStyle w:val="References"/>
        </w:rPr>
        <w:t xml:space="preserve"> </w:t>
      </w:r>
      <w:r w:rsidR="001E0783">
        <w:rPr>
          <w:rStyle w:val="References"/>
        </w:rPr>
        <w:t xml:space="preserve">items </w:t>
      </w:r>
      <w:r w:rsidRPr="008A79B0">
        <w:rPr>
          <w:rStyle w:val="References"/>
        </w:rPr>
        <w:t>2</w:t>
      </w:r>
      <w:r>
        <w:rPr>
          <w:rStyle w:val="References"/>
        </w:rPr>
        <w:t>7</w:t>
      </w:r>
      <w:r w:rsidRPr="008A79B0">
        <w:rPr>
          <w:rStyle w:val="References"/>
        </w:rPr>
        <w:t>, 2</w:t>
      </w:r>
      <w:r>
        <w:rPr>
          <w:rStyle w:val="References"/>
        </w:rPr>
        <w:t>8</w:t>
      </w:r>
      <w:r w:rsidRPr="008A79B0">
        <w:rPr>
          <w:rStyle w:val="References"/>
        </w:rPr>
        <w:t>,</w:t>
      </w:r>
      <w:r>
        <w:rPr>
          <w:rStyle w:val="References"/>
        </w:rPr>
        <w:t xml:space="preserve"> </w:t>
      </w:r>
      <w:r w:rsidRPr="008A79B0">
        <w:rPr>
          <w:rStyle w:val="References"/>
        </w:rPr>
        <w:t>paragraphs 820-185(3)(a) and (b)</w:t>
      </w:r>
      <w:r>
        <w:rPr>
          <w:rStyle w:val="References"/>
        </w:rPr>
        <w:t xml:space="preserve">, </w:t>
      </w:r>
      <w:r w:rsidR="001E0783">
        <w:rPr>
          <w:rStyle w:val="References"/>
        </w:rPr>
        <w:t xml:space="preserve">items 38, 39, </w:t>
      </w:r>
      <w:r w:rsidR="00DF1641">
        <w:rPr>
          <w:rStyle w:val="References"/>
        </w:rPr>
        <w:t xml:space="preserve">section </w:t>
      </w:r>
      <w:r>
        <w:rPr>
          <w:rStyle w:val="References"/>
        </w:rPr>
        <w:t>820-225(2)</w:t>
      </w:r>
      <w:r w:rsidR="006650BA">
        <w:rPr>
          <w:rStyle w:val="References"/>
        </w:rPr>
        <w:t xml:space="preserve"> paragraphs </w:t>
      </w:r>
      <w:r>
        <w:rPr>
          <w:rStyle w:val="References"/>
        </w:rPr>
        <w:t>(a) and (b)</w:t>
      </w:r>
      <w:r w:rsidR="00E475A8">
        <w:rPr>
          <w:rStyle w:val="References"/>
        </w:rPr>
        <w:t xml:space="preserve"> of </w:t>
      </w:r>
      <w:r w:rsidR="00DA428A">
        <w:rPr>
          <w:rStyle w:val="References"/>
        </w:rPr>
        <w:t xml:space="preserve">step 2 of </w:t>
      </w:r>
      <w:r w:rsidR="00E475A8">
        <w:rPr>
          <w:rStyle w:val="References"/>
        </w:rPr>
        <w:t>the method statement</w:t>
      </w:r>
      <w:r>
        <w:rPr>
          <w:rStyle w:val="References"/>
        </w:rPr>
        <w:t xml:space="preserve">, </w:t>
      </w:r>
      <w:r w:rsidR="001E0783">
        <w:rPr>
          <w:rStyle w:val="References"/>
        </w:rPr>
        <w:t xml:space="preserve">items, </w:t>
      </w:r>
      <w:r w:rsidR="0068358A">
        <w:rPr>
          <w:rStyle w:val="References"/>
        </w:rPr>
        <w:t>5</w:t>
      </w:r>
      <w:r w:rsidR="00C77AB2">
        <w:rPr>
          <w:rStyle w:val="References"/>
        </w:rPr>
        <w:t>1</w:t>
      </w:r>
      <w:r w:rsidR="001E0783">
        <w:rPr>
          <w:rStyle w:val="References"/>
        </w:rPr>
        <w:t>, 54,</w:t>
      </w:r>
      <w:r w:rsidR="001E0783" w:rsidRPr="008A79B0">
        <w:rPr>
          <w:rStyle w:val="References"/>
        </w:rPr>
        <w:t xml:space="preserve"> </w:t>
      </w:r>
      <w:r w:rsidR="00C77AB2">
        <w:rPr>
          <w:rStyle w:val="References"/>
        </w:rPr>
        <w:t>58</w:t>
      </w:r>
      <w:r w:rsidR="001E0783" w:rsidRPr="008A79B0">
        <w:rPr>
          <w:rStyle w:val="References"/>
        </w:rPr>
        <w:t xml:space="preserve"> </w:t>
      </w:r>
      <w:r w:rsidR="00040E9E">
        <w:rPr>
          <w:rStyle w:val="References"/>
        </w:rPr>
        <w:t>sub</w:t>
      </w:r>
      <w:r>
        <w:rPr>
          <w:rStyle w:val="References"/>
        </w:rPr>
        <w:t>section 995-1</w:t>
      </w:r>
      <w:r w:rsidR="00040E9E">
        <w:rPr>
          <w:rStyle w:val="References"/>
        </w:rPr>
        <w:t>(1)</w:t>
      </w:r>
      <w:r w:rsidR="00947CE3">
        <w:rPr>
          <w:rStyle w:val="References"/>
        </w:rPr>
        <w:t>]</w:t>
      </w:r>
    </w:p>
    <w:p w14:paraId="59AD5A09" w14:textId="68EB8819" w:rsidR="006D2F71" w:rsidRDefault="00AF66C7" w:rsidP="006D2F71">
      <w:pPr>
        <w:pStyle w:val="Heading6"/>
        <w:rPr>
          <w:rFonts w:hint="eastAsia"/>
        </w:rPr>
      </w:pPr>
      <w:r>
        <w:t xml:space="preserve">Fixed ratio test </w:t>
      </w:r>
      <w:r w:rsidR="00B021EA">
        <w:t>consequential amendments</w:t>
      </w:r>
    </w:p>
    <w:p w14:paraId="2375E897" w14:textId="701991AF" w:rsidR="006D2F71" w:rsidRPr="006D2F71" w:rsidRDefault="006D2F71">
      <w:pPr>
        <w:pStyle w:val="Normalparatextwithnumbers"/>
        <w:numPr>
          <w:ilvl w:val="1"/>
          <w:numId w:val="3"/>
        </w:numPr>
        <w:rPr>
          <w:rStyle w:val="References"/>
          <w:b w:val="0"/>
          <w:bCs w:val="0"/>
          <w:i w:val="0"/>
          <w:iCs w:val="0"/>
        </w:rPr>
      </w:pPr>
      <w:r>
        <w:t xml:space="preserve">The safe harbour debt </w:t>
      </w:r>
      <w:r w:rsidR="00DF42E0">
        <w:t>test</w:t>
      </w:r>
      <w:r>
        <w:t xml:space="preserve"> is no longer an option for general </w:t>
      </w:r>
      <w:r w:rsidR="00EB5CA4">
        <w:t xml:space="preserve">class </w:t>
      </w:r>
      <w:r>
        <w:t xml:space="preserve">entities as the fixed ratio test is the replacement </w:t>
      </w:r>
      <w:r w:rsidR="00EB5CA4">
        <w:t>test</w:t>
      </w:r>
      <w:r w:rsidR="00D50194">
        <w:t>. Accordingly,</w:t>
      </w:r>
      <w:r>
        <w:t xml:space="preserve"> provisions relating to </w:t>
      </w:r>
      <w:r w:rsidR="00F74FEE">
        <w:t xml:space="preserve">the </w:t>
      </w:r>
      <w:r>
        <w:t xml:space="preserve">safe harbour </w:t>
      </w:r>
      <w:r w:rsidR="00D07965">
        <w:t>debt test</w:t>
      </w:r>
      <w:r w:rsidR="00F74FEE">
        <w:t xml:space="preserve"> are</w:t>
      </w:r>
      <w:r>
        <w:t xml:space="preserve"> repealed.</w:t>
      </w:r>
      <w:r>
        <w:br/>
      </w:r>
      <w:r>
        <w:rPr>
          <w:rStyle w:val="References"/>
        </w:rPr>
        <w:t>[Schedule 1, items 20, 31, 32, 5</w:t>
      </w:r>
      <w:r w:rsidR="002344B6">
        <w:rPr>
          <w:rStyle w:val="References"/>
        </w:rPr>
        <w:t>9</w:t>
      </w:r>
      <w:r>
        <w:rPr>
          <w:rStyle w:val="References"/>
        </w:rPr>
        <w:t xml:space="preserve"> sections 820-95, 820-195, 820-205</w:t>
      </w:r>
      <w:r w:rsidR="00F63E91">
        <w:rPr>
          <w:rStyle w:val="References"/>
        </w:rPr>
        <w:t xml:space="preserve"> and subsection </w:t>
      </w:r>
      <w:r>
        <w:rPr>
          <w:rStyle w:val="References"/>
        </w:rPr>
        <w:t>995-1</w:t>
      </w:r>
      <w:r w:rsidR="00F63E91">
        <w:rPr>
          <w:rStyle w:val="References"/>
        </w:rPr>
        <w:t>(1)</w:t>
      </w:r>
      <w:r>
        <w:rPr>
          <w:rStyle w:val="References"/>
        </w:rPr>
        <w:t>]</w:t>
      </w:r>
    </w:p>
    <w:p w14:paraId="09382B0F" w14:textId="4ED405DF" w:rsidR="006D2F71" w:rsidRPr="004B06C7" w:rsidRDefault="00AF66C7" w:rsidP="006D2F71">
      <w:pPr>
        <w:pStyle w:val="Heading6"/>
        <w:rPr>
          <w:rFonts w:hint="eastAsia"/>
        </w:rPr>
      </w:pPr>
      <w:r>
        <w:t xml:space="preserve">Group ratio test </w:t>
      </w:r>
      <w:r w:rsidR="009C7D13">
        <w:t>consequential amendments</w:t>
      </w:r>
    </w:p>
    <w:p w14:paraId="31480EC2" w14:textId="606B056B" w:rsidR="006D2F71" w:rsidRDefault="006D2F71" w:rsidP="006D2F71">
      <w:pPr>
        <w:pStyle w:val="Normalparatextwithnumbers"/>
      </w:pPr>
      <w:r w:rsidRPr="004B06C7">
        <w:t xml:space="preserve">The worldwide gearing debt </w:t>
      </w:r>
      <w:r w:rsidR="00754C9F">
        <w:t>test</w:t>
      </w:r>
      <w:r w:rsidRPr="004B06C7">
        <w:t xml:space="preserve"> is no longer an option for general </w:t>
      </w:r>
      <w:r w:rsidR="00754C9F">
        <w:t xml:space="preserve">class </w:t>
      </w:r>
      <w:r w:rsidR="005B4CFF">
        <w:t>investors</w:t>
      </w:r>
      <w:r w:rsidRPr="004B06C7">
        <w:t xml:space="preserve"> as the group ratio test </w:t>
      </w:r>
      <w:r w:rsidR="005B4CFF">
        <w:t>replaces it</w:t>
      </w:r>
      <w:r w:rsidRPr="004B06C7">
        <w:t xml:space="preserve">. </w:t>
      </w:r>
      <w:r w:rsidR="005B4CFF">
        <w:t>D</w:t>
      </w:r>
      <w:r w:rsidRPr="004B06C7">
        <w:t xml:space="preserve">efinitions and </w:t>
      </w:r>
      <w:r w:rsidR="005B4CFF">
        <w:t>other</w:t>
      </w:r>
      <w:r w:rsidRPr="004B06C7">
        <w:t xml:space="preserve"> provisions have been </w:t>
      </w:r>
      <w:r w:rsidR="005B4CFF">
        <w:t>amended</w:t>
      </w:r>
      <w:r w:rsidRPr="004B06C7">
        <w:t xml:space="preserve"> accordingly.</w:t>
      </w:r>
      <w:r w:rsidRPr="006D2F71">
        <w:t xml:space="preserve"> </w:t>
      </w:r>
      <w:r w:rsidR="002344B6">
        <w:br/>
      </w:r>
      <w:r w:rsidRPr="004B06C7">
        <w:rPr>
          <w:rStyle w:val="References"/>
        </w:rPr>
        <w:t>[Schedule 1, ite</w:t>
      </w:r>
      <w:r w:rsidR="00DF46AB">
        <w:rPr>
          <w:rStyle w:val="References"/>
        </w:rPr>
        <w:t>ms 22 and 23</w:t>
      </w:r>
      <w:r>
        <w:rPr>
          <w:rStyle w:val="References"/>
        </w:rPr>
        <w:t>,</w:t>
      </w:r>
      <w:r w:rsidRPr="004B06C7">
        <w:rPr>
          <w:rStyle w:val="References"/>
        </w:rPr>
        <w:t xml:space="preserve"> subsections 820-110(1) and 820-111(1)</w:t>
      </w:r>
      <w:r>
        <w:rPr>
          <w:rStyle w:val="References"/>
        </w:rPr>
        <w:t xml:space="preserve">, </w:t>
      </w:r>
      <w:r w:rsidR="00C761BF">
        <w:rPr>
          <w:rStyle w:val="References"/>
        </w:rPr>
        <w:t>and</w:t>
      </w:r>
      <w:r w:rsidR="00DF46AB">
        <w:rPr>
          <w:rStyle w:val="References"/>
        </w:rPr>
        <w:t xml:space="preserve"> items</w:t>
      </w:r>
      <w:r w:rsidR="00C761BF">
        <w:rPr>
          <w:rStyle w:val="References"/>
        </w:rPr>
        <w:t xml:space="preserve"> </w:t>
      </w:r>
      <w:r w:rsidR="00DF46AB">
        <w:rPr>
          <w:rStyle w:val="References"/>
        </w:rPr>
        <w:t xml:space="preserve">34, 35, </w:t>
      </w:r>
      <w:r w:rsidR="002344B6">
        <w:rPr>
          <w:rStyle w:val="References"/>
        </w:rPr>
        <w:t>61</w:t>
      </w:r>
      <w:r w:rsidR="00C761BF">
        <w:rPr>
          <w:rStyle w:val="References"/>
        </w:rPr>
        <w:t xml:space="preserve">, </w:t>
      </w:r>
      <w:r w:rsidR="00DF46AB">
        <w:rPr>
          <w:rStyle w:val="References"/>
        </w:rPr>
        <w:t xml:space="preserve">sections </w:t>
      </w:r>
      <w:r>
        <w:rPr>
          <w:rStyle w:val="References"/>
        </w:rPr>
        <w:t>820-216, 820-218</w:t>
      </w:r>
      <w:r w:rsidRPr="004B06C7">
        <w:rPr>
          <w:rStyle w:val="References"/>
        </w:rPr>
        <w:t xml:space="preserve"> and </w:t>
      </w:r>
      <w:r w:rsidR="001438A3">
        <w:rPr>
          <w:rStyle w:val="References"/>
        </w:rPr>
        <w:t xml:space="preserve">subsection </w:t>
      </w:r>
      <w:r w:rsidRPr="004B06C7">
        <w:rPr>
          <w:rStyle w:val="References"/>
        </w:rPr>
        <w:t>995-1</w:t>
      </w:r>
      <w:r w:rsidR="001438A3">
        <w:rPr>
          <w:rStyle w:val="References"/>
        </w:rPr>
        <w:t>(1)</w:t>
      </w:r>
      <w:r w:rsidRPr="004B06C7">
        <w:rPr>
          <w:rStyle w:val="References"/>
        </w:rPr>
        <w:t>]</w:t>
      </w:r>
    </w:p>
    <w:p w14:paraId="02BC0A6D" w14:textId="00349CC4" w:rsidR="00C761BF" w:rsidRDefault="00AF66C7" w:rsidP="00C761BF">
      <w:pPr>
        <w:pStyle w:val="Heading6"/>
        <w:rPr>
          <w:rFonts w:hint="eastAsia"/>
        </w:rPr>
      </w:pPr>
      <w:r>
        <w:t xml:space="preserve">External </w:t>
      </w:r>
      <w:proofErr w:type="gramStart"/>
      <w:r>
        <w:t>third party</w:t>
      </w:r>
      <w:proofErr w:type="gramEnd"/>
      <w:r>
        <w:t xml:space="preserve"> debt test </w:t>
      </w:r>
      <w:r w:rsidR="00D165D6">
        <w:t>consequential amendments</w:t>
      </w:r>
    </w:p>
    <w:p w14:paraId="27FA8BAE" w14:textId="184E18EA" w:rsidR="00C720FF" w:rsidRPr="00907B1A" w:rsidRDefault="00C720FF" w:rsidP="00C720FF">
      <w:pPr>
        <w:pStyle w:val="Normalparatextwithnumbers"/>
        <w:rPr>
          <w:rStyle w:val="References"/>
          <w:b w:val="0"/>
          <w:bCs w:val="0"/>
          <w:i w:val="0"/>
          <w:iCs w:val="0"/>
        </w:rPr>
      </w:pPr>
      <w:r>
        <w:rPr>
          <w:rStyle w:val="References"/>
          <w:b w:val="0"/>
          <w:bCs w:val="0"/>
          <w:i w:val="0"/>
          <w:iCs w:val="0"/>
        </w:rPr>
        <w:t>The respective provisions for inward and outward investing (non</w:t>
      </w:r>
      <w:r>
        <w:rPr>
          <w:rStyle w:val="References"/>
          <w:b w:val="0"/>
          <w:bCs w:val="0"/>
          <w:i w:val="0"/>
          <w:iCs w:val="0"/>
        </w:rPr>
        <w:noBreakHyphen/>
        <w:t xml:space="preserve">ADI) entities have been updated to reflect the </w:t>
      </w:r>
      <w:r>
        <w:t xml:space="preserve">disallowed debt deduction that arises from applying the external </w:t>
      </w:r>
      <w:proofErr w:type="gramStart"/>
      <w:r>
        <w:t>third party</w:t>
      </w:r>
      <w:proofErr w:type="gramEnd"/>
      <w:r>
        <w:t xml:space="preserve"> debt test and the corresponding </w:t>
      </w:r>
      <w:r>
        <w:rPr>
          <w:rStyle w:val="References"/>
          <w:b w:val="0"/>
          <w:bCs w:val="0"/>
          <w:i w:val="0"/>
          <w:iCs w:val="0"/>
        </w:rPr>
        <w:t xml:space="preserve">calculation of the disallowed amount that is </w:t>
      </w:r>
      <w:r w:rsidRPr="009D3EDE">
        <w:rPr>
          <w:rStyle w:val="References"/>
          <w:b w:val="0"/>
          <w:bCs w:val="0"/>
          <w:i w:val="0"/>
          <w:iCs w:val="0"/>
        </w:rPr>
        <w:t>worked out by disallowing each debt deduction on a proportionate basis.</w:t>
      </w:r>
      <w:r>
        <w:rPr>
          <w:rStyle w:val="References"/>
          <w:b w:val="0"/>
          <w:bCs w:val="0"/>
          <w:i w:val="0"/>
          <w:iCs w:val="0"/>
        </w:rPr>
        <w:t xml:space="preserve"> </w:t>
      </w:r>
      <w:r>
        <w:br/>
      </w:r>
      <w:r w:rsidRPr="00EB692D">
        <w:rPr>
          <w:rStyle w:val="References"/>
        </w:rPr>
        <w:t>[Schedule 1,</w:t>
      </w:r>
      <w:r w:rsidRPr="00EB3C9C">
        <w:rPr>
          <w:rStyle w:val="References"/>
        </w:rPr>
        <w:t xml:space="preserve"> item </w:t>
      </w:r>
      <w:r>
        <w:rPr>
          <w:rStyle w:val="References"/>
        </w:rPr>
        <w:t>13</w:t>
      </w:r>
      <w:r w:rsidRPr="00EB3C9C">
        <w:rPr>
          <w:rStyle w:val="References"/>
        </w:rPr>
        <w:t>, subsections</w:t>
      </w:r>
      <w:r>
        <w:rPr>
          <w:rStyle w:val="References"/>
        </w:rPr>
        <w:t xml:space="preserve"> 820-85(1), (1A) and (2),</w:t>
      </w:r>
      <w:r w:rsidRPr="00EB692D">
        <w:rPr>
          <w:rStyle w:val="References"/>
        </w:rPr>
        <w:t xml:space="preserve"> item</w:t>
      </w:r>
      <w:r>
        <w:rPr>
          <w:rStyle w:val="References"/>
        </w:rPr>
        <w:t>s</w:t>
      </w:r>
      <w:r w:rsidRPr="00EB692D">
        <w:rPr>
          <w:rStyle w:val="References"/>
        </w:rPr>
        <w:t xml:space="preserve"> </w:t>
      </w:r>
      <w:r>
        <w:rPr>
          <w:rStyle w:val="References"/>
        </w:rPr>
        <w:t xml:space="preserve">24 and 25, </w:t>
      </w:r>
      <w:r w:rsidRPr="00EB692D">
        <w:rPr>
          <w:rStyle w:val="References"/>
        </w:rPr>
        <w:t>subsections 820-115(1)</w:t>
      </w:r>
      <w:r>
        <w:rPr>
          <w:rStyle w:val="References"/>
        </w:rPr>
        <w:t>-</w:t>
      </w:r>
      <w:r w:rsidRPr="00EB692D">
        <w:rPr>
          <w:rStyle w:val="References"/>
        </w:rPr>
        <w:t>(</w:t>
      </w:r>
      <w:r>
        <w:rPr>
          <w:rStyle w:val="References"/>
        </w:rPr>
        <w:t>3</w:t>
      </w:r>
      <w:r w:rsidRPr="00EB692D">
        <w:rPr>
          <w:rStyle w:val="References"/>
        </w:rPr>
        <w:t>)</w:t>
      </w:r>
      <w:r>
        <w:rPr>
          <w:rStyle w:val="References"/>
        </w:rPr>
        <w:t>, item 26, 820-185(1A), (1) and (2) and items 36 and 37, subsections 820-220(1)-(3)</w:t>
      </w:r>
      <w:r w:rsidRPr="00EB692D">
        <w:rPr>
          <w:rStyle w:val="References"/>
        </w:rPr>
        <w:t>]</w:t>
      </w:r>
    </w:p>
    <w:p w14:paraId="531C3C56" w14:textId="15A4030D" w:rsidR="00907B1A" w:rsidRDefault="005A688F">
      <w:pPr>
        <w:pStyle w:val="Normalparatextwithnumbers"/>
      </w:pPr>
      <w:bookmarkStart w:id="60" w:name="_Hlk127882684"/>
      <w:r>
        <w:t>C</w:t>
      </w:r>
      <w:r w:rsidR="00D219DD">
        <w:t xml:space="preserve">onsequential </w:t>
      </w:r>
      <w:r w:rsidR="00907B1A" w:rsidRPr="0040454D">
        <w:t xml:space="preserve">amendments </w:t>
      </w:r>
      <w:r w:rsidR="004D1694">
        <w:t xml:space="preserve">are made </w:t>
      </w:r>
      <w:r w:rsidR="00D219DD">
        <w:t>to</w:t>
      </w:r>
      <w:r w:rsidR="00907B1A" w:rsidRPr="0040454D">
        <w:t xml:space="preserve"> </w:t>
      </w:r>
      <w:bookmarkEnd w:id="60"/>
      <w:r w:rsidR="00907B1A">
        <w:t xml:space="preserve">paragraph </w:t>
      </w:r>
      <w:r w:rsidR="00907B1A" w:rsidRPr="0040454D">
        <w:t>820</w:t>
      </w:r>
      <w:r w:rsidR="00FA551C">
        <w:noBreakHyphen/>
      </w:r>
      <w:r w:rsidR="00907B1A" w:rsidRPr="0040454D">
        <w:t>583</w:t>
      </w:r>
      <w:r w:rsidR="00907B1A">
        <w:t xml:space="preserve">(3)(a) </w:t>
      </w:r>
      <w:r w:rsidR="00111A45">
        <w:t xml:space="preserve">to </w:t>
      </w:r>
      <w:r w:rsidR="00907B1A">
        <w:t>reflect the updated table items</w:t>
      </w:r>
      <w:r w:rsidR="00FA551C" w:rsidRPr="00FA551C">
        <w:t xml:space="preserve"> </w:t>
      </w:r>
      <w:r w:rsidR="00FA551C">
        <w:t>in subsection 820</w:t>
      </w:r>
      <w:r w:rsidR="00111A45">
        <w:t>-</w:t>
      </w:r>
      <w:r w:rsidR="00FA551C">
        <w:t>85(2)</w:t>
      </w:r>
      <w:r w:rsidR="00907B1A">
        <w:t xml:space="preserve">. </w:t>
      </w:r>
      <w:r w:rsidR="00D219DD">
        <w:t xml:space="preserve">Similarly, </w:t>
      </w:r>
      <w:r w:rsidR="00907B1A">
        <w:t>paragraph 820</w:t>
      </w:r>
      <w:r w:rsidR="002344B6">
        <w:noBreakHyphen/>
      </w:r>
      <w:r w:rsidR="00907B1A">
        <w:t xml:space="preserve">583(3)(b) is now redundant given that the head company needs to be a financial entity throughout the period. </w:t>
      </w:r>
      <w:r w:rsidR="00907B1A">
        <w:br/>
      </w:r>
      <w:r w:rsidR="00907B1A" w:rsidRPr="00251725">
        <w:rPr>
          <w:rStyle w:val="References"/>
        </w:rPr>
        <w:t>[Schedule 1, item</w:t>
      </w:r>
      <w:r w:rsidR="004D1694">
        <w:rPr>
          <w:rStyle w:val="References"/>
        </w:rPr>
        <w:t>s</w:t>
      </w:r>
      <w:r w:rsidR="00907B1A" w:rsidRPr="00251725">
        <w:rPr>
          <w:rStyle w:val="References"/>
        </w:rPr>
        <w:t xml:space="preserve"> </w:t>
      </w:r>
      <w:r w:rsidR="00666CB3">
        <w:rPr>
          <w:rStyle w:val="References"/>
        </w:rPr>
        <w:t>40-</w:t>
      </w:r>
      <w:r w:rsidR="00FA551C">
        <w:rPr>
          <w:rStyle w:val="References"/>
        </w:rPr>
        <w:t>4</w:t>
      </w:r>
      <w:r w:rsidR="00666CB3">
        <w:rPr>
          <w:rStyle w:val="References"/>
        </w:rPr>
        <w:t>2</w:t>
      </w:r>
      <w:r w:rsidR="00907B1A" w:rsidRPr="00251725">
        <w:rPr>
          <w:rStyle w:val="References"/>
        </w:rPr>
        <w:t xml:space="preserve">, </w:t>
      </w:r>
      <w:r w:rsidR="00666CB3">
        <w:rPr>
          <w:rStyle w:val="References"/>
        </w:rPr>
        <w:t xml:space="preserve">subsections </w:t>
      </w:r>
      <w:r w:rsidR="00907B1A" w:rsidRPr="00251725">
        <w:rPr>
          <w:rStyle w:val="References"/>
        </w:rPr>
        <w:t>820-583(</w:t>
      </w:r>
      <w:r w:rsidR="00666CB3">
        <w:rPr>
          <w:rStyle w:val="References"/>
        </w:rPr>
        <w:t>1</w:t>
      </w:r>
      <w:r w:rsidR="00907B1A" w:rsidRPr="00251725">
        <w:rPr>
          <w:rStyle w:val="References"/>
        </w:rPr>
        <w:t>)</w:t>
      </w:r>
      <w:r w:rsidR="00666CB3">
        <w:rPr>
          <w:rStyle w:val="References"/>
        </w:rPr>
        <w:t>-</w:t>
      </w:r>
      <w:r w:rsidR="00907B1A" w:rsidRPr="00251725">
        <w:rPr>
          <w:rStyle w:val="References"/>
        </w:rPr>
        <w:t>(</w:t>
      </w:r>
      <w:r w:rsidR="00E574D6">
        <w:rPr>
          <w:rStyle w:val="References"/>
        </w:rPr>
        <w:t>4</w:t>
      </w:r>
      <w:r w:rsidR="00907B1A" w:rsidRPr="00251725">
        <w:rPr>
          <w:rStyle w:val="References"/>
        </w:rPr>
        <w:t>)</w:t>
      </w:r>
      <w:r w:rsidR="00666CB3">
        <w:rPr>
          <w:rStyle w:val="References"/>
        </w:rPr>
        <w:t>]</w:t>
      </w:r>
    </w:p>
    <w:p w14:paraId="4F41CB8A" w14:textId="5015BFBF" w:rsidR="006D2F71" w:rsidRDefault="00FA551C" w:rsidP="002F1FDE">
      <w:pPr>
        <w:pStyle w:val="Normalparatextwithnumbers"/>
      </w:pPr>
      <w:r>
        <w:t xml:space="preserve">The introduction of the external </w:t>
      </w:r>
      <w:proofErr w:type="gramStart"/>
      <w:r>
        <w:t>third party</w:t>
      </w:r>
      <w:proofErr w:type="gramEnd"/>
      <w:r>
        <w:t xml:space="preserve"> debt test </w:t>
      </w:r>
      <w:r w:rsidR="00C761BF">
        <w:t>result</w:t>
      </w:r>
      <w:r>
        <w:t>s in</w:t>
      </w:r>
      <w:r w:rsidR="00C761BF">
        <w:t xml:space="preserve"> references</w:t>
      </w:r>
      <w:r w:rsidR="00C761BF" w:rsidRPr="00982E54">
        <w:t xml:space="preserve"> </w:t>
      </w:r>
      <w:r>
        <w:t xml:space="preserve">to the </w:t>
      </w:r>
      <w:r w:rsidR="00C76199">
        <w:t xml:space="preserve">arm’s </w:t>
      </w:r>
      <w:r>
        <w:t xml:space="preserve">length debt test being </w:t>
      </w:r>
      <w:r w:rsidR="00C720FF">
        <w:t>removed</w:t>
      </w:r>
      <w:r w:rsidR="00C761BF">
        <w:t xml:space="preserve"> </w:t>
      </w:r>
      <w:r w:rsidR="00B344BF">
        <w:t>and the incl</w:t>
      </w:r>
      <w:r w:rsidR="00E700A9">
        <w:t xml:space="preserve">usion of </w:t>
      </w:r>
      <w:r w:rsidR="00C761BF">
        <w:t xml:space="preserve">notes that </w:t>
      </w:r>
      <w:r w:rsidR="00C761BF">
        <w:lastRenderedPageBreak/>
        <w:t xml:space="preserve">differentiate between general class investors and financial entities. </w:t>
      </w:r>
      <w:r w:rsidR="00C761BF">
        <w:br/>
      </w:r>
      <w:r w:rsidR="00C761BF" w:rsidRPr="005D2B5A">
        <w:rPr>
          <w:rStyle w:val="References"/>
        </w:rPr>
        <w:t xml:space="preserve">[Schedule 1, items </w:t>
      </w:r>
      <w:r w:rsidR="00C761BF">
        <w:rPr>
          <w:rStyle w:val="References"/>
        </w:rPr>
        <w:t xml:space="preserve">15, 16, 18, </w:t>
      </w:r>
      <w:r w:rsidR="00C761BF" w:rsidRPr="005D2B5A">
        <w:rPr>
          <w:rStyle w:val="References"/>
        </w:rPr>
        <w:t>1</w:t>
      </w:r>
      <w:r w:rsidR="00C761BF">
        <w:rPr>
          <w:rStyle w:val="References"/>
        </w:rPr>
        <w:t>9, subsections</w:t>
      </w:r>
      <w:r w:rsidR="00C761BF" w:rsidRPr="005D2B5A">
        <w:rPr>
          <w:rStyle w:val="References"/>
        </w:rPr>
        <w:t xml:space="preserve"> 820-90(1) and (2)</w:t>
      </w:r>
      <w:r w:rsidR="00C761BF">
        <w:rPr>
          <w:rStyle w:val="References"/>
        </w:rPr>
        <w:t>, item 21</w:t>
      </w:r>
      <w:r w:rsidR="00C761BF" w:rsidRPr="005D2B5A">
        <w:rPr>
          <w:rStyle w:val="References"/>
        </w:rPr>
        <w:t>,</w:t>
      </w:r>
      <w:r w:rsidR="00C761BF">
        <w:rPr>
          <w:rStyle w:val="References"/>
        </w:rPr>
        <w:t xml:space="preserve"> section 820-105, items 29, 30, section 820-190(1) item 33, sections </w:t>
      </w:r>
      <w:proofErr w:type="gramStart"/>
      <w:r w:rsidR="00C761BF">
        <w:rPr>
          <w:rStyle w:val="References"/>
        </w:rPr>
        <w:t>820-215</w:t>
      </w:r>
      <w:proofErr w:type="gramEnd"/>
      <w:r w:rsidR="00C761BF">
        <w:rPr>
          <w:rStyle w:val="References"/>
        </w:rPr>
        <w:t xml:space="preserve"> and </w:t>
      </w:r>
      <w:r w:rsidR="002344B6">
        <w:rPr>
          <w:rStyle w:val="References"/>
        </w:rPr>
        <w:t xml:space="preserve">items 52, 53, 56 and 57, </w:t>
      </w:r>
      <w:r w:rsidR="00BE0538">
        <w:rPr>
          <w:rStyle w:val="References"/>
        </w:rPr>
        <w:t>sub</w:t>
      </w:r>
      <w:r w:rsidR="002344B6">
        <w:rPr>
          <w:rStyle w:val="References"/>
        </w:rPr>
        <w:t xml:space="preserve">section </w:t>
      </w:r>
      <w:r w:rsidR="00C761BF">
        <w:rPr>
          <w:rStyle w:val="References"/>
        </w:rPr>
        <w:t>995-1</w:t>
      </w:r>
      <w:r w:rsidR="00BE0538">
        <w:rPr>
          <w:rStyle w:val="References"/>
        </w:rPr>
        <w:t>(1)</w:t>
      </w:r>
      <w:r w:rsidR="002344B6">
        <w:rPr>
          <w:rStyle w:val="References"/>
        </w:rPr>
        <w:t>]</w:t>
      </w:r>
    </w:p>
    <w:p w14:paraId="377F0C25" w14:textId="0B112E19" w:rsidR="00873094" w:rsidRPr="00020288" w:rsidRDefault="00873094" w:rsidP="00AF50CE">
      <w:pPr>
        <w:pStyle w:val="Heading2"/>
        <w:rPr>
          <w:rFonts w:hint="eastAsia"/>
        </w:rPr>
      </w:pPr>
      <w:bookmarkStart w:id="61" w:name="_Toc128658073"/>
      <w:r w:rsidRPr="00020288">
        <w:t>Commencement</w:t>
      </w:r>
      <w:r w:rsidR="00820272">
        <w:t xml:space="preserve"> and</w:t>
      </w:r>
      <w:r w:rsidRPr="00020288">
        <w:t xml:space="preserve"> </w:t>
      </w:r>
      <w:r w:rsidRPr="00AF50CE">
        <w:t>application</w:t>
      </w:r>
      <w:r w:rsidRPr="00020288">
        <w:t xml:space="preserve"> provisions</w:t>
      </w:r>
      <w:bookmarkEnd w:id="61"/>
    </w:p>
    <w:p w14:paraId="4AEB2409" w14:textId="00F37F32" w:rsidR="00820272" w:rsidRDefault="00EC78A2" w:rsidP="00820272">
      <w:pPr>
        <w:pStyle w:val="Normalparatextwithnumbers"/>
      </w:pPr>
      <w:bookmarkStart w:id="62" w:name="_Hlk83390738"/>
      <w:r>
        <w:t xml:space="preserve">Schedule </w:t>
      </w:r>
      <w:r w:rsidR="0009446A">
        <w:t>1</w:t>
      </w:r>
      <w:r>
        <w:t xml:space="preserve"> to the Bill commences on the </w:t>
      </w:r>
      <w:r w:rsidR="00820272">
        <w:t xml:space="preserve">first 1 January, 1 April, 1 July or 1 October after the Bill receives Royal Assent. </w:t>
      </w:r>
    </w:p>
    <w:p w14:paraId="7C6C88CF" w14:textId="344F8E21" w:rsidR="00B77D03" w:rsidRDefault="00820272">
      <w:pPr>
        <w:pStyle w:val="Normalparatextwithnumbers"/>
      </w:pPr>
      <w:r>
        <w:t xml:space="preserve">The </w:t>
      </w:r>
      <w:r w:rsidR="00EC78A2">
        <w:t>amendments</w:t>
      </w:r>
      <w:r>
        <w:t xml:space="preserve"> apply </w:t>
      </w:r>
      <w:r w:rsidR="00EC78A2">
        <w:t>in relation to</w:t>
      </w:r>
      <w:r>
        <w:t xml:space="preserve"> income years commencing on or after 1 July 2023</w:t>
      </w:r>
      <w:r w:rsidR="00EC78A2">
        <w:t>.</w:t>
      </w:r>
      <w:bookmarkStart w:id="63" w:name="RISGoesHere"/>
      <w:bookmarkEnd w:id="5"/>
      <w:bookmarkEnd w:id="55"/>
      <w:bookmarkEnd w:id="56"/>
      <w:bookmarkEnd w:id="57"/>
      <w:bookmarkEnd w:id="58"/>
      <w:bookmarkEnd w:id="59"/>
      <w:bookmarkEnd w:id="62"/>
      <w:bookmarkEnd w:id="63"/>
      <w:r w:rsidR="00D71131">
        <w:br/>
      </w:r>
      <w:r w:rsidR="00D71131" w:rsidRPr="00D71131">
        <w:rPr>
          <w:rFonts w:cs="Times New Roman"/>
          <w:b/>
          <w:bCs/>
          <w:i/>
          <w:iCs/>
        </w:rPr>
        <w:t xml:space="preserve">[Schedule 1, item </w:t>
      </w:r>
      <w:r w:rsidR="00D71131">
        <w:rPr>
          <w:rFonts w:cs="Times New Roman"/>
          <w:b/>
          <w:bCs/>
          <w:i/>
          <w:iCs/>
        </w:rPr>
        <w:t>62</w:t>
      </w:r>
      <w:bookmarkEnd w:id="31"/>
      <w:r w:rsidR="00D71131" w:rsidRPr="00D71131">
        <w:rPr>
          <w:rFonts w:cs="Times New Roman"/>
          <w:b/>
          <w:bCs/>
          <w:i/>
          <w:iCs/>
        </w:rPr>
        <w:t>]</w:t>
      </w:r>
    </w:p>
    <w:sectPr w:rsidR="00B77D03" w:rsidSect="00000BFC">
      <w:headerReference w:type="even" r:id="rId24"/>
      <w:headerReference w:type="default" r:id="rId25"/>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AFF2" w14:textId="77777777" w:rsidR="00CE1FAC" w:rsidRDefault="00CE1FAC">
      <w:pPr>
        <w:spacing w:before="0" w:after="0"/>
      </w:pPr>
      <w:r>
        <w:separator/>
      </w:r>
    </w:p>
  </w:endnote>
  <w:endnote w:type="continuationSeparator" w:id="0">
    <w:p w14:paraId="016EC47E" w14:textId="77777777" w:rsidR="00CE1FAC" w:rsidRDefault="00CE1FAC">
      <w:pPr>
        <w:spacing w:before="0" w:after="0"/>
      </w:pPr>
      <w:r>
        <w:continuationSeparator/>
      </w:r>
    </w:p>
  </w:endnote>
  <w:endnote w:type="continuationNotice" w:id="1">
    <w:p w14:paraId="4ACEF19A" w14:textId="77777777" w:rsidR="00CE1FAC" w:rsidRDefault="00CE1FA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Helvitica">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D72E" w14:textId="77777777" w:rsidR="007B7BB3" w:rsidRDefault="007B7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8BC9" w14:textId="77777777" w:rsidR="007B7BB3" w:rsidRDefault="007B7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8868" w14:textId="77777777" w:rsidR="007A2DBD" w:rsidRPr="004D61CF" w:rsidRDefault="007A2D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422C" w14:textId="77777777" w:rsidR="007A2DBD" w:rsidRPr="006208CF" w:rsidRDefault="007A2DBD" w:rsidP="002425D9">
    <w:pPr>
      <w:pStyle w:val="leftfoote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77DC" w14:textId="77777777" w:rsidR="007A2DBD"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23B0" w14:textId="77777777" w:rsidR="007A2DBD" w:rsidRPr="00091474" w:rsidRDefault="007A2DBD" w:rsidP="002425D9">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9F4E" w14:textId="77777777" w:rsidR="00CE1FAC" w:rsidRDefault="00CE1FAC">
      <w:pPr>
        <w:spacing w:before="0" w:after="0"/>
      </w:pPr>
      <w:r>
        <w:separator/>
      </w:r>
    </w:p>
  </w:footnote>
  <w:footnote w:type="continuationSeparator" w:id="0">
    <w:p w14:paraId="3CA30151" w14:textId="77777777" w:rsidR="00CE1FAC" w:rsidRDefault="00CE1FAC">
      <w:pPr>
        <w:spacing w:before="0" w:after="0"/>
      </w:pPr>
      <w:r>
        <w:continuationSeparator/>
      </w:r>
    </w:p>
  </w:footnote>
  <w:footnote w:type="continuationNotice" w:id="1">
    <w:p w14:paraId="5B8013BA" w14:textId="77777777" w:rsidR="00CE1FAC" w:rsidRDefault="00CE1FAC">
      <w:pPr>
        <w:spacing w:before="0" w:after="0"/>
      </w:pPr>
    </w:p>
  </w:footnote>
  <w:footnote w:id="2">
    <w:p w14:paraId="3F0B33BA" w14:textId="77777777" w:rsidR="00727DEF" w:rsidRDefault="00727DEF" w:rsidP="00727DEF">
      <w:pPr>
        <w:pStyle w:val="FootnoteText"/>
      </w:pPr>
      <w:r>
        <w:rPr>
          <w:rStyle w:val="FootnoteReference"/>
        </w:rPr>
        <w:footnoteRef/>
      </w:r>
      <w:r>
        <w:t xml:space="preserve"> OECD report on Limiting Base Erosion Involving Interest Deductions and Other Financial Payments Action 4 – 2016 Update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C015" w14:textId="77777777" w:rsidR="007A2DBD" w:rsidRPr="009106AC" w:rsidRDefault="007A2DBD" w:rsidP="00242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BD01" w14:textId="46EF5B78" w:rsidR="007A2DBD" w:rsidRPr="0070093E" w:rsidRDefault="007A2DBD" w:rsidP="002425D9">
    <w:pPr>
      <w:pStyle w:val="rightheader"/>
      <w:ind w:firstLine="720"/>
      <w:rPr>
        <w:lang w:val="en-US"/>
      </w:rPr>
    </w:pPr>
    <w:r>
      <w:rPr>
        <w:lang w:val="en-US"/>
      </w:rPr>
      <w:t>(</w:t>
    </w:r>
    <w:r>
      <w:rPr>
        <w:lang w:val="en-US"/>
      </w:rPr>
      <w:fldChar w:fldCharType="begin"/>
    </w:r>
    <w:r>
      <w:rPr>
        <w:lang w:val="en-US"/>
      </w:rPr>
      <w:instrText xml:space="preserve"> STYLEREF  ChapterNameOnly  \* MERGEFORMAT </w:instrText>
    </w:r>
    <w:r>
      <w:rPr>
        <w:lang w:val="en-US"/>
      </w:rPr>
      <w:fldChar w:fldCharType="separate"/>
    </w:r>
    <w:r w:rsidR="00B25767">
      <w:rPr>
        <w:b/>
        <w:bCs/>
        <w:noProof/>
        <w:lang w:val="en-US"/>
      </w:rPr>
      <w:t>Error! Use the Home tab to apply ChapterNameOnly to the text that you want to appear here.</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892A" w14:textId="77777777" w:rsidR="007A2DBD" w:rsidRDefault="007A2D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C3DC" w14:textId="58BE28F5" w:rsidR="007A2DBD" w:rsidRPr="00816825" w:rsidRDefault="00B25767" w:rsidP="002425D9">
    <w:pPr>
      <w:pStyle w:val="leftheader"/>
    </w:pPr>
    <w:fldSimple w:instr="STYLEREF  &quot;Heading 1&quot;  \* MERGEFORMAT">
      <w:r>
        <w:rPr>
          <w:noProof/>
        </w:rPr>
        <w:t>Glossary</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F992" w14:textId="41949A6F" w:rsidR="007A2DBD" w:rsidRPr="001227A2" w:rsidRDefault="00B25767" w:rsidP="001227A2">
    <w:pPr>
      <w:pStyle w:val="rightheader"/>
    </w:pPr>
    <w:fldSimple w:instr="STYLEREF  &quot;Bill Name&quot;  \* MERGEFORMAT">
      <w:r>
        <w:rPr>
          <w:noProof/>
        </w:rPr>
        <w:t>Treasury Laws Amendment (Measures for Future Bills) Bill 2023: Thin capitalisation interest limitation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9D84" w14:textId="3182D475" w:rsidR="007A2DBD" w:rsidRPr="001227A2" w:rsidRDefault="007A2DBD" w:rsidP="002425D9">
    <w:pPr>
      <w:pStyle w:val="right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5592" w14:textId="1112640F" w:rsidR="007A2DBD" w:rsidRPr="00A74B1A" w:rsidRDefault="00B25767" w:rsidP="00A74B1A">
    <w:pPr>
      <w:pStyle w:val="leftheader"/>
    </w:pPr>
    <w:fldSimple w:instr="STYLEREF &quot;Chapter heading&quot; \* MERGEFORMAT">
      <w:r w:rsidR="00C75758">
        <w:rPr>
          <w:noProof/>
        </w:rPr>
        <w:t>Strengthening Australia’s thin capitalisation rules</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91CB2" w14:textId="2199E7DD" w:rsidR="007A2DBD" w:rsidRPr="00A74B1A" w:rsidRDefault="00B25767" w:rsidP="00A74B1A">
    <w:pPr>
      <w:pStyle w:val="rightheader"/>
    </w:pPr>
    <w:fldSimple w:instr="STYLEREF &quot;Bill Name&quot; \* MERGEFORMAT">
      <w:r w:rsidR="00C75758" w:rsidRPr="00C75758">
        <w:rPr>
          <w:b/>
          <w:bCs/>
          <w:noProof/>
          <w:lang w:val="en-US"/>
        </w:rPr>
        <w:t xml:space="preserve">Treasury Laws Amendment (Measures for </w:t>
      </w:r>
      <w:r w:rsidR="00C75758">
        <w:rPr>
          <w:noProof/>
        </w:rPr>
        <w:t>Future Bills) Bill 2023: Thin capitalisation interest limitation</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A3EF" w14:textId="77777777" w:rsidR="007A2DBD" w:rsidRDefault="007A2DBD" w:rsidP="00622763">
    <w:pPr>
      <w:pStyle w:val="righ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6E0"/>
    <w:multiLevelType w:val="hybridMultilevel"/>
    <w:tmpl w:val="7790699E"/>
    <w:lvl w:ilvl="0" w:tplc="448E8998">
      <w:start w:val="1"/>
      <w:numFmt w:val="bullet"/>
      <w:lvlText w:val="o"/>
      <w:lvlJc w:val="left"/>
      <w:pPr>
        <w:tabs>
          <w:tab w:val="num" w:pos="720"/>
        </w:tabs>
        <w:ind w:left="720" w:hanging="360"/>
      </w:pPr>
      <w:rPr>
        <w:rFonts w:ascii="Courier New" w:hAnsi="Courier New" w:hint="default"/>
      </w:rPr>
    </w:lvl>
    <w:lvl w:ilvl="1" w:tplc="11AC3748">
      <w:start w:val="1"/>
      <w:numFmt w:val="bullet"/>
      <w:lvlText w:val="o"/>
      <w:lvlJc w:val="left"/>
      <w:pPr>
        <w:tabs>
          <w:tab w:val="num" w:pos="1440"/>
        </w:tabs>
        <w:ind w:left="1440" w:hanging="360"/>
      </w:pPr>
      <w:rPr>
        <w:rFonts w:ascii="Courier New" w:hAnsi="Courier New" w:hint="default"/>
      </w:rPr>
    </w:lvl>
    <w:lvl w:ilvl="2" w:tplc="0E14733A" w:tentative="1">
      <w:start w:val="1"/>
      <w:numFmt w:val="bullet"/>
      <w:lvlText w:val="o"/>
      <w:lvlJc w:val="left"/>
      <w:pPr>
        <w:tabs>
          <w:tab w:val="num" w:pos="2160"/>
        </w:tabs>
        <w:ind w:left="2160" w:hanging="360"/>
      </w:pPr>
      <w:rPr>
        <w:rFonts w:ascii="Courier New" w:hAnsi="Courier New" w:hint="default"/>
      </w:rPr>
    </w:lvl>
    <w:lvl w:ilvl="3" w:tplc="1AFCAFB0" w:tentative="1">
      <w:start w:val="1"/>
      <w:numFmt w:val="bullet"/>
      <w:lvlText w:val="o"/>
      <w:lvlJc w:val="left"/>
      <w:pPr>
        <w:tabs>
          <w:tab w:val="num" w:pos="2880"/>
        </w:tabs>
        <w:ind w:left="2880" w:hanging="360"/>
      </w:pPr>
      <w:rPr>
        <w:rFonts w:ascii="Courier New" w:hAnsi="Courier New" w:hint="default"/>
      </w:rPr>
    </w:lvl>
    <w:lvl w:ilvl="4" w:tplc="65FCFB16" w:tentative="1">
      <w:start w:val="1"/>
      <w:numFmt w:val="bullet"/>
      <w:lvlText w:val="o"/>
      <w:lvlJc w:val="left"/>
      <w:pPr>
        <w:tabs>
          <w:tab w:val="num" w:pos="3600"/>
        </w:tabs>
        <w:ind w:left="3600" w:hanging="360"/>
      </w:pPr>
      <w:rPr>
        <w:rFonts w:ascii="Courier New" w:hAnsi="Courier New" w:hint="default"/>
      </w:rPr>
    </w:lvl>
    <w:lvl w:ilvl="5" w:tplc="1F7AEA3A" w:tentative="1">
      <w:start w:val="1"/>
      <w:numFmt w:val="bullet"/>
      <w:lvlText w:val="o"/>
      <w:lvlJc w:val="left"/>
      <w:pPr>
        <w:tabs>
          <w:tab w:val="num" w:pos="4320"/>
        </w:tabs>
        <w:ind w:left="4320" w:hanging="360"/>
      </w:pPr>
      <w:rPr>
        <w:rFonts w:ascii="Courier New" w:hAnsi="Courier New" w:hint="default"/>
      </w:rPr>
    </w:lvl>
    <w:lvl w:ilvl="6" w:tplc="3482E574" w:tentative="1">
      <w:start w:val="1"/>
      <w:numFmt w:val="bullet"/>
      <w:lvlText w:val="o"/>
      <w:lvlJc w:val="left"/>
      <w:pPr>
        <w:tabs>
          <w:tab w:val="num" w:pos="5040"/>
        </w:tabs>
        <w:ind w:left="5040" w:hanging="360"/>
      </w:pPr>
      <w:rPr>
        <w:rFonts w:ascii="Courier New" w:hAnsi="Courier New" w:hint="default"/>
      </w:rPr>
    </w:lvl>
    <w:lvl w:ilvl="7" w:tplc="48D44478" w:tentative="1">
      <w:start w:val="1"/>
      <w:numFmt w:val="bullet"/>
      <w:lvlText w:val="o"/>
      <w:lvlJc w:val="left"/>
      <w:pPr>
        <w:tabs>
          <w:tab w:val="num" w:pos="5760"/>
        </w:tabs>
        <w:ind w:left="5760" w:hanging="360"/>
      </w:pPr>
      <w:rPr>
        <w:rFonts w:ascii="Courier New" w:hAnsi="Courier New" w:hint="default"/>
      </w:rPr>
    </w:lvl>
    <w:lvl w:ilvl="8" w:tplc="1FE4F2EA"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76E74"/>
    <w:multiLevelType w:val="hybridMultilevel"/>
    <w:tmpl w:val="5A7CC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4"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2B7E2A"/>
    <w:multiLevelType w:val="hybridMultilevel"/>
    <w:tmpl w:val="D8D4C2C2"/>
    <w:lvl w:ilvl="0" w:tplc="21A07478">
      <w:start w:val="1"/>
      <w:numFmt w:val="bullet"/>
      <w:pStyle w:val="Dotpoint1"/>
      <w:lvlText w:val=""/>
      <w:lvlJc w:val="left"/>
      <w:pPr>
        <w:ind w:left="135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F973C5"/>
    <w:multiLevelType w:val="multilevel"/>
    <w:tmpl w:val="A07413F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82D62E1"/>
    <w:multiLevelType w:val="hybridMultilevel"/>
    <w:tmpl w:val="4E7681FE"/>
    <w:lvl w:ilvl="0" w:tplc="552E1634">
      <w:start w:val="1"/>
      <w:numFmt w:val="bullet"/>
      <w:lvlText w:val="o"/>
      <w:lvlJc w:val="left"/>
      <w:pPr>
        <w:tabs>
          <w:tab w:val="num" w:pos="720"/>
        </w:tabs>
        <w:ind w:left="720" w:hanging="360"/>
      </w:pPr>
      <w:rPr>
        <w:rFonts w:ascii="Courier New" w:hAnsi="Courier New" w:hint="default"/>
      </w:rPr>
    </w:lvl>
    <w:lvl w:ilvl="1" w:tplc="3C4A3B42">
      <w:start w:val="1"/>
      <w:numFmt w:val="bullet"/>
      <w:lvlText w:val="o"/>
      <w:lvlJc w:val="left"/>
      <w:pPr>
        <w:tabs>
          <w:tab w:val="num" w:pos="1440"/>
        </w:tabs>
        <w:ind w:left="1440" w:hanging="360"/>
      </w:pPr>
      <w:rPr>
        <w:rFonts w:ascii="Courier New" w:hAnsi="Courier New" w:hint="default"/>
      </w:rPr>
    </w:lvl>
    <w:lvl w:ilvl="2" w:tplc="AA423FCE" w:tentative="1">
      <w:start w:val="1"/>
      <w:numFmt w:val="bullet"/>
      <w:lvlText w:val="o"/>
      <w:lvlJc w:val="left"/>
      <w:pPr>
        <w:tabs>
          <w:tab w:val="num" w:pos="2160"/>
        </w:tabs>
        <w:ind w:left="2160" w:hanging="360"/>
      </w:pPr>
      <w:rPr>
        <w:rFonts w:ascii="Courier New" w:hAnsi="Courier New" w:hint="default"/>
      </w:rPr>
    </w:lvl>
    <w:lvl w:ilvl="3" w:tplc="2376BCD6" w:tentative="1">
      <w:start w:val="1"/>
      <w:numFmt w:val="bullet"/>
      <w:lvlText w:val="o"/>
      <w:lvlJc w:val="left"/>
      <w:pPr>
        <w:tabs>
          <w:tab w:val="num" w:pos="2880"/>
        </w:tabs>
        <w:ind w:left="2880" w:hanging="360"/>
      </w:pPr>
      <w:rPr>
        <w:rFonts w:ascii="Courier New" w:hAnsi="Courier New" w:hint="default"/>
      </w:rPr>
    </w:lvl>
    <w:lvl w:ilvl="4" w:tplc="0EDC672C" w:tentative="1">
      <w:start w:val="1"/>
      <w:numFmt w:val="bullet"/>
      <w:lvlText w:val="o"/>
      <w:lvlJc w:val="left"/>
      <w:pPr>
        <w:tabs>
          <w:tab w:val="num" w:pos="3600"/>
        </w:tabs>
        <w:ind w:left="3600" w:hanging="360"/>
      </w:pPr>
      <w:rPr>
        <w:rFonts w:ascii="Courier New" w:hAnsi="Courier New" w:hint="default"/>
      </w:rPr>
    </w:lvl>
    <w:lvl w:ilvl="5" w:tplc="9CCEF9D4" w:tentative="1">
      <w:start w:val="1"/>
      <w:numFmt w:val="bullet"/>
      <w:lvlText w:val="o"/>
      <w:lvlJc w:val="left"/>
      <w:pPr>
        <w:tabs>
          <w:tab w:val="num" w:pos="4320"/>
        </w:tabs>
        <w:ind w:left="4320" w:hanging="360"/>
      </w:pPr>
      <w:rPr>
        <w:rFonts w:ascii="Courier New" w:hAnsi="Courier New" w:hint="default"/>
      </w:rPr>
    </w:lvl>
    <w:lvl w:ilvl="6" w:tplc="E18EC004" w:tentative="1">
      <w:start w:val="1"/>
      <w:numFmt w:val="bullet"/>
      <w:lvlText w:val="o"/>
      <w:lvlJc w:val="left"/>
      <w:pPr>
        <w:tabs>
          <w:tab w:val="num" w:pos="5040"/>
        </w:tabs>
        <w:ind w:left="5040" w:hanging="360"/>
      </w:pPr>
      <w:rPr>
        <w:rFonts w:ascii="Courier New" w:hAnsi="Courier New" w:hint="default"/>
      </w:rPr>
    </w:lvl>
    <w:lvl w:ilvl="7" w:tplc="0F0A6E7C" w:tentative="1">
      <w:start w:val="1"/>
      <w:numFmt w:val="bullet"/>
      <w:lvlText w:val="o"/>
      <w:lvlJc w:val="left"/>
      <w:pPr>
        <w:tabs>
          <w:tab w:val="num" w:pos="5760"/>
        </w:tabs>
        <w:ind w:left="5760" w:hanging="360"/>
      </w:pPr>
      <w:rPr>
        <w:rFonts w:ascii="Courier New" w:hAnsi="Courier New" w:hint="default"/>
      </w:rPr>
    </w:lvl>
    <w:lvl w:ilvl="8" w:tplc="FAD8ED1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9" w15:restartNumberingAfterBreak="0">
    <w:nsid w:val="5CE74AB4"/>
    <w:multiLevelType w:val="multilevel"/>
    <w:tmpl w:val="19402A3A"/>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0"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1"/>
  </w:num>
  <w:num w:numId="2" w16cid:durableId="980231959">
    <w:abstractNumId w:val="14"/>
  </w:num>
  <w:num w:numId="3" w16cid:durableId="192771556">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740245613">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16cid:durableId="11265085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 w16cid:durableId="2054963566">
    <w:abstractNumId w:val="4"/>
  </w:num>
  <w:num w:numId="7" w16cid:durableId="399212068">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16cid:durableId="637078608">
    <w:abstractNumId w:val="5"/>
  </w:num>
  <w:num w:numId="9" w16cid:durableId="1033193177">
    <w:abstractNumId w:val="16"/>
  </w:num>
  <w:num w:numId="10" w16cid:durableId="521822388">
    <w:abstractNumId w:val="10"/>
  </w:num>
  <w:num w:numId="11" w16cid:durableId="294484496">
    <w:abstractNumId w:val="8"/>
  </w:num>
  <w:num w:numId="12" w16cid:durableId="57216100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609239854">
    <w:abstractNumId w:val="14"/>
  </w:num>
  <w:num w:numId="14" w16cid:durableId="1882939922">
    <w:abstractNumId w:val="12"/>
  </w:num>
  <w:num w:numId="15" w16cid:durableId="1311866530">
    <w:abstractNumId w:val="13"/>
  </w:num>
  <w:num w:numId="16" w16cid:durableId="1720665117">
    <w:abstractNumId w:val="4"/>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303316725">
    <w:abstractNumId w:val="5"/>
  </w:num>
  <w:num w:numId="18" w16cid:durableId="324020970">
    <w:abstractNumId w:val="3"/>
  </w:num>
  <w:num w:numId="19" w16cid:durableId="141191799">
    <w:abstractNumId w:val="11"/>
  </w:num>
  <w:num w:numId="20" w16cid:durableId="696934381">
    <w:abstractNumId w:val="15"/>
  </w:num>
  <w:num w:numId="21" w16cid:durableId="2057046099">
    <w:abstractNumId w:val="14"/>
  </w:num>
  <w:num w:numId="22" w16cid:durableId="1713652416">
    <w:abstractNumId w:val="2"/>
  </w:num>
  <w:num w:numId="23" w16cid:durableId="1093933600">
    <w:abstractNumId w:val="6"/>
  </w:num>
  <w:num w:numId="24" w16cid:durableId="893932912">
    <w:abstractNumId w:val="7"/>
  </w:num>
  <w:num w:numId="25" w16cid:durableId="1826628291">
    <w:abstractNumId w:val="0"/>
  </w:num>
  <w:num w:numId="26" w16cid:durableId="836384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EE"/>
    <w:rsid w:val="0000001F"/>
    <w:rsid w:val="00000BFC"/>
    <w:rsid w:val="00000C89"/>
    <w:rsid w:val="00001113"/>
    <w:rsid w:val="000011AE"/>
    <w:rsid w:val="000016F3"/>
    <w:rsid w:val="000017E2"/>
    <w:rsid w:val="00001A6B"/>
    <w:rsid w:val="00002288"/>
    <w:rsid w:val="000026E7"/>
    <w:rsid w:val="0000339C"/>
    <w:rsid w:val="000038C5"/>
    <w:rsid w:val="00003B5D"/>
    <w:rsid w:val="00003CDB"/>
    <w:rsid w:val="00003E43"/>
    <w:rsid w:val="0000459F"/>
    <w:rsid w:val="0000478E"/>
    <w:rsid w:val="00004AD4"/>
    <w:rsid w:val="00004F30"/>
    <w:rsid w:val="00005026"/>
    <w:rsid w:val="000059DD"/>
    <w:rsid w:val="00005F80"/>
    <w:rsid w:val="000063CE"/>
    <w:rsid w:val="0000736D"/>
    <w:rsid w:val="0000738C"/>
    <w:rsid w:val="000075EF"/>
    <w:rsid w:val="000079A1"/>
    <w:rsid w:val="00007D23"/>
    <w:rsid w:val="00007D89"/>
    <w:rsid w:val="00007FFC"/>
    <w:rsid w:val="00010394"/>
    <w:rsid w:val="00010B0F"/>
    <w:rsid w:val="000112FD"/>
    <w:rsid w:val="00011417"/>
    <w:rsid w:val="000119C2"/>
    <w:rsid w:val="00013AD7"/>
    <w:rsid w:val="00014135"/>
    <w:rsid w:val="00014691"/>
    <w:rsid w:val="000147D5"/>
    <w:rsid w:val="00014F3F"/>
    <w:rsid w:val="000150F9"/>
    <w:rsid w:val="0001519D"/>
    <w:rsid w:val="0001548E"/>
    <w:rsid w:val="00015853"/>
    <w:rsid w:val="00015C79"/>
    <w:rsid w:val="00015E54"/>
    <w:rsid w:val="00015F24"/>
    <w:rsid w:val="000164C4"/>
    <w:rsid w:val="00016C37"/>
    <w:rsid w:val="00017257"/>
    <w:rsid w:val="0001796C"/>
    <w:rsid w:val="00017A5A"/>
    <w:rsid w:val="00017B8A"/>
    <w:rsid w:val="00020043"/>
    <w:rsid w:val="00020AD7"/>
    <w:rsid w:val="0002105A"/>
    <w:rsid w:val="00021265"/>
    <w:rsid w:val="00021460"/>
    <w:rsid w:val="00021619"/>
    <w:rsid w:val="00021DA5"/>
    <w:rsid w:val="00021DAA"/>
    <w:rsid w:val="00022590"/>
    <w:rsid w:val="0002287C"/>
    <w:rsid w:val="000229C4"/>
    <w:rsid w:val="00022BD3"/>
    <w:rsid w:val="00022CE4"/>
    <w:rsid w:val="00023176"/>
    <w:rsid w:val="000239D4"/>
    <w:rsid w:val="00024592"/>
    <w:rsid w:val="00024ADA"/>
    <w:rsid w:val="00024B0A"/>
    <w:rsid w:val="00025188"/>
    <w:rsid w:val="000255AB"/>
    <w:rsid w:val="00025C8C"/>
    <w:rsid w:val="00025E7C"/>
    <w:rsid w:val="00025F13"/>
    <w:rsid w:val="00026034"/>
    <w:rsid w:val="000266CB"/>
    <w:rsid w:val="00026856"/>
    <w:rsid w:val="00027C6D"/>
    <w:rsid w:val="00027F47"/>
    <w:rsid w:val="00027F4D"/>
    <w:rsid w:val="0003003A"/>
    <w:rsid w:val="000307F1"/>
    <w:rsid w:val="0003158A"/>
    <w:rsid w:val="000324B7"/>
    <w:rsid w:val="00032AEC"/>
    <w:rsid w:val="00032CAF"/>
    <w:rsid w:val="00032CC4"/>
    <w:rsid w:val="00032CCD"/>
    <w:rsid w:val="0003305F"/>
    <w:rsid w:val="000332F5"/>
    <w:rsid w:val="00033352"/>
    <w:rsid w:val="00033779"/>
    <w:rsid w:val="00033805"/>
    <w:rsid w:val="0003381D"/>
    <w:rsid w:val="00033BFC"/>
    <w:rsid w:val="000342B3"/>
    <w:rsid w:val="00034B39"/>
    <w:rsid w:val="00034E8C"/>
    <w:rsid w:val="000359A3"/>
    <w:rsid w:val="00035B07"/>
    <w:rsid w:val="00035E11"/>
    <w:rsid w:val="00035FC7"/>
    <w:rsid w:val="00036626"/>
    <w:rsid w:val="00036A6B"/>
    <w:rsid w:val="00036DCF"/>
    <w:rsid w:val="000370E7"/>
    <w:rsid w:val="00037157"/>
    <w:rsid w:val="00037636"/>
    <w:rsid w:val="00040058"/>
    <w:rsid w:val="00040805"/>
    <w:rsid w:val="00040820"/>
    <w:rsid w:val="0004089A"/>
    <w:rsid w:val="00040E9E"/>
    <w:rsid w:val="0004109B"/>
    <w:rsid w:val="00041348"/>
    <w:rsid w:val="0004185D"/>
    <w:rsid w:val="000418AB"/>
    <w:rsid w:val="00041928"/>
    <w:rsid w:val="00041ADA"/>
    <w:rsid w:val="00042AE3"/>
    <w:rsid w:val="00042FEF"/>
    <w:rsid w:val="00043054"/>
    <w:rsid w:val="000430A3"/>
    <w:rsid w:val="000430C0"/>
    <w:rsid w:val="00043327"/>
    <w:rsid w:val="0004360C"/>
    <w:rsid w:val="00043B9A"/>
    <w:rsid w:val="00043CDE"/>
    <w:rsid w:val="00043E81"/>
    <w:rsid w:val="00043FA7"/>
    <w:rsid w:val="00044731"/>
    <w:rsid w:val="0004522B"/>
    <w:rsid w:val="000453F7"/>
    <w:rsid w:val="00046061"/>
    <w:rsid w:val="0004647C"/>
    <w:rsid w:val="00046502"/>
    <w:rsid w:val="0004686A"/>
    <w:rsid w:val="00046963"/>
    <w:rsid w:val="00046B10"/>
    <w:rsid w:val="00046E2F"/>
    <w:rsid w:val="00047FF2"/>
    <w:rsid w:val="00050939"/>
    <w:rsid w:val="00050C8C"/>
    <w:rsid w:val="00051EE3"/>
    <w:rsid w:val="00052006"/>
    <w:rsid w:val="00052017"/>
    <w:rsid w:val="00052120"/>
    <w:rsid w:val="000528B9"/>
    <w:rsid w:val="00052D7C"/>
    <w:rsid w:val="00052FC9"/>
    <w:rsid w:val="0005316B"/>
    <w:rsid w:val="00053462"/>
    <w:rsid w:val="000534E8"/>
    <w:rsid w:val="00053D02"/>
    <w:rsid w:val="00054044"/>
    <w:rsid w:val="00054B2C"/>
    <w:rsid w:val="00054FBB"/>
    <w:rsid w:val="00055657"/>
    <w:rsid w:val="000557B1"/>
    <w:rsid w:val="00055DE8"/>
    <w:rsid w:val="00055E8A"/>
    <w:rsid w:val="000569B2"/>
    <w:rsid w:val="00056B07"/>
    <w:rsid w:val="00057252"/>
    <w:rsid w:val="00057535"/>
    <w:rsid w:val="0005783A"/>
    <w:rsid w:val="00057993"/>
    <w:rsid w:val="0006039C"/>
    <w:rsid w:val="000603A4"/>
    <w:rsid w:val="00060406"/>
    <w:rsid w:val="000608C7"/>
    <w:rsid w:val="000609D2"/>
    <w:rsid w:val="00060B5C"/>
    <w:rsid w:val="00060C9F"/>
    <w:rsid w:val="00060EBD"/>
    <w:rsid w:val="000617C5"/>
    <w:rsid w:val="00061C1B"/>
    <w:rsid w:val="00061E3E"/>
    <w:rsid w:val="00061E7D"/>
    <w:rsid w:val="000620D2"/>
    <w:rsid w:val="00062127"/>
    <w:rsid w:val="00062B09"/>
    <w:rsid w:val="0006408C"/>
    <w:rsid w:val="00064604"/>
    <w:rsid w:val="00064DEB"/>
    <w:rsid w:val="00065443"/>
    <w:rsid w:val="000657EB"/>
    <w:rsid w:val="00065F80"/>
    <w:rsid w:val="000665D3"/>
    <w:rsid w:val="00066918"/>
    <w:rsid w:val="0006742D"/>
    <w:rsid w:val="0007063C"/>
    <w:rsid w:val="0007070D"/>
    <w:rsid w:val="00070732"/>
    <w:rsid w:val="00070812"/>
    <w:rsid w:val="00070820"/>
    <w:rsid w:val="00070D5F"/>
    <w:rsid w:val="00070EDF"/>
    <w:rsid w:val="00070F20"/>
    <w:rsid w:val="0007168D"/>
    <w:rsid w:val="00071885"/>
    <w:rsid w:val="000720BC"/>
    <w:rsid w:val="00072A2B"/>
    <w:rsid w:val="00072EFF"/>
    <w:rsid w:val="00072FFF"/>
    <w:rsid w:val="000734E5"/>
    <w:rsid w:val="00073D27"/>
    <w:rsid w:val="00073D6A"/>
    <w:rsid w:val="0007450B"/>
    <w:rsid w:val="00074D44"/>
    <w:rsid w:val="00074EDA"/>
    <w:rsid w:val="00075507"/>
    <w:rsid w:val="000755ED"/>
    <w:rsid w:val="00075A0B"/>
    <w:rsid w:val="00075B06"/>
    <w:rsid w:val="00075EAE"/>
    <w:rsid w:val="00075F07"/>
    <w:rsid w:val="00076295"/>
    <w:rsid w:val="00076478"/>
    <w:rsid w:val="000765B5"/>
    <w:rsid w:val="000766E7"/>
    <w:rsid w:val="0007697A"/>
    <w:rsid w:val="00076CF3"/>
    <w:rsid w:val="00077352"/>
    <w:rsid w:val="00077D65"/>
    <w:rsid w:val="000801F3"/>
    <w:rsid w:val="0008097B"/>
    <w:rsid w:val="00080BA6"/>
    <w:rsid w:val="000812CA"/>
    <w:rsid w:val="0008232F"/>
    <w:rsid w:val="00082B57"/>
    <w:rsid w:val="00082CE4"/>
    <w:rsid w:val="00083197"/>
    <w:rsid w:val="00083791"/>
    <w:rsid w:val="00083D0B"/>
    <w:rsid w:val="000840DD"/>
    <w:rsid w:val="000843C4"/>
    <w:rsid w:val="000844BC"/>
    <w:rsid w:val="000848CC"/>
    <w:rsid w:val="000851E1"/>
    <w:rsid w:val="00085315"/>
    <w:rsid w:val="00085917"/>
    <w:rsid w:val="00086D1F"/>
    <w:rsid w:val="00086DE0"/>
    <w:rsid w:val="00087A5E"/>
    <w:rsid w:val="00087A68"/>
    <w:rsid w:val="00087E08"/>
    <w:rsid w:val="00087F47"/>
    <w:rsid w:val="00087FE9"/>
    <w:rsid w:val="000902D5"/>
    <w:rsid w:val="00090342"/>
    <w:rsid w:val="000909D2"/>
    <w:rsid w:val="00090A16"/>
    <w:rsid w:val="00090A2C"/>
    <w:rsid w:val="00090AA6"/>
    <w:rsid w:val="00091AF9"/>
    <w:rsid w:val="00092AD5"/>
    <w:rsid w:val="00092BD3"/>
    <w:rsid w:val="00092D0D"/>
    <w:rsid w:val="00092D13"/>
    <w:rsid w:val="00093F53"/>
    <w:rsid w:val="000940C5"/>
    <w:rsid w:val="0009425C"/>
    <w:rsid w:val="0009426A"/>
    <w:rsid w:val="0009446A"/>
    <w:rsid w:val="000948F6"/>
    <w:rsid w:val="00094DB1"/>
    <w:rsid w:val="000950B8"/>
    <w:rsid w:val="00095104"/>
    <w:rsid w:val="00095247"/>
    <w:rsid w:val="000956AD"/>
    <w:rsid w:val="00095728"/>
    <w:rsid w:val="00095AC8"/>
    <w:rsid w:val="00096920"/>
    <w:rsid w:val="00096E04"/>
    <w:rsid w:val="00097191"/>
    <w:rsid w:val="00097A36"/>
    <w:rsid w:val="000A035B"/>
    <w:rsid w:val="000A07B1"/>
    <w:rsid w:val="000A0AE9"/>
    <w:rsid w:val="000A0BA4"/>
    <w:rsid w:val="000A0C1B"/>
    <w:rsid w:val="000A0C8B"/>
    <w:rsid w:val="000A1B3B"/>
    <w:rsid w:val="000A1D43"/>
    <w:rsid w:val="000A1F4A"/>
    <w:rsid w:val="000A2207"/>
    <w:rsid w:val="000A2251"/>
    <w:rsid w:val="000A2949"/>
    <w:rsid w:val="000A2A0F"/>
    <w:rsid w:val="000A3230"/>
    <w:rsid w:val="000A3BB7"/>
    <w:rsid w:val="000A3C45"/>
    <w:rsid w:val="000A4410"/>
    <w:rsid w:val="000A4B4D"/>
    <w:rsid w:val="000A511B"/>
    <w:rsid w:val="000A5415"/>
    <w:rsid w:val="000A5575"/>
    <w:rsid w:val="000A568E"/>
    <w:rsid w:val="000A575E"/>
    <w:rsid w:val="000A59F3"/>
    <w:rsid w:val="000A5B3B"/>
    <w:rsid w:val="000A5CDE"/>
    <w:rsid w:val="000A60E2"/>
    <w:rsid w:val="000A63BC"/>
    <w:rsid w:val="000A663D"/>
    <w:rsid w:val="000A6774"/>
    <w:rsid w:val="000A72B1"/>
    <w:rsid w:val="000A74F9"/>
    <w:rsid w:val="000A7A6B"/>
    <w:rsid w:val="000A7AAF"/>
    <w:rsid w:val="000A7EA8"/>
    <w:rsid w:val="000B02B5"/>
    <w:rsid w:val="000B0538"/>
    <w:rsid w:val="000B05A8"/>
    <w:rsid w:val="000B099B"/>
    <w:rsid w:val="000B0DE7"/>
    <w:rsid w:val="000B1069"/>
    <w:rsid w:val="000B109E"/>
    <w:rsid w:val="000B1853"/>
    <w:rsid w:val="000B202C"/>
    <w:rsid w:val="000B22D0"/>
    <w:rsid w:val="000B2FC2"/>
    <w:rsid w:val="000B3182"/>
    <w:rsid w:val="000B3BA8"/>
    <w:rsid w:val="000B3D54"/>
    <w:rsid w:val="000B4905"/>
    <w:rsid w:val="000B4F6A"/>
    <w:rsid w:val="000B513A"/>
    <w:rsid w:val="000B555D"/>
    <w:rsid w:val="000B5A18"/>
    <w:rsid w:val="000B5D0F"/>
    <w:rsid w:val="000B5E9C"/>
    <w:rsid w:val="000B6916"/>
    <w:rsid w:val="000B6B3E"/>
    <w:rsid w:val="000B7623"/>
    <w:rsid w:val="000B773A"/>
    <w:rsid w:val="000B78BC"/>
    <w:rsid w:val="000B79AE"/>
    <w:rsid w:val="000B7C75"/>
    <w:rsid w:val="000B7D6E"/>
    <w:rsid w:val="000B7FED"/>
    <w:rsid w:val="000C0574"/>
    <w:rsid w:val="000C0E71"/>
    <w:rsid w:val="000C15A7"/>
    <w:rsid w:val="000C16F4"/>
    <w:rsid w:val="000C175C"/>
    <w:rsid w:val="000C259C"/>
    <w:rsid w:val="000C280B"/>
    <w:rsid w:val="000C3373"/>
    <w:rsid w:val="000C3DBF"/>
    <w:rsid w:val="000C43E6"/>
    <w:rsid w:val="000C45B2"/>
    <w:rsid w:val="000C4626"/>
    <w:rsid w:val="000C51A6"/>
    <w:rsid w:val="000C5BF5"/>
    <w:rsid w:val="000C61A3"/>
    <w:rsid w:val="000C6C57"/>
    <w:rsid w:val="000C6E44"/>
    <w:rsid w:val="000C718B"/>
    <w:rsid w:val="000C718F"/>
    <w:rsid w:val="000C7231"/>
    <w:rsid w:val="000C744B"/>
    <w:rsid w:val="000D0037"/>
    <w:rsid w:val="000D03AA"/>
    <w:rsid w:val="000D0EF5"/>
    <w:rsid w:val="000D0F0A"/>
    <w:rsid w:val="000D1461"/>
    <w:rsid w:val="000D14D1"/>
    <w:rsid w:val="000D16CE"/>
    <w:rsid w:val="000D1A6C"/>
    <w:rsid w:val="000D1F67"/>
    <w:rsid w:val="000D2136"/>
    <w:rsid w:val="000D22F2"/>
    <w:rsid w:val="000D2E94"/>
    <w:rsid w:val="000D31C8"/>
    <w:rsid w:val="000D33E5"/>
    <w:rsid w:val="000D3FB9"/>
    <w:rsid w:val="000D454F"/>
    <w:rsid w:val="000D4CC3"/>
    <w:rsid w:val="000D4ED7"/>
    <w:rsid w:val="000D53D8"/>
    <w:rsid w:val="000D5463"/>
    <w:rsid w:val="000D5745"/>
    <w:rsid w:val="000D5D30"/>
    <w:rsid w:val="000D603A"/>
    <w:rsid w:val="000D617F"/>
    <w:rsid w:val="000D697E"/>
    <w:rsid w:val="000D6B3E"/>
    <w:rsid w:val="000D6B8A"/>
    <w:rsid w:val="000D6EC2"/>
    <w:rsid w:val="000D70B3"/>
    <w:rsid w:val="000D752E"/>
    <w:rsid w:val="000D7620"/>
    <w:rsid w:val="000D791A"/>
    <w:rsid w:val="000D7E75"/>
    <w:rsid w:val="000E07B0"/>
    <w:rsid w:val="000E0B02"/>
    <w:rsid w:val="000E162B"/>
    <w:rsid w:val="000E1C16"/>
    <w:rsid w:val="000E1DFE"/>
    <w:rsid w:val="000E1E7B"/>
    <w:rsid w:val="000E2728"/>
    <w:rsid w:val="000E2DD1"/>
    <w:rsid w:val="000E3132"/>
    <w:rsid w:val="000E3B03"/>
    <w:rsid w:val="000E4BAC"/>
    <w:rsid w:val="000E4CF2"/>
    <w:rsid w:val="000E4D39"/>
    <w:rsid w:val="000E5068"/>
    <w:rsid w:val="000E521B"/>
    <w:rsid w:val="000E52E9"/>
    <w:rsid w:val="000E57EE"/>
    <w:rsid w:val="000E596D"/>
    <w:rsid w:val="000E5A5D"/>
    <w:rsid w:val="000E6717"/>
    <w:rsid w:val="000E693B"/>
    <w:rsid w:val="000E6DBB"/>
    <w:rsid w:val="000E6DD1"/>
    <w:rsid w:val="000E6E1D"/>
    <w:rsid w:val="000E6FC9"/>
    <w:rsid w:val="000E7AA0"/>
    <w:rsid w:val="000E7C91"/>
    <w:rsid w:val="000E7E6D"/>
    <w:rsid w:val="000F002F"/>
    <w:rsid w:val="000F00E5"/>
    <w:rsid w:val="000F052F"/>
    <w:rsid w:val="000F056C"/>
    <w:rsid w:val="000F05FB"/>
    <w:rsid w:val="000F0F22"/>
    <w:rsid w:val="000F13A9"/>
    <w:rsid w:val="000F1B9C"/>
    <w:rsid w:val="000F22E9"/>
    <w:rsid w:val="000F2460"/>
    <w:rsid w:val="000F2617"/>
    <w:rsid w:val="000F2DC0"/>
    <w:rsid w:val="000F3947"/>
    <w:rsid w:val="000F39B8"/>
    <w:rsid w:val="000F43CC"/>
    <w:rsid w:val="000F4409"/>
    <w:rsid w:val="000F4967"/>
    <w:rsid w:val="000F4CC9"/>
    <w:rsid w:val="000F4EEA"/>
    <w:rsid w:val="000F7599"/>
    <w:rsid w:val="000F7982"/>
    <w:rsid w:val="000F7E1B"/>
    <w:rsid w:val="001000AC"/>
    <w:rsid w:val="00101384"/>
    <w:rsid w:val="00101997"/>
    <w:rsid w:val="00101F16"/>
    <w:rsid w:val="00102844"/>
    <w:rsid w:val="00102BB9"/>
    <w:rsid w:val="00102C1F"/>
    <w:rsid w:val="00102E5F"/>
    <w:rsid w:val="00103457"/>
    <w:rsid w:val="0010351A"/>
    <w:rsid w:val="0010376A"/>
    <w:rsid w:val="001037FD"/>
    <w:rsid w:val="0010386F"/>
    <w:rsid w:val="00104001"/>
    <w:rsid w:val="0010427A"/>
    <w:rsid w:val="00104619"/>
    <w:rsid w:val="001055BC"/>
    <w:rsid w:val="00105606"/>
    <w:rsid w:val="0010560D"/>
    <w:rsid w:val="00105ACC"/>
    <w:rsid w:val="00105E85"/>
    <w:rsid w:val="001064C7"/>
    <w:rsid w:val="0010684D"/>
    <w:rsid w:val="001068D1"/>
    <w:rsid w:val="00106FDC"/>
    <w:rsid w:val="00107E6F"/>
    <w:rsid w:val="00110136"/>
    <w:rsid w:val="00110320"/>
    <w:rsid w:val="001107FB"/>
    <w:rsid w:val="00110928"/>
    <w:rsid w:val="00110BF8"/>
    <w:rsid w:val="00110DA2"/>
    <w:rsid w:val="00111099"/>
    <w:rsid w:val="0011175C"/>
    <w:rsid w:val="00111A45"/>
    <w:rsid w:val="00112036"/>
    <w:rsid w:val="00112470"/>
    <w:rsid w:val="001130CE"/>
    <w:rsid w:val="00113518"/>
    <w:rsid w:val="00113538"/>
    <w:rsid w:val="001142C4"/>
    <w:rsid w:val="00114402"/>
    <w:rsid w:val="00114409"/>
    <w:rsid w:val="001147F9"/>
    <w:rsid w:val="001147FA"/>
    <w:rsid w:val="00114D6E"/>
    <w:rsid w:val="00114E19"/>
    <w:rsid w:val="001151D4"/>
    <w:rsid w:val="00115246"/>
    <w:rsid w:val="00115251"/>
    <w:rsid w:val="00115509"/>
    <w:rsid w:val="0011564B"/>
    <w:rsid w:val="00115A0C"/>
    <w:rsid w:val="00115B27"/>
    <w:rsid w:val="0011638D"/>
    <w:rsid w:val="001165DF"/>
    <w:rsid w:val="00116A53"/>
    <w:rsid w:val="001173B0"/>
    <w:rsid w:val="001203B7"/>
    <w:rsid w:val="0012042C"/>
    <w:rsid w:val="00120750"/>
    <w:rsid w:val="0012120E"/>
    <w:rsid w:val="00121568"/>
    <w:rsid w:val="001227A2"/>
    <w:rsid w:val="0012322F"/>
    <w:rsid w:val="001237BC"/>
    <w:rsid w:val="00123F11"/>
    <w:rsid w:val="0012409A"/>
    <w:rsid w:val="00124323"/>
    <w:rsid w:val="00124584"/>
    <w:rsid w:val="00124B85"/>
    <w:rsid w:val="00124CA8"/>
    <w:rsid w:val="001251AF"/>
    <w:rsid w:val="0012552B"/>
    <w:rsid w:val="001257F3"/>
    <w:rsid w:val="00125FB7"/>
    <w:rsid w:val="001262B6"/>
    <w:rsid w:val="00126428"/>
    <w:rsid w:val="00126A5D"/>
    <w:rsid w:val="00126FA2"/>
    <w:rsid w:val="001271C8"/>
    <w:rsid w:val="00127A92"/>
    <w:rsid w:val="001303A2"/>
    <w:rsid w:val="00130982"/>
    <w:rsid w:val="00130A6B"/>
    <w:rsid w:val="0013100B"/>
    <w:rsid w:val="00131083"/>
    <w:rsid w:val="00131AEF"/>
    <w:rsid w:val="00131EA6"/>
    <w:rsid w:val="001325C4"/>
    <w:rsid w:val="001325EB"/>
    <w:rsid w:val="00132A0D"/>
    <w:rsid w:val="00132FAC"/>
    <w:rsid w:val="001330AA"/>
    <w:rsid w:val="00133359"/>
    <w:rsid w:val="001343D7"/>
    <w:rsid w:val="00134FC6"/>
    <w:rsid w:val="00135924"/>
    <w:rsid w:val="00135DE1"/>
    <w:rsid w:val="00135E92"/>
    <w:rsid w:val="001363A5"/>
    <w:rsid w:val="00136B88"/>
    <w:rsid w:val="00136E0C"/>
    <w:rsid w:val="00137317"/>
    <w:rsid w:val="00137669"/>
    <w:rsid w:val="0013783F"/>
    <w:rsid w:val="0014055D"/>
    <w:rsid w:val="00140797"/>
    <w:rsid w:val="00140DBD"/>
    <w:rsid w:val="00141521"/>
    <w:rsid w:val="00141701"/>
    <w:rsid w:val="00142641"/>
    <w:rsid w:val="001427AF"/>
    <w:rsid w:val="00143495"/>
    <w:rsid w:val="001435B4"/>
    <w:rsid w:val="0014379F"/>
    <w:rsid w:val="00143856"/>
    <w:rsid w:val="001438A3"/>
    <w:rsid w:val="00143FC1"/>
    <w:rsid w:val="0014405B"/>
    <w:rsid w:val="001443F8"/>
    <w:rsid w:val="00144415"/>
    <w:rsid w:val="001448B1"/>
    <w:rsid w:val="001448C3"/>
    <w:rsid w:val="00144A5E"/>
    <w:rsid w:val="00144C1E"/>
    <w:rsid w:val="00144ED0"/>
    <w:rsid w:val="00145186"/>
    <w:rsid w:val="001451C4"/>
    <w:rsid w:val="001459FE"/>
    <w:rsid w:val="00145A6E"/>
    <w:rsid w:val="00145CD6"/>
    <w:rsid w:val="00145DB1"/>
    <w:rsid w:val="00145F56"/>
    <w:rsid w:val="00146072"/>
    <w:rsid w:val="00146151"/>
    <w:rsid w:val="00147884"/>
    <w:rsid w:val="00147A07"/>
    <w:rsid w:val="00147ADD"/>
    <w:rsid w:val="00147E09"/>
    <w:rsid w:val="00150251"/>
    <w:rsid w:val="00150476"/>
    <w:rsid w:val="00150D00"/>
    <w:rsid w:val="001520B6"/>
    <w:rsid w:val="001522E4"/>
    <w:rsid w:val="00152327"/>
    <w:rsid w:val="00153A15"/>
    <w:rsid w:val="00153D87"/>
    <w:rsid w:val="0015432D"/>
    <w:rsid w:val="00154354"/>
    <w:rsid w:val="00154456"/>
    <w:rsid w:val="00155048"/>
    <w:rsid w:val="001553E8"/>
    <w:rsid w:val="001555B3"/>
    <w:rsid w:val="00155691"/>
    <w:rsid w:val="00155761"/>
    <w:rsid w:val="001561E4"/>
    <w:rsid w:val="00156D41"/>
    <w:rsid w:val="00156F1B"/>
    <w:rsid w:val="00157B39"/>
    <w:rsid w:val="00157FCF"/>
    <w:rsid w:val="00160286"/>
    <w:rsid w:val="0016030D"/>
    <w:rsid w:val="00161348"/>
    <w:rsid w:val="0016150E"/>
    <w:rsid w:val="00161B45"/>
    <w:rsid w:val="001620F1"/>
    <w:rsid w:val="00162FEB"/>
    <w:rsid w:val="00163109"/>
    <w:rsid w:val="00163457"/>
    <w:rsid w:val="001634D4"/>
    <w:rsid w:val="001637B1"/>
    <w:rsid w:val="001638AE"/>
    <w:rsid w:val="00163BE4"/>
    <w:rsid w:val="00163F79"/>
    <w:rsid w:val="00164A8E"/>
    <w:rsid w:val="00165E4A"/>
    <w:rsid w:val="00166B6D"/>
    <w:rsid w:val="00166BF8"/>
    <w:rsid w:val="00166D5F"/>
    <w:rsid w:val="00167DE1"/>
    <w:rsid w:val="001701B8"/>
    <w:rsid w:val="0017086A"/>
    <w:rsid w:val="00170A01"/>
    <w:rsid w:val="00170C78"/>
    <w:rsid w:val="00170E6B"/>
    <w:rsid w:val="0017102C"/>
    <w:rsid w:val="00171242"/>
    <w:rsid w:val="001713CC"/>
    <w:rsid w:val="001715C1"/>
    <w:rsid w:val="0017166D"/>
    <w:rsid w:val="001716C5"/>
    <w:rsid w:val="001722E4"/>
    <w:rsid w:val="001732DE"/>
    <w:rsid w:val="001733FC"/>
    <w:rsid w:val="001734A1"/>
    <w:rsid w:val="0017373D"/>
    <w:rsid w:val="0017388C"/>
    <w:rsid w:val="00173A52"/>
    <w:rsid w:val="00174071"/>
    <w:rsid w:val="00174081"/>
    <w:rsid w:val="001741A2"/>
    <w:rsid w:val="001741AC"/>
    <w:rsid w:val="001741F0"/>
    <w:rsid w:val="001742B2"/>
    <w:rsid w:val="00174435"/>
    <w:rsid w:val="001746F1"/>
    <w:rsid w:val="0017487E"/>
    <w:rsid w:val="00174ED3"/>
    <w:rsid w:val="00175288"/>
    <w:rsid w:val="0017559C"/>
    <w:rsid w:val="00175605"/>
    <w:rsid w:val="00175A49"/>
    <w:rsid w:val="00176846"/>
    <w:rsid w:val="00176B7C"/>
    <w:rsid w:val="00176BC5"/>
    <w:rsid w:val="00177022"/>
    <w:rsid w:val="0017710C"/>
    <w:rsid w:val="001771A3"/>
    <w:rsid w:val="001773DD"/>
    <w:rsid w:val="0017746E"/>
    <w:rsid w:val="00177656"/>
    <w:rsid w:val="00177662"/>
    <w:rsid w:val="0017771C"/>
    <w:rsid w:val="00180153"/>
    <w:rsid w:val="00180278"/>
    <w:rsid w:val="00180533"/>
    <w:rsid w:val="00180820"/>
    <w:rsid w:val="00180CA5"/>
    <w:rsid w:val="00181A55"/>
    <w:rsid w:val="00181A88"/>
    <w:rsid w:val="00182244"/>
    <w:rsid w:val="001824B2"/>
    <w:rsid w:val="0018258F"/>
    <w:rsid w:val="00182A24"/>
    <w:rsid w:val="00182AB2"/>
    <w:rsid w:val="00182C8B"/>
    <w:rsid w:val="00182D36"/>
    <w:rsid w:val="00182D5A"/>
    <w:rsid w:val="001839FD"/>
    <w:rsid w:val="00183D1B"/>
    <w:rsid w:val="00184040"/>
    <w:rsid w:val="001842AD"/>
    <w:rsid w:val="0018438A"/>
    <w:rsid w:val="00185048"/>
    <w:rsid w:val="001854E0"/>
    <w:rsid w:val="00185718"/>
    <w:rsid w:val="001859CA"/>
    <w:rsid w:val="00185DFC"/>
    <w:rsid w:val="00186589"/>
    <w:rsid w:val="001868B5"/>
    <w:rsid w:val="001869A4"/>
    <w:rsid w:val="00186BE0"/>
    <w:rsid w:val="00186BF3"/>
    <w:rsid w:val="0018722F"/>
    <w:rsid w:val="0018750B"/>
    <w:rsid w:val="00187977"/>
    <w:rsid w:val="00190291"/>
    <w:rsid w:val="00190353"/>
    <w:rsid w:val="001903EE"/>
    <w:rsid w:val="00190A23"/>
    <w:rsid w:val="001912B8"/>
    <w:rsid w:val="00191772"/>
    <w:rsid w:val="0019194E"/>
    <w:rsid w:val="00191A9A"/>
    <w:rsid w:val="00191CF9"/>
    <w:rsid w:val="00191D11"/>
    <w:rsid w:val="001923C0"/>
    <w:rsid w:val="00192B58"/>
    <w:rsid w:val="001930E0"/>
    <w:rsid w:val="001934A2"/>
    <w:rsid w:val="001936FD"/>
    <w:rsid w:val="00193812"/>
    <w:rsid w:val="00193968"/>
    <w:rsid w:val="00193A72"/>
    <w:rsid w:val="00193EEE"/>
    <w:rsid w:val="00194075"/>
    <w:rsid w:val="00194630"/>
    <w:rsid w:val="00194A3F"/>
    <w:rsid w:val="00194AB6"/>
    <w:rsid w:val="00194DB4"/>
    <w:rsid w:val="00195D1C"/>
    <w:rsid w:val="0019615D"/>
    <w:rsid w:val="001962F8"/>
    <w:rsid w:val="00196375"/>
    <w:rsid w:val="001970F0"/>
    <w:rsid w:val="00197142"/>
    <w:rsid w:val="001975D7"/>
    <w:rsid w:val="00197664"/>
    <w:rsid w:val="00197B3F"/>
    <w:rsid w:val="001A0644"/>
    <w:rsid w:val="001A1071"/>
    <w:rsid w:val="001A10CB"/>
    <w:rsid w:val="001A116F"/>
    <w:rsid w:val="001A1418"/>
    <w:rsid w:val="001A1523"/>
    <w:rsid w:val="001A15CC"/>
    <w:rsid w:val="001A1BD6"/>
    <w:rsid w:val="001A2B35"/>
    <w:rsid w:val="001A32F2"/>
    <w:rsid w:val="001A372B"/>
    <w:rsid w:val="001A37D2"/>
    <w:rsid w:val="001A3FC7"/>
    <w:rsid w:val="001A5571"/>
    <w:rsid w:val="001A5F79"/>
    <w:rsid w:val="001A6574"/>
    <w:rsid w:val="001A672B"/>
    <w:rsid w:val="001A7157"/>
    <w:rsid w:val="001A7467"/>
    <w:rsid w:val="001A7931"/>
    <w:rsid w:val="001A7BDE"/>
    <w:rsid w:val="001B02E0"/>
    <w:rsid w:val="001B03FB"/>
    <w:rsid w:val="001B07FA"/>
    <w:rsid w:val="001B1306"/>
    <w:rsid w:val="001B135E"/>
    <w:rsid w:val="001B18F2"/>
    <w:rsid w:val="001B1EC3"/>
    <w:rsid w:val="001B2349"/>
    <w:rsid w:val="001B2651"/>
    <w:rsid w:val="001B270A"/>
    <w:rsid w:val="001B311D"/>
    <w:rsid w:val="001B3516"/>
    <w:rsid w:val="001B360F"/>
    <w:rsid w:val="001B3BCD"/>
    <w:rsid w:val="001B4056"/>
    <w:rsid w:val="001B40CA"/>
    <w:rsid w:val="001B4536"/>
    <w:rsid w:val="001B4B3E"/>
    <w:rsid w:val="001B4CC8"/>
    <w:rsid w:val="001B4E56"/>
    <w:rsid w:val="001B543C"/>
    <w:rsid w:val="001B5AD6"/>
    <w:rsid w:val="001B63E5"/>
    <w:rsid w:val="001B72DE"/>
    <w:rsid w:val="001B7422"/>
    <w:rsid w:val="001B74D7"/>
    <w:rsid w:val="001B7754"/>
    <w:rsid w:val="001B7FB0"/>
    <w:rsid w:val="001C12AF"/>
    <w:rsid w:val="001C14EF"/>
    <w:rsid w:val="001C188B"/>
    <w:rsid w:val="001C19FC"/>
    <w:rsid w:val="001C335E"/>
    <w:rsid w:val="001C3600"/>
    <w:rsid w:val="001C38CB"/>
    <w:rsid w:val="001C39D8"/>
    <w:rsid w:val="001C3D0F"/>
    <w:rsid w:val="001C3E6F"/>
    <w:rsid w:val="001C3EBE"/>
    <w:rsid w:val="001C4172"/>
    <w:rsid w:val="001C45E8"/>
    <w:rsid w:val="001C4874"/>
    <w:rsid w:val="001C49DA"/>
    <w:rsid w:val="001C5AA6"/>
    <w:rsid w:val="001C5B29"/>
    <w:rsid w:val="001C5CBF"/>
    <w:rsid w:val="001C60DC"/>
    <w:rsid w:val="001C62E5"/>
    <w:rsid w:val="001C7532"/>
    <w:rsid w:val="001C7DE2"/>
    <w:rsid w:val="001D0182"/>
    <w:rsid w:val="001D03B7"/>
    <w:rsid w:val="001D1801"/>
    <w:rsid w:val="001D1A44"/>
    <w:rsid w:val="001D1E55"/>
    <w:rsid w:val="001D1FCE"/>
    <w:rsid w:val="001D20CC"/>
    <w:rsid w:val="001D2749"/>
    <w:rsid w:val="001D28BE"/>
    <w:rsid w:val="001D2CBA"/>
    <w:rsid w:val="001D346C"/>
    <w:rsid w:val="001D3492"/>
    <w:rsid w:val="001D3B8D"/>
    <w:rsid w:val="001D43CE"/>
    <w:rsid w:val="001D45A8"/>
    <w:rsid w:val="001D4622"/>
    <w:rsid w:val="001D4678"/>
    <w:rsid w:val="001D4A06"/>
    <w:rsid w:val="001D4A67"/>
    <w:rsid w:val="001D4CF2"/>
    <w:rsid w:val="001D5348"/>
    <w:rsid w:val="001D560B"/>
    <w:rsid w:val="001D58A8"/>
    <w:rsid w:val="001D59F0"/>
    <w:rsid w:val="001D5FF0"/>
    <w:rsid w:val="001D6AC2"/>
    <w:rsid w:val="001D7260"/>
    <w:rsid w:val="001D7846"/>
    <w:rsid w:val="001D7BA6"/>
    <w:rsid w:val="001E009D"/>
    <w:rsid w:val="001E0130"/>
    <w:rsid w:val="001E01BF"/>
    <w:rsid w:val="001E05FE"/>
    <w:rsid w:val="001E0604"/>
    <w:rsid w:val="001E071C"/>
    <w:rsid w:val="001E0783"/>
    <w:rsid w:val="001E0E00"/>
    <w:rsid w:val="001E1147"/>
    <w:rsid w:val="001E136A"/>
    <w:rsid w:val="001E182A"/>
    <w:rsid w:val="001E193F"/>
    <w:rsid w:val="001E1AD6"/>
    <w:rsid w:val="001E240C"/>
    <w:rsid w:val="001E29FA"/>
    <w:rsid w:val="001E2A71"/>
    <w:rsid w:val="001E2B53"/>
    <w:rsid w:val="001E2D79"/>
    <w:rsid w:val="001E2E76"/>
    <w:rsid w:val="001E2F5F"/>
    <w:rsid w:val="001E382C"/>
    <w:rsid w:val="001E3DEB"/>
    <w:rsid w:val="001E491C"/>
    <w:rsid w:val="001E5157"/>
    <w:rsid w:val="001E517D"/>
    <w:rsid w:val="001E5229"/>
    <w:rsid w:val="001E5BE4"/>
    <w:rsid w:val="001E610B"/>
    <w:rsid w:val="001E626C"/>
    <w:rsid w:val="001E6D64"/>
    <w:rsid w:val="001E77B1"/>
    <w:rsid w:val="001E78B2"/>
    <w:rsid w:val="001E7B68"/>
    <w:rsid w:val="001F08B5"/>
    <w:rsid w:val="001F09F1"/>
    <w:rsid w:val="001F0D5B"/>
    <w:rsid w:val="001F0F3F"/>
    <w:rsid w:val="001F1047"/>
    <w:rsid w:val="001F10C3"/>
    <w:rsid w:val="001F1BB1"/>
    <w:rsid w:val="001F1BC1"/>
    <w:rsid w:val="001F209E"/>
    <w:rsid w:val="001F20A6"/>
    <w:rsid w:val="001F222B"/>
    <w:rsid w:val="001F2325"/>
    <w:rsid w:val="001F24AA"/>
    <w:rsid w:val="001F2710"/>
    <w:rsid w:val="001F2796"/>
    <w:rsid w:val="001F29AC"/>
    <w:rsid w:val="001F2C30"/>
    <w:rsid w:val="001F2F6D"/>
    <w:rsid w:val="001F3261"/>
    <w:rsid w:val="001F39E8"/>
    <w:rsid w:val="001F3A03"/>
    <w:rsid w:val="001F41BC"/>
    <w:rsid w:val="001F425F"/>
    <w:rsid w:val="001F432D"/>
    <w:rsid w:val="001F4B09"/>
    <w:rsid w:val="001F4BF1"/>
    <w:rsid w:val="001F4DD5"/>
    <w:rsid w:val="001F57AC"/>
    <w:rsid w:val="001F65E4"/>
    <w:rsid w:val="001F68BF"/>
    <w:rsid w:val="001F6F96"/>
    <w:rsid w:val="001F7039"/>
    <w:rsid w:val="001F783C"/>
    <w:rsid w:val="001F786F"/>
    <w:rsid w:val="001F7879"/>
    <w:rsid w:val="001F7889"/>
    <w:rsid w:val="0020014D"/>
    <w:rsid w:val="0020053C"/>
    <w:rsid w:val="0020096D"/>
    <w:rsid w:val="00200EBF"/>
    <w:rsid w:val="002014A2"/>
    <w:rsid w:val="002017E4"/>
    <w:rsid w:val="00201BA4"/>
    <w:rsid w:val="00201C38"/>
    <w:rsid w:val="00202475"/>
    <w:rsid w:val="002025F5"/>
    <w:rsid w:val="00202CE7"/>
    <w:rsid w:val="0020308A"/>
    <w:rsid w:val="00203545"/>
    <w:rsid w:val="002037B4"/>
    <w:rsid w:val="00203B61"/>
    <w:rsid w:val="00203CA0"/>
    <w:rsid w:val="00204607"/>
    <w:rsid w:val="00204A56"/>
    <w:rsid w:val="002050A9"/>
    <w:rsid w:val="002051CF"/>
    <w:rsid w:val="00205235"/>
    <w:rsid w:val="00205523"/>
    <w:rsid w:val="00205588"/>
    <w:rsid w:val="00205771"/>
    <w:rsid w:val="0020587A"/>
    <w:rsid w:val="00205FCF"/>
    <w:rsid w:val="002069DE"/>
    <w:rsid w:val="00206A49"/>
    <w:rsid w:val="00206A90"/>
    <w:rsid w:val="002072D5"/>
    <w:rsid w:val="0020758E"/>
    <w:rsid w:val="002076B0"/>
    <w:rsid w:val="00207F7A"/>
    <w:rsid w:val="002100DB"/>
    <w:rsid w:val="002101EB"/>
    <w:rsid w:val="00210210"/>
    <w:rsid w:val="002103F1"/>
    <w:rsid w:val="0021069D"/>
    <w:rsid w:val="002107C0"/>
    <w:rsid w:val="00211072"/>
    <w:rsid w:val="0021113E"/>
    <w:rsid w:val="00211375"/>
    <w:rsid w:val="0021141A"/>
    <w:rsid w:val="00211C11"/>
    <w:rsid w:val="00212287"/>
    <w:rsid w:val="0021236C"/>
    <w:rsid w:val="00212838"/>
    <w:rsid w:val="00213730"/>
    <w:rsid w:val="00213898"/>
    <w:rsid w:val="00215191"/>
    <w:rsid w:val="0021562B"/>
    <w:rsid w:val="002157AD"/>
    <w:rsid w:val="0021580E"/>
    <w:rsid w:val="00215A5F"/>
    <w:rsid w:val="00215D7C"/>
    <w:rsid w:val="00215D94"/>
    <w:rsid w:val="002161DB"/>
    <w:rsid w:val="00216229"/>
    <w:rsid w:val="00216779"/>
    <w:rsid w:val="00216807"/>
    <w:rsid w:val="00216A71"/>
    <w:rsid w:val="00216BBD"/>
    <w:rsid w:val="002170A6"/>
    <w:rsid w:val="00217760"/>
    <w:rsid w:val="00217BD9"/>
    <w:rsid w:val="0022047E"/>
    <w:rsid w:val="0022095B"/>
    <w:rsid w:val="00220CF1"/>
    <w:rsid w:val="002213C1"/>
    <w:rsid w:val="0022148C"/>
    <w:rsid w:val="00221750"/>
    <w:rsid w:val="0022259C"/>
    <w:rsid w:val="002226F6"/>
    <w:rsid w:val="00222873"/>
    <w:rsid w:val="00223912"/>
    <w:rsid w:val="00223B4A"/>
    <w:rsid w:val="00223F8E"/>
    <w:rsid w:val="002241B4"/>
    <w:rsid w:val="002241D2"/>
    <w:rsid w:val="00224E17"/>
    <w:rsid w:val="0022530B"/>
    <w:rsid w:val="002253E2"/>
    <w:rsid w:val="00225731"/>
    <w:rsid w:val="0022576A"/>
    <w:rsid w:val="002259C0"/>
    <w:rsid w:val="002259D3"/>
    <w:rsid w:val="00225BCC"/>
    <w:rsid w:val="00226064"/>
    <w:rsid w:val="002264CD"/>
    <w:rsid w:val="00226A2D"/>
    <w:rsid w:val="00227D44"/>
    <w:rsid w:val="00227EAB"/>
    <w:rsid w:val="0023014D"/>
    <w:rsid w:val="00230194"/>
    <w:rsid w:val="00230C17"/>
    <w:rsid w:val="00230E06"/>
    <w:rsid w:val="00230F97"/>
    <w:rsid w:val="002313D6"/>
    <w:rsid w:val="00231B1C"/>
    <w:rsid w:val="00231D85"/>
    <w:rsid w:val="00232532"/>
    <w:rsid w:val="00232E8A"/>
    <w:rsid w:val="0023333E"/>
    <w:rsid w:val="002337DF"/>
    <w:rsid w:val="00233A47"/>
    <w:rsid w:val="0023409D"/>
    <w:rsid w:val="002344B6"/>
    <w:rsid w:val="00234A9B"/>
    <w:rsid w:val="00235CA2"/>
    <w:rsid w:val="002364E3"/>
    <w:rsid w:val="00236610"/>
    <w:rsid w:val="0023679A"/>
    <w:rsid w:val="0023689D"/>
    <w:rsid w:val="0023694E"/>
    <w:rsid w:val="00236B46"/>
    <w:rsid w:val="002372EB"/>
    <w:rsid w:val="00237D26"/>
    <w:rsid w:val="002401E1"/>
    <w:rsid w:val="00240697"/>
    <w:rsid w:val="00240B9E"/>
    <w:rsid w:val="00240C7A"/>
    <w:rsid w:val="00240EED"/>
    <w:rsid w:val="00240F87"/>
    <w:rsid w:val="00241217"/>
    <w:rsid w:val="00241560"/>
    <w:rsid w:val="00241A01"/>
    <w:rsid w:val="00241B2C"/>
    <w:rsid w:val="002425D9"/>
    <w:rsid w:val="002427BA"/>
    <w:rsid w:val="002428FE"/>
    <w:rsid w:val="00242B2A"/>
    <w:rsid w:val="00243423"/>
    <w:rsid w:val="002434D6"/>
    <w:rsid w:val="00244020"/>
    <w:rsid w:val="00244333"/>
    <w:rsid w:val="00244BB3"/>
    <w:rsid w:val="00244EFD"/>
    <w:rsid w:val="002450C6"/>
    <w:rsid w:val="002451CD"/>
    <w:rsid w:val="002453B8"/>
    <w:rsid w:val="00245438"/>
    <w:rsid w:val="00245620"/>
    <w:rsid w:val="00246AC3"/>
    <w:rsid w:val="002472FB"/>
    <w:rsid w:val="0024738E"/>
    <w:rsid w:val="002475E2"/>
    <w:rsid w:val="002476AA"/>
    <w:rsid w:val="0024784F"/>
    <w:rsid w:val="002479EB"/>
    <w:rsid w:val="00247AAD"/>
    <w:rsid w:val="00247FF6"/>
    <w:rsid w:val="002500E7"/>
    <w:rsid w:val="00250228"/>
    <w:rsid w:val="00250844"/>
    <w:rsid w:val="00250AD2"/>
    <w:rsid w:val="00250D4E"/>
    <w:rsid w:val="00250F93"/>
    <w:rsid w:val="00251342"/>
    <w:rsid w:val="00251476"/>
    <w:rsid w:val="00251A32"/>
    <w:rsid w:val="00251CE6"/>
    <w:rsid w:val="00251DF1"/>
    <w:rsid w:val="00251E2E"/>
    <w:rsid w:val="00251E40"/>
    <w:rsid w:val="00251EC2"/>
    <w:rsid w:val="0025303D"/>
    <w:rsid w:val="002532AC"/>
    <w:rsid w:val="00253EB0"/>
    <w:rsid w:val="002542D9"/>
    <w:rsid w:val="00254464"/>
    <w:rsid w:val="00254500"/>
    <w:rsid w:val="0025543C"/>
    <w:rsid w:val="002556E9"/>
    <w:rsid w:val="00255DCF"/>
    <w:rsid w:val="00255EF2"/>
    <w:rsid w:val="00256D8D"/>
    <w:rsid w:val="00257013"/>
    <w:rsid w:val="002577AB"/>
    <w:rsid w:val="00260732"/>
    <w:rsid w:val="00260B8B"/>
    <w:rsid w:val="00261105"/>
    <w:rsid w:val="00261697"/>
    <w:rsid w:val="00261CBC"/>
    <w:rsid w:val="0026237E"/>
    <w:rsid w:val="002627BD"/>
    <w:rsid w:val="00262812"/>
    <w:rsid w:val="00262F3C"/>
    <w:rsid w:val="00262F9B"/>
    <w:rsid w:val="0026311E"/>
    <w:rsid w:val="002632DC"/>
    <w:rsid w:val="0026356A"/>
    <w:rsid w:val="002639D6"/>
    <w:rsid w:val="00263D21"/>
    <w:rsid w:val="00263F95"/>
    <w:rsid w:val="0026426B"/>
    <w:rsid w:val="002646EE"/>
    <w:rsid w:val="00264982"/>
    <w:rsid w:val="0026704A"/>
    <w:rsid w:val="00267104"/>
    <w:rsid w:val="002676A5"/>
    <w:rsid w:val="00267B41"/>
    <w:rsid w:val="00267C8E"/>
    <w:rsid w:val="00267D52"/>
    <w:rsid w:val="00270281"/>
    <w:rsid w:val="002704BC"/>
    <w:rsid w:val="00270C70"/>
    <w:rsid w:val="0027225A"/>
    <w:rsid w:val="002726BB"/>
    <w:rsid w:val="0027371A"/>
    <w:rsid w:val="00273C71"/>
    <w:rsid w:val="00273E8D"/>
    <w:rsid w:val="00273ED2"/>
    <w:rsid w:val="00274CF6"/>
    <w:rsid w:val="00274D5C"/>
    <w:rsid w:val="002753CB"/>
    <w:rsid w:val="002754DF"/>
    <w:rsid w:val="00275651"/>
    <w:rsid w:val="00275C44"/>
    <w:rsid w:val="00275EAF"/>
    <w:rsid w:val="00276702"/>
    <w:rsid w:val="00276753"/>
    <w:rsid w:val="002771D3"/>
    <w:rsid w:val="0028084F"/>
    <w:rsid w:val="00280A47"/>
    <w:rsid w:val="00280D63"/>
    <w:rsid w:val="00280FA9"/>
    <w:rsid w:val="0028169B"/>
    <w:rsid w:val="00281A56"/>
    <w:rsid w:val="00281DF9"/>
    <w:rsid w:val="0028256C"/>
    <w:rsid w:val="0028287D"/>
    <w:rsid w:val="00282F30"/>
    <w:rsid w:val="00283190"/>
    <w:rsid w:val="002834DF"/>
    <w:rsid w:val="0028372B"/>
    <w:rsid w:val="00284072"/>
    <w:rsid w:val="002841B3"/>
    <w:rsid w:val="00284397"/>
    <w:rsid w:val="002843BF"/>
    <w:rsid w:val="00284941"/>
    <w:rsid w:val="00284BC7"/>
    <w:rsid w:val="00285665"/>
    <w:rsid w:val="00285A53"/>
    <w:rsid w:val="00286092"/>
    <w:rsid w:val="00286C8F"/>
    <w:rsid w:val="002870D0"/>
    <w:rsid w:val="00287177"/>
    <w:rsid w:val="002872AB"/>
    <w:rsid w:val="00287318"/>
    <w:rsid w:val="00287444"/>
    <w:rsid w:val="00287525"/>
    <w:rsid w:val="00290CE5"/>
    <w:rsid w:val="00291C75"/>
    <w:rsid w:val="002922B7"/>
    <w:rsid w:val="00292628"/>
    <w:rsid w:val="002928B1"/>
    <w:rsid w:val="002929E7"/>
    <w:rsid w:val="0029337A"/>
    <w:rsid w:val="0029354F"/>
    <w:rsid w:val="002935AC"/>
    <w:rsid w:val="00293A1F"/>
    <w:rsid w:val="00293BA0"/>
    <w:rsid w:val="00293DF0"/>
    <w:rsid w:val="002946E0"/>
    <w:rsid w:val="002950AE"/>
    <w:rsid w:val="00295897"/>
    <w:rsid w:val="00295F44"/>
    <w:rsid w:val="00296226"/>
    <w:rsid w:val="00296554"/>
    <w:rsid w:val="00296883"/>
    <w:rsid w:val="002969E4"/>
    <w:rsid w:val="00297081"/>
    <w:rsid w:val="00297BF9"/>
    <w:rsid w:val="002A0302"/>
    <w:rsid w:val="002A033A"/>
    <w:rsid w:val="002A0558"/>
    <w:rsid w:val="002A0602"/>
    <w:rsid w:val="002A175A"/>
    <w:rsid w:val="002A19FD"/>
    <w:rsid w:val="002A1B2C"/>
    <w:rsid w:val="002A2137"/>
    <w:rsid w:val="002A2470"/>
    <w:rsid w:val="002A267E"/>
    <w:rsid w:val="002A29E5"/>
    <w:rsid w:val="002A30B8"/>
    <w:rsid w:val="002A35FA"/>
    <w:rsid w:val="002A372F"/>
    <w:rsid w:val="002A3ACF"/>
    <w:rsid w:val="002A3E4F"/>
    <w:rsid w:val="002A3E68"/>
    <w:rsid w:val="002A4542"/>
    <w:rsid w:val="002A4669"/>
    <w:rsid w:val="002A4AD2"/>
    <w:rsid w:val="002A52E5"/>
    <w:rsid w:val="002A572A"/>
    <w:rsid w:val="002A5DA6"/>
    <w:rsid w:val="002A617B"/>
    <w:rsid w:val="002A6393"/>
    <w:rsid w:val="002A6541"/>
    <w:rsid w:val="002A71A2"/>
    <w:rsid w:val="002A7263"/>
    <w:rsid w:val="002A73A9"/>
    <w:rsid w:val="002A791D"/>
    <w:rsid w:val="002A7DBE"/>
    <w:rsid w:val="002B0176"/>
    <w:rsid w:val="002B09F9"/>
    <w:rsid w:val="002B0A9E"/>
    <w:rsid w:val="002B0B67"/>
    <w:rsid w:val="002B1112"/>
    <w:rsid w:val="002B1146"/>
    <w:rsid w:val="002B13D1"/>
    <w:rsid w:val="002B13DC"/>
    <w:rsid w:val="002B1685"/>
    <w:rsid w:val="002B188C"/>
    <w:rsid w:val="002B1925"/>
    <w:rsid w:val="002B1999"/>
    <w:rsid w:val="002B1D9E"/>
    <w:rsid w:val="002B1EDE"/>
    <w:rsid w:val="002B1F71"/>
    <w:rsid w:val="002B2257"/>
    <w:rsid w:val="002B2424"/>
    <w:rsid w:val="002B26DF"/>
    <w:rsid w:val="002B3054"/>
    <w:rsid w:val="002B3AE7"/>
    <w:rsid w:val="002B3BD2"/>
    <w:rsid w:val="002B4286"/>
    <w:rsid w:val="002B44D0"/>
    <w:rsid w:val="002B455B"/>
    <w:rsid w:val="002B488D"/>
    <w:rsid w:val="002B4D1B"/>
    <w:rsid w:val="002B59E5"/>
    <w:rsid w:val="002B5AD9"/>
    <w:rsid w:val="002B623C"/>
    <w:rsid w:val="002B627D"/>
    <w:rsid w:val="002B6A05"/>
    <w:rsid w:val="002B6CF0"/>
    <w:rsid w:val="002B6F60"/>
    <w:rsid w:val="002B74EF"/>
    <w:rsid w:val="002B7CCF"/>
    <w:rsid w:val="002B7CEF"/>
    <w:rsid w:val="002C00E0"/>
    <w:rsid w:val="002C02FC"/>
    <w:rsid w:val="002C031C"/>
    <w:rsid w:val="002C0586"/>
    <w:rsid w:val="002C09C2"/>
    <w:rsid w:val="002C2199"/>
    <w:rsid w:val="002C228F"/>
    <w:rsid w:val="002C2299"/>
    <w:rsid w:val="002C24C1"/>
    <w:rsid w:val="002C24C4"/>
    <w:rsid w:val="002C33F8"/>
    <w:rsid w:val="002C38CA"/>
    <w:rsid w:val="002C3F64"/>
    <w:rsid w:val="002C4D70"/>
    <w:rsid w:val="002C531E"/>
    <w:rsid w:val="002C5B7A"/>
    <w:rsid w:val="002C5ED9"/>
    <w:rsid w:val="002C63EE"/>
    <w:rsid w:val="002C6547"/>
    <w:rsid w:val="002C6EDA"/>
    <w:rsid w:val="002C7290"/>
    <w:rsid w:val="002C78D6"/>
    <w:rsid w:val="002C7C15"/>
    <w:rsid w:val="002C7CD0"/>
    <w:rsid w:val="002D080A"/>
    <w:rsid w:val="002D08CC"/>
    <w:rsid w:val="002D0B13"/>
    <w:rsid w:val="002D0E22"/>
    <w:rsid w:val="002D0FCC"/>
    <w:rsid w:val="002D13D6"/>
    <w:rsid w:val="002D1466"/>
    <w:rsid w:val="002D2082"/>
    <w:rsid w:val="002D227F"/>
    <w:rsid w:val="002D229C"/>
    <w:rsid w:val="002D232F"/>
    <w:rsid w:val="002D2768"/>
    <w:rsid w:val="002D290E"/>
    <w:rsid w:val="002D2CCB"/>
    <w:rsid w:val="002D2DC2"/>
    <w:rsid w:val="002D2EF2"/>
    <w:rsid w:val="002D2FC9"/>
    <w:rsid w:val="002D3466"/>
    <w:rsid w:val="002D3CCE"/>
    <w:rsid w:val="002D3EE7"/>
    <w:rsid w:val="002D4093"/>
    <w:rsid w:val="002D41DC"/>
    <w:rsid w:val="002D4307"/>
    <w:rsid w:val="002D46A0"/>
    <w:rsid w:val="002D483E"/>
    <w:rsid w:val="002D4BA3"/>
    <w:rsid w:val="002D5300"/>
    <w:rsid w:val="002D5A21"/>
    <w:rsid w:val="002D5C04"/>
    <w:rsid w:val="002D62C0"/>
    <w:rsid w:val="002D6C23"/>
    <w:rsid w:val="002D756F"/>
    <w:rsid w:val="002D7FC4"/>
    <w:rsid w:val="002E0099"/>
    <w:rsid w:val="002E03D3"/>
    <w:rsid w:val="002E049C"/>
    <w:rsid w:val="002E0592"/>
    <w:rsid w:val="002E0A0A"/>
    <w:rsid w:val="002E1068"/>
    <w:rsid w:val="002E10E4"/>
    <w:rsid w:val="002E1BB1"/>
    <w:rsid w:val="002E1E43"/>
    <w:rsid w:val="002E3273"/>
    <w:rsid w:val="002E3876"/>
    <w:rsid w:val="002E3FF8"/>
    <w:rsid w:val="002E44DF"/>
    <w:rsid w:val="002E4809"/>
    <w:rsid w:val="002E4F44"/>
    <w:rsid w:val="002E521E"/>
    <w:rsid w:val="002E5530"/>
    <w:rsid w:val="002E580C"/>
    <w:rsid w:val="002E5914"/>
    <w:rsid w:val="002E5BE7"/>
    <w:rsid w:val="002E5D5E"/>
    <w:rsid w:val="002E644F"/>
    <w:rsid w:val="002E685F"/>
    <w:rsid w:val="002E6901"/>
    <w:rsid w:val="002E6D27"/>
    <w:rsid w:val="002E71E6"/>
    <w:rsid w:val="002E7235"/>
    <w:rsid w:val="002E731F"/>
    <w:rsid w:val="002E78D9"/>
    <w:rsid w:val="002E7992"/>
    <w:rsid w:val="002E7C1F"/>
    <w:rsid w:val="002E7C39"/>
    <w:rsid w:val="002E7E79"/>
    <w:rsid w:val="002F0CE4"/>
    <w:rsid w:val="002F0D3C"/>
    <w:rsid w:val="002F154D"/>
    <w:rsid w:val="002F1BE7"/>
    <w:rsid w:val="002F1CB0"/>
    <w:rsid w:val="002F1E8F"/>
    <w:rsid w:val="002F1FDE"/>
    <w:rsid w:val="002F2D84"/>
    <w:rsid w:val="002F2F00"/>
    <w:rsid w:val="002F2FA9"/>
    <w:rsid w:val="002F3519"/>
    <w:rsid w:val="002F35F8"/>
    <w:rsid w:val="002F4056"/>
    <w:rsid w:val="002F43D7"/>
    <w:rsid w:val="002F4700"/>
    <w:rsid w:val="002F4B60"/>
    <w:rsid w:val="002F4B90"/>
    <w:rsid w:val="002F4DA7"/>
    <w:rsid w:val="002F50D3"/>
    <w:rsid w:val="002F5302"/>
    <w:rsid w:val="002F5EBA"/>
    <w:rsid w:val="002F6088"/>
    <w:rsid w:val="002F6339"/>
    <w:rsid w:val="002F710C"/>
    <w:rsid w:val="002F736A"/>
    <w:rsid w:val="002F7DE8"/>
    <w:rsid w:val="003001F7"/>
    <w:rsid w:val="003009AE"/>
    <w:rsid w:val="00300A91"/>
    <w:rsid w:val="00300AE3"/>
    <w:rsid w:val="00300CB3"/>
    <w:rsid w:val="0030121E"/>
    <w:rsid w:val="00301350"/>
    <w:rsid w:val="00301621"/>
    <w:rsid w:val="00301964"/>
    <w:rsid w:val="00301BAF"/>
    <w:rsid w:val="0030259F"/>
    <w:rsid w:val="00302A78"/>
    <w:rsid w:val="003033D2"/>
    <w:rsid w:val="003037C7"/>
    <w:rsid w:val="00304586"/>
    <w:rsid w:val="003047E9"/>
    <w:rsid w:val="003047FC"/>
    <w:rsid w:val="00304E0A"/>
    <w:rsid w:val="00304F79"/>
    <w:rsid w:val="003055BF"/>
    <w:rsid w:val="003058E6"/>
    <w:rsid w:val="00305D9F"/>
    <w:rsid w:val="0030615A"/>
    <w:rsid w:val="0030685F"/>
    <w:rsid w:val="00310117"/>
    <w:rsid w:val="00311030"/>
    <w:rsid w:val="00311387"/>
    <w:rsid w:val="00311E05"/>
    <w:rsid w:val="003121B5"/>
    <w:rsid w:val="00312544"/>
    <w:rsid w:val="00312EE5"/>
    <w:rsid w:val="003132C3"/>
    <w:rsid w:val="00313325"/>
    <w:rsid w:val="00313642"/>
    <w:rsid w:val="00313825"/>
    <w:rsid w:val="00313E94"/>
    <w:rsid w:val="00314112"/>
    <w:rsid w:val="0031463D"/>
    <w:rsid w:val="00314A39"/>
    <w:rsid w:val="00314E3C"/>
    <w:rsid w:val="003150FF"/>
    <w:rsid w:val="00315D81"/>
    <w:rsid w:val="00315F5E"/>
    <w:rsid w:val="0031617F"/>
    <w:rsid w:val="00316320"/>
    <w:rsid w:val="00316DE6"/>
    <w:rsid w:val="00317785"/>
    <w:rsid w:val="00317791"/>
    <w:rsid w:val="00317D44"/>
    <w:rsid w:val="00320510"/>
    <w:rsid w:val="003205D7"/>
    <w:rsid w:val="003207EC"/>
    <w:rsid w:val="00320B1C"/>
    <w:rsid w:val="00321229"/>
    <w:rsid w:val="0032146F"/>
    <w:rsid w:val="0032149C"/>
    <w:rsid w:val="00321A53"/>
    <w:rsid w:val="00321BC1"/>
    <w:rsid w:val="00321E40"/>
    <w:rsid w:val="00321F8F"/>
    <w:rsid w:val="00321FCF"/>
    <w:rsid w:val="00322C1B"/>
    <w:rsid w:val="00323146"/>
    <w:rsid w:val="003233DC"/>
    <w:rsid w:val="0032349B"/>
    <w:rsid w:val="003234F3"/>
    <w:rsid w:val="00323592"/>
    <w:rsid w:val="0032394A"/>
    <w:rsid w:val="00324190"/>
    <w:rsid w:val="003242BA"/>
    <w:rsid w:val="0032448F"/>
    <w:rsid w:val="00324A9D"/>
    <w:rsid w:val="00324F18"/>
    <w:rsid w:val="00325027"/>
    <w:rsid w:val="0032509C"/>
    <w:rsid w:val="0032544E"/>
    <w:rsid w:val="00325CCC"/>
    <w:rsid w:val="00325F15"/>
    <w:rsid w:val="0032629E"/>
    <w:rsid w:val="003266E9"/>
    <w:rsid w:val="003267BB"/>
    <w:rsid w:val="00326BA6"/>
    <w:rsid w:val="00326BED"/>
    <w:rsid w:val="00326ED4"/>
    <w:rsid w:val="00327349"/>
    <w:rsid w:val="00327563"/>
    <w:rsid w:val="003275C9"/>
    <w:rsid w:val="00327BA2"/>
    <w:rsid w:val="00327F4F"/>
    <w:rsid w:val="00327FE3"/>
    <w:rsid w:val="003307B3"/>
    <w:rsid w:val="00330A2B"/>
    <w:rsid w:val="00330AB7"/>
    <w:rsid w:val="00330E89"/>
    <w:rsid w:val="00331947"/>
    <w:rsid w:val="0033194D"/>
    <w:rsid w:val="00331FFC"/>
    <w:rsid w:val="003320EB"/>
    <w:rsid w:val="003325EE"/>
    <w:rsid w:val="003326E1"/>
    <w:rsid w:val="0033291D"/>
    <w:rsid w:val="00332F89"/>
    <w:rsid w:val="003335E3"/>
    <w:rsid w:val="00333B9F"/>
    <w:rsid w:val="00333BDC"/>
    <w:rsid w:val="00333E5F"/>
    <w:rsid w:val="00334A17"/>
    <w:rsid w:val="00334DF7"/>
    <w:rsid w:val="00335091"/>
    <w:rsid w:val="00335413"/>
    <w:rsid w:val="00335588"/>
    <w:rsid w:val="003355FB"/>
    <w:rsid w:val="0033580C"/>
    <w:rsid w:val="00335DC2"/>
    <w:rsid w:val="00335DF3"/>
    <w:rsid w:val="00336119"/>
    <w:rsid w:val="003369E7"/>
    <w:rsid w:val="00336A26"/>
    <w:rsid w:val="00336ACB"/>
    <w:rsid w:val="00336CF7"/>
    <w:rsid w:val="00336F18"/>
    <w:rsid w:val="003373A2"/>
    <w:rsid w:val="00337DD1"/>
    <w:rsid w:val="00337DD7"/>
    <w:rsid w:val="00337EE0"/>
    <w:rsid w:val="003403F7"/>
    <w:rsid w:val="003405EE"/>
    <w:rsid w:val="00340663"/>
    <w:rsid w:val="00341536"/>
    <w:rsid w:val="00341971"/>
    <w:rsid w:val="0034220B"/>
    <w:rsid w:val="003423B9"/>
    <w:rsid w:val="0034297D"/>
    <w:rsid w:val="0034320B"/>
    <w:rsid w:val="00343669"/>
    <w:rsid w:val="00343691"/>
    <w:rsid w:val="0034374C"/>
    <w:rsid w:val="00343E82"/>
    <w:rsid w:val="00344147"/>
    <w:rsid w:val="003441D8"/>
    <w:rsid w:val="003443F1"/>
    <w:rsid w:val="00344C95"/>
    <w:rsid w:val="00345096"/>
    <w:rsid w:val="00345360"/>
    <w:rsid w:val="003453AC"/>
    <w:rsid w:val="00346262"/>
    <w:rsid w:val="0034626D"/>
    <w:rsid w:val="00346AF1"/>
    <w:rsid w:val="00346C8F"/>
    <w:rsid w:val="00347535"/>
    <w:rsid w:val="00347657"/>
    <w:rsid w:val="003477E9"/>
    <w:rsid w:val="00347BD3"/>
    <w:rsid w:val="00347DC4"/>
    <w:rsid w:val="003506E5"/>
    <w:rsid w:val="00350AF3"/>
    <w:rsid w:val="00350B10"/>
    <w:rsid w:val="003510A8"/>
    <w:rsid w:val="00351274"/>
    <w:rsid w:val="003516B0"/>
    <w:rsid w:val="00351831"/>
    <w:rsid w:val="00351D4D"/>
    <w:rsid w:val="00351DB3"/>
    <w:rsid w:val="0035247A"/>
    <w:rsid w:val="00352765"/>
    <w:rsid w:val="00352AC0"/>
    <w:rsid w:val="00353077"/>
    <w:rsid w:val="003534BE"/>
    <w:rsid w:val="003536D9"/>
    <w:rsid w:val="003542B6"/>
    <w:rsid w:val="003543A3"/>
    <w:rsid w:val="00354CE2"/>
    <w:rsid w:val="003556BF"/>
    <w:rsid w:val="00355A4E"/>
    <w:rsid w:val="00355FD4"/>
    <w:rsid w:val="00356005"/>
    <w:rsid w:val="00356BB2"/>
    <w:rsid w:val="00356D52"/>
    <w:rsid w:val="00356EDA"/>
    <w:rsid w:val="00356F52"/>
    <w:rsid w:val="003573E2"/>
    <w:rsid w:val="003579FD"/>
    <w:rsid w:val="0036007F"/>
    <w:rsid w:val="00360127"/>
    <w:rsid w:val="00360550"/>
    <w:rsid w:val="00360AFD"/>
    <w:rsid w:val="00360CA5"/>
    <w:rsid w:val="00361632"/>
    <w:rsid w:val="00361887"/>
    <w:rsid w:val="00361D0D"/>
    <w:rsid w:val="00362253"/>
    <w:rsid w:val="00362473"/>
    <w:rsid w:val="003624D0"/>
    <w:rsid w:val="00363697"/>
    <w:rsid w:val="0036396A"/>
    <w:rsid w:val="00363EA3"/>
    <w:rsid w:val="003640C8"/>
    <w:rsid w:val="00364E40"/>
    <w:rsid w:val="00365325"/>
    <w:rsid w:val="00365357"/>
    <w:rsid w:val="0036548A"/>
    <w:rsid w:val="00366D85"/>
    <w:rsid w:val="00366F04"/>
    <w:rsid w:val="0036790F"/>
    <w:rsid w:val="0036F3B8"/>
    <w:rsid w:val="0037013E"/>
    <w:rsid w:val="00370DAC"/>
    <w:rsid w:val="00370DCE"/>
    <w:rsid w:val="003713B5"/>
    <w:rsid w:val="00371A64"/>
    <w:rsid w:val="00371D8D"/>
    <w:rsid w:val="0037219F"/>
    <w:rsid w:val="00372871"/>
    <w:rsid w:val="00372D5E"/>
    <w:rsid w:val="003731AD"/>
    <w:rsid w:val="003736FA"/>
    <w:rsid w:val="00373A7C"/>
    <w:rsid w:val="00373B4D"/>
    <w:rsid w:val="0037414D"/>
    <w:rsid w:val="00374209"/>
    <w:rsid w:val="00374248"/>
    <w:rsid w:val="00374751"/>
    <w:rsid w:val="003748D2"/>
    <w:rsid w:val="003749C5"/>
    <w:rsid w:val="00374D3C"/>
    <w:rsid w:val="00374EB6"/>
    <w:rsid w:val="00375427"/>
    <w:rsid w:val="00375770"/>
    <w:rsid w:val="00376192"/>
    <w:rsid w:val="00376A44"/>
    <w:rsid w:val="00376D5E"/>
    <w:rsid w:val="00376F32"/>
    <w:rsid w:val="003770DE"/>
    <w:rsid w:val="00377379"/>
    <w:rsid w:val="00377F6C"/>
    <w:rsid w:val="00380E71"/>
    <w:rsid w:val="0038123C"/>
    <w:rsid w:val="003817B5"/>
    <w:rsid w:val="00381A3F"/>
    <w:rsid w:val="00381CA9"/>
    <w:rsid w:val="00381E30"/>
    <w:rsid w:val="003823F7"/>
    <w:rsid w:val="00382591"/>
    <w:rsid w:val="003827E2"/>
    <w:rsid w:val="00382D71"/>
    <w:rsid w:val="00383ED7"/>
    <w:rsid w:val="0038481B"/>
    <w:rsid w:val="00384CA5"/>
    <w:rsid w:val="00385B85"/>
    <w:rsid w:val="00385C25"/>
    <w:rsid w:val="0038601A"/>
    <w:rsid w:val="0038614C"/>
    <w:rsid w:val="003862DA"/>
    <w:rsid w:val="00386A63"/>
    <w:rsid w:val="00386C4A"/>
    <w:rsid w:val="003872A4"/>
    <w:rsid w:val="003873B7"/>
    <w:rsid w:val="00387402"/>
    <w:rsid w:val="0038786D"/>
    <w:rsid w:val="00390458"/>
    <w:rsid w:val="0039084B"/>
    <w:rsid w:val="00390DFA"/>
    <w:rsid w:val="00391A40"/>
    <w:rsid w:val="00391EC7"/>
    <w:rsid w:val="0039230C"/>
    <w:rsid w:val="00392872"/>
    <w:rsid w:val="00392D80"/>
    <w:rsid w:val="00393136"/>
    <w:rsid w:val="00393506"/>
    <w:rsid w:val="0039391C"/>
    <w:rsid w:val="00393CF0"/>
    <w:rsid w:val="00393D2F"/>
    <w:rsid w:val="0039442D"/>
    <w:rsid w:val="00394ADC"/>
    <w:rsid w:val="00394C3B"/>
    <w:rsid w:val="00394D76"/>
    <w:rsid w:val="0039559D"/>
    <w:rsid w:val="00395655"/>
    <w:rsid w:val="003957B9"/>
    <w:rsid w:val="00395E55"/>
    <w:rsid w:val="00396611"/>
    <w:rsid w:val="00396A28"/>
    <w:rsid w:val="00397143"/>
    <w:rsid w:val="003971ED"/>
    <w:rsid w:val="003976AE"/>
    <w:rsid w:val="00397CD9"/>
    <w:rsid w:val="003A0114"/>
    <w:rsid w:val="003A011A"/>
    <w:rsid w:val="003A0372"/>
    <w:rsid w:val="003A0626"/>
    <w:rsid w:val="003A0FB5"/>
    <w:rsid w:val="003A19B9"/>
    <w:rsid w:val="003A1CB8"/>
    <w:rsid w:val="003A2213"/>
    <w:rsid w:val="003A28CF"/>
    <w:rsid w:val="003A2A3B"/>
    <w:rsid w:val="003A2B48"/>
    <w:rsid w:val="003A3A15"/>
    <w:rsid w:val="003A3DCD"/>
    <w:rsid w:val="003A3EA0"/>
    <w:rsid w:val="003A4711"/>
    <w:rsid w:val="003A4C38"/>
    <w:rsid w:val="003A548C"/>
    <w:rsid w:val="003A555B"/>
    <w:rsid w:val="003A5697"/>
    <w:rsid w:val="003A56D6"/>
    <w:rsid w:val="003A5BC0"/>
    <w:rsid w:val="003A6210"/>
    <w:rsid w:val="003A6378"/>
    <w:rsid w:val="003A6C25"/>
    <w:rsid w:val="003A70FC"/>
    <w:rsid w:val="003A78E0"/>
    <w:rsid w:val="003A7C45"/>
    <w:rsid w:val="003A7E55"/>
    <w:rsid w:val="003B03A5"/>
    <w:rsid w:val="003B0659"/>
    <w:rsid w:val="003B0770"/>
    <w:rsid w:val="003B0D73"/>
    <w:rsid w:val="003B0DD0"/>
    <w:rsid w:val="003B1244"/>
    <w:rsid w:val="003B1389"/>
    <w:rsid w:val="003B1613"/>
    <w:rsid w:val="003B17B3"/>
    <w:rsid w:val="003B1A9C"/>
    <w:rsid w:val="003B1BE4"/>
    <w:rsid w:val="003B2095"/>
    <w:rsid w:val="003B3182"/>
    <w:rsid w:val="003B331C"/>
    <w:rsid w:val="003B3954"/>
    <w:rsid w:val="003B3AC6"/>
    <w:rsid w:val="003B4E3E"/>
    <w:rsid w:val="003B50EB"/>
    <w:rsid w:val="003B5185"/>
    <w:rsid w:val="003B53B2"/>
    <w:rsid w:val="003B5715"/>
    <w:rsid w:val="003B5F66"/>
    <w:rsid w:val="003B637D"/>
    <w:rsid w:val="003B678B"/>
    <w:rsid w:val="003B6CB8"/>
    <w:rsid w:val="003B6DA7"/>
    <w:rsid w:val="003B7043"/>
    <w:rsid w:val="003B7057"/>
    <w:rsid w:val="003B7153"/>
    <w:rsid w:val="003C09B3"/>
    <w:rsid w:val="003C109F"/>
    <w:rsid w:val="003C1BF0"/>
    <w:rsid w:val="003C2346"/>
    <w:rsid w:val="003C234A"/>
    <w:rsid w:val="003C2B82"/>
    <w:rsid w:val="003C2C93"/>
    <w:rsid w:val="003C3300"/>
    <w:rsid w:val="003C3F40"/>
    <w:rsid w:val="003C40BF"/>
    <w:rsid w:val="003C4843"/>
    <w:rsid w:val="003C4E43"/>
    <w:rsid w:val="003C4EC3"/>
    <w:rsid w:val="003C5430"/>
    <w:rsid w:val="003C56DF"/>
    <w:rsid w:val="003C572B"/>
    <w:rsid w:val="003C58EB"/>
    <w:rsid w:val="003C595C"/>
    <w:rsid w:val="003C5FAF"/>
    <w:rsid w:val="003C64A1"/>
    <w:rsid w:val="003C663B"/>
    <w:rsid w:val="003C6C07"/>
    <w:rsid w:val="003C72C2"/>
    <w:rsid w:val="003C7B63"/>
    <w:rsid w:val="003C7F47"/>
    <w:rsid w:val="003D08EE"/>
    <w:rsid w:val="003D103D"/>
    <w:rsid w:val="003D1135"/>
    <w:rsid w:val="003D113B"/>
    <w:rsid w:val="003D1165"/>
    <w:rsid w:val="003D20FE"/>
    <w:rsid w:val="003D223C"/>
    <w:rsid w:val="003D2432"/>
    <w:rsid w:val="003D247B"/>
    <w:rsid w:val="003D25E4"/>
    <w:rsid w:val="003D25F7"/>
    <w:rsid w:val="003D264B"/>
    <w:rsid w:val="003D3A55"/>
    <w:rsid w:val="003D41CE"/>
    <w:rsid w:val="003D452B"/>
    <w:rsid w:val="003D47EF"/>
    <w:rsid w:val="003D4805"/>
    <w:rsid w:val="003D55B4"/>
    <w:rsid w:val="003D5F15"/>
    <w:rsid w:val="003D6041"/>
    <w:rsid w:val="003D62D5"/>
    <w:rsid w:val="003D68C9"/>
    <w:rsid w:val="003D6ABA"/>
    <w:rsid w:val="003D6AE7"/>
    <w:rsid w:val="003D7565"/>
    <w:rsid w:val="003E00C0"/>
    <w:rsid w:val="003E012F"/>
    <w:rsid w:val="003E048B"/>
    <w:rsid w:val="003E0B42"/>
    <w:rsid w:val="003E0D0A"/>
    <w:rsid w:val="003E0E80"/>
    <w:rsid w:val="003E10F5"/>
    <w:rsid w:val="003E214B"/>
    <w:rsid w:val="003E28B2"/>
    <w:rsid w:val="003E28C1"/>
    <w:rsid w:val="003E29D1"/>
    <w:rsid w:val="003E2E41"/>
    <w:rsid w:val="003E2E77"/>
    <w:rsid w:val="003E3932"/>
    <w:rsid w:val="003E4354"/>
    <w:rsid w:val="003E4467"/>
    <w:rsid w:val="003E4548"/>
    <w:rsid w:val="003E48FA"/>
    <w:rsid w:val="003E494B"/>
    <w:rsid w:val="003E4FA6"/>
    <w:rsid w:val="003E50F6"/>
    <w:rsid w:val="003E51A8"/>
    <w:rsid w:val="003E51DE"/>
    <w:rsid w:val="003E5CEC"/>
    <w:rsid w:val="003E691F"/>
    <w:rsid w:val="003E6C23"/>
    <w:rsid w:val="003E740B"/>
    <w:rsid w:val="003E74BD"/>
    <w:rsid w:val="003F0BE3"/>
    <w:rsid w:val="003F0E89"/>
    <w:rsid w:val="003F0FA9"/>
    <w:rsid w:val="003F15D2"/>
    <w:rsid w:val="003F170B"/>
    <w:rsid w:val="003F19EE"/>
    <w:rsid w:val="003F1AD7"/>
    <w:rsid w:val="003F2941"/>
    <w:rsid w:val="003F2DEF"/>
    <w:rsid w:val="003F30B8"/>
    <w:rsid w:val="003F381E"/>
    <w:rsid w:val="003F3B98"/>
    <w:rsid w:val="003F3F77"/>
    <w:rsid w:val="003F40DA"/>
    <w:rsid w:val="003F42A0"/>
    <w:rsid w:val="003F4623"/>
    <w:rsid w:val="003F52C6"/>
    <w:rsid w:val="003F548F"/>
    <w:rsid w:val="003F5592"/>
    <w:rsid w:val="003F55E0"/>
    <w:rsid w:val="003F561B"/>
    <w:rsid w:val="003F5633"/>
    <w:rsid w:val="003F5A5F"/>
    <w:rsid w:val="003F68EC"/>
    <w:rsid w:val="003F7B00"/>
    <w:rsid w:val="003F7EC6"/>
    <w:rsid w:val="00400FF0"/>
    <w:rsid w:val="00401C31"/>
    <w:rsid w:val="00401FFA"/>
    <w:rsid w:val="00402183"/>
    <w:rsid w:val="004021DD"/>
    <w:rsid w:val="00402809"/>
    <w:rsid w:val="00402ACB"/>
    <w:rsid w:val="00403406"/>
    <w:rsid w:val="00403EFC"/>
    <w:rsid w:val="00404045"/>
    <w:rsid w:val="0040410E"/>
    <w:rsid w:val="004057E6"/>
    <w:rsid w:val="00405A89"/>
    <w:rsid w:val="004060CC"/>
    <w:rsid w:val="0040622B"/>
    <w:rsid w:val="00407874"/>
    <w:rsid w:val="00407C1B"/>
    <w:rsid w:val="0041049C"/>
    <w:rsid w:val="004106F8"/>
    <w:rsid w:val="0041150C"/>
    <w:rsid w:val="0041153F"/>
    <w:rsid w:val="00411736"/>
    <w:rsid w:val="004120C2"/>
    <w:rsid w:val="004125D3"/>
    <w:rsid w:val="0041285D"/>
    <w:rsid w:val="00412A5E"/>
    <w:rsid w:val="00412CEB"/>
    <w:rsid w:val="00413F99"/>
    <w:rsid w:val="00414017"/>
    <w:rsid w:val="004147B5"/>
    <w:rsid w:val="004148F8"/>
    <w:rsid w:val="00414E47"/>
    <w:rsid w:val="0041505B"/>
    <w:rsid w:val="004156EA"/>
    <w:rsid w:val="00415844"/>
    <w:rsid w:val="0041711B"/>
    <w:rsid w:val="004176F2"/>
    <w:rsid w:val="004177ED"/>
    <w:rsid w:val="00417E1D"/>
    <w:rsid w:val="00420044"/>
    <w:rsid w:val="00421015"/>
    <w:rsid w:val="004222A7"/>
    <w:rsid w:val="0042250A"/>
    <w:rsid w:val="004229A0"/>
    <w:rsid w:val="00422E43"/>
    <w:rsid w:val="004236D7"/>
    <w:rsid w:val="00424497"/>
    <w:rsid w:val="004246A3"/>
    <w:rsid w:val="0042510C"/>
    <w:rsid w:val="00425534"/>
    <w:rsid w:val="00426364"/>
    <w:rsid w:val="00426814"/>
    <w:rsid w:val="00426879"/>
    <w:rsid w:val="00426F8A"/>
    <w:rsid w:val="004277BE"/>
    <w:rsid w:val="00427926"/>
    <w:rsid w:val="00427EA2"/>
    <w:rsid w:val="00427EDF"/>
    <w:rsid w:val="00430030"/>
    <w:rsid w:val="0043008E"/>
    <w:rsid w:val="00430A32"/>
    <w:rsid w:val="00431285"/>
    <w:rsid w:val="00431708"/>
    <w:rsid w:val="00431720"/>
    <w:rsid w:val="00431790"/>
    <w:rsid w:val="00432141"/>
    <w:rsid w:val="0043236C"/>
    <w:rsid w:val="004328E5"/>
    <w:rsid w:val="00432B4F"/>
    <w:rsid w:val="00433CB2"/>
    <w:rsid w:val="00433DE5"/>
    <w:rsid w:val="00433E3C"/>
    <w:rsid w:val="00434659"/>
    <w:rsid w:val="00434965"/>
    <w:rsid w:val="0043560D"/>
    <w:rsid w:val="00435A09"/>
    <w:rsid w:val="00436716"/>
    <w:rsid w:val="00437116"/>
    <w:rsid w:val="004379E7"/>
    <w:rsid w:val="00437F85"/>
    <w:rsid w:val="004400DF"/>
    <w:rsid w:val="004403F3"/>
    <w:rsid w:val="00440426"/>
    <w:rsid w:val="004405D6"/>
    <w:rsid w:val="00440C67"/>
    <w:rsid w:val="00440CDB"/>
    <w:rsid w:val="00440D08"/>
    <w:rsid w:val="00440DD8"/>
    <w:rsid w:val="00440EAA"/>
    <w:rsid w:val="00440FB7"/>
    <w:rsid w:val="00441202"/>
    <w:rsid w:val="004418DC"/>
    <w:rsid w:val="00441CF6"/>
    <w:rsid w:val="00442B2C"/>
    <w:rsid w:val="00442C51"/>
    <w:rsid w:val="00442E96"/>
    <w:rsid w:val="00443228"/>
    <w:rsid w:val="0044338B"/>
    <w:rsid w:val="0044366D"/>
    <w:rsid w:val="00443EDC"/>
    <w:rsid w:val="004447DF"/>
    <w:rsid w:val="00444E12"/>
    <w:rsid w:val="00444E51"/>
    <w:rsid w:val="00444F18"/>
    <w:rsid w:val="00445CBC"/>
    <w:rsid w:val="004460C0"/>
    <w:rsid w:val="004464D5"/>
    <w:rsid w:val="0044736D"/>
    <w:rsid w:val="0044746E"/>
    <w:rsid w:val="004476A1"/>
    <w:rsid w:val="00447B09"/>
    <w:rsid w:val="0045007C"/>
    <w:rsid w:val="00450568"/>
    <w:rsid w:val="00450F4F"/>
    <w:rsid w:val="00451626"/>
    <w:rsid w:val="00451BB9"/>
    <w:rsid w:val="004522A9"/>
    <w:rsid w:val="004528E1"/>
    <w:rsid w:val="00452DD6"/>
    <w:rsid w:val="00452F15"/>
    <w:rsid w:val="00453272"/>
    <w:rsid w:val="0045335A"/>
    <w:rsid w:val="00453CD4"/>
    <w:rsid w:val="004541D3"/>
    <w:rsid w:val="0045449A"/>
    <w:rsid w:val="00454BCD"/>
    <w:rsid w:val="004559FB"/>
    <w:rsid w:val="00455A1F"/>
    <w:rsid w:val="00455D85"/>
    <w:rsid w:val="00455DAF"/>
    <w:rsid w:val="00455E1D"/>
    <w:rsid w:val="00455ED3"/>
    <w:rsid w:val="00456502"/>
    <w:rsid w:val="004567DD"/>
    <w:rsid w:val="00456955"/>
    <w:rsid w:val="00457632"/>
    <w:rsid w:val="00457798"/>
    <w:rsid w:val="004601E9"/>
    <w:rsid w:val="004603EF"/>
    <w:rsid w:val="004606A3"/>
    <w:rsid w:val="00460ED2"/>
    <w:rsid w:val="004619F8"/>
    <w:rsid w:val="00461DF0"/>
    <w:rsid w:val="00462101"/>
    <w:rsid w:val="004621FD"/>
    <w:rsid w:val="0046229B"/>
    <w:rsid w:val="00462872"/>
    <w:rsid w:val="00462B61"/>
    <w:rsid w:val="0046308A"/>
    <w:rsid w:val="00463425"/>
    <w:rsid w:val="00463829"/>
    <w:rsid w:val="004638AD"/>
    <w:rsid w:val="00463D1C"/>
    <w:rsid w:val="004648B5"/>
    <w:rsid w:val="00464C8B"/>
    <w:rsid w:val="0046542E"/>
    <w:rsid w:val="00465B9C"/>
    <w:rsid w:val="00465BC1"/>
    <w:rsid w:val="00466120"/>
    <w:rsid w:val="004664BD"/>
    <w:rsid w:val="004676CD"/>
    <w:rsid w:val="004678DE"/>
    <w:rsid w:val="0046792D"/>
    <w:rsid w:val="00470637"/>
    <w:rsid w:val="00470D6E"/>
    <w:rsid w:val="0047112A"/>
    <w:rsid w:val="00471187"/>
    <w:rsid w:val="0047157D"/>
    <w:rsid w:val="004719FF"/>
    <w:rsid w:val="00471A6E"/>
    <w:rsid w:val="00471B7F"/>
    <w:rsid w:val="00471BD3"/>
    <w:rsid w:val="00471E3B"/>
    <w:rsid w:val="00472102"/>
    <w:rsid w:val="0047221E"/>
    <w:rsid w:val="0047256D"/>
    <w:rsid w:val="0047260E"/>
    <w:rsid w:val="00472D12"/>
    <w:rsid w:val="00472DCC"/>
    <w:rsid w:val="004738EA"/>
    <w:rsid w:val="0047474C"/>
    <w:rsid w:val="00474DBC"/>
    <w:rsid w:val="00474E7B"/>
    <w:rsid w:val="00475401"/>
    <w:rsid w:val="0047593B"/>
    <w:rsid w:val="004761D4"/>
    <w:rsid w:val="004767AA"/>
    <w:rsid w:val="004767B3"/>
    <w:rsid w:val="00476877"/>
    <w:rsid w:val="00476994"/>
    <w:rsid w:val="004773C0"/>
    <w:rsid w:val="00477844"/>
    <w:rsid w:val="00477C04"/>
    <w:rsid w:val="00477CCB"/>
    <w:rsid w:val="00480C4F"/>
    <w:rsid w:val="00480CEA"/>
    <w:rsid w:val="00480EDA"/>
    <w:rsid w:val="00480F96"/>
    <w:rsid w:val="00482179"/>
    <w:rsid w:val="00483222"/>
    <w:rsid w:val="0048451F"/>
    <w:rsid w:val="004845DA"/>
    <w:rsid w:val="00484F55"/>
    <w:rsid w:val="00485011"/>
    <w:rsid w:val="004851D0"/>
    <w:rsid w:val="0048521B"/>
    <w:rsid w:val="00485FD0"/>
    <w:rsid w:val="0048626F"/>
    <w:rsid w:val="0048662F"/>
    <w:rsid w:val="004868C2"/>
    <w:rsid w:val="004871F2"/>
    <w:rsid w:val="00487221"/>
    <w:rsid w:val="004873F8"/>
    <w:rsid w:val="0048767B"/>
    <w:rsid w:val="00487C49"/>
    <w:rsid w:val="00487D84"/>
    <w:rsid w:val="00487DCA"/>
    <w:rsid w:val="004904EA"/>
    <w:rsid w:val="004905A5"/>
    <w:rsid w:val="0049096A"/>
    <w:rsid w:val="004909DA"/>
    <w:rsid w:val="00490FAC"/>
    <w:rsid w:val="00491245"/>
    <w:rsid w:val="00491559"/>
    <w:rsid w:val="004921F4"/>
    <w:rsid w:val="00492562"/>
    <w:rsid w:val="00492729"/>
    <w:rsid w:val="0049330D"/>
    <w:rsid w:val="00493AAF"/>
    <w:rsid w:val="00493B1D"/>
    <w:rsid w:val="00493C9A"/>
    <w:rsid w:val="00493CBD"/>
    <w:rsid w:val="00493FF6"/>
    <w:rsid w:val="00494163"/>
    <w:rsid w:val="004945F1"/>
    <w:rsid w:val="00494D60"/>
    <w:rsid w:val="00494EAF"/>
    <w:rsid w:val="004955C5"/>
    <w:rsid w:val="00495843"/>
    <w:rsid w:val="004958CF"/>
    <w:rsid w:val="00495A8A"/>
    <w:rsid w:val="00495B3C"/>
    <w:rsid w:val="00495FD8"/>
    <w:rsid w:val="00496216"/>
    <w:rsid w:val="00496642"/>
    <w:rsid w:val="00496C21"/>
    <w:rsid w:val="004971E2"/>
    <w:rsid w:val="004972D2"/>
    <w:rsid w:val="004976DD"/>
    <w:rsid w:val="004A0323"/>
    <w:rsid w:val="004A0424"/>
    <w:rsid w:val="004A0A91"/>
    <w:rsid w:val="004A0E94"/>
    <w:rsid w:val="004A1579"/>
    <w:rsid w:val="004A1A8A"/>
    <w:rsid w:val="004A1B4E"/>
    <w:rsid w:val="004A2C55"/>
    <w:rsid w:val="004A2F73"/>
    <w:rsid w:val="004A3433"/>
    <w:rsid w:val="004A34FF"/>
    <w:rsid w:val="004A39F0"/>
    <w:rsid w:val="004A40FB"/>
    <w:rsid w:val="004A43D0"/>
    <w:rsid w:val="004A4DCC"/>
    <w:rsid w:val="004A4F45"/>
    <w:rsid w:val="004A503F"/>
    <w:rsid w:val="004A516A"/>
    <w:rsid w:val="004A52D7"/>
    <w:rsid w:val="004A53AF"/>
    <w:rsid w:val="004A5A29"/>
    <w:rsid w:val="004A6113"/>
    <w:rsid w:val="004A6713"/>
    <w:rsid w:val="004A6789"/>
    <w:rsid w:val="004A6878"/>
    <w:rsid w:val="004A69B7"/>
    <w:rsid w:val="004A703F"/>
    <w:rsid w:val="004A7789"/>
    <w:rsid w:val="004B0C8F"/>
    <w:rsid w:val="004B0C9E"/>
    <w:rsid w:val="004B1159"/>
    <w:rsid w:val="004B15A1"/>
    <w:rsid w:val="004B1AEE"/>
    <w:rsid w:val="004B1B70"/>
    <w:rsid w:val="004B1C70"/>
    <w:rsid w:val="004B1F33"/>
    <w:rsid w:val="004B20A0"/>
    <w:rsid w:val="004B2666"/>
    <w:rsid w:val="004B288F"/>
    <w:rsid w:val="004B2D5F"/>
    <w:rsid w:val="004B3272"/>
    <w:rsid w:val="004B3A00"/>
    <w:rsid w:val="004B3AEE"/>
    <w:rsid w:val="004B3B17"/>
    <w:rsid w:val="004B3B28"/>
    <w:rsid w:val="004B4332"/>
    <w:rsid w:val="004B55D8"/>
    <w:rsid w:val="004B59A5"/>
    <w:rsid w:val="004B5B85"/>
    <w:rsid w:val="004B6067"/>
    <w:rsid w:val="004B6169"/>
    <w:rsid w:val="004B61BE"/>
    <w:rsid w:val="004B625D"/>
    <w:rsid w:val="004B6261"/>
    <w:rsid w:val="004B6946"/>
    <w:rsid w:val="004B69AB"/>
    <w:rsid w:val="004B6E22"/>
    <w:rsid w:val="004B745A"/>
    <w:rsid w:val="004B7C79"/>
    <w:rsid w:val="004B7F28"/>
    <w:rsid w:val="004C01B7"/>
    <w:rsid w:val="004C01E7"/>
    <w:rsid w:val="004C0309"/>
    <w:rsid w:val="004C0A15"/>
    <w:rsid w:val="004C128D"/>
    <w:rsid w:val="004C1910"/>
    <w:rsid w:val="004C1B05"/>
    <w:rsid w:val="004C1D75"/>
    <w:rsid w:val="004C1EA6"/>
    <w:rsid w:val="004C24E3"/>
    <w:rsid w:val="004C2640"/>
    <w:rsid w:val="004C2A44"/>
    <w:rsid w:val="004C3057"/>
    <w:rsid w:val="004C3E6B"/>
    <w:rsid w:val="004C3EFA"/>
    <w:rsid w:val="004C41D9"/>
    <w:rsid w:val="004C4DA2"/>
    <w:rsid w:val="004C5449"/>
    <w:rsid w:val="004C59A3"/>
    <w:rsid w:val="004C5A28"/>
    <w:rsid w:val="004C5AAF"/>
    <w:rsid w:val="004C5B7E"/>
    <w:rsid w:val="004C69AB"/>
    <w:rsid w:val="004C6AE8"/>
    <w:rsid w:val="004C72CE"/>
    <w:rsid w:val="004C7455"/>
    <w:rsid w:val="004C779C"/>
    <w:rsid w:val="004C7858"/>
    <w:rsid w:val="004C78E4"/>
    <w:rsid w:val="004C7A1A"/>
    <w:rsid w:val="004C7DDB"/>
    <w:rsid w:val="004C7EC2"/>
    <w:rsid w:val="004D059F"/>
    <w:rsid w:val="004D15A3"/>
    <w:rsid w:val="004D1694"/>
    <w:rsid w:val="004D1A99"/>
    <w:rsid w:val="004D1B20"/>
    <w:rsid w:val="004D2093"/>
    <w:rsid w:val="004D2513"/>
    <w:rsid w:val="004D2BB6"/>
    <w:rsid w:val="004D2C74"/>
    <w:rsid w:val="004D2F87"/>
    <w:rsid w:val="004D33FA"/>
    <w:rsid w:val="004D3896"/>
    <w:rsid w:val="004D3FB4"/>
    <w:rsid w:val="004D3FB8"/>
    <w:rsid w:val="004D40E0"/>
    <w:rsid w:val="004D419A"/>
    <w:rsid w:val="004D4613"/>
    <w:rsid w:val="004D4AAF"/>
    <w:rsid w:val="004D527F"/>
    <w:rsid w:val="004D5428"/>
    <w:rsid w:val="004D61CE"/>
    <w:rsid w:val="004D7007"/>
    <w:rsid w:val="004D7497"/>
    <w:rsid w:val="004D75C2"/>
    <w:rsid w:val="004D77FF"/>
    <w:rsid w:val="004D7801"/>
    <w:rsid w:val="004D7977"/>
    <w:rsid w:val="004E06CE"/>
    <w:rsid w:val="004E09C2"/>
    <w:rsid w:val="004E09E7"/>
    <w:rsid w:val="004E160F"/>
    <w:rsid w:val="004E16D4"/>
    <w:rsid w:val="004E1AFE"/>
    <w:rsid w:val="004E1BF1"/>
    <w:rsid w:val="004E1CF3"/>
    <w:rsid w:val="004E1DF9"/>
    <w:rsid w:val="004E1E0B"/>
    <w:rsid w:val="004E217B"/>
    <w:rsid w:val="004E241B"/>
    <w:rsid w:val="004E29CC"/>
    <w:rsid w:val="004E2FC1"/>
    <w:rsid w:val="004E321A"/>
    <w:rsid w:val="004E3460"/>
    <w:rsid w:val="004E3DF2"/>
    <w:rsid w:val="004E52FC"/>
    <w:rsid w:val="004E5416"/>
    <w:rsid w:val="004E5D1E"/>
    <w:rsid w:val="004E5F79"/>
    <w:rsid w:val="004E60AC"/>
    <w:rsid w:val="004E60D7"/>
    <w:rsid w:val="004E68F9"/>
    <w:rsid w:val="004E76B6"/>
    <w:rsid w:val="004E7D00"/>
    <w:rsid w:val="004F0B69"/>
    <w:rsid w:val="004F0DBF"/>
    <w:rsid w:val="004F1590"/>
    <w:rsid w:val="004F15EB"/>
    <w:rsid w:val="004F1626"/>
    <w:rsid w:val="004F18E0"/>
    <w:rsid w:val="004F19D4"/>
    <w:rsid w:val="004F1FBC"/>
    <w:rsid w:val="004F2110"/>
    <w:rsid w:val="004F2130"/>
    <w:rsid w:val="004F215C"/>
    <w:rsid w:val="004F23A0"/>
    <w:rsid w:val="004F23C3"/>
    <w:rsid w:val="004F2D69"/>
    <w:rsid w:val="004F31AE"/>
    <w:rsid w:val="004F3517"/>
    <w:rsid w:val="004F3554"/>
    <w:rsid w:val="004F39F6"/>
    <w:rsid w:val="004F3CFB"/>
    <w:rsid w:val="004F462E"/>
    <w:rsid w:val="004F4A38"/>
    <w:rsid w:val="004F4C12"/>
    <w:rsid w:val="004F4CFB"/>
    <w:rsid w:val="004F4F4F"/>
    <w:rsid w:val="004F50BF"/>
    <w:rsid w:val="004F5145"/>
    <w:rsid w:val="004F5267"/>
    <w:rsid w:val="004F5673"/>
    <w:rsid w:val="004F64EC"/>
    <w:rsid w:val="004F6509"/>
    <w:rsid w:val="004F6939"/>
    <w:rsid w:val="004F6FC2"/>
    <w:rsid w:val="004F70AB"/>
    <w:rsid w:val="004F7538"/>
    <w:rsid w:val="004F75AA"/>
    <w:rsid w:val="004F7C15"/>
    <w:rsid w:val="004F7D7E"/>
    <w:rsid w:val="0050021B"/>
    <w:rsid w:val="00500703"/>
    <w:rsid w:val="005012FC"/>
    <w:rsid w:val="005015A4"/>
    <w:rsid w:val="005017E1"/>
    <w:rsid w:val="00501E0E"/>
    <w:rsid w:val="005020ED"/>
    <w:rsid w:val="00502606"/>
    <w:rsid w:val="00502686"/>
    <w:rsid w:val="00502CCA"/>
    <w:rsid w:val="00503004"/>
    <w:rsid w:val="0050301E"/>
    <w:rsid w:val="00503032"/>
    <w:rsid w:val="00503334"/>
    <w:rsid w:val="00503D0A"/>
    <w:rsid w:val="00504409"/>
    <w:rsid w:val="00504516"/>
    <w:rsid w:val="00504A14"/>
    <w:rsid w:val="0050505F"/>
    <w:rsid w:val="00505347"/>
    <w:rsid w:val="0050562F"/>
    <w:rsid w:val="0050565A"/>
    <w:rsid w:val="005060EA"/>
    <w:rsid w:val="005063CE"/>
    <w:rsid w:val="005066F5"/>
    <w:rsid w:val="005069C0"/>
    <w:rsid w:val="00506B17"/>
    <w:rsid w:val="00506DCE"/>
    <w:rsid w:val="00507338"/>
    <w:rsid w:val="00507523"/>
    <w:rsid w:val="0050793C"/>
    <w:rsid w:val="005079ED"/>
    <w:rsid w:val="00507A38"/>
    <w:rsid w:val="005100EA"/>
    <w:rsid w:val="00510838"/>
    <w:rsid w:val="00510A86"/>
    <w:rsid w:val="00510AE4"/>
    <w:rsid w:val="005110B0"/>
    <w:rsid w:val="00512AE6"/>
    <w:rsid w:val="00512C62"/>
    <w:rsid w:val="00512EFC"/>
    <w:rsid w:val="00512FD1"/>
    <w:rsid w:val="00513114"/>
    <w:rsid w:val="00513299"/>
    <w:rsid w:val="00513EB0"/>
    <w:rsid w:val="00514DC8"/>
    <w:rsid w:val="00515036"/>
    <w:rsid w:val="0051508A"/>
    <w:rsid w:val="005153E4"/>
    <w:rsid w:val="005157F1"/>
    <w:rsid w:val="005158C7"/>
    <w:rsid w:val="005158F3"/>
    <w:rsid w:val="00515A71"/>
    <w:rsid w:val="005165E9"/>
    <w:rsid w:val="005168F9"/>
    <w:rsid w:val="00516C13"/>
    <w:rsid w:val="00516E08"/>
    <w:rsid w:val="00516FDD"/>
    <w:rsid w:val="005174AF"/>
    <w:rsid w:val="0051762E"/>
    <w:rsid w:val="00517D6E"/>
    <w:rsid w:val="00517DA6"/>
    <w:rsid w:val="00517DF7"/>
    <w:rsid w:val="00520140"/>
    <w:rsid w:val="00520699"/>
    <w:rsid w:val="005208BB"/>
    <w:rsid w:val="0052113D"/>
    <w:rsid w:val="00521831"/>
    <w:rsid w:val="00521925"/>
    <w:rsid w:val="00521ACF"/>
    <w:rsid w:val="00521D0C"/>
    <w:rsid w:val="00521E09"/>
    <w:rsid w:val="00521E9F"/>
    <w:rsid w:val="0052236D"/>
    <w:rsid w:val="00522799"/>
    <w:rsid w:val="0052305F"/>
    <w:rsid w:val="00523074"/>
    <w:rsid w:val="00523690"/>
    <w:rsid w:val="00523CE9"/>
    <w:rsid w:val="005243BD"/>
    <w:rsid w:val="00524AEA"/>
    <w:rsid w:val="00524C75"/>
    <w:rsid w:val="00524EDA"/>
    <w:rsid w:val="005259BD"/>
    <w:rsid w:val="00525AEF"/>
    <w:rsid w:val="00526355"/>
    <w:rsid w:val="0052657F"/>
    <w:rsid w:val="00527652"/>
    <w:rsid w:val="00527CFC"/>
    <w:rsid w:val="00527E0A"/>
    <w:rsid w:val="00530003"/>
    <w:rsid w:val="00530A0B"/>
    <w:rsid w:val="00530C29"/>
    <w:rsid w:val="00530CA9"/>
    <w:rsid w:val="00530DFE"/>
    <w:rsid w:val="0053158B"/>
    <w:rsid w:val="0053175B"/>
    <w:rsid w:val="00531A9E"/>
    <w:rsid w:val="00531B53"/>
    <w:rsid w:val="00531C67"/>
    <w:rsid w:val="00531D9C"/>
    <w:rsid w:val="005328C4"/>
    <w:rsid w:val="00532C0D"/>
    <w:rsid w:val="00532C5D"/>
    <w:rsid w:val="0053387B"/>
    <w:rsid w:val="00534381"/>
    <w:rsid w:val="00534855"/>
    <w:rsid w:val="00534DD2"/>
    <w:rsid w:val="00534E85"/>
    <w:rsid w:val="005356CB"/>
    <w:rsid w:val="00535D9C"/>
    <w:rsid w:val="005367DF"/>
    <w:rsid w:val="00536D45"/>
    <w:rsid w:val="00536DF3"/>
    <w:rsid w:val="00537256"/>
    <w:rsid w:val="005376DB"/>
    <w:rsid w:val="00537D8D"/>
    <w:rsid w:val="00537E41"/>
    <w:rsid w:val="00540622"/>
    <w:rsid w:val="005407BC"/>
    <w:rsid w:val="00540DD4"/>
    <w:rsid w:val="005410A1"/>
    <w:rsid w:val="00541191"/>
    <w:rsid w:val="005415DB"/>
    <w:rsid w:val="005417CD"/>
    <w:rsid w:val="00541B3E"/>
    <w:rsid w:val="0054221F"/>
    <w:rsid w:val="00542863"/>
    <w:rsid w:val="00542DB5"/>
    <w:rsid w:val="00542EDD"/>
    <w:rsid w:val="0054340E"/>
    <w:rsid w:val="00543495"/>
    <w:rsid w:val="005439BB"/>
    <w:rsid w:val="00543A75"/>
    <w:rsid w:val="00543BE4"/>
    <w:rsid w:val="00544241"/>
    <w:rsid w:val="005442E4"/>
    <w:rsid w:val="00544784"/>
    <w:rsid w:val="00544DBC"/>
    <w:rsid w:val="005452B7"/>
    <w:rsid w:val="0054563D"/>
    <w:rsid w:val="00545927"/>
    <w:rsid w:val="0054631E"/>
    <w:rsid w:val="00546438"/>
    <w:rsid w:val="005465A2"/>
    <w:rsid w:val="00546930"/>
    <w:rsid w:val="005469C5"/>
    <w:rsid w:val="0054724F"/>
    <w:rsid w:val="005473B9"/>
    <w:rsid w:val="00547955"/>
    <w:rsid w:val="00547FE4"/>
    <w:rsid w:val="00550593"/>
    <w:rsid w:val="00550631"/>
    <w:rsid w:val="005515C0"/>
    <w:rsid w:val="00551C49"/>
    <w:rsid w:val="00551E9F"/>
    <w:rsid w:val="005530D6"/>
    <w:rsid w:val="00553C15"/>
    <w:rsid w:val="00553F85"/>
    <w:rsid w:val="0055409C"/>
    <w:rsid w:val="005545A4"/>
    <w:rsid w:val="00554BF7"/>
    <w:rsid w:val="005554BF"/>
    <w:rsid w:val="00556046"/>
    <w:rsid w:val="005566C5"/>
    <w:rsid w:val="005569ED"/>
    <w:rsid w:val="00556C2B"/>
    <w:rsid w:val="00556ED0"/>
    <w:rsid w:val="0055714A"/>
    <w:rsid w:val="00557533"/>
    <w:rsid w:val="005576B7"/>
    <w:rsid w:val="0055771A"/>
    <w:rsid w:val="00557EA5"/>
    <w:rsid w:val="00557ED9"/>
    <w:rsid w:val="00560404"/>
    <w:rsid w:val="005605D9"/>
    <w:rsid w:val="00560D02"/>
    <w:rsid w:val="005610DF"/>
    <w:rsid w:val="005613DD"/>
    <w:rsid w:val="0056150E"/>
    <w:rsid w:val="00561A49"/>
    <w:rsid w:val="005622AD"/>
    <w:rsid w:val="00562931"/>
    <w:rsid w:val="00562AB6"/>
    <w:rsid w:val="0056327C"/>
    <w:rsid w:val="00563461"/>
    <w:rsid w:val="00563846"/>
    <w:rsid w:val="00563CF4"/>
    <w:rsid w:val="00563E8F"/>
    <w:rsid w:val="00564581"/>
    <w:rsid w:val="00564755"/>
    <w:rsid w:val="00564819"/>
    <w:rsid w:val="00564B0F"/>
    <w:rsid w:val="00564E54"/>
    <w:rsid w:val="00564F80"/>
    <w:rsid w:val="0056533A"/>
    <w:rsid w:val="00565AFF"/>
    <w:rsid w:val="00565F33"/>
    <w:rsid w:val="005663C8"/>
    <w:rsid w:val="0056657C"/>
    <w:rsid w:val="0056675C"/>
    <w:rsid w:val="00566A8A"/>
    <w:rsid w:val="00566F0D"/>
    <w:rsid w:val="005674CA"/>
    <w:rsid w:val="005678C1"/>
    <w:rsid w:val="005679E2"/>
    <w:rsid w:val="00567C8C"/>
    <w:rsid w:val="00567D82"/>
    <w:rsid w:val="00570182"/>
    <w:rsid w:val="005706DB"/>
    <w:rsid w:val="005708B8"/>
    <w:rsid w:val="00570A1C"/>
    <w:rsid w:val="00570F68"/>
    <w:rsid w:val="00570FD5"/>
    <w:rsid w:val="00571386"/>
    <w:rsid w:val="0057142E"/>
    <w:rsid w:val="005715CE"/>
    <w:rsid w:val="0057163B"/>
    <w:rsid w:val="0057164A"/>
    <w:rsid w:val="00572AEB"/>
    <w:rsid w:val="005731EE"/>
    <w:rsid w:val="005734A0"/>
    <w:rsid w:val="005734C6"/>
    <w:rsid w:val="00574305"/>
    <w:rsid w:val="0057473C"/>
    <w:rsid w:val="0057476E"/>
    <w:rsid w:val="00574B15"/>
    <w:rsid w:val="00574B69"/>
    <w:rsid w:val="00574BF7"/>
    <w:rsid w:val="00574E9F"/>
    <w:rsid w:val="00574F65"/>
    <w:rsid w:val="005752F7"/>
    <w:rsid w:val="0057531C"/>
    <w:rsid w:val="005759EF"/>
    <w:rsid w:val="00575A4F"/>
    <w:rsid w:val="00575FB1"/>
    <w:rsid w:val="005769CA"/>
    <w:rsid w:val="00576C1F"/>
    <w:rsid w:val="00576CCD"/>
    <w:rsid w:val="00577308"/>
    <w:rsid w:val="005774C3"/>
    <w:rsid w:val="005778EE"/>
    <w:rsid w:val="00577941"/>
    <w:rsid w:val="00580786"/>
    <w:rsid w:val="00580BBC"/>
    <w:rsid w:val="00580C8D"/>
    <w:rsid w:val="005812DB"/>
    <w:rsid w:val="00581347"/>
    <w:rsid w:val="005816E1"/>
    <w:rsid w:val="00581B64"/>
    <w:rsid w:val="00582007"/>
    <w:rsid w:val="00582067"/>
    <w:rsid w:val="005824E9"/>
    <w:rsid w:val="005827CC"/>
    <w:rsid w:val="00583718"/>
    <w:rsid w:val="0058376C"/>
    <w:rsid w:val="00583E7C"/>
    <w:rsid w:val="00584875"/>
    <w:rsid w:val="00584E45"/>
    <w:rsid w:val="005856F9"/>
    <w:rsid w:val="00585E42"/>
    <w:rsid w:val="00585F4D"/>
    <w:rsid w:val="00586B74"/>
    <w:rsid w:val="0058764C"/>
    <w:rsid w:val="005877CC"/>
    <w:rsid w:val="00587ADC"/>
    <w:rsid w:val="00590434"/>
    <w:rsid w:val="00590981"/>
    <w:rsid w:val="00590AD6"/>
    <w:rsid w:val="00590C0C"/>
    <w:rsid w:val="0059143C"/>
    <w:rsid w:val="00591A8A"/>
    <w:rsid w:val="00591CED"/>
    <w:rsid w:val="00591D06"/>
    <w:rsid w:val="00591D67"/>
    <w:rsid w:val="00591DE6"/>
    <w:rsid w:val="0059200B"/>
    <w:rsid w:val="0059261C"/>
    <w:rsid w:val="00592D4F"/>
    <w:rsid w:val="00593641"/>
    <w:rsid w:val="00593CFE"/>
    <w:rsid w:val="00593E1D"/>
    <w:rsid w:val="0059485C"/>
    <w:rsid w:val="0059499B"/>
    <w:rsid w:val="00594A05"/>
    <w:rsid w:val="00595189"/>
    <w:rsid w:val="005951CA"/>
    <w:rsid w:val="00595437"/>
    <w:rsid w:val="005956C6"/>
    <w:rsid w:val="00596117"/>
    <w:rsid w:val="0059654B"/>
    <w:rsid w:val="0059660E"/>
    <w:rsid w:val="005967BE"/>
    <w:rsid w:val="005974B8"/>
    <w:rsid w:val="00597F5D"/>
    <w:rsid w:val="005A04F1"/>
    <w:rsid w:val="005A0644"/>
    <w:rsid w:val="005A0A6D"/>
    <w:rsid w:val="005A1327"/>
    <w:rsid w:val="005A1E54"/>
    <w:rsid w:val="005A1F30"/>
    <w:rsid w:val="005A22BB"/>
    <w:rsid w:val="005A261C"/>
    <w:rsid w:val="005A2C7D"/>
    <w:rsid w:val="005A3407"/>
    <w:rsid w:val="005A3A7E"/>
    <w:rsid w:val="005A3AA3"/>
    <w:rsid w:val="005A3DD3"/>
    <w:rsid w:val="005A3EF7"/>
    <w:rsid w:val="005A4032"/>
    <w:rsid w:val="005A48BC"/>
    <w:rsid w:val="005A5204"/>
    <w:rsid w:val="005A538B"/>
    <w:rsid w:val="005A57DF"/>
    <w:rsid w:val="005A6500"/>
    <w:rsid w:val="005A66DB"/>
    <w:rsid w:val="005A680E"/>
    <w:rsid w:val="005A6814"/>
    <w:rsid w:val="005A688F"/>
    <w:rsid w:val="005A6F9D"/>
    <w:rsid w:val="005A7825"/>
    <w:rsid w:val="005B00C9"/>
    <w:rsid w:val="005B0AF2"/>
    <w:rsid w:val="005B0CC3"/>
    <w:rsid w:val="005B1715"/>
    <w:rsid w:val="005B1BF0"/>
    <w:rsid w:val="005B2342"/>
    <w:rsid w:val="005B28CD"/>
    <w:rsid w:val="005B28F8"/>
    <w:rsid w:val="005B3A93"/>
    <w:rsid w:val="005B3BCC"/>
    <w:rsid w:val="005B3CBF"/>
    <w:rsid w:val="005B409E"/>
    <w:rsid w:val="005B42C5"/>
    <w:rsid w:val="005B435A"/>
    <w:rsid w:val="005B45E5"/>
    <w:rsid w:val="005B4AF0"/>
    <w:rsid w:val="005B4CFF"/>
    <w:rsid w:val="005B4E72"/>
    <w:rsid w:val="005B508A"/>
    <w:rsid w:val="005B523C"/>
    <w:rsid w:val="005B545E"/>
    <w:rsid w:val="005B5E0B"/>
    <w:rsid w:val="005B6544"/>
    <w:rsid w:val="005B68C1"/>
    <w:rsid w:val="005B6B46"/>
    <w:rsid w:val="005B6B57"/>
    <w:rsid w:val="005B6C21"/>
    <w:rsid w:val="005B6CF4"/>
    <w:rsid w:val="005B7240"/>
    <w:rsid w:val="005B7397"/>
    <w:rsid w:val="005B7AF8"/>
    <w:rsid w:val="005B7EFC"/>
    <w:rsid w:val="005C0059"/>
    <w:rsid w:val="005C0147"/>
    <w:rsid w:val="005C09CD"/>
    <w:rsid w:val="005C17CA"/>
    <w:rsid w:val="005C1C31"/>
    <w:rsid w:val="005C1E9B"/>
    <w:rsid w:val="005C1EAC"/>
    <w:rsid w:val="005C2AC4"/>
    <w:rsid w:val="005C2BD1"/>
    <w:rsid w:val="005C3061"/>
    <w:rsid w:val="005C3499"/>
    <w:rsid w:val="005C40B0"/>
    <w:rsid w:val="005C4828"/>
    <w:rsid w:val="005C4F7A"/>
    <w:rsid w:val="005C545E"/>
    <w:rsid w:val="005C57A9"/>
    <w:rsid w:val="005C6082"/>
    <w:rsid w:val="005C6153"/>
    <w:rsid w:val="005C6460"/>
    <w:rsid w:val="005C686F"/>
    <w:rsid w:val="005C694D"/>
    <w:rsid w:val="005C6A26"/>
    <w:rsid w:val="005C6DF2"/>
    <w:rsid w:val="005C711A"/>
    <w:rsid w:val="005C7401"/>
    <w:rsid w:val="005C7A4F"/>
    <w:rsid w:val="005D00E1"/>
    <w:rsid w:val="005D0844"/>
    <w:rsid w:val="005D0EB4"/>
    <w:rsid w:val="005D0EEF"/>
    <w:rsid w:val="005D109E"/>
    <w:rsid w:val="005D158A"/>
    <w:rsid w:val="005D15AE"/>
    <w:rsid w:val="005D1676"/>
    <w:rsid w:val="005D169F"/>
    <w:rsid w:val="005D1A38"/>
    <w:rsid w:val="005D1CA0"/>
    <w:rsid w:val="005D21B5"/>
    <w:rsid w:val="005D2267"/>
    <w:rsid w:val="005D26A8"/>
    <w:rsid w:val="005D3000"/>
    <w:rsid w:val="005D38E9"/>
    <w:rsid w:val="005D39D2"/>
    <w:rsid w:val="005D3D01"/>
    <w:rsid w:val="005D40E0"/>
    <w:rsid w:val="005D40F4"/>
    <w:rsid w:val="005D4DFF"/>
    <w:rsid w:val="005D4E24"/>
    <w:rsid w:val="005D50FB"/>
    <w:rsid w:val="005D51C7"/>
    <w:rsid w:val="005D5BF6"/>
    <w:rsid w:val="005D5CED"/>
    <w:rsid w:val="005D5F12"/>
    <w:rsid w:val="005D62F5"/>
    <w:rsid w:val="005D6FD3"/>
    <w:rsid w:val="005D7391"/>
    <w:rsid w:val="005D755A"/>
    <w:rsid w:val="005D75F5"/>
    <w:rsid w:val="005D7D06"/>
    <w:rsid w:val="005E003F"/>
    <w:rsid w:val="005E0597"/>
    <w:rsid w:val="005E084B"/>
    <w:rsid w:val="005E0947"/>
    <w:rsid w:val="005E097C"/>
    <w:rsid w:val="005E0E24"/>
    <w:rsid w:val="005E0EF8"/>
    <w:rsid w:val="005E1542"/>
    <w:rsid w:val="005E1C33"/>
    <w:rsid w:val="005E2259"/>
    <w:rsid w:val="005E22E1"/>
    <w:rsid w:val="005E272B"/>
    <w:rsid w:val="005E297F"/>
    <w:rsid w:val="005E3761"/>
    <w:rsid w:val="005E37B2"/>
    <w:rsid w:val="005E3842"/>
    <w:rsid w:val="005E3B14"/>
    <w:rsid w:val="005E3D58"/>
    <w:rsid w:val="005E3E56"/>
    <w:rsid w:val="005E3F50"/>
    <w:rsid w:val="005E4594"/>
    <w:rsid w:val="005E5177"/>
    <w:rsid w:val="005E562A"/>
    <w:rsid w:val="005E57CB"/>
    <w:rsid w:val="005E5C3B"/>
    <w:rsid w:val="005E5D98"/>
    <w:rsid w:val="005E6030"/>
    <w:rsid w:val="005E6103"/>
    <w:rsid w:val="005E681A"/>
    <w:rsid w:val="005E6C2E"/>
    <w:rsid w:val="005E6D3C"/>
    <w:rsid w:val="005E70A1"/>
    <w:rsid w:val="005E7D67"/>
    <w:rsid w:val="005F04DB"/>
    <w:rsid w:val="005F06B9"/>
    <w:rsid w:val="005F0F8F"/>
    <w:rsid w:val="005F1561"/>
    <w:rsid w:val="005F16E0"/>
    <w:rsid w:val="005F1B3D"/>
    <w:rsid w:val="005F1CA9"/>
    <w:rsid w:val="005F267A"/>
    <w:rsid w:val="005F2F13"/>
    <w:rsid w:val="005F35A8"/>
    <w:rsid w:val="005F3772"/>
    <w:rsid w:val="005F378E"/>
    <w:rsid w:val="005F4B33"/>
    <w:rsid w:val="005F4CD0"/>
    <w:rsid w:val="005F5121"/>
    <w:rsid w:val="005F59B7"/>
    <w:rsid w:val="005F5AA1"/>
    <w:rsid w:val="005F6CD2"/>
    <w:rsid w:val="005F6F61"/>
    <w:rsid w:val="005F76A9"/>
    <w:rsid w:val="005F76B5"/>
    <w:rsid w:val="0060000F"/>
    <w:rsid w:val="0060025D"/>
    <w:rsid w:val="00600429"/>
    <w:rsid w:val="0060052E"/>
    <w:rsid w:val="00600916"/>
    <w:rsid w:val="00600955"/>
    <w:rsid w:val="00600D4B"/>
    <w:rsid w:val="00601982"/>
    <w:rsid w:val="00601A18"/>
    <w:rsid w:val="00601A98"/>
    <w:rsid w:val="00601C0E"/>
    <w:rsid w:val="00601FC0"/>
    <w:rsid w:val="006021FD"/>
    <w:rsid w:val="00602604"/>
    <w:rsid w:val="00602BA7"/>
    <w:rsid w:val="00602CCA"/>
    <w:rsid w:val="00602D34"/>
    <w:rsid w:val="00602E10"/>
    <w:rsid w:val="00603580"/>
    <w:rsid w:val="006037C0"/>
    <w:rsid w:val="0060381A"/>
    <w:rsid w:val="00603AF9"/>
    <w:rsid w:val="00603F96"/>
    <w:rsid w:val="006041A0"/>
    <w:rsid w:val="006042C2"/>
    <w:rsid w:val="006044A3"/>
    <w:rsid w:val="00605A3E"/>
    <w:rsid w:val="00605FD4"/>
    <w:rsid w:val="0060621E"/>
    <w:rsid w:val="00606A23"/>
    <w:rsid w:val="00606AA4"/>
    <w:rsid w:val="00606AD1"/>
    <w:rsid w:val="00606F60"/>
    <w:rsid w:val="0060715C"/>
    <w:rsid w:val="00607B6C"/>
    <w:rsid w:val="00607FB3"/>
    <w:rsid w:val="00610303"/>
    <w:rsid w:val="006103AF"/>
    <w:rsid w:val="00610845"/>
    <w:rsid w:val="00611F66"/>
    <w:rsid w:val="006124D3"/>
    <w:rsid w:val="00612862"/>
    <w:rsid w:val="00612A13"/>
    <w:rsid w:val="00612DC2"/>
    <w:rsid w:val="00612F64"/>
    <w:rsid w:val="006130BC"/>
    <w:rsid w:val="0061411D"/>
    <w:rsid w:val="006141B7"/>
    <w:rsid w:val="00614B95"/>
    <w:rsid w:val="00615014"/>
    <w:rsid w:val="00615830"/>
    <w:rsid w:val="0061587D"/>
    <w:rsid w:val="00616973"/>
    <w:rsid w:val="00616AF1"/>
    <w:rsid w:val="00617087"/>
    <w:rsid w:val="00617723"/>
    <w:rsid w:val="00617ED9"/>
    <w:rsid w:val="00620128"/>
    <w:rsid w:val="006205DF"/>
    <w:rsid w:val="006206BF"/>
    <w:rsid w:val="006209FE"/>
    <w:rsid w:val="00621135"/>
    <w:rsid w:val="00621465"/>
    <w:rsid w:val="00621994"/>
    <w:rsid w:val="00621F5C"/>
    <w:rsid w:val="00622506"/>
    <w:rsid w:val="00622763"/>
    <w:rsid w:val="00622952"/>
    <w:rsid w:val="00622B56"/>
    <w:rsid w:val="00622BA3"/>
    <w:rsid w:val="00622C97"/>
    <w:rsid w:val="0062304A"/>
    <w:rsid w:val="006235C8"/>
    <w:rsid w:val="00623CED"/>
    <w:rsid w:val="00624905"/>
    <w:rsid w:val="00624D59"/>
    <w:rsid w:val="00624FB4"/>
    <w:rsid w:val="00625019"/>
    <w:rsid w:val="006253CD"/>
    <w:rsid w:val="00625FC0"/>
    <w:rsid w:val="006265DE"/>
    <w:rsid w:val="0062665E"/>
    <w:rsid w:val="00626EAB"/>
    <w:rsid w:val="006272D3"/>
    <w:rsid w:val="00627C31"/>
    <w:rsid w:val="00630477"/>
    <w:rsid w:val="00630725"/>
    <w:rsid w:val="006309FA"/>
    <w:rsid w:val="00630A89"/>
    <w:rsid w:val="00630D42"/>
    <w:rsid w:val="00631ADE"/>
    <w:rsid w:val="00631C74"/>
    <w:rsid w:val="00631CBE"/>
    <w:rsid w:val="00631D74"/>
    <w:rsid w:val="00631EEC"/>
    <w:rsid w:val="00632097"/>
    <w:rsid w:val="006325D6"/>
    <w:rsid w:val="00632BDC"/>
    <w:rsid w:val="0063301C"/>
    <w:rsid w:val="00633144"/>
    <w:rsid w:val="006333CE"/>
    <w:rsid w:val="00633640"/>
    <w:rsid w:val="00633756"/>
    <w:rsid w:val="00633C29"/>
    <w:rsid w:val="00633FD9"/>
    <w:rsid w:val="006345F2"/>
    <w:rsid w:val="0063487F"/>
    <w:rsid w:val="006355D2"/>
    <w:rsid w:val="00635DFF"/>
    <w:rsid w:val="00636A99"/>
    <w:rsid w:val="0063716B"/>
    <w:rsid w:val="00637CAB"/>
    <w:rsid w:val="00640161"/>
    <w:rsid w:val="0064096A"/>
    <w:rsid w:val="00640C5E"/>
    <w:rsid w:val="00640CA5"/>
    <w:rsid w:val="00640F30"/>
    <w:rsid w:val="00641080"/>
    <w:rsid w:val="006415C2"/>
    <w:rsid w:val="00641C1C"/>
    <w:rsid w:val="00641DC1"/>
    <w:rsid w:val="0064206D"/>
    <w:rsid w:val="00642420"/>
    <w:rsid w:val="006425C7"/>
    <w:rsid w:val="006435D2"/>
    <w:rsid w:val="0064389E"/>
    <w:rsid w:val="00643B04"/>
    <w:rsid w:val="006441B6"/>
    <w:rsid w:val="006446C3"/>
    <w:rsid w:val="00645031"/>
    <w:rsid w:val="00645451"/>
    <w:rsid w:val="006455EA"/>
    <w:rsid w:val="0064692F"/>
    <w:rsid w:val="00647125"/>
    <w:rsid w:val="0064747E"/>
    <w:rsid w:val="006476D9"/>
    <w:rsid w:val="006479AC"/>
    <w:rsid w:val="0065029E"/>
    <w:rsid w:val="006508BE"/>
    <w:rsid w:val="00651079"/>
    <w:rsid w:val="00651155"/>
    <w:rsid w:val="00651231"/>
    <w:rsid w:val="0065139A"/>
    <w:rsid w:val="0065185F"/>
    <w:rsid w:val="00651D11"/>
    <w:rsid w:val="00652643"/>
    <w:rsid w:val="006532AB"/>
    <w:rsid w:val="006533B2"/>
    <w:rsid w:val="006534AF"/>
    <w:rsid w:val="00653742"/>
    <w:rsid w:val="0065384D"/>
    <w:rsid w:val="006539F6"/>
    <w:rsid w:val="00653FC7"/>
    <w:rsid w:val="00654188"/>
    <w:rsid w:val="0065444A"/>
    <w:rsid w:val="00654A09"/>
    <w:rsid w:val="00654C54"/>
    <w:rsid w:val="00655865"/>
    <w:rsid w:val="00655E0F"/>
    <w:rsid w:val="006563C7"/>
    <w:rsid w:val="00657665"/>
    <w:rsid w:val="006577D1"/>
    <w:rsid w:val="006578F0"/>
    <w:rsid w:val="006579CC"/>
    <w:rsid w:val="006604BD"/>
    <w:rsid w:val="006605DD"/>
    <w:rsid w:val="0066075C"/>
    <w:rsid w:val="006612DD"/>
    <w:rsid w:val="006614E4"/>
    <w:rsid w:val="006615D8"/>
    <w:rsid w:val="00661610"/>
    <w:rsid w:val="00661661"/>
    <w:rsid w:val="00661987"/>
    <w:rsid w:val="006627FA"/>
    <w:rsid w:val="006628DA"/>
    <w:rsid w:val="00662A85"/>
    <w:rsid w:val="006634E3"/>
    <w:rsid w:val="0066438F"/>
    <w:rsid w:val="0066485D"/>
    <w:rsid w:val="00664F9A"/>
    <w:rsid w:val="006650BA"/>
    <w:rsid w:val="00665310"/>
    <w:rsid w:val="0066546E"/>
    <w:rsid w:val="006659E9"/>
    <w:rsid w:val="00665A42"/>
    <w:rsid w:val="00665B9C"/>
    <w:rsid w:val="00665F51"/>
    <w:rsid w:val="00665FE8"/>
    <w:rsid w:val="00666008"/>
    <w:rsid w:val="0066662A"/>
    <w:rsid w:val="00666CB3"/>
    <w:rsid w:val="0066736C"/>
    <w:rsid w:val="0066782D"/>
    <w:rsid w:val="00667AF7"/>
    <w:rsid w:val="00667D16"/>
    <w:rsid w:val="00667E1E"/>
    <w:rsid w:val="006700A2"/>
    <w:rsid w:val="006700C8"/>
    <w:rsid w:val="00670102"/>
    <w:rsid w:val="0067109C"/>
    <w:rsid w:val="0067116E"/>
    <w:rsid w:val="00671198"/>
    <w:rsid w:val="006713E0"/>
    <w:rsid w:val="00671449"/>
    <w:rsid w:val="006714A0"/>
    <w:rsid w:val="00671895"/>
    <w:rsid w:val="00672BCD"/>
    <w:rsid w:val="00672DA0"/>
    <w:rsid w:val="006733B0"/>
    <w:rsid w:val="0067357C"/>
    <w:rsid w:val="00673AE9"/>
    <w:rsid w:val="00673E55"/>
    <w:rsid w:val="0067492B"/>
    <w:rsid w:val="0067585B"/>
    <w:rsid w:val="00675F64"/>
    <w:rsid w:val="00676993"/>
    <w:rsid w:val="00676A94"/>
    <w:rsid w:val="00676C3C"/>
    <w:rsid w:val="00676D23"/>
    <w:rsid w:val="006770E2"/>
    <w:rsid w:val="00677582"/>
    <w:rsid w:val="00677895"/>
    <w:rsid w:val="00677C91"/>
    <w:rsid w:val="006800C6"/>
    <w:rsid w:val="006800E8"/>
    <w:rsid w:val="006804B2"/>
    <w:rsid w:val="006806E2"/>
    <w:rsid w:val="00680AE3"/>
    <w:rsid w:val="00680E20"/>
    <w:rsid w:val="00680FA1"/>
    <w:rsid w:val="00682A87"/>
    <w:rsid w:val="00683443"/>
    <w:rsid w:val="0068358A"/>
    <w:rsid w:val="0068369D"/>
    <w:rsid w:val="00683847"/>
    <w:rsid w:val="00683F09"/>
    <w:rsid w:val="006842FB"/>
    <w:rsid w:val="0068460E"/>
    <w:rsid w:val="00684A57"/>
    <w:rsid w:val="00685329"/>
    <w:rsid w:val="006857D6"/>
    <w:rsid w:val="00686395"/>
    <w:rsid w:val="00686903"/>
    <w:rsid w:val="00687641"/>
    <w:rsid w:val="0068771A"/>
    <w:rsid w:val="006877F3"/>
    <w:rsid w:val="00687E71"/>
    <w:rsid w:val="00690244"/>
    <w:rsid w:val="00690438"/>
    <w:rsid w:val="00691343"/>
    <w:rsid w:val="00691C3D"/>
    <w:rsid w:val="00691CD2"/>
    <w:rsid w:val="00692644"/>
    <w:rsid w:val="00692B07"/>
    <w:rsid w:val="006932BE"/>
    <w:rsid w:val="00693373"/>
    <w:rsid w:val="006935B1"/>
    <w:rsid w:val="00694B92"/>
    <w:rsid w:val="00695004"/>
    <w:rsid w:val="006954F6"/>
    <w:rsid w:val="006957FA"/>
    <w:rsid w:val="0069582E"/>
    <w:rsid w:val="00695E63"/>
    <w:rsid w:val="00696139"/>
    <w:rsid w:val="006962BE"/>
    <w:rsid w:val="0069648D"/>
    <w:rsid w:val="0069650E"/>
    <w:rsid w:val="00696572"/>
    <w:rsid w:val="00696765"/>
    <w:rsid w:val="00696C1E"/>
    <w:rsid w:val="00696DB3"/>
    <w:rsid w:val="00696DEB"/>
    <w:rsid w:val="00697059"/>
    <w:rsid w:val="00697117"/>
    <w:rsid w:val="0069714C"/>
    <w:rsid w:val="006972F6"/>
    <w:rsid w:val="00697C33"/>
    <w:rsid w:val="00697EEA"/>
    <w:rsid w:val="006A174D"/>
    <w:rsid w:val="006A1800"/>
    <w:rsid w:val="006A1FD7"/>
    <w:rsid w:val="006A203D"/>
    <w:rsid w:val="006A274D"/>
    <w:rsid w:val="006A2B7F"/>
    <w:rsid w:val="006A2BC6"/>
    <w:rsid w:val="006A30F9"/>
    <w:rsid w:val="006A3262"/>
    <w:rsid w:val="006A3575"/>
    <w:rsid w:val="006A36D0"/>
    <w:rsid w:val="006A3BFC"/>
    <w:rsid w:val="006A3F1B"/>
    <w:rsid w:val="006A403A"/>
    <w:rsid w:val="006A40EF"/>
    <w:rsid w:val="006A448F"/>
    <w:rsid w:val="006A4652"/>
    <w:rsid w:val="006A51FE"/>
    <w:rsid w:val="006A5C67"/>
    <w:rsid w:val="006A5EFE"/>
    <w:rsid w:val="006A602F"/>
    <w:rsid w:val="006A662D"/>
    <w:rsid w:val="006A675B"/>
    <w:rsid w:val="006A6926"/>
    <w:rsid w:val="006A696D"/>
    <w:rsid w:val="006A69FC"/>
    <w:rsid w:val="006A6E2C"/>
    <w:rsid w:val="006A7258"/>
    <w:rsid w:val="006A774C"/>
    <w:rsid w:val="006A7C37"/>
    <w:rsid w:val="006A7C85"/>
    <w:rsid w:val="006B01C3"/>
    <w:rsid w:val="006B02B9"/>
    <w:rsid w:val="006B0508"/>
    <w:rsid w:val="006B0567"/>
    <w:rsid w:val="006B0B6A"/>
    <w:rsid w:val="006B100F"/>
    <w:rsid w:val="006B10BC"/>
    <w:rsid w:val="006B11E1"/>
    <w:rsid w:val="006B15C3"/>
    <w:rsid w:val="006B1DE4"/>
    <w:rsid w:val="006B1F2F"/>
    <w:rsid w:val="006B1FA5"/>
    <w:rsid w:val="006B2C32"/>
    <w:rsid w:val="006B3373"/>
    <w:rsid w:val="006B3483"/>
    <w:rsid w:val="006B357B"/>
    <w:rsid w:val="006B3990"/>
    <w:rsid w:val="006B448E"/>
    <w:rsid w:val="006B4CE6"/>
    <w:rsid w:val="006B4F29"/>
    <w:rsid w:val="006B4F62"/>
    <w:rsid w:val="006B5432"/>
    <w:rsid w:val="006B5D74"/>
    <w:rsid w:val="006B5E86"/>
    <w:rsid w:val="006B6144"/>
    <w:rsid w:val="006B636E"/>
    <w:rsid w:val="006B6852"/>
    <w:rsid w:val="006B7090"/>
    <w:rsid w:val="006B72BA"/>
    <w:rsid w:val="006B7399"/>
    <w:rsid w:val="006B7572"/>
    <w:rsid w:val="006B7BBE"/>
    <w:rsid w:val="006B7D31"/>
    <w:rsid w:val="006B7F6B"/>
    <w:rsid w:val="006C00FB"/>
    <w:rsid w:val="006C052C"/>
    <w:rsid w:val="006C0620"/>
    <w:rsid w:val="006C06B5"/>
    <w:rsid w:val="006C0BAA"/>
    <w:rsid w:val="006C0FEE"/>
    <w:rsid w:val="006C1533"/>
    <w:rsid w:val="006C192F"/>
    <w:rsid w:val="006C1D0D"/>
    <w:rsid w:val="006C1D4A"/>
    <w:rsid w:val="006C1F7E"/>
    <w:rsid w:val="006C20D1"/>
    <w:rsid w:val="006C2389"/>
    <w:rsid w:val="006C255D"/>
    <w:rsid w:val="006C2E62"/>
    <w:rsid w:val="006C2F79"/>
    <w:rsid w:val="006C312D"/>
    <w:rsid w:val="006C330A"/>
    <w:rsid w:val="006C3885"/>
    <w:rsid w:val="006C3ACB"/>
    <w:rsid w:val="006C3E33"/>
    <w:rsid w:val="006C40A4"/>
    <w:rsid w:val="006C43EE"/>
    <w:rsid w:val="006C451F"/>
    <w:rsid w:val="006C4716"/>
    <w:rsid w:val="006C4849"/>
    <w:rsid w:val="006C4AD8"/>
    <w:rsid w:val="006C5742"/>
    <w:rsid w:val="006C6378"/>
    <w:rsid w:val="006C63FD"/>
    <w:rsid w:val="006C67F6"/>
    <w:rsid w:val="006C6C33"/>
    <w:rsid w:val="006C6DF4"/>
    <w:rsid w:val="006C6F3A"/>
    <w:rsid w:val="006C7026"/>
    <w:rsid w:val="006C73FB"/>
    <w:rsid w:val="006C787E"/>
    <w:rsid w:val="006C7A4F"/>
    <w:rsid w:val="006C7DC3"/>
    <w:rsid w:val="006C7E4A"/>
    <w:rsid w:val="006D013C"/>
    <w:rsid w:val="006D0508"/>
    <w:rsid w:val="006D08BA"/>
    <w:rsid w:val="006D08BF"/>
    <w:rsid w:val="006D0BA2"/>
    <w:rsid w:val="006D0DA5"/>
    <w:rsid w:val="006D12CC"/>
    <w:rsid w:val="006D1416"/>
    <w:rsid w:val="006D1629"/>
    <w:rsid w:val="006D1F26"/>
    <w:rsid w:val="006D22BC"/>
    <w:rsid w:val="006D249B"/>
    <w:rsid w:val="006D256D"/>
    <w:rsid w:val="006D26A6"/>
    <w:rsid w:val="006D2F71"/>
    <w:rsid w:val="006D33A3"/>
    <w:rsid w:val="006D37ED"/>
    <w:rsid w:val="006D3E33"/>
    <w:rsid w:val="006D46DF"/>
    <w:rsid w:val="006D49A0"/>
    <w:rsid w:val="006D4DC7"/>
    <w:rsid w:val="006D5458"/>
    <w:rsid w:val="006D5635"/>
    <w:rsid w:val="006D5846"/>
    <w:rsid w:val="006D5958"/>
    <w:rsid w:val="006D5A33"/>
    <w:rsid w:val="006D5B9F"/>
    <w:rsid w:val="006D5DCC"/>
    <w:rsid w:val="006D6165"/>
    <w:rsid w:val="006D6439"/>
    <w:rsid w:val="006D647A"/>
    <w:rsid w:val="006D6924"/>
    <w:rsid w:val="006D6FCD"/>
    <w:rsid w:val="006D7911"/>
    <w:rsid w:val="006E0237"/>
    <w:rsid w:val="006E0513"/>
    <w:rsid w:val="006E07C4"/>
    <w:rsid w:val="006E0925"/>
    <w:rsid w:val="006E0F8F"/>
    <w:rsid w:val="006E0FA4"/>
    <w:rsid w:val="006E11B7"/>
    <w:rsid w:val="006E1420"/>
    <w:rsid w:val="006E198A"/>
    <w:rsid w:val="006E2F9A"/>
    <w:rsid w:val="006E32AF"/>
    <w:rsid w:val="006E380C"/>
    <w:rsid w:val="006E4060"/>
    <w:rsid w:val="006E41E2"/>
    <w:rsid w:val="006E4372"/>
    <w:rsid w:val="006E4C41"/>
    <w:rsid w:val="006E5223"/>
    <w:rsid w:val="006E55F2"/>
    <w:rsid w:val="006E699E"/>
    <w:rsid w:val="006E6D1B"/>
    <w:rsid w:val="006E6E44"/>
    <w:rsid w:val="006E7296"/>
    <w:rsid w:val="006E74F2"/>
    <w:rsid w:val="006E751B"/>
    <w:rsid w:val="006E774E"/>
    <w:rsid w:val="006E7BCB"/>
    <w:rsid w:val="006E7F26"/>
    <w:rsid w:val="006F0113"/>
    <w:rsid w:val="006F0470"/>
    <w:rsid w:val="006F0E3A"/>
    <w:rsid w:val="006F1073"/>
    <w:rsid w:val="006F11F5"/>
    <w:rsid w:val="006F1334"/>
    <w:rsid w:val="006F1A60"/>
    <w:rsid w:val="006F1DDC"/>
    <w:rsid w:val="006F260D"/>
    <w:rsid w:val="006F2AF7"/>
    <w:rsid w:val="006F2C79"/>
    <w:rsid w:val="006F2D99"/>
    <w:rsid w:val="006F2F02"/>
    <w:rsid w:val="006F36AD"/>
    <w:rsid w:val="006F3E15"/>
    <w:rsid w:val="006F483A"/>
    <w:rsid w:val="006F533E"/>
    <w:rsid w:val="006F581D"/>
    <w:rsid w:val="006F5B16"/>
    <w:rsid w:val="006F5DDE"/>
    <w:rsid w:val="006F5EF6"/>
    <w:rsid w:val="006F71F6"/>
    <w:rsid w:val="007006E2"/>
    <w:rsid w:val="0070073D"/>
    <w:rsid w:val="00700885"/>
    <w:rsid w:val="007009D6"/>
    <w:rsid w:val="00701008"/>
    <w:rsid w:val="00701016"/>
    <w:rsid w:val="00701DFD"/>
    <w:rsid w:val="00701E8B"/>
    <w:rsid w:val="00702053"/>
    <w:rsid w:val="00702720"/>
    <w:rsid w:val="00702BCB"/>
    <w:rsid w:val="00702C1E"/>
    <w:rsid w:val="0070355E"/>
    <w:rsid w:val="00703C54"/>
    <w:rsid w:val="00703E9C"/>
    <w:rsid w:val="00703FAF"/>
    <w:rsid w:val="007043B3"/>
    <w:rsid w:val="007046CA"/>
    <w:rsid w:val="00704A24"/>
    <w:rsid w:val="007067ED"/>
    <w:rsid w:val="00710A2C"/>
    <w:rsid w:val="00710B5A"/>
    <w:rsid w:val="00710D49"/>
    <w:rsid w:val="00710D6B"/>
    <w:rsid w:val="007115BD"/>
    <w:rsid w:val="00711AF0"/>
    <w:rsid w:val="007121BF"/>
    <w:rsid w:val="007121D5"/>
    <w:rsid w:val="00712216"/>
    <w:rsid w:val="007122DF"/>
    <w:rsid w:val="007123FA"/>
    <w:rsid w:val="00712529"/>
    <w:rsid w:val="00712698"/>
    <w:rsid w:val="00712722"/>
    <w:rsid w:val="00712801"/>
    <w:rsid w:val="007128EC"/>
    <w:rsid w:val="00712F1E"/>
    <w:rsid w:val="00713B5A"/>
    <w:rsid w:val="00713F7D"/>
    <w:rsid w:val="007145E8"/>
    <w:rsid w:val="0071494B"/>
    <w:rsid w:val="007154B9"/>
    <w:rsid w:val="00716AC7"/>
    <w:rsid w:val="00716D99"/>
    <w:rsid w:val="007171BE"/>
    <w:rsid w:val="00717221"/>
    <w:rsid w:val="007177E6"/>
    <w:rsid w:val="007178E0"/>
    <w:rsid w:val="007200C0"/>
    <w:rsid w:val="00720CD6"/>
    <w:rsid w:val="00720FA0"/>
    <w:rsid w:val="00721083"/>
    <w:rsid w:val="00721CF7"/>
    <w:rsid w:val="0072237A"/>
    <w:rsid w:val="00723B3D"/>
    <w:rsid w:val="0072407D"/>
    <w:rsid w:val="00724101"/>
    <w:rsid w:val="00724C07"/>
    <w:rsid w:val="0072520F"/>
    <w:rsid w:val="0072605F"/>
    <w:rsid w:val="00726519"/>
    <w:rsid w:val="007267A8"/>
    <w:rsid w:val="0072688C"/>
    <w:rsid w:val="00726ACF"/>
    <w:rsid w:val="00726B2D"/>
    <w:rsid w:val="0072770A"/>
    <w:rsid w:val="00727DEF"/>
    <w:rsid w:val="00730C1A"/>
    <w:rsid w:val="00730D85"/>
    <w:rsid w:val="007316F6"/>
    <w:rsid w:val="0073183C"/>
    <w:rsid w:val="00731888"/>
    <w:rsid w:val="00731BE4"/>
    <w:rsid w:val="00731C1D"/>
    <w:rsid w:val="00732A9C"/>
    <w:rsid w:val="00732B79"/>
    <w:rsid w:val="00732E47"/>
    <w:rsid w:val="00732EA3"/>
    <w:rsid w:val="0073326A"/>
    <w:rsid w:val="00733490"/>
    <w:rsid w:val="00733580"/>
    <w:rsid w:val="007336C3"/>
    <w:rsid w:val="0073380A"/>
    <w:rsid w:val="00733B01"/>
    <w:rsid w:val="00734238"/>
    <w:rsid w:val="007347CF"/>
    <w:rsid w:val="00734AA1"/>
    <w:rsid w:val="00734E7E"/>
    <w:rsid w:val="00734E9D"/>
    <w:rsid w:val="0073505A"/>
    <w:rsid w:val="00735760"/>
    <w:rsid w:val="00735EB2"/>
    <w:rsid w:val="007377FA"/>
    <w:rsid w:val="00737BE3"/>
    <w:rsid w:val="00737C86"/>
    <w:rsid w:val="00737F0F"/>
    <w:rsid w:val="0074004E"/>
    <w:rsid w:val="0074041C"/>
    <w:rsid w:val="007409AD"/>
    <w:rsid w:val="00740AE4"/>
    <w:rsid w:val="00740B05"/>
    <w:rsid w:val="00740EDE"/>
    <w:rsid w:val="00741037"/>
    <w:rsid w:val="0074174B"/>
    <w:rsid w:val="007419B7"/>
    <w:rsid w:val="00741D77"/>
    <w:rsid w:val="007421BC"/>
    <w:rsid w:val="0074244C"/>
    <w:rsid w:val="007426A8"/>
    <w:rsid w:val="00742902"/>
    <w:rsid w:val="00742A66"/>
    <w:rsid w:val="00742A99"/>
    <w:rsid w:val="00742B35"/>
    <w:rsid w:val="00742BFD"/>
    <w:rsid w:val="007435DE"/>
    <w:rsid w:val="00743A5E"/>
    <w:rsid w:val="00743B8F"/>
    <w:rsid w:val="0074474A"/>
    <w:rsid w:val="00744AE2"/>
    <w:rsid w:val="00745250"/>
    <w:rsid w:val="00745630"/>
    <w:rsid w:val="007457F1"/>
    <w:rsid w:val="00746637"/>
    <w:rsid w:val="00746745"/>
    <w:rsid w:val="00746A37"/>
    <w:rsid w:val="00746A8A"/>
    <w:rsid w:val="00746E82"/>
    <w:rsid w:val="007470B2"/>
    <w:rsid w:val="00747348"/>
    <w:rsid w:val="007473BD"/>
    <w:rsid w:val="0074767D"/>
    <w:rsid w:val="00747719"/>
    <w:rsid w:val="0074771A"/>
    <w:rsid w:val="00747962"/>
    <w:rsid w:val="007479A1"/>
    <w:rsid w:val="00747A6C"/>
    <w:rsid w:val="00747D12"/>
    <w:rsid w:val="00750640"/>
    <w:rsid w:val="007509D6"/>
    <w:rsid w:val="00750A38"/>
    <w:rsid w:val="007511E0"/>
    <w:rsid w:val="00751772"/>
    <w:rsid w:val="00751A9A"/>
    <w:rsid w:val="00751B88"/>
    <w:rsid w:val="00752137"/>
    <w:rsid w:val="00752190"/>
    <w:rsid w:val="0075227A"/>
    <w:rsid w:val="0075269C"/>
    <w:rsid w:val="00752AE5"/>
    <w:rsid w:val="00752C60"/>
    <w:rsid w:val="00752FFF"/>
    <w:rsid w:val="00753677"/>
    <w:rsid w:val="00753772"/>
    <w:rsid w:val="007541AD"/>
    <w:rsid w:val="007542AF"/>
    <w:rsid w:val="00754490"/>
    <w:rsid w:val="00754575"/>
    <w:rsid w:val="00754767"/>
    <w:rsid w:val="00754920"/>
    <w:rsid w:val="00754C9F"/>
    <w:rsid w:val="00754E36"/>
    <w:rsid w:val="00755600"/>
    <w:rsid w:val="0075703D"/>
    <w:rsid w:val="007571A4"/>
    <w:rsid w:val="00757A92"/>
    <w:rsid w:val="00760C10"/>
    <w:rsid w:val="00760F51"/>
    <w:rsid w:val="0076114D"/>
    <w:rsid w:val="0076158B"/>
    <w:rsid w:val="0076168D"/>
    <w:rsid w:val="0076180A"/>
    <w:rsid w:val="00761B22"/>
    <w:rsid w:val="00762C0E"/>
    <w:rsid w:val="007631CF"/>
    <w:rsid w:val="00763484"/>
    <w:rsid w:val="00763555"/>
    <w:rsid w:val="00763B59"/>
    <w:rsid w:val="00763CC1"/>
    <w:rsid w:val="00763EFF"/>
    <w:rsid w:val="0076457B"/>
    <w:rsid w:val="007647A1"/>
    <w:rsid w:val="00764A14"/>
    <w:rsid w:val="007655C4"/>
    <w:rsid w:val="007655F6"/>
    <w:rsid w:val="007658E2"/>
    <w:rsid w:val="00765E35"/>
    <w:rsid w:val="00765F53"/>
    <w:rsid w:val="007666C3"/>
    <w:rsid w:val="00766AE2"/>
    <w:rsid w:val="00766B37"/>
    <w:rsid w:val="00766D3F"/>
    <w:rsid w:val="00767630"/>
    <w:rsid w:val="00767E82"/>
    <w:rsid w:val="00770AA6"/>
    <w:rsid w:val="00770B24"/>
    <w:rsid w:val="0077111A"/>
    <w:rsid w:val="00771231"/>
    <w:rsid w:val="00771421"/>
    <w:rsid w:val="007721DC"/>
    <w:rsid w:val="007722C9"/>
    <w:rsid w:val="0077272A"/>
    <w:rsid w:val="0077293B"/>
    <w:rsid w:val="0077298A"/>
    <w:rsid w:val="00773314"/>
    <w:rsid w:val="007744BE"/>
    <w:rsid w:val="00774847"/>
    <w:rsid w:val="00775267"/>
    <w:rsid w:val="007756BF"/>
    <w:rsid w:val="00775A6D"/>
    <w:rsid w:val="00775EA5"/>
    <w:rsid w:val="00776CAB"/>
    <w:rsid w:val="00777A92"/>
    <w:rsid w:val="00781489"/>
    <w:rsid w:val="007814BB"/>
    <w:rsid w:val="00782A71"/>
    <w:rsid w:val="00783059"/>
    <w:rsid w:val="007832EE"/>
    <w:rsid w:val="007833F2"/>
    <w:rsid w:val="00783AA8"/>
    <w:rsid w:val="00783ECE"/>
    <w:rsid w:val="00784131"/>
    <w:rsid w:val="0078429F"/>
    <w:rsid w:val="00784403"/>
    <w:rsid w:val="0078485F"/>
    <w:rsid w:val="00784B22"/>
    <w:rsid w:val="00784DCB"/>
    <w:rsid w:val="00785028"/>
    <w:rsid w:val="007850A3"/>
    <w:rsid w:val="007850DF"/>
    <w:rsid w:val="0078520A"/>
    <w:rsid w:val="00785279"/>
    <w:rsid w:val="007855D6"/>
    <w:rsid w:val="007859C3"/>
    <w:rsid w:val="00786051"/>
    <w:rsid w:val="007862AE"/>
    <w:rsid w:val="007863AA"/>
    <w:rsid w:val="00786EAC"/>
    <w:rsid w:val="0078709F"/>
    <w:rsid w:val="007875AB"/>
    <w:rsid w:val="0079018F"/>
    <w:rsid w:val="007906A1"/>
    <w:rsid w:val="00790C86"/>
    <w:rsid w:val="007915BB"/>
    <w:rsid w:val="00791FCA"/>
    <w:rsid w:val="007922BD"/>
    <w:rsid w:val="0079235E"/>
    <w:rsid w:val="007925FE"/>
    <w:rsid w:val="00793111"/>
    <w:rsid w:val="00793155"/>
    <w:rsid w:val="00793169"/>
    <w:rsid w:val="00793339"/>
    <w:rsid w:val="00793CC7"/>
    <w:rsid w:val="00793F8E"/>
    <w:rsid w:val="00794784"/>
    <w:rsid w:val="007948CB"/>
    <w:rsid w:val="00794A53"/>
    <w:rsid w:val="00794BFA"/>
    <w:rsid w:val="00794F23"/>
    <w:rsid w:val="00795026"/>
    <w:rsid w:val="007957F6"/>
    <w:rsid w:val="00795EDD"/>
    <w:rsid w:val="00796181"/>
    <w:rsid w:val="00796755"/>
    <w:rsid w:val="00796C70"/>
    <w:rsid w:val="00797D9E"/>
    <w:rsid w:val="007A0AF6"/>
    <w:rsid w:val="007A13D4"/>
    <w:rsid w:val="007A1A12"/>
    <w:rsid w:val="007A1C76"/>
    <w:rsid w:val="007A22DB"/>
    <w:rsid w:val="007A23F9"/>
    <w:rsid w:val="007A275E"/>
    <w:rsid w:val="007A29C2"/>
    <w:rsid w:val="007A2C7A"/>
    <w:rsid w:val="007A2DBD"/>
    <w:rsid w:val="007A30F8"/>
    <w:rsid w:val="007A3385"/>
    <w:rsid w:val="007A370F"/>
    <w:rsid w:val="007A485D"/>
    <w:rsid w:val="007A4EBD"/>
    <w:rsid w:val="007A50CC"/>
    <w:rsid w:val="007A5943"/>
    <w:rsid w:val="007A5F85"/>
    <w:rsid w:val="007A6355"/>
    <w:rsid w:val="007A63AB"/>
    <w:rsid w:val="007A66C1"/>
    <w:rsid w:val="007A6D93"/>
    <w:rsid w:val="007A6F80"/>
    <w:rsid w:val="007A6FCD"/>
    <w:rsid w:val="007A721A"/>
    <w:rsid w:val="007A72D8"/>
    <w:rsid w:val="007A737E"/>
    <w:rsid w:val="007A747C"/>
    <w:rsid w:val="007B03CC"/>
    <w:rsid w:val="007B03DA"/>
    <w:rsid w:val="007B04E4"/>
    <w:rsid w:val="007B0BFD"/>
    <w:rsid w:val="007B0C59"/>
    <w:rsid w:val="007B0DE3"/>
    <w:rsid w:val="007B0F42"/>
    <w:rsid w:val="007B1509"/>
    <w:rsid w:val="007B19E1"/>
    <w:rsid w:val="007B1A12"/>
    <w:rsid w:val="007B1D92"/>
    <w:rsid w:val="007B1E24"/>
    <w:rsid w:val="007B2279"/>
    <w:rsid w:val="007B23CD"/>
    <w:rsid w:val="007B2AC0"/>
    <w:rsid w:val="007B3637"/>
    <w:rsid w:val="007B3782"/>
    <w:rsid w:val="007B3ED0"/>
    <w:rsid w:val="007B4222"/>
    <w:rsid w:val="007B4333"/>
    <w:rsid w:val="007B4450"/>
    <w:rsid w:val="007B474A"/>
    <w:rsid w:val="007B48BB"/>
    <w:rsid w:val="007B4A42"/>
    <w:rsid w:val="007B6304"/>
    <w:rsid w:val="007B6EDA"/>
    <w:rsid w:val="007B710F"/>
    <w:rsid w:val="007B712A"/>
    <w:rsid w:val="007B73FE"/>
    <w:rsid w:val="007B773A"/>
    <w:rsid w:val="007B79D4"/>
    <w:rsid w:val="007B7BB3"/>
    <w:rsid w:val="007B7D2B"/>
    <w:rsid w:val="007C0390"/>
    <w:rsid w:val="007C1003"/>
    <w:rsid w:val="007C1280"/>
    <w:rsid w:val="007C1F94"/>
    <w:rsid w:val="007C22E6"/>
    <w:rsid w:val="007C2413"/>
    <w:rsid w:val="007C2CFB"/>
    <w:rsid w:val="007C3179"/>
    <w:rsid w:val="007C31BE"/>
    <w:rsid w:val="007C360B"/>
    <w:rsid w:val="007C472E"/>
    <w:rsid w:val="007C4879"/>
    <w:rsid w:val="007C49D7"/>
    <w:rsid w:val="007C4BAD"/>
    <w:rsid w:val="007C5E44"/>
    <w:rsid w:val="007C6098"/>
    <w:rsid w:val="007C6102"/>
    <w:rsid w:val="007C6371"/>
    <w:rsid w:val="007C66CE"/>
    <w:rsid w:val="007C6CCC"/>
    <w:rsid w:val="007C75AB"/>
    <w:rsid w:val="007D00DF"/>
    <w:rsid w:val="007D016C"/>
    <w:rsid w:val="007D01A5"/>
    <w:rsid w:val="007D0737"/>
    <w:rsid w:val="007D157D"/>
    <w:rsid w:val="007D1619"/>
    <w:rsid w:val="007D1DED"/>
    <w:rsid w:val="007D1DF3"/>
    <w:rsid w:val="007D1EA2"/>
    <w:rsid w:val="007D22FC"/>
    <w:rsid w:val="007D3570"/>
    <w:rsid w:val="007D3913"/>
    <w:rsid w:val="007D3CD2"/>
    <w:rsid w:val="007D3E78"/>
    <w:rsid w:val="007D405F"/>
    <w:rsid w:val="007D4104"/>
    <w:rsid w:val="007D4347"/>
    <w:rsid w:val="007D4486"/>
    <w:rsid w:val="007D46B7"/>
    <w:rsid w:val="007D4A09"/>
    <w:rsid w:val="007D4C79"/>
    <w:rsid w:val="007D4D84"/>
    <w:rsid w:val="007D4FAF"/>
    <w:rsid w:val="007D53E3"/>
    <w:rsid w:val="007D5BA4"/>
    <w:rsid w:val="007D5C36"/>
    <w:rsid w:val="007D6534"/>
    <w:rsid w:val="007D6727"/>
    <w:rsid w:val="007D6B4D"/>
    <w:rsid w:val="007D734A"/>
    <w:rsid w:val="007D76D9"/>
    <w:rsid w:val="007E0C37"/>
    <w:rsid w:val="007E0D8F"/>
    <w:rsid w:val="007E126E"/>
    <w:rsid w:val="007E19DD"/>
    <w:rsid w:val="007E1BD2"/>
    <w:rsid w:val="007E1ED8"/>
    <w:rsid w:val="007E234F"/>
    <w:rsid w:val="007E2BCF"/>
    <w:rsid w:val="007E2FD2"/>
    <w:rsid w:val="007E3124"/>
    <w:rsid w:val="007E413D"/>
    <w:rsid w:val="007E470F"/>
    <w:rsid w:val="007E4B37"/>
    <w:rsid w:val="007E5273"/>
    <w:rsid w:val="007E52AA"/>
    <w:rsid w:val="007E551C"/>
    <w:rsid w:val="007E5555"/>
    <w:rsid w:val="007E5B41"/>
    <w:rsid w:val="007E5BEA"/>
    <w:rsid w:val="007E5C98"/>
    <w:rsid w:val="007E62B0"/>
    <w:rsid w:val="007E6981"/>
    <w:rsid w:val="007E6DC9"/>
    <w:rsid w:val="007E709B"/>
    <w:rsid w:val="007E70B5"/>
    <w:rsid w:val="007E73E2"/>
    <w:rsid w:val="007E7C9C"/>
    <w:rsid w:val="007E7DE8"/>
    <w:rsid w:val="007F00A9"/>
    <w:rsid w:val="007F05F5"/>
    <w:rsid w:val="007F08BF"/>
    <w:rsid w:val="007F0ADD"/>
    <w:rsid w:val="007F0FDF"/>
    <w:rsid w:val="007F15E3"/>
    <w:rsid w:val="007F1631"/>
    <w:rsid w:val="007F1A1B"/>
    <w:rsid w:val="007F1F6B"/>
    <w:rsid w:val="007F2005"/>
    <w:rsid w:val="007F215C"/>
    <w:rsid w:val="007F23B2"/>
    <w:rsid w:val="007F2E5C"/>
    <w:rsid w:val="007F39A6"/>
    <w:rsid w:val="007F3B53"/>
    <w:rsid w:val="007F4868"/>
    <w:rsid w:val="007F5404"/>
    <w:rsid w:val="007F5B2D"/>
    <w:rsid w:val="007F5DB2"/>
    <w:rsid w:val="007F613C"/>
    <w:rsid w:val="007F62C1"/>
    <w:rsid w:val="007F65C0"/>
    <w:rsid w:val="007F6671"/>
    <w:rsid w:val="007F68B7"/>
    <w:rsid w:val="007F695C"/>
    <w:rsid w:val="007F6F53"/>
    <w:rsid w:val="007F74F8"/>
    <w:rsid w:val="007F75F1"/>
    <w:rsid w:val="007F7630"/>
    <w:rsid w:val="007F775E"/>
    <w:rsid w:val="0080003D"/>
    <w:rsid w:val="00800099"/>
    <w:rsid w:val="0080054A"/>
    <w:rsid w:val="00801671"/>
    <w:rsid w:val="008022EC"/>
    <w:rsid w:val="0080276C"/>
    <w:rsid w:val="008028A4"/>
    <w:rsid w:val="00802BE4"/>
    <w:rsid w:val="0080318A"/>
    <w:rsid w:val="008034BE"/>
    <w:rsid w:val="00803883"/>
    <w:rsid w:val="008039A0"/>
    <w:rsid w:val="0080429C"/>
    <w:rsid w:val="00804480"/>
    <w:rsid w:val="008046A0"/>
    <w:rsid w:val="008050BD"/>
    <w:rsid w:val="008057CD"/>
    <w:rsid w:val="00806467"/>
    <w:rsid w:val="008064A5"/>
    <w:rsid w:val="008064C4"/>
    <w:rsid w:val="00806847"/>
    <w:rsid w:val="00806DC6"/>
    <w:rsid w:val="00806F99"/>
    <w:rsid w:val="00807AA6"/>
    <w:rsid w:val="00807F51"/>
    <w:rsid w:val="0081019E"/>
    <w:rsid w:val="008101C3"/>
    <w:rsid w:val="008103C3"/>
    <w:rsid w:val="008104A1"/>
    <w:rsid w:val="00810558"/>
    <w:rsid w:val="008107FF"/>
    <w:rsid w:val="0081091F"/>
    <w:rsid w:val="008111C7"/>
    <w:rsid w:val="0081178C"/>
    <w:rsid w:val="008119C6"/>
    <w:rsid w:val="0081208D"/>
    <w:rsid w:val="00812350"/>
    <w:rsid w:val="008125F2"/>
    <w:rsid w:val="00812E08"/>
    <w:rsid w:val="00812F37"/>
    <w:rsid w:val="008132B7"/>
    <w:rsid w:val="00813342"/>
    <w:rsid w:val="008139AE"/>
    <w:rsid w:val="00813AE9"/>
    <w:rsid w:val="00813CBB"/>
    <w:rsid w:val="00813D0C"/>
    <w:rsid w:val="00813DE2"/>
    <w:rsid w:val="00813DF5"/>
    <w:rsid w:val="0081447E"/>
    <w:rsid w:val="008152A9"/>
    <w:rsid w:val="008160D8"/>
    <w:rsid w:val="008161CC"/>
    <w:rsid w:val="00816255"/>
    <w:rsid w:val="0081650C"/>
    <w:rsid w:val="008165E6"/>
    <w:rsid w:val="008166DC"/>
    <w:rsid w:val="00816AD4"/>
    <w:rsid w:val="00816C99"/>
    <w:rsid w:val="00816FE4"/>
    <w:rsid w:val="008170FF"/>
    <w:rsid w:val="0081725B"/>
    <w:rsid w:val="0081793B"/>
    <w:rsid w:val="00817CB6"/>
    <w:rsid w:val="00820147"/>
    <w:rsid w:val="00820272"/>
    <w:rsid w:val="00820386"/>
    <w:rsid w:val="00820425"/>
    <w:rsid w:val="008209D4"/>
    <w:rsid w:val="00820C05"/>
    <w:rsid w:val="008214AE"/>
    <w:rsid w:val="00821B07"/>
    <w:rsid w:val="0082284C"/>
    <w:rsid w:val="00822A34"/>
    <w:rsid w:val="00822DA6"/>
    <w:rsid w:val="00823342"/>
    <w:rsid w:val="00823758"/>
    <w:rsid w:val="00823FF9"/>
    <w:rsid w:val="00824755"/>
    <w:rsid w:val="00824DFC"/>
    <w:rsid w:val="008250EA"/>
    <w:rsid w:val="008252EE"/>
    <w:rsid w:val="008255CD"/>
    <w:rsid w:val="0082573F"/>
    <w:rsid w:val="00825E21"/>
    <w:rsid w:val="00825F0F"/>
    <w:rsid w:val="00825F9C"/>
    <w:rsid w:val="0082675B"/>
    <w:rsid w:val="00826824"/>
    <w:rsid w:val="00826939"/>
    <w:rsid w:val="00826E20"/>
    <w:rsid w:val="0082708E"/>
    <w:rsid w:val="008270F9"/>
    <w:rsid w:val="008273CC"/>
    <w:rsid w:val="0082742D"/>
    <w:rsid w:val="008274F2"/>
    <w:rsid w:val="00827948"/>
    <w:rsid w:val="00827F75"/>
    <w:rsid w:val="00827FC8"/>
    <w:rsid w:val="00830543"/>
    <w:rsid w:val="0083071A"/>
    <w:rsid w:val="00831933"/>
    <w:rsid w:val="00831949"/>
    <w:rsid w:val="00831B4E"/>
    <w:rsid w:val="0083254C"/>
    <w:rsid w:val="008325C8"/>
    <w:rsid w:val="008329CA"/>
    <w:rsid w:val="00832FEB"/>
    <w:rsid w:val="008333C0"/>
    <w:rsid w:val="008337C6"/>
    <w:rsid w:val="00833D6B"/>
    <w:rsid w:val="00833DDF"/>
    <w:rsid w:val="00834936"/>
    <w:rsid w:val="008352CC"/>
    <w:rsid w:val="0083539C"/>
    <w:rsid w:val="008353A4"/>
    <w:rsid w:val="00835BD0"/>
    <w:rsid w:val="0083701B"/>
    <w:rsid w:val="0083723B"/>
    <w:rsid w:val="0084051A"/>
    <w:rsid w:val="00840595"/>
    <w:rsid w:val="00840702"/>
    <w:rsid w:val="00840882"/>
    <w:rsid w:val="00840C6A"/>
    <w:rsid w:val="0084112D"/>
    <w:rsid w:val="00841A4C"/>
    <w:rsid w:val="00843058"/>
    <w:rsid w:val="008430AB"/>
    <w:rsid w:val="00843F24"/>
    <w:rsid w:val="00843F5B"/>
    <w:rsid w:val="0084431E"/>
    <w:rsid w:val="0084479C"/>
    <w:rsid w:val="008450FA"/>
    <w:rsid w:val="0084555C"/>
    <w:rsid w:val="00845638"/>
    <w:rsid w:val="008458D1"/>
    <w:rsid w:val="00845CAC"/>
    <w:rsid w:val="00845D2E"/>
    <w:rsid w:val="008464EB"/>
    <w:rsid w:val="00846B50"/>
    <w:rsid w:val="00846D08"/>
    <w:rsid w:val="008503FD"/>
    <w:rsid w:val="00850B1B"/>
    <w:rsid w:val="008510E2"/>
    <w:rsid w:val="00851374"/>
    <w:rsid w:val="00851D97"/>
    <w:rsid w:val="00851DF4"/>
    <w:rsid w:val="0085204F"/>
    <w:rsid w:val="008523BF"/>
    <w:rsid w:val="00852F23"/>
    <w:rsid w:val="00853746"/>
    <w:rsid w:val="008537ED"/>
    <w:rsid w:val="0085395F"/>
    <w:rsid w:val="00854AC1"/>
    <w:rsid w:val="00855EDA"/>
    <w:rsid w:val="00856420"/>
    <w:rsid w:val="00856DD7"/>
    <w:rsid w:val="00857169"/>
    <w:rsid w:val="008571E3"/>
    <w:rsid w:val="0086146C"/>
    <w:rsid w:val="008615FF"/>
    <w:rsid w:val="0086196E"/>
    <w:rsid w:val="00861AEC"/>
    <w:rsid w:val="00861B8A"/>
    <w:rsid w:val="00861DCF"/>
    <w:rsid w:val="008621E4"/>
    <w:rsid w:val="008622D5"/>
    <w:rsid w:val="00862423"/>
    <w:rsid w:val="00862669"/>
    <w:rsid w:val="00862AB3"/>
    <w:rsid w:val="00862DCD"/>
    <w:rsid w:val="0086317D"/>
    <w:rsid w:val="00863CBF"/>
    <w:rsid w:val="00864100"/>
    <w:rsid w:val="0086471C"/>
    <w:rsid w:val="008648CC"/>
    <w:rsid w:val="00864AEE"/>
    <w:rsid w:val="00865358"/>
    <w:rsid w:val="008658EC"/>
    <w:rsid w:val="008659B1"/>
    <w:rsid w:val="00865A29"/>
    <w:rsid w:val="008662A2"/>
    <w:rsid w:val="00866836"/>
    <w:rsid w:val="00866F87"/>
    <w:rsid w:val="008670F5"/>
    <w:rsid w:val="00867C89"/>
    <w:rsid w:val="00870071"/>
    <w:rsid w:val="00870B2C"/>
    <w:rsid w:val="00871369"/>
    <w:rsid w:val="00871E7D"/>
    <w:rsid w:val="008722F1"/>
    <w:rsid w:val="00872F1A"/>
    <w:rsid w:val="00873094"/>
    <w:rsid w:val="0087359C"/>
    <w:rsid w:val="00873869"/>
    <w:rsid w:val="00873D35"/>
    <w:rsid w:val="008745C8"/>
    <w:rsid w:val="00874772"/>
    <w:rsid w:val="00874A14"/>
    <w:rsid w:val="0087508E"/>
    <w:rsid w:val="008750E6"/>
    <w:rsid w:val="0087554D"/>
    <w:rsid w:val="00875CA0"/>
    <w:rsid w:val="00875CF8"/>
    <w:rsid w:val="0087689B"/>
    <w:rsid w:val="00877007"/>
    <w:rsid w:val="008772AA"/>
    <w:rsid w:val="0087760D"/>
    <w:rsid w:val="008779D6"/>
    <w:rsid w:val="00880047"/>
    <w:rsid w:val="00880409"/>
    <w:rsid w:val="00880A3D"/>
    <w:rsid w:val="00880E79"/>
    <w:rsid w:val="00881435"/>
    <w:rsid w:val="00881492"/>
    <w:rsid w:val="00881717"/>
    <w:rsid w:val="00881A59"/>
    <w:rsid w:val="0088225B"/>
    <w:rsid w:val="008827C4"/>
    <w:rsid w:val="008828AC"/>
    <w:rsid w:val="00882A0F"/>
    <w:rsid w:val="00883320"/>
    <w:rsid w:val="008834EB"/>
    <w:rsid w:val="00883682"/>
    <w:rsid w:val="00883A1C"/>
    <w:rsid w:val="00884CD0"/>
    <w:rsid w:val="00884E53"/>
    <w:rsid w:val="008857DD"/>
    <w:rsid w:val="008859A0"/>
    <w:rsid w:val="008859A6"/>
    <w:rsid w:val="00885CC0"/>
    <w:rsid w:val="0088681B"/>
    <w:rsid w:val="00886B66"/>
    <w:rsid w:val="00886CE1"/>
    <w:rsid w:val="00890876"/>
    <w:rsid w:val="00891038"/>
    <w:rsid w:val="0089103A"/>
    <w:rsid w:val="0089131B"/>
    <w:rsid w:val="008919FA"/>
    <w:rsid w:val="008924BF"/>
    <w:rsid w:val="00892550"/>
    <w:rsid w:val="00892A5A"/>
    <w:rsid w:val="00892DBC"/>
    <w:rsid w:val="00892E94"/>
    <w:rsid w:val="00892EE2"/>
    <w:rsid w:val="00892FDD"/>
    <w:rsid w:val="0089303E"/>
    <w:rsid w:val="008930BF"/>
    <w:rsid w:val="00893368"/>
    <w:rsid w:val="008944FA"/>
    <w:rsid w:val="00894EE5"/>
    <w:rsid w:val="00895078"/>
    <w:rsid w:val="0089550E"/>
    <w:rsid w:val="008959F6"/>
    <w:rsid w:val="00895D23"/>
    <w:rsid w:val="00896016"/>
    <w:rsid w:val="00896228"/>
    <w:rsid w:val="008964BE"/>
    <w:rsid w:val="00896DA9"/>
    <w:rsid w:val="00896ED7"/>
    <w:rsid w:val="00897F38"/>
    <w:rsid w:val="0089E00A"/>
    <w:rsid w:val="008A02EE"/>
    <w:rsid w:val="008A0AAA"/>
    <w:rsid w:val="008A1767"/>
    <w:rsid w:val="008A17B6"/>
    <w:rsid w:val="008A1CD6"/>
    <w:rsid w:val="008A1D49"/>
    <w:rsid w:val="008A1FCA"/>
    <w:rsid w:val="008A275C"/>
    <w:rsid w:val="008A282C"/>
    <w:rsid w:val="008A2847"/>
    <w:rsid w:val="008A2CD1"/>
    <w:rsid w:val="008A3914"/>
    <w:rsid w:val="008A3A0D"/>
    <w:rsid w:val="008A3AAF"/>
    <w:rsid w:val="008A3E0F"/>
    <w:rsid w:val="008A3EB8"/>
    <w:rsid w:val="008A445F"/>
    <w:rsid w:val="008A454C"/>
    <w:rsid w:val="008A4854"/>
    <w:rsid w:val="008A49B6"/>
    <w:rsid w:val="008A4AC7"/>
    <w:rsid w:val="008A4CF8"/>
    <w:rsid w:val="008A535A"/>
    <w:rsid w:val="008A5A27"/>
    <w:rsid w:val="008A5A5A"/>
    <w:rsid w:val="008A60A2"/>
    <w:rsid w:val="008A7484"/>
    <w:rsid w:val="008A7A7F"/>
    <w:rsid w:val="008B01A5"/>
    <w:rsid w:val="008B06DB"/>
    <w:rsid w:val="008B0DAA"/>
    <w:rsid w:val="008B0E94"/>
    <w:rsid w:val="008B11F7"/>
    <w:rsid w:val="008B1382"/>
    <w:rsid w:val="008B287D"/>
    <w:rsid w:val="008B292F"/>
    <w:rsid w:val="008B36C9"/>
    <w:rsid w:val="008B3F7A"/>
    <w:rsid w:val="008B40D9"/>
    <w:rsid w:val="008B478C"/>
    <w:rsid w:val="008B483E"/>
    <w:rsid w:val="008B4EF6"/>
    <w:rsid w:val="008B52FB"/>
    <w:rsid w:val="008B545A"/>
    <w:rsid w:val="008B5827"/>
    <w:rsid w:val="008B59AB"/>
    <w:rsid w:val="008B5B0A"/>
    <w:rsid w:val="008B5F2D"/>
    <w:rsid w:val="008B6037"/>
    <w:rsid w:val="008B6070"/>
    <w:rsid w:val="008B688D"/>
    <w:rsid w:val="008B6999"/>
    <w:rsid w:val="008B6E1F"/>
    <w:rsid w:val="008B7224"/>
    <w:rsid w:val="008B7A48"/>
    <w:rsid w:val="008B7B68"/>
    <w:rsid w:val="008B7F2A"/>
    <w:rsid w:val="008C03D9"/>
    <w:rsid w:val="008C040F"/>
    <w:rsid w:val="008C04EC"/>
    <w:rsid w:val="008C053F"/>
    <w:rsid w:val="008C069A"/>
    <w:rsid w:val="008C0ACB"/>
    <w:rsid w:val="008C0B56"/>
    <w:rsid w:val="008C1685"/>
    <w:rsid w:val="008C2417"/>
    <w:rsid w:val="008C25C1"/>
    <w:rsid w:val="008C273A"/>
    <w:rsid w:val="008C275B"/>
    <w:rsid w:val="008C3030"/>
    <w:rsid w:val="008C40C1"/>
    <w:rsid w:val="008C561F"/>
    <w:rsid w:val="008C5638"/>
    <w:rsid w:val="008C5708"/>
    <w:rsid w:val="008C5717"/>
    <w:rsid w:val="008C5CC5"/>
    <w:rsid w:val="008C5F97"/>
    <w:rsid w:val="008C62D8"/>
    <w:rsid w:val="008C6788"/>
    <w:rsid w:val="008C6BF5"/>
    <w:rsid w:val="008C71CB"/>
    <w:rsid w:val="008C7DCB"/>
    <w:rsid w:val="008D041B"/>
    <w:rsid w:val="008D0702"/>
    <w:rsid w:val="008D0CB3"/>
    <w:rsid w:val="008D12BD"/>
    <w:rsid w:val="008D165B"/>
    <w:rsid w:val="008D1D80"/>
    <w:rsid w:val="008D215B"/>
    <w:rsid w:val="008D2514"/>
    <w:rsid w:val="008D2DED"/>
    <w:rsid w:val="008D305B"/>
    <w:rsid w:val="008D311F"/>
    <w:rsid w:val="008D3753"/>
    <w:rsid w:val="008D39B5"/>
    <w:rsid w:val="008D3A38"/>
    <w:rsid w:val="008D3BDC"/>
    <w:rsid w:val="008D3C4C"/>
    <w:rsid w:val="008D3C55"/>
    <w:rsid w:val="008D3DCE"/>
    <w:rsid w:val="008D43B4"/>
    <w:rsid w:val="008D4476"/>
    <w:rsid w:val="008D49A8"/>
    <w:rsid w:val="008D4CAF"/>
    <w:rsid w:val="008D4D37"/>
    <w:rsid w:val="008D5509"/>
    <w:rsid w:val="008D59EA"/>
    <w:rsid w:val="008D62DD"/>
    <w:rsid w:val="008D64F6"/>
    <w:rsid w:val="008D723D"/>
    <w:rsid w:val="008D74A7"/>
    <w:rsid w:val="008D7C9A"/>
    <w:rsid w:val="008D7D61"/>
    <w:rsid w:val="008E0359"/>
    <w:rsid w:val="008E07EB"/>
    <w:rsid w:val="008E1236"/>
    <w:rsid w:val="008E13ED"/>
    <w:rsid w:val="008E159B"/>
    <w:rsid w:val="008E1AB1"/>
    <w:rsid w:val="008E1B32"/>
    <w:rsid w:val="008E1CD6"/>
    <w:rsid w:val="008E2020"/>
    <w:rsid w:val="008E21E8"/>
    <w:rsid w:val="008E2B13"/>
    <w:rsid w:val="008E2B99"/>
    <w:rsid w:val="008E2D2C"/>
    <w:rsid w:val="008E3040"/>
    <w:rsid w:val="008E3219"/>
    <w:rsid w:val="008E3D41"/>
    <w:rsid w:val="008E3DC9"/>
    <w:rsid w:val="008E40BC"/>
    <w:rsid w:val="008E45FE"/>
    <w:rsid w:val="008E51A1"/>
    <w:rsid w:val="008E53FF"/>
    <w:rsid w:val="008E5845"/>
    <w:rsid w:val="008E60DB"/>
    <w:rsid w:val="008E63C0"/>
    <w:rsid w:val="008E6AA9"/>
    <w:rsid w:val="008E6C87"/>
    <w:rsid w:val="008E722E"/>
    <w:rsid w:val="008E72FC"/>
    <w:rsid w:val="008E7576"/>
    <w:rsid w:val="008E76F6"/>
    <w:rsid w:val="008E7749"/>
    <w:rsid w:val="008E7A6E"/>
    <w:rsid w:val="008E7EF7"/>
    <w:rsid w:val="008F00ED"/>
    <w:rsid w:val="008F0312"/>
    <w:rsid w:val="008F05F9"/>
    <w:rsid w:val="008F0CF0"/>
    <w:rsid w:val="008F147A"/>
    <w:rsid w:val="008F17AA"/>
    <w:rsid w:val="008F17C9"/>
    <w:rsid w:val="008F1807"/>
    <w:rsid w:val="008F1DA8"/>
    <w:rsid w:val="008F29C5"/>
    <w:rsid w:val="008F2B18"/>
    <w:rsid w:val="008F2D01"/>
    <w:rsid w:val="008F3150"/>
    <w:rsid w:val="008F31DC"/>
    <w:rsid w:val="008F3866"/>
    <w:rsid w:val="008F3D5C"/>
    <w:rsid w:val="008F45A8"/>
    <w:rsid w:val="008F4B02"/>
    <w:rsid w:val="008F4B68"/>
    <w:rsid w:val="008F4EF5"/>
    <w:rsid w:val="008F4FC1"/>
    <w:rsid w:val="008F577A"/>
    <w:rsid w:val="008F5CB3"/>
    <w:rsid w:val="008F64EE"/>
    <w:rsid w:val="008F652A"/>
    <w:rsid w:val="008F6C10"/>
    <w:rsid w:val="008F6C13"/>
    <w:rsid w:val="008F7279"/>
    <w:rsid w:val="008F7305"/>
    <w:rsid w:val="008F77A3"/>
    <w:rsid w:val="008F7FF2"/>
    <w:rsid w:val="00900082"/>
    <w:rsid w:val="009000A6"/>
    <w:rsid w:val="00900577"/>
    <w:rsid w:val="00901176"/>
    <w:rsid w:val="009012B4"/>
    <w:rsid w:val="0090186D"/>
    <w:rsid w:val="00901A78"/>
    <w:rsid w:val="00902063"/>
    <w:rsid w:val="009022C2"/>
    <w:rsid w:val="00904464"/>
    <w:rsid w:val="009049DF"/>
    <w:rsid w:val="00905641"/>
    <w:rsid w:val="00905DB3"/>
    <w:rsid w:val="009065E5"/>
    <w:rsid w:val="009074A1"/>
    <w:rsid w:val="009077FE"/>
    <w:rsid w:val="00907B1A"/>
    <w:rsid w:val="00907B25"/>
    <w:rsid w:val="00907EB9"/>
    <w:rsid w:val="00910637"/>
    <w:rsid w:val="00910829"/>
    <w:rsid w:val="00910CF4"/>
    <w:rsid w:val="00910F55"/>
    <w:rsid w:val="009110F7"/>
    <w:rsid w:val="00911A7E"/>
    <w:rsid w:val="00911D3A"/>
    <w:rsid w:val="00911F3C"/>
    <w:rsid w:val="00912B5E"/>
    <w:rsid w:val="00912DC4"/>
    <w:rsid w:val="00912F1C"/>
    <w:rsid w:val="00913051"/>
    <w:rsid w:val="00914474"/>
    <w:rsid w:val="00914DF9"/>
    <w:rsid w:val="0091505C"/>
    <w:rsid w:val="009151F9"/>
    <w:rsid w:val="00915532"/>
    <w:rsid w:val="00915572"/>
    <w:rsid w:val="00915D91"/>
    <w:rsid w:val="00915F5A"/>
    <w:rsid w:val="00915F63"/>
    <w:rsid w:val="00915FCD"/>
    <w:rsid w:val="00916828"/>
    <w:rsid w:val="00917620"/>
    <w:rsid w:val="00917A05"/>
    <w:rsid w:val="00917D40"/>
    <w:rsid w:val="009200D0"/>
    <w:rsid w:val="0092030F"/>
    <w:rsid w:val="00920387"/>
    <w:rsid w:val="009207F9"/>
    <w:rsid w:val="00920829"/>
    <w:rsid w:val="00921049"/>
    <w:rsid w:val="009210B0"/>
    <w:rsid w:val="00921680"/>
    <w:rsid w:val="009217FB"/>
    <w:rsid w:val="00921FE3"/>
    <w:rsid w:val="00922383"/>
    <w:rsid w:val="00922AFA"/>
    <w:rsid w:val="0092319B"/>
    <w:rsid w:val="0092319C"/>
    <w:rsid w:val="00923317"/>
    <w:rsid w:val="00923667"/>
    <w:rsid w:val="00923815"/>
    <w:rsid w:val="00923FC3"/>
    <w:rsid w:val="00924541"/>
    <w:rsid w:val="00924684"/>
    <w:rsid w:val="00925131"/>
    <w:rsid w:val="009253A0"/>
    <w:rsid w:val="009254D3"/>
    <w:rsid w:val="009255E8"/>
    <w:rsid w:val="00925E0F"/>
    <w:rsid w:val="00926220"/>
    <w:rsid w:val="00926D3B"/>
    <w:rsid w:val="00926EC2"/>
    <w:rsid w:val="00926EEF"/>
    <w:rsid w:val="00927349"/>
    <w:rsid w:val="009273FF"/>
    <w:rsid w:val="009275EE"/>
    <w:rsid w:val="00927A48"/>
    <w:rsid w:val="00930131"/>
    <w:rsid w:val="00930209"/>
    <w:rsid w:val="00930227"/>
    <w:rsid w:val="0093036A"/>
    <w:rsid w:val="009307FC"/>
    <w:rsid w:val="00930B5B"/>
    <w:rsid w:val="00930BE4"/>
    <w:rsid w:val="00931012"/>
    <w:rsid w:val="009314E2"/>
    <w:rsid w:val="009314F2"/>
    <w:rsid w:val="0093153F"/>
    <w:rsid w:val="00931E78"/>
    <w:rsid w:val="00931FAB"/>
    <w:rsid w:val="00932105"/>
    <w:rsid w:val="00932CCA"/>
    <w:rsid w:val="0093322F"/>
    <w:rsid w:val="00933884"/>
    <w:rsid w:val="009345B1"/>
    <w:rsid w:val="00934625"/>
    <w:rsid w:val="00934843"/>
    <w:rsid w:val="00934C77"/>
    <w:rsid w:val="00935197"/>
    <w:rsid w:val="009351C3"/>
    <w:rsid w:val="009355EF"/>
    <w:rsid w:val="0093575D"/>
    <w:rsid w:val="00935A29"/>
    <w:rsid w:val="00935C58"/>
    <w:rsid w:val="00935CE5"/>
    <w:rsid w:val="00936889"/>
    <w:rsid w:val="00936B25"/>
    <w:rsid w:val="00936EC5"/>
    <w:rsid w:val="009374D7"/>
    <w:rsid w:val="00937B3C"/>
    <w:rsid w:val="009401E2"/>
    <w:rsid w:val="009404AB"/>
    <w:rsid w:val="009405FF"/>
    <w:rsid w:val="00940B59"/>
    <w:rsid w:val="00941241"/>
    <w:rsid w:val="0094125D"/>
    <w:rsid w:val="00941E38"/>
    <w:rsid w:val="009423C8"/>
    <w:rsid w:val="00942A70"/>
    <w:rsid w:val="00942DF6"/>
    <w:rsid w:val="00943420"/>
    <w:rsid w:val="00944142"/>
    <w:rsid w:val="0094447B"/>
    <w:rsid w:val="009444C4"/>
    <w:rsid w:val="00944546"/>
    <w:rsid w:val="009445FF"/>
    <w:rsid w:val="0094485C"/>
    <w:rsid w:val="00944D08"/>
    <w:rsid w:val="00944FCF"/>
    <w:rsid w:val="0094506F"/>
    <w:rsid w:val="0094561E"/>
    <w:rsid w:val="00945679"/>
    <w:rsid w:val="00945DEC"/>
    <w:rsid w:val="00946803"/>
    <w:rsid w:val="00947CBA"/>
    <w:rsid w:val="00947CE3"/>
    <w:rsid w:val="00950418"/>
    <w:rsid w:val="0095084D"/>
    <w:rsid w:val="00950B2B"/>
    <w:rsid w:val="00950CDE"/>
    <w:rsid w:val="00950DCC"/>
    <w:rsid w:val="00950DE3"/>
    <w:rsid w:val="00950E22"/>
    <w:rsid w:val="00950FBD"/>
    <w:rsid w:val="00951643"/>
    <w:rsid w:val="00951775"/>
    <w:rsid w:val="00951DAD"/>
    <w:rsid w:val="00951F09"/>
    <w:rsid w:val="00951FE5"/>
    <w:rsid w:val="009520A8"/>
    <w:rsid w:val="009529BD"/>
    <w:rsid w:val="00952F42"/>
    <w:rsid w:val="00953378"/>
    <w:rsid w:val="00953558"/>
    <w:rsid w:val="00953818"/>
    <w:rsid w:val="0095389C"/>
    <w:rsid w:val="00953B5A"/>
    <w:rsid w:val="00953CF6"/>
    <w:rsid w:val="009541D9"/>
    <w:rsid w:val="009547EA"/>
    <w:rsid w:val="00954910"/>
    <w:rsid w:val="00955012"/>
    <w:rsid w:val="00955104"/>
    <w:rsid w:val="009557B5"/>
    <w:rsid w:val="00955A64"/>
    <w:rsid w:val="00956B29"/>
    <w:rsid w:val="009573EF"/>
    <w:rsid w:val="00957E03"/>
    <w:rsid w:val="00960701"/>
    <w:rsid w:val="00961072"/>
    <w:rsid w:val="00961C4D"/>
    <w:rsid w:val="00962CC3"/>
    <w:rsid w:val="00962E11"/>
    <w:rsid w:val="009636BB"/>
    <w:rsid w:val="00963E38"/>
    <w:rsid w:val="009648C8"/>
    <w:rsid w:val="00964B51"/>
    <w:rsid w:val="00964B81"/>
    <w:rsid w:val="00964E25"/>
    <w:rsid w:val="00965254"/>
    <w:rsid w:val="009652DF"/>
    <w:rsid w:val="009654DC"/>
    <w:rsid w:val="0096572E"/>
    <w:rsid w:val="00965966"/>
    <w:rsid w:val="00965C4E"/>
    <w:rsid w:val="00966058"/>
    <w:rsid w:val="00966650"/>
    <w:rsid w:val="009666DE"/>
    <w:rsid w:val="009666F2"/>
    <w:rsid w:val="00966960"/>
    <w:rsid w:val="00966BAE"/>
    <w:rsid w:val="009673E0"/>
    <w:rsid w:val="009679AC"/>
    <w:rsid w:val="00967DCF"/>
    <w:rsid w:val="00970630"/>
    <w:rsid w:val="009708C3"/>
    <w:rsid w:val="00970B21"/>
    <w:rsid w:val="00970B91"/>
    <w:rsid w:val="0097146C"/>
    <w:rsid w:val="00971D66"/>
    <w:rsid w:val="00972CC0"/>
    <w:rsid w:val="009732E4"/>
    <w:rsid w:val="009735EA"/>
    <w:rsid w:val="009736A5"/>
    <w:rsid w:val="00973914"/>
    <w:rsid w:val="009742DE"/>
    <w:rsid w:val="009744A8"/>
    <w:rsid w:val="009746DE"/>
    <w:rsid w:val="009747C3"/>
    <w:rsid w:val="00974A06"/>
    <w:rsid w:val="00974A2E"/>
    <w:rsid w:val="00974C1B"/>
    <w:rsid w:val="00974E4B"/>
    <w:rsid w:val="00975069"/>
    <w:rsid w:val="00975842"/>
    <w:rsid w:val="0097597C"/>
    <w:rsid w:val="00976191"/>
    <w:rsid w:val="00976B11"/>
    <w:rsid w:val="00976E3D"/>
    <w:rsid w:val="009774A4"/>
    <w:rsid w:val="00977C64"/>
    <w:rsid w:val="00977F7B"/>
    <w:rsid w:val="009802C5"/>
    <w:rsid w:val="00980CBF"/>
    <w:rsid w:val="00980F8C"/>
    <w:rsid w:val="00980FD2"/>
    <w:rsid w:val="0098103C"/>
    <w:rsid w:val="00981385"/>
    <w:rsid w:val="009815F9"/>
    <w:rsid w:val="00981936"/>
    <w:rsid w:val="00982E41"/>
    <w:rsid w:val="00983A8F"/>
    <w:rsid w:val="00983DE8"/>
    <w:rsid w:val="009842B8"/>
    <w:rsid w:val="00984498"/>
    <w:rsid w:val="00984626"/>
    <w:rsid w:val="009847E0"/>
    <w:rsid w:val="0098576F"/>
    <w:rsid w:val="00985889"/>
    <w:rsid w:val="00985AB6"/>
    <w:rsid w:val="00985FCC"/>
    <w:rsid w:val="00986114"/>
    <w:rsid w:val="009861DC"/>
    <w:rsid w:val="0098667A"/>
    <w:rsid w:val="009868A7"/>
    <w:rsid w:val="00986A60"/>
    <w:rsid w:val="00986EBC"/>
    <w:rsid w:val="009873FE"/>
    <w:rsid w:val="00987443"/>
    <w:rsid w:val="0098799E"/>
    <w:rsid w:val="00987A4E"/>
    <w:rsid w:val="0099000D"/>
    <w:rsid w:val="0099005D"/>
    <w:rsid w:val="00990284"/>
    <w:rsid w:val="00990B70"/>
    <w:rsid w:val="00990E11"/>
    <w:rsid w:val="00990E37"/>
    <w:rsid w:val="00991379"/>
    <w:rsid w:val="0099206C"/>
    <w:rsid w:val="00992484"/>
    <w:rsid w:val="00993267"/>
    <w:rsid w:val="00993335"/>
    <w:rsid w:val="009933AE"/>
    <w:rsid w:val="009933B1"/>
    <w:rsid w:val="00993450"/>
    <w:rsid w:val="0099379E"/>
    <w:rsid w:val="0099381D"/>
    <w:rsid w:val="0099501F"/>
    <w:rsid w:val="00995EF1"/>
    <w:rsid w:val="00995F92"/>
    <w:rsid w:val="0099667D"/>
    <w:rsid w:val="00996CA8"/>
    <w:rsid w:val="00996CF4"/>
    <w:rsid w:val="00996E38"/>
    <w:rsid w:val="00996F71"/>
    <w:rsid w:val="0099731A"/>
    <w:rsid w:val="00997348"/>
    <w:rsid w:val="009979AB"/>
    <w:rsid w:val="009A017D"/>
    <w:rsid w:val="009A0490"/>
    <w:rsid w:val="009A0620"/>
    <w:rsid w:val="009A063E"/>
    <w:rsid w:val="009A0728"/>
    <w:rsid w:val="009A07FD"/>
    <w:rsid w:val="009A0C63"/>
    <w:rsid w:val="009A10C4"/>
    <w:rsid w:val="009A1191"/>
    <w:rsid w:val="009A12D7"/>
    <w:rsid w:val="009A147E"/>
    <w:rsid w:val="009A1653"/>
    <w:rsid w:val="009A1994"/>
    <w:rsid w:val="009A1DE3"/>
    <w:rsid w:val="009A2197"/>
    <w:rsid w:val="009A289F"/>
    <w:rsid w:val="009A2954"/>
    <w:rsid w:val="009A2AF2"/>
    <w:rsid w:val="009A3218"/>
    <w:rsid w:val="009A32BD"/>
    <w:rsid w:val="009A3677"/>
    <w:rsid w:val="009A3758"/>
    <w:rsid w:val="009A37E4"/>
    <w:rsid w:val="009A4BBD"/>
    <w:rsid w:val="009A5D7A"/>
    <w:rsid w:val="009A60AE"/>
    <w:rsid w:val="009A61AA"/>
    <w:rsid w:val="009A6BB5"/>
    <w:rsid w:val="009A7BA0"/>
    <w:rsid w:val="009B014F"/>
    <w:rsid w:val="009B0242"/>
    <w:rsid w:val="009B0731"/>
    <w:rsid w:val="009B12DE"/>
    <w:rsid w:val="009B179F"/>
    <w:rsid w:val="009B1C7D"/>
    <w:rsid w:val="009B1CB5"/>
    <w:rsid w:val="009B2154"/>
    <w:rsid w:val="009B2338"/>
    <w:rsid w:val="009B25D1"/>
    <w:rsid w:val="009B2A04"/>
    <w:rsid w:val="009B2B13"/>
    <w:rsid w:val="009B2ED5"/>
    <w:rsid w:val="009B302C"/>
    <w:rsid w:val="009B3608"/>
    <w:rsid w:val="009B3623"/>
    <w:rsid w:val="009B4458"/>
    <w:rsid w:val="009B46D4"/>
    <w:rsid w:val="009B4718"/>
    <w:rsid w:val="009B4AD6"/>
    <w:rsid w:val="009B4DA9"/>
    <w:rsid w:val="009B4DC5"/>
    <w:rsid w:val="009B5339"/>
    <w:rsid w:val="009B56A9"/>
    <w:rsid w:val="009B5778"/>
    <w:rsid w:val="009B5847"/>
    <w:rsid w:val="009B6253"/>
    <w:rsid w:val="009B665A"/>
    <w:rsid w:val="009B670D"/>
    <w:rsid w:val="009B6AC5"/>
    <w:rsid w:val="009B6DD2"/>
    <w:rsid w:val="009B7212"/>
    <w:rsid w:val="009B7692"/>
    <w:rsid w:val="009B7B81"/>
    <w:rsid w:val="009B7BE9"/>
    <w:rsid w:val="009B7D54"/>
    <w:rsid w:val="009C06BA"/>
    <w:rsid w:val="009C0727"/>
    <w:rsid w:val="009C14F8"/>
    <w:rsid w:val="009C1909"/>
    <w:rsid w:val="009C1D42"/>
    <w:rsid w:val="009C1EDC"/>
    <w:rsid w:val="009C2477"/>
    <w:rsid w:val="009C29C6"/>
    <w:rsid w:val="009C2C81"/>
    <w:rsid w:val="009C3047"/>
    <w:rsid w:val="009C3338"/>
    <w:rsid w:val="009C3409"/>
    <w:rsid w:val="009C3DB7"/>
    <w:rsid w:val="009C40CF"/>
    <w:rsid w:val="009C446D"/>
    <w:rsid w:val="009C4FE4"/>
    <w:rsid w:val="009C53E4"/>
    <w:rsid w:val="009C5EE5"/>
    <w:rsid w:val="009C6786"/>
    <w:rsid w:val="009C6AEC"/>
    <w:rsid w:val="009C6E83"/>
    <w:rsid w:val="009C7D13"/>
    <w:rsid w:val="009D029B"/>
    <w:rsid w:val="009D0507"/>
    <w:rsid w:val="009D079E"/>
    <w:rsid w:val="009D089E"/>
    <w:rsid w:val="009D095E"/>
    <w:rsid w:val="009D0A7A"/>
    <w:rsid w:val="009D0AB1"/>
    <w:rsid w:val="009D0DA9"/>
    <w:rsid w:val="009D0F68"/>
    <w:rsid w:val="009D1D32"/>
    <w:rsid w:val="009D1E76"/>
    <w:rsid w:val="009D230E"/>
    <w:rsid w:val="009D2482"/>
    <w:rsid w:val="009D25BF"/>
    <w:rsid w:val="009D34FC"/>
    <w:rsid w:val="009D35AE"/>
    <w:rsid w:val="009D4043"/>
    <w:rsid w:val="009D4905"/>
    <w:rsid w:val="009D5F98"/>
    <w:rsid w:val="009D65FF"/>
    <w:rsid w:val="009D6CE1"/>
    <w:rsid w:val="009D6D58"/>
    <w:rsid w:val="009D72F8"/>
    <w:rsid w:val="009D77DC"/>
    <w:rsid w:val="009D78DF"/>
    <w:rsid w:val="009D7BB5"/>
    <w:rsid w:val="009D7F82"/>
    <w:rsid w:val="009E055A"/>
    <w:rsid w:val="009E13AA"/>
    <w:rsid w:val="009E17D1"/>
    <w:rsid w:val="009E1891"/>
    <w:rsid w:val="009E18AD"/>
    <w:rsid w:val="009E18CB"/>
    <w:rsid w:val="009E1A94"/>
    <w:rsid w:val="009E1F91"/>
    <w:rsid w:val="009E225A"/>
    <w:rsid w:val="009E249C"/>
    <w:rsid w:val="009E2C06"/>
    <w:rsid w:val="009E3400"/>
    <w:rsid w:val="009E384C"/>
    <w:rsid w:val="009E3DB7"/>
    <w:rsid w:val="009E4270"/>
    <w:rsid w:val="009E44CC"/>
    <w:rsid w:val="009E44F9"/>
    <w:rsid w:val="009E4640"/>
    <w:rsid w:val="009E47BD"/>
    <w:rsid w:val="009E4AD1"/>
    <w:rsid w:val="009E5444"/>
    <w:rsid w:val="009E5F9C"/>
    <w:rsid w:val="009E6220"/>
    <w:rsid w:val="009E67B8"/>
    <w:rsid w:val="009E68F4"/>
    <w:rsid w:val="009E6BD2"/>
    <w:rsid w:val="009E70F8"/>
    <w:rsid w:val="009E76A6"/>
    <w:rsid w:val="009E7931"/>
    <w:rsid w:val="009F00AC"/>
    <w:rsid w:val="009F060B"/>
    <w:rsid w:val="009F0C13"/>
    <w:rsid w:val="009F1067"/>
    <w:rsid w:val="009F1117"/>
    <w:rsid w:val="009F11A6"/>
    <w:rsid w:val="009F122D"/>
    <w:rsid w:val="009F1365"/>
    <w:rsid w:val="009F1A50"/>
    <w:rsid w:val="009F1B21"/>
    <w:rsid w:val="009F1BFD"/>
    <w:rsid w:val="009F1DC8"/>
    <w:rsid w:val="009F1FBC"/>
    <w:rsid w:val="009F2364"/>
    <w:rsid w:val="009F2B5D"/>
    <w:rsid w:val="009F2E8D"/>
    <w:rsid w:val="009F3469"/>
    <w:rsid w:val="009F3FA5"/>
    <w:rsid w:val="009F43EA"/>
    <w:rsid w:val="009F468E"/>
    <w:rsid w:val="009F4A18"/>
    <w:rsid w:val="009F5064"/>
    <w:rsid w:val="009F5163"/>
    <w:rsid w:val="009F538A"/>
    <w:rsid w:val="009F575B"/>
    <w:rsid w:val="009F5EA2"/>
    <w:rsid w:val="009F5FA9"/>
    <w:rsid w:val="009F616F"/>
    <w:rsid w:val="009F6349"/>
    <w:rsid w:val="009F66A5"/>
    <w:rsid w:val="009F672B"/>
    <w:rsid w:val="009F69BE"/>
    <w:rsid w:val="009F770F"/>
    <w:rsid w:val="009F783C"/>
    <w:rsid w:val="009F7FD4"/>
    <w:rsid w:val="009F7FEA"/>
    <w:rsid w:val="00A00506"/>
    <w:rsid w:val="00A0078C"/>
    <w:rsid w:val="00A00AB1"/>
    <w:rsid w:val="00A01336"/>
    <w:rsid w:val="00A0142A"/>
    <w:rsid w:val="00A01F88"/>
    <w:rsid w:val="00A01FEB"/>
    <w:rsid w:val="00A0212D"/>
    <w:rsid w:val="00A029A1"/>
    <w:rsid w:val="00A02E3A"/>
    <w:rsid w:val="00A03299"/>
    <w:rsid w:val="00A041D6"/>
    <w:rsid w:val="00A04347"/>
    <w:rsid w:val="00A046A0"/>
    <w:rsid w:val="00A04BF2"/>
    <w:rsid w:val="00A051FF"/>
    <w:rsid w:val="00A058FB"/>
    <w:rsid w:val="00A05F7F"/>
    <w:rsid w:val="00A06413"/>
    <w:rsid w:val="00A06B3B"/>
    <w:rsid w:val="00A06C0D"/>
    <w:rsid w:val="00A06C5C"/>
    <w:rsid w:val="00A06C9D"/>
    <w:rsid w:val="00A06CCB"/>
    <w:rsid w:val="00A07206"/>
    <w:rsid w:val="00A074B3"/>
    <w:rsid w:val="00A07A40"/>
    <w:rsid w:val="00A07BA3"/>
    <w:rsid w:val="00A07C8D"/>
    <w:rsid w:val="00A112E3"/>
    <w:rsid w:val="00A11779"/>
    <w:rsid w:val="00A11781"/>
    <w:rsid w:val="00A11945"/>
    <w:rsid w:val="00A1199F"/>
    <w:rsid w:val="00A11B7A"/>
    <w:rsid w:val="00A12014"/>
    <w:rsid w:val="00A12943"/>
    <w:rsid w:val="00A133CD"/>
    <w:rsid w:val="00A13808"/>
    <w:rsid w:val="00A13BEA"/>
    <w:rsid w:val="00A13D01"/>
    <w:rsid w:val="00A144C8"/>
    <w:rsid w:val="00A14B48"/>
    <w:rsid w:val="00A14BAC"/>
    <w:rsid w:val="00A15395"/>
    <w:rsid w:val="00A15892"/>
    <w:rsid w:val="00A1608E"/>
    <w:rsid w:val="00A16A0D"/>
    <w:rsid w:val="00A16A6B"/>
    <w:rsid w:val="00A16A6E"/>
    <w:rsid w:val="00A16BBD"/>
    <w:rsid w:val="00A16E51"/>
    <w:rsid w:val="00A16F62"/>
    <w:rsid w:val="00A170E6"/>
    <w:rsid w:val="00A17A4B"/>
    <w:rsid w:val="00A2050E"/>
    <w:rsid w:val="00A20A33"/>
    <w:rsid w:val="00A2120B"/>
    <w:rsid w:val="00A215BF"/>
    <w:rsid w:val="00A217B0"/>
    <w:rsid w:val="00A21A75"/>
    <w:rsid w:val="00A21CCD"/>
    <w:rsid w:val="00A22685"/>
    <w:rsid w:val="00A228EA"/>
    <w:rsid w:val="00A23052"/>
    <w:rsid w:val="00A2378D"/>
    <w:rsid w:val="00A23CDC"/>
    <w:rsid w:val="00A23D62"/>
    <w:rsid w:val="00A244E5"/>
    <w:rsid w:val="00A24EFC"/>
    <w:rsid w:val="00A25369"/>
    <w:rsid w:val="00A25C54"/>
    <w:rsid w:val="00A25D33"/>
    <w:rsid w:val="00A26235"/>
    <w:rsid w:val="00A2685A"/>
    <w:rsid w:val="00A26C46"/>
    <w:rsid w:val="00A26C75"/>
    <w:rsid w:val="00A27DDC"/>
    <w:rsid w:val="00A30081"/>
    <w:rsid w:val="00A301CC"/>
    <w:rsid w:val="00A30384"/>
    <w:rsid w:val="00A3097E"/>
    <w:rsid w:val="00A3097F"/>
    <w:rsid w:val="00A30B1B"/>
    <w:rsid w:val="00A30B1E"/>
    <w:rsid w:val="00A31043"/>
    <w:rsid w:val="00A31819"/>
    <w:rsid w:val="00A32357"/>
    <w:rsid w:val="00A335DD"/>
    <w:rsid w:val="00A33AF8"/>
    <w:rsid w:val="00A33DDB"/>
    <w:rsid w:val="00A34A1E"/>
    <w:rsid w:val="00A34C3C"/>
    <w:rsid w:val="00A353D8"/>
    <w:rsid w:val="00A35B7F"/>
    <w:rsid w:val="00A35CA2"/>
    <w:rsid w:val="00A35F67"/>
    <w:rsid w:val="00A367A2"/>
    <w:rsid w:val="00A36B50"/>
    <w:rsid w:val="00A37BD4"/>
    <w:rsid w:val="00A37E9F"/>
    <w:rsid w:val="00A4005A"/>
    <w:rsid w:val="00A401C7"/>
    <w:rsid w:val="00A4198E"/>
    <w:rsid w:val="00A41BA5"/>
    <w:rsid w:val="00A41EBD"/>
    <w:rsid w:val="00A4267C"/>
    <w:rsid w:val="00A42964"/>
    <w:rsid w:val="00A42BA5"/>
    <w:rsid w:val="00A42D58"/>
    <w:rsid w:val="00A42F49"/>
    <w:rsid w:val="00A43194"/>
    <w:rsid w:val="00A43295"/>
    <w:rsid w:val="00A43391"/>
    <w:rsid w:val="00A43C86"/>
    <w:rsid w:val="00A43D92"/>
    <w:rsid w:val="00A43EF8"/>
    <w:rsid w:val="00A44068"/>
    <w:rsid w:val="00A440DA"/>
    <w:rsid w:val="00A4441B"/>
    <w:rsid w:val="00A444AF"/>
    <w:rsid w:val="00A446A2"/>
    <w:rsid w:val="00A4524C"/>
    <w:rsid w:val="00A45A28"/>
    <w:rsid w:val="00A45B15"/>
    <w:rsid w:val="00A45F32"/>
    <w:rsid w:val="00A4625E"/>
    <w:rsid w:val="00A467BD"/>
    <w:rsid w:val="00A46A8F"/>
    <w:rsid w:val="00A46DEE"/>
    <w:rsid w:val="00A50270"/>
    <w:rsid w:val="00A504F4"/>
    <w:rsid w:val="00A5050B"/>
    <w:rsid w:val="00A50EE5"/>
    <w:rsid w:val="00A50F14"/>
    <w:rsid w:val="00A5119F"/>
    <w:rsid w:val="00A51244"/>
    <w:rsid w:val="00A516EE"/>
    <w:rsid w:val="00A51F67"/>
    <w:rsid w:val="00A52209"/>
    <w:rsid w:val="00A52685"/>
    <w:rsid w:val="00A52BBE"/>
    <w:rsid w:val="00A52CD5"/>
    <w:rsid w:val="00A52EC2"/>
    <w:rsid w:val="00A52F3C"/>
    <w:rsid w:val="00A53483"/>
    <w:rsid w:val="00A54030"/>
    <w:rsid w:val="00A54CB2"/>
    <w:rsid w:val="00A54EE1"/>
    <w:rsid w:val="00A55233"/>
    <w:rsid w:val="00A554AF"/>
    <w:rsid w:val="00A55AF1"/>
    <w:rsid w:val="00A55F9D"/>
    <w:rsid w:val="00A56129"/>
    <w:rsid w:val="00A56161"/>
    <w:rsid w:val="00A57A5F"/>
    <w:rsid w:val="00A57AF7"/>
    <w:rsid w:val="00A57EF2"/>
    <w:rsid w:val="00A60297"/>
    <w:rsid w:val="00A6075F"/>
    <w:rsid w:val="00A60862"/>
    <w:rsid w:val="00A60949"/>
    <w:rsid w:val="00A60FA5"/>
    <w:rsid w:val="00A6168F"/>
    <w:rsid w:val="00A6195D"/>
    <w:rsid w:val="00A61C8F"/>
    <w:rsid w:val="00A61DD6"/>
    <w:rsid w:val="00A61E3A"/>
    <w:rsid w:val="00A61EED"/>
    <w:rsid w:val="00A62688"/>
    <w:rsid w:val="00A62AD4"/>
    <w:rsid w:val="00A62DDC"/>
    <w:rsid w:val="00A6346B"/>
    <w:rsid w:val="00A63A51"/>
    <w:rsid w:val="00A63DCB"/>
    <w:rsid w:val="00A63F4E"/>
    <w:rsid w:val="00A63FCD"/>
    <w:rsid w:val="00A64007"/>
    <w:rsid w:val="00A64160"/>
    <w:rsid w:val="00A6520C"/>
    <w:rsid w:val="00A6549A"/>
    <w:rsid w:val="00A65ACE"/>
    <w:rsid w:val="00A65CB1"/>
    <w:rsid w:val="00A6643F"/>
    <w:rsid w:val="00A6649E"/>
    <w:rsid w:val="00A6790D"/>
    <w:rsid w:val="00A67F70"/>
    <w:rsid w:val="00A70155"/>
    <w:rsid w:val="00A702AB"/>
    <w:rsid w:val="00A70D1E"/>
    <w:rsid w:val="00A70F09"/>
    <w:rsid w:val="00A70FE2"/>
    <w:rsid w:val="00A7111A"/>
    <w:rsid w:val="00A71151"/>
    <w:rsid w:val="00A7122A"/>
    <w:rsid w:val="00A719BB"/>
    <w:rsid w:val="00A719FF"/>
    <w:rsid w:val="00A71CAD"/>
    <w:rsid w:val="00A71E0A"/>
    <w:rsid w:val="00A71F28"/>
    <w:rsid w:val="00A721A9"/>
    <w:rsid w:val="00A722C1"/>
    <w:rsid w:val="00A724F8"/>
    <w:rsid w:val="00A7264B"/>
    <w:rsid w:val="00A72E1E"/>
    <w:rsid w:val="00A73219"/>
    <w:rsid w:val="00A73262"/>
    <w:rsid w:val="00A74176"/>
    <w:rsid w:val="00A7422F"/>
    <w:rsid w:val="00A7426E"/>
    <w:rsid w:val="00A7429E"/>
    <w:rsid w:val="00A74AC1"/>
    <w:rsid w:val="00A74B1A"/>
    <w:rsid w:val="00A75DCE"/>
    <w:rsid w:val="00A76A35"/>
    <w:rsid w:val="00A76FD8"/>
    <w:rsid w:val="00A771AE"/>
    <w:rsid w:val="00A77465"/>
    <w:rsid w:val="00A77905"/>
    <w:rsid w:val="00A801CD"/>
    <w:rsid w:val="00A80246"/>
    <w:rsid w:val="00A805F6"/>
    <w:rsid w:val="00A808A2"/>
    <w:rsid w:val="00A80C40"/>
    <w:rsid w:val="00A80C54"/>
    <w:rsid w:val="00A81024"/>
    <w:rsid w:val="00A81401"/>
    <w:rsid w:val="00A81B74"/>
    <w:rsid w:val="00A81BBD"/>
    <w:rsid w:val="00A81E09"/>
    <w:rsid w:val="00A82996"/>
    <w:rsid w:val="00A82C18"/>
    <w:rsid w:val="00A82E52"/>
    <w:rsid w:val="00A82EF9"/>
    <w:rsid w:val="00A83131"/>
    <w:rsid w:val="00A83591"/>
    <w:rsid w:val="00A83908"/>
    <w:rsid w:val="00A83F13"/>
    <w:rsid w:val="00A84017"/>
    <w:rsid w:val="00A8468D"/>
    <w:rsid w:val="00A848F1"/>
    <w:rsid w:val="00A84B63"/>
    <w:rsid w:val="00A84DED"/>
    <w:rsid w:val="00A85036"/>
    <w:rsid w:val="00A855B9"/>
    <w:rsid w:val="00A858C1"/>
    <w:rsid w:val="00A85CD8"/>
    <w:rsid w:val="00A85CDE"/>
    <w:rsid w:val="00A8678C"/>
    <w:rsid w:val="00A86C82"/>
    <w:rsid w:val="00A86F01"/>
    <w:rsid w:val="00A8762F"/>
    <w:rsid w:val="00A8770C"/>
    <w:rsid w:val="00A87829"/>
    <w:rsid w:val="00A8787B"/>
    <w:rsid w:val="00A87CCD"/>
    <w:rsid w:val="00A87F1F"/>
    <w:rsid w:val="00A9061F"/>
    <w:rsid w:val="00A90A88"/>
    <w:rsid w:val="00A90B72"/>
    <w:rsid w:val="00A91950"/>
    <w:rsid w:val="00A91FEC"/>
    <w:rsid w:val="00A920F3"/>
    <w:rsid w:val="00A9256E"/>
    <w:rsid w:val="00A92910"/>
    <w:rsid w:val="00A92EB8"/>
    <w:rsid w:val="00A930E0"/>
    <w:rsid w:val="00A932FB"/>
    <w:rsid w:val="00A938BA"/>
    <w:rsid w:val="00A938E9"/>
    <w:rsid w:val="00A93C13"/>
    <w:rsid w:val="00A93E4C"/>
    <w:rsid w:val="00A941AB"/>
    <w:rsid w:val="00A9437F"/>
    <w:rsid w:val="00A94462"/>
    <w:rsid w:val="00A94765"/>
    <w:rsid w:val="00A947F0"/>
    <w:rsid w:val="00A94F0A"/>
    <w:rsid w:val="00A95264"/>
    <w:rsid w:val="00A95698"/>
    <w:rsid w:val="00A95801"/>
    <w:rsid w:val="00A9588A"/>
    <w:rsid w:val="00A960AD"/>
    <w:rsid w:val="00A9653D"/>
    <w:rsid w:val="00A9662E"/>
    <w:rsid w:val="00A96762"/>
    <w:rsid w:val="00A97886"/>
    <w:rsid w:val="00A97BDC"/>
    <w:rsid w:val="00A97C63"/>
    <w:rsid w:val="00AA05E8"/>
    <w:rsid w:val="00AA0C7B"/>
    <w:rsid w:val="00AA0F59"/>
    <w:rsid w:val="00AA1029"/>
    <w:rsid w:val="00AA1A5A"/>
    <w:rsid w:val="00AA245E"/>
    <w:rsid w:val="00AA2654"/>
    <w:rsid w:val="00AA2816"/>
    <w:rsid w:val="00AA305C"/>
    <w:rsid w:val="00AA3255"/>
    <w:rsid w:val="00AA3617"/>
    <w:rsid w:val="00AA381E"/>
    <w:rsid w:val="00AA3AA1"/>
    <w:rsid w:val="00AA3D42"/>
    <w:rsid w:val="00AA3E85"/>
    <w:rsid w:val="00AA477C"/>
    <w:rsid w:val="00AA4BC1"/>
    <w:rsid w:val="00AA5C3B"/>
    <w:rsid w:val="00AA6161"/>
    <w:rsid w:val="00AA637F"/>
    <w:rsid w:val="00AA6787"/>
    <w:rsid w:val="00AA6C0C"/>
    <w:rsid w:val="00AA70C9"/>
    <w:rsid w:val="00AA7440"/>
    <w:rsid w:val="00AA7B04"/>
    <w:rsid w:val="00AA7D04"/>
    <w:rsid w:val="00AA7F7B"/>
    <w:rsid w:val="00AB0453"/>
    <w:rsid w:val="00AB0B22"/>
    <w:rsid w:val="00AB0D85"/>
    <w:rsid w:val="00AB0F50"/>
    <w:rsid w:val="00AB1214"/>
    <w:rsid w:val="00AB127F"/>
    <w:rsid w:val="00AB12B7"/>
    <w:rsid w:val="00AB18B8"/>
    <w:rsid w:val="00AB19B9"/>
    <w:rsid w:val="00AB2479"/>
    <w:rsid w:val="00AB2A6F"/>
    <w:rsid w:val="00AB39F3"/>
    <w:rsid w:val="00AB406F"/>
    <w:rsid w:val="00AB4B6D"/>
    <w:rsid w:val="00AB4B73"/>
    <w:rsid w:val="00AB594C"/>
    <w:rsid w:val="00AB6053"/>
    <w:rsid w:val="00AB618C"/>
    <w:rsid w:val="00AB64B3"/>
    <w:rsid w:val="00AB6641"/>
    <w:rsid w:val="00AB67F5"/>
    <w:rsid w:val="00AB6EBF"/>
    <w:rsid w:val="00AB6F09"/>
    <w:rsid w:val="00AB700E"/>
    <w:rsid w:val="00AB768E"/>
    <w:rsid w:val="00AB76BD"/>
    <w:rsid w:val="00AB7922"/>
    <w:rsid w:val="00AB7CF1"/>
    <w:rsid w:val="00AC001D"/>
    <w:rsid w:val="00AC0861"/>
    <w:rsid w:val="00AC08B5"/>
    <w:rsid w:val="00AC0A61"/>
    <w:rsid w:val="00AC1358"/>
    <w:rsid w:val="00AC1647"/>
    <w:rsid w:val="00AC1A68"/>
    <w:rsid w:val="00AC1D45"/>
    <w:rsid w:val="00AC1E76"/>
    <w:rsid w:val="00AC25EB"/>
    <w:rsid w:val="00AC27C1"/>
    <w:rsid w:val="00AC2955"/>
    <w:rsid w:val="00AC2989"/>
    <w:rsid w:val="00AC2FBF"/>
    <w:rsid w:val="00AC3043"/>
    <w:rsid w:val="00AC3056"/>
    <w:rsid w:val="00AC33BB"/>
    <w:rsid w:val="00AC3AD8"/>
    <w:rsid w:val="00AC411E"/>
    <w:rsid w:val="00AC46B5"/>
    <w:rsid w:val="00AC490C"/>
    <w:rsid w:val="00AC49D7"/>
    <w:rsid w:val="00AC4CCB"/>
    <w:rsid w:val="00AC50FC"/>
    <w:rsid w:val="00AC55C7"/>
    <w:rsid w:val="00AC62CC"/>
    <w:rsid w:val="00AC66F3"/>
    <w:rsid w:val="00AC6A89"/>
    <w:rsid w:val="00AC6D70"/>
    <w:rsid w:val="00AC6EF1"/>
    <w:rsid w:val="00AC6EF2"/>
    <w:rsid w:val="00AC6F8A"/>
    <w:rsid w:val="00AC6FE3"/>
    <w:rsid w:val="00AC706B"/>
    <w:rsid w:val="00AC77E3"/>
    <w:rsid w:val="00AD008D"/>
    <w:rsid w:val="00AD064F"/>
    <w:rsid w:val="00AD09A2"/>
    <w:rsid w:val="00AD0ACE"/>
    <w:rsid w:val="00AD1602"/>
    <w:rsid w:val="00AD1A65"/>
    <w:rsid w:val="00AD21FF"/>
    <w:rsid w:val="00AD2789"/>
    <w:rsid w:val="00AD2962"/>
    <w:rsid w:val="00AD2F0D"/>
    <w:rsid w:val="00AD2F44"/>
    <w:rsid w:val="00AD371B"/>
    <w:rsid w:val="00AD3F2D"/>
    <w:rsid w:val="00AD43EC"/>
    <w:rsid w:val="00AD4536"/>
    <w:rsid w:val="00AD47DF"/>
    <w:rsid w:val="00AD4989"/>
    <w:rsid w:val="00AD4FC7"/>
    <w:rsid w:val="00AD5072"/>
    <w:rsid w:val="00AD52BD"/>
    <w:rsid w:val="00AD62A0"/>
    <w:rsid w:val="00AD64EB"/>
    <w:rsid w:val="00AD6B6A"/>
    <w:rsid w:val="00AD6DAE"/>
    <w:rsid w:val="00AD7240"/>
    <w:rsid w:val="00AD7581"/>
    <w:rsid w:val="00AD76EA"/>
    <w:rsid w:val="00AD787F"/>
    <w:rsid w:val="00AE0236"/>
    <w:rsid w:val="00AE04E9"/>
    <w:rsid w:val="00AE066B"/>
    <w:rsid w:val="00AE07D5"/>
    <w:rsid w:val="00AE0C0F"/>
    <w:rsid w:val="00AE15E0"/>
    <w:rsid w:val="00AE1CFA"/>
    <w:rsid w:val="00AE1DC0"/>
    <w:rsid w:val="00AE2625"/>
    <w:rsid w:val="00AE2966"/>
    <w:rsid w:val="00AE2990"/>
    <w:rsid w:val="00AE2B1C"/>
    <w:rsid w:val="00AE2D1F"/>
    <w:rsid w:val="00AE2D23"/>
    <w:rsid w:val="00AE2EF8"/>
    <w:rsid w:val="00AE3075"/>
    <w:rsid w:val="00AE3150"/>
    <w:rsid w:val="00AE31FE"/>
    <w:rsid w:val="00AE377C"/>
    <w:rsid w:val="00AE3988"/>
    <w:rsid w:val="00AE3A64"/>
    <w:rsid w:val="00AE3DF7"/>
    <w:rsid w:val="00AE3E22"/>
    <w:rsid w:val="00AE4041"/>
    <w:rsid w:val="00AE4555"/>
    <w:rsid w:val="00AE52AF"/>
    <w:rsid w:val="00AE5451"/>
    <w:rsid w:val="00AE581B"/>
    <w:rsid w:val="00AE5966"/>
    <w:rsid w:val="00AE5B04"/>
    <w:rsid w:val="00AE6366"/>
    <w:rsid w:val="00AE652C"/>
    <w:rsid w:val="00AE66AC"/>
    <w:rsid w:val="00AE671C"/>
    <w:rsid w:val="00AE76AB"/>
    <w:rsid w:val="00AE79CF"/>
    <w:rsid w:val="00AE7F5C"/>
    <w:rsid w:val="00AF09CA"/>
    <w:rsid w:val="00AF1318"/>
    <w:rsid w:val="00AF1490"/>
    <w:rsid w:val="00AF15C6"/>
    <w:rsid w:val="00AF15DA"/>
    <w:rsid w:val="00AF17E6"/>
    <w:rsid w:val="00AF18C2"/>
    <w:rsid w:val="00AF1D2E"/>
    <w:rsid w:val="00AF1DFA"/>
    <w:rsid w:val="00AF1FD1"/>
    <w:rsid w:val="00AF2774"/>
    <w:rsid w:val="00AF2DA0"/>
    <w:rsid w:val="00AF33E9"/>
    <w:rsid w:val="00AF4054"/>
    <w:rsid w:val="00AF43B3"/>
    <w:rsid w:val="00AF47E2"/>
    <w:rsid w:val="00AF49E9"/>
    <w:rsid w:val="00AF4A4E"/>
    <w:rsid w:val="00AF50CE"/>
    <w:rsid w:val="00AF5A10"/>
    <w:rsid w:val="00AF60CA"/>
    <w:rsid w:val="00AF6286"/>
    <w:rsid w:val="00AF66C7"/>
    <w:rsid w:val="00AF71BE"/>
    <w:rsid w:val="00AF7492"/>
    <w:rsid w:val="00AF749D"/>
    <w:rsid w:val="00AF7CC4"/>
    <w:rsid w:val="00B0001B"/>
    <w:rsid w:val="00B0048A"/>
    <w:rsid w:val="00B00CA0"/>
    <w:rsid w:val="00B00DD1"/>
    <w:rsid w:val="00B0127C"/>
    <w:rsid w:val="00B014D5"/>
    <w:rsid w:val="00B02032"/>
    <w:rsid w:val="00B02090"/>
    <w:rsid w:val="00B021EA"/>
    <w:rsid w:val="00B02577"/>
    <w:rsid w:val="00B027B9"/>
    <w:rsid w:val="00B02838"/>
    <w:rsid w:val="00B0289A"/>
    <w:rsid w:val="00B02B26"/>
    <w:rsid w:val="00B02C63"/>
    <w:rsid w:val="00B02D80"/>
    <w:rsid w:val="00B031A6"/>
    <w:rsid w:val="00B03842"/>
    <w:rsid w:val="00B03BCC"/>
    <w:rsid w:val="00B04352"/>
    <w:rsid w:val="00B04474"/>
    <w:rsid w:val="00B0588C"/>
    <w:rsid w:val="00B059A5"/>
    <w:rsid w:val="00B05CBE"/>
    <w:rsid w:val="00B06312"/>
    <w:rsid w:val="00B06814"/>
    <w:rsid w:val="00B06C7A"/>
    <w:rsid w:val="00B07271"/>
    <w:rsid w:val="00B07384"/>
    <w:rsid w:val="00B07C9A"/>
    <w:rsid w:val="00B07DB3"/>
    <w:rsid w:val="00B1005B"/>
    <w:rsid w:val="00B1043E"/>
    <w:rsid w:val="00B1154A"/>
    <w:rsid w:val="00B12193"/>
    <w:rsid w:val="00B12244"/>
    <w:rsid w:val="00B122E7"/>
    <w:rsid w:val="00B12853"/>
    <w:rsid w:val="00B12A4E"/>
    <w:rsid w:val="00B13303"/>
    <w:rsid w:val="00B13F8B"/>
    <w:rsid w:val="00B140C8"/>
    <w:rsid w:val="00B1410B"/>
    <w:rsid w:val="00B143D5"/>
    <w:rsid w:val="00B1479E"/>
    <w:rsid w:val="00B1492A"/>
    <w:rsid w:val="00B15174"/>
    <w:rsid w:val="00B155DE"/>
    <w:rsid w:val="00B16288"/>
    <w:rsid w:val="00B1646E"/>
    <w:rsid w:val="00B16741"/>
    <w:rsid w:val="00B16799"/>
    <w:rsid w:val="00B170A5"/>
    <w:rsid w:val="00B17977"/>
    <w:rsid w:val="00B201F8"/>
    <w:rsid w:val="00B205E2"/>
    <w:rsid w:val="00B207A8"/>
    <w:rsid w:val="00B20AD6"/>
    <w:rsid w:val="00B20B82"/>
    <w:rsid w:val="00B21110"/>
    <w:rsid w:val="00B21149"/>
    <w:rsid w:val="00B21190"/>
    <w:rsid w:val="00B2122F"/>
    <w:rsid w:val="00B21E8D"/>
    <w:rsid w:val="00B22165"/>
    <w:rsid w:val="00B22328"/>
    <w:rsid w:val="00B22764"/>
    <w:rsid w:val="00B22849"/>
    <w:rsid w:val="00B233BA"/>
    <w:rsid w:val="00B2369E"/>
    <w:rsid w:val="00B23A06"/>
    <w:rsid w:val="00B23A11"/>
    <w:rsid w:val="00B23C80"/>
    <w:rsid w:val="00B24051"/>
    <w:rsid w:val="00B24265"/>
    <w:rsid w:val="00B2431E"/>
    <w:rsid w:val="00B24358"/>
    <w:rsid w:val="00B2445D"/>
    <w:rsid w:val="00B24561"/>
    <w:rsid w:val="00B24BE0"/>
    <w:rsid w:val="00B24F00"/>
    <w:rsid w:val="00B252C3"/>
    <w:rsid w:val="00B252DB"/>
    <w:rsid w:val="00B25357"/>
    <w:rsid w:val="00B255C5"/>
    <w:rsid w:val="00B25767"/>
    <w:rsid w:val="00B26588"/>
    <w:rsid w:val="00B267A1"/>
    <w:rsid w:val="00B27207"/>
    <w:rsid w:val="00B274F5"/>
    <w:rsid w:val="00B27532"/>
    <w:rsid w:val="00B3111F"/>
    <w:rsid w:val="00B312A8"/>
    <w:rsid w:val="00B312F7"/>
    <w:rsid w:val="00B322EF"/>
    <w:rsid w:val="00B32413"/>
    <w:rsid w:val="00B325F8"/>
    <w:rsid w:val="00B330E6"/>
    <w:rsid w:val="00B33F4C"/>
    <w:rsid w:val="00B340BF"/>
    <w:rsid w:val="00B344BF"/>
    <w:rsid w:val="00B3486E"/>
    <w:rsid w:val="00B34871"/>
    <w:rsid w:val="00B34FF1"/>
    <w:rsid w:val="00B35046"/>
    <w:rsid w:val="00B359B3"/>
    <w:rsid w:val="00B35F14"/>
    <w:rsid w:val="00B35F73"/>
    <w:rsid w:val="00B362D8"/>
    <w:rsid w:val="00B36408"/>
    <w:rsid w:val="00B36649"/>
    <w:rsid w:val="00B36F10"/>
    <w:rsid w:val="00B372F0"/>
    <w:rsid w:val="00B37B84"/>
    <w:rsid w:val="00B37C5C"/>
    <w:rsid w:val="00B400E8"/>
    <w:rsid w:val="00B40192"/>
    <w:rsid w:val="00B4025F"/>
    <w:rsid w:val="00B40B3E"/>
    <w:rsid w:val="00B40F4F"/>
    <w:rsid w:val="00B41BE9"/>
    <w:rsid w:val="00B428F7"/>
    <w:rsid w:val="00B4332E"/>
    <w:rsid w:val="00B44130"/>
    <w:rsid w:val="00B44299"/>
    <w:rsid w:val="00B446FF"/>
    <w:rsid w:val="00B44E68"/>
    <w:rsid w:val="00B450CE"/>
    <w:rsid w:val="00B464A5"/>
    <w:rsid w:val="00B4695A"/>
    <w:rsid w:val="00B472E1"/>
    <w:rsid w:val="00B47390"/>
    <w:rsid w:val="00B474FA"/>
    <w:rsid w:val="00B47712"/>
    <w:rsid w:val="00B477D9"/>
    <w:rsid w:val="00B50092"/>
    <w:rsid w:val="00B50250"/>
    <w:rsid w:val="00B502EA"/>
    <w:rsid w:val="00B50496"/>
    <w:rsid w:val="00B50F02"/>
    <w:rsid w:val="00B5108D"/>
    <w:rsid w:val="00B5165C"/>
    <w:rsid w:val="00B517F0"/>
    <w:rsid w:val="00B521F1"/>
    <w:rsid w:val="00B5245A"/>
    <w:rsid w:val="00B52A70"/>
    <w:rsid w:val="00B52B0B"/>
    <w:rsid w:val="00B52F27"/>
    <w:rsid w:val="00B530FA"/>
    <w:rsid w:val="00B53213"/>
    <w:rsid w:val="00B5336B"/>
    <w:rsid w:val="00B53814"/>
    <w:rsid w:val="00B53F7D"/>
    <w:rsid w:val="00B54284"/>
    <w:rsid w:val="00B543B4"/>
    <w:rsid w:val="00B545E0"/>
    <w:rsid w:val="00B552E4"/>
    <w:rsid w:val="00B557A8"/>
    <w:rsid w:val="00B55C88"/>
    <w:rsid w:val="00B561C9"/>
    <w:rsid w:val="00B56678"/>
    <w:rsid w:val="00B56A8C"/>
    <w:rsid w:val="00B56BB8"/>
    <w:rsid w:val="00B573D3"/>
    <w:rsid w:val="00B573D5"/>
    <w:rsid w:val="00B574CA"/>
    <w:rsid w:val="00B60067"/>
    <w:rsid w:val="00B6022D"/>
    <w:rsid w:val="00B60759"/>
    <w:rsid w:val="00B61294"/>
    <w:rsid w:val="00B614FE"/>
    <w:rsid w:val="00B61996"/>
    <w:rsid w:val="00B61AC7"/>
    <w:rsid w:val="00B61BDD"/>
    <w:rsid w:val="00B61EF2"/>
    <w:rsid w:val="00B6208E"/>
    <w:rsid w:val="00B62409"/>
    <w:rsid w:val="00B62414"/>
    <w:rsid w:val="00B639C6"/>
    <w:rsid w:val="00B63F1A"/>
    <w:rsid w:val="00B64929"/>
    <w:rsid w:val="00B64942"/>
    <w:rsid w:val="00B64986"/>
    <w:rsid w:val="00B65070"/>
    <w:rsid w:val="00B65268"/>
    <w:rsid w:val="00B6588F"/>
    <w:rsid w:val="00B65CF9"/>
    <w:rsid w:val="00B65D3A"/>
    <w:rsid w:val="00B65F62"/>
    <w:rsid w:val="00B660DF"/>
    <w:rsid w:val="00B66243"/>
    <w:rsid w:val="00B67BF6"/>
    <w:rsid w:val="00B702C1"/>
    <w:rsid w:val="00B70576"/>
    <w:rsid w:val="00B7057B"/>
    <w:rsid w:val="00B70D16"/>
    <w:rsid w:val="00B70EBD"/>
    <w:rsid w:val="00B710CC"/>
    <w:rsid w:val="00B71AA1"/>
    <w:rsid w:val="00B71FAA"/>
    <w:rsid w:val="00B72223"/>
    <w:rsid w:val="00B727B8"/>
    <w:rsid w:val="00B72990"/>
    <w:rsid w:val="00B72B52"/>
    <w:rsid w:val="00B72F00"/>
    <w:rsid w:val="00B7309F"/>
    <w:rsid w:val="00B736F7"/>
    <w:rsid w:val="00B7393A"/>
    <w:rsid w:val="00B73E37"/>
    <w:rsid w:val="00B73E4C"/>
    <w:rsid w:val="00B74065"/>
    <w:rsid w:val="00B744FF"/>
    <w:rsid w:val="00B74725"/>
    <w:rsid w:val="00B7527F"/>
    <w:rsid w:val="00B75663"/>
    <w:rsid w:val="00B75872"/>
    <w:rsid w:val="00B75F22"/>
    <w:rsid w:val="00B763E0"/>
    <w:rsid w:val="00B7666D"/>
    <w:rsid w:val="00B76D3B"/>
    <w:rsid w:val="00B771A6"/>
    <w:rsid w:val="00B7734B"/>
    <w:rsid w:val="00B77640"/>
    <w:rsid w:val="00B77D03"/>
    <w:rsid w:val="00B77D2A"/>
    <w:rsid w:val="00B77F8F"/>
    <w:rsid w:val="00B80114"/>
    <w:rsid w:val="00B804A2"/>
    <w:rsid w:val="00B804BE"/>
    <w:rsid w:val="00B8125B"/>
    <w:rsid w:val="00B812B0"/>
    <w:rsid w:val="00B81371"/>
    <w:rsid w:val="00B8187E"/>
    <w:rsid w:val="00B81E2E"/>
    <w:rsid w:val="00B823D1"/>
    <w:rsid w:val="00B83CC5"/>
    <w:rsid w:val="00B84E97"/>
    <w:rsid w:val="00B8533C"/>
    <w:rsid w:val="00B86CDA"/>
    <w:rsid w:val="00B86D30"/>
    <w:rsid w:val="00B875C2"/>
    <w:rsid w:val="00B879BC"/>
    <w:rsid w:val="00B87BF7"/>
    <w:rsid w:val="00B87EEC"/>
    <w:rsid w:val="00B90286"/>
    <w:rsid w:val="00B903E6"/>
    <w:rsid w:val="00B90795"/>
    <w:rsid w:val="00B90A9F"/>
    <w:rsid w:val="00B90D98"/>
    <w:rsid w:val="00B91BD7"/>
    <w:rsid w:val="00B91C90"/>
    <w:rsid w:val="00B91CFB"/>
    <w:rsid w:val="00B91E83"/>
    <w:rsid w:val="00B92704"/>
    <w:rsid w:val="00B92722"/>
    <w:rsid w:val="00B929A3"/>
    <w:rsid w:val="00B93300"/>
    <w:rsid w:val="00B93774"/>
    <w:rsid w:val="00B93AF8"/>
    <w:rsid w:val="00B93C0B"/>
    <w:rsid w:val="00B93D68"/>
    <w:rsid w:val="00B93DB2"/>
    <w:rsid w:val="00B944BB"/>
    <w:rsid w:val="00B949DB"/>
    <w:rsid w:val="00B94AE7"/>
    <w:rsid w:val="00B94C19"/>
    <w:rsid w:val="00B95425"/>
    <w:rsid w:val="00B95F66"/>
    <w:rsid w:val="00B95FD5"/>
    <w:rsid w:val="00B96268"/>
    <w:rsid w:val="00B96479"/>
    <w:rsid w:val="00B96592"/>
    <w:rsid w:val="00B96674"/>
    <w:rsid w:val="00B96747"/>
    <w:rsid w:val="00B96F36"/>
    <w:rsid w:val="00B9701F"/>
    <w:rsid w:val="00B9715A"/>
    <w:rsid w:val="00B97225"/>
    <w:rsid w:val="00B9758E"/>
    <w:rsid w:val="00B97841"/>
    <w:rsid w:val="00B97CC0"/>
    <w:rsid w:val="00BA0100"/>
    <w:rsid w:val="00BA046B"/>
    <w:rsid w:val="00BA0703"/>
    <w:rsid w:val="00BA0749"/>
    <w:rsid w:val="00BA07B2"/>
    <w:rsid w:val="00BA0835"/>
    <w:rsid w:val="00BA0AA0"/>
    <w:rsid w:val="00BA1149"/>
    <w:rsid w:val="00BA1333"/>
    <w:rsid w:val="00BA1DAD"/>
    <w:rsid w:val="00BA1F0A"/>
    <w:rsid w:val="00BA29A9"/>
    <w:rsid w:val="00BA2D3B"/>
    <w:rsid w:val="00BA2D5B"/>
    <w:rsid w:val="00BA2DE8"/>
    <w:rsid w:val="00BA31B0"/>
    <w:rsid w:val="00BA34B9"/>
    <w:rsid w:val="00BA354C"/>
    <w:rsid w:val="00BA3F0A"/>
    <w:rsid w:val="00BA4339"/>
    <w:rsid w:val="00BA5025"/>
    <w:rsid w:val="00BA54C2"/>
    <w:rsid w:val="00BA5621"/>
    <w:rsid w:val="00BA5863"/>
    <w:rsid w:val="00BA58EB"/>
    <w:rsid w:val="00BA5CC9"/>
    <w:rsid w:val="00BA60D7"/>
    <w:rsid w:val="00BA6455"/>
    <w:rsid w:val="00BA6789"/>
    <w:rsid w:val="00BA6B2F"/>
    <w:rsid w:val="00BA72BD"/>
    <w:rsid w:val="00BA764E"/>
    <w:rsid w:val="00BA7C22"/>
    <w:rsid w:val="00BA7DFE"/>
    <w:rsid w:val="00BB0401"/>
    <w:rsid w:val="00BB0492"/>
    <w:rsid w:val="00BB0F47"/>
    <w:rsid w:val="00BB14D6"/>
    <w:rsid w:val="00BB155C"/>
    <w:rsid w:val="00BB18B2"/>
    <w:rsid w:val="00BB1B3F"/>
    <w:rsid w:val="00BB1DF4"/>
    <w:rsid w:val="00BB26F0"/>
    <w:rsid w:val="00BB2D32"/>
    <w:rsid w:val="00BB2F6C"/>
    <w:rsid w:val="00BB300A"/>
    <w:rsid w:val="00BB32D3"/>
    <w:rsid w:val="00BB33FE"/>
    <w:rsid w:val="00BB3B46"/>
    <w:rsid w:val="00BB3CE1"/>
    <w:rsid w:val="00BB4054"/>
    <w:rsid w:val="00BB4065"/>
    <w:rsid w:val="00BB55D8"/>
    <w:rsid w:val="00BB5844"/>
    <w:rsid w:val="00BB5988"/>
    <w:rsid w:val="00BB6A98"/>
    <w:rsid w:val="00BB6C26"/>
    <w:rsid w:val="00BB6EB0"/>
    <w:rsid w:val="00BB70F1"/>
    <w:rsid w:val="00BB757E"/>
    <w:rsid w:val="00BB7880"/>
    <w:rsid w:val="00BC0085"/>
    <w:rsid w:val="00BC023F"/>
    <w:rsid w:val="00BC09D1"/>
    <w:rsid w:val="00BC0A02"/>
    <w:rsid w:val="00BC1417"/>
    <w:rsid w:val="00BC14E8"/>
    <w:rsid w:val="00BC1684"/>
    <w:rsid w:val="00BC1F4B"/>
    <w:rsid w:val="00BC2C4B"/>
    <w:rsid w:val="00BC2E4A"/>
    <w:rsid w:val="00BC36BE"/>
    <w:rsid w:val="00BC3F1E"/>
    <w:rsid w:val="00BC3FB2"/>
    <w:rsid w:val="00BC519C"/>
    <w:rsid w:val="00BC51E5"/>
    <w:rsid w:val="00BC5317"/>
    <w:rsid w:val="00BC58C9"/>
    <w:rsid w:val="00BC63BB"/>
    <w:rsid w:val="00BC6870"/>
    <w:rsid w:val="00BC6949"/>
    <w:rsid w:val="00BC6A3D"/>
    <w:rsid w:val="00BC7214"/>
    <w:rsid w:val="00BC723E"/>
    <w:rsid w:val="00BC7325"/>
    <w:rsid w:val="00BC774C"/>
    <w:rsid w:val="00BC7B9B"/>
    <w:rsid w:val="00BC7FD6"/>
    <w:rsid w:val="00BD0751"/>
    <w:rsid w:val="00BD0825"/>
    <w:rsid w:val="00BD0F90"/>
    <w:rsid w:val="00BD10B4"/>
    <w:rsid w:val="00BD126C"/>
    <w:rsid w:val="00BD148C"/>
    <w:rsid w:val="00BD163D"/>
    <w:rsid w:val="00BD1676"/>
    <w:rsid w:val="00BD1680"/>
    <w:rsid w:val="00BD1C64"/>
    <w:rsid w:val="00BD1EF5"/>
    <w:rsid w:val="00BD34C6"/>
    <w:rsid w:val="00BD38FF"/>
    <w:rsid w:val="00BD3ED8"/>
    <w:rsid w:val="00BD46D7"/>
    <w:rsid w:val="00BD48F0"/>
    <w:rsid w:val="00BD4C6C"/>
    <w:rsid w:val="00BD4DB5"/>
    <w:rsid w:val="00BD5A83"/>
    <w:rsid w:val="00BD6004"/>
    <w:rsid w:val="00BD60E7"/>
    <w:rsid w:val="00BD64E0"/>
    <w:rsid w:val="00BD6D27"/>
    <w:rsid w:val="00BD70E1"/>
    <w:rsid w:val="00BD78D4"/>
    <w:rsid w:val="00BD7B2D"/>
    <w:rsid w:val="00BD7D42"/>
    <w:rsid w:val="00BE034F"/>
    <w:rsid w:val="00BE0538"/>
    <w:rsid w:val="00BE0CD2"/>
    <w:rsid w:val="00BE1634"/>
    <w:rsid w:val="00BE17EC"/>
    <w:rsid w:val="00BE1CA8"/>
    <w:rsid w:val="00BE278D"/>
    <w:rsid w:val="00BE2CBA"/>
    <w:rsid w:val="00BE2D3E"/>
    <w:rsid w:val="00BE346B"/>
    <w:rsid w:val="00BE374A"/>
    <w:rsid w:val="00BE3AF8"/>
    <w:rsid w:val="00BE3DA6"/>
    <w:rsid w:val="00BE47B1"/>
    <w:rsid w:val="00BE4F0D"/>
    <w:rsid w:val="00BE4F1B"/>
    <w:rsid w:val="00BE51FB"/>
    <w:rsid w:val="00BE5BC9"/>
    <w:rsid w:val="00BE6258"/>
    <w:rsid w:val="00BE63A1"/>
    <w:rsid w:val="00BE63CB"/>
    <w:rsid w:val="00BE6930"/>
    <w:rsid w:val="00BE7072"/>
    <w:rsid w:val="00BE72B0"/>
    <w:rsid w:val="00BE73A5"/>
    <w:rsid w:val="00BE750B"/>
    <w:rsid w:val="00BE7905"/>
    <w:rsid w:val="00BE7E27"/>
    <w:rsid w:val="00BE7FF3"/>
    <w:rsid w:val="00BF01F0"/>
    <w:rsid w:val="00BF03CE"/>
    <w:rsid w:val="00BF04E0"/>
    <w:rsid w:val="00BF08D0"/>
    <w:rsid w:val="00BF14FE"/>
    <w:rsid w:val="00BF1508"/>
    <w:rsid w:val="00BF1BDD"/>
    <w:rsid w:val="00BF1CA5"/>
    <w:rsid w:val="00BF1CC6"/>
    <w:rsid w:val="00BF1D92"/>
    <w:rsid w:val="00BF247F"/>
    <w:rsid w:val="00BF2A51"/>
    <w:rsid w:val="00BF2C23"/>
    <w:rsid w:val="00BF31E6"/>
    <w:rsid w:val="00BF3DC4"/>
    <w:rsid w:val="00BF3DC8"/>
    <w:rsid w:val="00BF4171"/>
    <w:rsid w:val="00BF4307"/>
    <w:rsid w:val="00BF4489"/>
    <w:rsid w:val="00BF44DF"/>
    <w:rsid w:val="00BF53A0"/>
    <w:rsid w:val="00BF53BA"/>
    <w:rsid w:val="00BF5431"/>
    <w:rsid w:val="00BF5771"/>
    <w:rsid w:val="00BF6295"/>
    <w:rsid w:val="00BF70A3"/>
    <w:rsid w:val="00BF746A"/>
    <w:rsid w:val="00BF7A4F"/>
    <w:rsid w:val="00C0000C"/>
    <w:rsid w:val="00C00269"/>
    <w:rsid w:val="00C00B91"/>
    <w:rsid w:val="00C00EA1"/>
    <w:rsid w:val="00C01650"/>
    <w:rsid w:val="00C019B0"/>
    <w:rsid w:val="00C01F29"/>
    <w:rsid w:val="00C023EC"/>
    <w:rsid w:val="00C02502"/>
    <w:rsid w:val="00C02A5E"/>
    <w:rsid w:val="00C03731"/>
    <w:rsid w:val="00C03A51"/>
    <w:rsid w:val="00C041D5"/>
    <w:rsid w:val="00C04335"/>
    <w:rsid w:val="00C0441B"/>
    <w:rsid w:val="00C04DDC"/>
    <w:rsid w:val="00C05291"/>
    <w:rsid w:val="00C05FF8"/>
    <w:rsid w:val="00C06A46"/>
    <w:rsid w:val="00C06FFD"/>
    <w:rsid w:val="00C0776B"/>
    <w:rsid w:val="00C07C4A"/>
    <w:rsid w:val="00C07CEE"/>
    <w:rsid w:val="00C07FF6"/>
    <w:rsid w:val="00C10245"/>
    <w:rsid w:val="00C10DDB"/>
    <w:rsid w:val="00C1145B"/>
    <w:rsid w:val="00C115E7"/>
    <w:rsid w:val="00C117CC"/>
    <w:rsid w:val="00C11A4E"/>
    <w:rsid w:val="00C12555"/>
    <w:rsid w:val="00C12653"/>
    <w:rsid w:val="00C126EB"/>
    <w:rsid w:val="00C12779"/>
    <w:rsid w:val="00C128CC"/>
    <w:rsid w:val="00C12B17"/>
    <w:rsid w:val="00C12F9D"/>
    <w:rsid w:val="00C1334E"/>
    <w:rsid w:val="00C135B4"/>
    <w:rsid w:val="00C13C48"/>
    <w:rsid w:val="00C13ECF"/>
    <w:rsid w:val="00C13FD1"/>
    <w:rsid w:val="00C14A7B"/>
    <w:rsid w:val="00C150DB"/>
    <w:rsid w:val="00C152A9"/>
    <w:rsid w:val="00C160B2"/>
    <w:rsid w:val="00C16E93"/>
    <w:rsid w:val="00C1728B"/>
    <w:rsid w:val="00C17AD4"/>
    <w:rsid w:val="00C17DF2"/>
    <w:rsid w:val="00C17F33"/>
    <w:rsid w:val="00C200FF"/>
    <w:rsid w:val="00C20407"/>
    <w:rsid w:val="00C207F4"/>
    <w:rsid w:val="00C2087B"/>
    <w:rsid w:val="00C20D69"/>
    <w:rsid w:val="00C20F48"/>
    <w:rsid w:val="00C20FB7"/>
    <w:rsid w:val="00C2129D"/>
    <w:rsid w:val="00C213E1"/>
    <w:rsid w:val="00C2196F"/>
    <w:rsid w:val="00C2276C"/>
    <w:rsid w:val="00C23170"/>
    <w:rsid w:val="00C2349E"/>
    <w:rsid w:val="00C24AEF"/>
    <w:rsid w:val="00C24F7B"/>
    <w:rsid w:val="00C25092"/>
    <w:rsid w:val="00C256A4"/>
    <w:rsid w:val="00C25A8B"/>
    <w:rsid w:val="00C25D63"/>
    <w:rsid w:val="00C25FB3"/>
    <w:rsid w:val="00C2625B"/>
    <w:rsid w:val="00C262A3"/>
    <w:rsid w:val="00C2649F"/>
    <w:rsid w:val="00C270A2"/>
    <w:rsid w:val="00C3001C"/>
    <w:rsid w:val="00C30029"/>
    <w:rsid w:val="00C30796"/>
    <w:rsid w:val="00C309B3"/>
    <w:rsid w:val="00C30D62"/>
    <w:rsid w:val="00C30E7C"/>
    <w:rsid w:val="00C30EA3"/>
    <w:rsid w:val="00C316EF"/>
    <w:rsid w:val="00C317F1"/>
    <w:rsid w:val="00C3180E"/>
    <w:rsid w:val="00C31BA8"/>
    <w:rsid w:val="00C32050"/>
    <w:rsid w:val="00C32E3A"/>
    <w:rsid w:val="00C33123"/>
    <w:rsid w:val="00C33933"/>
    <w:rsid w:val="00C347A2"/>
    <w:rsid w:val="00C349C5"/>
    <w:rsid w:val="00C35410"/>
    <w:rsid w:val="00C35970"/>
    <w:rsid w:val="00C35B6B"/>
    <w:rsid w:val="00C35D54"/>
    <w:rsid w:val="00C362BC"/>
    <w:rsid w:val="00C3633C"/>
    <w:rsid w:val="00C36D49"/>
    <w:rsid w:val="00C36F33"/>
    <w:rsid w:val="00C377BA"/>
    <w:rsid w:val="00C40D4C"/>
    <w:rsid w:val="00C4177F"/>
    <w:rsid w:val="00C41F9E"/>
    <w:rsid w:val="00C42093"/>
    <w:rsid w:val="00C426F6"/>
    <w:rsid w:val="00C42A6D"/>
    <w:rsid w:val="00C43277"/>
    <w:rsid w:val="00C43325"/>
    <w:rsid w:val="00C43518"/>
    <w:rsid w:val="00C43CF4"/>
    <w:rsid w:val="00C43D96"/>
    <w:rsid w:val="00C4459B"/>
    <w:rsid w:val="00C4464F"/>
    <w:rsid w:val="00C4505C"/>
    <w:rsid w:val="00C456FF"/>
    <w:rsid w:val="00C46A29"/>
    <w:rsid w:val="00C46A8C"/>
    <w:rsid w:val="00C46BA3"/>
    <w:rsid w:val="00C46CFC"/>
    <w:rsid w:val="00C46F0A"/>
    <w:rsid w:val="00C506CD"/>
    <w:rsid w:val="00C50ACB"/>
    <w:rsid w:val="00C5144A"/>
    <w:rsid w:val="00C51506"/>
    <w:rsid w:val="00C5185D"/>
    <w:rsid w:val="00C51928"/>
    <w:rsid w:val="00C51E42"/>
    <w:rsid w:val="00C51FB5"/>
    <w:rsid w:val="00C52182"/>
    <w:rsid w:val="00C521D0"/>
    <w:rsid w:val="00C52836"/>
    <w:rsid w:val="00C52C14"/>
    <w:rsid w:val="00C52D0C"/>
    <w:rsid w:val="00C52EE5"/>
    <w:rsid w:val="00C52F64"/>
    <w:rsid w:val="00C5345B"/>
    <w:rsid w:val="00C53A56"/>
    <w:rsid w:val="00C53A73"/>
    <w:rsid w:val="00C54A8E"/>
    <w:rsid w:val="00C5539B"/>
    <w:rsid w:val="00C5687C"/>
    <w:rsid w:val="00C56AE3"/>
    <w:rsid w:val="00C56C64"/>
    <w:rsid w:val="00C56CCD"/>
    <w:rsid w:val="00C56E28"/>
    <w:rsid w:val="00C56FFC"/>
    <w:rsid w:val="00C57052"/>
    <w:rsid w:val="00C57235"/>
    <w:rsid w:val="00C5758C"/>
    <w:rsid w:val="00C576A3"/>
    <w:rsid w:val="00C60098"/>
    <w:rsid w:val="00C60340"/>
    <w:rsid w:val="00C6087E"/>
    <w:rsid w:val="00C608C0"/>
    <w:rsid w:val="00C61782"/>
    <w:rsid w:val="00C61E6E"/>
    <w:rsid w:val="00C62509"/>
    <w:rsid w:val="00C62641"/>
    <w:rsid w:val="00C628EA"/>
    <w:rsid w:val="00C62910"/>
    <w:rsid w:val="00C63B6A"/>
    <w:rsid w:val="00C63F12"/>
    <w:rsid w:val="00C6421A"/>
    <w:rsid w:val="00C642CC"/>
    <w:rsid w:val="00C65057"/>
    <w:rsid w:val="00C652D4"/>
    <w:rsid w:val="00C662BF"/>
    <w:rsid w:val="00C666C2"/>
    <w:rsid w:val="00C668BD"/>
    <w:rsid w:val="00C66FA1"/>
    <w:rsid w:val="00C66FDD"/>
    <w:rsid w:val="00C67E94"/>
    <w:rsid w:val="00C70C8E"/>
    <w:rsid w:val="00C713FA"/>
    <w:rsid w:val="00C720FF"/>
    <w:rsid w:val="00C7240E"/>
    <w:rsid w:val="00C728FA"/>
    <w:rsid w:val="00C729F1"/>
    <w:rsid w:val="00C72D38"/>
    <w:rsid w:val="00C72E53"/>
    <w:rsid w:val="00C738AA"/>
    <w:rsid w:val="00C73CCE"/>
    <w:rsid w:val="00C73D80"/>
    <w:rsid w:val="00C747E9"/>
    <w:rsid w:val="00C74F1E"/>
    <w:rsid w:val="00C7503A"/>
    <w:rsid w:val="00C751E0"/>
    <w:rsid w:val="00C75758"/>
    <w:rsid w:val="00C75A95"/>
    <w:rsid w:val="00C75F29"/>
    <w:rsid w:val="00C76199"/>
    <w:rsid w:val="00C761BF"/>
    <w:rsid w:val="00C76517"/>
    <w:rsid w:val="00C778FB"/>
    <w:rsid w:val="00C77AB2"/>
    <w:rsid w:val="00C77F76"/>
    <w:rsid w:val="00C80B8E"/>
    <w:rsid w:val="00C81656"/>
    <w:rsid w:val="00C825C4"/>
    <w:rsid w:val="00C8262B"/>
    <w:rsid w:val="00C82C4B"/>
    <w:rsid w:val="00C82F90"/>
    <w:rsid w:val="00C8383C"/>
    <w:rsid w:val="00C838BA"/>
    <w:rsid w:val="00C83B5C"/>
    <w:rsid w:val="00C849A8"/>
    <w:rsid w:val="00C84C68"/>
    <w:rsid w:val="00C84EE0"/>
    <w:rsid w:val="00C85C54"/>
    <w:rsid w:val="00C85E5A"/>
    <w:rsid w:val="00C85F71"/>
    <w:rsid w:val="00C861C0"/>
    <w:rsid w:val="00C861CC"/>
    <w:rsid w:val="00C86B19"/>
    <w:rsid w:val="00C87499"/>
    <w:rsid w:val="00C8773B"/>
    <w:rsid w:val="00C87774"/>
    <w:rsid w:val="00C87C8E"/>
    <w:rsid w:val="00C87E9C"/>
    <w:rsid w:val="00C903CE"/>
    <w:rsid w:val="00C90531"/>
    <w:rsid w:val="00C909D6"/>
    <w:rsid w:val="00C90EBC"/>
    <w:rsid w:val="00C90F13"/>
    <w:rsid w:val="00C91973"/>
    <w:rsid w:val="00C91C40"/>
    <w:rsid w:val="00C9200E"/>
    <w:rsid w:val="00C921A8"/>
    <w:rsid w:val="00C924E6"/>
    <w:rsid w:val="00C92621"/>
    <w:rsid w:val="00C930BB"/>
    <w:rsid w:val="00C931C1"/>
    <w:rsid w:val="00C93576"/>
    <w:rsid w:val="00C93D92"/>
    <w:rsid w:val="00C93E28"/>
    <w:rsid w:val="00C94AAF"/>
    <w:rsid w:val="00C94ED9"/>
    <w:rsid w:val="00C95562"/>
    <w:rsid w:val="00C95C62"/>
    <w:rsid w:val="00C95C7C"/>
    <w:rsid w:val="00C95D85"/>
    <w:rsid w:val="00C95F9A"/>
    <w:rsid w:val="00C96AF6"/>
    <w:rsid w:val="00C97301"/>
    <w:rsid w:val="00C97B28"/>
    <w:rsid w:val="00C97CCB"/>
    <w:rsid w:val="00C97E4A"/>
    <w:rsid w:val="00C97EF6"/>
    <w:rsid w:val="00CA0BC6"/>
    <w:rsid w:val="00CA0DC9"/>
    <w:rsid w:val="00CA10E2"/>
    <w:rsid w:val="00CA11E9"/>
    <w:rsid w:val="00CA288F"/>
    <w:rsid w:val="00CA3041"/>
    <w:rsid w:val="00CA323A"/>
    <w:rsid w:val="00CA34A7"/>
    <w:rsid w:val="00CA378D"/>
    <w:rsid w:val="00CA37C4"/>
    <w:rsid w:val="00CA45F2"/>
    <w:rsid w:val="00CA4987"/>
    <w:rsid w:val="00CA4A50"/>
    <w:rsid w:val="00CA4ED9"/>
    <w:rsid w:val="00CA587D"/>
    <w:rsid w:val="00CA5A2C"/>
    <w:rsid w:val="00CA5B3C"/>
    <w:rsid w:val="00CA5CA9"/>
    <w:rsid w:val="00CA6356"/>
    <w:rsid w:val="00CA6384"/>
    <w:rsid w:val="00CA63F8"/>
    <w:rsid w:val="00CA676E"/>
    <w:rsid w:val="00CA7086"/>
    <w:rsid w:val="00CA7125"/>
    <w:rsid w:val="00CA722B"/>
    <w:rsid w:val="00CA75E3"/>
    <w:rsid w:val="00CA7C1B"/>
    <w:rsid w:val="00CA7D9D"/>
    <w:rsid w:val="00CA7F69"/>
    <w:rsid w:val="00CB0763"/>
    <w:rsid w:val="00CB09CD"/>
    <w:rsid w:val="00CB0AB4"/>
    <w:rsid w:val="00CB0F19"/>
    <w:rsid w:val="00CB10AB"/>
    <w:rsid w:val="00CB10CD"/>
    <w:rsid w:val="00CB13E7"/>
    <w:rsid w:val="00CB1840"/>
    <w:rsid w:val="00CB1A5B"/>
    <w:rsid w:val="00CB1AAA"/>
    <w:rsid w:val="00CB1D26"/>
    <w:rsid w:val="00CB1EBF"/>
    <w:rsid w:val="00CB283C"/>
    <w:rsid w:val="00CB28E2"/>
    <w:rsid w:val="00CB2CED"/>
    <w:rsid w:val="00CB2D58"/>
    <w:rsid w:val="00CB3355"/>
    <w:rsid w:val="00CB3CB6"/>
    <w:rsid w:val="00CB41ED"/>
    <w:rsid w:val="00CB48DF"/>
    <w:rsid w:val="00CB4CE2"/>
    <w:rsid w:val="00CB4F57"/>
    <w:rsid w:val="00CB5392"/>
    <w:rsid w:val="00CB56C5"/>
    <w:rsid w:val="00CB5919"/>
    <w:rsid w:val="00CB5A96"/>
    <w:rsid w:val="00CB5AE7"/>
    <w:rsid w:val="00CB5DCE"/>
    <w:rsid w:val="00CB651B"/>
    <w:rsid w:val="00CB65BD"/>
    <w:rsid w:val="00CB671C"/>
    <w:rsid w:val="00CB6B3E"/>
    <w:rsid w:val="00CB6BE2"/>
    <w:rsid w:val="00CB6E36"/>
    <w:rsid w:val="00CB6F62"/>
    <w:rsid w:val="00CB70A8"/>
    <w:rsid w:val="00CB717D"/>
    <w:rsid w:val="00CB78EB"/>
    <w:rsid w:val="00CB7C39"/>
    <w:rsid w:val="00CC0025"/>
    <w:rsid w:val="00CC1271"/>
    <w:rsid w:val="00CC1750"/>
    <w:rsid w:val="00CC19E6"/>
    <w:rsid w:val="00CC1C1C"/>
    <w:rsid w:val="00CC1F44"/>
    <w:rsid w:val="00CC27DE"/>
    <w:rsid w:val="00CC30D3"/>
    <w:rsid w:val="00CC31E4"/>
    <w:rsid w:val="00CC328E"/>
    <w:rsid w:val="00CC360A"/>
    <w:rsid w:val="00CC3730"/>
    <w:rsid w:val="00CC3DD4"/>
    <w:rsid w:val="00CC4067"/>
    <w:rsid w:val="00CC4373"/>
    <w:rsid w:val="00CC466B"/>
    <w:rsid w:val="00CC4B3B"/>
    <w:rsid w:val="00CC5DA0"/>
    <w:rsid w:val="00CC6C2B"/>
    <w:rsid w:val="00CC6CF0"/>
    <w:rsid w:val="00CC7BDA"/>
    <w:rsid w:val="00CC7FA5"/>
    <w:rsid w:val="00CD02CE"/>
    <w:rsid w:val="00CD0855"/>
    <w:rsid w:val="00CD0911"/>
    <w:rsid w:val="00CD0977"/>
    <w:rsid w:val="00CD0DA1"/>
    <w:rsid w:val="00CD0F1A"/>
    <w:rsid w:val="00CD124A"/>
    <w:rsid w:val="00CD1392"/>
    <w:rsid w:val="00CD1AB8"/>
    <w:rsid w:val="00CD1BBF"/>
    <w:rsid w:val="00CD1D78"/>
    <w:rsid w:val="00CD2619"/>
    <w:rsid w:val="00CD323D"/>
    <w:rsid w:val="00CD3358"/>
    <w:rsid w:val="00CD41A9"/>
    <w:rsid w:val="00CD44C5"/>
    <w:rsid w:val="00CD4684"/>
    <w:rsid w:val="00CD4984"/>
    <w:rsid w:val="00CD5029"/>
    <w:rsid w:val="00CD5549"/>
    <w:rsid w:val="00CD55D7"/>
    <w:rsid w:val="00CD58BC"/>
    <w:rsid w:val="00CD602A"/>
    <w:rsid w:val="00CD6078"/>
    <w:rsid w:val="00CD6281"/>
    <w:rsid w:val="00CD6688"/>
    <w:rsid w:val="00CD6EEC"/>
    <w:rsid w:val="00CD765A"/>
    <w:rsid w:val="00CD7E8A"/>
    <w:rsid w:val="00CE0199"/>
    <w:rsid w:val="00CE0345"/>
    <w:rsid w:val="00CE0A02"/>
    <w:rsid w:val="00CE0AE3"/>
    <w:rsid w:val="00CE0DFC"/>
    <w:rsid w:val="00CE0E5E"/>
    <w:rsid w:val="00CE1779"/>
    <w:rsid w:val="00CE1FAC"/>
    <w:rsid w:val="00CE209D"/>
    <w:rsid w:val="00CE2639"/>
    <w:rsid w:val="00CE292F"/>
    <w:rsid w:val="00CE30C0"/>
    <w:rsid w:val="00CE397D"/>
    <w:rsid w:val="00CE3D4B"/>
    <w:rsid w:val="00CE3F82"/>
    <w:rsid w:val="00CE4A5C"/>
    <w:rsid w:val="00CE4B2E"/>
    <w:rsid w:val="00CE544C"/>
    <w:rsid w:val="00CE5ABA"/>
    <w:rsid w:val="00CE5B6B"/>
    <w:rsid w:val="00CE6FA8"/>
    <w:rsid w:val="00CE7680"/>
    <w:rsid w:val="00CE7714"/>
    <w:rsid w:val="00CE7D9D"/>
    <w:rsid w:val="00CF0410"/>
    <w:rsid w:val="00CF04CD"/>
    <w:rsid w:val="00CF0E4D"/>
    <w:rsid w:val="00CF16E1"/>
    <w:rsid w:val="00CF194E"/>
    <w:rsid w:val="00CF1BA4"/>
    <w:rsid w:val="00CF1C5A"/>
    <w:rsid w:val="00CF23C5"/>
    <w:rsid w:val="00CF240D"/>
    <w:rsid w:val="00CF270F"/>
    <w:rsid w:val="00CF2C73"/>
    <w:rsid w:val="00CF36D3"/>
    <w:rsid w:val="00CF3912"/>
    <w:rsid w:val="00CF39BC"/>
    <w:rsid w:val="00CF3AD5"/>
    <w:rsid w:val="00CF4362"/>
    <w:rsid w:val="00CF5ACF"/>
    <w:rsid w:val="00CF5BA1"/>
    <w:rsid w:val="00CF5E57"/>
    <w:rsid w:val="00CF5E9A"/>
    <w:rsid w:val="00CF603E"/>
    <w:rsid w:val="00CF64BC"/>
    <w:rsid w:val="00CF6524"/>
    <w:rsid w:val="00CF6AD4"/>
    <w:rsid w:val="00CF6D81"/>
    <w:rsid w:val="00CF6DC6"/>
    <w:rsid w:val="00CF71C2"/>
    <w:rsid w:val="00CF726E"/>
    <w:rsid w:val="00CF77EA"/>
    <w:rsid w:val="00CF79C5"/>
    <w:rsid w:val="00CF7B83"/>
    <w:rsid w:val="00CF7E58"/>
    <w:rsid w:val="00D001F7"/>
    <w:rsid w:val="00D00379"/>
    <w:rsid w:val="00D00412"/>
    <w:rsid w:val="00D00447"/>
    <w:rsid w:val="00D0079A"/>
    <w:rsid w:val="00D00DA7"/>
    <w:rsid w:val="00D023E2"/>
    <w:rsid w:val="00D024DC"/>
    <w:rsid w:val="00D02601"/>
    <w:rsid w:val="00D02A1B"/>
    <w:rsid w:val="00D02E81"/>
    <w:rsid w:val="00D03C35"/>
    <w:rsid w:val="00D04320"/>
    <w:rsid w:val="00D04933"/>
    <w:rsid w:val="00D0532A"/>
    <w:rsid w:val="00D05619"/>
    <w:rsid w:val="00D057A9"/>
    <w:rsid w:val="00D059C0"/>
    <w:rsid w:val="00D05ECA"/>
    <w:rsid w:val="00D05F47"/>
    <w:rsid w:val="00D06DA4"/>
    <w:rsid w:val="00D06E3B"/>
    <w:rsid w:val="00D075F1"/>
    <w:rsid w:val="00D07965"/>
    <w:rsid w:val="00D079B3"/>
    <w:rsid w:val="00D07CC1"/>
    <w:rsid w:val="00D07E23"/>
    <w:rsid w:val="00D07E59"/>
    <w:rsid w:val="00D109B4"/>
    <w:rsid w:val="00D11B90"/>
    <w:rsid w:val="00D11D71"/>
    <w:rsid w:val="00D12E21"/>
    <w:rsid w:val="00D13951"/>
    <w:rsid w:val="00D13A51"/>
    <w:rsid w:val="00D14081"/>
    <w:rsid w:val="00D1445B"/>
    <w:rsid w:val="00D1449D"/>
    <w:rsid w:val="00D14658"/>
    <w:rsid w:val="00D14AE8"/>
    <w:rsid w:val="00D14B4F"/>
    <w:rsid w:val="00D14E59"/>
    <w:rsid w:val="00D15799"/>
    <w:rsid w:val="00D15C13"/>
    <w:rsid w:val="00D15DE1"/>
    <w:rsid w:val="00D15F68"/>
    <w:rsid w:val="00D16425"/>
    <w:rsid w:val="00D16477"/>
    <w:rsid w:val="00D165D6"/>
    <w:rsid w:val="00D16C06"/>
    <w:rsid w:val="00D16EF4"/>
    <w:rsid w:val="00D16FEA"/>
    <w:rsid w:val="00D17548"/>
    <w:rsid w:val="00D1763E"/>
    <w:rsid w:val="00D17771"/>
    <w:rsid w:val="00D17930"/>
    <w:rsid w:val="00D17A7E"/>
    <w:rsid w:val="00D17F27"/>
    <w:rsid w:val="00D20355"/>
    <w:rsid w:val="00D20D8F"/>
    <w:rsid w:val="00D2143E"/>
    <w:rsid w:val="00D21469"/>
    <w:rsid w:val="00D219DD"/>
    <w:rsid w:val="00D21B7A"/>
    <w:rsid w:val="00D2238E"/>
    <w:rsid w:val="00D228EF"/>
    <w:rsid w:val="00D22E8D"/>
    <w:rsid w:val="00D2475C"/>
    <w:rsid w:val="00D24A1B"/>
    <w:rsid w:val="00D24FD5"/>
    <w:rsid w:val="00D25116"/>
    <w:rsid w:val="00D25577"/>
    <w:rsid w:val="00D25AD3"/>
    <w:rsid w:val="00D25CE6"/>
    <w:rsid w:val="00D25FE8"/>
    <w:rsid w:val="00D26272"/>
    <w:rsid w:val="00D26621"/>
    <w:rsid w:val="00D2663F"/>
    <w:rsid w:val="00D2674C"/>
    <w:rsid w:val="00D268F4"/>
    <w:rsid w:val="00D26D3B"/>
    <w:rsid w:val="00D27201"/>
    <w:rsid w:val="00D27870"/>
    <w:rsid w:val="00D27A09"/>
    <w:rsid w:val="00D27C08"/>
    <w:rsid w:val="00D27D2E"/>
    <w:rsid w:val="00D300B8"/>
    <w:rsid w:val="00D30B4A"/>
    <w:rsid w:val="00D30E78"/>
    <w:rsid w:val="00D3114C"/>
    <w:rsid w:val="00D31412"/>
    <w:rsid w:val="00D31937"/>
    <w:rsid w:val="00D3220E"/>
    <w:rsid w:val="00D3240C"/>
    <w:rsid w:val="00D327E3"/>
    <w:rsid w:val="00D334CB"/>
    <w:rsid w:val="00D3366A"/>
    <w:rsid w:val="00D33AF3"/>
    <w:rsid w:val="00D3428A"/>
    <w:rsid w:val="00D348CE"/>
    <w:rsid w:val="00D34B14"/>
    <w:rsid w:val="00D34E51"/>
    <w:rsid w:val="00D34E72"/>
    <w:rsid w:val="00D34EFD"/>
    <w:rsid w:val="00D35359"/>
    <w:rsid w:val="00D35696"/>
    <w:rsid w:val="00D35822"/>
    <w:rsid w:val="00D35907"/>
    <w:rsid w:val="00D35D82"/>
    <w:rsid w:val="00D35E66"/>
    <w:rsid w:val="00D366DF"/>
    <w:rsid w:val="00D36ACF"/>
    <w:rsid w:val="00D36B67"/>
    <w:rsid w:val="00D36C4C"/>
    <w:rsid w:val="00D3716D"/>
    <w:rsid w:val="00D375A1"/>
    <w:rsid w:val="00D37B2F"/>
    <w:rsid w:val="00D4083B"/>
    <w:rsid w:val="00D40C2E"/>
    <w:rsid w:val="00D41551"/>
    <w:rsid w:val="00D41916"/>
    <w:rsid w:val="00D41B4B"/>
    <w:rsid w:val="00D42610"/>
    <w:rsid w:val="00D42623"/>
    <w:rsid w:val="00D427FD"/>
    <w:rsid w:val="00D42FD1"/>
    <w:rsid w:val="00D438DB"/>
    <w:rsid w:val="00D43E1C"/>
    <w:rsid w:val="00D44459"/>
    <w:rsid w:val="00D45341"/>
    <w:rsid w:val="00D455FD"/>
    <w:rsid w:val="00D458E6"/>
    <w:rsid w:val="00D46B46"/>
    <w:rsid w:val="00D46EDA"/>
    <w:rsid w:val="00D46F94"/>
    <w:rsid w:val="00D4707A"/>
    <w:rsid w:val="00D4717C"/>
    <w:rsid w:val="00D4735F"/>
    <w:rsid w:val="00D47424"/>
    <w:rsid w:val="00D475BD"/>
    <w:rsid w:val="00D47DBF"/>
    <w:rsid w:val="00D50194"/>
    <w:rsid w:val="00D50515"/>
    <w:rsid w:val="00D5056B"/>
    <w:rsid w:val="00D50876"/>
    <w:rsid w:val="00D50FC9"/>
    <w:rsid w:val="00D51089"/>
    <w:rsid w:val="00D51420"/>
    <w:rsid w:val="00D51472"/>
    <w:rsid w:val="00D51749"/>
    <w:rsid w:val="00D51D96"/>
    <w:rsid w:val="00D51E4F"/>
    <w:rsid w:val="00D51EF1"/>
    <w:rsid w:val="00D51F31"/>
    <w:rsid w:val="00D527DA"/>
    <w:rsid w:val="00D53246"/>
    <w:rsid w:val="00D532EB"/>
    <w:rsid w:val="00D5357D"/>
    <w:rsid w:val="00D5383E"/>
    <w:rsid w:val="00D53AA9"/>
    <w:rsid w:val="00D54891"/>
    <w:rsid w:val="00D54950"/>
    <w:rsid w:val="00D54FD7"/>
    <w:rsid w:val="00D55015"/>
    <w:rsid w:val="00D550F7"/>
    <w:rsid w:val="00D554A9"/>
    <w:rsid w:val="00D5581E"/>
    <w:rsid w:val="00D558DB"/>
    <w:rsid w:val="00D55CF4"/>
    <w:rsid w:val="00D5669D"/>
    <w:rsid w:val="00D56AFC"/>
    <w:rsid w:val="00D56BE1"/>
    <w:rsid w:val="00D56F60"/>
    <w:rsid w:val="00D56F91"/>
    <w:rsid w:val="00D578F7"/>
    <w:rsid w:val="00D57E91"/>
    <w:rsid w:val="00D607D1"/>
    <w:rsid w:val="00D60E52"/>
    <w:rsid w:val="00D6104F"/>
    <w:rsid w:val="00D6106C"/>
    <w:rsid w:val="00D611DE"/>
    <w:rsid w:val="00D619DA"/>
    <w:rsid w:val="00D61AE1"/>
    <w:rsid w:val="00D62360"/>
    <w:rsid w:val="00D62A61"/>
    <w:rsid w:val="00D62AD6"/>
    <w:rsid w:val="00D62AFD"/>
    <w:rsid w:val="00D62B7E"/>
    <w:rsid w:val="00D62D5A"/>
    <w:rsid w:val="00D63C9A"/>
    <w:rsid w:val="00D64110"/>
    <w:rsid w:val="00D64130"/>
    <w:rsid w:val="00D6426E"/>
    <w:rsid w:val="00D646B5"/>
    <w:rsid w:val="00D659A9"/>
    <w:rsid w:val="00D659E2"/>
    <w:rsid w:val="00D65A8A"/>
    <w:rsid w:val="00D65B63"/>
    <w:rsid w:val="00D65C55"/>
    <w:rsid w:val="00D65D66"/>
    <w:rsid w:val="00D670EA"/>
    <w:rsid w:val="00D67217"/>
    <w:rsid w:val="00D67C52"/>
    <w:rsid w:val="00D707C0"/>
    <w:rsid w:val="00D70E20"/>
    <w:rsid w:val="00D71131"/>
    <w:rsid w:val="00D71182"/>
    <w:rsid w:val="00D7166A"/>
    <w:rsid w:val="00D7192C"/>
    <w:rsid w:val="00D71970"/>
    <w:rsid w:val="00D71A86"/>
    <w:rsid w:val="00D720A9"/>
    <w:rsid w:val="00D7214B"/>
    <w:rsid w:val="00D72459"/>
    <w:rsid w:val="00D728EC"/>
    <w:rsid w:val="00D72B91"/>
    <w:rsid w:val="00D72D5C"/>
    <w:rsid w:val="00D72EEB"/>
    <w:rsid w:val="00D73D3E"/>
    <w:rsid w:val="00D746FA"/>
    <w:rsid w:val="00D7475A"/>
    <w:rsid w:val="00D74778"/>
    <w:rsid w:val="00D74BAD"/>
    <w:rsid w:val="00D74C4D"/>
    <w:rsid w:val="00D74E78"/>
    <w:rsid w:val="00D750C3"/>
    <w:rsid w:val="00D75A69"/>
    <w:rsid w:val="00D75A87"/>
    <w:rsid w:val="00D75EA0"/>
    <w:rsid w:val="00D763F9"/>
    <w:rsid w:val="00D766B2"/>
    <w:rsid w:val="00D766E7"/>
    <w:rsid w:val="00D76E84"/>
    <w:rsid w:val="00D76F31"/>
    <w:rsid w:val="00D77635"/>
    <w:rsid w:val="00D77636"/>
    <w:rsid w:val="00D77C33"/>
    <w:rsid w:val="00D8034F"/>
    <w:rsid w:val="00D803A1"/>
    <w:rsid w:val="00D806E0"/>
    <w:rsid w:val="00D814C4"/>
    <w:rsid w:val="00D81A76"/>
    <w:rsid w:val="00D81B60"/>
    <w:rsid w:val="00D81BA5"/>
    <w:rsid w:val="00D825B3"/>
    <w:rsid w:val="00D828FD"/>
    <w:rsid w:val="00D82C26"/>
    <w:rsid w:val="00D82CFA"/>
    <w:rsid w:val="00D8308A"/>
    <w:rsid w:val="00D830D6"/>
    <w:rsid w:val="00D835EC"/>
    <w:rsid w:val="00D83DC0"/>
    <w:rsid w:val="00D84167"/>
    <w:rsid w:val="00D84D93"/>
    <w:rsid w:val="00D8525D"/>
    <w:rsid w:val="00D85918"/>
    <w:rsid w:val="00D85956"/>
    <w:rsid w:val="00D85D04"/>
    <w:rsid w:val="00D8607D"/>
    <w:rsid w:val="00D86255"/>
    <w:rsid w:val="00D864B7"/>
    <w:rsid w:val="00D867C5"/>
    <w:rsid w:val="00D86AC2"/>
    <w:rsid w:val="00D86AF4"/>
    <w:rsid w:val="00D86B62"/>
    <w:rsid w:val="00D8705F"/>
    <w:rsid w:val="00D870EC"/>
    <w:rsid w:val="00D87232"/>
    <w:rsid w:val="00D873D4"/>
    <w:rsid w:val="00D87572"/>
    <w:rsid w:val="00D90192"/>
    <w:rsid w:val="00D90226"/>
    <w:rsid w:val="00D905B5"/>
    <w:rsid w:val="00D90AE3"/>
    <w:rsid w:val="00D90C67"/>
    <w:rsid w:val="00D90D82"/>
    <w:rsid w:val="00D91110"/>
    <w:rsid w:val="00D9142E"/>
    <w:rsid w:val="00D9194C"/>
    <w:rsid w:val="00D91F86"/>
    <w:rsid w:val="00D925ED"/>
    <w:rsid w:val="00D92834"/>
    <w:rsid w:val="00D92D54"/>
    <w:rsid w:val="00D93EF6"/>
    <w:rsid w:val="00D9432A"/>
    <w:rsid w:val="00D94492"/>
    <w:rsid w:val="00D94753"/>
    <w:rsid w:val="00D953D2"/>
    <w:rsid w:val="00D95416"/>
    <w:rsid w:val="00D9542A"/>
    <w:rsid w:val="00D95793"/>
    <w:rsid w:val="00D95AF1"/>
    <w:rsid w:val="00D95B66"/>
    <w:rsid w:val="00D95EED"/>
    <w:rsid w:val="00D95F1D"/>
    <w:rsid w:val="00D9639C"/>
    <w:rsid w:val="00D96461"/>
    <w:rsid w:val="00D968BA"/>
    <w:rsid w:val="00D97013"/>
    <w:rsid w:val="00D97C08"/>
    <w:rsid w:val="00D97C7C"/>
    <w:rsid w:val="00DA03E4"/>
    <w:rsid w:val="00DA06B0"/>
    <w:rsid w:val="00DA07D9"/>
    <w:rsid w:val="00DA096A"/>
    <w:rsid w:val="00DA0B6A"/>
    <w:rsid w:val="00DA0F01"/>
    <w:rsid w:val="00DA12C6"/>
    <w:rsid w:val="00DA1CFE"/>
    <w:rsid w:val="00DA1E9E"/>
    <w:rsid w:val="00DA20FF"/>
    <w:rsid w:val="00DA2324"/>
    <w:rsid w:val="00DA3496"/>
    <w:rsid w:val="00DA37EE"/>
    <w:rsid w:val="00DA3AD9"/>
    <w:rsid w:val="00DA3C1C"/>
    <w:rsid w:val="00DA3CE9"/>
    <w:rsid w:val="00DA428A"/>
    <w:rsid w:val="00DA4C91"/>
    <w:rsid w:val="00DA4F4C"/>
    <w:rsid w:val="00DA5684"/>
    <w:rsid w:val="00DA5973"/>
    <w:rsid w:val="00DA5D67"/>
    <w:rsid w:val="00DA63DF"/>
    <w:rsid w:val="00DA687A"/>
    <w:rsid w:val="00DA6914"/>
    <w:rsid w:val="00DA6B3D"/>
    <w:rsid w:val="00DA6C5B"/>
    <w:rsid w:val="00DA6F9F"/>
    <w:rsid w:val="00DA7166"/>
    <w:rsid w:val="00DA75FC"/>
    <w:rsid w:val="00DA77C6"/>
    <w:rsid w:val="00DA7BFA"/>
    <w:rsid w:val="00DA7E3A"/>
    <w:rsid w:val="00DB007E"/>
    <w:rsid w:val="00DB0365"/>
    <w:rsid w:val="00DB04D0"/>
    <w:rsid w:val="00DB09ED"/>
    <w:rsid w:val="00DB0A95"/>
    <w:rsid w:val="00DB0E10"/>
    <w:rsid w:val="00DB1200"/>
    <w:rsid w:val="00DB125D"/>
    <w:rsid w:val="00DB1481"/>
    <w:rsid w:val="00DB26BA"/>
    <w:rsid w:val="00DB274D"/>
    <w:rsid w:val="00DB27D9"/>
    <w:rsid w:val="00DB2B33"/>
    <w:rsid w:val="00DB2D34"/>
    <w:rsid w:val="00DB318A"/>
    <w:rsid w:val="00DB38BC"/>
    <w:rsid w:val="00DB3AB2"/>
    <w:rsid w:val="00DB3DB2"/>
    <w:rsid w:val="00DB3DB3"/>
    <w:rsid w:val="00DB3F59"/>
    <w:rsid w:val="00DB434D"/>
    <w:rsid w:val="00DB4936"/>
    <w:rsid w:val="00DB49C8"/>
    <w:rsid w:val="00DB4C87"/>
    <w:rsid w:val="00DB5696"/>
    <w:rsid w:val="00DB5786"/>
    <w:rsid w:val="00DB5AE1"/>
    <w:rsid w:val="00DB5BB9"/>
    <w:rsid w:val="00DB63CA"/>
    <w:rsid w:val="00DB6D74"/>
    <w:rsid w:val="00DB6EFF"/>
    <w:rsid w:val="00DB6F5E"/>
    <w:rsid w:val="00DB70D1"/>
    <w:rsid w:val="00DB750A"/>
    <w:rsid w:val="00DB7A29"/>
    <w:rsid w:val="00DB7CDF"/>
    <w:rsid w:val="00DC003C"/>
    <w:rsid w:val="00DC0C7F"/>
    <w:rsid w:val="00DC0E3F"/>
    <w:rsid w:val="00DC0FE5"/>
    <w:rsid w:val="00DC1428"/>
    <w:rsid w:val="00DC18DC"/>
    <w:rsid w:val="00DC2948"/>
    <w:rsid w:val="00DC2C15"/>
    <w:rsid w:val="00DC39A7"/>
    <w:rsid w:val="00DC4143"/>
    <w:rsid w:val="00DC4459"/>
    <w:rsid w:val="00DC462F"/>
    <w:rsid w:val="00DC47D1"/>
    <w:rsid w:val="00DC4A1D"/>
    <w:rsid w:val="00DC4F35"/>
    <w:rsid w:val="00DC5659"/>
    <w:rsid w:val="00DC5760"/>
    <w:rsid w:val="00DC691A"/>
    <w:rsid w:val="00DC69C8"/>
    <w:rsid w:val="00DC703B"/>
    <w:rsid w:val="00DC7F52"/>
    <w:rsid w:val="00DD049B"/>
    <w:rsid w:val="00DD05F8"/>
    <w:rsid w:val="00DD1DD4"/>
    <w:rsid w:val="00DD249D"/>
    <w:rsid w:val="00DD2EC9"/>
    <w:rsid w:val="00DD3359"/>
    <w:rsid w:val="00DD33B1"/>
    <w:rsid w:val="00DD3506"/>
    <w:rsid w:val="00DD369F"/>
    <w:rsid w:val="00DD4AA3"/>
    <w:rsid w:val="00DD4CBE"/>
    <w:rsid w:val="00DD4DDD"/>
    <w:rsid w:val="00DD4F1B"/>
    <w:rsid w:val="00DD53D7"/>
    <w:rsid w:val="00DD53EE"/>
    <w:rsid w:val="00DD5685"/>
    <w:rsid w:val="00DD5CAB"/>
    <w:rsid w:val="00DD63B5"/>
    <w:rsid w:val="00DD657F"/>
    <w:rsid w:val="00DD6646"/>
    <w:rsid w:val="00DD6655"/>
    <w:rsid w:val="00DD6CB7"/>
    <w:rsid w:val="00DD6DD1"/>
    <w:rsid w:val="00DD73CA"/>
    <w:rsid w:val="00DD7728"/>
    <w:rsid w:val="00DD7DC4"/>
    <w:rsid w:val="00DE0D73"/>
    <w:rsid w:val="00DE0EC0"/>
    <w:rsid w:val="00DE10FD"/>
    <w:rsid w:val="00DE1270"/>
    <w:rsid w:val="00DE1C06"/>
    <w:rsid w:val="00DE1D41"/>
    <w:rsid w:val="00DE23F3"/>
    <w:rsid w:val="00DE27C4"/>
    <w:rsid w:val="00DE39AC"/>
    <w:rsid w:val="00DE4D58"/>
    <w:rsid w:val="00DE5304"/>
    <w:rsid w:val="00DE5701"/>
    <w:rsid w:val="00DE5A44"/>
    <w:rsid w:val="00DE621B"/>
    <w:rsid w:val="00DE653E"/>
    <w:rsid w:val="00DE6EBD"/>
    <w:rsid w:val="00DE6F41"/>
    <w:rsid w:val="00DE72C6"/>
    <w:rsid w:val="00DE7671"/>
    <w:rsid w:val="00DE7722"/>
    <w:rsid w:val="00DE774F"/>
    <w:rsid w:val="00DE78D2"/>
    <w:rsid w:val="00DF06B4"/>
    <w:rsid w:val="00DF07C6"/>
    <w:rsid w:val="00DF1641"/>
    <w:rsid w:val="00DF1A3C"/>
    <w:rsid w:val="00DF1AAA"/>
    <w:rsid w:val="00DF2308"/>
    <w:rsid w:val="00DF24A0"/>
    <w:rsid w:val="00DF2574"/>
    <w:rsid w:val="00DF2CB0"/>
    <w:rsid w:val="00DF2E32"/>
    <w:rsid w:val="00DF2F23"/>
    <w:rsid w:val="00DF3147"/>
    <w:rsid w:val="00DF3A5F"/>
    <w:rsid w:val="00DF3C3D"/>
    <w:rsid w:val="00DF42E0"/>
    <w:rsid w:val="00DF46AB"/>
    <w:rsid w:val="00DF4954"/>
    <w:rsid w:val="00DF4B0A"/>
    <w:rsid w:val="00DF4F7F"/>
    <w:rsid w:val="00DF5209"/>
    <w:rsid w:val="00DF55B2"/>
    <w:rsid w:val="00DF55E3"/>
    <w:rsid w:val="00DF5D0C"/>
    <w:rsid w:val="00DF6394"/>
    <w:rsid w:val="00DF6420"/>
    <w:rsid w:val="00DF647C"/>
    <w:rsid w:val="00DF76F6"/>
    <w:rsid w:val="00DF7BBF"/>
    <w:rsid w:val="00DF7CE4"/>
    <w:rsid w:val="00DF7D66"/>
    <w:rsid w:val="00DF7E60"/>
    <w:rsid w:val="00E00C20"/>
    <w:rsid w:val="00E0107F"/>
    <w:rsid w:val="00E01112"/>
    <w:rsid w:val="00E01880"/>
    <w:rsid w:val="00E0193B"/>
    <w:rsid w:val="00E020D6"/>
    <w:rsid w:val="00E0223F"/>
    <w:rsid w:val="00E02428"/>
    <w:rsid w:val="00E0245B"/>
    <w:rsid w:val="00E02753"/>
    <w:rsid w:val="00E03547"/>
    <w:rsid w:val="00E03561"/>
    <w:rsid w:val="00E03A4E"/>
    <w:rsid w:val="00E03F8A"/>
    <w:rsid w:val="00E040FE"/>
    <w:rsid w:val="00E0453B"/>
    <w:rsid w:val="00E052A7"/>
    <w:rsid w:val="00E05488"/>
    <w:rsid w:val="00E05780"/>
    <w:rsid w:val="00E057EA"/>
    <w:rsid w:val="00E05866"/>
    <w:rsid w:val="00E05A5B"/>
    <w:rsid w:val="00E063C4"/>
    <w:rsid w:val="00E068A1"/>
    <w:rsid w:val="00E06CFC"/>
    <w:rsid w:val="00E06D33"/>
    <w:rsid w:val="00E07567"/>
    <w:rsid w:val="00E07577"/>
    <w:rsid w:val="00E07B6A"/>
    <w:rsid w:val="00E07B87"/>
    <w:rsid w:val="00E07E2C"/>
    <w:rsid w:val="00E103B0"/>
    <w:rsid w:val="00E109EB"/>
    <w:rsid w:val="00E10B60"/>
    <w:rsid w:val="00E10D88"/>
    <w:rsid w:val="00E10DEC"/>
    <w:rsid w:val="00E10E68"/>
    <w:rsid w:val="00E10F1A"/>
    <w:rsid w:val="00E1142A"/>
    <w:rsid w:val="00E11F3F"/>
    <w:rsid w:val="00E12651"/>
    <w:rsid w:val="00E12A4E"/>
    <w:rsid w:val="00E1352E"/>
    <w:rsid w:val="00E13669"/>
    <w:rsid w:val="00E137C5"/>
    <w:rsid w:val="00E13EBC"/>
    <w:rsid w:val="00E13FE5"/>
    <w:rsid w:val="00E140EB"/>
    <w:rsid w:val="00E143B8"/>
    <w:rsid w:val="00E14B72"/>
    <w:rsid w:val="00E14D34"/>
    <w:rsid w:val="00E15244"/>
    <w:rsid w:val="00E153BC"/>
    <w:rsid w:val="00E1653B"/>
    <w:rsid w:val="00E165D2"/>
    <w:rsid w:val="00E16603"/>
    <w:rsid w:val="00E1663B"/>
    <w:rsid w:val="00E16795"/>
    <w:rsid w:val="00E16EEF"/>
    <w:rsid w:val="00E17071"/>
    <w:rsid w:val="00E1743E"/>
    <w:rsid w:val="00E17788"/>
    <w:rsid w:val="00E17977"/>
    <w:rsid w:val="00E17D90"/>
    <w:rsid w:val="00E17EC2"/>
    <w:rsid w:val="00E17F4F"/>
    <w:rsid w:val="00E20B10"/>
    <w:rsid w:val="00E20DE9"/>
    <w:rsid w:val="00E210AC"/>
    <w:rsid w:val="00E21575"/>
    <w:rsid w:val="00E21670"/>
    <w:rsid w:val="00E216CF"/>
    <w:rsid w:val="00E221F5"/>
    <w:rsid w:val="00E22D5E"/>
    <w:rsid w:val="00E22EE8"/>
    <w:rsid w:val="00E22FC7"/>
    <w:rsid w:val="00E2329C"/>
    <w:rsid w:val="00E232BB"/>
    <w:rsid w:val="00E2336E"/>
    <w:rsid w:val="00E23E09"/>
    <w:rsid w:val="00E23E36"/>
    <w:rsid w:val="00E24A6D"/>
    <w:rsid w:val="00E24AA1"/>
    <w:rsid w:val="00E24AA4"/>
    <w:rsid w:val="00E24DDF"/>
    <w:rsid w:val="00E25089"/>
    <w:rsid w:val="00E25355"/>
    <w:rsid w:val="00E25D88"/>
    <w:rsid w:val="00E26398"/>
    <w:rsid w:val="00E263C7"/>
    <w:rsid w:val="00E269AE"/>
    <w:rsid w:val="00E269EE"/>
    <w:rsid w:val="00E26B56"/>
    <w:rsid w:val="00E26CAE"/>
    <w:rsid w:val="00E27024"/>
    <w:rsid w:val="00E275D1"/>
    <w:rsid w:val="00E27853"/>
    <w:rsid w:val="00E278EA"/>
    <w:rsid w:val="00E27D54"/>
    <w:rsid w:val="00E3066A"/>
    <w:rsid w:val="00E30744"/>
    <w:rsid w:val="00E30B8D"/>
    <w:rsid w:val="00E30DD2"/>
    <w:rsid w:val="00E3114E"/>
    <w:rsid w:val="00E31444"/>
    <w:rsid w:val="00E3198D"/>
    <w:rsid w:val="00E31C12"/>
    <w:rsid w:val="00E32477"/>
    <w:rsid w:val="00E32533"/>
    <w:rsid w:val="00E32650"/>
    <w:rsid w:val="00E326A8"/>
    <w:rsid w:val="00E3287C"/>
    <w:rsid w:val="00E32CD4"/>
    <w:rsid w:val="00E32D74"/>
    <w:rsid w:val="00E33583"/>
    <w:rsid w:val="00E33645"/>
    <w:rsid w:val="00E33650"/>
    <w:rsid w:val="00E33AFA"/>
    <w:rsid w:val="00E344D2"/>
    <w:rsid w:val="00E3493C"/>
    <w:rsid w:val="00E34EDA"/>
    <w:rsid w:val="00E35053"/>
    <w:rsid w:val="00E35120"/>
    <w:rsid w:val="00E35575"/>
    <w:rsid w:val="00E3617E"/>
    <w:rsid w:val="00E36617"/>
    <w:rsid w:val="00E36781"/>
    <w:rsid w:val="00E367BB"/>
    <w:rsid w:val="00E36877"/>
    <w:rsid w:val="00E36C05"/>
    <w:rsid w:val="00E3755D"/>
    <w:rsid w:val="00E40173"/>
    <w:rsid w:val="00E40E7A"/>
    <w:rsid w:val="00E41090"/>
    <w:rsid w:val="00E4129A"/>
    <w:rsid w:val="00E41626"/>
    <w:rsid w:val="00E4165F"/>
    <w:rsid w:val="00E418A1"/>
    <w:rsid w:val="00E41B99"/>
    <w:rsid w:val="00E41C70"/>
    <w:rsid w:val="00E42009"/>
    <w:rsid w:val="00E42436"/>
    <w:rsid w:val="00E424DD"/>
    <w:rsid w:val="00E4256C"/>
    <w:rsid w:val="00E42736"/>
    <w:rsid w:val="00E43289"/>
    <w:rsid w:val="00E43579"/>
    <w:rsid w:val="00E43A14"/>
    <w:rsid w:val="00E444AA"/>
    <w:rsid w:val="00E44544"/>
    <w:rsid w:val="00E44657"/>
    <w:rsid w:val="00E447A1"/>
    <w:rsid w:val="00E44E10"/>
    <w:rsid w:val="00E451F7"/>
    <w:rsid w:val="00E454C2"/>
    <w:rsid w:val="00E4554F"/>
    <w:rsid w:val="00E45B05"/>
    <w:rsid w:val="00E45C1F"/>
    <w:rsid w:val="00E45C51"/>
    <w:rsid w:val="00E46384"/>
    <w:rsid w:val="00E468FC"/>
    <w:rsid w:val="00E46A90"/>
    <w:rsid w:val="00E46AEA"/>
    <w:rsid w:val="00E46E00"/>
    <w:rsid w:val="00E46F8B"/>
    <w:rsid w:val="00E46FB2"/>
    <w:rsid w:val="00E46FBB"/>
    <w:rsid w:val="00E4724F"/>
    <w:rsid w:val="00E47550"/>
    <w:rsid w:val="00E475A8"/>
    <w:rsid w:val="00E475B8"/>
    <w:rsid w:val="00E47743"/>
    <w:rsid w:val="00E47853"/>
    <w:rsid w:val="00E4785A"/>
    <w:rsid w:val="00E47A1E"/>
    <w:rsid w:val="00E47A59"/>
    <w:rsid w:val="00E47D83"/>
    <w:rsid w:val="00E50027"/>
    <w:rsid w:val="00E50342"/>
    <w:rsid w:val="00E50554"/>
    <w:rsid w:val="00E506BB"/>
    <w:rsid w:val="00E507BC"/>
    <w:rsid w:val="00E51205"/>
    <w:rsid w:val="00E51840"/>
    <w:rsid w:val="00E51B83"/>
    <w:rsid w:val="00E51CE2"/>
    <w:rsid w:val="00E51E41"/>
    <w:rsid w:val="00E5202D"/>
    <w:rsid w:val="00E52388"/>
    <w:rsid w:val="00E52BD1"/>
    <w:rsid w:val="00E53232"/>
    <w:rsid w:val="00E534E6"/>
    <w:rsid w:val="00E53F2D"/>
    <w:rsid w:val="00E542FC"/>
    <w:rsid w:val="00E54F3F"/>
    <w:rsid w:val="00E55A24"/>
    <w:rsid w:val="00E55B8D"/>
    <w:rsid w:val="00E55BCA"/>
    <w:rsid w:val="00E560F0"/>
    <w:rsid w:val="00E574D6"/>
    <w:rsid w:val="00E57971"/>
    <w:rsid w:val="00E57B84"/>
    <w:rsid w:val="00E57DE4"/>
    <w:rsid w:val="00E60240"/>
    <w:rsid w:val="00E60BAF"/>
    <w:rsid w:val="00E60DA5"/>
    <w:rsid w:val="00E61ED5"/>
    <w:rsid w:val="00E62155"/>
    <w:rsid w:val="00E621E9"/>
    <w:rsid w:val="00E6264C"/>
    <w:rsid w:val="00E629EC"/>
    <w:rsid w:val="00E6319B"/>
    <w:rsid w:val="00E636FA"/>
    <w:rsid w:val="00E63E07"/>
    <w:rsid w:val="00E64090"/>
    <w:rsid w:val="00E64286"/>
    <w:rsid w:val="00E643AD"/>
    <w:rsid w:val="00E6450F"/>
    <w:rsid w:val="00E645D5"/>
    <w:rsid w:val="00E64BA0"/>
    <w:rsid w:val="00E64BE8"/>
    <w:rsid w:val="00E64DE5"/>
    <w:rsid w:val="00E64F2C"/>
    <w:rsid w:val="00E650B4"/>
    <w:rsid w:val="00E6536E"/>
    <w:rsid w:val="00E6543D"/>
    <w:rsid w:val="00E65A56"/>
    <w:rsid w:val="00E65DDC"/>
    <w:rsid w:val="00E666A9"/>
    <w:rsid w:val="00E66B0F"/>
    <w:rsid w:val="00E66B61"/>
    <w:rsid w:val="00E66D38"/>
    <w:rsid w:val="00E67C74"/>
    <w:rsid w:val="00E67F8E"/>
    <w:rsid w:val="00E7002E"/>
    <w:rsid w:val="00E700A9"/>
    <w:rsid w:val="00E70430"/>
    <w:rsid w:val="00E70F84"/>
    <w:rsid w:val="00E711A3"/>
    <w:rsid w:val="00E714AC"/>
    <w:rsid w:val="00E7156A"/>
    <w:rsid w:val="00E72294"/>
    <w:rsid w:val="00E723F8"/>
    <w:rsid w:val="00E72862"/>
    <w:rsid w:val="00E72A7D"/>
    <w:rsid w:val="00E72C0D"/>
    <w:rsid w:val="00E72E14"/>
    <w:rsid w:val="00E72E9D"/>
    <w:rsid w:val="00E72F71"/>
    <w:rsid w:val="00E73415"/>
    <w:rsid w:val="00E7342D"/>
    <w:rsid w:val="00E739B4"/>
    <w:rsid w:val="00E73A8A"/>
    <w:rsid w:val="00E73C0F"/>
    <w:rsid w:val="00E744B5"/>
    <w:rsid w:val="00E745C3"/>
    <w:rsid w:val="00E74C78"/>
    <w:rsid w:val="00E75116"/>
    <w:rsid w:val="00E75140"/>
    <w:rsid w:val="00E75388"/>
    <w:rsid w:val="00E75500"/>
    <w:rsid w:val="00E75ACC"/>
    <w:rsid w:val="00E75DA7"/>
    <w:rsid w:val="00E761B9"/>
    <w:rsid w:val="00E76246"/>
    <w:rsid w:val="00E7651B"/>
    <w:rsid w:val="00E76605"/>
    <w:rsid w:val="00E76C46"/>
    <w:rsid w:val="00E7751B"/>
    <w:rsid w:val="00E77849"/>
    <w:rsid w:val="00E77EF5"/>
    <w:rsid w:val="00E805CD"/>
    <w:rsid w:val="00E80BDF"/>
    <w:rsid w:val="00E813C3"/>
    <w:rsid w:val="00E814AB"/>
    <w:rsid w:val="00E81B6D"/>
    <w:rsid w:val="00E81CB6"/>
    <w:rsid w:val="00E82A89"/>
    <w:rsid w:val="00E82BC2"/>
    <w:rsid w:val="00E82EFF"/>
    <w:rsid w:val="00E84888"/>
    <w:rsid w:val="00E84ACF"/>
    <w:rsid w:val="00E84FD9"/>
    <w:rsid w:val="00E85117"/>
    <w:rsid w:val="00E85500"/>
    <w:rsid w:val="00E857C0"/>
    <w:rsid w:val="00E85985"/>
    <w:rsid w:val="00E85D4D"/>
    <w:rsid w:val="00E85D5C"/>
    <w:rsid w:val="00E85ECD"/>
    <w:rsid w:val="00E86218"/>
    <w:rsid w:val="00E8624E"/>
    <w:rsid w:val="00E86710"/>
    <w:rsid w:val="00E867AB"/>
    <w:rsid w:val="00E86953"/>
    <w:rsid w:val="00E874DD"/>
    <w:rsid w:val="00E8757A"/>
    <w:rsid w:val="00E878FD"/>
    <w:rsid w:val="00E87D40"/>
    <w:rsid w:val="00E90DB4"/>
    <w:rsid w:val="00E90F77"/>
    <w:rsid w:val="00E90F87"/>
    <w:rsid w:val="00E9142A"/>
    <w:rsid w:val="00E916BA"/>
    <w:rsid w:val="00E918B9"/>
    <w:rsid w:val="00E91AF0"/>
    <w:rsid w:val="00E92650"/>
    <w:rsid w:val="00E92E7C"/>
    <w:rsid w:val="00E936D3"/>
    <w:rsid w:val="00E939B5"/>
    <w:rsid w:val="00E939BB"/>
    <w:rsid w:val="00E93DEB"/>
    <w:rsid w:val="00E9431C"/>
    <w:rsid w:val="00E94CDE"/>
    <w:rsid w:val="00E951CE"/>
    <w:rsid w:val="00E955D6"/>
    <w:rsid w:val="00E95EB2"/>
    <w:rsid w:val="00E96335"/>
    <w:rsid w:val="00E97066"/>
    <w:rsid w:val="00EA0151"/>
    <w:rsid w:val="00EA0505"/>
    <w:rsid w:val="00EA063C"/>
    <w:rsid w:val="00EA06C7"/>
    <w:rsid w:val="00EA088D"/>
    <w:rsid w:val="00EA0DF8"/>
    <w:rsid w:val="00EA161D"/>
    <w:rsid w:val="00EA1F1D"/>
    <w:rsid w:val="00EA2150"/>
    <w:rsid w:val="00EA219A"/>
    <w:rsid w:val="00EA26A2"/>
    <w:rsid w:val="00EA28E6"/>
    <w:rsid w:val="00EA2D95"/>
    <w:rsid w:val="00EA2DD2"/>
    <w:rsid w:val="00EA353E"/>
    <w:rsid w:val="00EA376E"/>
    <w:rsid w:val="00EA4385"/>
    <w:rsid w:val="00EA470D"/>
    <w:rsid w:val="00EA4711"/>
    <w:rsid w:val="00EA4BCF"/>
    <w:rsid w:val="00EA5338"/>
    <w:rsid w:val="00EA5445"/>
    <w:rsid w:val="00EA5D24"/>
    <w:rsid w:val="00EA61DC"/>
    <w:rsid w:val="00EA6369"/>
    <w:rsid w:val="00EA6CB4"/>
    <w:rsid w:val="00EA700D"/>
    <w:rsid w:val="00EA72F9"/>
    <w:rsid w:val="00EA76B7"/>
    <w:rsid w:val="00EA7D07"/>
    <w:rsid w:val="00EA7E4E"/>
    <w:rsid w:val="00EA7E53"/>
    <w:rsid w:val="00EB012D"/>
    <w:rsid w:val="00EB015E"/>
    <w:rsid w:val="00EB09ED"/>
    <w:rsid w:val="00EB0DC4"/>
    <w:rsid w:val="00EB0E8C"/>
    <w:rsid w:val="00EB12CC"/>
    <w:rsid w:val="00EB16D2"/>
    <w:rsid w:val="00EB207C"/>
    <w:rsid w:val="00EB20C0"/>
    <w:rsid w:val="00EB2127"/>
    <w:rsid w:val="00EB28C5"/>
    <w:rsid w:val="00EB3207"/>
    <w:rsid w:val="00EB34B3"/>
    <w:rsid w:val="00EB3D1A"/>
    <w:rsid w:val="00EB4CEF"/>
    <w:rsid w:val="00EB4F85"/>
    <w:rsid w:val="00EB4F88"/>
    <w:rsid w:val="00EB4FFE"/>
    <w:rsid w:val="00EB55C4"/>
    <w:rsid w:val="00EB5616"/>
    <w:rsid w:val="00EB5CA4"/>
    <w:rsid w:val="00EB6264"/>
    <w:rsid w:val="00EB659B"/>
    <w:rsid w:val="00EB671B"/>
    <w:rsid w:val="00EB6DC7"/>
    <w:rsid w:val="00EB71B0"/>
    <w:rsid w:val="00EB7912"/>
    <w:rsid w:val="00EB7F7C"/>
    <w:rsid w:val="00EC0391"/>
    <w:rsid w:val="00EC0961"/>
    <w:rsid w:val="00EC151D"/>
    <w:rsid w:val="00EC16D7"/>
    <w:rsid w:val="00EC16FB"/>
    <w:rsid w:val="00EC173B"/>
    <w:rsid w:val="00EC1CC2"/>
    <w:rsid w:val="00EC1E22"/>
    <w:rsid w:val="00EC1E95"/>
    <w:rsid w:val="00EC20FF"/>
    <w:rsid w:val="00EC2AB8"/>
    <w:rsid w:val="00EC3062"/>
    <w:rsid w:val="00EC30F2"/>
    <w:rsid w:val="00EC3545"/>
    <w:rsid w:val="00EC36E4"/>
    <w:rsid w:val="00EC38AD"/>
    <w:rsid w:val="00EC422D"/>
    <w:rsid w:val="00EC4832"/>
    <w:rsid w:val="00EC49A0"/>
    <w:rsid w:val="00EC56F7"/>
    <w:rsid w:val="00EC5C32"/>
    <w:rsid w:val="00EC5F22"/>
    <w:rsid w:val="00EC6A16"/>
    <w:rsid w:val="00EC78A2"/>
    <w:rsid w:val="00EC7937"/>
    <w:rsid w:val="00EC79CE"/>
    <w:rsid w:val="00EC7C5C"/>
    <w:rsid w:val="00EC7E4F"/>
    <w:rsid w:val="00EC7FC6"/>
    <w:rsid w:val="00ED029E"/>
    <w:rsid w:val="00ED08DC"/>
    <w:rsid w:val="00ED14BC"/>
    <w:rsid w:val="00ED162C"/>
    <w:rsid w:val="00ED1E8F"/>
    <w:rsid w:val="00ED21D2"/>
    <w:rsid w:val="00ED25BD"/>
    <w:rsid w:val="00ED2FB8"/>
    <w:rsid w:val="00ED2FE6"/>
    <w:rsid w:val="00ED36A7"/>
    <w:rsid w:val="00ED3E16"/>
    <w:rsid w:val="00ED3EBD"/>
    <w:rsid w:val="00ED420A"/>
    <w:rsid w:val="00ED4394"/>
    <w:rsid w:val="00ED4414"/>
    <w:rsid w:val="00ED45A8"/>
    <w:rsid w:val="00ED4614"/>
    <w:rsid w:val="00ED5069"/>
    <w:rsid w:val="00ED54D2"/>
    <w:rsid w:val="00ED5611"/>
    <w:rsid w:val="00ED58A4"/>
    <w:rsid w:val="00ED5E39"/>
    <w:rsid w:val="00ED614D"/>
    <w:rsid w:val="00ED61C8"/>
    <w:rsid w:val="00ED6576"/>
    <w:rsid w:val="00ED65DF"/>
    <w:rsid w:val="00ED6EE3"/>
    <w:rsid w:val="00ED7003"/>
    <w:rsid w:val="00ED743A"/>
    <w:rsid w:val="00ED7507"/>
    <w:rsid w:val="00ED7F25"/>
    <w:rsid w:val="00EE0665"/>
    <w:rsid w:val="00EE14D8"/>
    <w:rsid w:val="00EE158C"/>
    <w:rsid w:val="00EE1B60"/>
    <w:rsid w:val="00EE1FB5"/>
    <w:rsid w:val="00EE21E2"/>
    <w:rsid w:val="00EE2324"/>
    <w:rsid w:val="00EE24A0"/>
    <w:rsid w:val="00EE2730"/>
    <w:rsid w:val="00EE29F1"/>
    <w:rsid w:val="00EE2AB7"/>
    <w:rsid w:val="00EE2D07"/>
    <w:rsid w:val="00EE3013"/>
    <w:rsid w:val="00EE3D65"/>
    <w:rsid w:val="00EE4865"/>
    <w:rsid w:val="00EE4902"/>
    <w:rsid w:val="00EE49AF"/>
    <w:rsid w:val="00EE4AFF"/>
    <w:rsid w:val="00EE5198"/>
    <w:rsid w:val="00EE5FF4"/>
    <w:rsid w:val="00EE6147"/>
    <w:rsid w:val="00EE61D4"/>
    <w:rsid w:val="00EE6A4B"/>
    <w:rsid w:val="00EE6C25"/>
    <w:rsid w:val="00EE772E"/>
    <w:rsid w:val="00EF011D"/>
    <w:rsid w:val="00EF0E5B"/>
    <w:rsid w:val="00EF1059"/>
    <w:rsid w:val="00EF1062"/>
    <w:rsid w:val="00EF1AE1"/>
    <w:rsid w:val="00EF1D3C"/>
    <w:rsid w:val="00EF1E74"/>
    <w:rsid w:val="00EF1F7F"/>
    <w:rsid w:val="00EF20AC"/>
    <w:rsid w:val="00EF322D"/>
    <w:rsid w:val="00EF3ADB"/>
    <w:rsid w:val="00EF4261"/>
    <w:rsid w:val="00EF49DE"/>
    <w:rsid w:val="00EF4E17"/>
    <w:rsid w:val="00EF4F80"/>
    <w:rsid w:val="00EF5482"/>
    <w:rsid w:val="00EF5530"/>
    <w:rsid w:val="00EF62E0"/>
    <w:rsid w:val="00EF645F"/>
    <w:rsid w:val="00EF679E"/>
    <w:rsid w:val="00EF6B5A"/>
    <w:rsid w:val="00EF6C68"/>
    <w:rsid w:val="00EF6D4D"/>
    <w:rsid w:val="00EF6DB8"/>
    <w:rsid w:val="00EF700C"/>
    <w:rsid w:val="00EF7621"/>
    <w:rsid w:val="00EF763D"/>
    <w:rsid w:val="00EF79B3"/>
    <w:rsid w:val="00F00A70"/>
    <w:rsid w:val="00F00B8B"/>
    <w:rsid w:val="00F00CF2"/>
    <w:rsid w:val="00F00EE6"/>
    <w:rsid w:val="00F01496"/>
    <w:rsid w:val="00F01C00"/>
    <w:rsid w:val="00F01D3E"/>
    <w:rsid w:val="00F01EAF"/>
    <w:rsid w:val="00F02131"/>
    <w:rsid w:val="00F02213"/>
    <w:rsid w:val="00F02C98"/>
    <w:rsid w:val="00F02D45"/>
    <w:rsid w:val="00F03589"/>
    <w:rsid w:val="00F036B4"/>
    <w:rsid w:val="00F03B56"/>
    <w:rsid w:val="00F03FD1"/>
    <w:rsid w:val="00F043EE"/>
    <w:rsid w:val="00F044EC"/>
    <w:rsid w:val="00F0495C"/>
    <w:rsid w:val="00F04B29"/>
    <w:rsid w:val="00F04C67"/>
    <w:rsid w:val="00F05A0F"/>
    <w:rsid w:val="00F05CE8"/>
    <w:rsid w:val="00F060B1"/>
    <w:rsid w:val="00F06912"/>
    <w:rsid w:val="00F06C5F"/>
    <w:rsid w:val="00F06F6F"/>
    <w:rsid w:val="00F06F88"/>
    <w:rsid w:val="00F07A63"/>
    <w:rsid w:val="00F07B65"/>
    <w:rsid w:val="00F07F3D"/>
    <w:rsid w:val="00F101B8"/>
    <w:rsid w:val="00F10ACE"/>
    <w:rsid w:val="00F10EE6"/>
    <w:rsid w:val="00F10F14"/>
    <w:rsid w:val="00F1151B"/>
    <w:rsid w:val="00F11903"/>
    <w:rsid w:val="00F119D4"/>
    <w:rsid w:val="00F13AFC"/>
    <w:rsid w:val="00F1451A"/>
    <w:rsid w:val="00F14556"/>
    <w:rsid w:val="00F14CD0"/>
    <w:rsid w:val="00F14F64"/>
    <w:rsid w:val="00F14FB0"/>
    <w:rsid w:val="00F1522E"/>
    <w:rsid w:val="00F158D9"/>
    <w:rsid w:val="00F15B1F"/>
    <w:rsid w:val="00F15F70"/>
    <w:rsid w:val="00F16568"/>
    <w:rsid w:val="00F16A36"/>
    <w:rsid w:val="00F16C15"/>
    <w:rsid w:val="00F16D67"/>
    <w:rsid w:val="00F17053"/>
    <w:rsid w:val="00F1752A"/>
    <w:rsid w:val="00F17BAB"/>
    <w:rsid w:val="00F209F8"/>
    <w:rsid w:val="00F20E14"/>
    <w:rsid w:val="00F22F56"/>
    <w:rsid w:val="00F22F58"/>
    <w:rsid w:val="00F23181"/>
    <w:rsid w:val="00F2334D"/>
    <w:rsid w:val="00F2353C"/>
    <w:rsid w:val="00F23814"/>
    <w:rsid w:val="00F24E25"/>
    <w:rsid w:val="00F252D9"/>
    <w:rsid w:val="00F254C2"/>
    <w:rsid w:val="00F25CC4"/>
    <w:rsid w:val="00F26246"/>
    <w:rsid w:val="00F26696"/>
    <w:rsid w:val="00F26D0B"/>
    <w:rsid w:val="00F278F8"/>
    <w:rsid w:val="00F27F91"/>
    <w:rsid w:val="00F302D9"/>
    <w:rsid w:val="00F3065A"/>
    <w:rsid w:val="00F30767"/>
    <w:rsid w:val="00F308DF"/>
    <w:rsid w:val="00F30BE9"/>
    <w:rsid w:val="00F30F47"/>
    <w:rsid w:val="00F3164F"/>
    <w:rsid w:val="00F31A3E"/>
    <w:rsid w:val="00F321D2"/>
    <w:rsid w:val="00F32519"/>
    <w:rsid w:val="00F32709"/>
    <w:rsid w:val="00F3288A"/>
    <w:rsid w:val="00F33138"/>
    <w:rsid w:val="00F3481E"/>
    <w:rsid w:val="00F3489B"/>
    <w:rsid w:val="00F35568"/>
    <w:rsid w:val="00F35CBC"/>
    <w:rsid w:val="00F36A0D"/>
    <w:rsid w:val="00F37DC7"/>
    <w:rsid w:val="00F37E5F"/>
    <w:rsid w:val="00F401BA"/>
    <w:rsid w:val="00F40538"/>
    <w:rsid w:val="00F40977"/>
    <w:rsid w:val="00F40D1F"/>
    <w:rsid w:val="00F41375"/>
    <w:rsid w:val="00F4177C"/>
    <w:rsid w:val="00F426D8"/>
    <w:rsid w:val="00F428F7"/>
    <w:rsid w:val="00F42D9A"/>
    <w:rsid w:val="00F42FAB"/>
    <w:rsid w:val="00F43AAA"/>
    <w:rsid w:val="00F440A2"/>
    <w:rsid w:val="00F4434C"/>
    <w:rsid w:val="00F445DB"/>
    <w:rsid w:val="00F44693"/>
    <w:rsid w:val="00F4491D"/>
    <w:rsid w:val="00F44C0F"/>
    <w:rsid w:val="00F44DB5"/>
    <w:rsid w:val="00F4567B"/>
    <w:rsid w:val="00F45FE3"/>
    <w:rsid w:val="00F46001"/>
    <w:rsid w:val="00F460A0"/>
    <w:rsid w:val="00F460A1"/>
    <w:rsid w:val="00F461F3"/>
    <w:rsid w:val="00F4629C"/>
    <w:rsid w:val="00F46475"/>
    <w:rsid w:val="00F471D8"/>
    <w:rsid w:val="00F475BC"/>
    <w:rsid w:val="00F477B4"/>
    <w:rsid w:val="00F47C30"/>
    <w:rsid w:val="00F47E7F"/>
    <w:rsid w:val="00F5003E"/>
    <w:rsid w:val="00F5088C"/>
    <w:rsid w:val="00F513DD"/>
    <w:rsid w:val="00F5196B"/>
    <w:rsid w:val="00F519DF"/>
    <w:rsid w:val="00F51ACE"/>
    <w:rsid w:val="00F51DE6"/>
    <w:rsid w:val="00F51FA8"/>
    <w:rsid w:val="00F5220A"/>
    <w:rsid w:val="00F52277"/>
    <w:rsid w:val="00F52787"/>
    <w:rsid w:val="00F52986"/>
    <w:rsid w:val="00F52E06"/>
    <w:rsid w:val="00F53401"/>
    <w:rsid w:val="00F53650"/>
    <w:rsid w:val="00F53963"/>
    <w:rsid w:val="00F53A78"/>
    <w:rsid w:val="00F540DB"/>
    <w:rsid w:val="00F540F5"/>
    <w:rsid w:val="00F542CE"/>
    <w:rsid w:val="00F54320"/>
    <w:rsid w:val="00F543FA"/>
    <w:rsid w:val="00F545F5"/>
    <w:rsid w:val="00F5487F"/>
    <w:rsid w:val="00F552D2"/>
    <w:rsid w:val="00F554CF"/>
    <w:rsid w:val="00F56565"/>
    <w:rsid w:val="00F56CB1"/>
    <w:rsid w:val="00F57388"/>
    <w:rsid w:val="00F57F4D"/>
    <w:rsid w:val="00F60B27"/>
    <w:rsid w:val="00F60B8F"/>
    <w:rsid w:val="00F61CFF"/>
    <w:rsid w:val="00F61D71"/>
    <w:rsid w:val="00F62519"/>
    <w:rsid w:val="00F62E96"/>
    <w:rsid w:val="00F63D6F"/>
    <w:rsid w:val="00F63E91"/>
    <w:rsid w:val="00F63EA4"/>
    <w:rsid w:val="00F647C5"/>
    <w:rsid w:val="00F64CD2"/>
    <w:rsid w:val="00F64D62"/>
    <w:rsid w:val="00F651F1"/>
    <w:rsid w:val="00F65A7D"/>
    <w:rsid w:val="00F667C0"/>
    <w:rsid w:val="00F66881"/>
    <w:rsid w:val="00F66AC2"/>
    <w:rsid w:val="00F66C22"/>
    <w:rsid w:val="00F671CE"/>
    <w:rsid w:val="00F67CA2"/>
    <w:rsid w:val="00F67E6E"/>
    <w:rsid w:val="00F67FF3"/>
    <w:rsid w:val="00F70062"/>
    <w:rsid w:val="00F7020E"/>
    <w:rsid w:val="00F71310"/>
    <w:rsid w:val="00F7137D"/>
    <w:rsid w:val="00F71930"/>
    <w:rsid w:val="00F719E6"/>
    <w:rsid w:val="00F71C81"/>
    <w:rsid w:val="00F72AEE"/>
    <w:rsid w:val="00F72E2B"/>
    <w:rsid w:val="00F735D3"/>
    <w:rsid w:val="00F73B90"/>
    <w:rsid w:val="00F73FEF"/>
    <w:rsid w:val="00F7426D"/>
    <w:rsid w:val="00F74451"/>
    <w:rsid w:val="00F747B1"/>
    <w:rsid w:val="00F74D15"/>
    <w:rsid w:val="00F74ED7"/>
    <w:rsid w:val="00F74FEE"/>
    <w:rsid w:val="00F75129"/>
    <w:rsid w:val="00F75352"/>
    <w:rsid w:val="00F75697"/>
    <w:rsid w:val="00F76029"/>
    <w:rsid w:val="00F763C2"/>
    <w:rsid w:val="00F76806"/>
    <w:rsid w:val="00F76AB6"/>
    <w:rsid w:val="00F76AE2"/>
    <w:rsid w:val="00F76B34"/>
    <w:rsid w:val="00F7709A"/>
    <w:rsid w:val="00F77AC8"/>
    <w:rsid w:val="00F77B09"/>
    <w:rsid w:val="00F77C54"/>
    <w:rsid w:val="00F77CB9"/>
    <w:rsid w:val="00F77FF3"/>
    <w:rsid w:val="00F801DA"/>
    <w:rsid w:val="00F80838"/>
    <w:rsid w:val="00F80D20"/>
    <w:rsid w:val="00F80D9C"/>
    <w:rsid w:val="00F80F43"/>
    <w:rsid w:val="00F80FBC"/>
    <w:rsid w:val="00F80FD2"/>
    <w:rsid w:val="00F80FF5"/>
    <w:rsid w:val="00F8123F"/>
    <w:rsid w:val="00F8149F"/>
    <w:rsid w:val="00F81AE5"/>
    <w:rsid w:val="00F81BB9"/>
    <w:rsid w:val="00F81CA6"/>
    <w:rsid w:val="00F81D16"/>
    <w:rsid w:val="00F82439"/>
    <w:rsid w:val="00F82912"/>
    <w:rsid w:val="00F83029"/>
    <w:rsid w:val="00F844C5"/>
    <w:rsid w:val="00F848A3"/>
    <w:rsid w:val="00F84F76"/>
    <w:rsid w:val="00F84FC7"/>
    <w:rsid w:val="00F84FEF"/>
    <w:rsid w:val="00F85A77"/>
    <w:rsid w:val="00F85B41"/>
    <w:rsid w:val="00F85C26"/>
    <w:rsid w:val="00F85C45"/>
    <w:rsid w:val="00F85EBE"/>
    <w:rsid w:val="00F86C16"/>
    <w:rsid w:val="00F87106"/>
    <w:rsid w:val="00F87347"/>
    <w:rsid w:val="00F878B0"/>
    <w:rsid w:val="00F90896"/>
    <w:rsid w:val="00F90997"/>
    <w:rsid w:val="00F91110"/>
    <w:rsid w:val="00F91688"/>
    <w:rsid w:val="00F91790"/>
    <w:rsid w:val="00F91914"/>
    <w:rsid w:val="00F91C56"/>
    <w:rsid w:val="00F923AC"/>
    <w:rsid w:val="00F923DB"/>
    <w:rsid w:val="00F92A9B"/>
    <w:rsid w:val="00F92AAF"/>
    <w:rsid w:val="00F92D24"/>
    <w:rsid w:val="00F93315"/>
    <w:rsid w:val="00F93400"/>
    <w:rsid w:val="00F93660"/>
    <w:rsid w:val="00F93A3E"/>
    <w:rsid w:val="00F93B41"/>
    <w:rsid w:val="00F93CEC"/>
    <w:rsid w:val="00F9415A"/>
    <w:rsid w:val="00F9422C"/>
    <w:rsid w:val="00F94E91"/>
    <w:rsid w:val="00F95468"/>
    <w:rsid w:val="00F96683"/>
    <w:rsid w:val="00F96799"/>
    <w:rsid w:val="00F96F27"/>
    <w:rsid w:val="00F97271"/>
    <w:rsid w:val="00F976A0"/>
    <w:rsid w:val="00F97F5A"/>
    <w:rsid w:val="00FA01DF"/>
    <w:rsid w:val="00FA09A1"/>
    <w:rsid w:val="00FA0C6F"/>
    <w:rsid w:val="00FA116F"/>
    <w:rsid w:val="00FA17AD"/>
    <w:rsid w:val="00FA18A7"/>
    <w:rsid w:val="00FA197C"/>
    <w:rsid w:val="00FA1D49"/>
    <w:rsid w:val="00FA1F2D"/>
    <w:rsid w:val="00FA244B"/>
    <w:rsid w:val="00FA298F"/>
    <w:rsid w:val="00FA2B0D"/>
    <w:rsid w:val="00FA35BB"/>
    <w:rsid w:val="00FA3964"/>
    <w:rsid w:val="00FA3E2F"/>
    <w:rsid w:val="00FA41DF"/>
    <w:rsid w:val="00FA47A6"/>
    <w:rsid w:val="00FA551C"/>
    <w:rsid w:val="00FA5B05"/>
    <w:rsid w:val="00FA5F40"/>
    <w:rsid w:val="00FA67BA"/>
    <w:rsid w:val="00FA7066"/>
    <w:rsid w:val="00FA74E6"/>
    <w:rsid w:val="00FA7C96"/>
    <w:rsid w:val="00FB0078"/>
    <w:rsid w:val="00FB0950"/>
    <w:rsid w:val="00FB17B5"/>
    <w:rsid w:val="00FB1952"/>
    <w:rsid w:val="00FB27FE"/>
    <w:rsid w:val="00FB283F"/>
    <w:rsid w:val="00FB2BDE"/>
    <w:rsid w:val="00FB2CA7"/>
    <w:rsid w:val="00FB2DE0"/>
    <w:rsid w:val="00FB32CD"/>
    <w:rsid w:val="00FB41B9"/>
    <w:rsid w:val="00FB438C"/>
    <w:rsid w:val="00FB450E"/>
    <w:rsid w:val="00FB4DC3"/>
    <w:rsid w:val="00FB5247"/>
    <w:rsid w:val="00FB63E3"/>
    <w:rsid w:val="00FB6972"/>
    <w:rsid w:val="00FB6EA3"/>
    <w:rsid w:val="00FB76C0"/>
    <w:rsid w:val="00FB7785"/>
    <w:rsid w:val="00FB783B"/>
    <w:rsid w:val="00FB7867"/>
    <w:rsid w:val="00FB7BAC"/>
    <w:rsid w:val="00FB7C7B"/>
    <w:rsid w:val="00FC019F"/>
    <w:rsid w:val="00FC11B6"/>
    <w:rsid w:val="00FC11D5"/>
    <w:rsid w:val="00FC1236"/>
    <w:rsid w:val="00FC124F"/>
    <w:rsid w:val="00FC14B3"/>
    <w:rsid w:val="00FC16E6"/>
    <w:rsid w:val="00FC19AE"/>
    <w:rsid w:val="00FC1BCC"/>
    <w:rsid w:val="00FC1E24"/>
    <w:rsid w:val="00FC1E5B"/>
    <w:rsid w:val="00FC20A4"/>
    <w:rsid w:val="00FC233A"/>
    <w:rsid w:val="00FC24AF"/>
    <w:rsid w:val="00FC2574"/>
    <w:rsid w:val="00FC25F9"/>
    <w:rsid w:val="00FC2A0F"/>
    <w:rsid w:val="00FC2C65"/>
    <w:rsid w:val="00FC3344"/>
    <w:rsid w:val="00FC38BB"/>
    <w:rsid w:val="00FC3C1B"/>
    <w:rsid w:val="00FC4027"/>
    <w:rsid w:val="00FC4A2D"/>
    <w:rsid w:val="00FC5618"/>
    <w:rsid w:val="00FC5749"/>
    <w:rsid w:val="00FC60C5"/>
    <w:rsid w:val="00FC65F2"/>
    <w:rsid w:val="00FC66D5"/>
    <w:rsid w:val="00FC66F8"/>
    <w:rsid w:val="00FC6A13"/>
    <w:rsid w:val="00FC6D52"/>
    <w:rsid w:val="00FC71C3"/>
    <w:rsid w:val="00FC71FE"/>
    <w:rsid w:val="00FC767D"/>
    <w:rsid w:val="00FC7EA8"/>
    <w:rsid w:val="00FC7F55"/>
    <w:rsid w:val="00FD02E4"/>
    <w:rsid w:val="00FD0815"/>
    <w:rsid w:val="00FD09AC"/>
    <w:rsid w:val="00FD0D98"/>
    <w:rsid w:val="00FD182C"/>
    <w:rsid w:val="00FD1B05"/>
    <w:rsid w:val="00FD1D3D"/>
    <w:rsid w:val="00FD28C4"/>
    <w:rsid w:val="00FD2A75"/>
    <w:rsid w:val="00FD2F58"/>
    <w:rsid w:val="00FD2FDE"/>
    <w:rsid w:val="00FD3022"/>
    <w:rsid w:val="00FD39F9"/>
    <w:rsid w:val="00FD3CA9"/>
    <w:rsid w:val="00FD3D96"/>
    <w:rsid w:val="00FD46E6"/>
    <w:rsid w:val="00FD546D"/>
    <w:rsid w:val="00FD54E6"/>
    <w:rsid w:val="00FD5803"/>
    <w:rsid w:val="00FD5937"/>
    <w:rsid w:val="00FD5C98"/>
    <w:rsid w:val="00FD5F36"/>
    <w:rsid w:val="00FD5FD8"/>
    <w:rsid w:val="00FD65F4"/>
    <w:rsid w:val="00FD65FB"/>
    <w:rsid w:val="00FD6F31"/>
    <w:rsid w:val="00FD7636"/>
    <w:rsid w:val="00FD7E1D"/>
    <w:rsid w:val="00FE0679"/>
    <w:rsid w:val="00FE1356"/>
    <w:rsid w:val="00FE15FD"/>
    <w:rsid w:val="00FE1668"/>
    <w:rsid w:val="00FE1AF2"/>
    <w:rsid w:val="00FE1E27"/>
    <w:rsid w:val="00FE1ED6"/>
    <w:rsid w:val="00FE2322"/>
    <w:rsid w:val="00FE2650"/>
    <w:rsid w:val="00FE2826"/>
    <w:rsid w:val="00FE2B86"/>
    <w:rsid w:val="00FE2CD7"/>
    <w:rsid w:val="00FE337A"/>
    <w:rsid w:val="00FE34CA"/>
    <w:rsid w:val="00FE357C"/>
    <w:rsid w:val="00FE374B"/>
    <w:rsid w:val="00FE3E77"/>
    <w:rsid w:val="00FE3FA3"/>
    <w:rsid w:val="00FE47B0"/>
    <w:rsid w:val="00FE4D46"/>
    <w:rsid w:val="00FE53DE"/>
    <w:rsid w:val="00FE5A35"/>
    <w:rsid w:val="00FE5E68"/>
    <w:rsid w:val="00FE61F0"/>
    <w:rsid w:val="00FE6543"/>
    <w:rsid w:val="00FE69D7"/>
    <w:rsid w:val="00FE7203"/>
    <w:rsid w:val="00FE74E3"/>
    <w:rsid w:val="00FF03A5"/>
    <w:rsid w:val="00FF03FE"/>
    <w:rsid w:val="00FF0D61"/>
    <w:rsid w:val="00FF0FDE"/>
    <w:rsid w:val="00FF1378"/>
    <w:rsid w:val="00FF25AC"/>
    <w:rsid w:val="00FF2DC2"/>
    <w:rsid w:val="00FF37EF"/>
    <w:rsid w:val="00FF3869"/>
    <w:rsid w:val="00FF4037"/>
    <w:rsid w:val="00FF4185"/>
    <w:rsid w:val="00FF4D06"/>
    <w:rsid w:val="00FF5AF7"/>
    <w:rsid w:val="00FF5D9C"/>
    <w:rsid w:val="00FF6183"/>
    <w:rsid w:val="00FF63F5"/>
    <w:rsid w:val="00FF6538"/>
    <w:rsid w:val="00FF65D3"/>
    <w:rsid w:val="00FF665B"/>
    <w:rsid w:val="00FF67F8"/>
    <w:rsid w:val="00FF689C"/>
    <w:rsid w:val="00FF6EE1"/>
    <w:rsid w:val="00FF7E1E"/>
    <w:rsid w:val="012B5B12"/>
    <w:rsid w:val="0135374E"/>
    <w:rsid w:val="01379FDB"/>
    <w:rsid w:val="0144AB6F"/>
    <w:rsid w:val="016E9733"/>
    <w:rsid w:val="018CABC8"/>
    <w:rsid w:val="01F1DD53"/>
    <w:rsid w:val="0310B70F"/>
    <w:rsid w:val="03172C93"/>
    <w:rsid w:val="035C2382"/>
    <w:rsid w:val="038FC615"/>
    <w:rsid w:val="0415E232"/>
    <w:rsid w:val="046F8447"/>
    <w:rsid w:val="04CE4069"/>
    <w:rsid w:val="04D74E2C"/>
    <w:rsid w:val="0560730C"/>
    <w:rsid w:val="058D083E"/>
    <w:rsid w:val="061335BF"/>
    <w:rsid w:val="062FAE3F"/>
    <w:rsid w:val="068221FC"/>
    <w:rsid w:val="075C136D"/>
    <w:rsid w:val="076A1A0D"/>
    <w:rsid w:val="07C00850"/>
    <w:rsid w:val="08361D03"/>
    <w:rsid w:val="0941A4AE"/>
    <w:rsid w:val="0951FB1E"/>
    <w:rsid w:val="09679CD8"/>
    <w:rsid w:val="0969F7A5"/>
    <w:rsid w:val="0A035328"/>
    <w:rsid w:val="0A63668D"/>
    <w:rsid w:val="0A858AE2"/>
    <w:rsid w:val="0ACDB178"/>
    <w:rsid w:val="0B2FBAA9"/>
    <w:rsid w:val="0B897141"/>
    <w:rsid w:val="0BE6A2A2"/>
    <w:rsid w:val="0BFCA942"/>
    <w:rsid w:val="0C0B3EC2"/>
    <w:rsid w:val="0C309EB5"/>
    <w:rsid w:val="0C76D1C3"/>
    <w:rsid w:val="0CA2CE48"/>
    <w:rsid w:val="0D0210DA"/>
    <w:rsid w:val="0D2D0B10"/>
    <w:rsid w:val="0D38AC9B"/>
    <w:rsid w:val="0D984161"/>
    <w:rsid w:val="0DE8500F"/>
    <w:rsid w:val="0DF5D39C"/>
    <w:rsid w:val="0E39990D"/>
    <w:rsid w:val="0EB808C2"/>
    <w:rsid w:val="0F56B5DE"/>
    <w:rsid w:val="0F65526E"/>
    <w:rsid w:val="0FA4E103"/>
    <w:rsid w:val="100D9278"/>
    <w:rsid w:val="10781539"/>
    <w:rsid w:val="10ECD5F5"/>
    <w:rsid w:val="110EB55B"/>
    <w:rsid w:val="126176E3"/>
    <w:rsid w:val="12642AA0"/>
    <w:rsid w:val="12717387"/>
    <w:rsid w:val="1373C380"/>
    <w:rsid w:val="14353660"/>
    <w:rsid w:val="14607AED"/>
    <w:rsid w:val="14BBF082"/>
    <w:rsid w:val="152B6718"/>
    <w:rsid w:val="15BF627F"/>
    <w:rsid w:val="15D96FAA"/>
    <w:rsid w:val="17086FC2"/>
    <w:rsid w:val="1710D255"/>
    <w:rsid w:val="171B0939"/>
    <w:rsid w:val="176FFDED"/>
    <w:rsid w:val="17851A1C"/>
    <w:rsid w:val="17D4661F"/>
    <w:rsid w:val="17DD11AE"/>
    <w:rsid w:val="1837DB9C"/>
    <w:rsid w:val="183F0A27"/>
    <w:rsid w:val="18766C1E"/>
    <w:rsid w:val="18D26137"/>
    <w:rsid w:val="1920EA7D"/>
    <w:rsid w:val="19753E3C"/>
    <w:rsid w:val="199A66D2"/>
    <w:rsid w:val="19E99AF8"/>
    <w:rsid w:val="1A98A959"/>
    <w:rsid w:val="1AA3BBE6"/>
    <w:rsid w:val="1B1AD8F2"/>
    <w:rsid w:val="1B4C45B6"/>
    <w:rsid w:val="1B954761"/>
    <w:rsid w:val="1C0B0AE8"/>
    <w:rsid w:val="1C27256A"/>
    <w:rsid w:val="1C8AE2AA"/>
    <w:rsid w:val="1CB4E423"/>
    <w:rsid w:val="1CC7B9C2"/>
    <w:rsid w:val="1CE834BD"/>
    <w:rsid w:val="1D36B81C"/>
    <w:rsid w:val="1D88A0A3"/>
    <w:rsid w:val="1DD2ABD9"/>
    <w:rsid w:val="1E27559B"/>
    <w:rsid w:val="1ED41426"/>
    <w:rsid w:val="204CD9D8"/>
    <w:rsid w:val="204D4F4B"/>
    <w:rsid w:val="211DC2B8"/>
    <w:rsid w:val="2187DBA5"/>
    <w:rsid w:val="21C0E04A"/>
    <w:rsid w:val="220A1C4C"/>
    <w:rsid w:val="221EC336"/>
    <w:rsid w:val="22303082"/>
    <w:rsid w:val="2264D525"/>
    <w:rsid w:val="228CC04A"/>
    <w:rsid w:val="22E965E1"/>
    <w:rsid w:val="233BE04C"/>
    <w:rsid w:val="2345653D"/>
    <w:rsid w:val="23A96891"/>
    <w:rsid w:val="23D3A54D"/>
    <w:rsid w:val="242EB231"/>
    <w:rsid w:val="2435A383"/>
    <w:rsid w:val="2440E270"/>
    <w:rsid w:val="2455C647"/>
    <w:rsid w:val="245971BA"/>
    <w:rsid w:val="24646096"/>
    <w:rsid w:val="24A40BC3"/>
    <w:rsid w:val="24A76523"/>
    <w:rsid w:val="255E7B4A"/>
    <w:rsid w:val="25A13CFF"/>
    <w:rsid w:val="263EF0CA"/>
    <w:rsid w:val="2644358B"/>
    <w:rsid w:val="26DFBE5F"/>
    <w:rsid w:val="2701E52A"/>
    <w:rsid w:val="27BE8914"/>
    <w:rsid w:val="27DA6B05"/>
    <w:rsid w:val="27E2156B"/>
    <w:rsid w:val="27FC3182"/>
    <w:rsid w:val="28685C4B"/>
    <w:rsid w:val="28ABE542"/>
    <w:rsid w:val="2957BA10"/>
    <w:rsid w:val="299644A2"/>
    <w:rsid w:val="29A360F6"/>
    <w:rsid w:val="29B84551"/>
    <w:rsid w:val="2AE68CA7"/>
    <w:rsid w:val="2B78B532"/>
    <w:rsid w:val="2D03B76C"/>
    <w:rsid w:val="2D04C3C2"/>
    <w:rsid w:val="2D20899B"/>
    <w:rsid w:val="2D2276AB"/>
    <w:rsid w:val="2E17260F"/>
    <w:rsid w:val="2E7D5FBE"/>
    <w:rsid w:val="2EA90D55"/>
    <w:rsid w:val="2F827DA9"/>
    <w:rsid w:val="2FA424BC"/>
    <w:rsid w:val="30A594D3"/>
    <w:rsid w:val="30D23B10"/>
    <w:rsid w:val="30D29DC2"/>
    <w:rsid w:val="30D2B449"/>
    <w:rsid w:val="313AB47A"/>
    <w:rsid w:val="314F59A7"/>
    <w:rsid w:val="31539505"/>
    <w:rsid w:val="31F80896"/>
    <w:rsid w:val="323FEE36"/>
    <w:rsid w:val="32568008"/>
    <w:rsid w:val="32D00A75"/>
    <w:rsid w:val="32D7B67B"/>
    <w:rsid w:val="331FE5E1"/>
    <w:rsid w:val="33DC69C3"/>
    <w:rsid w:val="3464C837"/>
    <w:rsid w:val="34E9F68E"/>
    <w:rsid w:val="359252CE"/>
    <w:rsid w:val="36A1AEE3"/>
    <w:rsid w:val="36C06970"/>
    <w:rsid w:val="36EDC6B7"/>
    <w:rsid w:val="3769A25E"/>
    <w:rsid w:val="3774D54E"/>
    <w:rsid w:val="3796F9A3"/>
    <w:rsid w:val="37B85A48"/>
    <w:rsid w:val="37E54D32"/>
    <w:rsid w:val="383B1AEB"/>
    <w:rsid w:val="38C4DBD9"/>
    <w:rsid w:val="38E5EFF2"/>
    <w:rsid w:val="398C6842"/>
    <w:rsid w:val="39A70270"/>
    <w:rsid w:val="39EEE7F4"/>
    <w:rsid w:val="39F6BFA6"/>
    <w:rsid w:val="39FA6A7E"/>
    <w:rsid w:val="3A0F678C"/>
    <w:rsid w:val="3A21AA6D"/>
    <w:rsid w:val="3A507A97"/>
    <w:rsid w:val="3B156F86"/>
    <w:rsid w:val="3BEF091B"/>
    <w:rsid w:val="3C9DEBD0"/>
    <w:rsid w:val="3D44CB3A"/>
    <w:rsid w:val="3DB95733"/>
    <w:rsid w:val="3E326A8F"/>
    <w:rsid w:val="3E64A137"/>
    <w:rsid w:val="3F40FF02"/>
    <w:rsid w:val="3FB302E0"/>
    <w:rsid w:val="400146B9"/>
    <w:rsid w:val="422D3519"/>
    <w:rsid w:val="423CD3DE"/>
    <w:rsid w:val="423F4AC8"/>
    <w:rsid w:val="427E66F8"/>
    <w:rsid w:val="43354CA0"/>
    <w:rsid w:val="43813962"/>
    <w:rsid w:val="439104BE"/>
    <w:rsid w:val="43A0E114"/>
    <w:rsid w:val="44479001"/>
    <w:rsid w:val="44518200"/>
    <w:rsid w:val="44AD1B37"/>
    <w:rsid w:val="45371C50"/>
    <w:rsid w:val="45DBD9DB"/>
    <w:rsid w:val="45F3F56E"/>
    <w:rsid w:val="463F5868"/>
    <w:rsid w:val="46F02772"/>
    <w:rsid w:val="4707AB65"/>
    <w:rsid w:val="47235F4F"/>
    <w:rsid w:val="476ED519"/>
    <w:rsid w:val="4805D4A7"/>
    <w:rsid w:val="480B9071"/>
    <w:rsid w:val="482678AC"/>
    <w:rsid w:val="4890354C"/>
    <w:rsid w:val="495B8680"/>
    <w:rsid w:val="49808EBB"/>
    <w:rsid w:val="49C117B1"/>
    <w:rsid w:val="4AC52A29"/>
    <w:rsid w:val="4BF1D095"/>
    <w:rsid w:val="4CC30728"/>
    <w:rsid w:val="4DD94025"/>
    <w:rsid w:val="4E943DD2"/>
    <w:rsid w:val="4EFA07CB"/>
    <w:rsid w:val="4F44272F"/>
    <w:rsid w:val="4F6AB549"/>
    <w:rsid w:val="4F72B26A"/>
    <w:rsid w:val="50055758"/>
    <w:rsid w:val="50DD9353"/>
    <w:rsid w:val="51130111"/>
    <w:rsid w:val="5151068D"/>
    <w:rsid w:val="5154116E"/>
    <w:rsid w:val="5206F922"/>
    <w:rsid w:val="52160534"/>
    <w:rsid w:val="52547156"/>
    <w:rsid w:val="52BA11A4"/>
    <w:rsid w:val="52D44BA1"/>
    <w:rsid w:val="52DF9348"/>
    <w:rsid w:val="5333DDDB"/>
    <w:rsid w:val="53C330E1"/>
    <w:rsid w:val="54569552"/>
    <w:rsid w:val="54D011A7"/>
    <w:rsid w:val="54E0BA70"/>
    <w:rsid w:val="56012CE7"/>
    <w:rsid w:val="561019C5"/>
    <w:rsid w:val="56531EF1"/>
    <w:rsid w:val="5653231E"/>
    <w:rsid w:val="56E95CDF"/>
    <w:rsid w:val="57D47229"/>
    <w:rsid w:val="58D55FA0"/>
    <w:rsid w:val="58FF710F"/>
    <w:rsid w:val="595B5DD6"/>
    <w:rsid w:val="59950CA3"/>
    <w:rsid w:val="59AAF30E"/>
    <w:rsid w:val="5AB0728F"/>
    <w:rsid w:val="5ACCBE05"/>
    <w:rsid w:val="5AD8C6E9"/>
    <w:rsid w:val="5B76F5B4"/>
    <w:rsid w:val="5B8FC1FA"/>
    <w:rsid w:val="5C2150A8"/>
    <w:rsid w:val="5C329F0E"/>
    <w:rsid w:val="5C847AEA"/>
    <w:rsid w:val="5C914174"/>
    <w:rsid w:val="5D078996"/>
    <w:rsid w:val="5D3833F9"/>
    <w:rsid w:val="5D668F7A"/>
    <w:rsid w:val="5D759CAA"/>
    <w:rsid w:val="5DA2385F"/>
    <w:rsid w:val="5EBB85D9"/>
    <w:rsid w:val="5ED771E8"/>
    <w:rsid w:val="5EDDD449"/>
    <w:rsid w:val="5FC5168B"/>
    <w:rsid w:val="6099C75E"/>
    <w:rsid w:val="60FDEAB8"/>
    <w:rsid w:val="61053A0A"/>
    <w:rsid w:val="6140BDE0"/>
    <w:rsid w:val="61CD130A"/>
    <w:rsid w:val="61E035E2"/>
    <w:rsid w:val="61E9E68E"/>
    <w:rsid w:val="623CD325"/>
    <w:rsid w:val="626A051F"/>
    <w:rsid w:val="62984906"/>
    <w:rsid w:val="62C31DB2"/>
    <w:rsid w:val="62CC517C"/>
    <w:rsid w:val="62D8AAA1"/>
    <w:rsid w:val="62DD9837"/>
    <w:rsid w:val="63F118E9"/>
    <w:rsid w:val="640C913A"/>
    <w:rsid w:val="643665A2"/>
    <w:rsid w:val="6466916F"/>
    <w:rsid w:val="648252AE"/>
    <w:rsid w:val="649F6F89"/>
    <w:rsid w:val="6650AECB"/>
    <w:rsid w:val="66640FF5"/>
    <w:rsid w:val="668762A7"/>
    <w:rsid w:val="6695E581"/>
    <w:rsid w:val="66CC5996"/>
    <w:rsid w:val="66DD9C99"/>
    <w:rsid w:val="66EA40FE"/>
    <w:rsid w:val="67484D0A"/>
    <w:rsid w:val="67799B92"/>
    <w:rsid w:val="67850CAB"/>
    <w:rsid w:val="67859BFF"/>
    <w:rsid w:val="67AD154A"/>
    <w:rsid w:val="67C5E832"/>
    <w:rsid w:val="67E4CC59"/>
    <w:rsid w:val="682CB425"/>
    <w:rsid w:val="687AAE99"/>
    <w:rsid w:val="687FA621"/>
    <w:rsid w:val="68948C9A"/>
    <w:rsid w:val="692DEFE2"/>
    <w:rsid w:val="69363E47"/>
    <w:rsid w:val="6A193366"/>
    <w:rsid w:val="6A2AC7AC"/>
    <w:rsid w:val="6A482EBE"/>
    <w:rsid w:val="6AA7517B"/>
    <w:rsid w:val="6AEABB93"/>
    <w:rsid w:val="6B01CCC2"/>
    <w:rsid w:val="6C20023D"/>
    <w:rsid w:val="6C856627"/>
    <w:rsid w:val="6C973B27"/>
    <w:rsid w:val="6CF5753B"/>
    <w:rsid w:val="6D3DCCBD"/>
    <w:rsid w:val="6DBC9F53"/>
    <w:rsid w:val="6DFFDEE1"/>
    <w:rsid w:val="6E308CFD"/>
    <w:rsid w:val="6E65A1B5"/>
    <w:rsid w:val="6E7BD96B"/>
    <w:rsid w:val="6EC4A4C4"/>
    <w:rsid w:val="6F7AF099"/>
    <w:rsid w:val="6F851353"/>
    <w:rsid w:val="6FAD536B"/>
    <w:rsid w:val="6FF5BA7C"/>
    <w:rsid w:val="7018C9C6"/>
    <w:rsid w:val="703F2C52"/>
    <w:rsid w:val="70689862"/>
    <w:rsid w:val="7073FF4E"/>
    <w:rsid w:val="70BA55B7"/>
    <w:rsid w:val="7122EA66"/>
    <w:rsid w:val="7145D7B2"/>
    <w:rsid w:val="718A92FD"/>
    <w:rsid w:val="71A121CB"/>
    <w:rsid w:val="72164748"/>
    <w:rsid w:val="72DCC21A"/>
    <w:rsid w:val="73044D3B"/>
    <w:rsid w:val="74493BD2"/>
    <w:rsid w:val="747F82F3"/>
    <w:rsid w:val="75652B5A"/>
    <w:rsid w:val="75CED475"/>
    <w:rsid w:val="763FA306"/>
    <w:rsid w:val="7676317D"/>
    <w:rsid w:val="76AF6351"/>
    <w:rsid w:val="771EFD73"/>
    <w:rsid w:val="772F282D"/>
    <w:rsid w:val="77A8AB59"/>
    <w:rsid w:val="78468086"/>
    <w:rsid w:val="784CCB09"/>
    <w:rsid w:val="78581D05"/>
    <w:rsid w:val="788F1BCE"/>
    <w:rsid w:val="78E6C1B4"/>
    <w:rsid w:val="78F21634"/>
    <w:rsid w:val="78FB47E1"/>
    <w:rsid w:val="7911D524"/>
    <w:rsid w:val="7917957A"/>
    <w:rsid w:val="7931D305"/>
    <w:rsid w:val="798A04D0"/>
    <w:rsid w:val="79C277C1"/>
    <w:rsid w:val="79D32A10"/>
    <w:rsid w:val="79D97A80"/>
    <w:rsid w:val="7A1CD975"/>
    <w:rsid w:val="7A1D61EB"/>
    <w:rsid w:val="7A62FE5B"/>
    <w:rsid w:val="7A8A85E6"/>
    <w:rsid w:val="7A962056"/>
    <w:rsid w:val="7AC0FA34"/>
    <w:rsid w:val="7C281569"/>
    <w:rsid w:val="7CF20B12"/>
    <w:rsid w:val="7D40FB4E"/>
    <w:rsid w:val="7E27289F"/>
    <w:rsid w:val="7E2AB3EF"/>
    <w:rsid w:val="7EAFEE64"/>
    <w:rsid w:val="7EC776F0"/>
    <w:rsid w:val="7F26F94E"/>
    <w:rsid w:val="7F37ADCC"/>
    <w:rsid w:val="7F414564"/>
    <w:rsid w:val="7F46F2D1"/>
    <w:rsid w:val="7F652645"/>
    <w:rsid w:val="7F69CE7E"/>
    <w:rsid w:val="7F7A6125"/>
    <w:rsid w:val="7F85AA0B"/>
    <w:rsid w:val="7FA66B4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7AFAD"/>
  <w15:chartTrackingRefBased/>
  <w15:docId w15:val="{7AA20E68-CCD6-4FE3-B67F-4C435B1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21"/>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21"/>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6"/>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6"/>
      </w:numPr>
      <w:pBdr>
        <w:bottom w:val="single" w:sz="4" w:space="8" w:color="auto"/>
      </w:pBdr>
      <w:spacing w:before="0"/>
    </w:pPr>
  </w:style>
  <w:style w:type="numbering" w:customStyle="1" w:styleId="Chapternumbering">
    <w:name w:val="Chapter numbering"/>
    <w:uiPriority w:val="99"/>
    <w:rsid w:val="005D0844"/>
    <w:pPr>
      <w:numPr>
        <w:numId w:val="6"/>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semiHidden/>
    <w:rsid w:val="00F22F58"/>
    <w:pPr>
      <w:numPr>
        <w:ilvl w:val="1"/>
        <w:numId w:val="26"/>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8"/>
      </w:numPr>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9"/>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10"/>
      </w:numPr>
      <w:spacing w:before="120" w:after="120"/>
      <w:ind w:left="1843" w:right="862" w:hanging="709"/>
    </w:pPr>
  </w:style>
  <w:style w:type="paragraph" w:customStyle="1" w:styleId="Exampledotpoint2">
    <w:name w:val="Example dot point 2"/>
    <w:basedOn w:val="Exampledotpoint1"/>
    <w:uiPriority w:val="1"/>
    <w:rsid w:val="000E521B"/>
    <w:pPr>
      <w:numPr>
        <w:numId w:val="11"/>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14"/>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15"/>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6"/>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8"/>
      </w:numPr>
      <w:tabs>
        <w:tab w:val="clear" w:pos="567"/>
      </w:tabs>
    </w:pPr>
  </w:style>
  <w:style w:type="paragraph" w:customStyle="1" w:styleId="Tabledotpoint1">
    <w:name w:val="Table dot point 1"/>
    <w:basedOn w:val="Normalparatextnonumbers"/>
    <w:uiPriority w:val="1"/>
    <w:rsid w:val="000E521B"/>
    <w:pPr>
      <w:numPr>
        <w:numId w:val="19"/>
      </w:numPr>
      <w:ind w:left="425" w:hanging="425"/>
    </w:pPr>
    <w:rPr>
      <w:sz w:val="20"/>
    </w:rPr>
  </w:style>
  <w:style w:type="paragraph" w:customStyle="1" w:styleId="Tabledotpoint2">
    <w:name w:val="Table dot point 2"/>
    <w:basedOn w:val="Tabledotpoint1"/>
    <w:uiPriority w:val="1"/>
    <w:rsid w:val="000E521B"/>
    <w:pPr>
      <w:numPr>
        <w:numId w:val="20"/>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semiHidden/>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paragraph" w:customStyle="1" w:styleId="OutlineNumbered1">
    <w:name w:val="Outline Numbered 1"/>
    <w:basedOn w:val="Normal"/>
    <w:link w:val="OutlineNumbered1Char"/>
    <w:rsid w:val="00A16F62"/>
    <w:pPr>
      <w:numPr>
        <w:numId w:val="23"/>
      </w:numPr>
    </w:pPr>
    <w:rPr>
      <w:rFonts w:ascii="Symbol" w:hAnsi="Symbol"/>
    </w:rPr>
  </w:style>
  <w:style w:type="character" w:customStyle="1" w:styleId="OutlineNumbered1Char">
    <w:name w:val="Outline Numbered 1 Char"/>
    <w:basedOn w:val="Dotpoint1Char"/>
    <w:link w:val="OutlineNumbered1"/>
    <w:rsid w:val="00A16F62"/>
    <w:rPr>
      <w:rFonts w:ascii="Symbol" w:hAnsi="Symbol"/>
    </w:rPr>
  </w:style>
  <w:style w:type="paragraph" w:customStyle="1" w:styleId="OutlineNumbered2">
    <w:name w:val="Outline Numbered 2"/>
    <w:basedOn w:val="Normal"/>
    <w:link w:val="OutlineNumbered2Char"/>
    <w:rsid w:val="00A16F62"/>
    <w:pPr>
      <w:numPr>
        <w:ilvl w:val="1"/>
        <w:numId w:val="23"/>
      </w:numPr>
    </w:pPr>
    <w:rPr>
      <w:rFonts w:ascii="Symbol" w:hAnsi="Symbol"/>
    </w:rPr>
  </w:style>
  <w:style w:type="character" w:customStyle="1" w:styleId="OutlineNumbered2Char">
    <w:name w:val="Outline Numbered 2 Char"/>
    <w:basedOn w:val="Dotpoint1Char"/>
    <w:link w:val="OutlineNumbered2"/>
    <w:rsid w:val="00A16F62"/>
    <w:rPr>
      <w:rFonts w:ascii="Symbol" w:hAnsi="Symbol"/>
    </w:rPr>
  </w:style>
  <w:style w:type="paragraph" w:customStyle="1" w:styleId="OutlineNumbered3">
    <w:name w:val="Outline Numbered 3"/>
    <w:basedOn w:val="Normal"/>
    <w:link w:val="OutlineNumbered3Char"/>
    <w:rsid w:val="00A16F62"/>
    <w:pPr>
      <w:numPr>
        <w:ilvl w:val="2"/>
        <w:numId w:val="23"/>
      </w:numPr>
    </w:pPr>
    <w:rPr>
      <w:rFonts w:ascii="Symbol" w:hAnsi="Symbol"/>
    </w:rPr>
  </w:style>
  <w:style w:type="character" w:customStyle="1" w:styleId="OutlineNumbered3Char">
    <w:name w:val="Outline Numbered 3 Char"/>
    <w:basedOn w:val="Dotpoint1Char"/>
    <w:link w:val="OutlineNumbered3"/>
    <w:rsid w:val="00A16F62"/>
    <w:rPr>
      <w:rFonts w:ascii="Symbol" w:hAnsi="Symbol"/>
    </w:rPr>
  </w:style>
  <w:style w:type="character" w:customStyle="1" w:styleId="NormalparatextwithnumbersChar">
    <w:name w:val="Normal para text (with numbers) Char"/>
    <w:basedOn w:val="DefaultParagraphFont"/>
    <w:link w:val="Normalparatextwithnumbers"/>
    <w:rsid w:val="00727DEF"/>
    <w:rPr>
      <w:rFonts w:ascii="Times New Roman" w:hAnsi="Times New Roman"/>
    </w:rPr>
  </w:style>
  <w:style w:type="character" w:styleId="CommentReference">
    <w:name w:val="annotation reference"/>
    <w:basedOn w:val="DefaultParagraphFont"/>
    <w:uiPriority w:val="99"/>
    <w:semiHidden/>
    <w:unhideWhenUsed/>
    <w:rsid w:val="006D2F71"/>
    <w:rPr>
      <w:sz w:val="16"/>
      <w:szCs w:val="16"/>
    </w:rPr>
  </w:style>
  <w:style w:type="paragraph" w:styleId="CommentText">
    <w:name w:val="annotation text"/>
    <w:basedOn w:val="Normal"/>
    <w:link w:val="CommentTextChar"/>
    <w:uiPriority w:val="99"/>
    <w:unhideWhenUsed/>
    <w:rsid w:val="006D2F71"/>
    <w:rPr>
      <w:sz w:val="20"/>
      <w:szCs w:val="20"/>
    </w:rPr>
  </w:style>
  <w:style w:type="character" w:customStyle="1" w:styleId="CommentTextChar">
    <w:name w:val="Comment Text Char"/>
    <w:basedOn w:val="DefaultParagraphFont"/>
    <w:link w:val="CommentText"/>
    <w:uiPriority w:val="99"/>
    <w:rsid w:val="006D2F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244E5"/>
    <w:rPr>
      <w:b/>
      <w:bCs/>
    </w:rPr>
  </w:style>
  <w:style w:type="character" w:customStyle="1" w:styleId="CommentSubjectChar">
    <w:name w:val="Comment Subject Char"/>
    <w:basedOn w:val="CommentTextChar"/>
    <w:link w:val="CommentSubject"/>
    <w:uiPriority w:val="99"/>
    <w:semiHidden/>
    <w:rsid w:val="00A244E5"/>
    <w:rPr>
      <w:rFonts w:ascii="Times New Roman" w:hAnsi="Times New Roman"/>
      <w:b/>
      <w:bCs/>
      <w:sz w:val="20"/>
      <w:szCs w:val="20"/>
    </w:rPr>
  </w:style>
  <w:style w:type="paragraph" w:customStyle="1" w:styleId="SubsectionHead">
    <w:name w:val="SubsectionHead"/>
    <w:aliases w:val="ssh"/>
    <w:basedOn w:val="Normal"/>
    <w:next w:val="Normal"/>
    <w:rsid w:val="001746F1"/>
    <w:pPr>
      <w:keepNext/>
      <w:keepLines/>
      <w:spacing w:before="240" w:after="0"/>
      <w:ind w:left="1134"/>
    </w:pPr>
    <w:rPr>
      <w:rFonts w:eastAsia="Times New Roman" w:cs="Times New Roman"/>
      <w:i/>
      <w:szCs w:val="20"/>
      <w:lang w:eastAsia="en-AU"/>
    </w:rPr>
  </w:style>
  <w:style w:type="paragraph" w:customStyle="1" w:styleId="Bullet">
    <w:name w:val="Bullet"/>
    <w:basedOn w:val="Normal"/>
    <w:link w:val="BulletChar"/>
    <w:rsid w:val="00230E06"/>
    <w:pPr>
      <w:numPr>
        <w:numId w:val="26"/>
      </w:numPr>
    </w:pPr>
  </w:style>
  <w:style w:type="character" w:customStyle="1" w:styleId="BulletChar">
    <w:name w:val="Bullet Char"/>
    <w:basedOn w:val="NormalparatextwithnumbersChar"/>
    <w:link w:val="Bullet"/>
    <w:rsid w:val="00AA5C3B"/>
    <w:rPr>
      <w:rFonts w:ascii="Times New Roman" w:hAnsi="Times New Roman"/>
    </w:rPr>
  </w:style>
  <w:style w:type="paragraph" w:customStyle="1" w:styleId="DoubleDot">
    <w:name w:val="Double Dot"/>
    <w:basedOn w:val="Normal"/>
    <w:link w:val="DoubleDotChar"/>
    <w:rsid w:val="00AA5C3B"/>
    <w:pPr>
      <w:numPr>
        <w:ilvl w:val="2"/>
        <w:numId w:val="26"/>
      </w:numPr>
    </w:pPr>
  </w:style>
  <w:style w:type="character" w:customStyle="1" w:styleId="DoubleDotChar">
    <w:name w:val="Double Dot Char"/>
    <w:basedOn w:val="NormalparatextwithnumbersChar"/>
    <w:link w:val="DoubleDot"/>
    <w:rsid w:val="00AA5C3B"/>
    <w:rPr>
      <w:rFonts w:ascii="Times New Roman" w:hAnsi="Times New Roman"/>
    </w:rPr>
  </w:style>
  <w:style w:type="paragraph" w:styleId="TOC4">
    <w:name w:val="toc 4"/>
    <w:basedOn w:val="Normal"/>
    <w:next w:val="Normal"/>
    <w:autoRedefine/>
    <w:uiPriority w:val="39"/>
    <w:semiHidden/>
    <w:unhideWhenUsed/>
    <w:rsid w:val="007B7BB3"/>
    <w:pPr>
      <w:spacing w:after="100"/>
      <w:ind w:left="660"/>
    </w:pPr>
  </w:style>
  <w:style w:type="paragraph" w:styleId="TOC5">
    <w:name w:val="toc 5"/>
    <w:basedOn w:val="Normal"/>
    <w:next w:val="Normal"/>
    <w:autoRedefine/>
    <w:uiPriority w:val="39"/>
    <w:semiHidden/>
    <w:unhideWhenUsed/>
    <w:rsid w:val="007B7BB3"/>
    <w:pPr>
      <w:spacing w:after="100"/>
      <w:ind w:left="880"/>
    </w:pPr>
  </w:style>
  <w:style w:type="paragraph" w:styleId="TOC6">
    <w:name w:val="toc 6"/>
    <w:basedOn w:val="Normal"/>
    <w:next w:val="Normal"/>
    <w:autoRedefine/>
    <w:uiPriority w:val="39"/>
    <w:semiHidden/>
    <w:unhideWhenUsed/>
    <w:rsid w:val="007B7BB3"/>
    <w:pPr>
      <w:spacing w:after="100"/>
      <w:ind w:left="1100"/>
    </w:pPr>
  </w:style>
  <w:style w:type="paragraph" w:styleId="TOC7">
    <w:name w:val="toc 7"/>
    <w:basedOn w:val="Normal"/>
    <w:next w:val="Normal"/>
    <w:autoRedefine/>
    <w:uiPriority w:val="39"/>
    <w:semiHidden/>
    <w:unhideWhenUsed/>
    <w:rsid w:val="007B7BB3"/>
    <w:pPr>
      <w:spacing w:after="100"/>
      <w:ind w:left="1320"/>
    </w:pPr>
  </w:style>
  <w:style w:type="paragraph" w:styleId="TOC8">
    <w:name w:val="toc 8"/>
    <w:basedOn w:val="Normal"/>
    <w:next w:val="Normal"/>
    <w:autoRedefine/>
    <w:uiPriority w:val="39"/>
    <w:semiHidden/>
    <w:unhideWhenUsed/>
    <w:rsid w:val="007B7BB3"/>
    <w:pPr>
      <w:spacing w:after="100"/>
      <w:ind w:left="1540"/>
    </w:pPr>
  </w:style>
  <w:style w:type="paragraph" w:styleId="TOC9">
    <w:name w:val="toc 9"/>
    <w:basedOn w:val="Normal"/>
    <w:next w:val="Normal"/>
    <w:autoRedefine/>
    <w:uiPriority w:val="39"/>
    <w:semiHidden/>
    <w:unhideWhenUsed/>
    <w:rsid w:val="007B7BB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22704">
      <w:bodyDiv w:val="1"/>
      <w:marLeft w:val="0"/>
      <w:marRight w:val="0"/>
      <w:marTop w:val="0"/>
      <w:marBottom w:val="0"/>
      <w:divBdr>
        <w:top w:val="none" w:sz="0" w:space="0" w:color="auto"/>
        <w:left w:val="none" w:sz="0" w:space="0" w:color="auto"/>
        <w:bottom w:val="none" w:sz="0" w:space="0" w:color="auto"/>
        <w:right w:val="none" w:sz="0" w:space="0" w:color="auto"/>
      </w:divBdr>
      <w:divsChild>
        <w:div w:id="75707128">
          <w:marLeft w:val="1080"/>
          <w:marRight w:val="0"/>
          <w:marTop w:val="100"/>
          <w:marBottom w:val="0"/>
          <w:divBdr>
            <w:top w:val="none" w:sz="0" w:space="0" w:color="auto"/>
            <w:left w:val="none" w:sz="0" w:space="0" w:color="auto"/>
            <w:bottom w:val="none" w:sz="0" w:space="0" w:color="auto"/>
            <w:right w:val="none" w:sz="0" w:space="0" w:color="auto"/>
          </w:divBdr>
        </w:div>
        <w:div w:id="845368192">
          <w:marLeft w:val="1080"/>
          <w:marRight w:val="0"/>
          <w:marTop w:val="100"/>
          <w:marBottom w:val="0"/>
          <w:divBdr>
            <w:top w:val="none" w:sz="0" w:space="0" w:color="auto"/>
            <w:left w:val="none" w:sz="0" w:space="0" w:color="auto"/>
            <w:bottom w:val="none" w:sz="0" w:space="0" w:color="auto"/>
            <w:right w:val="none" w:sz="0" w:space="0" w:color="auto"/>
          </w:divBdr>
        </w:div>
        <w:div w:id="1710228417">
          <w:marLeft w:val="1080"/>
          <w:marRight w:val="0"/>
          <w:marTop w:val="100"/>
          <w:marBottom w:val="0"/>
          <w:divBdr>
            <w:top w:val="none" w:sz="0" w:space="0" w:color="auto"/>
            <w:left w:val="none" w:sz="0" w:space="0" w:color="auto"/>
            <w:bottom w:val="none" w:sz="0" w:space="0" w:color="auto"/>
            <w:right w:val="none" w:sz="0" w:space="0" w:color="auto"/>
          </w:divBdr>
        </w:div>
      </w:divsChild>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873922858">
      <w:bodyDiv w:val="1"/>
      <w:marLeft w:val="0"/>
      <w:marRight w:val="0"/>
      <w:marTop w:val="0"/>
      <w:marBottom w:val="0"/>
      <w:divBdr>
        <w:top w:val="none" w:sz="0" w:space="0" w:color="auto"/>
        <w:left w:val="none" w:sz="0" w:space="0" w:color="auto"/>
        <w:bottom w:val="none" w:sz="0" w:space="0" w:color="auto"/>
        <w:right w:val="none" w:sz="0" w:space="0" w:color="auto"/>
      </w:divBdr>
      <w:divsChild>
        <w:div w:id="1320421458">
          <w:marLeft w:val="1080"/>
          <w:marRight w:val="0"/>
          <w:marTop w:val="100"/>
          <w:marBottom w:val="0"/>
          <w:divBdr>
            <w:top w:val="none" w:sz="0" w:space="0" w:color="auto"/>
            <w:left w:val="none" w:sz="0" w:space="0" w:color="auto"/>
            <w:bottom w:val="none" w:sz="0" w:space="0" w:color="auto"/>
            <w:right w:val="none" w:sz="0" w:space="0" w:color="auto"/>
          </w:divBdr>
        </w:div>
        <w:div w:id="1520310720">
          <w:marLeft w:val="1080"/>
          <w:marRight w:val="0"/>
          <w:marTop w:val="100"/>
          <w:marBottom w:val="0"/>
          <w:divBdr>
            <w:top w:val="none" w:sz="0" w:space="0" w:color="auto"/>
            <w:left w:val="none" w:sz="0" w:space="0" w:color="auto"/>
            <w:bottom w:val="none" w:sz="0" w:space="0" w:color="auto"/>
            <w:right w:val="none" w:sz="0" w:space="0" w:color="auto"/>
          </w:divBdr>
        </w:div>
        <w:div w:id="1866015397">
          <w:marLeft w:val="1080"/>
          <w:marRight w:val="0"/>
          <w:marTop w:val="100"/>
          <w:marBottom w:val="0"/>
          <w:divBdr>
            <w:top w:val="none" w:sz="0" w:space="0" w:color="auto"/>
            <w:left w:val="none" w:sz="0" w:space="0" w:color="auto"/>
            <w:bottom w:val="none" w:sz="0" w:space="0" w:color="auto"/>
            <w:right w:val="none" w:sz="0" w:space="0" w:color="auto"/>
          </w:divBdr>
        </w:div>
        <w:div w:id="2060323486">
          <w:marLeft w:val="1080"/>
          <w:marRight w:val="0"/>
          <w:marTop w:val="100"/>
          <w:marBottom w:val="0"/>
          <w:divBdr>
            <w:top w:val="none" w:sz="0" w:space="0" w:color="auto"/>
            <w:left w:val="none" w:sz="0" w:space="0" w:color="auto"/>
            <w:bottom w:val="none" w:sz="0" w:space="0" w:color="auto"/>
            <w:right w:val="none" w:sz="0" w:space="0" w:color="auto"/>
          </w:divBdr>
        </w:div>
      </w:divsChild>
    </w:div>
    <w:div w:id="1137259636">
      <w:bodyDiv w:val="1"/>
      <w:marLeft w:val="0"/>
      <w:marRight w:val="0"/>
      <w:marTop w:val="0"/>
      <w:marBottom w:val="0"/>
      <w:divBdr>
        <w:top w:val="none" w:sz="0" w:space="0" w:color="auto"/>
        <w:left w:val="none" w:sz="0" w:space="0" w:color="auto"/>
        <w:bottom w:val="none" w:sz="0" w:space="0" w:color="auto"/>
        <w:right w:val="none" w:sz="0" w:space="0" w:color="auto"/>
      </w:divBdr>
    </w:div>
    <w:div w:id="136401456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547526038">
      <w:bodyDiv w:val="1"/>
      <w:marLeft w:val="0"/>
      <w:marRight w:val="0"/>
      <w:marTop w:val="0"/>
      <w:marBottom w:val="0"/>
      <w:divBdr>
        <w:top w:val="none" w:sz="0" w:space="0" w:color="auto"/>
        <w:left w:val="none" w:sz="0" w:space="0" w:color="auto"/>
        <w:bottom w:val="none" w:sz="0" w:space="0" w:color="auto"/>
        <w:right w:val="none" w:sz="0" w:space="0" w:color="auto"/>
      </w:divBdr>
    </w:div>
    <w:div w:id="1620648710">
      <w:bodyDiv w:val="1"/>
      <w:marLeft w:val="0"/>
      <w:marRight w:val="0"/>
      <w:marTop w:val="0"/>
      <w:marBottom w:val="0"/>
      <w:divBdr>
        <w:top w:val="none" w:sz="0" w:space="0" w:color="auto"/>
        <w:left w:val="none" w:sz="0" w:space="0" w:color="auto"/>
        <w:bottom w:val="none" w:sz="0" w:space="0" w:color="auto"/>
        <w:right w:val="none" w:sz="0" w:space="0" w:color="auto"/>
      </w:divBdr>
    </w:div>
    <w:div w:id="1714771863">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5D7SUYYWNZQE-304961098-290</_dlc_DocId>
    <TaxCatchAll xmlns="ff38c824-6e29-4496-8487-69f397e7ed29">
      <Value>50</Value>
      <Value>28</Value>
      <Value>75</Value>
      <Value>74</Value>
      <Value>3</Value>
      <Value>1</Value>
    </TaxCatchAll>
    <_dlc_DocIdUrl xmlns="fe39d773-a83d-4623-ae74-f25711a76616">
      <Url>https://austreasury.sharepoint.com/sites/leg-meas-function/_layouts/15/DocIdRedir.aspx?ID=5D7SUYYWNZQE-304961098-290</Url>
      <Description>5D7SUYYWNZQE-304961098-290</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Memorandum</TermName>
          <TermId xmlns="http://schemas.microsoft.com/office/infopath/2007/PartnerControls">faf76e06-3cdb-48f5-b70e-ae5aeebaff66</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Election Commitment 2022</Measureorigin>
    <PT_x002f_Measure_x0020_No. xmlns="ff38c824-6e29-4496-8487-69f397e7ed29">TSY/47/0152</PT_x002f_Measure_x0020_No.>
    <Keydoc xmlns="a289cb20-8bb9-401f-8d7b-706fb1a2988d" xsi:nil="true"/>
    <Act_x0028_s_x0029_beingamended xmlns="a289cb20-8bb9-401f-8d7b-706fb1a2988d">Income Tax Assessment Act 1997 </Act_x0028_s_x0029_beingamended>
    <Projectname xmlns="a289cb20-8bb9-401f-8d7b-706fb1a2988d">Multinational tax integrity package </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International Tax</TermName>
          <TermId xmlns="http://schemas.microsoft.com/office/infopath/2007/PartnerControls">b05bf1ba-bcc0-4933-8357-98e437f07462</TermId>
        </TermInfo>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s>
    </gfba5f33532c49208d2320ce38cc3c2b>
    <SharedWithUsers xmlns="ff38c824-6e29-4496-8487-69f397e7ed29">
      <UserInfo>
        <DisplayName>Shreeve, Zoe</DisplayName>
        <AccountId>573</AccountId>
        <AccountType/>
      </UserInfo>
      <UserInfo>
        <DisplayName>Hawkins, David</DisplayName>
        <AccountId>105</AccountId>
        <AccountType/>
      </UserInfo>
      <UserInfo>
        <DisplayName>Mouawad, Mira</DisplayName>
        <AccountId>223</AccountId>
        <AccountType/>
      </UserInfo>
      <UserInfo>
        <DisplayName>Zhao, Lily</DisplayName>
        <AccountId>224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AA73F4CAE9B14BAF4AF27B78F1F7EB" ma:contentTypeVersion="22" ma:contentTypeDescription="Create a new document." ma:contentTypeScope="" ma:versionID="6c471951df1e6b85a5d53ee5edec3e25">
  <xsd:schema xmlns:xsd="http://www.w3.org/2001/XMLSchema" xmlns:xs="http://www.w3.org/2001/XMLSchema" xmlns:p="http://schemas.microsoft.com/office/2006/metadata/properties" xmlns:ns1="http://schemas.microsoft.com/sharepoint/v3" xmlns:ns2="fe39d773-a83d-4623-ae74-f25711a76616" xmlns:ns3="ff38c824-6e29-4496-8487-69f397e7ed29" xmlns:ns4="a289cb20-8bb9-401f-8d7b-706fb1a2988d" targetNamespace="http://schemas.microsoft.com/office/2006/metadata/properties" ma:root="true" ma:fieldsID="9b53fe0912df1d47ff3e87dc3aa3b3ee" ns1:_="" ns2:_="" ns3:_="" ns4:_="">
    <xsd:import namespace="http://schemas.microsoft.com/sharepoint/v3"/>
    <xsd:import namespace="fe39d773-a83d-4623-ae74-f25711a76616"/>
    <xsd:import namespace="ff38c824-6e29-4496-8487-69f397e7ed29"/>
    <xsd:import namespace="a289cb20-8bb9-401f-8d7b-706fb1a2988d"/>
    <xsd:element name="properties">
      <xsd:complexType>
        <xsd:sequence>
          <xsd:element name="documentManagement">
            <xsd:complexType>
              <xsd:all>
                <xsd:element ref="ns2:_dlc_DocId" minOccurs="0"/>
                <xsd:element ref="ns2:_dlc_DocIdUrl" minOccurs="0"/>
                <xsd:element ref="ns2:_dlc_DocIdPersistId" minOccurs="0"/>
                <xsd:element ref="ns2:a48f371a4a874164b16a8c4aab488f5c"/>
                <xsd:element ref="ns3:TaxCatchAll" minOccurs="0"/>
                <xsd:element ref="ns3:TaxCatchAllLabel" minOccurs="0"/>
                <xsd:element ref="ns2:e4fe7dcdd1c0411bbf19a4de3665191f"/>
                <xsd:element ref="ns2:gfba5f33532c49208d2320ce38cc3c2b"/>
                <xsd:element ref="ns2:kfc39f3e4e2747ae990d3c8bb74a5a64"/>
                <xsd:element ref="ns2: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3:PT_x002f_Measure_x0020_No." minOccurs="0"/>
                <xsd:element ref="ns1:DocumentSetDescrip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B365E2-A817-49FA-9295-CAB62986032D}">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2.xml><?xml version="1.0" encoding="utf-8"?>
<ds:datastoreItem xmlns:ds="http://schemas.openxmlformats.org/officeDocument/2006/customXml" ds:itemID="{466923F5-2C3A-4884-9281-238330888898}">
  <ds:schemaRefs>
    <ds:schemaRef ds:uri="http://schemas.microsoft.com/sharepoint/v3/contenttype/forms"/>
  </ds:schemaRefs>
</ds:datastoreItem>
</file>

<file path=customXml/itemProps3.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4.xml><?xml version="1.0" encoding="utf-8"?>
<ds:datastoreItem xmlns:ds="http://schemas.openxmlformats.org/officeDocument/2006/customXml" ds:itemID="{39BAEF59-7B79-4F37-A0B4-98D5A742D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39d773-a83d-4623-ae74-f25711a76616"/>
    <ds:schemaRef ds:uri="ff38c824-6e29-4496-8487-69f397e7ed29"/>
    <ds:schemaRef ds:uri="a289cb20-8bb9-401f-8d7b-706fb1a29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0CBA7-A152-4ED1-B71B-9801CA6332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Pri-EM.dotx</Template>
  <TotalTime>3</TotalTime>
  <Pages>28</Pages>
  <Words>9111</Words>
  <Characters>47105</Characters>
  <Application>Microsoft Office Word</Application>
  <DocSecurity>0</DocSecurity>
  <Lines>942</Lines>
  <Paragraphs>347</Paragraphs>
  <ScaleCrop>false</ScaleCrop>
  <HeadingPairs>
    <vt:vector size="2" baseType="variant">
      <vt:variant>
        <vt:lpstr>Title</vt:lpstr>
      </vt:variant>
      <vt:variant>
        <vt:i4>1</vt:i4>
      </vt:variant>
    </vt:vector>
  </HeadingPairs>
  <TitlesOfParts>
    <vt:vector size="1" baseType="lpstr">
      <vt:lpstr>TREASURY LAWS AMENDMENT (MEASURES FOR FUTURE BILLS) BILL 2023: THIN CAPITALISATION INTEREST LIMITATION - EXPOSURE DRAFT EXPLANATORY MEMORANDUM </vt:lpstr>
    </vt:vector>
  </TitlesOfParts>
  <Company/>
  <LinksUpToDate>false</LinksUpToDate>
  <CharactersWithSpaces>55869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TREASURY LAWS AMENDMENT (MEASURES FOR FUTURE BILLS) BILL 2023: THIN CAPITALISATION INTEREST LIMITATION - EXPOSURE DRAFT EXPLANATORY MEMORANDUM </dc:title>
  <dc:subject/>
  <dc:creator>Treasury</dc:creator>
  <cp:keywords/>
  <dc:description/>
  <cp:lastModifiedBy>Thompson, Lynette</cp:lastModifiedBy>
  <cp:revision>5</cp:revision>
  <cp:lastPrinted>2023-03-16T02:48:00Z</cp:lastPrinted>
  <dcterms:created xsi:type="dcterms:W3CDTF">2023-03-16T02:47:00Z</dcterms:created>
  <dcterms:modified xsi:type="dcterms:W3CDTF">2023-03-16T03:17:00Z</dcterms:modified>
</cp:coreProperties>
</file>