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EE596B5" w14:textId="03E2D339" w:rsidR="00817031" w:rsidRDefault="00817031" w:rsidP="006469CC">
      <w:pPr>
        <w:pStyle w:val="ListParagraph"/>
      </w:pPr>
    </w:p>
    <w:sdt>
      <w:sdtPr>
        <w:id w:val="-1442289537"/>
        <w:docPartObj>
          <w:docPartGallery w:val="Cover Pages"/>
          <w:docPartUnique/>
        </w:docPartObj>
      </w:sdtPr>
      <w:sdtEndPr/>
      <w:sdtContent>
        <w:p w14:paraId="05FDB7BB" w14:textId="181A2AB8" w:rsidR="00A97160" w:rsidRPr="006D0240" w:rsidRDefault="00A97160" w:rsidP="006469CC">
          <w:pPr>
            <w:pStyle w:val="ListParagraph"/>
          </w:pPr>
          <w:r>
            <w:rPr>
              <w:noProof/>
            </w:rPr>
            <w:drawing>
              <wp:anchor distT="0" distB="0" distL="114300" distR="114300" simplePos="0" relativeHeight="251658240" behindDoc="1" locked="0" layoutInCell="1" allowOverlap="1" wp14:anchorId="1B0A87A6" wp14:editId="2F87D04C">
                <wp:simplePos x="0" y="0"/>
                <wp:positionH relativeFrom="margin">
                  <wp:posOffset>-905510</wp:posOffset>
                </wp:positionH>
                <wp:positionV relativeFrom="page">
                  <wp:posOffset>-17780</wp:posOffset>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E311C" w14:textId="77777777" w:rsidR="00A97160" w:rsidRPr="006D0240" w:rsidRDefault="00A97160" w:rsidP="00301755">
          <w:pPr>
            <w:pStyle w:val="Header"/>
            <w:spacing w:after="1200"/>
          </w:pPr>
        </w:p>
        <w:p w14:paraId="29D530AE" w14:textId="174DD626" w:rsidR="003D186A" w:rsidRPr="006923DF" w:rsidRDefault="003D186A" w:rsidP="003D186A">
          <w:pPr>
            <w:pStyle w:val="Title"/>
            <w:spacing w:before="480"/>
          </w:pPr>
          <w:r w:rsidRPr="00DE2906">
            <w:t>Australian Government Pay</w:t>
          </w:r>
          <w:r w:rsidR="00341232">
            <w:t> </w:t>
          </w:r>
          <w:r w:rsidRPr="00DE2906">
            <w:t>On</w:t>
          </w:r>
          <w:r w:rsidR="00153E34">
            <w:noBreakHyphen/>
          </w:r>
          <w:r w:rsidRPr="00DE2906">
            <w:t xml:space="preserve">Time Survey </w:t>
          </w:r>
          <w:r w:rsidR="00FB2D56">
            <w:br/>
          </w:r>
          <w:r w:rsidRPr="00DE2906">
            <w:t>2021–22</w:t>
          </w:r>
        </w:p>
        <w:p w14:paraId="51DA0546" w14:textId="1A2B5AEE" w:rsidR="00A97160" w:rsidRPr="006923DF" w:rsidRDefault="003D186A" w:rsidP="00EE0F39">
          <w:pPr>
            <w:pStyle w:val="Subtitle"/>
          </w:pPr>
          <w:r>
            <w:t xml:space="preserve">Performance </w:t>
          </w:r>
          <w:r w:rsidRPr="00EE0F39">
            <w:t>Report</w:t>
          </w:r>
        </w:p>
        <w:p w14:paraId="34094079" w14:textId="4903564A" w:rsidR="00A97160" w:rsidRPr="00EE0F39" w:rsidRDefault="00381295" w:rsidP="00EE0F39">
          <w:pPr>
            <w:pStyle w:val="ReportDate"/>
            <w:rPr>
              <w:rStyle w:val="ReportDateChar"/>
            </w:rPr>
          </w:pPr>
          <w:bookmarkStart w:id="0" w:name="_Toc126833746"/>
          <w:bookmarkStart w:id="1" w:name="_Toc126834047"/>
          <w:bookmarkStart w:id="2" w:name="_Toc126932687"/>
          <w:bookmarkStart w:id="3" w:name="_Toc131005393"/>
          <w:r>
            <w:rPr>
              <w:rStyle w:val="Heading1Char"/>
              <w:b w:val="0"/>
              <w:bCs/>
              <w:color w:val="90B6F0" w:themeColor="accent5"/>
              <w:sz w:val="36"/>
              <w:szCs w:val="16"/>
            </w:rPr>
            <w:t>April</w:t>
          </w:r>
          <w:r w:rsidR="003D186A" w:rsidRPr="0029426C">
            <w:rPr>
              <w:rStyle w:val="Heading1Char"/>
              <w:b w:val="0"/>
              <w:bCs/>
              <w:color w:val="90B6F0" w:themeColor="accent5"/>
              <w:sz w:val="36"/>
              <w:szCs w:val="16"/>
            </w:rPr>
            <w:t xml:space="preserve"> 2023</w:t>
          </w:r>
          <w:bookmarkEnd w:id="0"/>
          <w:bookmarkEnd w:id="1"/>
          <w:bookmarkEnd w:id="2"/>
          <w:bookmarkEnd w:id="3"/>
        </w:p>
        <w:p w14:paraId="0058338A" w14:textId="04C39374" w:rsidR="00A97160" w:rsidRDefault="00A97160">
          <w:pPr>
            <w:spacing w:before="0" w:after="160" w:line="259" w:lineRule="auto"/>
          </w:pPr>
          <w:r>
            <w:br w:type="page"/>
          </w:r>
        </w:p>
      </w:sdtContent>
    </w:sdt>
    <w:p w14:paraId="6F538DFC" w14:textId="46A2BDE4" w:rsidR="000E0B74" w:rsidRDefault="000E0B74" w:rsidP="005877AC">
      <w:pPr>
        <w:spacing w:before="0" w:after="160" w:line="259" w:lineRule="auto"/>
      </w:pPr>
      <w:r w:rsidRPr="00661BF0">
        <w:t xml:space="preserve">© Commonwealth of Australia </w:t>
      </w:r>
      <w:r w:rsidRPr="00B241C0">
        <w:t>20</w:t>
      </w:r>
      <w:r w:rsidR="00B241C0" w:rsidRPr="00B241C0">
        <w:t>23</w:t>
      </w:r>
    </w:p>
    <w:p w14:paraId="737AF81A" w14:textId="10A02F6C" w:rsidR="006469CC" w:rsidRDefault="006469CC" w:rsidP="005877AC">
      <w:pPr>
        <w:spacing w:before="0" w:after="160" w:line="259" w:lineRule="auto"/>
        <w:rPr>
          <w:noProof/>
        </w:rPr>
      </w:pPr>
      <w:r>
        <w:t xml:space="preserve">ISBN: </w:t>
      </w:r>
      <w:r w:rsidR="00341232" w:rsidRPr="00341232">
        <w:t>978</w:t>
      </w:r>
      <w:r w:rsidR="00153E34">
        <w:noBreakHyphen/>
      </w:r>
      <w:r w:rsidR="00341232" w:rsidRPr="00341232">
        <w:t>1</w:t>
      </w:r>
      <w:r w:rsidR="00153E34">
        <w:noBreakHyphen/>
      </w:r>
      <w:r w:rsidR="00341232" w:rsidRPr="00341232">
        <w:t>925832</w:t>
      </w:r>
      <w:r w:rsidR="00153E34">
        <w:noBreakHyphen/>
      </w:r>
      <w:r w:rsidR="00341232" w:rsidRPr="00341232">
        <w:t>67</w:t>
      </w:r>
      <w:r w:rsidR="00153E34">
        <w:noBreakHyphen/>
      </w:r>
      <w:r w:rsidR="00341232" w:rsidRPr="00341232">
        <w:t>9</w:t>
      </w:r>
    </w:p>
    <w:p w14:paraId="4F8CEB84" w14:textId="25202035"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2"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3"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6C33FA59" w14:textId="412DADFB" w:rsidR="000E0B74" w:rsidRDefault="000E0B74" w:rsidP="000E0B74">
      <w:pPr>
        <w:pStyle w:val="ChartGraphic"/>
        <w:jc w:val="left"/>
      </w:pPr>
      <w:r w:rsidRPr="00E56DFB">
        <w:rPr>
          <w:noProof/>
        </w:rPr>
        <w:drawing>
          <wp:inline distT="0" distB="0" distL="0" distR="0" wp14:anchorId="31AF8D0A" wp14:editId="36C2862F">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118088B"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5" w:history="1">
        <w:r w:rsidRPr="002F1BC2">
          <w:rPr>
            <w:rStyle w:val="Hyperlink"/>
          </w:rPr>
          <w:t>Creative Commons Attribution 3.0 Australia</w:t>
        </w:r>
      </w:hyperlink>
      <w:r w:rsidR="00A155F0">
        <w:t xml:space="preserve"> l</w:t>
      </w:r>
      <w:r w:rsidRPr="006627B4">
        <w:t>icence requires you to attribute the work (but not in any way that suggests that the Treasury endorse</w:t>
      </w:r>
      <w:r>
        <w:t>s you or your use of the work).</w:t>
      </w:r>
    </w:p>
    <w:p w14:paraId="320C78AA" w14:textId="09F354C9" w:rsidR="000E0B74" w:rsidRPr="006469CC" w:rsidRDefault="000E0B74" w:rsidP="006469CC">
      <w:pPr>
        <w:spacing w:before="240"/>
        <w:rPr>
          <w:b/>
        </w:rPr>
      </w:pPr>
      <w:r w:rsidRPr="006469CC">
        <w:rPr>
          <w:b/>
        </w:rPr>
        <w:t xml:space="preserve">Treasury material used </w:t>
      </w:r>
      <w:r w:rsidR="00153E34">
        <w:rPr>
          <w:b/>
        </w:rPr>
        <w:t>‘</w:t>
      </w:r>
      <w:r w:rsidRPr="006469CC">
        <w:rPr>
          <w:b/>
        </w:rPr>
        <w:t>as supplied</w:t>
      </w:r>
      <w:r w:rsidR="00153E34">
        <w:rPr>
          <w:b/>
        </w:rPr>
        <w:t>’</w:t>
      </w:r>
    </w:p>
    <w:p w14:paraId="237DE621" w14:textId="11380CF7" w:rsidR="000E0B74" w:rsidRPr="00476F09" w:rsidRDefault="000E0B74" w:rsidP="00386297">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153E34">
        <w:t xml:space="preserve"> – </w:t>
      </w:r>
      <w:r>
        <w:t>then Treasury prefers t</w:t>
      </w:r>
      <w:r w:rsidRPr="00476F09">
        <w:t xml:space="preserve">he following attribution: </w:t>
      </w:r>
    </w:p>
    <w:p w14:paraId="2FF247B2" w14:textId="7185E582" w:rsidR="000E0B74" w:rsidRPr="00A13A11" w:rsidRDefault="000E0B74" w:rsidP="000E0B74">
      <w:pPr>
        <w:ind w:firstLine="720"/>
      </w:pPr>
      <w:r w:rsidRPr="002F1BC2">
        <w:rPr>
          <w:i/>
        </w:rPr>
        <w:t xml:space="preserve">Source: The </w:t>
      </w:r>
      <w:r w:rsidRPr="002F1BC2">
        <w:rPr>
          <w:i/>
          <w:iCs/>
        </w:rPr>
        <w:t>Australian Government the Treasury</w:t>
      </w:r>
      <w:r>
        <w:t>.</w:t>
      </w:r>
    </w:p>
    <w:p w14:paraId="7CB54AFB" w14:textId="77777777" w:rsidR="000E0B74" w:rsidRPr="006627B4" w:rsidRDefault="000E0B74" w:rsidP="000E0B74">
      <w:pPr>
        <w:spacing w:before="240"/>
      </w:pPr>
      <w:r w:rsidRPr="00CC63CC">
        <w:rPr>
          <w:b/>
        </w:rPr>
        <w:t>Derivative</w:t>
      </w:r>
      <w:r w:rsidRPr="006627B4">
        <w:t xml:space="preserve"> </w:t>
      </w:r>
      <w:r w:rsidRPr="00CC63CC">
        <w:rPr>
          <w:b/>
        </w:rPr>
        <w:t>material</w:t>
      </w:r>
    </w:p>
    <w:p w14:paraId="520A7EC9"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77AECBBE" w14:textId="379F57AC" w:rsidR="000E0B74" w:rsidRPr="006627B4" w:rsidRDefault="000E0B74" w:rsidP="000E0B74">
      <w:pPr>
        <w:ind w:firstLine="720"/>
      </w:pPr>
      <w:r w:rsidRPr="002F1BC2">
        <w:rPr>
          <w:i/>
        </w:rPr>
        <w:t>Based on The Australian Government the Treasury data</w:t>
      </w:r>
      <w:r>
        <w:t>.</w:t>
      </w:r>
    </w:p>
    <w:p w14:paraId="07CB395A" w14:textId="77777777" w:rsidR="000E0B74" w:rsidRPr="006627B4" w:rsidRDefault="000E0B74" w:rsidP="000E0B74">
      <w:pPr>
        <w:spacing w:before="240"/>
        <w:rPr>
          <w:b/>
        </w:rPr>
      </w:pPr>
      <w:r w:rsidRPr="006627B4">
        <w:rPr>
          <w:b/>
        </w:rPr>
        <w:t>Use of the Coat of Arms</w:t>
      </w:r>
    </w:p>
    <w:p w14:paraId="1A63F8F4" w14:textId="0D12AD5B" w:rsidR="005C503A" w:rsidRPr="005C503A" w:rsidRDefault="005C503A" w:rsidP="005C503A">
      <w:pPr>
        <w:spacing w:before="240"/>
      </w:pPr>
      <w:r w:rsidRPr="005C503A">
        <w:t xml:space="preserve">The terms under which the Coat of Arms can be used are set out on the Department of the Prime Minister and Cabinet website (see </w:t>
      </w:r>
      <w:hyperlink r:id="rId16" w:history="1">
        <w:r w:rsidR="00F669CD">
          <w:rPr>
            <w:rStyle w:val="Hyperlink"/>
          </w:rPr>
          <w:t>http://www.pmc.gov.au/government/commonwealth</w:t>
        </w:r>
        <w:r w:rsidR="00153E34">
          <w:rPr>
            <w:rStyle w:val="Hyperlink"/>
          </w:rPr>
          <w:noBreakHyphen/>
        </w:r>
        <w:r w:rsidR="00F669CD">
          <w:rPr>
            <w:rStyle w:val="Hyperlink"/>
          </w:rPr>
          <w:t>coat</w:t>
        </w:r>
        <w:r w:rsidR="00153E34">
          <w:rPr>
            <w:rStyle w:val="Hyperlink"/>
          </w:rPr>
          <w:noBreakHyphen/>
        </w:r>
        <w:r w:rsidR="00F669CD">
          <w:rPr>
            <w:rStyle w:val="Hyperlink"/>
          </w:rPr>
          <w:t>arms</w:t>
        </w:r>
      </w:hyperlink>
      <w:r w:rsidRPr="005C503A">
        <w:t>).</w:t>
      </w:r>
    </w:p>
    <w:p w14:paraId="08527885" w14:textId="77777777" w:rsidR="000E0B74" w:rsidRPr="006627B4" w:rsidRDefault="000E0B74" w:rsidP="000E0B74">
      <w:pPr>
        <w:spacing w:before="240"/>
        <w:rPr>
          <w:b/>
        </w:rPr>
      </w:pPr>
      <w:r>
        <w:rPr>
          <w:b/>
        </w:rPr>
        <w:t>Other u</w:t>
      </w:r>
      <w:r w:rsidRPr="006627B4">
        <w:rPr>
          <w:b/>
        </w:rPr>
        <w:t>ses</w:t>
      </w:r>
    </w:p>
    <w:p w14:paraId="5EE62B8E" w14:textId="77777777" w:rsidR="000E0B74" w:rsidRPr="006627B4" w:rsidRDefault="000E0B74" w:rsidP="000E0B74">
      <w:r>
        <w:t>E</w:t>
      </w:r>
      <w:r w:rsidRPr="006627B4">
        <w:t>nquiries regarding this licence and any other use of this document are welcome at:</w:t>
      </w:r>
    </w:p>
    <w:p w14:paraId="1F462B00" w14:textId="46B958AC" w:rsidR="002C628B" w:rsidRPr="00A57B53" w:rsidRDefault="000E0B74" w:rsidP="00ED794B">
      <w:pPr>
        <w:ind w:left="720"/>
        <w:sectPr w:rsidR="002C628B" w:rsidRPr="00A57B53" w:rsidSect="007E1AD6">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pgNumType w:fmt="lowerRoman" w:start="0"/>
          <w:cols w:space="708"/>
          <w:titlePg/>
          <w:docGrid w:linePitch="360"/>
        </w:sectPr>
      </w:pPr>
      <w:r w:rsidRPr="006627B4">
        <w:t>Manager</w:t>
      </w:r>
      <w:r w:rsidR="00A72960">
        <w:br/>
      </w:r>
      <w:r>
        <w:t>Media Unit</w:t>
      </w:r>
      <w:r>
        <w:br/>
      </w:r>
      <w:r w:rsidRPr="006627B4">
        <w:t>The Treasury</w:t>
      </w:r>
      <w:r>
        <w:br/>
      </w:r>
      <w:r w:rsidRPr="006627B4">
        <w:t xml:space="preserve">Langton Crescent </w:t>
      </w:r>
      <w:r>
        <w:br/>
      </w:r>
      <w:r w:rsidR="00017CE5" w:rsidRPr="006627B4">
        <w:t xml:space="preserve">Parkes </w:t>
      </w:r>
      <w:r w:rsidR="00017CE5">
        <w:t>ACT</w:t>
      </w:r>
      <w:r w:rsidRPr="006627B4">
        <w:t xml:space="preserve"> </w:t>
      </w:r>
      <w:r>
        <w:t xml:space="preserve"> </w:t>
      </w:r>
      <w:r w:rsidRPr="006627B4">
        <w:t>2600</w:t>
      </w:r>
      <w:r>
        <w:br/>
      </w:r>
      <w:r w:rsidRPr="006627B4">
        <w:t xml:space="preserve">Email: </w:t>
      </w:r>
      <w:hyperlink r:id="rId23" w:history="1">
        <w:r w:rsidR="00386297">
          <w:rPr>
            <w:rStyle w:val="Hyperlink"/>
          </w:rPr>
          <w:t>media@treasury.gov.au</w:t>
        </w:r>
      </w:hyperlink>
    </w:p>
    <w:bookmarkStart w:id="4" w:name="_Toc19289776" w:displacedByCustomXml="next"/>
    <w:bookmarkEnd w:id="4" w:displacedByCustomXml="next"/>
    <w:bookmarkStart w:id="5" w:name="_Toc19289643" w:displacedByCustomXml="next"/>
    <w:bookmarkEnd w:id="5" w:displacedByCustomXml="next"/>
    <w:bookmarkStart w:id="6" w:name="_Toc92710933" w:displacedByCustomXml="next"/>
    <w:sdt>
      <w:sdtPr>
        <w:rPr>
          <w:rFonts w:asciiTheme="minorHAnsi" w:eastAsiaTheme="minorHAnsi" w:hAnsiTheme="minorHAnsi" w:cstheme="minorBidi"/>
          <w:b w:val="0"/>
          <w:noProof w:val="0"/>
          <w:color w:val="auto"/>
          <w:szCs w:val="20"/>
        </w:rPr>
        <w:id w:val="-2088995269"/>
        <w:docPartObj>
          <w:docPartGallery w:val="Cover Pages"/>
          <w:docPartUnique/>
        </w:docPartObj>
      </w:sdtPr>
      <w:sdtEndPr>
        <w:rPr>
          <w:rFonts w:ascii="Calibri Light" w:eastAsia="Times New Roman" w:hAnsi="Calibri Light" w:cs="Times New Roman"/>
        </w:rPr>
      </w:sdtEndPr>
      <w:sdtContent>
        <w:sdt>
          <w:sdtPr>
            <w:rPr>
              <w:b w:val="0"/>
              <w:noProof w:val="0"/>
              <w:color w:val="auto"/>
              <w:szCs w:val="20"/>
            </w:rPr>
            <w:id w:val="-2101934364"/>
            <w:docPartObj>
              <w:docPartGallery w:val="Table of Contents"/>
              <w:docPartUnique/>
            </w:docPartObj>
          </w:sdtPr>
          <w:sdtEndPr/>
          <w:sdtContent>
            <w:p w14:paraId="6506EF91" w14:textId="77777777" w:rsidR="002E5C80" w:rsidRDefault="002C628B">
              <w:pPr>
                <w:pStyle w:val="TOC1"/>
              </w:pPr>
              <w:r w:rsidRPr="00F55890">
                <w:rPr>
                  <w:rStyle w:val="Heading1Char"/>
                  <w:rFonts w:eastAsiaTheme="majorEastAsia"/>
                </w:rPr>
                <w:t>Contents</w:t>
              </w:r>
              <w:bookmarkEnd w:id="6"/>
              <w:r w:rsidRPr="00B95414">
                <w:rPr>
                  <w:b w:val="0"/>
                  <w:color w:val="262626" w:themeColor="text1" w:themeTint="D9"/>
                </w:rPr>
                <w:fldChar w:fldCharType="begin"/>
              </w:r>
              <w:r w:rsidRPr="00B95414">
                <w:rPr>
                  <w:color w:val="262626" w:themeColor="text1" w:themeTint="D9"/>
                </w:rPr>
                <w:instrText xml:space="preserve"> TOC \o "1-3" \h \z \u </w:instrText>
              </w:r>
              <w:r w:rsidRPr="00B95414">
                <w:rPr>
                  <w:b w:val="0"/>
                  <w:color w:val="262626" w:themeColor="text1" w:themeTint="D9"/>
                </w:rPr>
                <w:fldChar w:fldCharType="separate"/>
              </w:r>
            </w:p>
            <w:p w14:paraId="5D6443E7" w14:textId="46CC5FA0" w:rsidR="002E5C80" w:rsidRDefault="00601890">
              <w:pPr>
                <w:pStyle w:val="TOC1"/>
                <w:rPr>
                  <w:rFonts w:asciiTheme="minorHAnsi" w:eastAsiaTheme="minorEastAsia" w:hAnsiTheme="minorHAnsi" w:cstheme="minorBidi"/>
                  <w:b w:val="0"/>
                  <w:color w:val="auto"/>
                </w:rPr>
              </w:pPr>
              <w:hyperlink w:anchor="_Toc131005394" w:history="1">
                <w:r w:rsidR="002E5C80" w:rsidRPr="004052D5">
                  <w:rPr>
                    <w:rStyle w:val="Hyperlink"/>
                  </w:rPr>
                  <w:t>Overview</w:t>
                </w:r>
                <w:r w:rsidR="002E5C80">
                  <w:rPr>
                    <w:webHidden/>
                  </w:rPr>
                  <w:tab/>
                </w:r>
                <w:r w:rsidR="002E5C80">
                  <w:rPr>
                    <w:webHidden/>
                  </w:rPr>
                  <w:fldChar w:fldCharType="begin"/>
                </w:r>
                <w:r w:rsidR="002E5C80">
                  <w:rPr>
                    <w:webHidden/>
                  </w:rPr>
                  <w:instrText xml:space="preserve"> PAGEREF _Toc131005394 \h </w:instrText>
                </w:r>
                <w:r w:rsidR="002E5C80">
                  <w:rPr>
                    <w:webHidden/>
                  </w:rPr>
                </w:r>
                <w:r w:rsidR="002E5C80">
                  <w:rPr>
                    <w:webHidden/>
                  </w:rPr>
                  <w:fldChar w:fldCharType="separate"/>
                </w:r>
                <w:r w:rsidR="00462ADF">
                  <w:rPr>
                    <w:webHidden/>
                  </w:rPr>
                  <w:t>3</w:t>
                </w:r>
                <w:r w:rsidR="002E5C80">
                  <w:rPr>
                    <w:webHidden/>
                  </w:rPr>
                  <w:fldChar w:fldCharType="end"/>
                </w:r>
              </w:hyperlink>
            </w:p>
            <w:p w14:paraId="61EAA47A" w14:textId="49D42403" w:rsidR="002E5C80" w:rsidRDefault="00601890">
              <w:pPr>
                <w:pStyle w:val="TOC1"/>
                <w:rPr>
                  <w:rFonts w:asciiTheme="minorHAnsi" w:eastAsiaTheme="minorEastAsia" w:hAnsiTheme="minorHAnsi" w:cstheme="minorBidi"/>
                  <w:b w:val="0"/>
                  <w:color w:val="auto"/>
                </w:rPr>
              </w:pPr>
              <w:hyperlink w:anchor="_Toc131005396" w:history="1">
                <w:r w:rsidR="002E5C80" w:rsidRPr="004052D5">
                  <w:rPr>
                    <w:rStyle w:val="Hyperlink"/>
                  </w:rPr>
                  <w:t>Survey of Australian Government agencies</w:t>
                </w:r>
                <w:r w:rsidR="002E5C80">
                  <w:rPr>
                    <w:webHidden/>
                  </w:rPr>
                  <w:tab/>
                </w:r>
                <w:r w:rsidR="002E5C80">
                  <w:rPr>
                    <w:webHidden/>
                  </w:rPr>
                  <w:fldChar w:fldCharType="begin"/>
                </w:r>
                <w:r w:rsidR="002E5C80">
                  <w:rPr>
                    <w:webHidden/>
                  </w:rPr>
                  <w:instrText xml:space="preserve"> PAGEREF _Toc131005396 \h </w:instrText>
                </w:r>
                <w:r w:rsidR="002E5C80">
                  <w:rPr>
                    <w:webHidden/>
                  </w:rPr>
                </w:r>
                <w:r w:rsidR="002E5C80">
                  <w:rPr>
                    <w:webHidden/>
                  </w:rPr>
                  <w:fldChar w:fldCharType="separate"/>
                </w:r>
                <w:r w:rsidR="00462ADF">
                  <w:rPr>
                    <w:webHidden/>
                  </w:rPr>
                  <w:t>4</w:t>
                </w:r>
                <w:r w:rsidR="002E5C80">
                  <w:rPr>
                    <w:webHidden/>
                  </w:rPr>
                  <w:fldChar w:fldCharType="end"/>
                </w:r>
              </w:hyperlink>
            </w:p>
            <w:p w14:paraId="01B4C5D3" w14:textId="5B9F2E8D" w:rsidR="002E5C80" w:rsidRDefault="00601890">
              <w:pPr>
                <w:pStyle w:val="TOC1"/>
                <w:rPr>
                  <w:rFonts w:asciiTheme="minorHAnsi" w:eastAsiaTheme="minorEastAsia" w:hAnsiTheme="minorHAnsi" w:cstheme="minorBidi"/>
                  <w:b w:val="0"/>
                  <w:color w:val="auto"/>
                </w:rPr>
              </w:pPr>
              <w:hyperlink w:anchor="_Toc131005397" w:history="1">
                <w:r w:rsidR="002E5C80" w:rsidRPr="004052D5">
                  <w:rPr>
                    <w:rStyle w:val="Hyperlink"/>
                  </w:rPr>
                  <w:t>Results</w:t>
                </w:r>
                <w:r w:rsidR="002E5C80">
                  <w:rPr>
                    <w:webHidden/>
                  </w:rPr>
                  <w:tab/>
                </w:r>
                <w:r w:rsidR="002E5C80">
                  <w:rPr>
                    <w:webHidden/>
                  </w:rPr>
                  <w:fldChar w:fldCharType="begin"/>
                </w:r>
                <w:r w:rsidR="002E5C80">
                  <w:rPr>
                    <w:webHidden/>
                  </w:rPr>
                  <w:instrText xml:space="preserve"> PAGEREF _Toc131005397 \h </w:instrText>
                </w:r>
                <w:r w:rsidR="002E5C80">
                  <w:rPr>
                    <w:webHidden/>
                  </w:rPr>
                </w:r>
                <w:r w:rsidR="002E5C80">
                  <w:rPr>
                    <w:webHidden/>
                  </w:rPr>
                  <w:fldChar w:fldCharType="separate"/>
                </w:r>
                <w:r w:rsidR="00462ADF">
                  <w:rPr>
                    <w:webHidden/>
                  </w:rPr>
                  <w:t>5</w:t>
                </w:r>
                <w:r w:rsidR="002E5C80">
                  <w:rPr>
                    <w:webHidden/>
                  </w:rPr>
                  <w:fldChar w:fldCharType="end"/>
                </w:r>
              </w:hyperlink>
            </w:p>
            <w:p w14:paraId="0F15D98A" w14:textId="4CADF58A" w:rsidR="002E5C80" w:rsidRDefault="00601890">
              <w:pPr>
                <w:pStyle w:val="TOC2"/>
                <w:rPr>
                  <w:rFonts w:asciiTheme="minorHAnsi" w:eastAsiaTheme="minorEastAsia" w:hAnsiTheme="minorHAnsi" w:cstheme="minorBidi"/>
                  <w:color w:val="auto"/>
                  <w:szCs w:val="22"/>
                </w:rPr>
              </w:pPr>
              <w:hyperlink w:anchor="_Toc131005398" w:history="1">
                <w:r w:rsidR="002E5C80" w:rsidRPr="004052D5">
                  <w:rPr>
                    <w:rStyle w:val="Hyperlink"/>
                  </w:rPr>
                  <w:t>Government agencies are paying faster</w:t>
                </w:r>
                <w:r w:rsidR="002E5C80">
                  <w:rPr>
                    <w:webHidden/>
                  </w:rPr>
                  <w:tab/>
                </w:r>
                <w:r w:rsidR="002E5C80">
                  <w:rPr>
                    <w:webHidden/>
                  </w:rPr>
                  <w:fldChar w:fldCharType="begin"/>
                </w:r>
                <w:r w:rsidR="002E5C80">
                  <w:rPr>
                    <w:webHidden/>
                  </w:rPr>
                  <w:instrText xml:space="preserve"> PAGEREF _Toc131005398 \h </w:instrText>
                </w:r>
                <w:r w:rsidR="002E5C80">
                  <w:rPr>
                    <w:webHidden/>
                  </w:rPr>
                </w:r>
                <w:r w:rsidR="002E5C80">
                  <w:rPr>
                    <w:webHidden/>
                  </w:rPr>
                  <w:fldChar w:fldCharType="separate"/>
                </w:r>
                <w:r w:rsidR="00462ADF">
                  <w:rPr>
                    <w:webHidden/>
                  </w:rPr>
                  <w:t>5</w:t>
                </w:r>
                <w:r w:rsidR="002E5C80">
                  <w:rPr>
                    <w:webHidden/>
                  </w:rPr>
                  <w:fldChar w:fldCharType="end"/>
                </w:r>
              </w:hyperlink>
            </w:p>
            <w:p w14:paraId="5889D196" w14:textId="5DD7EA84" w:rsidR="002E5C80" w:rsidRDefault="00601890">
              <w:pPr>
                <w:pStyle w:val="TOC2"/>
                <w:rPr>
                  <w:rFonts w:asciiTheme="minorHAnsi" w:eastAsiaTheme="minorEastAsia" w:hAnsiTheme="minorHAnsi" w:cstheme="minorBidi"/>
                  <w:color w:val="auto"/>
                  <w:szCs w:val="22"/>
                </w:rPr>
              </w:pPr>
              <w:hyperlink w:anchor="_Toc131005401" w:history="1">
                <w:r w:rsidR="002E5C80" w:rsidRPr="004052D5">
                  <w:rPr>
                    <w:rStyle w:val="Hyperlink"/>
                  </w:rPr>
                  <w:t>Payment times by value and number</w:t>
                </w:r>
                <w:r w:rsidR="002E5C80">
                  <w:rPr>
                    <w:webHidden/>
                  </w:rPr>
                  <w:tab/>
                </w:r>
                <w:r w:rsidR="002E5C80">
                  <w:rPr>
                    <w:webHidden/>
                  </w:rPr>
                  <w:fldChar w:fldCharType="begin"/>
                </w:r>
                <w:r w:rsidR="002E5C80">
                  <w:rPr>
                    <w:webHidden/>
                  </w:rPr>
                  <w:instrText xml:space="preserve"> PAGEREF _Toc131005401 \h </w:instrText>
                </w:r>
                <w:r w:rsidR="002E5C80">
                  <w:rPr>
                    <w:webHidden/>
                  </w:rPr>
                </w:r>
                <w:r w:rsidR="002E5C80">
                  <w:rPr>
                    <w:webHidden/>
                  </w:rPr>
                  <w:fldChar w:fldCharType="separate"/>
                </w:r>
                <w:r w:rsidR="00462ADF">
                  <w:rPr>
                    <w:webHidden/>
                  </w:rPr>
                  <w:t>5</w:t>
                </w:r>
                <w:r w:rsidR="002E5C80">
                  <w:rPr>
                    <w:webHidden/>
                  </w:rPr>
                  <w:fldChar w:fldCharType="end"/>
                </w:r>
              </w:hyperlink>
            </w:p>
            <w:p w14:paraId="6A3C30C7" w14:textId="7BFD7FDA" w:rsidR="002E5C80" w:rsidRDefault="00601890">
              <w:pPr>
                <w:pStyle w:val="TOC2"/>
                <w:rPr>
                  <w:rFonts w:asciiTheme="minorHAnsi" w:eastAsiaTheme="minorEastAsia" w:hAnsiTheme="minorHAnsi" w:cstheme="minorBidi"/>
                  <w:color w:val="auto"/>
                  <w:szCs w:val="22"/>
                </w:rPr>
              </w:pPr>
              <w:hyperlink w:anchor="_Toc131005403" w:history="1">
                <w:r w:rsidR="002E5C80" w:rsidRPr="004052D5">
                  <w:rPr>
                    <w:rStyle w:val="Hyperlink"/>
                    <w:rFonts w:eastAsiaTheme="majorEastAsia"/>
                  </w:rPr>
                  <w:t>Interest payments</w:t>
                </w:r>
                <w:r w:rsidR="002E5C80">
                  <w:rPr>
                    <w:webHidden/>
                  </w:rPr>
                  <w:tab/>
                </w:r>
                <w:r w:rsidR="002E5C80">
                  <w:rPr>
                    <w:webHidden/>
                  </w:rPr>
                  <w:fldChar w:fldCharType="begin"/>
                </w:r>
                <w:r w:rsidR="002E5C80">
                  <w:rPr>
                    <w:webHidden/>
                  </w:rPr>
                  <w:instrText xml:space="preserve"> PAGEREF _Toc131005403 \h </w:instrText>
                </w:r>
                <w:r w:rsidR="002E5C80">
                  <w:rPr>
                    <w:webHidden/>
                  </w:rPr>
                </w:r>
                <w:r w:rsidR="002E5C80">
                  <w:rPr>
                    <w:webHidden/>
                  </w:rPr>
                  <w:fldChar w:fldCharType="separate"/>
                </w:r>
                <w:r w:rsidR="00462ADF">
                  <w:rPr>
                    <w:webHidden/>
                  </w:rPr>
                  <w:t>6</w:t>
                </w:r>
                <w:r w:rsidR="002E5C80">
                  <w:rPr>
                    <w:webHidden/>
                  </w:rPr>
                  <w:fldChar w:fldCharType="end"/>
                </w:r>
              </w:hyperlink>
            </w:p>
            <w:p w14:paraId="7C1EC43B" w14:textId="0359D6CF" w:rsidR="002E5C80" w:rsidRDefault="00601890">
              <w:pPr>
                <w:pStyle w:val="TOC2"/>
                <w:rPr>
                  <w:rFonts w:asciiTheme="minorHAnsi" w:eastAsiaTheme="minorEastAsia" w:hAnsiTheme="minorHAnsi" w:cstheme="minorBidi"/>
                  <w:color w:val="auto"/>
                  <w:szCs w:val="22"/>
                </w:rPr>
              </w:pPr>
              <w:hyperlink w:anchor="_Toc131005405" w:history="1">
                <w:r w:rsidR="002E5C80" w:rsidRPr="004052D5">
                  <w:rPr>
                    <w:rStyle w:val="Hyperlink"/>
                    <w:rFonts w:eastAsiaTheme="majorEastAsia"/>
                  </w:rPr>
                  <w:t>eInvoicing</w:t>
                </w:r>
                <w:r w:rsidR="002E5C80">
                  <w:rPr>
                    <w:webHidden/>
                  </w:rPr>
                  <w:tab/>
                </w:r>
                <w:r w:rsidR="002E5C80">
                  <w:rPr>
                    <w:webHidden/>
                  </w:rPr>
                  <w:fldChar w:fldCharType="begin"/>
                </w:r>
                <w:r w:rsidR="002E5C80">
                  <w:rPr>
                    <w:webHidden/>
                  </w:rPr>
                  <w:instrText xml:space="preserve"> PAGEREF _Toc131005405 \h </w:instrText>
                </w:r>
                <w:r w:rsidR="002E5C80">
                  <w:rPr>
                    <w:webHidden/>
                  </w:rPr>
                </w:r>
                <w:r w:rsidR="002E5C80">
                  <w:rPr>
                    <w:webHidden/>
                  </w:rPr>
                  <w:fldChar w:fldCharType="separate"/>
                </w:r>
                <w:r w:rsidR="00462ADF">
                  <w:rPr>
                    <w:webHidden/>
                  </w:rPr>
                  <w:t>7</w:t>
                </w:r>
                <w:r w:rsidR="002E5C80">
                  <w:rPr>
                    <w:webHidden/>
                  </w:rPr>
                  <w:fldChar w:fldCharType="end"/>
                </w:r>
              </w:hyperlink>
            </w:p>
            <w:p w14:paraId="638E9942" w14:textId="16163A11" w:rsidR="002E5C80" w:rsidRDefault="00601890">
              <w:pPr>
                <w:pStyle w:val="TOC2"/>
                <w:rPr>
                  <w:rFonts w:asciiTheme="minorHAnsi" w:eastAsiaTheme="minorEastAsia" w:hAnsiTheme="minorHAnsi" w:cstheme="minorBidi"/>
                  <w:color w:val="auto"/>
                  <w:szCs w:val="22"/>
                </w:rPr>
              </w:pPr>
              <w:hyperlink w:anchor="_Toc131005408" w:history="1">
                <w:r w:rsidR="002E5C80" w:rsidRPr="004052D5">
                  <w:rPr>
                    <w:rStyle w:val="Hyperlink"/>
                  </w:rPr>
                  <w:t>Table of Agency Results</w:t>
                </w:r>
                <w:r w:rsidR="002E5C80">
                  <w:rPr>
                    <w:webHidden/>
                  </w:rPr>
                  <w:tab/>
                </w:r>
                <w:r w:rsidR="002E5C80">
                  <w:rPr>
                    <w:webHidden/>
                  </w:rPr>
                  <w:fldChar w:fldCharType="begin"/>
                </w:r>
                <w:r w:rsidR="002E5C80">
                  <w:rPr>
                    <w:webHidden/>
                  </w:rPr>
                  <w:instrText xml:space="preserve"> PAGEREF _Toc131005408 \h </w:instrText>
                </w:r>
                <w:r w:rsidR="002E5C80">
                  <w:rPr>
                    <w:webHidden/>
                  </w:rPr>
                </w:r>
                <w:r w:rsidR="002E5C80">
                  <w:rPr>
                    <w:webHidden/>
                  </w:rPr>
                  <w:fldChar w:fldCharType="separate"/>
                </w:r>
                <w:r w:rsidR="00462ADF">
                  <w:rPr>
                    <w:webHidden/>
                  </w:rPr>
                  <w:t>8</w:t>
                </w:r>
                <w:r w:rsidR="002E5C80">
                  <w:rPr>
                    <w:webHidden/>
                  </w:rPr>
                  <w:fldChar w:fldCharType="end"/>
                </w:r>
              </w:hyperlink>
            </w:p>
            <w:p w14:paraId="07795B58" w14:textId="3D132474" w:rsidR="002C628B" w:rsidRDefault="002C628B" w:rsidP="002C628B">
              <w:r w:rsidRPr="00B95414">
                <w:rPr>
                  <w:b/>
                  <w:bCs/>
                  <w:noProof/>
                </w:rPr>
                <w:fldChar w:fldCharType="end"/>
              </w:r>
            </w:p>
          </w:sdtContent>
        </w:sdt>
        <w:p w14:paraId="4B11604A" w14:textId="754C253C" w:rsidR="00CE6990" w:rsidRDefault="00601890" w:rsidP="00CE6990"/>
      </w:sdtContent>
    </w:sdt>
    <w:p w14:paraId="28EDB739" w14:textId="614910AB" w:rsidR="002C628B" w:rsidRDefault="002C628B" w:rsidP="00CE6990">
      <w:r>
        <w:br w:type="page"/>
      </w:r>
    </w:p>
    <w:p w14:paraId="429ACC84" w14:textId="1B212630" w:rsidR="002C628B" w:rsidRPr="005D43DE" w:rsidRDefault="002C628B" w:rsidP="005D43DE">
      <w:pPr>
        <w:pStyle w:val="Heading1"/>
      </w:pPr>
      <w:bookmarkStart w:id="7" w:name="_Toc25057844"/>
      <w:bookmarkStart w:id="8" w:name="_Toc25242629"/>
      <w:bookmarkStart w:id="9" w:name="_Toc131005394"/>
      <w:r w:rsidRPr="0054696F">
        <w:t>Overview</w:t>
      </w:r>
      <w:bookmarkEnd w:id="7"/>
      <w:bookmarkEnd w:id="8"/>
      <w:bookmarkEnd w:id="9"/>
    </w:p>
    <w:p w14:paraId="47A4B061" w14:textId="7772A569" w:rsidR="002C628B" w:rsidRDefault="002C628B" w:rsidP="005F45BE">
      <w:r w:rsidRPr="006A18A6">
        <w:t xml:space="preserve">This report contains the results of the </w:t>
      </w:r>
      <w:r>
        <w:t xml:space="preserve">Australian </w:t>
      </w:r>
      <w:r w:rsidRPr="006A18A6">
        <w:t>Government Pay On</w:t>
      </w:r>
      <w:r w:rsidR="00153E34">
        <w:noBreakHyphen/>
      </w:r>
      <w:r w:rsidRPr="006A18A6">
        <w:t xml:space="preserve">Time Survey for the </w:t>
      </w:r>
      <w:r w:rsidRPr="003C50DC">
        <w:t>20</w:t>
      </w:r>
      <w:r>
        <w:t>21–22 financial year</w:t>
      </w:r>
      <w:r w:rsidRPr="003731F9">
        <w:rPr>
          <w:rFonts w:cstheme="minorHAnsi"/>
        </w:rPr>
        <w:t xml:space="preserve">. </w:t>
      </w:r>
      <w:bookmarkStart w:id="10" w:name="_Hlk88212629"/>
      <w:r>
        <w:t xml:space="preserve">The survey has been conducted annually since 2002, and collects information from Government agencies about their performance against the Department of Finance </w:t>
      </w:r>
      <w:hyperlink r:id="rId24" w:history="1">
        <w:r w:rsidRPr="00E401D2">
          <w:rPr>
            <w:rStyle w:val="Hyperlink"/>
          </w:rPr>
          <w:t>RMG</w:t>
        </w:r>
        <w:r w:rsidR="00153E34">
          <w:rPr>
            <w:rStyle w:val="Hyperlink"/>
          </w:rPr>
          <w:noBreakHyphen/>
        </w:r>
        <w:r w:rsidRPr="00E401D2">
          <w:rPr>
            <w:rStyle w:val="Hyperlink"/>
          </w:rPr>
          <w:t>417 Supplier Pay On</w:t>
        </w:r>
        <w:r w:rsidR="00153E34">
          <w:rPr>
            <w:rStyle w:val="Hyperlink"/>
          </w:rPr>
          <w:noBreakHyphen/>
        </w:r>
        <w:r w:rsidRPr="00E401D2">
          <w:rPr>
            <w:rStyle w:val="Hyperlink"/>
          </w:rPr>
          <w:t>Time or Pay Interest Policy</w:t>
        </w:r>
      </w:hyperlink>
      <w:r w:rsidRPr="003731F9">
        <w:rPr>
          <w:b/>
        </w:rPr>
        <w:t xml:space="preserve"> </w:t>
      </w:r>
      <w:r>
        <w:t>(the Pay On</w:t>
      </w:r>
      <w:r w:rsidR="00153E34">
        <w:noBreakHyphen/>
      </w:r>
      <w:r>
        <w:t>Time Policy).</w:t>
      </w:r>
      <w:bookmarkEnd w:id="10"/>
    </w:p>
    <w:p w14:paraId="140F5D92" w14:textId="116C0502" w:rsidR="002C628B" w:rsidRDefault="7633CD0F" w:rsidP="005F45BE">
      <w:bookmarkStart w:id="11" w:name="_Hlk88212485"/>
      <w:r>
        <w:t>The Pay On</w:t>
      </w:r>
      <w:r w:rsidR="00153E34">
        <w:noBreakHyphen/>
      </w:r>
      <w:r>
        <w:t>Time Policy requires non</w:t>
      </w:r>
      <w:r w:rsidR="00153E34">
        <w:noBreakHyphen/>
      </w:r>
      <w:r>
        <w:t xml:space="preserve">corporate Commonwealth entities </w:t>
      </w:r>
      <w:r w:rsidRPr="003D339F">
        <w:t>(NCE</w:t>
      </w:r>
      <w:r>
        <w:t>s</w:t>
      </w:r>
      <w:r w:rsidRPr="003D339F">
        <w:t>)</w:t>
      </w:r>
      <w:r>
        <w:t xml:space="preserve">, referred to as </w:t>
      </w:r>
      <w:r w:rsidRPr="009279B8">
        <w:t>Government agencies in this report</w:t>
      </w:r>
      <w:r>
        <w:t xml:space="preserve">, to </w:t>
      </w:r>
      <w:r w:rsidR="5CE24163">
        <w:t>pay invoices</w:t>
      </w:r>
      <w:r>
        <w:t xml:space="preserve"> within 20</w:t>
      </w:r>
      <w:r w:rsidRPr="00C914B3">
        <w:t xml:space="preserve"> calendar days</w:t>
      </w:r>
      <w:r>
        <w:t xml:space="preserve"> </w:t>
      </w:r>
      <w:r w:rsidR="4E8E568D">
        <w:t xml:space="preserve">and </w:t>
      </w:r>
      <w:r w:rsidR="7CABF11E">
        <w:t>electronic</w:t>
      </w:r>
      <w:r w:rsidR="249DC94D">
        <w:t xml:space="preserve"> invoices (</w:t>
      </w:r>
      <w:r w:rsidR="58E72C25">
        <w:t>eInvoices</w:t>
      </w:r>
      <w:r w:rsidR="249DC94D">
        <w:t>)</w:t>
      </w:r>
      <w:r>
        <w:t xml:space="preserve"> </w:t>
      </w:r>
      <w:r w:rsidR="58E72C25">
        <w:t>within 5</w:t>
      </w:r>
      <w:r w:rsidR="1D4066FE">
        <w:t> </w:t>
      </w:r>
      <w:r w:rsidR="2FD68849">
        <w:t>calendar days</w:t>
      </w:r>
      <w:r w:rsidRPr="00C914B3">
        <w:t xml:space="preserve">. </w:t>
      </w:r>
      <w:bookmarkStart w:id="12" w:name="_Hlk128673301"/>
      <w:r>
        <w:t>Where payment is</w:t>
      </w:r>
      <w:r w:rsidRPr="00B12771">
        <w:t xml:space="preserve"> not made in full </w:t>
      </w:r>
      <w:r w:rsidR="137B5285">
        <w:t xml:space="preserve">and </w:t>
      </w:r>
      <w:r w:rsidR="0022C4E4">
        <w:t>on time</w:t>
      </w:r>
      <w:r w:rsidR="7F0D8FFC">
        <w:t>,</w:t>
      </w:r>
      <w:r w:rsidR="2161DD98">
        <w:t xml:space="preserve"> </w:t>
      </w:r>
      <w:r w:rsidR="58A3688E">
        <w:t xml:space="preserve">Government </w:t>
      </w:r>
      <w:r>
        <w:t>agencies are required to</w:t>
      </w:r>
      <w:r w:rsidRPr="00B12771">
        <w:t xml:space="preserve"> pay interest to the supplier on the outstanding amount </w:t>
      </w:r>
      <w:r w:rsidR="58034D4C">
        <w:t>if</w:t>
      </w:r>
      <w:r w:rsidRPr="00B12771">
        <w:t xml:space="preserve"> </w:t>
      </w:r>
      <w:r>
        <w:t xml:space="preserve">the interest accrued is more than </w:t>
      </w:r>
      <w:r w:rsidR="5DA4BD66" w:rsidRPr="00B12771">
        <w:t>$100</w:t>
      </w:r>
      <w:r w:rsidR="0343FC33">
        <w:t>.</w:t>
      </w:r>
      <w:bookmarkEnd w:id="12"/>
      <w:r w:rsidR="5DA4BD66" w:rsidRPr="00B12771" w:rsidDel="0032009D">
        <w:t xml:space="preserve"> </w:t>
      </w:r>
      <w:r>
        <w:t xml:space="preserve">Interest is payable at the general interest charge rate available </w:t>
      </w:r>
      <w:r w:rsidR="14F1FA95">
        <w:t xml:space="preserve">from </w:t>
      </w:r>
      <w:r>
        <w:t xml:space="preserve">the </w:t>
      </w:r>
      <w:hyperlink r:id="rId25" w:history="1">
        <w:r w:rsidR="15A80755" w:rsidRPr="00571293">
          <w:rPr>
            <w:rStyle w:val="Hyperlink"/>
          </w:rPr>
          <w:t>ATO</w:t>
        </w:r>
      </w:hyperlink>
      <w:r w:rsidR="30895A7E" w:rsidRPr="00A52295">
        <w:t>,</w:t>
      </w:r>
      <w:r>
        <w:t xml:space="preserve"> calculated for each calendar day from the day after the payment </w:t>
      </w:r>
      <w:r w:rsidR="7799940D">
        <w:t xml:space="preserve">is </w:t>
      </w:r>
      <w:r>
        <w:t xml:space="preserve">due up to and including the day the payment </w:t>
      </w:r>
      <w:r w:rsidR="7799940D">
        <w:t xml:space="preserve">is </w:t>
      </w:r>
      <w:r>
        <w:t xml:space="preserve">made. </w:t>
      </w:r>
      <w:bookmarkEnd w:id="11"/>
    </w:p>
    <w:p w14:paraId="5828DA87" w14:textId="339DFD4E" w:rsidR="007B6189" w:rsidRDefault="002C628B" w:rsidP="001B64D6">
      <w:r>
        <w:t xml:space="preserve">The 2021–22 </w:t>
      </w:r>
      <w:r w:rsidR="00541196">
        <w:t xml:space="preserve">Pay </w:t>
      </w:r>
      <w:r w:rsidR="00E66AE0" w:rsidRPr="006A18A6">
        <w:t>On</w:t>
      </w:r>
      <w:r w:rsidR="00153E34">
        <w:noBreakHyphen/>
      </w:r>
      <w:r w:rsidR="00E66AE0" w:rsidRPr="006A18A6">
        <w:t xml:space="preserve">Time </w:t>
      </w:r>
      <w:r w:rsidR="00541196">
        <w:t xml:space="preserve">Survey </w:t>
      </w:r>
      <w:r w:rsidR="00F849C4">
        <w:t xml:space="preserve">captures </w:t>
      </w:r>
      <w:r>
        <w:t xml:space="preserve">invoices for contracts valued </w:t>
      </w:r>
      <w:r w:rsidR="00476A8F">
        <w:t>up to</w:t>
      </w:r>
      <w:r>
        <w:t xml:space="preserve"> $1 million</w:t>
      </w:r>
      <w:r w:rsidR="00393E2A">
        <w:t xml:space="preserve"> </w:t>
      </w:r>
      <w:r w:rsidR="00AE3D8D">
        <w:t xml:space="preserve">paid </w:t>
      </w:r>
      <w:r w:rsidR="008B10AE">
        <w:t>by Government agencies</w:t>
      </w:r>
      <w:r w:rsidR="00814FE6">
        <w:t xml:space="preserve"> </w:t>
      </w:r>
      <w:r>
        <w:t>during the 2021–22 financial year</w:t>
      </w:r>
      <w:r w:rsidR="0076213A">
        <w:t>, referred to as eligible invoices</w:t>
      </w:r>
      <w:r w:rsidR="000C1B16">
        <w:t xml:space="preserve"> in this report</w:t>
      </w:r>
      <w:r>
        <w:t>.</w:t>
      </w:r>
      <w:r w:rsidR="001B64D6">
        <w:t xml:space="preserve"> This </w:t>
      </w:r>
      <w:r>
        <w:t xml:space="preserve">survey </w:t>
      </w:r>
      <w:r w:rsidR="00091044">
        <w:t>demonstrate</w:t>
      </w:r>
      <w:r w:rsidR="003B1351">
        <w:t>s</w:t>
      </w:r>
      <w:r w:rsidR="00091044">
        <w:t xml:space="preserve"> </w:t>
      </w:r>
      <w:r w:rsidR="003E228D">
        <w:t xml:space="preserve">an </w:t>
      </w:r>
      <w:r w:rsidRPr="0069362F">
        <w:t>improvement in</w:t>
      </w:r>
      <w:r>
        <w:t xml:space="preserve"> the proportion of </w:t>
      </w:r>
      <w:r w:rsidR="0076213A">
        <w:t xml:space="preserve">eligible </w:t>
      </w:r>
      <w:r w:rsidR="004C14FF">
        <w:t xml:space="preserve">invoices </w:t>
      </w:r>
      <w:r>
        <w:t>paid within 20 calendar days</w:t>
      </w:r>
      <w:r w:rsidR="00B93CFC">
        <w:t xml:space="preserve"> in the </w:t>
      </w:r>
      <w:r w:rsidR="00064314">
        <w:t>2021</w:t>
      </w:r>
      <w:r w:rsidR="00F42A10">
        <w:t>–</w:t>
      </w:r>
      <w:r w:rsidR="00064314">
        <w:t>22 financial year</w:t>
      </w:r>
      <w:r w:rsidR="0095112F">
        <w:t xml:space="preserve">, as </w:t>
      </w:r>
      <w:r>
        <w:t xml:space="preserve">compared to the previous </w:t>
      </w:r>
      <w:r w:rsidR="005568FF">
        <w:t xml:space="preserve">financial </w:t>
      </w:r>
      <w:r>
        <w:t>year.</w:t>
      </w:r>
      <w:r w:rsidR="007A21D1">
        <w:t xml:space="preserve"> </w:t>
      </w:r>
    </w:p>
    <w:p w14:paraId="7E37966E" w14:textId="3D2BA9E7" w:rsidR="00135EC6" w:rsidRDefault="003B1351" w:rsidP="00135EC6">
      <w:r>
        <w:t xml:space="preserve">Chart 1 shows the percentage of </w:t>
      </w:r>
      <w:r w:rsidR="00960477">
        <w:t>eligible invoices</w:t>
      </w:r>
      <w:r>
        <w:t xml:space="preserve"> that were paid within 20 days for the 2020–21 and 2021–22 financial years.</w:t>
      </w:r>
      <w:bookmarkStart w:id="13" w:name="_Hlk88214217"/>
      <w:r w:rsidR="00135EC6" w:rsidRPr="00135EC6">
        <w:t xml:space="preserve"> </w:t>
      </w:r>
      <w:r w:rsidR="00135EC6">
        <w:t xml:space="preserve">In aggregate, government agencies </w:t>
      </w:r>
      <w:r w:rsidR="00135EC6" w:rsidRPr="0069362F">
        <w:t xml:space="preserve">paid </w:t>
      </w:r>
      <w:r w:rsidR="00135EC6" w:rsidRPr="00CB4766">
        <w:t>96</w:t>
      </w:r>
      <w:r w:rsidR="00F42A10">
        <w:t> per </w:t>
      </w:r>
      <w:r w:rsidR="00135EC6" w:rsidRPr="00CB4766">
        <w:t>cent</w:t>
      </w:r>
      <w:r w:rsidR="00135EC6" w:rsidRPr="0069362F">
        <w:t xml:space="preserve"> of</w:t>
      </w:r>
      <w:r w:rsidR="00135EC6">
        <w:t xml:space="preserve"> eligible invoices within 20 calendar days in the 2021–22 financial year, as compared to 93</w:t>
      </w:r>
      <w:r w:rsidR="00F42A10">
        <w:t> per </w:t>
      </w:r>
      <w:r w:rsidR="00135EC6">
        <w:t>cent in the 2020–21</w:t>
      </w:r>
      <w:bookmarkEnd w:id="13"/>
      <w:r w:rsidR="00135EC6">
        <w:t xml:space="preserve"> financial year. This represents a </w:t>
      </w:r>
      <w:r w:rsidR="00135EC6" w:rsidRPr="00364C3D">
        <w:t>3</w:t>
      </w:r>
      <w:r w:rsidR="00153E34">
        <w:noBreakHyphen/>
      </w:r>
      <w:r w:rsidR="00135EC6">
        <w:t>percentage point improvement in the overall timeliness</w:t>
      </w:r>
      <w:r w:rsidR="00135EC6" w:rsidRPr="009851A1">
        <w:t xml:space="preserve"> </w:t>
      </w:r>
      <w:r w:rsidR="00135EC6">
        <w:t xml:space="preserve">of payments. </w:t>
      </w:r>
    </w:p>
    <w:p w14:paraId="1CAB3CDD" w14:textId="6EBAC8EF" w:rsidR="00067961" w:rsidRDefault="002C628B" w:rsidP="00645EAB">
      <w:pPr>
        <w:pStyle w:val="ChartMainHeading"/>
      </w:pPr>
      <w:bookmarkStart w:id="14" w:name="_Toc92710935"/>
      <w:bookmarkStart w:id="15" w:name="_Toc126932689"/>
      <w:bookmarkStart w:id="16" w:name="_Toc131005395"/>
      <w:r>
        <w:t>Chart 1: Payments made in 20 calendar days</w:t>
      </w:r>
      <w:bookmarkEnd w:id="14"/>
      <w:bookmarkEnd w:id="15"/>
      <w:bookmarkEnd w:id="16"/>
      <w:r w:rsidR="00253D25">
        <w:tab/>
      </w:r>
    </w:p>
    <w:p w14:paraId="028A4834" w14:textId="73C70A1A" w:rsidR="00786F3F" w:rsidRDefault="006C33A7" w:rsidP="00253D25">
      <w:r>
        <w:rPr>
          <w:noProof/>
        </w:rPr>
        <w:drawing>
          <wp:inline distT="0" distB="0" distL="0" distR="0" wp14:anchorId="0B780041" wp14:editId="71BE1157">
            <wp:extent cx="5350510" cy="2420120"/>
            <wp:effectExtent l="0" t="0" r="2540" b="0"/>
            <wp:docPr id="5" name="Picture 5" descr="Chart 1 shows the percentage of eligible invoices that were paid within 20 days for the 2020–21 and 2021–22 financial years. In aggregate, government agencies paid 96 per cent of eligible invoices within 20 calendar days in the 2021–22 financial year, as compared to 93 per cent in the 2020–21 financial year. This represents a 3 percentage point improvement in the overall timeliness of pay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1 shows the percentage of eligible invoices that were paid within 20 days for the 2020–21 and 2021–22 financial years. In aggregate, government agencies paid 96 per cent of eligible invoices within 20 calendar days in the 2021–22 financial year, as compared to 93 per cent in the 2020–21 financial year. This represents a 3 percentage point improvement in the overall timeliness of payment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0284" cy="2447157"/>
                    </a:xfrm>
                    <a:prstGeom prst="rect">
                      <a:avLst/>
                    </a:prstGeom>
                    <a:noFill/>
                  </pic:spPr>
                </pic:pic>
              </a:graphicData>
            </a:graphic>
          </wp:inline>
        </w:drawing>
      </w:r>
    </w:p>
    <w:p w14:paraId="215D5AC4" w14:textId="43235962" w:rsidR="00496790" w:rsidRDefault="00AC5EE8" w:rsidP="005F45BE">
      <w:r>
        <w:t xml:space="preserve">Improvements were also reported in the payment times for </w:t>
      </w:r>
      <w:r w:rsidR="00DF6305">
        <w:t xml:space="preserve">eligible </w:t>
      </w:r>
      <w:r>
        <w:t>eInvoices</w:t>
      </w:r>
      <w:r w:rsidR="00135EC6">
        <w:t xml:space="preserve"> </w:t>
      </w:r>
      <w:r w:rsidR="009C1C20">
        <w:t>paid</w:t>
      </w:r>
      <w:r w:rsidR="00485497">
        <w:t xml:space="preserve"> </w:t>
      </w:r>
      <w:r>
        <w:t xml:space="preserve">by </w:t>
      </w:r>
      <w:r w:rsidR="009B0AEC">
        <w:t xml:space="preserve">Government </w:t>
      </w:r>
      <w:r>
        <w:t>agencies</w:t>
      </w:r>
      <w:r w:rsidR="00F766B4">
        <w:t xml:space="preserve">. </w:t>
      </w:r>
    </w:p>
    <w:p w14:paraId="1F69177A" w14:textId="77777777" w:rsidR="0087210B" w:rsidRDefault="00252D14" w:rsidP="000D6AC6">
      <w:r>
        <w:t xml:space="preserve">The number of </w:t>
      </w:r>
      <w:proofErr w:type="spellStart"/>
      <w:r>
        <w:t>eIn</w:t>
      </w:r>
      <w:r w:rsidR="00393FBC">
        <w:t>voic</w:t>
      </w:r>
      <w:r w:rsidR="009D33F6">
        <w:t>ing</w:t>
      </w:r>
      <w:proofErr w:type="spellEnd"/>
      <w:r w:rsidR="00153E34">
        <w:noBreakHyphen/>
      </w:r>
      <w:r w:rsidR="00393FBC">
        <w:t xml:space="preserve">enabled </w:t>
      </w:r>
      <w:r w:rsidR="003C327F">
        <w:t xml:space="preserve">Government </w:t>
      </w:r>
      <w:r w:rsidR="00393FBC">
        <w:t xml:space="preserve">agencies </w:t>
      </w:r>
      <w:r w:rsidR="00393FBC" w:rsidRPr="00496790">
        <w:t xml:space="preserve">increased </w:t>
      </w:r>
      <w:r w:rsidR="00DB6071" w:rsidRPr="00496790">
        <w:t xml:space="preserve">from </w:t>
      </w:r>
      <w:r w:rsidR="003416E2" w:rsidRPr="00496790">
        <w:t>29</w:t>
      </w:r>
      <w:r w:rsidR="00DB6071" w:rsidRPr="00496790">
        <w:t xml:space="preserve"> in</w:t>
      </w:r>
      <w:r w:rsidR="00477B79" w:rsidRPr="00496790">
        <w:t xml:space="preserve"> the</w:t>
      </w:r>
      <w:r w:rsidR="00DB6071" w:rsidRPr="00496790">
        <w:t xml:space="preserve"> 20</w:t>
      </w:r>
      <w:r w:rsidR="00903809" w:rsidRPr="00496790">
        <w:t>20</w:t>
      </w:r>
      <w:r w:rsidR="00F42A10">
        <w:t>–</w:t>
      </w:r>
      <w:r w:rsidR="00903809" w:rsidRPr="00496790">
        <w:t xml:space="preserve">21 </w:t>
      </w:r>
      <w:r w:rsidR="00477B79" w:rsidRPr="00496790">
        <w:t xml:space="preserve">financial year </w:t>
      </w:r>
      <w:r w:rsidR="00EC63CC" w:rsidRPr="00496790">
        <w:t xml:space="preserve">to </w:t>
      </w:r>
      <w:r w:rsidR="00140A12" w:rsidRPr="00496790">
        <w:t>71</w:t>
      </w:r>
      <w:r w:rsidR="00EC63CC" w:rsidRPr="00496790">
        <w:t xml:space="preserve"> </w:t>
      </w:r>
      <w:r w:rsidR="00903809" w:rsidRPr="00496790">
        <w:t xml:space="preserve">in </w:t>
      </w:r>
      <w:r w:rsidR="009D33F6">
        <w:t xml:space="preserve">the </w:t>
      </w:r>
      <w:r w:rsidR="00903809" w:rsidRPr="00496790">
        <w:t>2021–22</w:t>
      </w:r>
      <w:r w:rsidR="00477B79" w:rsidRPr="00496790">
        <w:t xml:space="preserve"> financial year</w:t>
      </w:r>
      <w:r w:rsidR="006853DC" w:rsidRPr="00496790">
        <w:t xml:space="preserve">. </w:t>
      </w:r>
      <w:r w:rsidR="00D72D6B" w:rsidRPr="00496790">
        <w:t xml:space="preserve">In </w:t>
      </w:r>
      <w:r w:rsidR="003E254C">
        <w:t>aggregate, in</w:t>
      </w:r>
      <w:r w:rsidR="00D72D6B" w:rsidRPr="00496790">
        <w:t xml:space="preserve"> the 2021</w:t>
      </w:r>
      <w:r w:rsidR="00F42A10">
        <w:t>–</w:t>
      </w:r>
      <w:r w:rsidR="00D72D6B" w:rsidRPr="00496790">
        <w:t>22 financial year</w:t>
      </w:r>
      <w:r w:rsidR="00B85650" w:rsidRPr="00496790">
        <w:t xml:space="preserve">, </w:t>
      </w:r>
      <w:r w:rsidR="003C327F" w:rsidRPr="00496790">
        <w:t>Government</w:t>
      </w:r>
      <w:r w:rsidR="003C327F">
        <w:t xml:space="preserve"> </w:t>
      </w:r>
      <w:r w:rsidR="006853DC">
        <w:t>agencies</w:t>
      </w:r>
      <w:r w:rsidR="0021448A">
        <w:t xml:space="preserve"> proce</w:t>
      </w:r>
      <w:r w:rsidR="006853DC">
        <w:t>s</w:t>
      </w:r>
      <w:r w:rsidR="0021448A">
        <w:t>s</w:t>
      </w:r>
      <w:r w:rsidR="006853DC">
        <w:t>ed</w:t>
      </w:r>
      <w:r w:rsidR="0021448A">
        <w:t xml:space="preserve"> </w:t>
      </w:r>
      <w:r w:rsidR="002A6CAD">
        <w:t>1,</w:t>
      </w:r>
      <w:r w:rsidR="002326BE">
        <w:t>76</w:t>
      </w:r>
      <w:r w:rsidR="0074159D">
        <w:t>4</w:t>
      </w:r>
      <w:r w:rsidR="0021448A">
        <w:t xml:space="preserve"> </w:t>
      </w:r>
      <w:r w:rsidR="007B4834">
        <w:t xml:space="preserve">eligible </w:t>
      </w:r>
      <w:r w:rsidR="00145F08">
        <w:t>eI</w:t>
      </w:r>
      <w:r w:rsidR="007B4834">
        <w:t>nvoices</w:t>
      </w:r>
      <w:r w:rsidR="00F96E5C">
        <w:t xml:space="preserve"> </w:t>
      </w:r>
      <w:r w:rsidR="0021448A">
        <w:t xml:space="preserve">with a </w:t>
      </w:r>
      <w:r w:rsidR="00613D56">
        <w:t>total</w:t>
      </w:r>
      <w:r w:rsidR="0021448A">
        <w:t xml:space="preserve"> value of </w:t>
      </w:r>
      <w:r w:rsidR="005E1892">
        <w:t>$</w:t>
      </w:r>
      <w:r w:rsidR="00F919B7">
        <w:t>2</w:t>
      </w:r>
      <w:r w:rsidR="00FA3477">
        <w:t>5.8</w:t>
      </w:r>
      <w:r w:rsidR="005E1892">
        <w:t xml:space="preserve"> million</w:t>
      </w:r>
      <w:r w:rsidR="003562C1">
        <w:t>,</w:t>
      </w:r>
      <w:r w:rsidR="00565A73">
        <w:t xml:space="preserve"> </w:t>
      </w:r>
      <w:r w:rsidR="007A35A8">
        <w:t>as</w:t>
      </w:r>
      <w:r w:rsidR="00565A73">
        <w:t xml:space="preserve"> compared to 92 </w:t>
      </w:r>
      <w:r w:rsidR="007B4834">
        <w:t xml:space="preserve">eligible </w:t>
      </w:r>
      <w:r w:rsidR="008B651A">
        <w:t xml:space="preserve">eInvoices with a </w:t>
      </w:r>
      <w:r w:rsidR="00613D56">
        <w:t xml:space="preserve">total </w:t>
      </w:r>
      <w:r w:rsidR="008B651A">
        <w:t xml:space="preserve">value of </w:t>
      </w:r>
      <w:r w:rsidR="00565A73">
        <w:t>$</w:t>
      </w:r>
      <w:r w:rsidR="000E46C2">
        <w:t xml:space="preserve">1 million in </w:t>
      </w:r>
      <w:r w:rsidR="002A12BB">
        <w:t xml:space="preserve">the previous </w:t>
      </w:r>
      <w:r w:rsidR="003A70D9">
        <w:t>financial year</w:t>
      </w:r>
      <w:r w:rsidR="00B000B6">
        <w:t xml:space="preserve">. </w:t>
      </w:r>
      <w:r w:rsidR="00C218F0">
        <w:t>Overall, i</w:t>
      </w:r>
      <w:r w:rsidR="00763CB9">
        <w:t xml:space="preserve">n </w:t>
      </w:r>
      <w:r w:rsidR="00BF69F0">
        <w:t xml:space="preserve">the </w:t>
      </w:r>
      <w:r w:rsidR="00763CB9">
        <w:t>2021–22</w:t>
      </w:r>
      <w:r w:rsidR="00BF69F0">
        <w:t xml:space="preserve"> financial year</w:t>
      </w:r>
      <w:r w:rsidR="00763CB9">
        <w:t xml:space="preserve">, </w:t>
      </w:r>
      <w:r w:rsidR="003C327F">
        <w:t xml:space="preserve">Government </w:t>
      </w:r>
      <w:r w:rsidR="003072F4">
        <w:t xml:space="preserve">agencies paid </w:t>
      </w:r>
      <w:r w:rsidR="00CB581B" w:rsidRPr="00E951E7">
        <w:t>68</w:t>
      </w:r>
      <w:r w:rsidR="00F42A10">
        <w:t> per </w:t>
      </w:r>
      <w:r w:rsidR="00B17853">
        <w:t>cent of</w:t>
      </w:r>
      <w:r w:rsidR="00454AA7">
        <w:t xml:space="preserve"> </w:t>
      </w:r>
      <w:proofErr w:type="spellStart"/>
      <w:r w:rsidR="0016669E">
        <w:t>eInvoices</w:t>
      </w:r>
      <w:proofErr w:type="spellEnd"/>
      <w:r w:rsidR="0016669E">
        <w:t xml:space="preserve"> </w:t>
      </w:r>
      <w:r w:rsidR="00C2799A">
        <w:t xml:space="preserve">within 5 days </w:t>
      </w:r>
      <w:r w:rsidR="00454AA7">
        <w:t>by number</w:t>
      </w:r>
      <w:r w:rsidR="00EA1129">
        <w:t xml:space="preserve">, and </w:t>
      </w:r>
      <w:r w:rsidR="00E951E7" w:rsidRPr="00E951E7">
        <w:t>68</w:t>
      </w:r>
      <w:r w:rsidR="00F42A10">
        <w:t> per </w:t>
      </w:r>
      <w:r w:rsidR="003A70D9">
        <w:t>cent</w:t>
      </w:r>
      <w:r w:rsidR="00454AA7">
        <w:t xml:space="preserve"> by value</w:t>
      </w:r>
      <w:bookmarkStart w:id="17" w:name="_Hlk126306462"/>
      <w:r w:rsidR="008D5085">
        <w:t>.</w:t>
      </w:r>
      <w:bookmarkStart w:id="18" w:name="_Toc25057846"/>
      <w:bookmarkStart w:id="19" w:name="_Toc25242631"/>
      <w:bookmarkEnd w:id="17"/>
      <w:r w:rsidR="0011421D" w:rsidRPr="0011421D">
        <w:t xml:space="preserve"> </w:t>
      </w:r>
    </w:p>
    <w:p w14:paraId="7A5C9799" w14:textId="4EAEB52B" w:rsidR="008D5085" w:rsidRDefault="0011421D" w:rsidP="000D6AC6">
      <w:r w:rsidRPr="0011421D">
        <w:t xml:space="preserve">From 1 July 2022, all Australian Government agencies covered by mandate must be </w:t>
      </w:r>
      <w:proofErr w:type="spellStart"/>
      <w:r w:rsidRPr="0011421D">
        <w:t>eInvoicing</w:t>
      </w:r>
      <w:proofErr w:type="spellEnd"/>
      <w:r w:rsidRPr="0011421D">
        <w:t xml:space="preserve"> enabled</w:t>
      </w:r>
      <w:r>
        <w:t>.</w:t>
      </w:r>
    </w:p>
    <w:p w14:paraId="03FD9801" w14:textId="3F831009" w:rsidR="002C628B" w:rsidRPr="003731F9" w:rsidRDefault="002C628B" w:rsidP="00CE6990">
      <w:pPr>
        <w:pStyle w:val="Heading1"/>
      </w:pPr>
      <w:bookmarkStart w:id="20" w:name="_Toc131005396"/>
      <w:r w:rsidRPr="003731F9">
        <w:t xml:space="preserve">Survey </w:t>
      </w:r>
      <w:r w:rsidRPr="00CE6990">
        <w:t>of</w:t>
      </w:r>
      <w:r w:rsidRPr="003731F9">
        <w:t xml:space="preserve"> </w:t>
      </w:r>
      <w:r w:rsidRPr="0054696F">
        <w:t>Australian</w:t>
      </w:r>
      <w:r w:rsidRPr="003731F9">
        <w:t xml:space="preserve"> Government agencies</w:t>
      </w:r>
      <w:bookmarkEnd w:id="18"/>
      <w:bookmarkEnd w:id="19"/>
      <w:bookmarkEnd w:id="20"/>
    </w:p>
    <w:p w14:paraId="32BD06E7" w14:textId="2C130851" w:rsidR="002C628B" w:rsidRPr="003731F9" w:rsidRDefault="002C628B" w:rsidP="00C802D6">
      <w:pPr>
        <w:rPr>
          <w:rFonts w:cstheme="minorBidi"/>
        </w:rPr>
      </w:pPr>
      <w:r w:rsidRPr="1B4C782C">
        <w:rPr>
          <w:rFonts w:cstheme="minorBidi"/>
        </w:rPr>
        <w:t>The 2021</w:t>
      </w:r>
      <w:r>
        <w:t>–</w:t>
      </w:r>
      <w:r w:rsidRPr="1B4C782C">
        <w:rPr>
          <w:rFonts w:cstheme="minorBidi"/>
        </w:rPr>
        <w:t xml:space="preserve">22 </w:t>
      </w:r>
      <w:r w:rsidRPr="006A18A6">
        <w:t>Pay On</w:t>
      </w:r>
      <w:r w:rsidR="00153E34">
        <w:noBreakHyphen/>
      </w:r>
      <w:r w:rsidRPr="006A18A6">
        <w:t xml:space="preserve">Time Survey </w:t>
      </w:r>
      <w:r w:rsidRPr="1B4C782C">
        <w:rPr>
          <w:rFonts w:cstheme="minorBidi"/>
        </w:rPr>
        <w:t>captured data on Government agencies</w:t>
      </w:r>
      <w:r w:rsidR="00153E34">
        <w:rPr>
          <w:rFonts w:cstheme="minorBidi"/>
        </w:rPr>
        <w:t>’</w:t>
      </w:r>
      <w:r w:rsidRPr="1B4C782C">
        <w:rPr>
          <w:rFonts w:cstheme="minorBidi"/>
        </w:rPr>
        <w:t xml:space="preserve"> performance against the Pay On</w:t>
      </w:r>
      <w:r w:rsidR="00153E34">
        <w:rPr>
          <w:rFonts w:cstheme="minorBidi"/>
        </w:rPr>
        <w:noBreakHyphen/>
      </w:r>
      <w:r w:rsidRPr="1B4C782C">
        <w:rPr>
          <w:rFonts w:cstheme="minorBidi"/>
        </w:rPr>
        <w:t>Time Policy for the 2021</w:t>
      </w:r>
      <w:r>
        <w:t>–</w:t>
      </w:r>
      <w:r w:rsidRPr="1B4C782C">
        <w:rPr>
          <w:rFonts w:cstheme="minorBidi"/>
        </w:rPr>
        <w:t>22 financial year, including:</w:t>
      </w:r>
    </w:p>
    <w:p w14:paraId="18BE89A9" w14:textId="434989CF" w:rsidR="002C628B" w:rsidRPr="00CE6990" w:rsidRDefault="002C628B" w:rsidP="00CE6990">
      <w:pPr>
        <w:pStyle w:val="Bullet"/>
      </w:pPr>
      <w:r w:rsidRPr="00CE6990">
        <w:t>The total number and value of invoices for contracts up to $1 million (GST inclusive)</w:t>
      </w:r>
      <w:r w:rsidR="002E472F" w:rsidRPr="00CE6990">
        <w:t>.</w:t>
      </w:r>
    </w:p>
    <w:p w14:paraId="60B3E5A5" w14:textId="24002470" w:rsidR="002C628B" w:rsidRPr="00CE6990" w:rsidRDefault="002C628B" w:rsidP="00CE6990">
      <w:pPr>
        <w:pStyle w:val="Bullet"/>
      </w:pPr>
      <w:r w:rsidRPr="00CE6990">
        <w:t>The total number and value of invoices for contracts up to $1 million (GST inclusive) that were paid within 20 days</w:t>
      </w:r>
      <w:r w:rsidR="002E472F" w:rsidRPr="00CE6990">
        <w:t>.</w:t>
      </w:r>
    </w:p>
    <w:p w14:paraId="707DCF31" w14:textId="11CE9D06" w:rsidR="002C628B" w:rsidRPr="00CE6990" w:rsidRDefault="002C628B" w:rsidP="00CE6990">
      <w:pPr>
        <w:pStyle w:val="Bullet"/>
      </w:pPr>
      <w:r w:rsidRPr="00CE6990">
        <w:t>The total number and value of eInvoices for contracts up to $1 million (GST inclusive)</w:t>
      </w:r>
      <w:r w:rsidR="002E472F" w:rsidRPr="00CE6990">
        <w:t>.</w:t>
      </w:r>
    </w:p>
    <w:p w14:paraId="25828C5B" w14:textId="08AA228F" w:rsidR="002C628B" w:rsidRPr="00CE6990" w:rsidRDefault="002C628B" w:rsidP="00CE6990">
      <w:pPr>
        <w:pStyle w:val="Bullet"/>
      </w:pPr>
      <w:r w:rsidRPr="00CE6990">
        <w:t>The total number and value of eInvoices for contracts up to $1 million (GST inclusive) that were paid within 5 days</w:t>
      </w:r>
      <w:r w:rsidR="002E472F" w:rsidRPr="00CE6990">
        <w:t>.</w:t>
      </w:r>
    </w:p>
    <w:p w14:paraId="1C4F34C9" w14:textId="063BE36F" w:rsidR="002C628B" w:rsidRPr="00CE6990" w:rsidRDefault="002C628B" w:rsidP="00CE6990">
      <w:pPr>
        <w:pStyle w:val="Bullet"/>
      </w:pPr>
      <w:r w:rsidRPr="00CE6990">
        <w:t>The total value of interest paid on late invoices and eInvoices</w:t>
      </w:r>
      <w:r w:rsidR="002E472F" w:rsidRPr="00CE6990">
        <w:t>.</w:t>
      </w:r>
    </w:p>
    <w:p w14:paraId="4F88C767" w14:textId="77777777" w:rsidR="00A3334B" w:rsidRDefault="00A3334B">
      <w:pPr>
        <w:spacing w:before="0" w:after="160" w:line="259" w:lineRule="auto"/>
        <w:rPr>
          <w:rFonts w:cstheme="minorHAnsi"/>
          <w:color w:val="000000" w:themeColor="text1"/>
        </w:rPr>
      </w:pPr>
      <w:r>
        <w:rPr>
          <w:rFonts w:cstheme="minorHAnsi"/>
          <w:color w:val="000000" w:themeColor="text1"/>
        </w:rPr>
        <w:br w:type="page"/>
      </w:r>
    </w:p>
    <w:p w14:paraId="55C9C829" w14:textId="147A9E50" w:rsidR="002C628B" w:rsidRPr="003731F9" w:rsidRDefault="002C628B" w:rsidP="00CE6990">
      <w:pPr>
        <w:pStyle w:val="Heading1"/>
      </w:pPr>
      <w:bookmarkStart w:id="21" w:name="_Toc25057848"/>
      <w:bookmarkStart w:id="22" w:name="_Toc25242633"/>
      <w:bookmarkStart w:id="23" w:name="_Toc131005397"/>
      <w:r w:rsidRPr="00CE6990">
        <w:t>Results</w:t>
      </w:r>
      <w:bookmarkEnd w:id="21"/>
      <w:bookmarkEnd w:id="22"/>
      <w:bookmarkEnd w:id="23"/>
    </w:p>
    <w:p w14:paraId="3910A65C" w14:textId="22B6BADE" w:rsidR="002C628B" w:rsidRPr="003731F9" w:rsidRDefault="001D5F6E" w:rsidP="00CE6990">
      <w:pPr>
        <w:pStyle w:val="Heading2"/>
        <w:rPr>
          <w:b/>
        </w:rPr>
      </w:pPr>
      <w:bookmarkStart w:id="24" w:name="_Toc131005398"/>
      <w:r>
        <w:t xml:space="preserve">Government agencies </w:t>
      </w:r>
      <w:r w:rsidR="002C628B" w:rsidRPr="00CE6990">
        <w:t>are</w:t>
      </w:r>
      <w:r w:rsidR="002C628B">
        <w:t xml:space="preserve"> paying faster</w:t>
      </w:r>
      <w:bookmarkEnd w:id="24"/>
      <w:r w:rsidR="002C628B">
        <w:tab/>
      </w:r>
    </w:p>
    <w:p w14:paraId="2B78E1D3" w14:textId="48E3EC0F" w:rsidR="00D43F36" w:rsidRDefault="002C628B" w:rsidP="00C802D6">
      <w:pPr>
        <w:pStyle w:val="Bullet"/>
        <w:numPr>
          <w:ilvl w:val="0"/>
          <w:numId w:val="0"/>
        </w:numPr>
        <w:spacing w:before="120" w:line="240" w:lineRule="auto"/>
        <w:rPr>
          <w:rFonts w:cstheme="minorBidi"/>
        </w:rPr>
      </w:pPr>
      <w:r w:rsidRPr="1B4C782C">
        <w:rPr>
          <w:rFonts w:cstheme="minorBidi"/>
        </w:rPr>
        <w:t>All 9</w:t>
      </w:r>
      <w:r w:rsidR="004E6D25">
        <w:rPr>
          <w:rFonts w:cstheme="minorBidi"/>
        </w:rPr>
        <w:t>3</w:t>
      </w:r>
      <w:r w:rsidRPr="1B4C782C">
        <w:rPr>
          <w:rFonts w:cstheme="minorBidi"/>
        </w:rPr>
        <w:t xml:space="preserve"> </w:t>
      </w:r>
      <w:r>
        <w:t>G</w:t>
      </w:r>
      <w:r w:rsidRPr="00EC5DD8">
        <w:t>overnm</w:t>
      </w:r>
      <w:r w:rsidRPr="00556346">
        <w:t>ent agencies</w:t>
      </w:r>
      <w:r>
        <w:t xml:space="preserve"> in scope of the </w:t>
      </w:r>
      <w:r w:rsidR="00AB5B8F">
        <w:t xml:space="preserve">2021–22 </w:t>
      </w:r>
      <w:r>
        <w:t>Pay On</w:t>
      </w:r>
      <w:r w:rsidR="00153E34">
        <w:noBreakHyphen/>
      </w:r>
      <w:r>
        <w:t>Time Survey</w:t>
      </w:r>
      <w:r w:rsidRPr="1B4C782C">
        <w:rPr>
          <w:rFonts w:cstheme="minorBidi"/>
        </w:rPr>
        <w:t xml:space="preserve"> provided data on payment times </w:t>
      </w:r>
      <w:r w:rsidR="00045096">
        <w:rPr>
          <w:rFonts w:cstheme="minorBidi"/>
        </w:rPr>
        <w:t>for</w:t>
      </w:r>
      <w:r w:rsidRPr="1B4C782C">
        <w:rPr>
          <w:rFonts w:cstheme="minorBidi"/>
        </w:rPr>
        <w:t xml:space="preserve"> </w:t>
      </w:r>
      <w:r w:rsidR="00780182">
        <w:rPr>
          <w:rFonts w:cstheme="minorBidi"/>
        </w:rPr>
        <w:t xml:space="preserve">eligible </w:t>
      </w:r>
      <w:r w:rsidRPr="1B4C782C">
        <w:rPr>
          <w:rFonts w:cstheme="minorBidi"/>
        </w:rPr>
        <w:t xml:space="preserve">invoices. </w:t>
      </w:r>
    </w:p>
    <w:p w14:paraId="59E43107" w14:textId="70B99785" w:rsidR="002C628B" w:rsidRDefault="002C628B" w:rsidP="00C802D6">
      <w:pPr>
        <w:pStyle w:val="Bullet"/>
        <w:numPr>
          <w:ilvl w:val="0"/>
          <w:numId w:val="0"/>
        </w:numPr>
        <w:spacing w:before="120" w:line="240" w:lineRule="auto"/>
        <w:rPr>
          <w:rFonts w:cstheme="minorBidi"/>
        </w:rPr>
      </w:pPr>
      <w:r w:rsidRPr="1B4C782C">
        <w:rPr>
          <w:rFonts w:cstheme="minorBidi"/>
        </w:rPr>
        <w:t xml:space="preserve">In the past year, both the number (Table 1) and value (Table 2) of eligible invoices </w:t>
      </w:r>
      <w:r w:rsidR="00D80E5C">
        <w:rPr>
          <w:rFonts w:cstheme="minorBidi"/>
        </w:rPr>
        <w:t xml:space="preserve">paid by Government agencies </w:t>
      </w:r>
      <w:r w:rsidRPr="1B4C782C">
        <w:rPr>
          <w:rFonts w:cstheme="minorBidi"/>
        </w:rPr>
        <w:t>has increased</w:t>
      </w:r>
      <w:r w:rsidR="00497C97">
        <w:rPr>
          <w:rFonts w:cstheme="minorBidi"/>
        </w:rPr>
        <w:t xml:space="preserve">. </w:t>
      </w:r>
      <w:r w:rsidRPr="1B4C782C">
        <w:rPr>
          <w:rFonts w:cstheme="minorBidi"/>
        </w:rPr>
        <w:t xml:space="preserve">There </w:t>
      </w:r>
      <w:r w:rsidR="008642AD">
        <w:rPr>
          <w:rFonts w:cstheme="minorBidi"/>
        </w:rPr>
        <w:t>has</w:t>
      </w:r>
      <w:r w:rsidR="00A73924">
        <w:rPr>
          <w:rFonts w:cstheme="minorBidi"/>
        </w:rPr>
        <w:t xml:space="preserve"> </w:t>
      </w:r>
      <w:r w:rsidR="00A864B3">
        <w:rPr>
          <w:rFonts w:cstheme="minorBidi"/>
        </w:rPr>
        <w:t xml:space="preserve">also </w:t>
      </w:r>
      <w:r w:rsidRPr="1B4C782C">
        <w:rPr>
          <w:rFonts w:cstheme="minorBidi"/>
        </w:rPr>
        <w:t xml:space="preserve">been </w:t>
      </w:r>
      <w:r w:rsidR="008642AD">
        <w:rPr>
          <w:rFonts w:cstheme="minorBidi"/>
        </w:rPr>
        <w:t xml:space="preserve">an </w:t>
      </w:r>
      <w:r w:rsidRPr="1B4C782C">
        <w:rPr>
          <w:rFonts w:cstheme="minorBidi"/>
        </w:rPr>
        <w:t xml:space="preserve">improvement in the number and value of </w:t>
      </w:r>
      <w:r w:rsidR="00EC5152">
        <w:rPr>
          <w:rFonts w:cstheme="minorBidi"/>
        </w:rPr>
        <w:t xml:space="preserve">eligible </w:t>
      </w:r>
      <w:r w:rsidRPr="1B4C782C">
        <w:rPr>
          <w:rFonts w:cstheme="minorBidi"/>
        </w:rPr>
        <w:t xml:space="preserve">invoices </w:t>
      </w:r>
      <w:r w:rsidRPr="00AD5A59">
        <w:rPr>
          <w:rFonts w:cstheme="minorBidi"/>
        </w:rPr>
        <w:t xml:space="preserve">paid </w:t>
      </w:r>
      <w:r w:rsidR="009E416A" w:rsidRPr="00AD5A59">
        <w:rPr>
          <w:rFonts w:cstheme="minorBidi"/>
        </w:rPr>
        <w:t xml:space="preserve">within </w:t>
      </w:r>
      <w:r w:rsidRPr="00AD5A59">
        <w:rPr>
          <w:rFonts w:cstheme="minorBidi"/>
        </w:rPr>
        <w:t>20</w:t>
      </w:r>
      <w:r w:rsidRPr="1B4C782C">
        <w:rPr>
          <w:rFonts w:cstheme="minorBidi"/>
        </w:rPr>
        <w:t xml:space="preserve"> days. </w:t>
      </w:r>
    </w:p>
    <w:p w14:paraId="2239CC43" w14:textId="7444D8FA" w:rsidR="002C628B" w:rsidRPr="0093320C" w:rsidRDefault="002C628B" w:rsidP="002C628B">
      <w:pPr>
        <w:pStyle w:val="TableMainHeading"/>
        <w:rPr>
          <w:i/>
        </w:rPr>
      </w:pPr>
      <w:bookmarkStart w:id="25" w:name="_Toc92710939"/>
      <w:bookmarkStart w:id="26" w:name="_Toc126932693"/>
      <w:bookmarkStart w:id="27" w:name="_Toc131005399"/>
      <w:r w:rsidRPr="0093320C">
        <w:t xml:space="preserve">Table </w:t>
      </w:r>
      <w:r>
        <w:fldChar w:fldCharType="begin"/>
      </w:r>
      <w:r>
        <w:instrText>SEQ Table \* ARABIC</w:instrText>
      </w:r>
      <w:r>
        <w:fldChar w:fldCharType="separate"/>
      </w:r>
      <w:r w:rsidR="00462ADF">
        <w:rPr>
          <w:noProof/>
        </w:rPr>
        <w:t>1</w:t>
      </w:r>
      <w:r>
        <w:fldChar w:fldCharType="end"/>
      </w:r>
      <w:r w:rsidRPr="0093320C">
        <w:t xml:space="preserve">: </w:t>
      </w:r>
      <w:r w:rsidRPr="00F55890">
        <w:t>20</w:t>
      </w:r>
      <w:r>
        <w:t>20–</w:t>
      </w:r>
      <w:r w:rsidRPr="00F55890">
        <w:t>2</w:t>
      </w:r>
      <w:r>
        <w:t>1</w:t>
      </w:r>
      <w:r w:rsidRPr="00F55890">
        <w:t xml:space="preserve"> </w:t>
      </w:r>
      <w:r>
        <w:t>and</w:t>
      </w:r>
      <w:r w:rsidRPr="00F55890">
        <w:t xml:space="preserve"> 202</w:t>
      </w:r>
      <w:r>
        <w:t>1–</w:t>
      </w:r>
      <w:r w:rsidRPr="00F55890">
        <w:t>2</w:t>
      </w:r>
      <w:r>
        <w:t>2</w:t>
      </w:r>
      <w:r w:rsidRPr="00F55890">
        <w:t xml:space="preserve"> comparison </w:t>
      </w:r>
      <w:r w:rsidR="00494082">
        <w:t xml:space="preserve">of payment times </w:t>
      </w:r>
      <w:r w:rsidR="00574BAE">
        <w:t xml:space="preserve">for </w:t>
      </w:r>
      <w:r w:rsidRPr="00F55890">
        <w:t>invoices of contracts valued up to $1</w:t>
      </w:r>
      <w:r w:rsidR="00A5100F">
        <w:t xml:space="preserve"> </w:t>
      </w:r>
      <w:r w:rsidRPr="00F55890">
        <w:t>million</w:t>
      </w:r>
      <w:r w:rsidR="00A5100F">
        <w:t xml:space="preserve"> </w:t>
      </w:r>
      <w:r w:rsidRPr="00F55890">
        <w:t>(GST</w:t>
      </w:r>
      <w:r w:rsidR="00A5100F">
        <w:t xml:space="preserve"> </w:t>
      </w:r>
      <w:r w:rsidRPr="00F55890">
        <w:t>inclusive)</w:t>
      </w:r>
      <w:bookmarkEnd w:id="25"/>
      <w:r w:rsidR="00574BAE">
        <w:t>, by number</w:t>
      </w:r>
      <w:bookmarkEnd w:id="26"/>
      <w:bookmarkEnd w:id="27"/>
    </w:p>
    <w:tbl>
      <w:tblPr>
        <w:tblStyle w:val="TableGrid"/>
        <w:tblW w:w="5000" w:type="pct"/>
        <w:tblLook w:val="06A0" w:firstRow="1" w:lastRow="0" w:firstColumn="1" w:lastColumn="0" w:noHBand="1" w:noVBand="1"/>
        <w:tblCaption w:val="Table"/>
      </w:tblPr>
      <w:tblGrid>
        <w:gridCol w:w="2965"/>
        <w:gridCol w:w="2981"/>
        <w:gridCol w:w="3126"/>
      </w:tblGrid>
      <w:tr w:rsidR="00CE6990" w:rsidRPr="00CE6990" w14:paraId="2E737E37" w14:textId="77777777" w:rsidTr="00153E34">
        <w:trPr>
          <w:cnfStyle w:val="100000000000" w:firstRow="1" w:lastRow="0" w:firstColumn="0" w:lastColumn="0" w:oddVBand="0" w:evenVBand="0" w:oddHBand="0" w:evenHBand="0" w:firstRowFirstColumn="0" w:firstRowLastColumn="0" w:lastRowFirstColumn="0" w:lastRowLastColumn="0"/>
          <w:trHeight w:val="227"/>
        </w:trPr>
        <w:tc>
          <w:tcPr>
            <w:tcW w:w="1634" w:type="pct"/>
          </w:tcPr>
          <w:p w14:paraId="1E5DDD57" w14:textId="77777777" w:rsidR="002C628B" w:rsidRPr="00CE6990" w:rsidRDefault="002C628B" w:rsidP="00CE6990">
            <w:pPr>
              <w:pStyle w:val="TableColumnHeadingLeft"/>
              <w:rPr>
                <w:b/>
                <w:bCs/>
                <w:color w:val="FFFFFF" w:themeColor="background1"/>
              </w:rPr>
            </w:pPr>
            <w:bookmarkStart w:id="28" w:name="_Hlk88467252"/>
          </w:p>
        </w:tc>
        <w:tc>
          <w:tcPr>
            <w:tcW w:w="1643" w:type="pct"/>
          </w:tcPr>
          <w:p w14:paraId="12011286" w14:textId="77777777" w:rsidR="002C628B" w:rsidRPr="00CE6990" w:rsidRDefault="002C628B" w:rsidP="00153E34">
            <w:pPr>
              <w:pStyle w:val="TableColumnHeadingRight"/>
              <w:rPr>
                <w:b/>
                <w:bCs/>
              </w:rPr>
            </w:pPr>
            <w:r w:rsidRPr="00CE6990">
              <w:rPr>
                <w:b/>
              </w:rPr>
              <w:t>Number 2020–21</w:t>
            </w:r>
          </w:p>
        </w:tc>
        <w:tc>
          <w:tcPr>
            <w:tcW w:w="1723" w:type="pct"/>
          </w:tcPr>
          <w:p w14:paraId="4E304FD5" w14:textId="77777777" w:rsidR="002C628B" w:rsidRPr="00CE6990" w:rsidRDefault="002C628B" w:rsidP="00153E34">
            <w:pPr>
              <w:pStyle w:val="TableColumnHeadingRight"/>
              <w:rPr>
                <w:b/>
                <w:bCs/>
              </w:rPr>
            </w:pPr>
            <w:r w:rsidRPr="00CE6990">
              <w:rPr>
                <w:b/>
              </w:rPr>
              <w:t>Number 2021–22</w:t>
            </w:r>
          </w:p>
        </w:tc>
      </w:tr>
      <w:tr w:rsidR="002C628B" w:rsidRPr="003731F9" w14:paraId="773B49EF" w14:textId="77777777" w:rsidTr="00153E34">
        <w:trPr>
          <w:trHeight w:val="227"/>
        </w:trPr>
        <w:tc>
          <w:tcPr>
            <w:tcW w:w="1634" w:type="pct"/>
          </w:tcPr>
          <w:p w14:paraId="1FBDC3AC" w14:textId="77777777" w:rsidR="002C628B" w:rsidRPr="00CE6990" w:rsidRDefault="002C628B" w:rsidP="00CE6990">
            <w:pPr>
              <w:pStyle w:val="TableColumnHeadingLeft"/>
              <w:rPr>
                <w:b w:val="0"/>
                <w:bCs/>
              </w:rPr>
            </w:pPr>
            <w:r w:rsidRPr="00CE6990">
              <w:t>Paid within 20 days</w:t>
            </w:r>
          </w:p>
        </w:tc>
        <w:tc>
          <w:tcPr>
            <w:tcW w:w="1643" w:type="pct"/>
          </w:tcPr>
          <w:p w14:paraId="4E086018" w14:textId="3F2188F4" w:rsidR="002C628B" w:rsidRPr="00F55890" w:rsidRDefault="002C628B" w:rsidP="00153E34">
            <w:pPr>
              <w:pStyle w:val="TableTextRight"/>
              <w:rPr>
                <w:rFonts w:cs="Calibri"/>
              </w:rPr>
            </w:pPr>
            <w:r w:rsidRPr="0029643C">
              <w:t>869,774 (93%)</w:t>
            </w:r>
          </w:p>
        </w:tc>
        <w:tc>
          <w:tcPr>
            <w:tcW w:w="1723" w:type="pct"/>
          </w:tcPr>
          <w:p w14:paraId="325B64EB" w14:textId="1EBC0FC0" w:rsidR="002C628B" w:rsidRPr="00F55890" w:rsidRDefault="00BA7754" w:rsidP="00153E34">
            <w:pPr>
              <w:pStyle w:val="TableTextRight"/>
            </w:pPr>
            <w:r>
              <w:t>1</w:t>
            </w:r>
            <w:r w:rsidR="00A822B0">
              <w:t>,420</w:t>
            </w:r>
            <w:r w:rsidR="002963A0">
              <w:t>,408</w:t>
            </w:r>
            <w:r w:rsidR="002C628B">
              <w:t xml:space="preserve"> (96%)</w:t>
            </w:r>
          </w:p>
        </w:tc>
      </w:tr>
      <w:tr w:rsidR="002C628B" w:rsidRPr="003731F9" w14:paraId="1F254341" w14:textId="77777777" w:rsidTr="00153E34">
        <w:trPr>
          <w:trHeight w:val="227"/>
        </w:trPr>
        <w:tc>
          <w:tcPr>
            <w:tcW w:w="1634" w:type="pct"/>
          </w:tcPr>
          <w:p w14:paraId="3890495D" w14:textId="77777777" w:rsidR="002C628B" w:rsidRPr="00CE6990" w:rsidRDefault="002C628B" w:rsidP="00CE6990">
            <w:pPr>
              <w:pStyle w:val="TableColumnHeadingLeft"/>
              <w:rPr>
                <w:b w:val="0"/>
                <w:bCs/>
              </w:rPr>
            </w:pPr>
            <w:r w:rsidRPr="00CE6990">
              <w:t>Paid after 20 days</w:t>
            </w:r>
          </w:p>
        </w:tc>
        <w:tc>
          <w:tcPr>
            <w:tcW w:w="1643" w:type="pct"/>
          </w:tcPr>
          <w:p w14:paraId="125B5239" w14:textId="77E28CC4" w:rsidR="002C628B" w:rsidRPr="00F55890" w:rsidRDefault="002C628B" w:rsidP="00153E34">
            <w:pPr>
              <w:pStyle w:val="TableTextRight"/>
              <w:rPr>
                <w:rFonts w:cs="Calibri"/>
              </w:rPr>
            </w:pPr>
            <w:r w:rsidRPr="0029643C">
              <w:t>63,407 (</w:t>
            </w:r>
            <w:r w:rsidR="00531F17">
              <w:t>7</w:t>
            </w:r>
            <w:r w:rsidRPr="0029643C">
              <w:t>%)</w:t>
            </w:r>
          </w:p>
        </w:tc>
        <w:tc>
          <w:tcPr>
            <w:tcW w:w="1723" w:type="pct"/>
          </w:tcPr>
          <w:p w14:paraId="546E1B97" w14:textId="2022495C" w:rsidR="002C628B" w:rsidRPr="00F55890" w:rsidRDefault="00FE5757" w:rsidP="00153E34">
            <w:pPr>
              <w:pStyle w:val="TableTextRight"/>
            </w:pPr>
            <w:r>
              <w:t>52</w:t>
            </w:r>
            <w:r w:rsidR="000C16DC">
              <w:t>,290</w:t>
            </w:r>
            <w:r w:rsidR="002C628B">
              <w:t xml:space="preserve"> (</w:t>
            </w:r>
            <w:r w:rsidR="008C1ECA">
              <w:t>4</w:t>
            </w:r>
            <w:r w:rsidR="002C628B">
              <w:t>%)</w:t>
            </w:r>
          </w:p>
        </w:tc>
      </w:tr>
      <w:tr w:rsidR="002C628B" w:rsidRPr="003731F9" w14:paraId="13A69D29" w14:textId="77777777" w:rsidTr="00153E34">
        <w:trPr>
          <w:trHeight w:val="227"/>
        </w:trPr>
        <w:tc>
          <w:tcPr>
            <w:tcW w:w="1634" w:type="pct"/>
          </w:tcPr>
          <w:p w14:paraId="7391CE75" w14:textId="77777777" w:rsidR="002C628B" w:rsidRPr="00CE6990" w:rsidRDefault="002C628B" w:rsidP="00CE6990">
            <w:pPr>
              <w:pStyle w:val="TableColumnHeadingLeft"/>
              <w:rPr>
                <w:b w:val="0"/>
                <w:bCs/>
              </w:rPr>
            </w:pPr>
            <w:r w:rsidRPr="00CE6990">
              <w:t>Total invoices</w:t>
            </w:r>
          </w:p>
        </w:tc>
        <w:tc>
          <w:tcPr>
            <w:tcW w:w="1643" w:type="pct"/>
          </w:tcPr>
          <w:p w14:paraId="3BAA4109" w14:textId="77777777" w:rsidR="002C628B" w:rsidRPr="00F55890" w:rsidRDefault="002C628B" w:rsidP="00153E34">
            <w:pPr>
              <w:pStyle w:val="TableTextRight"/>
              <w:rPr>
                <w:rFonts w:cs="Calibri"/>
              </w:rPr>
            </w:pPr>
            <w:r w:rsidRPr="0029643C">
              <w:t>933,181</w:t>
            </w:r>
          </w:p>
        </w:tc>
        <w:tc>
          <w:tcPr>
            <w:tcW w:w="1723" w:type="pct"/>
          </w:tcPr>
          <w:p w14:paraId="0D8DCAB8" w14:textId="4B2DAE9D" w:rsidR="002C628B" w:rsidRPr="00F55890" w:rsidRDefault="00D37205" w:rsidP="00153E34">
            <w:pPr>
              <w:pStyle w:val="TableTextRight"/>
            </w:pPr>
            <w:r>
              <w:t>1,472,698</w:t>
            </w:r>
            <w:r w:rsidR="002C628B">
              <w:t xml:space="preserve"> </w:t>
            </w:r>
          </w:p>
        </w:tc>
      </w:tr>
    </w:tbl>
    <w:p w14:paraId="36FA9EAE" w14:textId="77777777" w:rsidR="00153E34" w:rsidRDefault="00153E34" w:rsidP="00153E34">
      <w:pPr>
        <w:pStyle w:val="SingleParagraph"/>
      </w:pPr>
      <w:bookmarkStart w:id="29" w:name="_Toc92710940"/>
      <w:bookmarkStart w:id="30" w:name="_Toc126932694"/>
      <w:bookmarkStart w:id="31" w:name="_Toc131005400"/>
    </w:p>
    <w:p w14:paraId="1419E6FE" w14:textId="172664ED" w:rsidR="002C628B" w:rsidRPr="005B2090" w:rsidRDefault="002C628B" w:rsidP="002C628B">
      <w:pPr>
        <w:pStyle w:val="TableMainHeading"/>
      </w:pPr>
      <w:r w:rsidRPr="0093320C">
        <w:t xml:space="preserve">Table 2: </w:t>
      </w:r>
      <w:r w:rsidRPr="00F55890">
        <w:t>20</w:t>
      </w:r>
      <w:r>
        <w:t>20–</w:t>
      </w:r>
      <w:r w:rsidRPr="00F55890">
        <w:t>2</w:t>
      </w:r>
      <w:r>
        <w:t>1</w:t>
      </w:r>
      <w:r w:rsidRPr="00F55890">
        <w:t xml:space="preserve"> </w:t>
      </w:r>
      <w:r>
        <w:t>and</w:t>
      </w:r>
      <w:r w:rsidRPr="00F55890">
        <w:t xml:space="preserve"> 202</w:t>
      </w:r>
      <w:r>
        <w:t>1–</w:t>
      </w:r>
      <w:r w:rsidRPr="00F55890">
        <w:t>2</w:t>
      </w:r>
      <w:r>
        <w:t>2</w:t>
      </w:r>
      <w:r w:rsidRPr="00F55890">
        <w:t xml:space="preserve"> comparison </w:t>
      </w:r>
      <w:r w:rsidR="00574BAE">
        <w:t xml:space="preserve">of payment times </w:t>
      </w:r>
      <w:r w:rsidR="00D26E6F">
        <w:t xml:space="preserve">for </w:t>
      </w:r>
      <w:r w:rsidRPr="00F55890">
        <w:t>invoices of contracts valued up to $1 million (GST inclusive)</w:t>
      </w:r>
      <w:bookmarkEnd w:id="29"/>
      <w:r w:rsidR="00D26E6F">
        <w:t>, by value</w:t>
      </w:r>
      <w:bookmarkEnd w:id="30"/>
      <w:bookmarkEnd w:id="31"/>
    </w:p>
    <w:bookmarkEnd w:id="28"/>
    <w:tbl>
      <w:tblPr>
        <w:tblStyle w:val="TableGrid"/>
        <w:tblW w:w="5000" w:type="pct"/>
        <w:tblLook w:val="06A0" w:firstRow="1" w:lastRow="0" w:firstColumn="1" w:lastColumn="0" w:noHBand="1" w:noVBand="1"/>
        <w:tblCaption w:val="Table"/>
      </w:tblPr>
      <w:tblGrid>
        <w:gridCol w:w="3058"/>
        <w:gridCol w:w="3007"/>
        <w:gridCol w:w="3007"/>
      </w:tblGrid>
      <w:tr w:rsidR="00CE6990" w:rsidRPr="00CE6990" w14:paraId="7F6DA496" w14:textId="77777777" w:rsidTr="00153E34">
        <w:trPr>
          <w:cnfStyle w:val="100000000000" w:firstRow="1" w:lastRow="0" w:firstColumn="0" w:lastColumn="0" w:oddVBand="0" w:evenVBand="0" w:oddHBand="0" w:evenHBand="0" w:firstRowFirstColumn="0" w:firstRowLastColumn="0" w:lastRowFirstColumn="0" w:lastRowLastColumn="0"/>
          <w:trHeight w:val="227"/>
        </w:trPr>
        <w:tc>
          <w:tcPr>
            <w:tcW w:w="0" w:type="pct"/>
          </w:tcPr>
          <w:p w14:paraId="40BF5DAA" w14:textId="77777777" w:rsidR="002C628B" w:rsidRPr="00CE6990" w:rsidRDefault="002C628B" w:rsidP="00CE6990">
            <w:pPr>
              <w:pStyle w:val="TableColumnHeadingLeft"/>
              <w:rPr>
                <w:b/>
                <w:bCs/>
                <w:color w:val="FFFFFF" w:themeColor="background1"/>
              </w:rPr>
            </w:pPr>
          </w:p>
        </w:tc>
        <w:tc>
          <w:tcPr>
            <w:tcW w:w="0" w:type="pct"/>
          </w:tcPr>
          <w:p w14:paraId="08790FDD" w14:textId="77777777" w:rsidR="002C628B" w:rsidRPr="00CE6990" w:rsidRDefault="002C628B" w:rsidP="00153E34">
            <w:pPr>
              <w:pStyle w:val="TableColumnHeadingRight"/>
              <w:rPr>
                <w:b/>
                <w:bCs/>
              </w:rPr>
            </w:pPr>
            <w:r w:rsidRPr="00CE6990">
              <w:rPr>
                <w:b/>
              </w:rPr>
              <w:t>Value 2020–21</w:t>
            </w:r>
          </w:p>
        </w:tc>
        <w:tc>
          <w:tcPr>
            <w:tcW w:w="0" w:type="pct"/>
          </w:tcPr>
          <w:p w14:paraId="2762413E" w14:textId="77777777" w:rsidR="002C628B" w:rsidRPr="00CE6990" w:rsidRDefault="002C628B" w:rsidP="00153E34">
            <w:pPr>
              <w:pStyle w:val="TableColumnHeadingRight"/>
              <w:rPr>
                <w:b/>
                <w:bCs/>
              </w:rPr>
            </w:pPr>
            <w:r w:rsidRPr="00CE6990">
              <w:rPr>
                <w:b/>
              </w:rPr>
              <w:t>Value 2021–22</w:t>
            </w:r>
          </w:p>
        </w:tc>
      </w:tr>
      <w:tr w:rsidR="002C628B" w:rsidRPr="003731F9" w14:paraId="4F255CB6" w14:textId="77777777" w:rsidTr="00153E34">
        <w:trPr>
          <w:trHeight w:val="227"/>
        </w:trPr>
        <w:tc>
          <w:tcPr>
            <w:tcW w:w="0" w:type="pct"/>
          </w:tcPr>
          <w:p w14:paraId="2C50101F" w14:textId="77777777" w:rsidR="002C628B" w:rsidRPr="00CE6990" w:rsidRDefault="002C628B" w:rsidP="00CE6990">
            <w:pPr>
              <w:pStyle w:val="TableColumnHeadingLeft"/>
              <w:rPr>
                <w:b w:val="0"/>
                <w:bCs/>
              </w:rPr>
            </w:pPr>
            <w:r w:rsidRPr="00CE6990">
              <w:t>Paid within 20 days</w:t>
            </w:r>
          </w:p>
        </w:tc>
        <w:tc>
          <w:tcPr>
            <w:tcW w:w="0" w:type="pct"/>
          </w:tcPr>
          <w:p w14:paraId="16873208" w14:textId="7581ADD9" w:rsidR="002C628B" w:rsidRPr="00F55890" w:rsidRDefault="002C628B" w:rsidP="00153E34">
            <w:pPr>
              <w:pStyle w:val="TableTextRight"/>
              <w:rPr>
                <w:rFonts w:cs="Calibri"/>
              </w:rPr>
            </w:pPr>
            <w:r w:rsidRPr="000267D8">
              <w:t>$7.04bn (86%)</w:t>
            </w:r>
          </w:p>
        </w:tc>
        <w:tc>
          <w:tcPr>
            <w:tcW w:w="0" w:type="pct"/>
          </w:tcPr>
          <w:p w14:paraId="5B971C4B" w14:textId="697C594F" w:rsidR="002C628B" w:rsidRPr="00F55890" w:rsidRDefault="002C628B" w:rsidP="00153E34">
            <w:pPr>
              <w:pStyle w:val="TableTextRight"/>
            </w:pPr>
            <w:r>
              <w:t>$7.5</w:t>
            </w:r>
            <w:r w:rsidR="009C68C2">
              <w:t>1</w:t>
            </w:r>
            <w:r>
              <w:t>bn (90%)</w:t>
            </w:r>
          </w:p>
        </w:tc>
      </w:tr>
      <w:tr w:rsidR="002C628B" w:rsidRPr="003731F9" w14:paraId="145DA5DC" w14:textId="77777777" w:rsidTr="00153E34">
        <w:trPr>
          <w:trHeight w:val="227"/>
        </w:trPr>
        <w:tc>
          <w:tcPr>
            <w:tcW w:w="0" w:type="pct"/>
          </w:tcPr>
          <w:p w14:paraId="6762886F" w14:textId="77777777" w:rsidR="002C628B" w:rsidRPr="00CE6990" w:rsidRDefault="002C628B" w:rsidP="00CE6990">
            <w:pPr>
              <w:pStyle w:val="TableColumnHeadingLeft"/>
              <w:rPr>
                <w:b w:val="0"/>
                <w:bCs/>
              </w:rPr>
            </w:pPr>
            <w:r w:rsidRPr="00CE6990">
              <w:t>Paid after 20 days</w:t>
            </w:r>
          </w:p>
        </w:tc>
        <w:tc>
          <w:tcPr>
            <w:tcW w:w="0" w:type="pct"/>
          </w:tcPr>
          <w:p w14:paraId="4A18EDC1" w14:textId="359E9568" w:rsidR="002C628B" w:rsidRPr="00F55890" w:rsidRDefault="002C628B" w:rsidP="00153E34">
            <w:pPr>
              <w:pStyle w:val="TableTextRight"/>
              <w:rPr>
                <w:rFonts w:cs="Calibri"/>
              </w:rPr>
            </w:pPr>
            <w:r w:rsidRPr="000267D8">
              <w:t>$1.14bn (</w:t>
            </w:r>
            <w:r w:rsidR="00D3560D">
              <w:t>14</w:t>
            </w:r>
            <w:r w:rsidRPr="000267D8">
              <w:t>%)</w:t>
            </w:r>
          </w:p>
        </w:tc>
        <w:tc>
          <w:tcPr>
            <w:tcW w:w="0" w:type="pct"/>
          </w:tcPr>
          <w:p w14:paraId="3965E060" w14:textId="07EB8834" w:rsidR="002C628B" w:rsidRPr="00F55890" w:rsidRDefault="002C628B" w:rsidP="00153E34">
            <w:pPr>
              <w:pStyle w:val="TableTextRight"/>
            </w:pPr>
            <w:r>
              <w:t>$</w:t>
            </w:r>
            <w:r w:rsidR="000A68AF">
              <w:t>0.81bn</w:t>
            </w:r>
            <w:r>
              <w:t xml:space="preserve"> (</w:t>
            </w:r>
            <w:r w:rsidR="00E75844">
              <w:t>10</w:t>
            </w:r>
            <w:r>
              <w:t>%)</w:t>
            </w:r>
          </w:p>
        </w:tc>
      </w:tr>
      <w:tr w:rsidR="002C628B" w:rsidRPr="003731F9" w14:paraId="2DD58445" w14:textId="77777777" w:rsidTr="00153E34">
        <w:trPr>
          <w:trHeight w:val="227"/>
        </w:trPr>
        <w:tc>
          <w:tcPr>
            <w:tcW w:w="0" w:type="pct"/>
          </w:tcPr>
          <w:p w14:paraId="67B09A5F" w14:textId="77777777" w:rsidR="002C628B" w:rsidRPr="00CE6990" w:rsidRDefault="002C628B" w:rsidP="00CE6990">
            <w:pPr>
              <w:pStyle w:val="TableColumnHeadingLeft"/>
              <w:rPr>
                <w:b w:val="0"/>
                <w:bCs/>
              </w:rPr>
            </w:pPr>
            <w:r w:rsidRPr="00CE6990">
              <w:t>Total invoices</w:t>
            </w:r>
          </w:p>
        </w:tc>
        <w:tc>
          <w:tcPr>
            <w:tcW w:w="0" w:type="pct"/>
          </w:tcPr>
          <w:p w14:paraId="7D1F2A37" w14:textId="77777777" w:rsidR="002C628B" w:rsidRPr="00F55890" w:rsidRDefault="002C628B" w:rsidP="00153E34">
            <w:pPr>
              <w:pStyle w:val="TableTextRight"/>
              <w:rPr>
                <w:rFonts w:cs="Calibri"/>
              </w:rPr>
            </w:pPr>
            <w:r w:rsidRPr="000267D8">
              <w:t>$8.18bn</w:t>
            </w:r>
          </w:p>
        </w:tc>
        <w:tc>
          <w:tcPr>
            <w:tcW w:w="0" w:type="pct"/>
          </w:tcPr>
          <w:p w14:paraId="2FA37BEA" w14:textId="71ED5523" w:rsidR="002C628B" w:rsidRPr="00F55890" w:rsidRDefault="002C628B" w:rsidP="00153E34">
            <w:pPr>
              <w:pStyle w:val="TableTextRight"/>
            </w:pPr>
            <w:r>
              <w:t>$8.3</w:t>
            </w:r>
            <w:r w:rsidR="009A2B3D">
              <w:t>2</w:t>
            </w:r>
            <w:r>
              <w:t>bn</w:t>
            </w:r>
          </w:p>
        </w:tc>
      </w:tr>
    </w:tbl>
    <w:p w14:paraId="039D6EDF" w14:textId="6DBC5736" w:rsidR="00ED60D9" w:rsidRDefault="00ED60D9" w:rsidP="00153E34">
      <w:pPr>
        <w:pStyle w:val="SingleParagraph"/>
      </w:pPr>
      <w:bookmarkStart w:id="32" w:name="_Toc131005401"/>
    </w:p>
    <w:p w14:paraId="7BCF6CBD" w14:textId="02E76F17" w:rsidR="002C628B" w:rsidRPr="004743ED" w:rsidRDefault="002C628B" w:rsidP="00CE6990">
      <w:pPr>
        <w:pStyle w:val="Heading2"/>
      </w:pPr>
      <w:r w:rsidRPr="004743ED">
        <w:t>Payment times by value and number</w:t>
      </w:r>
      <w:bookmarkEnd w:id="32"/>
    </w:p>
    <w:p w14:paraId="5F8B8A84" w14:textId="3D473088" w:rsidR="002C628B" w:rsidRPr="00167BF8" w:rsidRDefault="002C628B" w:rsidP="002C628B">
      <w:pPr>
        <w:rPr>
          <w:rFonts w:cstheme="minorHAnsi"/>
        </w:rPr>
      </w:pPr>
      <w:r>
        <w:rPr>
          <w:rFonts w:cstheme="minorHAnsi"/>
        </w:rPr>
        <w:t xml:space="preserve">Overall, </w:t>
      </w:r>
      <w:r w:rsidR="00A858E5">
        <w:rPr>
          <w:rFonts w:cstheme="minorHAnsi"/>
        </w:rPr>
        <w:t xml:space="preserve">by both </w:t>
      </w:r>
      <w:r w:rsidR="00A858E5" w:rsidRPr="00CC3C10">
        <w:rPr>
          <w:rFonts w:cstheme="minorHAnsi"/>
        </w:rPr>
        <w:t>value</w:t>
      </w:r>
      <w:r w:rsidR="00A858E5">
        <w:rPr>
          <w:rFonts w:cstheme="minorHAnsi"/>
        </w:rPr>
        <w:t xml:space="preserve"> and </w:t>
      </w:r>
      <w:r w:rsidR="00A858E5" w:rsidRPr="00CC3C10">
        <w:rPr>
          <w:rFonts w:cstheme="minorHAnsi"/>
        </w:rPr>
        <w:t>number</w:t>
      </w:r>
      <w:r w:rsidR="00A858E5">
        <w:rPr>
          <w:rFonts w:cstheme="minorHAnsi"/>
        </w:rPr>
        <w:t xml:space="preserve">, </w:t>
      </w:r>
      <w:r>
        <w:rPr>
          <w:rFonts w:cstheme="minorHAnsi"/>
        </w:rPr>
        <w:t>a higher proportion of eligible invoices have been paid within 20</w:t>
      </w:r>
      <w:r w:rsidR="00023B11">
        <w:rPr>
          <w:rFonts w:cstheme="minorHAnsi"/>
        </w:rPr>
        <w:t> </w:t>
      </w:r>
      <w:r>
        <w:rPr>
          <w:rFonts w:cstheme="minorHAnsi"/>
        </w:rPr>
        <w:t>calendar days in the 2021</w:t>
      </w:r>
      <w:bookmarkStart w:id="33" w:name="_Hlk92710776"/>
      <w:r>
        <w:t>–</w:t>
      </w:r>
      <w:bookmarkEnd w:id="33"/>
      <w:r>
        <w:rPr>
          <w:rFonts w:cstheme="minorHAnsi"/>
        </w:rPr>
        <w:t>22 financial year</w:t>
      </w:r>
      <w:r w:rsidR="0013365B" w:rsidRPr="0013365B">
        <w:rPr>
          <w:rFonts w:cstheme="minorHAnsi"/>
        </w:rPr>
        <w:t xml:space="preserve"> </w:t>
      </w:r>
      <w:r>
        <w:rPr>
          <w:rFonts w:cstheme="minorHAnsi"/>
        </w:rPr>
        <w:t>as compared to the 2020</w:t>
      </w:r>
      <w:r>
        <w:t>–</w:t>
      </w:r>
      <w:r>
        <w:rPr>
          <w:rFonts w:cstheme="minorHAnsi"/>
        </w:rPr>
        <w:t xml:space="preserve">21 financial year. </w:t>
      </w:r>
    </w:p>
    <w:p w14:paraId="6EEE33B0" w14:textId="684DC625" w:rsidR="00430510" w:rsidRDefault="00F8326B" w:rsidP="00430510">
      <w:pPr>
        <w:rPr>
          <w:rFonts w:cstheme="minorHAnsi"/>
        </w:rPr>
      </w:pPr>
      <w:r>
        <w:rPr>
          <w:rFonts w:cstheme="minorHAnsi"/>
        </w:rPr>
        <w:t xml:space="preserve">Chart 2 </w:t>
      </w:r>
      <w:r w:rsidR="004D2C1D">
        <w:rPr>
          <w:rFonts w:cstheme="minorHAnsi"/>
        </w:rPr>
        <w:t>provides</w:t>
      </w:r>
      <w:r>
        <w:rPr>
          <w:rFonts w:cstheme="minorHAnsi"/>
        </w:rPr>
        <w:t xml:space="preserve"> the percentage of </w:t>
      </w:r>
      <w:r w:rsidR="00707ACD">
        <w:rPr>
          <w:rFonts w:cstheme="minorHAnsi"/>
        </w:rPr>
        <w:t>eligible</w:t>
      </w:r>
      <w:r w:rsidDel="00E82863">
        <w:rPr>
          <w:rFonts w:cstheme="minorHAnsi"/>
        </w:rPr>
        <w:t xml:space="preserve"> </w:t>
      </w:r>
      <w:r>
        <w:rPr>
          <w:rFonts w:cstheme="minorHAnsi"/>
        </w:rPr>
        <w:t xml:space="preserve">invoices </w:t>
      </w:r>
      <w:r w:rsidR="007F0EB8">
        <w:rPr>
          <w:rFonts w:cstheme="minorHAnsi"/>
        </w:rPr>
        <w:t>paid on time (that is, within 20 days</w:t>
      </w:r>
      <w:r w:rsidR="005369E1">
        <w:rPr>
          <w:rFonts w:cstheme="minorHAnsi"/>
        </w:rPr>
        <w:t xml:space="preserve">) compared to those paid late (that is, </w:t>
      </w:r>
      <w:r w:rsidR="00921E38">
        <w:rPr>
          <w:rFonts w:cstheme="minorHAnsi"/>
        </w:rPr>
        <w:t xml:space="preserve">in </w:t>
      </w:r>
      <w:r w:rsidR="00A858E5">
        <w:rPr>
          <w:rFonts w:cstheme="minorHAnsi"/>
        </w:rPr>
        <w:t>more than</w:t>
      </w:r>
      <w:r w:rsidR="00E40FF1">
        <w:rPr>
          <w:rFonts w:cstheme="minorHAnsi"/>
        </w:rPr>
        <w:t xml:space="preserve"> 2</w:t>
      </w:r>
      <w:r w:rsidR="00DA5B1C">
        <w:rPr>
          <w:rFonts w:cstheme="minorHAnsi"/>
        </w:rPr>
        <w:t>0</w:t>
      </w:r>
      <w:r w:rsidR="00E40FF1">
        <w:rPr>
          <w:rFonts w:cstheme="minorHAnsi"/>
        </w:rPr>
        <w:t xml:space="preserve"> days</w:t>
      </w:r>
      <w:r w:rsidR="00DA5B1C">
        <w:rPr>
          <w:rFonts w:cstheme="minorHAnsi"/>
        </w:rPr>
        <w:t>)</w:t>
      </w:r>
      <w:r w:rsidR="00FF4FFB">
        <w:rPr>
          <w:rFonts w:cstheme="minorHAnsi"/>
        </w:rPr>
        <w:t xml:space="preserve"> by value and number</w:t>
      </w:r>
      <w:r>
        <w:rPr>
          <w:rFonts w:cstheme="minorHAnsi"/>
        </w:rPr>
        <w:t xml:space="preserve"> for the </w:t>
      </w:r>
      <w:r w:rsidR="002361EE">
        <w:rPr>
          <w:rFonts w:cstheme="minorHAnsi"/>
        </w:rPr>
        <w:t>2020</w:t>
      </w:r>
      <w:r w:rsidR="002361EE">
        <w:t>–</w:t>
      </w:r>
      <w:r w:rsidR="002361EE">
        <w:rPr>
          <w:rFonts w:cstheme="minorHAnsi"/>
        </w:rPr>
        <w:t xml:space="preserve">21 and </w:t>
      </w:r>
      <w:r w:rsidR="002E5C80">
        <w:rPr>
          <w:rFonts w:cstheme="minorHAnsi"/>
        </w:rPr>
        <w:br/>
      </w:r>
      <w:r w:rsidR="000F4247">
        <w:rPr>
          <w:rFonts w:cstheme="minorHAnsi"/>
        </w:rPr>
        <w:t>2021</w:t>
      </w:r>
      <w:r w:rsidR="000F4247">
        <w:t>–</w:t>
      </w:r>
      <w:r w:rsidR="000F4247">
        <w:rPr>
          <w:rFonts w:cstheme="minorHAnsi"/>
        </w:rPr>
        <w:t>22</w:t>
      </w:r>
      <w:r w:rsidR="002E5C80">
        <w:rPr>
          <w:rFonts w:cstheme="minorHAnsi"/>
        </w:rPr>
        <w:t> </w:t>
      </w:r>
      <w:r w:rsidR="000F4247">
        <w:rPr>
          <w:rFonts w:cstheme="minorHAnsi"/>
        </w:rPr>
        <w:t xml:space="preserve">financial </w:t>
      </w:r>
      <w:r w:rsidDel="000F4247">
        <w:rPr>
          <w:rFonts w:cstheme="minorHAnsi"/>
        </w:rPr>
        <w:t>years</w:t>
      </w:r>
      <w:r>
        <w:rPr>
          <w:rFonts w:cstheme="minorHAnsi"/>
        </w:rPr>
        <w:t>.</w:t>
      </w:r>
      <w:r w:rsidR="00430510">
        <w:rPr>
          <w:rFonts w:cstheme="minorHAnsi"/>
        </w:rPr>
        <w:t xml:space="preserve"> As compared to the 2020</w:t>
      </w:r>
      <w:r w:rsidR="00F42A10">
        <w:rPr>
          <w:rFonts w:cstheme="minorHAnsi"/>
        </w:rPr>
        <w:t>–</w:t>
      </w:r>
      <w:r w:rsidR="00430510">
        <w:rPr>
          <w:rFonts w:cstheme="minorHAnsi"/>
        </w:rPr>
        <w:t>21 financial year, the percentage of eligible invoices paid on time</w:t>
      </w:r>
      <w:r w:rsidR="00430510" w:rsidRPr="00843F4B">
        <w:rPr>
          <w:rFonts w:cstheme="minorHAnsi"/>
        </w:rPr>
        <w:t xml:space="preserve"> </w:t>
      </w:r>
      <w:r w:rsidR="00430510">
        <w:rPr>
          <w:rFonts w:cstheme="minorHAnsi"/>
        </w:rPr>
        <w:t>in the 2021</w:t>
      </w:r>
      <w:r w:rsidR="00430510">
        <w:t>–</w:t>
      </w:r>
      <w:r w:rsidR="00430510">
        <w:rPr>
          <w:rFonts w:cstheme="minorHAnsi"/>
        </w:rPr>
        <w:t>22 financial year increased by 3</w:t>
      </w:r>
      <w:r w:rsidR="00153E34">
        <w:rPr>
          <w:rFonts w:cstheme="minorHAnsi"/>
        </w:rPr>
        <w:noBreakHyphen/>
      </w:r>
      <w:r w:rsidR="00430510">
        <w:rPr>
          <w:rFonts w:cstheme="minorHAnsi"/>
        </w:rPr>
        <w:t>percentage points by number (from</w:t>
      </w:r>
      <w:r w:rsidR="002E5C80">
        <w:rPr>
          <w:rFonts w:cstheme="minorHAnsi"/>
        </w:rPr>
        <w:t> </w:t>
      </w:r>
      <w:r w:rsidR="00430510">
        <w:rPr>
          <w:rFonts w:cstheme="minorHAnsi"/>
        </w:rPr>
        <w:t>93</w:t>
      </w:r>
      <w:r w:rsidR="00F42A10">
        <w:rPr>
          <w:rFonts w:cstheme="minorHAnsi"/>
        </w:rPr>
        <w:t> per </w:t>
      </w:r>
      <w:r w:rsidR="00430510">
        <w:rPr>
          <w:rFonts w:cstheme="minorHAnsi"/>
        </w:rPr>
        <w:t>cent to 96</w:t>
      </w:r>
      <w:r w:rsidR="00F42A10">
        <w:rPr>
          <w:rFonts w:cstheme="minorHAnsi"/>
        </w:rPr>
        <w:t> per </w:t>
      </w:r>
      <w:r w:rsidR="00430510">
        <w:rPr>
          <w:rFonts w:cstheme="minorHAnsi"/>
        </w:rPr>
        <w:t>cent) and 4</w:t>
      </w:r>
      <w:r w:rsidR="00153E34">
        <w:rPr>
          <w:rFonts w:cstheme="minorHAnsi"/>
        </w:rPr>
        <w:noBreakHyphen/>
      </w:r>
      <w:r w:rsidR="00430510">
        <w:rPr>
          <w:rFonts w:cstheme="minorHAnsi"/>
        </w:rPr>
        <w:t>percentage point by value (from 86</w:t>
      </w:r>
      <w:r w:rsidR="00F42A10">
        <w:rPr>
          <w:rFonts w:cstheme="minorHAnsi"/>
        </w:rPr>
        <w:t> per </w:t>
      </w:r>
      <w:r w:rsidR="00430510">
        <w:rPr>
          <w:rFonts w:cstheme="minorHAnsi"/>
        </w:rPr>
        <w:t>cent to 90</w:t>
      </w:r>
      <w:r w:rsidR="00F42A10">
        <w:rPr>
          <w:rFonts w:cstheme="minorHAnsi"/>
        </w:rPr>
        <w:t> per </w:t>
      </w:r>
      <w:r w:rsidR="00430510">
        <w:rPr>
          <w:rFonts w:cstheme="minorHAnsi"/>
        </w:rPr>
        <w:t>cent).</w:t>
      </w:r>
    </w:p>
    <w:p w14:paraId="074DCD89" w14:textId="398B678C" w:rsidR="002C628B" w:rsidRPr="00734DBF" w:rsidRDefault="002C628B" w:rsidP="002C628B">
      <w:pPr>
        <w:pStyle w:val="ChartMainHeading"/>
      </w:pPr>
      <w:bookmarkStart w:id="34" w:name="_Toc92710942"/>
      <w:bookmarkStart w:id="35" w:name="_Toc126932696"/>
      <w:bookmarkStart w:id="36" w:name="_Toc131005402"/>
      <w:r>
        <w:t>Chart 2: Percentage paid on time by value and number</w:t>
      </w:r>
      <w:bookmarkEnd w:id="34"/>
      <w:bookmarkEnd w:id="35"/>
      <w:bookmarkEnd w:id="36"/>
    </w:p>
    <w:p w14:paraId="082E8E7B" w14:textId="0346B790" w:rsidR="003B5EA7" w:rsidRDefault="00254615" w:rsidP="002E5C80">
      <w:pPr>
        <w:pStyle w:val="ChartGraphic"/>
      </w:pPr>
      <w:r w:rsidRPr="002E5C80">
        <w:rPr>
          <w:noProof/>
        </w:rPr>
        <w:drawing>
          <wp:inline distT="0" distB="0" distL="0" distR="0" wp14:anchorId="77930474" wp14:editId="22670A2B">
            <wp:extent cx="5566410" cy="2749550"/>
            <wp:effectExtent l="0" t="0" r="0" b="0"/>
            <wp:docPr id="6" name="Picture 6" descr="Chart 2 provides the percentage of eligible invoices paid on time (that is, within 20 days) compared to those paid late (that is, in more than 20 days) by value and number for the 2020–21 and 2021–22 financial years. As compared to the 2020–21 financial year, the percentage of eligible invoices paid on time in the 2021–22 financial year increased by 3 percentage points by number (from 93 per cent to 96 per cent) and 4 percentage point by value (from 86 per cent to 90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2 provides the percentage of eligible invoices paid on time (that is, within 20 days) compared to those paid late (that is, in more than 20 days) by value and number for the 2020–21 and 2021–22 financial years. As compared to the 2020–21 financial year, the percentage of eligible invoices paid on time in the 2021–22 financial year increased by 3 percentage points by number (from 93 per cent to 96 per cent) and 4 percentage point by value (from 86 per cent to 90 per cen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66410" cy="2749550"/>
                    </a:xfrm>
                    <a:prstGeom prst="rect">
                      <a:avLst/>
                    </a:prstGeom>
                    <a:noFill/>
                  </pic:spPr>
                </pic:pic>
              </a:graphicData>
            </a:graphic>
          </wp:inline>
        </w:drawing>
      </w:r>
    </w:p>
    <w:p w14:paraId="25253266" w14:textId="77777777" w:rsidR="002C628B" w:rsidRPr="00B066E6" w:rsidRDefault="002C628B" w:rsidP="00CE6990">
      <w:pPr>
        <w:pStyle w:val="Heading2"/>
        <w:rPr>
          <w:rFonts w:eastAsiaTheme="majorEastAsia"/>
          <w:sz w:val="32"/>
          <w:szCs w:val="40"/>
        </w:rPr>
      </w:pPr>
      <w:bookmarkStart w:id="37" w:name="_Toc131005403"/>
      <w:bookmarkStart w:id="38" w:name="_Toc25242635"/>
      <w:bookmarkStart w:id="39" w:name="_Toc25057850"/>
      <w:r w:rsidRPr="00B066E6">
        <w:rPr>
          <w:rFonts w:eastAsiaTheme="majorEastAsia"/>
        </w:rPr>
        <w:t>Interest payments</w:t>
      </w:r>
      <w:bookmarkEnd w:id="37"/>
    </w:p>
    <w:p w14:paraId="0E80AB27" w14:textId="314A6069" w:rsidR="002C628B" w:rsidRPr="00B05771" w:rsidRDefault="002C628B" w:rsidP="000A28C5">
      <w:pPr>
        <w:rPr>
          <w:rFonts w:cstheme="minorHAnsi"/>
        </w:rPr>
      </w:pPr>
      <w:r w:rsidRPr="003731F9">
        <w:rPr>
          <w:rFonts w:cstheme="minorHAnsi"/>
        </w:rPr>
        <w:t>Under the Pay On</w:t>
      </w:r>
      <w:r w:rsidR="00153E34">
        <w:rPr>
          <w:rFonts w:cstheme="minorHAnsi"/>
        </w:rPr>
        <w:noBreakHyphen/>
      </w:r>
      <w:r w:rsidRPr="003731F9">
        <w:rPr>
          <w:rFonts w:cstheme="minorHAnsi"/>
        </w:rPr>
        <w:t xml:space="preserve">Time </w:t>
      </w:r>
      <w:r>
        <w:rPr>
          <w:rFonts w:cstheme="minorHAnsi"/>
        </w:rPr>
        <w:t>P</w:t>
      </w:r>
      <w:r w:rsidRPr="003731F9">
        <w:rPr>
          <w:rFonts w:cstheme="minorHAnsi"/>
        </w:rPr>
        <w:t xml:space="preserve">olicy, </w:t>
      </w:r>
      <w:r w:rsidR="00A97999">
        <w:rPr>
          <w:rFonts w:cstheme="minorHAnsi"/>
        </w:rPr>
        <w:t xml:space="preserve">Government agencies </w:t>
      </w:r>
      <w:r w:rsidR="001D756B">
        <w:rPr>
          <w:rFonts w:cstheme="minorHAnsi"/>
        </w:rPr>
        <w:t>are required to</w:t>
      </w:r>
      <w:r w:rsidR="00A97999">
        <w:rPr>
          <w:rFonts w:cstheme="minorHAnsi"/>
        </w:rPr>
        <w:t xml:space="preserve"> pay </w:t>
      </w:r>
      <w:r w:rsidRPr="003731F9">
        <w:rPr>
          <w:rFonts w:cstheme="minorHAnsi"/>
        </w:rPr>
        <w:t>interest on late payment</w:t>
      </w:r>
      <w:r>
        <w:rPr>
          <w:rFonts w:cstheme="minorHAnsi"/>
        </w:rPr>
        <w:t xml:space="preserve">s </w:t>
      </w:r>
      <w:r w:rsidR="00A97999">
        <w:rPr>
          <w:rFonts w:cstheme="minorHAnsi"/>
        </w:rPr>
        <w:t xml:space="preserve">of </w:t>
      </w:r>
      <w:r w:rsidR="00A425B2">
        <w:rPr>
          <w:rFonts w:cstheme="minorHAnsi"/>
        </w:rPr>
        <w:t xml:space="preserve">eligible </w:t>
      </w:r>
      <w:r w:rsidDel="00A425B2">
        <w:rPr>
          <w:rFonts w:cstheme="minorHAnsi"/>
        </w:rPr>
        <w:t xml:space="preserve">invoices </w:t>
      </w:r>
      <w:r w:rsidR="00C655CD">
        <w:rPr>
          <w:rFonts w:cstheme="minorHAnsi"/>
        </w:rPr>
        <w:t>if</w:t>
      </w:r>
      <w:r w:rsidR="002E5C41" w:rsidRPr="003731F9">
        <w:rPr>
          <w:rFonts w:cstheme="minorHAnsi"/>
        </w:rPr>
        <w:t xml:space="preserve"> </w:t>
      </w:r>
      <w:r w:rsidRPr="003731F9">
        <w:rPr>
          <w:rFonts w:cstheme="minorHAnsi"/>
        </w:rPr>
        <w:t>the amount of interest accrued is greater than $100.</w:t>
      </w:r>
      <w:r>
        <w:rPr>
          <w:rFonts w:cstheme="minorHAnsi"/>
        </w:rPr>
        <w:t xml:space="preserve"> </w:t>
      </w:r>
    </w:p>
    <w:p w14:paraId="19CED81F" w14:textId="77DBD283" w:rsidR="00045096" w:rsidRDefault="00831153" w:rsidP="00045096">
      <w:pPr>
        <w:rPr>
          <w:rFonts w:cstheme="minorHAnsi"/>
        </w:rPr>
      </w:pPr>
      <w:r>
        <w:rPr>
          <w:rFonts w:cstheme="minorHAnsi"/>
        </w:rPr>
        <w:t xml:space="preserve">Chart 3 </w:t>
      </w:r>
      <w:r w:rsidR="00083345">
        <w:rPr>
          <w:rFonts w:cstheme="minorHAnsi"/>
        </w:rPr>
        <w:t>compares</w:t>
      </w:r>
      <w:r>
        <w:rPr>
          <w:rFonts w:cstheme="minorHAnsi"/>
        </w:rPr>
        <w:t xml:space="preserve"> the </w:t>
      </w:r>
      <w:r w:rsidR="008037EE">
        <w:rPr>
          <w:rFonts w:cstheme="minorHAnsi"/>
        </w:rPr>
        <w:t>amount of interest paid</w:t>
      </w:r>
      <w:r w:rsidR="004D2C1D">
        <w:rPr>
          <w:rFonts w:cstheme="minorHAnsi"/>
        </w:rPr>
        <w:t xml:space="preserve"> </w:t>
      </w:r>
      <w:r w:rsidR="000F4247">
        <w:rPr>
          <w:rFonts w:cstheme="minorHAnsi"/>
        </w:rPr>
        <w:t xml:space="preserve">by Government agencies </w:t>
      </w:r>
      <w:r w:rsidR="00A51D5B">
        <w:rPr>
          <w:rFonts w:cstheme="minorHAnsi"/>
        </w:rPr>
        <w:t>due to</w:t>
      </w:r>
      <w:r w:rsidR="000F4247">
        <w:rPr>
          <w:rFonts w:cstheme="minorHAnsi"/>
        </w:rPr>
        <w:t xml:space="preserve"> late payment</w:t>
      </w:r>
      <w:r w:rsidR="00A51D5B">
        <w:rPr>
          <w:rFonts w:cstheme="minorHAnsi"/>
        </w:rPr>
        <w:t xml:space="preserve"> of </w:t>
      </w:r>
      <w:r w:rsidR="00A425B2">
        <w:rPr>
          <w:rFonts w:cstheme="minorHAnsi"/>
        </w:rPr>
        <w:t xml:space="preserve">eligible </w:t>
      </w:r>
      <w:r w:rsidR="007B0A7A">
        <w:rPr>
          <w:rFonts w:cstheme="minorHAnsi"/>
        </w:rPr>
        <w:t xml:space="preserve">invoices </w:t>
      </w:r>
      <w:r w:rsidR="006974CA">
        <w:rPr>
          <w:noProof/>
        </w:rPr>
        <w:t>across</w:t>
      </w:r>
      <w:r w:rsidR="008037EE">
        <w:rPr>
          <w:noProof/>
        </w:rPr>
        <w:t xml:space="preserve"> the 202</w:t>
      </w:r>
      <w:r w:rsidR="004E420F">
        <w:rPr>
          <w:noProof/>
        </w:rPr>
        <w:t>0</w:t>
      </w:r>
      <w:r w:rsidR="00F42A10">
        <w:rPr>
          <w:noProof/>
        </w:rPr>
        <w:t>–</w:t>
      </w:r>
      <w:r w:rsidR="004E420F">
        <w:rPr>
          <w:noProof/>
        </w:rPr>
        <w:t xml:space="preserve">21 </w:t>
      </w:r>
      <w:r w:rsidR="000F4247">
        <w:rPr>
          <w:noProof/>
        </w:rPr>
        <w:t>and 202</w:t>
      </w:r>
      <w:r w:rsidR="00D859C1">
        <w:rPr>
          <w:noProof/>
        </w:rPr>
        <w:t>1</w:t>
      </w:r>
      <w:r w:rsidR="00F42A10">
        <w:rPr>
          <w:noProof/>
        </w:rPr>
        <w:t>–</w:t>
      </w:r>
      <w:r w:rsidR="00D859C1">
        <w:rPr>
          <w:noProof/>
        </w:rPr>
        <w:t xml:space="preserve">22 </w:t>
      </w:r>
      <w:r w:rsidR="004E420F">
        <w:rPr>
          <w:noProof/>
        </w:rPr>
        <w:t>financial year</w:t>
      </w:r>
      <w:r w:rsidR="00D859C1">
        <w:rPr>
          <w:noProof/>
        </w:rPr>
        <w:t>s</w:t>
      </w:r>
      <w:r w:rsidR="004E420F">
        <w:rPr>
          <w:noProof/>
        </w:rPr>
        <w:t>.</w:t>
      </w:r>
      <w:r w:rsidR="00045096" w:rsidRPr="00045096">
        <w:rPr>
          <w:noProof/>
        </w:rPr>
        <w:t xml:space="preserve"> </w:t>
      </w:r>
      <w:r w:rsidR="00045096">
        <w:rPr>
          <w:noProof/>
        </w:rPr>
        <w:t>The amount of interest paid on late payment of eligible invoices in the 2021</w:t>
      </w:r>
      <w:r w:rsidR="00045096">
        <w:t>–</w:t>
      </w:r>
      <w:r w:rsidR="00045096">
        <w:rPr>
          <w:noProof/>
        </w:rPr>
        <w:t>2</w:t>
      </w:r>
      <w:r w:rsidR="003D437E">
        <w:rPr>
          <w:noProof/>
        </w:rPr>
        <w:t>2</w:t>
      </w:r>
      <w:r w:rsidR="00045096">
        <w:rPr>
          <w:noProof/>
        </w:rPr>
        <w:t xml:space="preserve"> financial year </w:t>
      </w:r>
      <w:r w:rsidR="00045096" w:rsidRPr="00C44ACF">
        <w:rPr>
          <w:noProof/>
        </w:rPr>
        <w:t>($</w:t>
      </w:r>
      <w:r w:rsidR="00045096">
        <w:rPr>
          <w:noProof/>
        </w:rPr>
        <w:t>650,503</w:t>
      </w:r>
      <w:r w:rsidR="00045096" w:rsidRPr="00C44ACF">
        <w:rPr>
          <w:noProof/>
        </w:rPr>
        <w:t>)</w:t>
      </w:r>
      <w:r w:rsidR="00045096">
        <w:rPr>
          <w:noProof/>
        </w:rPr>
        <w:t xml:space="preserve"> was 7</w:t>
      </w:r>
      <w:r w:rsidR="00153E34">
        <w:rPr>
          <w:noProof/>
        </w:rPr>
        <w:noBreakHyphen/>
      </w:r>
      <w:r w:rsidR="00045096">
        <w:rPr>
          <w:noProof/>
        </w:rPr>
        <w:t>percentage points higher than in the 2020</w:t>
      </w:r>
      <w:r w:rsidR="00045096" w:rsidRPr="00C44ACF">
        <w:t>–</w:t>
      </w:r>
      <w:r w:rsidR="00045096" w:rsidDel="009A6625">
        <w:rPr>
          <w:noProof/>
        </w:rPr>
        <w:t>2</w:t>
      </w:r>
      <w:r w:rsidR="00045096">
        <w:rPr>
          <w:noProof/>
        </w:rPr>
        <w:t xml:space="preserve">1 financial year ($609,404). This is likely to reflect the </w:t>
      </w:r>
      <w:r w:rsidR="00045096" w:rsidRPr="1B4C782C">
        <w:rPr>
          <w:rFonts w:cstheme="minorBidi"/>
        </w:rPr>
        <w:t>increase</w:t>
      </w:r>
      <w:r w:rsidR="00045096">
        <w:rPr>
          <w:rFonts w:cstheme="minorHAnsi"/>
        </w:rPr>
        <w:t xml:space="preserve"> in </w:t>
      </w:r>
      <w:r w:rsidR="00045096" w:rsidRPr="1B4C782C">
        <w:rPr>
          <w:rFonts w:cstheme="minorBidi"/>
        </w:rPr>
        <w:t xml:space="preserve">number and total value of eligible invoices </w:t>
      </w:r>
      <w:r w:rsidR="00045096">
        <w:rPr>
          <w:rFonts w:cstheme="minorHAnsi"/>
        </w:rPr>
        <w:t>in the 2021</w:t>
      </w:r>
      <w:r w:rsidR="00045096">
        <w:t>–</w:t>
      </w:r>
      <w:r w:rsidR="00045096">
        <w:rPr>
          <w:rFonts w:cstheme="minorHAnsi"/>
        </w:rPr>
        <w:t>22 financial year, as compared to the 2020</w:t>
      </w:r>
      <w:r w:rsidR="00F42A10">
        <w:rPr>
          <w:rFonts w:cstheme="minorHAnsi"/>
        </w:rPr>
        <w:t>–</w:t>
      </w:r>
      <w:r w:rsidR="00045096">
        <w:rPr>
          <w:rFonts w:cstheme="minorHAnsi"/>
        </w:rPr>
        <w:t>21 financial year (see</w:t>
      </w:r>
      <w:r w:rsidR="00D5504B">
        <w:rPr>
          <w:rFonts w:cstheme="minorHAnsi"/>
        </w:rPr>
        <w:t xml:space="preserve"> </w:t>
      </w:r>
      <w:r w:rsidR="00045096">
        <w:rPr>
          <w:rFonts w:cstheme="minorHAnsi"/>
        </w:rPr>
        <w:t>Table 1).</w:t>
      </w:r>
      <w:r w:rsidR="00045096" w:rsidRPr="0013365B">
        <w:rPr>
          <w:rFonts w:cstheme="minorHAnsi"/>
        </w:rPr>
        <w:t xml:space="preserve"> </w:t>
      </w:r>
    </w:p>
    <w:p w14:paraId="7932B20F" w14:textId="77777777" w:rsidR="002C628B" w:rsidRDefault="002C628B" w:rsidP="002C628B">
      <w:pPr>
        <w:pStyle w:val="ChartMainHeading"/>
      </w:pPr>
      <w:bookmarkStart w:id="40" w:name="_Toc92710944"/>
      <w:bookmarkStart w:id="41" w:name="_Toc126932698"/>
      <w:bookmarkStart w:id="42" w:name="_Toc131005404"/>
      <w:r>
        <w:t>Chart 3: Interest paid</w:t>
      </w:r>
      <w:bookmarkEnd w:id="40"/>
      <w:bookmarkEnd w:id="41"/>
      <w:bookmarkEnd w:id="42"/>
    </w:p>
    <w:p w14:paraId="34844877" w14:textId="6BC756B4" w:rsidR="00CE6990" w:rsidRDefault="002C628B" w:rsidP="00CE6990">
      <w:pPr>
        <w:pStyle w:val="ChartGraphic"/>
        <w:rPr>
          <w:noProof/>
        </w:rPr>
      </w:pPr>
      <w:r w:rsidRPr="002A2C6D">
        <w:rPr>
          <w:noProof/>
        </w:rPr>
        <w:t xml:space="preserve"> </w:t>
      </w:r>
      <w:r w:rsidR="00DA0A22">
        <w:rPr>
          <w:noProof/>
        </w:rPr>
        <w:drawing>
          <wp:inline distT="0" distB="0" distL="0" distR="0" wp14:anchorId="39C08569" wp14:editId="4785991D">
            <wp:extent cx="5560060" cy="2524125"/>
            <wp:effectExtent l="0" t="0" r="2540" b="9525"/>
            <wp:docPr id="9" name="Picture 9" descr="Chart 3 compares the amount of interest paid by Government agencies due to late payment of eligible invoices across the 2020–21 and 2021–22 financial years. The amount of interest paid on late payment of eligible invoices in the 2021–21 financial year ($650,503) was 7 percentage points higher than in the 2020–21 financial year ($609,404). This is likely to reflect the increase in number and total value of eligible invoices in the 2021–22 financial year, as compared to the 2020–21 financial year (see Tabl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3 compares the amount of interest paid by Government agencies due to late payment of eligible invoices across the 2020–21 and 2021–22 financial years. The amount of interest paid on late payment of eligible invoices in the 2021–21 financial year ($650,503) was 7 percentage points higher than in the 2020–21 financial year ($609,404). This is likely to reflect the increase in number and total value of eligible invoices in the 2021–22 financial year, as compared to the 2020–21 financial year (see Table 1).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60060" cy="2524125"/>
                    </a:xfrm>
                    <a:prstGeom prst="rect">
                      <a:avLst/>
                    </a:prstGeom>
                    <a:noFill/>
                  </pic:spPr>
                </pic:pic>
              </a:graphicData>
            </a:graphic>
          </wp:inline>
        </w:drawing>
      </w:r>
    </w:p>
    <w:p w14:paraId="23542BDC" w14:textId="77777777" w:rsidR="00CE6990" w:rsidRDefault="00CE6990">
      <w:pPr>
        <w:spacing w:before="0" w:after="160" w:line="259" w:lineRule="auto"/>
        <w:rPr>
          <w:noProof/>
          <w:color w:val="004A7F"/>
          <w:sz w:val="20"/>
        </w:rPr>
      </w:pPr>
      <w:r>
        <w:rPr>
          <w:noProof/>
        </w:rPr>
        <w:br w:type="page"/>
      </w:r>
    </w:p>
    <w:p w14:paraId="2A934BC7" w14:textId="2CAEA871" w:rsidR="002C628B" w:rsidRPr="00ED60D9" w:rsidRDefault="002C628B" w:rsidP="00ED60D9">
      <w:pPr>
        <w:pStyle w:val="Heading2"/>
        <w:rPr>
          <w:rFonts w:eastAsiaTheme="majorEastAsia"/>
        </w:rPr>
      </w:pPr>
      <w:bookmarkStart w:id="43" w:name="_Toc131005405"/>
      <w:bookmarkEnd w:id="38"/>
      <w:bookmarkEnd w:id="39"/>
      <w:r w:rsidRPr="00ED60D9">
        <w:rPr>
          <w:rFonts w:eastAsiaTheme="majorEastAsia"/>
        </w:rPr>
        <w:t>eInvoicing</w:t>
      </w:r>
      <w:bookmarkEnd w:id="43"/>
    </w:p>
    <w:p w14:paraId="3C18DFB8" w14:textId="738B5048" w:rsidR="00A70AE2" w:rsidRDefault="002C628B" w:rsidP="00A70AE2">
      <w:r>
        <w:t xml:space="preserve">The number of </w:t>
      </w:r>
      <w:proofErr w:type="spellStart"/>
      <w:r w:rsidR="00326F64">
        <w:t>eInvoic</w:t>
      </w:r>
      <w:r w:rsidR="00AB5B8F">
        <w:t>ing</w:t>
      </w:r>
      <w:proofErr w:type="spellEnd"/>
      <w:r w:rsidR="00153E34">
        <w:noBreakHyphen/>
      </w:r>
      <w:r>
        <w:t xml:space="preserve">enabled agencies increased from 29 in </w:t>
      </w:r>
      <w:r w:rsidR="00906C2A">
        <w:t xml:space="preserve">the </w:t>
      </w:r>
      <w:r w:rsidRPr="00A12056">
        <w:t xml:space="preserve">2020–21 </w:t>
      </w:r>
      <w:r w:rsidR="00DF2798">
        <w:t>financial year</w:t>
      </w:r>
      <w:r w:rsidRPr="00A12056">
        <w:t xml:space="preserve"> to</w:t>
      </w:r>
      <w:r>
        <w:t xml:space="preserve"> approximately</w:t>
      </w:r>
      <w:r w:rsidRPr="00A12056">
        <w:t xml:space="preserve"> </w:t>
      </w:r>
      <w:r w:rsidR="00140A12">
        <w:t>71</w:t>
      </w:r>
      <w:r w:rsidRPr="00A12056">
        <w:t xml:space="preserve"> in </w:t>
      </w:r>
      <w:r w:rsidR="00CC3387">
        <w:t>the</w:t>
      </w:r>
      <w:r w:rsidR="00522DEC">
        <w:t xml:space="preserve"> </w:t>
      </w:r>
      <w:r w:rsidRPr="00A12056">
        <w:t>2021–22</w:t>
      </w:r>
      <w:r w:rsidR="00DF2798">
        <w:t xml:space="preserve"> financial year</w:t>
      </w:r>
      <w:r w:rsidR="00AC06E7">
        <w:t>, which shows significant progress</w:t>
      </w:r>
      <w:r w:rsidR="00A70AE2">
        <w:t xml:space="preserve">. </w:t>
      </w:r>
      <w:r w:rsidR="00A70AE2" w:rsidRPr="00397D52">
        <w:t>From 1 July 2022</w:t>
      </w:r>
      <w:r w:rsidR="00B9627F">
        <w:t xml:space="preserve"> </w:t>
      </w:r>
      <w:r w:rsidR="00A70AE2" w:rsidRPr="00397D52">
        <w:t xml:space="preserve">all Australian Government agencies covered by mandate </w:t>
      </w:r>
      <w:r w:rsidR="008661F7">
        <w:t xml:space="preserve">were required </w:t>
      </w:r>
      <w:r w:rsidR="00360568">
        <w:t xml:space="preserve">to be </w:t>
      </w:r>
      <w:proofErr w:type="spellStart"/>
      <w:r w:rsidR="00A70AE2" w:rsidRPr="00397D52">
        <w:t>eInvoic</w:t>
      </w:r>
      <w:r w:rsidR="00AB5B8F">
        <w:t>ing</w:t>
      </w:r>
      <w:proofErr w:type="spellEnd"/>
      <w:r w:rsidR="00153E34">
        <w:noBreakHyphen/>
      </w:r>
      <w:r w:rsidR="00A70AE2" w:rsidRPr="00397D52">
        <w:t xml:space="preserve">enabled. </w:t>
      </w:r>
    </w:p>
    <w:p w14:paraId="1D4BC1E8" w14:textId="4B17E92B" w:rsidR="00045096" w:rsidRPr="00381E3D" w:rsidRDefault="00045096" w:rsidP="00CE6990">
      <w:r>
        <w:t>For the</w:t>
      </w:r>
      <w:r w:rsidR="008F1B14">
        <w:t xml:space="preserve"> 2021</w:t>
      </w:r>
      <w:r w:rsidR="00F42A10">
        <w:t>–</w:t>
      </w:r>
      <w:r w:rsidR="008F1B14">
        <w:t xml:space="preserve">22 </w:t>
      </w:r>
      <w:r>
        <w:t xml:space="preserve">financial year, </w:t>
      </w:r>
      <w:r w:rsidR="002C628B">
        <w:t xml:space="preserve">the number </w:t>
      </w:r>
      <w:r w:rsidR="0083375C">
        <w:t xml:space="preserve">and value </w:t>
      </w:r>
      <w:r w:rsidR="002C628B">
        <w:t>of</w:t>
      </w:r>
      <w:r w:rsidR="00E105D0">
        <w:t xml:space="preserve"> </w:t>
      </w:r>
      <w:r>
        <w:t xml:space="preserve">eligible </w:t>
      </w:r>
      <w:r w:rsidR="00707C44">
        <w:t>eI</w:t>
      </w:r>
      <w:r>
        <w:t>nvoices paid by Government agencies has substantially increased</w:t>
      </w:r>
      <w:r w:rsidR="00906C2A">
        <w:t xml:space="preserve">, </w:t>
      </w:r>
      <w:r w:rsidR="00FA4629">
        <w:t xml:space="preserve">as </w:t>
      </w:r>
      <w:r w:rsidR="002C628B">
        <w:t xml:space="preserve">compared to </w:t>
      </w:r>
      <w:r w:rsidR="00A2180E">
        <w:t xml:space="preserve">the </w:t>
      </w:r>
      <w:r w:rsidR="002C628B">
        <w:t>previous financial year</w:t>
      </w:r>
      <w:r w:rsidR="00BD39BC">
        <w:t xml:space="preserve">. </w:t>
      </w:r>
      <w:r w:rsidR="00B24BED">
        <w:br/>
      </w:r>
      <w:r w:rsidR="00BD39BC" w:rsidRPr="00496790">
        <w:t>In the 2021</w:t>
      </w:r>
      <w:r w:rsidR="00381E3D">
        <w:t>–</w:t>
      </w:r>
      <w:r w:rsidR="00BD39BC" w:rsidRPr="00496790">
        <w:t>22</w:t>
      </w:r>
      <w:r w:rsidR="00B24BED">
        <w:t> </w:t>
      </w:r>
      <w:r w:rsidR="00BD39BC" w:rsidRPr="00496790">
        <w:t>financial year, Government</w:t>
      </w:r>
      <w:r w:rsidR="00BD39BC">
        <w:t xml:space="preserve"> agencies processed 1,</w:t>
      </w:r>
      <w:r w:rsidR="00552E57">
        <w:t>764</w:t>
      </w:r>
      <w:r w:rsidR="00BD39BC">
        <w:t xml:space="preserve"> eligible </w:t>
      </w:r>
      <w:r w:rsidR="00873687">
        <w:t>eI</w:t>
      </w:r>
      <w:r w:rsidR="00BD39BC">
        <w:t>nvoices with a total value of $</w:t>
      </w:r>
      <w:r w:rsidR="00FE29A5">
        <w:t>25.8</w:t>
      </w:r>
      <w:r w:rsidR="00381E3D">
        <w:t> </w:t>
      </w:r>
      <w:r w:rsidR="00BD39BC">
        <w:t>million, as compared to 92 eligible eInvoices with a total value of $1 million in the previous financial year (Table</w:t>
      </w:r>
      <w:r>
        <w:t> </w:t>
      </w:r>
      <w:r w:rsidR="00BD39BC">
        <w:t>3).</w:t>
      </w:r>
    </w:p>
    <w:p w14:paraId="0ABC00B7" w14:textId="7B904394" w:rsidR="00045096" w:rsidRPr="00045096" w:rsidRDefault="002C628B" w:rsidP="00045096">
      <w:pPr>
        <w:pStyle w:val="TableMainHeading"/>
        <w:rPr>
          <w:iCs/>
        </w:rPr>
      </w:pPr>
      <w:bookmarkStart w:id="44" w:name="_Toc126932700"/>
      <w:bookmarkStart w:id="45" w:name="_Toc131005406"/>
      <w:bookmarkStart w:id="46" w:name="_Toc92710946"/>
      <w:r w:rsidRPr="00F579BA">
        <w:t xml:space="preserve">Table 3: </w:t>
      </w:r>
      <w:r w:rsidR="00045096" w:rsidRPr="00F55890">
        <w:t>20</w:t>
      </w:r>
      <w:r w:rsidR="00045096">
        <w:t>20–</w:t>
      </w:r>
      <w:r w:rsidR="00045096" w:rsidRPr="00F55890">
        <w:t>2</w:t>
      </w:r>
      <w:r w:rsidR="00045096">
        <w:t>1</w:t>
      </w:r>
      <w:r w:rsidR="00045096" w:rsidRPr="00F55890">
        <w:t xml:space="preserve"> </w:t>
      </w:r>
      <w:r w:rsidR="00045096">
        <w:t>and</w:t>
      </w:r>
      <w:r w:rsidR="00045096" w:rsidRPr="00F55890">
        <w:t xml:space="preserve"> 202</w:t>
      </w:r>
      <w:r w:rsidR="00045096">
        <w:t>1–</w:t>
      </w:r>
      <w:r w:rsidR="00045096" w:rsidRPr="00F55890">
        <w:t>2</w:t>
      </w:r>
      <w:r w:rsidR="00045096">
        <w:t>2</w:t>
      </w:r>
      <w:r w:rsidR="00045096" w:rsidRPr="00F55890">
        <w:t xml:space="preserve"> comparison </w:t>
      </w:r>
      <w:r w:rsidR="00045096">
        <w:t>of payment times for eI</w:t>
      </w:r>
      <w:r w:rsidR="00045096" w:rsidRPr="00F55890">
        <w:t>nvoices of contracts valued up to $1 million (GST inclusive)</w:t>
      </w:r>
      <w:r w:rsidR="00045096">
        <w:t>, by value and number</w:t>
      </w:r>
      <w:bookmarkEnd w:id="44"/>
      <w:bookmarkEnd w:id="45"/>
    </w:p>
    <w:bookmarkEnd w:id="46"/>
    <w:tbl>
      <w:tblPr>
        <w:tblStyle w:val="TableGrid"/>
        <w:tblW w:w="5000" w:type="pct"/>
        <w:tblLook w:val="06A0" w:firstRow="1" w:lastRow="0" w:firstColumn="1" w:lastColumn="0" w:noHBand="1" w:noVBand="1"/>
        <w:tblCaption w:val="Table"/>
      </w:tblPr>
      <w:tblGrid>
        <w:gridCol w:w="2078"/>
        <w:gridCol w:w="1718"/>
        <w:gridCol w:w="1718"/>
        <w:gridCol w:w="1718"/>
        <w:gridCol w:w="1840"/>
      </w:tblGrid>
      <w:tr w:rsidR="00CE6990" w:rsidRPr="00CE6990" w14:paraId="33845DC3" w14:textId="77777777" w:rsidTr="00153E34">
        <w:trPr>
          <w:cnfStyle w:val="100000000000" w:firstRow="1" w:lastRow="0" w:firstColumn="0" w:lastColumn="0" w:oddVBand="0" w:evenVBand="0" w:oddHBand="0" w:evenHBand="0" w:firstRowFirstColumn="0" w:firstRowLastColumn="0" w:lastRowFirstColumn="0" w:lastRowLastColumn="0"/>
          <w:trHeight w:val="20"/>
        </w:trPr>
        <w:tc>
          <w:tcPr>
            <w:tcW w:w="1145" w:type="pct"/>
          </w:tcPr>
          <w:p w14:paraId="1F8E3C9D" w14:textId="77777777" w:rsidR="002C628B" w:rsidRPr="00CE6990" w:rsidRDefault="002C628B" w:rsidP="00670ED1">
            <w:pPr>
              <w:pStyle w:val="TableColumnHeadingLeft"/>
              <w:rPr>
                <w:b/>
                <w:bCs/>
                <w:color w:val="FFFFFF" w:themeColor="background1"/>
              </w:rPr>
            </w:pPr>
          </w:p>
        </w:tc>
        <w:tc>
          <w:tcPr>
            <w:tcW w:w="947" w:type="pct"/>
          </w:tcPr>
          <w:p w14:paraId="2EB8168C" w14:textId="77777777" w:rsidR="002C628B" w:rsidRPr="00CE6990" w:rsidRDefault="002C628B" w:rsidP="00153E34">
            <w:pPr>
              <w:pStyle w:val="TableColumnHeadingRight"/>
              <w:rPr>
                <w:b/>
                <w:bCs/>
              </w:rPr>
            </w:pPr>
            <w:r w:rsidRPr="00CE6990">
              <w:rPr>
                <w:b/>
              </w:rPr>
              <w:t>Value 2020–21</w:t>
            </w:r>
          </w:p>
        </w:tc>
        <w:tc>
          <w:tcPr>
            <w:tcW w:w="947" w:type="pct"/>
          </w:tcPr>
          <w:p w14:paraId="6745C595" w14:textId="77777777" w:rsidR="002C628B" w:rsidRPr="00CE6990" w:rsidRDefault="002C628B" w:rsidP="00153E34">
            <w:pPr>
              <w:pStyle w:val="TableColumnHeadingRight"/>
              <w:rPr>
                <w:b/>
                <w:bCs/>
              </w:rPr>
            </w:pPr>
            <w:r w:rsidRPr="00CE6990">
              <w:rPr>
                <w:b/>
              </w:rPr>
              <w:t>Value 2021–22</w:t>
            </w:r>
          </w:p>
        </w:tc>
        <w:tc>
          <w:tcPr>
            <w:tcW w:w="947" w:type="pct"/>
          </w:tcPr>
          <w:p w14:paraId="7AB9E554" w14:textId="77777777" w:rsidR="002C628B" w:rsidRPr="00CE6990" w:rsidRDefault="002C628B" w:rsidP="00153E34">
            <w:pPr>
              <w:pStyle w:val="TableColumnHeadingRight"/>
              <w:rPr>
                <w:b/>
                <w:bCs/>
              </w:rPr>
            </w:pPr>
            <w:r w:rsidRPr="00CE6990">
              <w:rPr>
                <w:b/>
              </w:rPr>
              <w:t>Number 2020–21</w:t>
            </w:r>
          </w:p>
        </w:tc>
        <w:tc>
          <w:tcPr>
            <w:tcW w:w="1014" w:type="pct"/>
          </w:tcPr>
          <w:p w14:paraId="489FBF8D" w14:textId="77777777" w:rsidR="002C628B" w:rsidRPr="00CE6990" w:rsidRDefault="002C628B" w:rsidP="00153E34">
            <w:pPr>
              <w:pStyle w:val="TableColumnHeadingRight"/>
              <w:rPr>
                <w:b/>
                <w:bCs/>
              </w:rPr>
            </w:pPr>
            <w:r w:rsidRPr="00CE6990">
              <w:rPr>
                <w:b/>
              </w:rPr>
              <w:t>Number 2021–22</w:t>
            </w:r>
          </w:p>
        </w:tc>
      </w:tr>
      <w:tr w:rsidR="002C628B" w:rsidRPr="00670ED1" w14:paraId="75768764" w14:textId="77777777" w:rsidTr="00153E34">
        <w:trPr>
          <w:trHeight w:val="20"/>
        </w:trPr>
        <w:tc>
          <w:tcPr>
            <w:tcW w:w="1145" w:type="pct"/>
          </w:tcPr>
          <w:p w14:paraId="780DDE00" w14:textId="77777777" w:rsidR="002C628B" w:rsidRPr="00CE6990" w:rsidRDefault="002C628B" w:rsidP="00CE6990">
            <w:pPr>
              <w:pStyle w:val="TableColumnHeadingLeft"/>
              <w:rPr>
                <w:b w:val="0"/>
                <w:bCs/>
              </w:rPr>
            </w:pPr>
            <w:r w:rsidRPr="00CE6990">
              <w:t>Paid within 5 days</w:t>
            </w:r>
          </w:p>
        </w:tc>
        <w:tc>
          <w:tcPr>
            <w:tcW w:w="947" w:type="pct"/>
          </w:tcPr>
          <w:p w14:paraId="470A8FE0" w14:textId="55BAC554" w:rsidR="002C628B" w:rsidRPr="00670ED1" w:rsidRDefault="002C628B" w:rsidP="00153E34">
            <w:pPr>
              <w:pStyle w:val="TableTextRight"/>
            </w:pPr>
            <w:r w:rsidRPr="00670ED1">
              <w:t>$575,467</w:t>
            </w:r>
            <w:r w:rsidR="00005992" w:rsidRPr="00670ED1">
              <w:t xml:space="preserve"> (</w:t>
            </w:r>
            <w:r w:rsidR="000E3148" w:rsidRPr="00670ED1">
              <w:t>56%</w:t>
            </w:r>
            <w:r w:rsidR="00005992" w:rsidRPr="00670ED1">
              <w:t>)</w:t>
            </w:r>
          </w:p>
        </w:tc>
        <w:tc>
          <w:tcPr>
            <w:tcW w:w="947" w:type="pct"/>
          </w:tcPr>
          <w:p w14:paraId="7B3E512C" w14:textId="7476415C" w:rsidR="002C628B" w:rsidRPr="00670ED1" w:rsidRDefault="002C628B" w:rsidP="00153E34">
            <w:pPr>
              <w:pStyle w:val="TableTextRight"/>
            </w:pPr>
            <w:r w:rsidRPr="00670ED1">
              <w:t>$</w:t>
            </w:r>
            <w:r w:rsidR="00D55D95" w:rsidRPr="00670ED1">
              <w:t>17</w:t>
            </w:r>
            <w:r w:rsidR="00FA4B4B" w:rsidRPr="00670ED1">
              <w:t>,</w:t>
            </w:r>
            <w:r w:rsidR="00DF6626">
              <w:t>516</w:t>
            </w:r>
            <w:r w:rsidR="00927548">
              <w:t>,284</w:t>
            </w:r>
            <w:r w:rsidR="00162EB0" w:rsidRPr="00670ED1">
              <w:t xml:space="preserve"> (</w:t>
            </w:r>
            <w:r w:rsidR="00927548">
              <w:t>68</w:t>
            </w:r>
            <w:r w:rsidR="00BE2148" w:rsidRPr="00670ED1">
              <w:t>%</w:t>
            </w:r>
            <w:r w:rsidR="00162EB0" w:rsidRPr="00670ED1">
              <w:t>)</w:t>
            </w:r>
          </w:p>
        </w:tc>
        <w:tc>
          <w:tcPr>
            <w:tcW w:w="947" w:type="pct"/>
          </w:tcPr>
          <w:p w14:paraId="20BD0C28" w14:textId="5F3CB37E" w:rsidR="002C628B" w:rsidRPr="00670ED1" w:rsidRDefault="002C628B" w:rsidP="00153E34">
            <w:pPr>
              <w:pStyle w:val="TableTextRight"/>
            </w:pPr>
            <w:r w:rsidRPr="00670ED1">
              <w:t>57</w:t>
            </w:r>
            <w:r w:rsidR="00274F14" w:rsidRPr="00670ED1">
              <w:t xml:space="preserve"> (62%)</w:t>
            </w:r>
          </w:p>
        </w:tc>
        <w:tc>
          <w:tcPr>
            <w:tcW w:w="1014" w:type="pct"/>
          </w:tcPr>
          <w:p w14:paraId="0F882816" w14:textId="099E42AA" w:rsidR="002C628B" w:rsidRPr="00670ED1" w:rsidRDefault="00DF6AD2" w:rsidP="00153E34">
            <w:pPr>
              <w:pStyle w:val="TableTextRight"/>
            </w:pPr>
            <w:r>
              <w:t>1,195</w:t>
            </w:r>
            <w:r w:rsidR="00C30EC1" w:rsidRPr="00670ED1">
              <w:t xml:space="preserve"> (</w:t>
            </w:r>
            <w:r w:rsidR="006B3261">
              <w:t>68</w:t>
            </w:r>
            <w:r w:rsidR="00C30EC1" w:rsidRPr="00670ED1">
              <w:t>%)</w:t>
            </w:r>
          </w:p>
        </w:tc>
      </w:tr>
      <w:tr w:rsidR="002C628B" w:rsidRPr="00670ED1" w14:paraId="7F5EBA0C" w14:textId="77777777" w:rsidTr="00153E34">
        <w:trPr>
          <w:trHeight w:val="20"/>
        </w:trPr>
        <w:tc>
          <w:tcPr>
            <w:tcW w:w="1145" w:type="pct"/>
          </w:tcPr>
          <w:p w14:paraId="5F34F865" w14:textId="77777777" w:rsidR="002C628B" w:rsidRPr="00CE6990" w:rsidRDefault="002C628B" w:rsidP="00CE6990">
            <w:pPr>
              <w:pStyle w:val="TableColumnHeadingLeft"/>
              <w:rPr>
                <w:b w:val="0"/>
                <w:bCs/>
              </w:rPr>
            </w:pPr>
            <w:r w:rsidRPr="00CE6990">
              <w:t>Paid late (after 5 days)</w:t>
            </w:r>
          </w:p>
        </w:tc>
        <w:tc>
          <w:tcPr>
            <w:tcW w:w="947" w:type="pct"/>
          </w:tcPr>
          <w:p w14:paraId="0E2A1848" w14:textId="5F43386E" w:rsidR="002C628B" w:rsidRPr="00670ED1" w:rsidRDefault="002C628B" w:rsidP="00153E34">
            <w:pPr>
              <w:pStyle w:val="TableTextRight"/>
            </w:pPr>
            <w:r w:rsidRPr="00670ED1">
              <w:t>$446,381</w:t>
            </w:r>
            <w:r w:rsidR="00005992" w:rsidRPr="00670ED1">
              <w:t xml:space="preserve"> (</w:t>
            </w:r>
            <w:r w:rsidR="000E3148" w:rsidRPr="00670ED1">
              <w:t>44%</w:t>
            </w:r>
            <w:r w:rsidR="00005992" w:rsidRPr="00670ED1">
              <w:t>)</w:t>
            </w:r>
          </w:p>
        </w:tc>
        <w:tc>
          <w:tcPr>
            <w:tcW w:w="947" w:type="pct"/>
          </w:tcPr>
          <w:p w14:paraId="7FF2309C" w14:textId="588DBC05" w:rsidR="002C628B" w:rsidRPr="00670ED1" w:rsidRDefault="002C628B" w:rsidP="00153E34">
            <w:pPr>
              <w:pStyle w:val="TableTextRight"/>
            </w:pPr>
            <w:r w:rsidRPr="00670ED1">
              <w:t>$</w:t>
            </w:r>
            <w:r w:rsidR="00547AD7" w:rsidRPr="00670ED1">
              <w:t>8,</w:t>
            </w:r>
            <w:r w:rsidR="00E9337F">
              <w:t>315,577</w:t>
            </w:r>
            <w:r w:rsidR="00BE2148" w:rsidRPr="00670ED1">
              <w:t xml:space="preserve"> (</w:t>
            </w:r>
            <w:r w:rsidR="00E768F6" w:rsidRPr="00670ED1">
              <w:t>3</w:t>
            </w:r>
            <w:r w:rsidR="002151C7">
              <w:t>2</w:t>
            </w:r>
            <w:r w:rsidR="0096268C">
              <w:t>%</w:t>
            </w:r>
            <w:r w:rsidR="00BE2148" w:rsidRPr="00670ED1">
              <w:t>)</w:t>
            </w:r>
          </w:p>
        </w:tc>
        <w:tc>
          <w:tcPr>
            <w:tcW w:w="947" w:type="pct"/>
          </w:tcPr>
          <w:p w14:paraId="093FC231" w14:textId="1553E834" w:rsidR="002C628B" w:rsidRPr="00670ED1" w:rsidRDefault="002C628B" w:rsidP="00153E34">
            <w:pPr>
              <w:pStyle w:val="TableTextRight"/>
            </w:pPr>
            <w:r w:rsidRPr="00670ED1">
              <w:t>35</w:t>
            </w:r>
            <w:r w:rsidR="00274F14" w:rsidRPr="00670ED1">
              <w:t xml:space="preserve"> (</w:t>
            </w:r>
            <w:r w:rsidR="00405FFC" w:rsidRPr="00670ED1">
              <w:t>38%</w:t>
            </w:r>
            <w:r w:rsidR="00274F14" w:rsidRPr="00670ED1">
              <w:t>)</w:t>
            </w:r>
          </w:p>
        </w:tc>
        <w:tc>
          <w:tcPr>
            <w:tcW w:w="1014" w:type="pct"/>
          </w:tcPr>
          <w:p w14:paraId="6E098C78" w14:textId="179F22C4" w:rsidR="002C628B" w:rsidRPr="00670ED1" w:rsidRDefault="006B3261" w:rsidP="00153E34">
            <w:pPr>
              <w:pStyle w:val="TableTextRight"/>
            </w:pPr>
            <w:r>
              <w:t>569</w:t>
            </w:r>
            <w:r w:rsidR="00C30EC1" w:rsidRPr="00670ED1">
              <w:t xml:space="preserve"> (</w:t>
            </w:r>
            <w:r w:rsidR="00C327AE">
              <w:t>32</w:t>
            </w:r>
            <w:r w:rsidR="00C30EC1" w:rsidRPr="00670ED1">
              <w:t>%)</w:t>
            </w:r>
          </w:p>
        </w:tc>
      </w:tr>
      <w:tr w:rsidR="002C628B" w:rsidRPr="00670ED1" w14:paraId="13F38B50" w14:textId="77777777" w:rsidTr="00153E34">
        <w:trPr>
          <w:trHeight w:val="20"/>
        </w:trPr>
        <w:tc>
          <w:tcPr>
            <w:tcW w:w="1145" w:type="pct"/>
          </w:tcPr>
          <w:p w14:paraId="70145245" w14:textId="77777777" w:rsidR="002C628B" w:rsidRPr="00CE6990" w:rsidRDefault="002C628B" w:rsidP="00CE6990">
            <w:pPr>
              <w:pStyle w:val="TableColumnHeadingLeft"/>
              <w:rPr>
                <w:b w:val="0"/>
                <w:bCs/>
              </w:rPr>
            </w:pPr>
            <w:r w:rsidRPr="00CE6990">
              <w:t>Total eInvoices</w:t>
            </w:r>
          </w:p>
        </w:tc>
        <w:tc>
          <w:tcPr>
            <w:tcW w:w="947" w:type="pct"/>
          </w:tcPr>
          <w:p w14:paraId="56A52145" w14:textId="77777777" w:rsidR="002C628B" w:rsidRPr="00670ED1" w:rsidRDefault="002C628B" w:rsidP="00153E34">
            <w:pPr>
              <w:pStyle w:val="TableTextRight"/>
            </w:pPr>
            <w:r w:rsidRPr="00670ED1">
              <w:t>$1,021,848</w:t>
            </w:r>
          </w:p>
        </w:tc>
        <w:tc>
          <w:tcPr>
            <w:tcW w:w="947" w:type="pct"/>
          </w:tcPr>
          <w:p w14:paraId="17FA25D1" w14:textId="75CB3A71" w:rsidR="002C628B" w:rsidRPr="00670ED1" w:rsidRDefault="002C628B" w:rsidP="00153E34">
            <w:pPr>
              <w:pStyle w:val="TableTextRight"/>
            </w:pPr>
            <w:r w:rsidRPr="00670ED1">
              <w:t>$</w:t>
            </w:r>
            <w:r w:rsidR="00FD26D3">
              <w:t>25</w:t>
            </w:r>
            <w:r w:rsidR="00201C6B">
              <w:t>,831,861</w:t>
            </w:r>
          </w:p>
        </w:tc>
        <w:tc>
          <w:tcPr>
            <w:tcW w:w="947" w:type="pct"/>
          </w:tcPr>
          <w:p w14:paraId="72897CEB" w14:textId="77777777" w:rsidR="002C628B" w:rsidRPr="00670ED1" w:rsidRDefault="002C628B" w:rsidP="00153E34">
            <w:pPr>
              <w:pStyle w:val="TableTextRight"/>
            </w:pPr>
            <w:r w:rsidRPr="00670ED1">
              <w:t>92</w:t>
            </w:r>
          </w:p>
        </w:tc>
        <w:tc>
          <w:tcPr>
            <w:tcW w:w="1014" w:type="pct"/>
          </w:tcPr>
          <w:p w14:paraId="1F8A33D7" w14:textId="457B8DB4" w:rsidR="002C628B" w:rsidRPr="00670ED1" w:rsidRDefault="00B34EB2" w:rsidP="00153E34">
            <w:pPr>
              <w:pStyle w:val="TableTextRight"/>
            </w:pPr>
            <w:r>
              <w:t>1</w:t>
            </w:r>
            <w:r w:rsidR="00DF6AD2">
              <w:t>,764</w:t>
            </w:r>
          </w:p>
        </w:tc>
      </w:tr>
    </w:tbl>
    <w:p w14:paraId="07803805" w14:textId="77777777" w:rsidR="0074424D" w:rsidRPr="0074424D" w:rsidRDefault="0074424D" w:rsidP="00153E34">
      <w:pPr>
        <w:pStyle w:val="SingleParagraph"/>
      </w:pPr>
    </w:p>
    <w:p w14:paraId="22945860" w14:textId="097924AA" w:rsidR="008D536B" w:rsidRPr="00167BF8" w:rsidRDefault="0009738B" w:rsidP="008D536B">
      <w:pPr>
        <w:rPr>
          <w:rFonts w:cstheme="minorHAnsi"/>
        </w:rPr>
      </w:pPr>
      <w:r w:rsidRPr="00DB5A14" w:rsidDel="00D271D8">
        <w:rPr>
          <w:rFonts w:cstheme="minorHAnsi"/>
        </w:rPr>
        <w:t xml:space="preserve">Chart 4 </w:t>
      </w:r>
      <w:r w:rsidR="008D536B">
        <w:rPr>
          <w:rFonts w:cstheme="minorHAnsi"/>
        </w:rPr>
        <w:t>provides</w:t>
      </w:r>
      <w:r w:rsidRPr="00DB5A14" w:rsidDel="00D271D8">
        <w:rPr>
          <w:rFonts w:cstheme="minorHAnsi"/>
        </w:rPr>
        <w:t xml:space="preserve"> the proportion </w:t>
      </w:r>
      <w:r w:rsidR="00C81939">
        <w:rPr>
          <w:rFonts w:cstheme="minorHAnsi"/>
        </w:rPr>
        <w:t>of</w:t>
      </w:r>
      <w:r w:rsidR="00AB72EA">
        <w:rPr>
          <w:rFonts w:cstheme="minorHAnsi"/>
        </w:rPr>
        <w:t xml:space="preserve"> </w:t>
      </w:r>
      <w:r w:rsidR="00FB218D">
        <w:rPr>
          <w:rFonts w:cstheme="minorHAnsi"/>
        </w:rPr>
        <w:t xml:space="preserve">eligible </w:t>
      </w:r>
      <w:r w:rsidRPr="00DB5A14" w:rsidDel="00D271D8">
        <w:rPr>
          <w:rFonts w:cstheme="minorHAnsi"/>
        </w:rPr>
        <w:t xml:space="preserve">eInvoices </w:t>
      </w:r>
      <w:r w:rsidR="008D536B">
        <w:rPr>
          <w:rFonts w:cstheme="minorHAnsi"/>
        </w:rPr>
        <w:t xml:space="preserve">paid on time (that is, within </w:t>
      </w:r>
      <w:r w:rsidR="00A57B8D">
        <w:rPr>
          <w:rFonts w:cstheme="minorHAnsi"/>
        </w:rPr>
        <w:t>5</w:t>
      </w:r>
      <w:r w:rsidR="008D536B">
        <w:rPr>
          <w:rFonts w:cstheme="minorHAnsi"/>
        </w:rPr>
        <w:t xml:space="preserve"> days) compared to those paid late (that is, </w:t>
      </w:r>
      <w:r w:rsidR="00AF384D">
        <w:rPr>
          <w:rFonts w:cstheme="minorHAnsi"/>
        </w:rPr>
        <w:t>more than</w:t>
      </w:r>
      <w:r w:rsidR="00A57B8D">
        <w:rPr>
          <w:rFonts w:cstheme="minorHAnsi"/>
        </w:rPr>
        <w:t xml:space="preserve"> 5</w:t>
      </w:r>
      <w:r w:rsidR="008D536B">
        <w:rPr>
          <w:rFonts w:cstheme="minorHAnsi"/>
        </w:rPr>
        <w:t xml:space="preserve"> days)</w:t>
      </w:r>
      <w:r w:rsidR="008D536B" w:rsidRPr="00DB5A14" w:rsidDel="00D271D8">
        <w:rPr>
          <w:rFonts w:cstheme="minorHAnsi"/>
        </w:rPr>
        <w:t xml:space="preserve"> </w:t>
      </w:r>
      <w:r w:rsidRPr="00DB5A14" w:rsidDel="00D271D8">
        <w:rPr>
          <w:rFonts w:cstheme="minorHAnsi"/>
        </w:rPr>
        <w:t>by number and value for the 20</w:t>
      </w:r>
      <w:r w:rsidDel="00D271D8">
        <w:rPr>
          <w:rFonts w:cstheme="minorHAnsi"/>
        </w:rPr>
        <w:t>20</w:t>
      </w:r>
      <w:r w:rsidRPr="00A12056" w:rsidDel="00D271D8">
        <w:t>–</w:t>
      </w:r>
      <w:r w:rsidRPr="00DB5A14" w:rsidDel="00D271D8">
        <w:rPr>
          <w:rFonts w:cstheme="minorHAnsi"/>
        </w:rPr>
        <w:t>21 and 2021</w:t>
      </w:r>
      <w:r w:rsidRPr="00A12056" w:rsidDel="00D271D8">
        <w:t>–</w:t>
      </w:r>
      <w:r w:rsidRPr="00DB5A14" w:rsidDel="00D271D8">
        <w:rPr>
          <w:rFonts w:cstheme="minorHAnsi"/>
        </w:rPr>
        <w:t xml:space="preserve">22 </w:t>
      </w:r>
      <w:r w:rsidDel="00D271D8">
        <w:rPr>
          <w:rFonts w:cstheme="minorHAnsi"/>
        </w:rPr>
        <w:t>f</w:t>
      </w:r>
      <w:r w:rsidRPr="00DB5A14" w:rsidDel="00D271D8">
        <w:rPr>
          <w:rFonts w:cstheme="minorHAnsi"/>
        </w:rPr>
        <w:t xml:space="preserve">inancial </w:t>
      </w:r>
      <w:r w:rsidDel="00D271D8">
        <w:rPr>
          <w:rFonts w:cstheme="minorHAnsi"/>
        </w:rPr>
        <w:t>y</w:t>
      </w:r>
      <w:r w:rsidRPr="00DB5A14" w:rsidDel="00D271D8">
        <w:rPr>
          <w:rFonts w:cstheme="minorHAnsi"/>
        </w:rPr>
        <w:t>ears.</w:t>
      </w:r>
      <w:r w:rsidR="008D536B" w:rsidRPr="008D536B">
        <w:rPr>
          <w:rFonts w:cstheme="minorHAnsi"/>
        </w:rPr>
        <w:t xml:space="preserve"> </w:t>
      </w:r>
    </w:p>
    <w:p w14:paraId="488104C8" w14:textId="265CE9DE" w:rsidR="002C628B" w:rsidRDefault="0067502D" w:rsidP="002C628B">
      <w:pPr>
        <w:pStyle w:val="ChartMainHeading"/>
      </w:pPr>
      <w:bookmarkStart w:id="47" w:name="_Toc126932701"/>
      <w:bookmarkStart w:id="48" w:name="_Toc131005407"/>
      <w:r>
        <w:t>Chart 4: eInvoice payment times by number and value</w:t>
      </w:r>
      <w:bookmarkEnd w:id="47"/>
      <w:bookmarkEnd w:id="48"/>
    </w:p>
    <w:p w14:paraId="32A552E2" w14:textId="36BEE1EA" w:rsidR="00622956" w:rsidRPr="00FD490C" w:rsidRDefault="00613606" w:rsidP="00CE6990">
      <w:pPr>
        <w:pStyle w:val="ChartGraphic"/>
        <w:rPr>
          <w:noProof/>
        </w:rPr>
      </w:pPr>
      <w:r>
        <w:rPr>
          <w:noProof/>
        </w:rPr>
        <w:drawing>
          <wp:inline distT="0" distB="0" distL="0" distR="0" wp14:anchorId="420D8D21" wp14:editId="3C91E0A6">
            <wp:extent cx="5572125" cy="2426335"/>
            <wp:effectExtent l="0" t="0" r="0" b="0"/>
            <wp:docPr id="2" name="Picture 2" descr="Chart 4 provides the proportion of eligible eInvoices paid on time (that is, within 5 days) compared to those paid late (that is, more than 5 days) by number and value for the 2020–21 and 2021–22 financial years. &#10;&#10;By both value and number, the proportion of eligible eInvoices paid on time increased between the 2020–21 and 2021–22 financial years. Specifically, there has been a 6 percentage point increase by number, and a 12 percentage point increase by value between these financial years. Given that there has also been a significant increase in the number of eligible eInvoices received, this represents a substantial improvement in the timeliness of payments. &#10;Government agencies paid a total of $1,024 in interest due to late payment of eligible eInvoic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4 provides the proportion of eligible eInvoices paid on time (that is, within 5 days) compared to those paid late (that is, more than 5 days) by number and value for the 2020–21 and 2021–22 financial years. &#10;&#10;By both value and number, the proportion of eligible eInvoices paid on time increased between the 2020–21 and 2021–22 financial years. Specifically, there has been a 6 percentage point increase by number, and a 12 percentage point increase by value between these financial years. Given that there has also been a significant increase in the number of eligible eInvoices received, this represents a substantial improvement in the timeliness of payments. &#10;Government agencies paid a total of $1,024 in interest due to late payment of eligible eInvoices.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72125" cy="2426335"/>
                    </a:xfrm>
                    <a:prstGeom prst="rect">
                      <a:avLst/>
                    </a:prstGeom>
                    <a:noFill/>
                  </pic:spPr>
                </pic:pic>
              </a:graphicData>
            </a:graphic>
          </wp:inline>
        </w:drawing>
      </w:r>
    </w:p>
    <w:p w14:paraId="01C7D9C4" w14:textId="77777777" w:rsidR="00153E34" w:rsidRDefault="00153E34" w:rsidP="00153E34">
      <w:pPr>
        <w:pStyle w:val="SingleParagraph"/>
      </w:pPr>
    </w:p>
    <w:p w14:paraId="31AC2D9C" w14:textId="22ADD4C2" w:rsidR="00AE7243" w:rsidRPr="00DB5A14" w:rsidRDefault="000E44F2" w:rsidP="00AE7243">
      <w:pPr>
        <w:rPr>
          <w:rFonts w:cstheme="minorHAnsi"/>
        </w:rPr>
      </w:pPr>
      <w:r>
        <w:rPr>
          <w:rFonts w:cstheme="minorHAnsi"/>
        </w:rPr>
        <w:t>By</w:t>
      </w:r>
      <w:r w:rsidR="00AE7243" w:rsidRPr="00DB5A14">
        <w:rPr>
          <w:rFonts w:cstheme="minorHAnsi"/>
        </w:rPr>
        <w:t xml:space="preserve"> both value and number</w:t>
      </w:r>
      <w:r>
        <w:rPr>
          <w:rFonts w:cstheme="minorHAnsi"/>
        </w:rPr>
        <w:t xml:space="preserve">, the proportion of </w:t>
      </w:r>
      <w:r w:rsidR="00FB218D">
        <w:rPr>
          <w:rFonts w:cstheme="minorHAnsi"/>
        </w:rPr>
        <w:t xml:space="preserve">eligible </w:t>
      </w:r>
      <w:r w:rsidR="00AE7243" w:rsidRPr="00DB5A14">
        <w:rPr>
          <w:rFonts w:cstheme="minorHAnsi"/>
        </w:rPr>
        <w:t>eInvoices paid on time</w:t>
      </w:r>
      <w:r>
        <w:rPr>
          <w:rFonts w:cstheme="minorHAnsi"/>
        </w:rPr>
        <w:t xml:space="preserve"> increased</w:t>
      </w:r>
      <w:r w:rsidR="00430E1F">
        <w:rPr>
          <w:rFonts w:cstheme="minorHAnsi"/>
        </w:rPr>
        <w:t xml:space="preserve"> between the </w:t>
      </w:r>
      <w:r w:rsidR="008D536B" w:rsidRPr="00DB5A14" w:rsidDel="00D271D8">
        <w:rPr>
          <w:rFonts w:cstheme="minorHAnsi"/>
        </w:rPr>
        <w:t>20</w:t>
      </w:r>
      <w:r w:rsidR="008D536B" w:rsidDel="00D271D8">
        <w:rPr>
          <w:rFonts w:cstheme="minorHAnsi"/>
        </w:rPr>
        <w:t>20</w:t>
      </w:r>
      <w:r w:rsidR="008D536B" w:rsidRPr="00A12056" w:rsidDel="00D271D8">
        <w:t>–</w:t>
      </w:r>
      <w:r w:rsidR="008D536B" w:rsidRPr="00DB5A14" w:rsidDel="00D271D8">
        <w:rPr>
          <w:rFonts w:cstheme="minorHAnsi"/>
        </w:rPr>
        <w:t>21 and 2021</w:t>
      </w:r>
      <w:r w:rsidR="008D536B" w:rsidRPr="00A12056" w:rsidDel="00D271D8">
        <w:t>–</w:t>
      </w:r>
      <w:r w:rsidR="008D536B" w:rsidRPr="00DB5A14" w:rsidDel="00D271D8">
        <w:rPr>
          <w:rFonts w:cstheme="minorHAnsi"/>
        </w:rPr>
        <w:t xml:space="preserve">22 </w:t>
      </w:r>
      <w:r w:rsidR="008D536B" w:rsidDel="00D271D8">
        <w:rPr>
          <w:rFonts w:cstheme="minorHAnsi"/>
        </w:rPr>
        <w:t>f</w:t>
      </w:r>
      <w:r w:rsidR="008D536B" w:rsidRPr="00DB5A14" w:rsidDel="00D271D8">
        <w:rPr>
          <w:rFonts w:cstheme="minorHAnsi"/>
        </w:rPr>
        <w:t xml:space="preserve">inancial </w:t>
      </w:r>
      <w:r w:rsidR="008D536B" w:rsidDel="00D271D8">
        <w:rPr>
          <w:rFonts w:cstheme="minorHAnsi"/>
        </w:rPr>
        <w:t>y</w:t>
      </w:r>
      <w:r w:rsidR="008D536B" w:rsidRPr="00DB5A14" w:rsidDel="00D271D8">
        <w:rPr>
          <w:rFonts w:cstheme="minorHAnsi"/>
        </w:rPr>
        <w:t>ears</w:t>
      </w:r>
      <w:r w:rsidR="00AE7243" w:rsidRPr="00DB5A14">
        <w:rPr>
          <w:rFonts w:cstheme="minorHAnsi"/>
        </w:rPr>
        <w:t xml:space="preserve">. </w:t>
      </w:r>
      <w:r w:rsidR="00AE7243" w:rsidRPr="00E0475A">
        <w:rPr>
          <w:rFonts w:cstheme="minorHAnsi"/>
        </w:rPr>
        <w:t xml:space="preserve">Specifically, there has been a </w:t>
      </w:r>
      <w:r w:rsidR="00D962CB">
        <w:rPr>
          <w:rFonts w:cstheme="minorHAnsi"/>
        </w:rPr>
        <w:t>6</w:t>
      </w:r>
      <w:r w:rsidR="00153E34">
        <w:rPr>
          <w:rFonts w:cstheme="minorHAnsi"/>
        </w:rPr>
        <w:noBreakHyphen/>
      </w:r>
      <w:r w:rsidR="00AE7243" w:rsidRPr="00E0475A">
        <w:rPr>
          <w:rFonts w:cstheme="minorHAnsi"/>
        </w:rPr>
        <w:t xml:space="preserve">percentage point increase by number, and a </w:t>
      </w:r>
      <w:r w:rsidR="00FF7050">
        <w:rPr>
          <w:rFonts w:cstheme="minorHAnsi"/>
        </w:rPr>
        <w:t>12</w:t>
      </w:r>
      <w:r w:rsidR="00153E34">
        <w:rPr>
          <w:rFonts w:cstheme="minorHAnsi"/>
        </w:rPr>
        <w:noBreakHyphen/>
      </w:r>
      <w:r w:rsidR="00AE7243" w:rsidRPr="00B41BC8">
        <w:rPr>
          <w:rFonts w:cstheme="minorHAnsi"/>
        </w:rPr>
        <w:t>percentage point increase by value</w:t>
      </w:r>
      <w:r w:rsidR="00B53D72">
        <w:rPr>
          <w:rFonts w:cstheme="minorHAnsi"/>
        </w:rPr>
        <w:t xml:space="preserve"> between these financial years</w:t>
      </w:r>
      <w:r w:rsidR="00AE7243" w:rsidRPr="00B41BC8">
        <w:rPr>
          <w:rFonts w:cstheme="minorHAnsi"/>
        </w:rPr>
        <w:t>.</w:t>
      </w:r>
      <w:r w:rsidR="00AE7243" w:rsidRPr="00DB5A14">
        <w:rPr>
          <w:rFonts w:cstheme="minorHAnsi"/>
        </w:rPr>
        <w:t xml:space="preserve"> </w:t>
      </w:r>
      <w:r w:rsidR="008B3101">
        <w:rPr>
          <w:rFonts w:cstheme="minorHAnsi"/>
        </w:rPr>
        <w:t>Given that</w:t>
      </w:r>
      <w:r w:rsidR="00AE7243" w:rsidRPr="00DB5A14">
        <w:rPr>
          <w:rFonts w:cstheme="minorHAnsi"/>
        </w:rPr>
        <w:t xml:space="preserve"> there has also been a significant increase in the number of </w:t>
      </w:r>
      <w:r w:rsidR="00FB218D">
        <w:rPr>
          <w:rFonts w:cstheme="minorHAnsi"/>
        </w:rPr>
        <w:t xml:space="preserve">eligible </w:t>
      </w:r>
      <w:r w:rsidR="00AE7243" w:rsidRPr="00DB5A14">
        <w:rPr>
          <w:rFonts w:cstheme="minorHAnsi"/>
        </w:rPr>
        <w:t>eInvoices received</w:t>
      </w:r>
      <w:r w:rsidR="000977A4">
        <w:rPr>
          <w:rFonts w:cstheme="minorHAnsi"/>
        </w:rPr>
        <w:t xml:space="preserve">, this represents a substantial improvement in the </w:t>
      </w:r>
      <w:r w:rsidR="0086538A">
        <w:rPr>
          <w:rFonts w:cstheme="minorHAnsi"/>
        </w:rPr>
        <w:t>timeliness of payments.</w:t>
      </w:r>
      <w:r w:rsidR="00F42A10">
        <w:rPr>
          <w:rFonts w:cstheme="minorHAnsi"/>
        </w:rPr>
        <w:t xml:space="preserve"> </w:t>
      </w:r>
    </w:p>
    <w:p w14:paraId="6892440B" w14:textId="6FBC554E" w:rsidR="00316E5C" w:rsidRDefault="0099180F" w:rsidP="00316E5C">
      <w:pPr>
        <w:rPr>
          <w:rFonts w:cstheme="minorHAnsi"/>
          <w:highlight w:val="yellow"/>
        </w:rPr>
      </w:pPr>
      <w:r>
        <w:rPr>
          <w:rFonts w:cstheme="minorHAnsi"/>
        </w:rPr>
        <w:t>Government agencies paid a</w:t>
      </w:r>
      <w:r w:rsidRPr="00DB5A14">
        <w:rPr>
          <w:rFonts w:cstheme="minorHAnsi"/>
        </w:rPr>
        <w:t xml:space="preserve"> total of </w:t>
      </w:r>
      <w:r w:rsidRPr="00B41BC8">
        <w:rPr>
          <w:rFonts w:cstheme="minorHAnsi"/>
        </w:rPr>
        <w:t>$1,02</w:t>
      </w:r>
      <w:r w:rsidRPr="00E0475A">
        <w:rPr>
          <w:rFonts w:cstheme="minorHAnsi"/>
        </w:rPr>
        <w:t>4</w:t>
      </w:r>
      <w:r w:rsidRPr="00DB5A14">
        <w:rPr>
          <w:rFonts w:cstheme="minorHAnsi"/>
        </w:rPr>
        <w:t xml:space="preserve"> in interest</w:t>
      </w:r>
      <w:r>
        <w:rPr>
          <w:rFonts w:cstheme="minorHAnsi"/>
        </w:rPr>
        <w:t xml:space="preserve"> due to late </w:t>
      </w:r>
      <w:r w:rsidR="00876506">
        <w:rPr>
          <w:rFonts w:cstheme="minorHAnsi"/>
        </w:rPr>
        <w:t xml:space="preserve">payment of </w:t>
      </w:r>
      <w:r w:rsidR="00FB218D">
        <w:rPr>
          <w:rFonts w:cstheme="minorHAnsi"/>
        </w:rPr>
        <w:t xml:space="preserve">eligible </w:t>
      </w:r>
      <w:r w:rsidR="00876506">
        <w:rPr>
          <w:rFonts w:cstheme="minorHAnsi"/>
        </w:rPr>
        <w:t>eInvoices</w:t>
      </w:r>
      <w:r w:rsidR="00E8558B">
        <w:rPr>
          <w:rFonts w:cstheme="minorHAnsi"/>
        </w:rPr>
        <w:t xml:space="preserve">. </w:t>
      </w:r>
    </w:p>
    <w:p w14:paraId="63CF5C1A" w14:textId="6D15C55A" w:rsidR="00D81D43" w:rsidRPr="00ED60D9" w:rsidRDefault="00D81D43" w:rsidP="00ED60D9">
      <w:pPr>
        <w:pStyle w:val="Heading2"/>
      </w:pPr>
      <w:bookmarkStart w:id="49" w:name="_Toc131005408"/>
      <w:r w:rsidRPr="00ED60D9">
        <w:t>Table of Agency Results</w:t>
      </w:r>
      <w:bookmarkEnd w:id="49"/>
    </w:p>
    <w:p w14:paraId="250D3853" w14:textId="6F439229" w:rsidR="00D81D43" w:rsidRPr="003731F9" w:rsidRDefault="00D81D43" w:rsidP="0081750F">
      <w:pPr>
        <w:rPr>
          <w:rFonts w:cstheme="minorHAnsi"/>
        </w:rPr>
      </w:pPr>
      <w:r w:rsidRPr="003731F9">
        <w:rPr>
          <w:rFonts w:cstheme="minorHAnsi"/>
        </w:rPr>
        <w:t>Table</w:t>
      </w:r>
      <w:r w:rsidR="00D07925">
        <w:rPr>
          <w:rFonts w:cstheme="minorHAnsi"/>
        </w:rPr>
        <w:t xml:space="preserve"> </w:t>
      </w:r>
      <w:r>
        <w:rPr>
          <w:rFonts w:cstheme="minorHAnsi"/>
        </w:rPr>
        <w:t>4</w:t>
      </w:r>
      <w:r w:rsidRPr="003731F9">
        <w:rPr>
          <w:rFonts w:cstheme="minorHAnsi"/>
        </w:rPr>
        <w:t xml:space="preserve"> </w:t>
      </w:r>
      <w:r w:rsidR="00885161">
        <w:rPr>
          <w:rFonts w:cstheme="minorHAnsi"/>
        </w:rPr>
        <w:t>provides</w:t>
      </w:r>
      <w:r w:rsidR="00885161" w:rsidRPr="003731F9">
        <w:rPr>
          <w:rFonts w:cstheme="minorHAnsi"/>
        </w:rPr>
        <w:t xml:space="preserve"> </w:t>
      </w:r>
      <w:r w:rsidRPr="003731F9">
        <w:rPr>
          <w:rFonts w:cstheme="minorHAnsi"/>
        </w:rPr>
        <w:t xml:space="preserve">the percentage of </w:t>
      </w:r>
      <w:r w:rsidR="00FB218D">
        <w:rPr>
          <w:rFonts w:cstheme="minorHAnsi"/>
        </w:rPr>
        <w:t>el</w:t>
      </w:r>
      <w:r w:rsidR="00EE5ECB">
        <w:rPr>
          <w:rFonts w:cstheme="minorHAnsi"/>
        </w:rPr>
        <w:t xml:space="preserve">igible </w:t>
      </w:r>
      <w:r w:rsidRPr="003731F9">
        <w:rPr>
          <w:rFonts w:cstheme="minorHAnsi"/>
        </w:rPr>
        <w:t>invoices paid within 20</w:t>
      </w:r>
      <w:r>
        <w:rPr>
          <w:rFonts w:cstheme="minorHAnsi"/>
        </w:rPr>
        <w:t xml:space="preserve"> days </w:t>
      </w:r>
      <w:r w:rsidR="00DD3FCF">
        <w:rPr>
          <w:rFonts w:cstheme="minorHAnsi"/>
        </w:rPr>
        <w:t>and</w:t>
      </w:r>
      <w:r>
        <w:rPr>
          <w:rFonts w:cstheme="minorHAnsi"/>
        </w:rPr>
        <w:t xml:space="preserve"> </w:t>
      </w:r>
      <w:r w:rsidR="00EE5ECB">
        <w:rPr>
          <w:rFonts w:cstheme="minorHAnsi"/>
        </w:rPr>
        <w:t xml:space="preserve">eligible </w:t>
      </w:r>
      <w:r>
        <w:rPr>
          <w:rFonts w:cstheme="minorHAnsi"/>
        </w:rPr>
        <w:t xml:space="preserve">eInvoices </w:t>
      </w:r>
      <w:r w:rsidR="00DD3FCF">
        <w:rPr>
          <w:rFonts w:cstheme="minorHAnsi"/>
        </w:rPr>
        <w:t>within</w:t>
      </w:r>
      <w:r>
        <w:rPr>
          <w:rFonts w:cstheme="minorHAnsi"/>
        </w:rPr>
        <w:t xml:space="preserve"> </w:t>
      </w:r>
      <w:r w:rsidR="00DD3FCF">
        <w:rPr>
          <w:rFonts w:cstheme="minorHAnsi"/>
        </w:rPr>
        <w:t>5</w:t>
      </w:r>
      <w:r w:rsidR="00023B11">
        <w:rPr>
          <w:rFonts w:cstheme="minorHAnsi"/>
        </w:rPr>
        <w:t> </w:t>
      </w:r>
      <w:r w:rsidR="008F065E">
        <w:rPr>
          <w:rFonts w:cstheme="minorHAnsi"/>
        </w:rPr>
        <w:t xml:space="preserve">days, </w:t>
      </w:r>
      <w:r w:rsidR="008F065E" w:rsidRPr="003731F9">
        <w:rPr>
          <w:rFonts w:cstheme="minorHAnsi"/>
        </w:rPr>
        <w:t>by number</w:t>
      </w:r>
      <w:r w:rsidR="008F065E">
        <w:rPr>
          <w:rFonts w:cstheme="minorHAnsi"/>
        </w:rPr>
        <w:t xml:space="preserve"> and value,</w:t>
      </w:r>
      <w:r w:rsidR="008F065E" w:rsidRPr="003731F9">
        <w:rPr>
          <w:rFonts w:cstheme="minorHAnsi"/>
        </w:rPr>
        <w:t xml:space="preserve"> </w:t>
      </w:r>
      <w:r>
        <w:rPr>
          <w:rFonts w:cstheme="minorHAnsi"/>
        </w:rPr>
        <w:t>for</w:t>
      </w:r>
      <w:r w:rsidRPr="003731F9">
        <w:rPr>
          <w:rFonts w:cstheme="minorHAnsi"/>
        </w:rPr>
        <w:t xml:space="preserve"> </w:t>
      </w:r>
      <w:r>
        <w:rPr>
          <w:rFonts w:cstheme="minorHAnsi"/>
        </w:rPr>
        <w:t>all Government agencies</w:t>
      </w:r>
      <w:r w:rsidRPr="003731F9">
        <w:rPr>
          <w:rFonts w:cstheme="minorHAnsi"/>
        </w:rPr>
        <w:t xml:space="preserve"> </w:t>
      </w:r>
      <w:r>
        <w:rPr>
          <w:rFonts w:cstheme="minorHAnsi"/>
        </w:rPr>
        <w:t xml:space="preserve">that </w:t>
      </w:r>
      <w:r w:rsidRPr="003731F9">
        <w:rPr>
          <w:rFonts w:cstheme="minorHAnsi"/>
        </w:rPr>
        <w:t>responded to the survey.</w:t>
      </w:r>
    </w:p>
    <w:p w14:paraId="52620638" w14:textId="7911D3CA" w:rsidR="00466815" w:rsidRDefault="00D81D43" w:rsidP="0081750F">
      <w:pPr>
        <w:rPr>
          <w:rFonts w:cstheme="minorHAnsi"/>
        </w:rPr>
      </w:pPr>
      <w:r w:rsidRPr="00D809C3">
        <w:rPr>
          <w:rFonts w:cstheme="minorHAnsi"/>
        </w:rPr>
        <w:t xml:space="preserve">Overall, in </w:t>
      </w:r>
      <w:r w:rsidR="00DE4093">
        <w:rPr>
          <w:rFonts w:cstheme="minorHAnsi"/>
        </w:rPr>
        <w:t xml:space="preserve">the </w:t>
      </w:r>
      <w:r w:rsidRPr="00D809C3">
        <w:rPr>
          <w:rFonts w:cstheme="minorHAnsi"/>
        </w:rPr>
        <w:t>2021</w:t>
      </w:r>
      <w:r w:rsidRPr="00D809C3">
        <w:t>–</w:t>
      </w:r>
      <w:r w:rsidRPr="00D809C3">
        <w:rPr>
          <w:rFonts w:cstheme="minorHAnsi"/>
        </w:rPr>
        <w:t>22</w:t>
      </w:r>
      <w:r w:rsidR="00DE4093">
        <w:rPr>
          <w:rFonts w:cstheme="minorHAnsi"/>
        </w:rPr>
        <w:t xml:space="preserve"> financial year, </w:t>
      </w:r>
      <w:r w:rsidR="00EE5ECB">
        <w:rPr>
          <w:rFonts w:cstheme="minorHAnsi"/>
        </w:rPr>
        <w:t xml:space="preserve">a higher proportion of </w:t>
      </w:r>
      <w:r w:rsidR="00F21AAF">
        <w:rPr>
          <w:rFonts w:cstheme="minorHAnsi"/>
        </w:rPr>
        <w:t>Government</w:t>
      </w:r>
      <w:r w:rsidR="00EE5ECB">
        <w:rPr>
          <w:rFonts w:cstheme="minorHAnsi"/>
        </w:rPr>
        <w:t xml:space="preserve"> </w:t>
      </w:r>
      <w:r w:rsidR="00F21AAF">
        <w:rPr>
          <w:rFonts w:cstheme="minorHAnsi"/>
        </w:rPr>
        <w:t xml:space="preserve">agencies </w:t>
      </w:r>
      <w:r w:rsidR="00DE4093">
        <w:rPr>
          <w:rFonts w:cstheme="minorHAnsi"/>
        </w:rPr>
        <w:t xml:space="preserve">in scope </w:t>
      </w:r>
      <w:r w:rsidR="00AB5B8F">
        <w:rPr>
          <w:rFonts w:cstheme="minorHAnsi"/>
        </w:rPr>
        <w:t>of</w:t>
      </w:r>
      <w:r w:rsidR="00DE4093">
        <w:rPr>
          <w:rFonts w:cstheme="minorHAnsi"/>
        </w:rPr>
        <w:t xml:space="preserve"> the Pay On</w:t>
      </w:r>
      <w:r w:rsidR="00153E34">
        <w:rPr>
          <w:rFonts w:cstheme="minorHAnsi"/>
        </w:rPr>
        <w:noBreakHyphen/>
      </w:r>
      <w:r w:rsidR="00DE4093">
        <w:rPr>
          <w:rFonts w:cstheme="minorHAnsi"/>
        </w:rPr>
        <w:t xml:space="preserve">Time Survey </w:t>
      </w:r>
      <w:r w:rsidR="00AB5B8F">
        <w:rPr>
          <w:rFonts w:cstheme="minorHAnsi"/>
        </w:rPr>
        <w:t>paid</w:t>
      </w:r>
      <w:r w:rsidR="009B4E6B">
        <w:rPr>
          <w:rFonts w:cstheme="minorHAnsi"/>
        </w:rPr>
        <w:t xml:space="preserve"> </w:t>
      </w:r>
      <w:r w:rsidR="00E164DE" w:rsidRPr="00D809C3">
        <w:rPr>
          <w:rFonts w:cstheme="minorHAnsi"/>
        </w:rPr>
        <w:t>more than 90</w:t>
      </w:r>
      <w:r w:rsidR="00F42A10">
        <w:rPr>
          <w:rFonts w:cstheme="minorHAnsi"/>
        </w:rPr>
        <w:t> per </w:t>
      </w:r>
      <w:r w:rsidR="00E164DE" w:rsidRPr="00D809C3">
        <w:rPr>
          <w:rFonts w:cstheme="minorHAnsi"/>
        </w:rPr>
        <w:t xml:space="preserve">cent of </w:t>
      </w:r>
      <w:r w:rsidR="00E164DE">
        <w:rPr>
          <w:rFonts w:cstheme="minorHAnsi"/>
        </w:rPr>
        <w:t>eligible</w:t>
      </w:r>
      <w:r w:rsidR="00E164DE" w:rsidRPr="00D809C3">
        <w:rPr>
          <w:rFonts w:cstheme="minorHAnsi"/>
        </w:rPr>
        <w:t xml:space="preserve"> invoices by number within 20 days</w:t>
      </w:r>
      <w:r w:rsidR="00E164DE">
        <w:rPr>
          <w:rFonts w:cstheme="minorHAnsi"/>
        </w:rPr>
        <w:t>, as compared to the 2020</w:t>
      </w:r>
      <w:r w:rsidR="00F42A10">
        <w:rPr>
          <w:rFonts w:cstheme="minorHAnsi"/>
        </w:rPr>
        <w:t>–</w:t>
      </w:r>
      <w:r w:rsidR="00044D68">
        <w:rPr>
          <w:rFonts w:cstheme="minorHAnsi"/>
        </w:rPr>
        <w:t xml:space="preserve">21 financial year. </w:t>
      </w:r>
      <w:r w:rsidR="00947A39">
        <w:rPr>
          <w:rFonts w:cstheme="minorHAnsi"/>
        </w:rPr>
        <w:t>I</w:t>
      </w:r>
      <w:r w:rsidR="00DE4093" w:rsidRPr="00D809C3">
        <w:rPr>
          <w:rFonts w:cstheme="minorHAnsi"/>
        </w:rPr>
        <w:t xml:space="preserve">n </w:t>
      </w:r>
      <w:r w:rsidR="00DE4093">
        <w:rPr>
          <w:rFonts w:cstheme="minorHAnsi"/>
        </w:rPr>
        <w:t xml:space="preserve">the </w:t>
      </w:r>
      <w:r w:rsidR="00DE4093" w:rsidRPr="00D809C3">
        <w:rPr>
          <w:rFonts w:cstheme="minorHAnsi"/>
        </w:rPr>
        <w:t>2021</w:t>
      </w:r>
      <w:r w:rsidR="00DE4093" w:rsidRPr="00D809C3">
        <w:t>–</w:t>
      </w:r>
      <w:r w:rsidR="00DE4093" w:rsidRPr="00D809C3">
        <w:rPr>
          <w:rFonts w:cstheme="minorHAnsi"/>
        </w:rPr>
        <w:t>22</w:t>
      </w:r>
      <w:r w:rsidR="00DE4093">
        <w:rPr>
          <w:rFonts w:cstheme="minorHAnsi"/>
        </w:rPr>
        <w:t xml:space="preserve"> financial year</w:t>
      </w:r>
      <w:r w:rsidRPr="00D809C3">
        <w:rPr>
          <w:rFonts w:cstheme="minorHAnsi"/>
        </w:rPr>
        <w:t xml:space="preserve">, 71 of the 93 </w:t>
      </w:r>
      <w:r w:rsidR="00044D68">
        <w:rPr>
          <w:rFonts w:cstheme="minorHAnsi"/>
        </w:rPr>
        <w:t>Government</w:t>
      </w:r>
      <w:r w:rsidR="00044D68" w:rsidRPr="00D809C3">
        <w:rPr>
          <w:rFonts w:cstheme="minorHAnsi"/>
        </w:rPr>
        <w:t xml:space="preserve"> </w:t>
      </w:r>
      <w:r w:rsidRPr="00D809C3">
        <w:rPr>
          <w:rFonts w:cstheme="minorHAnsi"/>
        </w:rPr>
        <w:t xml:space="preserve">agencies </w:t>
      </w:r>
      <w:r w:rsidR="00044D68">
        <w:rPr>
          <w:rFonts w:cstheme="minorHAnsi"/>
        </w:rPr>
        <w:t>in scope</w:t>
      </w:r>
      <w:r w:rsidR="009B18CB">
        <w:rPr>
          <w:rFonts w:cstheme="minorHAnsi"/>
        </w:rPr>
        <w:t xml:space="preserve"> </w:t>
      </w:r>
      <w:r w:rsidR="00094C0C">
        <w:rPr>
          <w:rFonts w:cstheme="minorHAnsi"/>
        </w:rPr>
        <w:t>(or 76</w:t>
      </w:r>
      <w:r w:rsidR="00F42A10">
        <w:rPr>
          <w:rFonts w:cstheme="minorHAnsi"/>
        </w:rPr>
        <w:t> per </w:t>
      </w:r>
      <w:r w:rsidR="00094C0C">
        <w:rPr>
          <w:rFonts w:cstheme="minorHAnsi"/>
        </w:rPr>
        <w:t>cent</w:t>
      </w:r>
      <w:r w:rsidR="00EF7072">
        <w:rPr>
          <w:rFonts w:cstheme="minorHAnsi"/>
        </w:rPr>
        <w:t xml:space="preserve">) </w:t>
      </w:r>
      <w:r w:rsidRPr="00D809C3">
        <w:rPr>
          <w:rFonts w:cstheme="minorHAnsi"/>
        </w:rPr>
        <w:t>paid more than 90</w:t>
      </w:r>
      <w:r w:rsidR="00F42A10">
        <w:rPr>
          <w:rFonts w:cstheme="minorHAnsi"/>
        </w:rPr>
        <w:t> per </w:t>
      </w:r>
      <w:r w:rsidRPr="00D809C3">
        <w:rPr>
          <w:rFonts w:cstheme="minorHAnsi"/>
        </w:rPr>
        <w:t>cent of standard invoices by number within 20</w:t>
      </w:r>
      <w:r w:rsidR="00FE005E">
        <w:rPr>
          <w:rFonts w:cstheme="minorHAnsi"/>
        </w:rPr>
        <w:t xml:space="preserve"> </w:t>
      </w:r>
      <w:r w:rsidRPr="00D809C3">
        <w:rPr>
          <w:rFonts w:cstheme="minorHAnsi"/>
        </w:rPr>
        <w:t xml:space="preserve">days. </w:t>
      </w:r>
      <w:r w:rsidR="00E372AF">
        <w:rPr>
          <w:rFonts w:cstheme="minorHAnsi"/>
        </w:rPr>
        <w:t xml:space="preserve">This compares to </w:t>
      </w:r>
      <w:r w:rsidR="00AF4A81" w:rsidRPr="00D809C3">
        <w:rPr>
          <w:rFonts w:cstheme="minorHAnsi"/>
        </w:rPr>
        <w:t xml:space="preserve">62 of the 91 </w:t>
      </w:r>
      <w:r w:rsidR="0005005A">
        <w:rPr>
          <w:rFonts w:cstheme="minorHAnsi"/>
        </w:rPr>
        <w:t>Government</w:t>
      </w:r>
      <w:r w:rsidR="0005005A" w:rsidRPr="00D809C3">
        <w:rPr>
          <w:rFonts w:cstheme="minorHAnsi"/>
        </w:rPr>
        <w:t xml:space="preserve"> </w:t>
      </w:r>
      <w:r w:rsidR="00AF4A81" w:rsidRPr="00D809C3">
        <w:rPr>
          <w:rFonts w:cstheme="minorHAnsi"/>
        </w:rPr>
        <w:t xml:space="preserve">agencies </w:t>
      </w:r>
      <w:r w:rsidR="0005005A">
        <w:rPr>
          <w:rFonts w:cstheme="minorHAnsi"/>
        </w:rPr>
        <w:t>in</w:t>
      </w:r>
      <w:r w:rsidR="00136BEE">
        <w:rPr>
          <w:rFonts w:cstheme="minorHAnsi"/>
        </w:rPr>
        <w:t xml:space="preserve"> </w:t>
      </w:r>
      <w:r w:rsidR="0005005A">
        <w:rPr>
          <w:rFonts w:cstheme="minorHAnsi"/>
        </w:rPr>
        <w:t xml:space="preserve">scope </w:t>
      </w:r>
      <w:r w:rsidR="00136BEE">
        <w:rPr>
          <w:rFonts w:cstheme="minorHAnsi"/>
        </w:rPr>
        <w:t>(</w:t>
      </w:r>
      <w:r w:rsidR="0051418A">
        <w:rPr>
          <w:rFonts w:cstheme="minorHAnsi"/>
        </w:rPr>
        <w:t>or 68</w:t>
      </w:r>
      <w:r w:rsidR="00F42A10">
        <w:rPr>
          <w:rFonts w:cstheme="minorHAnsi"/>
        </w:rPr>
        <w:t> per </w:t>
      </w:r>
      <w:r w:rsidR="0051418A">
        <w:rPr>
          <w:rFonts w:cstheme="minorHAnsi"/>
        </w:rPr>
        <w:t xml:space="preserve">cent) </w:t>
      </w:r>
      <w:r w:rsidR="00B978FA">
        <w:rPr>
          <w:rFonts w:cstheme="minorHAnsi"/>
        </w:rPr>
        <w:t>that paid more than 90 percent of standard invoices by number wi</w:t>
      </w:r>
      <w:r w:rsidR="00602A85">
        <w:rPr>
          <w:rFonts w:cstheme="minorHAnsi"/>
        </w:rPr>
        <w:t>thin 20 days</w:t>
      </w:r>
      <w:r w:rsidR="00FC19A5" w:rsidRPr="00FC19A5">
        <w:rPr>
          <w:rFonts w:cstheme="minorHAnsi"/>
        </w:rPr>
        <w:t xml:space="preserve"> </w:t>
      </w:r>
      <w:r w:rsidR="00FB269A">
        <w:rPr>
          <w:rFonts w:cstheme="minorHAnsi"/>
        </w:rPr>
        <w:t>in</w:t>
      </w:r>
      <w:r w:rsidR="00FC19A5">
        <w:rPr>
          <w:rFonts w:cstheme="minorHAnsi"/>
        </w:rPr>
        <w:t xml:space="preserve"> the 2020</w:t>
      </w:r>
      <w:r w:rsidR="00F42A10">
        <w:rPr>
          <w:rFonts w:cstheme="minorHAnsi"/>
        </w:rPr>
        <w:t>–</w:t>
      </w:r>
      <w:r w:rsidR="00FC19A5">
        <w:rPr>
          <w:rFonts w:cstheme="minorHAnsi"/>
        </w:rPr>
        <w:t>21 financial year</w:t>
      </w:r>
      <w:r w:rsidR="00947A39">
        <w:rPr>
          <w:rFonts w:cstheme="minorHAnsi"/>
        </w:rPr>
        <w:t>.</w:t>
      </w:r>
      <w:r w:rsidR="00AF4A81" w:rsidRPr="00D809C3">
        <w:rPr>
          <w:rFonts w:cstheme="minorHAnsi"/>
        </w:rPr>
        <w:t xml:space="preserve"> </w:t>
      </w:r>
    </w:p>
    <w:p w14:paraId="00761D50" w14:textId="173329A1" w:rsidR="00D81D43" w:rsidRPr="00B24BED" w:rsidRDefault="00D81D43" w:rsidP="00B24BED">
      <w:pPr>
        <w:pStyle w:val="TableMainHeading"/>
      </w:pPr>
      <w:bookmarkStart w:id="50" w:name="_Toc126932703"/>
      <w:bookmarkStart w:id="51" w:name="_Toc131005409"/>
      <w:r w:rsidRPr="00B24BED">
        <w:t>Table 4: Percentage of invoices paid on time by number and value for each Government agency surveyed</w:t>
      </w:r>
      <w:bookmarkEnd w:id="50"/>
      <w:bookmarkEnd w:id="51"/>
    </w:p>
    <w:tbl>
      <w:tblPr>
        <w:tblStyle w:val="TableGrid"/>
        <w:tblW w:w="5000" w:type="pct"/>
        <w:tblLook w:val="04A0" w:firstRow="1" w:lastRow="0" w:firstColumn="1" w:lastColumn="0" w:noHBand="0" w:noVBand="1"/>
        <w:tblCaption w:val="Table"/>
      </w:tblPr>
      <w:tblGrid>
        <w:gridCol w:w="2383"/>
        <w:gridCol w:w="1639"/>
        <w:gridCol w:w="1639"/>
        <w:gridCol w:w="1773"/>
        <w:gridCol w:w="1638"/>
      </w:tblGrid>
      <w:tr w:rsidR="00B24BED" w:rsidRPr="00BD2617" w14:paraId="2BFB7757" w14:textId="77777777" w:rsidTr="00D54E2A">
        <w:trPr>
          <w:cnfStyle w:val="100000000000" w:firstRow="1" w:lastRow="0" w:firstColumn="0" w:lastColumn="0" w:oddVBand="0" w:evenVBand="0" w:oddHBand="0" w:evenHBand="0" w:firstRowFirstColumn="0" w:firstRowLastColumn="0" w:lastRowFirstColumn="0" w:lastRowLastColumn="0"/>
          <w:trHeight w:val="1020"/>
          <w:tblHeader/>
        </w:trPr>
        <w:tc>
          <w:tcPr>
            <w:tcW w:w="1313" w:type="pct"/>
          </w:tcPr>
          <w:p w14:paraId="5BB6341E" w14:textId="353AAB8B" w:rsidR="00BD2617" w:rsidRPr="00B24BED" w:rsidRDefault="00BD2617" w:rsidP="009A345B">
            <w:pPr>
              <w:pStyle w:val="TableColumnHeadingLeft"/>
              <w:rPr>
                <w:b/>
              </w:rPr>
            </w:pPr>
            <w:r w:rsidRPr="00B24BED">
              <w:rPr>
                <w:b/>
              </w:rPr>
              <w:t>Agency</w:t>
            </w:r>
            <w:r w:rsidR="00F42A10" w:rsidRPr="00B24BED">
              <w:rPr>
                <w:b/>
              </w:rPr>
              <w:t xml:space="preserve"> </w:t>
            </w:r>
          </w:p>
        </w:tc>
        <w:tc>
          <w:tcPr>
            <w:tcW w:w="903" w:type="pct"/>
          </w:tcPr>
          <w:p w14:paraId="77FA5490" w14:textId="42D80877" w:rsidR="00BD2617" w:rsidRPr="00BD2617" w:rsidRDefault="00BD2617" w:rsidP="00D54E2A">
            <w:pPr>
              <w:pStyle w:val="TableColumnHeadingRight"/>
            </w:pPr>
            <w:r w:rsidRPr="00BD2617">
              <w:rPr>
                <w:b/>
              </w:rPr>
              <w:t xml:space="preserve">2021–22 Percentage (%) of invoices paid within 20 days </w:t>
            </w:r>
            <w:r w:rsidR="009A345B">
              <w:rPr>
                <w:b/>
              </w:rPr>
              <w:br/>
            </w:r>
            <w:r w:rsidRPr="00BD2617">
              <w:rPr>
                <w:b/>
              </w:rPr>
              <w:t xml:space="preserve">by number </w:t>
            </w:r>
          </w:p>
        </w:tc>
        <w:tc>
          <w:tcPr>
            <w:tcW w:w="903" w:type="pct"/>
          </w:tcPr>
          <w:p w14:paraId="598B0735" w14:textId="0C74610A" w:rsidR="00BD2617" w:rsidRPr="00BD2617" w:rsidRDefault="00BD2617" w:rsidP="00D54E2A">
            <w:pPr>
              <w:pStyle w:val="TableColumnHeadingRight"/>
            </w:pPr>
            <w:r w:rsidRPr="00BD2617">
              <w:rPr>
                <w:b/>
              </w:rPr>
              <w:t xml:space="preserve">2021–22 Percentage (%) of invoices paid within 20 days </w:t>
            </w:r>
            <w:r w:rsidR="009A345B">
              <w:rPr>
                <w:b/>
              </w:rPr>
              <w:br/>
            </w:r>
            <w:r w:rsidRPr="00BD2617">
              <w:rPr>
                <w:b/>
              </w:rPr>
              <w:t xml:space="preserve">by value </w:t>
            </w:r>
          </w:p>
        </w:tc>
        <w:tc>
          <w:tcPr>
            <w:tcW w:w="977" w:type="pct"/>
          </w:tcPr>
          <w:p w14:paraId="45A04F80" w14:textId="565F03CE" w:rsidR="00BD2617" w:rsidRPr="00BD2617" w:rsidRDefault="00BD2617" w:rsidP="00D54E2A">
            <w:pPr>
              <w:pStyle w:val="TableColumnHeadingRight"/>
            </w:pPr>
            <w:r w:rsidRPr="00BD2617">
              <w:rPr>
                <w:b/>
              </w:rPr>
              <w:t>2021–22 Percentage (%) of eInvoices paid within 5</w:t>
            </w:r>
            <w:r w:rsidR="00670ED1">
              <w:rPr>
                <w:b/>
              </w:rPr>
              <w:t> </w:t>
            </w:r>
            <w:r w:rsidRPr="00BD2617">
              <w:rPr>
                <w:b/>
              </w:rPr>
              <w:t>days by</w:t>
            </w:r>
            <w:r w:rsidR="00CE6990">
              <w:rPr>
                <w:b/>
              </w:rPr>
              <w:t> </w:t>
            </w:r>
            <w:r w:rsidRPr="00BD2617">
              <w:rPr>
                <w:b/>
              </w:rPr>
              <w:t xml:space="preserve">number </w:t>
            </w:r>
          </w:p>
        </w:tc>
        <w:tc>
          <w:tcPr>
            <w:tcW w:w="903" w:type="pct"/>
          </w:tcPr>
          <w:p w14:paraId="3216B3C6" w14:textId="25C3D54C" w:rsidR="00BD2617" w:rsidRPr="00BD2617" w:rsidRDefault="00BD2617" w:rsidP="00D54E2A">
            <w:pPr>
              <w:pStyle w:val="TableColumnHeadingRight"/>
            </w:pPr>
            <w:r w:rsidRPr="00BD2617">
              <w:rPr>
                <w:b/>
              </w:rPr>
              <w:t xml:space="preserve">2021–22 Percentage (%) of </w:t>
            </w:r>
            <w:proofErr w:type="spellStart"/>
            <w:r w:rsidRPr="00BD2617">
              <w:rPr>
                <w:b/>
              </w:rPr>
              <w:t>eInvoices</w:t>
            </w:r>
            <w:proofErr w:type="spellEnd"/>
            <w:r w:rsidRPr="00BD2617">
              <w:rPr>
                <w:b/>
              </w:rPr>
              <w:t xml:space="preserve"> paid within 5</w:t>
            </w:r>
            <w:r w:rsidR="00670ED1">
              <w:rPr>
                <w:b/>
              </w:rPr>
              <w:t> </w:t>
            </w:r>
            <w:r w:rsidRPr="00BD2617">
              <w:rPr>
                <w:b/>
              </w:rPr>
              <w:t xml:space="preserve">days </w:t>
            </w:r>
            <w:r w:rsidR="009A345B">
              <w:rPr>
                <w:b/>
              </w:rPr>
              <w:br/>
            </w:r>
            <w:r w:rsidRPr="00BD2617">
              <w:rPr>
                <w:b/>
              </w:rPr>
              <w:t>by</w:t>
            </w:r>
            <w:r w:rsidR="00CE6990">
              <w:rPr>
                <w:b/>
              </w:rPr>
              <w:t> </w:t>
            </w:r>
            <w:r w:rsidRPr="00BD2617">
              <w:rPr>
                <w:b/>
              </w:rPr>
              <w:t xml:space="preserve">value </w:t>
            </w:r>
          </w:p>
        </w:tc>
      </w:tr>
      <w:tr w:rsidR="00670ED1" w14:paraId="13E3011B" w14:textId="77777777" w:rsidTr="00D54E2A">
        <w:tc>
          <w:tcPr>
            <w:tcW w:w="1313" w:type="pct"/>
          </w:tcPr>
          <w:p w14:paraId="2A00548F" w14:textId="2179D4A1" w:rsidR="00BD2617" w:rsidRDefault="00BD2617" w:rsidP="009A345B">
            <w:pPr>
              <w:pStyle w:val="TableTextLeft"/>
            </w:pPr>
            <w:r w:rsidRPr="00C70051">
              <w:t>Administrative Appeals Tribunal</w:t>
            </w:r>
          </w:p>
        </w:tc>
        <w:tc>
          <w:tcPr>
            <w:tcW w:w="903" w:type="pct"/>
          </w:tcPr>
          <w:p w14:paraId="69B8CA4A" w14:textId="59DEE4A1" w:rsidR="00BD2617" w:rsidRDefault="00BD2617" w:rsidP="00B24BED">
            <w:pPr>
              <w:pStyle w:val="TableTextRight"/>
            </w:pPr>
            <w:r w:rsidRPr="00C70051">
              <w:t>75</w:t>
            </w:r>
          </w:p>
        </w:tc>
        <w:tc>
          <w:tcPr>
            <w:tcW w:w="903" w:type="pct"/>
          </w:tcPr>
          <w:p w14:paraId="713558A3" w14:textId="56F5C855" w:rsidR="00BD2617" w:rsidRDefault="00BD2617" w:rsidP="00B24BED">
            <w:pPr>
              <w:pStyle w:val="TableTextRight"/>
            </w:pPr>
            <w:r>
              <w:t>70</w:t>
            </w:r>
          </w:p>
        </w:tc>
        <w:tc>
          <w:tcPr>
            <w:tcW w:w="977" w:type="pct"/>
          </w:tcPr>
          <w:p w14:paraId="26966AAA" w14:textId="3138C853" w:rsidR="00BD2617" w:rsidRDefault="009A36EC" w:rsidP="00B24BED">
            <w:pPr>
              <w:pStyle w:val="TableTextRight"/>
            </w:pPr>
            <w:r>
              <w:rPr>
                <w:szCs w:val="18"/>
              </w:rPr>
              <w:t>N/A</w:t>
            </w:r>
          </w:p>
        </w:tc>
        <w:tc>
          <w:tcPr>
            <w:tcW w:w="903" w:type="pct"/>
          </w:tcPr>
          <w:p w14:paraId="7386C290" w14:textId="61AD21FB" w:rsidR="00BD2617" w:rsidRDefault="00396736" w:rsidP="00B24BED">
            <w:pPr>
              <w:pStyle w:val="TableTextRight"/>
            </w:pPr>
            <w:r w:rsidRPr="002C3544">
              <w:rPr>
                <w:szCs w:val="18"/>
              </w:rPr>
              <w:t>N</w:t>
            </w:r>
            <w:r w:rsidR="002C3544" w:rsidRPr="002C3544">
              <w:rPr>
                <w:szCs w:val="18"/>
              </w:rPr>
              <w:t>/A</w:t>
            </w:r>
          </w:p>
        </w:tc>
      </w:tr>
      <w:tr w:rsidR="00670ED1" w14:paraId="43DC577D" w14:textId="77777777" w:rsidTr="00D54E2A">
        <w:tc>
          <w:tcPr>
            <w:tcW w:w="1313" w:type="pct"/>
          </w:tcPr>
          <w:p w14:paraId="06AE26C7" w14:textId="098ED306" w:rsidR="00BD2617" w:rsidRDefault="00BD2617" w:rsidP="009A345B">
            <w:pPr>
              <w:pStyle w:val="TableTextLeft"/>
            </w:pPr>
            <w:r w:rsidRPr="00C70051">
              <w:t>Aged Care Quality and Safety Commission</w:t>
            </w:r>
          </w:p>
        </w:tc>
        <w:tc>
          <w:tcPr>
            <w:tcW w:w="903" w:type="pct"/>
          </w:tcPr>
          <w:p w14:paraId="62125C16" w14:textId="47423FC2" w:rsidR="00BD2617" w:rsidRDefault="00BD2617" w:rsidP="00B24BED">
            <w:pPr>
              <w:pStyle w:val="TableTextRight"/>
            </w:pPr>
            <w:r w:rsidRPr="00C70051">
              <w:rPr>
                <w:szCs w:val="18"/>
              </w:rPr>
              <w:t>99</w:t>
            </w:r>
          </w:p>
        </w:tc>
        <w:tc>
          <w:tcPr>
            <w:tcW w:w="903" w:type="pct"/>
          </w:tcPr>
          <w:p w14:paraId="75638FE1" w14:textId="5394C041" w:rsidR="00BD2617" w:rsidRDefault="00BD2617" w:rsidP="00B24BED">
            <w:pPr>
              <w:pStyle w:val="TableTextRight"/>
            </w:pPr>
            <w:r w:rsidRPr="00C70051">
              <w:rPr>
                <w:szCs w:val="18"/>
              </w:rPr>
              <w:t>99</w:t>
            </w:r>
          </w:p>
        </w:tc>
        <w:tc>
          <w:tcPr>
            <w:tcW w:w="977" w:type="pct"/>
          </w:tcPr>
          <w:p w14:paraId="0793AD6B" w14:textId="073155E0" w:rsidR="00BD2617" w:rsidRDefault="009A36EC" w:rsidP="00B24BED">
            <w:pPr>
              <w:pStyle w:val="TableTextRight"/>
            </w:pPr>
            <w:r>
              <w:rPr>
                <w:szCs w:val="18"/>
              </w:rPr>
              <w:t>N/A</w:t>
            </w:r>
          </w:p>
        </w:tc>
        <w:tc>
          <w:tcPr>
            <w:tcW w:w="903" w:type="pct"/>
          </w:tcPr>
          <w:p w14:paraId="47708CF4" w14:textId="7FDFFC72" w:rsidR="00BD2617" w:rsidRDefault="00BD2617" w:rsidP="00B24BED">
            <w:pPr>
              <w:pStyle w:val="TableTextRight"/>
            </w:pPr>
            <w:r w:rsidRPr="00C70051">
              <w:rPr>
                <w:szCs w:val="18"/>
              </w:rPr>
              <w:t>N/A</w:t>
            </w:r>
          </w:p>
        </w:tc>
      </w:tr>
      <w:tr w:rsidR="00670ED1" w14:paraId="0E5959A5" w14:textId="77777777" w:rsidTr="00D54E2A">
        <w:tc>
          <w:tcPr>
            <w:tcW w:w="1313" w:type="pct"/>
          </w:tcPr>
          <w:p w14:paraId="771530FF" w14:textId="4EE4976D" w:rsidR="00BD2617" w:rsidRDefault="00BD2617" w:rsidP="009A345B">
            <w:pPr>
              <w:pStyle w:val="TableTextLeft"/>
            </w:pPr>
            <w:r w:rsidRPr="00C70051">
              <w:t>Asbestos Safety and Eradication Agency</w:t>
            </w:r>
          </w:p>
        </w:tc>
        <w:tc>
          <w:tcPr>
            <w:tcW w:w="903" w:type="pct"/>
          </w:tcPr>
          <w:p w14:paraId="030597A2" w14:textId="32920DBC" w:rsidR="00BD2617" w:rsidRDefault="00BD2617" w:rsidP="00B24BED">
            <w:pPr>
              <w:pStyle w:val="TableTextRight"/>
            </w:pPr>
            <w:r w:rsidRPr="00C70051">
              <w:t>100</w:t>
            </w:r>
          </w:p>
        </w:tc>
        <w:tc>
          <w:tcPr>
            <w:tcW w:w="903" w:type="pct"/>
          </w:tcPr>
          <w:p w14:paraId="0896D209" w14:textId="2825B6AC" w:rsidR="00BD2617" w:rsidRDefault="00BD2617" w:rsidP="00B24BED">
            <w:pPr>
              <w:pStyle w:val="TableTextRight"/>
            </w:pPr>
            <w:r w:rsidRPr="00C70051">
              <w:t>100</w:t>
            </w:r>
          </w:p>
        </w:tc>
        <w:tc>
          <w:tcPr>
            <w:tcW w:w="977" w:type="pct"/>
          </w:tcPr>
          <w:p w14:paraId="1D044EE2" w14:textId="49DDA200" w:rsidR="00BD2617" w:rsidRDefault="00BD2617" w:rsidP="00B24BED">
            <w:pPr>
              <w:pStyle w:val="TableTextRight"/>
            </w:pPr>
            <w:r w:rsidRPr="00C70051">
              <w:rPr>
                <w:szCs w:val="18"/>
              </w:rPr>
              <w:t>100</w:t>
            </w:r>
          </w:p>
        </w:tc>
        <w:tc>
          <w:tcPr>
            <w:tcW w:w="903" w:type="pct"/>
          </w:tcPr>
          <w:p w14:paraId="4952F3A2" w14:textId="569CB8B5" w:rsidR="00BD2617" w:rsidRDefault="00BD2617" w:rsidP="00B24BED">
            <w:pPr>
              <w:pStyle w:val="TableTextRight"/>
            </w:pPr>
            <w:r w:rsidRPr="00C70051">
              <w:rPr>
                <w:szCs w:val="18"/>
              </w:rPr>
              <w:t>100</w:t>
            </w:r>
          </w:p>
        </w:tc>
      </w:tr>
      <w:tr w:rsidR="00670ED1" w14:paraId="57DD1A1E" w14:textId="77777777" w:rsidTr="00D54E2A">
        <w:tc>
          <w:tcPr>
            <w:tcW w:w="1313" w:type="pct"/>
          </w:tcPr>
          <w:p w14:paraId="14D0CB30" w14:textId="48615593" w:rsidR="00BD2617" w:rsidRDefault="00BD2617" w:rsidP="009A345B">
            <w:pPr>
              <w:pStyle w:val="TableTextLeft"/>
            </w:pPr>
            <w:r w:rsidRPr="00C70051">
              <w:t>Attorney</w:t>
            </w:r>
            <w:r w:rsidR="00153E34">
              <w:noBreakHyphen/>
            </w:r>
            <w:r w:rsidRPr="00C70051">
              <w:t>General</w:t>
            </w:r>
            <w:r w:rsidR="00153E34">
              <w:t>’</w:t>
            </w:r>
            <w:r w:rsidRPr="00C70051">
              <w:t xml:space="preserve">s Department </w:t>
            </w:r>
          </w:p>
        </w:tc>
        <w:tc>
          <w:tcPr>
            <w:tcW w:w="903" w:type="pct"/>
          </w:tcPr>
          <w:p w14:paraId="290FA56A" w14:textId="67ED5E93" w:rsidR="00BD2617" w:rsidRDefault="00BD2617" w:rsidP="00B24BED">
            <w:pPr>
              <w:pStyle w:val="TableTextRight"/>
            </w:pPr>
            <w:r w:rsidRPr="00C70051">
              <w:rPr>
                <w:szCs w:val="18"/>
              </w:rPr>
              <w:t>93</w:t>
            </w:r>
          </w:p>
        </w:tc>
        <w:tc>
          <w:tcPr>
            <w:tcW w:w="903" w:type="pct"/>
          </w:tcPr>
          <w:p w14:paraId="58499718" w14:textId="185213FB" w:rsidR="00BD2617" w:rsidRDefault="00BD2617" w:rsidP="00B24BED">
            <w:pPr>
              <w:pStyle w:val="TableTextRight"/>
            </w:pPr>
            <w:r w:rsidRPr="00C70051">
              <w:rPr>
                <w:szCs w:val="18"/>
              </w:rPr>
              <w:t>93</w:t>
            </w:r>
          </w:p>
        </w:tc>
        <w:tc>
          <w:tcPr>
            <w:tcW w:w="977" w:type="pct"/>
          </w:tcPr>
          <w:p w14:paraId="1A36476B" w14:textId="1FD55136" w:rsidR="00BD2617" w:rsidRDefault="00BD2617" w:rsidP="00B24BED">
            <w:pPr>
              <w:pStyle w:val="TableTextRight"/>
            </w:pPr>
            <w:r w:rsidRPr="00C70051">
              <w:rPr>
                <w:szCs w:val="18"/>
              </w:rPr>
              <w:t>18</w:t>
            </w:r>
          </w:p>
        </w:tc>
        <w:tc>
          <w:tcPr>
            <w:tcW w:w="903" w:type="pct"/>
          </w:tcPr>
          <w:p w14:paraId="2F5E833A" w14:textId="559953F7" w:rsidR="00BD2617" w:rsidRDefault="00BD2617" w:rsidP="00B24BED">
            <w:pPr>
              <w:pStyle w:val="TableTextRight"/>
            </w:pPr>
            <w:r w:rsidRPr="00C70051">
              <w:rPr>
                <w:szCs w:val="18"/>
              </w:rPr>
              <w:t>32</w:t>
            </w:r>
          </w:p>
        </w:tc>
      </w:tr>
      <w:tr w:rsidR="00670ED1" w14:paraId="359797F0" w14:textId="77777777" w:rsidTr="00D54E2A">
        <w:tc>
          <w:tcPr>
            <w:tcW w:w="1313" w:type="pct"/>
          </w:tcPr>
          <w:p w14:paraId="583FC6C4" w14:textId="76371247" w:rsidR="00BD2617" w:rsidRDefault="00BD2617" w:rsidP="009A345B">
            <w:pPr>
              <w:pStyle w:val="TableTextLeft"/>
            </w:pPr>
            <w:r w:rsidRPr="00C70051">
              <w:t>Australian Building and Construction Commission</w:t>
            </w:r>
          </w:p>
        </w:tc>
        <w:tc>
          <w:tcPr>
            <w:tcW w:w="903" w:type="pct"/>
          </w:tcPr>
          <w:p w14:paraId="21B92D30" w14:textId="39C52F0C" w:rsidR="00BD2617" w:rsidRDefault="00BD2617" w:rsidP="00B24BED">
            <w:pPr>
              <w:pStyle w:val="TableTextRight"/>
            </w:pPr>
            <w:r w:rsidRPr="00C70051">
              <w:t>94</w:t>
            </w:r>
          </w:p>
        </w:tc>
        <w:tc>
          <w:tcPr>
            <w:tcW w:w="903" w:type="pct"/>
          </w:tcPr>
          <w:p w14:paraId="58075810" w14:textId="5CAA9F92" w:rsidR="00BD2617" w:rsidRDefault="00BD2617" w:rsidP="00B24BED">
            <w:pPr>
              <w:pStyle w:val="TableTextRight"/>
            </w:pPr>
            <w:r w:rsidRPr="00C70051">
              <w:t>94</w:t>
            </w:r>
          </w:p>
        </w:tc>
        <w:tc>
          <w:tcPr>
            <w:tcW w:w="977" w:type="pct"/>
          </w:tcPr>
          <w:p w14:paraId="2CCA3E8C" w14:textId="2F17B553" w:rsidR="00BD2617" w:rsidRDefault="009A36EC" w:rsidP="00B24BED">
            <w:pPr>
              <w:pStyle w:val="TableTextRight"/>
            </w:pPr>
            <w:r>
              <w:rPr>
                <w:szCs w:val="18"/>
              </w:rPr>
              <w:t>N/A</w:t>
            </w:r>
          </w:p>
        </w:tc>
        <w:tc>
          <w:tcPr>
            <w:tcW w:w="903" w:type="pct"/>
          </w:tcPr>
          <w:p w14:paraId="65CE4771" w14:textId="7C96264E" w:rsidR="00BD2617" w:rsidRDefault="00BD2617" w:rsidP="00B24BED">
            <w:pPr>
              <w:pStyle w:val="TableTextRight"/>
            </w:pPr>
            <w:r w:rsidRPr="00C70051">
              <w:rPr>
                <w:szCs w:val="18"/>
              </w:rPr>
              <w:t>N/A</w:t>
            </w:r>
          </w:p>
        </w:tc>
      </w:tr>
      <w:tr w:rsidR="00670ED1" w14:paraId="0B9E41DB" w14:textId="77777777" w:rsidTr="00D54E2A">
        <w:tc>
          <w:tcPr>
            <w:tcW w:w="1313" w:type="pct"/>
          </w:tcPr>
          <w:p w14:paraId="13AC9C85" w14:textId="27488C41" w:rsidR="00BD2617" w:rsidRDefault="00BD2617" w:rsidP="009A345B">
            <w:pPr>
              <w:pStyle w:val="TableTextLeft"/>
            </w:pPr>
            <w:r w:rsidRPr="00C70051">
              <w:t>Australian Bureau of Statistics</w:t>
            </w:r>
          </w:p>
        </w:tc>
        <w:tc>
          <w:tcPr>
            <w:tcW w:w="903" w:type="pct"/>
          </w:tcPr>
          <w:p w14:paraId="5FFD54FC" w14:textId="25394E4A" w:rsidR="00BD2617" w:rsidRDefault="00BD2617" w:rsidP="00B24BED">
            <w:pPr>
              <w:pStyle w:val="TableTextRight"/>
            </w:pPr>
            <w:r w:rsidRPr="009E657A">
              <w:rPr>
                <w:szCs w:val="18"/>
              </w:rPr>
              <w:t>97</w:t>
            </w:r>
          </w:p>
        </w:tc>
        <w:tc>
          <w:tcPr>
            <w:tcW w:w="903" w:type="pct"/>
          </w:tcPr>
          <w:p w14:paraId="14B22A01" w14:textId="227D3AF6" w:rsidR="00BD2617" w:rsidRDefault="00BD2617" w:rsidP="00B24BED">
            <w:pPr>
              <w:pStyle w:val="TableTextRight"/>
            </w:pPr>
            <w:r w:rsidRPr="00C70051">
              <w:rPr>
                <w:szCs w:val="18"/>
              </w:rPr>
              <w:t>80</w:t>
            </w:r>
          </w:p>
        </w:tc>
        <w:tc>
          <w:tcPr>
            <w:tcW w:w="977" w:type="pct"/>
          </w:tcPr>
          <w:p w14:paraId="120235C4" w14:textId="3D477B2F" w:rsidR="00BD2617" w:rsidRDefault="006424FC" w:rsidP="00B24BED">
            <w:pPr>
              <w:pStyle w:val="TableTextRight"/>
            </w:pPr>
            <w:r>
              <w:rPr>
                <w:szCs w:val="18"/>
              </w:rPr>
              <w:t>86</w:t>
            </w:r>
          </w:p>
        </w:tc>
        <w:tc>
          <w:tcPr>
            <w:tcW w:w="903" w:type="pct"/>
          </w:tcPr>
          <w:p w14:paraId="79D56C07" w14:textId="6412A0AF" w:rsidR="00BD2617" w:rsidRDefault="006B15A5" w:rsidP="00B24BED">
            <w:pPr>
              <w:pStyle w:val="TableTextRight"/>
            </w:pPr>
            <w:r>
              <w:rPr>
                <w:szCs w:val="18"/>
              </w:rPr>
              <w:t>91</w:t>
            </w:r>
          </w:p>
        </w:tc>
      </w:tr>
      <w:tr w:rsidR="00670ED1" w14:paraId="758F8797" w14:textId="77777777" w:rsidTr="00D54E2A">
        <w:tc>
          <w:tcPr>
            <w:tcW w:w="1313" w:type="pct"/>
          </w:tcPr>
          <w:p w14:paraId="51512508" w14:textId="528DF561" w:rsidR="00BD2617" w:rsidRDefault="00BD2617" w:rsidP="009A345B">
            <w:pPr>
              <w:pStyle w:val="TableTextLeft"/>
            </w:pPr>
            <w:r w:rsidRPr="00C70051">
              <w:t>Australian Centre for International Agricultural Research (ACIAR)</w:t>
            </w:r>
          </w:p>
        </w:tc>
        <w:tc>
          <w:tcPr>
            <w:tcW w:w="903" w:type="pct"/>
          </w:tcPr>
          <w:p w14:paraId="31067FC5" w14:textId="2B0B65CD" w:rsidR="00BD2617" w:rsidRDefault="00BD2617" w:rsidP="00B24BED">
            <w:pPr>
              <w:pStyle w:val="TableTextRight"/>
            </w:pPr>
            <w:r w:rsidRPr="00C70051">
              <w:t>94</w:t>
            </w:r>
          </w:p>
        </w:tc>
        <w:tc>
          <w:tcPr>
            <w:tcW w:w="903" w:type="pct"/>
          </w:tcPr>
          <w:p w14:paraId="61607691" w14:textId="6F4D41F6" w:rsidR="00BD2617" w:rsidRDefault="00BD2617" w:rsidP="00B24BED">
            <w:pPr>
              <w:pStyle w:val="TableTextRight"/>
            </w:pPr>
            <w:r w:rsidRPr="00C70051">
              <w:t>96</w:t>
            </w:r>
          </w:p>
        </w:tc>
        <w:tc>
          <w:tcPr>
            <w:tcW w:w="977" w:type="pct"/>
          </w:tcPr>
          <w:p w14:paraId="4CB175E3" w14:textId="75F286A9" w:rsidR="00BD2617" w:rsidRDefault="00FE24C4" w:rsidP="00B24BED">
            <w:pPr>
              <w:pStyle w:val="TableTextRight"/>
            </w:pPr>
            <w:r>
              <w:rPr>
                <w:szCs w:val="18"/>
              </w:rPr>
              <w:t>N/A</w:t>
            </w:r>
          </w:p>
        </w:tc>
        <w:tc>
          <w:tcPr>
            <w:tcW w:w="903" w:type="pct"/>
          </w:tcPr>
          <w:p w14:paraId="4F045DCE" w14:textId="4BED04A7" w:rsidR="00BD2617" w:rsidRDefault="00BD2617" w:rsidP="00B24BED">
            <w:pPr>
              <w:pStyle w:val="TableTextRight"/>
            </w:pPr>
            <w:r w:rsidRPr="00C70051">
              <w:rPr>
                <w:szCs w:val="18"/>
              </w:rPr>
              <w:t>N/A</w:t>
            </w:r>
          </w:p>
        </w:tc>
      </w:tr>
      <w:tr w:rsidR="00670ED1" w14:paraId="7D1C65B5" w14:textId="77777777" w:rsidTr="00D54E2A">
        <w:tc>
          <w:tcPr>
            <w:tcW w:w="1313" w:type="pct"/>
          </w:tcPr>
          <w:p w14:paraId="1E51B14E" w14:textId="5ED86883" w:rsidR="00BD2617" w:rsidRDefault="00BD2617" w:rsidP="009A345B">
            <w:pPr>
              <w:pStyle w:val="TableTextLeft"/>
            </w:pPr>
            <w:r w:rsidRPr="00C70051">
              <w:t>Australian Commission for Law Enforcement Integrity (ACLEI)</w:t>
            </w:r>
          </w:p>
        </w:tc>
        <w:tc>
          <w:tcPr>
            <w:tcW w:w="903" w:type="pct"/>
          </w:tcPr>
          <w:p w14:paraId="3F0BC425" w14:textId="2F2E655F" w:rsidR="00BD2617" w:rsidRDefault="00BD2617" w:rsidP="00B24BED">
            <w:pPr>
              <w:pStyle w:val="TableTextRight"/>
            </w:pPr>
            <w:r w:rsidRPr="00C70051">
              <w:t>91</w:t>
            </w:r>
          </w:p>
        </w:tc>
        <w:tc>
          <w:tcPr>
            <w:tcW w:w="903" w:type="pct"/>
          </w:tcPr>
          <w:p w14:paraId="41708BDE" w14:textId="21F3CA0D" w:rsidR="00BD2617" w:rsidRDefault="00BD2617" w:rsidP="00B24BED">
            <w:pPr>
              <w:pStyle w:val="TableTextRight"/>
            </w:pPr>
            <w:r w:rsidRPr="00C70051">
              <w:t>95</w:t>
            </w:r>
          </w:p>
        </w:tc>
        <w:tc>
          <w:tcPr>
            <w:tcW w:w="977" w:type="pct"/>
          </w:tcPr>
          <w:p w14:paraId="15B2A7FB" w14:textId="12CF9E0B" w:rsidR="00BD2617" w:rsidRDefault="00C505F8" w:rsidP="00B24BED">
            <w:pPr>
              <w:pStyle w:val="TableTextRight"/>
            </w:pPr>
            <w:r>
              <w:rPr>
                <w:szCs w:val="18"/>
              </w:rPr>
              <w:t>N/A</w:t>
            </w:r>
          </w:p>
        </w:tc>
        <w:tc>
          <w:tcPr>
            <w:tcW w:w="903" w:type="pct"/>
          </w:tcPr>
          <w:p w14:paraId="01E303FB" w14:textId="78766899" w:rsidR="00BD2617" w:rsidRDefault="00BD2617" w:rsidP="00B24BED">
            <w:pPr>
              <w:pStyle w:val="TableTextRight"/>
            </w:pPr>
            <w:r w:rsidRPr="00C70051">
              <w:rPr>
                <w:szCs w:val="18"/>
              </w:rPr>
              <w:t>N/A</w:t>
            </w:r>
          </w:p>
        </w:tc>
      </w:tr>
      <w:tr w:rsidR="00670ED1" w14:paraId="5493FC2B" w14:textId="77777777" w:rsidTr="00D54E2A">
        <w:tc>
          <w:tcPr>
            <w:tcW w:w="1313" w:type="pct"/>
          </w:tcPr>
          <w:p w14:paraId="4576D36E" w14:textId="7197B7A8" w:rsidR="00BD2617" w:rsidRDefault="00BD2617" w:rsidP="009A345B">
            <w:pPr>
              <w:pStyle w:val="TableTextLeft"/>
            </w:pPr>
            <w:r w:rsidRPr="00C70051">
              <w:t>Australian Communications and Media Authority (ACMA)</w:t>
            </w:r>
          </w:p>
        </w:tc>
        <w:tc>
          <w:tcPr>
            <w:tcW w:w="903" w:type="pct"/>
          </w:tcPr>
          <w:p w14:paraId="7A9A0B7C" w14:textId="646D8E75" w:rsidR="00BD2617" w:rsidRDefault="00BD2617" w:rsidP="00B24BED">
            <w:pPr>
              <w:pStyle w:val="TableTextRight"/>
            </w:pPr>
            <w:r w:rsidRPr="00C70051">
              <w:rPr>
                <w:szCs w:val="18"/>
              </w:rPr>
              <w:t>98</w:t>
            </w:r>
          </w:p>
        </w:tc>
        <w:tc>
          <w:tcPr>
            <w:tcW w:w="903" w:type="pct"/>
          </w:tcPr>
          <w:p w14:paraId="02B77CCD" w14:textId="59FF0408" w:rsidR="00BD2617" w:rsidRDefault="00BD2617" w:rsidP="00B24BED">
            <w:pPr>
              <w:pStyle w:val="TableTextRight"/>
            </w:pPr>
            <w:r w:rsidRPr="00C70051">
              <w:rPr>
                <w:szCs w:val="18"/>
              </w:rPr>
              <w:t>97</w:t>
            </w:r>
          </w:p>
        </w:tc>
        <w:tc>
          <w:tcPr>
            <w:tcW w:w="977" w:type="pct"/>
          </w:tcPr>
          <w:p w14:paraId="543B758D" w14:textId="274A8578" w:rsidR="00BD2617" w:rsidRDefault="00BD2617" w:rsidP="00B24BED">
            <w:pPr>
              <w:pStyle w:val="TableTextRight"/>
            </w:pPr>
            <w:r w:rsidRPr="00C70051">
              <w:rPr>
                <w:szCs w:val="18"/>
              </w:rPr>
              <w:t>100</w:t>
            </w:r>
          </w:p>
        </w:tc>
        <w:tc>
          <w:tcPr>
            <w:tcW w:w="903" w:type="pct"/>
          </w:tcPr>
          <w:p w14:paraId="08197B18" w14:textId="70EF08E9" w:rsidR="00BD2617" w:rsidRDefault="00BD2617" w:rsidP="00B24BED">
            <w:pPr>
              <w:pStyle w:val="TableTextRight"/>
            </w:pPr>
            <w:r w:rsidRPr="00C70051">
              <w:rPr>
                <w:szCs w:val="18"/>
              </w:rPr>
              <w:t>100</w:t>
            </w:r>
          </w:p>
        </w:tc>
      </w:tr>
      <w:tr w:rsidR="00670ED1" w14:paraId="31AD5C07" w14:textId="77777777" w:rsidTr="00D54E2A">
        <w:tc>
          <w:tcPr>
            <w:tcW w:w="1313" w:type="pct"/>
          </w:tcPr>
          <w:p w14:paraId="4C3DDD27" w14:textId="1D35B4F4" w:rsidR="00BD2617" w:rsidRDefault="00BD2617" w:rsidP="009A345B">
            <w:pPr>
              <w:pStyle w:val="TableTextLeft"/>
            </w:pPr>
            <w:r w:rsidRPr="00C70051">
              <w:t>Australian Competition and Consumer Commission (ACCC)</w:t>
            </w:r>
          </w:p>
        </w:tc>
        <w:tc>
          <w:tcPr>
            <w:tcW w:w="903" w:type="pct"/>
          </w:tcPr>
          <w:p w14:paraId="7C5A11B5" w14:textId="306BB41B" w:rsidR="00BD2617" w:rsidRDefault="00BD2617" w:rsidP="00B24BED">
            <w:pPr>
              <w:pStyle w:val="TableTextRight"/>
            </w:pPr>
            <w:r w:rsidRPr="00C70051">
              <w:t>88</w:t>
            </w:r>
          </w:p>
        </w:tc>
        <w:tc>
          <w:tcPr>
            <w:tcW w:w="903" w:type="pct"/>
          </w:tcPr>
          <w:p w14:paraId="26664637" w14:textId="2EE943E1" w:rsidR="00BD2617" w:rsidRDefault="00BD2617" w:rsidP="00B24BED">
            <w:pPr>
              <w:pStyle w:val="TableTextRight"/>
            </w:pPr>
            <w:r w:rsidRPr="00C70051">
              <w:t>87</w:t>
            </w:r>
          </w:p>
        </w:tc>
        <w:tc>
          <w:tcPr>
            <w:tcW w:w="977" w:type="pct"/>
          </w:tcPr>
          <w:p w14:paraId="3CA07064" w14:textId="11865CEF" w:rsidR="00BD2617" w:rsidRDefault="00C505F8" w:rsidP="00B24BED">
            <w:pPr>
              <w:pStyle w:val="TableTextRight"/>
            </w:pPr>
            <w:r>
              <w:rPr>
                <w:szCs w:val="18"/>
              </w:rPr>
              <w:t>N/A</w:t>
            </w:r>
          </w:p>
        </w:tc>
        <w:tc>
          <w:tcPr>
            <w:tcW w:w="903" w:type="pct"/>
          </w:tcPr>
          <w:p w14:paraId="72047FF2" w14:textId="6C0B14A0" w:rsidR="00BD2617" w:rsidRDefault="00BD2617" w:rsidP="00B24BED">
            <w:pPr>
              <w:pStyle w:val="TableTextRight"/>
            </w:pPr>
            <w:r w:rsidRPr="00C70051">
              <w:rPr>
                <w:szCs w:val="18"/>
              </w:rPr>
              <w:t>N/A</w:t>
            </w:r>
          </w:p>
        </w:tc>
      </w:tr>
      <w:tr w:rsidR="00670ED1" w14:paraId="0487A63A" w14:textId="77777777" w:rsidTr="00D54E2A">
        <w:tc>
          <w:tcPr>
            <w:tcW w:w="1313" w:type="pct"/>
          </w:tcPr>
          <w:p w14:paraId="62B04EC9" w14:textId="00233C3C" w:rsidR="00BD2617" w:rsidRDefault="00BD2617" w:rsidP="009A345B">
            <w:pPr>
              <w:pStyle w:val="TableTextLeft"/>
            </w:pPr>
            <w:r w:rsidRPr="00C70051">
              <w:t>Australian Crime Commission (Australian Criminal Intelligence Commission)</w:t>
            </w:r>
          </w:p>
        </w:tc>
        <w:tc>
          <w:tcPr>
            <w:tcW w:w="903" w:type="pct"/>
          </w:tcPr>
          <w:p w14:paraId="20CB517C" w14:textId="62CA71E2" w:rsidR="00BD2617" w:rsidRDefault="00BD2617" w:rsidP="00B24BED">
            <w:pPr>
              <w:pStyle w:val="TableTextRight"/>
            </w:pPr>
            <w:r w:rsidRPr="00C70051">
              <w:rPr>
                <w:szCs w:val="18"/>
              </w:rPr>
              <w:t>82</w:t>
            </w:r>
          </w:p>
        </w:tc>
        <w:tc>
          <w:tcPr>
            <w:tcW w:w="903" w:type="pct"/>
          </w:tcPr>
          <w:p w14:paraId="3301BB12" w14:textId="0B7FCBC4" w:rsidR="00BD2617" w:rsidRDefault="00BD2617" w:rsidP="00B24BED">
            <w:pPr>
              <w:pStyle w:val="TableTextRight"/>
            </w:pPr>
            <w:r w:rsidRPr="00C70051">
              <w:rPr>
                <w:szCs w:val="18"/>
              </w:rPr>
              <w:t>62</w:t>
            </w:r>
          </w:p>
        </w:tc>
        <w:tc>
          <w:tcPr>
            <w:tcW w:w="977" w:type="pct"/>
          </w:tcPr>
          <w:p w14:paraId="64725DC8" w14:textId="44D03B3F" w:rsidR="00BD2617" w:rsidRDefault="00914E6A" w:rsidP="00B24BED">
            <w:pPr>
              <w:pStyle w:val="TableTextRight"/>
            </w:pPr>
            <w:r>
              <w:rPr>
                <w:szCs w:val="18"/>
              </w:rPr>
              <w:t>N/A</w:t>
            </w:r>
          </w:p>
        </w:tc>
        <w:tc>
          <w:tcPr>
            <w:tcW w:w="903" w:type="pct"/>
          </w:tcPr>
          <w:p w14:paraId="12849CFF" w14:textId="0B8AA652" w:rsidR="00BD2617" w:rsidRDefault="00BD2617" w:rsidP="00B24BED">
            <w:pPr>
              <w:pStyle w:val="TableTextRight"/>
            </w:pPr>
            <w:r w:rsidRPr="00C70051">
              <w:rPr>
                <w:szCs w:val="18"/>
              </w:rPr>
              <w:t>N/A</w:t>
            </w:r>
          </w:p>
        </w:tc>
      </w:tr>
      <w:tr w:rsidR="00670ED1" w14:paraId="3E86A25C" w14:textId="77777777" w:rsidTr="00D54E2A">
        <w:tc>
          <w:tcPr>
            <w:tcW w:w="1313" w:type="pct"/>
          </w:tcPr>
          <w:p w14:paraId="6300AC66" w14:textId="611B49C4" w:rsidR="00BD2617" w:rsidRDefault="00BD2617" w:rsidP="009A345B">
            <w:pPr>
              <w:pStyle w:val="TableTextLeft"/>
            </w:pPr>
            <w:r w:rsidRPr="00C70051">
              <w:t>Australian Electoral Commission</w:t>
            </w:r>
          </w:p>
        </w:tc>
        <w:tc>
          <w:tcPr>
            <w:tcW w:w="903" w:type="pct"/>
          </w:tcPr>
          <w:p w14:paraId="2BE2C123" w14:textId="6EE9C3F5" w:rsidR="00BD2617" w:rsidRDefault="00BD2617" w:rsidP="00B24BED">
            <w:pPr>
              <w:pStyle w:val="TableTextRight"/>
            </w:pPr>
            <w:r w:rsidRPr="00C70051">
              <w:t>95</w:t>
            </w:r>
          </w:p>
        </w:tc>
        <w:tc>
          <w:tcPr>
            <w:tcW w:w="903" w:type="pct"/>
          </w:tcPr>
          <w:p w14:paraId="35182DC3" w14:textId="190F9374" w:rsidR="00BD2617" w:rsidRDefault="00BD2617" w:rsidP="00B24BED">
            <w:pPr>
              <w:pStyle w:val="TableTextRight"/>
            </w:pPr>
            <w:r w:rsidRPr="00C70051">
              <w:t>95</w:t>
            </w:r>
          </w:p>
        </w:tc>
        <w:tc>
          <w:tcPr>
            <w:tcW w:w="977" w:type="pct"/>
          </w:tcPr>
          <w:p w14:paraId="7BA067B4" w14:textId="24021A10" w:rsidR="00BD2617" w:rsidRDefault="00FE70FB" w:rsidP="00B24BED">
            <w:pPr>
              <w:pStyle w:val="TableTextRight"/>
            </w:pPr>
            <w:r>
              <w:rPr>
                <w:szCs w:val="18"/>
              </w:rPr>
              <w:t>N/A</w:t>
            </w:r>
          </w:p>
        </w:tc>
        <w:tc>
          <w:tcPr>
            <w:tcW w:w="903" w:type="pct"/>
          </w:tcPr>
          <w:p w14:paraId="53B76ABC" w14:textId="48D729B4" w:rsidR="00BD2617" w:rsidRDefault="00BD2617" w:rsidP="00B24BED">
            <w:pPr>
              <w:pStyle w:val="TableTextRight"/>
            </w:pPr>
            <w:r w:rsidRPr="00C70051">
              <w:rPr>
                <w:szCs w:val="18"/>
              </w:rPr>
              <w:t>N/A</w:t>
            </w:r>
          </w:p>
        </w:tc>
      </w:tr>
      <w:tr w:rsidR="00670ED1" w14:paraId="7A2079B8" w14:textId="77777777" w:rsidTr="00D54E2A">
        <w:tc>
          <w:tcPr>
            <w:tcW w:w="1313" w:type="pct"/>
          </w:tcPr>
          <w:p w14:paraId="4E0F8B1F" w14:textId="0167C2B9" w:rsidR="00BD2617" w:rsidRDefault="00BD2617" w:rsidP="009A345B">
            <w:pPr>
              <w:pStyle w:val="TableTextLeft"/>
            </w:pPr>
            <w:r w:rsidRPr="00C70051">
              <w:t xml:space="preserve">Australian Federal Police </w:t>
            </w:r>
          </w:p>
        </w:tc>
        <w:tc>
          <w:tcPr>
            <w:tcW w:w="903" w:type="pct"/>
          </w:tcPr>
          <w:p w14:paraId="45590D16" w14:textId="04A5EF01" w:rsidR="00BD2617" w:rsidRDefault="00BD2617" w:rsidP="00B24BED">
            <w:pPr>
              <w:pStyle w:val="TableTextRight"/>
            </w:pPr>
            <w:r w:rsidRPr="00C70051">
              <w:rPr>
                <w:szCs w:val="18"/>
              </w:rPr>
              <w:t>96</w:t>
            </w:r>
          </w:p>
        </w:tc>
        <w:tc>
          <w:tcPr>
            <w:tcW w:w="903" w:type="pct"/>
          </w:tcPr>
          <w:p w14:paraId="0457E342" w14:textId="6CCEAAE4" w:rsidR="00BD2617" w:rsidRDefault="00BD2617" w:rsidP="00B24BED">
            <w:pPr>
              <w:pStyle w:val="TableTextRight"/>
            </w:pPr>
            <w:r w:rsidRPr="00C70051">
              <w:rPr>
                <w:szCs w:val="18"/>
              </w:rPr>
              <w:t>94</w:t>
            </w:r>
          </w:p>
        </w:tc>
        <w:tc>
          <w:tcPr>
            <w:tcW w:w="977" w:type="pct"/>
          </w:tcPr>
          <w:p w14:paraId="3AB5FB6C" w14:textId="4F7ED4A3" w:rsidR="00BD2617" w:rsidRDefault="00BD2617" w:rsidP="00B24BED">
            <w:pPr>
              <w:pStyle w:val="TableTextRight"/>
            </w:pPr>
            <w:r w:rsidRPr="00C70051">
              <w:rPr>
                <w:szCs w:val="18"/>
              </w:rPr>
              <w:t>100</w:t>
            </w:r>
          </w:p>
        </w:tc>
        <w:tc>
          <w:tcPr>
            <w:tcW w:w="903" w:type="pct"/>
          </w:tcPr>
          <w:p w14:paraId="727B2AA9" w14:textId="4FB049B4" w:rsidR="00BD2617" w:rsidRDefault="00BD2617" w:rsidP="00B24BED">
            <w:pPr>
              <w:pStyle w:val="TableTextRight"/>
            </w:pPr>
            <w:r w:rsidRPr="00C70051">
              <w:rPr>
                <w:szCs w:val="18"/>
              </w:rPr>
              <w:t>100</w:t>
            </w:r>
          </w:p>
        </w:tc>
      </w:tr>
      <w:tr w:rsidR="00670ED1" w14:paraId="2BEAD502" w14:textId="77777777" w:rsidTr="00D54E2A">
        <w:tc>
          <w:tcPr>
            <w:tcW w:w="1313" w:type="pct"/>
          </w:tcPr>
          <w:p w14:paraId="4AEA9070" w14:textId="39086C16" w:rsidR="00BD2617" w:rsidRDefault="00BD2617" w:rsidP="009A345B">
            <w:pPr>
              <w:pStyle w:val="TableTextLeft"/>
            </w:pPr>
            <w:r w:rsidRPr="00C70051">
              <w:t>Australian Financial Security Authority</w:t>
            </w:r>
          </w:p>
        </w:tc>
        <w:tc>
          <w:tcPr>
            <w:tcW w:w="903" w:type="pct"/>
          </w:tcPr>
          <w:p w14:paraId="23B3F7A0" w14:textId="13275ED6" w:rsidR="00BD2617" w:rsidRDefault="00BD2617" w:rsidP="00B24BED">
            <w:pPr>
              <w:pStyle w:val="TableTextRight"/>
            </w:pPr>
            <w:r w:rsidRPr="00C70051">
              <w:t>96</w:t>
            </w:r>
          </w:p>
        </w:tc>
        <w:tc>
          <w:tcPr>
            <w:tcW w:w="903" w:type="pct"/>
          </w:tcPr>
          <w:p w14:paraId="4A2F6DEC" w14:textId="686DFF39" w:rsidR="00BD2617" w:rsidRDefault="00BD2617" w:rsidP="00B24BED">
            <w:pPr>
              <w:pStyle w:val="TableTextRight"/>
            </w:pPr>
            <w:r w:rsidRPr="00C70051">
              <w:t>96</w:t>
            </w:r>
          </w:p>
        </w:tc>
        <w:tc>
          <w:tcPr>
            <w:tcW w:w="977" w:type="pct"/>
          </w:tcPr>
          <w:p w14:paraId="1898C470" w14:textId="12077BFB" w:rsidR="00BD2617" w:rsidRDefault="00FE70FB" w:rsidP="00B24BED">
            <w:pPr>
              <w:pStyle w:val="TableTextRight"/>
            </w:pPr>
            <w:r>
              <w:rPr>
                <w:szCs w:val="18"/>
              </w:rPr>
              <w:t>N/A</w:t>
            </w:r>
          </w:p>
        </w:tc>
        <w:tc>
          <w:tcPr>
            <w:tcW w:w="903" w:type="pct"/>
          </w:tcPr>
          <w:p w14:paraId="37B4BE07" w14:textId="150304A7" w:rsidR="00BD2617" w:rsidRDefault="00BD2617" w:rsidP="00B24BED">
            <w:pPr>
              <w:pStyle w:val="TableTextRight"/>
            </w:pPr>
            <w:r w:rsidRPr="00C70051">
              <w:rPr>
                <w:szCs w:val="18"/>
              </w:rPr>
              <w:t>N/A</w:t>
            </w:r>
          </w:p>
        </w:tc>
      </w:tr>
      <w:tr w:rsidR="00670ED1" w14:paraId="3EBFDDD4" w14:textId="77777777" w:rsidTr="00D54E2A">
        <w:tc>
          <w:tcPr>
            <w:tcW w:w="1313" w:type="pct"/>
          </w:tcPr>
          <w:p w14:paraId="6AFA659F" w14:textId="2FD639D5" w:rsidR="00BD2617" w:rsidRDefault="00BD2617" w:rsidP="009A345B">
            <w:pPr>
              <w:pStyle w:val="TableTextLeft"/>
            </w:pPr>
            <w:r w:rsidRPr="00C70051">
              <w:t>Australian Fisheries Management Authority</w:t>
            </w:r>
          </w:p>
        </w:tc>
        <w:tc>
          <w:tcPr>
            <w:tcW w:w="903" w:type="pct"/>
          </w:tcPr>
          <w:p w14:paraId="231971EF" w14:textId="48757EF0" w:rsidR="00BD2617" w:rsidRDefault="00BD2617" w:rsidP="00B24BED">
            <w:pPr>
              <w:pStyle w:val="TableTextRight"/>
            </w:pPr>
            <w:r w:rsidRPr="00C70051">
              <w:rPr>
                <w:szCs w:val="18"/>
              </w:rPr>
              <w:t>100</w:t>
            </w:r>
          </w:p>
        </w:tc>
        <w:tc>
          <w:tcPr>
            <w:tcW w:w="903" w:type="pct"/>
          </w:tcPr>
          <w:p w14:paraId="2234AA54" w14:textId="5E939FDE" w:rsidR="00BD2617" w:rsidRDefault="00BD2617" w:rsidP="00B24BED">
            <w:pPr>
              <w:pStyle w:val="TableTextRight"/>
            </w:pPr>
            <w:r w:rsidRPr="00C70051">
              <w:rPr>
                <w:szCs w:val="18"/>
              </w:rPr>
              <w:t>100</w:t>
            </w:r>
          </w:p>
        </w:tc>
        <w:tc>
          <w:tcPr>
            <w:tcW w:w="977" w:type="pct"/>
          </w:tcPr>
          <w:p w14:paraId="59771D73" w14:textId="33173758" w:rsidR="00BD2617" w:rsidRDefault="00FE70FB" w:rsidP="00B24BED">
            <w:pPr>
              <w:pStyle w:val="TableTextRight"/>
            </w:pPr>
            <w:r>
              <w:rPr>
                <w:szCs w:val="18"/>
              </w:rPr>
              <w:t>N/A</w:t>
            </w:r>
          </w:p>
        </w:tc>
        <w:tc>
          <w:tcPr>
            <w:tcW w:w="903" w:type="pct"/>
          </w:tcPr>
          <w:p w14:paraId="49B1A2D0" w14:textId="33E41B78" w:rsidR="00BD2617" w:rsidRDefault="00BD2617" w:rsidP="00B24BED">
            <w:pPr>
              <w:pStyle w:val="TableTextRight"/>
            </w:pPr>
            <w:r w:rsidRPr="00C70051">
              <w:rPr>
                <w:szCs w:val="18"/>
              </w:rPr>
              <w:t>N/A</w:t>
            </w:r>
          </w:p>
        </w:tc>
      </w:tr>
      <w:tr w:rsidR="00670ED1" w14:paraId="3DE2C610" w14:textId="77777777" w:rsidTr="00D54E2A">
        <w:tc>
          <w:tcPr>
            <w:tcW w:w="1313" w:type="pct"/>
          </w:tcPr>
          <w:p w14:paraId="61ADE6CE" w14:textId="50FE9EAA" w:rsidR="00BD2617" w:rsidRDefault="00BD2617" w:rsidP="009A345B">
            <w:pPr>
              <w:pStyle w:val="TableTextLeft"/>
            </w:pPr>
            <w:r w:rsidRPr="00C70051">
              <w:t>Australian Institute of Criminology</w:t>
            </w:r>
          </w:p>
        </w:tc>
        <w:tc>
          <w:tcPr>
            <w:tcW w:w="903" w:type="pct"/>
          </w:tcPr>
          <w:p w14:paraId="677C500A" w14:textId="5319B1F4" w:rsidR="00BD2617" w:rsidRDefault="00BD2617" w:rsidP="00B24BED">
            <w:pPr>
              <w:pStyle w:val="TableTextRight"/>
            </w:pPr>
            <w:r w:rsidRPr="00C70051">
              <w:t>59</w:t>
            </w:r>
          </w:p>
        </w:tc>
        <w:tc>
          <w:tcPr>
            <w:tcW w:w="903" w:type="pct"/>
          </w:tcPr>
          <w:p w14:paraId="27177C5B" w14:textId="1BCCC173" w:rsidR="00BD2617" w:rsidRDefault="00BD2617" w:rsidP="00B24BED">
            <w:pPr>
              <w:pStyle w:val="TableTextRight"/>
            </w:pPr>
            <w:r w:rsidRPr="00C70051">
              <w:t>63</w:t>
            </w:r>
          </w:p>
        </w:tc>
        <w:tc>
          <w:tcPr>
            <w:tcW w:w="977" w:type="pct"/>
          </w:tcPr>
          <w:p w14:paraId="4B0A780A" w14:textId="323410EE" w:rsidR="00BD2617" w:rsidRDefault="00FE70FB" w:rsidP="00B24BED">
            <w:pPr>
              <w:pStyle w:val="TableTextRight"/>
            </w:pPr>
            <w:r>
              <w:rPr>
                <w:szCs w:val="18"/>
              </w:rPr>
              <w:t>N/A</w:t>
            </w:r>
          </w:p>
        </w:tc>
        <w:tc>
          <w:tcPr>
            <w:tcW w:w="903" w:type="pct"/>
          </w:tcPr>
          <w:p w14:paraId="6BABEE53" w14:textId="63606EE8" w:rsidR="00BD2617" w:rsidRDefault="00BD2617" w:rsidP="00B24BED">
            <w:pPr>
              <w:pStyle w:val="TableTextRight"/>
            </w:pPr>
            <w:r w:rsidRPr="00C70051">
              <w:rPr>
                <w:szCs w:val="18"/>
              </w:rPr>
              <w:t>N/A</w:t>
            </w:r>
          </w:p>
        </w:tc>
      </w:tr>
      <w:tr w:rsidR="00670ED1" w14:paraId="79C35E73" w14:textId="77777777" w:rsidTr="00D54E2A">
        <w:tc>
          <w:tcPr>
            <w:tcW w:w="1313" w:type="pct"/>
          </w:tcPr>
          <w:p w14:paraId="3FD51A78" w14:textId="058B93F9" w:rsidR="00BD2617" w:rsidRDefault="00BD2617" w:rsidP="009A345B">
            <w:pPr>
              <w:pStyle w:val="TableTextLeft"/>
            </w:pPr>
            <w:r w:rsidRPr="00C70051">
              <w:t>Australian Institute of Family Studies (AIFS)</w:t>
            </w:r>
          </w:p>
        </w:tc>
        <w:tc>
          <w:tcPr>
            <w:tcW w:w="903" w:type="pct"/>
          </w:tcPr>
          <w:p w14:paraId="6D655272" w14:textId="56B87B31" w:rsidR="00BD2617" w:rsidRDefault="00BD2617" w:rsidP="00B24BED">
            <w:pPr>
              <w:pStyle w:val="TableTextRight"/>
            </w:pPr>
            <w:r w:rsidRPr="00C70051">
              <w:t>100</w:t>
            </w:r>
          </w:p>
        </w:tc>
        <w:tc>
          <w:tcPr>
            <w:tcW w:w="903" w:type="pct"/>
          </w:tcPr>
          <w:p w14:paraId="6318CBFC" w14:textId="7E5AE86E" w:rsidR="00BD2617" w:rsidRDefault="00BD2617" w:rsidP="00B24BED">
            <w:pPr>
              <w:pStyle w:val="TableTextRight"/>
            </w:pPr>
            <w:r w:rsidRPr="00C70051">
              <w:t>100</w:t>
            </w:r>
          </w:p>
        </w:tc>
        <w:tc>
          <w:tcPr>
            <w:tcW w:w="977" w:type="pct"/>
          </w:tcPr>
          <w:p w14:paraId="49566407" w14:textId="38A8CE0D" w:rsidR="00BD2617" w:rsidRDefault="00FE70FB" w:rsidP="00B24BED">
            <w:pPr>
              <w:pStyle w:val="TableTextRight"/>
            </w:pPr>
            <w:r>
              <w:rPr>
                <w:szCs w:val="18"/>
              </w:rPr>
              <w:t>N/A</w:t>
            </w:r>
          </w:p>
        </w:tc>
        <w:tc>
          <w:tcPr>
            <w:tcW w:w="903" w:type="pct"/>
          </w:tcPr>
          <w:p w14:paraId="12484673" w14:textId="3DFF066B" w:rsidR="00BD2617" w:rsidRDefault="00BD2617" w:rsidP="00B24BED">
            <w:pPr>
              <w:pStyle w:val="TableTextRight"/>
            </w:pPr>
            <w:r w:rsidRPr="00C70051">
              <w:rPr>
                <w:szCs w:val="18"/>
              </w:rPr>
              <w:t>N/A</w:t>
            </w:r>
          </w:p>
        </w:tc>
      </w:tr>
      <w:tr w:rsidR="00670ED1" w14:paraId="490184AC" w14:textId="77777777" w:rsidTr="00D54E2A">
        <w:tc>
          <w:tcPr>
            <w:tcW w:w="1313" w:type="pct"/>
          </w:tcPr>
          <w:p w14:paraId="570B5637" w14:textId="7BA613A1" w:rsidR="00BD2617" w:rsidRDefault="00BD2617" w:rsidP="009A345B">
            <w:pPr>
              <w:pStyle w:val="TableTextLeft"/>
            </w:pPr>
            <w:r w:rsidRPr="00C70051">
              <w:t>Australian National Audit Office</w:t>
            </w:r>
          </w:p>
        </w:tc>
        <w:tc>
          <w:tcPr>
            <w:tcW w:w="903" w:type="pct"/>
          </w:tcPr>
          <w:p w14:paraId="68F7604F" w14:textId="2D4C0E36" w:rsidR="00BD2617" w:rsidRDefault="00BD2617" w:rsidP="00B24BED">
            <w:pPr>
              <w:pStyle w:val="TableTextRight"/>
            </w:pPr>
            <w:r w:rsidRPr="00C70051">
              <w:rPr>
                <w:szCs w:val="18"/>
              </w:rPr>
              <w:t>96</w:t>
            </w:r>
          </w:p>
        </w:tc>
        <w:tc>
          <w:tcPr>
            <w:tcW w:w="903" w:type="pct"/>
          </w:tcPr>
          <w:p w14:paraId="753698DA" w14:textId="59C9F7DF" w:rsidR="00BD2617" w:rsidRDefault="00BD2617" w:rsidP="00B24BED">
            <w:pPr>
              <w:pStyle w:val="TableTextRight"/>
            </w:pPr>
            <w:r w:rsidRPr="00C70051">
              <w:rPr>
                <w:szCs w:val="18"/>
              </w:rPr>
              <w:t>95</w:t>
            </w:r>
          </w:p>
        </w:tc>
        <w:tc>
          <w:tcPr>
            <w:tcW w:w="977" w:type="pct"/>
          </w:tcPr>
          <w:p w14:paraId="4A92E173" w14:textId="34370014" w:rsidR="00BD2617" w:rsidRDefault="00BD2617" w:rsidP="00B24BED">
            <w:pPr>
              <w:pStyle w:val="TableTextRight"/>
            </w:pPr>
            <w:r w:rsidRPr="00C70051">
              <w:rPr>
                <w:szCs w:val="18"/>
              </w:rPr>
              <w:t>100</w:t>
            </w:r>
          </w:p>
        </w:tc>
        <w:tc>
          <w:tcPr>
            <w:tcW w:w="903" w:type="pct"/>
          </w:tcPr>
          <w:p w14:paraId="7FDFD529" w14:textId="3D0ABF7B" w:rsidR="00BD2617" w:rsidRDefault="00BD2617" w:rsidP="00B24BED">
            <w:pPr>
              <w:pStyle w:val="TableTextRight"/>
            </w:pPr>
            <w:r w:rsidRPr="00C70051">
              <w:rPr>
                <w:szCs w:val="18"/>
              </w:rPr>
              <w:t>100</w:t>
            </w:r>
          </w:p>
        </w:tc>
      </w:tr>
      <w:tr w:rsidR="00670ED1" w14:paraId="7E602DC0" w14:textId="77777777" w:rsidTr="00D54E2A">
        <w:tc>
          <w:tcPr>
            <w:tcW w:w="1313" w:type="pct"/>
          </w:tcPr>
          <w:p w14:paraId="5A4BA136" w14:textId="60609EB5" w:rsidR="00BD2617" w:rsidRDefault="00BD2617" w:rsidP="009A345B">
            <w:pPr>
              <w:pStyle w:val="TableTextLeft"/>
            </w:pPr>
            <w:r w:rsidRPr="00C70051">
              <w:t>Australian Office of Financial Management (AOFM)</w:t>
            </w:r>
          </w:p>
        </w:tc>
        <w:tc>
          <w:tcPr>
            <w:tcW w:w="903" w:type="pct"/>
          </w:tcPr>
          <w:p w14:paraId="22746F95" w14:textId="75B57B77" w:rsidR="00BD2617" w:rsidRDefault="00BD2617" w:rsidP="00B24BED">
            <w:pPr>
              <w:pStyle w:val="TableTextRight"/>
            </w:pPr>
            <w:r w:rsidRPr="00C70051">
              <w:rPr>
                <w:szCs w:val="18"/>
              </w:rPr>
              <w:t>89</w:t>
            </w:r>
          </w:p>
        </w:tc>
        <w:tc>
          <w:tcPr>
            <w:tcW w:w="903" w:type="pct"/>
          </w:tcPr>
          <w:p w14:paraId="67E96E3C" w14:textId="4E4E6BC8" w:rsidR="00BD2617" w:rsidRDefault="00BD2617" w:rsidP="00B24BED">
            <w:pPr>
              <w:pStyle w:val="TableTextRight"/>
            </w:pPr>
            <w:r w:rsidRPr="00C70051">
              <w:rPr>
                <w:szCs w:val="18"/>
              </w:rPr>
              <w:t>96</w:t>
            </w:r>
          </w:p>
        </w:tc>
        <w:tc>
          <w:tcPr>
            <w:tcW w:w="977" w:type="pct"/>
          </w:tcPr>
          <w:p w14:paraId="0136DC1A" w14:textId="3189B2B2" w:rsidR="00BD2617" w:rsidRDefault="00BD2617" w:rsidP="00B24BED">
            <w:pPr>
              <w:pStyle w:val="TableTextRight"/>
            </w:pPr>
            <w:r w:rsidRPr="00C70051">
              <w:rPr>
                <w:szCs w:val="18"/>
              </w:rPr>
              <w:t>100</w:t>
            </w:r>
          </w:p>
        </w:tc>
        <w:tc>
          <w:tcPr>
            <w:tcW w:w="903" w:type="pct"/>
          </w:tcPr>
          <w:p w14:paraId="30A67EEE" w14:textId="0A9924BE" w:rsidR="00BD2617" w:rsidRDefault="00BD2617" w:rsidP="00B24BED">
            <w:pPr>
              <w:pStyle w:val="TableTextRight"/>
            </w:pPr>
            <w:r w:rsidRPr="00C70051">
              <w:rPr>
                <w:szCs w:val="18"/>
              </w:rPr>
              <w:t>100</w:t>
            </w:r>
          </w:p>
        </w:tc>
      </w:tr>
      <w:tr w:rsidR="00670ED1" w14:paraId="7AFA401B" w14:textId="77777777" w:rsidTr="00D54E2A">
        <w:tc>
          <w:tcPr>
            <w:tcW w:w="1313" w:type="pct"/>
          </w:tcPr>
          <w:p w14:paraId="4AC81A6B" w14:textId="24A426D9" w:rsidR="00BD2617" w:rsidRDefault="00BD2617" w:rsidP="009A345B">
            <w:pPr>
              <w:pStyle w:val="TableTextLeft"/>
            </w:pPr>
            <w:r w:rsidRPr="00C70051">
              <w:t xml:space="preserve">Australian </w:t>
            </w:r>
            <w:r w:rsidR="000D72F8" w:rsidRPr="00C70051">
              <w:t>Prudential</w:t>
            </w:r>
            <w:r w:rsidRPr="00C70051">
              <w:t xml:space="preserve"> Regulation Authority (APRA)</w:t>
            </w:r>
          </w:p>
        </w:tc>
        <w:tc>
          <w:tcPr>
            <w:tcW w:w="903" w:type="pct"/>
          </w:tcPr>
          <w:p w14:paraId="79AA603F" w14:textId="54FAEE53" w:rsidR="00BD2617" w:rsidRDefault="00BD2617" w:rsidP="00B24BED">
            <w:pPr>
              <w:pStyle w:val="TableTextRight"/>
            </w:pPr>
            <w:r w:rsidRPr="00C70051">
              <w:t>100</w:t>
            </w:r>
          </w:p>
        </w:tc>
        <w:tc>
          <w:tcPr>
            <w:tcW w:w="903" w:type="pct"/>
          </w:tcPr>
          <w:p w14:paraId="183B47E0" w14:textId="3995C649" w:rsidR="00BD2617" w:rsidRDefault="00BD2617" w:rsidP="00B24BED">
            <w:pPr>
              <w:pStyle w:val="TableTextRight"/>
            </w:pPr>
            <w:r w:rsidRPr="00C70051">
              <w:t>100</w:t>
            </w:r>
          </w:p>
        </w:tc>
        <w:tc>
          <w:tcPr>
            <w:tcW w:w="977" w:type="pct"/>
          </w:tcPr>
          <w:p w14:paraId="354120EF" w14:textId="41E4BA15" w:rsidR="00BD2617" w:rsidRDefault="00BD2617" w:rsidP="00B24BED">
            <w:pPr>
              <w:pStyle w:val="TableTextRight"/>
            </w:pPr>
            <w:r w:rsidRPr="00C70051">
              <w:rPr>
                <w:szCs w:val="18"/>
              </w:rPr>
              <w:t>100</w:t>
            </w:r>
          </w:p>
        </w:tc>
        <w:tc>
          <w:tcPr>
            <w:tcW w:w="903" w:type="pct"/>
          </w:tcPr>
          <w:p w14:paraId="1E995262" w14:textId="7EC3901E" w:rsidR="00BD2617" w:rsidRDefault="00BD2617" w:rsidP="00B24BED">
            <w:pPr>
              <w:pStyle w:val="TableTextRight"/>
            </w:pPr>
            <w:r w:rsidRPr="00C70051">
              <w:rPr>
                <w:szCs w:val="18"/>
              </w:rPr>
              <w:t>100</w:t>
            </w:r>
          </w:p>
        </w:tc>
      </w:tr>
      <w:tr w:rsidR="00670ED1" w14:paraId="7028A6A2" w14:textId="77777777" w:rsidTr="00D54E2A">
        <w:tc>
          <w:tcPr>
            <w:tcW w:w="1313" w:type="pct"/>
          </w:tcPr>
          <w:p w14:paraId="6D7A4916" w14:textId="2F7CBC98" w:rsidR="00BD2617" w:rsidRDefault="00BD2617" w:rsidP="009A345B">
            <w:pPr>
              <w:pStyle w:val="TableTextLeft"/>
            </w:pPr>
            <w:r w:rsidRPr="00C70051">
              <w:t>Australian Public Service Commission</w:t>
            </w:r>
          </w:p>
        </w:tc>
        <w:tc>
          <w:tcPr>
            <w:tcW w:w="903" w:type="pct"/>
          </w:tcPr>
          <w:p w14:paraId="0752C5CF" w14:textId="5F5BEA0F" w:rsidR="00BD2617" w:rsidRDefault="00BD2617" w:rsidP="00B24BED">
            <w:pPr>
              <w:pStyle w:val="TableTextRight"/>
            </w:pPr>
            <w:r w:rsidRPr="00C70051">
              <w:t>90</w:t>
            </w:r>
          </w:p>
        </w:tc>
        <w:tc>
          <w:tcPr>
            <w:tcW w:w="903" w:type="pct"/>
          </w:tcPr>
          <w:p w14:paraId="0D7B5092" w14:textId="642F2F4B" w:rsidR="00BD2617" w:rsidRDefault="00BD2617" w:rsidP="00B24BED">
            <w:pPr>
              <w:pStyle w:val="TableTextRight"/>
            </w:pPr>
            <w:r w:rsidRPr="00C70051">
              <w:t>85</w:t>
            </w:r>
          </w:p>
        </w:tc>
        <w:tc>
          <w:tcPr>
            <w:tcW w:w="977" w:type="pct"/>
          </w:tcPr>
          <w:p w14:paraId="4ECEB79F" w14:textId="2B2BD26C" w:rsidR="00BD2617" w:rsidRDefault="00FE70FB" w:rsidP="00B24BED">
            <w:pPr>
              <w:pStyle w:val="TableTextRight"/>
            </w:pPr>
            <w:r>
              <w:rPr>
                <w:szCs w:val="18"/>
              </w:rPr>
              <w:t>N/A</w:t>
            </w:r>
          </w:p>
        </w:tc>
        <w:tc>
          <w:tcPr>
            <w:tcW w:w="903" w:type="pct"/>
          </w:tcPr>
          <w:p w14:paraId="6B672CA5" w14:textId="179D0CC9" w:rsidR="00BD2617" w:rsidRDefault="00BD2617" w:rsidP="00B24BED">
            <w:pPr>
              <w:pStyle w:val="TableTextRight"/>
            </w:pPr>
            <w:r w:rsidRPr="00C70051">
              <w:rPr>
                <w:szCs w:val="18"/>
              </w:rPr>
              <w:t>N/A</w:t>
            </w:r>
          </w:p>
        </w:tc>
      </w:tr>
      <w:tr w:rsidR="00670ED1" w14:paraId="51DD5941" w14:textId="77777777" w:rsidTr="00D54E2A">
        <w:tc>
          <w:tcPr>
            <w:tcW w:w="1313" w:type="pct"/>
          </w:tcPr>
          <w:p w14:paraId="628D75E2" w14:textId="7F003A2F" w:rsidR="00BD2617" w:rsidRDefault="00BD2617" w:rsidP="009A345B">
            <w:pPr>
              <w:pStyle w:val="TableTextLeft"/>
            </w:pPr>
            <w:r w:rsidRPr="00C70051">
              <w:t>Australian Radiation Protection and Nuclear Safety Agency (ARPANSA)</w:t>
            </w:r>
          </w:p>
        </w:tc>
        <w:tc>
          <w:tcPr>
            <w:tcW w:w="903" w:type="pct"/>
          </w:tcPr>
          <w:p w14:paraId="67F041A1" w14:textId="46C50723" w:rsidR="00BD2617" w:rsidRDefault="00BD2617" w:rsidP="00B24BED">
            <w:pPr>
              <w:pStyle w:val="TableTextRight"/>
            </w:pPr>
            <w:r w:rsidRPr="00C70051">
              <w:rPr>
                <w:szCs w:val="18"/>
              </w:rPr>
              <w:t>97</w:t>
            </w:r>
          </w:p>
        </w:tc>
        <w:tc>
          <w:tcPr>
            <w:tcW w:w="903" w:type="pct"/>
          </w:tcPr>
          <w:p w14:paraId="0712B83A" w14:textId="0FAF94B9" w:rsidR="00BD2617" w:rsidRDefault="00BD2617" w:rsidP="00B24BED">
            <w:pPr>
              <w:pStyle w:val="TableTextRight"/>
            </w:pPr>
            <w:r w:rsidRPr="00C70051">
              <w:rPr>
                <w:szCs w:val="18"/>
              </w:rPr>
              <w:t>95</w:t>
            </w:r>
          </w:p>
        </w:tc>
        <w:tc>
          <w:tcPr>
            <w:tcW w:w="977" w:type="pct"/>
          </w:tcPr>
          <w:p w14:paraId="74322A69" w14:textId="661BC05D" w:rsidR="00BD2617" w:rsidRDefault="00FE70FB" w:rsidP="00B24BED">
            <w:pPr>
              <w:pStyle w:val="TableTextRight"/>
            </w:pPr>
            <w:r>
              <w:rPr>
                <w:szCs w:val="18"/>
              </w:rPr>
              <w:t>N/A</w:t>
            </w:r>
          </w:p>
        </w:tc>
        <w:tc>
          <w:tcPr>
            <w:tcW w:w="903" w:type="pct"/>
          </w:tcPr>
          <w:p w14:paraId="4391F7D4" w14:textId="54F7E704" w:rsidR="00BD2617" w:rsidRDefault="00BD2617" w:rsidP="00B24BED">
            <w:pPr>
              <w:pStyle w:val="TableTextRight"/>
            </w:pPr>
            <w:r w:rsidRPr="00C70051">
              <w:rPr>
                <w:szCs w:val="18"/>
              </w:rPr>
              <w:t>N/A</w:t>
            </w:r>
          </w:p>
        </w:tc>
      </w:tr>
      <w:tr w:rsidR="00670ED1" w14:paraId="5D93BD65" w14:textId="77777777" w:rsidTr="00D54E2A">
        <w:tc>
          <w:tcPr>
            <w:tcW w:w="1313" w:type="pct"/>
          </w:tcPr>
          <w:p w14:paraId="33B5F944" w14:textId="4566553A" w:rsidR="00BD2617" w:rsidRDefault="00BD2617" w:rsidP="009A345B">
            <w:pPr>
              <w:pStyle w:val="TableTextLeft"/>
            </w:pPr>
            <w:r w:rsidRPr="00C70051">
              <w:t>Australian Research Council</w:t>
            </w:r>
          </w:p>
        </w:tc>
        <w:tc>
          <w:tcPr>
            <w:tcW w:w="903" w:type="pct"/>
          </w:tcPr>
          <w:p w14:paraId="672879B2" w14:textId="01E06492" w:rsidR="00BD2617" w:rsidRDefault="00BD2617" w:rsidP="00B24BED">
            <w:pPr>
              <w:pStyle w:val="TableTextRight"/>
            </w:pPr>
            <w:r w:rsidRPr="00C70051">
              <w:rPr>
                <w:szCs w:val="18"/>
              </w:rPr>
              <w:t>99</w:t>
            </w:r>
          </w:p>
        </w:tc>
        <w:tc>
          <w:tcPr>
            <w:tcW w:w="903" w:type="pct"/>
          </w:tcPr>
          <w:p w14:paraId="16D19342" w14:textId="187EE7FE" w:rsidR="00BD2617" w:rsidRDefault="00BD2617" w:rsidP="00B24BED">
            <w:pPr>
              <w:pStyle w:val="TableTextRight"/>
            </w:pPr>
            <w:r w:rsidRPr="00C70051">
              <w:rPr>
                <w:szCs w:val="18"/>
              </w:rPr>
              <w:t>100</w:t>
            </w:r>
          </w:p>
        </w:tc>
        <w:tc>
          <w:tcPr>
            <w:tcW w:w="977" w:type="pct"/>
          </w:tcPr>
          <w:p w14:paraId="010B0C8B" w14:textId="51AF9FF4" w:rsidR="00BD2617" w:rsidRDefault="00FE70FB" w:rsidP="00B24BED">
            <w:pPr>
              <w:pStyle w:val="TableTextRight"/>
            </w:pPr>
            <w:r>
              <w:rPr>
                <w:szCs w:val="18"/>
              </w:rPr>
              <w:t>N/A</w:t>
            </w:r>
          </w:p>
        </w:tc>
        <w:tc>
          <w:tcPr>
            <w:tcW w:w="903" w:type="pct"/>
          </w:tcPr>
          <w:p w14:paraId="1FECE180" w14:textId="4DB1C248" w:rsidR="00BD2617" w:rsidRDefault="00BD2617" w:rsidP="00B24BED">
            <w:pPr>
              <w:pStyle w:val="TableTextRight"/>
            </w:pPr>
            <w:r w:rsidRPr="00C70051">
              <w:rPr>
                <w:szCs w:val="18"/>
              </w:rPr>
              <w:t>N/A</w:t>
            </w:r>
          </w:p>
        </w:tc>
      </w:tr>
      <w:tr w:rsidR="00670ED1" w14:paraId="29341FD3" w14:textId="77777777" w:rsidTr="00D54E2A">
        <w:tc>
          <w:tcPr>
            <w:tcW w:w="1313" w:type="pct"/>
          </w:tcPr>
          <w:p w14:paraId="07D5C57E" w14:textId="37772D0F" w:rsidR="00BD2617" w:rsidRDefault="00BD2617" w:rsidP="009A345B">
            <w:pPr>
              <w:pStyle w:val="TableTextLeft"/>
            </w:pPr>
            <w:r w:rsidRPr="00C70051">
              <w:t>Australian Securities and Investments Commission (ASIC)</w:t>
            </w:r>
          </w:p>
        </w:tc>
        <w:tc>
          <w:tcPr>
            <w:tcW w:w="903" w:type="pct"/>
          </w:tcPr>
          <w:p w14:paraId="2F061CE2" w14:textId="72085750" w:rsidR="00BD2617" w:rsidRDefault="00BD2617" w:rsidP="00B24BED">
            <w:pPr>
              <w:pStyle w:val="TableTextRight"/>
            </w:pPr>
            <w:r w:rsidRPr="00C70051">
              <w:rPr>
                <w:szCs w:val="18"/>
              </w:rPr>
              <w:t>100</w:t>
            </w:r>
          </w:p>
        </w:tc>
        <w:tc>
          <w:tcPr>
            <w:tcW w:w="903" w:type="pct"/>
          </w:tcPr>
          <w:p w14:paraId="188EE717" w14:textId="450A811D" w:rsidR="00BD2617" w:rsidRDefault="00BD2617" w:rsidP="00B24BED">
            <w:pPr>
              <w:pStyle w:val="TableTextRight"/>
            </w:pPr>
            <w:r w:rsidRPr="00C70051">
              <w:rPr>
                <w:szCs w:val="18"/>
              </w:rPr>
              <w:t>100</w:t>
            </w:r>
          </w:p>
        </w:tc>
        <w:tc>
          <w:tcPr>
            <w:tcW w:w="977" w:type="pct"/>
          </w:tcPr>
          <w:p w14:paraId="3D4420CB" w14:textId="3F08027D" w:rsidR="00BD2617" w:rsidRDefault="00BD2617" w:rsidP="00B24BED">
            <w:pPr>
              <w:pStyle w:val="TableTextRight"/>
            </w:pPr>
            <w:r w:rsidRPr="00C70051">
              <w:rPr>
                <w:szCs w:val="18"/>
              </w:rPr>
              <w:t>91</w:t>
            </w:r>
          </w:p>
        </w:tc>
        <w:tc>
          <w:tcPr>
            <w:tcW w:w="903" w:type="pct"/>
          </w:tcPr>
          <w:p w14:paraId="79AAD180" w14:textId="31543DCB" w:rsidR="00BD2617" w:rsidRDefault="00BD2617" w:rsidP="00B24BED">
            <w:pPr>
              <w:pStyle w:val="TableTextRight"/>
            </w:pPr>
            <w:r w:rsidRPr="00C70051">
              <w:rPr>
                <w:szCs w:val="18"/>
              </w:rPr>
              <w:t>91</w:t>
            </w:r>
          </w:p>
        </w:tc>
      </w:tr>
      <w:tr w:rsidR="00670ED1" w14:paraId="5F31CB21" w14:textId="77777777" w:rsidTr="00D54E2A">
        <w:tc>
          <w:tcPr>
            <w:tcW w:w="1313" w:type="pct"/>
          </w:tcPr>
          <w:p w14:paraId="4FB5B319" w14:textId="07D35A0F" w:rsidR="00BD2617" w:rsidRDefault="00BD2617" w:rsidP="009A345B">
            <w:pPr>
              <w:pStyle w:val="TableTextLeft"/>
            </w:pPr>
            <w:r w:rsidRPr="00C70051">
              <w:t>Australian Security Intelligence Organisation</w:t>
            </w:r>
          </w:p>
        </w:tc>
        <w:tc>
          <w:tcPr>
            <w:tcW w:w="903" w:type="pct"/>
          </w:tcPr>
          <w:p w14:paraId="08A4B0EF" w14:textId="5232A599" w:rsidR="00BD2617" w:rsidRDefault="00BD2617" w:rsidP="00B24BED">
            <w:pPr>
              <w:pStyle w:val="TableTextRight"/>
            </w:pPr>
            <w:r w:rsidRPr="00C70051">
              <w:t>75</w:t>
            </w:r>
          </w:p>
        </w:tc>
        <w:tc>
          <w:tcPr>
            <w:tcW w:w="903" w:type="pct"/>
          </w:tcPr>
          <w:p w14:paraId="3124750D" w14:textId="7C07C89A" w:rsidR="00BD2617" w:rsidRDefault="00BD2617" w:rsidP="00B24BED">
            <w:pPr>
              <w:pStyle w:val="TableTextRight"/>
            </w:pPr>
            <w:r w:rsidRPr="00C70051">
              <w:t>70</w:t>
            </w:r>
          </w:p>
        </w:tc>
        <w:tc>
          <w:tcPr>
            <w:tcW w:w="977" w:type="pct"/>
          </w:tcPr>
          <w:p w14:paraId="5EAB3E5A" w14:textId="59982A42" w:rsidR="00BD2617" w:rsidRDefault="00FE70FB" w:rsidP="00B24BED">
            <w:pPr>
              <w:pStyle w:val="TableTextRight"/>
            </w:pPr>
            <w:r>
              <w:rPr>
                <w:szCs w:val="18"/>
              </w:rPr>
              <w:t>N/A</w:t>
            </w:r>
          </w:p>
        </w:tc>
        <w:tc>
          <w:tcPr>
            <w:tcW w:w="903" w:type="pct"/>
          </w:tcPr>
          <w:p w14:paraId="6A83D93C" w14:textId="2B096E35" w:rsidR="00BD2617" w:rsidRDefault="00BD2617" w:rsidP="00B24BED">
            <w:pPr>
              <w:pStyle w:val="TableTextRight"/>
            </w:pPr>
            <w:r w:rsidRPr="00C70051">
              <w:rPr>
                <w:szCs w:val="18"/>
              </w:rPr>
              <w:t>N/A</w:t>
            </w:r>
          </w:p>
        </w:tc>
      </w:tr>
      <w:tr w:rsidR="00670ED1" w14:paraId="169DD308" w14:textId="77777777" w:rsidTr="00D54E2A">
        <w:tc>
          <w:tcPr>
            <w:tcW w:w="1313" w:type="pct"/>
          </w:tcPr>
          <w:p w14:paraId="144AA641" w14:textId="23D5A140" w:rsidR="00BD2617" w:rsidRDefault="00BD2617" w:rsidP="009A345B">
            <w:pPr>
              <w:pStyle w:val="TableTextLeft"/>
            </w:pPr>
            <w:r w:rsidRPr="00C70051">
              <w:t>Australian Signals Directorate</w:t>
            </w:r>
          </w:p>
        </w:tc>
        <w:tc>
          <w:tcPr>
            <w:tcW w:w="903" w:type="pct"/>
          </w:tcPr>
          <w:p w14:paraId="0ED8C95C" w14:textId="5597DE5A" w:rsidR="00BD2617" w:rsidRDefault="00BD2617" w:rsidP="00B24BED">
            <w:pPr>
              <w:pStyle w:val="TableTextRight"/>
            </w:pPr>
            <w:r w:rsidRPr="00C70051">
              <w:rPr>
                <w:szCs w:val="18"/>
              </w:rPr>
              <w:t>82</w:t>
            </w:r>
          </w:p>
        </w:tc>
        <w:tc>
          <w:tcPr>
            <w:tcW w:w="903" w:type="pct"/>
          </w:tcPr>
          <w:p w14:paraId="2DB17550" w14:textId="3E3A1530" w:rsidR="00BD2617" w:rsidRDefault="00BD2617" w:rsidP="00B24BED">
            <w:pPr>
              <w:pStyle w:val="TableTextRight"/>
            </w:pPr>
            <w:r w:rsidRPr="00C70051">
              <w:rPr>
                <w:szCs w:val="18"/>
              </w:rPr>
              <w:t>84</w:t>
            </w:r>
          </w:p>
        </w:tc>
        <w:tc>
          <w:tcPr>
            <w:tcW w:w="977" w:type="pct"/>
          </w:tcPr>
          <w:p w14:paraId="0BEE3BF5" w14:textId="554B9AE4" w:rsidR="00BD2617" w:rsidRDefault="00BD2617" w:rsidP="00B24BED">
            <w:pPr>
              <w:pStyle w:val="TableTextRight"/>
            </w:pPr>
            <w:r w:rsidRPr="00C70051">
              <w:rPr>
                <w:szCs w:val="18"/>
              </w:rPr>
              <w:t>100</w:t>
            </w:r>
          </w:p>
        </w:tc>
        <w:tc>
          <w:tcPr>
            <w:tcW w:w="903" w:type="pct"/>
          </w:tcPr>
          <w:p w14:paraId="4D7EDAD4" w14:textId="50820F78" w:rsidR="00BD2617" w:rsidRDefault="00BD2617" w:rsidP="00B24BED">
            <w:pPr>
              <w:pStyle w:val="TableTextRight"/>
            </w:pPr>
            <w:r w:rsidRPr="00C70051">
              <w:rPr>
                <w:szCs w:val="18"/>
              </w:rPr>
              <w:t>100</w:t>
            </w:r>
          </w:p>
        </w:tc>
      </w:tr>
      <w:tr w:rsidR="00670ED1" w14:paraId="120F221D" w14:textId="77777777" w:rsidTr="00D54E2A">
        <w:tc>
          <w:tcPr>
            <w:tcW w:w="1313" w:type="pct"/>
          </w:tcPr>
          <w:p w14:paraId="3FB58F7B" w14:textId="289844FD" w:rsidR="00BD2617" w:rsidRDefault="00BD2617" w:rsidP="009A345B">
            <w:pPr>
              <w:pStyle w:val="TableTextLeft"/>
            </w:pPr>
            <w:r w:rsidRPr="00C70051">
              <w:t>Australian Skills Quality Authority (National Vocational Education and Training Regulator)</w:t>
            </w:r>
          </w:p>
        </w:tc>
        <w:tc>
          <w:tcPr>
            <w:tcW w:w="903" w:type="pct"/>
          </w:tcPr>
          <w:p w14:paraId="334E36A7" w14:textId="749B61F1" w:rsidR="00BD2617" w:rsidRDefault="00BD2617" w:rsidP="00B24BED">
            <w:pPr>
              <w:pStyle w:val="TableTextRight"/>
            </w:pPr>
            <w:r w:rsidRPr="00C70051">
              <w:t>93</w:t>
            </w:r>
          </w:p>
        </w:tc>
        <w:tc>
          <w:tcPr>
            <w:tcW w:w="903" w:type="pct"/>
          </w:tcPr>
          <w:p w14:paraId="5A937DC2" w14:textId="0809580F" w:rsidR="00BD2617" w:rsidRDefault="00BD2617" w:rsidP="00B24BED">
            <w:pPr>
              <w:pStyle w:val="TableTextRight"/>
            </w:pPr>
            <w:r w:rsidRPr="00C70051">
              <w:t>88</w:t>
            </w:r>
          </w:p>
        </w:tc>
        <w:tc>
          <w:tcPr>
            <w:tcW w:w="977" w:type="pct"/>
          </w:tcPr>
          <w:p w14:paraId="674C5431" w14:textId="3D99FEEB" w:rsidR="00BD2617" w:rsidRDefault="00FE70FB" w:rsidP="00B24BED">
            <w:pPr>
              <w:pStyle w:val="TableTextRight"/>
            </w:pPr>
            <w:r>
              <w:rPr>
                <w:szCs w:val="18"/>
              </w:rPr>
              <w:t>N/A</w:t>
            </w:r>
          </w:p>
        </w:tc>
        <w:tc>
          <w:tcPr>
            <w:tcW w:w="903" w:type="pct"/>
          </w:tcPr>
          <w:p w14:paraId="7646B809" w14:textId="06484738" w:rsidR="00BD2617" w:rsidRDefault="00BD2617" w:rsidP="00B24BED">
            <w:pPr>
              <w:pStyle w:val="TableTextRight"/>
            </w:pPr>
            <w:r w:rsidRPr="00C70051">
              <w:rPr>
                <w:szCs w:val="18"/>
              </w:rPr>
              <w:t>N/A</w:t>
            </w:r>
          </w:p>
        </w:tc>
      </w:tr>
      <w:tr w:rsidR="00670ED1" w14:paraId="688CD349" w14:textId="77777777" w:rsidTr="00D54E2A">
        <w:tc>
          <w:tcPr>
            <w:tcW w:w="1313" w:type="pct"/>
          </w:tcPr>
          <w:p w14:paraId="699C7B4A" w14:textId="1DE0EBF7" w:rsidR="00BD2617" w:rsidRDefault="00BD2617" w:rsidP="009A345B">
            <w:pPr>
              <w:pStyle w:val="TableTextLeft"/>
            </w:pPr>
            <w:r w:rsidRPr="00C70051">
              <w:t>Australian Taxation Office</w:t>
            </w:r>
          </w:p>
        </w:tc>
        <w:tc>
          <w:tcPr>
            <w:tcW w:w="903" w:type="pct"/>
          </w:tcPr>
          <w:p w14:paraId="3332AE09" w14:textId="58C9142F" w:rsidR="00BD2617" w:rsidRDefault="00BD2617" w:rsidP="00B24BED">
            <w:pPr>
              <w:pStyle w:val="TableTextRight"/>
            </w:pPr>
            <w:r w:rsidRPr="00C70051">
              <w:t>95</w:t>
            </w:r>
          </w:p>
        </w:tc>
        <w:tc>
          <w:tcPr>
            <w:tcW w:w="903" w:type="pct"/>
          </w:tcPr>
          <w:p w14:paraId="3A4B552E" w14:textId="3518246B" w:rsidR="00BD2617" w:rsidRDefault="00BD2617" w:rsidP="00B24BED">
            <w:pPr>
              <w:pStyle w:val="TableTextRight"/>
            </w:pPr>
            <w:r w:rsidRPr="00C70051">
              <w:t>90</w:t>
            </w:r>
          </w:p>
        </w:tc>
        <w:tc>
          <w:tcPr>
            <w:tcW w:w="977" w:type="pct"/>
          </w:tcPr>
          <w:p w14:paraId="770F8B3E" w14:textId="77C702B9" w:rsidR="00BD2617" w:rsidRDefault="002468A5" w:rsidP="00B24BED">
            <w:pPr>
              <w:pStyle w:val="TableTextRight"/>
            </w:pPr>
            <w:r>
              <w:rPr>
                <w:szCs w:val="18"/>
              </w:rPr>
              <w:t>89</w:t>
            </w:r>
          </w:p>
        </w:tc>
        <w:tc>
          <w:tcPr>
            <w:tcW w:w="903" w:type="pct"/>
          </w:tcPr>
          <w:p w14:paraId="2A5DB8F2" w14:textId="086B1EE2" w:rsidR="00BD2617" w:rsidRDefault="004B5676" w:rsidP="00B24BED">
            <w:pPr>
              <w:pStyle w:val="TableTextRight"/>
            </w:pPr>
            <w:r>
              <w:t>96</w:t>
            </w:r>
          </w:p>
        </w:tc>
      </w:tr>
      <w:tr w:rsidR="00670ED1" w14:paraId="2AD24B23" w14:textId="77777777" w:rsidTr="00D54E2A">
        <w:tc>
          <w:tcPr>
            <w:tcW w:w="1313" w:type="pct"/>
          </w:tcPr>
          <w:p w14:paraId="7D927A46" w14:textId="2A980C15" w:rsidR="00BD2617" w:rsidRDefault="00BD2617" w:rsidP="009A345B">
            <w:pPr>
              <w:pStyle w:val="TableTextLeft"/>
            </w:pPr>
            <w:r w:rsidRPr="00C70051">
              <w:t>Australian Trade and Investment Commission (Austrade)</w:t>
            </w:r>
          </w:p>
        </w:tc>
        <w:tc>
          <w:tcPr>
            <w:tcW w:w="903" w:type="pct"/>
          </w:tcPr>
          <w:p w14:paraId="7769B8B3" w14:textId="26144178" w:rsidR="00BD2617" w:rsidRDefault="00BD2617" w:rsidP="00B24BED">
            <w:pPr>
              <w:pStyle w:val="TableTextRight"/>
            </w:pPr>
            <w:r w:rsidRPr="00C70051">
              <w:rPr>
                <w:szCs w:val="18"/>
              </w:rPr>
              <w:t>87</w:t>
            </w:r>
          </w:p>
        </w:tc>
        <w:tc>
          <w:tcPr>
            <w:tcW w:w="903" w:type="pct"/>
          </w:tcPr>
          <w:p w14:paraId="2DDFB32C" w14:textId="72206924" w:rsidR="00BD2617" w:rsidRDefault="00BD2617" w:rsidP="00B24BED">
            <w:pPr>
              <w:pStyle w:val="TableTextRight"/>
            </w:pPr>
            <w:r w:rsidRPr="00C70051">
              <w:rPr>
                <w:szCs w:val="18"/>
              </w:rPr>
              <w:t>88</w:t>
            </w:r>
          </w:p>
        </w:tc>
        <w:tc>
          <w:tcPr>
            <w:tcW w:w="977" w:type="pct"/>
          </w:tcPr>
          <w:p w14:paraId="79E97A78" w14:textId="57D54826" w:rsidR="00BD2617" w:rsidRDefault="00FE70FB" w:rsidP="00B24BED">
            <w:pPr>
              <w:pStyle w:val="TableTextRight"/>
            </w:pPr>
            <w:r>
              <w:rPr>
                <w:szCs w:val="18"/>
              </w:rPr>
              <w:t>N/A</w:t>
            </w:r>
          </w:p>
        </w:tc>
        <w:tc>
          <w:tcPr>
            <w:tcW w:w="903" w:type="pct"/>
          </w:tcPr>
          <w:p w14:paraId="0D0C457C" w14:textId="07800EBD" w:rsidR="00BD2617" w:rsidRDefault="00BD2617" w:rsidP="00B24BED">
            <w:pPr>
              <w:pStyle w:val="TableTextRight"/>
            </w:pPr>
            <w:r w:rsidRPr="00C70051">
              <w:rPr>
                <w:szCs w:val="18"/>
              </w:rPr>
              <w:t>N/A</w:t>
            </w:r>
          </w:p>
        </w:tc>
      </w:tr>
      <w:tr w:rsidR="00670ED1" w14:paraId="3E2888AD" w14:textId="77777777" w:rsidTr="00D54E2A">
        <w:tc>
          <w:tcPr>
            <w:tcW w:w="1313" w:type="pct"/>
          </w:tcPr>
          <w:p w14:paraId="6099542E" w14:textId="56C2165E" w:rsidR="00BD2617" w:rsidRDefault="00BD2617" w:rsidP="009A345B">
            <w:pPr>
              <w:pStyle w:val="TableTextLeft"/>
            </w:pPr>
            <w:r w:rsidRPr="00C70051">
              <w:t>Australian Transaction Reports and Analysis Centre (AUSTRAC)</w:t>
            </w:r>
          </w:p>
        </w:tc>
        <w:tc>
          <w:tcPr>
            <w:tcW w:w="903" w:type="pct"/>
          </w:tcPr>
          <w:p w14:paraId="753F5A13" w14:textId="6EE0E658" w:rsidR="00BD2617" w:rsidRDefault="00BD2617" w:rsidP="00B24BED">
            <w:pPr>
              <w:pStyle w:val="TableTextRight"/>
            </w:pPr>
            <w:r w:rsidRPr="00C70051">
              <w:t>97</w:t>
            </w:r>
          </w:p>
        </w:tc>
        <w:tc>
          <w:tcPr>
            <w:tcW w:w="903" w:type="pct"/>
          </w:tcPr>
          <w:p w14:paraId="1A6F844A" w14:textId="44F1A1C6" w:rsidR="00BD2617" w:rsidRDefault="00BD2617" w:rsidP="00B24BED">
            <w:pPr>
              <w:pStyle w:val="TableTextRight"/>
            </w:pPr>
            <w:r w:rsidRPr="00C70051">
              <w:t>96</w:t>
            </w:r>
          </w:p>
        </w:tc>
        <w:tc>
          <w:tcPr>
            <w:tcW w:w="977" w:type="pct"/>
          </w:tcPr>
          <w:p w14:paraId="4332C840" w14:textId="2C3DBE49" w:rsidR="00BD2617" w:rsidRDefault="00FE70FB" w:rsidP="00B24BED">
            <w:pPr>
              <w:pStyle w:val="TableTextRight"/>
            </w:pPr>
            <w:r>
              <w:rPr>
                <w:szCs w:val="18"/>
              </w:rPr>
              <w:t>N/A</w:t>
            </w:r>
          </w:p>
        </w:tc>
        <w:tc>
          <w:tcPr>
            <w:tcW w:w="903" w:type="pct"/>
          </w:tcPr>
          <w:p w14:paraId="0E391007" w14:textId="6D9E94DB" w:rsidR="00BD2617" w:rsidRDefault="00BD2617" w:rsidP="00B24BED">
            <w:pPr>
              <w:pStyle w:val="TableTextRight"/>
            </w:pPr>
            <w:r w:rsidRPr="00C70051">
              <w:rPr>
                <w:szCs w:val="18"/>
              </w:rPr>
              <w:t>N/A</w:t>
            </w:r>
          </w:p>
        </w:tc>
      </w:tr>
      <w:tr w:rsidR="00670ED1" w14:paraId="40016D61" w14:textId="77777777" w:rsidTr="00D54E2A">
        <w:tc>
          <w:tcPr>
            <w:tcW w:w="1313" w:type="pct"/>
          </w:tcPr>
          <w:p w14:paraId="34102E2A" w14:textId="77C1959C" w:rsidR="00BD2617" w:rsidRDefault="00BD2617" w:rsidP="009A345B">
            <w:pPr>
              <w:pStyle w:val="TableTextLeft"/>
            </w:pPr>
            <w:r w:rsidRPr="00C70051">
              <w:t>Australian Transport Safety Bureau (ATSB)</w:t>
            </w:r>
          </w:p>
        </w:tc>
        <w:tc>
          <w:tcPr>
            <w:tcW w:w="903" w:type="pct"/>
          </w:tcPr>
          <w:p w14:paraId="6BC7C883" w14:textId="58956BD8" w:rsidR="00BD2617" w:rsidRDefault="00BD2617" w:rsidP="00B24BED">
            <w:pPr>
              <w:pStyle w:val="TableTextRight"/>
            </w:pPr>
            <w:r w:rsidRPr="00C70051">
              <w:rPr>
                <w:szCs w:val="18"/>
              </w:rPr>
              <w:t>81</w:t>
            </w:r>
          </w:p>
        </w:tc>
        <w:tc>
          <w:tcPr>
            <w:tcW w:w="903" w:type="pct"/>
          </w:tcPr>
          <w:p w14:paraId="6A643FD3" w14:textId="77572624" w:rsidR="00BD2617" w:rsidRDefault="00BD2617" w:rsidP="00B24BED">
            <w:pPr>
              <w:pStyle w:val="TableTextRight"/>
            </w:pPr>
            <w:r w:rsidRPr="00C70051">
              <w:rPr>
                <w:szCs w:val="18"/>
              </w:rPr>
              <w:t>82</w:t>
            </w:r>
          </w:p>
        </w:tc>
        <w:tc>
          <w:tcPr>
            <w:tcW w:w="977" w:type="pct"/>
          </w:tcPr>
          <w:p w14:paraId="22F173C5" w14:textId="655F29C3" w:rsidR="00BD2617" w:rsidRDefault="00BD2617" w:rsidP="00B24BED">
            <w:pPr>
              <w:pStyle w:val="TableTextRight"/>
            </w:pPr>
            <w:r w:rsidRPr="00C70051">
              <w:rPr>
                <w:szCs w:val="18"/>
              </w:rPr>
              <w:t>100</w:t>
            </w:r>
          </w:p>
        </w:tc>
        <w:tc>
          <w:tcPr>
            <w:tcW w:w="903" w:type="pct"/>
          </w:tcPr>
          <w:p w14:paraId="23F3188C" w14:textId="0ED21341" w:rsidR="00BD2617" w:rsidRDefault="00BD2617" w:rsidP="00B24BED">
            <w:pPr>
              <w:pStyle w:val="TableTextRight"/>
            </w:pPr>
            <w:r w:rsidRPr="00C70051">
              <w:rPr>
                <w:szCs w:val="18"/>
              </w:rPr>
              <w:t>100</w:t>
            </w:r>
          </w:p>
        </w:tc>
      </w:tr>
      <w:tr w:rsidR="00670ED1" w14:paraId="73687529" w14:textId="77777777" w:rsidTr="00D54E2A">
        <w:tc>
          <w:tcPr>
            <w:tcW w:w="1313" w:type="pct"/>
          </w:tcPr>
          <w:p w14:paraId="11CDF6C3" w14:textId="2C39704B" w:rsidR="00BD2617" w:rsidRPr="003229EC" w:rsidRDefault="00BD2617" w:rsidP="009A345B">
            <w:pPr>
              <w:pStyle w:val="TableTextLeft"/>
              <w:rPr>
                <w:highlight w:val="yellow"/>
              </w:rPr>
            </w:pPr>
            <w:r w:rsidRPr="00E40B7B">
              <w:t>Bureau of Meteorology</w:t>
            </w:r>
            <w:r w:rsidRPr="00E40B7B">
              <w:rPr>
                <w:rFonts w:ascii="Calibri" w:hAnsi="Calibri" w:cs="Calibri"/>
                <w:sz w:val="16"/>
                <w:szCs w:val="16"/>
              </w:rPr>
              <w:t> </w:t>
            </w:r>
          </w:p>
        </w:tc>
        <w:tc>
          <w:tcPr>
            <w:tcW w:w="903" w:type="pct"/>
          </w:tcPr>
          <w:p w14:paraId="2580461F" w14:textId="3295B242" w:rsidR="00BD2617" w:rsidRDefault="00BD2617" w:rsidP="00B24BED">
            <w:pPr>
              <w:pStyle w:val="TableTextRight"/>
            </w:pPr>
            <w:r w:rsidRPr="00C70051">
              <w:t>6</w:t>
            </w:r>
            <w:r>
              <w:t>2</w:t>
            </w:r>
          </w:p>
        </w:tc>
        <w:tc>
          <w:tcPr>
            <w:tcW w:w="903" w:type="pct"/>
          </w:tcPr>
          <w:p w14:paraId="450EDE57" w14:textId="33E44C9E" w:rsidR="00BD2617" w:rsidRDefault="00BD2617" w:rsidP="00B24BED">
            <w:pPr>
              <w:pStyle w:val="TableTextRight"/>
            </w:pPr>
            <w:r w:rsidRPr="00C70051">
              <w:t>52</w:t>
            </w:r>
          </w:p>
        </w:tc>
        <w:tc>
          <w:tcPr>
            <w:tcW w:w="977" w:type="pct"/>
          </w:tcPr>
          <w:p w14:paraId="66748998" w14:textId="585C1D8B" w:rsidR="00BD2617" w:rsidRDefault="00BD2617" w:rsidP="00B24BED">
            <w:pPr>
              <w:pStyle w:val="TableTextRight"/>
            </w:pPr>
            <w:r w:rsidRPr="00C70051">
              <w:rPr>
                <w:szCs w:val="18"/>
              </w:rPr>
              <w:t>0</w:t>
            </w:r>
          </w:p>
        </w:tc>
        <w:tc>
          <w:tcPr>
            <w:tcW w:w="903" w:type="pct"/>
          </w:tcPr>
          <w:p w14:paraId="1FCF6BD4" w14:textId="7F383D26" w:rsidR="00BD2617" w:rsidRDefault="00E240ED" w:rsidP="00B24BED">
            <w:pPr>
              <w:pStyle w:val="TableTextRight"/>
            </w:pPr>
            <w:r w:rsidRPr="00E240ED">
              <w:rPr>
                <w:szCs w:val="18"/>
              </w:rPr>
              <w:t>0</w:t>
            </w:r>
          </w:p>
        </w:tc>
      </w:tr>
      <w:tr w:rsidR="00670ED1" w14:paraId="05EADF75" w14:textId="77777777" w:rsidTr="00D54E2A">
        <w:tc>
          <w:tcPr>
            <w:tcW w:w="1313" w:type="pct"/>
          </w:tcPr>
          <w:p w14:paraId="09639B3C" w14:textId="7ACBD113" w:rsidR="00BD2617" w:rsidRDefault="00BD2617" w:rsidP="009A345B">
            <w:pPr>
              <w:pStyle w:val="TableTextLeft"/>
            </w:pPr>
            <w:r w:rsidRPr="00C70051">
              <w:t>Cancer Australia</w:t>
            </w:r>
          </w:p>
        </w:tc>
        <w:tc>
          <w:tcPr>
            <w:tcW w:w="903" w:type="pct"/>
          </w:tcPr>
          <w:p w14:paraId="4D4711A8" w14:textId="7820C461" w:rsidR="00BD2617" w:rsidRDefault="00BD2617" w:rsidP="00B24BED">
            <w:pPr>
              <w:pStyle w:val="TableTextRight"/>
            </w:pPr>
            <w:r w:rsidRPr="00C70051">
              <w:t>92</w:t>
            </w:r>
          </w:p>
        </w:tc>
        <w:tc>
          <w:tcPr>
            <w:tcW w:w="903" w:type="pct"/>
          </w:tcPr>
          <w:p w14:paraId="3A7D3119" w14:textId="1C1AAE75" w:rsidR="00BD2617" w:rsidRDefault="00BD2617" w:rsidP="00B24BED">
            <w:pPr>
              <w:pStyle w:val="TableTextRight"/>
            </w:pPr>
            <w:r w:rsidRPr="00C70051">
              <w:t>91</w:t>
            </w:r>
          </w:p>
        </w:tc>
        <w:tc>
          <w:tcPr>
            <w:tcW w:w="977" w:type="pct"/>
          </w:tcPr>
          <w:p w14:paraId="6FD16877" w14:textId="46A383AA" w:rsidR="00BD2617" w:rsidRDefault="00BD2617" w:rsidP="00B24BED">
            <w:pPr>
              <w:pStyle w:val="TableTextRight"/>
            </w:pPr>
            <w:r w:rsidRPr="00C70051">
              <w:rPr>
                <w:szCs w:val="18"/>
              </w:rPr>
              <w:t>100</w:t>
            </w:r>
          </w:p>
        </w:tc>
        <w:tc>
          <w:tcPr>
            <w:tcW w:w="903" w:type="pct"/>
          </w:tcPr>
          <w:p w14:paraId="4FA19C02" w14:textId="09FEDD57" w:rsidR="00BD2617" w:rsidRDefault="00BD2617" w:rsidP="00B24BED">
            <w:pPr>
              <w:pStyle w:val="TableTextRight"/>
            </w:pPr>
            <w:r w:rsidRPr="00C70051">
              <w:rPr>
                <w:szCs w:val="18"/>
              </w:rPr>
              <w:t>100</w:t>
            </w:r>
          </w:p>
        </w:tc>
      </w:tr>
      <w:tr w:rsidR="00670ED1" w14:paraId="2E2062D8" w14:textId="77777777" w:rsidTr="00D54E2A">
        <w:tc>
          <w:tcPr>
            <w:tcW w:w="1313" w:type="pct"/>
          </w:tcPr>
          <w:p w14:paraId="1E8B401B" w14:textId="117DF826" w:rsidR="00BD2617" w:rsidRDefault="00BD2617" w:rsidP="009A345B">
            <w:pPr>
              <w:pStyle w:val="TableTextLeft"/>
            </w:pPr>
            <w:r w:rsidRPr="00C70051">
              <w:t>Clean Energy Regulator</w:t>
            </w:r>
          </w:p>
        </w:tc>
        <w:tc>
          <w:tcPr>
            <w:tcW w:w="903" w:type="pct"/>
          </w:tcPr>
          <w:p w14:paraId="5F2712EA" w14:textId="28A57D5B" w:rsidR="00BD2617" w:rsidRDefault="00BD2617" w:rsidP="00B24BED">
            <w:pPr>
              <w:pStyle w:val="TableTextRight"/>
            </w:pPr>
            <w:r w:rsidRPr="00C70051">
              <w:rPr>
                <w:szCs w:val="18"/>
              </w:rPr>
              <w:t>94</w:t>
            </w:r>
          </w:p>
        </w:tc>
        <w:tc>
          <w:tcPr>
            <w:tcW w:w="903" w:type="pct"/>
          </w:tcPr>
          <w:p w14:paraId="790D834E" w14:textId="6FC6E4B2" w:rsidR="00BD2617" w:rsidRDefault="00BD2617" w:rsidP="00B24BED">
            <w:pPr>
              <w:pStyle w:val="TableTextRight"/>
            </w:pPr>
            <w:r w:rsidRPr="00C70051">
              <w:rPr>
                <w:szCs w:val="18"/>
              </w:rPr>
              <w:t>93</w:t>
            </w:r>
          </w:p>
        </w:tc>
        <w:tc>
          <w:tcPr>
            <w:tcW w:w="977" w:type="pct"/>
          </w:tcPr>
          <w:p w14:paraId="1673418C" w14:textId="57B9C03F" w:rsidR="00BD2617" w:rsidRDefault="00FE70FB" w:rsidP="00B24BED">
            <w:pPr>
              <w:pStyle w:val="TableTextRight"/>
            </w:pPr>
            <w:r>
              <w:rPr>
                <w:szCs w:val="18"/>
              </w:rPr>
              <w:t>N/A</w:t>
            </w:r>
          </w:p>
        </w:tc>
        <w:tc>
          <w:tcPr>
            <w:tcW w:w="903" w:type="pct"/>
          </w:tcPr>
          <w:p w14:paraId="5EA65539" w14:textId="10ED3E5D" w:rsidR="00BD2617" w:rsidRDefault="00BD2617" w:rsidP="00B24BED">
            <w:pPr>
              <w:pStyle w:val="TableTextRight"/>
            </w:pPr>
            <w:r w:rsidRPr="00C70051">
              <w:rPr>
                <w:szCs w:val="18"/>
              </w:rPr>
              <w:t>N/A</w:t>
            </w:r>
          </w:p>
        </w:tc>
      </w:tr>
      <w:tr w:rsidR="00670ED1" w14:paraId="022F795B" w14:textId="77777777" w:rsidTr="00D54E2A">
        <w:tc>
          <w:tcPr>
            <w:tcW w:w="1313" w:type="pct"/>
          </w:tcPr>
          <w:p w14:paraId="2B7CCAF7" w14:textId="787E2596" w:rsidR="00BD2617" w:rsidRDefault="00BD2617" w:rsidP="009A345B">
            <w:pPr>
              <w:pStyle w:val="TableTextLeft"/>
            </w:pPr>
            <w:r w:rsidRPr="00C70051">
              <w:t>Climate Change Authority</w:t>
            </w:r>
          </w:p>
        </w:tc>
        <w:tc>
          <w:tcPr>
            <w:tcW w:w="903" w:type="pct"/>
          </w:tcPr>
          <w:p w14:paraId="6D833F0B" w14:textId="1A74E75A" w:rsidR="00BD2617" w:rsidRDefault="00BD2617" w:rsidP="00B24BED">
            <w:pPr>
              <w:pStyle w:val="TableTextRight"/>
            </w:pPr>
            <w:r w:rsidRPr="00C70051">
              <w:t>9</w:t>
            </w:r>
            <w:r>
              <w:t>6</w:t>
            </w:r>
          </w:p>
        </w:tc>
        <w:tc>
          <w:tcPr>
            <w:tcW w:w="903" w:type="pct"/>
          </w:tcPr>
          <w:p w14:paraId="5F16769D" w14:textId="11DC24EA" w:rsidR="00BD2617" w:rsidRDefault="00BD2617" w:rsidP="00B24BED">
            <w:pPr>
              <w:pStyle w:val="TableTextRight"/>
            </w:pPr>
            <w:r w:rsidRPr="00C70051">
              <w:t>98</w:t>
            </w:r>
          </w:p>
        </w:tc>
        <w:tc>
          <w:tcPr>
            <w:tcW w:w="977" w:type="pct"/>
          </w:tcPr>
          <w:p w14:paraId="7BD15B58" w14:textId="0C1126E7" w:rsidR="00BD2617" w:rsidRDefault="00FE70FB" w:rsidP="00B24BED">
            <w:pPr>
              <w:pStyle w:val="TableTextRight"/>
            </w:pPr>
            <w:r>
              <w:rPr>
                <w:szCs w:val="18"/>
              </w:rPr>
              <w:t>N/A</w:t>
            </w:r>
          </w:p>
        </w:tc>
        <w:tc>
          <w:tcPr>
            <w:tcW w:w="903" w:type="pct"/>
          </w:tcPr>
          <w:p w14:paraId="29AA37E8" w14:textId="7D4B2434" w:rsidR="00BD2617" w:rsidRDefault="00BD2617" w:rsidP="00B24BED">
            <w:pPr>
              <w:pStyle w:val="TableTextRight"/>
            </w:pPr>
            <w:r w:rsidRPr="00C70051">
              <w:rPr>
                <w:szCs w:val="18"/>
              </w:rPr>
              <w:t>N/A</w:t>
            </w:r>
          </w:p>
        </w:tc>
      </w:tr>
      <w:tr w:rsidR="00670ED1" w14:paraId="6A231908" w14:textId="77777777" w:rsidTr="00D54E2A">
        <w:tc>
          <w:tcPr>
            <w:tcW w:w="1313" w:type="pct"/>
          </w:tcPr>
          <w:p w14:paraId="724F42C4" w14:textId="46B8DDD2" w:rsidR="00BD2617" w:rsidRDefault="00BD2617" w:rsidP="009A345B">
            <w:pPr>
              <w:pStyle w:val="TableTextLeft"/>
            </w:pPr>
            <w:r w:rsidRPr="00C70051">
              <w:t>Commonwealth Grants Commission</w:t>
            </w:r>
          </w:p>
        </w:tc>
        <w:tc>
          <w:tcPr>
            <w:tcW w:w="903" w:type="pct"/>
          </w:tcPr>
          <w:p w14:paraId="65C14793" w14:textId="3D228FBD" w:rsidR="00BD2617" w:rsidRDefault="00BD2617" w:rsidP="00B24BED">
            <w:pPr>
              <w:pStyle w:val="TableTextRight"/>
            </w:pPr>
            <w:r w:rsidRPr="00C70051">
              <w:t>99</w:t>
            </w:r>
          </w:p>
        </w:tc>
        <w:tc>
          <w:tcPr>
            <w:tcW w:w="903" w:type="pct"/>
          </w:tcPr>
          <w:p w14:paraId="42E3B23C" w14:textId="71F12651" w:rsidR="00BD2617" w:rsidRDefault="00BD2617" w:rsidP="00B24BED">
            <w:pPr>
              <w:pStyle w:val="TableTextRight"/>
            </w:pPr>
            <w:r w:rsidRPr="00C70051">
              <w:t>99</w:t>
            </w:r>
          </w:p>
        </w:tc>
        <w:tc>
          <w:tcPr>
            <w:tcW w:w="977" w:type="pct"/>
          </w:tcPr>
          <w:p w14:paraId="34398DDA" w14:textId="090E229F" w:rsidR="00BD2617" w:rsidRDefault="00FE70FB" w:rsidP="00B24BED">
            <w:pPr>
              <w:pStyle w:val="TableTextRight"/>
            </w:pPr>
            <w:r>
              <w:rPr>
                <w:szCs w:val="18"/>
              </w:rPr>
              <w:t>N/A</w:t>
            </w:r>
          </w:p>
        </w:tc>
        <w:tc>
          <w:tcPr>
            <w:tcW w:w="903" w:type="pct"/>
          </w:tcPr>
          <w:p w14:paraId="1F03A6CF" w14:textId="03EF6C81" w:rsidR="00BD2617" w:rsidRDefault="00BD2617" w:rsidP="00B24BED">
            <w:pPr>
              <w:pStyle w:val="TableTextRight"/>
            </w:pPr>
            <w:r w:rsidRPr="00C70051">
              <w:rPr>
                <w:szCs w:val="18"/>
              </w:rPr>
              <w:t>N/A</w:t>
            </w:r>
          </w:p>
        </w:tc>
      </w:tr>
      <w:tr w:rsidR="00670ED1" w14:paraId="0BAE8EE0" w14:textId="77777777" w:rsidTr="00D54E2A">
        <w:tc>
          <w:tcPr>
            <w:tcW w:w="1313" w:type="pct"/>
          </w:tcPr>
          <w:p w14:paraId="5F842CD5" w14:textId="13223B6D" w:rsidR="00BD2617" w:rsidRDefault="00BD2617" w:rsidP="009A345B">
            <w:pPr>
              <w:pStyle w:val="TableTextLeft"/>
            </w:pPr>
            <w:r w:rsidRPr="00C70051">
              <w:t>Department of Agriculture, Fisheries and Forestry</w:t>
            </w:r>
          </w:p>
        </w:tc>
        <w:tc>
          <w:tcPr>
            <w:tcW w:w="903" w:type="pct"/>
          </w:tcPr>
          <w:p w14:paraId="6CB8DAEA" w14:textId="234E7EAB" w:rsidR="00BD2617" w:rsidRDefault="00BD2617" w:rsidP="00B24BED">
            <w:pPr>
              <w:pStyle w:val="TableTextRight"/>
            </w:pPr>
            <w:r w:rsidRPr="00C70051">
              <w:rPr>
                <w:szCs w:val="18"/>
              </w:rPr>
              <w:t>96</w:t>
            </w:r>
          </w:p>
        </w:tc>
        <w:tc>
          <w:tcPr>
            <w:tcW w:w="903" w:type="pct"/>
          </w:tcPr>
          <w:p w14:paraId="0AB346A9" w14:textId="155E3732" w:rsidR="00BD2617" w:rsidRDefault="00BD2617" w:rsidP="00B24BED">
            <w:pPr>
              <w:pStyle w:val="TableTextRight"/>
            </w:pPr>
            <w:r w:rsidRPr="00C70051">
              <w:rPr>
                <w:szCs w:val="18"/>
              </w:rPr>
              <w:t>93</w:t>
            </w:r>
          </w:p>
        </w:tc>
        <w:tc>
          <w:tcPr>
            <w:tcW w:w="977" w:type="pct"/>
          </w:tcPr>
          <w:p w14:paraId="1AAA7A6B" w14:textId="5A78412B" w:rsidR="00BD2617" w:rsidRDefault="00BD2617" w:rsidP="00B24BED">
            <w:pPr>
              <w:pStyle w:val="TableTextRight"/>
            </w:pPr>
            <w:r w:rsidRPr="00C70051">
              <w:rPr>
                <w:szCs w:val="18"/>
              </w:rPr>
              <w:t>75</w:t>
            </w:r>
          </w:p>
        </w:tc>
        <w:tc>
          <w:tcPr>
            <w:tcW w:w="903" w:type="pct"/>
          </w:tcPr>
          <w:p w14:paraId="1927171E" w14:textId="5268FDD0" w:rsidR="00BD2617" w:rsidRDefault="00BD2617" w:rsidP="00B24BED">
            <w:pPr>
              <w:pStyle w:val="TableTextRight"/>
            </w:pPr>
            <w:r w:rsidRPr="00C70051">
              <w:rPr>
                <w:szCs w:val="18"/>
              </w:rPr>
              <w:t>67</w:t>
            </w:r>
          </w:p>
        </w:tc>
      </w:tr>
      <w:tr w:rsidR="00670ED1" w14:paraId="333BD9B6" w14:textId="77777777" w:rsidTr="00D54E2A">
        <w:tc>
          <w:tcPr>
            <w:tcW w:w="1313" w:type="pct"/>
          </w:tcPr>
          <w:p w14:paraId="42ABEAF6" w14:textId="20DE03AF" w:rsidR="00BD2617" w:rsidRDefault="00BD2617" w:rsidP="009A345B">
            <w:pPr>
              <w:pStyle w:val="TableTextLeft"/>
            </w:pPr>
            <w:r w:rsidRPr="00C70051">
              <w:t>Department of Defence</w:t>
            </w:r>
          </w:p>
        </w:tc>
        <w:tc>
          <w:tcPr>
            <w:tcW w:w="903" w:type="pct"/>
          </w:tcPr>
          <w:p w14:paraId="5861B310" w14:textId="0040125E" w:rsidR="00BD2617" w:rsidRDefault="00BD2617" w:rsidP="00B24BED">
            <w:pPr>
              <w:pStyle w:val="TableTextRight"/>
            </w:pPr>
            <w:r w:rsidRPr="00C70051">
              <w:t>97</w:t>
            </w:r>
          </w:p>
        </w:tc>
        <w:tc>
          <w:tcPr>
            <w:tcW w:w="903" w:type="pct"/>
          </w:tcPr>
          <w:p w14:paraId="371F4288" w14:textId="350D3FB2" w:rsidR="00BD2617" w:rsidRDefault="00BD2617" w:rsidP="00B24BED">
            <w:pPr>
              <w:pStyle w:val="TableTextRight"/>
            </w:pPr>
            <w:r w:rsidRPr="00C70051">
              <w:t>91</w:t>
            </w:r>
          </w:p>
        </w:tc>
        <w:tc>
          <w:tcPr>
            <w:tcW w:w="977" w:type="pct"/>
          </w:tcPr>
          <w:p w14:paraId="45482D74" w14:textId="58515533" w:rsidR="00BD2617" w:rsidRDefault="00BD2617" w:rsidP="00B24BED">
            <w:pPr>
              <w:pStyle w:val="TableTextRight"/>
            </w:pPr>
            <w:r w:rsidRPr="00C70051">
              <w:t>85</w:t>
            </w:r>
          </w:p>
        </w:tc>
        <w:tc>
          <w:tcPr>
            <w:tcW w:w="903" w:type="pct"/>
          </w:tcPr>
          <w:p w14:paraId="7D049101" w14:textId="433E5CF8" w:rsidR="00BD2617" w:rsidRDefault="00BD2617" w:rsidP="00B24BED">
            <w:pPr>
              <w:pStyle w:val="TableTextRight"/>
            </w:pPr>
            <w:r>
              <w:t>89</w:t>
            </w:r>
          </w:p>
        </w:tc>
      </w:tr>
      <w:tr w:rsidR="00670ED1" w14:paraId="73F1510D" w14:textId="77777777" w:rsidTr="00D54E2A">
        <w:tc>
          <w:tcPr>
            <w:tcW w:w="1313" w:type="pct"/>
          </w:tcPr>
          <w:p w14:paraId="1A1BE8D2" w14:textId="4A816EF5" w:rsidR="00BD2617" w:rsidRDefault="00BD2617" w:rsidP="009A345B">
            <w:pPr>
              <w:pStyle w:val="TableTextLeft"/>
            </w:pPr>
            <w:r w:rsidRPr="00C70051">
              <w:t>Department of Education</w:t>
            </w:r>
          </w:p>
        </w:tc>
        <w:tc>
          <w:tcPr>
            <w:tcW w:w="903" w:type="pct"/>
          </w:tcPr>
          <w:p w14:paraId="3BBF81A1" w14:textId="628A972D" w:rsidR="00BD2617" w:rsidRDefault="00BD2617" w:rsidP="00B24BED">
            <w:pPr>
              <w:pStyle w:val="TableTextRight"/>
            </w:pPr>
            <w:r w:rsidRPr="00C70051">
              <w:rPr>
                <w:szCs w:val="18"/>
              </w:rPr>
              <w:t>9</w:t>
            </w:r>
            <w:r>
              <w:rPr>
                <w:szCs w:val="18"/>
              </w:rPr>
              <w:t>4</w:t>
            </w:r>
          </w:p>
        </w:tc>
        <w:tc>
          <w:tcPr>
            <w:tcW w:w="903" w:type="pct"/>
          </w:tcPr>
          <w:p w14:paraId="3CDCBFF3" w14:textId="79D681F2" w:rsidR="00BD2617" w:rsidRDefault="00BD2617" w:rsidP="00B24BED">
            <w:pPr>
              <w:pStyle w:val="TableTextRight"/>
            </w:pPr>
            <w:r w:rsidRPr="00C70051">
              <w:rPr>
                <w:szCs w:val="18"/>
              </w:rPr>
              <w:t>95</w:t>
            </w:r>
          </w:p>
        </w:tc>
        <w:tc>
          <w:tcPr>
            <w:tcW w:w="977" w:type="pct"/>
          </w:tcPr>
          <w:p w14:paraId="7BBCAB89" w14:textId="354410A2" w:rsidR="00BD2617" w:rsidRDefault="00BD2617" w:rsidP="00B24BED">
            <w:pPr>
              <w:pStyle w:val="TableTextRight"/>
            </w:pPr>
            <w:r w:rsidRPr="00C70051">
              <w:rPr>
                <w:szCs w:val="18"/>
              </w:rPr>
              <w:t>65</w:t>
            </w:r>
          </w:p>
        </w:tc>
        <w:tc>
          <w:tcPr>
            <w:tcW w:w="903" w:type="pct"/>
          </w:tcPr>
          <w:p w14:paraId="100D93F1" w14:textId="0F3EEA1A" w:rsidR="00BD2617" w:rsidRDefault="00BD2617" w:rsidP="00B24BED">
            <w:pPr>
              <w:pStyle w:val="TableTextRight"/>
            </w:pPr>
            <w:r w:rsidRPr="00C70051">
              <w:rPr>
                <w:szCs w:val="18"/>
              </w:rPr>
              <w:t>53</w:t>
            </w:r>
          </w:p>
        </w:tc>
      </w:tr>
      <w:tr w:rsidR="00670ED1" w14:paraId="409CE485" w14:textId="77777777" w:rsidTr="00D54E2A">
        <w:tc>
          <w:tcPr>
            <w:tcW w:w="1313" w:type="pct"/>
          </w:tcPr>
          <w:p w14:paraId="0BBF4B06" w14:textId="7BA7935A" w:rsidR="00BD2617" w:rsidRDefault="00BD2617" w:rsidP="009A345B">
            <w:pPr>
              <w:pStyle w:val="TableTextLeft"/>
            </w:pPr>
            <w:r w:rsidRPr="00C70051">
              <w:t>Department of Finance</w:t>
            </w:r>
          </w:p>
        </w:tc>
        <w:tc>
          <w:tcPr>
            <w:tcW w:w="903" w:type="pct"/>
          </w:tcPr>
          <w:p w14:paraId="44ADDCDA" w14:textId="66CCCE77" w:rsidR="00BD2617" w:rsidRDefault="00BD2617" w:rsidP="00B24BED">
            <w:pPr>
              <w:pStyle w:val="TableTextRight"/>
            </w:pPr>
            <w:r w:rsidRPr="00C70051">
              <w:t>96</w:t>
            </w:r>
          </w:p>
        </w:tc>
        <w:tc>
          <w:tcPr>
            <w:tcW w:w="903" w:type="pct"/>
          </w:tcPr>
          <w:p w14:paraId="5CFE6F76" w14:textId="5A19A54A" w:rsidR="00BD2617" w:rsidRDefault="00BD2617" w:rsidP="00B24BED">
            <w:pPr>
              <w:pStyle w:val="TableTextRight"/>
            </w:pPr>
            <w:r w:rsidRPr="00C70051">
              <w:t>99</w:t>
            </w:r>
          </w:p>
        </w:tc>
        <w:tc>
          <w:tcPr>
            <w:tcW w:w="977" w:type="pct"/>
          </w:tcPr>
          <w:p w14:paraId="2806DAA9" w14:textId="7E52D1CC" w:rsidR="00BD2617" w:rsidRDefault="00FE70FB" w:rsidP="00B24BED">
            <w:pPr>
              <w:pStyle w:val="TableTextRight"/>
            </w:pPr>
            <w:r>
              <w:rPr>
                <w:szCs w:val="18"/>
              </w:rPr>
              <w:t>N/A</w:t>
            </w:r>
          </w:p>
        </w:tc>
        <w:tc>
          <w:tcPr>
            <w:tcW w:w="903" w:type="pct"/>
          </w:tcPr>
          <w:p w14:paraId="29FF423D" w14:textId="47D02EFE" w:rsidR="00BD2617" w:rsidRDefault="00BD2617" w:rsidP="00B24BED">
            <w:pPr>
              <w:pStyle w:val="TableTextRight"/>
            </w:pPr>
            <w:r w:rsidRPr="00C70051">
              <w:rPr>
                <w:szCs w:val="18"/>
              </w:rPr>
              <w:t>N/A</w:t>
            </w:r>
          </w:p>
        </w:tc>
      </w:tr>
      <w:tr w:rsidR="00670ED1" w14:paraId="5B941816" w14:textId="77777777" w:rsidTr="00D54E2A">
        <w:tc>
          <w:tcPr>
            <w:tcW w:w="1313" w:type="pct"/>
          </w:tcPr>
          <w:p w14:paraId="5DF78B4C" w14:textId="18A79C25" w:rsidR="00BD2617" w:rsidRDefault="00BD2617" w:rsidP="009A345B">
            <w:pPr>
              <w:pStyle w:val="TableTextLeft"/>
            </w:pPr>
            <w:r w:rsidRPr="00C70051">
              <w:t>Department of Foreign Affairs and Trade</w:t>
            </w:r>
          </w:p>
        </w:tc>
        <w:tc>
          <w:tcPr>
            <w:tcW w:w="903" w:type="pct"/>
          </w:tcPr>
          <w:p w14:paraId="7CA7B94C" w14:textId="711DF10F" w:rsidR="00BD2617" w:rsidRDefault="00BD2617" w:rsidP="00B24BED">
            <w:pPr>
              <w:pStyle w:val="TableTextRight"/>
            </w:pPr>
            <w:r w:rsidRPr="00C70051">
              <w:rPr>
                <w:szCs w:val="18"/>
              </w:rPr>
              <w:t>97</w:t>
            </w:r>
          </w:p>
        </w:tc>
        <w:tc>
          <w:tcPr>
            <w:tcW w:w="903" w:type="pct"/>
          </w:tcPr>
          <w:p w14:paraId="497C9EE1" w14:textId="24B5C071" w:rsidR="00BD2617" w:rsidRDefault="00BD2617" w:rsidP="00B24BED">
            <w:pPr>
              <w:pStyle w:val="TableTextRight"/>
            </w:pPr>
            <w:r w:rsidRPr="00C70051">
              <w:rPr>
                <w:szCs w:val="18"/>
              </w:rPr>
              <w:t>96</w:t>
            </w:r>
          </w:p>
        </w:tc>
        <w:tc>
          <w:tcPr>
            <w:tcW w:w="977" w:type="pct"/>
          </w:tcPr>
          <w:p w14:paraId="4CE80AC2" w14:textId="6BA4696B" w:rsidR="00BD2617" w:rsidRDefault="00BD2617" w:rsidP="00B24BED">
            <w:pPr>
              <w:pStyle w:val="TableTextRight"/>
            </w:pPr>
            <w:r w:rsidRPr="00C70051">
              <w:rPr>
                <w:szCs w:val="18"/>
              </w:rPr>
              <w:t>24</w:t>
            </w:r>
          </w:p>
        </w:tc>
        <w:tc>
          <w:tcPr>
            <w:tcW w:w="903" w:type="pct"/>
          </w:tcPr>
          <w:p w14:paraId="7CF19954" w14:textId="1D6D1AD2" w:rsidR="00BD2617" w:rsidRDefault="00BD2617" w:rsidP="00B24BED">
            <w:pPr>
              <w:pStyle w:val="TableTextRight"/>
            </w:pPr>
            <w:r w:rsidRPr="00C70051">
              <w:rPr>
                <w:szCs w:val="18"/>
              </w:rPr>
              <w:t>23</w:t>
            </w:r>
          </w:p>
        </w:tc>
      </w:tr>
      <w:tr w:rsidR="00670ED1" w14:paraId="16D8D18C" w14:textId="77777777" w:rsidTr="00D54E2A">
        <w:tc>
          <w:tcPr>
            <w:tcW w:w="1313" w:type="pct"/>
          </w:tcPr>
          <w:p w14:paraId="5B6CE579" w14:textId="7DAAA1F5" w:rsidR="00BD2617" w:rsidRDefault="00BD2617" w:rsidP="009A345B">
            <w:pPr>
              <w:pStyle w:val="TableTextLeft"/>
            </w:pPr>
            <w:r w:rsidRPr="00C70051">
              <w:t>Department of Health and Aged Care</w:t>
            </w:r>
          </w:p>
        </w:tc>
        <w:tc>
          <w:tcPr>
            <w:tcW w:w="903" w:type="pct"/>
          </w:tcPr>
          <w:p w14:paraId="7BAC38DB" w14:textId="161432A3" w:rsidR="00BD2617" w:rsidRDefault="00BD2617" w:rsidP="00B24BED">
            <w:pPr>
              <w:pStyle w:val="TableTextRight"/>
            </w:pPr>
            <w:r w:rsidRPr="00C70051">
              <w:t>80</w:t>
            </w:r>
          </w:p>
        </w:tc>
        <w:tc>
          <w:tcPr>
            <w:tcW w:w="903" w:type="pct"/>
          </w:tcPr>
          <w:p w14:paraId="190E2AF6" w14:textId="1FE749CB" w:rsidR="00BD2617" w:rsidRDefault="00BD2617" w:rsidP="00B24BED">
            <w:pPr>
              <w:pStyle w:val="TableTextRight"/>
            </w:pPr>
            <w:r w:rsidRPr="00C70051">
              <w:t>82</w:t>
            </w:r>
          </w:p>
        </w:tc>
        <w:tc>
          <w:tcPr>
            <w:tcW w:w="977" w:type="pct"/>
          </w:tcPr>
          <w:p w14:paraId="4F92ED84" w14:textId="0706BB87" w:rsidR="00BD2617" w:rsidRDefault="00BD2617" w:rsidP="00B24BED">
            <w:pPr>
              <w:pStyle w:val="TableTextRight"/>
            </w:pPr>
            <w:r w:rsidRPr="00C70051">
              <w:t>30</w:t>
            </w:r>
          </w:p>
        </w:tc>
        <w:tc>
          <w:tcPr>
            <w:tcW w:w="903" w:type="pct"/>
          </w:tcPr>
          <w:p w14:paraId="52AECC1A" w14:textId="2854E829" w:rsidR="00BD2617" w:rsidRDefault="00BD2617" w:rsidP="00B24BED">
            <w:pPr>
              <w:pStyle w:val="TableTextRight"/>
            </w:pPr>
            <w:r w:rsidRPr="00C70051">
              <w:t>25</w:t>
            </w:r>
          </w:p>
        </w:tc>
      </w:tr>
      <w:tr w:rsidR="00670ED1" w14:paraId="318F2E4C" w14:textId="77777777" w:rsidTr="00D54E2A">
        <w:tc>
          <w:tcPr>
            <w:tcW w:w="1313" w:type="pct"/>
          </w:tcPr>
          <w:p w14:paraId="16EBA202" w14:textId="5C5B369F" w:rsidR="00BD2617" w:rsidRDefault="00BD2617" w:rsidP="009A345B">
            <w:pPr>
              <w:pStyle w:val="TableTextLeft"/>
            </w:pPr>
            <w:r w:rsidRPr="00C70051">
              <w:t>Department of Home Affairs</w:t>
            </w:r>
          </w:p>
        </w:tc>
        <w:tc>
          <w:tcPr>
            <w:tcW w:w="903" w:type="pct"/>
          </w:tcPr>
          <w:p w14:paraId="68B2D867" w14:textId="324B67C6" w:rsidR="00BD2617" w:rsidRDefault="00BD2617" w:rsidP="00B24BED">
            <w:pPr>
              <w:pStyle w:val="TableTextRight"/>
            </w:pPr>
            <w:r w:rsidRPr="00C70051">
              <w:rPr>
                <w:szCs w:val="18"/>
              </w:rPr>
              <w:t>97</w:t>
            </w:r>
          </w:p>
        </w:tc>
        <w:tc>
          <w:tcPr>
            <w:tcW w:w="903" w:type="pct"/>
          </w:tcPr>
          <w:p w14:paraId="3024D1AB" w14:textId="11D8F3FE" w:rsidR="00BD2617" w:rsidRDefault="00BD2617" w:rsidP="00B24BED">
            <w:pPr>
              <w:pStyle w:val="TableTextRight"/>
            </w:pPr>
            <w:r w:rsidRPr="00C70051">
              <w:rPr>
                <w:szCs w:val="18"/>
              </w:rPr>
              <w:t>91</w:t>
            </w:r>
          </w:p>
        </w:tc>
        <w:tc>
          <w:tcPr>
            <w:tcW w:w="977" w:type="pct"/>
          </w:tcPr>
          <w:p w14:paraId="0F8C5654" w14:textId="4B1521AD" w:rsidR="00BD2617" w:rsidRDefault="00BD2617" w:rsidP="00B24BED">
            <w:pPr>
              <w:pStyle w:val="TableTextRight"/>
            </w:pPr>
            <w:r w:rsidRPr="00C70051">
              <w:rPr>
                <w:szCs w:val="18"/>
              </w:rPr>
              <w:t>100</w:t>
            </w:r>
          </w:p>
        </w:tc>
        <w:tc>
          <w:tcPr>
            <w:tcW w:w="903" w:type="pct"/>
          </w:tcPr>
          <w:p w14:paraId="15D899C1" w14:textId="04B9D1DA" w:rsidR="00BD2617" w:rsidRDefault="00BD2617" w:rsidP="00B24BED">
            <w:pPr>
              <w:pStyle w:val="TableTextRight"/>
            </w:pPr>
            <w:r w:rsidRPr="00C70051">
              <w:rPr>
                <w:szCs w:val="18"/>
              </w:rPr>
              <w:t>100</w:t>
            </w:r>
          </w:p>
        </w:tc>
      </w:tr>
      <w:tr w:rsidR="00670ED1" w14:paraId="212DCE05" w14:textId="77777777" w:rsidTr="00D54E2A">
        <w:tc>
          <w:tcPr>
            <w:tcW w:w="1313" w:type="pct"/>
          </w:tcPr>
          <w:p w14:paraId="5CEFE164" w14:textId="67B4502A" w:rsidR="00BD2617" w:rsidRDefault="00BD2617" w:rsidP="009A345B">
            <w:pPr>
              <w:pStyle w:val="TableTextLeft"/>
            </w:pPr>
            <w:r w:rsidRPr="00C70051">
              <w:t xml:space="preserve">Department of Industry, Science and Resources </w:t>
            </w:r>
          </w:p>
        </w:tc>
        <w:tc>
          <w:tcPr>
            <w:tcW w:w="903" w:type="pct"/>
          </w:tcPr>
          <w:p w14:paraId="79A6939D" w14:textId="0B744F66" w:rsidR="00BD2617" w:rsidRDefault="00BD2617" w:rsidP="00B24BED">
            <w:pPr>
              <w:pStyle w:val="TableTextRight"/>
            </w:pPr>
            <w:r w:rsidRPr="00C70051">
              <w:t>93</w:t>
            </w:r>
          </w:p>
        </w:tc>
        <w:tc>
          <w:tcPr>
            <w:tcW w:w="903" w:type="pct"/>
          </w:tcPr>
          <w:p w14:paraId="0679E985" w14:textId="0816C45D" w:rsidR="00BD2617" w:rsidRDefault="00BD2617" w:rsidP="00B24BED">
            <w:pPr>
              <w:pStyle w:val="TableTextRight"/>
            </w:pPr>
            <w:r w:rsidRPr="00C70051">
              <w:t>92</w:t>
            </w:r>
          </w:p>
        </w:tc>
        <w:tc>
          <w:tcPr>
            <w:tcW w:w="977" w:type="pct"/>
          </w:tcPr>
          <w:p w14:paraId="0E0053FC" w14:textId="6C77E220" w:rsidR="00BD2617" w:rsidRDefault="00BD2617" w:rsidP="00B24BED">
            <w:pPr>
              <w:pStyle w:val="TableTextRight"/>
            </w:pPr>
            <w:r w:rsidRPr="00C70051">
              <w:t>64</w:t>
            </w:r>
          </w:p>
        </w:tc>
        <w:tc>
          <w:tcPr>
            <w:tcW w:w="903" w:type="pct"/>
          </w:tcPr>
          <w:p w14:paraId="3DA294A8" w14:textId="4E2AC442" w:rsidR="00BD2617" w:rsidRDefault="00BD2617" w:rsidP="00B24BED">
            <w:pPr>
              <w:pStyle w:val="TableTextRight"/>
            </w:pPr>
            <w:r w:rsidRPr="00C70051">
              <w:t>7</w:t>
            </w:r>
            <w:r>
              <w:t>4</w:t>
            </w:r>
          </w:p>
        </w:tc>
      </w:tr>
      <w:tr w:rsidR="00670ED1" w14:paraId="6E6A8ADE" w14:textId="77777777" w:rsidTr="00D54E2A">
        <w:tc>
          <w:tcPr>
            <w:tcW w:w="1313" w:type="pct"/>
          </w:tcPr>
          <w:p w14:paraId="75455940" w14:textId="59B801B3" w:rsidR="00BD2617" w:rsidRDefault="00BD2617" w:rsidP="009A345B">
            <w:pPr>
              <w:pStyle w:val="TableTextLeft"/>
            </w:pPr>
            <w:r w:rsidRPr="00C70051">
              <w:t>Department of Infrastructure, Transport, Regional Development, Communications and the Arts</w:t>
            </w:r>
          </w:p>
        </w:tc>
        <w:tc>
          <w:tcPr>
            <w:tcW w:w="903" w:type="pct"/>
          </w:tcPr>
          <w:p w14:paraId="007DD860" w14:textId="0326152F" w:rsidR="00BD2617" w:rsidRDefault="00BD2617" w:rsidP="00B24BED">
            <w:pPr>
              <w:pStyle w:val="TableTextRight"/>
            </w:pPr>
            <w:r w:rsidRPr="00C70051">
              <w:rPr>
                <w:szCs w:val="18"/>
              </w:rPr>
              <w:t>89</w:t>
            </w:r>
          </w:p>
        </w:tc>
        <w:tc>
          <w:tcPr>
            <w:tcW w:w="903" w:type="pct"/>
          </w:tcPr>
          <w:p w14:paraId="76E2928B" w14:textId="670767CA" w:rsidR="00BD2617" w:rsidRDefault="00BD2617" w:rsidP="00B24BED">
            <w:pPr>
              <w:pStyle w:val="TableTextRight"/>
            </w:pPr>
            <w:r w:rsidRPr="00C70051">
              <w:rPr>
                <w:szCs w:val="18"/>
              </w:rPr>
              <w:t>86</w:t>
            </w:r>
          </w:p>
        </w:tc>
        <w:tc>
          <w:tcPr>
            <w:tcW w:w="977" w:type="pct"/>
          </w:tcPr>
          <w:p w14:paraId="6D1CDD20" w14:textId="2225A7AC" w:rsidR="00BD2617" w:rsidRDefault="00BD2617" w:rsidP="00B24BED">
            <w:pPr>
              <w:pStyle w:val="TableTextRight"/>
            </w:pPr>
            <w:r w:rsidRPr="00C70051">
              <w:rPr>
                <w:szCs w:val="18"/>
              </w:rPr>
              <w:t>67</w:t>
            </w:r>
          </w:p>
        </w:tc>
        <w:tc>
          <w:tcPr>
            <w:tcW w:w="903" w:type="pct"/>
          </w:tcPr>
          <w:p w14:paraId="075BF8F5" w14:textId="199E428F" w:rsidR="00BD2617" w:rsidRDefault="00BD2617" w:rsidP="00B24BED">
            <w:pPr>
              <w:pStyle w:val="TableTextRight"/>
            </w:pPr>
            <w:r w:rsidRPr="00C70051">
              <w:rPr>
                <w:szCs w:val="18"/>
              </w:rPr>
              <w:t>99</w:t>
            </w:r>
          </w:p>
        </w:tc>
      </w:tr>
      <w:tr w:rsidR="00670ED1" w14:paraId="327D563E" w14:textId="77777777" w:rsidTr="00D54E2A">
        <w:tc>
          <w:tcPr>
            <w:tcW w:w="1313" w:type="pct"/>
          </w:tcPr>
          <w:p w14:paraId="085E6BE0" w14:textId="676C2FF4" w:rsidR="00BD2617" w:rsidRDefault="00BD2617" w:rsidP="009A345B">
            <w:pPr>
              <w:pStyle w:val="TableTextLeft"/>
            </w:pPr>
            <w:r w:rsidRPr="00C70051">
              <w:t>Department of Parliamentary Services</w:t>
            </w:r>
          </w:p>
        </w:tc>
        <w:tc>
          <w:tcPr>
            <w:tcW w:w="903" w:type="pct"/>
          </w:tcPr>
          <w:p w14:paraId="295D225B" w14:textId="3C7892D6" w:rsidR="00BD2617" w:rsidRDefault="00BD2617" w:rsidP="00B24BED">
            <w:pPr>
              <w:pStyle w:val="TableTextRight"/>
            </w:pPr>
            <w:r w:rsidRPr="00C70051">
              <w:t>86</w:t>
            </w:r>
          </w:p>
        </w:tc>
        <w:tc>
          <w:tcPr>
            <w:tcW w:w="903" w:type="pct"/>
          </w:tcPr>
          <w:p w14:paraId="74FBB673" w14:textId="78A5E47F" w:rsidR="00BD2617" w:rsidRDefault="00BD2617" w:rsidP="00B24BED">
            <w:pPr>
              <w:pStyle w:val="TableTextRight"/>
            </w:pPr>
            <w:r w:rsidRPr="00C70051">
              <w:t>77</w:t>
            </w:r>
          </w:p>
        </w:tc>
        <w:tc>
          <w:tcPr>
            <w:tcW w:w="977" w:type="pct"/>
          </w:tcPr>
          <w:p w14:paraId="77935F39" w14:textId="4A478D79" w:rsidR="00BD2617" w:rsidRDefault="00FE70FB" w:rsidP="00B24BED">
            <w:pPr>
              <w:pStyle w:val="TableTextRight"/>
            </w:pPr>
            <w:r>
              <w:rPr>
                <w:szCs w:val="18"/>
              </w:rPr>
              <w:t>N/A</w:t>
            </w:r>
          </w:p>
        </w:tc>
        <w:tc>
          <w:tcPr>
            <w:tcW w:w="903" w:type="pct"/>
          </w:tcPr>
          <w:p w14:paraId="6BB8FAE0" w14:textId="02E610F2" w:rsidR="00BD2617" w:rsidRDefault="00BD2617" w:rsidP="00B24BED">
            <w:pPr>
              <w:pStyle w:val="TableTextRight"/>
            </w:pPr>
            <w:r w:rsidRPr="00C70051">
              <w:rPr>
                <w:szCs w:val="18"/>
              </w:rPr>
              <w:t>N/A</w:t>
            </w:r>
          </w:p>
        </w:tc>
      </w:tr>
      <w:tr w:rsidR="00670ED1" w14:paraId="5ADC68DA" w14:textId="77777777" w:rsidTr="00D54E2A">
        <w:tc>
          <w:tcPr>
            <w:tcW w:w="1313" w:type="pct"/>
          </w:tcPr>
          <w:p w14:paraId="0D624D89" w14:textId="4F24C105" w:rsidR="00BD2617" w:rsidRDefault="00BD2617" w:rsidP="009A345B">
            <w:pPr>
              <w:pStyle w:val="TableTextLeft"/>
            </w:pPr>
            <w:r w:rsidRPr="00C70051">
              <w:t>Department of Social Services</w:t>
            </w:r>
          </w:p>
        </w:tc>
        <w:tc>
          <w:tcPr>
            <w:tcW w:w="903" w:type="pct"/>
          </w:tcPr>
          <w:p w14:paraId="0F453F6A" w14:textId="500DC3FF" w:rsidR="00BD2617" w:rsidRDefault="00BD2617" w:rsidP="00B24BED">
            <w:pPr>
              <w:pStyle w:val="TableTextRight"/>
            </w:pPr>
            <w:r w:rsidRPr="00C70051">
              <w:rPr>
                <w:szCs w:val="18"/>
              </w:rPr>
              <w:t>98</w:t>
            </w:r>
          </w:p>
        </w:tc>
        <w:tc>
          <w:tcPr>
            <w:tcW w:w="903" w:type="pct"/>
          </w:tcPr>
          <w:p w14:paraId="6E9E7349" w14:textId="3B24DCB0" w:rsidR="00BD2617" w:rsidRDefault="00BD2617" w:rsidP="00B24BED">
            <w:pPr>
              <w:pStyle w:val="TableTextRight"/>
            </w:pPr>
            <w:r w:rsidRPr="00C70051">
              <w:rPr>
                <w:szCs w:val="18"/>
              </w:rPr>
              <w:t>96</w:t>
            </w:r>
          </w:p>
        </w:tc>
        <w:tc>
          <w:tcPr>
            <w:tcW w:w="977" w:type="pct"/>
          </w:tcPr>
          <w:p w14:paraId="4FB9B70C" w14:textId="1033179E" w:rsidR="00BD2617" w:rsidRDefault="00BD2617" w:rsidP="00B24BED">
            <w:pPr>
              <w:pStyle w:val="TableTextRight"/>
            </w:pPr>
            <w:r w:rsidRPr="00C70051">
              <w:rPr>
                <w:szCs w:val="18"/>
              </w:rPr>
              <w:t>81</w:t>
            </w:r>
          </w:p>
        </w:tc>
        <w:tc>
          <w:tcPr>
            <w:tcW w:w="903" w:type="pct"/>
          </w:tcPr>
          <w:p w14:paraId="22B02732" w14:textId="131DCD69" w:rsidR="00BD2617" w:rsidRDefault="00BD2617" w:rsidP="00B24BED">
            <w:pPr>
              <w:pStyle w:val="TableTextRight"/>
            </w:pPr>
            <w:r w:rsidRPr="00C70051">
              <w:rPr>
                <w:szCs w:val="18"/>
              </w:rPr>
              <w:t>44</w:t>
            </w:r>
          </w:p>
        </w:tc>
      </w:tr>
      <w:tr w:rsidR="00670ED1" w14:paraId="4607AD83" w14:textId="77777777" w:rsidTr="00D54E2A">
        <w:tc>
          <w:tcPr>
            <w:tcW w:w="1313" w:type="pct"/>
          </w:tcPr>
          <w:p w14:paraId="54AF5C2B" w14:textId="795DF3C8" w:rsidR="00BD2617" w:rsidRDefault="00BD2617" w:rsidP="009A345B">
            <w:pPr>
              <w:pStyle w:val="TableTextLeft"/>
            </w:pPr>
            <w:r w:rsidRPr="00C70051">
              <w:t>Department of the House of Representatives</w:t>
            </w:r>
          </w:p>
        </w:tc>
        <w:tc>
          <w:tcPr>
            <w:tcW w:w="903" w:type="pct"/>
          </w:tcPr>
          <w:p w14:paraId="666FC9D1" w14:textId="245E3A2B" w:rsidR="00BD2617" w:rsidRDefault="00BD2617" w:rsidP="00B24BED">
            <w:pPr>
              <w:pStyle w:val="TableTextRight"/>
            </w:pPr>
            <w:r w:rsidRPr="00C70051">
              <w:t>97</w:t>
            </w:r>
          </w:p>
        </w:tc>
        <w:tc>
          <w:tcPr>
            <w:tcW w:w="903" w:type="pct"/>
          </w:tcPr>
          <w:p w14:paraId="699E3BDA" w14:textId="4DEA367F" w:rsidR="00BD2617" w:rsidRDefault="00BD2617" w:rsidP="00B24BED">
            <w:pPr>
              <w:pStyle w:val="TableTextRight"/>
            </w:pPr>
            <w:r w:rsidRPr="00C70051">
              <w:t>99</w:t>
            </w:r>
          </w:p>
        </w:tc>
        <w:tc>
          <w:tcPr>
            <w:tcW w:w="977" w:type="pct"/>
          </w:tcPr>
          <w:p w14:paraId="766B0DBB" w14:textId="360B394B" w:rsidR="00BD2617" w:rsidRDefault="00FE70FB" w:rsidP="00B24BED">
            <w:pPr>
              <w:pStyle w:val="TableTextRight"/>
            </w:pPr>
            <w:r>
              <w:rPr>
                <w:szCs w:val="18"/>
              </w:rPr>
              <w:t>N/A</w:t>
            </w:r>
          </w:p>
        </w:tc>
        <w:tc>
          <w:tcPr>
            <w:tcW w:w="903" w:type="pct"/>
          </w:tcPr>
          <w:p w14:paraId="03FAC296" w14:textId="13DAF561" w:rsidR="00BD2617" w:rsidRDefault="00BD2617" w:rsidP="00B24BED">
            <w:pPr>
              <w:pStyle w:val="TableTextRight"/>
            </w:pPr>
            <w:r w:rsidRPr="00C70051">
              <w:rPr>
                <w:szCs w:val="18"/>
              </w:rPr>
              <w:t>N/A</w:t>
            </w:r>
          </w:p>
        </w:tc>
      </w:tr>
      <w:tr w:rsidR="00670ED1" w14:paraId="3655F331" w14:textId="77777777" w:rsidTr="00D54E2A">
        <w:tc>
          <w:tcPr>
            <w:tcW w:w="1313" w:type="pct"/>
          </w:tcPr>
          <w:p w14:paraId="2F985D32" w14:textId="52045577" w:rsidR="00BD2617" w:rsidRDefault="00BD2617" w:rsidP="009A345B">
            <w:pPr>
              <w:pStyle w:val="TableTextLeft"/>
            </w:pPr>
            <w:r w:rsidRPr="00C70051">
              <w:t>Department of the Prime Minister and Cabinet</w:t>
            </w:r>
          </w:p>
        </w:tc>
        <w:tc>
          <w:tcPr>
            <w:tcW w:w="903" w:type="pct"/>
          </w:tcPr>
          <w:p w14:paraId="033C2281" w14:textId="0B4F9E29" w:rsidR="00BD2617" w:rsidRDefault="00BD2617" w:rsidP="00B24BED">
            <w:pPr>
              <w:pStyle w:val="TableTextRight"/>
            </w:pPr>
            <w:r w:rsidRPr="00C70051">
              <w:rPr>
                <w:szCs w:val="18"/>
              </w:rPr>
              <w:t>100</w:t>
            </w:r>
          </w:p>
        </w:tc>
        <w:tc>
          <w:tcPr>
            <w:tcW w:w="903" w:type="pct"/>
          </w:tcPr>
          <w:p w14:paraId="35047273" w14:textId="08733BE7" w:rsidR="00BD2617" w:rsidRDefault="00BD2617" w:rsidP="00B24BED">
            <w:pPr>
              <w:pStyle w:val="TableTextRight"/>
            </w:pPr>
            <w:r w:rsidRPr="00C70051">
              <w:rPr>
                <w:szCs w:val="18"/>
              </w:rPr>
              <w:t>100</w:t>
            </w:r>
          </w:p>
        </w:tc>
        <w:tc>
          <w:tcPr>
            <w:tcW w:w="977" w:type="pct"/>
          </w:tcPr>
          <w:p w14:paraId="06A7797A" w14:textId="47CDB873" w:rsidR="00BD2617" w:rsidRDefault="00BD2617" w:rsidP="00B24BED">
            <w:pPr>
              <w:pStyle w:val="TableTextRight"/>
            </w:pPr>
            <w:r w:rsidRPr="00C70051">
              <w:rPr>
                <w:szCs w:val="18"/>
              </w:rPr>
              <w:t>100</w:t>
            </w:r>
          </w:p>
        </w:tc>
        <w:tc>
          <w:tcPr>
            <w:tcW w:w="903" w:type="pct"/>
          </w:tcPr>
          <w:p w14:paraId="61EC03AD" w14:textId="3A2A0213" w:rsidR="00BD2617" w:rsidRDefault="00BD2617" w:rsidP="00B24BED">
            <w:pPr>
              <w:pStyle w:val="TableTextRight"/>
            </w:pPr>
            <w:r w:rsidRPr="00C70051">
              <w:rPr>
                <w:szCs w:val="18"/>
              </w:rPr>
              <w:t>100</w:t>
            </w:r>
          </w:p>
        </w:tc>
      </w:tr>
      <w:tr w:rsidR="00670ED1" w14:paraId="27081AC4" w14:textId="77777777" w:rsidTr="00D54E2A">
        <w:tc>
          <w:tcPr>
            <w:tcW w:w="1313" w:type="pct"/>
          </w:tcPr>
          <w:p w14:paraId="1A5F757F" w14:textId="789E54C3" w:rsidR="00BD2617" w:rsidRPr="00E40B7B" w:rsidRDefault="00BD2617" w:rsidP="009A345B">
            <w:pPr>
              <w:pStyle w:val="TableTextLeft"/>
            </w:pPr>
            <w:r w:rsidRPr="00E40B7B">
              <w:t>Department of the Senate</w:t>
            </w:r>
          </w:p>
        </w:tc>
        <w:tc>
          <w:tcPr>
            <w:tcW w:w="903" w:type="pct"/>
          </w:tcPr>
          <w:p w14:paraId="5B2B42AE" w14:textId="6D26B014" w:rsidR="00BD2617" w:rsidRDefault="00BD2617" w:rsidP="00B24BED">
            <w:pPr>
              <w:pStyle w:val="TableTextRight"/>
            </w:pPr>
            <w:r w:rsidRPr="00C70051">
              <w:t>95</w:t>
            </w:r>
          </w:p>
        </w:tc>
        <w:tc>
          <w:tcPr>
            <w:tcW w:w="903" w:type="pct"/>
          </w:tcPr>
          <w:p w14:paraId="25A9FA3C" w14:textId="003DD732" w:rsidR="00BD2617" w:rsidRDefault="00BD2617" w:rsidP="00B24BED">
            <w:pPr>
              <w:pStyle w:val="TableTextRight"/>
            </w:pPr>
            <w:r w:rsidRPr="00C70051">
              <w:t>98</w:t>
            </w:r>
          </w:p>
        </w:tc>
        <w:tc>
          <w:tcPr>
            <w:tcW w:w="977" w:type="pct"/>
          </w:tcPr>
          <w:p w14:paraId="04F18E4A" w14:textId="5F754A3E" w:rsidR="00BD2617" w:rsidRDefault="00BD2617" w:rsidP="00B24BED">
            <w:pPr>
              <w:pStyle w:val="TableTextRight"/>
            </w:pPr>
            <w:r w:rsidRPr="00C70051">
              <w:rPr>
                <w:szCs w:val="18"/>
              </w:rPr>
              <w:t>0</w:t>
            </w:r>
          </w:p>
        </w:tc>
        <w:tc>
          <w:tcPr>
            <w:tcW w:w="903" w:type="pct"/>
          </w:tcPr>
          <w:p w14:paraId="41EC7317" w14:textId="54E20E33" w:rsidR="00BD2617" w:rsidRDefault="005C20A2" w:rsidP="00B24BED">
            <w:pPr>
              <w:pStyle w:val="TableTextRight"/>
            </w:pPr>
            <w:r w:rsidRPr="005C20A2">
              <w:rPr>
                <w:szCs w:val="18"/>
              </w:rPr>
              <w:t>0</w:t>
            </w:r>
          </w:p>
        </w:tc>
      </w:tr>
      <w:tr w:rsidR="00670ED1" w14:paraId="71F7F822" w14:textId="77777777" w:rsidTr="00D54E2A">
        <w:tc>
          <w:tcPr>
            <w:tcW w:w="1313" w:type="pct"/>
          </w:tcPr>
          <w:p w14:paraId="7CF789C5" w14:textId="7C119F85" w:rsidR="00BD2617" w:rsidRDefault="00BD2617" w:rsidP="009A345B">
            <w:pPr>
              <w:pStyle w:val="TableTextLeft"/>
            </w:pPr>
            <w:r w:rsidRPr="00C70051">
              <w:t>Department of the Treasury</w:t>
            </w:r>
            <w:r w:rsidRPr="00C70051">
              <w:rPr>
                <w:rFonts w:ascii="Calibri" w:hAnsi="Calibri" w:cs="Calibri"/>
                <w:sz w:val="16"/>
                <w:szCs w:val="16"/>
              </w:rPr>
              <w:t> </w:t>
            </w:r>
          </w:p>
        </w:tc>
        <w:tc>
          <w:tcPr>
            <w:tcW w:w="903" w:type="pct"/>
          </w:tcPr>
          <w:p w14:paraId="3F6D5017" w14:textId="4B21BB7C" w:rsidR="00BD2617" w:rsidRDefault="00BD2617" w:rsidP="00B24BED">
            <w:pPr>
              <w:pStyle w:val="TableTextRight"/>
            </w:pPr>
            <w:r w:rsidRPr="00C70051">
              <w:rPr>
                <w:szCs w:val="18"/>
              </w:rPr>
              <w:t>95</w:t>
            </w:r>
          </w:p>
        </w:tc>
        <w:tc>
          <w:tcPr>
            <w:tcW w:w="903" w:type="pct"/>
          </w:tcPr>
          <w:p w14:paraId="5FA65034" w14:textId="68225BC9" w:rsidR="00BD2617" w:rsidRDefault="00BD2617" w:rsidP="00B24BED">
            <w:pPr>
              <w:pStyle w:val="TableTextRight"/>
            </w:pPr>
            <w:r w:rsidRPr="00C70051">
              <w:rPr>
                <w:szCs w:val="18"/>
              </w:rPr>
              <w:t>94</w:t>
            </w:r>
          </w:p>
        </w:tc>
        <w:tc>
          <w:tcPr>
            <w:tcW w:w="977" w:type="pct"/>
          </w:tcPr>
          <w:p w14:paraId="0A5FD088" w14:textId="092822C3" w:rsidR="00BD2617" w:rsidRDefault="00BD2617" w:rsidP="00B24BED">
            <w:pPr>
              <w:pStyle w:val="TableTextRight"/>
            </w:pPr>
            <w:r w:rsidRPr="00C70051">
              <w:rPr>
                <w:szCs w:val="18"/>
              </w:rPr>
              <w:t>100</w:t>
            </w:r>
          </w:p>
        </w:tc>
        <w:tc>
          <w:tcPr>
            <w:tcW w:w="903" w:type="pct"/>
          </w:tcPr>
          <w:p w14:paraId="18CFABA1" w14:textId="63CA462A" w:rsidR="00BD2617" w:rsidRDefault="00BD2617" w:rsidP="00B24BED">
            <w:pPr>
              <w:pStyle w:val="TableTextRight"/>
            </w:pPr>
            <w:r w:rsidRPr="00C70051">
              <w:rPr>
                <w:szCs w:val="18"/>
              </w:rPr>
              <w:t>100</w:t>
            </w:r>
          </w:p>
        </w:tc>
      </w:tr>
      <w:tr w:rsidR="00670ED1" w14:paraId="0400F445" w14:textId="77777777" w:rsidTr="00D54E2A">
        <w:tc>
          <w:tcPr>
            <w:tcW w:w="1313" w:type="pct"/>
          </w:tcPr>
          <w:p w14:paraId="50F7167A" w14:textId="3E46625A" w:rsidR="00BD2617" w:rsidRDefault="00BD2617" w:rsidP="009A345B">
            <w:pPr>
              <w:pStyle w:val="TableTextLeft"/>
            </w:pPr>
            <w:r w:rsidRPr="00C70051">
              <w:t>Department of Veterans</w:t>
            </w:r>
            <w:r w:rsidR="00153E34">
              <w:t>’</w:t>
            </w:r>
            <w:r w:rsidRPr="00C70051">
              <w:t xml:space="preserve"> Affairs</w:t>
            </w:r>
          </w:p>
        </w:tc>
        <w:tc>
          <w:tcPr>
            <w:tcW w:w="903" w:type="pct"/>
          </w:tcPr>
          <w:p w14:paraId="32263657" w14:textId="3471BBB1" w:rsidR="00BD2617" w:rsidRDefault="00BD2617" w:rsidP="00B24BED">
            <w:pPr>
              <w:pStyle w:val="TableTextRight"/>
            </w:pPr>
            <w:r w:rsidRPr="00C70051">
              <w:rPr>
                <w:szCs w:val="18"/>
              </w:rPr>
              <w:t>89</w:t>
            </w:r>
          </w:p>
        </w:tc>
        <w:tc>
          <w:tcPr>
            <w:tcW w:w="903" w:type="pct"/>
          </w:tcPr>
          <w:p w14:paraId="7EFF7048" w14:textId="0A3A42C8" w:rsidR="00BD2617" w:rsidRDefault="00BD2617" w:rsidP="00B24BED">
            <w:pPr>
              <w:pStyle w:val="TableTextRight"/>
            </w:pPr>
            <w:r w:rsidRPr="00C70051">
              <w:rPr>
                <w:szCs w:val="18"/>
              </w:rPr>
              <w:t>89</w:t>
            </w:r>
          </w:p>
        </w:tc>
        <w:tc>
          <w:tcPr>
            <w:tcW w:w="977" w:type="pct"/>
          </w:tcPr>
          <w:p w14:paraId="288381B4" w14:textId="67A1C005" w:rsidR="00BD2617" w:rsidRDefault="00FE70FB" w:rsidP="00B24BED">
            <w:pPr>
              <w:pStyle w:val="TableTextRight"/>
            </w:pPr>
            <w:r>
              <w:rPr>
                <w:szCs w:val="18"/>
              </w:rPr>
              <w:t>N/A</w:t>
            </w:r>
          </w:p>
        </w:tc>
        <w:tc>
          <w:tcPr>
            <w:tcW w:w="903" w:type="pct"/>
          </w:tcPr>
          <w:p w14:paraId="5813A07E" w14:textId="1684042F" w:rsidR="00BD2617" w:rsidRDefault="00BD2617" w:rsidP="00B24BED">
            <w:pPr>
              <w:pStyle w:val="TableTextRight"/>
            </w:pPr>
            <w:r w:rsidRPr="00C70051">
              <w:rPr>
                <w:szCs w:val="18"/>
              </w:rPr>
              <w:t>N/A</w:t>
            </w:r>
          </w:p>
        </w:tc>
      </w:tr>
      <w:tr w:rsidR="00670ED1" w14:paraId="2493FD65" w14:textId="77777777" w:rsidTr="00D54E2A">
        <w:tc>
          <w:tcPr>
            <w:tcW w:w="1313" w:type="pct"/>
          </w:tcPr>
          <w:p w14:paraId="33A79D29" w14:textId="61A135D8" w:rsidR="00BD2617" w:rsidRDefault="00BD2617" w:rsidP="009A345B">
            <w:pPr>
              <w:pStyle w:val="TableTextLeft"/>
            </w:pPr>
            <w:r w:rsidRPr="00C70051">
              <w:t>Digital Transformation Agency</w:t>
            </w:r>
          </w:p>
        </w:tc>
        <w:tc>
          <w:tcPr>
            <w:tcW w:w="903" w:type="pct"/>
          </w:tcPr>
          <w:p w14:paraId="4044FA2C" w14:textId="009B9735" w:rsidR="00BD2617" w:rsidRDefault="00BD2617" w:rsidP="00B24BED">
            <w:pPr>
              <w:pStyle w:val="TableTextRight"/>
            </w:pPr>
            <w:r w:rsidRPr="00C70051">
              <w:t>93</w:t>
            </w:r>
          </w:p>
        </w:tc>
        <w:tc>
          <w:tcPr>
            <w:tcW w:w="903" w:type="pct"/>
          </w:tcPr>
          <w:p w14:paraId="313E4061" w14:textId="6C0489C5" w:rsidR="00BD2617" w:rsidRDefault="00BD2617" w:rsidP="00B24BED">
            <w:pPr>
              <w:pStyle w:val="TableTextRight"/>
            </w:pPr>
            <w:r w:rsidRPr="00C70051">
              <w:t>93</w:t>
            </w:r>
          </w:p>
        </w:tc>
        <w:tc>
          <w:tcPr>
            <w:tcW w:w="977" w:type="pct"/>
          </w:tcPr>
          <w:p w14:paraId="3C388D46" w14:textId="05262948" w:rsidR="00BD2617" w:rsidRDefault="00BD2617" w:rsidP="00B24BED">
            <w:pPr>
              <w:pStyle w:val="TableTextRight"/>
            </w:pPr>
            <w:r w:rsidRPr="00C70051">
              <w:t>61</w:t>
            </w:r>
          </w:p>
        </w:tc>
        <w:tc>
          <w:tcPr>
            <w:tcW w:w="903" w:type="pct"/>
          </w:tcPr>
          <w:p w14:paraId="60908D92" w14:textId="240A5E97" w:rsidR="00BD2617" w:rsidRDefault="00BD2617" w:rsidP="00B24BED">
            <w:pPr>
              <w:pStyle w:val="TableTextRight"/>
            </w:pPr>
            <w:r w:rsidRPr="00C70051">
              <w:t>53</w:t>
            </w:r>
          </w:p>
        </w:tc>
      </w:tr>
      <w:tr w:rsidR="00670ED1" w14:paraId="039CFCD7" w14:textId="77777777" w:rsidTr="00D54E2A">
        <w:tc>
          <w:tcPr>
            <w:tcW w:w="1313" w:type="pct"/>
          </w:tcPr>
          <w:p w14:paraId="5C6CDFFC" w14:textId="3CDB7982" w:rsidR="00BD2617" w:rsidRDefault="00BD2617" w:rsidP="009A345B">
            <w:pPr>
              <w:pStyle w:val="TableTextLeft"/>
            </w:pPr>
            <w:r w:rsidRPr="00C70051">
              <w:t>Fair Work Commission</w:t>
            </w:r>
          </w:p>
        </w:tc>
        <w:tc>
          <w:tcPr>
            <w:tcW w:w="903" w:type="pct"/>
          </w:tcPr>
          <w:p w14:paraId="57D9ADA6" w14:textId="4AD141F9" w:rsidR="00BD2617" w:rsidRDefault="00BD2617" w:rsidP="00B24BED">
            <w:pPr>
              <w:pStyle w:val="TableTextRight"/>
            </w:pPr>
            <w:r w:rsidRPr="00C70051">
              <w:rPr>
                <w:szCs w:val="18"/>
              </w:rPr>
              <w:t>99</w:t>
            </w:r>
          </w:p>
        </w:tc>
        <w:tc>
          <w:tcPr>
            <w:tcW w:w="903" w:type="pct"/>
          </w:tcPr>
          <w:p w14:paraId="54E790BF" w14:textId="58DCCDD0" w:rsidR="00BD2617" w:rsidRDefault="00BD2617" w:rsidP="00B24BED">
            <w:pPr>
              <w:pStyle w:val="TableTextRight"/>
            </w:pPr>
            <w:r w:rsidRPr="00C70051">
              <w:rPr>
                <w:szCs w:val="18"/>
              </w:rPr>
              <w:t>95</w:t>
            </w:r>
          </w:p>
        </w:tc>
        <w:tc>
          <w:tcPr>
            <w:tcW w:w="977" w:type="pct"/>
          </w:tcPr>
          <w:p w14:paraId="52A8C840" w14:textId="43506E7C" w:rsidR="00BD2617" w:rsidRDefault="00FE70FB" w:rsidP="00B24BED">
            <w:pPr>
              <w:pStyle w:val="TableTextRight"/>
            </w:pPr>
            <w:r>
              <w:rPr>
                <w:szCs w:val="18"/>
              </w:rPr>
              <w:t>N/A</w:t>
            </w:r>
          </w:p>
        </w:tc>
        <w:tc>
          <w:tcPr>
            <w:tcW w:w="903" w:type="pct"/>
          </w:tcPr>
          <w:p w14:paraId="3017296D" w14:textId="41F22009" w:rsidR="00BD2617" w:rsidRDefault="00BD2617" w:rsidP="00B24BED">
            <w:pPr>
              <w:pStyle w:val="TableTextRight"/>
            </w:pPr>
            <w:r w:rsidRPr="00C70051">
              <w:rPr>
                <w:szCs w:val="18"/>
              </w:rPr>
              <w:t>N/A</w:t>
            </w:r>
          </w:p>
        </w:tc>
      </w:tr>
      <w:tr w:rsidR="00670ED1" w14:paraId="126C9688" w14:textId="77777777" w:rsidTr="00D54E2A">
        <w:tc>
          <w:tcPr>
            <w:tcW w:w="1313" w:type="pct"/>
          </w:tcPr>
          <w:p w14:paraId="389C6719" w14:textId="00C3C1BB" w:rsidR="00BD2617" w:rsidRDefault="00BD2617" w:rsidP="009A345B">
            <w:pPr>
              <w:pStyle w:val="TableTextLeft"/>
            </w:pPr>
            <w:r w:rsidRPr="00C70051">
              <w:t xml:space="preserve">Fair Work Ombudsman and Registered Organisations Commission Entity </w:t>
            </w:r>
          </w:p>
        </w:tc>
        <w:tc>
          <w:tcPr>
            <w:tcW w:w="903" w:type="pct"/>
          </w:tcPr>
          <w:p w14:paraId="632BFD40" w14:textId="70EBC8D8" w:rsidR="00BD2617" w:rsidRDefault="00BD2617" w:rsidP="00B24BED">
            <w:pPr>
              <w:pStyle w:val="TableTextRight"/>
            </w:pPr>
            <w:r w:rsidRPr="00C70051">
              <w:t>91</w:t>
            </w:r>
          </w:p>
        </w:tc>
        <w:tc>
          <w:tcPr>
            <w:tcW w:w="903" w:type="pct"/>
          </w:tcPr>
          <w:p w14:paraId="299F71EB" w14:textId="2085033A" w:rsidR="00BD2617" w:rsidRDefault="00BD2617" w:rsidP="00B24BED">
            <w:pPr>
              <w:pStyle w:val="TableTextRight"/>
            </w:pPr>
            <w:r w:rsidRPr="00C70051">
              <w:t>84</w:t>
            </w:r>
          </w:p>
        </w:tc>
        <w:tc>
          <w:tcPr>
            <w:tcW w:w="977" w:type="pct"/>
          </w:tcPr>
          <w:p w14:paraId="64E20CE6" w14:textId="7FAB6FBF" w:rsidR="00BD2617" w:rsidRDefault="00FE70FB" w:rsidP="00B24BED">
            <w:pPr>
              <w:pStyle w:val="TableTextRight"/>
            </w:pPr>
            <w:r>
              <w:rPr>
                <w:szCs w:val="18"/>
              </w:rPr>
              <w:t>N/A</w:t>
            </w:r>
          </w:p>
        </w:tc>
        <w:tc>
          <w:tcPr>
            <w:tcW w:w="903" w:type="pct"/>
          </w:tcPr>
          <w:p w14:paraId="4F15CD2A" w14:textId="1B9E4AE8" w:rsidR="00BD2617" w:rsidRDefault="00BD2617" w:rsidP="00B24BED">
            <w:pPr>
              <w:pStyle w:val="TableTextRight"/>
            </w:pPr>
            <w:r w:rsidRPr="00C70051">
              <w:rPr>
                <w:szCs w:val="18"/>
              </w:rPr>
              <w:t>N/A</w:t>
            </w:r>
          </w:p>
        </w:tc>
      </w:tr>
      <w:tr w:rsidR="00670ED1" w14:paraId="26F662FB" w14:textId="77777777" w:rsidTr="00D54E2A">
        <w:tc>
          <w:tcPr>
            <w:tcW w:w="1313" w:type="pct"/>
          </w:tcPr>
          <w:p w14:paraId="6AD7A3D0" w14:textId="22AC70B0" w:rsidR="00BD2617" w:rsidRDefault="00BD2617" w:rsidP="009A345B">
            <w:pPr>
              <w:pStyle w:val="TableTextLeft"/>
            </w:pPr>
            <w:r w:rsidRPr="00C70051">
              <w:t>Federal Court of Australia</w:t>
            </w:r>
          </w:p>
        </w:tc>
        <w:tc>
          <w:tcPr>
            <w:tcW w:w="903" w:type="pct"/>
          </w:tcPr>
          <w:p w14:paraId="6DB45C8B" w14:textId="4C6BD193" w:rsidR="00BD2617" w:rsidRDefault="00BD2617" w:rsidP="00B24BED">
            <w:pPr>
              <w:pStyle w:val="TableTextRight"/>
            </w:pPr>
            <w:r w:rsidRPr="00C70051">
              <w:t>93</w:t>
            </w:r>
          </w:p>
        </w:tc>
        <w:tc>
          <w:tcPr>
            <w:tcW w:w="903" w:type="pct"/>
          </w:tcPr>
          <w:p w14:paraId="3B4F359C" w14:textId="5F53D2BC" w:rsidR="00BD2617" w:rsidRDefault="00BD2617" w:rsidP="00B24BED">
            <w:pPr>
              <w:pStyle w:val="TableTextRight"/>
            </w:pPr>
            <w:r w:rsidRPr="00C70051">
              <w:t>9</w:t>
            </w:r>
            <w:r>
              <w:t>1</w:t>
            </w:r>
          </w:p>
        </w:tc>
        <w:tc>
          <w:tcPr>
            <w:tcW w:w="977" w:type="pct"/>
          </w:tcPr>
          <w:p w14:paraId="68C877EA" w14:textId="6EEAF762" w:rsidR="00BD2617" w:rsidRDefault="00FE70FB" w:rsidP="00B24BED">
            <w:pPr>
              <w:pStyle w:val="TableTextRight"/>
            </w:pPr>
            <w:r>
              <w:rPr>
                <w:szCs w:val="18"/>
              </w:rPr>
              <w:t>N/A</w:t>
            </w:r>
          </w:p>
        </w:tc>
        <w:tc>
          <w:tcPr>
            <w:tcW w:w="903" w:type="pct"/>
          </w:tcPr>
          <w:p w14:paraId="6DAD2878" w14:textId="7CA812FD" w:rsidR="00BD2617" w:rsidRDefault="00BD2617" w:rsidP="00B24BED">
            <w:pPr>
              <w:pStyle w:val="TableTextRight"/>
            </w:pPr>
            <w:r w:rsidRPr="00C70051">
              <w:rPr>
                <w:szCs w:val="18"/>
              </w:rPr>
              <w:t>N/A</w:t>
            </w:r>
          </w:p>
        </w:tc>
      </w:tr>
      <w:tr w:rsidR="00670ED1" w14:paraId="00DD266D" w14:textId="77777777" w:rsidTr="00D54E2A">
        <w:tc>
          <w:tcPr>
            <w:tcW w:w="1313" w:type="pct"/>
          </w:tcPr>
          <w:p w14:paraId="553FF380" w14:textId="56ED7EFA" w:rsidR="00BD2617" w:rsidRDefault="00BD2617" w:rsidP="009A345B">
            <w:pPr>
              <w:pStyle w:val="TableTextLeft"/>
            </w:pPr>
            <w:r w:rsidRPr="00C70051">
              <w:t>Future Fund Management Agency</w:t>
            </w:r>
          </w:p>
        </w:tc>
        <w:tc>
          <w:tcPr>
            <w:tcW w:w="903" w:type="pct"/>
          </w:tcPr>
          <w:p w14:paraId="116D57CF" w14:textId="702D1B74" w:rsidR="00BD2617" w:rsidRDefault="00BD2617" w:rsidP="00B24BED">
            <w:pPr>
              <w:pStyle w:val="TableTextRight"/>
            </w:pPr>
            <w:r w:rsidRPr="00C70051">
              <w:rPr>
                <w:szCs w:val="18"/>
              </w:rPr>
              <w:t>79</w:t>
            </w:r>
          </w:p>
        </w:tc>
        <w:tc>
          <w:tcPr>
            <w:tcW w:w="903" w:type="pct"/>
          </w:tcPr>
          <w:p w14:paraId="2ACE5FAA" w14:textId="0D831ACB" w:rsidR="00BD2617" w:rsidRDefault="00BD2617" w:rsidP="00B24BED">
            <w:pPr>
              <w:pStyle w:val="TableTextRight"/>
            </w:pPr>
            <w:r w:rsidRPr="00C70051">
              <w:rPr>
                <w:szCs w:val="18"/>
              </w:rPr>
              <w:t>77</w:t>
            </w:r>
          </w:p>
        </w:tc>
        <w:tc>
          <w:tcPr>
            <w:tcW w:w="977" w:type="pct"/>
          </w:tcPr>
          <w:p w14:paraId="4A38D0D4" w14:textId="47215453" w:rsidR="00BD2617" w:rsidRDefault="00FE70FB" w:rsidP="00B24BED">
            <w:pPr>
              <w:pStyle w:val="TableTextRight"/>
            </w:pPr>
            <w:r>
              <w:rPr>
                <w:szCs w:val="18"/>
              </w:rPr>
              <w:t>N/A</w:t>
            </w:r>
          </w:p>
        </w:tc>
        <w:tc>
          <w:tcPr>
            <w:tcW w:w="903" w:type="pct"/>
          </w:tcPr>
          <w:p w14:paraId="00B02737" w14:textId="2D27819F" w:rsidR="00BD2617" w:rsidRDefault="00BD2617" w:rsidP="00B24BED">
            <w:pPr>
              <w:pStyle w:val="TableTextRight"/>
            </w:pPr>
            <w:r w:rsidRPr="00C70051">
              <w:rPr>
                <w:szCs w:val="18"/>
              </w:rPr>
              <w:t>N/A</w:t>
            </w:r>
          </w:p>
        </w:tc>
      </w:tr>
      <w:tr w:rsidR="00670ED1" w14:paraId="25ADD136" w14:textId="77777777" w:rsidTr="00D54E2A">
        <w:tc>
          <w:tcPr>
            <w:tcW w:w="1313" w:type="pct"/>
          </w:tcPr>
          <w:p w14:paraId="3F17D4FA" w14:textId="5FA47937" w:rsidR="00BD2617" w:rsidRDefault="00BD2617" w:rsidP="009A345B">
            <w:pPr>
              <w:pStyle w:val="TableTextLeft"/>
            </w:pPr>
            <w:r w:rsidRPr="00C70051">
              <w:t>Geoscience Australia</w:t>
            </w:r>
          </w:p>
        </w:tc>
        <w:tc>
          <w:tcPr>
            <w:tcW w:w="903" w:type="pct"/>
          </w:tcPr>
          <w:p w14:paraId="105254B3" w14:textId="43CB259F" w:rsidR="00BD2617" w:rsidRDefault="00BD2617" w:rsidP="00B24BED">
            <w:pPr>
              <w:pStyle w:val="TableTextRight"/>
            </w:pPr>
            <w:r w:rsidRPr="00C70051">
              <w:rPr>
                <w:szCs w:val="18"/>
              </w:rPr>
              <w:t>90</w:t>
            </w:r>
          </w:p>
        </w:tc>
        <w:tc>
          <w:tcPr>
            <w:tcW w:w="903" w:type="pct"/>
          </w:tcPr>
          <w:p w14:paraId="41880209" w14:textId="636F1B27" w:rsidR="00BD2617" w:rsidRDefault="00BD2617" w:rsidP="00B24BED">
            <w:pPr>
              <w:pStyle w:val="TableTextRight"/>
            </w:pPr>
            <w:r w:rsidRPr="00C70051">
              <w:rPr>
                <w:szCs w:val="18"/>
              </w:rPr>
              <w:t>89</w:t>
            </w:r>
          </w:p>
        </w:tc>
        <w:tc>
          <w:tcPr>
            <w:tcW w:w="977" w:type="pct"/>
          </w:tcPr>
          <w:p w14:paraId="19C2F727" w14:textId="38719191" w:rsidR="00BD2617" w:rsidRDefault="00BD2617" w:rsidP="00B24BED">
            <w:pPr>
              <w:pStyle w:val="TableTextRight"/>
            </w:pPr>
            <w:r w:rsidRPr="00C70051">
              <w:rPr>
                <w:szCs w:val="18"/>
              </w:rPr>
              <w:t>100</w:t>
            </w:r>
          </w:p>
        </w:tc>
        <w:tc>
          <w:tcPr>
            <w:tcW w:w="903" w:type="pct"/>
          </w:tcPr>
          <w:p w14:paraId="67904B83" w14:textId="77EA3ED0" w:rsidR="00BD2617" w:rsidRDefault="00BD2617" w:rsidP="00B24BED">
            <w:pPr>
              <w:pStyle w:val="TableTextRight"/>
            </w:pPr>
            <w:r w:rsidRPr="00C70051">
              <w:rPr>
                <w:szCs w:val="18"/>
              </w:rPr>
              <w:t>100</w:t>
            </w:r>
          </w:p>
        </w:tc>
      </w:tr>
      <w:tr w:rsidR="00670ED1" w14:paraId="2D0DCC18" w14:textId="77777777" w:rsidTr="00D54E2A">
        <w:tc>
          <w:tcPr>
            <w:tcW w:w="1313" w:type="pct"/>
          </w:tcPr>
          <w:p w14:paraId="183FB852" w14:textId="7078BB47" w:rsidR="00BD2617" w:rsidRDefault="00BD2617" w:rsidP="009A345B">
            <w:pPr>
              <w:pStyle w:val="TableTextLeft"/>
            </w:pPr>
            <w:r w:rsidRPr="00C70051">
              <w:t>Great Barrier Reef Marine Park Authority</w:t>
            </w:r>
          </w:p>
        </w:tc>
        <w:tc>
          <w:tcPr>
            <w:tcW w:w="903" w:type="pct"/>
          </w:tcPr>
          <w:p w14:paraId="5F8EE200" w14:textId="62B58D99" w:rsidR="00BD2617" w:rsidRDefault="00BD2617" w:rsidP="00B24BED">
            <w:pPr>
              <w:pStyle w:val="TableTextRight"/>
            </w:pPr>
            <w:r w:rsidRPr="00C70051">
              <w:t>98</w:t>
            </w:r>
          </w:p>
        </w:tc>
        <w:tc>
          <w:tcPr>
            <w:tcW w:w="903" w:type="pct"/>
          </w:tcPr>
          <w:p w14:paraId="07810D65" w14:textId="6A061BB1" w:rsidR="00BD2617" w:rsidRDefault="00BD2617" w:rsidP="00B24BED">
            <w:pPr>
              <w:pStyle w:val="TableTextRight"/>
            </w:pPr>
            <w:r w:rsidRPr="00C70051">
              <w:t>98</w:t>
            </w:r>
          </w:p>
        </w:tc>
        <w:tc>
          <w:tcPr>
            <w:tcW w:w="977" w:type="pct"/>
          </w:tcPr>
          <w:p w14:paraId="7CEB84AC" w14:textId="076151D6" w:rsidR="00BD2617" w:rsidRDefault="00BD2617" w:rsidP="00B24BED">
            <w:pPr>
              <w:pStyle w:val="TableTextRight"/>
            </w:pPr>
            <w:r w:rsidRPr="00C70051">
              <w:rPr>
                <w:szCs w:val="18"/>
              </w:rPr>
              <w:t>100</w:t>
            </w:r>
          </w:p>
        </w:tc>
        <w:tc>
          <w:tcPr>
            <w:tcW w:w="903" w:type="pct"/>
          </w:tcPr>
          <w:p w14:paraId="724DC865" w14:textId="3B8D2DDF" w:rsidR="00BD2617" w:rsidRDefault="00BD2617" w:rsidP="00B24BED">
            <w:pPr>
              <w:pStyle w:val="TableTextRight"/>
            </w:pPr>
            <w:r w:rsidRPr="00C70051">
              <w:rPr>
                <w:szCs w:val="18"/>
              </w:rPr>
              <w:t>100</w:t>
            </w:r>
          </w:p>
        </w:tc>
      </w:tr>
      <w:tr w:rsidR="00670ED1" w14:paraId="25B12DFD" w14:textId="77777777" w:rsidTr="00D54E2A">
        <w:tc>
          <w:tcPr>
            <w:tcW w:w="1313" w:type="pct"/>
          </w:tcPr>
          <w:p w14:paraId="055B82DF" w14:textId="3225A785" w:rsidR="00BD2617" w:rsidRDefault="00BD2617" w:rsidP="009A345B">
            <w:pPr>
              <w:pStyle w:val="TableTextLeft"/>
            </w:pPr>
            <w:r w:rsidRPr="00C70051">
              <w:t xml:space="preserve">Independent Parliamentary Expenses Authority </w:t>
            </w:r>
          </w:p>
        </w:tc>
        <w:tc>
          <w:tcPr>
            <w:tcW w:w="903" w:type="pct"/>
          </w:tcPr>
          <w:p w14:paraId="22B869CC" w14:textId="6998552F" w:rsidR="00BD2617" w:rsidRDefault="00BD2617" w:rsidP="00B24BED">
            <w:pPr>
              <w:pStyle w:val="TableTextRight"/>
            </w:pPr>
            <w:r w:rsidRPr="00C70051">
              <w:rPr>
                <w:szCs w:val="18"/>
              </w:rPr>
              <w:t>98</w:t>
            </w:r>
          </w:p>
        </w:tc>
        <w:tc>
          <w:tcPr>
            <w:tcW w:w="903" w:type="pct"/>
          </w:tcPr>
          <w:p w14:paraId="17BF8736" w14:textId="1408CAF0" w:rsidR="00BD2617" w:rsidRDefault="00BD2617" w:rsidP="00B24BED">
            <w:pPr>
              <w:pStyle w:val="TableTextRight"/>
            </w:pPr>
            <w:r w:rsidRPr="00C70051">
              <w:rPr>
                <w:szCs w:val="18"/>
              </w:rPr>
              <w:t>97</w:t>
            </w:r>
          </w:p>
        </w:tc>
        <w:tc>
          <w:tcPr>
            <w:tcW w:w="977" w:type="pct"/>
          </w:tcPr>
          <w:p w14:paraId="29B2DCC3" w14:textId="305E0B04" w:rsidR="00BD2617" w:rsidRDefault="00BD2617" w:rsidP="00B24BED">
            <w:pPr>
              <w:pStyle w:val="TableTextRight"/>
            </w:pPr>
            <w:r w:rsidRPr="00C70051">
              <w:rPr>
                <w:szCs w:val="18"/>
              </w:rPr>
              <w:t>100</w:t>
            </w:r>
          </w:p>
        </w:tc>
        <w:tc>
          <w:tcPr>
            <w:tcW w:w="903" w:type="pct"/>
          </w:tcPr>
          <w:p w14:paraId="4DCBFCE1" w14:textId="22D96A47" w:rsidR="00BD2617" w:rsidRDefault="00BD2617" w:rsidP="00B24BED">
            <w:pPr>
              <w:pStyle w:val="TableTextRight"/>
            </w:pPr>
            <w:r w:rsidRPr="00C70051">
              <w:rPr>
                <w:szCs w:val="18"/>
              </w:rPr>
              <w:t>100</w:t>
            </w:r>
          </w:p>
        </w:tc>
      </w:tr>
      <w:tr w:rsidR="00670ED1" w14:paraId="4911F76A" w14:textId="77777777" w:rsidTr="00D54E2A">
        <w:tc>
          <w:tcPr>
            <w:tcW w:w="1313" w:type="pct"/>
          </w:tcPr>
          <w:p w14:paraId="193E0C1E" w14:textId="1BAC70E2" w:rsidR="00BD2617" w:rsidRDefault="00BD2617" w:rsidP="009A345B">
            <w:pPr>
              <w:pStyle w:val="TableTextLeft"/>
            </w:pPr>
            <w:r w:rsidRPr="00C70051">
              <w:t>Inspector</w:t>
            </w:r>
            <w:r w:rsidR="00153E34">
              <w:noBreakHyphen/>
            </w:r>
            <w:r w:rsidRPr="00C70051">
              <w:t>General of Taxation</w:t>
            </w:r>
          </w:p>
        </w:tc>
        <w:tc>
          <w:tcPr>
            <w:tcW w:w="903" w:type="pct"/>
          </w:tcPr>
          <w:p w14:paraId="7C63A021" w14:textId="61776675" w:rsidR="00BD2617" w:rsidRDefault="00BD2617" w:rsidP="00B24BED">
            <w:pPr>
              <w:pStyle w:val="TableTextRight"/>
            </w:pPr>
            <w:r w:rsidRPr="00C70051">
              <w:rPr>
                <w:szCs w:val="18"/>
              </w:rPr>
              <w:t>86</w:t>
            </w:r>
          </w:p>
        </w:tc>
        <w:tc>
          <w:tcPr>
            <w:tcW w:w="903" w:type="pct"/>
          </w:tcPr>
          <w:p w14:paraId="15030BE6" w14:textId="3CA2895F" w:rsidR="00BD2617" w:rsidRDefault="00BD2617" w:rsidP="00B24BED">
            <w:pPr>
              <w:pStyle w:val="TableTextRight"/>
            </w:pPr>
            <w:r w:rsidRPr="00C70051">
              <w:rPr>
                <w:szCs w:val="18"/>
              </w:rPr>
              <w:t>87</w:t>
            </w:r>
          </w:p>
        </w:tc>
        <w:tc>
          <w:tcPr>
            <w:tcW w:w="977" w:type="pct"/>
          </w:tcPr>
          <w:p w14:paraId="30EC3E6A" w14:textId="64ACD961" w:rsidR="00BD2617" w:rsidRDefault="00FE70FB" w:rsidP="00B24BED">
            <w:pPr>
              <w:pStyle w:val="TableTextRight"/>
            </w:pPr>
            <w:r>
              <w:rPr>
                <w:szCs w:val="18"/>
              </w:rPr>
              <w:t>N/A</w:t>
            </w:r>
          </w:p>
        </w:tc>
        <w:tc>
          <w:tcPr>
            <w:tcW w:w="903" w:type="pct"/>
          </w:tcPr>
          <w:p w14:paraId="72232366" w14:textId="47D5E173" w:rsidR="00BD2617" w:rsidRDefault="00BD2617" w:rsidP="00B24BED">
            <w:pPr>
              <w:pStyle w:val="TableTextRight"/>
            </w:pPr>
            <w:r w:rsidRPr="00C70051">
              <w:rPr>
                <w:szCs w:val="18"/>
              </w:rPr>
              <w:t>N/A</w:t>
            </w:r>
          </w:p>
        </w:tc>
      </w:tr>
      <w:tr w:rsidR="00670ED1" w14:paraId="35EA5F5F" w14:textId="77777777" w:rsidTr="00D54E2A">
        <w:tc>
          <w:tcPr>
            <w:tcW w:w="1313" w:type="pct"/>
          </w:tcPr>
          <w:p w14:paraId="514D84FC" w14:textId="7336D10A" w:rsidR="00BD2617" w:rsidRDefault="00BD2617" w:rsidP="009A345B">
            <w:pPr>
              <w:pStyle w:val="TableTextLeft"/>
            </w:pPr>
            <w:r w:rsidRPr="00C70051">
              <w:t>IP Australia</w:t>
            </w:r>
          </w:p>
        </w:tc>
        <w:tc>
          <w:tcPr>
            <w:tcW w:w="903" w:type="pct"/>
          </w:tcPr>
          <w:p w14:paraId="25F38B78" w14:textId="18FE6BCA" w:rsidR="00BD2617" w:rsidRDefault="00BD2617" w:rsidP="00B24BED">
            <w:pPr>
              <w:pStyle w:val="TableTextRight"/>
            </w:pPr>
            <w:r w:rsidRPr="00C70051">
              <w:t>100</w:t>
            </w:r>
          </w:p>
        </w:tc>
        <w:tc>
          <w:tcPr>
            <w:tcW w:w="903" w:type="pct"/>
          </w:tcPr>
          <w:p w14:paraId="0B3A3EDB" w14:textId="7379E14C" w:rsidR="00BD2617" w:rsidRDefault="00BD2617" w:rsidP="00B24BED">
            <w:pPr>
              <w:pStyle w:val="TableTextRight"/>
            </w:pPr>
            <w:r w:rsidRPr="00C70051">
              <w:t>100</w:t>
            </w:r>
          </w:p>
        </w:tc>
        <w:tc>
          <w:tcPr>
            <w:tcW w:w="977" w:type="pct"/>
          </w:tcPr>
          <w:p w14:paraId="548A1D3E" w14:textId="561C4749" w:rsidR="00BD2617" w:rsidRDefault="00FE70FB" w:rsidP="00B24BED">
            <w:pPr>
              <w:pStyle w:val="TableTextRight"/>
            </w:pPr>
            <w:r>
              <w:rPr>
                <w:szCs w:val="18"/>
              </w:rPr>
              <w:t>N/A</w:t>
            </w:r>
          </w:p>
        </w:tc>
        <w:tc>
          <w:tcPr>
            <w:tcW w:w="903" w:type="pct"/>
          </w:tcPr>
          <w:p w14:paraId="5190AA84" w14:textId="14A892D6" w:rsidR="00BD2617" w:rsidRDefault="00BD2617" w:rsidP="00B24BED">
            <w:pPr>
              <w:pStyle w:val="TableTextRight"/>
            </w:pPr>
            <w:r w:rsidRPr="00C70051">
              <w:rPr>
                <w:szCs w:val="18"/>
              </w:rPr>
              <w:t>N/A</w:t>
            </w:r>
          </w:p>
        </w:tc>
      </w:tr>
      <w:tr w:rsidR="00670ED1" w14:paraId="26130E5D" w14:textId="77777777" w:rsidTr="00D54E2A">
        <w:tc>
          <w:tcPr>
            <w:tcW w:w="1313" w:type="pct"/>
          </w:tcPr>
          <w:p w14:paraId="7B599C0B" w14:textId="2215CC73" w:rsidR="00BD2617" w:rsidRDefault="00BD2617" w:rsidP="009A345B">
            <w:pPr>
              <w:pStyle w:val="TableTextLeft"/>
            </w:pPr>
            <w:r w:rsidRPr="00C70051">
              <w:t>National Archives of Australia</w:t>
            </w:r>
          </w:p>
        </w:tc>
        <w:tc>
          <w:tcPr>
            <w:tcW w:w="903" w:type="pct"/>
          </w:tcPr>
          <w:p w14:paraId="37C45EB6" w14:textId="39510DCD" w:rsidR="00BD2617" w:rsidRDefault="00BD2617" w:rsidP="00B24BED">
            <w:pPr>
              <w:pStyle w:val="TableTextRight"/>
            </w:pPr>
            <w:r w:rsidRPr="00C70051">
              <w:t>97</w:t>
            </w:r>
          </w:p>
        </w:tc>
        <w:tc>
          <w:tcPr>
            <w:tcW w:w="903" w:type="pct"/>
          </w:tcPr>
          <w:p w14:paraId="03724AC1" w14:textId="758B49E3" w:rsidR="00BD2617" w:rsidRDefault="00BD2617" w:rsidP="00B24BED">
            <w:pPr>
              <w:pStyle w:val="TableTextRight"/>
            </w:pPr>
            <w:r w:rsidRPr="00C70051">
              <w:t>99</w:t>
            </w:r>
          </w:p>
        </w:tc>
        <w:tc>
          <w:tcPr>
            <w:tcW w:w="977" w:type="pct"/>
          </w:tcPr>
          <w:p w14:paraId="52AA9166" w14:textId="7B9E7030" w:rsidR="00BD2617" w:rsidRDefault="00BD2617" w:rsidP="00B24BED">
            <w:pPr>
              <w:pStyle w:val="TableTextRight"/>
            </w:pPr>
            <w:r w:rsidRPr="00C70051">
              <w:rPr>
                <w:szCs w:val="18"/>
              </w:rPr>
              <w:t>100</w:t>
            </w:r>
          </w:p>
        </w:tc>
        <w:tc>
          <w:tcPr>
            <w:tcW w:w="903" w:type="pct"/>
          </w:tcPr>
          <w:p w14:paraId="7498D43D" w14:textId="0842E2D8" w:rsidR="00BD2617" w:rsidRDefault="00BD2617" w:rsidP="00B24BED">
            <w:pPr>
              <w:pStyle w:val="TableTextRight"/>
            </w:pPr>
            <w:r w:rsidRPr="00C70051">
              <w:rPr>
                <w:szCs w:val="18"/>
              </w:rPr>
              <w:t>100</w:t>
            </w:r>
          </w:p>
        </w:tc>
      </w:tr>
      <w:tr w:rsidR="00670ED1" w14:paraId="33AE13BB" w14:textId="77777777" w:rsidTr="00D54E2A">
        <w:tc>
          <w:tcPr>
            <w:tcW w:w="1313" w:type="pct"/>
          </w:tcPr>
          <w:p w14:paraId="441AD655" w14:textId="09052042" w:rsidR="00BD2617" w:rsidRDefault="00BD2617" w:rsidP="009A345B">
            <w:pPr>
              <w:pStyle w:val="TableTextLeft"/>
            </w:pPr>
            <w:r w:rsidRPr="00C70051">
              <w:t>National Blood Authority</w:t>
            </w:r>
          </w:p>
        </w:tc>
        <w:tc>
          <w:tcPr>
            <w:tcW w:w="903" w:type="pct"/>
          </w:tcPr>
          <w:p w14:paraId="549D5ED5" w14:textId="24B348C3" w:rsidR="00BD2617" w:rsidRDefault="00BD2617" w:rsidP="00B24BED">
            <w:pPr>
              <w:pStyle w:val="TableTextRight"/>
            </w:pPr>
            <w:r w:rsidRPr="00C70051">
              <w:rPr>
                <w:szCs w:val="18"/>
              </w:rPr>
              <w:t>100</w:t>
            </w:r>
          </w:p>
        </w:tc>
        <w:tc>
          <w:tcPr>
            <w:tcW w:w="903" w:type="pct"/>
          </w:tcPr>
          <w:p w14:paraId="344BF70F" w14:textId="0CFB30F1" w:rsidR="00BD2617" w:rsidRDefault="00BD2617" w:rsidP="00B24BED">
            <w:pPr>
              <w:pStyle w:val="TableTextRight"/>
            </w:pPr>
            <w:r w:rsidRPr="00C70051">
              <w:rPr>
                <w:szCs w:val="18"/>
              </w:rPr>
              <w:t>100</w:t>
            </w:r>
          </w:p>
        </w:tc>
        <w:tc>
          <w:tcPr>
            <w:tcW w:w="977" w:type="pct"/>
          </w:tcPr>
          <w:p w14:paraId="6151C095" w14:textId="15E7AEB0" w:rsidR="00BD2617" w:rsidRDefault="00FE70FB" w:rsidP="00B24BED">
            <w:pPr>
              <w:pStyle w:val="TableTextRight"/>
            </w:pPr>
            <w:r>
              <w:rPr>
                <w:szCs w:val="18"/>
              </w:rPr>
              <w:t>N/A</w:t>
            </w:r>
          </w:p>
        </w:tc>
        <w:tc>
          <w:tcPr>
            <w:tcW w:w="903" w:type="pct"/>
          </w:tcPr>
          <w:p w14:paraId="1855EE92" w14:textId="2F784FB5" w:rsidR="00BD2617" w:rsidRDefault="00BD2617" w:rsidP="00B24BED">
            <w:pPr>
              <w:pStyle w:val="TableTextRight"/>
            </w:pPr>
            <w:r w:rsidRPr="00C70051">
              <w:rPr>
                <w:szCs w:val="18"/>
              </w:rPr>
              <w:t>N/A</w:t>
            </w:r>
          </w:p>
        </w:tc>
      </w:tr>
      <w:tr w:rsidR="00670ED1" w14:paraId="69E9A235" w14:textId="77777777" w:rsidTr="00D54E2A">
        <w:tc>
          <w:tcPr>
            <w:tcW w:w="1313" w:type="pct"/>
          </w:tcPr>
          <w:p w14:paraId="3837CBB8" w14:textId="359696A4" w:rsidR="00BD2617" w:rsidRDefault="00BD2617" w:rsidP="009A345B">
            <w:pPr>
              <w:pStyle w:val="TableTextLeft"/>
            </w:pPr>
            <w:r w:rsidRPr="00C70051">
              <w:t>National Capital Authority</w:t>
            </w:r>
          </w:p>
        </w:tc>
        <w:tc>
          <w:tcPr>
            <w:tcW w:w="903" w:type="pct"/>
          </w:tcPr>
          <w:p w14:paraId="4F8F2311" w14:textId="6D1DDAC8" w:rsidR="00BD2617" w:rsidRDefault="00BD2617" w:rsidP="00B24BED">
            <w:pPr>
              <w:pStyle w:val="TableTextRight"/>
            </w:pPr>
            <w:r w:rsidRPr="00C70051">
              <w:t>87</w:t>
            </w:r>
          </w:p>
        </w:tc>
        <w:tc>
          <w:tcPr>
            <w:tcW w:w="903" w:type="pct"/>
          </w:tcPr>
          <w:p w14:paraId="4141191E" w14:textId="2D5F1641" w:rsidR="00BD2617" w:rsidRDefault="00BD2617" w:rsidP="00B24BED">
            <w:pPr>
              <w:pStyle w:val="TableTextRight"/>
            </w:pPr>
            <w:r w:rsidRPr="00C70051">
              <w:t>88</w:t>
            </w:r>
          </w:p>
        </w:tc>
        <w:tc>
          <w:tcPr>
            <w:tcW w:w="977" w:type="pct"/>
          </w:tcPr>
          <w:p w14:paraId="796D7AD9" w14:textId="33E58F29" w:rsidR="00BD2617" w:rsidRDefault="00BD2617" w:rsidP="00B24BED">
            <w:pPr>
              <w:pStyle w:val="TableTextRight"/>
            </w:pPr>
            <w:r w:rsidRPr="00C70051">
              <w:rPr>
                <w:szCs w:val="18"/>
              </w:rPr>
              <w:t>100</w:t>
            </w:r>
          </w:p>
        </w:tc>
        <w:tc>
          <w:tcPr>
            <w:tcW w:w="903" w:type="pct"/>
          </w:tcPr>
          <w:p w14:paraId="780EC6B2" w14:textId="08B1DFAE" w:rsidR="00BD2617" w:rsidRDefault="00BD2617" w:rsidP="00B24BED">
            <w:pPr>
              <w:pStyle w:val="TableTextRight"/>
            </w:pPr>
            <w:r w:rsidRPr="00C70051">
              <w:rPr>
                <w:szCs w:val="18"/>
              </w:rPr>
              <w:t>100</w:t>
            </w:r>
          </w:p>
        </w:tc>
      </w:tr>
      <w:tr w:rsidR="00670ED1" w14:paraId="152559F9" w14:textId="77777777" w:rsidTr="00D54E2A">
        <w:tc>
          <w:tcPr>
            <w:tcW w:w="1313" w:type="pct"/>
          </w:tcPr>
          <w:p w14:paraId="4300BBB9" w14:textId="2ADECA23" w:rsidR="00BD2617" w:rsidRDefault="00BD2617" w:rsidP="009A345B">
            <w:pPr>
              <w:pStyle w:val="TableTextLeft"/>
            </w:pPr>
            <w:r w:rsidRPr="00C70051">
              <w:t>National Competition</w:t>
            </w:r>
            <w:r>
              <w:t xml:space="preserve"> </w:t>
            </w:r>
            <w:r w:rsidRPr="00C70051">
              <w:t>Council</w:t>
            </w:r>
          </w:p>
        </w:tc>
        <w:tc>
          <w:tcPr>
            <w:tcW w:w="903" w:type="pct"/>
          </w:tcPr>
          <w:p w14:paraId="0E2E7456" w14:textId="3FFD75D5" w:rsidR="00BD2617" w:rsidRDefault="00BD2617" w:rsidP="00B24BED">
            <w:pPr>
              <w:pStyle w:val="TableTextRight"/>
            </w:pPr>
            <w:r w:rsidRPr="00C70051">
              <w:rPr>
                <w:szCs w:val="18"/>
              </w:rPr>
              <w:t>100</w:t>
            </w:r>
          </w:p>
        </w:tc>
        <w:tc>
          <w:tcPr>
            <w:tcW w:w="903" w:type="pct"/>
          </w:tcPr>
          <w:p w14:paraId="2731CFB3" w14:textId="799E5367" w:rsidR="00BD2617" w:rsidRDefault="00BD2617" w:rsidP="00B24BED">
            <w:pPr>
              <w:pStyle w:val="TableTextRight"/>
            </w:pPr>
            <w:r w:rsidRPr="00C70051">
              <w:rPr>
                <w:szCs w:val="18"/>
              </w:rPr>
              <w:t>100</w:t>
            </w:r>
          </w:p>
        </w:tc>
        <w:tc>
          <w:tcPr>
            <w:tcW w:w="977" w:type="pct"/>
          </w:tcPr>
          <w:p w14:paraId="3CF9D24E" w14:textId="74255061" w:rsidR="00BD2617" w:rsidRDefault="00FE70FB" w:rsidP="00B24BED">
            <w:pPr>
              <w:pStyle w:val="TableTextRight"/>
            </w:pPr>
            <w:r>
              <w:rPr>
                <w:szCs w:val="18"/>
              </w:rPr>
              <w:t>N/A</w:t>
            </w:r>
          </w:p>
        </w:tc>
        <w:tc>
          <w:tcPr>
            <w:tcW w:w="903" w:type="pct"/>
          </w:tcPr>
          <w:p w14:paraId="5705D0BA" w14:textId="7921D3BF" w:rsidR="00BD2617" w:rsidRDefault="00BD2617" w:rsidP="00B24BED">
            <w:pPr>
              <w:pStyle w:val="TableTextRight"/>
            </w:pPr>
            <w:r w:rsidRPr="00C70051">
              <w:rPr>
                <w:szCs w:val="18"/>
              </w:rPr>
              <w:t>N/A</w:t>
            </w:r>
          </w:p>
        </w:tc>
      </w:tr>
      <w:tr w:rsidR="00670ED1" w14:paraId="06D9CF87" w14:textId="77777777" w:rsidTr="00D54E2A">
        <w:tc>
          <w:tcPr>
            <w:tcW w:w="1313" w:type="pct"/>
          </w:tcPr>
          <w:p w14:paraId="54F9563C" w14:textId="21C53E20" w:rsidR="00BD2617" w:rsidRDefault="00BD2617" w:rsidP="009A345B">
            <w:pPr>
              <w:pStyle w:val="TableTextLeft"/>
            </w:pPr>
            <w:r w:rsidRPr="00C70051">
              <w:t>National Emergency Management Agency</w:t>
            </w:r>
          </w:p>
        </w:tc>
        <w:tc>
          <w:tcPr>
            <w:tcW w:w="903" w:type="pct"/>
          </w:tcPr>
          <w:p w14:paraId="7C6E1F26" w14:textId="26ED0F4B" w:rsidR="00BD2617" w:rsidRDefault="00BD2617" w:rsidP="00B24BED">
            <w:pPr>
              <w:pStyle w:val="TableTextRight"/>
            </w:pPr>
            <w:r w:rsidRPr="00C70051">
              <w:t>100</w:t>
            </w:r>
          </w:p>
        </w:tc>
        <w:tc>
          <w:tcPr>
            <w:tcW w:w="903" w:type="pct"/>
          </w:tcPr>
          <w:p w14:paraId="27ADEF77" w14:textId="6F707687" w:rsidR="00BD2617" w:rsidRDefault="00BD2617" w:rsidP="00B24BED">
            <w:pPr>
              <w:pStyle w:val="TableTextRight"/>
            </w:pPr>
            <w:r w:rsidRPr="00C70051">
              <w:t>100</w:t>
            </w:r>
          </w:p>
        </w:tc>
        <w:tc>
          <w:tcPr>
            <w:tcW w:w="977" w:type="pct"/>
          </w:tcPr>
          <w:p w14:paraId="56C8690B" w14:textId="4880016B" w:rsidR="00BD2617" w:rsidRDefault="00BD2617" w:rsidP="00B24BED">
            <w:pPr>
              <w:pStyle w:val="TableTextRight"/>
            </w:pPr>
            <w:r w:rsidRPr="00C70051">
              <w:rPr>
                <w:szCs w:val="18"/>
              </w:rPr>
              <w:t>100</w:t>
            </w:r>
          </w:p>
        </w:tc>
        <w:tc>
          <w:tcPr>
            <w:tcW w:w="903" w:type="pct"/>
          </w:tcPr>
          <w:p w14:paraId="6172A967" w14:textId="71C340C2" w:rsidR="00BD2617" w:rsidRDefault="00BD2617" w:rsidP="00B24BED">
            <w:pPr>
              <w:pStyle w:val="TableTextRight"/>
            </w:pPr>
            <w:r w:rsidRPr="00C70051">
              <w:rPr>
                <w:szCs w:val="18"/>
              </w:rPr>
              <w:t>100</w:t>
            </w:r>
          </w:p>
        </w:tc>
      </w:tr>
      <w:tr w:rsidR="00670ED1" w14:paraId="3E878B3C" w14:textId="77777777" w:rsidTr="00D54E2A">
        <w:tc>
          <w:tcPr>
            <w:tcW w:w="1313" w:type="pct"/>
          </w:tcPr>
          <w:p w14:paraId="6CFB323A" w14:textId="6A9838FA" w:rsidR="00BD2617" w:rsidRDefault="00BD2617" w:rsidP="009A345B">
            <w:pPr>
              <w:pStyle w:val="TableTextLeft"/>
            </w:pPr>
            <w:r w:rsidRPr="00C70051">
              <w:t>National Faster Rail Agency</w:t>
            </w:r>
          </w:p>
        </w:tc>
        <w:tc>
          <w:tcPr>
            <w:tcW w:w="903" w:type="pct"/>
          </w:tcPr>
          <w:p w14:paraId="7BC2C025" w14:textId="6CCEBB3D" w:rsidR="00BD2617" w:rsidRDefault="00BD2617" w:rsidP="00B24BED">
            <w:pPr>
              <w:pStyle w:val="TableTextRight"/>
            </w:pPr>
            <w:r w:rsidRPr="00C70051">
              <w:rPr>
                <w:szCs w:val="18"/>
              </w:rPr>
              <w:t>99</w:t>
            </w:r>
          </w:p>
        </w:tc>
        <w:tc>
          <w:tcPr>
            <w:tcW w:w="903" w:type="pct"/>
          </w:tcPr>
          <w:p w14:paraId="79524CFD" w14:textId="51F20CFE" w:rsidR="00BD2617" w:rsidRDefault="00BD2617" w:rsidP="00B24BED">
            <w:pPr>
              <w:pStyle w:val="TableTextRight"/>
            </w:pPr>
            <w:r w:rsidRPr="00C70051">
              <w:rPr>
                <w:szCs w:val="18"/>
              </w:rPr>
              <w:t>100</w:t>
            </w:r>
          </w:p>
        </w:tc>
        <w:tc>
          <w:tcPr>
            <w:tcW w:w="977" w:type="pct"/>
          </w:tcPr>
          <w:p w14:paraId="6560885C" w14:textId="56898D27" w:rsidR="00BD2617" w:rsidRDefault="00FE70FB" w:rsidP="00B24BED">
            <w:pPr>
              <w:pStyle w:val="TableTextRight"/>
            </w:pPr>
            <w:r>
              <w:rPr>
                <w:szCs w:val="18"/>
              </w:rPr>
              <w:t>N/A</w:t>
            </w:r>
          </w:p>
        </w:tc>
        <w:tc>
          <w:tcPr>
            <w:tcW w:w="903" w:type="pct"/>
          </w:tcPr>
          <w:p w14:paraId="435C1467" w14:textId="0B3900EF" w:rsidR="00BD2617" w:rsidRDefault="00BD2617" w:rsidP="00B24BED">
            <w:pPr>
              <w:pStyle w:val="TableTextRight"/>
            </w:pPr>
            <w:r w:rsidRPr="00C70051">
              <w:rPr>
                <w:szCs w:val="18"/>
              </w:rPr>
              <w:t>N/A</w:t>
            </w:r>
          </w:p>
        </w:tc>
      </w:tr>
      <w:tr w:rsidR="00670ED1" w14:paraId="7087D000" w14:textId="77777777" w:rsidTr="00D54E2A">
        <w:tc>
          <w:tcPr>
            <w:tcW w:w="1313" w:type="pct"/>
          </w:tcPr>
          <w:p w14:paraId="70F55223" w14:textId="24E576F7" w:rsidR="00BD2617" w:rsidRDefault="00BD2617" w:rsidP="009A345B">
            <w:pPr>
              <w:pStyle w:val="TableTextLeft"/>
            </w:pPr>
            <w:r w:rsidRPr="00C70051">
              <w:t>National Health and Medical Research Council (NHMRC)</w:t>
            </w:r>
          </w:p>
        </w:tc>
        <w:tc>
          <w:tcPr>
            <w:tcW w:w="903" w:type="pct"/>
          </w:tcPr>
          <w:p w14:paraId="0E5D04A6" w14:textId="1211A6AB" w:rsidR="00BD2617" w:rsidRDefault="00BD2617" w:rsidP="00B24BED">
            <w:pPr>
              <w:pStyle w:val="TableTextRight"/>
            </w:pPr>
            <w:r w:rsidRPr="00C70051">
              <w:rPr>
                <w:szCs w:val="18"/>
              </w:rPr>
              <w:t>93</w:t>
            </w:r>
          </w:p>
        </w:tc>
        <w:tc>
          <w:tcPr>
            <w:tcW w:w="903" w:type="pct"/>
          </w:tcPr>
          <w:p w14:paraId="21881891" w14:textId="4A33A5CB" w:rsidR="00BD2617" w:rsidRDefault="00BD2617" w:rsidP="00B24BED">
            <w:pPr>
              <w:pStyle w:val="TableTextRight"/>
            </w:pPr>
            <w:r w:rsidRPr="00C70051">
              <w:rPr>
                <w:szCs w:val="18"/>
              </w:rPr>
              <w:t>94</w:t>
            </w:r>
          </w:p>
        </w:tc>
        <w:tc>
          <w:tcPr>
            <w:tcW w:w="977" w:type="pct"/>
          </w:tcPr>
          <w:p w14:paraId="7D23385B" w14:textId="75F8EB01" w:rsidR="00BD2617" w:rsidRDefault="00FE70FB" w:rsidP="00B24BED">
            <w:pPr>
              <w:pStyle w:val="TableTextRight"/>
            </w:pPr>
            <w:r>
              <w:rPr>
                <w:szCs w:val="18"/>
              </w:rPr>
              <w:t>N/A</w:t>
            </w:r>
          </w:p>
        </w:tc>
        <w:tc>
          <w:tcPr>
            <w:tcW w:w="903" w:type="pct"/>
          </w:tcPr>
          <w:p w14:paraId="4B35F86A" w14:textId="643A8CE1" w:rsidR="00BD2617" w:rsidRDefault="00BD2617" w:rsidP="00B24BED">
            <w:pPr>
              <w:pStyle w:val="TableTextRight"/>
            </w:pPr>
            <w:r w:rsidRPr="00C70051">
              <w:rPr>
                <w:szCs w:val="18"/>
              </w:rPr>
              <w:t>N/A</w:t>
            </w:r>
          </w:p>
        </w:tc>
      </w:tr>
      <w:tr w:rsidR="00670ED1" w14:paraId="61288BFA" w14:textId="77777777" w:rsidTr="00D54E2A">
        <w:tc>
          <w:tcPr>
            <w:tcW w:w="1313" w:type="pct"/>
          </w:tcPr>
          <w:p w14:paraId="25437382" w14:textId="353B76F2" w:rsidR="00BD2617" w:rsidRDefault="00BD2617" w:rsidP="009A345B">
            <w:pPr>
              <w:pStyle w:val="TableTextLeft"/>
            </w:pPr>
            <w:r w:rsidRPr="00C70051">
              <w:t>National Health Funding Body (NHFB)</w:t>
            </w:r>
          </w:p>
        </w:tc>
        <w:tc>
          <w:tcPr>
            <w:tcW w:w="903" w:type="pct"/>
          </w:tcPr>
          <w:p w14:paraId="27B2FE19" w14:textId="454EE846" w:rsidR="00BD2617" w:rsidRDefault="00BD2617" w:rsidP="00B24BED">
            <w:pPr>
              <w:pStyle w:val="TableTextRight"/>
            </w:pPr>
            <w:r w:rsidRPr="00C70051">
              <w:t>82</w:t>
            </w:r>
          </w:p>
        </w:tc>
        <w:tc>
          <w:tcPr>
            <w:tcW w:w="903" w:type="pct"/>
          </w:tcPr>
          <w:p w14:paraId="18CABD95" w14:textId="7F318E68" w:rsidR="00BD2617" w:rsidRDefault="00BD2617" w:rsidP="00B24BED">
            <w:pPr>
              <w:pStyle w:val="TableTextRight"/>
            </w:pPr>
            <w:r w:rsidRPr="00C70051">
              <w:t>91</w:t>
            </w:r>
          </w:p>
        </w:tc>
        <w:tc>
          <w:tcPr>
            <w:tcW w:w="977" w:type="pct"/>
          </w:tcPr>
          <w:p w14:paraId="34D7AEF5" w14:textId="695C7D65" w:rsidR="00BD2617" w:rsidRDefault="00FE70FB" w:rsidP="00B24BED">
            <w:pPr>
              <w:pStyle w:val="TableTextRight"/>
            </w:pPr>
            <w:r>
              <w:rPr>
                <w:szCs w:val="18"/>
              </w:rPr>
              <w:t>N/A</w:t>
            </w:r>
          </w:p>
        </w:tc>
        <w:tc>
          <w:tcPr>
            <w:tcW w:w="903" w:type="pct"/>
          </w:tcPr>
          <w:p w14:paraId="515FBED3" w14:textId="17F879BA" w:rsidR="00BD2617" w:rsidRDefault="00BD2617" w:rsidP="00B24BED">
            <w:pPr>
              <w:pStyle w:val="TableTextRight"/>
            </w:pPr>
            <w:r w:rsidRPr="00C70051">
              <w:rPr>
                <w:szCs w:val="18"/>
              </w:rPr>
              <w:t>N/A</w:t>
            </w:r>
          </w:p>
        </w:tc>
      </w:tr>
      <w:tr w:rsidR="00670ED1" w14:paraId="3CE72E8E" w14:textId="77777777" w:rsidTr="00D54E2A">
        <w:tc>
          <w:tcPr>
            <w:tcW w:w="1313" w:type="pct"/>
          </w:tcPr>
          <w:p w14:paraId="6B8EE22A" w14:textId="3262A232" w:rsidR="00BD2617" w:rsidRDefault="00BD2617" w:rsidP="009A345B">
            <w:pPr>
              <w:pStyle w:val="TableTextLeft"/>
            </w:pPr>
            <w:r w:rsidRPr="00C70051">
              <w:t>National Indigenous Australians Agency</w:t>
            </w:r>
          </w:p>
        </w:tc>
        <w:tc>
          <w:tcPr>
            <w:tcW w:w="903" w:type="pct"/>
          </w:tcPr>
          <w:p w14:paraId="6387581F" w14:textId="0CF538E6" w:rsidR="00BD2617" w:rsidRDefault="00BD2617" w:rsidP="00B24BED">
            <w:pPr>
              <w:pStyle w:val="TableTextRight"/>
            </w:pPr>
            <w:r w:rsidRPr="00C70051">
              <w:t>100</w:t>
            </w:r>
          </w:p>
        </w:tc>
        <w:tc>
          <w:tcPr>
            <w:tcW w:w="903" w:type="pct"/>
          </w:tcPr>
          <w:p w14:paraId="5A4C88A2" w14:textId="36949623" w:rsidR="00BD2617" w:rsidRDefault="00BD2617" w:rsidP="00B24BED">
            <w:pPr>
              <w:pStyle w:val="TableTextRight"/>
            </w:pPr>
            <w:r w:rsidRPr="00C70051">
              <w:t>100</w:t>
            </w:r>
          </w:p>
        </w:tc>
        <w:tc>
          <w:tcPr>
            <w:tcW w:w="977" w:type="pct"/>
          </w:tcPr>
          <w:p w14:paraId="452293DB" w14:textId="1C438B99" w:rsidR="00BD2617" w:rsidRDefault="00FE70FB" w:rsidP="00B24BED">
            <w:pPr>
              <w:pStyle w:val="TableTextRight"/>
            </w:pPr>
            <w:r>
              <w:rPr>
                <w:szCs w:val="18"/>
              </w:rPr>
              <w:t>N/A</w:t>
            </w:r>
          </w:p>
        </w:tc>
        <w:tc>
          <w:tcPr>
            <w:tcW w:w="903" w:type="pct"/>
          </w:tcPr>
          <w:p w14:paraId="5A8F0CB4" w14:textId="1847D047" w:rsidR="00BD2617" w:rsidRDefault="00BD2617" w:rsidP="00B24BED">
            <w:pPr>
              <w:pStyle w:val="TableTextRight"/>
            </w:pPr>
            <w:r w:rsidRPr="00C70051">
              <w:rPr>
                <w:szCs w:val="18"/>
              </w:rPr>
              <w:t>N/A</w:t>
            </w:r>
          </w:p>
        </w:tc>
      </w:tr>
      <w:tr w:rsidR="00670ED1" w14:paraId="2EB2D39E" w14:textId="77777777" w:rsidTr="00D54E2A">
        <w:tc>
          <w:tcPr>
            <w:tcW w:w="1313" w:type="pct"/>
          </w:tcPr>
          <w:p w14:paraId="0BF1DD46" w14:textId="160DEE77" w:rsidR="00BD2617" w:rsidRDefault="00BD2617" w:rsidP="009A345B">
            <w:pPr>
              <w:pStyle w:val="TableTextLeft"/>
            </w:pPr>
            <w:r w:rsidRPr="00C70051">
              <w:t>National Mental Health Commission</w:t>
            </w:r>
          </w:p>
        </w:tc>
        <w:tc>
          <w:tcPr>
            <w:tcW w:w="903" w:type="pct"/>
          </w:tcPr>
          <w:p w14:paraId="58C2782E" w14:textId="2F820753" w:rsidR="00BD2617" w:rsidRDefault="00BD2617" w:rsidP="00B24BED">
            <w:pPr>
              <w:pStyle w:val="TableTextRight"/>
            </w:pPr>
            <w:r w:rsidRPr="00C70051">
              <w:rPr>
                <w:szCs w:val="18"/>
              </w:rPr>
              <w:t>89</w:t>
            </w:r>
          </w:p>
        </w:tc>
        <w:tc>
          <w:tcPr>
            <w:tcW w:w="903" w:type="pct"/>
          </w:tcPr>
          <w:p w14:paraId="37896DEE" w14:textId="2A5FC88E" w:rsidR="00BD2617" w:rsidRDefault="00BD2617" w:rsidP="00B24BED">
            <w:pPr>
              <w:pStyle w:val="TableTextRight"/>
            </w:pPr>
            <w:r w:rsidRPr="00C70051">
              <w:rPr>
                <w:szCs w:val="18"/>
              </w:rPr>
              <w:t>89</w:t>
            </w:r>
          </w:p>
        </w:tc>
        <w:tc>
          <w:tcPr>
            <w:tcW w:w="977" w:type="pct"/>
          </w:tcPr>
          <w:p w14:paraId="2E4B088C" w14:textId="664F2261" w:rsidR="00BD2617" w:rsidRDefault="00FE70FB" w:rsidP="00B24BED">
            <w:pPr>
              <w:pStyle w:val="TableTextRight"/>
            </w:pPr>
            <w:r>
              <w:rPr>
                <w:szCs w:val="18"/>
              </w:rPr>
              <w:t>N/A</w:t>
            </w:r>
          </w:p>
        </w:tc>
        <w:tc>
          <w:tcPr>
            <w:tcW w:w="903" w:type="pct"/>
          </w:tcPr>
          <w:p w14:paraId="0F93A879" w14:textId="392BA474" w:rsidR="00BD2617" w:rsidRDefault="00BD2617" w:rsidP="00B24BED">
            <w:pPr>
              <w:pStyle w:val="TableTextRight"/>
            </w:pPr>
            <w:r w:rsidRPr="00C70051">
              <w:rPr>
                <w:szCs w:val="18"/>
              </w:rPr>
              <w:t>N/A</w:t>
            </w:r>
          </w:p>
        </w:tc>
      </w:tr>
      <w:tr w:rsidR="00670ED1" w14:paraId="13FAA900" w14:textId="77777777" w:rsidTr="00D54E2A">
        <w:tc>
          <w:tcPr>
            <w:tcW w:w="1313" w:type="pct"/>
          </w:tcPr>
          <w:p w14:paraId="1D6D2DF1" w14:textId="5A50D2E7" w:rsidR="00BD2617" w:rsidRDefault="00BD2617" w:rsidP="009A345B">
            <w:pPr>
              <w:pStyle w:val="TableTextLeft"/>
            </w:pPr>
            <w:r w:rsidRPr="00C70051">
              <w:t>NDIS Quality and Safeguards Commission</w:t>
            </w:r>
          </w:p>
        </w:tc>
        <w:tc>
          <w:tcPr>
            <w:tcW w:w="903" w:type="pct"/>
          </w:tcPr>
          <w:p w14:paraId="00882C5A" w14:textId="69B7BCCF" w:rsidR="00BD2617" w:rsidRDefault="00BD2617" w:rsidP="00B24BED">
            <w:pPr>
              <w:pStyle w:val="TableTextRight"/>
            </w:pPr>
            <w:r w:rsidRPr="00C70051">
              <w:t>9</w:t>
            </w:r>
            <w:r>
              <w:t>6</w:t>
            </w:r>
          </w:p>
        </w:tc>
        <w:tc>
          <w:tcPr>
            <w:tcW w:w="903" w:type="pct"/>
          </w:tcPr>
          <w:p w14:paraId="031A3C36" w14:textId="48D349AF" w:rsidR="00BD2617" w:rsidRDefault="00BD2617" w:rsidP="00B24BED">
            <w:pPr>
              <w:pStyle w:val="TableTextRight"/>
            </w:pPr>
            <w:r w:rsidRPr="00C70051">
              <w:t>93</w:t>
            </w:r>
          </w:p>
        </w:tc>
        <w:tc>
          <w:tcPr>
            <w:tcW w:w="977" w:type="pct"/>
          </w:tcPr>
          <w:p w14:paraId="208489FC" w14:textId="04E6CD1E" w:rsidR="00BD2617" w:rsidRDefault="00FE70FB" w:rsidP="00B24BED">
            <w:pPr>
              <w:pStyle w:val="TableTextRight"/>
            </w:pPr>
            <w:r>
              <w:rPr>
                <w:szCs w:val="18"/>
              </w:rPr>
              <w:t>N/A</w:t>
            </w:r>
          </w:p>
        </w:tc>
        <w:tc>
          <w:tcPr>
            <w:tcW w:w="903" w:type="pct"/>
          </w:tcPr>
          <w:p w14:paraId="17AE4786" w14:textId="675CE701" w:rsidR="00BD2617" w:rsidRDefault="00BD2617" w:rsidP="00B24BED">
            <w:pPr>
              <w:pStyle w:val="TableTextRight"/>
            </w:pPr>
            <w:r w:rsidRPr="00C70051">
              <w:rPr>
                <w:szCs w:val="18"/>
              </w:rPr>
              <w:t>N/A</w:t>
            </w:r>
          </w:p>
        </w:tc>
      </w:tr>
      <w:tr w:rsidR="00670ED1" w14:paraId="30C4B42D" w14:textId="77777777" w:rsidTr="00D54E2A">
        <w:tc>
          <w:tcPr>
            <w:tcW w:w="1313" w:type="pct"/>
          </w:tcPr>
          <w:p w14:paraId="12322182" w14:textId="721705E0" w:rsidR="00BD2617" w:rsidRDefault="00BD2617" w:rsidP="009A345B">
            <w:pPr>
              <w:pStyle w:val="TableTextLeft"/>
            </w:pPr>
            <w:r w:rsidRPr="00C70051">
              <w:t>North Queensland Water Infrastructure Authority</w:t>
            </w:r>
          </w:p>
        </w:tc>
        <w:tc>
          <w:tcPr>
            <w:tcW w:w="903" w:type="pct"/>
          </w:tcPr>
          <w:p w14:paraId="283C3269" w14:textId="78494D85" w:rsidR="00BD2617" w:rsidRDefault="00BD2617" w:rsidP="00B24BED">
            <w:pPr>
              <w:pStyle w:val="TableTextRight"/>
            </w:pPr>
            <w:r w:rsidRPr="00C70051">
              <w:rPr>
                <w:szCs w:val="18"/>
              </w:rPr>
              <w:t>93</w:t>
            </w:r>
          </w:p>
        </w:tc>
        <w:tc>
          <w:tcPr>
            <w:tcW w:w="903" w:type="pct"/>
          </w:tcPr>
          <w:p w14:paraId="2866AE7D" w14:textId="2F2FDDEE" w:rsidR="00BD2617" w:rsidRDefault="00BD2617" w:rsidP="00B24BED">
            <w:pPr>
              <w:pStyle w:val="TableTextRight"/>
            </w:pPr>
            <w:r w:rsidRPr="00C70051">
              <w:rPr>
                <w:szCs w:val="18"/>
              </w:rPr>
              <w:t>99</w:t>
            </w:r>
          </w:p>
        </w:tc>
        <w:tc>
          <w:tcPr>
            <w:tcW w:w="977" w:type="pct"/>
          </w:tcPr>
          <w:p w14:paraId="0640C66C" w14:textId="25579E44" w:rsidR="00BD2617" w:rsidRDefault="00FE70FB" w:rsidP="00B24BED">
            <w:pPr>
              <w:pStyle w:val="TableTextRight"/>
            </w:pPr>
            <w:r>
              <w:rPr>
                <w:szCs w:val="18"/>
              </w:rPr>
              <w:t>N/A</w:t>
            </w:r>
          </w:p>
        </w:tc>
        <w:tc>
          <w:tcPr>
            <w:tcW w:w="903" w:type="pct"/>
          </w:tcPr>
          <w:p w14:paraId="7E08C043" w14:textId="7267732A" w:rsidR="00BD2617" w:rsidRDefault="00BD2617" w:rsidP="00B24BED">
            <w:pPr>
              <w:pStyle w:val="TableTextRight"/>
            </w:pPr>
            <w:r w:rsidRPr="00C70051">
              <w:rPr>
                <w:szCs w:val="18"/>
              </w:rPr>
              <w:t>N/A</w:t>
            </w:r>
          </w:p>
        </w:tc>
      </w:tr>
      <w:tr w:rsidR="00670ED1" w14:paraId="3ABA1613" w14:textId="77777777" w:rsidTr="00D54E2A">
        <w:tc>
          <w:tcPr>
            <w:tcW w:w="1313" w:type="pct"/>
          </w:tcPr>
          <w:p w14:paraId="0540FEE3" w14:textId="05B9F923" w:rsidR="00BD2617" w:rsidRDefault="00BD2617" w:rsidP="009A345B">
            <w:pPr>
              <w:pStyle w:val="TableTextLeft"/>
            </w:pPr>
            <w:r w:rsidRPr="00C70051">
              <w:t xml:space="preserve">Office of National Intelligence </w:t>
            </w:r>
          </w:p>
        </w:tc>
        <w:tc>
          <w:tcPr>
            <w:tcW w:w="903" w:type="pct"/>
          </w:tcPr>
          <w:p w14:paraId="297F0A75" w14:textId="4A977653" w:rsidR="00BD2617" w:rsidRDefault="00BD2617" w:rsidP="00B24BED">
            <w:pPr>
              <w:pStyle w:val="TableTextRight"/>
            </w:pPr>
            <w:r w:rsidRPr="00C70051">
              <w:t>90</w:t>
            </w:r>
          </w:p>
        </w:tc>
        <w:tc>
          <w:tcPr>
            <w:tcW w:w="903" w:type="pct"/>
          </w:tcPr>
          <w:p w14:paraId="09C0E2A1" w14:textId="2FA33A5A" w:rsidR="00BD2617" w:rsidRDefault="00BD2617" w:rsidP="00B24BED">
            <w:pPr>
              <w:pStyle w:val="TableTextRight"/>
            </w:pPr>
            <w:r w:rsidRPr="00C70051">
              <w:t>9</w:t>
            </w:r>
            <w:r>
              <w:t>1</w:t>
            </w:r>
          </w:p>
        </w:tc>
        <w:tc>
          <w:tcPr>
            <w:tcW w:w="977" w:type="pct"/>
          </w:tcPr>
          <w:p w14:paraId="47C2EFD6" w14:textId="2D5F4A2E" w:rsidR="00BD2617" w:rsidRDefault="00FE70FB" w:rsidP="00B24BED">
            <w:pPr>
              <w:pStyle w:val="TableTextRight"/>
            </w:pPr>
            <w:r>
              <w:rPr>
                <w:szCs w:val="18"/>
              </w:rPr>
              <w:t>N/A</w:t>
            </w:r>
          </w:p>
        </w:tc>
        <w:tc>
          <w:tcPr>
            <w:tcW w:w="903" w:type="pct"/>
          </w:tcPr>
          <w:p w14:paraId="1C77CB2C" w14:textId="075AD085" w:rsidR="00BD2617" w:rsidRDefault="00BD2617" w:rsidP="00B24BED">
            <w:pPr>
              <w:pStyle w:val="TableTextRight"/>
            </w:pPr>
            <w:r w:rsidRPr="00C70051">
              <w:rPr>
                <w:szCs w:val="18"/>
              </w:rPr>
              <w:t>N/A</w:t>
            </w:r>
          </w:p>
        </w:tc>
      </w:tr>
      <w:tr w:rsidR="00670ED1" w14:paraId="0D620574" w14:textId="77777777" w:rsidTr="00D54E2A">
        <w:tc>
          <w:tcPr>
            <w:tcW w:w="1313" w:type="pct"/>
          </w:tcPr>
          <w:p w14:paraId="0FEDAE7F" w14:textId="41FE353D" w:rsidR="00BD2617" w:rsidRDefault="00BD2617" w:rsidP="009A345B">
            <w:pPr>
              <w:pStyle w:val="TableTextLeft"/>
            </w:pPr>
            <w:r w:rsidRPr="00C70051">
              <w:t>Office of Parliamentary Counsel</w:t>
            </w:r>
          </w:p>
        </w:tc>
        <w:tc>
          <w:tcPr>
            <w:tcW w:w="903" w:type="pct"/>
          </w:tcPr>
          <w:p w14:paraId="2C4BFE94" w14:textId="504D4478" w:rsidR="00BD2617" w:rsidRDefault="00BD2617" w:rsidP="00B24BED">
            <w:pPr>
              <w:pStyle w:val="TableTextRight"/>
            </w:pPr>
            <w:r w:rsidRPr="00C70051">
              <w:t>93</w:t>
            </w:r>
          </w:p>
        </w:tc>
        <w:tc>
          <w:tcPr>
            <w:tcW w:w="903" w:type="pct"/>
          </w:tcPr>
          <w:p w14:paraId="7A722F55" w14:textId="3F488B3B" w:rsidR="00BD2617" w:rsidRDefault="00BD2617" w:rsidP="00B24BED">
            <w:pPr>
              <w:pStyle w:val="TableTextRight"/>
            </w:pPr>
            <w:r w:rsidRPr="00C70051">
              <w:t>95</w:t>
            </w:r>
          </w:p>
        </w:tc>
        <w:tc>
          <w:tcPr>
            <w:tcW w:w="977" w:type="pct"/>
          </w:tcPr>
          <w:p w14:paraId="098EB93B" w14:textId="3BAD9862" w:rsidR="00BD2617" w:rsidRDefault="00FE70FB" w:rsidP="00B24BED">
            <w:pPr>
              <w:pStyle w:val="TableTextRight"/>
            </w:pPr>
            <w:r>
              <w:rPr>
                <w:szCs w:val="18"/>
              </w:rPr>
              <w:t>N/A</w:t>
            </w:r>
          </w:p>
        </w:tc>
        <w:tc>
          <w:tcPr>
            <w:tcW w:w="903" w:type="pct"/>
          </w:tcPr>
          <w:p w14:paraId="4364CEE5" w14:textId="1EAA5568" w:rsidR="00BD2617" w:rsidRDefault="00BD2617" w:rsidP="00B24BED">
            <w:pPr>
              <w:pStyle w:val="TableTextRight"/>
            </w:pPr>
            <w:r w:rsidRPr="00C70051">
              <w:rPr>
                <w:szCs w:val="18"/>
              </w:rPr>
              <w:t>N/A</w:t>
            </w:r>
          </w:p>
        </w:tc>
      </w:tr>
      <w:tr w:rsidR="00670ED1" w14:paraId="622BEB23" w14:textId="77777777" w:rsidTr="00D54E2A">
        <w:tc>
          <w:tcPr>
            <w:tcW w:w="1313" w:type="pct"/>
          </w:tcPr>
          <w:p w14:paraId="0477F9F4" w14:textId="079B27A3" w:rsidR="00BD2617" w:rsidRDefault="00BD2617" w:rsidP="009A345B">
            <w:pPr>
              <w:pStyle w:val="TableTextLeft"/>
            </w:pPr>
            <w:r w:rsidRPr="00C70051">
              <w:t>Office of the Australian Accounting Standards Board (AASB)</w:t>
            </w:r>
          </w:p>
        </w:tc>
        <w:tc>
          <w:tcPr>
            <w:tcW w:w="903" w:type="pct"/>
          </w:tcPr>
          <w:p w14:paraId="09BCABB5" w14:textId="664C5C2C" w:rsidR="00BD2617" w:rsidRDefault="00BD2617" w:rsidP="00B24BED">
            <w:pPr>
              <w:pStyle w:val="TableTextRight"/>
            </w:pPr>
            <w:r w:rsidRPr="00C70051">
              <w:rPr>
                <w:szCs w:val="18"/>
              </w:rPr>
              <w:t>96</w:t>
            </w:r>
          </w:p>
        </w:tc>
        <w:tc>
          <w:tcPr>
            <w:tcW w:w="903" w:type="pct"/>
          </w:tcPr>
          <w:p w14:paraId="2613FCB9" w14:textId="1A78FA86" w:rsidR="00BD2617" w:rsidRDefault="00BD2617" w:rsidP="00B24BED">
            <w:pPr>
              <w:pStyle w:val="TableTextRight"/>
            </w:pPr>
            <w:r w:rsidRPr="00C70051">
              <w:rPr>
                <w:szCs w:val="18"/>
              </w:rPr>
              <w:t>96</w:t>
            </w:r>
          </w:p>
        </w:tc>
        <w:tc>
          <w:tcPr>
            <w:tcW w:w="977" w:type="pct"/>
          </w:tcPr>
          <w:p w14:paraId="67D300FF" w14:textId="0DBBC0FF" w:rsidR="00BD2617" w:rsidRDefault="00FE70FB" w:rsidP="00B24BED">
            <w:pPr>
              <w:pStyle w:val="TableTextRight"/>
            </w:pPr>
            <w:r>
              <w:rPr>
                <w:szCs w:val="18"/>
              </w:rPr>
              <w:t>N/A</w:t>
            </w:r>
          </w:p>
        </w:tc>
        <w:tc>
          <w:tcPr>
            <w:tcW w:w="903" w:type="pct"/>
          </w:tcPr>
          <w:p w14:paraId="24DA34E5" w14:textId="7544EAAA" w:rsidR="00BD2617" w:rsidRDefault="00BD2617" w:rsidP="00B24BED">
            <w:pPr>
              <w:pStyle w:val="TableTextRight"/>
            </w:pPr>
            <w:r w:rsidRPr="00C70051">
              <w:rPr>
                <w:szCs w:val="18"/>
              </w:rPr>
              <w:t>N/A</w:t>
            </w:r>
          </w:p>
        </w:tc>
      </w:tr>
      <w:tr w:rsidR="00670ED1" w14:paraId="5FF1DFEE" w14:textId="77777777" w:rsidTr="00D54E2A">
        <w:tc>
          <w:tcPr>
            <w:tcW w:w="1313" w:type="pct"/>
          </w:tcPr>
          <w:p w14:paraId="49E89586" w14:textId="6FEB6661" w:rsidR="00BD2617" w:rsidRDefault="00BD2617" w:rsidP="009A345B">
            <w:pPr>
              <w:pStyle w:val="TableTextLeft"/>
            </w:pPr>
            <w:r w:rsidRPr="00C70051">
              <w:t>Office of the Australian Information Commissioner</w:t>
            </w:r>
          </w:p>
        </w:tc>
        <w:tc>
          <w:tcPr>
            <w:tcW w:w="903" w:type="pct"/>
          </w:tcPr>
          <w:p w14:paraId="7ABD2086" w14:textId="34C3835C" w:rsidR="00BD2617" w:rsidRDefault="00BD2617" w:rsidP="00B24BED">
            <w:pPr>
              <w:pStyle w:val="TableTextRight"/>
            </w:pPr>
            <w:r w:rsidRPr="00C70051">
              <w:rPr>
                <w:szCs w:val="18"/>
              </w:rPr>
              <w:t>92</w:t>
            </w:r>
          </w:p>
        </w:tc>
        <w:tc>
          <w:tcPr>
            <w:tcW w:w="903" w:type="pct"/>
          </w:tcPr>
          <w:p w14:paraId="4495B5A2" w14:textId="4B933E75" w:rsidR="00BD2617" w:rsidRDefault="00BD2617" w:rsidP="00B24BED">
            <w:pPr>
              <w:pStyle w:val="TableTextRight"/>
            </w:pPr>
            <w:r w:rsidRPr="00C70051">
              <w:rPr>
                <w:szCs w:val="18"/>
              </w:rPr>
              <w:t>87</w:t>
            </w:r>
          </w:p>
        </w:tc>
        <w:tc>
          <w:tcPr>
            <w:tcW w:w="977" w:type="pct"/>
          </w:tcPr>
          <w:p w14:paraId="3E65D28E" w14:textId="76E79E7F" w:rsidR="00BD2617" w:rsidRDefault="00FE70FB" w:rsidP="00B24BED">
            <w:pPr>
              <w:pStyle w:val="TableTextRight"/>
            </w:pPr>
            <w:r>
              <w:rPr>
                <w:szCs w:val="18"/>
              </w:rPr>
              <w:t>N/A</w:t>
            </w:r>
          </w:p>
        </w:tc>
        <w:tc>
          <w:tcPr>
            <w:tcW w:w="903" w:type="pct"/>
          </w:tcPr>
          <w:p w14:paraId="634B6F18" w14:textId="44D4EC5B" w:rsidR="00BD2617" w:rsidRDefault="00BD2617" w:rsidP="00B24BED">
            <w:pPr>
              <w:pStyle w:val="TableTextRight"/>
            </w:pPr>
            <w:r w:rsidRPr="00C70051">
              <w:rPr>
                <w:szCs w:val="18"/>
              </w:rPr>
              <w:t>N/A</w:t>
            </w:r>
          </w:p>
        </w:tc>
      </w:tr>
      <w:tr w:rsidR="00670ED1" w14:paraId="4EC6B994" w14:textId="77777777" w:rsidTr="00D54E2A">
        <w:tc>
          <w:tcPr>
            <w:tcW w:w="1313" w:type="pct"/>
          </w:tcPr>
          <w:p w14:paraId="5D28A319" w14:textId="377C4257" w:rsidR="00BD2617" w:rsidRDefault="00BD2617" w:rsidP="009A345B">
            <w:pPr>
              <w:pStyle w:val="TableTextLeft"/>
            </w:pPr>
            <w:r w:rsidRPr="00C70051">
              <w:t>Office of the Commonwealth Director of Public Prosecutions (CDPP)</w:t>
            </w:r>
          </w:p>
        </w:tc>
        <w:tc>
          <w:tcPr>
            <w:tcW w:w="903" w:type="pct"/>
          </w:tcPr>
          <w:p w14:paraId="7B05D6A9" w14:textId="3509D0EF" w:rsidR="00BD2617" w:rsidRDefault="00BD2617" w:rsidP="00B24BED">
            <w:pPr>
              <w:pStyle w:val="TableTextRight"/>
            </w:pPr>
            <w:r w:rsidRPr="00C70051">
              <w:rPr>
                <w:szCs w:val="18"/>
              </w:rPr>
              <w:t>94</w:t>
            </w:r>
          </w:p>
        </w:tc>
        <w:tc>
          <w:tcPr>
            <w:tcW w:w="903" w:type="pct"/>
          </w:tcPr>
          <w:p w14:paraId="2A0916C5" w14:textId="54A125AF" w:rsidR="00BD2617" w:rsidRDefault="00BD2617" w:rsidP="00B24BED">
            <w:pPr>
              <w:pStyle w:val="TableTextRight"/>
            </w:pPr>
            <w:r w:rsidRPr="00C70051">
              <w:rPr>
                <w:szCs w:val="18"/>
              </w:rPr>
              <w:t>93</w:t>
            </w:r>
          </w:p>
        </w:tc>
        <w:tc>
          <w:tcPr>
            <w:tcW w:w="977" w:type="pct"/>
          </w:tcPr>
          <w:p w14:paraId="39BB4355" w14:textId="452F81A4" w:rsidR="00BD2617" w:rsidRDefault="00BD2617" w:rsidP="00B24BED">
            <w:pPr>
              <w:pStyle w:val="TableTextRight"/>
            </w:pPr>
            <w:r w:rsidRPr="00C70051">
              <w:rPr>
                <w:szCs w:val="18"/>
              </w:rPr>
              <w:t>100</w:t>
            </w:r>
          </w:p>
        </w:tc>
        <w:tc>
          <w:tcPr>
            <w:tcW w:w="903" w:type="pct"/>
          </w:tcPr>
          <w:p w14:paraId="6012DD75" w14:textId="4A8D4CF7" w:rsidR="00BD2617" w:rsidRDefault="00BD2617" w:rsidP="00B24BED">
            <w:pPr>
              <w:pStyle w:val="TableTextRight"/>
            </w:pPr>
            <w:r w:rsidRPr="00C70051">
              <w:rPr>
                <w:szCs w:val="18"/>
              </w:rPr>
              <w:t>100</w:t>
            </w:r>
          </w:p>
        </w:tc>
      </w:tr>
      <w:tr w:rsidR="00670ED1" w14:paraId="468FE130" w14:textId="77777777" w:rsidTr="00D54E2A">
        <w:tc>
          <w:tcPr>
            <w:tcW w:w="1313" w:type="pct"/>
          </w:tcPr>
          <w:p w14:paraId="38CA4812" w14:textId="29CE7826" w:rsidR="00BD2617" w:rsidRDefault="00BD2617" w:rsidP="009A345B">
            <w:pPr>
              <w:pStyle w:val="TableTextLeft"/>
            </w:pPr>
            <w:r w:rsidRPr="00C70051">
              <w:t>Office of the Commonwealth Ombudsman</w:t>
            </w:r>
          </w:p>
        </w:tc>
        <w:tc>
          <w:tcPr>
            <w:tcW w:w="903" w:type="pct"/>
          </w:tcPr>
          <w:p w14:paraId="433BA432" w14:textId="70E40A2A" w:rsidR="00BD2617" w:rsidRDefault="00BD2617" w:rsidP="00B24BED">
            <w:pPr>
              <w:pStyle w:val="TableTextRight"/>
            </w:pPr>
            <w:r w:rsidRPr="00C70051">
              <w:t>97</w:t>
            </w:r>
          </w:p>
        </w:tc>
        <w:tc>
          <w:tcPr>
            <w:tcW w:w="903" w:type="pct"/>
          </w:tcPr>
          <w:p w14:paraId="6216DAD8" w14:textId="7766EE95" w:rsidR="00BD2617" w:rsidRDefault="00BD2617" w:rsidP="00B24BED">
            <w:pPr>
              <w:pStyle w:val="TableTextRight"/>
            </w:pPr>
            <w:r w:rsidRPr="00C70051">
              <w:t>92</w:t>
            </w:r>
          </w:p>
        </w:tc>
        <w:tc>
          <w:tcPr>
            <w:tcW w:w="977" w:type="pct"/>
          </w:tcPr>
          <w:p w14:paraId="21D671A7" w14:textId="2EB86041" w:rsidR="00BD2617" w:rsidRDefault="00FE70FB" w:rsidP="00B24BED">
            <w:pPr>
              <w:pStyle w:val="TableTextRight"/>
            </w:pPr>
            <w:r>
              <w:rPr>
                <w:szCs w:val="18"/>
              </w:rPr>
              <w:t>N/A</w:t>
            </w:r>
          </w:p>
        </w:tc>
        <w:tc>
          <w:tcPr>
            <w:tcW w:w="903" w:type="pct"/>
          </w:tcPr>
          <w:p w14:paraId="3AD2DDB3" w14:textId="022510B4" w:rsidR="00BD2617" w:rsidRDefault="00BD2617" w:rsidP="00B24BED">
            <w:pPr>
              <w:pStyle w:val="TableTextRight"/>
            </w:pPr>
            <w:r w:rsidRPr="00C70051">
              <w:rPr>
                <w:szCs w:val="18"/>
              </w:rPr>
              <w:t>N/A</w:t>
            </w:r>
          </w:p>
        </w:tc>
      </w:tr>
      <w:tr w:rsidR="00670ED1" w14:paraId="799D4071" w14:textId="77777777" w:rsidTr="00D54E2A">
        <w:tc>
          <w:tcPr>
            <w:tcW w:w="1313" w:type="pct"/>
          </w:tcPr>
          <w:p w14:paraId="18BEBB04" w14:textId="00DDB774" w:rsidR="00BD2617" w:rsidRDefault="00BD2617" w:rsidP="009A345B">
            <w:pPr>
              <w:pStyle w:val="TableTextLeft"/>
            </w:pPr>
            <w:r w:rsidRPr="00C70051">
              <w:t>Office of the Inspector</w:t>
            </w:r>
            <w:r w:rsidR="00153E34">
              <w:noBreakHyphen/>
            </w:r>
            <w:r w:rsidRPr="00C70051">
              <w:t>General of Intelligence and Security</w:t>
            </w:r>
          </w:p>
        </w:tc>
        <w:tc>
          <w:tcPr>
            <w:tcW w:w="903" w:type="pct"/>
          </w:tcPr>
          <w:p w14:paraId="6819545A" w14:textId="56F24EDE" w:rsidR="00BD2617" w:rsidRDefault="00BD2617" w:rsidP="00B24BED">
            <w:pPr>
              <w:pStyle w:val="TableTextRight"/>
            </w:pPr>
            <w:r w:rsidRPr="00C70051">
              <w:rPr>
                <w:szCs w:val="18"/>
              </w:rPr>
              <w:t>100</w:t>
            </w:r>
          </w:p>
        </w:tc>
        <w:tc>
          <w:tcPr>
            <w:tcW w:w="903" w:type="pct"/>
          </w:tcPr>
          <w:p w14:paraId="2EC600F9" w14:textId="28C874CA" w:rsidR="00BD2617" w:rsidRDefault="00BD2617" w:rsidP="00B24BED">
            <w:pPr>
              <w:pStyle w:val="TableTextRight"/>
            </w:pPr>
            <w:r w:rsidRPr="00C70051">
              <w:rPr>
                <w:szCs w:val="18"/>
              </w:rPr>
              <w:t>100</w:t>
            </w:r>
          </w:p>
        </w:tc>
        <w:tc>
          <w:tcPr>
            <w:tcW w:w="977" w:type="pct"/>
          </w:tcPr>
          <w:p w14:paraId="7D202918" w14:textId="2D353091" w:rsidR="00BD2617" w:rsidRDefault="00BD2617" w:rsidP="00B24BED">
            <w:pPr>
              <w:pStyle w:val="TableTextRight"/>
            </w:pPr>
            <w:r w:rsidRPr="00C70051">
              <w:rPr>
                <w:szCs w:val="18"/>
              </w:rPr>
              <w:t>100</w:t>
            </w:r>
          </w:p>
        </w:tc>
        <w:tc>
          <w:tcPr>
            <w:tcW w:w="903" w:type="pct"/>
          </w:tcPr>
          <w:p w14:paraId="55D57959" w14:textId="6C94F394" w:rsidR="00BD2617" w:rsidRDefault="00BD2617" w:rsidP="00B24BED">
            <w:pPr>
              <w:pStyle w:val="TableTextRight"/>
            </w:pPr>
            <w:r w:rsidRPr="00C70051">
              <w:rPr>
                <w:szCs w:val="18"/>
              </w:rPr>
              <w:t>100</w:t>
            </w:r>
          </w:p>
        </w:tc>
      </w:tr>
      <w:tr w:rsidR="00670ED1" w14:paraId="28FE5081" w14:textId="77777777" w:rsidTr="00D54E2A">
        <w:tc>
          <w:tcPr>
            <w:tcW w:w="1313" w:type="pct"/>
          </w:tcPr>
          <w:p w14:paraId="20BE2B95" w14:textId="54E6BD7B" w:rsidR="00BD2617" w:rsidRDefault="00BD2617" w:rsidP="009A345B">
            <w:pPr>
              <w:pStyle w:val="TableTextLeft"/>
            </w:pPr>
            <w:r w:rsidRPr="00C70051">
              <w:t>Office of the Official Secretary to the Governor</w:t>
            </w:r>
            <w:r w:rsidR="00153E34">
              <w:noBreakHyphen/>
            </w:r>
            <w:r w:rsidRPr="00C70051">
              <w:t>General</w:t>
            </w:r>
          </w:p>
        </w:tc>
        <w:tc>
          <w:tcPr>
            <w:tcW w:w="903" w:type="pct"/>
          </w:tcPr>
          <w:p w14:paraId="3A9AC8C6" w14:textId="337D113A" w:rsidR="00BD2617" w:rsidRDefault="00BD2617" w:rsidP="00B24BED">
            <w:pPr>
              <w:pStyle w:val="TableTextRight"/>
            </w:pPr>
            <w:r w:rsidRPr="00C70051">
              <w:t>100</w:t>
            </w:r>
          </w:p>
        </w:tc>
        <w:tc>
          <w:tcPr>
            <w:tcW w:w="903" w:type="pct"/>
          </w:tcPr>
          <w:p w14:paraId="5F151F02" w14:textId="600AA45A" w:rsidR="00BD2617" w:rsidRDefault="00BD2617" w:rsidP="00B24BED">
            <w:pPr>
              <w:pStyle w:val="TableTextRight"/>
            </w:pPr>
            <w:r w:rsidRPr="00C70051">
              <w:t>100</w:t>
            </w:r>
          </w:p>
        </w:tc>
        <w:tc>
          <w:tcPr>
            <w:tcW w:w="977" w:type="pct"/>
          </w:tcPr>
          <w:p w14:paraId="485369B7" w14:textId="725169AA" w:rsidR="00BD2617" w:rsidRDefault="00FE70FB" w:rsidP="00B24BED">
            <w:pPr>
              <w:pStyle w:val="TableTextRight"/>
            </w:pPr>
            <w:r>
              <w:rPr>
                <w:szCs w:val="18"/>
              </w:rPr>
              <w:t>N/A</w:t>
            </w:r>
          </w:p>
        </w:tc>
        <w:tc>
          <w:tcPr>
            <w:tcW w:w="903" w:type="pct"/>
          </w:tcPr>
          <w:p w14:paraId="430B7117" w14:textId="7E130259" w:rsidR="00BD2617" w:rsidRDefault="00BD2617" w:rsidP="00B24BED">
            <w:pPr>
              <w:pStyle w:val="TableTextRight"/>
            </w:pPr>
            <w:r w:rsidRPr="00C70051">
              <w:rPr>
                <w:szCs w:val="18"/>
              </w:rPr>
              <w:t>N/A</w:t>
            </w:r>
          </w:p>
        </w:tc>
      </w:tr>
      <w:tr w:rsidR="00670ED1" w14:paraId="3EB54C36" w14:textId="77777777" w:rsidTr="00D54E2A">
        <w:tc>
          <w:tcPr>
            <w:tcW w:w="1313" w:type="pct"/>
          </w:tcPr>
          <w:p w14:paraId="3F6333D7" w14:textId="3A4E163B" w:rsidR="00BD2617" w:rsidRDefault="00BD2617" w:rsidP="009A345B">
            <w:pPr>
              <w:pStyle w:val="TableTextLeft"/>
            </w:pPr>
            <w:r w:rsidRPr="00C70051">
              <w:t>Office of the Special Investigator</w:t>
            </w:r>
          </w:p>
        </w:tc>
        <w:tc>
          <w:tcPr>
            <w:tcW w:w="903" w:type="pct"/>
          </w:tcPr>
          <w:p w14:paraId="5BC883D0" w14:textId="60B79FB0" w:rsidR="00BD2617" w:rsidRDefault="00BD2617" w:rsidP="00B24BED">
            <w:pPr>
              <w:pStyle w:val="TableTextRight"/>
            </w:pPr>
            <w:r w:rsidRPr="00C70051">
              <w:rPr>
                <w:szCs w:val="18"/>
              </w:rPr>
              <w:t>83</w:t>
            </w:r>
          </w:p>
        </w:tc>
        <w:tc>
          <w:tcPr>
            <w:tcW w:w="903" w:type="pct"/>
          </w:tcPr>
          <w:p w14:paraId="3675B20F" w14:textId="7F75FCFF" w:rsidR="00BD2617" w:rsidRDefault="00BD2617" w:rsidP="00B24BED">
            <w:pPr>
              <w:pStyle w:val="TableTextRight"/>
            </w:pPr>
            <w:r w:rsidRPr="00C70051">
              <w:rPr>
                <w:szCs w:val="18"/>
              </w:rPr>
              <w:t>87</w:t>
            </w:r>
          </w:p>
        </w:tc>
        <w:tc>
          <w:tcPr>
            <w:tcW w:w="977" w:type="pct"/>
          </w:tcPr>
          <w:p w14:paraId="5C3CA7B7" w14:textId="384F869C" w:rsidR="00BD2617" w:rsidRDefault="00FE70FB" w:rsidP="00B24BED">
            <w:pPr>
              <w:pStyle w:val="TableTextRight"/>
            </w:pPr>
            <w:r>
              <w:rPr>
                <w:szCs w:val="18"/>
              </w:rPr>
              <w:t>N/A</w:t>
            </w:r>
          </w:p>
        </w:tc>
        <w:tc>
          <w:tcPr>
            <w:tcW w:w="903" w:type="pct"/>
          </w:tcPr>
          <w:p w14:paraId="1DFAEF26" w14:textId="4B632DDE" w:rsidR="00BD2617" w:rsidRDefault="00BD2617" w:rsidP="00B24BED">
            <w:pPr>
              <w:pStyle w:val="TableTextRight"/>
            </w:pPr>
            <w:r w:rsidRPr="00C70051">
              <w:rPr>
                <w:szCs w:val="18"/>
              </w:rPr>
              <w:t>N/A</w:t>
            </w:r>
          </w:p>
        </w:tc>
      </w:tr>
      <w:tr w:rsidR="00670ED1" w14:paraId="0A37B05E" w14:textId="77777777" w:rsidTr="00D54E2A">
        <w:tc>
          <w:tcPr>
            <w:tcW w:w="1313" w:type="pct"/>
          </w:tcPr>
          <w:p w14:paraId="4C39916D" w14:textId="36E3740B" w:rsidR="00BD2617" w:rsidRDefault="00BD2617" w:rsidP="009A345B">
            <w:pPr>
              <w:pStyle w:val="TableTextLeft"/>
            </w:pPr>
            <w:r w:rsidRPr="00C70051">
              <w:t>Organ and Tissue Authority</w:t>
            </w:r>
          </w:p>
        </w:tc>
        <w:tc>
          <w:tcPr>
            <w:tcW w:w="903" w:type="pct"/>
          </w:tcPr>
          <w:p w14:paraId="578CEC52" w14:textId="4EE78E08" w:rsidR="00BD2617" w:rsidRDefault="00BD2617" w:rsidP="00B24BED">
            <w:pPr>
              <w:pStyle w:val="TableTextRight"/>
            </w:pPr>
            <w:r w:rsidRPr="00C70051">
              <w:rPr>
                <w:szCs w:val="18"/>
              </w:rPr>
              <w:t>97</w:t>
            </w:r>
          </w:p>
        </w:tc>
        <w:tc>
          <w:tcPr>
            <w:tcW w:w="903" w:type="pct"/>
          </w:tcPr>
          <w:p w14:paraId="5452EAF1" w14:textId="2440A00D" w:rsidR="00BD2617" w:rsidRDefault="00BD2617" w:rsidP="00B24BED">
            <w:pPr>
              <w:pStyle w:val="TableTextRight"/>
            </w:pPr>
            <w:r w:rsidRPr="00C70051">
              <w:rPr>
                <w:szCs w:val="18"/>
              </w:rPr>
              <w:t>99</w:t>
            </w:r>
          </w:p>
        </w:tc>
        <w:tc>
          <w:tcPr>
            <w:tcW w:w="977" w:type="pct"/>
          </w:tcPr>
          <w:p w14:paraId="0C0C01A3" w14:textId="5DEBDF38" w:rsidR="00BD2617" w:rsidRDefault="00FE70FB" w:rsidP="00B24BED">
            <w:pPr>
              <w:pStyle w:val="TableTextRight"/>
            </w:pPr>
            <w:r>
              <w:rPr>
                <w:szCs w:val="18"/>
              </w:rPr>
              <w:t>N/A</w:t>
            </w:r>
          </w:p>
        </w:tc>
        <w:tc>
          <w:tcPr>
            <w:tcW w:w="903" w:type="pct"/>
          </w:tcPr>
          <w:p w14:paraId="43A774C6" w14:textId="2A5573C7" w:rsidR="00BD2617" w:rsidRDefault="00BD2617" w:rsidP="00B24BED">
            <w:pPr>
              <w:pStyle w:val="TableTextRight"/>
            </w:pPr>
            <w:r w:rsidRPr="00C70051">
              <w:rPr>
                <w:szCs w:val="18"/>
              </w:rPr>
              <w:t>N/A</w:t>
            </w:r>
          </w:p>
        </w:tc>
      </w:tr>
      <w:tr w:rsidR="00670ED1" w14:paraId="63ADBA13" w14:textId="77777777" w:rsidTr="00D54E2A">
        <w:tc>
          <w:tcPr>
            <w:tcW w:w="1313" w:type="pct"/>
          </w:tcPr>
          <w:p w14:paraId="1575B0DC" w14:textId="2B475A08" w:rsidR="00BD2617" w:rsidRDefault="00BD2617" w:rsidP="009A345B">
            <w:pPr>
              <w:pStyle w:val="TableTextLeft"/>
            </w:pPr>
            <w:r w:rsidRPr="00C70051">
              <w:t>Parliamentary Budget Office</w:t>
            </w:r>
          </w:p>
        </w:tc>
        <w:tc>
          <w:tcPr>
            <w:tcW w:w="903" w:type="pct"/>
          </w:tcPr>
          <w:p w14:paraId="5F0EAFED" w14:textId="6B55BC58" w:rsidR="00BD2617" w:rsidRDefault="00BD2617" w:rsidP="00B24BED">
            <w:pPr>
              <w:pStyle w:val="TableTextRight"/>
            </w:pPr>
            <w:r w:rsidRPr="00C70051">
              <w:rPr>
                <w:szCs w:val="18"/>
              </w:rPr>
              <w:t>91</w:t>
            </w:r>
          </w:p>
        </w:tc>
        <w:tc>
          <w:tcPr>
            <w:tcW w:w="903" w:type="pct"/>
          </w:tcPr>
          <w:p w14:paraId="5180064A" w14:textId="53277B32" w:rsidR="00BD2617" w:rsidRDefault="00BD2617" w:rsidP="00B24BED">
            <w:pPr>
              <w:pStyle w:val="TableTextRight"/>
            </w:pPr>
            <w:r w:rsidRPr="00C70051">
              <w:rPr>
                <w:szCs w:val="18"/>
              </w:rPr>
              <w:t>9</w:t>
            </w:r>
            <w:r>
              <w:rPr>
                <w:szCs w:val="18"/>
              </w:rPr>
              <w:t>1</w:t>
            </w:r>
          </w:p>
        </w:tc>
        <w:tc>
          <w:tcPr>
            <w:tcW w:w="977" w:type="pct"/>
          </w:tcPr>
          <w:p w14:paraId="377E3401" w14:textId="3CDF4B4C" w:rsidR="00BD2617" w:rsidRDefault="00FE70FB" w:rsidP="00B24BED">
            <w:pPr>
              <w:pStyle w:val="TableTextRight"/>
            </w:pPr>
            <w:r>
              <w:rPr>
                <w:szCs w:val="18"/>
              </w:rPr>
              <w:t>N/A</w:t>
            </w:r>
          </w:p>
        </w:tc>
        <w:tc>
          <w:tcPr>
            <w:tcW w:w="903" w:type="pct"/>
          </w:tcPr>
          <w:p w14:paraId="7F9DCC26" w14:textId="2DC7E696" w:rsidR="00BD2617" w:rsidRDefault="00BD2617" w:rsidP="00B24BED">
            <w:pPr>
              <w:pStyle w:val="TableTextRight"/>
            </w:pPr>
            <w:r w:rsidRPr="00C70051">
              <w:rPr>
                <w:szCs w:val="18"/>
              </w:rPr>
              <w:t>N/A</w:t>
            </w:r>
          </w:p>
        </w:tc>
      </w:tr>
      <w:tr w:rsidR="00670ED1" w14:paraId="23142002" w14:textId="77777777" w:rsidTr="00D54E2A">
        <w:tc>
          <w:tcPr>
            <w:tcW w:w="1313" w:type="pct"/>
          </w:tcPr>
          <w:p w14:paraId="1AC856E0" w14:textId="68E5C99A" w:rsidR="00BD2617" w:rsidRDefault="00BD2617" w:rsidP="009A345B">
            <w:pPr>
              <w:pStyle w:val="TableTextLeft"/>
            </w:pPr>
            <w:r w:rsidRPr="00C70051">
              <w:t>Productivity Commission</w:t>
            </w:r>
          </w:p>
        </w:tc>
        <w:tc>
          <w:tcPr>
            <w:tcW w:w="903" w:type="pct"/>
          </w:tcPr>
          <w:p w14:paraId="12B99F67" w14:textId="5274133A" w:rsidR="00BD2617" w:rsidRDefault="00BD2617" w:rsidP="00B24BED">
            <w:pPr>
              <w:pStyle w:val="TableTextRight"/>
            </w:pPr>
            <w:r w:rsidRPr="00C70051">
              <w:t>94</w:t>
            </w:r>
          </w:p>
        </w:tc>
        <w:tc>
          <w:tcPr>
            <w:tcW w:w="903" w:type="pct"/>
          </w:tcPr>
          <w:p w14:paraId="7624E597" w14:textId="4A1282B1" w:rsidR="00BD2617" w:rsidRDefault="00BD2617" w:rsidP="00B24BED">
            <w:pPr>
              <w:pStyle w:val="TableTextRight"/>
            </w:pPr>
            <w:r w:rsidRPr="00C70051">
              <w:t>99</w:t>
            </w:r>
          </w:p>
        </w:tc>
        <w:tc>
          <w:tcPr>
            <w:tcW w:w="977" w:type="pct"/>
          </w:tcPr>
          <w:p w14:paraId="0088D462" w14:textId="5D588849" w:rsidR="00BD2617" w:rsidRDefault="00FE70FB" w:rsidP="00B24BED">
            <w:pPr>
              <w:pStyle w:val="TableTextRight"/>
            </w:pPr>
            <w:r>
              <w:rPr>
                <w:szCs w:val="18"/>
              </w:rPr>
              <w:t>N/A</w:t>
            </w:r>
          </w:p>
        </w:tc>
        <w:tc>
          <w:tcPr>
            <w:tcW w:w="903" w:type="pct"/>
          </w:tcPr>
          <w:p w14:paraId="1C487744" w14:textId="23DCA953" w:rsidR="00BD2617" w:rsidRDefault="00BD2617" w:rsidP="00B24BED">
            <w:pPr>
              <w:pStyle w:val="TableTextRight"/>
            </w:pPr>
            <w:r w:rsidRPr="00C70051">
              <w:rPr>
                <w:szCs w:val="18"/>
              </w:rPr>
              <w:t>N/A</w:t>
            </w:r>
          </w:p>
        </w:tc>
      </w:tr>
      <w:tr w:rsidR="00670ED1" w14:paraId="3E94AB79" w14:textId="77777777" w:rsidTr="00D54E2A">
        <w:tc>
          <w:tcPr>
            <w:tcW w:w="1313" w:type="pct"/>
          </w:tcPr>
          <w:p w14:paraId="561CA376" w14:textId="6358AA92" w:rsidR="00BD2617" w:rsidRDefault="00BD2617" w:rsidP="009A345B">
            <w:pPr>
              <w:pStyle w:val="TableTextLeft"/>
            </w:pPr>
            <w:r w:rsidRPr="00C70051">
              <w:t>Professional Services Review</w:t>
            </w:r>
          </w:p>
        </w:tc>
        <w:tc>
          <w:tcPr>
            <w:tcW w:w="903" w:type="pct"/>
          </w:tcPr>
          <w:p w14:paraId="23B7C6F0" w14:textId="5B947F93" w:rsidR="00BD2617" w:rsidRDefault="00BD2617" w:rsidP="00B24BED">
            <w:pPr>
              <w:pStyle w:val="TableTextRight"/>
            </w:pPr>
            <w:r w:rsidRPr="00C70051">
              <w:rPr>
                <w:szCs w:val="18"/>
              </w:rPr>
              <w:t>100</w:t>
            </w:r>
          </w:p>
        </w:tc>
        <w:tc>
          <w:tcPr>
            <w:tcW w:w="903" w:type="pct"/>
          </w:tcPr>
          <w:p w14:paraId="5C57B7E8" w14:textId="6AEF10C1" w:rsidR="00BD2617" w:rsidRDefault="00BD2617" w:rsidP="00B24BED">
            <w:pPr>
              <w:pStyle w:val="TableTextRight"/>
            </w:pPr>
            <w:r w:rsidRPr="00C70051">
              <w:rPr>
                <w:szCs w:val="18"/>
              </w:rPr>
              <w:t>100</w:t>
            </w:r>
          </w:p>
        </w:tc>
        <w:tc>
          <w:tcPr>
            <w:tcW w:w="977" w:type="pct"/>
          </w:tcPr>
          <w:p w14:paraId="2C372D81" w14:textId="70629A98" w:rsidR="00BD2617" w:rsidRDefault="00BD2617" w:rsidP="00B24BED">
            <w:pPr>
              <w:pStyle w:val="TableTextRight"/>
            </w:pPr>
            <w:r w:rsidRPr="00C70051">
              <w:rPr>
                <w:szCs w:val="18"/>
              </w:rPr>
              <w:t>100</w:t>
            </w:r>
          </w:p>
        </w:tc>
        <w:tc>
          <w:tcPr>
            <w:tcW w:w="903" w:type="pct"/>
          </w:tcPr>
          <w:p w14:paraId="5BD968C1" w14:textId="11D1BB5F" w:rsidR="00BD2617" w:rsidRDefault="00BD2617" w:rsidP="00B24BED">
            <w:pPr>
              <w:pStyle w:val="TableTextRight"/>
            </w:pPr>
            <w:r w:rsidRPr="00C70051">
              <w:rPr>
                <w:szCs w:val="18"/>
              </w:rPr>
              <w:t>100</w:t>
            </w:r>
          </w:p>
        </w:tc>
      </w:tr>
      <w:tr w:rsidR="00670ED1" w14:paraId="195EE1EF" w14:textId="77777777" w:rsidTr="00D54E2A">
        <w:tc>
          <w:tcPr>
            <w:tcW w:w="1313" w:type="pct"/>
          </w:tcPr>
          <w:p w14:paraId="6883285B" w14:textId="360DF29F" w:rsidR="00BD2617" w:rsidRDefault="00BD2617" w:rsidP="009A345B">
            <w:pPr>
              <w:pStyle w:val="TableTextLeft"/>
            </w:pPr>
            <w:r w:rsidRPr="00C70051">
              <w:t>Royal Australian Mint</w:t>
            </w:r>
          </w:p>
        </w:tc>
        <w:tc>
          <w:tcPr>
            <w:tcW w:w="903" w:type="pct"/>
          </w:tcPr>
          <w:p w14:paraId="0AB01E60" w14:textId="50217FB3" w:rsidR="00BD2617" w:rsidRDefault="00BD2617" w:rsidP="00B24BED">
            <w:pPr>
              <w:pStyle w:val="TableTextRight"/>
            </w:pPr>
            <w:r w:rsidRPr="00C70051">
              <w:t>100</w:t>
            </w:r>
          </w:p>
        </w:tc>
        <w:tc>
          <w:tcPr>
            <w:tcW w:w="903" w:type="pct"/>
          </w:tcPr>
          <w:p w14:paraId="218A1142" w14:textId="302CC9E0" w:rsidR="00BD2617" w:rsidRDefault="00BD2617" w:rsidP="00B24BED">
            <w:pPr>
              <w:pStyle w:val="TableTextRight"/>
            </w:pPr>
            <w:r w:rsidRPr="00C70051">
              <w:t>100</w:t>
            </w:r>
          </w:p>
        </w:tc>
        <w:tc>
          <w:tcPr>
            <w:tcW w:w="977" w:type="pct"/>
          </w:tcPr>
          <w:p w14:paraId="48C4D649" w14:textId="414953AB" w:rsidR="00BD2617" w:rsidRDefault="00BD2617" w:rsidP="00B24BED">
            <w:pPr>
              <w:pStyle w:val="TableTextRight"/>
            </w:pPr>
            <w:r w:rsidRPr="00C70051">
              <w:rPr>
                <w:szCs w:val="18"/>
              </w:rPr>
              <w:t>75</w:t>
            </w:r>
          </w:p>
        </w:tc>
        <w:tc>
          <w:tcPr>
            <w:tcW w:w="903" w:type="pct"/>
          </w:tcPr>
          <w:p w14:paraId="425D8908" w14:textId="351B90ED" w:rsidR="00BD2617" w:rsidRDefault="00BD2617" w:rsidP="00B24BED">
            <w:pPr>
              <w:pStyle w:val="TableTextRight"/>
            </w:pPr>
            <w:r w:rsidRPr="00C70051">
              <w:rPr>
                <w:szCs w:val="18"/>
              </w:rPr>
              <w:t>80</w:t>
            </w:r>
          </w:p>
        </w:tc>
      </w:tr>
      <w:tr w:rsidR="00670ED1" w14:paraId="363DD543" w14:textId="77777777" w:rsidTr="00D54E2A">
        <w:tc>
          <w:tcPr>
            <w:tcW w:w="1313" w:type="pct"/>
          </w:tcPr>
          <w:p w14:paraId="680E421F" w14:textId="7D93AAB6" w:rsidR="00BD2617" w:rsidRDefault="00BD2617" w:rsidP="009A345B">
            <w:pPr>
              <w:pStyle w:val="TableTextLeft"/>
            </w:pPr>
            <w:r w:rsidRPr="00C70051">
              <w:t xml:space="preserve">Safe Work Australia </w:t>
            </w:r>
          </w:p>
        </w:tc>
        <w:tc>
          <w:tcPr>
            <w:tcW w:w="903" w:type="pct"/>
          </w:tcPr>
          <w:p w14:paraId="060B973A" w14:textId="2509076C" w:rsidR="00BD2617" w:rsidRDefault="00BD2617" w:rsidP="00B24BED">
            <w:pPr>
              <w:pStyle w:val="TableTextRight"/>
            </w:pPr>
            <w:r w:rsidRPr="00C70051">
              <w:rPr>
                <w:szCs w:val="18"/>
              </w:rPr>
              <w:t>100</w:t>
            </w:r>
          </w:p>
        </w:tc>
        <w:tc>
          <w:tcPr>
            <w:tcW w:w="903" w:type="pct"/>
          </w:tcPr>
          <w:p w14:paraId="05B53822" w14:textId="666E8516" w:rsidR="00BD2617" w:rsidRDefault="00BD2617" w:rsidP="00B24BED">
            <w:pPr>
              <w:pStyle w:val="TableTextRight"/>
            </w:pPr>
            <w:r w:rsidRPr="00C70051">
              <w:rPr>
                <w:szCs w:val="18"/>
              </w:rPr>
              <w:t>100</w:t>
            </w:r>
          </w:p>
        </w:tc>
        <w:tc>
          <w:tcPr>
            <w:tcW w:w="977" w:type="pct"/>
          </w:tcPr>
          <w:p w14:paraId="14371C56" w14:textId="28714504" w:rsidR="00BD2617" w:rsidRDefault="00FE70FB" w:rsidP="00B24BED">
            <w:pPr>
              <w:pStyle w:val="TableTextRight"/>
            </w:pPr>
            <w:r>
              <w:rPr>
                <w:szCs w:val="18"/>
              </w:rPr>
              <w:t>N/A</w:t>
            </w:r>
          </w:p>
        </w:tc>
        <w:tc>
          <w:tcPr>
            <w:tcW w:w="903" w:type="pct"/>
          </w:tcPr>
          <w:p w14:paraId="2146DA9F" w14:textId="18231CA9" w:rsidR="00BD2617" w:rsidRDefault="00BD2617" w:rsidP="00B24BED">
            <w:pPr>
              <w:pStyle w:val="TableTextRight"/>
            </w:pPr>
            <w:r w:rsidRPr="00C70051">
              <w:rPr>
                <w:szCs w:val="18"/>
              </w:rPr>
              <w:t>N/A</w:t>
            </w:r>
          </w:p>
        </w:tc>
      </w:tr>
      <w:tr w:rsidR="00670ED1" w14:paraId="38F30302" w14:textId="77777777" w:rsidTr="00D54E2A">
        <w:tc>
          <w:tcPr>
            <w:tcW w:w="1313" w:type="pct"/>
          </w:tcPr>
          <w:p w14:paraId="7D2B3A76" w14:textId="160F4F6C" w:rsidR="00BD2617" w:rsidRPr="00425BC8" w:rsidRDefault="00BD2617" w:rsidP="009A345B">
            <w:pPr>
              <w:pStyle w:val="TableTextLeft"/>
              <w:rPr>
                <w:highlight w:val="yellow"/>
              </w:rPr>
            </w:pPr>
            <w:r w:rsidRPr="006D2B7F">
              <w:t>Services Australia</w:t>
            </w:r>
          </w:p>
        </w:tc>
        <w:tc>
          <w:tcPr>
            <w:tcW w:w="903" w:type="pct"/>
          </w:tcPr>
          <w:p w14:paraId="7E6EB9DF" w14:textId="64669569" w:rsidR="00BD2617" w:rsidRDefault="00BD2617" w:rsidP="00B24BED">
            <w:pPr>
              <w:pStyle w:val="TableTextRight"/>
            </w:pPr>
            <w:r w:rsidRPr="00C70051">
              <w:t>100</w:t>
            </w:r>
          </w:p>
        </w:tc>
        <w:tc>
          <w:tcPr>
            <w:tcW w:w="903" w:type="pct"/>
          </w:tcPr>
          <w:p w14:paraId="78DDADB3" w14:textId="4E7EB94E" w:rsidR="00BD2617" w:rsidRDefault="00BD2617" w:rsidP="00B24BED">
            <w:pPr>
              <w:pStyle w:val="TableTextRight"/>
            </w:pPr>
            <w:r w:rsidRPr="00C70051">
              <w:t>95</w:t>
            </w:r>
          </w:p>
        </w:tc>
        <w:tc>
          <w:tcPr>
            <w:tcW w:w="977" w:type="pct"/>
          </w:tcPr>
          <w:p w14:paraId="6B5D9872" w14:textId="6E97CF35" w:rsidR="00BD2617" w:rsidRDefault="00BD2617" w:rsidP="00B24BED">
            <w:pPr>
              <w:pStyle w:val="TableTextRight"/>
            </w:pPr>
            <w:r w:rsidRPr="00C70051">
              <w:rPr>
                <w:szCs w:val="18"/>
              </w:rPr>
              <w:t>0</w:t>
            </w:r>
          </w:p>
        </w:tc>
        <w:tc>
          <w:tcPr>
            <w:tcW w:w="903" w:type="pct"/>
          </w:tcPr>
          <w:p w14:paraId="00AE4754" w14:textId="4B742C15" w:rsidR="00BD2617" w:rsidRDefault="00B76C40" w:rsidP="00B24BED">
            <w:pPr>
              <w:pStyle w:val="TableTextRight"/>
            </w:pPr>
            <w:r w:rsidRPr="00B76C40">
              <w:rPr>
                <w:szCs w:val="18"/>
              </w:rPr>
              <w:t>0</w:t>
            </w:r>
          </w:p>
        </w:tc>
      </w:tr>
      <w:tr w:rsidR="00670ED1" w14:paraId="1F410770" w14:textId="77777777" w:rsidTr="00D54E2A">
        <w:tc>
          <w:tcPr>
            <w:tcW w:w="1313" w:type="pct"/>
          </w:tcPr>
          <w:p w14:paraId="5DC744FC" w14:textId="658D64CE" w:rsidR="00BD2617" w:rsidRDefault="00BD2617" w:rsidP="009A345B">
            <w:pPr>
              <w:pStyle w:val="TableTextLeft"/>
            </w:pPr>
            <w:r w:rsidRPr="00C70051">
              <w:t>Sport Integrity Australia</w:t>
            </w:r>
          </w:p>
        </w:tc>
        <w:tc>
          <w:tcPr>
            <w:tcW w:w="903" w:type="pct"/>
          </w:tcPr>
          <w:p w14:paraId="40AE5402" w14:textId="7C612ADE" w:rsidR="00BD2617" w:rsidRDefault="00BD2617" w:rsidP="00B24BED">
            <w:pPr>
              <w:pStyle w:val="TableTextRight"/>
            </w:pPr>
            <w:r w:rsidRPr="00C70051">
              <w:t>76</w:t>
            </w:r>
          </w:p>
        </w:tc>
        <w:tc>
          <w:tcPr>
            <w:tcW w:w="903" w:type="pct"/>
          </w:tcPr>
          <w:p w14:paraId="7AD9B01B" w14:textId="36B68667" w:rsidR="00BD2617" w:rsidRDefault="00BD2617" w:rsidP="00B24BED">
            <w:pPr>
              <w:pStyle w:val="TableTextRight"/>
            </w:pPr>
            <w:r w:rsidRPr="00C70051">
              <w:t>58</w:t>
            </w:r>
          </w:p>
        </w:tc>
        <w:tc>
          <w:tcPr>
            <w:tcW w:w="977" w:type="pct"/>
          </w:tcPr>
          <w:p w14:paraId="0C4604C8" w14:textId="134EEBB9" w:rsidR="00BD2617" w:rsidRDefault="00BD2617" w:rsidP="00B24BED">
            <w:pPr>
              <w:pStyle w:val="TableTextRight"/>
            </w:pPr>
            <w:r w:rsidRPr="00C70051">
              <w:rPr>
                <w:szCs w:val="18"/>
              </w:rPr>
              <w:t>100</w:t>
            </w:r>
          </w:p>
        </w:tc>
        <w:tc>
          <w:tcPr>
            <w:tcW w:w="903" w:type="pct"/>
          </w:tcPr>
          <w:p w14:paraId="753221A1" w14:textId="55B5C490" w:rsidR="00BD2617" w:rsidRDefault="00BD2617" w:rsidP="00B24BED">
            <w:pPr>
              <w:pStyle w:val="TableTextRight"/>
            </w:pPr>
            <w:r w:rsidRPr="00C70051">
              <w:rPr>
                <w:szCs w:val="18"/>
              </w:rPr>
              <w:t>100</w:t>
            </w:r>
          </w:p>
        </w:tc>
      </w:tr>
      <w:tr w:rsidR="00670ED1" w14:paraId="5FFD5678" w14:textId="77777777" w:rsidTr="00D54E2A">
        <w:tc>
          <w:tcPr>
            <w:tcW w:w="1313" w:type="pct"/>
          </w:tcPr>
          <w:p w14:paraId="1CC72789" w14:textId="3942B688" w:rsidR="00BD2617" w:rsidRDefault="00BD2617" w:rsidP="009A345B">
            <w:pPr>
              <w:pStyle w:val="TableTextLeft"/>
            </w:pPr>
            <w:r w:rsidRPr="00C70051">
              <w:t>Tertiary Education Quality and Standards Agency</w:t>
            </w:r>
          </w:p>
        </w:tc>
        <w:tc>
          <w:tcPr>
            <w:tcW w:w="903" w:type="pct"/>
          </w:tcPr>
          <w:p w14:paraId="1F447010" w14:textId="4F6160AA" w:rsidR="00BD2617" w:rsidRDefault="00BD2617" w:rsidP="00B24BED">
            <w:pPr>
              <w:pStyle w:val="TableTextRight"/>
            </w:pPr>
            <w:r w:rsidRPr="00C70051">
              <w:rPr>
                <w:szCs w:val="18"/>
              </w:rPr>
              <w:t>99</w:t>
            </w:r>
          </w:p>
        </w:tc>
        <w:tc>
          <w:tcPr>
            <w:tcW w:w="903" w:type="pct"/>
          </w:tcPr>
          <w:p w14:paraId="1F8BDF9F" w14:textId="65C62AC1" w:rsidR="00BD2617" w:rsidRDefault="00BD2617" w:rsidP="00B24BED">
            <w:pPr>
              <w:pStyle w:val="TableTextRight"/>
            </w:pPr>
            <w:r w:rsidRPr="00C70051">
              <w:rPr>
                <w:szCs w:val="18"/>
              </w:rPr>
              <w:t>100</w:t>
            </w:r>
          </w:p>
        </w:tc>
        <w:tc>
          <w:tcPr>
            <w:tcW w:w="977" w:type="pct"/>
          </w:tcPr>
          <w:p w14:paraId="540E8704" w14:textId="1C7184E5" w:rsidR="00BD2617" w:rsidRDefault="00FE70FB" w:rsidP="00B24BED">
            <w:pPr>
              <w:pStyle w:val="TableTextRight"/>
            </w:pPr>
            <w:r>
              <w:rPr>
                <w:szCs w:val="18"/>
              </w:rPr>
              <w:t>N/A</w:t>
            </w:r>
          </w:p>
        </w:tc>
        <w:tc>
          <w:tcPr>
            <w:tcW w:w="903" w:type="pct"/>
          </w:tcPr>
          <w:p w14:paraId="4C5E7D65" w14:textId="3A3D35E8" w:rsidR="00BD2617" w:rsidRDefault="00BD2617" w:rsidP="00B24BED">
            <w:pPr>
              <w:pStyle w:val="TableTextRight"/>
            </w:pPr>
            <w:r w:rsidRPr="00C70051">
              <w:rPr>
                <w:szCs w:val="18"/>
              </w:rPr>
              <w:t>N/A</w:t>
            </w:r>
          </w:p>
        </w:tc>
      </w:tr>
      <w:tr w:rsidR="00670ED1" w14:paraId="6A6D938E" w14:textId="77777777" w:rsidTr="00D54E2A">
        <w:tc>
          <w:tcPr>
            <w:tcW w:w="1313" w:type="pct"/>
          </w:tcPr>
          <w:p w14:paraId="14EB1E13" w14:textId="5949CDBC" w:rsidR="00BD2617" w:rsidRDefault="00BD2617" w:rsidP="009A345B">
            <w:pPr>
              <w:pStyle w:val="TableTextLeft"/>
            </w:pPr>
            <w:r w:rsidRPr="00C70051">
              <w:t>Workplace Gender Equality Agency</w:t>
            </w:r>
          </w:p>
        </w:tc>
        <w:tc>
          <w:tcPr>
            <w:tcW w:w="903" w:type="pct"/>
          </w:tcPr>
          <w:p w14:paraId="1AED88A2" w14:textId="7F6697EF" w:rsidR="00BD2617" w:rsidRDefault="00BD2617" w:rsidP="00B24BED">
            <w:pPr>
              <w:pStyle w:val="TableTextRight"/>
            </w:pPr>
            <w:r w:rsidRPr="00C70051">
              <w:t>9</w:t>
            </w:r>
            <w:r>
              <w:t>3</w:t>
            </w:r>
          </w:p>
        </w:tc>
        <w:tc>
          <w:tcPr>
            <w:tcW w:w="903" w:type="pct"/>
          </w:tcPr>
          <w:p w14:paraId="259F7E81" w14:textId="1DDFA895" w:rsidR="00BD2617" w:rsidRDefault="00BD2617" w:rsidP="00B24BED">
            <w:pPr>
              <w:pStyle w:val="TableTextRight"/>
            </w:pPr>
            <w:r w:rsidRPr="00C70051">
              <w:t>95</w:t>
            </w:r>
          </w:p>
        </w:tc>
        <w:tc>
          <w:tcPr>
            <w:tcW w:w="977" w:type="pct"/>
          </w:tcPr>
          <w:p w14:paraId="72C4D18F" w14:textId="4A0401E2" w:rsidR="00BD2617" w:rsidRDefault="00FE70FB" w:rsidP="00B24BED">
            <w:pPr>
              <w:pStyle w:val="TableTextRight"/>
            </w:pPr>
            <w:r>
              <w:rPr>
                <w:szCs w:val="18"/>
              </w:rPr>
              <w:t>N/A</w:t>
            </w:r>
          </w:p>
        </w:tc>
        <w:tc>
          <w:tcPr>
            <w:tcW w:w="903" w:type="pct"/>
          </w:tcPr>
          <w:p w14:paraId="03A84BB8" w14:textId="1808A246" w:rsidR="00BD2617" w:rsidRDefault="00BD2617" w:rsidP="00B24BED">
            <w:pPr>
              <w:pStyle w:val="TableTextRight"/>
            </w:pPr>
            <w:r w:rsidRPr="00C70051">
              <w:rPr>
                <w:szCs w:val="18"/>
              </w:rPr>
              <w:t>N/A</w:t>
            </w:r>
          </w:p>
        </w:tc>
      </w:tr>
      <w:tr w:rsidR="00670ED1" w:rsidRPr="00670ED1" w14:paraId="01D84A9B" w14:textId="77777777" w:rsidTr="00D54E2A">
        <w:tc>
          <w:tcPr>
            <w:tcW w:w="1313" w:type="pct"/>
          </w:tcPr>
          <w:p w14:paraId="08C293E5" w14:textId="1E46104D" w:rsidR="00BD2617" w:rsidRPr="00670ED1" w:rsidRDefault="00BD2617" w:rsidP="009A345B">
            <w:pPr>
              <w:pStyle w:val="TableTextLeft"/>
              <w:rPr>
                <w:color w:val="auto"/>
              </w:rPr>
            </w:pPr>
            <w:r w:rsidRPr="00670ED1">
              <w:rPr>
                <w:color w:val="auto"/>
              </w:rPr>
              <w:t>Total across all agencies (%)</w:t>
            </w:r>
          </w:p>
        </w:tc>
        <w:tc>
          <w:tcPr>
            <w:tcW w:w="903" w:type="pct"/>
          </w:tcPr>
          <w:p w14:paraId="2BB05B7C" w14:textId="00EC2EA5" w:rsidR="00BD2617" w:rsidRPr="00670ED1" w:rsidRDefault="00BD2617" w:rsidP="00B24BED">
            <w:pPr>
              <w:pStyle w:val="TableTextRight"/>
              <w:rPr>
                <w:color w:val="auto"/>
              </w:rPr>
            </w:pPr>
            <w:r w:rsidRPr="00670ED1">
              <w:rPr>
                <w:color w:val="auto"/>
              </w:rPr>
              <w:t>96</w:t>
            </w:r>
          </w:p>
        </w:tc>
        <w:tc>
          <w:tcPr>
            <w:tcW w:w="903" w:type="pct"/>
          </w:tcPr>
          <w:p w14:paraId="27B26CBB" w14:textId="7FC62D27" w:rsidR="00BD2617" w:rsidRPr="00670ED1" w:rsidRDefault="00BD2617" w:rsidP="00B24BED">
            <w:pPr>
              <w:pStyle w:val="TableTextRight"/>
              <w:rPr>
                <w:color w:val="auto"/>
              </w:rPr>
            </w:pPr>
            <w:r w:rsidRPr="00670ED1">
              <w:rPr>
                <w:color w:val="auto"/>
              </w:rPr>
              <w:t>90</w:t>
            </w:r>
          </w:p>
        </w:tc>
        <w:tc>
          <w:tcPr>
            <w:tcW w:w="977" w:type="pct"/>
          </w:tcPr>
          <w:p w14:paraId="0301FCC2" w14:textId="307853E8" w:rsidR="00BD2617" w:rsidRPr="00670ED1" w:rsidRDefault="00D6480A" w:rsidP="00B24BED">
            <w:pPr>
              <w:pStyle w:val="TableTextRight"/>
              <w:rPr>
                <w:color w:val="auto"/>
              </w:rPr>
            </w:pPr>
            <w:r>
              <w:rPr>
                <w:color w:val="auto"/>
              </w:rPr>
              <w:t>68</w:t>
            </w:r>
          </w:p>
        </w:tc>
        <w:tc>
          <w:tcPr>
            <w:tcW w:w="903" w:type="pct"/>
          </w:tcPr>
          <w:p w14:paraId="7E4A4224" w14:textId="7E72179D" w:rsidR="00BD2617" w:rsidRPr="00670ED1" w:rsidRDefault="00D6480A" w:rsidP="00B24BED">
            <w:pPr>
              <w:pStyle w:val="TableTextRight"/>
              <w:rPr>
                <w:color w:val="auto"/>
              </w:rPr>
            </w:pPr>
            <w:r>
              <w:rPr>
                <w:color w:val="auto"/>
              </w:rPr>
              <w:t>68</w:t>
            </w:r>
          </w:p>
        </w:tc>
      </w:tr>
    </w:tbl>
    <w:p w14:paraId="597FDF4D" w14:textId="64DA7932" w:rsidR="007B0C66" w:rsidRPr="006D2B7F" w:rsidRDefault="007B0C66" w:rsidP="00381E3D">
      <w:pPr>
        <w:pStyle w:val="ChartorTableNote"/>
      </w:pPr>
      <w:r>
        <w:rPr>
          <w:b/>
          <w:bCs/>
        </w:rPr>
        <w:t xml:space="preserve">N/A: </w:t>
      </w:r>
      <w:r w:rsidR="001E0249">
        <w:t>Agency was not eInvoice enabled or did not</w:t>
      </w:r>
      <w:r w:rsidR="00920944">
        <w:t xml:space="preserve"> pay eInvoices up to $</w:t>
      </w:r>
      <w:r w:rsidR="00A37477">
        <w:t xml:space="preserve">1 million </w:t>
      </w:r>
      <w:r w:rsidR="000E1395">
        <w:t xml:space="preserve">in the </w:t>
      </w:r>
      <w:r w:rsidR="00617780">
        <w:t>2021</w:t>
      </w:r>
      <w:r w:rsidR="002E5C80">
        <w:t>–</w:t>
      </w:r>
      <w:r w:rsidR="00617780">
        <w:t>22 financial year</w:t>
      </w:r>
      <w:r w:rsidR="00B43C4B">
        <w:t>.</w:t>
      </w:r>
    </w:p>
    <w:p w14:paraId="78DE3FEB" w14:textId="6BDBDAFB" w:rsidR="00D81D43" w:rsidRDefault="00611083" w:rsidP="00381E3D">
      <w:pPr>
        <w:pStyle w:val="ChartorTableNote"/>
      </w:pPr>
      <w:r w:rsidRPr="00670ED1">
        <w:rPr>
          <w:b/>
          <w:bCs/>
        </w:rPr>
        <w:t>Note</w:t>
      </w:r>
      <w:r w:rsidR="00190E89" w:rsidRPr="00670ED1">
        <w:rPr>
          <w:b/>
          <w:bCs/>
        </w:rPr>
        <w:t xml:space="preserve"> 1</w:t>
      </w:r>
      <w:r w:rsidRPr="00670ED1">
        <w:rPr>
          <w:b/>
          <w:bCs/>
        </w:rPr>
        <w:t>:</w:t>
      </w:r>
      <w:r w:rsidRPr="00CF4CAB">
        <w:t xml:space="preserve"> </w:t>
      </w:r>
      <w:r w:rsidR="00FF1EB8" w:rsidRPr="00CF4CAB">
        <w:t xml:space="preserve">Names of agencies are based on the </w:t>
      </w:r>
      <w:r w:rsidR="00CF4CAB" w:rsidRPr="00CF4CAB">
        <w:t xml:space="preserve">Flipchart of </w:t>
      </w:r>
      <w:r w:rsidR="00A752A8">
        <w:t xml:space="preserve">PGPA Act </w:t>
      </w:r>
      <w:r w:rsidR="00CF4CAB" w:rsidRPr="00CF4CAB">
        <w:t xml:space="preserve">Commonwealth </w:t>
      </w:r>
      <w:r w:rsidR="032BD754" w:rsidRPr="21879FA8">
        <w:t>entities</w:t>
      </w:r>
      <w:r w:rsidR="00CF4CAB" w:rsidRPr="00CF4CAB">
        <w:t xml:space="preserve"> and companies from the Department of Finance as of 15 November 2022. </w:t>
      </w:r>
    </w:p>
    <w:p w14:paraId="6C6CBE99" w14:textId="77777777" w:rsidR="00FB2D56" w:rsidRPr="00FB2D56" w:rsidRDefault="00FB2D56" w:rsidP="00FB2D56">
      <w:pPr>
        <w:pStyle w:val="ChartorTableNote"/>
      </w:pPr>
    </w:p>
    <w:p w14:paraId="0B7C24A8" w14:textId="33934A5A" w:rsidR="00C45F63" w:rsidRDefault="00190E89" w:rsidP="00381E3D">
      <w:pPr>
        <w:pStyle w:val="ChartorTableNote"/>
      </w:pPr>
      <w:r w:rsidRPr="00670ED1">
        <w:rPr>
          <w:b/>
          <w:bCs/>
        </w:rPr>
        <w:t>Note 2:</w:t>
      </w:r>
      <w:r>
        <w:t xml:space="preserve"> The 2021</w:t>
      </w:r>
      <w:r w:rsidR="00670ED1">
        <w:t>–</w:t>
      </w:r>
      <w:r>
        <w:t>22</w:t>
      </w:r>
      <w:r w:rsidR="00365270">
        <w:t xml:space="preserve"> Survey was completed by 93 agencies compared to 91 in 2020</w:t>
      </w:r>
      <w:r w:rsidR="00670ED1">
        <w:t>–</w:t>
      </w:r>
      <w:r w:rsidR="00365270">
        <w:t>21</w:t>
      </w:r>
      <w:r w:rsidR="00BB2200">
        <w:t xml:space="preserve">. It is common for the number of recorded agencies to vary each year due to Machinery of </w:t>
      </w:r>
      <w:r w:rsidR="000502AE">
        <w:t>Government changes or through agencies under the same portfolio merging their submissions</w:t>
      </w:r>
      <w:r w:rsidR="006A19EE">
        <w:t xml:space="preserve"> due to shared financial functions</w:t>
      </w:r>
      <w:r w:rsidR="000502AE">
        <w:t xml:space="preserve">. </w:t>
      </w:r>
      <w:bookmarkStart w:id="52" w:name="_Toc25057852"/>
      <w:bookmarkStart w:id="53" w:name="_Toc25242637"/>
      <w:bookmarkEnd w:id="52"/>
      <w:bookmarkEnd w:id="53"/>
    </w:p>
    <w:p w14:paraId="39A896A1" w14:textId="14D466A2" w:rsidR="007B0C66" w:rsidRPr="007B0C66" w:rsidRDefault="007B0C66" w:rsidP="006D2B7F"/>
    <w:sectPr w:rsidR="007B0C66" w:rsidRPr="007B0C66" w:rsidSect="00295B30">
      <w:headerReference w:type="even" r:id="rId30"/>
      <w:footerReference w:type="even" r:id="rId31"/>
      <w:footerReference w:type="default" r:id="rId32"/>
      <w:headerReference w:type="first" r:id="rId33"/>
      <w:footerReference w:type="first" r:id="rId34"/>
      <w:pgSz w:w="11906" w:h="16838" w:code="9"/>
      <w:pgMar w:top="1843"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E62D" w14:textId="77777777" w:rsidR="00B830C4" w:rsidRDefault="00B830C4">
      <w:pPr>
        <w:spacing w:before="0" w:after="0"/>
      </w:pPr>
      <w:r>
        <w:separator/>
      </w:r>
    </w:p>
  </w:endnote>
  <w:endnote w:type="continuationSeparator" w:id="0">
    <w:p w14:paraId="6D74993D" w14:textId="77777777" w:rsidR="00B830C4" w:rsidRDefault="00B830C4">
      <w:pPr>
        <w:spacing w:before="0" w:after="0"/>
      </w:pPr>
      <w:r>
        <w:continuationSeparator/>
      </w:r>
    </w:p>
  </w:endnote>
  <w:endnote w:type="continuationNotice" w:id="1">
    <w:p w14:paraId="6597D235" w14:textId="77777777" w:rsidR="00B830C4" w:rsidRDefault="00B830C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CC21" w14:textId="77777777" w:rsidR="00153E34" w:rsidRDefault="00153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F6D3" w14:textId="77777777" w:rsidR="00153E34" w:rsidRDefault="00153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D8D2" w14:textId="77777777" w:rsidR="00153E34" w:rsidRDefault="00153E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022C" w14:textId="2401F6C4" w:rsidR="00672B5D" w:rsidRDefault="00672B5D" w:rsidP="00BC6E69">
    <w:pPr>
      <w:pStyle w:val="FooterEven"/>
      <w:jc w:val="both"/>
    </w:pPr>
    <w:r>
      <w:t xml:space="preserve"> </w:t>
    </w: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fldSimple w:instr="STYLEREF  &quot;Heading 1&quot;  \* MERGEFORMAT">
      <w:r w:rsidR="00462ADF">
        <w:t>Overview</w:t>
      </w:r>
    </w:fldSimple>
    <w:r w:rsidR="00103F3C">
      <w:tab/>
    </w:r>
    <w:r w:rsidR="00103F3C" w:rsidRPr="00103F3C">
      <w:rPr>
        <w:position w:val="-8"/>
      </w:rPr>
      <w:drawing>
        <wp:inline distT="0" distB="0" distL="0" distR="0" wp14:anchorId="5370E459" wp14:editId="78E50081">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C47"/>
      </w:rPr>
      <w:id w:val="1654097506"/>
      <w:docPartObj>
        <w:docPartGallery w:val="Page Numbers (Bottom of Page)"/>
        <w:docPartUnique/>
      </w:docPartObj>
    </w:sdtPr>
    <w:sdtEndPr>
      <w:rPr>
        <w:noProof/>
        <w:color w:val="2C384A" w:themeColor="accent1"/>
      </w:rPr>
    </w:sdtEndPr>
    <w:sdtContent>
      <w:p w14:paraId="5548CE6F" w14:textId="52B51268" w:rsidR="00381E3D" w:rsidRPr="00F60198" w:rsidRDefault="00381E3D" w:rsidP="00B8097B">
        <w:pPr>
          <w:pStyle w:val="FooterOdd"/>
        </w:pPr>
        <w:r w:rsidRPr="00103F3C">
          <w:rPr>
            <w:noProof/>
            <w:position w:val="-8"/>
          </w:rPr>
          <w:drawing>
            <wp:inline distT="0" distB="0" distL="0" distR="0" wp14:anchorId="65245575" wp14:editId="3A4DA15C">
              <wp:extent cx="13248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l  \* MERGEFORMAT">
          <w:r w:rsidR="00601890">
            <w:rPr>
              <w:noProof/>
            </w:rPr>
            <w:t>Results</w:t>
          </w:r>
        </w:fldSimple>
        <w:r>
          <w:t xml:space="preserve"> | </w:t>
        </w:r>
        <w:r>
          <w:fldChar w:fldCharType="begin"/>
        </w:r>
        <w:r>
          <w:instrText xml:space="preserve"> PAGE   \* MERGEFORMAT </w:instrText>
        </w:r>
        <w:r>
          <w:fldChar w:fldCharType="separate"/>
        </w:r>
        <w: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EF6F" w14:textId="77777777" w:rsidR="00095D88" w:rsidRPr="00095D88" w:rsidRDefault="00095D88" w:rsidP="0009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9645" w14:textId="77777777" w:rsidR="00B830C4" w:rsidRPr="00ED5A20" w:rsidRDefault="00B830C4" w:rsidP="000F6233">
      <w:pPr>
        <w:rPr>
          <w:color w:val="4D7861" w:themeColor="accent2"/>
        </w:rPr>
      </w:pPr>
      <w:r w:rsidRPr="00ED5A20">
        <w:rPr>
          <w:color w:val="4D7861" w:themeColor="accent2"/>
        </w:rPr>
        <w:separator/>
      </w:r>
    </w:p>
  </w:footnote>
  <w:footnote w:type="continuationSeparator" w:id="0">
    <w:p w14:paraId="44E21460" w14:textId="77777777" w:rsidR="00B830C4" w:rsidRPr="00B737EB" w:rsidRDefault="00B830C4">
      <w:pPr>
        <w:spacing w:before="0" w:after="0"/>
        <w:rPr>
          <w:color w:val="2C384A" w:themeColor="accent1"/>
        </w:rPr>
      </w:pPr>
      <w:r w:rsidRPr="00B737EB">
        <w:rPr>
          <w:color w:val="2C384A" w:themeColor="accent1"/>
        </w:rPr>
        <w:continuationSeparator/>
      </w:r>
    </w:p>
  </w:footnote>
  <w:footnote w:type="continuationNotice" w:id="1">
    <w:p w14:paraId="6A0F7494" w14:textId="77777777" w:rsidR="00B830C4" w:rsidRDefault="00B830C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0E36" w14:textId="77777777" w:rsidR="00153E34" w:rsidRDefault="00153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E31B" w14:textId="77777777" w:rsidR="00153E34" w:rsidRDefault="00153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7383" w14:textId="77777777" w:rsidR="00153E34" w:rsidRDefault="00153E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BF82A" w14:textId="77777777" w:rsidR="00672B5D" w:rsidRPr="00AC75E2" w:rsidRDefault="00AC75E2" w:rsidP="00AC75E2">
    <w:pPr>
      <w:pStyle w:val="HeaderEven"/>
    </w:pPr>
    <w:r>
      <w:rPr>
        <w:noProof/>
      </w:rPr>
      <w:drawing>
        <wp:anchor distT="0" distB="0" distL="114300" distR="114300" simplePos="0" relativeHeight="251658240" behindDoc="1" locked="1" layoutInCell="1" allowOverlap="1" wp14:anchorId="366E605F" wp14:editId="4A9DF575">
          <wp:simplePos x="0" y="0"/>
          <wp:positionH relativeFrom="page">
            <wp:posOffset>-635</wp:posOffset>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r w:rsidR="008E24D2">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839E" w14:textId="77777777" w:rsidR="00095D88" w:rsidRPr="00095D88" w:rsidRDefault="00095D88" w:rsidP="0009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901779"/>
    <w:multiLevelType w:val="hybridMultilevel"/>
    <w:tmpl w:val="4DE257D6"/>
    <w:lvl w:ilvl="0" w:tplc="8EC4759E">
      <w:start w:val="1"/>
      <w:numFmt w:val="bullet"/>
      <w:lvlText w:val=""/>
      <w:lvlJc w:val="left"/>
      <w:pPr>
        <w:ind w:left="720" w:hanging="360"/>
      </w:pPr>
      <w:rPr>
        <w:rFonts w:ascii="Symbol" w:hAnsi="Symbol" w:hint="default"/>
        <w:color w:val="287BB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0A326C1"/>
    <w:multiLevelType w:val="hybridMultilevel"/>
    <w:tmpl w:val="EA461D68"/>
    <w:lvl w:ilvl="0" w:tplc="31C4993E">
      <w:start w:val="1"/>
      <w:numFmt w:val="bullet"/>
      <w:lvlText w:val=""/>
      <w:lvlJc w:val="left"/>
      <w:pPr>
        <w:ind w:left="720" w:hanging="360"/>
      </w:pPr>
      <w:rPr>
        <w:rFonts w:ascii="Symbol" w:hAnsi="Symbol" w:hint="default"/>
        <w:color w:val="002C47"/>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851294"/>
    <w:multiLevelType w:val="multilevel"/>
    <w:tmpl w:val="C45ECC16"/>
    <w:lvl w:ilvl="0">
      <w:start w:val="1"/>
      <w:numFmt w:val="bullet"/>
      <w:lvlText w:val="•"/>
      <w:lvlJc w:val="left"/>
      <w:pPr>
        <w:tabs>
          <w:tab w:val="num" w:pos="520"/>
        </w:tabs>
        <w:ind w:left="520" w:hanging="520"/>
      </w:pPr>
      <w:rPr>
        <w:rFonts w:ascii="Times New Roman" w:hAnsi="Times New Roman" w:cs="Times New Roman" w:hint="default"/>
      </w:rPr>
    </w:lvl>
    <w:lvl w:ilvl="1">
      <w:start w:val="1"/>
      <w:numFmt w:val="bullet"/>
      <w:lvlText w:val="o"/>
      <w:lvlJc w:val="left"/>
      <w:pPr>
        <w:tabs>
          <w:tab w:val="num" w:pos="1040"/>
        </w:tabs>
        <w:ind w:left="1040" w:hanging="520"/>
      </w:pPr>
      <w:rPr>
        <w:rFonts w:ascii="Courier New" w:hAnsi="Courier New" w:cs="Courier New"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9" w15:restartNumberingAfterBreak="0">
    <w:nsid w:val="510D2021"/>
    <w:multiLevelType w:val="multilevel"/>
    <w:tmpl w:val="72F8140E"/>
    <w:numStyleLink w:val="OutlineList"/>
  </w:abstractNum>
  <w:abstractNum w:abstractNumId="20"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52E10FD"/>
    <w:multiLevelType w:val="hybridMultilevel"/>
    <w:tmpl w:val="A154A084"/>
    <w:lvl w:ilvl="0" w:tplc="A6EACFDA">
      <w:numFmt w:val="bullet"/>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5"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D5445A1"/>
    <w:multiLevelType w:val="hybridMultilevel"/>
    <w:tmpl w:val="88A4884C"/>
    <w:lvl w:ilvl="0" w:tplc="49CC8DD4">
      <w:start w:val="459"/>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1060784527">
    <w:abstractNumId w:val="12"/>
  </w:num>
  <w:num w:numId="2" w16cid:durableId="880676764">
    <w:abstractNumId w:val="0"/>
  </w:num>
  <w:num w:numId="3" w16cid:durableId="64180821">
    <w:abstractNumId w:val="16"/>
  </w:num>
  <w:num w:numId="4" w16cid:durableId="1510631533">
    <w:abstractNumId w:val="2"/>
  </w:num>
  <w:num w:numId="5" w16cid:durableId="2023705964">
    <w:abstractNumId w:val="5"/>
  </w:num>
  <w:num w:numId="6" w16cid:durableId="1811439670">
    <w:abstractNumId w:val="19"/>
  </w:num>
  <w:num w:numId="7" w16cid:durableId="1387333446">
    <w:abstractNumId w:val="15"/>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105807180">
    <w:abstractNumId w:val="6"/>
  </w:num>
  <w:num w:numId="9" w16cid:durableId="1694308732">
    <w:abstractNumId w:val="1"/>
  </w:num>
  <w:num w:numId="10" w16cid:durableId="1575356161">
    <w:abstractNumId w:val="10"/>
  </w:num>
  <w:num w:numId="11" w16cid:durableId="1324506586">
    <w:abstractNumId w:val="28"/>
  </w:num>
  <w:num w:numId="12" w16cid:durableId="788822518">
    <w:abstractNumId w:val="19"/>
  </w:num>
  <w:num w:numId="13" w16cid:durableId="378632283">
    <w:abstractNumId w:val="29"/>
  </w:num>
  <w:num w:numId="14" w16cid:durableId="153448851">
    <w:abstractNumId w:val="18"/>
  </w:num>
  <w:num w:numId="15" w16cid:durableId="1655833981">
    <w:abstractNumId w:val="9"/>
  </w:num>
  <w:num w:numId="16" w16cid:durableId="1319991324">
    <w:abstractNumId w:val="23"/>
  </w:num>
  <w:num w:numId="17" w16cid:durableId="381943841">
    <w:abstractNumId w:val="15"/>
  </w:num>
  <w:num w:numId="18" w16cid:durableId="4343247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199428">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729077">
    <w:abstractNumId w:val="14"/>
  </w:num>
  <w:num w:numId="21" w16cid:durableId="1648506506">
    <w:abstractNumId w:val="20"/>
  </w:num>
  <w:num w:numId="22" w16cid:durableId="389154004">
    <w:abstractNumId w:val="4"/>
  </w:num>
  <w:num w:numId="23" w16cid:durableId="18331376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5687600">
    <w:abstractNumId w:val="24"/>
  </w:num>
  <w:num w:numId="25" w16cid:durableId="705447208">
    <w:abstractNumId w:val="7"/>
  </w:num>
  <w:num w:numId="26" w16cid:durableId="1646928276">
    <w:abstractNumId w:val="22"/>
  </w:num>
  <w:num w:numId="27" w16cid:durableId="1849296119">
    <w:abstractNumId w:val="11"/>
  </w:num>
  <w:num w:numId="28" w16cid:durableId="353070276">
    <w:abstractNumId w:val="8"/>
  </w:num>
  <w:num w:numId="29" w16cid:durableId="1733428610">
    <w:abstractNumId w:val="21"/>
  </w:num>
  <w:num w:numId="30" w16cid:durableId="1875118077">
    <w:abstractNumId w:val="3"/>
  </w:num>
  <w:num w:numId="31" w16cid:durableId="755247591">
    <w:abstractNumId w:val="17"/>
  </w:num>
  <w:num w:numId="32" w16cid:durableId="748618124">
    <w:abstractNumId w:val="13"/>
  </w:num>
  <w:num w:numId="33" w16cid:durableId="5357758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5C6A2A"/>
    <w:rsid w:val="00000ED0"/>
    <w:rsid w:val="00002C3B"/>
    <w:rsid w:val="000046BD"/>
    <w:rsid w:val="00005992"/>
    <w:rsid w:val="0000712A"/>
    <w:rsid w:val="00007528"/>
    <w:rsid w:val="00007DB8"/>
    <w:rsid w:val="00010A32"/>
    <w:rsid w:val="00010F1C"/>
    <w:rsid w:val="00011725"/>
    <w:rsid w:val="00012AA7"/>
    <w:rsid w:val="00012C62"/>
    <w:rsid w:val="00013893"/>
    <w:rsid w:val="000138F4"/>
    <w:rsid w:val="0001396A"/>
    <w:rsid w:val="00013E2E"/>
    <w:rsid w:val="00014077"/>
    <w:rsid w:val="00014127"/>
    <w:rsid w:val="0001438D"/>
    <w:rsid w:val="0001480B"/>
    <w:rsid w:val="00017CE5"/>
    <w:rsid w:val="000212D7"/>
    <w:rsid w:val="000212E6"/>
    <w:rsid w:val="0002132F"/>
    <w:rsid w:val="0002134B"/>
    <w:rsid w:val="00023747"/>
    <w:rsid w:val="00023B11"/>
    <w:rsid w:val="000242F8"/>
    <w:rsid w:val="0002434E"/>
    <w:rsid w:val="0002544D"/>
    <w:rsid w:val="00025865"/>
    <w:rsid w:val="00025AB8"/>
    <w:rsid w:val="000268DB"/>
    <w:rsid w:val="000271B0"/>
    <w:rsid w:val="0002732B"/>
    <w:rsid w:val="00027AF4"/>
    <w:rsid w:val="000302E3"/>
    <w:rsid w:val="00030BE7"/>
    <w:rsid w:val="00030EE5"/>
    <w:rsid w:val="00031A6C"/>
    <w:rsid w:val="00031E72"/>
    <w:rsid w:val="000324C5"/>
    <w:rsid w:val="00032DFE"/>
    <w:rsid w:val="00033DC5"/>
    <w:rsid w:val="00034E71"/>
    <w:rsid w:val="00035C28"/>
    <w:rsid w:val="000376A0"/>
    <w:rsid w:val="000377C6"/>
    <w:rsid w:val="0004078C"/>
    <w:rsid w:val="00040BB0"/>
    <w:rsid w:val="000424E2"/>
    <w:rsid w:val="0004274D"/>
    <w:rsid w:val="000432A7"/>
    <w:rsid w:val="00043348"/>
    <w:rsid w:val="00043C62"/>
    <w:rsid w:val="0004483F"/>
    <w:rsid w:val="0004493B"/>
    <w:rsid w:val="00044D22"/>
    <w:rsid w:val="00044D68"/>
    <w:rsid w:val="00045096"/>
    <w:rsid w:val="00046CB4"/>
    <w:rsid w:val="00047415"/>
    <w:rsid w:val="00047BC4"/>
    <w:rsid w:val="00047E2C"/>
    <w:rsid w:val="0005005A"/>
    <w:rsid w:val="000502AE"/>
    <w:rsid w:val="000509B1"/>
    <w:rsid w:val="0005138B"/>
    <w:rsid w:val="00051B6C"/>
    <w:rsid w:val="000522B7"/>
    <w:rsid w:val="000526B0"/>
    <w:rsid w:val="00052EA0"/>
    <w:rsid w:val="000530AF"/>
    <w:rsid w:val="00053233"/>
    <w:rsid w:val="00053717"/>
    <w:rsid w:val="00053E92"/>
    <w:rsid w:val="00054052"/>
    <w:rsid w:val="00054075"/>
    <w:rsid w:val="000550D1"/>
    <w:rsid w:val="00055B93"/>
    <w:rsid w:val="00055BC9"/>
    <w:rsid w:val="000561BB"/>
    <w:rsid w:val="00056880"/>
    <w:rsid w:val="00056B12"/>
    <w:rsid w:val="00057047"/>
    <w:rsid w:val="00060205"/>
    <w:rsid w:val="000605FB"/>
    <w:rsid w:val="00060780"/>
    <w:rsid w:val="0006113B"/>
    <w:rsid w:val="00061BD3"/>
    <w:rsid w:val="00061E7B"/>
    <w:rsid w:val="00064314"/>
    <w:rsid w:val="0006547A"/>
    <w:rsid w:val="000675D1"/>
    <w:rsid w:val="00067961"/>
    <w:rsid w:val="00070D33"/>
    <w:rsid w:val="0007192D"/>
    <w:rsid w:val="00071B58"/>
    <w:rsid w:val="00071FD1"/>
    <w:rsid w:val="00072FB8"/>
    <w:rsid w:val="00073521"/>
    <w:rsid w:val="000745E1"/>
    <w:rsid w:val="00074DAD"/>
    <w:rsid w:val="00076632"/>
    <w:rsid w:val="00076CB2"/>
    <w:rsid w:val="000775DE"/>
    <w:rsid w:val="00081D15"/>
    <w:rsid w:val="00083345"/>
    <w:rsid w:val="00084BBC"/>
    <w:rsid w:val="00084DFA"/>
    <w:rsid w:val="000856B4"/>
    <w:rsid w:val="000865A2"/>
    <w:rsid w:val="00087E4A"/>
    <w:rsid w:val="00087FAF"/>
    <w:rsid w:val="000908A9"/>
    <w:rsid w:val="00091044"/>
    <w:rsid w:val="000914DA"/>
    <w:rsid w:val="00091D3C"/>
    <w:rsid w:val="00092FB0"/>
    <w:rsid w:val="000944C6"/>
    <w:rsid w:val="00094C0C"/>
    <w:rsid w:val="00094F29"/>
    <w:rsid w:val="00095C19"/>
    <w:rsid w:val="00095D88"/>
    <w:rsid w:val="00096850"/>
    <w:rsid w:val="0009713D"/>
    <w:rsid w:val="00097385"/>
    <w:rsid w:val="0009738B"/>
    <w:rsid w:val="000977A4"/>
    <w:rsid w:val="00097CBF"/>
    <w:rsid w:val="000A0569"/>
    <w:rsid w:val="000A0F4C"/>
    <w:rsid w:val="000A12F4"/>
    <w:rsid w:val="000A1496"/>
    <w:rsid w:val="000A2690"/>
    <w:rsid w:val="000A28C5"/>
    <w:rsid w:val="000A3287"/>
    <w:rsid w:val="000A448D"/>
    <w:rsid w:val="000A5C75"/>
    <w:rsid w:val="000A65A4"/>
    <w:rsid w:val="000A68AF"/>
    <w:rsid w:val="000A6C71"/>
    <w:rsid w:val="000A6F42"/>
    <w:rsid w:val="000A7A98"/>
    <w:rsid w:val="000B093F"/>
    <w:rsid w:val="000B302A"/>
    <w:rsid w:val="000B30CF"/>
    <w:rsid w:val="000B3585"/>
    <w:rsid w:val="000B3EE8"/>
    <w:rsid w:val="000B4300"/>
    <w:rsid w:val="000B4947"/>
    <w:rsid w:val="000B50EE"/>
    <w:rsid w:val="000B6429"/>
    <w:rsid w:val="000B74EA"/>
    <w:rsid w:val="000C098C"/>
    <w:rsid w:val="000C122B"/>
    <w:rsid w:val="000C16DC"/>
    <w:rsid w:val="000C1B16"/>
    <w:rsid w:val="000C2116"/>
    <w:rsid w:val="000C2A90"/>
    <w:rsid w:val="000C3832"/>
    <w:rsid w:val="000C3C42"/>
    <w:rsid w:val="000C3D97"/>
    <w:rsid w:val="000C5005"/>
    <w:rsid w:val="000C54A0"/>
    <w:rsid w:val="000C571D"/>
    <w:rsid w:val="000C58C0"/>
    <w:rsid w:val="000C5F40"/>
    <w:rsid w:val="000D04C9"/>
    <w:rsid w:val="000D11D7"/>
    <w:rsid w:val="000D219C"/>
    <w:rsid w:val="000D32E7"/>
    <w:rsid w:val="000D35AA"/>
    <w:rsid w:val="000D4978"/>
    <w:rsid w:val="000D6AC6"/>
    <w:rsid w:val="000D72F8"/>
    <w:rsid w:val="000D7716"/>
    <w:rsid w:val="000E0B74"/>
    <w:rsid w:val="000E1395"/>
    <w:rsid w:val="000E1D57"/>
    <w:rsid w:val="000E2618"/>
    <w:rsid w:val="000E271D"/>
    <w:rsid w:val="000E2B8B"/>
    <w:rsid w:val="000E3148"/>
    <w:rsid w:val="000E4364"/>
    <w:rsid w:val="000E43E1"/>
    <w:rsid w:val="000E44F2"/>
    <w:rsid w:val="000E46C2"/>
    <w:rsid w:val="000E5303"/>
    <w:rsid w:val="000E5AEB"/>
    <w:rsid w:val="000E6E01"/>
    <w:rsid w:val="000E7901"/>
    <w:rsid w:val="000E7D5F"/>
    <w:rsid w:val="000F013E"/>
    <w:rsid w:val="000F02CA"/>
    <w:rsid w:val="000F050E"/>
    <w:rsid w:val="000F0781"/>
    <w:rsid w:val="000F0AA9"/>
    <w:rsid w:val="000F0B14"/>
    <w:rsid w:val="000F2283"/>
    <w:rsid w:val="000F2599"/>
    <w:rsid w:val="000F2F1D"/>
    <w:rsid w:val="000F4236"/>
    <w:rsid w:val="000F4247"/>
    <w:rsid w:val="000F4E45"/>
    <w:rsid w:val="000F5495"/>
    <w:rsid w:val="000F6205"/>
    <w:rsid w:val="000F6233"/>
    <w:rsid w:val="000F630B"/>
    <w:rsid w:val="000F7892"/>
    <w:rsid w:val="000F79BF"/>
    <w:rsid w:val="000F7EF5"/>
    <w:rsid w:val="000F7FE2"/>
    <w:rsid w:val="00100D97"/>
    <w:rsid w:val="00101313"/>
    <w:rsid w:val="00101EE2"/>
    <w:rsid w:val="00102056"/>
    <w:rsid w:val="001028A4"/>
    <w:rsid w:val="00102C66"/>
    <w:rsid w:val="00103A91"/>
    <w:rsid w:val="00103F3C"/>
    <w:rsid w:val="0010433D"/>
    <w:rsid w:val="00104F74"/>
    <w:rsid w:val="00105D04"/>
    <w:rsid w:val="0010642F"/>
    <w:rsid w:val="001068B5"/>
    <w:rsid w:val="0010751A"/>
    <w:rsid w:val="00107889"/>
    <w:rsid w:val="00107A11"/>
    <w:rsid w:val="00107FF0"/>
    <w:rsid w:val="001118CB"/>
    <w:rsid w:val="00111EA4"/>
    <w:rsid w:val="0011283A"/>
    <w:rsid w:val="00112DC2"/>
    <w:rsid w:val="00113964"/>
    <w:rsid w:val="00113C20"/>
    <w:rsid w:val="00113E50"/>
    <w:rsid w:val="0011421D"/>
    <w:rsid w:val="00115E28"/>
    <w:rsid w:val="0011691C"/>
    <w:rsid w:val="00116C13"/>
    <w:rsid w:val="00116F32"/>
    <w:rsid w:val="00117152"/>
    <w:rsid w:val="001172A3"/>
    <w:rsid w:val="00122307"/>
    <w:rsid w:val="00122963"/>
    <w:rsid w:val="00124A7B"/>
    <w:rsid w:val="00124DA2"/>
    <w:rsid w:val="001250D2"/>
    <w:rsid w:val="00125139"/>
    <w:rsid w:val="00125D88"/>
    <w:rsid w:val="00125DBB"/>
    <w:rsid w:val="00126C71"/>
    <w:rsid w:val="0013073A"/>
    <w:rsid w:val="00130D1B"/>
    <w:rsid w:val="001319AA"/>
    <w:rsid w:val="00131B3D"/>
    <w:rsid w:val="00131DC3"/>
    <w:rsid w:val="00132157"/>
    <w:rsid w:val="00132968"/>
    <w:rsid w:val="00133179"/>
    <w:rsid w:val="0013365B"/>
    <w:rsid w:val="00134669"/>
    <w:rsid w:val="00135723"/>
    <w:rsid w:val="00135E4C"/>
    <w:rsid w:val="00135EC6"/>
    <w:rsid w:val="0013624C"/>
    <w:rsid w:val="00136BEE"/>
    <w:rsid w:val="001373F5"/>
    <w:rsid w:val="001377DD"/>
    <w:rsid w:val="00137BC3"/>
    <w:rsid w:val="00140A12"/>
    <w:rsid w:val="0014150A"/>
    <w:rsid w:val="00141A27"/>
    <w:rsid w:val="00142D59"/>
    <w:rsid w:val="00143BC9"/>
    <w:rsid w:val="001442F3"/>
    <w:rsid w:val="00144C80"/>
    <w:rsid w:val="001451D8"/>
    <w:rsid w:val="00145F08"/>
    <w:rsid w:val="00146389"/>
    <w:rsid w:val="00147D3E"/>
    <w:rsid w:val="00147E71"/>
    <w:rsid w:val="0015054A"/>
    <w:rsid w:val="00150912"/>
    <w:rsid w:val="00150F9B"/>
    <w:rsid w:val="001511A0"/>
    <w:rsid w:val="00152D57"/>
    <w:rsid w:val="001530DF"/>
    <w:rsid w:val="00153A9C"/>
    <w:rsid w:val="00153AC1"/>
    <w:rsid w:val="00153E34"/>
    <w:rsid w:val="001550EB"/>
    <w:rsid w:val="001574C0"/>
    <w:rsid w:val="00157617"/>
    <w:rsid w:val="00160070"/>
    <w:rsid w:val="001606CF"/>
    <w:rsid w:val="00160D53"/>
    <w:rsid w:val="0016128D"/>
    <w:rsid w:val="00162252"/>
    <w:rsid w:val="00162EB0"/>
    <w:rsid w:val="0016304C"/>
    <w:rsid w:val="001635FA"/>
    <w:rsid w:val="001638C1"/>
    <w:rsid w:val="001640EB"/>
    <w:rsid w:val="00164599"/>
    <w:rsid w:val="00164DF7"/>
    <w:rsid w:val="001656E2"/>
    <w:rsid w:val="00166537"/>
    <w:rsid w:val="0016669E"/>
    <w:rsid w:val="00167A81"/>
    <w:rsid w:val="001705AD"/>
    <w:rsid w:val="0017089D"/>
    <w:rsid w:val="00170B05"/>
    <w:rsid w:val="00173534"/>
    <w:rsid w:val="00173CC9"/>
    <w:rsid w:val="00173E44"/>
    <w:rsid w:val="00174FB8"/>
    <w:rsid w:val="001765A7"/>
    <w:rsid w:val="00176BE0"/>
    <w:rsid w:val="00177C9B"/>
    <w:rsid w:val="0018005A"/>
    <w:rsid w:val="001800DC"/>
    <w:rsid w:val="001802F6"/>
    <w:rsid w:val="001805A8"/>
    <w:rsid w:val="00180AD0"/>
    <w:rsid w:val="00181643"/>
    <w:rsid w:val="0018242D"/>
    <w:rsid w:val="00182996"/>
    <w:rsid w:val="001841A4"/>
    <w:rsid w:val="00184A85"/>
    <w:rsid w:val="001857BF"/>
    <w:rsid w:val="00185EE0"/>
    <w:rsid w:val="00190E89"/>
    <w:rsid w:val="0019101A"/>
    <w:rsid w:val="0019154C"/>
    <w:rsid w:val="00192DAF"/>
    <w:rsid w:val="001932EC"/>
    <w:rsid w:val="001935C0"/>
    <w:rsid w:val="001935D1"/>
    <w:rsid w:val="00193AA2"/>
    <w:rsid w:val="00193DF4"/>
    <w:rsid w:val="00194152"/>
    <w:rsid w:val="00194597"/>
    <w:rsid w:val="00194E78"/>
    <w:rsid w:val="001950B0"/>
    <w:rsid w:val="00195C8E"/>
    <w:rsid w:val="001961E8"/>
    <w:rsid w:val="001967FC"/>
    <w:rsid w:val="001972D2"/>
    <w:rsid w:val="001974CE"/>
    <w:rsid w:val="00197E30"/>
    <w:rsid w:val="001A10A8"/>
    <w:rsid w:val="001A1C48"/>
    <w:rsid w:val="001A259A"/>
    <w:rsid w:val="001A2DE5"/>
    <w:rsid w:val="001A491F"/>
    <w:rsid w:val="001A4F65"/>
    <w:rsid w:val="001A5191"/>
    <w:rsid w:val="001A5AF1"/>
    <w:rsid w:val="001A5DC5"/>
    <w:rsid w:val="001A6102"/>
    <w:rsid w:val="001A6308"/>
    <w:rsid w:val="001A640F"/>
    <w:rsid w:val="001A6F2F"/>
    <w:rsid w:val="001B09C2"/>
    <w:rsid w:val="001B1EF5"/>
    <w:rsid w:val="001B1EFA"/>
    <w:rsid w:val="001B265B"/>
    <w:rsid w:val="001B35B2"/>
    <w:rsid w:val="001B36E6"/>
    <w:rsid w:val="001B397E"/>
    <w:rsid w:val="001B3F3F"/>
    <w:rsid w:val="001B58AE"/>
    <w:rsid w:val="001B5971"/>
    <w:rsid w:val="001B64D6"/>
    <w:rsid w:val="001C0556"/>
    <w:rsid w:val="001C101A"/>
    <w:rsid w:val="001C2804"/>
    <w:rsid w:val="001C358D"/>
    <w:rsid w:val="001C40A0"/>
    <w:rsid w:val="001C4F23"/>
    <w:rsid w:val="001D01F9"/>
    <w:rsid w:val="001D041D"/>
    <w:rsid w:val="001D0D8B"/>
    <w:rsid w:val="001D0F3F"/>
    <w:rsid w:val="001D124D"/>
    <w:rsid w:val="001D1EC0"/>
    <w:rsid w:val="001D3024"/>
    <w:rsid w:val="001D5F32"/>
    <w:rsid w:val="001D5F6E"/>
    <w:rsid w:val="001D5F86"/>
    <w:rsid w:val="001D74F2"/>
    <w:rsid w:val="001D756B"/>
    <w:rsid w:val="001D795D"/>
    <w:rsid w:val="001E0188"/>
    <w:rsid w:val="001E0249"/>
    <w:rsid w:val="001E02A9"/>
    <w:rsid w:val="001E0B31"/>
    <w:rsid w:val="001E136F"/>
    <w:rsid w:val="001E31CF"/>
    <w:rsid w:val="001E36B0"/>
    <w:rsid w:val="001E3BF9"/>
    <w:rsid w:val="001E44CD"/>
    <w:rsid w:val="001E5E69"/>
    <w:rsid w:val="001E6808"/>
    <w:rsid w:val="001E7263"/>
    <w:rsid w:val="001E7D95"/>
    <w:rsid w:val="001F003F"/>
    <w:rsid w:val="001F10B2"/>
    <w:rsid w:val="001F1170"/>
    <w:rsid w:val="001F129F"/>
    <w:rsid w:val="001F1A0D"/>
    <w:rsid w:val="001F1A1B"/>
    <w:rsid w:val="001F1AC4"/>
    <w:rsid w:val="001F1AF9"/>
    <w:rsid w:val="001F1B27"/>
    <w:rsid w:val="001F1B36"/>
    <w:rsid w:val="001F2597"/>
    <w:rsid w:val="001F2DD3"/>
    <w:rsid w:val="001F3AB0"/>
    <w:rsid w:val="001F55FA"/>
    <w:rsid w:val="001F621A"/>
    <w:rsid w:val="001F654F"/>
    <w:rsid w:val="001F66EC"/>
    <w:rsid w:val="001F67AA"/>
    <w:rsid w:val="001F6D3E"/>
    <w:rsid w:val="001F7CD2"/>
    <w:rsid w:val="00200FCE"/>
    <w:rsid w:val="00201203"/>
    <w:rsid w:val="00201C6B"/>
    <w:rsid w:val="00202D03"/>
    <w:rsid w:val="002038B4"/>
    <w:rsid w:val="00203DDB"/>
    <w:rsid w:val="002040C0"/>
    <w:rsid w:val="00204D0A"/>
    <w:rsid w:val="0020529B"/>
    <w:rsid w:val="002067E4"/>
    <w:rsid w:val="00206B6C"/>
    <w:rsid w:val="00207111"/>
    <w:rsid w:val="002074CA"/>
    <w:rsid w:val="00207B91"/>
    <w:rsid w:val="0021136B"/>
    <w:rsid w:val="00211652"/>
    <w:rsid w:val="00213B2F"/>
    <w:rsid w:val="00213DB5"/>
    <w:rsid w:val="0021448A"/>
    <w:rsid w:val="00214DBD"/>
    <w:rsid w:val="002151C7"/>
    <w:rsid w:val="00215B63"/>
    <w:rsid w:val="00217200"/>
    <w:rsid w:val="00217A50"/>
    <w:rsid w:val="00217E8C"/>
    <w:rsid w:val="0022060F"/>
    <w:rsid w:val="002207F6"/>
    <w:rsid w:val="00220FF2"/>
    <w:rsid w:val="00221D2E"/>
    <w:rsid w:val="00221EC0"/>
    <w:rsid w:val="002220BA"/>
    <w:rsid w:val="00224BE6"/>
    <w:rsid w:val="00225823"/>
    <w:rsid w:val="00226AE8"/>
    <w:rsid w:val="002270CD"/>
    <w:rsid w:val="0022C4E4"/>
    <w:rsid w:val="00231049"/>
    <w:rsid w:val="002314D2"/>
    <w:rsid w:val="00231F9A"/>
    <w:rsid w:val="002326BE"/>
    <w:rsid w:val="0023295B"/>
    <w:rsid w:val="0023305C"/>
    <w:rsid w:val="00233123"/>
    <w:rsid w:val="00233CCC"/>
    <w:rsid w:val="00233D82"/>
    <w:rsid w:val="00233F9C"/>
    <w:rsid w:val="00234496"/>
    <w:rsid w:val="00234FA3"/>
    <w:rsid w:val="002361EE"/>
    <w:rsid w:val="0024100B"/>
    <w:rsid w:val="00241881"/>
    <w:rsid w:val="0024294C"/>
    <w:rsid w:val="00242BD4"/>
    <w:rsid w:val="002434DF"/>
    <w:rsid w:val="00243BCB"/>
    <w:rsid w:val="00243D7C"/>
    <w:rsid w:val="00244228"/>
    <w:rsid w:val="00245609"/>
    <w:rsid w:val="0024597B"/>
    <w:rsid w:val="00245A8F"/>
    <w:rsid w:val="00246144"/>
    <w:rsid w:val="002461BA"/>
    <w:rsid w:val="002468A5"/>
    <w:rsid w:val="00246CD7"/>
    <w:rsid w:val="00247B3D"/>
    <w:rsid w:val="0025195A"/>
    <w:rsid w:val="00251AF8"/>
    <w:rsid w:val="00251EFC"/>
    <w:rsid w:val="00252D14"/>
    <w:rsid w:val="00253D25"/>
    <w:rsid w:val="002543D8"/>
    <w:rsid w:val="0025441D"/>
    <w:rsid w:val="00254615"/>
    <w:rsid w:val="0025511C"/>
    <w:rsid w:val="00255412"/>
    <w:rsid w:val="00255A19"/>
    <w:rsid w:val="002561E2"/>
    <w:rsid w:val="0025652F"/>
    <w:rsid w:val="00257507"/>
    <w:rsid w:val="00257878"/>
    <w:rsid w:val="002604DD"/>
    <w:rsid w:val="002607FD"/>
    <w:rsid w:val="0026138D"/>
    <w:rsid w:val="0026291D"/>
    <w:rsid w:val="00263B6C"/>
    <w:rsid w:val="00265762"/>
    <w:rsid w:val="00267D70"/>
    <w:rsid w:val="002704C9"/>
    <w:rsid w:val="002706B6"/>
    <w:rsid w:val="0027091E"/>
    <w:rsid w:val="00270E32"/>
    <w:rsid w:val="00272805"/>
    <w:rsid w:val="00272939"/>
    <w:rsid w:val="002739E0"/>
    <w:rsid w:val="00273F0A"/>
    <w:rsid w:val="00274F14"/>
    <w:rsid w:val="0027590B"/>
    <w:rsid w:val="00275A11"/>
    <w:rsid w:val="002763F1"/>
    <w:rsid w:val="002808DD"/>
    <w:rsid w:val="00281693"/>
    <w:rsid w:val="00281946"/>
    <w:rsid w:val="002819C4"/>
    <w:rsid w:val="00281BFA"/>
    <w:rsid w:val="002838B5"/>
    <w:rsid w:val="002838C6"/>
    <w:rsid w:val="002841CC"/>
    <w:rsid w:val="00285969"/>
    <w:rsid w:val="00285EE8"/>
    <w:rsid w:val="0028698D"/>
    <w:rsid w:val="00286D25"/>
    <w:rsid w:val="00286E38"/>
    <w:rsid w:val="00290823"/>
    <w:rsid w:val="00290B3C"/>
    <w:rsid w:val="00291F45"/>
    <w:rsid w:val="00292237"/>
    <w:rsid w:val="00292FB1"/>
    <w:rsid w:val="00293062"/>
    <w:rsid w:val="00293DC1"/>
    <w:rsid w:val="0029426C"/>
    <w:rsid w:val="00295436"/>
    <w:rsid w:val="00295B30"/>
    <w:rsid w:val="00295B7B"/>
    <w:rsid w:val="002963A0"/>
    <w:rsid w:val="00296E25"/>
    <w:rsid w:val="002972DA"/>
    <w:rsid w:val="002976E9"/>
    <w:rsid w:val="002A03B7"/>
    <w:rsid w:val="002A10FF"/>
    <w:rsid w:val="002A12BB"/>
    <w:rsid w:val="002A18B1"/>
    <w:rsid w:val="002A19B0"/>
    <w:rsid w:val="002A1ECE"/>
    <w:rsid w:val="002A2242"/>
    <w:rsid w:val="002A23F6"/>
    <w:rsid w:val="002A2644"/>
    <w:rsid w:val="002A2B7B"/>
    <w:rsid w:val="002A2E3C"/>
    <w:rsid w:val="002A3781"/>
    <w:rsid w:val="002A4C4D"/>
    <w:rsid w:val="002A509E"/>
    <w:rsid w:val="002A6CAD"/>
    <w:rsid w:val="002A74EF"/>
    <w:rsid w:val="002A7608"/>
    <w:rsid w:val="002A76C1"/>
    <w:rsid w:val="002A772A"/>
    <w:rsid w:val="002A79A7"/>
    <w:rsid w:val="002A7A31"/>
    <w:rsid w:val="002A7B2B"/>
    <w:rsid w:val="002B01D9"/>
    <w:rsid w:val="002B2C9B"/>
    <w:rsid w:val="002B3829"/>
    <w:rsid w:val="002B3CBC"/>
    <w:rsid w:val="002B3F08"/>
    <w:rsid w:val="002B3F93"/>
    <w:rsid w:val="002B549F"/>
    <w:rsid w:val="002B5B09"/>
    <w:rsid w:val="002B6BBE"/>
    <w:rsid w:val="002B6F6E"/>
    <w:rsid w:val="002B718C"/>
    <w:rsid w:val="002B7614"/>
    <w:rsid w:val="002C22EF"/>
    <w:rsid w:val="002C2962"/>
    <w:rsid w:val="002C3544"/>
    <w:rsid w:val="002C35A6"/>
    <w:rsid w:val="002C3C14"/>
    <w:rsid w:val="002C48AB"/>
    <w:rsid w:val="002C494B"/>
    <w:rsid w:val="002C4A9E"/>
    <w:rsid w:val="002C569D"/>
    <w:rsid w:val="002C628B"/>
    <w:rsid w:val="002C657F"/>
    <w:rsid w:val="002C776D"/>
    <w:rsid w:val="002D2B82"/>
    <w:rsid w:val="002D4FDE"/>
    <w:rsid w:val="002D5D81"/>
    <w:rsid w:val="002D653E"/>
    <w:rsid w:val="002E1478"/>
    <w:rsid w:val="002E1FB6"/>
    <w:rsid w:val="002E2770"/>
    <w:rsid w:val="002E3B7B"/>
    <w:rsid w:val="002E3D22"/>
    <w:rsid w:val="002E3DED"/>
    <w:rsid w:val="002E454C"/>
    <w:rsid w:val="002E472F"/>
    <w:rsid w:val="002E5C41"/>
    <w:rsid w:val="002E5C80"/>
    <w:rsid w:val="002E5D0D"/>
    <w:rsid w:val="002E695B"/>
    <w:rsid w:val="002E7D09"/>
    <w:rsid w:val="002E7D0B"/>
    <w:rsid w:val="002F0814"/>
    <w:rsid w:val="002F191B"/>
    <w:rsid w:val="002F1F95"/>
    <w:rsid w:val="002F3C2C"/>
    <w:rsid w:val="002F3EA9"/>
    <w:rsid w:val="002F4448"/>
    <w:rsid w:val="002F4ED7"/>
    <w:rsid w:val="002F513E"/>
    <w:rsid w:val="002F605F"/>
    <w:rsid w:val="002F617F"/>
    <w:rsid w:val="002F6C55"/>
    <w:rsid w:val="002F7715"/>
    <w:rsid w:val="00300109"/>
    <w:rsid w:val="003003BF"/>
    <w:rsid w:val="00300B9B"/>
    <w:rsid w:val="00301755"/>
    <w:rsid w:val="003017D8"/>
    <w:rsid w:val="00303EEC"/>
    <w:rsid w:val="0030586A"/>
    <w:rsid w:val="0030648B"/>
    <w:rsid w:val="0030665E"/>
    <w:rsid w:val="00306894"/>
    <w:rsid w:val="003069EF"/>
    <w:rsid w:val="003072F4"/>
    <w:rsid w:val="003075D0"/>
    <w:rsid w:val="00310BB9"/>
    <w:rsid w:val="00311530"/>
    <w:rsid w:val="00311A03"/>
    <w:rsid w:val="00312282"/>
    <w:rsid w:val="003122F4"/>
    <w:rsid w:val="003133E7"/>
    <w:rsid w:val="0031471A"/>
    <w:rsid w:val="00314AA5"/>
    <w:rsid w:val="00316E5C"/>
    <w:rsid w:val="00316EE5"/>
    <w:rsid w:val="00317618"/>
    <w:rsid w:val="0032006E"/>
    <w:rsid w:val="0032009D"/>
    <w:rsid w:val="003200BE"/>
    <w:rsid w:val="003213A9"/>
    <w:rsid w:val="00322667"/>
    <w:rsid w:val="003229EC"/>
    <w:rsid w:val="0032390D"/>
    <w:rsid w:val="00324063"/>
    <w:rsid w:val="003242A1"/>
    <w:rsid w:val="00324F6C"/>
    <w:rsid w:val="003252F4"/>
    <w:rsid w:val="0032571C"/>
    <w:rsid w:val="00325CB7"/>
    <w:rsid w:val="00325D3E"/>
    <w:rsid w:val="003268D5"/>
    <w:rsid w:val="00326E29"/>
    <w:rsid w:val="00326F64"/>
    <w:rsid w:val="003272EC"/>
    <w:rsid w:val="00327476"/>
    <w:rsid w:val="00327752"/>
    <w:rsid w:val="003320BF"/>
    <w:rsid w:val="003331FB"/>
    <w:rsid w:val="00333C3E"/>
    <w:rsid w:val="003344C8"/>
    <w:rsid w:val="00336A67"/>
    <w:rsid w:val="00336CE6"/>
    <w:rsid w:val="0033755F"/>
    <w:rsid w:val="003375C1"/>
    <w:rsid w:val="0034076C"/>
    <w:rsid w:val="00341232"/>
    <w:rsid w:val="00341307"/>
    <w:rsid w:val="003416E2"/>
    <w:rsid w:val="00341FFE"/>
    <w:rsid w:val="003444C7"/>
    <w:rsid w:val="003448F6"/>
    <w:rsid w:val="00344D5C"/>
    <w:rsid w:val="00344F9B"/>
    <w:rsid w:val="00345EAB"/>
    <w:rsid w:val="0034615C"/>
    <w:rsid w:val="003476B0"/>
    <w:rsid w:val="00350759"/>
    <w:rsid w:val="00351281"/>
    <w:rsid w:val="00352E88"/>
    <w:rsid w:val="00353975"/>
    <w:rsid w:val="00353EFD"/>
    <w:rsid w:val="003546C0"/>
    <w:rsid w:val="00354D27"/>
    <w:rsid w:val="003562C1"/>
    <w:rsid w:val="003563F7"/>
    <w:rsid w:val="0035652E"/>
    <w:rsid w:val="00356A30"/>
    <w:rsid w:val="0035738A"/>
    <w:rsid w:val="00360335"/>
    <w:rsid w:val="00360568"/>
    <w:rsid w:val="003606EC"/>
    <w:rsid w:val="003607CC"/>
    <w:rsid w:val="00361148"/>
    <w:rsid w:val="00362608"/>
    <w:rsid w:val="0036284A"/>
    <w:rsid w:val="00362979"/>
    <w:rsid w:val="00362D1D"/>
    <w:rsid w:val="003636CC"/>
    <w:rsid w:val="003640BF"/>
    <w:rsid w:val="00364C3D"/>
    <w:rsid w:val="00365270"/>
    <w:rsid w:val="003653DC"/>
    <w:rsid w:val="00365ACD"/>
    <w:rsid w:val="00365E3E"/>
    <w:rsid w:val="00365E98"/>
    <w:rsid w:val="003662BD"/>
    <w:rsid w:val="003666E6"/>
    <w:rsid w:val="00370E2C"/>
    <w:rsid w:val="003747B1"/>
    <w:rsid w:val="003748BD"/>
    <w:rsid w:val="00374CE4"/>
    <w:rsid w:val="00375509"/>
    <w:rsid w:val="00375655"/>
    <w:rsid w:val="00375C2D"/>
    <w:rsid w:val="003765F0"/>
    <w:rsid w:val="0037688F"/>
    <w:rsid w:val="00376C60"/>
    <w:rsid w:val="00377A73"/>
    <w:rsid w:val="00380015"/>
    <w:rsid w:val="0038063B"/>
    <w:rsid w:val="00381295"/>
    <w:rsid w:val="00381E3D"/>
    <w:rsid w:val="00382BDE"/>
    <w:rsid w:val="0038367D"/>
    <w:rsid w:val="003858A6"/>
    <w:rsid w:val="00386297"/>
    <w:rsid w:val="00386545"/>
    <w:rsid w:val="0038798A"/>
    <w:rsid w:val="00387AF4"/>
    <w:rsid w:val="00387BF5"/>
    <w:rsid w:val="00387FC9"/>
    <w:rsid w:val="003924EF"/>
    <w:rsid w:val="003929AD"/>
    <w:rsid w:val="00392DCC"/>
    <w:rsid w:val="00392E85"/>
    <w:rsid w:val="00393A9B"/>
    <w:rsid w:val="00393E2A"/>
    <w:rsid w:val="00393FBC"/>
    <w:rsid w:val="0039410D"/>
    <w:rsid w:val="00395504"/>
    <w:rsid w:val="003956F8"/>
    <w:rsid w:val="00396736"/>
    <w:rsid w:val="003967D9"/>
    <w:rsid w:val="00396C8B"/>
    <w:rsid w:val="00397038"/>
    <w:rsid w:val="00397899"/>
    <w:rsid w:val="00397BB5"/>
    <w:rsid w:val="00397D52"/>
    <w:rsid w:val="003A1587"/>
    <w:rsid w:val="003A1F62"/>
    <w:rsid w:val="003A1FD4"/>
    <w:rsid w:val="003A3AB4"/>
    <w:rsid w:val="003A3EA7"/>
    <w:rsid w:val="003A412E"/>
    <w:rsid w:val="003A4C32"/>
    <w:rsid w:val="003A4D72"/>
    <w:rsid w:val="003A526D"/>
    <w:rsid w:val="003A581B"/>
    <w:rsid w:val="003A5B36"/>
    <w:rsid w:val="003A6029"/>
    <w:rsid w:val="003A70D9"/>
    <w:rsid w:val="003A7761"/>
    <w:rsid w:val="003A7908"/>
    <w:rsid w:val="003A7BDF"/>
    <w:rsid w:val="003B0D6F"/>
    <w:rsid w:val="003B1131"/>
    <w:rsid w:val="003B1351"/>
    <w:rsid w:val="003B15C0"/>
    <w:rsid w:val="003B3513"/>
    <w:rsid w:val="003B3BF8"/>
    <w:rsid w:val="003B3D88"/>
    <w:rsid w:val="003B41AD"/>
    <w:rsid w:val="003B447F"/>
    <w:rsid w:val="003B4D68"/>
    <w:rsid w:val="003B594C"/>
    <w:rsid w:val="003B59A8"/>
    <w:rsid w:val="003B5EA7"/>
    <w:rsid w:val="003B652A"/>
    <w:rsid w:val="003B6D5F"/>
    <w:rsid w:val="003B6E7B"/>
    <w:rsid w:val="003C07F1"/>
    <w:rsid w:val="003C24B4"/>
    <w:rsid w:val="003C31E4"/>
    <w:rsid w:val="003C327F"/>
    <w:rsid w:val="003C392A"/>
    <w:rsid w:val="003C427E"/>
    <w:rsid w:val="003C5FF0"/>
    <w:rsid w:val="003D116C"/>
    <w:rsid w:val="003D186A"/>
    <w:rsid w:val="003D2B34"/>
    <w:rsid w:val="003D3124"/>
    <w:rsid w:val="003D36CC"/>
    <w:rsid w:val="003D437E"/>
    <w:rsid w:val="003D4D2E"/>
    <w:rsid w:val="003D5699"/>
    <w:rsid w:val="003D5A4B"/>
    <w:rsid w:val="003D5B05"/>
    <w:rsid w:val="003D7EB1"/>
    <w:rsid w:val="003E0B07"/>
    <w:rsid w:val="003E0D53"/>
    <w:rsid w:val="003E1FDD"/>
    <w:rsid w:val="003E20D6"/>
    <w:rsid w:val="003E21EC"/>
    <w:rsid w:val="003E228D"/>
    <w:rsid w:val="003E254C"/>
    <w:rsid w:val="003E2763"/>
    <w:rsid w:val="003E28E7"/>
    <w:rsid w:val="003E440A"/>
    <w:rsid w:val="003E44B6"/>
    <w:rsid w:val="003E4D87"/>
    <w:rsid w:val="003E4E1A"/>
    <w:rsid w:val="003E4F98"/>
    <w:rsid w:val="003E6EEB"/>
    <w:rsid w:val="003E719A"/>
    <w:rsid w:val="003E798C"/>
    <w:rsid w:val="003E7D45"/>
    <w:rsid w:val="003F00AB"/>
    <w:rsid w:val="003F1377"/>
    <w:rsid w:val="003F1CAE"/>
    <w:rsid w:val="003F1EB8"/>
    <w:rsid w:val="003F2BCE"/>
    <w:rsid w:val="003F2C92"/>
    <w:rsid w:val="003F46C7"/>
    <w:rsid w:val="003F4E23"/>
    <w:rsid w:val="003F5077"/>
    <w:rsid w:val="004006CB"/>
    <w:rsid w:val="00401082"/>
    <w:rsid w:val="004012DB"/>
    <w:rsid w:val="004022A4"/>
    <w:rsid w:val="00404448"/>
    <w:rsid w:val="0040444C"/>
    <w:rsid w:val="00404936"/>
    <w:rsid w:val="00404A14"/>
    <w:rsid w:val="00405FFC"/>
    <w:rsid w:val="004069B4"/>
    <w:rsid w:val="00407B98"/>
    <w:rsid w:val="00410004"/>
    <w:rsid w:val="00410819"/>
    <w:rsid w:val="00411360"/>
    <w:rsid w:val="00412A5B"/>
    <w:rsid w:val="00413260"/>
    <w:rsid w:val="0041388D"/>
    <w:rsid w:val="00413C19"/>
    <w:rsid w:val="004140AD"/>
    <w:rsid w:val="00414AB7"/>
    <w:rsid w:val="0041549A"/>
    <w:rsid w:val="0041610B"/>
    <w:rsid w:val="00416762"/>
    <w:rsid w:val="00416E55"/>
    <w:rsid w:val="00416E76"/>
    <w:rsid w:val="004170AC"/>
    <w:rsid w:val="00417AD2"/>
    <w:rsid w:val="00417D2A"/>
    <w:rsid w:val="0042059F"/>
    <w:rsid w:val="00420CF6"/>
    <w:rsid w:val="00421955"/>
    <w:rsid w:val="004222F7"/>
    <w:rsid w:val="00422D1C"/>
    <w:rsid w:val="004231F7"/>
    <w:rsid w:val="00424BDE"/>
    <w:rsid w:val="0042518A"/>
    <w:rsid w:val="00425BC8"/>
    <w:rsid w:val="004273B3"/>
    <w:rsid w:val="004276A0"/>
    <w:rsid w:val="00430510"/>
    <w:rsid w:val="00430E1F"/>
    <w:rsid w:val="00430FBA"/>
    <w:rsid w:val="0043147E"/>
    <w:rsid w:val="00431828"/>
    <w:rsid w:val="0043329F"/>
    <w:rsid w:val="004333BA"/>
    <w:rsid w:val="00433CD1"/>
    <w:rsid w:val="0043507A"/>
    <w:rsid w:val="00435300"/>
    <w:rsid w:val="004363C8"/>
    <w:rsid w:val="00437072"/>
    <w:rsid w:val="00440B71"/>
    <w:rsid w:val="00441230"/>
    <w:rsid w:val="004421E3"/>
    <w:rsid w:val="0044282F"/>
    <w:rsid w:val="00443555"/>
    <w:rsid w:val="004435D0"/>
    <w:rsid w:val="00443741"/>
    <w:rsid w:val="004439B0"/>
    <w:rsid w:val="00443CF1"/>
    <w:rsid w:val="00444A63"/>
    <w:rsid w:val="00445265"/>
    <w:rsid w:val="00452EE0"/>
    <w:rsid w:val="004538C1"/>
    <w:rsid w:val="00453A68"/>
    <w:rsid w:val="00453ED6"/>
    <w:rsid w:val="00454AA7"/>
    <w:rsid w:val="004559CE"/>
    <w:rsid w:val="004567A7"/>
    <w:rsid w:val="0045682A"/>
    <w:rsid w:val="00456879"/>
    <w:rsid w:val="00456A84"/>
    <w:rsid w:val="00457735"/>
    <w:rsid w:val="004579A4"/>
    <w:rsid w:val="00460E1A"/>
    <w:rsid w:val="00461D15"/>
    <w:rsid w:val="004627C9"/>
    <w:rsid w:val="00462ADF"/>
    <w:rsid w:val="00463DF8"/>
    <w:rsid w:val="00464233"/>
    <w:rsid w:val="00464559"/>
    <w:rsid w:val="00464766"/>
    <w:rsid w:val="004649E0"/>
    <w:rsid w:val="00464D9C"/>
    <w:rsid w:val="00464DAC"/>
    <w:rsid w:val="00464EF9"/>
    <w:rsid w:val="00466085"/>
    <w:rsid w:val="00466815"/>
    <w:rsid w:val="00467464"/>
    <w:rsid w:val="004678BC"/>
    <w:rsid w:val="00467E67"/>
    <w:rsid w:val="00467F01"/>
    <w:rsid w:val="004718FC"/>
    <w:rsid w:val="00471C1F"/>
    <w:rsid w:val="004728B6"/>
    <w:rsid w:val="00472A8B"/>
    <w:rsid w:val="00473D92"/>
    <w:rsid w:val="00475085"/>
    <w:rsid w:val="004759A8"/>
    <w:rsid w:val="00476628"/>
    <w:rsid w:val="00476A8F"/>
    <w:rsid w:val="00476CF6"/>
    <w:rsid w:val="0047788E"/>
    <w:rsid w:val="004779E8"/>
    <w:rsid w:val="00477AA8"/>
    <w:rsid w:val="00477B79"/>
    <w:rsid w:val="0048081F"/>
    <w:rsid w:val="004813D6"/>
    <w:rsid w:val="00481679"/>
    <w:rsid w:val="0048347C"/>
    <w:rsid w:val="00483B7B"/>
    <w:rsid w:val="004841A7"/>
    <w:rsid w:val="0048439F"/>
    <w:rsid w:val="00484577"/>
    <w:rsid w:val="00485497"/>
    <w:rsid w:val="00485A95"/>
    <w:rsid w:val="00485ED8"/>
    <w:rsid w:val="00485FC2"/>
    <w:rsid w:val="00486AEB"/>
    <w:rsid w:val="00487652"/>
    <w:rsid w:val="00490660"/>
    <w:rsid w:val="00490C8F"/>
    <w:rsid w:val="00491CF7"/>
    <w:rsid w:val="00492F93"/>
    <w:rsid w:val="00492FCB"/>
    <w:rsid w:val="00493800"/>
    <w:rsid w:val="00494082"/>
    <w:rsid w:val="00494D57"/>
    <w:rsid w:val="004952BD"/>
    <w:rsid w:val="004964DB"/>
    <w:rsid w:val="00496790"/>
    <w:rsid w:val="00496E99"/>
    <w:rsid w:val="004970AA"/>
    <w:rsid w:val="00497C97"/>
    <w:rsid w:val="004A0F11"/>
    <w:rsid w:val="004A1039"/>
    <w:rsid w:val="004A18D8"/>
    <w:rsid w:val="004A22B7"/>
    <w:rsid w:val="004A247A"/>
    <w:rsid w:val="004A2633"/>
    <w:rsid w:val="004A2A6C"/>
    <w:rsid w:val="004A2F7C"/>
    <w:rsid w:val="004A35F8"/>
    <w:rsid w:val="004A3EAA"/>
    <w:rsid w:val="004A4312"/>
    <w:rsid w:val="004A5D61"/>
    <w:rsid w:val="004A62A2"/>
    <w:rsid w:val="004A716B"/>
    <w:rsid w:val="004A787D"/>
    <w:rsid w:val="004A7A0F"/>
    <w:rsid w:val="004A7D4E"/>
    <w:rsid w:val="004A7D97"/>
    <w:rsid w:val="004A7F0F"/>
    <w:rsid w:val="004B0992"/>
    <w:rsid w:val="004B1886"/>
    <w:rsid w:val="004B20D3"/>
    <w:rsid w:val="004B27BB"/>
    <w:rsid w:val="004B2E1F"/>
    <w:rsid w:val="004B2E4D"/>
    <w:rsid w:val="004B45F0"/>
    <w:rsid w:val="004B4F2E"/>
    <w:rsid w:val="004B5133"/>
    <w:rsid w:val="004B5676"/>
    <w:rsid w:val="004B7AA4"/>
    <w:rsid w:val="004C0408"/>
    <w:rsid w:val="004C0411"/>
    <w:rsid w:val="004C0607"/>
    <w:rsid w:val="004C09B5"/>
    <w:rsid w:val="004C0E5D"/>
    <w:rsid w:val="004C14FF"/>
    <w:rsid w:val="004C2902"/>
    <w:rsid w:val="004C31BB"/>
    <w:rsid w:val="004C3646"/>
    <w:rsid w:val="004C41B6"/>
    <w:rsid w:val="004C68EB"/>
    <w:rsid w:val="004C70E3"/>
    <w:rsid w:val="004C7C5B"/>
    <w:rsid w:val="004D0A7C"/>
    <w:rsid w:val="004D0B69"/>
    <w:rsid w:val="004D2632"/>
    <w:rsid w:val="004D28BD"/>
    <w:rsid w:val="004D2C1D"/>
    <w:rsid w:val="004D3A3C"/>
    <w:rsid w:val="004D4026"/>
    <w:rsid w:val="004D5EC3"/>
    <w:rsid w:val="004D6706"/>
    <w:rsid w:val="004D6E37"/>
    <w:rsid w:val="004D73E0"/>
    <w:rsid w:val="004E00EA"/>
    <w:rsid w:val="004E06FE"/>
    <w:rsid w:val="004E089C"/>
    <w:rsid w:val="004E1386"/>
    <w:rsid w:val="004E1964"/>
    <w:rsid w:val="004E22C5"/>
    <w:rsid w:val="004E3562"/>
    <w:rsid w:val="004E420F"/>
    <w:rsid w:val="004E44C5"/>
    <w:rsid w:val="004E6B14"/>
    <w:rsid w:val="004E6D25"/>
    <w:rsid w:val="004E705C"/>
    <w:rsid w:val="004E71D4"/>
    <w:rsid w:val="004E7ADF"/>
    <w:rsid w:val="004F0BF2"/>
    <w:rsid w:val="004F1406"/>
    <w:rsid w:val="004F2A24"/>
    <w:rsid w:val="004F31C7"/>
    <w:rsid w:val="004F397D"/>
    <w:rsid w:val="004F4B92"/>
    <w:rsid w:val="004F5D19"/>
    <w:rsid w:val="004F6054"/>
    <w:rsid w:val="004F734A"/>
    <w:rsid w:val="004F7C07"/>
    <w:rsid w:val="00500213"/>
    <w:rsid w:val="0050037E"/>
    <w:rsid w:val="005004C6"/>
    <w:rsid w:val="00501228"/>
    <w:rsid w:val="00501B6C"/>
    <w:rsid w:val="00502A9D"/>
    <w:rsid w:val="00503B03"/>
    <w:rsid w:val="00503EDD"/>
    <w:rsid w:val="0050481F"/>
    <w:rsid w:val="0050527F"/>
    <w:rsid w:val="00505F2D"/>
    <w:rsid w:val="00506EFA"/>
    <w:rsid w:val="0050714D"/>
    <w:rsid w:val="005071B6"/>
    <w:rsid w:val="00507660"/>
    <w:rsid w:val="005076B6"/>
    <w:rsid w:val="00507940"/>
    <w:rsid w:val="00511003"/>
    <w:rsid w:val="005121CA"/>
    <w:rsid w:val="0051271F"/>
    <w:rsid w:val="00513CE3"/>
    <w:rsid w:val="0051418A"/>
    <w:rsid w:val="00514F6C"/>
    <w:rsid w:val="005150E3"/>
    <w:rsid w:val="005152D2"/>
    <w:rsid w:val="0051547D"/>
    <w:rsid w:val="00516785"/>
    <w:rsid w:val="0052002F"/>
    <w:rsid w:val="00521A3D"/>
    <w:rsid w:val="00521F2D"/>
    <w:rsid w:val="00522DEC"/>
    <w:rsid w:val="0052342D"/>
    <w:rsid w:val="005240A9"/>
    <w:rsid w:val="0052419D"/>
    <w:rsid w:val="00524B73"/>
    <w:rsid w:val="00524C7F"/>
    <w:rsid w:val="005261DD"/>
    <w:rsid w:val="00526576"/>
    <w:rsid w:val="00526A89"/>
    <w:rsid w:val="00526BF2"/>
    <w:rsid w:val="0053007D"/>
    <w:rsid w:val="005301F8"/>
    <w:rsid w:val="00530328"/>
    <w:rsid w:val="005312FC"/>
    <w:rsid w:val="00531345"/>
    <w:rsid w:val="00531764"/>
    <w:rsid w:val="00531F17"/>
    <w:rsid w:val="00532C6D"/>
    <w:rsid w:val="005332AB"/>
    <w:rsid w:val="0053344D"/>
    <w:rsid w:val="00533D6B"/>
    <w:rsid w:val="0053454F"/>
    <w:rsid w:val="00534965"/>
    <w:rsid w:val="0053569E"/>
    <w:rsid w:val="0053603D"/>
    <w:rsid w:val="0053622C"/>
    <w:rsid w:val="005369E1"/>
    <w:rsid w:val="00536AC9"/>
    <w:rsid w:val="0053742A"/>
    <w:rsid w:val="005377F4"/>
    <w:rsid w:val="00537B0D"/>
    <w:rsid w:val="00537C85"/>
    <w:rsid w:val="00540DEE"/>
    <w:rsid w:val="00541196"/>
    <w:rsid w:val="00541D29"/>
    <w:rsid w:val="00541F4F"/>
    <w:rsid w:val="0054306B"/>
    <w:rsid w:val="00543857"/>
    <w:rsid w:val="00543F23"/>
    <w:rsid w:val="00544606"/>
    <w:rsid w:val="00546537"/>
    <w:rsid w:val="00547AD2"/>
    <w:rsid w:val="00547AD7"/>
    <w:rsid w:val="005519C6"/>
    <w:rsid w:val="005521F4"/>
    <w:rsid w:val="005526FC"/>
    <w:rsid w:val="005527BB"/>
    <w:rsid w:val="00552E57"/>
    <w:rsid w:val="005530C4"/>
    <w:rsid w:val="00553FD8"/>
    <w:rsid w:val="005545D4"/>
    <w:rsid w:val="005558B9"/>
    <w:rsid w:val="0055627D"/>
    <w:rsid w:val="005562F7"/>
    <w:rsid w:val="005564AC"/>
    <w:rsid w:val="005568FF"/>
    <w:rsid w:val="00557665"/>
    <w:rsid w:val="00560D20"/>
    <w:rsid w:val="00562F17"/>
    <w:rsid w:val="005653DF"/>
    <w:rsid w:val="0056582C"/>
    <w:rsid w:val="00565A73"/>
    <w:rsid w:val="00565C8A"/>
    <w:rsid w:val="00566071"/>
    <w:rsid w:val="00566309"/>
    <w:rsid w:val="00566DD3"/>
    <w:rsid w:val="00567531"/>
    <w:rsid w:val="00570CAB"/>
    <w:rsid w:val="00571293"/>
    <w:rsid w:val="00571F4A"/>
    <w:rsid w:val="00573231"/>
    <w:rsid w:val="00574721"/>
    <w:rsid w:val="00574BAE"/>
    <w:rsid w:val="00574C2F"/>
    <w:rsid w:val="00574D80"/>
    <w:rsid w:val="005756AF"/>
    <w:rsid w:val="00575E0F"/>
    <w:rsid w:val="005764AE"/>
    <w:rsid w:val="005776B2"/>
    <w:rsid w:val="0057799E"/>
    <w:rsid w:val="00581C9F"/>
    <w:rsid w:val="00581F1E"/>
    <w:rsid w:val="0058309A"/>
    <w:rsid w:val="00583A0F"/>
    <w:rsid w:val="0058441D"/>
    <w:rsid w:val="00584F2E"/>
    <w:rsid w:val="0058569F"/>
    <w:rsid w:val="00586605"/>
    <w:rsid w:val="005868DE"/>
    <w:rsid w:val="00586F5C"/>
    <w:rsid w:val="0058725E"/>
    <w:rsid w:val="005877AC"/>
    <w:rsid w:val="005877C3"/>
    <w:rsid w:val="00593B7A"/>
    <w:rsid w:val="005944DA"/>
    <w:rsid w:val="005952A8"/>
    <w:rsid w:val="0059593C"/>
    <w:rsid w:val="005966B7"/>
    <w:rsid w:val="00596FEB"/>
    <w:rsid w:val="00597E61"/>
    <w:rsid w:val="005A0037"/>
    <w:rsid w:val="005A1DA8"/>
    <w:rsid w:val="005A1F58"/>
    <w:rsid w:val="005A2A82"/>
    <w:rsid w:val="005A2B79"/>
    <w:rsid w:val="005A3417"/>
    <w:rsid w:val="005A6616"/>
    <w:rsid w:val="005A6EDB"/>
    <w:rsid w:val="005A7CF7"/>
    <w:rsid w:val="005B0271"/>
    <w:rsid w:val="005B0330"/>
    <w:rsid w:val="005B0790"/>
    <w:rsid w:val="005B0857"/>
    <w:rsid w:val="005B1163"/>
    <w:rsid w:val="005B15F5"/>
    <w:rsid w:val="005B19AF"/>
    <w:rsid w:val="005B1E85"/>
    <w:rsid w:val="005B2090"/>
    <w:rsid w:val="005B25A9"/>
    <w:rsid w:val="005B26A5"/>
    <w:rsid w:val="005B2BB1"/>
    <w:rsid w:val="005B2C24"/>
    <w:rsid w:val="005B4650"/>
    <w:rsid w:val="005B4693"/>
    <w:rsid w:val="005B4F7A"/>
    <w:rsid w:val="005B5090"/>
    <w:rsid w:val="005B58C4"/>
    <w:rsid w:val="005B5E2A"/>
    <w:rsid w:val="005B5EAB"/>
    <w:rsid w:val="005B603B"/>
    <w:rsid w:val="005B67BC"/>
    <w:rsid w:val="005B6C2F"/>
    <w:rsid w:val="005B6CA6"/>
    <w:rsid w:val="005B6E5E"/>
    <w:rsid w:val="005C02A4"/>
    <w:rsid w:val="005C20A2"/>
    <w:rsid w:val="005C20A6"/>
    <w:rsid w:val="005C20D2"/>
    <w:rsid w:val="005C26EB"/>
    <w:rsid w:val="005C27BF"/>
    <w:rsid w:val="005C31E5"/>
    <w:rsid w:val="005C32FE"/>
    <w:rsid w:val="005C3F99"/>
    <w:rsid w:val="005C43F1"/>
    <w:rsid w:val="005C4A1F"/>
    <w:rsid w:val="005C503A"/>
    <w:rsid w:val="005C6A2A"/>
    <w:rsid w:val="005C6DC2"/>
    <w:rsid w:val="005C7891"/>
    <w:rsid w:val="005D024A"/>
    <w:rsid w:val="005D0DBE"/>
    <w:rsid w:val="005D24A6"/>
    <w:rsid w:val="005D256A"/>
    <w:rsid w:val="005D265A"/>
    <w:rsid w:val="005D324B"/>
    <w:rsid w:val="005D43DE"/>
    <w:rsid w:val="005D4467"/>
    <w:rsid w:val="005D4FD4"/>
    <w:rsid w:val="005D584E"/>
    <w:rsid w:val="005D5C56"/>
    <w:rsid w:val="005D6D64"/>
    <w:rsid w:val="005D70F4"/>
    <w:rsid w:val="005D72DB"/>
    <w:rsid w:val="005E03A3"/>
    <w:rsid w:val="005E1892"/>
    <w:rsid w:val="005E2414"/>
    <w:rsid w:val="005E2EC7"/>
    <w:rsid w:val="005E3CE7"/>
    <w:rsid w:val="005E4D35"/>
    <w:rsid w:val="005E54EA"/>
    <w:rsid w:val="005E56DD"/>
    <w:rsid w:val="005E67DE"/>
    <w:rsid w:val="005E735D"/>
    <w:rsid w:val="005E7606"/>
    <w:rsid w:val="005E765F"/>
    <w:rsid w:val="005F1096"/>
    <w:rsid w:val="005F24D6"/>
    <w:rsid w:val="005F2ACC"/>
    <w:rsid w:val="005F2D2F"/>
    <w:rsid w:val="005F3383"/>
    <w:rsid w:val="005F3B76"/>
    <w:rsid w:val="005F3C51"/>
    <w:rsid w:val="005F412F"/>
    <w:rsid w:val="005F45BE"/>
    <w:rsid w:val="005F4898"/>
    <w:rsid w:val="005F4EAB"/>
    <w:rsid w:val="005F5979"/>
    <w:rsid w:val="005F5E54"/>
    <w:rsid w:val="005F68F9"/>
    <w:rsid w:val="00601650"/>
    <w:rsid w:val="0060177F"/>
    <w:rsid w:val="00601890"/>
    <w:rsid w:val="00602624"/>
    <w:rsid w:val="00602A85"/>
    <w:rsid w:val="00604EEF"/>
    <w:rsid w:val="00605177"/>
    <w:rsid w:val="006051D7"/>
    <w:rsid w:val="00605577"/>
    <w:rsid w:val="006056F7"/>
    <w:rsid w:val="00605981"/>
    <w:rsid w:val="00605AFD"/>
    <w:rsid w:val="00606031"/>
    <w:rsid w:val="00606095"/>
    <w:rsid w:val="00606953"/>
    <w:rsid w:val="00606DAC"/>
    <w:rsid w:val="00607583"/>
    <w:rsid w:val="00611083"/>
    <w:rsid w:val="00611676"/>
    <w:rsid w:val="0061168A"/>
    <w:rsid w:val="00611832"/>
    <w:rsid w:val="006121D4"/>
    <w:rsid w:val="006123D4"/>
    <w:rsid w:val="006131A7"/>
    <w:rsid w:val="0061324E"/>
    <w:rsid w:val="00613606"/>
    <w:rsid w:val="0061367D"/>
    <w:rsid w:val="00613D56"/>
    <w:rsid w:val="0061445B"/>
    <w:rsid w:val="00615D07"/>
    <w:rsid w:val="00616054"/>
    <w:rsid w:val="00616488"/>
    <w:rsid w:val="006171F1"/>
    <w:rsid w:val="006174E3"/>
    <w:rsid w:val="00617780"/>
    <w:rsid w:val="00620E15"/>
    <w:rsid w:val="00622956"/>
    <w:rsid w:val="00624C4B"/>
    <w:rsid w:val="006262FB"/>
    <w:rsid w:val="00626600"/>
    <w:rsid w:val="00626843"/>
    <w:rsid w:val="00626DAE"/>
    <w:rsid w:val="00626FE4"/>
    <w:rsid w:val="00630141"/>
    <w:rsid w:val="0063030C"/>
    <w:rsid w:val="00630B72"/>
    <w:rsid w:val="00632438"/>
    <w:rsid w:val="00632A2C"/>
    <w:rsid w:val="006356D7"/>
    <w:rsid w:val="0063637E"/>
    <w:rsid w:val="00636994"/>
    <w:rsid w:val="006370A0"/>
    <w:rsid w:val="00640607"/>
    <w:rsid w:val="00640F32"/>
    <w:rsid w:val="00641DE6"/>
    <w:rsid w:val="00641F78"/>
    <w:rsid w:val="006424FC"/>
    <w:rsid w:val="00642B2A"/>
    <w:rsid w:val="00643263"/>
    <w:rsid w:val="00643296"/>
    <w:rsid w:val="00644474"/>
    <w:rsid w:val="006444E2"/>
    <w:rsid w:val="00645533"/>
    <w:rsid w:val="00645EAB"/>
    <w:rsid w:val="0064649C"/>
    <w:rsid w:val="006468EA"/>
    <w:rsid w:val="006469CC"/>
    <w:rsid w:val="006473C6"/>
    <w:rsid w:val="006475B8"/>
    <w:rsid w:val="00647DDE"/>
    <w:rsid w:val="006501DE"/>
    <w:rsid w:val="00651619"/>
    <w:rsid w:val="00651B47"/>
    <w:rsid w:val="00652A4A"/>
    <w:rsid w:val="00652A51"/>
    <w:rsid w:val="00653FAC"/>
    <w:rsid w:val="00654E12"/>
    <w:rsid w:val="0065552A"/>
    <w:rsid w:val="00656273"/>
    <w:rsid w:val="006568CD"/>
    <w:rsid w:val="006572BB"/>
    <w:rsid w:val="006573B4"/>
    <w:rsid w:val="00660070"/>
    <w:rsid w:val="00661947"/>
    <w:rsid w:val="00662716"/>
    <w:rsid w:val="006652B8"/>
    <w:rsid w:val="00665824"/>
    <w:rsid w:val="006665D3"/>
    <w:rsid w:val="006676FA"/>
    <w:rsid w:val="006706C3"/>
    <w:rsid w:val="00670ED1"/>
    <w:rsid w:val="006711A8"/>
    <w:rsid w:val="00672B5D"/>
    <w:rsid w:val="00672E8F"/>
    <w:rsid w:val="00673109"/>
    <w:rsid w:val="00675000"/>
    <w:rsid w:val="0067502D"/>
    <w:rsid w:val="006758D8"/>
    <w:rsid w:val="00675D59"/>
    <w:rsid w:val="00675E69"/>
    <w:rsid w:val="0067622C"/>
    <w:rsid w:val="00677976"/>
    <w:rsid w:val="006805D7"/>
    <w:rsid w:val="0068085F"/>
    <w:rsid w:val="00680E1B"/>
    <w:rsid w:val="00681756"/>
    <w:rsid w:val="00681A35"/>
    <w:rsid w:val="00682249"/>
    <w:rsid w:val="00683896"/>
    <w:rsid w:val="006838C4"/>
    <w:rsid w:val="006853DC"/>
    <w:rsid w:val="00685CF7"/>
    <w:rsid w:val="00686165"/>
    <w:rsid w:val="00687456"/>
    <w:rsid w:val="00687EDB"/>
    <w:rsid w:val="00691614"/>
    <w:rsid w:val="006917D5"/>
    <w:rsid w:val="00691CB5"/>
    <w:rsid w:val="006923DF"/>
    <w:rsid w:val="00692A4E"/>
    <w:rsid w:val="00693AC3"/>
    <w:rsid w:val="00694B21"/>
    <w:rsid w:val="00695C2B"/>
    <w:rsid w:val="00695C6F"/>
    <w:rsid w:val="00696482"/>
    <w:rsid w:val="00696987"/>
    <w:rsid w:val="0069704D"/>
    <w:rsid w:val="00697220"/>
    <w:rsid w:val="006973AB"/>
    <w:rsid w:val="006974CA"/>
    <w:rsid w:val="0069790A"/>
    <w:rsid w:val="006A02BC"/>
    <w:rsid w:val="006A0EBE"/>
    <w:rsid w:val="006A19EE"/>
    <w:rsid w:val="006A2CF1"/>
    <w:rsid w:val="006A2F1C"/>
    <w:rsid w:val="006A355E"/>
    <w:rsid w:val="006A37F5"/>
    <w:rsid w:val="006A3DC8"/>
    <w:rsid w:val="006A46D3"/>
    <w:rsid w:val="006A4BF4"/>
    <w:rsid w:val="006A4DE8"/>
    <w:rsid w:val="006A578C"/>
    <w:rsid w:val="006A5F60"/>
    <w:rsid w:val="006A5F9A"/>
    <w:rsid w:val="006A669B"/>
    <w:rsid w:val="006A6C66"/>
    <w:rsid w:val="006B0030"/>
    <w:rsid w:val="006B15A5"/>
    <w:rsid w:val="006B18E8"/>
    <w:rsid w:val="006B293B"/>
    <w:rsid w:val="006B2FBB"/>
    <w:rsid w:val="006B3261"/>
    <w:rsid w:val="006B38FF"/>
    <w:rsid w:val="006B4E83"/>
    <w:rsid w:val="006B5714"/>
    <w:rsid w:val="006B5C50"/>
    <w:rsid w:val="006B6134"/>
    <w:rsid w:val="006B69C1"/>
    <w:rsid w:val="006C1646"/>
    <w:rsid w:val="006C1892"/>
    <w:rsid w:val="006C33A7"/>
    <w:rsid w:val="006C420C"/>
    <w:rsid w:val="006C43D0"/>
    <w:rsid w:val="006C53CD"/>
    <w:rsid w:val="006C58C2"/>
    <w:rsid w:val="006C5B73"/>
    <w:rsid w:val="006C6165"/>
    <w:rsid w:val="006C645D"/>
    <w:rsid w:val="006C6631"/>
    <w:rsid w:val="006C77B1"/>
    <w:rsid w:val="006C7B81"/>
    <w:rsid w:val="006C7FA6"/>
    <w:rsid w:val="006D0369"/>
    <w:rsid w:val="006D11C0"/>
    <w:rsid w:val="006D1CE3"/>
    <w:rsid w:val="006D22E9"/>
    <w:rsid w:val="006D2B7F"/>
    <w:rsid w:val="006D2C0D"/>
    <w:rsid w:val="006D377B"/>
    <w:rsid w:val="006D3C73"/>
    <w:rsid w:val="006D3F08"/>
    <w:rsid w:val="006D4254"/>
    <w:rsid w:val="006D4660"/>
    <w:rsid w:val="006D4714"/>
    <w:rsid w:val="006D5A0F"/>
    <w:rsid w:val="006D78B0"/>
    <w:rsid w:val="006E03AF"/>
    <w:rsid w:val="006E03DF"/>
    <w:rsid w:val="006E1A81"/>
    <w:rsid w:val="006E2D2A"/>
    <w:rsid w:val="006E307A"/>
    <w:rsid w:val="006E3CC3"/>
    <w:rsid w:val="006E5F01"/>
    <w:rsid w:val="006E70BC"/>
    <w:rsid w:val="006E7AF0"/>
    <w:rsid w:val="006F0040"/>
    <w:rsid w:val="006F1405"/>
    <w:rsid w:val="006F2F78"/>
    <w:rsid w:val="006F3EC1"/>
    <w:rsid w:val="006F464B"/>
    <w:rsid w:val="006F4C72"/>
    <w:rsid w:val="006F5019"/>
    <w:rsid w:val="006F64C3"/>
    <w:rsid w:val="006F6ECB"/>
    <w:rsid w:val="006F72B2"/>
    <w:rsid w:val="00700303"/>
    <w:rsid w:val="007008D3"/>
    <w:rsid w:val="00701F4E"/>
    <w:rsid w:val="00702125"/>
    <w:rsid w:val="007035F7"/>
    <w:rsid w:val="00703AEA"/>
    <w:rsid w:val="00703D1D"/>
    <w:rsid w:val="00704DDF"/>
    <w:rsid w:val="0070527A"/>
    <w:rsid w:val="007057AF"/>
    <w:rsid w:val="00705935"/>
    <w:rsid w:val="00706DD2"/>
    <w:rsid w:val="00706E8E"/>
    <w:rsid w:val="00706F87"/>
    <w:rsid w:val="0070772A"/>
    <w:rsid w:val="00707ACD"/>
    <w:rsid w:val="00707C44"/>
    <w:rsid w:val="00707CBD"/>
    <w:rsid w:val="007108F9"/>
    <w:rsid w:val="00710BA1"/>
    <w:rsid w:val="00710FB2"/>
    <w:rsid w:val="00711817"/>
    <w:rsid w:val="00711F1F"/>
    <w:rsid w:val="00712B52"/>
    <w:rsid w:val="00713C8A"/>
    <w:rsid w:val="00714008"/>
    <w:rsid w:val="00714729"/>
    <w:rsid w:val="00716316"/>
    <w:rsid w:val="007168DB"/>
    <w:rsid w:val="00716DF6"/>
    <w:rsid w:val="00716F28"/>
    <w:rsid w:val="00721C76"/>
    <w:rsid w:val="0072277E"/>
    <w:rsid w:val="007227A8"/>
    <w:rsid w:val="0072289F"/>
    <w:rsid w:val="00722B53"/>
    <w:rsid w:val="00723408"/>
    <w:rsid w:val="00723B72"/>
    <w:rsid w:val="007245A3"/>
    <w:rsid w:val="00724BA8"/>
    <w:rsid w:val="00726212"/>
    <w:rsid w:val="00730E64"/>
    <w:rsid w:val="00731A06"/>
    <w:rsid w:val="00732C33"/>
    <w:rsid w:val="007354B6"/>
    <w:rsid w:val="0073642C"/>
    <w:rsid w:val="00741263"/>
    <w:rsid w:val="00741577"/>
    <w:rsid w:val="0074159D"/>
    <w:rsid w:val="00742366"/>
    <w:rsid w:val="0074241F"/>
    <w:rsid w:val="00743D38"/>
    <w:rsid w:val="0074424D"/>
    <w:rsid w:val="00744484"/>
    <w:rsid w:val="00744D21"/>
    <w:rsid w:val="0074531F"/>
    <w:rsid w:val="00745D8F"/>
    <w:rsid w:val="00745E91"/>
    <w:rsid w:val="00745F8E"/>
    <w:rsid w:val="00746193"/>
    <w:rsid w:val="0074700E"/>
    <w:rsid w:val="007509DD"/>
    <w:rsid w:val="00750B8B"/>
    <w:rsid w:val="007546FA"/>
    <w:rsid w:val="00755566"/>
    <w:rsid w:val="0075574B"/>
    <w:rsid w:val="00755FA3"/>
    <w:rsid w:val="00756A1C"/>
    <w:rsid w:val="00756E0C"/>
    <w:rsid w:val="00757C2A"/>
    <w:rsid w:val="00761715"/>
    <w:rsid w:val="0076213A"/>
    <w:rsid w:val="00763474"/>
    <w:rsid w:val="00763CB9"/>
    <w:rsid w:val="00763D74"/>
    <w:rsid w:val="00766184"/>
    <w:rsid w:val="00767CFB"/>
    <w:rsid w:val="00767DF9"/>
    <w:rsid w:val="0077007D"/>
    <w:rsid w:val="007701F8"/>
    <w:rsid w:val="00770443"/>
    <w:rsid w:val="007718AB"/>
    <w:rsid w:val="00772801"/>
    <w:rsid w:val="00773948"/>
    <w:rsid w:val="00773B8A"/>
    <w:rsid w:val="00774D14"/>
    <w:rsid w:val="00776006"/>
    <w:rsid w:val="0077616A"/>
    <w:rsid w:val="0077633F"/>
    <w:rsid w:val="007764BF"/>
    <w:rsid w:val="00776E6D"/>
    <w:rsid w:val="00780182"/>
    <w:rsid w:val="007805F1"/>
    <w:rsid w:val="00780CDE"/>
    <w:rsid w:val="00781C9D"/>
    <w:rsid w:val="0078257B"/>
    <w:rsid w:val="00782911"/>
    <w:rsid w:val="00782CA5"/>
    <w:rsid w:val="007831B7"/>
    <w:rsid w:val="0078325A"/>
    <w:rsid w:val="00783647"/>
    <w:rsid w:val="00783D75"/>
    <w:rsid w:val="0078407C"/>
    <w:rsid w:val="0078434C"/>
    <w:rsid w:val="00784C0A"/>
    <w:rsid w:val="00785449"/>
    <w:rsid w:val="00785735"/>
    <w:rsid w:val="00785B9A"/>
    <w:rsid w:val="00785C69"/>
    <w:rsid w:val="00785EA2"/>
    <w:rsid w:val="00786894"/>
    <w:rsid w:val="00786F3F"/>
    <w:rsid w:val="00787747"/>
    <w:rsid w:val="00787C04"/>
    <w:rsid w:val="0079115E"/>
    <w:rsid w:val="00791711"/>
    <w:rsid w:val="00792730"/>
    <w:rsid w:val="00793B05"/>
    <w:rsid w:val="007940DC"/>
    <w:rsid w:val="007947C3"/>
    <w:rsid w:val="00794B40"/>
    <w:rsid w:val="007951FD"/>
    <w:rsid w:val="00795F57"/>
    <w:rsid w:val="00796211"/>
    <w:rsid w:val="007965B4"/>
    <w:rsid w:val="00796E26"/>
    <w:rsid w:val="007971E7"/>
    <w:rsid w:val="00797BEA"/>
    <w:rsid w:val="00797F34"/>
    <w:rsid w:val="007A01D6"/>
    <w:rsid w:val="007A1079"/>
    <w:rsid w:val="007A10AD"/>
    <w:rsid w:val="007A1436"/>
    <w:rsid w:val="007A1A76"/>
    <w:rsid w:val="007A1C73"/>
    <w:rsid w:val="007A21D1"/>
    <w:rsid w:val="007A23BB"/>
    <w:rsid w:val="007A2C3A"/>
    <w:rsid w:val="007A2DCC"/>
    <w:rsid w:val="007A335C"/>
    <w:rsid w:val="007A3595"/>
    <w:rsid w:val="007A35A8"/>
    <w:rsid w:val="007A3891"/>
    <w:rsid w:val="007A3958"/>
    <w:rsid w:val="007A3BDF"/>
    <w:rsid w:val="007A45B7"/>
    <w:rsid w:val="007A4D8E"/>
    <w:rsid w:val="007A5390"/>
    <w:rsid w:val="007A73CA"/>
    <w:rsid w:val="007A788F"/>
    <w:rsid w:val="007A7AF2"/>
    <w:rsid w:val="007B0A7A"/>
    <w:rsid w:val="007B0C66"/>
    <w:rsid w:val="007B2677"/>
    <w:rsid w:val="007B3EC8"/>
    <w:rsid w:val="007B4055"/>
    <w:rsid w:val="007B443D"/>
    <w:rsid w:val="007B4674"/>
    <w:rsid w:val="007B4834"/>
    <w:rsid w:val="007B5698"/>
    <w:rsid w:val="007B5B5D"/>
    <w:rsid w:val="007B6189"/>
    <w:rsid w:val="007B65AF"/>
    <w:rsid w:val="007B737B"/>
    <w:rsid w:val="007B76AB"/>
    <w:rsid w:val="007C044C"/>
    <w:rsid w:val="007C1CA6"/>
    <w:rsid w:val="007C26E2"/>
    <w:rsid w:val="007C35CB"/>
    <w:rsid w:val="007C432A"/>
    <w:rsid w:val="007C5710"/>
    <w:rsid w:val="007C61AC"/>
    <w:rsid w:val="007C6B89"/>
    <w:rsid w:val="007C7168"/>
    <w:rsid w:val="007C77F8"/>
    <w:rsid w:val="007C7DB3"/>
    <w:rsid w:val="007D03AA"/>
    <w:rsid w:val="007D13E7"/>
    <w:rsid w:val="007D169E"/>
    <w:rsid w:val="007D27B9"/>
    <w:rsid w:val="007D2F49"/>
    <w:rsid w:val="007D34F7"/>
    <w:rsid w:val="007D38E3"/>
    <w:rsid w:val="007D3F39"/>
    <w:rsid w:val="007D45E3"/>
    <w:rsid w:val="007D592B"/>
    <w:rsid w:val="007D5AA6"/>
    <w:rsid w:val="007D5C4E"/>
    <w:rsid w:val="007D78AA"/>
    <w:rsid w:val="007D7A91"/>
    <w:rsid w:val="007D7C34"/>
    <w:rsid w:val="007E1AD6"/>
    <w:rsid w:val="007E212E"/>
    <w:rsid w:val="007E2351"/>
    <w:rsid w:val="007E2E39"/>
    <w:rsid w:val="007E3591"/>
    <w:rsid w:val="007E420B"/>
    <w:rsid w:val="007E4272"/>
    <w:rsid w:val="007E5ECD"/>
    <w:rsid w:val="007E6456"/>
    <w:rsid w:val="007E6B63"/>
    <w:rsid w:val="007E6EBE"/>
    <w:rsid w:val="007E785A"/>
    <w:rsid w:val="007F0EB8"/>
    <w:rsid w:val="007F2527"/>
    <w:rsid w:val="007F37C2"/>
    <w:rsid w:val="007F4A00"/>
    <w:rsid w:val="007F5335"/>
    <w:rsid w:val="007F5B35"/>
    <w:rsid w:val="007F6A3F"/>
    <w:rsid w:val="007F6D4B"/>
    <w:rsid w:val="007F789A"/>
    <w:rsid w:val="007F7DCB"/>
    <w:rsid w:val="00800762"/>
    <w:rsid w:val="00801C9D"/>
    <w:rsid w:val="00801DDB"/>
    <w:rsid w:val="0080205E"/>
    <w:rsid w:val="00803359"/>
    <w:rsid w:val="008037EE"/>
    <w:rsid w:val="00805786"/>
    <w:rsid w:val="0081029F"/>
    <w:rsid w:val="008111AE"/>
    <w:rsid w:val="00811943"/>
    <w:rsid w:val="00811C71"/>
    <w:rsid w:val="00812521"/>
    <w:rsid w:val="008126F6"/>
    <w:rsid w:val="008128DD"/>
    <w:rsid w:val="00812E46"/>
    <w:rsid w:val="00813618"/>
    <w:rsid w:val="00813C85"/>
    <w:rsid w:val="008142E0"/>
    <w:rsid w:val="00814FE6"/>
    <w:rsid w:val="0081581E"/>
    <w:rsid w:val="00815C81"/>
    <w:rsid w:val="00817031"/>
    <w:rsid w:val="0081750F"/>
    <w:rsid w:val="00820606"/>
    <w:rsid w:val="00820905"/>
    <w:rsid w:val="00820A7B"/>
    <w:rsid w:val="00821AAE"/>
    <w:rsid w:val="00822162"/>
    <w:rsid w:val="00822309"/>
    <w:rsid w:val="008234E6"/>
    <w:rsid w:val="00823893"/>
    <w:rsid w:val="0082520A"/>
    <w:rsid w:val="0082578A"/>
    <w:rsid w:val="00825936"/>
    <w:rsid w:val="00825D1E"/>
    <w:rsid w:val="00826976"/>
    <w:rsid w:val="00826BF8"/>
    <w:rsid w:val="00826F7C"/>
    <w:rsid w:val="00830E39"/>
    <w:rsid w:val="00831153"/>
    <w:rsid w:val="008311B8"/>
    <w:rsid w:val="0083169F"/>
    <w:rsid w:val="0083247F"/>
    <w:rsid w:val="0083375C"/>
    <w:rsid w:val="00833B9E"/>
    <w:rsid w:val="00833BE0"/>
    <w:rsid w:val="00834243"/>
    <w:rsid w:val="0083633B"/>
    <w:rsid w:val="008374C4"/>
    <w:rsid w:val="00837F34"/>
    <w:rsid w:val="008400E2"/>
    <w:rsid w:val="00840D8B"/>
    <w:rsid w:val="00840F78"/>
    <w:rsid w:val="008424B5"/>
    <w:rsid w:val="00843844"/>
    <w:rsid w:val="00843F4B"/>
    <w:rsid w:val="00844A3C"/>
    <w:rsid w:val="00844BE4"/>
    <w:rsid w:val="00844D8E"/>
    <w:rsid w:val="00845A4A"/>
    <w:rsid w:val="00850465"/>
    <w:rsid w:val="00850776"/>
    <w:rsid w:val="0085081F"/>
    <w:rsid w:val="00851342"/>
    <w:rsid w:val="00852438"/>
    <w:rsid w:val="00854142"/>
    <w:rsid w:val="008559E7"/>
    <w:rsid w:val="0085728A"/>
    <w:rsid w:val="00857969"/>
    <w:rsid w:val="00860178"/>
    <w:rsid w:val="00862CD4"/>
    <w:rsid w:val="0086359C"/>
    <w:rsid w:val="008642AD"/>
    <w:rsid w:val="00864F55"/>
    <w:rsid w:val="00865183"/>
    <w:rsid w:val="0086531A"/>
    <w:rsid w:val="0086538A"/>
    <w:rsid w:val="008661F7"/>
    <w:rsid w:val="0086642A"/>
    <w:rsid w:val="00867180"/>
    <w:rsid w:val="0087210B"/>
    <w:rsid w:val="008727DF"/>
    <w:rsid w:val="008728DA"/>
    <w:rsid w:val="008729CE"/>
    <w:rsid w:val="00872FC7"/>
    <w:rsid w:val="00873687"/>
    <w:rsid w:val="00876506"/>
    <w:rsid w:val="00877297"/>
    <w:rsid w:val="00877C74"/>
    <w:rsid w:val="008801C4"/>
    <w:rsid w:val="008802AA"/>
    <w:rsid w:val="00880397"/>
    <w:rsid w:val="008803DD"/>
    <w:rsid w:val="008817E6"/>
    <w:rsid w:val="00881D78"/>
    <w:rsid w:val="00882CC4"/>
    <w:rsid w:val="008840C2"/>
    <w:rsid w:val="008844AC"/>
    <w:rsid w:val="00885161"/>
    <w:rsid w:val="00886ECA"/>
    <w:rsid w:val="008875E5"/>
    <w:rsid w:val="00887F27"/>
    <w:rsid w:val="0089055E"/>
    <w:rsid w:val="00890D57"/>
    <w:rsid w:val="00890FAC"/>
    <w:rsid w:val="00891F25"/>
    <w:rsid w:val="0089291A"/>
    <w:rsid w:val="0089342B"/>
    <w:rsid w:val="00893989"/>
    <w:rsid w:val="0089462C"/>
    <w:rsid w:val="008947C8"/>
    <w:rsid w:val="00894BF2"/>
    <w:rsid w:val="0089504A"/>
    <w:rsid w:val="008965A2"/>
    <w:rsid w:val="00897D22"/>
    <w:rsid w:val="00897F46"/>
    <w:rsid w:val="008A0155"/>
    <w:rsid w:val="008A091A"/>
    <w:rsid w:val="008A1D62"/>
    <w:rsid w:val="008A2509"/>
    <w:rsid w:val="008A2761"/>
    <w:rsid w:val="008A288B"/>
    <w:rsid w:val="008A30F6"/>
    <w:rsid w:val="008A4444"/>
    <w:rsid w:val="008A5B00"/>
    <w:rsid w:val="008A6C00"/>
    <w:rsid w:val="008A7A54"/>
    <w:rsid w:val="008B10AE"/>
    <w:rsid w:val="008B3101"/>
    <w:rsid w:val="008B44D3"/>
    <w:rsid w:val="008B651A"/>
    <w:rsid w:val="008B6F20"/>
    <w:rsid w:val="008B6FA1"/>
    <w:rsid w:val="008B75A7"/>
    <w:rsid w:val="008B7AC4"/>
    <w:rsid w:val="008C03A5"/>
    <w:rsid w:val="008C1051"/>
    <w:rsid w:val="008C1ECA"/>
    <w:rsid w:val="008C2396"/>
    <w:rsid w:val="008C2D45"/>
    <w:rsid w:val="008C38FF"/>
    <w:rsid w:val="008C39F8"/>
    <w:rsid w:val="008C51FC"/>
    <w:rsid w:val="008C53EB"/>
    <w:rsid w:val="008C5849"/>
    <w:rsid w:val="008C5E0A"/>
    <w:rsid w:val="008C6376"/>
    <w:rsid w:val="008C678A"/>
    <w:rsid w:val="008C7F71"/>
    <w:rsid w:val="008D0AC8"/>
    <w:rsid w:val="008D1231"/>
    <w:rsid w:val="008D3376"/>
    <w:rsid w:val="008D339F"/>
    <w:rsid w:val="008D3B3F"/>
    <w:rsid w:val="008D4EF4"/>
    <w:rsid w:val="008D5085"/>
    <w:rsid w:val="008D536B"/>
    <w:rsid w:val="008D6650"/>
    <w:rsid w:val="008D69BC"/>
    <w:rsid w:val="008D7B15"/>
    <w:rsid w:val="008D7B3C"/>
    <w:rsid w:val="008D7C15"/>
    <w:rsid w:val="008D7E02"/>
    <w:rsid w:val="008E0CFF"/>
    <w:rsid w:val="008E1D44"/>
    <w:rsid w:val="008E24D2"/>
    <w:rsid w:val="008E3EB9"/>
    <w:rsid w:val="008E6292"/>
    <w:rsid w:val="008E67A4"/>
    <w:rsid w:val="008F0609"/>
    <w:rsid w:val="008F065E"/>
    <w:rsid w:val="008F0BD7"/>
    <w:rsid w:val="008F11D0"/>
    <w:rsid w:val="008F1637"/>
    <w:rsid w:val="008F1B14"/>
    <w:rsid w:val="008F1C21"/>
    <w:rsid w:val="008F1E79"/>
    <w:rsid w:val="008F2192"/>
    <w:rsid w:val="008F21CB"/>
    <w:rsid w:val="008F23DB"/>
    <w:rsid w:val="008F23EB"/>
    <w:rsid w:val="008F26B5"/>
    <w:rsid w:val="008F2EEF"/>
    <w:rsid w:val="008F3DCA"/>
    <w:rsid w:val="008F3FD6"/>
    <w:rsid w:val="008F42F3"/>
    <w:rsid w:val="008F439E"/>
    <w:rsid w:val="008F5270"/>
    <w:rsid w:val="008F5470"/>
    <w:rsid w:val="008F59F4"/>
    <w:rsid w:val="008F66DB"/>
    <w:rsid w:val="008F7A4D"/>
    <w:rsid w:val="00900C39"/>
    <w:rsid w:val="00902190"/>
    <w:rsid w:val="00902814"/>
    <w:rsid w:val="00903809"/>
    <w:rsid w:val="00903ACE"/>
    <w:rsid w:val="00904413"/>
    <w:rsid w:val="00905660"/>
    <w:rsid w:val="00906C2A"/>
    <w:rsid w:val="00906DC5"/>
    <w:rsid w:val="00906E61"/>
    <w:rsid w:val="0091114F"/>
    <w:rsid w:val="00911EEF"/>
    <w:rsid w:val="00911FEF"/>
    <w:rsid w:val="00913B51"/>
    <w:rsid w:val="0091416C"/>
    <w:rsid w:val="00914B36"/>
    <w:rsid w:val="00914C53"/>
    <w:rsid w:val="00914E6A"/>
    <w:rsid w:val="00917E28"/>
    <w:rsid w:val="00920519"/>
    <w:rsid w:val="00920944"/>
    <w:rsid w:val="00920DBE"/>
    <w:rsid w:val="009212A3"/>
    <w:rsid w:val="00921935"/>
    <w:rsid w:val="00921E38"/>
    <w:rsid w:val="009220FB"/>
    <w:rsid w:val="00922F95"/>
    <w:rsid w:val="009247CD"/>
    <w:rsid w:val="00924BD5"/>
    <w:rsid w:val="009251E6"/>
    <w:rsid w:val="00925201"/>
    <w:rsid w:val="00925AA5"/>
    <w:rsid w:val="00926960"/>
    <w:rsid w:val="00926BCE"/>
    <w:rsid w:val="00926F93"/>
    <w:rsid w:val="009270FB"/>
    <w:rsid w:val="00927548"/>
    <w:rsid w:val="0092771B"/>
    <w:rsid w:val="009279B8"/>
    <w:rsid w:val="009279EE"/>
    <w:rsid w:val="00927E78"/>
    <w:rsid w:val="009300BE"/>
    <w:rsid w:val="00930925"/>
    <w:rsid w:val="00931B18"/>
    <w:rsid w:val="00932820"/>
    <w:rsid w:val="009328EF"/>
    <w:rsid w:val="00932B3B"/>
    <w:rsid w:val="00933E5A"/>
    <w:rsid w:val="0093465A"/>
    <w:rsid w:val="00935045"/>
    <w:rsid w:val="0093540D"/>
    <w:rsid w:val="00935586"/>
    <w:rsid w:val="00935B39"/>
    <w:rsid w:val="009367BE"/>
    <w:rsid w:val="00937C29"/>
    <w:rsid w:val="0094019D"/>
    <w:rsid w:val="0094068F"/>
    <w:rsid w:val="00942C11"/>
    <w:rsid w:val="00942C76"/>
    <w:rsid w:val="0094351F"/>
    <w:rsid w:val="00943E31"/>
    <w:rsid w:val="009463DE"/>
    <w:rsid w:val="00947062"/>
    <w:rsid w:val="00947515"/>
    <w:rsid w:val="00947A39"/>
    <w:rsid w:val="00947C3F"/>
    <w:rsid w:val="00950E18"/>
    <w:rsid w:val="0095112F"/>
    <w:rsid w:val="00951583"/>
    <w:rsid w:val="009519E8"/>
    <w:rsid w:val="00952C88"/>
    <w:rsid w:val="009542A4"/>
    <w:rsid w:val="009547F8"/>
    <w:rsid w:val="00954BF9"/>
    <w:rsid w:val="00957353"/>
    <w:rsid w:val="009575A4"/>
    <w:rsid w:val="00957849"/>
    <w:rsid w:val="00957AB8"/>
    <w:rsid w:val="00957D8C"/>
    <w:rsid w:val="009602E7"/>
    <w:rsid w:val="00960477"/>
    <w:rsid w:val="00960889"/>
    <w:rsid w:val="00961909"/>
    <w:rsid w:val="0096268C"/>
    <w:rsid w:val="00962ACF"/>
    <w:rsid w:val="0096444D"/>
    <w:rsid w:val="00964BE0"/>
    <w:rsid w:val="009659D9"/>
    <w:rsid w:val="00965A10"/>
    <w:rsid w:val="009663B9"/>
    <w:rsid w:val="0096661D"/>
    <w:rsid w:val="00967218"/>
    <w:rsid w:val="009676DC"/>
    <w:rsid w:val="0096779A"/>
    <w:rsid w:val="00967AA5"/>
    <w:rsid w:val="00970E6C"/>
    <w:rsid w:val="00972895"/>
    <w:rsid w:val="009729D4"/>
    <w:rsid w:val="00974B3F"/>
    <w:rsid w:val="00975CE6"/>
    <w:rsid w:val="0097733E"/>
    <w:rsid w:val="00977BB0"/>
    <w:rsid w:val="0098021E"/>
    <w:rsid w:val="00980759"/>
    <w:rsid w:val="009817B0"/>
    <w:rsid w:val="00981A68"/>
    <w:rsid w:val="009821CE"/>
    <w:rsid w:val="009831E8"/>
    <w:rsid w:val="00984488"/>
    <w:rsid w:val="0098451B"/>
    <w:rsid w:val="009850E6"/>
    <w:rsid w:val="009851A1"/>
    <w:rsid w:val="009859EC"/>
    <w:rsid w:val="00987E4F"/>
    <w:rsid w:val="00990382"/>
    <w:rsid w:val="0099180F"/>
    <w:rsid w:val="00992990"/>
    <w:rsid w:val="009930B2"/>
    <w:rsid w:val="00995933"/>
    <w:rsid w:val="00996108"/>
    <w:rsid w:val="009A0E16"/>
    <w:rsid w:val="009A1025"/>
    <w:rsid w:val="009A277C"/>
    <w:rsid w:val="009A28CF"/>
    <w:rsid w:val="009A28E3"/>
    <w:rsid w:val="009A2A69"/>
    <w:rsid w:val="009A2B3D"/>
    <w:rsid w:val="009A2DDF"/>
    <w:rsid w:val="009A345B"/>
    <w:rsid w:val="009A36EC"/>
    <w:rsid w:val="009A39EB"/>
    <w:rsid w:val="009A4634"/>
    <w:rsid w:val="009A4D2A"/>
    <w:rsid w:val="009A531A"/>
    <w:rsid w:val="009A5960"/>
    <w:rsid w:val="009A658F"/>
    <w:rsid w:val="009A6625"/>
    <w:rsid w:val="009B088F"/>
    <w:rsid w:val="009B08A5"/>
    <w:rsid w:val="009B0AEC"/>
    <w:rsid w:val="009B157E"/>
    <w:rsid w:val="009B18CB"/>
    <w:rsid w:val="009B1F55"/>
    <w:rsid w:val="009B2249"/>
    <w:rsid w:val="009B25FD"/>
    <w:rsid w:val="009B32E7"/>
    <w:rsid w:val="009B3A70"/>
    <w:rsid w:val="009B41A3"/>
    <w:rsid w:val="009B48C7"/>
    <w:rsid w:val="009B4E6B"/>
    <w:rsid w:val="009B542E"/>
    <w:rsid w:val="009B5547"/>
    <w:rsid w:val="009B66F9"/>
    <w:rsid w:val="009B6992"/>
    <w:rsid w:val="009B796D"/>
    <w:rsid w:val="009C0807"/>
    <w:rsid w:val="009C12A0"/>
    <w:rsid w:val="009C1AE1"/>
    <w:rsid w:val="009C1C20"/>
    <w:rsid w:val="009C34CD"/>
    <w:rsid w:val="009C4D2B"/>
    <w:rsid w:val="009C6420"/>
    <w:rsid w:val="009C67B0"/>
    <w:rsid w:val="009C6848"/>
    <w:rsid w:val="009C68C2"/>
    <w:rsid w:val="009C6CF1"/>
    <w:rsid w:val="009D122C"/>
    <w:rsid w:val="009D221F"/>
    <w:rsid w:val="009D249F"/>
    <w:rsid w:val="009D2CFF"/>
    <w:rsid w:val="009D33F6"/>
    <w:rsid w:val="009D779B"/>
    <w:rsid w:val="009D7A6D"/>
    <w:rsid w:val="009E0516"/>
    <w:rsid w:val="009E0CA5"/>
    <w:rsid w:val="009E171B"/>
    <w:rsid w:val="009E2F41"/>
    <w:rsid w:val="009E30EA"/>
    <w:rsid w:val="009E30FC"/>
    <w:rsid w:val="009E416A"/>
    <w:rsid w:val="009E5729"/>
    <w:rsid w:val="009E657A"/>
    <w:rsid w:val="009E6901"/>
    <w:rsid w:val="009E7B18"/>
    <w:rsid w:val="009F0732"/>
    <w:rsid w:val="009F422A"/>
    <w:rsid w:val="009F5354"/>
    <w:rsid w:val="009F6A45"/>
    <w:rsid w:val="009F748E"/>
    <w:rsid w:val="009F7927"/>
    <w:rsid w:val="00A0015F"/>
    <w:rsid w:val="00A01324"/>
    <w:rsid w:val="00A015E8"/>
    <w:rsid w:val="00A01DF4"/>
    <w:rsid w:val="00A01F45"/>
    <w:rsid w:val="00A04375"/>
    <w:rsid w:val="00A04840"/>
    <w:rsid w:val="00A059C8"/>
    <w:rsid w:val="00A05E72"/>
    <w:rsid w:val="00A0606E"/>
    <w:rsid w:val="00A07C16"/>
    <w:rsid w:val="00A07D47"/>
    <w:rsid w:val="00A10593"/>
    <w:rsid w:val="00A10C13"/>
    <w:rsid w:val="00A10C20"/>
    <w:rsid w:val="00A1102F"/>
    <w:rsid w:val="00A12A3C"/>
    <w:rsid w:val="00A12F62"/>
    <w:rsid w:val="00A1300E"/>
    <w:rsid w:val="00A1312A"/>
    <w:rsid w:val="00A1367D"/>
    <w:rsid w:val="00A14C63"/>
    <w:rsid w:val="00A14FE9"/>
    <w:rsid w:val="00A15000"/>
    <w:rsid w:val="00A152D0"/>
    <w:rsid w:val="00A155B8"/>
    <w:rsid w:val="00A155F0"/>
    <w:rsid w:val="00A17049"/>
    <w:rsid w:val="00A174C4"/>
    <w:rsid w:val="00A20776"/>
    <w:rsid w:val="00A211AF"/>
    <w:rsid w:val="00A2180E"/>
    <w:rsid w:val="00A22254"/>
    <w:rsid w:val="00A230AB"/>
    <w:rsid w:val="00A231EC"/>
    <w:rsid w:val="00A23235"/>
    <w:rsid w:val="00A23CF1"/>
    <w:rsid w:val="00A2414D"/>
    <w:rsid w:val="00A24B0F"/>
    <w:rsid w:val="00A24F7A"/>
    <w:rsid w:val="00A26517"/>
    <w:rsid w:val="00A26A18"/>
    <w:rsid w:val="00A26B0A"/>
    <w:rsid w:val="00A27FB4"/>
    <w:rsid w:val="00A303E9"/>
    <w:rsid w:val="00A30D59"/>
    <w:rsid w:val="00A3159E"/>
    <w:rsid w:val="00A32A3F"/>
    <w:rsid w:val="00A3320F"/>
    <w:rsid w:val="00A332F2"/>
    <w:rsid w:val="00A3334B"/>
    <w:rsid w:val="00A33A99"/>
    <w:rsid w:val="00A344C3"/>
    <w:rsid w:val="00A34B98"/>
    <w:rsid w:val="00A34E4C"/>
    <w:rsid w:val="00A34F97"/>
    <w:rsid w:val="00A3522D"/>
    <w:rsid w:val="00A3556F"/>
    <w:rsid w:val="00A35944"/>
    <w:rsid w:val="00A359A6"/>
    <w:rsid w:val="00A3604B"/>
    <w:rsid w:val="00A36BB6"/>
    <w:rsid w:val="00A37016"/>
    <w:rsid w:val="00A37347"/>
    <w:rsid w:val="00A37477"/>
    <w:rsid w:val="00A3749B"/>
    <w:rsid w:val="00A37D87"/>
    <w:rsid w:val="00A4034E"/>
    <w:rsid w:val="00A40A56"/>
    <w:rsid w:val="00A420B7"/>
    <w:rsid w:val="00A425B2"/>
    <w:rsid w:val="00A42AD9"/>
    <w:rsid w:val="00A43AA0"/>
    <w:rsid w:val="00A43CF6"/>
    <w:rsid w:val="00A442C9"/>
    <w:rsid w:val="00A44B88"/>
    <w:rsid w:val="00A44BF7"/>
    <w:rsid w:val="00A44C8A"/>
    <w:rsid w:val="00A44F2C"/>
    <w:rsid w:val="00A454AC"/>
    <w:rsid w:val="00A45B94"/>
    <w:rsid w:val="00A45F77"/>
    <w:rsid w:val="00A46810"/>
    <w:rsid w:val="00A47244"/>
    <w:rsid w:val="00A4751F"/>
    <w:rsid w:val="00A50327"/>
    <w:rsid w:val="00A508EB"/>
    <w:rsid w:val="00A50D88"/>
    <w:rsid w:val="00A5100F"/>
    <w:rsid w:val="00A51D5B"/>
    <w:rsid w:val="00A52295"/>
    <w:rsid w:val="00A52FAC"/>
    <w:rsid w:val="00A531C2"/>
    <w:rsid w:val="00A5335F"/>
    <w:rsid w:val="00A53C3E"/>
    <w:rsid w:val="00A53CB5"/>
    <w:rsid w:val="00A54654"/>
    <w:rsid w:val="00A54AC6"/>
    <w:rsid w:val="00A561EE"/>
    <w:rsid w:val="00A56923"/>
    <w:rsid w:val="00A57123"/>
    <w:rsid w:val="00A577B0"/>
    <w:rsid w:val="00A57B8D"/>
    <w:rsid w:val="00A60674"/>
    <w:rsid w:val="00A6082D"/>
    <w:rsid w:val="00A60E02"/>
    <w:rsid w:val="00A60F6E"/>
    <w:rsid w:val="00A6113F"/>
    <w:rsid w:val="00A617FD"/>
    <w:rsid w:val="00A61CE4"/>
    <w:rsid w:val="00A62E42"/>
    <w:rsid w:val="00A6385F"/>
    <w:rsid w:val="00A642CF"/>
    <w:rsid w:val="00A64A71"/>
    <w:rsid w:val="00A65543"/>
    <w:rsid w:val="00A65CDA"/>
    <w:rsid w:val="00A6627A"/>
    <w:rsid w:val="00A669EB"/>
    <w:rsid w:val="00A67008"/>
    <w:rsid w:val="00A67389"/>
    <w:rsid w:val="00A7014D"/>
    <w:rsid w:val="00A70853"/>
    <w:rsid w:val="00A70AE2"/>
    <w:rsid w:val="00A7202B"/>
    <w:rsid w:val="00A7231B"/>
    <w:rsid w:val="00A7236C"/>
    <w:rsid w:val="00A72960"/>
    <w:rsid w:val="00A72BD7"/>
    <w:rsid w:val="00A72D8F"/>
    <w:rsid w:val="00A73924"/>
    <w:rsid w:val="00A73EAA"/>
    <w:rsid w:val="00A7467F"/>
    <w:rsid w:val="00A74815"/>
    <w:rsid w:val="00A74C8C"/>
    <w:rsid w:val="00A752A8"/>
    <w:rsid w:val="00A75C5A"/>
    <w:rsid w:val="00A75E91"/>
    <w:rsid w:val="00A76B6E"/>
    <w:rsid w:val="00A76FE2"/>
    <w:rsid w:val="00A779BB"/>
    <w:rsid w:val="00A77AE7"/>
    <w:rsid w:val="00A81862"/>
    <w:rsid w:val="00A81E66"/>
    <w:rsid w:val="00A822B0"/>
    <w:rsid w:val="00A829D4"/>
    <w:rsid w:val="00A82F7E"/>
    <w:rsid w:val="00A835B3"/>
    <w:rsid w:val="00A83EC2"/>
    <w:rsid w:val="00A83F09"/>
    <w:rsid w:val="00A84118"/>
    <w:rsid w:val="00A84330"/>
    <w:rsid w:val="00A8484D"/>
    <w:rsid w:val="00A84874"/>
    <w:rsid w:val="00A84D9A"/>
    <w:rsid w:val="00A858E5"/>
    <w:rsid w:val="00A85C1D"/>
    <w:rsid w:val="00A864B3"/>
    <w:rsid w:val="00A86B4A"/>
    <w:rsid w:val="00A86D40"/>
    <w:rsid w:val="00A87238"/>
    <w:rsid w:val="00A920D0"/>
    <w:rsid w:val="00A92FB5"/>
    <w:rsid w:val="00A93401"/>
    <w:rsid w:val="00A937F0"/>
    <w:rsid w:val="00A93B34"/>
    <w:rsid w:val="00A9409F"/>
    <w:rsid w:val="00A95B7A"/>
    <w:rsid w:val="00A967D9"/>
    <w:rsid w:val="00A97160"/>
    <w:rsid w:val="00A97999"/>
    <w:rsid w:val="00A97FEC"/>
    <w:rsid w:val="00AA0209"/>
    <w:rsid w:val="00AA3269"/>
    <w:rsid w:val="00AA3B6B"/>
    <w:rsid w:val="00AA4ED0"/>
    <w:rsid w:val="00AA5AE7"/>
    <w:rsid w:val="00AA5BBD"/>
    <w:rsid w:val="00AA5D2C"/>
    <w:rsid w:val="00AA70ED"/>
    <w:rsid w:val="00AB0748"/>
    <w:rsid w:val="00AB1C65"/>
    <w:rsid w:val="00AB1F78"/>
    <w:rsid w:val="00AB2148"/>
    <w:rsid w:val="00AB41F8"/>
    <w:rsid w:val="00AB4C15"/>
    <w:rsid w:val="00AB53A7"/>
    <w:rsid w:val="00AB55EF"/>
    <w:rsid w:val="00AB5A62"/>
    <w:rsid w:val="00AB5B8F"/>
    <w:rsid w:val="00AB637E"/>
    <w:rsid w:val="00AB65F7"/>
    <w:rsid w:val="00AB6F44"/>
    <w:rsid w:val="00AB72EA"/>
    <w:rsid w:val="00AB7C3C"/>
    <w:rsid w:val="00AC06E7"/>
    <w:rsid w:val="00AC0B93"/>
    <w:rsid w:val="00AC0F33"/>
    <w:rsid w:val="00AC12D0"/>
    <w:rsid w:val="00AC12E8"/>
    <w:rsid w:val="00AC2319"/>
    <w:rsid w:val="00AC2CEE"/>
    <w:rsid w:val="00AC3196"/>
    <w:rsid w:val="00AC3BD4"/>
    <w:rsid w:val="00AC4065"/>
    <w:rsid w:val="00AC48C7"/>
    <w:rsid w:val="00AC5ABF"/>
    <w:rsid w:val="00AC5EE8"/>
    <w:rsid w:val="00AC6427"/>
    <w:rsid w:val="00AC6D95"/>
    <w:rsid w:val="00AC75E2"/>
    <w:rsid w:val="00AC7981"/>
    <w:rsid w:val="00AD04FF"/>
    <w:rsid w:val="00AD0701"/>
    <w:rsid w:val="00AD1B18"/>
    <w:rsid w:val="00AD1CCA"/>
    <w:rsid w:val="00AD2B8F"/>
    <w:rsid w:val="00AD2DDE"/>
    <w:rsid w:val="00AD3000"/>
    <w:rsid w:val="00AD3FC7"/>
    <w:rsid w:val="00AD4E9C"/>
    <w:rsid w:val="00AD5A59"/>
    <w:rsid w:val="00AD6720"/>
    <w:rsid w:val="00AD6896"/>
    <w:rsid w:val="00AD6BFD"/>
    <w:rsid w:val="00AE07C7"/>
    <w:rsid w:val="00AE095D"/>
    <w:rsid w:val="00AE148E"/>
    <w:rsid w:val="00AE1910"/>
    <w:rsid w:val="00AE2F90"/>
    <w:rsid w:val="00AE31BD"/>
    <w:rsid w:val="00AE363E"/>
    <w:rsid w:val="00AE3D8D"/>
    <w:rsid w:val="00AE3ED5"/>
    <w:rsid w:val="00AE403E"/>
    <w:rsid w:val="00AE4E7B"/>
    <w:rsid w:val="00AE5ED3"/>
    <w:rsid w:val="00AE6A5D"/>
    <w:rsid w:val="00AE70AF"/>
    <w:rsid w:val="00AE7243"/>
    <w:rsid w:val="00AE7FA8"/>
    <w:rsid w:val="00AF05D5"/>
    <w:rsid w:val="00AF09F7"/>
    <w:rsid w:val="00AF25BF"/>
    <w:rsid w:val="00AF384D"/>
    <w:rsid w:val="00AF46B6"/>
    <w:rsid w:val="00AF4A81"/>
    <w:rsid w:val="00AF5040"/>
    <w:rsid w:val="00AF6F83"/>
    <w:rsid w:val="00AF7DA5"/>
    <w:rsid w:val="00AF7F14"/>
    <w:rsid w:val="00AF7F9C"/>
    <w:rsid w:val="00B000B6"/>
    <w:rsid w:val="00B006AB"/>
    <w:rsid w:val="00B00A4A"/>
    <w:rsid w:val="00B02306"/>
    <w:rsid w:val="00B02C9A"/>
    <w:rsid w:val="00B03292"/>
    <w:rsid w:val="00B034D7"/>
    <w:rsid w:val="00B03DD6"/>
    <w:rsid w:val="00B05013"/>
    <w:rsid w:val="00B05771"/>
    <w:rsid w:val="00B058E7"/>
    <w:rsid w:val="00B05FB6"/>
    <w:rsid w:val="00B10141"/>
    <w:rsid w:val="00B1068C"/>
    <w:rsid w:val="00B106EB"/>
    <w:rsid w:val="00B12BF7"/>
    <w:rsid w:val="00B12DF1"/>
    <w:rsid w:val="00B12F41"/>
    <w:rsid w:val="00B13172"/>
    <w:rsid w:val="00B14053"/>
    <w:rsid w:val="00B14154"/>
    <w:rsid w:val="00B142B1"/>
    <w:rsid w:val="00B15539"/>
    <w:rsid w:val="00B15E84"/>
    <w:rsid w:val="00B164E9"/>
    <w:rsid w:val="00B16A48"/>
    <w:rsid w:val="00B16C83"/>
    <w:rsid w:val="00B17853"/>
    <w:rsid w:val="00B17927"/>
    <w:rsid w:val="00B17FE1"/>
    <w:rsid w:val="00B21224"/>
    <w:rsid w:val="00B214C6"/>
    <w:rsid w:val="00B21A20"/>
    <w:rsid w:val="00B21B53"/>
    <w:rsid w:val="00B21C3A"/>
    <w:rsid w:val="00B21E8F"/>
    <w:rsid w:val="00B2212E"/>
    <w:rsid w:val="00B22453"/>
    <w:rsid w:val="00B22E4E"/>
    <w:rsid w:val="00B23774"/>
    <w:rsid w:val="00B23AAC"/>
    <w:rsid w:val="00B241C0"/>
    <w:rsid w:val="00B24BED"/>
    <w:rsid w:val="00B26E37"/>
    <w:rsid w:val="00B30051"/>
    <w:rsid w:val="00B31C65"/>
    <w:rsid w:val="00B34EB2"/>
    <w:rsid w:val="00B3583B"/>
    <w:rsid w:val="00B37149"/>
    <w:rsid w:val="00B3722A"/>
    <w:rsid w:val="00B37484"/>
    <w:rsid w:val="00B379B4"/>
    <w:rsid w:val="00B37A8F"/>
    <w:rsid w:val="00B40B8C"/>
    <w:rsid w:val="00B41BC8"/>
    <w:rsid w:val="00B41E35"/>
    <w:rsid w:val="00B42405"/>
    <w:rsid w:val="00B42605"/>
    <w:rsid w:val="00B426C8"/>
    <w:rsid w:val="00B42D40"/>
    <w:rsid w:val="00B43797"/>
    <w:rsid w:val="00B43A4F"/>
    <w:rsid w:val="00B43C4B"/>
    <w:rsid w:val="00B443FF"/>
    <w:rsid w:val="00B4495E"/>
    <w:rsid w:val="00B44A3E"/>
    <w:rsid w:val="00B44EC5"/>
    <w:rsid w:val="00B4648F"/>
    <w:rsid w:val="00B46B12"/>
    <w:rsid w:val="00B46E1C"/>
    <w:rsid w:val="00B47661"/>
    <w:rsid w:val="00B47850"/>
    <w:rsid w:val="00B50842"/>
    <w:rsid w:val="00B510D2"/>
    <w:rsid w:val="00B516BD"/>
    <w:rsid w:val="00B51730"/>
    <w:rsid w:val="00B52975"/>
    <w:rsid w:val="00B534BE"/>
    <w:rsid w:val="00B535D9"/>
    <w:rsid w:val="00B53D72"/>
    <w:rsid w:val="00B541D6"/>
    <w:rsid w:val="00B551F3"/>
    <w:rsid w:val="00B5538C"/>
    <w:rsid w:val="00B55B04"/>
    <w:rsid w:val="00B56D88"/>
    <w:rsid w:val="00B572FB"/>
    <w:rsid w:val="00B575E0"/>
    <w:rsid w:val="00B60009"/>
    <w:rsid w:val="00B603E0"/>
    <w:rsid w:val="00B60618"/>
    <w:rsid w:val="00B60CDC"/>
    <w:rsid w:val="00B60F3B"/>
    <w:rsid w:val="00B60FBF"/>
    <w:rsid w:val="00B61A8E"/>
    <w:rsid w:val="00B61BC6"/>
    <w:rsid w:val="00B62090"/>
    <w:rsid w:val="00B62861"/>
    <w:rsid w:val="00B63289"/>
    <w:rsid w:val="00B6353B"/>
    <w:rsid w:val="00B63F58"/>
    <w:rsid w:val="00B65347"/>
    <w:rsid w:val="00B65DE1"/>
    <w:rsid w:val="00B6639A"/>
    <w:rsid w:val="00B66ECA"/>
    <w:rsid w:val="00B679FC"/>
    <w:rsid w:val="00B67B02"/>
    <w:rsid w:val="00B729A0"/>
    <w:rsid w:val="00B72A5A"/>
    <w:rsid w:val="00B72AF0"/>
    <w:rsid w:val="00B73077"/>
    <w:rsid w:val="00B734E3"/>
    <w:rsid w:val="00B737EB"/>
    <w:rsid w:val="00B73974"/>
    <w:rsid w:val="00B74579"/>
    <w:rsid w:val="00B74F58"/>
    <w:rsid w:val="00B7556F"/>
    <w:rsid w:val="00B758F0"/>
    <w:rsid w:val="00B7594A"/>
    <w:rsid w:val="00B76C40"/>
    <w:rsid w:val="00B76E0D"/>
    <w:rsid w:val="00B775EE"/>
    <w:rsid w:val="00B805ED"/>
    <w:rsid w:val="00B8097B"/>
    <w:rsid w:val="00B812FC"/>
    <w:rsid w:val="00B819FE"/>
    <w:rsid w:val="00B81DF5"/>
    <w:rsid w:val="00B82995"/>
    <w:rsid w:val="00B82E54"/>
    <w:rsid w:val="00B830C4"/>
    <w:rsid w:val="00B830DA"/>
    <w:rsid w:val="00B8323A"/>
    <w:rsid w:val="00B838A1"/>
    <w:rsid w:val="00B84073"/>
    <w:rsid w:val="00B842B3"/>
    <w:rsid w:val="00B84B01"/>
    <w:rsid w:val="00B85650"/>
    <w:rsid w:val="00B859E7"/>
    <w:rsid w:val="00B86B8A"/>
    <w:rsid w:val="00B87847"/>
    <w:rsid w:val="00B87927"/>
    <w:rsid w:val="00B87DB2"/>
    <w:rsid w:val="00B90813"/>
    <w:rsid w:val="00B90822"/>
    <w:rsid w:val="00B909B8"/>
    <w:rsid w:val="00B919FE"/>
    <w:rsid w:val="00B935FA"/>
    <w:rsid w:val="00B9361F"/>
    <w:rsid w:val="00B93CFC"/>
    <w:rsid w:val="00B93DCD"/>
    <w:rsid w:val="00B93EC5"/>
    <w:rsid w:val="00B94742"/>
    <w:rsid w:val="00B956F4"/>
    <w:rsid w:val="00B95A60"/>
    <w:rsid w:val="00B9619E"/>
    <w:rsid w:val="00B9627F"/>
    <w:rsid w:val="00B963EF"/>
    <w:rsid w:val="00B96BAA"/>
    <w:rsid w:val="00B978FA"/>
    <w:rsid w:val="00BA211A"/>
    <w:rsid w:val="00BA31BF"/>
    <w:rsid w:val="00BA49CC"/>
    <w:rsid w:val="00BA6708"/>
    <w:rsid w:val="00BA6EE7"/>
    <w:rsid w:val="00BA7754"/>
    <w:rsid w:val="00BB00F3"/>
    <w:rsid w:val="00BB01B6"/>
    <w:rsid w:val="00BB05AF"/>
    <w:rsid w:val="00BB1295"/>
    <w:rsid w:val="00BB2200"/>
    <w:rsid w:val="00BB48C0"/>
    <w:rsid w:val="00BB5193"/>
    <w:rsid w:val="00BB5BD4"/>
    <w:rsid w:val="00BB7434"/>
    <w:rsid w:val="00BB746A"/>
    <w:rsid w:val="00BB765E"/>
    <w:rsid w:val="00BC0DBA"/>
    <w:rsid w:val="00BC10B7"/>
    <w:rsid w:val="00BC2049"/>
    <w:rsid w:val="00BC252E"/>
    <w:rsid w:val="00BC26E5"/>
    <w:rsid w:val="00BC2E37"/>
    <w:rsid w:val="00BC3335"/>
    <w:rsid w:val="00BC43F4"/>
    <w:rsid w:val="00BC45D6"/>
    <w:rsid w:val="00BC6E69"/>
    <w:rsid w:val="00BC7599"/>
    <w:rsid w:val="00BD04AB"/>
    <w:rsid w:val="00BD0848"/>
    <w:rsid w:val="00BD200D"/>
    <w:rsid w:val="00BD25B3"/>
    <w:rsid w:val="00BD2617"/>
    <w:rsid w:val="00BD26AA"/>
    <w:rsid w:val="00BD2B12"/>
    <w:rsid w:val="00BD3669"/>
    <w:rsid w:val="00BD366D"/>
    <w:rsid w:val="00BD39BC"/>
    <w:rsid w:val="00BD4230"/>
    <w:rsid w:val="00BD425D"/>
    <w:rsid w:val="00BD454F"/>
    <w:rsid w:val="00BD4DAA"/>
    <w:rsid w:val="00BD5B89"/>
    <w:rsid w:val="00BD5D86"/>
    <w:rsid w:val="00BD5FBB"/>
    <w:rsid w:val="00BD6FEB"/>
    <w:rsid w:val="00BD7D0B"/>
    <w:rsid w:val="00BE0AC6"/>
    <w:rsid w:val="00BE1A46"/>
    <w:rsid w:val="00BE2148"/>
    <w:rsid w:val="00BE3F61"/>
    <w:rsid w:val="00BE481D"/>
    <w:rsid w:val="00BE509E"/>
    <w:rsid w:val="00BE5F1C"/>
    <w:rsid w:val="00BE75B1"/>
    <w:rsid w:val="00BE778D"/>
    <w:rsid w:val="00BE7EA5"/>
    <w:rsid w:val="00BF02F5"/>
    <w:rsid w:val="00BF04E7"/>
    <w:rsid w:val="00BF1189"/>
    <w:rsid w:val="00BF1364"/>
    <w:rsid w:val="00BF201D"/>
    <w:rsid w:val="00BF27E3"/>
    <w:rsid w:val="00BF2A0B"/>
    <w:rsid w:val="00BF437E"/>
    <w:rsid w:val="00BF5ACE"/>
    <w:rsid w:val="00BF69F0"/>
    <w:rsid w:val="00BF6D22"/>
    <w:rsid w:val="00BF733B"/>
    <w:rsid w:val="00C002AD"/>
    <w:rsid w:val="00C0040C"/>
    <w:rsid w:val="00C014CA"/>
    <w:rsid w:val="00C0162B"/>
    <w:rsid w:val="00C01DCC"/>
    <w:rsid w:val="00C02F77"/>
    <w:rsid w:val="00C02FC5"/>
    <w:rsid w:val="00C044E3"/>
    <w:rsid w:val="00C04853"/>
    <w:rsid w:val="00C077E1"/>
    <w:rsid w:val="00C07879"/>
    <w:rsid w:val="00C114A3"/>
    <w:rsid w:val="00C12AC5"/>
    <w:rsid w:val="00C12E01"/>
    <w:rsid w:val="00C13F7D"/>
    <w:rsid w:val="00C14C3C"/>
    <w:rsid w:val="00C15197"/>
    <w:rsid w:val="00C1607C"/>
    <w:rsid w:val="00C16134"/>
    <w:rsid w:val="00C166BD"/>
    <w:rsid w:val="00C16E28"/>
    <w:rsid w:val="00C174F4"/>
    <w:rsid w:val="00C17F23"/>
    <w:rsid w:val="00C202B3"/>
    <w:rsid w:val="00C20D94"/>
    <w:rsid w:val="00C21621"/>
    <w:rsid w:val="00C218F0"/>
    <w:rsid w:val="00C21EE0"/>
    <w:rsid w:val="00C234D1"/>
    <w:rsid w:val="00C24B54"/>
    <w:rsid w:val="00C25792"/>
    <w:rsid w:val="00C2799A"/>
    <w:rsid w:val="00C27BFE"/>
    <w:rsid w:val="00C30248"/>
    <w:rsid w:val="00C30297"/>
    <w:rsid w:val="00C30428"/>
    <w:rsid w:val="00C30681"/>
    <w:rsid w:val="00C30EC1"/>
    <w:rsid w:val="00C327AE"/>
    <w:rsid w:val="00C32E39"/>
    <w:rsid w:val="00C33413"/>
    <w:rsid w:val="00C3441A"/>
    <w:rsid w:val="00C351B3"/>
    <w:rsid w:val="00C35401"/>
    <w:rsid w:val="00C371ED"/>
    <w:rsid w:val="00C41DEA"/>
    <w:rsid w:val="00C43504"/>
    <w:rsid w:val="00C43DA5"/>
    <w:rsid w:val="00C43DE6"/>
    <w:rsid w:val="00C43F07"/>
    <w:rsid w:val="00C44060"/>
    <w:rsid w:val="00C448B1"/>
    <w:rsid w:val="00C448FF"/>
    <w:rsid w:val="00C45C17"/>
    <w:rsid w:val="00C45D3C"/>
    <w:rsid w:val="00C45F63"/>
    <w:rsid w:val="00C4651C"/>
    <w:rsid w:val="00C46652"/>
    <w:rsid w:val="00C46A09"/>
    <w:rsid w:val="00C47395"/>
    <w:rsid w:val="00C47830"/>
    <w:rsid w:val="00C47D3B"/>
    <w:rsid w:val="00C47D74"/>
    <w:rsid w:val="00C47E8D"/>
    <w:rsid w:val="00C505F8"/>
    <w:rsid w:val="00C50768"/>
    <w:rsid w:val="00C50B48"/>
    <w:rsid w:val="00C515CF"/>
    <w:rsid w:val="00C51F9D"/>
    <w:rsid w:val="00C52115"/>
    <w:rsid w:val="00C52141"/>
    <w:rsid w:val="00C52686"/>
    <w:rsid w:val="00C53C59"/>
    <w:rsid w:val="00C54604"/>
    <w:rsid w:val="00C54FEC"/>
    <w:rsid w:val="00C555AC"/>
    <w:rsid w:val="00C56E84"/>
    <w:rsid w:val="00C57396"/>
    <w:rsid w:val="00C57441"/>
    <w:rsid w:val="00C5749C"/>
    <w:rsid w:val="00C574C6"/>
    <w:rsid w:val="00C57BE6"/>
    <w:rsid w:val="00C57D8C"/>
    <w:rsid w:val="00C607EA"/>
    <w:rsid w:val="00C60CED"/>
    <w:rsid w:val="00C624DB"/>
    <w:rsid w:val="00C62E59"/>
    <w:rsid w:val="00C64E85"/>
    <w:rsid w:val="00C650B2"/>
    <w:rsid w:val="00C65149"/>
    <w:rsid w:val="00C655CD"/>
    <w:rsid w:val="00C659C5"/>
    <w:rsid w:val="00C66B0F"/>
    <w:rsid w:val="00C66F50"/>
    <w:rsid w:val="00C679B6"/>
    <w:rsid w:val="00C67A0F"/>
    <w:rsid w:val="00C67DB5"/>
    <w:rsid w:val="00C70051"/>
    <w:rsid w:val="00C707BD"/>
    <w:rsid w:val="00C71194"/>
    <w:rsid w:val="00C713ED"/>
    <w:rsid w:val="00C72318"/>
    <w:rsid w:val="00C723E0"/>
    <w:rsid w:val="00C724E6"/>
    <w:rsid w:val="00C72FA4"/>
    <w:rsid w:val="00C735E8"/>
    <w:rsid w:val="00C747A5"/>
    <w:rsid w:val="00C754F7"/>
    <w:rsid w:val="00C75C1E"/>
    <w:rsid w:val="00C802D6"/>
    <w:rsid w:val="00C8042F"/>
    <w:rsid w:val="00C81939"/>
    <w:rsid w:val="00C8231A"/>
    <w:rsid w:val="00C82CC0"/>
    <w:rsid w:val="00C832ED"/>
    <w:rsid w:val="00C83564"/>
    <w:rsid w:val="00C83AD1"/>
    <w:rsid w:val="00C8408B"/>
    <w:rsid w:val="00C85314"/>
    <w:rsid w:val="00C869D8"/>
    <w:rsid w:val="00C90D00"/>
    <w:rsid w:val="00C910BE"/>
    <w:rsid w:val="00C91462"/>
    <w:rsid w:val="00C92711"/>
    <w:rsid w:val="00C92E71"/>
    <w:rsid w:val="00C932EB"/>
    <w:rsid w:val="00C933B8"/>
    <w:rsid w:val="00C937FF"/>
    <w:rsid w:val="00C95C3C"/>
    <w:rsid w:val="00C964E0"/>
    <w:rsid w:val="00C96830"/>
    <w:rsid w:val="00C96AEE"/>
    <w:rsid w:val="00C97842"/>
    <w:rsid w:val="00CA0116"/>
    <w:rsid w:val="00CA015E"/>
    <w:rsid w:val="00CA04CD"/>
    <w:rsid w:val="00CA0B21"/>
    <w:rsid w:val="00CA1456"/>
    <w:rsid w:val="00CA1569"/>
    <w:rsid w:val="00CA2599"/>
    <w:rsid w:val="00CA36C9"/>
    <w:rsid w:val="00CA4B35"/>
    <w:rsid w:val="00CA4BC0"/>
    <w:rsid w:val="00CA4E63"/>
    <w:rsid w:val="00CA50F6"/>
    <w:rsid w:val="00CA5B1B"/>
    <w:rsid w:val="00CA5CA8"/>
    <w:rsid w:val="00CB0157"/>
    <w:rsid w:val="00CB08BF"/>
    <w:rsid w:val="00CB0D0E"/>
    <w:rsid w:val="00CB14BC"/>
    <w:rsid w:val="00CB28E9"/>
    <w:rsid w:val="00CB3656"/>
    <w:rsid w:val="00CB4498"/>
    <w:rsid w:val="00CB4766"/>
    <w:rsid w:val="00CB5112"/>
    <w:rsid w:val="00CB5205"/>
    <w:rsid w:val="00CB5718"/>
    <w:rsid w:val="00CB581B"/>
    <w:rsid w:val="00CB5C39"/>
    <w:rsid w:val="00CB63CB"/>
    <w:rsid w:val="00CC2D9B"/>
    <w:rsid w:val="00CC3387"/>
    <w:rsid w:val="00CC34C5"/>
    <w:rsid w:val="00CC3852"/>
    <w:rsid w:val="00CC38AC"/>
    <w:rsid w:val="00CC3E09"/>
    <w:rsid w:val="00CC40B7"/>
    <w:rsid w:val="00CC559D"/>
    <w:rsid w:val="00CC55F1"/>
    <w:rsid w:val="00CD0810"/>
    <w:rsid w:val="00CD09EE"/>
    <w:rsid w:val="00CD0C13"/>
    <w:rsid w:val="00CD1BE0"/>
    <w:rsid w:val="00CD25EA"/>
    <w:rsid w:val="00CD4126"/>
    <w:rsid w:val="00CD47FA"/>
    <w:rsid w:val="00CD654B"/>
    <w:rsid w:val="00CD683C"/>
    <w:rsid w:val="00CD7CF6"/>
    <w:rsid w:val="00CE223E"/>
    <w:rsid w:val="00CE4F6D"/>
    <w:rsid w:val="00CE6075"/>
    <w:rsid w:val="00CE6990"/>
    <w:rsid w:val="00CE6A63"/>
    <w:rsid w:val="00CE7430"/>
    <w:rsid w:val="00CE78E4"/>
    <w:rsid w:val="00CF0E68"/>
    <w:rsid w:val="00CF14B0"/>
    <w:rsid w:val="00CF3F0D"/>
    <w:rsid w:val="00CF3F22"/>
    <w:rsid w:val="00CF4CAB"/>
    <w:rsid w:val="00CF531D"/>
    <w:rsid w:val="00CF5821"/>
    <w:rsid w:val="00CF6583"/>
    <w:rsid w:val="00CF6E45"/>
    <w:rsid w:val="00CF741F"/>
    <w:rsid w:val="00D0088E"/>
    <w:rsid w:val="00D00D2E"/>
    <w:rsid w:val="00D01B05"/>
    <w:rsid w:val="00D01D1F"/>
    <w:rsid w:val="00D032B2"/>
    <w:rsid w:val="00D034B5"/>
    <w:rsid w:val="00D05E01"/>
    <w:rsid w:val="00D065CB"/>
    <w:rsid w:val="00D068EF"/>
    <w:rsid w:val="00D06F3F"/>
    <w:rsid w:val="00D07925"/>
    <w:rsid w:val="00D101F7"/>
    <w:rsid w:val="00D11D48"/>
    <w:rsid w:val="00D11F8C"/>
    <w:rsid w:val="00D122FE"/>
    <w:rsid w:val="00D1282A"/>
    <w:rsid w:val="00D14599"/>
    <w:rsid w:val="00D145F5"/>
    <w:rsid w:val="00D14DDE"/>
    <w:rsid w:val="00D15B2B"/>
    <w:rsid w:val="00D1633F"/>
    <w:rsid w:val="00D16727"/>
    <w:rsid w:val="00D16842"/>
    <w:rsid w:val="00D170BA"/>
    <w:rsid w:val="00D175E1"/>
    <w:rsid w:val="00D177B8"/>
    <w:rsid w:val="00D17E9E"/>
    <w:rsid w:val="00D209FC"/>
    <w:rsid w:val="00D20B63"/>
    <w:rsid w:val="00D21101"/>
    <w:rsid w:val="00D2324E"/>
    <w:rsid w:val="00D23F70"/>
    <w:rsid w:val="00D245E0"/>
    <w:rsid w:val="00D248C7"/>
    <w:rsid w:val="00D25531"/>
    <w:rsid w:val="00D259A4"/>
    <w:rsid w:val="00D2607F"/>
    <w:rsid w:val="00D26E6F"/>
    <w:rsid w:val="00D271D8"/>
    <w:rsid w:val="00D27488"/>
    <w:rsid w:val="00D27845"/>
    <w:rsid w:val="00D27AC8"/>
    <w:rsid w:val="00D30D4D"/>
    <w:rsid w:val="00D316A1"/>
    <w:rsid w:val="00D3255B"/>
    <w:rsid w:val="00D32607"/>
    <w:rsid w:val="00D329F1"/>
    <w:rsid w:val="00D347CC"/>
    <w:rsid w:val="00D355F0"/>
    <w:rsid w:val="00D3560D"/>
    <w:rsid w:val="00D36637"/>
    <w:rsid w:val="00D37205"/>
    <w:rsid w:val="00D3773F"/>
    <w:rsid w:val="00D40158"/>
    <w:rsid w:val="00D405D5"/>
    <w:rsid w:val="00D406B3"/>
    <w:rsid w:val="00D40A05"/>
    <w:rsid w:val="00D40F2C"/>
    <w:rsid w:val="00D40FB0"/>
    <w:rsid w:val="00D41D67"/>
    <w:rsid w:val="00D41DCF"/>
    <w:rsid w:val="00D423E4"/>
    <w:rsid w:val="00D424D6"/>
    <w:rsid w:val="00D43AC8"/>
    <w:rsid w:val="00D43B72"/>
    <w:rsid w:val="00D43F36"/>
    <w:rsid w:val="00D45D4F"/>
    <w:rsid w:val="00D501B5"/>
    <w:rsid w:val="00D50872"/>
    <w:rsid w:val="00D50879"/>
    <w:rsid w:val="00D509AF"/>
    <w:rsid w:val="00D50B85"/>
    <w:rsid w:val="00D50E71"/>
    <w:rsid w:val="00D51610"/>
    <w:rsid w:val="00D52C6E"/>
    <w:rsid w:val="00D52E95"/>
    <w:rsid w:val="00D54E2A"/>
    <w:rsid w:val="00D5504B"/>
    <w:rsid w:val="00D55D95"/>
    <w:rsid w:val="00D56113"/>
    <w:rsid w:val="00D569B5"/>
    <w:rsid w:val="00D604DA"/>
    <w:rsid w:val="00D60A45"/>
    <w:rsid w:val="00D62447"/>
    <w:rsid w:val="00D62800"/>
    <w:rsid w:val="00D62CB7"/>
    <w:rsid w:val="00D62FF2"/>
    <w:rsid w:val="00D639FC"/>
    <w:rsid w:val="00D63A93"/>
    <w:rsid w:val="00D640E2"/>
    <w:rsid w:val="00D643F4"/>
    <w:rsid w:val="00D6480A"/>
    <w:rsid w:val="00D65A68"/>
    <w:rsid w:val="00D66010"/>
    <w:rsid w:val="00D661B8"/>
    <w:rsid w:val="00D66A4B"/>
    <w:rsid w:val="00D673F6"/>
    <w:rsid w:val="00D700D1"/>
    <w:rsid w:val="00D716D2"/>
    <w:rsid w:val="00D71B2F"/>
    <w:rsid w:val="00D71BF5"/>
    <w:rsid w:val="00D71DE4"/>
    <w:rsid w:val="00D71FA9"/>
    <w:rsid w:val="00D721CA"/>
    <w:rsid w:val="00D726FF"/>
    <w:rsid w:val="00D72CFA"/>
    <w:rsid w:val="00D72D6B"/>
    <w:rsid w:val="00D732FC"/>
    <w:rsid w:val="00D74754"/>
    <w:rsid w:val="00D7689D"/>
    <w:rsid w:val="00D76BBF"/>
    <w:rsid w:val="00D7779E"/>
    <w:rsid w:val="00D77D33"/>
    <w:rsid w:val="00D8047F"/>
    <w:rsid w:val="00D809C3"/>
    <w:rsid w:val="00D80E5C"/>
    <w:rsid w:val="00D81C61"/>
    <w:rsid w:val="00D81D43"/>
    <w:rsid w:val="00D8231D"/>
    <w:rsid w:val="00D8310B"/>
    <w:rsid w:val="00D83203"/>
    <w:rsid w:val="00D833D9"/>
    <w:rsid w:val="00D83BD9"/>
    <w:rsid w:val="00D85090"/>
    <w:rsid w:val="00D859C1"/>
    <w:rsid w:val="00D8751E"/>
    <w:rsid w:val="00D9057E"/>
    <w:rsid w:val="00D91215"/>
    <w:rsid w:val="00D9337C"/>
    <w:rsid w:val="00D944CB"/>
    <w:rsid w:val="00D94874"/>
    <w:rsid w:val="00D94DCF"/>
    <w:rsid w:val="00D94EAE"/>
    <w:rsid w:val="00D959FA"/>
    <w:rsid w:val="00D962CB"/>
    <w:rsid w:val="00D973DC"/>
    <w:rsid w:val="00D9763F"/>
    <w:rsid w:val="00D9776C"/>
    <w:rsid w:val="00DA07A0"/>
    <w:rsid w:val="00DA0A22"/>
    <w:rsid w:val="00DA1D79"/>
    <w:rsid w:val="00DA23F0"/>
    <w:rsid w:val="00DA2E48"/>
    <w:rsid w:val="00DA34C8"/>
    <w:rsid w:val="00DA39E1"/>
    <w:rsid w:val="00DA41C4"/>
    <w:rsid w:val="00DA4DFC"/>
    <w:rsid w:val="00DA586F"/>
    <w:rsid w:val="00DA5B1C"/>
    <w:rsid w:val="00DA7DB7"/>
    <w:rsid w:val="00DB08DA"/>
    <w:rsid w:val="00DB08E5"/>
    <w:rsid w:val="00DB1ED1"/>
    <w:rsid w:val="00DB369C"/>
    <w:rsid w:val="00DB425D"/>
    <w:rsid w:val="00DB47F8"/>
    <w:rsid w:val="00DB5953"/>
    <w:rsid w:val="00DB6071"/>
    <w:rsid w:val="00DB6614"/>
    <w:rsid w:val="00DB6A4C"/>
    <w:rsid w:val="00DB6BAC"/>
    <w:rsid w:val="00DB7F09"/>
    <w:rsid w:val="00DC00E8"/>
    <w:rsid w:val="00DC1C56"/>
    <w:rsid w:val="00DC25DA"/>
    <w:rsid w:val="00DC2737"/>
    <w:rsid w:val="00DC2D3E"/>
    <w:rsid w:val="00DC2E12"/>
    <w:rsid w:val="00DC352C"/>
    <w:rsid w:val="00DC4111"/>
    <w:rsid w:val="00DC4756"/>
    <w:rsid w:val="00DC4BED"/>
    <w:rsid w:val="00DC5755"/>
    <w:rsid w:val="00DC6379"/>
    <w:rsid w:val="00DC6AAD"/>
    <w:rsid w:val="00DC6D20"/>
    <w:rsid w:val="00DC740E"/>
    <w:rsid w:val="00DC743A"/>
    <w:rsid w:val="00DC7491"/>
    <w:rsid w:val="00DC77E6"/>
    <w:rsid w:val="00DD01DB"/>
    <w:rsid w:val="00DD0576"/>
    <w:rsid w:val="00DD0626"/>
    <w:rsid w:val="00DD1661"/>
    <w:rsid w:val="00DD1F19"/>
    <w:rsid w:val="00DD23CB"/>
    <w:rsid w:val="00DD2499"/>
    <w:rsid w:val="00DD2CB9"/>
    <w:rsid w:val="00DD3884"/>
    <w:rsid w:val="00DD3FCF"/>
    <w:rsid w:val="00DD4EF8"/>
    <w:rsid w:val="00DD5398"/>
    <w:rsid w:val="00DD5712"/>
    <w:rsid w:val="00DE05A8"/>
    <w:rsid w:val="00DE0C3B"/>
    <w:rsid w:val="00DE0D80"/>
    <w:rsid w:val="00DE1A6A"/>
    <w:rsid w:val="00DE1C52"/>
    <w:rsid w:val="00DE205A"/>
    <w:rsid w:val="00DE206F"/>
    <w:rsid w:val="00DE242D"/>
    <w:rsid w:val="00DE2763"/>
    <w:rsid w:val="00DE2906"/>
    <w:rsid w:val="00DE3A53"/>
    <w:rsid w:val="00DE3C77"/>
    <w:rsid w:val="00DE4093"/>
    <w:rsid w:val="00DE41B2"/>
    <w:rsid w:val="00DE5973"/>
    <w:rsid w:val="00DE6E7D"/>
    <w:rsid w:val="00DE70F1"/>
    <w:rsid w:val="00DF0932"/>
    <w:rsid w:val="00DF1524"/>
    <w:rsid w:val="00DF19E1"/>
    <w:rsid w:val="00DF20A1"/>
    <w:rsid w:val="00DF2798"/>
    <w:rsid w:val="00DF4268"/>
    <w:rsid w:val="00DF4B76"/>
    <w:rsid w:val="00DF5896"/>
    <w:rsid w:val="00DF6305"/>
    <w:rsid w:val="00DF6626"/>
    <w:rsid w:val="00DF6AD2"/>
    <w:rsid w:val="00DF6F61"/>
    <w:rsid w:val="00DF78CD"/>
    <w:rsid w:val="00E000DF"/>
    <w:rsid w:val="00E00854"/>
    <w:rsid w:val="00E00FD7"/>
    <w:rsid w:val="00E01E93"/>
    <w:rsid w:val="00E02375"/>
    <w:rsid w:val="00E0257E"/>
    <w:rsid w:val="00E027D0"/>
    <w:rsid w:val="00E0306D"/>
    <w:rsid w:val="00E03229"/>
    <w:rsid w:val="00E04050"/>
    <w:rsid w:val="00E0475A"/>
    <w:rsid w:val="00E04D24"/>
    <w:rsid w:val="00E04E30"/>
    <w:rsid w:val="00E057BA"/>
    <w:rsid w:val="00E05C8D"/>
    <w:rsid w:val="00E05EEC"/>
    <w:rsid w:val="00E07104"/>
    <w:rsid w:val="00E101C6"/>
    <w:rsid w:val="00E104A9"/>
    <w:rsid w:val="00E105D0"/>
    <w:rsid w:val="00E10778"/>
    <w:rsid w:val="00E10D7E"/>
    <w:rsid w:val="00E1264E"/>
    <w:rsid w:val="00E12C32"/>
    <w:rsid w:val="00E13558"/>
    <w:rsid w:val="00E14779"/>
    <w:rsid w:val="00E164DE"/>
    <w:rsid w:val="00E171DF"/>
    <w:rsid w:val="00E1754B"/>
    <w:rsid w:val="00E17A9B"/>
    <w:rsid w:val="00E215D1"/>
    <w:rsid w:val="00E21C2D"/>
    <w:rsid w:val="00E22D51"/>
    <w:rsid w:val="00E236F9"/>
    <w:rsid w:val="00E236FF"/>
    <w:rsid w:val="00E240ED"/>
    <w:rsid w:val="00E24C17"/>
    <w:rsid w:val="00E25F88"/>
    <w:rsid w:val="00E27F93"/>
    <w:rsid w:val="00E31CC5"/>
    <w:rsid w:val="00E322E8"/>
    <w:rsid w:val="00E32662"/>
    <w:rsid w:val="00E32FF1"/>
    <w:rsid w:val="00E3473C"/>
    <w:rsid w:val="00E34889"/>
    <w:rsid w:val="00E349A7"/>
    <w:rsid w:val="00E35B55"/>
    <w:rsid w:val="00E364E2"/>
    <w:rsid w:val="00E372AF"/>
    <w:rsid w:val="00E401D2"/>
    <w:rsid w:val="00E40B7B"/>
    <w:rsid w:val="00E40FF1"/>
    <w:rsid w:val="00E41707"/>
    <w:rsid w:val="00E41997"/>
    <w:rsid w:val="00E41EB4"/>
    <w:rsid w:val="00E44298"/>
    <w:rsid w:val="00E44919"/>
    <w:rsid w:val="00E45204"/>
    <w:rsid w:val="00E453C3"/>
    <w:rsid w:val="00E45733"/>
    <w:rsid w:val="00E45A55"/>
    <w:rsid w:val="00E45C4E"/>
    <w:rsid w:val="00E46F15"/>
    <w:rsid w:val="00E47896"/>
    <w:rsid w:val="00E47E91"/>
    <w:rsid w:val="00E5061C"/>
    <w:rsid w:val="00E50E7C"/>
    <w:rsid w:val="00E51333"/>
    <w:rsid w:val="00E51545"/>
    <w:rsid w:val="00E51D9E"/>
    <w:rsid w:val="00E51DF2"/>
    <w:rsid w:val="00E5241E"/>
    <w:rsid w:val="00E52594"/>
    <w:rsid w:val="00E52855"/>
    <w:rsid w:val="00E52A2A"/>
    <w:rsid w:val="00E537D1"/>
    <w:rsid w:val="00E53BE0"/>
    <w:rsid w:val="00E553A7"/>
    <w:rsid w:val="00E555A3"/>
    <w:rsid w:val="00E55EAF"/>
    <w:rsid w:val="00E567E6"/>
    <w:rsid w:val="00E56971"/>
    <w:rsid w:val="00E57C11"/>
    <w:rsid w:val="00E57F05"/>
    <w:rsid w:val="00E61484"/>
    <w:rsid w:val="00E62E66"/>
    <w:rsid w:val="00E63510"/>
    <w:rsid w:val="00E6448B"/>
    <w:rsid w:val="00E64A23"/>
    <w:rsid w:val="00E65994"/>
    <w:rsid w:val="00E66037"/>
    <w:rsid w:val="00E662DD"/>
    <w:rsid w:val="00E66AE0"/>
    <w:rsid w:val="00E67AA0"/>
    <w:rsid w:val="00E67F62"/>
    <w:rsid w:val="00E7017C"/>
    <w:rsid w:val="00E711D7"/>
    <w:rsid w:val="00E72671"/>
    <w:rsid w:val="00E73DAE"/>
    <w:rsid w:val="00E75844"/>
    <w:rsid w:val="00E75958"/>
    <w:rsid w:val="00E75A3D"/>
    <w:rsid w:val="00E768BC"/>
    <w:rsid w:val="00E768F6"/>
    <w:rsid w:val="00E77186"/>
    <w:rsid w:val="00E80AE1"/>
    <w:rsid w:val="00E815E1"/>
    <w:rsid w:val="00E819BC"/>
    <w:rsid w:val="00E82863"/>
    <w:rsid w:val="00E8325F"/>
    <w:rsid w:val="00E8558B"/>
    <w:rsid w:val="00E863AD"/>
    <w:rsid w:val="00E87CA8"/>
    <w:rsid w:val="00E902B0"/>
    <w:rsid w:val="00E902E8"/>
    <w:rsid w:val="00E9162D"/>
    <w:rsid w:val="00E9296B"/>
    <w:rsid w:val="00E9337F"/>
    <w:rsid w:val="00E94091"/>
    <w:rsid w:val="00E9455C"/>
    <w:rsid w:val="00E94F9C"/>
    <w:rsid w:val="00E951E7"/>
    <w:rsid w:val="00E95652"/>
    <w:rsid w:val="00E95719"/>
    <w:rsid w:val="00E961C2"/>
    <w:rsid w:val="00E9633C"/>
    <w:rsid w:val="00E96658"/>
    <w:rsid w:val="00E97C19"/>
    <w:rsid w:val="00EA1129"/>
    <w:rsid w:val="00EA12EF"/>
    <w:rsid w:val="00EA23AC"/>
    <w:rsid w:val="00EA398F"/>
    <w:rsid w:val="00EA4462"/>
    <w:rsid w:val="00EA6324"/>
    <w:rsid w:val="00EA6354"/>
    <w:rsid w:val="00EA64E6"/>
    <w:rsid w:val="00EA6FAB"/>
    <w:rsid w:val="00EA7554"/>
    <w:rsid w:val="00EA7C3D"/>
    <w:rsid w:val="00EB193D"/>
    <w:rsid w:val="00EB1981"/>
    <w:rsid w:val="00EB1C0A"/>
    <w:rsid w:val="00EB1E84"/>
    <w:rsid w:val="00EB30AE"/>
    <w:rsid w:val="00EB31FE"/>
    <w:rsid w:val="00EB3EEF"/>
    <w:rsid w:val="00EB4B0B"/>
    <w:rsid w:val="00EB4D1A"/>
    <w:rsid w:val="00EB56E7"/>
    <w:rsid w:val="00EB5A94"/>
    <w:rsid w:val="00EB6878"/>
    <w:rsid w:val="00EB70B3"/>
    <w:rsid w:val="00EC0FDB"/>
    <w:rsid w:val="00EC125B"/>
    <w:rsid w:val="00EC144F"/>
    <w:rsid w:val="00EC1E0E"/>
    <w:rsid w:val="00EC1E8B"/>
    <w:rsid w:val="00EC236D"/>
    <w:rsid w:val="00EC329C"/>
    <w:rsid w:val="00EC3675"/>
    <w:rsid w:val="00EC5152"/>
    <w:rsid w:val="00EC5FF9"/>
    <w:rsid w:val="00EC634F"/>
    <w:rsid w:val="00EC63CC"/>
    <w:rsid w:val="00EC6B16"/>
    <w:rsid w:val="00ED026E"/>
    <w:rsid w:val="00ED29B3"/>
    <w:rsid w:val="00ED3653"/>
    <w:rsid w:val="00ED47A3"/>
    <w:rsid w:val="00ED53EC"/>
    <w:rsid w:val="00ED566C"/>
    <w:rsid w:val="00ED5768"/>
    <w:rsid w:val="00ED5A20"/>
    <w:rsid w:val="00ED5B53"/>
    <w:rsid w:val="00ED60D9"/>
    <w:rsid w:val="00ED794B"/>
    <w:rsid w:val="00EE02F8"/>
    <w:rsid w:val="00EE0A91"/>
    <w:rsid w:val="00EE0F39"/>
    <w:rsid w:val="00EE0FF0"/>
    <w:rsid w:val="00EE1447"/>
    <w:rsid w:val="00EE1BF1"/>
    <w:rsid w:val="00EE24F7"/>
    <w:rsid w:val="00EE29E1"/>
    <w:rsid w:val="00EE3DE5"/>
    <w:rsid w:val="00EE3E89"/>
    <w:rsid w:val="00EE4864"/>
    <w:rsid w:val="00EE5ECB"/>
    <w:rsid w:val="00EE73D7"/>
    <w:rsid w:val="00EE7744"/>
    <w:rsid w:val="00EF03E1"/>
    <w:rsid w:val="00EF145E"/>
    <w:rsid w:val="00EF2370"/>
    <w:rsid w:val="00EF28DF"/>
    <w:rsid w:val="00EF2B85"/>
    <w:rsid w:val="00EF2BBB"/>
    <w:rsid w:val="00EF3890"/>
    <w:rsid w:val="00EF4099"/>
    <w:rsid w:val="00EF44B3"/>
    <w:rsid w:val="00EF4A25"/>
    <w:rsid w:val="00EF4F3C"/>
    <w:rsid w:val="00EF6B56"/>
    <w:rsid w:val="00EF7072"/>
    <w:rsid w:val="00EF7A9B"/>
    <w:rsid w:val="00F0082D"/>
    <w:rsid w:val="00F0132B"/>
    <w:rsid w:val="00F015AB"/>
    <w:rsid w:val="00F0184A"/>
    <w:rsid w:val="00F01A50"/>
    <w:rsid w:val="00F02212"/>
    <w:rsid w:val="00F02C64"/>
    <w:rsid w:val="00F03BD2"/>
    <w:rsid w:val="00F04081"/>
    <w:rsid w:val="00F045E0"/>
    <w:rsid w:val="00F0479F"/>
    <w:rsid w:val="00F074A6"/>
    <w:rsid w:val="00F07C90"/>
    <w:rsid w:val="00F10E7C"/>
    <w:rsid w:val="00F122B7"/>
    <w:rsid w:val="00F1436D"/>
    <w:rsid w:val="00F15D3C"/>
    <w:rsid w:val="00F16BF8"/>
    <w:rsid w:val="00F16DEF"/>
    <w:rsid w:val="00F16E83"/>
    <w:rsid w:val="00F17388"/>
    <w:rsid w:val="00F17DD2"/>
    <w:rsid w:val="00F204C4"/>
    <w:rsid w:val="00F20A7E"/>
    <w:rsid w:val="00F20BB4"/>
    <w:rsid w:val="00F20F8A"/>
    <w:rsid w:val="00F21AAF"/>
    <w:rsid w:val="00F22EA5"/>
    <w:rsid w:val="00F23631"/>
    <w:rsid w:val="00F23E90"/>
    <w:rsid w:val="00F24229"/>
    <w:rsid w:val="00F245F5"/>
    <w:rsid w:val="00F25FCA"/>
    <w:rsid w:val="00F26488"/>
    <w:rsid w:val="00F272C2"/>
    <w:rsid w:val="00F272DC"/>
    <w:rsid w:val="00F303B1"/>
    <w:rsid w:val="00F304A4"/>
    <w:rsid w:val="00F30643"/>
    <w:rsid w:val="00F310CE"/>
    <w:rsid w:val="00F31ACC"/>
    <w:rsid w:val="00F31B7E"/>
    <w:rsid w:val="00F329B0"/>
    <w:rsid w:val="00F3304F"/>
    <w:rsid w:val="00F33DB8"/>
    <w:rsid w:val="00F3557B"/>
    <w:rsid w:val="00F36623"/>
    <w:rsid w:val="00F40502"/>
    <w:rsid w:val="00F40A7F"/>
    <w:rsid w:val="00F40E63"/>
    <w:rsid w:val="00F41CF7"/>
    <w:rsid w:val="00F4250A"/>
    <w:rsid w:val="00F42A10"/>
    <w:rsid w:val="00F42BB7"/>
    <w:rsid w:val="00F42C04"/>
    <w:rsid w:val="00F43495"/>
    <w:rsid w:val="00F44426"/>
    <w:rsid w:val="00F444DE"/>
    <w:rsid w:val="00F44519"/>
    <w:rsid w:val="00F44959"/>
    <w:rsid w:val="00F47306"/>
    <w:rsid w:val="00F47C02"/>
    <w:rsid w:val="00F50327"/>
    <w:rsid w:val="00F50C0A"/>
    <w:rsid w:val="00F51A21"/>
    <w:rsid w:val="00F51D7F"/>
    <w:rsid w:val="00F51F4E"/>
    <w:rsid w:val="00F5341D"/>
    <w:rsid w:val="00F5343C"/>
    <w:rsid w:val="00F5365A"/>
    <w:rsid w:val="00F53EAF"/>
    <w:rsid w:val="00F5423D"/>
    <w:rsid w:val="00F54976"/>
    <w:rsid w:val="00F54B53"/>
    <w:rsid w:val="00F54FE1"/>
    <w:rsid w:val="00F57473"/>
    <w:rsid w:val="00F576BF"/>
    <w:rsid w:val="00F57BED"/>
    <w:rsid w:val="00F57C5D"/>
    <w:rsid w:val="00F57FC9"/>
    <w:rsid w:val="00F60198"/>
    <w:rsid w:val="00F60237"/>
    <w:rsid w:val="00F60B29"/>
    <w:rsid w:val="00F6271A"/>
    <w:rsid w:val="00F62B69"/>
    <w:rsid w:val="00F62DD0"/>
    <w:rsid w:val="00F62EF2"/>
    <w:rsid w:val="00F64B48"/>
    <w:rsid w:val="00F64E61"/>
    <w:rsid w:val="00F65107"/>
    <w:rsid w:val="00F65554"/>
    <w:rsid w:val="00F65A2C"/>
    <w:rsid w:val="00F6624B"/>
    <w:rsid w:val="00F669CD"/>
    <w:rsid w:val="00F67FA8"/>
    <w:rsid w:val="00F70095"/>
    <w:rsid w:val="00F700FB"/>
    <w:rsid w:val="00F71BB2"/>
    <w:rsid w:val="00F73039"/>
    <w:rsid w:val="00F737DB"/>
    <w:rsid w:val="00F749B6"/>
    <w:rsid w:val="00F74EC9"/>
    <w:rsid w:val="00F755BA"/>
    <w:rsid w:val="00F75BFB"/>
    <w:rsid w:val="00F75E91"/>
    <w:rsid w:val="00F7613A"/>
    <w:rsid w:val="00F766B4"/>
    <w:rsid w:val="00F772D2"/>
    <w:rsid w:val="00F8105F"/>
    <w:rsid w:val="00F810E7"/>
    <w:rsid w:val="00F82746"/>
    <w:rsid w:val="00F82847"/>
    <w:rsid w:val="00F8326B"/>
    <w:rsid w:val="00F8346B"/>
    <w:rsid w:val="00F836F9"/>
    <w:rsid w:val="00F845D7"/>
    <w:rsid w:val="00F849C4"/>
    <w:rsid w:val="00F857E2"/>
    <w:rsid w:val="00F91216"/>
    <w:rsid w:val="00F91406"/>
    <w:rsid w:val="00F919B7"/>
    <w:rsid w:val="00F92279"/>
    <w:rsid w:val="00F922BE"/>
    <w:rsid w:val="00F93137"/>
    <w:rsid w:val="00F94C06"/>
    <w:rsid w:val="00F955A4"/>
    <w:rsid w:val="00F95A6E"/>
    <w:rsid w:val="00F96E5C"/>
    <w:rsid w:val="00F97384"/>
    <w:rsid w:val="00FA027A"/>
    <w:rsid w:val="00FA0709"/>
    <w:rsid w:val="00FA1230"/>
    <w:rsid w:val="00FA1FBA"/>
    <w:rsid w:val="00FA240C"/>
    <w:rsid w:val="00FA2618"/>
    <w:rsid w:val="00FA3122"/>
    <w:rsid w:val="00FA3477"/>
    <w:rsid w:val="00FA37BE"/>
    <w:rsid w:val="00FA3B61"/>
    <w:rsid w:val="00FA4629"/>
    <w:rsid w:val="00FA4636"/>
    <w:rsid w:val="00FA496C"/>
    <w:rsid w:val="00FA4B4B"/>
    <w:rsid w:val="00FA59A5"/>
    <w:rsid w:val="00FA6F42"/>
    <w:rsid w:val="00FA7CC6"/>
    <w:rsid w:val="00FB0341"/>
    <w:rsid w:val="00FB0C6C"/>
    <w:rsid w:val="00FB0CA9"/>
    <w:rsid w:val="00FB0CBF"/>
    <w:rsid w:val="00FB1E65"/>
    <w:rsid w:val="00FB218D"/>
    <w:rsid w:val="00FB269A"/>
    <w:rsid w:val="00FB2D56"/>
    <w:rsid w:val="00FB354C"/>
    <w:rsid w:val="00FB3A07"/>
    <w:rsid w:val="00FB4D21"/>
    <w:rsid w:val="00FB5B99"/>
    <w:rsid w:val="00FB5C7A"/>
    <w:rsid w:val="00FB5E45"/>
    <w:rsid w:val="00FB682E"/>
    <w:rsid w:val="00FB6B6F"/>
    <w:rsid w:val="00FB6E9D"/>
    <w:rsid w:val="00FB721E"/>
    <w:rsid w:val="00FB7522"/>
    <w:rsid w:val="00FB762B"/>
    <w:rsid w:val="00FB779E"/>
    <w:rsid w:val="00FB7AE5"/>
    <w:rsid w:val="00FB7F9D"/>
    <w:rsid w:val="00FC0979"/>
    <w:rsid w:val="00FC099F"/>
    <w:rsid w:val="00FC19A5"/>
    <w:rsid w:val="00FC3346"/>
    <w:rsid w:val="00FC37D6"/>
    <w:rsid w:val="00FC54BF"/>
    <w:rsid w:val="00FC656D"/>
    <w:rsid w:val="00FC6ADA"/>
    <w:rsid w:val="00FC6F8E"/>
    <w:rsid w:val="00FC7AC4"/>
    <w:rsid w:val="00FD16FF"/>
    <w:rsid w:val="00FD1B5B"/>
    <w:rsid w:val="00FD26D3"/>
    <w:rsid w:val="00FD33B9"/>
    <w:rsid w:val="00FD4048"/>
    <w:rsid w:val="00FD675A"/>
    <w:rsid w:val="00FD6DF3"/>
    <w:rsid w:val="00FD705B"/>
    <w:rsid w:val="00FD75A9"/>
    <w:rsid w:val="00FE005E"/>
    <w:rsid w:val="00FE05EB"/>
    <w:rsid w:val="00FE0AB8"/>
    <w:rsid w:val="00FE10AD"/>
    <w:rsid w:val="00FE16BD"/>
    <w:rsid w:val="00FE24C4"/>
    <w:rsid w:val="00FE25C4"/>
    <w:rsid w:val="00FE29A5"/>
    <w:rsid w:val="00FE2B11"/>
    <w:rsid w:val="00FE339F"/>
    <w:rsid w:val="00FE3C0E"/>
    <w:rsid w:val="00FE49FA"/>
    <w:rsid w:val="00FE5235"/>
    <w:rsid w:val="00FE5757"/>
    <w:rsid w:val="00FE6D12"/>
    <w:rsid w:val="00FE70FB"/>
    <w:rsid w:val="00FE7680"/>
    <w:rsid w:val="00FE7D5C"/>
    <w:rsid w:val="00FF09EC"/>
    <w:rsid w:val="00FF17FB"/>
    <w:rsid w:val="00FF1EB8"/>
    <w:rsid w:val="00FF2A08"/>
    <w:rsid w:val="00FF406B"/>
    <w:rsid w:val="00FF4FFB"/>
    <w:rsid w:val="00FF54AC"/>
    <w:rsid w:val="00FF57F6"/>
    <w:rsid w:val="00FF6DE6"/>
    <w:rsid w:val="00FF7050"/>
    <w:rsid w:val="032BD754"/>
    <w:rsid w:val="0343FC33"/>
    <w:rsid w:val="137B5285"/>
    <w:rsid w:val="14F1FA95"/>
    <w:rsid w:val="15A80755"/>
    <w:rsid w:val="1D4066FE"/>
    <w:rsid w:val="2161DD98"/>
    <w:rsid w:val="21879FA8"/>
    <w:rsid w:val="249DC94D"/>
    <w:rsid w:val="2FD68849"/>
    <w:rsid w:val="30895A7E"/>
    <w:rsid w:val="32261868"/>
    <w:rsid w:val="3A226B76"/>
    <w:rsid w:val="3E578EF7"/>
    <w:rsid w:val="4E8E568D"/>
    <w:rsid w:val="4EF1FBF6"/>
    <w:rsid w:val="58034D4C"/>
    <w:rsid w:val="58A3688E"/>
    <w:rsid w:val="58C7C39C"/>
    <w:rsid w:val="58E72C25"/>
    <w:rsid w:val="5CE24163"/>
    <w:rsid w:val="5DA4BD66"/>
    <w:rsid w:val="62073F7A"/>
    <w:rsid w:val="6A447F84"/>
    <w:rsid w:val="7633CD0F"/>
    <w:rsid w:val="7799940D"/>
    <w:rsid w:val="7CABF11E"/>
    <w:rsid w:val="7DF05625"/>
    <w:rsid w:val="7F0D8F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CD0D"/>
  <w15:docId w15:val="{B9101F8A-B7CB-4243-A9E8-5702CB31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3D"/>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381E3D"/>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381E3D"/>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381E3D"/>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381E3D"/>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381E3D"/>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381E3D"/>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semiHidden/>
    <w:unhideWhenUsed/>
    <w:qFormat/>
    <w:rsid w:val="002C628B"/>
    <w:pPr>
      <w:keepNext/>
      <w:keepLines/>
      <w:spacing w:before="40" w:after="0"/>
      <w:outlineLvl w:val="6"/>
    </w:pPr>
    <w:rPr>
      <w:rFonts w:asciiTheme="majorHAnsi" w:eastAsiaTheme="majorEastAsia" w:hAnsiTheme="majorHAnsi" w:cstheme="majorBidi"/>
      <w:i/>
      <w:iCs/>
      <w:color w:val="161B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E3D"/>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381E3D"/>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381E3D"/>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381E3D"/>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381E3D"/>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381E3D"/>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381E3D"/>
    <w:pPr>
      <w:keepNext/>
      <w:spacing w:before="0" w:after="0"/>
      <w:jc w:val="center"/>
    </w:pPr>
    <w:rPr>
      <w:color w:val="004A7F"/>
      <w:sz w:val="20"/>
    </w:rPr>
  </w:style>
  <w:style w:type="paragraph" w:customStyle="1" w:styleId="AlphaParagraph">
    <w:name w:val="Alpha Paragraph"/>
    <w:basedOn w:val="Normal"/>
    <w:qFormat/>
    <w:rsid w:val="00381E3D"/>
    <w:pPr>
      <w:numPr>
        <w:ilvl w:val="1"/>
        <w:numId w:val="10"/>
      </w:numPr>
      <w:spacing w:before="0"/>
    </w:pPr>
  </w:style>
  <w:style w:type="character" w:customStyle="1" w:styleId="DashChar">
    <w:name w:val="Dash Char"/>
    <w:basedOn w:val="DefaultParagraphFont"/>
    <w:link w:val="Dash"/>
    <w:uiPriority w:val="99"/>
    <w:locked/>
    <w:rsid w:val="00381E3D"/>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381E3D"/>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381E3D"/>
    <w:rPr>
      <w:rFonts w:ascii="Calibri Light" w:eastAsia="Times New Roman" w:hAnsi="Calibri Light" w:cs="Times New Roman"/>
      <w:szCs w:val="20"/>
      <w:lang w:eastAsia="en-AU"/>
    </w:rPr>
  </w:style>
  <w:style w:type="paragraph" w:customStyle="1" w:styleId="BoxHeading">
    <w:name w:val="Box Heading"/>
    <w:basedOn w:val="Normal"/>
    <w:next w:val="Normal"/>
    <w:rsid w:val="00381E3D"/>
    <w:pPr>
      <w:keepNext/>
      <w:spacing w:before="240"/>
    </w:pPr>
    <w:rPr>
      <w:b/>
      <w:color w:val="2C384A" w:themeColor="accent1"/>
      <w:sz w:val="26"/>
      <w:szCs w:val="26"/>
    </w:rPr>
  </w:style>
  <w:style w:type="paragraph" w:customStyle="1" w:styleId="BoxText">
    <w:name w:val="Box Text"/>
    <w:basedOn w:val="Normal"/>
    <w:link w:val="BoxTextChar"/>
    <w:rsid w:val="00381E3D"/>
  </w:style>
  <w:style w:type="paragraph" w:customStyle="1" w:styleId="Bullet">
    <w:name w:val="Bullet"/>
    <w:basedOn w:val="Normal"/>
    <w:link w:val="BulletChar"/>
    <w:qFormat/>
    <w:rsid w:val="00381E3D"/>
    <w:pPr>
      <w:numPr>
        <w:numId w:val="24"/>
      </w:numPr>
      <w:tabs>
        <w:tab w:val="left" w:pos="720"/>
      </w:tabs>
      <w:spacing w:before="0" w:line="276" w:lineRule="auto"/>
    </w:pPr>
  </w:style>
  <w:style w:type="paragraph" w:customStyle="1" w:styleId="ChartandTableFootnoteAlpha">
    <w:name w:val="Chart and Table Footnote Alpha"/>
    <w:rsid w:val="00381E3D"/>
    <w:pPr>
      <w:numPr>
        <w:numId w:val="1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81E3D"/>
    <w:pPr>
      <w:jc w:val="center"/>
    </w:pPr>
  </w:style>
  <w:style w:type="paragraph" w:customStyle="1" w:styleId="ChartorTableNote">
    <w:name w:val="Chart or Table Note"/>
    <w:next w:val="Normal"/>
    <w:rsid w:val="00023B11"/>
    <w:pPr>
      <w:spacing w:before="120" w:after="0" w:line="240" w:lineRule="auto"/>
      <w:contextualSpacing/>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81E3D"/>
    <w:pPr>
      <w:jc w:val="center"/>
    </w:pPr>
    <w:rPr>
      <w:b w:val="0"/>
      <w:bCs/>
    </w:rPr>
  </w:style>
  <w:style w:type="paragraph" w:customStyle="1" w:styleId="ReportDate">
    <w:name w:val="Report Date"/>
    <w:basedOn w:val="Normal"/>
    <w:link w:val="ReportDateChar"/>
    <w:rsid w:val="00381E3D"/>
    <w:pPr>
      <w:keepNext/>
      <w:spacing w:before="0" w:after="360"/>
    </w:pPr>
    <w:rPr>
      <w:color w:val="90B6F0"/>
      <w:sz w:val="32"/>
    </w:rPr>
  </w:style>
  <w:style w:type="paragraph" w:customStyle="1" w:styleId="Dash">
    <w:name w:val="Dash"/>
    <w:basedOn w:val="Normal"/>
    <w:link w:val="DashChar"/>
    <w:uiPriority w:val="99"/>
    <w:qFormat/>
    <w:rsid w:val="00381E3D"/>
    <w:pPr>
      <w:numPr>
        <w:ilvl w:val="1"/>
        <w:numId w:val="24"/>
      </w:numPr>
      <w:spacing w:before="0"/>
    </w:pPr>
  </w:style>
  <w:style w:type="paragraph" w:customStyle="1" w:styleId="DoubleDot">
    <w:name w:val="Double Dot"/>
    <w:basedOn w:val="Normal"/>
    <w:link w:val="DoubleDotChar"/>
    <w:uiPriority w:val="99"/>
    <w:qFormat/>
    <w:rsid w:val="00381E3D"/>
    <w:pPr>
      <w:numPr>
        <w:ilvl w:val="2"/>
        <w:numId w:val="24"/>
      </w:numPr>
      <w:spacing w:before="0"/>
    </w:pPr>
  </w:style>
  <w:style w:type="paragraph" w:customStyle="1" w:styleId="TableMainHeading">
    <w:name w:val="Table Main Heading"/>
    <w:basedOn w:val="Heading3"/>
    <w:next w:val="Normal"/>
    <w:rsid w:val="00CE6990"/>
    <w:pPr>
      <w:spacing w:before="240" w:after="120" w:line="240" w:lineRule="auto"/>
    </w:pPr>
    <w:rPr>
      <w:b w:val="0"/>
      <w:sz w:val="26"/>
    </w:rPr>
  </w:style>
  <w:style w:type="paragraph" w:customStyle="1" w:styleId="FooterEven">
    <w:name w:val="Footer Even"/>
    <w:basedOn w:val="Footer"/>
    <w:rsid w:val="00381E3D"/>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381E3D"/>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381E3D"/>
    <w:rPr>
      <w:color w:val="3A6FAF"/>
      <w:u w:val="none"/>
    </w:rPr>
  </w:style>
  <w:style w:type="paragraph" w:customStyle="1" w:styleId="OutlineNumbered1">
    <w:name w:val="Outline Numbered 1"/>
    <w:basedOn w:val="Normal"/>
    <w:rsid w:val="00381E3D"/>
    <w:pPr>
      <w:numPr>
        <w:numId w:val="6"/>
      </w:numPr>
      <w:spacing w:before="0"/>
    </w:pPr>
  </w:style>
  <w:style w:type="paragraph" w:customStyle="1" w:styleId="OutlineNumbered2">
    <w:name w:val="Outline Numbered 2"/>
    <w:basedOn w:val="Normal"/>
    <w:rsid w:val="00381E3D"/>
    <w:pPr>
      <w:numPr>
        <w:ilvl w:val="1"/>
        <w:numId w:val="6"/>
      </w:numPr>
      <w:spacing w:before="0"/>
    </w:pPr>
  </w:style>
  <w:style w:type="paragraph" w:customStyle="1" w:styleId="OutlineNumbered3">
    <w:name w:val="Outline Numbered 3"/>
    <w:basedOn w:val="Normal"/>
    <w:rsid w:val="00381E3D"/>
    <w:pPr>
      <w:numPr>
        <w:ilvl w:val="2"/>
        <w:numId w:val="6"/>
      </w:numPr>
      <w:spacing w:before="0"/>
    </w:pPr>
  </w:style>
  <w:style w:type="paragraph" w:customStyle="1" w:styleId="SingleParagraph">
    <w:name w:val="Single Paragraph"/>
    <w:basedOn w:val="Normal"/>
    <w:link w:val="SingleParagraphChar"/>
    <w:rsid w:val="00381E3D"/>
    <w:pPr>
      <w:spacing w:before="0" w:after="0"/>
    </w:pPr>
  </w:style>
  <w:style w:type="paragraph" w:customStyle="1" w:styleId="TableSecondHeading">
    <w:name w:val="Table Second Heading"/>
    <w:basedOn w:val="Normal"/>
    <w:next w:val="Normal"/>
    <w:rsid w:val="00381E3D"/>
    <w:pPr>
      <w:keepNext/>
      <w:spacing w:before="0" w:after="20"/>
    </w:pPr>
    <w:rPr>
      <w:b/>
      <w:color w:val="004A7F"/>
    </w:rPr>
  </w:style>
  <w:style w:type="paragraph" w:customStyle="1" w:styleId="TableColumnHeadingCentred">
    <w:name w:val="Table Column Heading Centred"/>
    <w:basedOn w:val="TableTextLeft"/>
    <w:rsid w:val="00381E3D"/>
    <w:pPr>
      <w:jc w:val="center"/>
    </w:pPr>
    <w:rPr>
      <w:b/>
      <w:color w:val="2C384A" w:themeColor="accent1"/>
      <w:sz w:val="20"/>
    </w:rPr>
  </w:style>
  <w:style w:type="paragraph" w:customStyle="1" w:styleId="TableColumnHeadingLeft">
    <w:name w:val="Table Column Heading Left"/>
    <w:basedOn w:val="TableTextLeft"/>
    <w:rsid w:val="00381E3D"/>
    <w:rPr>
      <w:b/>
      <w:color w:val="2C384A" w:themeColor="accent1"/>
      <w:sz w:val="20"/>
    </w:rPr>
  </w:style>
  <w:style w:type="paragraph" w:customStyle="1" w:styleId="TableColumnHeadingRight">
    <w:name w:val="Table Column Heading Right"/>
    <w:basedOn w:val="TableTextLeft"/>
    <w:rsid w:val="00381E3D"/>
    <w:pPr>
      <w:jc w:val="right"/>
    </w:pPr>
    <w:rPr>
      <w:b/>
      <w:color w:val="2C384A" w:themeColor="accent1"/>
      <w:sz w:val="20"/>
    </w:rPr>
  </w:style>
  <w:style w:type="table" w:styleId="TableGrid">
    <w:name w:val="Table Grid"/>
    <w:basedOn w:val="TableNormal"/>
    <w:rsid w:val="00381E3D"/>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381E3D"/>
    <w:pPr>
      <w:jc w:val="center"/>
    </w:pPr>
  </w:style>
  <w:style w:type="paragraph" w:customStyle="1" w:styleId="TableTextLeft">
    <w:name w:val="Table Text Left"/>
    <w:basedOn w:val="TableTextRight"/>
    <w:rsid w:val="00381E3D"/>
    <w:pPr>
      <w:jc w:val="left"/>
    </w:pPr>
  </w:style>
  <w:style w:type="paragraph" w:customStyle="1" w:styleId="TableTextRight">
    <w:name w:val="Table Text Right"/>
    <w:basedOn w:val="Normal"/>
    <w:rsid w:val="00381E3D"/>
    <w:pPr>
      <w:spacing w:before="40" w:after="40"/>
      <w:jc w:val="right"/>
    </w:pPr>
    <w:rPr>
      <w:color w:val="000000"/>
      <w:sz w:val="18"/>
    </w:rPr>
  </w:style>
  <w:style w:type="paragraph" w:styleId="TOC1">
    <w:name w:val="toc 1"/>
    <w:basedOn w:val="Normal"/>
    <w:next w:val="Normal"/>
    <w:uiPriority w:val="39"/>
    <w:rsid w:val="00381E3D"/>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381E3D"/>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381E3D"/>
    <w:pPr>
      <w:tabs>
        <w:tab w:val="right" w:leader="dot" w:pos="9072"/>
      </w:tabs>
      <w:spacing w:before="20" w:after="0"/>
      <w:ind w:left="284" w:right="-2"/>
    </w:pPr>
    <w:rPr>
      <w:rFonts w:cs="Calibri"/>
      <w:noProof/>
    </w:rPr>
  </w:style>
  <w:style w:type="numbering" w:customStyle="1" w:styleId="OutlineList">
    <w:name w:val="OutlineList"/>
    <w:uiPriority w:val="99"/>
    <w:rsid w:val="00381E3D"/>
    <w:pPr>
      <w:numPr>
        <w:numId w:val="4"/>
      </w:numPr>
    </w:pPr>
  </w:style>
  <w:style w:type="numbering" w:customStyle="1" w:styleId="BulletedList">
    <w:name w:val="Bulleted List"/>
    <w:uiPriority w:val="99"/>
    <w:rsid w:val="00381E3D"/>
    <w:pPr>
      <w:numPr>
        <w:numId w:val="1"/>
      </w:numPr>
    </w:pPr>
  </w:style>
  <w:style w:type="numbering" w:customStyle="1" w:styleId="BoxBulletedList">
    <w:name w:val="Box Bulleted List"/>
    <w:uiPriority w:val="99"/>
    <w:rsid w:val="00381E3D"/>
    <w:pPr>
      <w:numPr>
        <w:numId w:val="2"/>
      </w:numPr>
    </w:pPr>
  </w:style>
  <w:style w:type="numbering" w:customStyle="1" w:styleId="OneLevelList">
    <w:name w:val="OneLevelList"/>
    <w:uiPriority w:val="99"/>
    <w:rsid w:val="00381E3D"/>
    <w:pPr>
      <w:numPr>
        <w:numId w:val="3"/>
      </w:numPr>
    </w:pPr>
  </w:style>
  <w:style w:type="numbering" w:customStyle="1" w:styleId="ChartandTableFootnoteAlphaList">
    <w:name w:val="ChartandTableFootnoteAlphaList"/>
    <w:uiPriority w:val="99"/>
    <w:rsid w:val="00381E3D"/>
    <w:pPr>
      <w:numPr>
        <w:numId w:val="17"/>
      </w:numPr>
    </w:pPr>
  </w:style>
  <w:style w:type="paragraph" w:customStyle="1" w:styleId="Heading1Numbered">
    <w:name w:val="Heading 1 Numbered"/>
    <w:basedOn w:val="Heading1"/>
    <w:next w:val="Normal"/>
    <w:rsid w:val="00381E3D"/>
    <w:pPr>
      <w:numPr>
        <w:numId w:val="8"/>
      </w:numPr>
    </w:pPr>
  </w:style>
  <w:style w:type="character" w:customStyle="1" w:styleId="SingleParagraphChar">
    <w:name w:val="Single Paragraph Char"/>
    <w:basedOn w:val="DefaultParagraphFont"/>
    <w:link w:val="SingleParagraph"/>
    <w:rsid w:val="00381E3D"/>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381E3D"/>
    <w:pPr>
      <w:numPr>
        <w:ilvl w:val="1"/>
        <w:numId w:val="8"/>
      </w:numPr>
      <w:ind w:left="284" w:hanging="284"/>
    </w:pPr>
  </w:style>
  <w:style w:type="paragraph" w:customStyle="1" w:styleId="Heading3Numbered">
    <w:name w:val="Heading 3 Numbered"/>
    <w:basedOn w:val="Heading3"/>
    <w:rsid w:val="00381E3D"/>
    <w:pPr>
      <w:numPr>
        <w:ilvl w:val="2"/>
        <w:numId w:val="8"/>
      </w:numPr>
      <w:ind w:left="284" w:hanging="284"/>
    </w:pPr>
  </w:style>
  <w:style w:type="paragraph" w:styleId="Title">
    <w:name w:val="Title"/>
    <w:basedOn w:val="Normal"/>
    <w:next w:val="Normal"/>
    <w:link w:val="TitleChar"/>
    <w:uiPriority w:val="10"/>
    <w:rsid w:val="00381E3D"/>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381E3D"/>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381E3D"/>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381E3D"/>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381E3D"/>
    <w:rPr>
      <w:i/>
      <w:iCs/>
      <w:color w:val="808080" w:themeColor="text1" w:themeTint="7F"/>
    </w:rPr>
  </w:style>
  <w:style w:type="paragraph" w:styleId="Footer">
    <w:name w:val="footer"/>
    <w:basedOn w:val="Normal"/>
    <w:link w:val="FooterChar"/>
    <w:unhideWhenUsed/>
    <w:rsid w:val="00381E3D"/>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381E3D"/>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381E3D"/>
    <w:pPr>
      <w:keepNext/>
      <w:spacing w:before="0" w:after="0"/>
      <w:jc w:val="right"/>
    </w:pPr>
    <w:rPr>
      <w:color w:val="004A7F"/>
      <w:sz w:val="20"/>
    </w:rPr>
  </w:style>
  <w:style w:type="character" w:customStyle="1" w:styleId="HeaderChar">
    <w:name w:val="Header Char"/>
    <w:basedOn w:val="DefaultParagraphFont"/>
    <w:link w:val="Header"/>
    <w:uiPriority w:val="99"/>
    <w:rsid w:val="00381E3D"/>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381E3D"/>
    <w:rPr>
      <w:color w:val="808080"/>
    </w:rPr>
  </w:style>
  <w:style w:type="paragraph" w:customStyle="1" w:styleId="AppendixHeading">
    <w:name w:val="Appendix Heading"/>
    <w:basedOn w:val="Heading1"/>
    <w:next w:val="Normal"/>
    <w:rsid w:val="00381E3D"/>
  </w:style>
  <w:style w:type="paragraph" w:customStyle="1" w:styleId="HeadingBase">
    <w:name w:val="Heading Base"/>
    <w:rsid w:val="00381E3D"/>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381E3D"/>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381E3D"/>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381E3D"/>
    <w:pPr>
      <w:ind w:left="720"/>
      <w:contextualSpacing/>
    </w:pPr>
  </w:style>
  <w:style w:type="paragraph" w:customStyle="1" w:styleId="TableTextIndented">
    <w:name w:val="Table Text Indented"/>
    <w:basedOn w:val="TableTextLeft"/>
    <w:rsid w:val="00381E3D"/>
    <w:pPr>
      <w:ind w:left="284"/>
    </w:pPr>
  </w:style>
  <w:style w:type="paragraph" w:customStyle="1" w:styleId="TableHeadingContinued">
    <w:name w:val="Table Heading Continued"/>
    <w:basedOn w:val="TableMainHeading"/>
    <w:next w:val="TableGraphic"/>
    <w:rsid w:val="00381E3D"/>
  </w:style>
  <w:style w:type="paragraph" w:customStyle="1" w:styleId="TableGraphic">
    <w:name w:val="Table Graphic"/>
    <w:basedOn w:val="HeadingBase"/>
    <w:next w:val="Normal"/>
    <w:rsid w:val="00381E3D"/>
    <w:pPr>
      <w:spacing w:after="0"/>
    </w:pPr>
  </w:style>
  <w:style w:type="paragraph" w:customStyle="1" w:styleId="HeaderEven">
    <w:name w:val="Header Even"/>
    <w:basedOn w:val="Header"/>
    <w:qFormat/>
    <w:rsid w:val="00381E3D"/>
    <w:pPr>
      <w:jc w:val="left"/>
    </w:pPr>
    <w:rPr>
      <w:color w:val="002C47"/>
    </w:rPr>
  </w:style>
  <w:style w:type="paragraph" w:customStyle="1" w:styleId="HeaderOdd">
    <w:name w:val="Header Odd"/>
    <w:basedOn w:val="Header"/>
    <w:qFormat/>
    <w:rsid w:val="00381E3D"/>
    <w:rPr>
      <w:color w:val="002C47"/>
    </w:rPr>
  </w:style>
  <w:style w:type="paragraph" w:styleId="FootnoteText">
    <w:name w:val="footnote text"/>
    <w:basedOn w:val="Normal"/>
    <w:link w:val="FootnoteTextChar"/>
    <w:uiPriority w:val="99"/>
    <w:rsid w:val="00381E3D"/>
    <w:pPr>
      <w:spacing w:before="0" w:after="0"/>
      <w:ind w:left="397" w:hanging="397"/>
    </w:pPr>
    <w:rPr>
      <w:sz w:val="20"/>
    </w:rPr>
  </w:style>
  <w:style w:type="character" w:customStyle="1" w:styleId="FootnoteTextChar">
    <w:name w:val="Footnote Text Char"/>
    <w:basedOn w:val="DefaultParagraphFont"/>
    <w:link w:val="FootnoteText"/>
    <w:uiPriority w:val="99"/>
    <w:rsid w:val="00381E3D"/>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381E3D"/>
    <w:rPr>
      <w:sz w:val="18"/>
    </w:rPr>
  </w:style>
  <w:style w:type="paragraph" w:styleId="BalloonText">
    <w:name w:val="Balloon Text"/>
    <w:basedOn w:val="Normal"/>
    <w:link w:val="BalloonTextChar"/>
    <w:uiPriority w:val="99"/>
    <w:semiHidden/>
    <w:unhideWhenUsed/>
    <w:rsid w:val="00381E3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E3D"/>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381E3D"/>
    <w:rPr>
      <w:rFonts w:ascii="Calibri Light" w:eastAsia="Times New Roman" w:hAnsi="Calibri Light" w:cs="Times New Roman"/>
      <w:szCs w:val="20"/>
      <w:lang w:eastAsia="en-AU"/>
    </w:rPr>
  </w:style>
  <w:style w:type="paragraph" w:customStyle="1" w:styleId="Boxbullet">
    <w:name w:val="Box bullet"/>
    <w:basedOn w:val="Bullet"/>
    <w:rsid w:val="00381E3D"/>
    <w:pPr>
      <w:numPr>
        <w:numId w:val="23"/>
      </w:numPr>
      <w:tabs>
        <w:tab w:val="clear" w:pos="283"/>
        <w:tab w:val="num" w:pos="284"/>
        <w:tab w:val="num" w:pos="520"/>
      </w:tabs>
      <w:spacing w:before="60"/>
    </w:pPr>
    <w:rPr>
      <w:color w:val="0D0D0D" w:themeColor="text1" w:themeTint="F2"/>
    </w:rPr>
  </w:style>
  <w:style w:type="paragraph" w:customStyle="1" w:styleId="Boxdash">
    <w:name w:val="Box dash"/>
    <w:basedOn w:val="Dash"/>
    <w:rsid w:val="00381E3D"/>
    <w:pPr>
      <w:numPr>
        <w:numId w:val="23"/>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381E3D"/>
    <w:pPr>
      <w:numPr>
        <w:numId w:val="23"/>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381E3D"/>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semiHidden/>
    <w:unhideWhenUsed/>
    <w:rsid w:val="00381E3D"/>
    <w:rPr>
      <w:sz w:val="16"/>
      <w:szCs w:val="16"/>
    </w:rPr>
  </w:style>
  <w:style w:type="paragraph" w:styleId="CommentText">
    <w:name w:val="annotation text"/>
    <w:basedOn w:val="Normal"/>
    <w:link w:val="CommentTextChar"/>
    <w:uiPriority w:val="99"/>
    <w:semiHidden/>
    <w:unhideWhenUsed/>
    <w:rsid w:val="00381E3D"/>
    <w:rPr>
      <w:rFonts w:ascii="Calibri" w:hAnsi="Calibri"/>
      <w:sz w:val="20"/>
    </w:rPr>
  </w:style>
  <w:style w:type="character" w:customStyle="1" w:styleId="CommentTextChar">
    <w:name w:val="Comment Text Char"/>
    <w:basedOn w:val="DefaultParagraphFont"/>
    <w:link w:val="CommentText"/>
    <w:uiPriority w:val="99"/>
    <w:semiHidden/>
    <w:rsid w:val="00381E3D"/>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381E3D"/>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381E3D"/>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381E3D"/>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381E3D"/>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381E3D"/>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381E3D"/>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381E3D"/>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381E3D"/>
    <w:rPr>
      <w:rFonts w:ascii="Calibri" w:eastAsia="Times New Roman" w:hAnsi="Calibri" w:cs="Calibri"/>
      <w:b/>
      <w:color w:val="FF0000"/>
      <w:sz w:val="24"/>
      <w:szCs w:val="20"/>
      <w:lang w:eastAsia="en-AU"/>
    </w:rPr>
  </w:style>
  <w:style w:type="character" w:customStyle="1" w:styleId="Heading7Char">
    <w:name w:val="Heading 7 Char"/>
    <w:basedOn w:val="DefaultParagraphFont"/>
    <w:link w:val="Heading7"/>
    <w:uiPriority w:val="9"/>
    <w:semiHidden/>
    <w:rsid w:val="002C628B"/>
    <w:rPr>
      <w:rFonts w:asciiTheme="majorHAnsi" w:eastAsiaTheme="majorEastAsia" w:hAnsiTheme="majorHAnsi" w:cstheme="majorBidi"/>
      <w:i/>
      <w:iCs/>
      <w:color w:val="161B24" w:themeColor="accent1" w:themeShade="7F"/>
      <w:szCs w:val="20"/>
      <w:lang w:eastAsia="en-AU"/>
    </w:rPr>
  </w:style>
  <w:style w:type="paragraph" w:customStyle="1" w:styleId="BoxBullet0">
    <w:name w:val="Box Bullet"/>
    <w:basedOn w:val="Normal"/>
    <w:rsid w:val="002C628B"/>
    <w:pPr>
      <w:tabs>
        <w:tab w:val="num" w:pos="283"/>
      </w:tabs>
      <w:spacing w:before="0"/>
      <w:ind w:left="284" w:hanging="284"/>
    </w:pPr>
    <w:rPr>
      <w:rFonts w:ascii="Calibri" w:hAnsi="Calibri"/>
    </w:rPr>
  </w:style>
  <w:style w:type="paragraph" w:customStyle="1" w:styleId="BoxDash0">
    <w:name w:val="Box Dash"/>
    <w:basedOn w:val="Normal"/>
    <w:rsid w:val="002C628B"/>
    <w:pPr>
      <w:tabs>
        <w:tab w:val="num" w:pos="567"/>
      </w:tabs>
      <w:spacing w:before="0"/>
      <w:ind w:left="568" w:hanging="284"/>
    </w:pPr>
    <w:rPr>
      <w:rFonts w:ascii="Calibri" w:hAnsi="Calibri"/>
    </w:rPr>
  </w:style>
  <w:style w:type="paragraph" w:customStyle="1" w:styleId="BoxDoubleDot0">
    <w:name w:val="Box Double Dot"/>
    <w:basedOn w:val="Normal"/>
    <w:rsid w:val="002C628B"/>
    <w:pPr>
      <w:tabs>
        <w:tab w:val="num" w:pos="850"/>
      </w:tabs>
      <w:spacing w:before="0"/>
      <w:ind w:left="851" w:hanging="284"/>
    </w:pPr>
    <w:rPr>
      <w:rFonts w:ascii="Calibri" w:hAnsi="Calibri"/>
    </w:rPr>
  </w:style>
  <w:style w:type="paragraph" w:customStyle="1" w:styleId="OneLevelNumberedParagraph">
    <w:name w:val="One Level Numbered Paragraph"/>
    <w:basedOn w:val="Normal"/>
    <w:rsid w:val="002C628B"/>
    <w:pPr>
      <w:tabs>
        <w:tab w:val="num" w:pos="284"/>
      </w:tabs>
      <w:spacing w:before="0"/>
      <w:ind w:left="284" w:hanging="284"/>
    </w:pPr>
    <w:rPr>
      <w:rFonts w:ascii="Calibri" w:hAnsi="Calibri"/>
    </w:rPr>
  </w:style>
  <w:style w:type="paragraph" w:customStyle="1" w:styleId="Romannumeral">
    <w:name w:val="Roman numeral"/>
    <w:basedOn w:val="Normal"/>
    <w:rsid w:val="002C628B"/>
    <w:pPr>
      <w:tabs>
        <w:tab w:val="num" w:pos="851"/>
      </w:tabs>
      <w:spacing w:before="0"/>
      <w:ind w:left="851" w:hanging="851"/>
    </w:pPr>
    <w:rPr>
      <w:rFonts w:ascii="Calibri" w:hAnsi="Calibri"/>
    </w:rPr>
  </w:style>
  <w:style w:type="paragraph" w:customStyle="1" w:styleId="Crest">
    <w:name w:val="Crest"/>
    <w:basedOn w:val="Header"/>
    <w:rsid w:val="002C628B"/>
    <w:pPr>
      <w:spacing w:after="480"/>
      <w:jc w:val="center"/>
    </w:pPr>
    <w:rPr>
      <w:rFonts w:ascii="Calibri" w:hAnsi="Calibri"/>
      <w:color w:val="000000" w:themeColor="text1"/>
    </w:rPr>
  </w:style>
  <w:style w:type="paragraph" w:customStyle="1" w:styleId="Disclaimer">
    <w:name w:val="Disclaimer"/>
    <w:basedOn w:val="ReportDate"/>
    <w:rsid w:val="002C628B"/>
    <w:pPr>
      <w:spacing w:after="1800"/>
      <w:ind w:right="142"/>
    </w:pPr>
    <w:rPr>
      <w:rFonts w:ascii="Century Gothic" w:hAnsi="Century Gothic"/>
      <w:b/>
      <w:bCs/>
      <w:color w:val="5F5F5F" w:themeColor="text2"/>
      <w:sz w:val="22"/>
    </w:rPr>
  </w:style>
  <w:style w:type="paragraph" w:customStyle="1" w:styleId="Divider">
    <w:name w:val="Divider"/>
    <w:basedOn w:val="ReportDate"/>
    <w:qFormat/>
    <w:rsid w:val="002C628B"/>
    <w:pPr>
      <w:spacing w:after="1800"/>
    </w:pPr>
    <w:rPr>
      <w:rFonts w:ascii="Rockwell" w:hAnsi="Rockwell"/>
      <w:color w:val="90B6F0" w:themeColor="accent5"/>
      <w:sz w:val="24"/>
    </w:rPr>
  </w:style>
  <w:style w:type="character" w:customStyle="1" w:styleId="FramedFooter">
    <w:name w:val="Framed Footer"/>
    <w:rsid w:val="002C628B"/>
    <w:rPr>
      <w:rFonts w:ascii="Arial" w:hAnsi="Arial"/>
      <w:color w:val="002C47"/>
      <w:sz w:val="18"/>
    </w:rPr>
  </w:style>
  <w:style w:type="character" w:customStyle="1" w:styleId="FramedHeader">
    <w:name w:val="Framed Header"/>
    <w:basedOn w:val="DefaultParagraphFont"/>
    <w:rsid w:val="002C628B"/>
    <w:rPr>
      <w:rFonts w:ascii="Arial" w:hAnsi="Arial"/>
      <w:dstrike w:val="0"/>
      <w:color w:val="auto"/>
      <w:sz w:val="18"/>
      <w:vertAlign w:val="baseline"/>
    </w:rPr>
  </w:style>
  <w:style w:type="character" w:styleId="Strong">
    <w:name w:val="Strong"/>
    <w:basedOn w:val="DefaultParagraphFont"/>
    <w:uiPriority w:val="22"/>
    <w:qFormat/>
    <w:rsid w:val="002C628B"/>
    <w:rPr>
      <w:b/>
      <w:bCs/>
    </w:rPr>
  </w:style>
  <w:style w:type="paragraph" w:styleId="Caption">
    <w:name w:val="caption"/>
    <w:basedOn w:val="Normal"/>
    <w:next w:val="Normal"/>
    <w:uiPriority w:val="35"/>
    <w:unhideWhenUsed/>
    <w:qFormat/>
    <w:rsid w:val="002C628B"/>
    <w:pPr>
      <w:spacing w:before="0"/>
    </w:pPr>
    <w:rPr>
      <w:rFonts w:asciiTheme="minorHAnsi" w:eastAsiaTheme="minorHAnsi" w:hAnsiTheme="minorHAnsi" w:cstheme="minorBidi"/>
      <w:i/>
      <w:iCs/>
      <w:color w:val="5F5F5F" w:themeColor="text2"/>
      <w:szCs w:val="18"/>
      <w:lang w:eastAsia="en-US"/>
    </w:rPr>
  </w:style>
  <w:style w:type="paragraph" w:styleId="TOCHeading">
    <w:name w:val="TOC Heading"/>
    <w:basedOn w:val="Heading1"/>
    <w:next w:val="Normal"/>
    <w:uiPriority w:val="39"/>
    <w:unhideWhenUsed/>
    <w:qFormat/>
    <w:rsid w:val="002C628B"/>
    <w:pPr>
      <w:keepLines/>
      <w:spacing w:before="240" w:after="480" w:line="259" w:lineRule="auto"/>
      <w:outlineLvl w:val="9"/>
    </w:pPr>
    <w:rPr>
      <w:rFonts w:asciiTheme="majorHAnsi" w:eastAsiaTheme="majorEastAsia" w:hAnsiTheme="majorHAnsi" w:cstheme="majorBidi"/>
      <w:b w:val="0"/>
      <w:color w:val="5F5F5F" w:themeColor="text2"/>
      <w:kern w:val="0"/>
      <w:sz w:val="48"/>
      <w:szCs w:val="32"/>
      <w:lang w:val="en-US" w:eastAsia="en-US"/>
    </w:rPr>
  </w:style>
  <w:style w:type="table" w:styleId="LightShading-Accent1">
    <w:name w:val="Light Shading Accent 1"/>
    <w:basedOn w:val="TableNormal"/>
    <w:uiPriority w:val="60"/>
    <w:rsid w:val="002C628B"/>
    <w:pPr>
      <w:spacing w:after="0" w:line="240" w:lineRule="auto"/>
    </w:pPr>
    <w:rPr>
      <w:color w:val="212937" w:themeColor="accent1" w:themeShade="BF"/>
    </w:rPr>
    <w:tblPr>
      <w:tblStyleRowBandSize w:val="1"/>
      <w:tblStyleColBandSize w:val="1"/>
      <w:tblBorders>
        <w:top w:val="single" w:sz="8" w:space="0" w:color="2C384A" w:themeColor="accent1"/>
        <w:bottom w:val="single" w:sz="8" w:space="0" w:color="2C384A" w:themeColor="accent1"/>
      </w:tblBorders>
    </w:tblPr>
    <w:tcPr>
      <w:shd w:val="clear" w:color="auto" w:fill="EBF7FF"/>
    </w:tcPr>
    <w:tblStylePr w:type="firstRow">
      <w:pPr>
        <w:spacing w:before="0" w:after="0" w:line="240" w:lineRule="auto"/>
      </w:pPr>
      <w:rPr>
        <w:b/>
        <w:bCs/>
      </w:rPr>
      <w:tblPr/>
      <w:tcPr>
        <w:shd w:val="clear" w:color="auto" w:fill="002C47"/>
      </w:tcPr>
    </w:tblStylePr>
    <w:tblStylePr w:type="lastRow">
      <w:pPr>
        <w:spacing w:before="0" w:after="0" w:line="240" w:lineRule="auto"/>
      </w:pPr>
      <w:rPr>
        <w:b/>
        <w:bCs/>
      </w:rPr>
      <w:tblPr/>
      <w:tcPr>
        <w:tcBorders>
          <w:top w:val="single" w:sz="8" w:space="0" w:color="2C384A" w:themeColor="accent1"/>
          <w:left w:val="nil"/>
          <w:bottom w:val="single" w:sz="8" w:space="0" w:color="2C384A" w:themeColor="accent1"/>
          <w:right w:val="nil"/>
          <w:insideH w:val="nil"/>
          <w:insideV w:val="nil"/>
        </w:tcBorders>
      </w:tcPr>
    </w:tblStylePr>
    <w:tblStylePr w:type="firstCol">
      <w:rPr>
        <w:b/>
        <w:bCs/>
      </w:r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CommentSubject">
    <w:name w:val="annotation subject"/>
    <w:basedOn w:val="CommentText"/>
    <w:next w:val="CommentText"/>
    <w:link w:val="CommentSubjectChar"/>
    <w:uiPriority w:val="99"/>
    <w:semiHidden/>
    <w:unhideWhenUsed/>
    <w:rsid w:val="002C628B"/>
    <w:rPr>
      <w:b/>
      <w:bCs/>
    </w:rPr>
  </w:style>
  <w:style w:type="character" w:customStyle="1" w:styleId="CommentSubjectChar">
    <w:name w:val="Comment Subject Char"/>
    <w:basedOn w:val="CommentTextChar"/>
    <w:link w:val="CommentSubject"/>
    <w:uiPriority w:val="99"/>
    <w:semiHidden/>
    <w:rsid w:val="002C628B"/>
    <w:rPr>
      <w:rFonts w:ascii="Calibri" w:eastAsia="Times New Roman" w:hAnsi="Calibri" w:cs="Times New Roman"/>
      <w:b/>
      <w:bCs/>
      <w:sz w:val="20"/>
      <w:szCs w:val="20"/>
      <w:lang w:eastAsia="en-AU"/>
    </w:rPr>
  </w:style>
  <w:style w:type="character" w:styleId="UnresolvedMention">
    <w:name w:val="Unresolved Mention"/>
    <w:basedOn w:val="DefaultParagraphFont"/>
    <w:uiPriority w:val="99"/>
    <w:semiHidden/>
    <w:unhideWhenUsed/>
    <w:rsid w:val="002C628B"/>
    <w:rPr>
      <w:color w:val="605E5C"/>
      <w:shd w:val="clear" w:color="auto" w:fill="E1DFDD"/>
    </w:rPr>
  </w:style>
  <w:style w:type="table" w:customStyle="1" w:styleId="ListTable4-Accent11">
    <w:name w:val="List Table 4 - Accent 11"/>
    <w:basedOn w:val="TableNormal"/>
    <w:next w:val="ListTable4-Accent1"/>
    <w:uiPriority w:val="49"/>
    <w:rsid w:val="002C628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1">
    <w:name w:val="List Table 4 Accent 1"/>
    <w:basedOn w:val="TableNormal"/>
    <w:uiPriority w:val="49"/>
    <w:rsid w:val="002C628B"/>
    <w:pPr>
      <w:spacing w:after="0" w:line="240" w:lineRule="auto"/>
    </w:p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tcBorders>
        <w:shd w:val="clear" w:color="auto" w:fill="2C384A" w:themeFill="accent1"/>
      </w:tcPr>
    </w:tblStylePr>
    <w:tblStylePr w:type="lastRow">
      <w:rPr>
        <w:b/>
        <w:bCs/>
      </w:rPr>
      <w:tblPr/>
      <w:tcPr>
        <w:tcBorders>
          <w:top w:val="double" w:sz="4" w:space="0" w:color="6B83A7" w:themeColor="accent1" w:themeTint="99"/>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character" w:styleId="FollowedHyperlink">
    <w:name w:val="FollowedHyperlink"/>
    <w:basedOn w:val="DefaultParagraphFont"/>
    <w:uiPriority w:val="99"/>
    <w:semiHidden/>
    <w:unhideWhenUsed/>
    <w:rsid w:val="002C628B"/>
    <w:rPr>
      <w:color w:val="844D9E" w:themeColor="followedHyperlink"/>
      <w:u w:val="single"/>
    </w:rPr>
  </w:style>
  <w:style w:type="paragraph" w:styleId="Revision">
    <w:name w:val="Revision"/>
    <w:hidden/>
    <w:uiPriority w:val="99"/>
    <w:semiHidden/>
    <w:rsid w:val="004C09B5"/>
    <w:pPr>
      <w:spacing w:after="0" w:line="240" w:lineRule="auto"/>
    </w:pPr>
    <w:rPr>
      <w:rFonts w:ascii="Calibri Light" w:eastAsia="Times New Roman" w:hAnsi="Calibri Light" w:cs="Times New Roman"/>
      <w:szCs w:val="20"/>
      <w:lang w:eastAsia="en-AU"/>
    </w:rPr>
  </w:style>
  <w:style w:type="table" w:styleId="GridTable4-Accent1">
    <w:name w:val="Grid Table 4 Accent 1"/>
    <w:basedOn w:val="TableNormal"/>
    <w:uiPriority w:val="49"/>
    <w:rsid w:val="00023B11"/>
    <w:pPr>
      <w:spacing w:after="0" w:line="240" w:lineRule="auto"/>
    </w:p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color w:val="FFFFFF" w:themeColor="background1"/>
      </w:rPr>
      <w:tblPr/>
      <w:tcPr>
        <w:tcBorders>
          <w:top w:val="single" w:sz="4" w:space="0" w:color="2C384A" w:themeColor="accent1"/>
          <w:left w:val="single" w:sz="4" w:space="0" w:color="2C384A" w:themeColor="accent1"/>
          <w:bottom w:val="single" w:sz="4" w:space="0" w:color="2C384A" w:themeColor="accent1"/>
          <w:right w:val="single" w:sz="4" w:space="0" w:color="2C384A" w:themeColor="accent1"/>
          <w:insideH w:val="nil"/>
          <w:insideV w:val="nil"/>
        </w:tcBorders>
        <w:shd w:val="clear" w:color="auto" w:fill="2C384A" w:themeFill="accent1"/>
      </w:tcPr>
    </w:tblStylePr>
    <w:tblStylePr w:type="lastRow">
      <w:rPr>
        <w:b/>
        <w:bCs/>
      </w:rPr>
      <w:tblPr/>
      <w:tcPr>
        <w:tcBorders>
          <w:top w:val="double" w:sz="4" w:space="0" w:color="2C384A" w:themeColor="accent1"/>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paragraph" w:styleId="NormalWeb">
    <w:name w:val="Normal (Web)"/>
    <w:basedOn w:val="Normal"/>
    <w:uiPriority w:val="99"/>
    <w:semiHidden/>
    <w:unhideWhenUsed/>
    <w:rsid w:val="00153E3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64549288">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22085453">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391267370">
      <w:bodyDiv w:val="1"/>
      <w:marLeft w:val="0"/>
      <w:marRight w:val="0"/>
      <w:marTop w:val="0"/>
      <w:marBottom w:val="0"/>
      <w:divBdr>
        <w:top w:val="none" w:sz="0" w:space="0" w:color="auto"/>
        <w:left w:val="none" w:sz="0" w:space="0" w:color="auto"/>
        <w:bottom w:val="none" w:sz="0" w:space="0" w:color="auto"/>
        <w:right w:val="none" w:sz="0" w:space="0" w:color="auto"/>
      </w:divBdr>
    </w:div>
    <w:div w:id="1452434627">
      <w:bodyDiv w:val="1"/>
      <w:marLeft w:val="0"/>
      <w:marRight w:val="0"/>
      <w:marTop w:val="0"/>
      <w:marBottom w:val="0"/>
      <w:divBdr>
        <w:top w:val="none" w:sz="0" w:space="0" w:color="auto"/>
        <w:left w:val="none" w:sz="0" w:space="0" w:color="auto"/>
        <w:bottom w:val="none" w:sz="0" w:space="0" w:color="auto"/>
        <w:right w:val="none" w:sz="0" w:space="0" w:color="auto"/>
      </w:divBdr>
    </w:div>
    <w:div w:id="1672751688">
      <w:bodyDiv w:val="1"/>
      <w:marLeft w:val="0"/>
      <w:marRight w:val="0"/>
      <w:marTop w:val="0"/>
      <w:marBottom w:val="0"/>
      <w:divBdr>
        <w:top w:val="none" w:sz="0" w:space="0" w:color="auto"/>
        <w:left w:val="none" w:sz="0" w:space="0" w:color="auto"/>
        <w:bottom w:val="none" w:sz="0" w:space="0" w:color="auto"/>
        <w:right w:val="none" w:sz="0" w:space="0" w:color="auto"/>
      </w:divBdr>
    </w:div>
    <w:div w:id="194072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legalcode" TargetMode="Externa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header" Target="header1.xml"/><Relationship Id="rId25" Type="http://schemas.openxmlformats.org/officeDocument/2006/relationships/hyperlink" Target="https://www.ato.gov.au/Rates/General-interest-charge-(GIC)-rates/"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pmc.gov.au/government/commonwealth-coat-arms" TargetMode="External"/><Relationship Id="rId20" Type="http://schemas.openxmlformats.org/officeDocument/2006/relationships/footer" Target="footer2.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inance.gov.au/publications/resource-management-guides/supplier-pay-time-or-pay-interest-policy-rmg-417"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creativecommons.org/licenses/by/3.0/au/deed.en" TargetMode="External"/><Relationship Id="rId23" Type="http://schemas.openxmlformats.org/officeDocument/2006/relationships/hyperlink" Target="mailto:media@treasury.gov.au"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footer" Target="footer3.xml"/><Relationship Id="rId27" Type="http://schemas.openxmlformats.org/officeDocument/2006/relationships/image" Target="media/image4.png"/><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A4%20Report.dotm"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C432570-1254-49F7-A633-126EEC666A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02C316BC9CF0E419CA71038F431FBA1" ma:contentTypeVersion="" ma:contentTypeDescription="PDMS Document Site Content Type" ma:contentTypeScope="" ma:versionID="bc51a8ec225fdb9dc399c2bde0cc35d3">
  <xsd:schema xmlns:xsd="http://www.w3.org/2001/XMLSchema" xmlns:xs="http://www.w3.org/2001/XMLSchema" xmlns:p="http://schemas.microsoft.com/office/2006/metadata/properties" xmlns:ns2="4C432570-1254-49F7-A633-126EEC666AA3" targetNamespace="http://schemas.microsoft.com/office/2006/metadata/properties" ma:root="true" ma:fieldsID="1c8bb070e7951ae55d66838be19aec13" ns2:_="">
    <xsd:import namespace="4C432570-1254-49F7-A633-126EEC666AA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32570-1254-49F7-A633-126EEC666AA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426AA-1777-4D1F-9601-EF5EED5604B1}">
  <ds:schemaRef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4C432570-1254-49F7-A633-126EEC666AA3"/>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1EB77673-1877-4D81-BD7B-E8C6BE567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432570-1254-49F7-A633-126EEC666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4.xml><?xml version="1.0" encoding="utf-8"?>
<ds:datastoreItem xmlns:ds="http://schemas.openxmlformats.org/officeDocument/2006/customXml" ds:itemID="{28C154B9-151C-4E97-B464-BAE9A92886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TSY A4 Report.dotm</Template>
  <TotalTime>179</TotalTime>
  <Pages>13</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Australian Government Pay On-Time Survey 2021-22</vt:lpstr>
    </vt:vector>
  </TitlesOfParts>
  <Company/>
  <LinksUpToDate>false</LinksUpToDate>
  <CharactersWithSpaces>17395</CharactersWithSpaces>
  <SharedDoc>false</SharedDoc>
  <HLinks>
    <vt:vector size="90" baseType="variant">
      <vt:variant>
        <vt:i4>1507337</vt:i4>
      </vt:variant>
      <vt:variant>
        <vt:i4>69</vt:i4>
      </vt:variant>
      <vt:variant>
        <vt:i4>0</vt:i4>
      </vt:variant>
      <vt:variant>
        <vt:i4>5</vt:i4>
      </vt:variant>
      <vt:variant>
        <vt:lpwstr>https://www.ato.gov.au/Rates/General-interest-charge-(GIC)-rates/</vt:lpwstr>
      </vt:variant>
      <vt:variant>
        <vt:lpwstr/>
      </vt:variant>
      <vt:variant>
        <vt:i4>7209011</vt:i4>
      </vt:variant>
      <vt:variant>
        <vt:i4>66</vt:i4>
      </vt:variant>
      <vt:variant>
        <vt:i4>0</vt:i4>
      </vt:variant>
      <vt:variant>
        <vt:i4>5</vt:i4>
      </vt:variant>
      <vt:variant>
        <vt:lpwstr>https://www.finance.gov.au/publications/resource-management-guides/supplier-pay-time-or-pay-interest-policy-rmg-417</vt:lpwstr>
      </vt:variant>
      <vt:variant>
        <vt:lpwstr/>
      </vt:variant>
      <vt:variant>
        <vt:i4>1966131</vt:i4>
      </vt:variant>
      <vt:variant>
        <vt:i4>59</vt:i4>
      </vt:variant>
      <vt:variant>
        <vt:i4>0</vt:i4>
      </vt:variant>
      <vt:variant>
        <vt:i4>5</vt:i4>
      </vt:variant>
      <vt:variant>
        <vt:lpwstr/>
      </vt:variant>
      <vt:variant>
        <vt:lpwstr>_Toc126932702</vt:lpwstr>
      </vt:variant>
      <vt:variant>
        <vt:i4>1507378</vt:i4>
      </vt:variant>
      <vt:variant>
        <vt:i4>53</vt:i4>
      </vt:variant>
      <vt:variant>
        <vt:i4>0</vt:i4>
      </vt:variant>
      <vt:variant>
        <vt:i4>5</vt:i4>
      </vt:variant>
      <vt:variant>
        <vt:lpwstr/>
      </vt:variant>
      <vt:variant>
        <vt:lpwstr>_Toc126932699</vt:lpwstr>
      </vt:variant>
      <vt:variant>
        <vt:i4>1507378</vt:i4>
      </vt:variant>
      <vt:variant>
        <vt:i4>47</vt:i4>
      </vt:variant>
      <vt:variant>
        <vt:i4>0</vt:i4>
      </vt:variant>
      <vt:variant>
        <vt:i4>5</vt:i4>
      </vt:variant>
      <vt:variant>
        <vt:lpwstr/>
      </vt:variant>
      <vt:variant>
        <vt:lpwstr>_Toc126932697</vt:lpwstr>
      </vt:variant>
      <vt:variant>
        <vt:i4>1507378</vt:i4>
      </vt:variant>
      <vt:variant>
        <vt:i4>41</vt:i4>
      </vt:variant>
      <vt:variant>
        <vt:i4>0</vt:i4>
      </vt:variant>
      <vt:variant>
        <vt:i4>5</vt:i4>
      </vt:variant>
      <vt:variant>
        <vt:lpwstr/>
      </vt:variant>
      <vt:variant>
        <vt:lpwstr>_Toc126932695</vt:lpwstr>
      </vt:variant>
      <vt:variant>
        <vt:i4>1507378</vt:i4>
      </vt:variant>
      <vt:variant>
        <vt:i4>35</vt:i4>
      </vt:variant>
      <vt:variant>
        <vt:i4>0</vt:i4>
      </vt:variant>
      <vt:variant>
        <vt:i4>5</vt:i4>
      </vt:variant>
      <vt:variant>
        <vt:lpwstr/>
      </vt:variant>
      <vt:variant>
        <vt:lpwstr>_Toc126932692</vt:lpwstr>
      </vt:variant>
      <vt:variant>
        <vt:i4>1507378</vt:i4>
      </vt:variant>
      <vt:variant>
        <vt:i4>29</vt:i4>
      </vt:variant>
      <vt:variant>
        <vt:i4>0</vt:i4>
      </vt:variant>
      <vt:variant>
        <vt:i4>5</vt:i4>
      </vt:variant>
      <vt:variant>
        <vt:lpwstr/>
      </vt:variant>
      <vt:variant>
        <vt:lpwstr>_Toc126932691</vt:lpwstr>
      </vt:variant>
      <vt:variant>
        <vt:i4>1507378</vt:i4>
      </vt:variant>
      <vt:variant>
        <vt:i4>23</vt:i4>
      </vt:variant>
      <vt:variant>
        <vt:i4>0</vt:i4>
      </vt:variant>
      <vt:variant>
        <vt:i4>5</vt:i4>
      </vt:variant>
      <vt:variant>
        <vt:lpwstr/>
      </vt:variant>
      <vt:variant>
        <vt:lpwstr>_Toc126932690</vt:lpwstr>
      </vt:variant>
      <vt:variant>
        <vt:i4>1441842</vt:i4>
      </vt:variant>
      <vt:variant>
        <vt:i4>17</vt:i4>
      </vt:variant>
      <vt:variant>
        <vt:i4>0</vt:i4>
      </vt:variant>
      <vt:variant>
        <vt:i4>5</vt:i4>
      </vt:variant>
      <vt:variant>
        <vt:lpwstr/>
      </vt:variant>
      <vt:variant>
        <vt:lpwstr>_Toc126932688</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Pay On-Time Survey 2021-22</dc:title>
  <dc:subject>Performance Report</dc:subject>
  <dc:creator>The Treasury</dc:creator>
  <cp:keywords/>
  <cp:lastModifiedBy>Carrigy, Siobhan</cp:lastModifiedBy>
  <cp:revision>4</cp:revision>
  <cp:lastPrinted>2023-03-31T01:47:00Z</cp:lastPrinted>
  <dcterms:created xsi:type="dcterms:W3CDTF">2023-03-31T01:47:00Z</dcterms:created>
  <dcterms:modified xsi:type="dcterms:W3CDTF">2023-03-31T04:45:00Z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
  </property>
  <property fmtid="{D5CDD505-2E9C-101B-9397-08002B2CF9AE}" pid="3" name="DLMSecurityClassification">
    <vt:lpwstr/>
  </property>
  <property fmtid="{D5CDD505-2E9C-101B-9397-08002B2CF9AE}" pid="4" name="ContentTypeId">
    <vt:lpwstr>0x010100266966F133664895A6EE3632470D45F500302C316BC9CF0E419CA71038F431FBA1</vt:lpwstr>
  </property>
  <property fmtid="{D5CDD505-2E9C-101B-9397-08002B2CF9AE}" pid="5" name="eTheme">
    <vt:lpwstr>1;#Small Business|e2fd7e3f-7fa9-4ef9-99b7-00b2449db72e</vt:lpwstr>
  </property>
  <property fmtid="{D5CDD505-2E9C-101B-9397-08002B2CF9AE}" pid="6" name="_dlc_DocIdItemGuid">
    <vt:lpwstr>d65ced48-ed21-4389-817c-aaee3a9a071c</vt:lpwstr>
  </property>
  <property fmtid="{D5CDD505-2E9C-101B-9397-08002B2CF9AE}" pid="7" name="TSYStatus">
    <vt:lpwstr/>
  </property>
  <property fmtid="{D5CDD505-2E9C-101B-9397-08002B2CF9AE}" pid="8" name="eDocumentType">
    <vt:lpwstr>143;#report|ef8d7be4-3ad0-4744-b1c2-81cb0831b31c</vt:lpwstr>
  </property>
  <property fmtid="{D5CDD505-2E9C-101B-9397-08002B2CF9AE}" pid="9" name="eTopic">
    <vt:lpwstr>31;#Pay on Time Survey|773c7142-f1b2-400c-8932-87dca0edd4d3</vt:lpwstr>
  </property>
  <property fmtid="{D5CDD505-2E9C-101B-9397-08002B2CF9AE}" pid="10" name="eActivity">
    <vt:lpwstr>159;#Survey|a4bb78fb-b94b-4354-bc06-f87cdee2d2e5</vt:lpwstr>
  </property>
</Properties>
</file>