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B0BF" w14:textId="1B81F7AF" w:rsidR="00FA06CA" w:rsidRPr="005F1388" w:rsidRDefault="00FA06CA" w:rsidP="00FA06CA">
      <w:pPr>
        <w:rPr>
          <w:sz w:val="28"/>
        </w:rPr>
      </w:pPr>
      <w:r>
        <w:rPr>
          <w:noProof/>
          <w:lang w:eastAsia="en-AU"/>
        </w:rPr>
        <w:drawing>
          <wp:inline distT="0" distB="0" distL="0" distR="0" wp14:anchorId="47F9A444" wp14:editId="4F1F9FE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15F9E" w:rsidRPr="00290521" w14:paraId="333C3757" w14:textId="77777777" w:rsidTr="00315F9E">
        <w:trPr>
          <w:trHeight w:val="629"/>
        </w:trPr>
        <w:tc>
          <w:tcPr>
            <w:tcW w:w="5000" w:type="pct"/>
            <w:shd w:val="clear" w:color="auto" w:fill="auto"/>
          </w:tcPr>
          <w:p w14:paraId="7CB12743" w14:textId="77777777" w:rsidR="00315F9E" w:rsidRPr="00290521" w:rsidRDefault="00315F9E" w:rsidP="00256789">
            <w:pPr>
              <w:jc w:val="center"/>
              <w:rPr>
                <w:b/>
                <w:sz w:val="20"/>
              </w:rPr>
            </w:pPr>
            <w:r w:rsidRPr="00290521">
              <w:rPr>
                <w:b/>
                <w:sz w:val="26"/>
              </w:rPr>
              <w:t>EXPOSURE DRAFT</w:t>
            </w:r>
          </w:p>
        </w:tc>
      </w:tr>
    </w:tbl>
    <w:p w14:paraId="43117F1B" w14:textId="77777777" w:rsidR="00FA06CA" w:rsidRDefault="00FA06CA" w:rsidP="00FA06CA">
      <w:pPr>
        <w:rPr>
          <w:sz w:val="19"/>
        </w:rPr>
      </w:pPr>
    </w:p>
    <w:p w14:paraId="71AC5E78" w14:textId="77777777" w:rsidR="00315F9E" w:rsidRPr="00E500D4" w:rsidRDefault="00315F9E" w:rsidP="00FA06CA">
      <w:pPr>
        <w:rPr>
          <w:sz w:val="19"/>
        </w:rPr>
      </w:pPr>
    </w:p>
    <w:p w14:paraId="7D73F3D7" w14:textId="77777777" w:rsidR="00603CBA" w:rsidRPr="00E500D4" w:rsidRDefault="00603CBA" w:rsidP="00603CBA">
      <w:pPr>
        <w:pStyle w:val="ShortT"/>
      </w:pPr>
      <w:r>
        <w:t>Insurance Acquisitions and Takeovers (Public Interest) Determination 2023</w:t>
      </w:r>
    </w:p>
    <w:p w14:paraId="423F9EE9" w14:textId="77777777" w:rsidR="00603CBA" w:rsidRPr="00BC5754" w:rsidRDefault="00603CBA" w:rsidP="00603CBA">
      <w:pPr>
        <w:pStyle w:val="SignCoverPageStart"/>
        <w:spacing w:before="240"/>
        <w:rPr>
          <w:szCs w:val="22"/>
        </w:rPr>
      </w:pPr>
      <w:r>
        <w:t>I, Stephen Jones, Assistant Treasurer and Minister for Financial Services, make the following decision.</w:t>
      </w:r>
    </w:p>
    <w:p w14:paraId="759314F0" w14:textId="3F598650"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603CBA">
        <w:rPr>
          <w:szCs w:val="22"/>
        </w:rPr>
        <w:t>2023</w:t>
      </w:r>
    </w:p>
    <w:p w14:paraId="15C74FEF" w14:textId="1FF94331" w:rsidR="00603CBA" w:rsidRDefault="00603CBA" w:rsidP="00603CBA">
      <w:pPr>
        <w:keepNext/>
        <w:tabs>
          <w:tab w:val="left" w:pos="3402"/>
        </w:tabs>
        <w:spacing w:line="300" w:lineRule="atLeast"/>
        <w:ind w:right="397"/>
        <w:rPr>
          <w:szCs w:val="22"/>
        </w:rPr>
      </w:pPr>
    </w:p>
    <w:p w14:paraId="38936486" w14:textId="09844B97" w:rsidR="00603CBA" w:rsidRDefault="00603CBA" w:rsidP="00603CBA">
      <w:pPr>
        <w:keepNext/>
        <w:tabs>
          <w:tab w:val="left" w:pos="3402"/>
        </w:tabs>
        <w:spacing w:line="300" w:lineRule="atLeast"/>
        <w:ind w:right="397"/>
        <w:rPr>
          <w:szCs w:val="22"/>
        </w:rPr>
      </w:pPr>
    </w:p>
    <w:p w14:paraId="33548A57" w14:textId="4D4C0512" w:rsidR="00603CBA" w:rsidRDefault="00603CBA" w:rsidP="00603CBA">
      <w:pPr>
        <w:keepNext/>
        <w:tabs>
          <w:tab w:val="left" w:pos="3402"/>
        </w:tabs>
        <w:spacing w:line="300" w:lineRule="atLeast"/>
        <w:ind w:right="397"/>
        <w:rPr>
          <w:szCs w:val="22"/>
        </w:rPr>
      </w:pPr>
    </w:p>
    <w:p w14:paraId="786B58BB" w14:textId="4937EBEE" w:rsidR="00603CBA" w:rsidRDefault="00603CBA" w:rsidP="00603CBA">
      <w:pPr>
        <w:keepNext/>
        <w:tabs>
          <w:tab w:val="left" w:pos="3402"/>
        </w:tabs>
        <w:spacing w:line="300" w:lineRule="atLeast"/>
        <w:ind w:right="397"/>
        <w:rPr>
          <w:szCs w:val="22"/>
        </w:rPr>
      </w:pPr>
    </w:p>
    <w:p w14:paraId="0162D5D1" w14:textId="47B169EC" w:rsidR="00603CBA" w:rsidRDefault="00603CBA" w:rsidP="00603CBA">
      <w:pPr>
        <w:keepNext/>
        <w:tabs>
          <w:tab w:val="left" w:pos="3402"/>
        </w:tabs>
        <w:spacing w:line="300" w:lineRule="atLeast"/>
        <w:ind w:right="397"/>
        <w:rPr>
          <w:szCs w:val="22"/>
        </w:rPr>
      </w:pPr>
    </w:p>
    <w:p w14:paraId="7C396902" w14:textId="77777777" w:rsidR="00603CBA" w:rsidRDefault="00603CBA" w:rsidP="00603CBA">
      <w:pPr>
        <w:keepNext/>
        <w:tabs>
          <w:tab w:val="left" w:pos="3402"/>
        </w:tabs>
        <w:spacing w:line="300" w:lineRule="atLeast"/>
        <w:ind w:right="397"/>
        <w:rPr>
          <w:szCs w:val="22"/>
        </w:rPr>
      </w:pPr>
    </w:p>
    <w:p w14:paraId="600EEBE9" w14:textId="77777777" w:rsidR="00603CBA" w:rsidRDefault="00603CBA" w:rsidP="00603CBA">
      <w:pPr>
        <w:keepNext/>
        <w:tabs>
          <w:tab w:val="left" w:pos="3402"/>
        </w:tabs>
        <w:spacing w:line="300" w:lineRule="atLeast"/>
        <w:ind w:right="397"/>
        <w:rPr>
          <w:szCs w:val="22"/>
        </w:rPr>
      </w:pPr>
    </w:p>
    <w:p w14:paraId="12189E65" w14:textId="1A523D86" w:rsidR="00603CBA" w:rsidRPr="0018557C" w:rsidRDefault="00603CBA" w:rsidP="00603CBA">
      <w:pPr>
        <w:keepNext/>
        <w:tabs>
          <w:tab w:val="left" w:pos="3402"/>
        </w:tabs>
        <w:spacing w:line="300" w:lineRule="atLeast"/>
        <w:ind w:right="397"/>
        <w:rPr>
          <w:szCs w:val="22"/>
        </w:rPr>
      </w:pPr>
      <w:r>
        <w:rPr>
          <w:szCs w:val="22"/>
        </w:rPr>
        <w:t>Stephen Jones</w:t>
      </w:r>
      <w:r w:rsidRPr="00BC5754">
        <w:t xml:space="preserve"> </w:t>
      </w:r>
      <w:r w:rsidRPr="00E426F7">
        <w:rPr>
          <w:b/>
          <w:szCs w:val="22"/>
          <w:highlight w:val="lightGray"/>
        </w:rPr>
        <w:t>[DRAFT ONLY—NOT FOR SIGNATURE]</w:t>
      </w:r>
    </w:p>
    <w:p w14:paraId="5581508C" w14:textId="77777777" w:rsidR="00603CBA" w:rsidRDefault="00603CBA" w:rsidP="00603CBA">
      <w:pPr>
        <w:keepNext/>
        <w:tabs>
          <w:tab w:val="left" w:pos="3402"/>
        </w:tabs>
        <w:spacing w:line="300" w:lineRule="atLeast"/>
        <w:ind w:right="397"/>
        <w:rPr>
          <w:szCs w:val="22"/>
        </w:rPr>
      </w:pPr>
      <w:r>
        <w:rPr>
          <w:szCs w:val="22"/>
        </w:rPr>
        <w:t>Assistant Treasurer</w:t>
      </w:r>
    </w:p>
    <w:p w14:paraId="5CFBEC1D" w14:textId="77777777" w:rsidR="00603CBA" w:rsidRDefault="00603CBA" w:rsidP="00603CBA">
      <w:pPr>
        <w:pStyle w:val="SignCoverPageEnd"/>
        <w:pBdr>
          <w:bottom w:val="single" w:sz="4" w:space="1" w:color="auto"/>
        </w:pBdr>
        <w:rPr>
          <w:szCs w:val="22"/>
        </w:rPr>
      </w:pPr>
      <w:r>
        <w:rPr>
          <w:szCs w:val="22"/>
        </w:rPr>
        <w:t>Minister for Financial Services</w:t>
      </w:r>
    </w:p>
    <w:p w14:paraId="479E0BE5" w14:textId="77777777" w:rsidR="00603CBA" w:rsidRPr="00BC5754" w:rsidRDefault="00603CBA" w:rsidP="00603CBA">
      <w:pPr>
        <w:rPr>
          <w:rStyle w:val="CharAmSchNo"/>
        </w:rPr>
      </w:pPr>
    </w:p>
    <w:p w14:paraId="0C6D3830" w14:textId="77777777" w:rsidR="00FA06CA" w:rsidRPr="00BC5754" w:rsidRDefault="00FA06CA" w:rsidP="00FA06CA">
      <w:pPr>
        <w:rPr>
          <w:rStyle w:val="CharAmSchNo"/>
        </w:rPr>
      </w:pPr>
    </w:p>
    <w:p w14:paraId="55114A5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35D3789"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7A282D07"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72545077" w14:textId="77777777" w:rsidR="00FA06CA" w:rsidRDefault="00FA06CA" w:rsidP="00FA06CA">
      <w:pPr>
        <w:sectPr w:rsidR="00FA06CA">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79FC6DD" w14:textId="0DE5C5CD" w:rsidR="00FA06CA" w:rsidRDefault="00FA06CA" w:rsidP="00FA06CA">
      <w:pPr>
        <w:outlineLvl w:val="0"/>
        <w:rPr>
          <w:sz w:val="36"/>
        </w:rPr>
      </w:pPr>
      <w:r w:rsidRPr="007A1328">
        <w:rPr>
          <w:sz w:val="36"/>
        </w:rPr>
        <w:lastRenderedPageBreak/>
        <w:t>Contents</w:t>
      </w:r>
    </w:p>
    <w:p w14:paraId="7078E152" w14:textId="7D90BACF" w:rsidR="00252117" w:rsidRDefault="00FA06C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252117">
        <w:rPr>
          <w:noProof/>
        </w:rPr>
        <w:t>Part 1—Preliminary</w:t>
      </w:r>
      <w:r w:rsidR="00252117">
        <w:rPr>
          <w:noProof/>
        </w:rPr>
        <w:tab/>
      </w:r>
      <w:r w:rsidR="00252117">
        <w:rPr>
          <w:noProof/>
        </w:rPr>
        <w:fldChar w:fldCharType="begin"/>
      </w:r>
      <w:r w:rsidR="00252117">
        <w:rPr>
          <w:noProof/>
        </w:rPr>
        <w:instrText xml:space="preserve"> PAGEREF _Toc131555643 \h </w:instrText>
      </w:r>
      <w:r w:rsidR="00252117">
        <w:rPr>
          <w:noProof/>
        </w:rPr>
      </w:r>
      <w:r w:rsidR="00252117">
        <w:rPr>
          <w:noProof/>
        </w:rPr>
        <w:fldChar w:fldCharType="separate"/>
      </w:r>
      <w:r w:rsidR="00DF57E6">
        <w:rPr>
          <w:noProof/>
        </w:rPr>
        <w:t>1</w:t>
      </w:r>
      <w:r w:rsidR="00252117">
        <w:rPr>
          <w:noProof/>
        </w:rPr>
        <w:fldChar w:fldCharType="end"/>
      </w:r>
    </w:p>
    <w:p w14:paraId="6868F5AE" w14:textId="3ACBDC13" w:rsidR="00252117" w:rsidRDefault="00252117">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_Toc131555644 \h </w:instrText>
      </w:r>
      <w:r>
        <w:rPr>
          <w:noProof/>
        </w:rPr>
      </w:r>
      <w:r>
        <w:rPr>
          <w:noProof/>
        </w:rPr>
        <w:fldChar w:fldCharType="separate"/>
      </w:r>
      <w:r w:rsidR="00DF57E6">
        <w:rPr>
          <w:noProof/>
        </w:rPr>
        <w:t>1</w:t>
      </w:r>
      <w:r>
        <w:rPr>
          <w:noProof/>
        </w:rPr>
        <w:fldChar w:fldCharType="end"/>
      </w:r>
    </w:p>
    <w:p w14:paraId="1DA60DD2" w14:textId="11A56924" w:rsidR="00252117" w:rsidRDefault="0025211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_Toc131555645 \h </w:instrText>
      </w:r>
      <w:r>
        <w:rPr>
          <w:noProof/>
        </w:rPr>
      </w:r>
      <w:r>
        <w:rPr>
          <w:noProof/>
        </w:rPr>
        <w:fldChar w:fldCharType="separate"/>
      </w:r>
      <w:r w:rsidR="00DF57E6">
        <w:rPr>
          <w:noProof/>
        </w:rPr>
        <w:t>1</w:t>
      </w:r>
      <w:r>
        <w:rPr>
          <w:noProof/>
        </w:rPr>
        <w:fldChar w:fldCharType="end"/>
      </w:r>
    </w:p>
    <w:p w14:paraId="066D0390" w14:textId="72558EFC" w:rsidR="00252117" w:rsidRDefault="0025211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_Toc131555646 \h </w:instrText>
      </w:r>
      <w:r>
        <w:rPr>
          <w:noProof/>
        </w:rPr>
      </w:r>
      <w:r>
        <w:rPr>
          <w:noProof/>
        </w:rPr>
        <w:fldChar w:fldCharType="separate"/>
      </w:r>
      <w:r w:rsidR="00DF57E6">
        <w:rPr>
          <w:noProof/>
        </w:rPr>
        <w:t>1</w:t>
      </w:r>
      <w:r>
        <w:rPr>
          <w:noProof/>
        </w:rPr>
        <w:fldChar w:fldCharType="end"/>
      </w:r>
    </w:p>
    <w:p w14:paraId="1F2E6FB9" w14:textId="66750DBC" w:rsidR="00252117" w:rsidRDefault="0025211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_Toc131555647 \h </w:instrText>
      </w:r>
      <w:r>
        <w:rPr>
          <w:noProof/>
        </w:rPr>
      </w:r>
      <w:r>
        <w:rPr>
          <w:noProof/>
        </w:rPr>
        <w:fldChar w:fldCharType="separate"/>
      </w:r>
      <w:r w:rsidR="00DF57E6">
        <w:rPr>
          <w:noProof/>
        </w:rPr>
        <w:t>1</w:t>
      </w:r>
      <w:r>
        <w:rPr>
          <w:noProof/>
        </w:rPr>
        <w:fldChar w:fldCharType="end"/>
      </w:r>
    </w:p>
    <w:p w14:paraId="5380DFD3" w14:textId="2131FE4F" w:rsidR="00252117" w:rsidRDefault="00252117">
      <w:pPr>
        <w:pStyle w:val="TOC2"/>
        <w:rPr>
          <w:rFonts w:asciiTheme="minorHAnsi" w:eastAsiaTheme="minorEastAsia" w:hAnsiTheme="minorHAnsi" w:cstheme="minorBidi"/>
          <w:b w:val="0"/>
          <w:noProof/>
          <w:kern w:val="0"/>
          <w:sz w:val="22"/>
          <w:szCs w:val="22"/>
        </w:rPr>
      </w:pPr>
      <w:r>
        <w:rPr>
          <w:noProof/>
        </w:rPr>
        <w:t>Part 2—Public interest matters</w:t>
      </w:r>
      <w:r>
        <w:rPr>
          <w:noProof/>
        </w:rPr>
        <w:tab/>
      </w:r>
      <w:r>
        <w:rPr>
          <w:noProof/>
        </w:rPr>
        <w:fldChar w:fldCharType="begin"/>
      </w:r>
      <w:r>
        <w:rPr>
          <w:noProof/>
        </w:rPr>
        <w:instrText xml:space="preserve"> PAGEREF _Toc131555648 \h </w:instrText>
      </w:r>
      <w:r>
        <w:rPr>
          <w:noProof/>
        </w:rPr>
      </w:r>
      <w:r>
        <w:rPr>
          <w:noProof/>
        </w:rPr>
        <w:fldChar w:fldCharType="separate"/>
      </w:r>
      <w:r w:rsidR="00DF57E6">
        <w:rPr>
          <w:noProof/>
        </w:rPr>
        <w:t>2</w:t>
      </w:r>
      <w:r>
        <w:rPr>
          <w:noProof/>
        </w:rPr>
        <w:fldChar w:fldCharType="end"/>
      </w:r>
    </w:p>
    <w:p w14:paraId="121796C5" w14:textId="15006056" w:rsidR="00252117" w:rsidRDefault="00252117">
      <w:pPr>
        <w:pStyle w:val="TOC5"/>
        <w:rPr>
          <w:rFonts w:asciiTheme="minorHAnsi" w:eastAsiaTheme="minorEastAsia" w:hAnsiTheme="minorHAnsi" w:cstheme="minorBidi"/>
          <w:noProof/>
          <w:kern w:val="0"/>
          <w:sz w:val="22"/>
          <w:szCs w:val="22"/>
        </w:rPr>
      </w:pPr>
      <w:r>
        <w:rPr>
          <w:noProof/>
        </w:rPr>
        <w:t>5  Fit and proper person</w:t>
      </w:r>
      <w:r>
        <w:rPr>
          <w:noProof/>
        </w:rPr>
        <w:tab/>
      </w:r>
      <w:r>
        <w:rPr>
          <w:noProof/>
        </w:rPr>
        <w:fldChar w:fldCharType="begin"/>
      </w:r>
      <w:r>
        <w:rPr>
          <w:noProof/>
        </w:rPr>
        <w:instrText xml:space="preserve"> PAGEREF _Toc131555649 \h </w:instrText>
      </w:r>
      <w:r>
        <w:rPr>
          <w:noProof/>
        </w:rPr>
      </w:r>
      <w:r>
        <w:rPr>
          <w:noProof/>
        </w:rPr>
        <w:fldChar w:fldCharType="separate"/>
      </w:r>
      <w:r w:rsidR="00DF57E6">
        <w:rPr>
          <w:noProof/>
        </w:rPr>
        <w:t>2</w:t>
      </w:r>
      <w:r>
        <w:rPr>
          <w:noProof/>
        </w:rPr>
        <w:fldChar w:fldCharType="end"/>
      </w:r>
    </w:p>
    <w:p w14:paraId="2DFFB35F" w14:textId="27BD3629" w:rsidR="00252117" w:rsidRDefault="00252117">
      <w:pPr>
        <w:pStyle w:val="TOC5"/>
        <w:rPr>
          <w:rFonts w:asciiTheme="minorHAnsi" w:eastAsiaTheme="minorEastAsia" w:hAnsiTheme="minorHAnsi" w:cstheme="minorBidi"/>
          <w:noProof/>
          <w:kern w:val="0"/>
          <w:sz w:val="22"/>
          <w:szCs w:val="22"/>
        </w:rPr>
      </w:pPr>
      <w:r>
        <w:rPr>
          <w:noProof/>
        </w:rPr>
        <w:t>6  Position of influence over a company</w:t>
      </w:r>
      <w:r>
        <w:rPr>
          <w:noProof/>
        </w:rPr>
        <w:tab/>
      </w:r>
      <w:r>
        <w:rPr>
          <w:noProof/>
        </w:rPr>
        <w:fldChar w:fldCharType="begin"/>
      </w:r>
      <w:r>
        <w:rPr>
          <w:noProof/>
        </w:rPr>
        <w:instrText xml:space="preserve"> PAGEREF _Toc131555650 \h </w:instrText>
      </w:r>
      <w:r>
        <w:rPr>
          <w:noProof/>
        </w:rPr>
      </w:r>
      <w:r>
        <w:rPr>
          <w:noProof/>
        </w:rPr>
        <w:fldChar w:fldCharType="separate"/>
      </w:r>
      <w:r w:rsidR="00DF57E6">
        <w:rPr>
          <w:noProof/>
        </w:rPr>
        <w:t>2</w:t>
      </w:r>
      <w:r>
        <w:rPr>
          <w:noProof/>
        </w:rPr>
        <w:fldChar w:fldCharType="end"/>
      </w:r>
    </w:p>
    <w:p w14:paraId="45911901" w14:textId="6C42C2BE" w:rsidR="00252117" w:rsidRDefault="00252117">
      <w:pPr>
        <w:pStyle w:val="TOC5"/>
        <w:rPr>
          <w:rFonts w:asciiTheme="minorHAnsi" w:eastAsiaTheme="minorEastAsia" w:hAnsiTheme="minorHAnsi" w:cstheme="minorBidi"/>
          <w:noProof/>
          <w:kern w:val="0"/>
          <w:sz w:val="22"/>
          <w:szCs w:val="22"/>
        </w:rPr>
      </w:pPr>
      <w:r>
        <w:rPr>
          <w:noProof/>
        </w:rPr>
        <w:t>7  Undue concentration of power</w:t>
      </w:r>
      <w:r>
        <w:rPr>
          <w:noProof/>
        </w:rPr>
        <w:tab/>
      </w:r>
      <w:r>
        <w:rPr>
          <w:noProof/>
        </w:rPr>
        <w:fldChar w:fldCharType="begin"/>
      </w:r>
      <w:r>
        <w:rPr>
          <w:noProof/>
        </w:rPr>
        <w:instrText xml:space="preserve"> PAGEREF _Toc131555651 \h </w:instrText>
      </w:r>
      <w:r>
        <w:rPr>
          <w:noProof/>
        </w:rPr>
      </w:r>
      <w:r>
        <w:rPr>
          <w:noProof/>
        </w:rPr>
        <w:fldChar w:fldCharType="separate"/>
      </w:r>
      <w:r w:rsidR="00DF57E6">
        <w:rPr>
          <w:noProof/>
        </w:rPr>
        <w:t>3</w:t>
      </w:r>
      <w:r>
        <w:rPr>
          <w:noProof/>
        </w:rPr>
        <w:fldChar w:fldCharType="end"/>
      </w:r>
    </w:p>
    <w:p w14:paraId="6A791EDE" w14:textId="23D8A269" w:rsidR="00252117" w:rsidRDefault="00252117">
      <w:pPr>
        <w:pStyle w:val="TOC5"/>
        <w:rPr>
          <w:rFonts w:asciiTheme="minorHAnsi" w:eastAsiaTheme="minorEastAsia" w:hAnsiTheme="minorHAnsi" w:cstheme="minorBidi"/>
          <w:noProof/>
          <w:kern w:val="0"/>
          <w:sz w:val="22"/>
          <w:szCs w:val="22"/>
        </w:rPr>
      </w:pPr>
      <w:r>
        <w:rPr>
          <w:noProof/>
        </w:rPr>
        <w:t>8  Contrary to the national interest</w:t>
      </w:r>
      <w:r>
        <w:rPr>
          <w:noProof/>
        </w:rPr>
        <w:tab/>
      </w:r>
      <w:r>
        <w:rPr>
          <w:noProof/>
        </w:rPr>
        <w:fldChar w:fldCharType="begin"/>
      </w:r>
      <w:r>
        <w:rPr>
          <w:noProof/>
        </w:rPr>
        <w:instrText xml:space="preserve"> PAGEREF _Toc131555652 \h </w:instrText>
      </w:r>
      <w:r>
        <w:rPr>
          <w:noProof/>
        </w:rPr>
      </w:r>
      <w:r>
        <w:rPr>
          <w:noProof/>
        </w:rPr>
        <w:fldChar w:fldCharType="separate"/>
      </w:r>
      <w:r w:rsidR="00DF57E6">
        <w:rPr>
          <w:noProof/>
        </w:rPr>
        <w:t>3</w:t>
      </w:r>
      <w:r>
        <w:rPr>
          <w:noProof/>
        </w:rPr>
        <w:fldChar w:fldCharType="end"/>
      </w:r>
    </w:p>
    <w:p w14:paraId="3AD9BAFA" w14:textId="43A20CE1" w:rsidR="00FA06CA" w:rsidRDefault="00FA06CA" w:rsidP="00FA06CA">
      <w:r>
        <w:fldChar w:fldCharType="end"/>
      </w:r>
    </w:p>
    <w:p w14:paraId="4DE6E056" w14:textId="77777777" w:rsidR="00FA06CA" w:rsidRDefault="00FA06CA" w:rsidP="00FA06CA">
      <w:pPr>
        <w:sectPr w:rsidR="00FA06CA">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D392314" w14:textId="77777777" w:rsidR="00FA06CA" w:rsidRDefault="00FA06CA" w:rsidP="00FA06CA">
      <w:pPr>
        <w:pStyle w:val="ActHead2"/>
      </w:pPr>
      <w:bookmarkStart w:id="16" w:name="_Toc131555643"/>
      <w:r>
        <w:lastRenderedPageBreak/>
        <w:t>Part 1—Preliminary</w:t>
      </w:r>
      <w:bookmarkEnd w:id="16"/>
    </w:p>
    <w:p w14:paraId="040375F5" w14:textId="77777777" w:rsidR="00FA06CA" w:rsidRDefault="00FA06CA" w:rsidP="00FA06CA">
      <w:pPr>
        <w:pStyle w:val="Header"/>
      </w:pPr>
      <w:r>
        <w:t xml:space="preserve">  </w:t>
      </w:r>
    </w:p>
    <w:p w14:paraId="13D0FA9E" w14:textId="77777777" w:rsidR="00FA06CA" w:rsidRDefault="00FA06CA" w:rsidP="00FA06CA">
      <w:pPr>
        <w:pStyle w:val="ActHead5"/>
      </w:pPr>
      <w:bookmarkStart w:id="17" w:name="_Toc131555644"/>
      <w:proofErr w:type="gramStart"/>
      <w:r w:rsidRPr="00C2746F">
        <w:rPr>
          <w:rStyle w:val="CharSectno"/>
        </w:rPr>
        <w:t>1</w:t>
      </w:r>
      <w:r>
        <w:t xml:space="preserve">  Name</w:t>
      </w:r>
      <w:bookmarkEnd w:id="17"/>
      <w:proofErr w:type="gramEnd"/>
    </w:p>
    <w:p w14:paraId="532B453B" w14:textId="4C9A5F0A" w:rsidR="00FA06CA" w:rsidRPr="009A038B" w:rsidRDefault="00FA06CA" w:rsidP="00FA06CA">
      <w:pPr>
        <w:pStyle w:val="subsection"/>
      </w:pPr>
      <w:r w:rsidRPr="009A038B">
        <w:tab/>
      </w:r>
      <w:r w:rsidRPr="009A038B">
        <w:tab/>
      </w:r>
      <w:r>
        <w:t xml:space="preserve">This </w:t>
      </w:r>
      <w:r w:rsidR="00603CBA">
        <w:t xml:space="preserve">instrument is the </w:t>
      </w:r>
      <w:r w:rsidR="00603CBA" w:rsidRPr="00507D3E">
        <w:rPr>
          <w:i/>
          <w:iCs/>
        </w:rPr>
        <w:t xml:space="preserve">Insurance Acquisitions and Takeovers </w:t>
      </w:r>
      <w:r w:rsidR="00603CBA">
        <w:rPr>
          <w:i/>
          <w:iCs/>
        </w:rPr>
        <w:t xml:space="preserve">(Public Interest) </w:t>
      </w:r>
      <w:r w:rsidR="00603CBA" w:rsidRPr="00507D3E">
        <w:rPr>
          <w:i/>
          <w:iCs/>
        </w:rPr>
        <w:t>Determination 2023</w:t>
      </w:r>
      <w:r w:rsidR="00603CBA" w:rsidRPr="009A038B">
        <w:t>.</w:t>
      </w:r>
    </w:p>
    <w:p w14:paraId="3E0BCD5D" w14:textId="77777777" w:rsidR="00FA06CA" w:rsidRDefault="00FA06CA" w:rsidP="00FA06CA">
      <w:pPr>
        <w:pStyle w:val="ActHead5"/>
      </w:pPr>
      <w:bookmarkStart w:id="18" w:name="_Toc131555645"/>
      <w:proofErr w:type="gramStart"/>
      <w:r w:rsidRPr="009A038B">
        <w:rPr>
          <w:rStyle w:val="CharSectno"/>
        </w:rPr>
        <w:t>2</w:t>
      </w:r>
      <w:r w:rsidRPr="009A038B">
        <w:t xml:space="preserve">  Commencement</w:t>
      </w:r>
      <w:bookmarkEnd w:id="18"/>
      <w:proofErr w:type="gramEnd"/>
    </w:p>
    <w:p w14:paraId="65D235F6" w14:textId="77777777" w:rsidR="00FA06CA" w:rsidRDefault="00FA06CA" w:rsidP="00FA06CA">
      <w:pPr>
        <w:pStyle w:val="subsection"/>
      </w:pPr>
      <w:r>
        <w:tab/>
        <w:t>(1)</w:t>
      </w:r>
      <w:r>
        <w:tab/>
        <w:t>Each provision of instrument specified in column 1 of the table commences, or is taken to have commenced, in accordance with column 2 of the table. Any other statement in column 2 has effect according to its terms.</w:t>
      </w:r>
    </w:p>
    <w:p w14:paraId="4C6CFBA7"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53D49675" w14:textId="77777777" w:rsidTr="00603CBA">
        <w:trPr>
          <w:cantSplit/>
          <w:tblHeader/>
        </w:trPr>
        <w:tc>
          <w:tcPr>
            <w:tcW w:w="8364" w:type="dxa"/>
            <w:gridSpan w:val="3"/>
            <w:tcBorders>
              <w:top w:val="single" w:sz="12" w:space="0" w:color="auto"/>
              <w:left w:val="nil"/>
              <w:bottom w:val="single" w:sz="6" w:space="0" w:color="auto"/>
              <w:right w:val="nil"/>
            </w:tcBorders>
            <w:hideMark/>
          </w:tcPr>
          <w:p w14:paraId="0BFF14FB" w14:textId="77777777" w:rsidR="00FA06CA" w:rsidRPr="00416235" w:rsidRDefault="00FA06CA">
            <w:pPr>
              <w:pStyle w:val="TableHeading"/>
            </w:pPr>
            <w:r w:rsidRPr="00416235">
              <w:t>Commencement information</w:t>
            </w:r>
          </w:p>
        </w:tc>
      </w:tr>
      <w:tr w:rsidR="00FA06CA" w:rsidRPr="00416235" w14:paraId="7965DC86" w14:textId="77777777" w:rsidTr="00603CBA">
        <w:trPr>
          <w:cantSplit/>
          <w:tblHeader/>
        </w:trPr>
        <w:tc>
          <w:tcPr>
            <w:tcW w:w="2127" w:type="dxa"/>
            <w:tcBorders>
              <w:top w:val="single" w:sz="6" w:space="0" w:color="auto"/>
              <w:left w:val="nil"/>
              <w:bottom w:val="single" w:sz="6" w:space="0" w:color="auto"/>
              <w:right w:val="nil"/>
            </w:tcBorders>
            <w:hideMark/>
          </w:tcPr>
          <w:p w14:paraId="1D9CE5F7"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272EF7F1"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4FEAAFC4" w14:textId="77777777" w:rsidR="00FA06CA" w:rsidRPr="00416235" w:rsidRDefault="00FA06CA">
            <w:pPr>
              <w:pStyle w:val="TableHeading"/>
            </w:pPr>
            <w:r w:rsidRPr="00416235">
              <w:t>Column 3</w:t>
            </w:r>
          </w:p>
        </w:tc>
      </w:tr>
      <w:tr w:rsidR="00FA06CA" w14:paraId="4F2E39A3" w14:textId="77777777" w:rsidTr="00603CBA">
        <w:trPr>
          <w:cantSplit/>
          <w:tblHeader/>
        </w:trPr>
        <w:tc>
          <w:tcPr>
            <w:tcW w:w="2127" w:type="dxa"/>
            <w:tcBorders>
              <w:top w:val="single" w:sz="6" w:space="0" w:color="auto"/>
              <w:left w:val="nil"/>
              <w:bottom w:val="single" w:sz="12" w:space="0" w:color="auto"/>
              <w:right w:val="nil"/>
            </w:tcBorders>
            <w:hideMark/>
          </w:tcPr>
          <w:p w14:paraId="53C9F737"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061DE09C"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433E7C2A" w14:textId="77777777" w:rsidR="00FA06CA" w:rsidRPr="00416235" w:rsidRDefault="00FA06CA">
            <w:pPr>
              <w:pStyle w:val="TableHeading"/>
            </w:pPr>
            <w:r w:rsidRPr="00416235">
              <w:t>Date/Details</w:t>
            </w:r>
          </w:p>
        </w:tc>
      </w:tr>
      <w:tr w:rsidR="00FA06CA" w14:paraId="560B5B2C" w14:textId="77777777" w:rsidTr="00603CBA">
        <w:trPr>
          <w:cantSplit/>
        </w:trPr>
        <w:tc>
          <w:tcPr>
            <w:tcW w:w="2127" w:type="dxa"/>
            <w:tcBorders>
              <w:top w:val="single" w:sz="12" w:space="0" w:color="auto"/>
              <w:left w:val="nil"/>
              <w:bottom w:val="single" w:sz="2" w:space="0" w:color="auto"/>
              <w:right w:val="nil"/>
            </w:tcBorders>
            <w:hideMark/>
          </w:tcPr>
          <w:p w14:paraId="3B660F03" w14:textId="632FC4F5" w:rsidR="00FA06CA" w:rsidRDefault="00FA06CA">
            <w:pPr>
              <w:pStyle w:val="Tabletext"/>
            </w:pPr>
            <w:r>
              <w:t xml:space="preserve">1.  </w:t>
            </w:r>
            <w:r w:rsidR="00603CBA">
              <w:t>The whole of this instrument</w:t>
            </w:r>
          </w:p>
        </w:tc>
        <w:tc>
          <w:tcPr>
            <w:tcW w:w="4394" w:type="dxa"/>
            <w:tcBorders>
              <w:top w:val="single" w:sz="12" w:space="0" w:color="auto"/>
              <w:left w:val="nil"/>
              <w:bottom w:val="single" w:sz="2" w:space="0" w:color="auto"/>
              <w:right w:val="nil"/>
            </w:tcBorders>
            <w:hideMark/>
          </w:tcPr>
          <w:p w14:paraId="555AB60A" w14:textId="145C8CFE" w:rsidR="00FA06CA" w:rsidRDefault="0093752B">
            <w:pPr>
              <w:pStyle w:val="Tabletext"/>
            </w:pPr>
            <w:r w:rsidRPr="00750D91">
              <w:t xml:space="preserve">At the same time as Schedule 1 to the </w:t>
            </w:r>
            <w:r w:rsidR="00750D91" w:rsidRPr="00750D91">
              <w:rPr>
                <w:i/>
                <w:iCs/>
              </w:rPr>
              <w:t xml:space="preserve">Treasury Laws Amendment (Measures for Consultation) </w:t>
            </w:r>
            <w:r w:rsidR="00750D91">
              <w:rPr>
                <w:i/>
                <w:iCs/>
              </w:rPr>
              <w:t>Act</w:t>
            </w:r>
            <w:r w:rsidR="00750D91" w:rsidRPr="00750D91">
              <w:rPr>
                <w:i/>
                <w:iCs/>
              </w:rPr>
              <w:t xml:space="preserve"> 2023</w:t>
            </w:r>
            <w:r w:rsidR="00750D91">
              <w:rPr>
                <w:i/>
                <w:iCs/>
              </w:rPr>
              <w:t xml:space="preserve"> </w:t>
            </w:r>
            <w:r w:rsidRPr="00750D91">
              <w:t>commences.</w:t>
            </w:r>
          </w:p>
        </w:tc>
        <w:tc>
          <w:tcPr>
            <w:tcW w:w="1843" w:type="dxa"/>
            <w:tcBorders>
              <w:top w:val="single" w:sz="12" w:space="0" w:color="auto"/>
              <w:left w:val="nil"/>
              <w:bottom w:val="single" w:sz="2" w:space="0" w:color="auto"/>
              <w:right w:val="nil"/>
            </w:tcBorders>
          </w:tcPr>
          <w:p w14:paraId="14067035" w14:textId="77777777" w:rsidR="00FA06CA" w:rsidRDefault="00FA06CA">
            <w:pPr>
              <w:pStyle w:val="Tabletext"/>
            </w:pPr>
          </w:p>
        </w:tc>
      </w:tr>
    </w:tbl>
    <w:p w14:paraId="73B10FF4"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6ABDFE4C"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5D190CA" w14:textId="77777777" w:rsidR="00FA06CA" w:rsidRDefault="00FA06CA" w:rsidP="00FA06CA">
      <w:pPr>
        <w:pStyle w:val="ActHead5"/>
      </w:pPr>
      <w:bookmarkStart w:id="19" w:name="_Toc131555646"/>
      <w:proofErr w:type="gramStart"/>
      <w:r w:rsidRPr="00C2746F">
        <w:rPr>
          <w:rStyle w:val="CharSectno"/>
        </w:rPr>
        <w:t>3</w:t>
      </w:r>
      <w:r>
        <w:t xml:space="preserve">  Authority</w:t>
      </w:r>
      <w:bookmarkEnd w:id="19"/>
      <w:proofErr w:type="gramEnd"/>
    </w:p>
    <w:p w14:paraId="23AC4D6E" w14:textId="6BD4576A" w:rsidR="00FA06CA" w:rsidRDefault="00FA06CA" w:rsidP="00FA06CA">
      <w:pPr>
        <w:pStyle w:val="subsection"/>
      </w:pPr>
      <w:r>
        <w:tab/>
      </w:r>
      <w:r>
        <w:tab/>
        <w:t xml:space="preserve">This </w:t>
      </w:r>
      <w:r w:rsidR="00603CBA">
        <w:t>instrument is made under the</w:t>
      </w:r>
      <w:r w:rsidR="00603CBA" w:rsidRPr="00FD30C3">
        <w:t xml:space="preserve"> </w:t>
      </w:r>
      <w:r w:rsidR="00603CBA" w:rsidRPr="009B6C19">
        <w:t>subsection 5(</w:t>
      </w:r>
      <w:r w:rsidR="00603CBA" w:rsidRPr="00C11CF9">
        <w:t>2</w:t>
      </w:r>
      <w:r w:rsidR="00603CBA" w:rsidRPr="009B6C19">
        <w:t>)</w:t>
      </w:r>
      <w:r w:rsidR="00603CBA">
        <w:t xml:space="preserve"> of the</w:t>
      </w:r>
      <w:r w:rsidR="00603CBA" w:rsidRPr="00FD30C3">
        <w:t xml:space="preserve"> </w:t>
      </w:r>
      <w:r w:rsidR="00603CBA">
        <w:rPr>
          <w:i/>
        </w:rPr>
        <w:t>Insurance Acquisitions and Takeovers Act 1991</w:t>
      </w:r>
      <w:r w:rsidR="00603CBA" w:rsidRPr="003C6231">
        <w:t>.</w:t>
      </w:r>
    </w:p>
    <w:p w14:paraId="242349B5" w14:textId="1868FBCF" w:rsidR="00FA06CA" w:rsidRDefault="00FA06CA" w:rsidP="00FA06CA">
      <w:pPr>
        <w:pStyle w:val="ActHead5"/>
      </w:pPr>
      <w:bookmarkStart w:id="20" w:name="_Toc131555647"/>
      <w:proofErr w:type="gramStart"/>
      <w:r w:rsidRPr="00AE1A82">
        <w:rPr>
          <w:rStyle w:val="CharSectno"/>
        </w:rPr>
        <w:t>4</w:t>
      </w:r>
      <w:r>
        <w:t xml:space="preserve">  </w:t>
      </w:r>
      <w:r w:rsidR="00603CBA">
        <w:t>Definitions</w:t>
      </w:r>
      <w:bookmarkEnd w:id="20"/>
      <w:proofErr w:type="gramEnd"/>
    </w:p>
    <w:p w14:paraId="12C7DABC" w14:textId="77777777" w:rsidR="00603CBA" w:rsidRDefault="00FA06CA" w:rsidP="00603CBA">
      <w:pPr>
        <w:pStyle w:val="notemargin"/>
      </w:pPr>
      <w:r>
        <w:tab/>
      </w:r>
      <w:r>
        <w:tab/>
      </w:r>
      <w:r w:rsidR="00603CBA" w:rsidRPr="00E45E56">
        <w:t>Note:</w:t>
      </w:r>
      <w:r w:rsidR="00603CBA" w:rsidRPr="00E45E56">
        <w:tab/>
        <w:t xml:space="preserve">Paragraph 13(1)(b) of the </w:t>
      </w:r>
      <w:r w:rsidR="00603CBA" w:rsidRPr="00E45E56">
        <w:rPr>
          <w:i/>
        </w:rPr>
        <w:t>Legislation Act 2003</w:t>
      </w:r>
      <w:r w:rsidR="00603CBA" w:rsidRPr="00E45E56">
        <w:t xml:space="preserve"> has the effect that expressions have the same meaning in this instrument as in the </w:t>
      </w:r>
      <w:r w:rsidR="00603CBA">
        <w:rPr>
          <w:i/>
        </w:rPr>
        <w:t xml:space="preserve">Insurance Acquisitions and Takeovers Act 1991 </w:t>
      </w:r>
      <w:r w:rsidR="00603CBA" w:rsidRPr="00E45E56">
        <w:t>as in force from time to time.</w:t>
      </w:r>
    </w:p>
    <w:p w14:paraId="181F27E1" w14:textId="77777777" w:rsidR="00603CBA" w:rsidRPr="00507D3E" w:rsidRDefault="00603CBA" w:rsidP="00603CBA">
      <w:pPr>
        <w:pStyle w:val="subsection"/>
        <w:tabs>
          <w:tab w:val="clear" w:pos="1021"/>
          <w:tab w:val="right" w:pos="1560"/>
        </w:tabs>
      </w:pPr>
      <w:r>
        <w:tab/>
      </w:r>
      <w:r w:rsidRPr="00507D3E">
        <w:t>In this instrument:</w:t>
      </w:r>
    </w:p>
    <w:p w14:paraId="7E49A472" w14:textId="77777777" w:rsidR="00603CBA" w:rsidRDefault="00603CBA" w:rsidP="00603CBA">
      <w:pPr>
        <w:pStyle w:val="subsection"/>
        <w:ind w:firstLine="0"/>
        <w:rPr>
          <w:highlight w:val="yellow"/>
        </w:rPr>
      </w:pPr>
      <w:r w:rsidRPr="00507D3E">
        <w:rPr>
          <w:b/>
          <w:bCs/>
        </w:rPr>
        <w:t>the Act</w:t>
      </w:r>
      <w:r w:rsidRPr="00507D3E">
        <w:t xml:space="preserve"> means the </w:t>
      </w:r>
      <w:r>
        <w:rPr>
          <w:i/>
        </w:rPr>
        <w:t>Insurance Acquisitions and Takeovers Act 1991.</w:t>
      </w:r>
    </w:p>
    <w:p w14:paraId="2E82B293" w14:textId="154367D9" w:rsidR="00603CBA" w:rsidRDefault="00603CBA" w:rsidP="00252117">
      <w:pPr>
        <w:pStyle w:val="subsection"/>
        <w:ind w:left="0" w:firstLine="0"/>
        <w:rPr>
          <w:highlight w:val="yellow"/>
        </w:rPr>
      </w:pPr>
    </w:p>
    <w:p w14:paraId="55F3ABD9" w14:textId="0914AAD7" w:rsidR="00603CBA" w:rsidRDefault="00603CBA" w:rsidP="00FA06CA">
      <w:pPr>
        <w:pStyle w:val="subsection"/>
        <w:rPr>
          <w:highlight w:val="yellow"/>
        </w:rPr>
      </w:pPr>
    </w:p>
    <w:p w14:paraId="78EAAC61" w14:textId="5E466016" w:rsidR="00603CBA" w:rsidRDefault="00603CBA" w:rsidP="00252117">
      <w:pPr>
        <w:pStyle w:val="subsection"/>
        <w:ind w:left="0" w:firstLine="0"/>
        <w:rPr>
          <w:highlight w:val="yellow"/>
        </w:rPr>
      </w:pPr>
    </w:p>
    <w:p w14:paraId="43BF5C18" w14:textId="7FD54282" w:rsidR="00603CBA" w:rsidRPr="001E4B8E" w:rsidRDefault="000E11D2" w:rsidP="00750D91">
      <w:pPr>
        <w:pStyle w:val="ActHead2"/>
        <w:pageBreakBefore/>
        <w:ind w:left="1418" w:hanging="1418"/>
        <w:rPr>
          <w:lang w:eastAsia="en-US"/>
        </w:rPr>
      </w:pPr>
      <w:bookmarkStart w:id="21" w:name="_Toc131555648"/>
      <w:r w:rsidRPr="00750D91">
        <w:rPr>
          <w:rStyle w:val="CharPartNo"/>
        </w:rPr>
        <w:lastRenderedPageBreak/>
        <w:t>Part 2</w:t>
      </w:r>
      <w:r w:rsidRPr="00750D91">
        <w:t>—</w:t>
      </w:r>
      <w:r w:rsidRPr="00750D91">
        <w:rPr>
          <w:rStyle w:val="CharPartText"/>
        </w:rPr>
        <w:t>Public interest matters</w:t>
      </w:r>
      <w:bookmarkEnd w:id="21"/>
    </w:p>
    <w:p w14:paraId="279CAEDE" w14:textId="61C5E14A" w:rsidR="000E11D2" w:rsidRPr="00750D91" w:rsidRDefault="000E11D2" w:rsidP="000E11D2">
      <w:pPr>
        <w:pStyle w:val="ActHead5"/>
      </w:pPr>
      <w:bookmarkStart w:id="22" w:name="_Toc131555649"/>
      <w:proofErr w:type="gramStart"/>
      <w:r w:rsidRPr="00750D91">
        <w:rPr>
          <w:rStyle w:val="CharSectno"/>
        </w:rPr>
        <w:t>5</w:t>
      </w:r>
      <w:r w:rsidRPr="00750D91">
        <w:t xml:space="preserve">  Fit</w:t>
      </w:r>
      <w:proofErr w:type="gramEnd"/>
      <w:r w:rsidRPr="00750D91">
        <w:t xml:space="preserve"> and proper person</w:t>
      </w:r>
      <w:bookmarkEnd w:id="22"/>
    </w:p>
    <w:p w14:paraId="2E4BB94D" w14:textId="0D37B0EF" w:rsidR="000E11D2" w:rsidRPr="00CE75AC" w:rsidRDefault="000E11D2" w:rsidP="00750D91">
      <w:pPr>
        <w:pStyle w:val="SubsectionHead"/>
      </w:pPr>
      <w:r w:rsidRPr="00750D91">
        <w:rPr>
          <w:i w:val="0"/>
        </w:rPr>
        <w:t xml:space="preserve">For the purposes of paragraph 5(2)(b) of the Act, in determining whether a particular matter is likely to result in a person who is not a fit and proper person to be in a position of influence over the Australian-registered insurance company </w:t>
      </w:r>
      <w:r w:rsidR="007376B8">
        <w:rPr>
          <w:i w:val="0"/>
        </w:rPr>
        <w:t>being in such a position</w:t>
      </w:r>
      <w:r w:rsidR="00310ACC">
        <w:rPr>
          <w:i w:val="0"/>
        </w:rPr>
        <w:t xml:space="preserve"> of influence</w:t>
      </w:r>
      <w:r w:rsidR="007376B8">
        <w:rPr>
          <w:i w:val="0"/>
        </w:rPr>
        <w:t xml:space="preserve"> </w:t>
      </w:r>
      <w:r w:rsidRPr="00750D91">
        <w:rPr>
          <w:i w:val="0"/>
        </w:rPr>
        <w:t>as mentioned in paragraph 5(1)(b) of the Act, the Minister:</w:t>
      </w:r>
    </w:p>
    <w:p w14:paraId="5DFBEF2A" w14:textId="6E590DC5" w:rsidR="000E11D2" w:rsidRDefault="00142B4A" w:rsidP="00750D91">
      <w:pPr>
        <w:pStyle w:val="OutlineNumbered1"/>
        <w:numPr>
          <w:ilvl w:val="1"/>
          <w:numId w:val="13"/>
        </w:numPr>
        <w:spacing w:before="120" w:after="120"/>
        <w:ind w:left="1560" w:hanging="426"/>
      </w:pPr>
      <w:r>
        <w:t>m</w:t>
      </w:r>
      <w:r w:rsidR="000E11D2">
        <w:t>ust have regard to:</w:t>
      </w:r>
    </w:p>
    <w:p w14:paraId="33DF064F" w14:textId="465E2AC4" w:rsidR="000E11D2"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cs="Times New Roman"/>
        </w:rPr>
        <w:t>t</w:t>
      </w:r>
      <w:r w:rsidR="000E11D2" w:rsidRPr="00DA4DEC">
        <w:rPr>
          <w:rFonts w:cs="Times New Roman"/>
        </w:rPr>
        <w:t xml:space="preserve">he </w:t>
      </w:r>
      <w:r w:rsidR="000E11D2" w:rsidRPr="00DA4DEC">
        <w:rPr>
          <w:rFonts w:eastAsia="Times New Roman" w:cs="Times New Roman"/>
          <w:color w:val="000000"/>
          <w:szCs w:val="22"/>
          <w:lang w:eastAsia="en-AU"/>
        </w:rPr>
        <w:t xml:space="preserve">honesty, </w:t>
      </w:r>
      <w:proofErr w:type="gramStart"/>
      <w:r w:rsidR="000E11D2" w:rsidRPr="00DA4DEC">
        <w:rPr>
          <w:rFonts w:eastAsia="Times New Roman" w:cs="Times New Roman"/>
          <w:color w:val="000000"/>
          <w:szCs w:val="22"/>
          <w:lang w:eastAsia="en-AU"/>
        </w:rPr>
        <w:t>integrity</w:t>
      </w:r>
      <w:proofErr w:type="gramEnd"/>
      <w:r w:rsidR="000E11D2" w:rsidRPr="00DA4DEC">
        <w:rPr>
          <w:rFonts w:eastAsia="Times New Roman" w:cs="Times New Roman"/>
          <w:color w:val="000000"/>
          <w:szCs w:val="22"/>
          <w:lang w:eastAsia="en-AU"/>
        </w:rPr>
        <w:t xml:space="preserve"> and reputation of the person; and</w:t>
      </w:r>
    </w:p>
    <w:p w14:paraId="69CCE8F8" w14:textId="097E3B1E"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the competence and capability of the person, having regard to the degree of control or influence that the person will have over the Australian-registered insurance company; and</w:t>
      </w:r>
    </w:p>
    <w:p w14:paraId="4FF3E704" w14:textId="555EBC0C"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the financial soundness of the person; and</w:t>
      </w:r>
    </w:p>
    <w:p w14:paraId="259B7FD7" w14:textId="11E9A745"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 xml:space="preserve">whether the person has any conflict of interest </w:t>
      </w:r>
      <w:proofErr w:type="gramStart"/>
      <w:r w:rsidRPr="00DA4DEC">
        <w:rPr>
          <w:rFonts w:eastAsia="Times New Roman" w:cs="Times New Roman"/>
          <w:color w:val="000000"/>
          <w:szCs w:val="22"/>
          <w:lang w:eastAsia="en-AU"/>
        </w:rPr>
        <w:t>in regard to</w:t>
      </w:r>
      <w:proofErr w:type="gramEnd"/>
      <w:r w:rsidRPr="00DA4DEC">
        <w:rPr>
          <w:rFonts w:eastAsia="Times New Roman" w:cs="Times New Roman"/>
          <w:color w:val="000000"/>
          <w:szCs w:val="22"/>
          <w:lang w:eastAsia="en-AU"/>
        </w:rPr>
        <w:t xml:space="preserve"> the matter that is likely to give rise to a material risk; and</w:t>
      </w:r>
    </w:p>
    <w:p w14:paraId="3E67C7DA" w14:textId="77777777"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whether there are reasonable grounds for suspecting the person has committed, or is at risk of committing, a financial crime, including money laundering or terrorism financing; and</w:t>
      </w:r>
    </w:p>
    <w:p w14:paraId="4BC2C6B3" w14:textId="1ADE64E5"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 xml:space="preserve">if the person is a company, the company’s </w:t>
      </w:r>
      <w:proofErr w:type="gramStart"/>
      <w:r w:rsidRPr="00DA4DEC">
        <w:rPr>
          <w:rFonts w:eastAsia="Times New Roman" w:cs="Times New Roman"/>
          <w:color w:val="000000"/>
          <w:szCs w:val="22"/>
          <w:lang w:eastAsia="en-AU"/>
        </w:rPr>
        <w:t>ability</w:t>
      </w:r>
      <w:proofErr w:type="gramEnd"/>
      <w:r w:rsidRPr="00DA4DEC">
        <w:rPr>
          <w:rFonts w:eastAsia="Times New Roman" w:cs="Times New Roman"/>
          <w:color w:val="000000"/>
          <w:szCs w:val="22"/>
          <w:lang w:eastAsia="en-AU"/>
        </w:rPr>
        <w:t xml:space="preserve"> and willingness to comply with its prudential requirements; and</w:t>
      </w:r>
    </w:p>
    <w:p w14:paraId="60D16DF2" w14:textId="3BEEAF40" w:rsidR="00DA4DEC" w:rsidRPr="00DA4DEC"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 xml:space="preserve">whether </w:t>
      </w:r>
      <w:r w:rsidRPr="00DA4DEC">
        <w:rPr>
          <w:rFonts w:cs="Times New Roman"/>
          <w:szCs w:val="22"/>
          <w:lang w:eastAsia="en-AU"/>
        </w:rPr>
        <w:t xml:space="preserve">APRA’s ability to effectively supervise the Australian-registered insurance </w:t>
      </w:r>
      <w:r w:rsidRPr="00DA4DEC">
        <w:rPr>
          <w:rFonts w:cs="Times New Roman"/>
          <w:szCs w:val="22"/>
          <w:shd w:val="clear" w:color="auto" w:fill="FFFFFF" w:themeFill="background1"/>
          <w:lang w:eastAsia="en-AU"/>
        </w:rPr>
        <w:t>company</w:t>
      </w:r>
      <w:r w:rsidRPr="00DA4DEC">
        <w:rPr>
          <w:rFonts w:cs="Times New Roman"/>
          <w:szCs w:val="22"/>
          <w:lang w:eastAsia="en-AU"/>
        </w:rPr>
        <w:t xml:space="preserve"> </w:t>
      </w:r>
      <w:r w:rsidRPr="00DA4DEC">
        <w:rPr>
          <w:rFonts w:eastAsia="Times New Roman" w:cs="Times New Roman"/>
          <w:color w:val="000000"/>
          <w:szCs w:val="22"/>
          <w:lang w:eastAsia="en-AU"/>
        </w:rPr>
        <w:t>is likely to be negatively impacted; and</w:t>
      </w:r>
    </w:p>
    <w:p w14:paraId="3F0B9ECD" w14:textId="5DE10C85" w:rsidR="00DA4DEC" w:rsidRPr="002A6004" w:rsidRDefault="00DA4DEC" w:rsidP="00750D91">
      <w:pPr>
        <w:pStyle w:val="ListParagraph"/>
        <w:numPr>
          <w:ilvl w:val="2"/>
          <w:numId w:val="15"/>
        </w:numPr>
        <w:shd w:val="clear" w:color="auto" w:fill="FFFFFF"/>
        <w:spacing w:before="120" w:after="120" w:line="240" w:lineRule="auto"/>
        <w:ind w:left="2127" w:hanging="284"/>
        <w:contextualSpacing w:val="0"/>
        <w:jc w:val="both"/>
        <w:rPr>
          <w:rFonts w:eastAsia="Times New Roman" w:cs="Times New Roman"/>
          <w:color w:val="000000"/>
          <w:szCs w:val="22"/>
          <w:lang w:eastAsia="en-AU"/>
        </w:rPr>
      </w:pPr>
      <w:r w:rsidRPr="00DA4DEC">
        <w:rPr>
          <w:rFonts w:eastAsia="Times New Roman" w:cs="Times New Roman"/>
          <w:color w:val="000000"/>
          <w:szCs w:val="22"/>
          <w:lang w:eastAsia="en-AU"/>
        </w:rPr>
        <w:t>the potential for the person to be influenced by another person that is not a fit and proper person to be in a position of influence over the Australian-registered insurance company.</w:t>
      </w:r>
      <w:r w:rsidRPr="00DA4DEC">
        <w:rPr>
          <w:rFonts w:cs="Times New Roman"/>
          <w:lang w:eastAsia="en-AU"/>
        </w:rPr>
        <w:t> </w:t>
      </w:r>
    </w:p>
    <w:p w14:paraId="48328FD4" w14:textId="7C37ED55" w:rsidR="002A6004" w:rsidRPr="002A6004" w:rsidRDefault="002A6004" w:rsidP="00750D91">
      <w:pPr>
        <w:pStyle w:val="ListParagraph"/>
        <w:numPr>
          <w:ilvl w:val="1"/>
          <w:numId w:val="15"/>
        </w:numPr>
        <w:shd w:val="clear" w:color="auto" w:fill="FFFFFF"/>
        <w:spacing w:before="120" w:after="120" w:line="240" w:lineRule="auto"/>
        <w:ind w:left="1560" w:hanging="426"/>
        <w:contextualSpacing w:val="0"/>
        <w:jc w:val="both"/>
        <w:rPr>
          <w:rFonts w:eastAsia="Times New Roman" w:cs="Times New Roman"/>
          <w:color w:val="000000"/>
          <w:szCs w:val="22"/>
          <w:lang w:eastAsia="en-AU"/>
        </w:rPr>
      </w:pPr>
      <w:r>
        <w:rPr>
          <w:rFonts w:eastAsia="Times New Roman" w:cs="Times New Roman"/>
          <w:color w:val="000000"/>
          <w:szCs w:val="22"/>
          <w:lang w:eastAsia="en-AU"/>
        </w:rPr>
        <w:t xml:space="preserve">may </w:t>
      </w:r>
      <w:r>
        <w:t>have regard to any other matter that the Minister considers relevant.</w:t>
      </w:r>
    </w:p>
    <w:p w14:paraId="13057E7A" w14:textId="31CD9E59" w:rsidR="002A6004" w:rsidRDefault="002A6004" w:rsidP="002A6004">
      <w:pPr>
        <w:pStyle w:val="ActHead5"/>
      </w:pPr>
      <w:bookmarkStart w:id="23" w:name="_Toc131555650"/>
      <w:proofErr w:type="gramStart"/>
      <w:r w:rsidRPr="002A6004">
        <w:rPr>
          <w:rStyle w:val="CharSectno"/>
        </w:rPr>
        <w:t>6</w:t>
      </w:r>
      <w:r>
        <w:t xml:space="preserve">  Position</w:t>
      </w:r>
      <w:proofErr w:type="gramEnd"/>
      <w:r>
        <w:t xml:space="preserve"> of influence over a company</w:t>
      </w:r>
      <w:bookmarkEnd w:id="23"/>
    </w:p>
    <w:p w14:paraId="2F818805" w14:textId="258F1769" w:rsidR="002A6004" w:rsidRDefault="002A6004" w:rsidP="00750D91">
      <w:pPr>
        <w:pStyle w:val="OutlineNumbered1"/>
        <w:spacing w:before="120" w:after="120"/>
        <w:ind w:left="1144"/>
      </w:pPr>
      <w:r>
        <w:t>For the purposes of subsection 5(2)(b) of the Act, a person is taken to be in a position of influence over the Australian-registered insurance company as mentioned in paragraph 5(1)(b) of the Act if:</w:t>
      </w:r>
    </w:p>
    <w:p w14:paraId="7D81D4F5" w14:textId="57167B7A" w:rsidR="002A6004" w:rsidRDefault="002A6004" w:rsidP="00750D91">
      <w:pPr>
        <w:pStyle w:val="OutlineNumbered1"/>
        <w:numPr>
          <w:ilvl w:val="1"/>
          <w:numId w:val="17"/>
        </w:numPr>
        <w:spacing w:before="120" w:after="120"/>
        <w:ind w:left="1560" w:hanging="426"/>
      </w:pPr>
      <w:r>
        <w:t xml:space="preserve">the person, either alone or together with one or more associates, is </w:t>
      </w:r>
      <w:proofErr w:type="gramStart"/>
      <w:r>
        <w:t>in a position</w:t>
      </w:r>
      <w:proofErr w:type="gramEnd"/>
      <w:r>
        <w:t xml:space="preserve"> to control 15% or more of the voting power in the company; or</w:t>
      </w:r>
    </w:p>
    <w:p w14:paraId="6B5E4565" w14:textId="2D5A215A" w:rsidR="002A6004" w:rsidRDefault="002A6004" w:rsidP="00750D91">
      <w:pPr>
        <w:pStyle w:val="OutlineNumbered1"/>
        <w:numPr>
          <w:ilvl w:val="1"/>
          <w:numId w:val="17"/>
        </w:numPr>
        <w:spacing w:before="120" w:after="120"/>
        <w:ind w:left="1560" w:hanging="426"/>
      </w:pPr>
      <w:r>
        <w:t>one or more directors of the company are accustomed or under an obligation, whether formal or informal, to act in accordance with the directions, instructions or wishes of the person acting alone or of the person acting together with one or more associates; or</w:t>
      </w:r>
    </w:p>
    <w:p w14:paraId="75BE57F4" w14:textId="75523923" w:rsidR="002A6004" w:rsidRDefault="002A6004" w:rsidP="00750D91">
      <w:pPr>
        <w:pStyle w:val="OutlineNumbered1"/>
        <w:numPr>
          <w:ilvl w:val="1"/>
          <w:numId w:val="17"/>
        </w:numPr>
        <w:spacing w:before="120" w:after="120"/>
        <w:ind w:left="1560" w:hanging="426"/>
      </w:pPr>
      <w:r>
        <w:t>the person has power, either acting alone or together with one or more associates, to appoint or remove a director of the company; or</w:t>
      </w:r>
    </w:p>
    <w:p w14:paraId="6E66E993" w14:textId="783FA584" w:rsidR="002A6004" w:rsidRDefault="002A6004" w:rsidP="00750D91">
      <w:pPr>
        <w:pStyle w:val="OutlineNumbered1"/>
        <w:numPr>
          <w:ilvl w:val="1"/>
          <w:numId w:val="17"/>
        </w:numPr>
        <w:spacing w:before="120" w:after="120"/>
        <w:ind w:left="1560" w:hanging="426"/>
      </w:pPr>
      <w:r>
        <w:lastRenderedPageBreak/>
        <w:t>the person is a director of the company; or</w:t>
      </w:r>
    </w:p>
    <w:p w14:paraId="11B93D54" w14:textId="420AEB97" w:rsidR="002A6004" w:rsidRPr="002A6004" w:rsidRDefault="002A6004" w:rsidP="00750D91">
      <w:pPr>
        <w:pStyle w:val="OutlineNumbered1"/>
        <w:numPr>
          <w:ilvl w:val="1"/>
          <w:numId w:val="17"/>
        </w:numPr>
        <w:spacing w:before="120" w:after="120"/>
        <w:ind w:left="1560" w:hanging="426"/>
      </w:pPr>
      <w:r>
        <w:t>the person takes part in the management of the company.</w:t>
      </w:r>
    </w:p>
    <w:p w14:paraId="0DFA3CBF" w14:textId="2FF76ACD" w:rsidR="002A6004" w:rsidRDefault="002A6004" w:rsidP="002A6004">
      <w:pPr>
        <w:pStyle w:val="ActHead5"/>
      </w:pPr>
      <w:bookmarkStart w:id="24" w:name="_Toc131555651"/>
      <w:proofErr w:type="gramStart"/>
      <w:r w:rsidRPr="002A6004">
        <w:rPr>
          <w:rStyle w:val="CharSectno"/>
        </w:rPr>
        <w:t>7</w:t>
      </w:r>
      <w:r>
        <w:t xml:space="preserve">  Undue</w:t>
      </w:r>
      <w:proofErr w:type="gramEnd"/>
      <w:r>
        <w:t xml:space="preserve"> concentration of power</w:t>
      </w:r>
      <w:bookmarkEnd w:id="24"/>
    </w:p>
    <w:p w14:paraId="2E3A5275" w14:textId="35B5D088" w:rsidR="004434AA" w:rsidRDefault="004434AA" w:rsidP="00750D91">
      <w:pPr>
        <w:pStyle w:val="subsection"/>
        <w:tabs>
          <w:tab w:val="clear" w:pos="1021"/>
          <w:tab w:val="right" w:pos="1134"/>
        </w:tabs>
        <w:ind w:left="1144" w:firstLine="0"/>
      </w:pPr>
      <w:r w:rsidRPr="004434AA">
        <w:t>For</w:t>
      </w:r>
      <w:r>
        <w:rPr>
          <w:i/>
          <w:iCs/>
        </w:rPr>
        <w:t xml:space="preserve"> </w:t>
      </w:r>
      <w:r>
        <w:t>the purposes of paragraph 5(2)(b) of the Act, in determining whether</w:t>
      </w:r>
      <w:r w:rsidRPr="00395FF9">
        <w:t xml:space="preserve"> a </w:t>
      </w:r>
      <w:r>
        <w:t xml:space="preserve">particular matter </w:t>
      </w:r>
      <w:r w:rsidRPr="00395FF9">
        <w:t>is likely to unduly concentrate economic power in the Australia general insurance industry, the Australian life insurance industry or the Australian financial system</w:t>
      </w:r>
      <w:r>
        <w:t xml:space="preserve"> as mentioned in paragraph 5(1)(c) of the Act, the Minister:</w:t>
      </w:r>
    </w:p>
    <w:p w14:paraId="178440C7" w14:textId="1F612677" w:rsidR="004434AA" w:rsidRDefault="004434AA" w:rsidP="00750D91">
      <w:pPr>
        <w:pStyle w:val="subsection"/>
        <w:numPr>
          <w:ilvl w:val="1"/>
          <w:numId w:val="22"/>
        </w:numPr>
        <w:tabs>
          <w:tab w:val="clear" w:pos="1021"/>
          <w:tab w:val="right" w:pos="1560"/>
        </w:tabs>
        <w:ind w:hanging="655"/>
      </w:pPr>
      <w:r>
        <w:t xml:space="preserve">must have regard to </w:t>
      </w:r>
      <w:r w:rsidRPr="00395FF9">
        <w:t xml:space="preserve">whether the </w:t>
      </w:r>
      <w:r>
        <w:t>m</w:t>
      </w:r>
      <w:r w:rsidRPr="008567AE">
        <w:t>a</w:t>
      </w:r>
      <w:r>
        <w:t>tter</w:t>
      </w:r>
      <w:r w:rsidRPr="008567AE">
        <w:t xml:space="preserve"> </w:t>
      </w:r>
      <w:r w:rsidRPr="00395FF9">
        <w:t>could adversely affect:</w:t>
      </w:r>
    </w:p>
    <w:p w14:paraId="6D0D5E92" w14:textId="0F9B499F" w:rsidR="004434AA" w:rsidRDefault="004434AA" w:rsidP="00750D91">
      <w:pPr>
        <w:pStyle w:val="subsection"/>
        <w:numPr>
          <w:ilvl w:val="2"/>
          <w:numId w:val="22"/>
        </w:numPr>
        <w:tabs>
          <w:tab w:val="clear" w:pos="1021"/>
          <w:tab w:val="right" w:pos="1134"/>
        </w:tabs>
        <w:ind w:left="2127" w:hanging="284"/>
      </w:pPr>
      <w:r>
        <w:t xml:space="preserve">the </w:t>
      </w:r>
      <w:r w:rsidRPr="00395FF9">
        <w:t>supply or pricing of insurance services to the Australian market; or</w:t>
      </w:r>
    </w:p>
    <w:p w14:paraId="5363FF93" w14:textId="730A415E" w:rsidR="004434AA" w:rsidRDefault="004434AA" w:rsidP="00750D91">
      <w:pPr>
        <w:pStyle w:val="subsection"/>
        <w:numPr>
          <w:ilvl w:val="2"/>
          <w:numId w:val="22"/>
        </w:numPr>
        <w:tabs>
          <w:tab w:val="clear" w:pos="1021"/>
          <w:tab w:val="right" w:pos="1134"/>
        </w:tabs>
        <w:ind w:left="2127" w:hanging="284"/>
      </w:pPr>
      <w:r>
        <w:t xml:space="preserve">the </w:t>
      </w:r>
      <w:r w:rsidRPr="00395FF9">
        <w:t>supply or pricing of other financial services to the Australian marke</w:t>
      </w:r>
      <w:r>
        <w:t>t.</w:t>
      </w:r>
    </w:p>
    <w:p w14:paraId="53679EF4" w14:textId="7EEEEF65" w:rsidR="002A6004" w:rsidRDefault="004434AA" w:rsidP="00750D91">
      <w:pPr>
        <w:pStyle w:val="subsection"/>
        <w:numPr>
          <w:ilvl w:val="1"/>
          <w:numId w:val="23"/>
        </w:numPr>
        <w:tabs>
          <w:tab w:val="clear" w:pos="1021"/>
          <w:tab w:val="right" w:pos="1560"/>
        </w:tabs>
        <w:ind w:hanging="655"/>
      </w:pPr>
      <w:r>
        <w:t>may have regard to any other matter that the Minister considers relevant.</w:t>
      </w:r>
    </w:p>
    <w:p w14:paraId="2F630209" w14:textId="3BD4FC87" w:rsidR="004434AA" w:rsidRDefault="004434AA" w:rsidP="004434AA">
      <w:pPr>
        <w:pStyle w:val="ActHead5"/>
      </w:pPr>
      <w:bookmarkStart w:id="25" w:name="_Toc131555652"/>
      <w:proofErr w:type="gramStart"/>
      <w:r w:rsidRPr="004434AA">
        <w:rPr>
          <w:rStyle w:val="CharSectno"/>
        </w:rPr>
        <w:t>8</w:t>
      </w:r>
      <w:r>
        <w:t xml:space="preserve">  Contrary</w:t>
      </w:r>
      <w:proofErr w:type="gramEnd"/>
      <w:r>
        <w:t xml:space="preserve"> to the national interest</w:t>
      </w:r>
      <w:bookmarkEnd w:id="25"/>
    </w:p>
    <w:p w14:paraId="2ED4B62F" w14:textId="61530610" w:rsidR="004434AA" w:rsidRDefault="004434AA" w:rsidP="00750D91">
      <w:pPr>
        <w:pStyle w:val="SubsectionHead"/>
        <w:ind w:left="1144"/>
        <w:rPr>
          <w:i w:val="0"/>
          <w:iCs/>
        </w:rPr>
      </w:pPr>
      <w:r>
        <w:rPr>
          <w:i w:val="0"/>
          <w:iCs/>
        </w:rPr>
        <w:t xml:space="preserve">For </w:t>
      </w:r>
      <w:r w:rsidRPr="004434AA">
        <w:rPr>
          <w:i w:val="0"/>
          <w:iCs/>
        </w:rPr>
        <w:t>the purposes of paragraph 5(2)(b) of the Act, in determining whether a particular matter is contrary to the national interest as mentioned in paragraph 5(1)(d) of the Act, the Minister:</w:t>
      </w:r>
    </w:p>
    <w:p w14:paraId="491C88A0" w14:textId="0960DA19" w:rsidR="004434AA" w:rsidRDefault="004434AA" w:rsidP="00750D91">
      <w:pPr>
        <w:pStyle w:val="subsection"/>
        <w:numPr>
          <w:ilvl w:val="1"/>
          <w:numId w:val="24"/>
        </w:numPr>
        <w:tabs>
          <w:tab w:val="clear" w:pos="1021"/>
        </w:tabs>
        <w:ind w:left="1560" w:hanging="426"/>
      </w:pPr>
      <w:r>
        <w:t>must have regard to:</w:t>
      </w:r>
    </w:p>
    <w:p w14:paraId="304B331A" w14:textId="5C2CEAC3" w:rsidR="004434AA" w:rsidRDefault="004434AA" w:rsidP="00750D91">
      <w:pPr>
        <w:pStyle w:val="subsection"/>
        <w:numPr>
          <w:ilvl w:val="2"/>
          <w:numId w:val="24"/>
        </w:numPr>
        <w:ind w:left="2127" w:hanging="284"/>
      </w:pPr>
      <w:r>
        <w:t>whether the matter could adversely affect the stability and strength of the Australian general insurance industry, the Australian life insurance industry, or the Australian financial system; and</w:t>
      </w:r>
    </w:p>
    <w:p w14:paraId="0D679FDC" w14:textId="77777777" w:rsidR="004434AA" w:rsidRDefault="004434AA" w:rsidP="00750D91">
      <w:pPr>
        <w:pStyle w:val="subsection"/>
        <w:numPr>
          <w:ilvl w:val="2"/>
          <w:numId w:val="24"/>
        </w:numPr>
        <w:ind w:left="2127" w:hanging="284"/>
      </w:pPr>
      <w:r>
        <w:t>whether the matter could adversely affect the interests of policy holders of an Australian-registered insurance company; and</w:t>
      </w:r>
    </w:p>
    <w:p w14:paraId="42372F47" w14:textId="6877E149" w:rsidR="004434AA" w:rsidRDefault="004434AA" w:rsidP="00750D91">
      <w:pPr>
        <w:pStyle w:val="subsection"/>
        <w:numPr>
          <w:ilvl w:val="2"/>
          <w:numId w:val="24"/>
        </w:numPr>
        <w:ind w:left="2127" w:hanging="284"/>
      </w:pPr>
      <w:r>
        <w:t>whether the matter is contrary to Australia’s foreign investment policy.</w:t>
      </w:r>
    </w:p>
    <w:p w14:paraId="5A0A8BDA" w14:textId="37CB5AA2" w:rsidR="004434AA" w:rsidRPr="004434AA" w:rsidRDefault="004434AA" w:rsidP="00750D91">
      <w:pPr>
        <w:pStyle w:val="subsection"/>
        <w:numPr>
          <w:ilvl w:val="1"/>
          <w:numId w:val="24"/>
        </w:numPr>
        <w:tabs>
          <w:tab w:val="clear" w:pos="1021"/>
          <w:tab w:val="right" w:pos="1560"/>
        </w:tabs>
        <w:ind w:hanging="655"/>
        <w:rPr>
          <w:szCs w:val="22"/>
        </w:rPr>
      </w:pPr>
      <w:r>
        <w:t xml:space="preserve">may </w:t>
      </w:r>
      <w:r w:rsidRPr="0034521B">
        <w:rPr>
          <w:szCs w:val="22"/>
        </w:rPr>
        <w:t>have regard to any other matter that the Minister considers relevant.</w:t>
      </w:r>
    </w:p>
    <w:p w14:paraId="4E3E0D71" w14:textId="77777777" w:rsidR="004434AA" w:rsidRPr="004434AA" w:rsidRDefault="004434AA" w:rsidP="004434AA">
      <w:pPr>
        <w:pStyle w:val="subsection"/>
      </w:pPr>
    </w:p>
    <w:p w14:paraId="169683DC" w14:textId="77777777" w:rsidR="004434AA" w:rsidRPr="004434AA" w:rsidRDefault="004434AA" w:rsidP="004434AA">
      <w:pPr>
        <w:pStyle w:val="subsection"/>
      </w:pPr>
    </w:p>
    <w:p w14:paraId="3F647470" w14:textId="749FA968" w:rsidR="000E11D2" w:rsidRPr="000E11D2" w:rsidRDefault="000E11D2" w:rsidP="000E11D2">
      <w:pPr>
        <w:pStyle w:val="SubsectionHead"/>
      </w:pPr>
    </w:p>
    <w:p w14:paraId="1426306B" w14:textId="77777777" w:rsidR="000E11D2" w:rsidRPr="000E11D2" w:rsidRDefault="000E11D2" w:rsidP="000E11D2">
      <w:pPr>
        <w:pStyle w:val="SubsectionHead"/>
        <w:rPr>
          <w:highlight w:val="yellow"/>
        </w:rPr>
      </w:pPr>
    </w:p>
    <w:sectPr w:rsidR="000E11D2" w:rsidRPr="000E11D2">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A26D" w14:textId="77777777" w:rsidR="00BA0914" w:rsidRDefault="00BA0914" w:rsidP="00FA06CA">
      <w:pPr>
        <w:spacing w:line="240" w:lineRule="auto"/>
      </w:pPr>
      <w:r>
        <w:separator/>
      </w:r>
    </w:p>
  </w:endnote>
  <w:endnote w:type="continuationSeparator" w:id="0">
    <w:p w14:paraId="2E4B8205" w14:textId="77777777" w:rsidR="00BA0914" w:rsidRDefault="00BA0914" w:rsidP="00FA06CA">
      <w:pPr>
        <w:spacing w:line="240" w:lineRule="auto"/>
      </w:pPr>
      <w:r>
        <w:continuationSeparator/>
      </w:r>
    </w:p>
  </w:endnote>
  <w:endnote w:type="continuationNotice" w:id="1">
    <w:p w14:paraId="08C7F473" w14:textId="77777777" w:rsidR="00BA0914" w:rsidRDefault="00BA09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1198BAB0" w14:textId="77777777">
      <w:tc>
        <w:tcPr>
          <w:tcW w:w="8472" w:type="dxa"/>
        </w:tcPr>
        <w:p w14:paraId="1B38C7C7" w14:textId="10052858" w:rsidR="00315F9E" w:rsidRDefault="00315F9E">
          <w:pPr>
            <w:jc w:val="right"/>
            <w:rPr>
              <w:i/>
              <w:noProof/>
              <w:sz w:val="18"/>
              <w:lang w:eastAsia="en-AU"/>
            </w:rPr>
          </w:pPr>
          <w:r>
            <w:rPr>
              <w:i/>
              <w:noProof/>
              <w:sz w:val="18"/>
              <w:lang w:eastAsia="en-AU"/>
            </w:rPr>
            <mc:AlternateContent>
              <mc:Choice Requires="wps">
                <w:drawing>
                  <wp:anchor distT="0" distB="0" distL="114300" distR="114300" simplePos="0" relativeHeight="251658240" behindDoc="1" locked="0" layoutInCell="1" allowOverlap="1" wp14:anchorId="30E9812D" wp14:editId="17E858F7">
                    <wp:simplePos x="0" y="0"/>
                    <wp:positionH relativeFrom="column">
                      <wp:align>center</wp:align>
                    </wp:positionH>
                    <wp:positionV relativeFrom="page">
                      <wp:posOffset>10079990</wp:posOffset>
                    </wp:positionV>
                    <wp:extent cx="4413250" cy="395605"/>
                    <wp:effectExtent l="0" t="0" r="635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1A6D32C" w14:textId="3A01D54A"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9812D" id="_x0000_t202" coordsize="21600,21600" o:spt="202" path="m,l,21600r21600,l21600,xe">
                    <v:stroke joinstyle="miter"/>
                    <v:path gradientshapeok="t" o:connecttype="rect"/>
                  </v:shapetype>
                  <v:shape id="Text Box 11" o:spid="_x0000_s1028" type="#_x0000_t202" style="position:absolute;left:0;text-align:left;margin-left:0;margin-top:793.7pt;width:347.5pt;height:31.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31A6D32C" w14:textId="3A01D54A"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14:paraId="498BC1DB" w14:textId="7199254C" w:rsidR="00FA06CA" w:rsidRDefault="00FA06CA">
          <w:pPr>
            <w:jc w:val="right"/>
            <w:rPr>
              <w:sz w:val="18"/>
            </w:rPr>
          </w:pPr>
        </w:p>
      </w:tc>
    </w:tr>
  </w:tbl>
  <w:p w14:paraId="2B3EBA65"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807D" w14:textId="5934CFC0" w:rsidR="00FA06CA" w:rsidRDefault="00315F9E">
    <w:pPr>
      <w:pStyle w:val="Footer"/>
    </w:pPr>
    <w:bookmarkStart w:id="0" w:name="_Hlk26286429"/>
    <w:bookmarkStart w:id="1" w:name="_Hlk26286430"/>
    <w:bookmarkStart w:id="2" w:name="_Hlk26286433"/>
    <w:bookmarkStart w:id="3" w:name="_Hlk26286434"/>
    <w:r>
      <w:rPr>
        <w:noProof/>
      </w:rPr>
      <mc:AlternateContent>
        <mc:Choice Requires="wps">
          <w:drawing>
            <wp:anchor distT="0" distB="0" distL="114300" distR="114300" simplePos="0" relativeHeight="251657216" behindDoc="1" locked="0" layoutInCell="1" allowOverlap="1" wp14:anchorId="5A12D13D" wp14:editId="47A9BBF2">
              <wp:simplePos x="0" y="0"/>
              <wp:positionH relativeFrom="column">
                <wp:align>center</wp:align>
              </wp:positionH>
              <wp:positionV relativeFrom="page">
                <wp:posOffset>10079990</wp:posOffset>
              </wp:positionV>
              <wp:extent cx="4413250" cy="395605"/>
              <wp:effectExtent l="0" t="0" r="635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2B5A7D5" w14:textId="4D6EC2F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2D13D" id="_x0000_t202" coordsize="21600,21600" o:spt="202" path="m,l,21600r21600,l21600,xe">
              <v:stroke joinstyle="miter"/>
              <v:path gradientshapeok="t" o:connecttype="rect"/>
            </v:shapetype>
            <v:shape id="Text Box 10" o:spid="_x0000_s1029" type="#_x0000_t202" style="position:absolute;margin-left:0;margin-top:793.7pt;width:347.5pt;height:31.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52B5A7D5" w14:textId="4D6EC2F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35328F8F" w14:textId="77777777">
      <w:tc>
        <w:tcPr>
          <w:tcW w:w="8472" w:type="dxa"/>
        </w:tcPr>
        <w:p w14:paraId="11FC5708" w14:textId="77777777" w:rsidR="00315F9E" w:rsidRDefault="00315F9E">
          <w:pPr>
            <w:rPr>
              <w:i/>
              <w:sz w:val="18"/>
            </w:rPr>
          </w:pPr>
        </w:p>
        <w:p w14:paraId="0976FF73" w14:textId="44086AF7" w:rsidR="00FA06CA" w:rsidRDefault="00FA06CA">
          <w:pPr>
            <w:rPr>
              <w:sz w:val="18"/>
            </w:rPr>
          </w:pPr>
        </w:p>
      </w:tc>
    </w:tr>
    <w:bookmarkEnd w:id="0"/>
    <w:bookmarkEnd w:id="1"/>
    <w:bookmarkEnd w:id="2"/>
    <w:bookmarkEnd w:id="3"/>
  </w:tbl>
  <w:p w14:paraId="6FBA1DF0" w14:textId="77777777" w:rsidR="00FA06CA" w:rsidRPr="007500C8" w:rsidRDefault="00FA0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1870" w14:textId="77777777" w:rsidR="00FA06CA" w:rsidRPr="00315F9E" w:rsidRDefault="00FA06CA" w:rsidP="00315F9E">
    <w:pPr>
      <w:pStyle w:val="Footer"/>
    </w:pPr>
    <w:bookmarkStart w:id="6" w:name="_Hlk26286431"/>
    <w:bookmarkStart w:id="7" w:name="_Hlk26286432"/>
    <w:bookmarkStart w:id="8" w:name="_Hlk26286443"/>
    <w:bookmarkStart w:id="9" w:name="_Hlk26286444"/>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C66" w14:textId="4933BD27" w:rsidR="00FA06CA" w:rsidRPr="00E33C1C" w:rsidRDefault="00315F9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1312" behindDoc="1" locked="0" layoutInCell="1" allowOverlap="1" wp14:anchorId="60EC5F6D" wp14:editId="62BB521B">
              <wp:simplePos x="0" y="0"/>
              <wp:positionH relativeFrom="column">
                <wp:align>center</wp:align>
              </wp:positionH>
              <wp:positionV relativeFrom="page">
                <wp:posOffset>10079990</wp:posOffset>
              </wp:positionV>
              <wp:extent cx="4413250" cy="39560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698EA14" w14:textId="2C914C19"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C5F6D" id="_x0000_t202" coordsize="21600,21600" o:spt="202" path="m,l,21600r21600,l21600,xe">
              <v:stroke joinstyle="miter"/>
              <v:path gradientshapeok="t" o:connecttype="rect"/>
            </v:shapetype>
            <v:shape id="Text Box 13" o:spid="_x0000_s1032" type="#_x0000_t202" style="position:absolute;margin-left:0;margin-top:793.7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2698EA14" w14:textId="2C914C19"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A06CA" w14:paraId="55EB048F" w14:textId="77777777">
      <w:tc>
        <w:tcPr>
          <w:tcW w:w="709" w:type="dxa"/>
          <w:tcBorders>
            <w:top w:val="nil"/>
            <w:left w:val="nil"/>
            <w:bottom w:val="nil"/>
            <w:right w:val="nil"/>
          </w:tcBorders>
        </w:tcPr>
        <w:p w14:paraId="4510614B"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07144BA" w14:textId="7031AD4E"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F57E6">
            <w:rPr>
              <w:i/>
              <w:noProof/>
              <w:sz w:val="18"/>
            </w:rPr>
            <w:t>Insurance Acquisitions and Takeovers (Public Interest) Determination 2023</w:t>
          </w:r>
          <w:r>
            <w:rPr>
              <w:i/>
              <w:sz w:val="18"/>
            </w:rPr>
            <w:fldChar w:fldCharType="end"/>
          </w:r>
        </w:p>
      </w:tc>
      <w:tc>
        <w:tcPr>
          <w:tcW w:w="1383" w:type="dxa"/>
          <w:tcBorders>
            <w:top w:val="nil"/>
            <w:left w:val="nil"/>
            <w:bottom w:val="nil"/>
            <w:right w:val="nil"/>
          </w:tcBorders>
        </w:tcPr>
        <w:p w14:paraId="75AEBA8C" w14:textId="77777777" w:rsidR="00315F9E" w:rsidRDefault="00315F9E">
          <w:pPr>
            <w:spacing w:line="0" w:lineRule="atLeast"/>
            <w:jc w:val="right"/>
            <w:rPr>
              <w:sz w:val="18"/>
            </w:rPr>
          </w:pPr>
        </w:p>
        <w:p w14:paraId="34665C2D" w14:textId="3BE25A4B" w:rsidR="00FA06CA" w:rsidRDefault="00FA06CA">
          <w:pPr>
            <w:spacing w:line="0" w:lineRule="atLeast"/>
            <w:jc w:val="right"/>
            <w:rPr>
              <w:sz w:val="18"/>
            </w:rPr>
          </w:pPr>
        </w:p>
      </w:tc>
    </w:tr>
    <w:tr w:rsidR="00FA06CA" w14:paraId="04A258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878507" w14:textId="77777777" w:rsidR="00315F9E" w:rsidRDefault="00315F9E">
          <w:pPr>
            <w:jc w:val="right"/>
            <w:rPr>
              <w:i/>
              <w:sz w:val="18"/>
            </w:rPr>
          </w:pPr>
        </w:p>
        <w:p w14:paraId="341AD677" w14:textId="1DD3B9B1" w:rsidR="00FA06CA" w:rsidRDefault="00FA06CA">
          <w:pPr>
            <w:jc w:val="right"/>
            <w:rPr>
              <w:sz w:val="18"/>
            </w:rPr>
          </w:pPr>
        </w:p>
      </w:tc>
    </w:tr>
  </w:tbl>
  <w:p w14:paraId="6317618D"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3F9" w14:textId="4CF1C00A" w:rsidR="00FA06CA" w:rsidRPr="00E33C1C" w:rsidRDefault="00315F9E">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r>
      <w:rPr>
        <w:noProof/>
        <w:sz w:val="16"/>
        <w:szCs w:val="16"/>
      </w:rPr>
      <mc:AlternateContent>
        <mc:Choice Requires="wps">
          <w:drawing>
            <wp:anchor distT="0" distB="0" distL="114300" distR="114300" simplePos="0" relativeHeight="251660288" behindDoc="1" locked="0" layoutInCell="1" allowOverlap="1" wp14:anchorId="71611187" wp14:editId="4749B0B2">
              <wp:simplePos x="0" y="0"/>
              <wp:positionH relativeFrom="column">
                <wp:align>center</wp:align>
              </wp:positionH>
              <wp:positionV relativeFrom="page">
                <wp:posOffset>10079990</wp:posOffset>
              </wp:positionV>
              <wp:extent cx="4413250" cy="395605"/>
              <wp:effectExtent l="0" t="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74790CF" w14:textId="5985D501"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11187" id="_x0000_t202" coordsize="21600,21600" o:spt="202" path="m,l,21600r21600,l21600,xe">
              <v:stroke joinstyle="miter"/>
              <v:path gradientshapeok="t" o:connecttype="rect"/>
            </v:shapetype>
            <v:shape id="Text Box 12" o:spid="_x0000_s1033" type="#_x0000_t202" style="position:absolute;margin-left:0;margin-top:793.7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574790CF" w14:textId="5985D501"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A06CA" w14:paraId="3E43B246" w14:textId="77777777">
      <w:tc>
        <w:tcPr>
          <w:tcW w:w="1383" w:type="dxa"/>
          <w:tcBorders>
            <w:top w:val="nil"/>
            <w:left w:val="nil"/>
            <w:bottom w:val="nil"/>
            <w:right w:val="nil"/>
          </w:tcBorders>
        </w:tcPr>
        <w:p w14:paraId="578531B4" w14:textId="77777777" w:rsidR="00FA06CA" w:rsidRDefault="00FA06CA">
          <w:pPr>
            <w:spacing w:line="0" w:lineRule="atLeast"/>
            <w:rPr>
              <w:sz w:val="18"/>
            </w:rPr>
          </w:pPr>
        </w:p>
      </w:tc>
      <w:tc>
        <w:tcPr>
          <w:tcW w:w="6380" w:type="dxa"/>
          <w:tcBorders>
            <w:top w:val="nil"/>
            <w:left w:val="nil"/>
            <w:bottom w:val="nil"/>
            <w:right w:val="nil"/>
          </w:tcBorders>
        </w:tcPr>
        <w:p w14:paraId="2BD0B61C" w14:textId="139F838F"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9763D">
            <w:rPr>
              <w:i/>
              <w:noProof/>
              <w:sz w:val="18"/>
            </w:rPr>
            <w:t>Insurance Acquisitions and Takeovers (Public Interest) Determination 2023</w:t>
          </w:r>
          <w:r>
            <w:rPr>
              <w:i/>
              <w:sz w:val="18"/>
            </w:rPr>
            <w:fldChar w:fldCharType="end"/>
          </w:r>
        </w:p>
      </w:tc>
      <w:tc>
        <w:tcPr>
          <w:tcW w:w="709" w:type="dxa"/>
          <w:tcBorders>
            <w:top w:val="nil"/>
            <w:left w:val="nil"/>
            <w:bottom w:val="nil"/>
            <w:right w:val="nil"/>
          </w:tcBorders>
        </w:tcPr>
        <w:p w14:paraId="00E72359"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12748F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A3BDDD" w14:textId="77777777" w:rsidR="00315F9E" w:rsidRDefault="00315F9E">
          <w:pPr>
            <w:rPr>
              <w:i/>
              <w:sz w:val="18"/>
            </w:rPr>
          </w:pPr>
        </w:p>
        <w:p w14:paraId="461AEFF6" w14:textId="0E1C8194" w:rsidR="00FA06CA" w:rsidRDefault="00FA06CA">
          <w:pPr>
            <w:rPr>
              <w:sz w:val="18"/>
            </w:rPr>
          </w:pPr>
        </w:p>
      </w:tc>
    </w:tr>
    <w:bookmarkEnd w:id="10"/>
    <w:bookmarkEnd w:id="11"/>
    <w:bookmarkEnd w:id="12"/>
    <w:bookmarkEnd w:id="13"/>
  </w:tbl>
  <w:p w14:paraId="1CA1BC86" w14:textId="77777777" w:rsidR="00FA06CA" w:rsidRPr="00ED79B6" w:rsidRDefault="00FA06C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C195" w14:textId="1E972FF8" w:rsidR="00F2383D" w:rsidRPr="00E33C1C" w:rsidRDefault="00315F9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3360" behindDoc="0" locked="0" layoutInCell="1" allowOverlap="1" wp14:anchorId="2917FD3C" wp14:editId="07D5BCC2">
              <wp:simplePos x="0" y="0"/>
              <wp:positionH relativeFrom="column">
                <wp:align>center</wp:align>
              </wp:positionH>
              <wp:positionV relativeFrom="page">
                <wp:posOffset>10079990</wp:posOffset>
              </wp:positionV>
              <wp:extent cx="4413250" cy="395605"/>
              <wp:effectExtent l="0" t="0" r="635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3CB335A" w14:textId="3254B89D"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7FD3C" id="_x0000_t202" coordsize="21600,21600" o:spt="202" path="m,l,21600r21600,l21600,xe">
              <v:stroke joinstyle="miter"/>
              <v:path gradientshapeok="t" o:connecttype="rect"/>
            </v:shapetype>
            <v:shape id="Text Box 24" o:spid="_x0000_s1036" type="#_x0000_t202" style="position:absolute;margin-left:0;margin-top:793.7pt;width:347.5pt;height:31.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RHDlSDsCAAB2BAAADgAAAAAA&#10;AAAAAAAAAAAuAgAAZHJzL2Uyb0RvYy54bWxQSwECLQAUAAYACAAAACEAziZn3N4AAAAKAQAADwAA&#10;AAAAAAAAAAAAAACVBAAAZHJzL2Rvd25yZXYueG1sUEsFBgAAAAAEAAQA8wAAAKAFAAAAAA==&#10;" stroked="f" strokeweight=".5pt">
              <v:path arrowok="t"/>
              <v:textbox>
                <w:txbxContent>
                  <w:p w14:paraId="63CB335A" w14:textId="3254B89D"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2383D" w14:paraId="46944DCF" w14:textId="77777777">
      <w:tc>
        <w:tcPr>
          <w:tcW w:w="709" w:type="dxa"/>
          <w:tcBorders>
            <w:top w:val="nil"/>
            <w:left w:val="nil"/>
            <w:bottom w:val="nil"/>
            <w:right w:val="nil"/>
          </w:tcBorders>
        </w:tcPr>
        <w:p w14:paraId="10155D41" w14:textId="77777777" w:rsidR="00F2383D"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EA73E4A" w14:textId="2FCED9DB" w:rsidR="00F2383D"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9763D">
            <w:rPr>
              <w:i/>
              <w:noProof/>
              <w:sz w:val="18"/>
            </w:rPr>
            <w:t>Insurance Acquisitions and Takeovers (Public Interest) Determination 2023</w:t>
          </w:r>
          <w:r>
            <w:rPr>
              <w:i/>
              <w:sz w:val="18"/>
            </w:rPr>
            <w:fldChar w:fldCharType="end"/>
          </w:r>
        </w:p>
      </w:tc>
      <w:tc>
        <w:tcPr>
          <w:tcW w:w="1383" w:type="dxa"/>
          <w:tcBorders>
            <w:top w:val="nil"/>
            <w:left w:val="nil"/>
            <w:bottom w:val="nil"/>
            <w:right w:val="nil"/>
          </w:tcBorders>
        </w:tcPr>
        <w:p w14:paraId="4520FC7A" w14:textId="77777777" w:rsidR="00315F9E" w:rsidRDefault="00315F9E">
          <w:pPr>
            <w:spacing w:line="0" w:lineRule="atLeast"/>
            <w:jc w:val="right"/>
            <w:rPr>
              <w:sz w:val="18"/>
            </w:rPr>
          </w:pPr>
        </w:p>
        <w:p w14:paraId="110D4ECA" w14:textId="49EDDC15" w:rsidR="00F2383D" w:rsidRDefault="00F2383D">
          <w:pPr>
            <w:spacing w:line="0" w:lineRule="atLeast"/>
            <w:jc w:val="right"/>
            <w:rPr>
              <w:sz w:val="18"/>
            </w:rPr>
          </w:pPr>
        </w:p>
      </w:tc>
    </w:tr>
    <w:tr w:rsidR="00F2383D" w14:paraId="58C919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28FCE35" w14:textId="77777777" w:rsidR="00315F9E" w:rsidRDefault="00315F9E">
          <w:pPr>
            <w:jc w:val="right"/>
            <w:rPr>
              <w:i/>
              <w:sz w:val="18"/>
            </w:rPr>
          </w:pPr>
        </w:p>
        <w:p w14:paraId="4279E168" w14:textId="6C5CE37B" w:rsidR="00F2383D" w:rsidRDefault="00F2383D">
          <w:pPr>
            <w:jc w:val="right"/>
            <w:rPr>
              <w:sz w:val="18"/>
            </w:rPr>
          </w:pPr>
        </w:p>
      </w:tc>
    </w:tr>
  </w:tbl>
  <w:p w14:paraId="35D6430F" w14:textId="77777777" w:rsidR="00F2383D" w:rsidRPr="00ED79B6" w:rsidRDefault="00F2383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DDFD" w14:textId="1602B818" w:rsidR="00F2383D" w:rsidRPr="00E33C1C" w:rsidRDefault="00315F9E">
    <w:pPr>
      <w:pBdr>
        <w:top w:val="single" w:sz="6" w:space="1" w:color="auto"/>
      </w:pBdr>
      <w:spacing w:before="120" w:line="0" w:lineRule="atLeast"/>
      <w:rPr>
        <w:sz w:val="16"/>
        <w:szCs w:val="16"/>
      </w:rPr>
    </w:pPr>
    <w:bookmarkStart w:id="30" w:name="_Hlk26286453"/>
    <w:bookmarkStart w:id="31" w:name="_Hlk26286454"/>
    <w:bookmarkStart w:id="32" w:name="_Hlk26286457"/>
    <w:bookmarkStart w:id="33" w:name="_Hlk26286458"/>
    <w:r>
      <w:rPr>
        <w:noProof/>
        <w:sz w:val="16"/>
        <w:szCs w:val="16"/>
      </w:rPr>
      <mc:AlternateContent>
        <mc:Choice Requires="wps">
          <w:drawing>
            <wp:anchor distT="0" distB="0" distL="114300" distR="114300" simplePos="0" relativeHeight="251662336" behindDoc="0" locked="0" layoutInCell="1" allowOverlap="1" wp14:anchorId="015D1F1B" wp14:editId="2DB72642">
              <wp:simplePos x="0" y="0"/>
              <wp:positionH relativeFrom="column">
                <wp:align>center</wp:align>
              </wp:positionH>
              <wp:positionV relativeFrom="page">
                <wp:posOffset>10079990</wp:posOffset>
              </wp:positionV>
              <wp:extent cx="4413250" cy="395605"/>
              <wp:effectExtent l="0" t="0" r="635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9B69F74" w14:textId="3629F93D"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1F1B" id="_x0000_t202" coordsize="21600,21600" o:spt="202" path="m,l,21600r21600,l21600,xe">
              <v:stroke joinstyle="miter"/>
              <v:path gradientshapeok="t" o:connecttype="rect"/>
            </v:shapetype>
            <v:shape id="Text Box 18" o:spid="_x0000_s1037" type="#_x0000_t202" style="position:absolute;margin-left:0;margin-top:793.7pt;width:347.5pt;height:31.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DvCqp08AgAAdgQAAA4AAAAA&#10;AAAAAAAAAAAALgIAAGRycy9lMm9Eb2MueG1sUEsBAi0AFAAGAAgAAAAhAM4mZ9zeAAAACgEAAA8A&#10;AAAAAAAAAAAAAAAAlgQAAGRycy9kb3ducmV2LnhtbFBLBQYAAAAABAAEAPMAAAChBQAAAAA=&#10;" stroked="f" strokeweight=".5pt">
              <v:path arrowok="t"/>
              <v:textbox>
                <w:txbxContent>
                  <w:p w14:paraId="09B69F74" w14:textId="3629F93D"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7"/>
      <w:gridCol w:w="699"/>
    </w:tblGrid>
    <w:tr w:rsidR="00F2383D" w14:paraId="41CA4784" w14:textId="77777777">
      <w:tc>
        <w:tcPr>
          <w:tcW w:w="1384" w:type="dxa"/>
          <w:tcBorders>
            <w:top w:val="nil"/>
            <w:left w:val="nil"/>
            <w:bottom w:val="nil"/>
            <w:right w:val="nil"/>
          </w:tcBorders>
        </w:tcPr>
        <w:p w14:paraId="1D8AF992" w14:textId="77777777" w:rsidR="00F2383D" w:rsidRDefault="00F2383D">
          <w:pPr>
            <w:spacing w:line="0" w:lineRule="atLeast"/>
            <w:rPr>
              <w:sz w:val="18"/>
            </w:rPr>
          </w:pPr>
        </w:p>
      </w:tc>
      <w:tc>
        <w:tcPr>
          <w:tcW w:w="6379" w:type="dxa"/>
          <w:tcBorders>
            <w:top w:val="nil"/>
            <w:left w:val="nil"/>
            <w:bottom w:val="nil"/>
            <w:right w:val="nil"/>
          </w:tcBorders>
        </w:tcPr>
        <w:p w14:paraId="77951487" w14:textId="610F7FDF" w:rsidR="00F2383D"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9763D">
            <w:rPr>
              <w:i/>
              <w:noProof/>
              <w:sz w:val="18"/>
            </w:rPr>
            <w:t>Insurance Acquisitions and Takeovers (Public Interest) Determination 2023</w:t>
          </w:r>
          <w:r>
            <w:rPr>
              <w:i/>
              <w:sz w:val="18"/>
            </w:rPr>
            <w:fldChar w:fldCharType="end"/>
          </w:r>
        </w:p>
      </w:tc>
      <w:tc>
        <w:tcPr>
          <w:tcW w:w="709" w:type="dxa"/>
          <w:tcBorders>
            <w:top w:val="nil"/>
            <w:left w:val="nil"/>
            <w:bottom w:val="nil"/>
            <w:right w:val="nil"/>
          </w:tcBorders>
        </w:tcPr>
        <w:p w14:paraId="2D416B9E" w14:textId="77777777" w:rsidR="00F2383D"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2383D" w14:paraId="46F74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1ECE3F" w14:textId="77777777" w:rsidR="00315F9E" w:rsidRDefault="00315F9E">
          <w:pPr>
            <w:rPr>
              <w:i/>
              <w:sz w:val="18"/>
            </w:rPr>
          </w:pPr>
        </w:p>
        <w:p w14:paraId="082678DC" w14:textId="358861DB" w:rsidR="00F2383D" w:rsidRDefault="00F2383D">
          <w:pPr>
            <w:rPr>
              <w:sz w:val="18"/>
            </w:rPr>
          </w:pPr>
        </w:p>
      </w:tc>
    </w:tr>
    <w:bookmarkEnd w:id="30"/>
    <w:bookmarkEnd w:id="31"/>
    <w:bookmarkEnd w:id="32"/>
    <w:bookmarkEnd w:id="33"/>
  </w:tbl>
  <w:p w14:paraId="170F6FA9" w14:textId="77777777" w:rsidR="00F2383D" w:rsidRPr="00ED79B6" w:rsidRDefault="00F2383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7103" w14:textId="77777777" w:rsidR="00F2383D" w:rsidRPr="00E33C1C" w:rsidRDefault="00F2383D">
    <w:pPr>
      <w:pBdr>
        <w:top w:val="single" w:sz="6" w:space="1" w:color="auto"/>
      </w:pBdr>
      <w:spacing w:line="0" w:lineRule="atLeast"/>
      <w:rPr>
        <w:sz w:val="16"/>
        <w:szCs w:val="16"/>
      </w:rPr>
    </w:pPr>
    <w:bookmarkStart w:id="36" w:name="_Hlk26286455"/>
    <w:bookmarkStart w:id="37" w:name="_Hlk26286456"/>
  </w:p>
  <w:tbl>
    <w:tblPr>
      <w:tblStyle w:val="TableGrid"/>
      <w:tblW w:w="0" w:type="auto"/>
      <w:tblLook w:val="04A0" w:firstRow="1" w:lastRow="0" w:firstColumn="1" w:lastColumn="0" w:noHBand="0" w:noVBand="1"/>
    </w:tblPr>
    <w:tblGrid>
      <w:gridCol w:w="1357"/>
      <w:gridCol w:w="6257"/>
      <w:gridCol w:w="699"/>
    </w:tblGrid>
    <w:tr w:rsidR="00F2383D" w14:paraId="11214C54" w14:textId="77777777">
      <w:tc>
        <w:tcPr>
          <w:tcW w:w="1384" w:type="dxa"/>
          <w:tcBorders>
            <w:top w:val="nil"/>
            <w:left w:val="nil"/>
            <w:bottom w:val="nil"/>
            <w:right w:val="nil"/>
          </w:tcBorders>
        </w:tcPr>
        <w:p w14:paraId="7E085F8C" w14:textId="77777777" w:rsidR="00F2383D" w:rsidRDefault="00F2383D">
          <w:pPr>
            <w:spacing w:line="0" w:lineRule="atLeast"/>
            <w:rPr>
              <w:sz w:val="18"/>
            </w:rPr>
          </w:pPr>
        </w:p>
      </w:tc>
      <w:tc>
        <w:tcPr>
          <w:tcW w:w="6379" w:type="dxa"/>
          <w:tcBorders>
            <w:top w:val="nil"/>
            <w:left w:val="nil"/>
            <w:bottom w:val="nil"/>
            <w:right w:val="nil"/>
          </w:tcBorders>
        </w:tcPr>
        <w:p w14:paraId="2246676F" w14:textId="2F9C670A" w:rsidR="00F2383D"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57E6">
            <w:rPr>
              <w:i/>
              <w:sz w:val="18"/>
            </w:rPr>
            <w:t>Insurance Acquisitions and Takeovers (Public Interest) Determination 2023</w:t>
          </w:r>
          <w:r w:rsidRPr="007A1328">
            <w:rPr>
              <w:i/>
              <w:sz w:val="18"/>
            </w:rPr>
            <w:fldChar w:fldCharType="end"/>
          </w:r>
        </w:p>
      </w:tc>
      <w:tc>
        <w:tcPr>
          <w:tcW w:w="709" w:type="dxa"/>
          <w:tcBorders>
            <w:top w:val="nil"/>
            <w:left w:val="nil"/>
            <w:bottom w:val="nil"/>
            <w:right w:val="nil"/>
          </w:tcBorders>
        </w:tcPr>
        <w:p w14:paraId="01FAE49F" w14:textId="77777777" w:rsidR="00F2383D"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2383D" w14:paraId="7427FF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C9D3A7" w14:textId="77777777" w:rsidR="00315F9E" w:rsidRDefault="00315F9E">
          <w:pPr>
            <w:rPr>
              <w:i/>
              <w:sz w:val="18"/>
            </w:rPr>
          </w:pPr>
        </w:p>
        <w:p w14:paraId="4579FE92" w14:textId="5E080C39" w:rsidR="00F2383D" w:rsidRDefault="00F2383D">
          <w:pPr>
            <w:rPr>
              <w:sz w:val="18"/>
            </w:rPr>
          </w:pPr>
        </w:p>
      </w:tc>
    </w:tr>
    <w:bookmarkEnd w:id="36"/>
    <w:bookmarkEnd w:id="37"/>
  </w:tbl>
  <w:p w14:paraId="3D82CBBD" w14:textId="77777777" w:rsidR="00F2383D" w:rsidRPr="00ED79B6" w:rsidRDefault="00F2383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45E9" w14:textId="77777777" w:rsidR="00BA0914" w:rsidRDefault="00BA0914" w:rsidP="00FA06CA">
      <w:pPr>
        <w:spacing w:line="240" w:lineRule="auto"/>
      </w:pPr>
      <w:r>
        <w:separator/>
      </w:r>
    </w:p>
  </w:footnote>
  <w:footnote w:type="continuationSeparator" w:id="0">
    <w:p w14:paraId="3795497A" w14:textId="77777777" w:rsidR="00BA0914" w:rsidRDefault="00BA0914" w:rsidP="00FA06CA">
      <w:pPr>
        <w:spacing w:line="240" w:lineRule="auto"/>
      </w:pPr>
      <w:r>
        <w:continuationSeparator/>
      </w:r>
    </w:p>
  </w:footnote>
  <w:footnote w:type="continuationNotice" w:id="1">
    <w:p w14:paraId="6727BA74" w14:textId="77777777" w:rsidR="00BA0914" w:rsidRDefault="00BA09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5F9" w14:textId="0B0B6258" w:rsidR="00FA06CA" w:rsidRPr="005F1388" w:rsidRDefault="00315F9E">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4EC8701B" wp14:editId="2DBAC80B">
              <wp:simplePos x="0" y="0"/>
              <wp:positionH relativeFrom="column">
                <wp:align>center</wp:align>
              </wp:positionH>
              <wp:positionV relativeFrom="page">
                <wp:posOffset>143510</wp:posOffset>
              </wp:positionV>
              <wp:extent cx="4413250" cy="395605"/>
              <wp:effectExtent l="0" t="0" r="635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9F2DB36" w14:textId="4246946F"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8701B" id="_x0000_t202" coordsize="21600,21600" o:spt="202" path="m,l,21600r21600,l21600,xe">
              <v:stroke joinstyle="miter"/>
              <v:path gradientshapeok="t" o:connecttype="rect"/>
            </v:shapetype>
            <v:shape id="Text Box 5" o:spid="_x0000_s1026" type="#_x0000_t202" style="position:absolute;margin-left:0;margin-top:11.3pt;width:347.5pt;height:31.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49F2DB36" w14:textId="4246946F"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F5B4" w14:textId="6DE8574C" w:rsidR="00FA06CA" w:rsidRPr="005F1388" w:rsidRDefault="00315F9E">
    <w:pPr>
      <w:pStyle w:val="Header"/>
      <w:tabs>
        <w:tab w:val="clear" w:pos="4150"/>
        <w:tab w:val="clear" w:pos="8307"/>
      </w:tabs>
    </w:pPr>
    <w:r>
      <w:rPr>
        <w:noProof/>
      </w:rPr>
      <mc:AlternateContent>
        <mc:Choice Requires="wps">
          <w:drawing>
            <wp:anchor distT="0" distB="0" distL="114300" distR="114300" simplePos="0" relativeHeight="251652096" behindDoc="1" locked="0" layoutInCell="1" allowOverlap="1" wp14:anchorId="0569EB2F" wp14:editId="71990F2E">
              <wp:simplePos x="0" y="0"/>
              <wp:positionH relativeFrom="column">
                <wp:align>center</wp:align>
              </wp:positionH>
              <wp:positionV relativeFrom="page">
                <wp:posOffset>143510</wp:posOffset>
              </wp:positionV>
              <wp:extent cx="4413250" cy="395605"/>
              <wp:effectExtent l="0" t="0" r="635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4F74E20" w14:textId="63B495E3"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9EB2F" id="_x0000_t202" coordsize="21600,21600" o:spt="202" path="m,l,21600r21600,l21600,xe">
              <v:stroke joinstyle="miter"/>
              <v:path gradientshapeok="t" o:connecttype="rect"/>
            </v:shapetype>
            <v:shape id="Text Box 4" o:spid="_x0000_s1027" type="#_x0000_t202" style="position:absolute;margin-left:0;margin-top:11.3pt;width:347.5pt;height:31.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34F74E20" w14:textId="63B495E3"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97A6"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3A2C" w14:textId="14ECC50C" w:rsidR="00FA06CA" w:rsidRPr="00ED79B6" w:rsidRDefault="00315F9E">
    <w:pPr>
      <w:pBdr>
        <w:bottom w:val="single" w:sz="6" w:space="1" w:color="auto"/>
      </w:pBdr>
      <w:spacing w:before="1000" w:line="240" w:lineRule="auto"/>
    </w:pPr>
    <w:r>
      <w:rPr>
        <w:noProof/>
      </w:rPr>
      <mc:AlternateContent>
        <mc:Choice Requires="wps">
          <w:drawing>
            <wp:anchor distT="0" distB="0" distL="114300" distR="114300" simplePos="0" relativeHeight="251655168" behindDoc="1" locked="0" layoutInCell="1" allowOverlap="1" wp14:anchorId="5A5013D5" wp14:editId="559BFFF0">
              <wp:simplePos x="0" y="0"/>
              <wp:positionH relativeFrom="column">
                <wp:align>center</wp:align>
              </wp:positionH>
              <wp:positionV relativeFrom="page">
                <wp:posOffset>143510</wp:posOffset>
              </wp:positionV>
              <wp:extent cx="4413250" cy="395605"/>
              <wp:effectExtent l="0" t="0" r="635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B5BBFA7" w14:textId="1420E891"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013D5" id="_x0000_t202" coordsize="21600,21600" o:spt="202" path="m,l,21600r21600,l21600,xe">
              <v:stroke joinstyle="miter"/>
              <v:path gradientshapeok="t" o:connecttype="rect"/>
            </v:shapetype>
            <v:shape id="Text Box 7" o:spid="_x0000_s1030" type="#_x0000_t202" style="position:absolute;margin-left:0;margin-top:11.3pt;width:347.5pt;height:31.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3B5BBFA7" w14:textId="1420E891"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83B5" w14:textId="79D67AB2" w:rsidR="00FA06CA" w:rsidRPr="00ED79B6" w:rsidRDefault="00315F9E">
    <w:pPr>
      <w:pBdr>
        <w:bottom w:val="single" w:sz="6" w:space="1" w:color="auto"/>
      </w:pBdr>
      <w:spacing w:before="1000" w:line="240" w:lineRule="auto"/>
    </w:pPr>
    <w:r>
      <w:rPr>
        <w:noProof/>
      </w:rPr>
      <mc:AlternateContent>
        <mc:Choice Requires="wps">
          <w:drawing>
            <wp:anchor distT="0" distB="0" distL="114300" distR="114300" simplePos="0" relativeHeight="251654144" behindDoc="1" locked="0" layoutInCell="1" allowOverlap="1" wp14:anchorId="342DF4AD" wp14:editId="5CB68FE6">
              <wp:simplePos x="0" y="0"/>
              <wp:positionH relativeFrom="column">
                <wp:align>center</wp:align>
              </wp:positionH>
              <wp:positionV relativeFrom="page">
                <wp:posOffset>143510</wp:posOffset>
              </wp:positionV>
              <wp:extent cx="4413250" cy="395605"/>
              <wp:effectExtent l="0" t="0" r="635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58262EE" w14:textId="4490C1A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DF4AD" id="_x0000_t202" coordsize="21600,21600" o:spt="202" path="m,l,21600r21600,l21600,xe">
              <v:stroke joinstyle="miter"/>
              <v:path gradientshapeok="t" o:connecttype="rect"/>
            </v:shapetype>
            <v:shape id="Text Box 6" o:spid="_x0000_s1031" type="#_x0000_t202" style="position:absolute;margin-left:0;margin-top:11.3pt;width:347.5pt;height:31.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058262EE" w14:textId="4490C1A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B3D0"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D0FD" w14:textId="2BF648E0" w:rsidR="00F2383D" w:rsidRDefault="00315F9E">
    <w:pPr>
      <w:rPr>
        <w:sz w:val="20"/>
      </w:rPr>
    </w:pPr>
    <w:r>
      <w:rPr>
        <w:b/>
        <w:noProof/>
        <w:sz w:val="20"/>
      </w:rPr>
      <mc:AlternateContent>
        <mc:Choice Requires="wps">
          <w:drawing>
            <wp:anchor distT="0" distB="0" distL="114300" distR="114300" simplePos="0" relativeHeight="251659264" behindDoc="1" locked="0" layoutInCell="1" allowOverlap="1" wp14:anchorId="5DC56967" wp14:editId="710C832A">
              <wp:simplePos x="0" y="0"/>
              <wp:positionH relativeFrom="column">
                <wp:align>center</wp:align>
              </wp:positionH>
              <wp:positionV relativeFrom="page">
                <wp:posOffset>143510</wp:posOffset>
              </wp:positionV>
              <wp:extent cx="4413250" cy="395605"/>
              <wp:effectExtent l="0" t="0" r="635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BC4C20C" w14:textId="6272FEEB"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56967" id="_x0000_t202" coordsize="21600,21600" o:spt="202" path="m,l,21600r21600,l21600,xe">
              <v:stroke joinstyle="miter"/>
              <v:path gradientshapeok="t" o:connecttype="rect"/>
            </v:shapetype>
            <v:shape id="Text Box 9" o:spid="_x0000_s1034"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hofDsCAAB1BAAADgAAAAAAAAAA&#10;AAAAAAAuAgAAZHJzL2Uyb0RvYy54bWxQSwECLQAUAAYACAAAACEAAixf+dsAAAAGAQAADwAAAAAA&#10;AAAAAAAAAACVBAAAZHJzL2Rvd25yZXYueG1sUEsFBgAAAAAEAAQA8wAAAJ0FAAAAAA==&#10;" stroked="f" strokeweight=".5pt">
              <v:path arrowok="t"/>
              <v:textbox>
                <w:txbxContent>
                  <w:p w14:paraId="4BC4C20C" w14:textId="6272FEEB"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b/>
        <w:sz w:val="20"/>
      </w:rPr>
      <w:fldChar w:fldCharType="begin"/>
    </w:r>
    <w:r w:rsidR="00636078" w:rsidRPr="007A1328">
      <w:rPr>
        <w:b/>
        <w:sz w:val="20"/>
      </w:rPr>
      <w:instrText xml:space="preserve"> STYLEREF CharChapNo </w:instrText>
    </w:r>
    <w:r w:rsidR="00636078" w:rsidRPr="007A1328">
      <w:rPr>
        <w:b/>
        <w:sz w:val="20"/>
      </w:rPr>
      <w:fldChar w:fldCharType="end"/>
    </w:r>
    <w:r w:rsidR="00636078" w:rsidRPr="007A1328">
      <w:rPr>
        <w:b/>
        <w:sz w:val="20"/>
      </w:rPr>
      <w:t xml:space="preserve"> </w:t>
    </w:r>
    <w:r w:rsidR="00636078">
      <w:rPr>
        <w:sz w:val="20"/>
      </w:rPr>
      <w:t xml:space="preserve"> </w:t>
    </w:r>
    <w:r w:rsidR="00636078">
      <w:rPr>
        <w:sz w:val="20"/>
      </w:rPr>
      <w:fldChar w:fldCharType="begin"/>
    </w:r>
    <w:r w:rsidR="00636078">
      <w:rPr>
        <w:sz w:val="20"/>
      </w:rPr>
      <w:instrText xml:space="preserve"> STYLEREF CharChapText </w:instrText>
    </w:r>
    <w:r w:rsidR="00636078">
      <w:rPr>
        <w:sz w:val="20"/>
      </w:rPr>
      <w:fldChar w:fldCharType="end"/>
    </w:r>
  </w:p>
  <w:p w14:paraId="734D6175" w14:textId="62755963" w:rsidR="00F2383D"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9763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9763D">
      <w:rPr>
        <w:noProof/>
        <w:sz w:val="20"/>
      </w:rPr>
      <w:t>Public interest matters</w:t>
    </w:r>
    <w:r>
      <w:rPr>
        <w:sz w:val="20"/>
      </w:rPr>
      <w:fldChar w:fldCharType="end"/>
    </w:r>
  </w:p>
  <w:p w14:paraId="7AA0C6C1" w14:textId="35A34149" w:rsidR="00F2383D"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F5C0B2" w14:textId="77777777" w:rsidR="00F2383D" w:rsidRPr="007A1328" w:rsidRDefault="00F2383D">
    <w:pPr>
      <w:rPr>
        <w:b/>
        <w:sz w:val="24"/>
      </w:rPr>
    </w:pPr>
  </w:p>
  <w:p w14:paraId="62EE1366" w14:textId="1AE0C8E3" w:rsidR="00F2383D"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F57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763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0BBA" w14:textId="4E488BDA" w:rsidR="00F2383D" w:rsidRPr="007A1328" w:rsidRDefault="00315F9E">
    <w:pPr>
      <w:jc w:val="right"/>
      <w:rPr>
        <w:sz w:val="20"/>
      </w:rPr>
    </w:pPr>
    <w:bookmarkStart w:id="26" w:name="_Hlk26286447"/>
    <w:bookmarkStart w:id="27" w:name="_Hlk26286448"/>
    <w:bookmarkStart w:id="28" w:name="_Hlk26286451"/>
    <w:bookmarkStart w:id="29" w:name="_Hlk26286452"/>
    <w:r>
      <w:rPr>
        <w:noProof/>
        <w:sz w:val="20"/>
      </w:rPr>
      <mc:AlternateContent>
        <mc:Choice Requires="wps">
          <w:drawing>
            <wp:anchor distT="0" distB="0" distL="114300" distR="114300" simplePos="0" relativeHeight="251656192" behindDoc="1" locked="0" layoutInCell="1" allowOverlap="1" wp14:anchorId="634A374E" wp14:editId="0810CEAF">
              <wp:simplePos x="0" y="0"/>
              <wp:positionH relativeFrom="column">
                <wp:align>center</wp:align>
              </wp:positionH>
              <wp:positionV relativeFrom="page">
                <wp:posOffset>143510</wp:posOffset>
              </wp:positionV>
              <wp:extent cx="4413250" cy="3956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CD9D93A" w14:textId="56D14B6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A374E" id="_x0000_t202" coordsize="21600,21600" o:spt="202" path="m,l,21600r21600,l21600,xe">
              <v:stroke joinstyle="miter"/>
              <v:path gradientshapeok="t" o:connecttype="rect"/>
            </v:shapetype>
            <v:shape id="Text Box 8" o:spid="_x0000_s1035" type="#_x0000_t202" style="position:absolute;left:0;text-align:left;margin-left:0;margin-top:11.3pt;width:347.5pt;height:31.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QfonqTsCAAB1BAAADgAAAAAAAAAA&#10;AAAAAAAuAgAAZHJzL2Uyb0RvYy54bWxQSwECLQAUAAYACAAAACEAAixf+dsAAAAGAQAADwAAAAAA&#10;AAAAAAAAAACVBAAAZHJzL2Rvd25yZXYueG1sUEsFBgAAAAAEAAQA8wAAAJ0FAAAAAA==&#10;" stroked="f" strokeweight=".5pt">
              <v:path arrowok="t"/>
              <v:textbox>
                <w:txbxContent>
                  <w:p w14:paraId="4CD9D93A" w14:textId="56D14B62" w:rsidR="00315F9E" w:rsidRPr="00315F9E" w:rsidRDefault="00315F9E" w:rsidP="00315F9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F57E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sz w:val="20"/>
      </w:rPr>
      <w:fldChar w:fldCharType="begin"/>
    </w:r>
    <w:r w:rsidR="00636078" w:rsidRPr="007A1328">
      <w:rPr>
        <w:sz w:val="20"/>
      </w:rPr>
      <w:instrText xml:space="preserve"> STYLEREF CharChapText </w:instrText>
    </w:r>
    <w:r w:rsidR="00636078" w:rsidRPr="007A1328">
      <w:rPr>
        <w:sz w:val="20"/>
      </w:rPr>
      <w:fldChar w:fldCharType="end"/>
    </w:r>
    <w:r w:rsidR="00636078" w:rsidRPr="007A1328">
      <w:rPr>
        <w:sz w:val="20"/>
      </w:rPr>
      <w:t xml:space="preserve"> </w:t>
    </w:r>
    <w:r w:rsidR="00636078" w:rsidRPr="007A1328">
      <w:rPr>
        <w:b/>
        <w:sz w:val="20"/>
      </w:rPr>
      <w:t xml:space="preserve"> </w:t>
    </w:r>
    <w:r w:rsidR="00636078">
      <w:rPr>
        <w:b/>
        <w:sz w:val="20"/>
      </w:rPr>
      <w:fldChar w:fldCharType="begin"/>
    </w:r>
    <w:r w:rsidR="00636078">
      <w:rPr>
        <w:b/>
        <w:sz w:val="20"/>
      </w:rPr>
      <w:instrText xml:space="preserve"> STYLEREF CharChapNo </w:instrText>
    </w:r>
    <w:r w:rsidR="00636078">
      <w:rPr>
        <w:b/>
        <w:sz w:val="20"/>
      </w:rPr>
      <w:fldChar w:fldCharType="end"/>
    </w:r>
  </w:p>
  <w:p w14:paraId="4AEEB9D5" w14:textId="718D0EF7" w:rsidR="00F2383D" w:rsidRPr="007A1328" w:rsidRDefault="00636078">
    <w:pPr>
      <w:jc w:val="right"/>
      <w:rPr>
        <w:sz w:val="20"/>
      </w:rPr>
    </w:pPr>
    <w:r w:rsidRPr="007A1328">
      <w:rPr>
        <w:sz w:val="20"/>
      </w:rPr>
      <w:fldChar w:fldCharType="begin"/>
    </w:r>
    <w:r w:rsidRPr="007A1328">
      <w:rPr>
        <w:sz w:val="20"/>
      </w:rPr>
      <w:instrText xml:space="preserve"> STYLEREF CharPartText </w:instrText>
    </w:r>
    <w:r w:rsidR="0069763D">
      <w:rPr>
        <w:sz w:val="20"/>
      </w:rPr>
      <w:fldChar w:fldCharType="separate"/>
    </w:r>
    <w:r w:rsidR="0069763D">
      <w:rPr>
        <w:noProof/>
        <w:sz w:val="20"/>
      </w:rPr>
      <w:t>Public interest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9763D">
      <w:rPr>
        <w:b/>
        <w:sz w:val="20"/>
      </w:rPr>
      <w:fldChar w:fldCharType="separate"/>
    </w:r>
    <w:r w:rsidR="0069763D">
      <w:rPr>
        <w:b/>
        <w:noProof/>
        <w:sz w:val="20"/>
      </w:rPr>
      <w:t>Part 2</w:t>
    </w:r>
    <w:r>
      <w:rPr>
        <w:b/>
        <w:sz w:val="20"/>
      </w:rPr>
      <w:fldChar w:fldCharType="end"/>
    </w:r>
  </w:p>
  <w:p w14:paraId="435C035C" w14:textId="2A49F588" w:rsidR="00F2383D"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F9B83D" w14:textId="77777777" w:rsidR="00F2383D" w:rsidRPr="007A1328" w:rsidRDefault="00F2383D">
    <w:pPr>
      <w:jc w:val="right"/>
      <w:rPr>
        <w:b/>
        <w:sz w:val="24"/>
      </w:rPr>
    </w:pPr>
  </w:p>
  <w:p w14:paraId="761DD180" w14:textId="79622228" w:rsidR="00F2383D"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F57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763D">
      <w:rPr>
        <w:noProof/>
        <w:sz w:val="24"/>
      </w:rPr>
      <w:t>7</w:t>
    </w:r>
    <w:r w:rsidRPr="007A1328">
      <w:rPr>
        <w:sz w:val="24"/>
      </w:rPr>
      <w:fldChar w:fldCharType="end"/>
    </w:r>
    <w:bookmarkEnd w:id="26"/>
    <w:bookmarkEnd w:id="27"/>
    <w:bookmarkEnd w:id="28"/>
    <w:bookmarkEnd w:id="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3FD6" w14:textId="77777777" w:rsidR="00F2383D" w:rsidRPr="007A1328" w:rsidRDefault="00F2383D">
    <w:bookmarkStart w:id="34" w:name="_Hlk26286449"/>
    <w:bookmarkStart w:id="35" w:name="_Hlk26286450"/>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8641B"/>
    <w:multiLevelType w:val="multilevel"/>
    <w:tmpl w:val="0F00B9A8"/>
    <w:lvl w:ilvl="0">
      <w:start w:val="1"/>
      <w:numFmt w:val="decimal"/>
      <w:lvlText w:val="(%1)"/>
      <w:lvlJc w:val="left"/>
      <w:pPr>
        <w:ind w:left="1166" w:hanging="435"/>
      </w:pPr>
      <w:rPr>
        <w:rFonts w:hint="default"/>
      </w:rPr>
    </w:lvl>
    <w:lvl w:ilvl="1">
      <w:start w:val="1"/>
      <w:numFmt w:val="lowerLetter"/>
      <w:lvlText w:val="(%2)"/>
      <w:lvlJc w:val="left"/>
      <w:pPr>
        <w:ind w:left="1811" w:hanging="360"/>
      </w:pPr>
      <w:rPr>
        <w:rFonts w:hint="default"/>
      </w:rPr>
    </w:lvl>
    <w:lvl w:ilvl="2">
      <w:start w:val="1"/>
      <w:numFmt w:val="lowerRoman"/>
      <w:lvlText w:val="(%3)"/>
      <w:lvlJc w:val="right"/>
      <w:pPr>
        <w:ind w:left="2531" w:hanging="180"/>
      </w:pPr>
      <w:rPr>
        <w:rFonts w:hint="default"/>
      </w:rPr>
    </w:lvl>
    <w:lvl w:ilvl="3">
      <w:start w:val="1"/>
      <w:numFmt w:val="decimal"/>
      <w:lvlText w:val="%4."/>
      <w:lvlJc w:val="left"/>
      <w:pPr>
        <w:ind w:left="3251" w:hanging="360"/>
      </w:pPr>
      <w:rPr>
        <w:rFonts w:hint="default"/>
      </w:rPr>
    </w:lvl>
    <w:lvl w:ilvl="4">
      <w:start w:val="1"/>
      <w:numFmt w:val="lowerLetter"/>
      <w:lvlText w:val="%5."/>
      <w:lvlJc w:val="left"/>
      <w:pPr>
        <w:ind w:left="3971" w:hanging="360"/>
      </w:pPr>
      <w:rPr>
        <w:rFonts w:hint="default"/>
      </w:rPr>
    </w:lvl>
    <w:lvl w:ilvl="5">
      <w:start w:val="1"/>
      <w:numFmt w:val="lowerRoman"/>
      <w:lvlText w:val="%6."/>
      <w:lvlJc w:val="right"/>
      <w:pPr>
        <w:ind w:left="4691" w:hanging="180"/>
      </w:pPr>
      <w:rPr>
        <w:rFonts w:hint="default"/>
      </w:rPr>
    </w:lvl>
    <w:lvl w:ilvl="6">
      <w:start w:val="1"/>
      <w:numFmt w:val="decimal"/>
      <w:lvlText w:val="%7."/>
      <w:lvlJc w:val="left"/>
      <w:pPr>
        <w:ind w:left="5411" w:hanging="360"/>
      </w:pPr>
      <w:rPr>
        <w:rFonts w:hint="default"/>
      </w:rPr>
    </w:lvl>
    <w:lvl w:ilvl="7">
      <w:start w:val="1"/>
      <w:numFmt w:val="lowerLetter"/>
      <w:lvlText w:val="%8."/>
      <w:lvlJc w:val="left"/>
      <w:pPr>
        <w:ind w:left="6131" w:hanging="360"/>
      </w:pPr>
      <w:rPr>
        <w:rFonts w:hint="default"/>
      </w:rPr>
    </w:lvl>
    <w:lvl w:ilvl="8">
      <w:start w:val="1"/>
      <w:numFmt w:val="lowerRoman"/>
      <w:lvlText w:val="%9."/>
      <w:lvlJc w:val="right"/>
      <w:pPr>
        <w:ind w:left="6851" w:hanging="180"/>
      </w:pPr>
      <w:rPr>
        <w:rFonts w:hint="default"/>
      </w:rPr>
    </w:lvl>
  </w:abstractNum>
  <w:abstractNum w:abstractNumId="12" w15:restartNumberingAfterBreak="0">
    <w:nsid w:val="2CE61E50"/>
    <w:multiLevelType w:val="hybridMultilevel"/>
    <w:tmpl w:val="0596C9E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2C4BED"/>
    <w:multiLevelType w:val="multilevel"/>
    <w:tmpl w:val="7DDCE92A"/>
    <w:lvl w:ilvl="0">
      <w:start w:val="2"/>
      <w:numFmt w:val="decimal"/>
      <w:lvlText w:val="(%1)"/>
      <w:lvlJc w:val="left"/>
      <w:pPr>
        <w:ind w:left="1144" w:hanging="435"/>
      </w:pPr>
      <w:rPr>
        <w:rFonts w:hint="default"/>
      </w:rPr>
    </w:lvl>
    <w:lvl w:ilvl="1">
      <w:start w:val="2"/>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15:restartNumberingAfterBreak="0">
    <w:nsid w:val="32D55694"/>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388D285D"/>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166171C"/>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8" w15:restartNumberingAfterBreak="0">
    <w:nsid w:val="4F106D27"/>
    <w:multiLevelType w:val="multilevel"/>
    <w:tmpl w:val="4A063CBC"/>
    <w:lvl w:ilvl="0">
      <w:start w:val="1"/>
      <w:numFmt w:val="decimal"/>
      <w:lvlText w:val="(%1)"/>
      <w:lvlJc w:val="left"/>
      <w:pPr>
        <w:ind w:left="1144" w:hanging="435"/>
      </w:pPr>
      <w:rPr>
        <w:rFonts w:hint="default"/>
        <w:i w:val="0"/>
        <w:iCs/>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9" w15:restartNumberingAfterBreak="0">
    <w:nsid w:val="58CE314E"/>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0" w15:restartNumberingAfterBreak="0">
    <w:nsid w:val="5BE105B6"/>
    <w:multiLevelType w:val="multilevel"/>
    <w:tmpl w:val="5A3E6EE2"/>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15:restartNumberingAfterBreak="0">
    <w:nsid w:val="6068409B"/>
    <w:multiLevelType w:val="multilevel"/>
    <w:tmpl w:val="3EB06940"/>
    <w:lvl w:ilvl="0">
      <w:start w:val="1"/>
      <w:numFmt w:val="decimal"/>
      <w:lvlText w:val="(%1)"/>
      <w:lvlJc w:val="left"/>
      <w:pPr>
        <w:ind w:left="1144" w:hanging="435"/>
      </w:pPr>
      <w:rPr>
        <w:rFonts w:hint="default"/>
        <w:i w:val="0"/>
        <w:iCs/>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15:restartNumberingAfterBreak="0">
    <w:nsid w:val="6BAC789F"/>
    <w:multiLevelType w:val="multilevel"/>
    <w:tmpl w:val="25022206"/>
    <w:lvl w:ilvl="0">
      <w:start w:val="1"/>
      <w:numFmt w:val="lowerRoman"/>
      <w:lvlText w:val="(%1)"/>
      <w:lvlJc w:val="right"/>
      <w:pPr>
        <w:ind w:left="1144" w:hanging="435"/>
      </w:pPr>
      <w:rPr>
        <w:rFonts w:ascii="Times New Roman" w:hAnsi="Times New Roman" w:cs="Times New Roman" w:hint="default"/>
      </w:rPr>
    </w:lvl>
    <w:lvl w:ilvl="1">
      <w:start w:val="1"/>
      <w:numFmt w:val="lowerLetter"/>
      <w:lvlText w:val="(%2)"/>
      <w:lvlJc w:val="left"/>
      <w:pPr>
        <w:ind w:left="1789" w:hanging="360"/>
      </w:pPr>
      <w:rPr>
        <w:rFonts w:hint="default"/>
      </w:rPr>
    </w:lvl>
    <w:lvl w:ilvl="2">
      <w:start w:val="1"/>
      <w:numFmt w:val="lowerRoman"/>
      <w:lvlText w:val="%3."/>
      <w:lvlJc w:val="lef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71952E57"/>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769348DF"/>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76D06182"/>
    <w:multiLevelType w:val="multilevel"/>
    <w:tmpl w:val="02D2A7C2"/>
    <w:lvl w:ilvl="0">
      <w:start w:val="1"/>
      <w:numFmt w:val="decimal"/>
      <w:lvlText w:val="(%1)"/>
      <w:lvlJc w:val="left"/>
      <w:pPr>
        <w:ind w:left="1144" w:hanging="435"/>
      </w:pPr>
      <w:rPr>
        <w:rFonts w:hint="default"/>
      </w:rPr>
    </w:lvl>
    <w:lvl w:ilvl="1">
      <w:start w:val="1"/>
      <w:numFmt w:val="none"/>
      <w:lvlText w:val="(a) "/>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16cid:durableId="377780575">
    <w:abstractNumId w:val="9"/>
  </w:num>
  <w:num w:numId="2" w16cid:durableId="1818180162">
    <w:abstractNumId w:val="7"/>
  </w:num>
  <w:num w:numId="3" w16cid:durableId="1682513824">
    <w:abstractNumId w:val="6"/>
  </w:num>
  <w:num w:numId="4" w16cid:durableId="896161612">
    <w:abstractNumId w:val="5"/>
  </w:num>
  <w:num w:numId="5" w16cid:durableId="1532765641">
    <w:abstractNumId w:val="4"/>
  </w:num>
  <w:num w:numId="6" w16cid:durableId="224343455">
    <w:abstractNumId w:val="8"/>
  </w:num>
  <w:num w:numId="7" w16cid:durableId="1715541612">
    <w:abstractNumId w:val="3"/>
  </w:num>
  <w:num w:numId="8" w16cid:durableId="598105254">
    <w:abstractNumId w:val="2"/>
  </w:num>
  <w:num w:numId="9" w16cid:durableId="62608175">
    <w:abstractNumId w:val="1"/>
  </w:num>
  <w:num w:numId="10" w16cid:durableId="168836411">
    <w:abstractNumId w:val="0"/>
  </w:num>
  <w:num w:numId="11" w16cid:durableId="824510767">
    <w:abstractNumId w:val="16"/>
  </w:num>
  <w:num w:numId="12" w16cid:durableId="1874149748">
    <w:abstractNumId w:val="10"/>
  </w:num>
  <w:num w:numId="13" w16cid:durableId="2093776593">
    <w:abstractNumId w:val="11"/>
  </w:num>
  <w:num w:numId="14" w16cid:durableId="1335108787">
    <w:abstractNumId w:val="22"/>
  </w:num>
  <w:num w:numId="15" w16cid:durableId="1685790566">
    <w:abstractNumId w:val="17"/>
  </w:num>
  <w:num w:numId="16" w16cid:durableId="1147088557">
    <w:abstractNumId w:val="18"/>
  </w:num>
  <w:num w:numId="17" w16cid:durableId="622809617">
    <w:abstractNumId w:val="20"/>
  </w:num>
  <w:num w:numId="18" w16cid:durableId="1505823048">
    <w:abstractNumId w:val="12"/>
  </w:num>
  <w:num w:numId="19" w16cid:durableId="2118940698">
    <w:abstractNumId w:val="21"/>
  </w:num>
  <w:num w:numId="20" w16cid:durableId="1002245359">
    <w:abstractNumId w:val="25"/>
  </w:num>
  <w:num w:numId="21" w16cid:durableId="91360392">
    <w:abstractNumId w:val="24"/>
  </w:num>
  <w:num w:numId="22" w16cid:durableId="1786190150">
    <w:abstractNumId w:val="19"/>
  </w:num>
  <w:num w:numId="23" w16cid:durableId="1646617991">
    <w:abstractNumId w:val="13"/>
  </w:num>
  <w:num w:numId="24" w16cid:durableId="1653212459">
    <w:abstractNumId w:val="23"/>
  </w:num>
  <w:num w:numId="25" w16cid:durableId="2010909113">
    <w:abstractNumId w:val="15"/>
  </w:num>
  <w:num w:numId="26" w16cid:durableId="509754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BA"/>
    <w:rsid w:val="000339CE"/>
    <w:rsid w:val="0003554A"/>
    <w:rsid w:val="0003683B"/>
    <w:rsid w:val="00046641"/>
    <w:rsid w:val="000B771B"/>
    <w:rsid w:val="000D3DD2"/>
    <w:rsid w:val="000E11D2"/>
    <w:rsid w:val="0010218C"/>
    <w:rsid w:val="00130A1D"/>
    <w:rsid w:val="00142B4A"/>
    <w:rsid w:val="00193F28"/>
    <w:rsid w:val="001D6F6E"/>
    <w:rsid w:val="001E4B8E"/>
    <w:rsid w:val="002241B4"/>
    <w:rsid w:val="00224CB1"/>
    <w:rsid w:val="00236C37"/>
    <w:rsid w:val="00252117"/>
    <w:rsid w:val="00261556"/>
    <w:rsid w:val="002717B0"/>
    <w:rsid w:val="00276301"/>
    <w:rsid w:val="0028577D"/>
    <w:rsid w:val="00287E4F"/>
    <w:rsid w:val="002A6004"/>
    <w:rsid w:val="002A7B37"/>
    <w:rsid w:val="00310ACC"/>
    <w:rsid w:val="00315F9E"/>
    <w:rsid w:val="003169B7"/>
    <w:rsid w:val="00337E15"/>
    <w:rsid w:val="003402A2"/>
    <w:rsid w:val="00363E63"/>
    <w:rsid w:val="003935F4"/>
    <w:rsid w:val="00396545"/>
    <w:rsid w:val="00396655"/>
    <w:rsid w:val="003972A6"/>
    <w:rsid w:val="003B7A36"/>
    <w:rsid w:val="003C3EC4"/>
    <w:rsid w:val="00405F46"/>
    <w:rsid w:val="004434AA"/>
    <w:rsid w:val="00470294"/>
    <w:rsid w:val="00470F33"/>
    <w:rsid w:val="00471BBB"/>
    <w:rsid w:val="004B1E10"/>
    <w:rsid w:val="004E7B53"/>
    <w:rsid w:val="004F515B"/>
    <w:rsid w:val="00501C56"/>
    <w:rsid w:val="00504C46"/>
    <w:rsid w:val="00510E2C"/>
    <w:rsid w:val="00512187"/>
    <w:rsid w:val="00514942"/>
    <w:rsid w:val="00521CB8"/>
    <w:rsid w:val="005278BC"/>
    <w:rsid w:val="005433AD"/>
    <w:rsid w:val="00547856"/>
    <w:rsid w:val="005834F6"/>
    <w:rsid w:val="00603CBA"/>
    <w:rsid w:val="00620A8C"/>
    <w:rsid w:val="00622AE5"/>
    <w:rsid w:val="006350E6"/>
    <w:rsid w:val="00636078"/>
    <w:rsid w:val="00637008"/>
    <w:rsid w:val="006843EC"/>
    <w:rsid w:val="00684624"/>
    <w:rsid w:val="0069763D"/>
    <w:rsid w:val="00697D06"/>
    <w:rsid w:val="006A78BC"/>
    <w:rsid w:val="006B3814"/>
    <w:rsid w:val="006E18E8"/>
    <w:rsid w:val="0070634C"/>
    <w:rsid w:val="00710F3B"/>
    <w:rsid w:val="00714498"/>
    <w:rsid w:val="007376B8"/>
    <w:rsid w:val="00750D91"/>
    <w:rsid w:val="007550BF"/>
    <w:rsid w:val="007B4F14"/>
    <w:rsid w:val="007D433D"/>
    <w:rsid w:val="00845C1A"/>
    <w:rsid w:val="00866EB9"/>
    <w:rsid w:val="00877198"/>
    <w:rsid w:val="00884B12"/>
    <w:rsid w:val="00894D83"/>
    <w:rsid w:val="008D1B23"/>
    <w:rsid w:val="008F0D8B"/>
    <w:rsid w:val="008F39CA"/>
    <w:rsid w:val="00931EB3"/>
    <w:rsid w:val="00936190"/>
    <w:rsid w:val="0093752B"/>
    <w:rsid w:val="009502A0"/>
    <w:rsid w:val="009633B8"/>
    <w:rsid w:val="00995776"/>
    <w:rsid w:val="009B3CB2"/>
    <w:rsid w:val="009B782F"/>
    <w:rsid w:val="009C2DA1"/>
    <w:rsid w:val="009F2DF4"/>
    <w:rsid w:val="00A070CC"/>
    <w:rsid w:val="00A24522"/>
    <w:rsid w:val="00A74B87"/>
    <w:rsid w:val="00B061C1"/>
    <w:rsid w:val="00B12E43"/>
    <w:rsid w:val="00B3539C"/>
    <w:rsid w:val="00B63E4B"/>
    <w:rsid w:val="00B82232"/>
    <w:rsid w:val="00B86C11"/>
    <w:rsid w:val="00BA0914"/>
    <w:rsid w:val="00BC6D23"/>
    <w:rsid w:val="00BE31EE"/>
    <w:rsid w:val="00C262C7"/>
    <w:rsid w:val="00C53081"/>
    <w:rsid w:val="00C768EA"/>
    <w:rsid w:val="00C8016D"/>
    <w:rsid w:val="00C9209D"/>
    <w:rsid w:val="00C9500F"/>
    <w:rsid w:val="00CE42F8"/>
    <w:rsid w:val="00CE75AC"/>
    <w:rsid w:val="00D001D0"/>
    <w:rsid w:val="00D04F32"/>
    <w:rsid w:val="00D17D57"/>
    <w:rsid w:val="00D77BBB"/>
    <w:rsid w:val="00D86D91"/>
    <w:rsid w:val="00DA4DEC"/>
    <w:rsid w:val="00DF57E6"/>
    <w:rsid w:val="00E061C5"/>
    <w:rsid w:val="00E07DAC"/>
    <w:rsid w:val="00E108C9"/>
    <w:rsid w:val="00E37CBD"/>
    <w:rsid w:val="00E6200F"/>
    <w:rsid w:val="00E71C80"/>
    <w:rsid w:val="00EA4A41"/>
    <w:rsid w:val="00F2383D"/>
    <w:rsid w:val="00F54513"/>
    <w:rsid w:val="00F56643"/>
    <w:rsid w:val="00F76541"/>
    <w:rsid w:val="00FA06CA"/>
    <w:rsid w:val="00FC4131"/>
    <w:rsid w:val="00FD6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0DA8"/>
  <w15:chartTrackingRefBased/>
  <w15:docId w15:val="{3BCA1A65-6316-4140-AF66-F748852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paragraph" w:customStyle="1" w:styleId="OutlineNumbered1">
    <w:name w:val="Outline Numbered 1"/>
    <w:basedOn w:val="Normal"/>
    <w:link w:val="OutlineNumbered1Char"/>
    <w:rsid w:val="000E11D2"/>
    <w:rPr>
      <w:lang w:eastAsia="en-AU"/>
    </w:rPr>
  </w:style>
  <w:style w:type="character" w:customStyle="1" w:styleId="OutlineNumbered1Char">
    <w:name w:val="Outline Numbered 1 Char"/>
    <w:basedOn w:val="DefaultParagraphFont"/>
    <w:link w:val="OutlineNumbered1"/>
    <w:rsid w:val="000E11D2"/>
    <w:rPr>
      <w:rFonts w:ascii="Times New Roman" w:hAnsi="Times New Roman"/>
      <w:szCs w:val="20"/>
      <w:lang w:eastAsia="en-AU"/>
    </w:rPr>
  </w:style>
  <w:style w:type="character" w:styleId="CommentReference">
    <w:name w:val="annotation reference"/>
    <w:basedOn w:val="DefaultParagraphFont"/>
    <w:uiPriority w:val="99"/>
    <w:semiHidden/>
    <w:unhideWhenUsed/>
    <w:rsid w:val="000E11D2"/>
    <w:rPr>
      <w:sz w:val="16"/>
      <w:szCs w:val="16"/>
    </w:rPr>
  </w:style>
  <w:style w:type="paragraph" w:styleId="CommentText">
    <w:name w:val="annotation text"/>
    <w:basedOn w:val="Normal"/>
    <w:link w:val="CommentTextChar"/>
    <w:uiPriority w:val="99"/>
    <w:semiHidden/>
    <w:unhideWhenUsed/>
    <w:rsid w:val="000E11D2"/>
    <w:pPr>
      <w:spacing w:line="240" w:lineRule="auto"/>
    </w:pPr>
    <w:rPr>
      <w:sz w:val="20"/>
    </w:rPr>
  </w:style>
  <w:style w:type="character" w:customStyle="1" w:styleId="CommentTextChar">
    <w:name w:val="Comment Text Char"/>
    <w:basedOn w:val="DefaultParagraphFont"/>
    <w:link w:val="CommentText"/>
    <w:uiPriority w:val="99"/>
    <w:semiHidden/>
    <w:rsid w:val="000E11D2"/>
    <w:rPr>
      <w:rFonts w:ascii="Times New Roman" w:hAnsi="Times New Roman"/>
      <w:sz w:val="20"/>
      <w:szCs w:val="20"/>
    </w:rPr>
  </w:style>
  <w:style w:type="paragraph" w:styleId="ListParagraph">
    <w:name w:val="List Paragraph"/>
    <w:basedOn w:val="Normal"/>
    <w:uiPriority w:val="34"/>
    <w:qFormat/>
    <w:rsid w:val="000E11D2"/>
    <w:pPr>
      <w:ind w:left="720"/>
      <w:contextualSpacing/>
    </w:pPr>
  </w:style>
  <w:style w:type="character" w:customStyle="1" w:styleId="ui-provider">
    <w:name w:val="ui-provider"/>
    <w:basedOn w:val="DefaultParagraphFont"/>
    <w:rsid w:val="002A6004"/>
  </w:style>
  <w:style w:type="character" w:styleId="Strong">
    <w:name w:val="Strong"/>
    <w:basedOn w:val="DefaultParagraphFont"/>
    <w:uiPriority w:val="22"/>
    <w:qFormat/>
    <w:rsid w:val="002A6004"/>
    <w:rPr>
      <w:b/>
      <w:bCs/>
    </w:rPr>
  </w:style>
  <w:style w:type="paragraph" w:styleId="CommentSubject">
    <w:name w:val="annotation subject"/>
    <w:basedOn w:val="CommentText"/>
    <w:next w:val="CommentText"/>
    <w:link w:val="CommentSubjectChar"/>
    <w:uiPriority w:val="99"/>
    <w:semiHidden/>
    <w:unhideWhenUsed/>
    <w:rsid w:val="00F56643"/>
    <w:rPr>
      <w:b/>
      <w:bCs/>
    </w:rPr>
  </w:style>
  <w:style w:type="character" w:customStyle="1" w:styleId="CommentSubjectChar">
    <w:name w:val="Comment Subject Char"/>
    <w:basedOn w:val="CommentTextChar"/>
    <w:link w:val="CommentSubject"/>
    <w:uiPriority w:val="99"/>
    <w:semiHidden/>
    <w:rsid w:val="00F56643"/>
    <w:rPr>
      <w:rFonts w:ascii="Times New Roman" w:hAnsi="Times New Roman"/>
      <w:b/>
      <w:bCs/>
      <w:sz w:val="20"/>
      <w:szCs w:val="20"/>
    </w:rPr>
  </w:style>
  <w:style w:type="paragraph" w:styleId="Revision">
    <w:name w:val="Revision"/>
    <w:hidden/>
    <w:uiPriority w:val="99"/>
    <w:semiHidden/>
    <w:rsid w:val="00FD6DDB"/>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2" ma:contentTypeDescription="Create a new document." ma:contentTypeScope="" ma:versionID="c67e27b986613e5675dbf4296f5475db">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TSY/47/0034; TSY/45/182; TSY/45/184; TSY/45/327; and TSY/45/409</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s>
    </gfba5f33532c49208d2320ce38cc3c2b>
    <_dlc_DocId xmlns="fe39d773-a83d-4623-ae74-f25711a76616">5D7SUYYWNZQE-1616336108-695</_dlc_DocId>
    <_dlc_DocIdUrl xmlns="fe39d773-a83d-4623-ae74-f25711a76616">
      <Url>https://austreasury.sharepoint.com/sites/leg-meas-function/_layouts/15/DocIdRedir.aspx?ID=5D7SUYYWNZQE-1616336108-695</Url>
      <Description>5D7SUYYWNZQE-1616336108-695</Description>
    </_dlc_DocIdUrl>
  </documentManagement>
</p:properties>
</file>

<file path=customXml/itemProps1.xml><?xml version="1.0" encoding="utf-8"?>
<ds:datastoreItem xmlns:ds="http://schemas.openxmlformats.org/officeDocument/2006/customXml" ds:itemID="{E6EBA4D7-5F20-486F-9D09-E0BC88CF450C}">
  <ds:schemaRefs>
    <ds:schemaRef ds:uri="http://schemas.microsoft.com/sharepoint/events"/>
  </ds:schemaRefs>
</ds:datastoreItem>
</file>

<file path=customXml/itemProps2.xml><?xml version="1.0" encoding="utf-8"?>
<ds:datastoreItem xmlns:ds="http://schemas.openxmlformats.org/officeDocument/2006/customXml" ds:itemID="{B7EF1832-2A9D-4EBB-A140-712D1083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9409-D4C5-4892-BC8D-DB5CF6C851E2}">
  <ds:schemaRefs>
    <ds:schemaRef ds:uri="http://schemas.microsoft.com/sharepoint/v3/contenttype/forms"/>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FC7A15A5-DC5B-43A7-B14D-1EA24918EC6A}">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7</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Exposure draft: Insurance Acquisitions and Takeovers (Public Interest) Determination 2023</vt:lpstr>
    </vt:vector>
  </TitlesOfParts>
  <Manager/>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Insurance Acquisitions and Takeovers (Public Interest) Determination 2023</dc:title>
  <dc:subject/>
  <dc:creator>Australian Government</dc:creator>
  <cp:keywords/>
  <dc:description/>
  <cp:lastModifiedBy>Smith, Matthew</cp:lastModifiedBy>
  <cp:revision>3</cp:revision>
  <cp:lastPrinted>2023-04-04T16:57:00Z</cp:lastPrinted>
  <dcterms:created xsi:type="dcterms:W3CDTF">2023-04-11T06:07:00Z</dcterms:created>
  <dcterms:modified xsi:type="dcterms:W3CDTF">2023-04-11T07:20:00Z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Insurance Acquisitions and Takeovers (Public Interest) Determination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EXPOSURE DRAFT</vt:lpwstr>
  </property>
  <property fmtid="{D5CDD505-2E9C-101B-9397-08002B2CF9AE}" pid="13" name="DLM">
    <vt:lpwstr>No DLM</vt:lpwstr>
  </property>
  <property fmtid="{D5CDD505-2E9C-101B-9397-08002B2CF9AE}" pid="14" name="ContentTypeId">
    <vt:lpwstr>0x01010069F666C557CD6C41B02D0F5E9912B6FE</vt:lpwstr>
  </property>
  <property fmtid="{D5CDD505-2E9C-101B-9397-08002B2CF9AE}" pid="15" name="TSYRecordClass">
    <vt:lpwstr>1;#AE-20260-Destroy 7 years after action completed|623f5ec9-ec5d-4824-8e13-9c9bfc51fe7e</vt:lpwstr>
  </property>
  <property fmtid="{D5CDD505-2E9C-101B-9397-08002B2CF9AE}" pid="16" name="_dlc_DocIdItemGuid">
    <vt:lpwstr>ab540cfa-9a04-4444-930c-030b7e088a9b</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83;#Insurance|b90cd62f-b048-4409-b585-751d11d9d856</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ies>
</file>