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8BFF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4D121B" wp14:editId="05BC7F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4C334B" w14:paraId="364A4CA2" w14:textId="77777777" w:rsidTr="004C334B">
        <w:tc>
          <w:tcPr>
            <w:tcW w:w="5000" w:type="pct"/>
            <w:shd w:val="clear" w:color="auto" w:fill="auto"/>
          </w:tcPr>
          <w:p w14:paraId="559392EC" w14:textId="77777777" w:rsidR="004C334B" w:rsidRDefault="004C334B" w:rsidP="004C33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1978470C" w14:textId="77777777" w:rsidR="004C334B" w:rsidRPr="004C334B" w:rsidRDefault="004C334B" w:rsidP="004C334B">
            <w:pPr>
              <w:rPr>
                <w:b/>
                <w:sz w:val="20"/>
              </w:rPr>
            </w:pPr>
          </w:p>
        </w:tc>
      </w:tr>
    </w:tbl>
    <w:p w14:paraId="5B6AC24F" w14:textId="77777777" w:rsidR="00715914" w:rsidRDefault="00715914" w:rsidP="00715914">
      <w:pPr>
        <w:rPr>
          <w:sz w:val="19"/>
        </w:rPr>
      </w:pPr>
    </w:p>
    <w:p w14:paraId="29AD3A46" w14:textId="77777777" w:rsidR="004C334B" w:rsidRPr="00E500D4" w:rsidRDefault="004C334B" w:rsidP="00715914">
      <w:pPr>
        <w:rPr>
          <w:sz w:val="19"/>
        </w:rPr>
      </w:pPr>
    </w:p>
    <w:p w14:paraId="75A166A5" w14:textId="77777777" w:rsidR="00715914" w:rsidRPr="00E500D4" w:rsidRDefault="000D5FCD" w:rsidP="00715914">
      <w:pPr>
        <w:pStyle w:val="ShortT"/>
      </w:pPr>
      <w:r>
        <w:t xml:space="preserve">Life Insurance </w:t>
      </w:r>
      <w:r w:rsidR="00D82506">
        <w:t>Regulations 2</w:t>
      </w:r>
      <w:r>
        <w:t>023</w:t>
      </w:r>
    </w:p>
    <w:p w14:paraId="4BEBB244" w14:textId="77777777" w:rsidR="00AD350E" w:rsidRPr="0034086C" w:rsidRDefault="00AD350E" w:rsidP="00AA3520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D82506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C22AAF4" w14:textId="77777777" w:rsidR="00AD350E" w:rsidRPr="0034086C" w:rsidRDefault="00AD350E" w:rsidP="00AA3520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DE4FFE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49051AB9" w14:textId="77777777" w:rsidR="00AD350E" w:rsidRPr="0034086C" w:rsidRDefault="00AD350E" w:rsidP="00AA352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3DEFB01" w14:textId="77777777" w:rsidR="00AD350E" w:rsidRPr="0034086C" w:rsidRDefault="00AD350E" w:rsidP="00AA352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D82506">
        <w:rPr>
          <w:szCs w:val="22"/>
        </w:rPr>
        <w:noBreakHyphen/>
      </w:r>
      <w:r>
        <w:rPr>
          <w:szCs w:val="22"/>
        </w:rPr>
        <w:t>General</w:t>
      </w:r>
    </w:p>
    <w:p w14:paraId="7C50405C" w14:textId="77777777" w:rsidR="00AD350E" w:rsidRPr="0034086C" w:rsidRDefault="00AD350E" w:rsidP="00AA352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2DC1F1F3" w14:textId="77777777" w:rsidR="00AD350E" w:rsidRPr="0034086C" w:rsidRDefault="00AD350E" w:rsidP="00AA352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046BB9BE" w14:textId="77777777" w:rsidR="00AD350E" w:rsidRPr="001F2C7F" w:rsidRDefault="00AD350E" w:rsidP="00AD350E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33C165EC" w14:textId="77777777" w:rsidR="00AD350E" w:rsidRDefault="00AD350E" w:rsidP="00AA3520"/>
    <w:p w14:paraId="1D6FD58B" w14:textId="77777777" w:rsidR="00AD350E" w:rsidRDefault="00AD350E" w:rsidP="00AA3520"/>
    <w:p w14:paraId="666001EC" w14:textId="77777777" w:rsidR="00AD350E" w:rsidRDefault="00AD350E" w:rsidP="00AA3520"/>
    <w:p w14:paraId="0C369F11" w14:textId="77777777" w:rsidR="00715914" w:rsidRPr="004C334B" w:rsidRDefault="00715914" w:rsidP="00715914">
      <w:pPr>
        <w:pStyle w:val="Header"/>
        <w:tabs>
          <w:tab w:val="clear" w:pos="4150"/>
          <w:tab w:val="clear" w:pos="8307"/>
        </w:tabs>
      </w:pPr>
      <w:r w:rsidRPr="004C334B">
        <w:rPr>
          <w:rStyle w:val="CharChapNo"/>
        </w:rPr>
        <w:t xml:space="preserve"> </w:t>
      </w:r>
      <w:r w:rsidRPr="004C334B">
        <w:rPr>
          <w:rStyle w:val="CharChapText"/>
        </w:rPr>
        <w:t xml:space="preserve"> </w:t>
      </w:r>
    </w:p>
    <w:p w14:paraId="26810AF8" w14:textId="77777777" w:rsidR="00715914" w:rsidRPr="004C334B" w:rsidRDefault="00715914" w:rsidP="00715914">
      <w:pPr>
        <w:pStyle w:val="Header"/>
        <w:tabs>
          <w:tab w:val="clear" w:pos="4150"/>
          <w:tab w:val="clear" w:pos="8307"/>
        </w:tabs>
      </w:pPr>
      <w:r w:rsidRPr="004C334B">
        <w:rPr>
          <w:rStyle w:val="CharPartNo"/>
        </w:rPr>
        <w:t xml:space="preserve"> </w:t>
      </w:r>
      <w:r w:rsidRPr="004C334B">
        <w:rPr>
          <w:rStyle w:val="CharPartText"/>
        </w:rPr>
        <w:t xml:space="preserve"> </w:t>
      </w:r>
    </w:p>
    <w:p w14:paraId="3F8EA3FC" w14:textId="77777777" w:rsidR="00715914" w:rsidRPr="004C334B" w:rsidRDefault="00715914" w:rsidP="00715914">
      <w:pPr>
        <w:pStyle w:val="Header"/>
        <w:tabs>
          <w:tab w:val="clear" w:pos="4150"/>
          <w:tab w:val="clear" w:pos="8307"/>
        </w:tabs>
      </w:pPr>
      <w:r w:rsidRPr="004C334B">
        <w:rPr>
          <w:rStyle w:val="CharDivNo"/>
        </w:rPr>
        <w:t xml:space="preserve"> </w:t>
      </w:r>
      <w:r w:rsidRPr="004C334B">
        <w:rPr>
          <w:rStyle w:val="CharDivText"/>
        </w:rPr>
        <w:t xml:space="preserve"> </w:t>
      </w:r>
    </w:p>
    <w:p w14:paraId="5E35D6DB" w14:textId="77777777" w:rsidR="00715914" w:rsidRDefault="00715914" w:rsidP="00715914">
      <w:pPr>
        <w:sectPr w:rsidR="00715914" w:rsidSect="00B543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280875E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D60BFF" w14:textId="77777777" w:rsidR="004C334B" w:rsidRDefault="004C33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_Toc131074608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1</w:t>
      </w:r>
      <w:r w:rsidRPr="004C334B">
        <w:rPr>
          <w:b w:val="0"/>
          <w:noProof/>
          <w:sz w:val="18"/>
        </w:rPr>
        <w:fldChar w:fldCharType="end"/>
      </w:r>
    </w:p>
    <w:p w14:paraId="59971039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_Toc131074609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1</w:t>
      </w:r>
      <w:r w:rsidRPr="004C334B">
        <w:rPr>
          <w:noProof/>
        </w:rPr>
        <w:fldChar w:fldCharType="end"/>
      </w:r>
    </w:p>
    <w:p w14:paraId="13564BB4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_Toc131074610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1</w:t>
      </w:r>
      <w:r w:rsidRPr="004C334B">
        <w:rPr>
          <w:noProof/>
        </w:rPr>
        <w:fldChar w:fldCharType="end"/>
      </w:r>
    </w:p>
    <w:p w14:paraId="70A2E891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_Toc131074611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1</w:t>
      </w:r>
      <w:r w:rsidRPr="004C334B">
        <w:rPr>
          <w:noProof/>
        </w:rPr>
        <w:fldChar w:fldCharType="end"/>
      </w:r>
    </w:p>
    <w:p w14:paraId="34C0FB03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_Toc131074612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1</w:t>
      </w:r>
      <w:r w:rsidRPr="004C334B">
        <w:rPr>
          <w:noProof/>
        </w:rPr>
        <w:fldChar w:fldCharType="end"/>
      </w:r>
    </w:p>
    <w:p w14:paraId="6A6A7123" w14:textId="77777777" w:rsidR="004C334B" w:rsidRDefault="004C33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2—Explanation of key concepts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_Toc131074613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2</w:t>
      </w:r>
      <w:r w:rsidRPr="004C334B">
        <w:rPr>
          <w:b w:val="0"/>
          <w:noProof/>
          <w:sz w:val="18"/>
        </w:rPr>
        <w:fldChar w:fldCharType="end"/>
      </w:r>
    </w:p>
    <w:p w14:paraId="10833DC2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Life policy—minimum terms of annuities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_Toc131074614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15E5007D" w14:textId="77777777" w:rsidR="004C334B" w:rsidRDefault="004C33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2B—Special provisions relating to Australian branches of foreign life insurance companies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_Toc131074615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2</w:t>
      </w:r>
      <w:r w:rsidRPr="004C334B">
        <w:rPr>
          <w:b w:val="0"/>
          <w:noProof/>
          <w:sz w:val="18"/>
        </w:rPr>
        <w:fldChar w:fldCharType="end"/>
      </w:r>
    </w:p>
    <w:p w14:paraId="0D507A0E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Eligible foreign life insurance company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_Toc131074616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636718DE" w14:textId="77777777" w:rsidR="004C334B" w:rsidRDefault="004C33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9—Transfers and amalgamations of life insurance business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_Toc131074617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2</w:t>
      </w:r>
      <w:r w:rsidRPr="004C334B">
        <w:rPr>
          <w:b w:val="0"/>
          <w:noProof/>
          <w:sz w:val="18"/>
        </w:rPr>
        <w:fldChar w:fldCharType="end"/>
      </w:r>
    </w:p>
    <w:p w14:paraId="0531D5D1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Application for confirmation of scheme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_Toc131074618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63E46C3E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Documents to be given to APRA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_Toc131074619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4D198500" w14:textId="77777777" w:rsidR="004C334B" w:rsidRDefault="004C33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10—Provisions relating to policies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_Toc131074620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2</w:t>
      </w:r>
      <w:r w:rsidRPr="004C334B">
        <w:rPr>
          <w:b w:val="0"/>
          <w:noProof/>
          <w:sz w:val="18"/>
        </w:rPr>
        <w:fldChar w:fldCharType="end"/>
      </w:r>
    </w:p>
    <w:p w14:paraId="67104237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Interest on overdue premiums—prescribed terms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_Toc131074621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75C9236D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Unclaimed money—interest payable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_Toc131074622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4060F892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Calculation of net claim value of policy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_Toc131074623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632CC923" w14:textId="77777777" w:rsidR="004C334B" w:rsidRDefault="004C33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12—Application, transitional and saving provisions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_Toc131074624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2</w:t>
      </w:r>
      <w:r w:rsidRPr="004C334B">
        <w:rPr>
          <w:b w:val="0"/>
          <w:noProof/>
          <w:sz w:val="18"/>
        </w:rPr>
        <w:fldChar w:fldCharType="end"/>
      </w:r>
    </w:p>
    <w:p w14:paraId="482D2439" w14:textId="77777777" w:rsidR="004C334B" w:rsidRDefault="004C334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1—Provisions relating to this instrument as originally made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_Toc131074625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2</w:t>
      </w:r>
      <w:r w:rsidRPr="004C334B">
        <w:rPr>
          <w:b w:val="0"/>
          <w:noProof/>
          <w:sz w:val="18"/>
        </w:rPr>
        <w:fldChar w:fldCharType="end"/>
      </w:r>
    </w:p>
    <w:p w14:paraId="06D376C0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Application of section 7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_Toc131074626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797F67A2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Application of section 8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_Toc131074627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27B7A16C" w14:textId="77777777" w:rsidR="004C334B" w:rsidRDefault="004C33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13—Dictionary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_Toc131074628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2</w:t>
      </w:r>
      <w:r w:rsidRPr="004C334B">
        <w:rPr>
          <w:b w:val="0"/>
          <w:noProof/>
          <w:sz w:val="18"/>
        </w:rPr>
        <w:fldChar w:fldCharType="end"/>
      </w:r>
    </w:p>
    <w:p w14:paraId="4AB8718B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 xml:space="preserve">Definition of </w:t>
      </w:r>
      <w:r w:rsidRPr="00170057">
        <w:rPr>
          <w:i/>
          <w:noProof/>
        </w:rPr>
        <w:t>allocated annuity policy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_Toc131074629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20E8BC03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 xml:space="preserve">Definition of </w:t>
      </w:r>
      <w:r w:rsidRPr="00170057">
        <w:rPr>
          <w:i/>
          <w:noProof/>
        </w:rPr>
        <w:t>approved body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_Toc131074630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1B8182C1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 xml:space="preserve">Definition of </w:t>
      </w:r>
      <w:r w:rsidRPr="00170057">
        <w:rPr>
          <w:i/>
          <w:noProof/>
        </w:rPr>
        <w:t>derivative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_Toc131074631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5281DA6A" w14:textId="77777777" w:rsidR="004C334B" w:rsidRDefault="004C334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1—Approved bodies</w:t>
      </w:r>
      <w:r w:rsidRPr="004C334B">
        <w:rPr>
          <w:b w:val="0"/>
          <w:noProof/>
          <w:sz w:val="18"/>
        </w:rPr>
        <w:tab/>
      </w:r>
      <w:r w:rsidRPr="004C334B">
        <w:rPr>
          <w:b w:val="0"/>
          <w:noProof/>
          <w:sz w:val="18"/>
        </w:rPr>
        <w:fldChar w:fldCharType="begin"/>
      </w:r>
      <w:r w:rsidRPr="004C334B">
        <w:rPr>
          <w:b w:val="0"/>
          <w:noProof/>
          <w:sz w:val="18"/>
        </w:rPr>
        <w:instrText xml:space="preserve"> PAGEREF _Toc131074632 \h </w:instrText>
      </w:r>
      <w:r w:rsidRPr="004C334B">
        <w:rPr>
          <w:b w:val="0"/>
          <w:noProof/>
          <w:sz w:val="18"/>
        </w:rPr>
      </w:r>
      <w:r w:rsidRPr="004C334B">
        <w:rPr>
          <w:b w:val="0"/>
          <w:noProof/>
          <w:sz w:val="18"/>
        </w:rPr>
        <w:fldChar w:fldCharType="separate"/>
      </w:r>
      <w:r w:rsidR="00DE4FFE">
        <w:rPr>
          <w:b w:val="0"/>
          <w:noProof/>
          <w:sz w:val="18"/>
        </w:rPr>
        <w:t>2</w:t>
      </w:r>
      <w:r w:rsidRPr="004C334B">
        <w:rPr>
          <w:b w:val="0"/>
          <w:noProof/>
          <w:sz w:val="18"/>
        </w:rPr>
        <w:fldChar w:fldCharType="end"/>
      </w:r>
    </w:p>
    <w:p w14:paraId="5AA4E61A" w14:textId="77777777" w:rsidR="004C334B" w:rsidRDefault="004C3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Approved bodies</w:t>
      </w:r>
      <w:r w:rsidRPr="004C334B">
        <w:rPr>
          <w:noProof/>
        </w:rPr>
        <w:tab/>
      </w:r>
      <w:r w:rsidRPr="004C334B">
        <w:rPr>
          <w:noProof/>
        </w:rPr>
        <w:fldChar w:fldCharType="begin"/>
      </w:r>
      <w:r w:rsidRPr="004C334B">
        <w:rPr>
          <w:noProof/>
        </w:rPr>
        <w:instrText xml:space="preserve"> PAGEREF _Toc131074633 \h </w:instrText>
      </w:r>
      <w:r w:rsidRPr="004C334B">
        <w:rPr>
          <w:noProof/>
        </w:rPr>
      </w:r>
      <w:r w:rsidRPr="004C334B">
        <w:rPr>
          <w:noProof/>
        </w:rPr>
        <w:fldChar w:fldCharType="separate"/>
      </w:r>
      <w:r w:rsidR="00DE4FFE">
        <w:rPr>
          <w:noProof/>
        </w:rPr>
        <w:t>2</w:t>
      </w:r>
      <w:r w:rsidRPr="004C334B">
        <w:rPr>
          <w:noProof/>
        </w:rPr>
        <w:fldChar w:fldCharType="end"/>
      </w:r>
    </w:p>
    <w:p w14:paraId="031C6C3C" w14:textId="77777777" w:rsidR="00670EA1" w:rsidRDefault="004C334B" w:rsidP="00715914">
      <w:r>
        <w:fldChar w:fldCharType="end"/>
      </w:r>
    </w:p>
    <w:p w14:paraId="7470E5C7" w14:textId="77777777" w:rsidR="00670EA1" w:rsidRDefault="00670EA1" w:rsidP="00715914">
      <w:pPr>
        <w:sectPr w:rsidR="00670EA1" w:rsidSect="00B543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2BF50A" w14:textId="77777777" w:rsidR="00715914" w:rsidRDefault="00A15354" w:rsidP="00E34132">
      <w:pPr>
        <w:pStyle w:val="ActHead2"/>
        <w:pageBreakBefore/>
      </w:pPr>
      <w:bookmarkStart w:id="0" w:name="_Toc131074608"/>
      <w:r w:rsidRPr="004C334B">
        <w:rPr>
          <w:rStyle w:val="CharPartNo"/>
        </w:rPr>
        <w:lastRenderedPageBreak/>
        <w:t>Part 1</w:t>
      </w:r>
      <w:r w:rsidR="00715914">
        <w:t>—</w:t>
      </w:r>
      <w:r w:rsidR="00715914" w:rsidRPr="004C334B">
        <w:rPr>
          <w:rStyle w:val="CharPartText"/>
        </w:rPr>
        <w:t>Preliminary</w:t>
      </w:r>
      <w:bookmarkEnd w:id="0"/>
    </w:p>
    <w:p w14:paraId="736440D8" w14:textId="77777777" w:rsidR="00715914" w:rsidRPr="004C334B" w:rsidRDefault="00715914" w:rsidP="00715914">
      <w:pPr>
        <w:pStyle w:val="Header"/>
      </w:pPr>
      <w:r w:rsidRPr="004C334B">
        <w:rPr>
          <w:rStyle w:val="CharDivNo"/>
        </w:rPr>
        <w:t xml:space="preserve"> </w:t>
      </w:r>
      <w:r w:rsidRPr="004C334B">
        <w:rPr>
          <w:rStyle w:val="CharDivText"/>
        </w:rPr>
        <w:t xml:space="preserve"> </w:t>
      </w:r>
    </w:p>
    <w:p w14:paraId="681891DB" w14:textId="77777777" w:rsidR="00715914" w:rsidRDefault="00B334D6" w:rsidP="00715914">
      <w:pPr>
        <w:pStyle w:val="ActHead5"/>
      </w:pPr>
      <w:bookmarkStart w:id="1" w:name="_Toc131074609"/>
      <w:r w:rsidRPr="004C334B">
        <w:rPr>
          <w:rStyle w:val="CharSectno"/>
        </w:rPr>
        <w:t>1</w:t>
      </w:r>
      <w:r w:rsidR="00715914">
        <w:t xml:space="preserve">  </w:t>
      </w:r>
      <w:r w:rsidR="00CE493D">
        <w:t>Name</w:t>
      </w:r>
      <w:bookmarkEnd w:id="1"/>
    </w:p>
    <w:p w14:paraId="11A07446" w14:textId="77777777" w:rsidR="00715914" w:rsidRDefault="00715914" w:rsidP="00715914">
      <w:pPr>
        <w:pStyle w:val="subsection"/>
      </w:pPr>
      <w:r w:rsidRPr="009A038B">
        <w:tab/>
      </w:r>
      <w:r w:rsidRPr="009A038B">
        <w:tab/>
      </w:r>
      <w:r w:rsidR="000D5FCD">
        <w:t>This instrument is</w:t>
      </w:r>
      <w:r w:rsidR="00CE493D">
        <w:t xml:space="preserve"> the </w:t>
      </w:r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DE4FFE">
        <w:rPr>
          <w:i/>
          <w:noProof/>
        </w:rPr>
        <w:t>Life Insurance Regulations 2023</w:t>
      </w:r>
      <w:r w:rsidR="00BC76AC" w:rsidRPr="00BC76AC">
        <w:rPr>
          <w:i/>
        </w:rPr>
        <w:fldChar w:fldCharType="end"/>
      </w:r>
      <w:r w:rsidRPr="009A038B">
        <w:t>.</w:t>
      </w:r>
    </w:p>
    <w:p w14:paraId="5399629E" w14:textId="77777777" w:rsidR="00715914" w:rsidRDefault="00B334D6" w:rsidP="00715914">
      <w:pPr>
        <w:pStyle w:val="ActHead5"/>
      </w:pPr>
      <w:bookmarkStart w:id="2" w:name="_Toc131074610"/>
      <w:r w:rsidRPr="004C334B">
        <w:rPr>
          <w:rStyle w:val="CharSectno"/>
        </w:rPr>
        <w:t>2</w:t>
      </w:r>
      <w:r w:rsidR="00715914" w:rsidRPr="009A038B">
        <w:t xml:space="preserve">  Commencement</w:t>
      </w:r>
      <w:bookmarkEnd w:id="2"/>
    </w:p>
    <w:p w14:paraId="3E692249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0D5FCD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62553105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1FA5ECA2" w14:textId="77777777" w:rsidTr="00721C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46793C" w14:textId="77777777" w:rsidR="00AE3652" w:rsidRPr="00416235" w:rsidRDefault="00AE3652" w:rsidP="00721C0A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6EC5CFBC" w14:textId="77777777" w:rsidTr="00721C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73C3D1" w14:textId="77777777" w:rsidR="00AE3652" w:rsidRPr="00416235" w:rsidRDefault="00AE3652" w:rsidP="00721C0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2BEEE8" w14:textId="77777777" w:rsidR="00AE3652" w:rsidRPr="00416235" w:rsidRDefault="00AE3652" w:rsidP="00721C0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792D26" w14:textId="77777777" w:rsidR="00AE3652" w:rsidRPr="00416235" w:rsidRDefault="00AE3652" w:rsidP="00721C0A">
            <w:pPr>
              <w:pStyle w:val="TableHeading"/>
            </w:pPr>
            <w:r w:rsidRPr="00416235">
              <w:t>Column 3</w:t>
            </w:r>
          </w:p>
        </w:tc>
      </w:tr>
      <w:tr w:rsidR="00AE3652" w14:paraId="42FE0E59" w14:textId="77777777" w:rsidTr="00721C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BF63B2" w14:textId="77777777" w:rsidR="00AE3652" w:rsidRPr="00416235" w:rsidRDefault="00AE3652" w:rsidP="00721C0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607C02" w14:textId="77777777" w:rsidR="00AE3652" w:rsidRPr="00416235" w:rsidRDefault="00AE3652" w:rsidP="00721C0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82121F" w14:textId="77777777" w:rsidR="00AE3652" w:rsidRPr="00416235" w:rsidRDefault="00AE3652" w:rsidP="00721C0A">
            <w:pPr>
              <w:pStyle w:val="TableHeading"/>
            </w:pPr>
            <w:r w:rsidRPr="00416235">
              <w:t>Date/Details</w:t>
            </w:r>
          </w:p>
        </w:tc>
      </w:tr>
      <w:tr w:rsidR="00AE3652" w14:paraId="779E16E7" w14:textId="77777777" w:rsidTr="00721C0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793311" w14:textId="77777777" w:rsidR="00AE3652" w:rsidRDefault="00AE3652" w:rsidP="00721C0A">
            <w:pPr>
              <w:pStyle w:val="Tabletext"/>
            </w:pPr>
            <w:r>
              <w:t xml:space="preserve">1.  The whole of </w:t>
            </w:r>
            <w:r w:rsidR="000D5F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A8D8A2" w14:textId="77777777" w:rsidR="00AE3652" w:rsidRPr="00312C09" w:rsidRDefault="001D11F1" w:rsidP="001D11F1">
            <w:pPr>
              <w:pStyle w:val="Tabletext"/>
            </w:pPr>
            <w:r>
              <w:t xml:space="preserve">At the same time as </w:t>
            </w:r>
            <w:r w:rsidR="00D82506">
              <w:t>Schedule 1</w:t>
            </w:r>
            <w:r>
              <w:t xml:space="preserve"> to the </w:t>
            </w:r>
            <w:r>
              <w:rPr>
                <w:i/>
              </w:rPr>
              <w:t>Treasury Laws</w:t>
            </w:r>
            <w:r w:rsidR="00162645">
              <w:rPr>
                <w:i/>
              </w:rPr>
              <w:t xml:space="preserve"> Amendment</w:t>
            </w:r>
            <w:r>
              <w:rPr>
                <w:i/>
              </w:rPr>
              <w:t xml:space="preserve"> (Measures</w:t>
            </w:r>
            <w:r w:rsidR="00162645">
              <w:rPr>
                <w:i/>
              </w:rPr>
              <w:t xml:space="preserve"> for Consultation</w:t>
            </w:r>
            <w:r>
              <w:rPr>
                <w:i/>
              </w:rPr>
              <w:t>) Act 2023</w:t>
            </w:r>
            <w:r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8BA74D" w14:textId="77777777" w:rsidR="00AE3652" w:rsidRDefault="00AE3652" w:rsidP="00721C0A">
            <w:pPr>
              <w:pStyle w:val="Tabletext"/>
            </w:pPr>
          </w:p>
        </w:tc>
      </w:tr>
    </w:tbl>
    <w:p w14:paraId="06E18545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D5FC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D5FC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4C26A88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D5FCD">
        <w:t>this instrument</w:t>
      </w:r>
      <w:r w:rsidRPr="005F477A">
        <w:t xml:space="preserve">. Information may be inserted in this column, or information in it may be edited, in any published version of </w:t>
      </w:r>
      <w:r w:rsidR="000D5FCD">
        <w:t>this instrument</w:t>
      </w:r>
      <w:r w:rsidRPr="005F477A">
        <w:t>.</w:t>
      </w:r>
    </w:p>
    <w:p w14:paraId="017D9B4F" w14:textId="77777777" w:rsidR="007500C8" w:rsidRDefault="00B334D6" w:rsidP="007500C8">
      <w:pPr>
        <w:pStyle w:val="ActHead5"/>
      </w:pPr>
      <w:bookmarkStart w:id="3" w:name="_Toc131074611"/>
      <w:r w:rsidRPr="004C334B">
        <w:rPr>
          <w:rStyle w:val="CharSectno"/>
        </w:rPr>
        <w:t>3</w:t>
      </w:r>
      <w:r w:rsidR="007500C8">
        <w:t xml:space="preserve">  Authority</w:t>
      </w:r>
      <w:bookmarkEnd w:id="3"/>
    </w:p>
    <w:p w14:paraId="4ABBC625" w14:textId="77777777" w:rsidR="00157B8B" w:rsidRDefault="007500C8" w:rsidP="007E667A">
      <w:pPr>
        <w:pStyle w:val="subsection"/>
      </w:pPr>
      <w:r>
        <w:tab/>
      </w:r>
      <w:r>
        <w:tab/>
      </w:r>
      <w:r w:rsidR="000D5FCD">
        <w:t>This instrument is</w:t>
      </w:r>
      <w:r>
        <w:t xml:space="preserve"> made under the</w:t>
      </w:r>
      <w:r w:rsidR="00721C0A">
        <w:t xml:space="preserve"> </w:t>
      </w:r>
      <w:r w:rsidR="00721C0A" w:rsidRPr="00272068">
        <w:rPr>
          <w:i/>
        </w:rPr>
        <w:t xml:space="preserve">Life Insurance Act </w:t>
      </w:r>
      <w:r w:rsidR="00272068" w:rsidRPr="00272068">
        <w:rPr>
          <w:i/>
        </w:rPr>
        <w:t>1995</w:t>
      </w:r>
      <w:r w:rsidR="00F4350D" w:rsidRPr="003C6231">
        <w:t>.</w:t>
      </w:r>
    </w:p>
    <w:p w14:paraId="20AD45DF" w14:textId="77777777" w:rsidR="00933B5D" w:rsidRDefault="00B334D6" w:rsidP="00933B5D">
      <w:pPr>
        <w:pStyle w:val="ActHead5"/>
      </w:pPr>
      <w:bookmarkStart w:id="4" w:name="_Toc131074612"/>
      <w:r w:rsidRPr="004C334B">
        <w:rPr>
          <w:rStyle w:val="CharSectno"/>
        </w:rPr>
        <w:t>4</w:t>
      </w:r>
      <w:r w:rsidR="00933B5D" w:rsidRPr="0080154E">
        <w:t xml:space="preserve">  Definitions</w:t>
      </w:r>
      <w:bookmarkEnd w:id="4"/>
    </w:p>
    <w:p w14:paraId="325E4571" w14:textId="77777777" w:rsidR="00DF7AEF" w:rsidRDefault="009C124B" w:rsidP="00DF7AEF">
      <w:pPr>
        <w:pStyle w:val="notetext"/>
      </w:pPr>
      <w:r>
        <w:t>Note:</w:t>
      </w:r>
      <w:r>
        <w:tab/>
        <w:t>A number of expressions used in this instrument are defined in the Act, including the following:</w:t>
      </w:r>
    </w:p>
    <w:p w14:paraId="659ADA30" w14:textId="77777777" w:rsidR="00DD0819" w:rsidRDefault="00DD0819" w:rsidP="00CE5FF6">
      <w:pPr>
        <w:pStyle w:val="notepara"/>
      </w:pPr>
      <w:r>
        <w:t>(a)</w:t>
      </w:r>
      <w:r>
        <w:tab/>
        <w:t>Court;</w:t>
      </w:r>
    </w:p>
    <w:p w14:paraId="00B150FD" w14:textId="77777777" w:rsidR="00985CF2" w:rsidRPr="00985CF2" w:rsidRDefault="00985CF2" w:rsidP="00985CF2">
      <w:pPr>
        <w:pStyle w:val="notepara"/>
      </w:pPr>
      <w:r>
        <w:t>(b)</w:t>
      </w:r>
      <w:r>
        <w:tab/>
        <w:t>policy.</w:t>
      </w:r>
    </w:p>
    <w:p w14:paraId="2D7C9C74" w14:textId="77777777" w:rsidR="009C124B" w:rsidRDefault="009C124B" w:rsidP="006E44EE">
      <w:pPr>
        <w:pStyle w:val="subsection"/>
      </w:pPr>
      <w:r>
        <w:tab/>
      </w:r>
      <w:r>
        <w:tab/>
        <w:t>In this instrument:</w:t>
      </w:r>
    </w:p>
    <w:p w14:paraId="208ADDDE" w14:textId="77777777" w:rsidR="00933B5D" w:rsidRDefault="00933B5D" w:rsidP="00933B5D">
      <w:pPr>
        <w:pStyle w:val="Definition"/>
      </w:pPr>
      <w:r w:rsidRPr="005702CA">
        <w:rPr>
          <w:b/>
          <w:i/>
        </w:rPr>
        <w:t>Act</w:t>
      </w:r>
      <w:r w:rsidRPr="005702CA">
        <w:t xml:space="preserve"> means the </w:t>
      </w:r>
      <w:r w:rsidRPr="005702CA">
        <w:rPr>
          <w:i/>
        </w:rPr>
        <w:t>Life Insurance Act 1995</w:t>
      </w:r>
      <w:r w:rsidRPr="005702CA">
        <w:t>.</w:t>
      </w:r>
    </w:p>
    <w:p w14:paraId="0A6E56D2" w14:textId="77777777" w:rsidR="00183865" w:rsidRDefault="00183865" w:rsidP="00183865">
      <w:pPr>
        <w:pStyle w:val="Definition"/>
      </w:pPr>
      <w:r w:rsidRPr="00183865">
        <w:rPr>
          <w:b/>
          <w:i/>
        </w:rPr>
        <w:t>certified copy</w:t>
      </w:r>
      <w:r>
        <w:t xml:space="preserve"> of a document means a copy of the document that has been c</w:t>
      </w:r>
      <w:r w:rsidRPr="00183865">
        <w:t>ertified in writing</w:t>
      </w:r>
      <w:r w:rsidR="001E1753">
        <w:t>,</w:t>
      </w:r>
      <w:r w:rsidRPr="00183865">
        <w:t xml:space="preserve"> by </w:t>
      </w:r>
      <w:r>
        <w:t xml:space="preserve">a person prescribed for the purposes of </w:t>
      </w:r>
      <w:r w:rsidR="00986A18">
        <w:t>paragraph 8</w:t>
      </w:r>
      <w:r>
        <w:t xml:space="preserve">(b) of the </w:t>
      </w:r>
      <w:r w:rsidRPr="00183865">
        <w:rPr>
          <w:i/>
        </w:rPr>
        <w:t>Statutory Declarations Act 1959</w:t>
      </w:r>
      <w:r w:rsidR="001E1753" w:rsidRPr="001E1753">
        <w:t>,</w:t>
      </w:r>
      <w:r>
        <w:t xml:space="preserve"> to be </w:t>
      </w:r>
      <w:r w:rsidRPr="00183865">
        <w:t xml:space="preserve">a true copy of the </w:t>
      </w:r>
      <w:r>
        <w:t>document</w:t>
      </w:r>
      <w:r w:rsidRPr="00183865">
        <w:t>.</w:t>
      </w:r>
    </w:p>
    <w:p w14:paraId="460564DB" w14:textId="77777777" w:rsidR="00933B5D" w:rsidRPr="0080154E" w:rsidRDefault="00F76302" w:rsidP="00774DB0">
      <w:pPr>
        <w:pStyle w:val="ActHead2"/>
        <w:pageBreakBefore/>
      </w:pPr>
      <w:bookmarkStart w:id="5" w:name="_Toc131074613"/>
      <w:r w:rsidRPr="004C334B">
        <w:rPr>
          <w:rStyle w:val="CharPartNo"/>
        </w:rPr>
        <w:lastRenderedPageBreak/>
        <w:t>Part 2</w:t>
      </w:r>
      <w:r w:rsidR="00933B5D" w:rsidRPr="0080154E">
        <w:t>—</w:t>
      </w:r>
      <w:r w:rsidR="00933B5D" w:rsidRPr="004C334B">
        <w:rPr>
          <w:rStyle w:val="CharPartText"/>
        </w:rPr>
        <w:t>Explanation of key concepts</w:t>
      </w:r>
      <w:bookmarkEnd w:id="5"/>
    </w:p>
    <w:p w14:paraId="57FB0E58" w14:textId="77777777" w:rsidR="00933B5D" w:rsidRPr="004C334B" w:rsidRDefault="00933B5D" w:rsidP="00933B5D">
      <w:pPr>
        <w:pStyle w:val="Header"/>
      </w:pPr>
      <w:r w:rsidRPr="004C334B">
        <w:rPr>
          <w:rStyle w:val="CharDivNo"/>
        </w:rPr>
        <w:t xml:space="preserve"> </w:t>
      </w:r>
      <w:r w:rsidRPr="004C334B">
        <w:rPr>
          <w:rStyle w:val="CharDivText"/>
        </w:rPr>
        <w:t xml:space="preserve"> </w:t>
      </w:r>
    </w:p>
    <w:p w14:paraId="556233F6" w14:textId="77777777" w:rsidR="00933B5D" w:rsidRPr="0080154E" w:rsidRDefault="00B334D6" w:rsidP="00933B5D">
      <w:pPr>
        <w:pStyle w:val="ActHead5"/>
      </w:pPr>
      <w:bookmarkStart w:id="6" w:name="_Toc131074614"/>
      <w:r w:rsidRPr="004C334B">
        <w:rPr>
          <w:rStyle w:val="CharSectno"/>
        </w:rPr>
        <w:t>5</w:t>
      </w:r>
      <w:r w:rsidR="00933B5D" w:rsidRPr="0080154E">
        <w:t xml:space="preserve">  </w:t>
      </w:r>
      <w:r w:rsidR="00EC1223">
        <w:t>Life policy—minimum terms of annuities</w:t>
      </w:r>
      <w:bookmarkEnd w:id="6"/>
    </w:p>
    <w:p w14:paraId="33705715" w14:textId="77777777" w:rsidR="00933B5D" w:rsidRPr="005702CA" w:rsidRDefault="00933B5D" w:rsidP="00933B5D">
      <w:pPr>
        <w:pStyle w:val="subsection"/>
      </w:pPr>
      <w:r w:rsidRPr="005702CA">
        <w:tab/>
      </w:r>
      <w:r w:rsidRPr="005702CA">
        <w:tab/>
        <w:t xml:space="preserve">For the purposes of </w:t>
      </w:r>
      <w:r w:rsidR="00F76302">
        <w:t>paragraph 9</w:t>
      </w:r>
      <w:r w:rsidRPr="005702CA">
        <w:t>(1)(d) of the Act, the term of 10 years is prescribed.</w:t>
      </w:r>
    </w:p>
    <w:p w14:paraId="77C99DFD" w14:textId="77777777" w:rsidR="00933B5D" w:rsidRPr="0080154E" w:rsidRDefault="00F76302" w:rsidP="00774DB0">
      <w:pPr>
        <w:pStyle w:val="ActHead2"/>
        <w:pageBreakBefore/>
      </w:pPr>
      <w:bookmarkStart w:id="7" w:name="_Toc131074615"/>
      <w:r w:rsidRPr="004C334B">
        <w:rPr>
          <w:rStyle w:val="CharPartNo"/>
        </w:rPr>
        <w:lastRenderedPageBreak/>
        <w:t>Part 2</w:t>
      </w:r>
      <w:r w:rsidR="00933B5D" w:rsidRPr="004C334B">
        <w:rPr>
          <w:rStyle w:val="CharPartNo"/>
        </w:rPr>
        <w:t>B</w:t>
      </w:r>
      <w:r w:rsidR="00933B5D" w:rsidRPr="0080154E">
        <w:t>—</w:t>
      </w:r>
      <w:r w:rsidR="00933B5D" w:rsidRPr="004C334B">
        <w:rPr>
          <w:rStyle w:val="CharPartText"/>
        </w:rPr>
        <w:t>Special provisions relating to Australian branches of foreign life insurance companies</w:t>
      </w:r>
      <w:bookmarkEnd w:id="7"/>
    </w:p>
    <w:p w14:paraId="0CBED931" w14:textId="77777777" w:rsidR="00E00BF2" w:rsidRPr="004C334B" w:rsidRDefault="00E00BF2" w:rsidP="00E00BF2">
      <w:pPr>
        <w:pStyle w:val="Header"/>
      </w:pPr>
      <w:r w:rsidRPr="004C334B">
        <w:rPr>
          <w:rStyle w:val="CharDivNo"/>
        </w:rPr>
        <w:t xml:space="preserve"> </w:t>
      </w:r>
      <w:r w:rsidRPr="004C334B">
        <w:rPr>
          <w:rStyle w:val="CharDivText"/>
        </w:rPr>
        <w:t xml:space="preserve"> </w:t>
      </w:r>
    </w:p>
    <w:p w14:paraId="109EDE08" w14:textId="77777777" w:rsidR="00933B5D" w:rsidRPr="0080154E" w:rsidRDefault="00B334D6" w:rsidP="00933B5D">
      <w:pPr>
        <w:pStyle w:val="ActHead5"/>
      </w:pPr>
      <w:bookmarkStart w:id="8" w:name="_Toc131074616"/>
      <w:r w:rsidRPr="004C334B">
        <w:rPr>
          <w:rStyle w:val="CharSectno"/>
        </w:rPr>
        <w:t>6</w:t>
      </w:r>
      <w:r w:rsidR="00933B5D" w:rsidRPr="0080154E">
        <w:t xml:space="preserve">  Eligible foreign life insurance company</w:t>
      </w:r>
      <w:bookmarkEnd w:id="8"/>
    </w:p>
    <w:p w14:paraId="39B89958" w14:textId="77777777" w:rsidR="00933B5D" w:rsidRPr="005702CA" w:rsidRDefault="00933B5D" w:rsidP="00933B5D">
      <w:pPr>
        <w:pStyle w:val="subsection"/>
      </w:pPr>
      <w:r w:rsidRPr="005702CA">
        <w:tab/>
        <w:t>(1)</w:t>
      </w:r>
      <w:r w:rsidRPr="005702CA">
        <w:tab/>
        <w:t xml:space="preserve">For </w:t>
      </w:r>
      <w:r w:rsidR="00312C09">
        <w:t xml:space="preserve">the purposes of </w:t>
      </w:r>
      <w:r w:rsidR="00986A18">
        <w:t>paragraph 1</w:t>
      </w:r>
      <w:r w:rsidRPr="005702CA">
        <w:t xml:space="preserve">6ZD(1)(e) of the Act, </w:t>
      </w:r>
      <w:r w:rsidR="006E44EE">
        <w:t xml:space="preserve">the </w:t>
      </w:r>
      <w:r w:rsidR="00E00BF2">
        <w:t>following condition is specified</w:t>
      </w:r>
      <w:r w:rsidR="003F6366">
        <w:t>:</w:t>
      </w:r>
      <w:r w:rsidR="00E00BF2">
        <w:t xml:space="preserve"> t</w:t>
      </w:r>
      <w:r w:rsidR="003F6366">
        <w:t>he condition that:</w:t>
      </w:r>
    </w:p>
    <w:p w14:paraId="79DFA6E6" w14:textId="77777777" w:rsidR="000B22DF" w:rsidRPr="005702CA" w:rsidRDefault="000B22DF" w:rsidP="000B22DF">
      <w:pPr>
        <w:pStyle w:val="paragraph"/>
      </w:pPr>
      <w:r w:rsidRPr="005702CA">
        <w:tab/>
        <w:t>(</w:t>
      </w:r>
      <w:r>
        <w:t>a</w:t>
      </w:r>
      <w:r w:rsidRPr="005702CA">
        <w:t>)</w:t>
      </w:r>
      <w:r w:rsidRPr="005702CA">
        <w:tab/>
        <w:t>the body corporate:</w:t>
      </w:r>
    </w:p>
    <w:p w14:paraId="1412AEE8" w14:textId="77777777" w:rsidR="000B22DF" w:rsidRPr="005702CA" w:rsidRDefault="000B22DF" w:rsidP="000B22DF">
      <w:pPr>
        <w:pStyle w:val="paragraphsub"/>
      </w:pPr>
      <w:r w:rsidRPr="005702CA">
        <w:tab/>
        <w:t>(i)</w:t>
      </w:r>
      <w:r w:rsidRPr="005702CA">
        <w:tab/>
        <w:t>is authorised to carry on life insurance business in China; and</w:t>
      </w:r>
    </w:p>
    <w:p w14:paraId="2BCCBCBF" w14:textId="77777777" w:rsidR="000B22DF" w:rsidRDefault="000B22DF" w:rsidP="000B22DF">
      <w:pPr>
        <w:pStyle w:val="paragraphsub"/>
      </w:pPr>
      <w:r w:rsidRPr="005702CA">
        <w:tab/>
        <w:t>(ii)</w:t>
      </w:r>
      <w:r w:rsidRPr="005702CA">
        <w:tab/>
        <w:t>is incorporated in China</w:t>
      </w:r>
      <w:r>
        <w:t>; or</w:t>
      </w:r>
    </w:p>
    <w:p w14:paraId="6871A348" w14:textId="77777777" w:rsidR="00933B5D" w:rsidRPr="005702CA" w:rsidRDefault="00933B5D" w:rsidP="00933B5D">
      <w:pPr>
        <w:pStyle w:val="paragraph"/>
      </w:pPr>
      <w:r w:rsidRPr="005702CA">
        <w:tab/>
        <w:t>(</w:t>
      </w:r>
      <w:r w:rsidR="000B22DF">
        <w:t>b</w:t>
      </w:r>
      <w:r w:rsidRPr="005702CA">
        <w:t>)</w:t>
      </w:r>
      <w:r w:rsidRPr="005702CA">
        <w:tab/>
        <w:t>the body corporate:</w:t>
      </w:r>
    </w:p>
    <w:p w14:paraId="6A91EE53" w14:textId="77777777" w:rsidR="00933B5D" w:rsidRPr="005702CA" w:rsidRDefault="00933B5D" w:rsidP="00933B5D">
      <w:pPr>
        <w:pStyle w:val="paragraphsub"/>
      </w:pPr>
      <w:r w:rsidRPr="005702CA">
        <w:tab/>
        <w:t>(i)</w:t>
      </w:r>
      <w:r w:rsidRPr="005702CA">
        <w:tab/>
        <w:t>is authorised to carry on life insurance business in Japan; and</w:t>
      </w:r>
    </w:p>
    <w:p w14:paraId="7B70D8F0" w14:textId="77777777" w:rsidR="00933B5D" w:rsidRPr="005702CA" w:rsidRDefault="00933B5D" w:rsidP="00933B5D">
      <w:pPr>
        <w:pStyle w:val="paragraphsub"/>
      </w:pPr>
      <w:r w:rsidRPr="005702CA">
        <w:tab/>
        <w:t>(ii)</w:t>
      </w:r>
      <w:r w:rsidRPr="005702CA">
        <w:tab/>
        <w:t>is incorporated in Japan;</w:t>
      </w:r>
      <w:r w:rsidR="003F6366">
        <w:t xml:space="preserve"> or</w:t>
      </w:r>
    </w:p>
    <w:p w14:paraId="333F79E2" w14:textId="77777777" w:rsidR="000B22DF" w:rsidRPr="005702CA" w:rsidRDefault="000B22DF" w:rsidP="000B22DF">
      <w:pPr>
        <w:pStyle w:val="paragraph"/>
      </w:pPr>
      <w:r w:rsidRPr="005702CA">
        <w:tab/>
        <w:t>(</w:t>
      </w:r>
      <w:r>
        <w:t>c</w:t>
      </w:r>
      <w:r w:rsidRPr="005702CA">
        <w:t>)</w:t>
      </w:r>
      <w:r w:rsidRPr="005702CA">
        <w:tab/>
        <w:t>the body corporate:</w:t>
      </w:r>
    </w:p>
    <w:p w14:paraId="25338EF9" w14:textId="77777777" w:rsidR="000B22DF" w:rsidRPr="005702CA" w:rsidRDefault="000B22DF" w:rsidP="000B22DF">
      <w:pPr>
        <w:pStyle w:val="paragraphsub"/>
      </w:pPr>
      <w:r w:rsidRPr="005702CA">
        <w:tab/>
        <w:t>(i)</w:t>
      </w:r>
      <w:r w:rsidRPr="005702CA">
        <w:tab/>
        <w:t>is authorised to carry on life insurance business in New Zealand; and</w:t>
      </w:r>
    </w:p>
    <w:p w14:paraId="46009EF4" w14:textId="77777777" w:rsidR="000B22DF" w:rsidRPr="005702CA" w:rsidRDefault="000B22DF" w:rsidP="000B22DF">
      <w:pPr>
        <w:pStyle w:val="paragraphsub"/>
      </w:pPr>
      <w:r w:rsidRPr="005702CA">
        <w:tab/>
        <w:t>(ii)</w:t>
      </w:r>
      <w:r w:rsidRPr="005702CA">
        <w:tab/>
        <w:t>is incorporated in New Zealand;</w:t>
      </w:r>
      <w:r>
        <w:t xml:space="preserve"> or</w:t>
      </w:r>
    </w:p>
    <w:p w14:paraId="20DECED5" w14:textId="77777777" w:rsidR="000B22DF" w:rsidRPr="005702CA" w:rsidRDefault="000B22DF" w:rsidP="000B22DF">
      <w:pPr>
        <w:pStyle w:val="paragraph"/>
      </w:pPr>
      <w:r w:rsidRPr="005702CA">
        <w:tab/>
        <w:t>(</w:t>
      </w:r>
      <w:r>
        <w:t>d</w:t>
      </w:r>
      <w:r w:rsidRPr="005702CA">
        <w:t>)</w:t>
      </w:r>
      <w:r w:rsidRPr="005702CA">
        <w:tab/>
        <w:t>the body corporate:</w:t>
      </w:r>
    </w:p>
    <w:p w14:paraId="1EB19334" w14:textId="77777777" w:rsidR="000B22DF" w:rsidRPr="005702CA" w:rsidRDefault="000B22DF" w:rsidP="000B22DF">
      <w:pPr>
        <w:pStyle w:val="paragraphsub"/>
      </w:pPr>
      <w:r w:rsidRPr="005702CA">
        <w:tab/>
        <w:t>(i)</w:t>
      </w:r>
      <w:r w:rsidRPr="005702CA">
        <w:tab/>
        <w:t xml:space="preserve">is authorised to carry on life insurance business in </w:t>
      </w:r>
      <w:r>
        <w:t xml:space="preserve">the Republic of </w:t>
      </w:r>
      <w:r w:rsidRPr="005702CA">
        <w:t>Korea; and</w:t>
      </w:r>
    </w:p>
    <w:p w14:paraId="1D68F2DB" w14:textId="77777777" w:rsidR="000B22DF" w:rsidRPr="005702CA" w:rsidRDefault="000B22DF" w:rsidP="000B22DF">
      <w:pPr>
        <w:pStyle w:val="paragraphsub"/>
      </w:pPr>
      <w:r w:rsidRPr="005702CA">
        <w:tab/>
        <w:t>(ii)</w:t>
      </w:r>
      <w:r w:rsidRPr="005702CA">
        <w:tab/>
        <w:t xml:space="preserve">is incorporated in </w:t>
      </w:r>
      <w:r>
        <w:t xml:space="preserve">the Republic of </w:t>
      </w:r>
      <w:r w:rsidRPr="005702CA">
        <w:t>Korea;</w:t>
      </w:r>
      <w:r>
        <w:t xml:space="preserve"> or</w:t>
      </w:r>
    </w:p>
    <w:p w14:paraId="5E39818A" w14:textId="77777777" w:rsidR="000B22DF" w:rsidRPr="005702CA" w:rsidRDefault="000B22DF" w:rsidP="000B22DF">
      <w:pPr>
        <w:pStyle w:val="paragraph"/>
      </w:pPr>
      <w:r w:rsidRPr="005702CA">
        <w:tab/>
        <w:t>(</w:t>
      </w:r>
      <w:r>
        <w:t>e</w:t>
      </w:r>
      <w:r w:rsidRPr="005702CA">
        <w:t>)</w:t>
      </w:r>
      <w:r w:rsidRPr="005702CA">
        <w:tab/>
        <w:t>the body corporate:</w:t>
      </w:r>
    </w:p>
    <w:p w14:paraId="5F2B7DFF" w14:textId="77777777" w:rsidR="000B22DF" w:rsidRPr="005702CA" w:rsidRDefault="000B22DF" w:rsidP="000B22DF">
      <w:pPr>
        <w:pStyle w:val="paragraphsub"/>
      </w:pPr>
      <w:r w:rsidRPr="005702CA">
        <w:tab/>
        <w:t>(i)</w:t>
      </w:r>
      <w:r w:rsidRPr="005702CA">
        <w:tab/>
        <w:t>is authorised to carry on life insurance business in the United States of America; and</w:t>
      </w:r>
    </w:p>
    <w:p w14:paraId="228D8AF0" w14:textId="77777777" w:rsidR="000B22DF" w:rsidRPr="005702CA" w:rsidRDefault="000B22DF" w:rsidP="000B22DF">
      <w:pPr>
        <w:pStyle w:val="paragraphsub"/>
      </w:pPr>
      <w:r w:rsidRPr="005702CA">
        <w:tab/>
        <w:t>(ii)</w:t>
      </w:r>
      <w:r w:rsidRPr="005702CA">
        <w:tab/>
        <w:t>is incorporated in the United States of America</w:t>
      </w:r>
      <w:r>
        <w:t>.</w:t>
      </w:r>
    </w:p>
    <w:p w14:paraId="2B17D0DC" w14:textId="77777777" w:rsidR="00933B5D" w:rsidRPr="005702CA" w:rsidRDefault="00933B5D" w:rsidP="00933B5D">
      <w:pPr>
        <w:pStyle w:val="subsection"/>
      </w:pPr>
      <w:r w:rsidRPr="005702CA">
        <w:tab/>
        <w:t>(</w:t>
      </w:r>
      <w:r w:rsidR="00E00BF2">
        <w:t>2</w:t>
      </w:r>
      <w:r w:rsidRPr="005702CA">
        <w:t>)</w:t>
      </w:r>
      <w:r w:rsidRPr="005702CA">
        <w:tab/>
        <w:t xml:space="preserve">In </w:t>
      </w:r>
      <w:r w:rsidR="00D82506">
        <w:t>paragraph (</w:t>
      </w:r>
      <w:r w:rsidR="00E00BF2">
        <w:t>1</w:t>
      </w:r>
      <w:r w:rsidRPr="005702CA">
        <w:t>)(</w:t>
      </w:r>
      <w:r w:rsidR="000B22DF">
        <w:t>a</w:t>
      </w:r>
      <w:r w:rsidRPr="005702CA">
        <w:t>)</w:t>
      </w:r>
      <w:r w:rsidR="00AB11D5">
        <w:t xml:space="preserve"> of this section</w:t>
      </w:r>
      <w:r w:rsidRPr="005702CA">
        <w:t>, a reference to China does not include a reference to the following members of the World Trade Organization:</w:t>
      </w:r>
    </w:p>
    <w:p w14:paraId="4BB46030" w14:textId="77777777" w:rsidR="00933B5D" w:rsidRPr="005702CA" w:rsidRDefault="00933B5D" w:rsidP="00933B5D">
      <w:pPr>
        <w:pStyle w:val="paragraph"/>
      </w:pPr>
      <w:r w:rsidRPr="005702CA">
        <w:tab/>
        <w:t>(a)</w:t>
      </w:r>
      <w:r w:rsidRPr="005702CA">
        <w:tab/>
        <w:t>Hong Kong, China;</w:t>
      </w:r>
    </w:p>
    <w:p w14:paraId="61DAEA3A" w14:textId="77777777" w:rsidR="00933B5D" w:rsidRPr="005702CA" w:rsidRDefault="00933B5D" w:rsidP="00933B5D">
      <w:pPr>
        <w:pStyle w:val="paragraph"/>
      </w:pPr>
      <w:r w:rsidRPr="005702CA">
        <w:tab/>
        <w:t>(b)</w:t>
      </w:r>
      <w:r w:rsidRPr="005702CA">
        <w:tab/>
        <w:t>Macao, China;</w:t>
      </w:r>
    </w:p>
    <w:p w14:paraId="26589647" w14:textId="77777777" w:rsidR="00933B5D" w:rsidRDefault="00933B5D" w:rsidP="00933B5D">
      <w:pPr>
        <w:pStyle w:val="paragraph"/>
      </w:pPr>
      <w:r w:rsidRPr="005702CA">
        <w:tab/>
        <w:t>(c)</w:t>
      </w:r>
      <w:r w:rsidRPr="005702CA">
        <w:tab/>
        <w:t>Separate Customs Territory of Taiwan, Penghu, Kinmen and Matsu.</w:t>
      </w:r>
    </w:p>
    <w:p w14:paraId="2F89E827" w14:textId="77777777" w:rsidR="00933B5D" w:rsidRPr="0080154E" w:rsidRDefault="00933B5D" w:rsidP="00EA3811">
      <w:pPr>
        <w:pStyle w:val="ActHead2"/>
        <w:pageBreakBefore/>
      </w:pPr>
      <w:bookmarkStart w:id="9" w:name="_Toc131074617"/>
      <w:r w:rsidRPr="004C334B">
        <w:rPr>
          <w:rStyle w:val="CharPartNo"/>
        </w:rPr>
        <w:lastRenderedPageBreak/>
        <w:t>Part 9</w:t>
      </w:r>
      <w:r w:rsidRPr="0080154E">
        <w:t>—</w:t>
      </w:r>
      <w:r w:rsidRPr="004C334B">
        <w:rPr>
          <w:rStyle w:val="CharPartText"/>
        </w:rPr>
        <w:t>Transfers and amalgamations of life insurance business</w:t>
      </w:r>
      <w:bookmarkEnd w:id="9"/>
    </w:p>
    <w:p w14:paraId="589BE926" w14:textId="77777777" w:rsidR="00933B5D" w:rsidRPr="004C334B" w:rsidRDefault="00933B5D" w:rsidP="00933B5D">
      <w:pPr>
        <w:pStyle w:val="Header"/>
      </w:pPr>
      <w:r w:rsidRPr="004C334B">
        <w:rPr>
          <w:rStyle w:val="CharDivNo"/>
        </w:rPr>
        <w:t xml:space="preserve"> </w:t>
      </w:r>
      <w:r w:rsidRPr="004C334B">
        <w:rPr>
          <w:rStyle w:val="CharDivText"/>
        </w:rPr>
        <w:t xml:space="preserve"> </w:t>
      </w:r>
    </w:p>
    <w:p w14:paraId="704C2D7E" w14:textId="77777777" w:rsidR="00933B5D" w:rsidRPr="0080154E" w:rsidRDefault="00B334D6" w:rsidP="006B2659">
      <w:pPr>
        <w:pStyle w:val="ActHead5"/>
      </w:pPr>
      <w:bookmarkStart w:id="10" w:name="_Toc131074618"/>
      <w:r w:rsidRPr="004C334B">
        <w:rPr>
          <w:rStyle w:val="CharSectno"/>
        </w:rPr>
        <w:t>7</w:t>
      </w:r>
      <w:r w:rsidR="00933B5D" w:rsidRPr="0080154E">
        <w:t xml:space="preserve">  Application for confirmation of scheme</w:t>
      </w:r>
      <w:bookmarkEnd w:id="10"/>
    </w:p>
    <w:p w14:paraId="357A410C" w14:textId="77777777" w:rsidR="00183865" w:rsidRDefault="00933B5D" w:rsidP="00183865">
      <w:pPr>
        <w:pStyle w:val="subsection"/>
      </w:pPr>
      <w:r w:rsidRPr="005702CA">
        <w:tab/>
      </w:r>
      <w:r w:rsidR="00EB3E68">
        <w:t>(1)</w:t>
      </w:r>
      <w:r w:rsidRPr="005702CA">
        <w:tab/>
        <w:t xml:space="preserve">For the purposes of </w:t>
      </w:r>
      <w:r w:rsidR="00986A18">
        <w:t>paragraph 1</w:t>
      </w:r>
      <w:r w:rsidR="001F07BF">
        <w:t xml:space="preserve">91(2)(e) </w:t>
      </w:r>
      <w:r w:rsidRPr="005702CA">
        <w:t xml:space="preserve">of the Act, </w:t>
      </w:r>
      <w:r w:rsidR="001F07BF">
        <w:t xml:space="preserve">the following </w:t>
      </w:r>
      <w:r w:rsidR="000B51FD">
        <w:t xml:space="preserve">requirement </w:t>
      </w:r>
      <w:r w:rsidR="00183865">
        <w:t xml:space="preserve">is prescribed: the application must not be made earlier than 15 days after </w:t>
      </w:r>
      <w:r w:rsidR="001F07BF">
        <w:t xml:space="preserve">the first day </w:t>
      </w:r>
      <w:r w:rsidR="00301034">
        <w:t>on which</w:t>
      </w:r>
      <w:r w:rsidR="001F07BF">
        <w:t xml:space="preserve"> an approved summary of the scheme has been given to every affected policy holder in accordance with </w:t>
      </w:r>
      <w:r w:rsidR="00986A18">
        <w:t>paragraph 1</w:t>
      </w:r>
      <w:r w:rsidR="001F07BF">
        <w:t>91(2)(c) of the Act</w:t>
      </w:r>
      <w:r w:rsidR="00183865">
        <w:t>.</w:t>
      </w:r>
    </w:p>
    <w:p w14:paraId="2E1E3005" w14:textId="77777777" w:rsidR="00EB3E68" w:rsidRDefault="00EB3E68" w:rsidP="00EB3E68">
      <w:pPr>
        <w:pStyle w:val="subsection"/>
      </w:pPr>
      <w:r>
        <w:tab/>
        <w:t>(2)</w:t>
      </w:r>
      <w:r>
        <w:tab/>
      </w:r>
      <w:r w:rsidR="00183865">
        <w:t>T</w:t>
      </w:r>
      <w:r>
        <w:t>his section does not apply if</w:t>
      </w:r>
      <w:r w:rsidR="00301034">
        <w:t xml:space="preserve">, under </w:t>
      </w:r>
      <w:r w:rsidR="00E76946">
        <w:t>subsection 1</w:t>
      </w:r>
      <w:r w:rsidR="00301034">
        <w:t>91(5) of the Act,</w:t>
      </w:r>
      <w:r>
        <w:t xml:space="preserve"> the Court </w:t>
      </w:r>
      <w:r w:rsidRPr="005702CA">
        <w:t xml:space="preserve">dispenses with the need for compliance with </w:t>
      </w:r>
      <w:r w:rsidR="00986A18">
        <w:t>paragraph 1</w:t>
      </w:r>
      <w:r w:rsidRPr="005702CA">
        <w:t>91(2)(c) of the Act</w:t>
      </w:r>
      <w:r w:rsidR="00301034">
        <w:t xml:space="preserve"> in relation to the scheme</w:t>
      </w:r>
      <w:r>
        <w:t>.</w:t>
      </w:r>
    </w:p>
    <w:p w14:paraId="5724EE4E" w14:textId="77777777" w:rsidR="00933B5D" w:rsidRPr="0080154E" w:rsidRDefault="00B334D6" w:rsidP="00933B5D">
      <w:pPr>
        <w:pStyle w:val="ActHead5"/>
      </w:pPr>
      <w:bookmarkStart w:id="11" w:name="_Toc131074619"/>
      <w:r w:rsidRPr="004C334B">
        <w:rPr>
          <w:rStyle w:val="CharSectno"/>
        </w:rPr>
        <w:t>8</w:t>
      </w:r>
      <w:r w:rsidR="00933B5D" w:rsidRPr="0080154E">
        <w:t xml:space="preserve">  Documents to be </w:t>
      </w:r>
      <w:r w:rsidR="00FE1C5F">
        <w:t>given to</w:t>
      </w:r>
      <w:r w:rsidR="00933B5D" w:rsidRPr="0080154E">
        <w:t xml:space="preserve"> APRA</w:t>
      </w:r>
      <w:bookmarkEnd w:id="11"/>
    </w:p>
    <w:p w14:paraId="3ED712E8" w14:textId="77777777" w:rsidR="00933B5D" w:rsidRPr="005702CA" w:rsidRDefault="00933B5D" w:rsidP="002E113C">
      <w:pPr>
        <w:pStyle w:val="subsection"/>
      </w:pPr>
      <w:r w:rsidRPr="005702CA">
        <w:tab/>
        <w:t>(1)</w:t>
      </w:r>
      <w:r w:rsidRPr="005702CA">
        <w:tab/>
        <w:t xml:space="preserve">For the purposes of </w:t>
      </w:r>
      <w:r w:rsidR="00E76946">
        <w:t>subsection 1</w:t>
      </w:r>
      <w:r w:rsidRPr="005702CA">
        <w:t>97(1) of the Act,</w:t>
      </w:r>
      <w:r w:rsidR="002E113C">
        <w:t xml:space="preserve"> if </w:t>
      </w:r>
      <w:r w:rsidR="002E113C" w:rsidRPr="002E113C">
        <w:t xml:space="preserve">any part of the life insurance business carried on by a life company is transferred to, or amalgamated with the life insurance business of, another company, the latter company must give APRA </w:t>
      </w:r>
      <w:r w:rsidR="002E113C">
        <w:t xml:space="preserve">the following </w:t>
      </w:r>
      <w:r w:rsidR="002E113C" w:rsidRPr="002E113C">
        <w:t>documents</w:t>
      </w:r>
      <w:r w:rsidRPr="005702CA">
        <w:t>:</w:t>
      </w:r>
    </w:p>
    <w:p w14:paraId="5BFD2FB0" w14:textId="77777777" w:rsidR="00933B5D" w:rsidRPr="005702CA" w:rsidRDefault="00933B5D" w:rsidP="00933B5D">
      <w:pPr>
        <w:pStyle w:val="paragraph"/>
      </w:pPr>
      <w:r w:rsidRPr="005702CA">
        <w:tab/>
        <w:t>(a)</w:t>
      </w:r>
      <w:r w:rsidRPr="005702CA">
        <w:tab/>
        <w:t>a statement of the nature and terms of the transfer or amalgamation;</w:t>
      </w:r>
    </w:p>
    <w:p w14:paraId="1B1B51E0" w14:textId="77777777" w:rsidR="00933B5D" w:rsidRPr="005702CA" w:rsidRDefault="00933B5D" w:rsidP="00933B5D">
      <w:pPr>
        <w:pStyle w:val="paragraph"/>
      </w:pPr>
      <w:r w:rsidRPr="005702CA">
        <w:tab/>
        <w:t>(b)</w:t>
      </w:r>
      <w:r w:rsidRPr="005702CA">
        <w:tab/>
        <w:t xml:space="preserve">a </w:t>
      </w:r>
      <w:r w:rsidR="00183865">
        <w:t xml:space="preserve">certified </w:t>
      </w:r>
      <w:r w:rsidRPr="005702CA">
        <w:t>copy of each of the following documents:</w:t>
      </w:r>
    </w:p>
    <w:p w14:paraId="0220B72D" w14:textId="77777777" w:rsidR="00933B5D" w:rsidRPr="005702CA" w:rsidRDefault="00933B5D" w:rsidP="00933B5D">
      <w:pPr>
        <w:pStyle w:val="paragraphsub"/>
      </w:pPr>
      <w:r w:rsidRPr="005702CA">
        <w:tab/>
        <w:t>(i)</w:t>
      </w:r>
      <w:r w:rsidRPr="005702CA">
        <w:tab/>
        <w:t>the scheme providing for the transfer or amalgamation;</w:t>
      </w:r>
    </w:p>
    <w:p w14:paraId="3C1FE0B0" w14:textId="77777777" w:rsidR="00933B5D" w:rsidRPr="005702CA" w:rsidRDefault="00933B5D" w:rsidP="00933B5D">
      <w:pPr>
        <w:pStyle w:val="paragraphsub"/>
      </w:pPr>
      <w:r w:rsidRPr="005702CA">
        <w:tab/>
        <w:t>(ii)</w:t>
      </w:r>
      <w:r w:rsidRPr="005702CA">
        <w:tab/>
      </w:r>
      <w:r w:rsidR="00C6189B">
        <w:t>each</w:t>
      </w:r>
      <w:r w:rsidRPr="005702CA">
        <w:t xml:space="preserve"> actuarial report or other repor</w:t>
      </w:r>
      <w:r w:rsidR="00C6189B">
        <w:t xml:space="preserve">t (if any) </w:t>
      </w:r>
      <w:r w:rsidRPr="005702CA">
        <w:t>on which the scheme, and the agreement or deed</w:t>
      </w:r>
      <w:r w:rsidR="008529C1">
        <w:t xml:space="preserve"> by which the transfer or amalgamation is carried out</w:t>
      </w:r>
      <w:r w:rsidRPr="005702CA">
        <w:t>, are founded;</w:t>
      </w:r>
    </w:p>
    <w:p w14:paraId="2DFB8147" w14:textId="77777777" w:rsidR="00933B5D" w:rsidRPr="005702CA" w:rsidRDefault="00933B5D" w:rsidP="00933B5D">
      <w:pPr>
        <w:pStyle w:val="paragraphsub"/>
      </w:pPr>
      <w:r w:rsidRPr="005702CA">
        <w:tab/>
        <w:t>(iii)</w:t>
      </w:r>
      <w:r w:rsidRPr="005702CA">
        <w:tab/>
        <w:t xml:space="preserve">the agreement or deed </w:t>
      </w:r>
      <w:r w:rsidR="00526612">
        <w:t>by</w:t>
      </w:r>
      <w:r w:rsidRPr="005702CA">
        <w:t xml:space="preserve"> which the transfer or amalgamation is</w:t>
      </w:r>
      <w:r w:rsidR="008529C1">
        <w:t xml:space="preserve"> carried out</w:t>
      </w:r>
      <w:r w:rsidRPr="005702CA">
        <w:t>;</w:t>
      </w:r>
    </w:p>
    <w:p w14:paraId="249B5A42" w14:textId="77777777" w:rsidR="00933B5D" w:rsidRPr="005702CA" w:rsidRDefault="00933B5D" w:rsidP="00933B5D">
      <w:pPr>
        <w:pStyle w:val="paragraphsub"/>
      </w:pPr>
      <w:r w:rsidRPr="005702CA">
        <w:tab/>
        <w:t>(iv)</w:t>
      </w:r>
      <w:r w:rsidRPr="005702CA">
        <w:tab/>
        <w:t>the Court order confirming the scheme;</w:t>
      </w:r>
    </w:p>
    <w:p w14:paraId="76E26B2B" w14:textId="77777777" w:rsidR="00933B5D" w:rsidRDefault="00933B5D" w:rsidP="00933B5D">
      <w:pPr>
        <w:pStyle w:val="paragraphsub"/>
      </w:pPr>
      <w:r w:rsidRPr="005702CA">
        <w:tab/>
        <w:t>(v)</w:t>
      </w:r>
      <w:r w:rsidRPr="005702CA">
        <w:tab/>
        <w:t xml:space="preserve">a statement of the assets and liabilities of each company </w:t>
      </w:r>
      <w:r w:rsidR="006813B6">
        <w:t xml:space="preserve">affected by the scheme (within the meaning of </w:t>
      </w:r>
      <w:r w:rsidR="00E76946">
        <w:t>section 1</w:t>
      </w:r>
      <w:r w:rsidR="006813B6">
        <w:t>89 of the Act)</w:t>
      </w:r>
      <w:r w:rsidRPr="005702CA">
        <w:t>;</w:t>
      </w:r>
    </w:p>
    <w:p w14:paraId="67363E9D" w14:textId="77777777" w:rsidR="00933B5D" w:rsidRPr="005702CA" w:rsidRDefault="00933B5D" w:rsidP="00933B5D">
      <w:pPr>
        <w:pStyle w:val="paragraph"/>
      </w:pPr>
      <w:r w:rsidRPr="005702CA">
        <w:tab/>
        <w:t>(c)</w:t>
      </w:r>
      <w:r w:rsidRPr="005702CA">
        <w:tab/>
        <w:t>a statutory declaration by the principal executive officer</w:t>
      </w:r>
      <w:r w:rsidR="001E7800">
        <w:t xml:space="preserve"> of the</w:t>
      </w:r>
      <w:r w:rsidR="002E113C">
        <w:t xml:space="preserve"> latter</w:t>
      </w:r>
      <w:r w:rsidR="001E7800">
        <w:t xml:space="preserve"> company</w:t>
      </w:r>
      <w:r w:rsidRPr="005702CA">
        <w:t>:</w:t>
      </w:r>
    </w:p>
    <w:p w14:paraId="270CFFC1" w14:textId="77777777" w:rsidR="00933B5D" w:rsidRDefault="00933B5D" w:rsidP="00EB3E68">
      <w:pPr>
        <w:pStyle w:val="paragraphsub"/>
      </w:pPr>
      <w:r w:rsidRPr="005702CA">
        <w:tab/>
        <w:t>(i)</w:t>
      </w:r>
      <w:r w:rsidRPr="005702CA">
        <w:tab/>
        <w:t>setting out, in relation to the transfer or amalgamation</w:t>
      </w:r>
      <w:r w:rsidR="00EB3E68">
        <w:t xml:space="preserve">, </w:t>
      </w:r>
      <w:r w:rsidRPr="005702CA">
        <w:t>each payment made; and</w:t>
      </w:r>
    </w:p>
    <w:p w14:paraId="38BC461D" w14:textId="77777777" w:rsidR="00EB3E68" w:rsidRPr="005702CA" w:rsidRDefault="00EB3E68" w:rsidP="00EB3E68">
      <w:pPr>
        <w:pStyle w:val="paragraphsub"/>
      </w:pPr>
      <w:r>
        <w:tab/>
        <w:t>(ii)</w:t>
      </w:r>
      <w:r>
        <w:tab/>
      </w:r>
      <w:r w:rsidRPr="005702CA">
        <w:t>setting out, in relation to the transfer or amalgamation</w:t>
      </w:r>
      <w:r>
        <w:t xml:space="preserve">, </w:t>
      </w:r>
      <w:r w:rsidRPr="005702CA">
        <w:t>a reasonable estimate of each payment to be made</w:t>
      </w:r>
      <w:r w:rsidR="006728EA">
        <w:t xml:space="preserve"> in the future</w:t>
      </w:r>
      <w:r w:rsidRPr="005702CA">
        <w:t>; and</w:t>
      </w:r>
    </w:p>
    <w:p w14:paraId="29DA8673" w14:textId="77777777" w:rsidR="00933B5D" w:rsidRDefault="00933B5D" w:rsidP="00933B5D">
      <w:pPr>
        <w:pStyle w:val="paragraphsub"/>
      </w:pPr>
      <w:r w:rsidRPr="005702CA">
        <w:tab/>
        <w:t>(ii</w:t>
      </w:r>
      <w:r w:rsidR="00EB3E68">
        <w:t>i</w:t>
      </w:r>
      <w:r w:rsidRPr="005702CA">
        <w:t>)</w:t>
      </w:r>
      <w:r w:rsidRPr="005702CA">
        <w:tab/>
        <w:t xml:space="preserve">stating that he or she reasonably believes that no other payment has been made, or will be made, </w:t>
      </w:r>
      <w:r w:rsidR="001C2936">
        <w:t xml:space="preserve">in relation to the transfer or amalgamation, </w:t>
      </w:r>
      <w:r w:rsidRPr="005702CA">
        <w:t>by, or with the knowledge of, a party</w:t>
      </w:r>
      <w:r w:rsidR="00520D32">
        <w:t xml:space="preserve"> </w:t>
      </w:r>
      <w:r w:rsidRPr="005702CA">
        <w:t xml:space="preserve">to the </w:t>
      </w:r>
      <w:r w:rsidR="00985CF2">
        <w:t>agreement</w:t>
      </w:r>
      <w:r w:rsidR="008529C1">
        <w:t xml:space="preserve"> or deed</w:t>
      </w:r>
      <w:r w:rsidR="000B51FD">
        <w:t xml:space="preserve"> by which the transfer or amalgamation is carried out</w:t>
      </w:r>
      <w:r w:rsidRPr="005702CA">
        <w:t>.</w:t>
      </w:r>
    </w:p>
    <w:p w14:paraId="3F64C14B" w14:textId="77777777" w:rsidR="00933B5D" w:rsidRPr="005702CA" w:rsidRDefault="00933B5D" w:rsidP="00933B5D">
      <w:pPr>
        <w:pStyle w:val="subsection"/>
      </w:pPr>
      <w:r w:rsidRPr="005702CA">
        <w:tab/>
        <w:t>(2)</w:t>
      </w:r>
      <w:r w:rsidRPr="005702CA">
        <w:tab/>
        <w:t xml:space="preserve">For the purposes of </w:t>
      </w:r>
      <w:r w:rsidR="00E76946">
        <w:t>subsection 1</w:t>
      </w:r>
      <w:r w:rsidRPr="005702CA">
        <w:t xml:space="preserve">97(2) of the Act, and subject to </w:t>
      </w:r>
      <w:r w:rsidR="00D82506">
        <w:t>subsection (</w:t>
      </w:r>
      <w:r w:rsidRPr="005702CA">
        <w:t>3)</w:t>
      </w:r>
      <w:r w:rsidR="00EB3E68">
        <w:t xml:space="preserve"> of this section</w:t>
      </w:r>
      <w:r w:rsidRPr="005702CA">
        <w:t xml:space="preserve">, the documents must be </w:t>
      </w:r>
      <w:r w:rsidR="00FE1C5F">
        <w:t xml:space="preserve">given to APRA </w:t>
      </w:r>
      <w:r w:rsidRPr="005702CA">
        <w:t>within 30 days after the transfer or amalgamation is completed.</w:t>
      </w:r>
    </w:p>
    <w:p w14:paraId="17583A15" w14:textId="77777777" w:rsidR="00933B5D" w:rsidRPr="005702CA" w:rsidRDefault="00933B5D" w:rsidP="00933B5D">
      <w:pPr>
        <w:pStyle w:val="subsection"/>
      </w:pPr>
      <w:r w:rsidRPr="005702CA">
        <w:lastRenderedPageBreak/>
        <w:tab/>
        <w:t>(3)</w:t>
      </w:r>
      <w:r w:rsidRPr="005702CA">
        <w:tab/>
        <w:t xml:space="preserve">A company may apply, in writing, to APRA, before the end of the </w:t>
      </w:r>
      <w:r w:rsidR="006728EA">
        <w:t xml:space="preserve">30 days </w:t>
      </w:r>
      <w:r w:rsidRPr="005702CA">
        <w:t xml:space="preserve">referred in </w:t>
      </w:r>
      <w:r w:rsidR="00D82506">
        <w:t>subsection (</w:t>
      </w:r>
      <w:r w:rsidRPr="005702CA">
        <w:t xml:space="preserve">2), for an extension of the time in which to </w:t>
      </w:r>
      <w:r w:rsidR="00FE1C5F">
        <w:t xml:space="preserve">give </w:t>
      </w:r>
      <w:r w:rsidRPr="005702CA">
        <w:t>the documents</w:t>
      </w:r>
      <w:r w:rsidR="00FE1C5F">
        <w:t xml:space="preserve"> to APRA</w:t>
      </w:r>
      <w:r w:rsidRPr="005702CA">
        <w:t>.</w:t>
      </w:r>
    </w:p>
    <w:p w14:paraId="2EB8F752" w14:textId="77777777" w:rsidR="006728EA" w:rsidRDefault="00933B5D" w:rsidP="00C6189B">
      <w:pPr>
        <w:pStyle w:val="subsection"/>
      </w:pPr>
      <w:r w:rsidRPr="005702CA">
        <w:tab/>
        <w:t>(4)</w:t>
      </w:r>
      <w:r w:rsidRPr="005702CA">
        <w:tab/>
        <w:t>If</w:t>
      </w:r>
      <w:r w:rsidR="00C6189B">
        <w:t xml:space="preserve"> </w:t>
      </w:r>
      <w:r w:rsidR="006728EA">
        <w:t xml:space="preserve">APRA receives an application under </w:t>
      </w:r>
      <w:r w:rsidR="00D82506">
        <w:t>subsection (</w:t>
      </w:r>
      <w:r w:rsidR="006728EA">
        <w:t xml:space="preserve">3) from a company for an extension of time in which to </w:t>
      </w:r>
      <w:r w:rsidR="00FE1C5F">
        <w:t>give documents to APRA</w:t>
      </w:r>
      <w:r w:rsidR="00C6189B">
        <w:t>, APRA must, within 14 days after receiving the application:</w:t>
      </w:r>
    </w:p>
    <w:p w14:paraId="08F4C767" w14:textId="77777777" w:rsidR="00C6189B" w:rsidRDefault="00C6189B" w:rsidP="00C6189B">
      <w:pPr>
        <w:pStyle w:val="paragraph"/>
      </w:pPr>
      <w:r>
        <w:tab/>
        <w:t>(a)</w:t>
      </w:r>
      <w:r>
        <w:tab/>
        <w:t>either:</w:t>
      </w:r>
    </w:p>
    <w:p w14:paraId="31928041" w14:textId="77777777" w:rsidR="00933B5D" w:rsidRDefault="00C6189B" w:rsidP="00FE1C5F">
      <w:pPr>
        <w:pStyle w:val="paragraphsub"/>
      </w:pPr>
      <w:r>
        <w:tab/>
        <w:t>(i)</w:t>
      </w:r>
      <w:r>
        <w:tab/>
        <w:t xml:space="preserve">if </w:t>
      </w:r>
      <w:r w:rsidR="00933B5D" w:rsidRPr="005702CA">
        <w:t>APRA believes that</w:t>
      </w:r>
      <w:r w:rsidR="000B51FD">
        <w:t>, when the application was made, it was</w:t>
      </w:r>
      <w:r w:rsidR="00FE1C5F">
        <w:t xml:space="preserve"> not reasonably possible for the company to give the documents to APRA </w:t>
      </w:r>
      <w:r w:rsidR="00933B5D" w:rsidRPr="005702CA">
        <w:t xml:space="preserve">within the </w:t>
      </w:r>
      <w:r w:rsidR="006728EA">
        <w:t xml:space="preserve">30 days </w:t>
      </w:r>
      <w:r w:rsidR="00933B5D" w:rsidRPr="005702CA">
        <w:t xml:space="preserve">referred to in </w:t>
      </w:r>
      <w:r w:rsidR="00D82506">
        <w:t>subsection (</w:t>
      </w:r>
      <w:r w:rsidR="00933B5D" w:rsidRPr="005702CA">
        <w:t>2)</w:t>
      </w:r>
      <w:r>
        <w:t>—</w:t>
      </w:r>
      <w:r w:rsidR="00933B5D" w:rsidRPr="005702CA">
        <w:t xml:space="preserve">give </w:t>
      </w:r>
      <w:r w:rsidR="00CA3AEB">
        <w:t xml:space="preserve">the company </w:t>
      </w:r>
      <w:r w:rsidR="00933B5D" w:rsidRPr="005702CA">
        <w:t xml:space="preserve">an extension </w:t>
      </w:r>
      <w:r w:rsidR="00CA3AEB">
        <w:t xml:space="preserve">of time </w:t>
      </w:r>
      <w:r w:rsidR="00CA3AEB" w:rsidRPr="005702CA">
        <w:t>of no longer than 30 days</w:t>
      </w:r>
      <w:r w:rsidR="00933B5D" w:rsidRPr="005702CA">
        <w:t xml:space="preserve">; </w:t>
      </w:r>
      <w:r>
        <w:t>or</w:t>
      </w:r>
    </w:p>
    <w:p w14:paraId="5C4EFC2D" w14:textId="77777777" w:rsidR="00C6189B" w:rsidRPr="005702CA" w:rsidRDefault="00C6189B" w:rsidP="00C6189B">
      <w:pPr>
        <w:pStyle w:val="paragraphsub"/>
      </w:pPr>
      <w:r>
        <w:tab/>
        <w:t>(ii)</w:t>
      </w:r>
      <w:r>
        <w:tab/>
        <w:t>otherwise—refuse the application; and</w:t>
      </w:r>
    </w:p>
    <w:p w14:paraId="5D2D3DE3" w14:textId="77777777" w:rsidR="00933B5D" w:rsidRDefault="00933B5D" w:rsidP="00307860">
      <w:pPr>
        <w:pStyle w:val="paragraph"/>
      </w:pPr>
      <w:r w:rsidRPr="005702CA">
        <w:tab/>
        <w:t>(</w:t>
      </w:r>
      <w:r w:rsidR="00C6189B">
        <w:t>b</w:t>
      </w:r>
      <w:r w:rsidRPr="005702CA">
        <w:t>)</w:t>
      </w:r>
      <w:r w:rsidRPr="005702CA">
        <w:tab/>
      </w:r>
      <w:r w:rsidR="00307860">
        <w:t xml:space="preserve">give the </w:t>
      </w:r>
      <w:r w:rsidR="00CA3AEB">
        <w:t>company</w:t>
      </w:r>
      <w:r w:rsidR="00307860">
        <w:t xml:space="preserve"> written notice of APRA</w:t>
      </w:r>
      <w:r w:rsidR="00D3684B">
        <w:t>’</w:t>
      </w:r>
      <w:r w:rsidR="00307860">
        <w:t>s decision on the application.</w:t>
      </w:r>
    </w:p>
    <w:p w14:paraId="2BAC0AC1" w14:textId="77777777" w:rsidR="005A068C" w:rsidRDefault="00B3062B" w:rsidP="00B3062B">
      <w:pPr>
        <w:pStyle w:val="subsection"/>
      </w:pPr>
      <w:r>
        <w:tab/>
        <w:t>(5)</w:t>
      </w:r>
      <w:r>
        <w:tab/>
        <w:t>For the purposes of subparagraph (zt)(</w:t>
      </w:r>
      <w:r w:rsidR="00CD573F">
        <w:t>i</w:t>
      </w:r>
      <w:r>
        <w:t xml:space="preserve">i) of the definition of </w:t>
      </w:r>
      <w:r>
        <w:rPr>
          <w:b/>
          <w:i/>
        </w:rPr>
        <w:t>reviewable decision</w:t>
      </w:r>
      <w:r>
        <w:t xml:space="preserve"> in subsection 236(1) of the Act, a decision to refuse an application under subparagraph (4)(a)(ii) of this section is prescribed.</w:t>
      </w:r>
    </w:p>
    <w:p w14:paraId="02254710" w14:textId="77777777" w:rsidR="00933B5D" w:rsidRPr="0080154E" w:rsidRDefault="00A15354" w:rsidP="009D0F2E">
      <w:pPr>
        <w:pStyle w:val="ActHead2"/>
        <w:pageBreakBefore/>
      </w:pPr>
      <w:bookmarkStart w:id="12" w:name="_Toc131074620"/>
      <w:r w:rsidRPr="004C334B">
        <w:rPr>
          <w:rStyle w:val="CharPartNo"/>
        </w:rPr>
        <w:lastRenderedPageBreak/>
        <w:t>Part 1</w:t>
      </w:r>
      <w:r w:rsidR="00933B5D" w:rsidRPr="004C334B">
        <w:rPr>
          <w:rStyle w:val="CharPartNo"/>
        </w:rPr>
        <w:t>0</w:t>
      </w:r>
      <w:r w:rsidR="00933B5D" w:rsidRPr="0080154E">
        <w:t>—</w:t>
      </w:r>
      <w:r w:rsidR="00933B5D" w:rsidRPr="004C334B">
        <w:rPr>
          <w:rStyle w:val="CharPartText"/>
        </w:rPr>
        <w:t>Provisions relating to policies</w:t>
      </w:r>
      <w:bookmarkEnd w:id="12"/>
    </w:p>
    <w:p w14:paraId="6B23E616" w14:textId="77777777" w:rsidR="00933B5D" w:rsidRPr="004C334B" w:rsidRDefault="00933B5D" w:rsidP="00933B5D">
      <w:pPr>
        <w:pStyle w:val="Header"/>
      </w:pPr>
      <w:r w:rsidRPr="004C334B">
        <w:rPr>
          <w:rStyle w:val="CharDivNo"/>
        </w:rPr>
        <w:t xml:space="preserve"> </w:t>
      </w:r>
      <w:r w:rsidRPr="004C334B">
        <w:rPr>
          <w:rStyle w:val="CharDivText"/>
        </w:rPr>
        <w:t xml:space="preserve"> </w:t>
      </w:r>
    </w:p>
    <w:p w14:paraId="5B3EB974" w14:textId="77777777" w:rsidR="00933B5D" w:rsidRPr="0080154E" w:rsidRDefault="00B334D6" w:rsidP="00933B5D">
      <w:pPr>
        <w:pStyle w:val="ActHead5"/>
      </w:pPr>
      <w:bookmarkStart w:id="13" w:name="_Toc131074621"/>
      <w:r w:rsidRPr="004C334B">
        <w:rPr>
          <w:rStyle w:val="CharSectno"/>
        </w:rPr>
        <w:t>9</w:t>
      </w:r>
      <w:r w:rsidR="00933B5D" w:rsidRPr="0080154E">
        <w:t xml:space="preserve">  Interest on overdue premiums—prescribed terms</w:t>
      </w:r>
      <w:bookmarkEnd w:id="13"/>
    </w:p>
    <w:p w14:paraId="105D716F" w14:textId="77777777" w:rsidR="00933B5D" w:rsidRDefault="00933B5D" w:rsidP="004D445D">
      <w:pPr>
        <w:pStyle w:val="subsection"/>
      </w:pPr>
      <w:r w:rsidRPr="005702CA">
        <w:tab/>
      </w:r>
      <w:r w:rsidR="007E659D">
        <w:t>(1)</w:t>
      </w:r>
      <w:r w:rsidRPr="005702CA">
        <w:tab/>
        <w:t xml:space="preserve">For the purposes of </w:t>
      </w:r>
      <w:r w:rsidR="00F76302">
        <w:t>sub</w:t>
      </w:r>
      <w:r w:rsidR="00986A18">
        <w:t>section 2</w:t>
      </w:r>
      <w:r w:rsidRPr="005702CA">
        <w:t xml:space="preserve">10(3) of the Act, the </w:t>
      </w:r>
      <w:r w:rsidR="008F230F">
        <w:t xml:space="preserve">following term is prescribed: the term that </w:t>
      </w:r>
      <w:r w:rsidR="004D445D">
        <w:t xml:space="preserve">the rate of interest that may be charged </w:t>
      </w:r>
      <w:r w:rsidRPr="005702CA">
        <w:t xml:space="preserve">on </w:t>
      </w:r>
      <w:r w:rsidR="00E83596">
        <w:t xml:space="preserve">an </w:t>
      </w:r>
      <w:r w:rsidRPr="005702CA">
        <w:t>overdue premium</w:t>
      </w:r>
      <w:r w:rsidR="0078668D">
        <w:t xml:space="preserve"> on a day</w:t>
      </w:r>
      <w:r w:rsidRPr="005702CA">
        <w:t xml:space="preserve"> is the interest rate worked out </w:t>
      </w:r>
      <w:r w:rsidR="004D445D">
        <w:t>using</w:t>
      </w:r>
      <w:r w:rsidRPr="005702CA">
        <w:t xml:space="preserve"> the following formula:</w:t>
      </w:r>
    </w:p>
    <w:p w14:paraId="6BD55E14" w14:textId="77777777" w:rsidR="004D445D" w:rsidRDefault="00985CF2" w:rsidP="004D445D">
      <w:pPr>
        <w:pStyle w:val="subsection2"/>
      </w:pPr>
      <w:r w:rsidRPr="007E659D">
        <w:rPr>
          <w:position w:val="-10"/>
        </w:rPr>
        <w:object w:dxaOrig="4480" w:dyaOrig="420" w14:anchorId="2B80E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21pt" o:ole="">
            <v:imagedata r:id="rId20" o:title=""/>
          </v:shape>
          <o:OLEObject Type="Embed" ProgID="Equation.DSMT4" ShapeID="_x0000_i1025" DrawAspect="Content" ObjectID="_1742737037" r:id="rId21"/>
        </w:object>
      </w:r>
    </w:p>
    <w:p w14:paraId="73870C4A" w14:textId="77777777" w:rsidR="0078668D" w:rsidRDefault="007E659D" w:rsidP="007E659D">
      <w:pPr>
        <w:pStyle w:val="subsection"/>
      </w:pPr>
      <w:r>
        <w:tab/>
        <w:t>(2)</w:t>
      </w:r>
      <w:r>
        <w:tab/>
        <w:t xml:space="preserve">The </w:t>
      </w:r>
      <w:r>
        <w:rPr>
          <w:b/>
          <w:i/>
        </w:rPr>
        <w:t xml:space="preserve">10 year </w:t>
      </w:r>
      <w:r w:rsidR="0078668D">
        <w:rPr>
          <w:b/>
          <w:i/>
        </w:rPr>
        <w:t xml:space="preserve">Commonwealth Government </w:t>
      </w:r>
      <w:r>
        <w:rPr>
          <w:b/>
          <w:i/>
        </w:rPr>
        <w:t>bond yield</w:t>
      </w:r>
      <w:r>
        <w:t xml:space="preserve"> is the </w:t>
      </w:r>
      <w:r w:rsidR="00933B5D" w:rsidRPr="005702CA">
        <w:t>mean</w:t>
      </w:r>
      <w:r>
        <w:t xml:space="preserve"> </w:t>
      </w:r>
      <w:r w:rsidR="00933B5D" w:rsidRPr="005702CA">
        <w:t xml:space="preserve">of the 10 year </w:t>
      </w:r>
      <w:r w:rsidR="0078668D">
        <w:t>Commonwealth Government b</w:t>
      </w:r>
      <w:r w:rsidR="00933B5D" w:rsidRPr="005702CA">
        <w:t xml:space="preserve">ond yields (as shown in figures </w:t>
      </w:r>
      <w:r>
        <w:t xml:space="preserve">published </w:t>
      </w:r>
      <w:r w:rsidR="00933B5D" w:rsidRPr="005702CA">
        <w:t xml:space="preserve">by the Reserve Bank of Australia) at the end of each of the </w:t>
      </w:r>
      <w:r w:rsidR="004D445D">
        <w:t xml:space="preserve">last </w:t>
      </w:r>
      <w:r w:rsidR="00933B5D" w:rsidRPr="005702CA">
        <w:t>6 successive half financial years end</w:t>
      </w:r>
      <w:r w:rsidR="004D445D">
        <w:t>ing</w:t>
      </w:r>
      <w:r w:rsidR="00933B5D" w:rsidRPr="005702CA">
        <w:t xml:space="preserve"> before th</w:t>
      </w:r>
      <w:r w:rsidR="0078668D">
        <w:t>at day.</w:t>
      </w:r>
    </w:p>
    <w:p w14:paraId="1EEF69CC" w14:textId="77777777" w:rsidR="007E659D" w:rsidRPr="007E659D" w:rsidRDefault="007E659D" w:rsidP="007E659D">
      <w:pPr>
        <w:pStyle w:val="subsection"/>
      </w:pPr>
      <w:r>
        <w:tab/>
        <w:t>(3)</w:t>
      </w:r>
      <w:r>
        <w:tab/>
        <w:t xml:space="preserve">If the mean worked out under </w:t>
      </w:r>
      <w:r w:rsidR="00D82506">
        <w:t>subsection (</w:t>
      </w:r>
      <w:r>
        <w:t xml:space="preserve">2) is not a multiple of 0.25%, round it down to the nearest multiple of </w:t>
      </w:r>
      <w:r w:rsidRPr="005702CA">
        <w:t>0.25%</w:t>
      </w:r>
      <w:r>
        <w:t>.</w:t>
      </w:r>
    </w:p>
    <w:p w14:paraId="61BA74C6" w14:textId="77777777" w:rsidR="00933B5D" w:rsidRPr="0080154E" w:rsidRDefault="00B334D6" w:rsidP="00933B5D">
      <w:pPr>
        <w:pStyle w:val="ActHead5"/>
      </w:pPr>
      <w:bookmarkStart w:id="14" w:name="_Toc131074622"/>
      <w:r w:rsidRPr="004C334B">
        <w:rPr>
          <w:rStyle w:val="CharSectno"/>
        </w:rPr>
        <w:t>10</w:t>
      </w:r>
      <w:r w:rsidR="00933B5D" w:rsidRPr="0080154E">
        <w:t xml:space="preserve">  Unclaimed money—interest payable</w:t>
      </w:r>
      <w:bookmarkEnd w:id="14"/>
    </w:p>
    <w:p w14:paraId="491EBC93" w14:textId="77777777" w:rsidR="00985CF2" w:rsidRDefault="00985CF2" w:rsidP="00236258">
      <w:pPr>
        <w:pStyle w:val="subsection"/>
      </w:pPr>
      <w:r>
        <w:tab/>
        <w:t>(1)</w:t>
      </w:r>
      <w:r>
        <w:tab/>
        <w:t>This section applies if:</w:t>
      </w:r>
    </w:p>
    <w:p w14:paraId="3B353BC7" w14:textId="77777777" w:rsidR="00985CF2" w:rsidRDefault="00985CF2" w:rsidP="00985CF2">
      <w:pPr>
        <w:pStyle w:val="paragraph"/>
      </w:pPr>
      <w:r>
        <w:tab/>
      </w:r>
      <w:r w:rsidRPr="00985CF2">
        <w:t>(a)</w:t>
      </w:r>
      <w:r w:rsidRPr="00985CF2">
        <w:tab/>
      </w:r>
      <w:r>
        <w:t xml:space="preserve">a life company paid </w:t>
      </w:r>
      <w:r w:rsidRPr="00985CF2">
        <w:t xml:space="preserve">unclaimed money to the Commonwealth under </w:t>
      </w:r>
      <w:r w:rsidR="00986A18">
        <w:t>section 2</w:t>
      </w:r>
      <w:r>
        <w:t>16 of the Act; and</w:t>
      </w:r>
    </w:p>
    <w:p w14:paraId="04431C1C" w14:textId="77777777" w:rsidR="00985CF2" w:rsidRDefault="00985CF2" w:rsidP="00985CF2">
      <w:pPr>
        <w:pStyle w:val="paragraph"/>
      </w:pPr>
      <w:r>
        <w:tab/>
        <w:t>(b)</w:t>
      </w:r>
      <w:r>
        <w:tab/>
        <w:t xml:space="preserve">some or all of the unclaimed money is paid to the life company under </w:t>
      </w:r>
      <w:r w:rsidR="00262185">
        <w:t>sub</w:t>
      </w:r>
      <w:r w:rsidR="00986A18">
        <w:t>section 2</w:t>
      </w:r>
      <w:r>
        <w:t>16(7) of the Act.</w:t>
      </w:r>
    </w:p>
    <w:p w14:paraId="1D9A1758" w14:textId="77777777" w:rsidR="00985CF2" w:rsidRDefault="00985CF2" w:rsidP="00985CF2">
      <w:pPr>
        <w:pStyle w:val="subsection"/>
      </w:pPr>
      <w:r w:rsidRPr="005702CA">
        <w:tab/>
        <w:t>(</w:t>
      </w:r>
      <w:r>
        <w:t>2</w:t>
      </w:r>
      <w:r w:rsidRPr="005702CA">
        <w:t>)</w:t>
      </w:r>
      <w:r w:rsidRPr="005702CA">
        <w:tab/>
      </w:r>
      <w:r>
        <w:t>For the purposes of paragraph 216(7A)(a) of the Act, this section</w:t>
      </w:r>
      <w:r w:rsidRPr="005702CA">
        <w:t xml:space="preserve"> sets out how to work out the </w:t>
      </w:r>
      <w:r>
        <w:t xml:space="preserve">amount of </w:t>
      </w:r>
      <w:r w:rsidRPr="005702CA">
        <w:t>interest</w:t>
      </w:r>
      <w:r>
        <w:t xml:space="preserve"> that is to be paid in relation to the payment made to the life company.</w:t>
      </w:r>
    </w:p>
    <w:p w14:paraId="3B7E5526" w14:textId="77777777" w:rsidR="00985CF2" w:rsidRDefault="00985CF2" w:rsidP="00985CF2">
      <w:pPr>
        <w:pStyle w:val="subsection"/>
      </w:pPr>
      <w:r>
        <w:tab/>
        <w:t>(3)</w:t>
      </w:r>
      <w:r>
        <w:tab/>
        <w:t xml:space="preserve">If the life company paid the </w:t>
      </w:r>
      <w:r w:rsidRPr="005702CA">
        <w:t xml:space="preserve">unclaimed money to the Commonwealth in more than one payment, </w:t>
      </w:r>
      <w:r>
        <w:t xml:space="preserve">work out </w:t>
      </w:r>
      <w:r w:rsidRPr="005702CA">
        <w:t xml:space="preserve">the interest separately </w:t>
      </w:r>
      <w:r>
        <w:t xml:space="preserve">for </w:t>
      </w:r>
      <w:r w:rsidRPr="005702CA">
        <w:t>each payment</w:t>
      </w:r>
      <w:r>
        <w:t xml:space="preserve"> to the Commonwealth</w:t>
      </w:r>
      <w:r w:rsidRPr="005702CA">
        <w:t>.</w:t>
      </w:r>
    </w:p>
    <w:p w14:paraId="789565E6" w14:textId="77777777" w:rsidR="00985CF2" w:rsidRDefault="00985CF2" w:rsidP="00985CF2">
      <w:pPr>
        <w:pStyle w:val="subsection"/>
      </w:pPr>
      <w:r>
        <w:tab/>
        <w:t>(4)</w:t>
      </w:r>
      <w:r>
        <w:tab/>
        <w:t>To avoid doubt, if the Commonwealth pays the unclaimed money to the life company in more than one payment, work out the interest separately for each payment to the life company.</w:t>
      </w:r>
    </w:p>
    <w:p w14:paraId="16731341" w14:textId="77777777" w:rsidR="0071044C" w:rsidRDefault="0071044C" w:rsidP="0071044C">
      <w:pPr>
        <w:pStyle w:val="notetext"/>
      </w:pPr>
      <w:r>
        <w:t>Example:</w:t>
      </w:r>
      <w:r>
        <w:tab/>
        <w:t>A life company pays $100 of unclaimed money to the Commonwealth on day 1, and $200 on day 2. On day 3, the Minister causes $175 of unclaimed money to be paid to the life company, consisting of:</w:t>
      </w:r>
    </w:p>
    <w:p w14:paraId="57B67144" w14:textId="77777777" w:rsidR="0071044C" w:rsidRDefault="0071044C" w:rsidP="0071044C">
      <w:pPr>
        <w:pStyle w:val="notepara"/>
      </w:pPr>
      <w:r>
        <w:t>(a)</w:t>
      </w:r>
      <w:r>
        <w:tab/>
        <w:t>the $100 of unclaimed money paid to the Commonwealth on day 1; and</w:t>
      </w:r>
    </w:p>
    <w:p w14:paraId="0D241094" w14:textId="77777777" w:rsidR="0071044C" w:rsidRDefault="0071044C" w:rsidP="0071044C">
      <w:pPr>
        <w:pStyle w:val="notepara"/>
      </w:pPr>
      <w:r>
        <w:t>(b)</w:t>
      </w:r>
      <w:r>
        <w:tab/>
        <w:t>$75 of the unclaimed money paid to the Commonwealth on day 2.</w:t>
      </w:r>
    </w:p>
    <w:p w14:paraId="3B9CAD32" w14:textId="77777777" w:rsidR="0071044C" w:rsidRDefault="0071044C" w:rsidP="0071044C">
      <w:pPr>
        <w:pStyle w:val="notetext"/>
      </w:pPr>
      <w:r>
        <w:tab/>
        <w:t xml:space="preserve">Under </w:t>
      </w:r>
      <w:r w:rsidR="00D82506">
        <w:t>subsection (</w:t>
      </w:r>
      <w:r>
        <w:t>3), interest for the $100 and the $75 are worked out separately.</w:t>
      </w:r>
    </w:p>
    <w:p w14:paraId="04AD302F" w14:textId="77777777" w:rsidR="0071044C" w:rsidRDefault="0071044C" w:rsidP="0071044C">
      <w:pPr>
        <w:pStyle w:val="notetext"/>
      </w:pPr>
      <w:r>
        <w:tab/>
        <w:t xml:space="preserve">On day 4, the </w:t>
      </w:r>
      <w:r w:rsidR="0072291B">
        <w:t xml:space="preserve">Minister causes </w:t>
      </w:r>
      <w:r>
        <w:t>$125 of unclaimed money to</w:t>
      </w:r>
      <w:r w:rsidR="0072291B">
        <w:t xml:space="preserve"> be paid to</w:t>
      </w:r>
      <w:r>
        <w:t xml:space="preserve"> the life company, being the remainder of the unclaimed money paid to the Commonwealth on day 2. Under </w:t>
      </w:r>
      <w:r w:rsidR="00D82506">
        <w:t>subsection (</w:t>
      </w:r>
      <w:r>
        <w:t xml:space="preserve">4), interest for the $175 is worked out separately from the interest for the $75 mentioned in </w:t>
      </w:r>
      <w:r w:rsidR="00D82506">
        <w:t>paragraph (</w:t>
      </w:r>
      <w:r>
        <w:t>b) of this example.</w:t>
      </w:r>
    </w:p>
    <w:p w14:paraId="031E2676" w14:textId="77777777" w:rsidR="000109F3" w:rsidRPr="000109F3" w:rsidRDefault="000109F3" w:rsidP="000109F3">
      <w:pPr>
        <w:pStyle w:val="SubsectionHead"/>
        <w:rPr>
          <w:b/>
        </w:rPr>
      </w:pPr>
      <w:r>
        <w:lastRenderedPageBreak/>
        <w:t xml:space="preserve">Meaning of </w:t>
      </w:r>
      <w:r>
        <w:rPr>
          <w:b/>
        </w:rPr>
        <w:t>interest period</w:t>
      </w:r>
    </w:p>
    <w:p w14:paraId="36B636DD" w14:textId="77777777" w:rsidR="00933B5D" w:rsidRPr="005702CA" w:rsidRDefault="00933B5D" w:rsidP="00933B5D">
      <w:pPr>
        <w:pStyle w:val="subsection"/>
      </w:pPr>
      <w:r w:rsidRPr="005702CA">
        <w:tab/>
        <w:t>(</w:t>
      </w:r>
      <w:r w:rsidR="00985CF2">
        <w:t>5</w:t>
      </w:r>
      <w:r w:rsidRPr="005702CA">
        <w:t>)</w:t>
      </w:r>
      <w:r w:rsidRPr="005702CA">
        <w:tab/>
      </w:r>
      <w:r w:rsidR="00970E6D">
        <w:t xml:space="preserve">For the purposes of this section, the </w:t>
      </w:r>
      <w:r w:rsidRPr="005702CA">
        <w:rPr>
          <w:b/>
          <w:i/>
        </w:rPr>
        <w:t>interest period</w:t>
      </w:r>
      <w:r w:rsidR="00970E6D">
        <w:t xml:space="preserve"> is the per</w:t>
      </w:r>
      <w:r w:rsidR="00262185">
        <w:t>iod</w:t>
      </w:r>
      <w:r w:rsidR="00970E6D">
        <w:t xml:space="preserve"> </w:t>
      </w:r>
      <w:r w:rsidRPr="005702CA">
        <w:t>that:</w:t>
      </w:r>
    </w:p>
    <w:p w14:paraId="07638665" w14:textId="77777777" w:rsidR="00933B5D" w:rsidRPr="005702CA" w:rsidRDefault="00933B5D" w:rsidP="00933B5D">
      <w:pPr>
        <w:pStyle w:val="paragraph"/>
      </w:pPr>
      <w:r w:rsidRPr="005702CA">
        <w:tab/>
        <w:t>(a)</w:t>
      </w:r>
      <w:r w:rsidRPr="005702CA">
        <w:tab/>
        <w:t>starts on the later of:</w:t>
      </w:r>
    </w:p>
    <w:p w14:paraId="10278D76" w14:textId="77777777" w:rsidR="00933B5D" w:rsidRPr="005702CA" w:rsidRDefault="00933B5D" w:rsidP="00933B5D">
      <w:pPr>
        <w:pStyle w:val="paragraphsub"/>
      </w:pPr>
      <w:r w:rsidRPr="005702CA">
        <w:tab/>
        <w:t>(i)</w:t>
      </w:r>
      <w:r w:rsidRPr="005702CA">
        <w:tab/>
      </w:r>
      <w:r w:rsidR="00F76302">
        <w:t>1 July</w:t>
      </w:r>
      <w:r w:rsidRPr="005702CA">
        <w:t xml:space="preserve"> 2013; and</w:t>
      </w:r>
    </w:p>
    <w:p w14:paraId="586AA741" w14:textId="77777777" w:rsidR="00933B5D" w:rsidRPr="005702CA" w:rsidRDefault="00933B5D" w:rsidP="00933B5D">
      <w:pPr>
        <w:pStyle w:val="paragraphsub"/>
      </w:pPr>
      <w:r w:rsidRPr="005702CA">
        <w:tab/>
        <w:t>(ii)</w:t>
      </w:r>
      <w:r w:rsidRPr="005702CA">
        <w:tab/>
        <w:t xml:space="preserve">the day when the </w:t>
      </w:r>
      <w:r w:rsidR="000109F3">
        <w:t xml:space="preserve">life company paid the </w:t>
      </w:r>
      <w:r w:rsidRPr="005702CA">
        <w:t>unclaimed money to the Commonwealth; and</w:t>
      </w:r>
    </w:p>
    <w:p w14:paraId="0E9F5C15" w14:textId="77777777" w:rsidR="000109F3" w:rsidRDefault="00933B5D" w:rsidP="000109F3">
      <w:pPr>
        <w:pStyle w:val="paragraph"/>
      </w:pPr>
      <w:r w:rsidRPr="005702CA">
        <w:tab/>
        <w:t>(b)</w:t>
      </w:r>
      <w:r w:rsidRPr="005702CA">
        <w:tab/>
        <w:t>ends on the 14th day after</w:t>
      </w:r>
      <w:r w:rsidR="008529C1">
        <w:t xml:space="preserve"> the </w:t>
      </w:r>
      <w:r w:rsidR="000109F3">
        <w:t>day on which the Minister causes the unclaimed money to be paid to the life company</w:t>
      </w:r>
      <w:r w:rsidR="00F304DF">
        <w:t>.</w:t>
      </w:r>
    </w:p>
    <w:p w14:paraId="129C4196" w14:textId="77777777" w:rsidR="000109F3" w:rsidRPr="000109F3" w:rsidRDefault="000109F3" w:rsidP="000109F3">
      <w:pPr>
        <w:pStyle w:val="SubsectionHead"/>
      </w:pPr>
      <w:r>
        <w:t>Interest</w:t>
      </w:r>
    </w:p>
    <w:p w14:paraId="0F8CD490" w14:textId="77777777" w:rsidR="00933B5D" w:rsidRDefault="00933B5D" w:rsidP="000109F3">
      <w:pPr>
        <w:pStyle w:val="subsection"/>
      </w:pPr>
      <w:r w:rsidRPr="005702CA">
        <w:tab/>
        <w:t>(</w:t>
      </w:r>
      <w:r w:rsidR="00985CF2">
        <w:t>6</w:t>
      </w:r>
      <w:r w:rsidRPr="005702CA">
        <w:t>)</w:t>
      </w:r>
      <w:r w:rsidRPr="005702CA">
        <w:tab/>
      </w:r>
      <w:r w:rsidR="00970E6D">
        <w:t xml:space="preserve">Work out the amount of interest by </w:t>
      </w:r>
      <w:r w:rsidRPr="005702CA">
        <w:t xml:space="preserve">adding together the interest for each financial year </w:t>
      </w:r>
      <w:r w:rsidR="00FA4DFB">
        <w:t xml:space="preserve">that occurs wholly or partly </w:t>
      </w:r>
      <w:r w:rsidRPr="005702CA">
        <w:t>during the interest period.</w:t>
      </w:r>
    </w:p>
    <w:p w14:paraId="28C34D37" w14:textId="77777777" w:rsidR="00933B5D" w:rsidRDefault="00933B5D" w:rsidP="00933B5D">
      <w:pPr>
        <w:pStyle w:val="subsection"/>
      </w:pPr>
      <w:r w:rsidRPr="005702CA">
        <w:tab/>
        <w:t>(</w:t>
      </w:r>
      <w:r w:rsidR="00985CF2">
        <w:t>7</w:t>
      </w:r>
      <w:r w:rsidRPr="005702CA">
        <w:t>)</w:t>
      </w:r>
      <w:r w:rsidRPr="005702CA">
        <w:tab/>
      </w:r>
      <w:r w:rsidR="00970E6D">
        <w:t xml:space="preserve">Work out the </w:t>
      </w:r>
      <w:r w:rsidRPr="005702CA">
        <w:t>interest for each financial year using the following formula:</w:t>
      </w:r>
    </w:p>
    <w:p w14:paraId="6775F398" w14:textId="77777777" w:rsidR="00361CD2" w:rsidRPr="005702CA" w:rsidRDefault="00D3684B" w:rsidP="00361CD2">
      <w:pPr>
        <w:pStyle w:val="subsection2"/>
      </w:pPr>
      <w:r w:rsidRPr="00296379">
        <w:rPr>
          <w:position w:val="-36"/>
        </w:rPr>
        <w:object w:dxaOrig="5720" w:dyaOrig="800" w14:anchorId="0B7BFC78">
          <v:shape id="_x0000_i1026" type="#_x0000_t75" style="width:286.5pt;height:39.75pt" o:ole="">
            <v:imagedata r:id="rId22" o:title=""/>
          </v:shape>
          <o:OLEObject Type="Embed" ProgID="Equation.DSMT4" ShapeID="_x0000_i1026" DrawAspect="Content" ObjectID="_1742737038" r:id="rId23"/>
        </w:object>
      </w:r>
    </w:p>
    <w:p w14:paraId="330F0C66" w14:textId="77777777" w:rsidR="00933B5D" w:rsidRPr="005702CA" w:rsidRDefault="00933B5D" w:rsidP="00455C28">
      <w:pPr>
        <w:pStyle w:val="subsection2"/>
      </w:pPr>
      <w:r w:rsidRPr="005702CA">
        <w:t>where:</w:t>
      </w:r>
    </w:p>
    <w:p w14:paraId="635B7A65" w14:textId="77777777" w:rsidR="00933B5D" w:rsidRDefault="00933B5D" w:rsidP="00970E6D">
      <w:pPr>
        <w:pStyle w:val="Definition"/>
      </w:pPr>
      <w:r w:rsidRPr="005702CA">
        <w:rPr>
          <w:b/>
          <w:i/>
        </w:rPr>
        <w:t>amount</w:t>
      </w:r>
      <w:r w:rsidRPr="005702CA">
        <w:t xml:space="preserve"> means the amount of </w:t>
      </w:r>
      <w:r w:rsidR="000109F3">
        <w:t xml:space="preserve">the </w:t>
      </w:r>
      <w:r w:rsidR="00985CF2">
        <w:t xml:space="preserve">unclaimed money paid to the life company </w:t>
      </w:r>
      <w:r w:rsidRPr="005702CA">
        <w:t xml:space="preserve">plus the interest (if any) worked out for each earlier financial year </w:t>
      </w:r>
      <w:r w:rsidR="00970E6D">
        <w:t>that occurs wholly or partly during the interest period.</w:t>
      </w:r>
    </w:p>
    <w:p w14:paraId="4773709F" w14:textId="77777777" w:rsidR="00FA4DFB" w:rsidRDefault="00FA4DFB" w:rsidP="00FA4DFB">
      <w:pPr>
        <w:pStyle w:val="Definition"/>
      </w:pPr>
      <w:r w:rsidRPr="00FA4DFB">
        <w:rPr>
          <w:b/>
          <w:i/>
        </w:rPr>
        <w:t>days interest payable</w:t>
      </w:r>
      <w:r>
        <w:t xml:space="preserve"> means the number of days in the financial year that occur during the interest period.</w:t>
      </w:r>
    </w:p>
    <w:p w14:paraId="32B46E3C" w14:textId="77777777" w:rsidR="008B451A" w:rsidRPr="008B451A" w:rsidRDefault="008B451A" w:rsidP="008B451A">
      <w:pPr>
        <w:pStyle w:val="Definition"/>
      </w:pPr>
      <w:r w:rsidRPr="008B451A">
        <w:rPr>
          <w:b/>
          <w:i/>
        </w:rPr>
        <w:t>interest rate</w:t>
      </w:r>
      <w:r>
        <w:t xml:space="preserve"> has the meaning given by </w:t>
      </w:r>
      <w:r w:rsidR="00D82506">
        <w:t>subsection (</w:t>
      </w:r>
      <w:r>
        <w:t>9).</w:t>
      </w:r>
    </w:p>
    <w:p w14:paraId="4EF5D1E8" w14:textId="77777777" w:rsidR="008B451A" w:rsidRDefault="008B451A" w:rsidP="008B451A">
      <w:pPr>
        <w:pStyle w:val="subsection"/>
      </w:pPr>
      <w:r>
        <w:tab/>
        <w:t>(8)</w:t>
      </w:r>
      <w:r>
        <w:tab/>
        <w:t xml:space="preserve">If the amount worked out using the formula in </w:t>
      </w:r>
      <w:r w:rsidR="00D82506">
        <w:t>subsection (</w:t>
      </w:r>
      <w:r>
        <w:t>7) is not a whole number of dollars and cents, round the amount down to the nearest whole number of dollars and cents.</w:t>
      </w:r>
    </w:p>
    <w:p w14:paraId="47829084" w14:textId="77777777" w:rsidR="008B451A" w:rsidRPr="000109F3" w:rsidRDefault="00EA3C70" w:rsidP="008B451A">
      <w:pPr>
        <w:pStyle w:val="SubsectionHead"/>
      </w:pPr>
      <w:r>
        <w:t xml:space="preserve">Meaning of </w:t>
      </w:r>
      <w:r w:rsidRPr="00EA3C70">
        <w:rPr>
          <w:b/>
        </w:rPr>
        <w:t>i</w:t>
      </w:r>
      <w:r w:rsidR="008B451A" w:rsidRPr="00EA3C70">
        <w:rPr>
          <w:b/>
        </w:rPr>
        <w:t>nterest rate</w:t>
      </w:r>
    </w:p>
    <w:p w14:paraId="76EEEC9E" w14:textId="77777777" w:rsidR="008A220C" w:rsidRPr="008D01F5" w:rsidRDefault="008B451A" w:rsidP="008B451A">
      <w:pPr>
        <w:pStyle w:val="subsection"/>
      </w:pPr>
      <w:r>
        <w:tab/>
        <w:t>(9)</w:t>
      </w:r>
      <w:r>
        <w:tab/>
        <w:t xml:space="preserve">For the purposes of </w:t>
      </w:r>
      <w:r w:rsidR="00D82506">
        <w:t>subsection (</w:t>
      </w:r>
      <w:r>
        <w:t xml:space="preserve">7), the </w:t>
      </w:r>
      <w:r w:rsidR="008A220C" w:rsidRPr="00845337">
        <w:rPr>
          <w:b/>
          <w:i/>
        </w:rPr>
        <w:t>in</w:t>
      </w:r>
      <w:r w:rsidR="008A220C">
        <w:rPr>
          <w:b/>
          <w:i/>
        </w:rPr>
        <w:t>terest rate</w:t>
      </w:r>
      <w:r w:rsidR="008A220C" w:rsidRPr="008B451A">
        <w:t xml:space="preserve"> </w:t>
      </w:r>
      <w:r w:rsidR="00D3684B">
        <w:t xml:space="preserve">for a financial year </w:t>
      </w:r>
      <w:r>
        <w:t>is</w:t>
      </w:r>
      <w:r w:rsidR="008A220C" w:rsidRPr="008D01F5">
        <w:t xml:space="preserve"> the </w:t>
      </w:r>
      <w:r w:rsidR="00C22C15">
        <w:t>percentage</w:t>
      </w:r>
      <w:r w:rsidR="008A220C" w:rsidRPr="008D01F5">
        <w:t xml:space="preserve"> worked out using the following formula:</w:t>
      </w:r>
    </w:p>
    <w:p w14:paraId="46F87357" w14:textId="77777777" w:rsidR="008A220C" w:rsidRPr="00885090" w:rsidRDefault="008B451A" w:rsidP="008A220C">
      <w:pPr>
        <w:pStyle w:val="subsection2"/>
      </w:pPr>
      <w:r w:rsidRPr="008B451A">
        <w:rPr>
          <w:position w:val="-36"/>
        </w:rPr>
        <w:object w:dxaOrig="5700" w:dyaOrig="999" w14:anchorId="2E912F88">
          <v:shape id="_x0000_i1027" type="#_x0000_t75" style="width:286.5pt;height:52.5pt" o:ole="">
            <v:imagedata r:id="rId24" o:title=""/>
          </v:shape>
          <o:OLEObject Type="Embed" ProgID="Equation.DSMT4" ShapeID="_x0000_i1027" DrawAspect="Content" ObjectID="_1742737039" r:id="rId25"/>
        </w:object>
      </w:r>
    </w:p>
    <w:p w14:paraId="446DB9E1" w14:textId="77777777" w:rsidR="008A220C" w:rsidRPr="00885090" w:rsidRDefault="008A220C" w:rsidP="008A220C">
      <w:pPr>
        <w:pStyle w:val="subsection2"/>
      </w:pPr>
      <w:r w:rsidRPr="00885090">
        <w:t>where:</w:t>
      </w:r>
    </w:p>
    <w:p w14:paraId="4080CE72" w14:textId="77777777" w:rsidR="008A220C" w:rsidRDefault="008A220C" w:rsidP="008A220C">
      <w:pPr>
        <w:pStyle w:val="Definition"/>
      </w:pPr>
      <w:r w:rsidRPr="00B60C6A">
        <w:rPr>
          <w:b/>
          <w:bCs/>
          <w:i/>
          <w:iCs/>
        </w:rPr>
        <w:t>index number</w:t>
      </w:r>
      <w:r w:rsidRPr="00B60C6A">
        <w:t xml:space="preserve"> </w:t>
      </w:r>
      <w:r>
        <w:t xml:space="preserve">for a </w:t>
      </w:r>
      <w:r w:rsidR="008B451A">
        <w:t xml:space="preserve">March </w:t>
      </w:r>
      <w:r>
        <w:t xml:space="preserve">CPI quarter </w:t>
      </w:r>
      <w:r w:rsidRPr="00B60C6A">
        <w:t xml:space="preserve">means the All Groups Consumer Price Index number (being the weighted average of the 8 capital cities) </w:t>
      </w:r>
      <w:r w:rsidR="008B451A">
        <w:t xml:space="preserve">first </w:t>
      </w:r>
      <w:r w:rsidRPr="00B60C6A">
        <w:t>published by the Australian Statistician</w:t>
      </w:r>
      <w:r w:rsidR="008B451A">
        <w:t xml:space="preserve"> for the quarter</w:t>
      </w:r>
      <w:r w:rsidRPr="00B60C6A">
        <w:t>.</w:t>
      </w:r>
    </w:p>
    <w:p w14:paraId="287CBFDC" w14:textId="77777777" w:rsidR="008B451A" w:rsidRDefault="008B451A" w:rsidP="008B451A">
      <w:pPr>
        <w:pStyle w:val="Definition"/>
      </w:pPr>
      <w:r w:rsidRPr="008B451A">
        <w:rPr>
          <w:b/>
          <w:i/>
        </w:rPr>
        <w:t>latest March CPI quarter</w:t>
      </w:r>
      <w:r>
        <w:t xml:space="preserve"> means the </w:t>
      </w:r>
      <w:r w:rsidR="00D3684B">
        <w:t>latest March CPI quarter for which the index number is published before the start of the financial year.</w:t>
      </w:r>
    </w:p>
    <w:p w14:paraId="54D92998" w14:textId="77777777" w:rsidR="00D3684B" w:rsidRDefault="00D3684B" w:rsidP="00D3684B">
      <w:pPr>
        <w:pStyle w:val="Definition"/>
      </w:pPr>
      <w:r>
        <w:rPr>
          <w:b/>
          <w:bCs/>
          <w:i/>
          <w:iCs/>
        </w:rPr>
        <w:lastRenderedPageBreak/>
        <w:t xml:space="preserve">March CPI quarter </w:t>
      </w:r>
      <w:r w:rsidRPr="00B60C6A">
        <w:t>means a period of 3 months ending on 31 March.</w:t>
      </w:r>
    </w:p>
    <w:p w14:paraId="2A1DA1C8" w14:textId="77777777" w:rsidR="00D3684B" w:rsidRPr="00D3684B" w:rsidRDefault="00D3684B" w:rsidP="00D3684B">
      <w:pPr>
        <w:pStyle w:val="Definition"/>
      </w:pPr>
      <w:r w:rsidRPr="00D3684B">
        <w:rPr>
          <w:b/>
          <w:i/>
        </w:rPr>
        <w:t>second latest March CPI quarter</w:t>
      </w:r>
      <w:r w:rsidRPr="00D3684B">
        <w:t xml:space="preserve"> </w:t>
      </w:r>
      <w:r w:rsidR="0017574E">
        <w:t xml:space="preserve">means </w:t>
      </w:r>
      <w:r>
        <w:t>the second latest March CPI quarter for which the index number is published before the start of the financial year.</w:t>
      </w:r>
    </w:p>
    <w:p w14:paraId="4DD44F45" w14:textId="77777777" w:rsidR="00E310C1" w:rsidRDefault="008B451A" w:rsidP="008B451A">
      <w:pPr>
        <w:pStyle w:val="subsection"/>
      </w:pPr>
      <w:r>
        <w:tab/>
        <w:t>(10)</w:t>
      </w:r>
      <w:r>
        <w:tab/>
      </w:r>
      <w:r w:rsidR="003D53E0">
        <w:t>If the</w:t>
      </w:r>
      <w:r>
        <w:t xml:space="preserve"> interest rate is </w:t>
      </w:r>
      <w:r w:rsidR="00E310C1">
        <w:t>not a multiple of 0.0001%</w:t>
      </w:r>
      <w:r w:rsidR="003D53E0">
        <w:t xml:space="preserve">, round it up </w:t>
      </w:r>
      <w:r w:rsidR="00E310C1">
        <w:t>to the nearest multiple of 0.0001%.</w:t>
      </w:r>
    </w:p>
    <w:p w14:paraId="64F1ED32" w14:textId="77777777" w:rsidR="008B451A" w:rsidRDefault="008B451A" w:rsidP="008B451A">
      <w:pPr>
        <w:pStyle w:val="subsection"/>
      </w:pPr>
      <w:r>
        <w:tab/>
        <w:t>(11)</w:t>
      </w:r>
      <w:r>
        <w:tab/>
      </w:r>
      <w:r w:rsidR="003D53E0">
        <w:t xml:space="preserve">If the interest rate is </w:t>
      </w:r>
      <w:r>
        <w:t>less than 0%</w:t>
      </w:r>
      <w:r w:rsidR="003D53E0">
        <w:t xml:space="preserve">, round it up </w:t>
      </w:r>
      <w:r>
        <w:t>to 0%.</w:t>
      </w:r>
    </w:p>
    <w:p w14:paraId="30257CEB" w14:textId="77777777" w:rsidR="005138AA" w:rsidRPr="0080154E" w:rsidRDefault="00B334D6" w:rsidP="005138AA">
      <w:pPr>
        <w:pStyle w:val="ActHead5"/>
      </w:pPr>
      <w:bookmarkStart w:id="15" w:name="_Toc131074623"/>
      <w:r w:rsidRPr="004C334B">
        <w:rPr>
          <w:rStyle w:val="CharSectno"/>
        </w:rPr>
        <w:t>11</w:t>
      </w:r>
      <w:r w:rsidR="005138AA" w:rsidRPr="0080154E">
        <w:t xml:space="preserve">  Calculation of net claim value of policy</w:t>
      </w:r>
      <w:bookmarkEnd w:id="15"/>
    </w:p>
    <w:p w14:paraId="29361079" w14:textId="77777777" w:rsidR="005138AA" w:rsidRDefault="000A06F0" w:rsidP="000A06F0">
      <w:pPr>
        <w:pStyle w:val="subsection"/>
      </w:pPr>
      <w:r>
        <w:tab/>
        <w:t>(1)</w:t>
      </w:r>
      <w:r>
        <w:tab/>
        <w:t xml:space="preserve">For the purposes of </w:t>
      </w:r>
      <w:r w:rsidR="00F76302">
        <w:t>sub</w:t>
      </w:r>
      <w:r w:rsidR="00986A18">
        <w:t>section 2</w:t>
      </w:r>
      <w:r w:rsidR="00933B5D" w:rsidRPr="005702CA">
        <w:t>23(2) of the Act,</w:t>
      </w:r>
      <w:r w:rsidR="005138AA">
        <w:t xml:space="preserve"> </w:t>
      </w:r>
      <w:r>
        <w:t xml:space="preserve">this section sets out how to calculate the net claim </w:t>
      </w:r>
      <w:r w:rsidR="005138AA">
        <w:t>value of a policy</w:t>
      </w:r>
      <w:r w:rsidR="00180951">
        <w:t xml:space="preserve"> at a particular time</w:t>
      </w:r>
      <w:r>
        <w:t>.</w:t>
      </w:r>
    </w:p>
    <w:p w14:paraId="1A22C847" w14:textId="77777777" w:rsidR="000A06F0" w:rsidRDefault="000A06F0" w:rsidP="000A06F0">
      <w:pPr>
        <w:pStyle w:val="subsection"/>
      </w:pPr>
      <w:r>
        <w:tab/>
        <w:t>(2)</w:t>
      </w:r>
      <w:r>
        <w:tab/>
        <w:t>The net claim value is the amount worked out using the following formula:</w:t>
      </w:r>
    </w:p>
    <w:p w14:paraId="436A08DC" w14:textId="77777777" w:rsidR="000A06F0" w:rsidRDefault="00EE7646" w:rsidP="004E4298">
      <w:pPr>
        <w:pStyle w:val="subsection2"/>
      </w:pPr>
      <w:r w:rsidRPr="004E4298">
        <w:object w:dxaOrig="3700" w:dyaOrig="420" w14:anchorId="12D94721">
          <v:shape id="_x0000_i1028" type="#_x0000_t75" style="width:184.5pt;height:21pt" o:ole="">
            <v:imagedata r:id="rId26" o:title=""/>
          </v:shape>
          <o:OLEObject Type="Embed" ProgID="Equation.DSMT4" ShapeID="_x0000_i1028" DrawAspect="Content" ObjectID="_1742737040" r:id="rId27"/>
        </w:object>
      </w:r>
    </w:p>
    <w:p w14:paraId="55E2BB2F" w14:textId="77777777" w:rsidR="000A06F0" w:rsidRDefault="000A06F0" w:rsidP="000A06F0">
      <w:pPr>
        <w:pStyle w:val="subsection2"/>
      </w:pPr>
      <w:r>
        <w:t>where:</w:t>
      </w:r>
    </w:p>
    <w:p w14:paraId="7633DD0D" w14:textId="77777777" w:rsidR="000A06F0" w:rsidRDefault="000A06F0" w:rsidP="000A06F0">
      <w:pPr>
        <w:pStyle w:val="Definition"/>
      </w:pPr>
      <w:r w:rsidRPr="000A06F0">
        <w:rPr>
          <w:b/>
          <w:i/>
        </w:rPr>
        <w:t>amount payable in respect of claim</w:t>
      </w:r>
      <w:r>
        <w:t xml:space="preserve"> means:</w:t>
      </w:r>
    </w:p>
    <w:p w14:paraId="3EB439E7" w14:textId="77777777" w:rsidR="00FA4DFB" w:rsidRDefault="000A06F0" w:rsidP="000A06F0">
      <w:pPr>
        <w:pStyle w:val="paragraph"/>
      </w:pPr>
      <w:r>
        <w:tab/>
        <w:t>(a)</w:t>
      </w:r>
      <w:r>
        <w:tab/>
        <w:t>if</w:t>
      </w:r>
      <w:r w:rsidR="00FA4DFB">
        <w:t>, at that particular time:</w:t>
      </w:r>
    </w:p>
    <w:p w14:paraId="231E2843" w14:textId="77777777" w:rsidR="00FA4DFB" w:rsidRDefault="00FA4DFB" w:rsidP="00FA4DFB">
      <w:pPr>
        <w:pStyle w:val="paragraphsub"/>
      </w:pPr>
      <w:r>
        <w:tab/>
        <w:t>(i)</w:t>
      </w:r>
      <w:r>
        <w:tab/>
      </w:r>
      <w:r w:rsidR="000A06F0">
        <w:t>the policy has matured</w:t>
      </w:r>
      <w:r>
        <w:t>;</w:t>
      </w:r>
      <w:r w:rsidR="000A06F0">
        <w:t xml:space="preserve"> or</w:t>
      </w:r>
    </w:p>
    <w:p w14:paraId="56FB67E8" w14:textId="77777777" w:rsidR="00FA4DFB" w:rsidRDefault="00FA4DFB" w:rsidP="00FA4DFB">
      <w:pPr>
        <w:pStyle w:val="paragraphsub"/>
      </w:pPr>
      <w:r>
        <w:tab/>
        <w:t>(ii)</w:t>
      </w:r>
      <w:r>
        <w:tab/>
      </w:r>
      <w:r w:rsidR="000A06F0">
        <w:t>the person whose life is insured under the policy has died</w:t>
      </w:r>
      <w:r w:rsidR="00C934CE">
        <w:t>;</w:t>
      </w:r>
    </w:p>
    <w:p w14:paraId="05CE19C2" w14:textId="77777777" w:rsidR="005138AA" w:rsidRDefault="00FA4DFB" w:rsidP="00CA3AEB">
      <w:pPr>
        <w:pStyle w:val="paragraph"/>
      </w:pPr>
      <w:r>
        <w:tab/>
      </w:r>
      <w:r>
        <w:tab/>
      </w:r>
      <w:r w:rsidR="005138AA">
        <w:t xml:space="preserve">the amount </w:t>
      </w:r>
      <w:r w:rsidR="00933B5D" w:rsidRPr="005702CA">
        <w:t xml:space="preserve">payable </w:t>
      </w:r>
      <w:r w:rsidR="00CA3AEB">
        <w:t xml:space="preserve">on a claim arising under the policy in respect of that </w:t>
      </w:r>
      <w:r w:rsidR="000A06F0">
        <w:t>maturing or death; or</w:t>
      </w:r>
    </w:p>
    <w:p w14:paraId="4EBEDF39" w14:textId="77777777" w:rsidR="005138AA" w:rsidRDefault="000A06F0" w:rsidP="000F0A23">
      <w:pPr>
        <w:pStyle w:val="paragraph"/>
      </w:pPr>
      <w:r>
        <w:tab/>
        <w:t>(b)</w:t>
      </w:r>
      <w:r>
        <w:tab/>
        <w:t xml:space="preserve">otherwise—the </w:t>
      </w:r>
      <w:r w:rsidR="005138AA" w:rsidRPr="005702CA">
        <w:t xml:space="preserve">amount </w:t>
      </w:r>
      <w:r w:rsidR="000F0A23">
        <w:t xml:space="preserve">that, were the policy to be </w:t>
      </w:r>
      <w:r w:rsidR="000F0A23" w:rsidRPr="005702CA">
        <w:t>voluntarily terminated at that</w:t>
      </w:r>
      <w:r w:rsidR="000F0A23">
        <w:t xml:space="preserve"> particular</w:t>
      </w:r>
      <w:r w:rsidR="000F0A23" w:rsidRPr="005702CA">
        <w:t xml:space="preserve"> time</w:t>
      </w:r>
      <w:r w:rsidR="000F0A23">
        <w:t>, would be payable on a claim arising under the policy in respect of that termination.</w:t>
      </w:r>
    </w:p>
    <w:p w14:paraId="0B866CF2" w14:textId="77777777" w:rsidR="00130517" w:rsidRDefault="000A06F0" w:rsidP="00130517">
      <w:pPr>
        <w:pStyle w:val="Definition"/>
      </w:pPr>
      <w:r w:rsidRPr="000A06F0">
        <w:rPr>
          <w:b/>
          <w:i/>
        </w:rPr>
        <w:t>debt</w:t>
      </w:r>
      <w:r w:rsidR="00EE7646">
        <w:rPr>
          <w:b/>
          <w:i/>
        </w:rPr>
        <w:t>s</w:t>
      </w:r>
      <w:r>
        <w:t xml:space="preserve"> means</w:t>
      </w:r>
      <w:r w:rsidR="00130517">
        <w:t xml:space="preserve"> the total amount of any debts that, at that particular time, are:</w:t>
      </w:r>
    </w:p>
    <w:p w14:paraId="3F0E2E38" w14:textId="77777777" w:rsidR="00130517" w:rsidRPr="00130517" w:rsidRDefault="00130517" w:rsidP="00130517">
      <w:pPr>
        <w:pStyle w:val="paragraph"/>
      </w:pPr>
      <w:r w:rsidRPr="00130517">
        <w:tab/>
        <w:t>(</w:t>
      </w:r>
      <w:r>
        <w:t>a</w:t>
      </w:r>
      <w:r w:rsidRPr="00130517">
        <w:t>)</w:t>
      </w:r>
      <w:r w:rsidRPr="00130517">
        <w:tab/>
        <w:t>owed to the relevant life company under the policy; or</w:t>
      </w:r>
    </w:p>
    <w:p w14:paraId="1E0FFDED" w14:textId="77777777" w:rsidR="000A06F0" w:rsidRDefault="00130517" w:rsidP="00130517">
      <w:pPr>
        <w:pStyle w:val="paragraph"/>
      </w:pPr>
      <w:r w:rsidRPr="00130517">
        <w:tab/>
        <w:t>(</w:t>
      </w:r>
      <w:r>
        <w:t>b</w:t>
      </w:r>
      <w:r w:rsidRPr="00130517">
        <w:t>)</w:t>
      </w:r>
      <w:r w:rsidRPr="00130517">
        <w:tab/>
        <w:t>secured by the policy</w:t>
      </w:r>
      <w:r>
        <w:t>.</w:t>
      </w:r>
    </w:p>
    <w:p w14:paraId="668D2FEF" w14:textId="77777777" w:rsidR="00FA6C5C" w:rsidRDefault="00A15354" w:rsidP="004D36C7">
      <w:pPr>
        <w:pStyle w:val="ActHead2"/>
        <w:pageBreakBefore/>
      </w:pPr>
      <w:bookmarkStart w:id="16" w:name="_Toc131074624"/>
      <w:r w:rsidRPr="004C334B">
        <w:rPr>
          <w:rStyle w:val="CharPartNo"/>
        </w:rPr>
        <w:lastRenderedPageBreak/>
        <w:t>Part 1</w:t>
      </w:r>
      <w:r w:rsidR="00FA6C5C" w:rsidRPr="004C334B">
        <w:rPr>
          <w:rStyle w:val="CharPartNo"/>
        </w:rPr>
        <w:t>2</w:t>
      </w:r>
      <w:r w:rsidR="00FA6C5C">
        <w:t>—</w:t>
      </w:r>
      <w:r w:rsidR="00FA6C5C" w:rsidRPr="004C334B">
        <w:rPr>
          <w:rStyle w:val="CharPartText"/>
        </w:rPr>
        <w:t>Application, transitional and saving provisions</w:t>
      </w:r>
      <w:bookmarkEnd w:id="16"/>
    </w:p>
    <w:p w14:paraId="5174BE90" w14:textId="77777777" w:rsidR="00FA6C5C" w:rsidRDefault="00A15354" w:rsidP="00FA6C5C">
      <w:pPr>
        <w:pStyle w:val="ActHead3"/>
      </w:pPr>
      <w:bookmarkStart w:id="17" w:name="_Toc131074625"/>
      <w:r w:rsidRPr="004C334B">
        <w:rPr>
          <w:rStyle w:val="CharDivNo"/>
        </w:rPr>
        <w:t>Division 1</w:t>
      </w:r>
      <w:r w:rsidR="00FA6C5C">
        <w:t>—</w:t>
      </w:r>
      <w:r w:rsidR="00FA6C5C" w:rsidRPr="004C334B">
        <w:rPr>
          <w:rStyle w:val="CharDivText"/>
        </w:rPr>
        <w:t>Provisions relating to this instrument as originally made</w:t>
      </w:r>
      <w:bookmarkEnd w:id="17"/>
    </w:p>
    <w:p w14:paraId="06BF72E2" w14:textId="77777777" w:rsidR="00FA6C5C" w:rsidRDefault="00B334D6" w:rsidP="00FA6C5C">
      <w:pPr>
        <w:pStyle w:val="ActHead5"/>
      </w:pPr>
      <w:bookmarkStart w:id="18" w:name="_Toc131074626"/>
      <w:r w:rsidRPr="004C334B">
        <w:rPr>
          <w:rStyle w:val="CharSectno"/>
        </w:rPr>
        <w:t>12</w:t>
      </w:r>
      <w:r w:rsidR="00FA6C5C">
        <w:t xml:space="preserve">  Application of section </w:t>
      </w:r>
      <w:r>
        <w:t>7</w:t>
      </w:r>
      <w:bookmarkEnd w:id="18"/>
    </w:p>
    <w:p w14:paraId="79A6F009" w14:textId="77777777" w:rsidR="00FA6C5C" w:rsidRDefault="00FA6C5C" w:rsidP="00FA6C5C">
      <w:pPr>
        <w:pStyle w:val="subsection"/>
      </w:pPr>
      <w:r>
        <w:tab/>
      </w:r>
      <w:r>
        <w:tab/>
        <w:t>Section</w:t>
      </w:r>
      <w:r w:rsidR="009526FE">
        <w:t xml:space="preserve"> </w:t>
      </w:r>
      <w:r w:rsidR="00B334D6">
        <w:t>7</w:t>
      </w:r>
      <w:r>
        <w:t xml:space="preserve"> appl</w:t>
      </w:r>
      <w:r w:rsidR="009526FE">
        <w:t>ies</w:t>
      </w:r>
      <w:r>
        <w:t xml:space="preserve"> in relation to an application for confirmation of a scheme made on or after the commencement of this section.</w:t>
      </w:r>
    </w:p>
    <w:p w14:paraId="1453825B" w14:textId="77777777" w:rsidR="00FA6C5C" w:rsidRDefault="00B334D6" w:rsidP="00FA6C5C">
      <w:pPr>
        <w:pStyle w:val="ActHead5"/>
      </w:pPr>
      <w:bookmarkStart w:id="19" w:name="_Toc131074627"/>
      <w:r w:rsidRPr="004C334B">
        <w:rPr>
          <w:rStyle w:val="CharSectno"/>
        </w:rPr>
        <w:t>13</w:t>
      </w:r>
      <w:r w:rsidR="00FA6C5C">
        <w:t xml:space="preserve">  Application of section </w:t>
      </w:r>
      <w:r>
        <w:t>8</w:t>
      </w:r>
      <w:bookmarkEnd w:id="19"/>
    </w:p>
    <w:p w14:paraId="62BCA4EA" w14:textId="77777777" w:rsidR="00BF30B4" w:rsidRDefault="00BF30B4" w:rsidP="00FA6C5C">
      <w:pPr>
        <w:pStyle w:val="subsection"/>
      </w:pPr>
      <w:r>
        <w:tab/>
        <w:t>(1)</w:t>
      </w:r>
      <w:r>
        <w:tab/>
        <w:t xml:space="preserve">Despite the repeal of </w:t>
      </w:r>
      <w:r w:rsidR="00A15354">
        <w:t>regulation 9</w:t>
      </w:r>
      <w:r>
        <w:t xml:space="preserve">.04 of the </w:t>
      </w:r>
      <w:r>
        <w:rPr>
          <w:i/>
        </w:rPr>
        <w:t xml:space="preserve">Life Insurance </w:t>
      </w:r>
      <w:r w:rsidR="00A15354">
        <w:rPr>
          <w:i/>
        </w:rPr>
        <w:t>Regulations 1</w:t>
      </w:r>
      <w:r>
        <w:rPr>
          <w:i/>
        </w:rPr>
        <w:t>995</w:t>
      </w:r>
      <w:r>
        <w:t xml:space="preserve"> by the </w:t>
      </w:r>
      <w:r>
        <w:rPr>
          <w:i/>
        </w:rPr>
        <w:t xml:space="preserve">Treasury Laws Amendment (Insurance) </w:t>
      </w:r>
      <w:r w:rsidR="00D82506">
        <w:rPr>
          <w:i/>
        </w:rPr>
        <w:t>Regulations 2</w:t>
      </w:r>
      <w:r>
        <w:rPr>
          <w:i/>
        </w:rPr>
        <w:t>023</w:t>
      </w:r>
      <w:r>
        <w:t>, that regulation continues to apply, on and after the commencement of this section, in relation to a transfer or amalgamation that is completed before that commencement.</w:t>
      </w:r>
    </w:p>
    <w:p w14:paraId="7A0F8643" w14:textId="77777777" w:rsidR="00BF30B4" w:rsidRDefault="00BF30B4" w:rsidP="00FA6C5C">
      <w:pPr>
        <w:pStyle w:val="subsection"/>
      </w:pPr>
      <w:r>
        <w:tab/>
        <w:t>(2)</w:t>
      </w:r>
      <w:r>
        <w:tab/>
        <w:t xml:space="preserve">Section </w:t>
      </w:r>
      <w:r w:rsidR="00B334D6">
        <w:t>8</w:t>
      </w:r>
      <w:r>
        <w:t xml:space="preserve"> of this instrument applies in relation to a transfer or amalgamation that is completed on or after the commencement of this </w:t>
      </w:r>
      <w:r w:rsidR="00526612">
        <w:t>section</w:t>
      </w:r>
      <w:r>
        <w:t>.</w:t>
      </w:r>
    </w:p>
    <w:p w14:paraId="409EAFB3" w14:textId="77777777" w:rsidR="00933B5D" w:rsidRPr="004D36C7" w:rsidRDefault="00A15354" w:rsidP="004D36C7">
      <w:pPr>
        <w:pStyle w:val="ActHead2"/>
        <w:pageBreakBefore/>
      </w:pPr>
      <w:bookmarkStart w:id="20" w:name="_Toc131074628"/>
      <w:r w:rsidRPr="004C334B">
        <w:rPr>
          <w:rStyle w:val="CharPartNo"/>
        </w:rPr>
        <w:lastRenderedPageBreak/>
        <w:t>Part 1</w:t>
      </w:r>
      <w:r w:rsidR="00933B5D" w:rsidRPr="004C334B">
        <w:rPr>
          <w:rStyle w:val="CharPartNo"/>
        </w:rPr>
        <w:t>3</w:t>
      </w:r>
      <w:r w:rsidR="00933B5D" w:rsidRPr="004D36C7">
        <w:t>—</w:t>
      </w:r>
      <w:r w:rsidR="00933B5D" w:rsidRPr="004C334B">
        <w:rPr>
          <w:rStyle w:val="CharPartText"/>
        </w:rPr>
        <w:t>Dictionary</w:t>
      </w:r>
      <w:bookmarkEnd w:id="20"/>
    </w:p>
    <w:p w14:paraId="22C74D81" w14:textId="77777777" w:rsidR="00933B5D" w:rsidRPr="004C334B" w:rsidRDefault="00933B5D" w:rsidP="00933B5D">
      <w:pPr>
        <w:pStyle w:val="Header"/>
      </w:pPr>
      <w:r w:rsidRPr="004C334B">
        <w:rPr>
          <w:rStyle w:val="CharDivNo"/>
        </w:rPr>
        <w:t xml:space="preserve"> </w:t>
      </w:r>
      <w:r w:rsidRPr="004C334B">
        <w:rPr>
          <w:rStyle w:val="CharDivText"/>
        </w:rPr>
        <w:t xml:space="preserve"> </w:t>
      </w:r>
    </w:p>
    <w:p w14:paraId="52F521C8" w14:textId="77777777" w:rsidR="006813B6" w:rsidRDefault="00B334D6" w:rsidP="006813B6">
      <w:pPr>
        <w:pStyle w:val="ActHead5"/>
        <w:rPr>
          <w:i/>
        </w:rPr>
      </w:pPr>
      <w:bookmarkStart w:id="21" w:name="_Toc131074629"/>
      <w:r w:rsidRPr="004C334B">
        <w:rPr>
          <w:rStyle w:val="CharSectno"/>
        </w:rPr>
        <w:t>14</w:t>
      </w:r>
      <w:r w:rsidR="006813B6">
        <w:t xml:space="preserve">  Definition of </w:t>
      </w:r>
      <w:r w:rsidR="006813B6">
        <w:rPr>
          <w:i/>
        </w:rPr>
        <w:t>allocated annuity policy</w:t>
      </w:r>
      <w:bookmarkEnd w:id="21"/>
    </w:p>
    <w:p w14:paraId="211DE048" w14:textId="77777777" w:rsidR="006813B6" w:rsidRDefault="006813B6" w:rsidP="006813B6">
      <w:pPr>
        <w:pStyle w:val="subsection"/>
      </w:pPr>
      <w:r>
        <w:tab/>
      </w:r>
      <w:r>
        <w:tab/>
        <w:t xml:space="preserve">For the purposes of the definition of </w:t>
      </w:r>
      <w:r>
        <w:rPr>
          <w:b/>
          <w:i/>
        </w:rPr>
        <w:t>allocated annuity policy</w:t>
      </w:r>
      <w:r>
        <w:t xml:space="preserve"> in </w:t>
      </w:r>
      <w:r w:rsidR="00D82506">
        <w:t>Schedule 1</w:t>
      </w:r>
      <w:r>
        <w:t xml:space="preserve"> to the Act, </w:t>
      </w:r>
      <w:r w:rsidRPr="00BE6F49">
        <w:rPr>
          <w:b/>
          <w:i/>
        </w:rPr>
        <w:t>allocated annuity policy</w:t>
      </w:r>
      <w:r>
        <w:t xml:space="preserve"> means a policy that provides for</w:t>
      </w:r>
      <w:r w:rsidRPr="00BE6F49">
        <w:t xml:space="preserve"> an annuity</w:t>
      </w:r>
      <w:r>
        <w:t>:</w:t>
      </w:r>
    </w:p>
    <w:p w14:paraId="1231EFD8" w14:textId="77777777" w:rsidR="006813B6" w:rsidRDefault="006813B6" w:rsidP="006813B6">
      <w:pPr>
        <w:pStyle w:val="paragraph"/>
      </w:pPr>
      <w:r>
        <w:tab/>
        <w:t>(a)</w:t>
      </w:r>
      <w:r>
        <w:tab/>
      </w:r>
      <w:r w:rsidRPr="00BE6F49">
        <w:t xml:space="preserve">that is paid, within a </w:t>
      </w:r>
      <w:r w:rsidR="00262185">
        <w:t>specified</w:t>
      </w:r>
      <w:r w:rsidR="00626727">
        <w:t xml:space="preserve"> </w:t>
      </w:r>
      <w:r w:rsidRPr="00BE6F49">
        <w:t>range of minimum and maximum payments, from an identifiable lump sum</w:t>
      </w:r>
      <w:r>
        <w:t>; or</w:t>
      </w:r>
    </w:p>
    <w:p w14:paraId="20CAE219" w14:textId="77777777" w:rsidR="006813B6" w:rsidRDefault="006813B6" w:rsidP="006813B6">
      <w:pPr>
        <w:pStyle w:val="paragraph"/>
      </w:pPr>
      <w:r>
        <w:tab/>
        <w:t>(b)</w:t>
      </w:r>
      <w:r>
        <w:tab/>
      </w:r>
      <w:r w:rsidRPr="00BE6F49">
        <w:t xml:space="preserve">that arises under a contract that meets the standards of subregulation 1.05(4) of the </w:t>
      </w:r>
      <w:r w:rsidRPr="00BE6F49">
        <w:rPr>
          <w:i/>
        </w:rPr>
        <w:t>Superannuation Industry (Supervision) Regulations 1994</w:t>
      </w:r>
      <w:r w:rsidRPr="00BE6F49">
        <w:t>.</w:t>
      </w:r>
    </w:p>
    <w:p w14:paraId="2250AE81" w14:textId="77777777" w:rsidR="00B543F6" w:rsidRPr="00D82506" w:rsidRDefault="00B334D6" w:rsidP="00933B5D">
      <w:pPr>
        <w:pStyle w:val="ActHead5"/>
      </w:pPr>
      <w:bookmarkStart w:id="22" w:name="_Toc131074630"/>
      <w:r w:rsidRPr="004C334B">
        <w:rPr>
          <w:rStyle w:val="CharSectno"/>
        </w:rPr>
        <w:t>15</w:t>
      </w:r>
      <w:r w:rsidR="00B543F6" w:rsidRPr="00D82506">
        <w:t xml:space="preserve">  Definition of </w:t>
      </w:r>
      <w:r w:rsidR="00B543F6" w:rsidRPr="009B45A2">
        <w:rPr>
          <w:i/>
        </w:rPr>
        <w:t>approved body</w:t>
      </w:r>
      <w:bookmarkEnd w:id="22"/>
    </w:p>
    <w:p w14:paraId="0C43410A" w14:textId="77777777" w:rsidR="00B543F6" w:rsidRDefault="00B543F6" w:rsidP="00B543F6">
      <w:pPr>
        <w:pStyle w:val="subsection"/>
      </w:pPr>
      <w:r>
        <w:tab/>
      </w:r>
      <w:r>
        <w:tab/>
        <w:t xml:space="preserve">For the purposes of the definition of </w:t>
      </w:r>
      <w:r>
        <w:rPr>
          <w:b/>
          <w:i/>
        </w:rPr>
        <w:t>approved body</w:t>
      </w:r>
      <w:r>
        <w:t xml:space="preserve"> in </w:t>
      </w:r>
      <w:r w:rsidR="00D82506">
        <w:t>Schedule 1</w:t>
      </w:r>
      <w:r>
        <w:t xml:space="preserve"> to the Act, </w:t>
      </w:r>
      <w:r w:rsidRPr="00BE6F49">
        <w:rPr>
          <w:b/>
          <w:i/>
        </w:rPr>
        <w:t>a</w:t>
      </w:r>
      <w:r>
        <w:rPr>
          <w:b/>
          <w:i/>
        </w:rPr>
        <w:t>pproved body</w:t>
      </w:r>
      <w:r>
        <w:t xml:space="preserve"> has the meaning given by </w:t>
      </w:r>
      <w:r w:rsidR="00D82506">
        <w:t>Schedule 1</w:t>
      </w:r>
      <w:r>
        <w:t xml:space="preserve"> to this instrument.</w:t>
      </w:r>
    </w:p>
    <w:p w14:paraId="0B22DCA0" w14:textId="77777777" w:rsidR="008C65D0" w:rsidRPr="00986A18" w:rsidRDefault="00B334D6" w:rsidP="00933B5D">
      <w:pPr>
        <w:pStyle w:val="ActHead5"/>
      </w:pPr>
      <w:bookmarkStart w:id="23" w:name="_Toc131074631"/>
      <w:r w:rsidRPr="004C334B">
        <w:rPr>
          <w:rStyle w:val="CharSectno"/>
        </w:rPr>
        <w:t>16</w:t>
      </w:r>
      <w:r w:rsidR="008C65D0" w:rsidRPr="00986A18">
        <w:t xml:space="preserve">  Definition of </w:t>
      </w:r>
      <w:r w:rsidR="008C65D0" w:rsidRPr="0017574E">
        <w:rPr>
          <w:i/>
        </w:rPr>
        <w:t>derivative</w:t>
      </w:r>
      <w:bookmarkEnd w:id="23"/>
    </w:p>
    <w:p w14:paraId="53769E3F" w14:textId="77777777" w:rsidR="00B11C56" w:rsidRDefault="008C65D0" w:rsidP="00B11C56">
      <w:pPr>
        <w:pStyle w:val="subsection"/>
      </w:pPr>
      <w:r>
        <w:tab/>
      </w:r>
      <w:r>
        <w:tab/>
        <w:t xml:space="preserve">For the purposes of </w:t>
      </w:r>
      <w:r w:rsidR="00D82506">
        <w:t>paragraph (</w:t>
      </w:r>
      <w:r>
        <w:t xml:space="preserve">b) of the definition of </w:t>
      </w:r>
      <w:r>
        <w:rPr>
          <w:b/>
          <w:i/>
        </w:rPr>
        <w:t>derivative</w:t>
      </w:r>
      <w:r>
        <w:t xml:space="preserve"> in </w:t>
      </w:r>
      <w:r w:rsidR="00D82506">
        <w:t>Schedule 1</w:t>
      </w:r>
      <w:r>
        <w:t xml:space="preserve"> to the Act, </w:t>
      </w:r>
      <w:r w:rsidR="00B11C56">
        <w:t xml:space="preserve">something is prescribed if </w:t>
      </w:r>
      <w:r w:rsidR="00262185">
        <w:t xml:space="preserve">any of </w:t>
      </w:r>
      <w:r w:rsidR="00B11C56">
        <w:t xml:space="preserve">paragraphs 6(2)(a) to (h) </w:t>
      </w:r>
      <w:r w:rsidR="00B11C56" w:rsidRPr="005702CA">
        <w:t xml:space="preserve">of the </w:t>
      </w:r>
      <w:r w:rsidR="00B11C56" w:rsidRPr="005702CA">
        <w:rPr>
          <w:i/>
        </w:rPr>
        <w:t xml:space="preserve">Payment Systems and Netting </w:t>
      </w:r>
      <w:r w:rsidR="00D82506">
        <w:rPr>
          <w:i/>
        </w:rPr>
        <w:t>Regulations 2</w:t>
      </w:r>
      <w:r w:rsidR="00B11C56" w:rsidRPr="005702CA">
        <w:rPr>
          <w:i/>
        </w:rPr>
        <w:t>001</w:t>
      </w:r>
      <w:r w:rsidR="00B11C56">
        <w:t xml:space="preserve"> apply to an obligation under that thing.</w:t>
      </w:r>
    </w:p>
    <w:p w14:paraId="08A1B29A" w14:textId="77777777" w:rsidR="00B543F6" w:rsidRDefault="008C65D0" w:rsidP="008C7E27">
      <w:pPr>
        <w:pStyle w:val="notetext"/>
        <w:sectPr w:rsidR="00B543F6" w:rsidSect="00B543F6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5702CA">
        <w:t>Note:</w:t>
      </w:r>
      <w:r w:rsidRPr="005702CA">
        <w:tab/>
      </w:r>
      <w:r w:rsidR="006D4779">
        <w:t>Paragraphs</w:t>
      </w:r>
      <w:r>
        <w:t> 6</w:t>
      </w:r>
      <w:r w:rsidRPr="005702CA">
        <w:t>(2)</w:t>
      </w:r>
      <w:r w:rsidR="006D4779">
        <w:t>(a) to (h)</w:t>
      </w:r>
      <w:r w:rsidRPr="005702CA">
        <w:t xml:space="preserve"> of the </w:t>
      </w:r>
      <w:r w:rsidRPr="005702CA">
        <w:rPr>
          <w:i/>
        </w:rPr>
        <w:t xml:space="preserve">Payment Systems and Netting </w:t>
      </w:r>
      <w:r w:rsidR="00D82506">
        <w:rPr>
          <w:i/>
        </w:rPr>
        <w:t>Regulations 2</w:t>
      </w:r>
      <w:r w:rsidRPr="005702CA">
        <w:rPr>
          <w:i/>
        </w:rPr>
        <w:t xml:space="preserve">001 </w:t>
      </w:r>
      <w:r w:rsidRPr="005702CA">
        <w:t>identifies obligations that are not eligible obligations in relation to a close</w:t>
      </w:r>
      <w:r w:rsidR="00D82506">
        <w:noBreakHyphen/>
      </w:r>
      <w:r w:rsidRPr="005702CA">
        <w:t>out netting contract. The</w:t>
      </w:r>
      <w:r w:rsidR="00B11C56">
        <w:t>se includ</w:t>
      </w:r>
      <w:r w:rsidR="00C22C15">
        <w:t>e</w:t>
      </w:r>
      <w:r w:rsidR="00B11C56">
        <w:t xml:space="preserve"> obligations under </w:t>
      </w:r>
      <w:r w:rsidRPr="005702CA">
        <w:t>credit facilities, reciprocal purchase agreements (otherwise known as repurchase agreements), sell</w:t>
      </w:r>
      <w:r w:rsidR="00D82506">
        <w:noBreakHyphen/>
      </w:r>
      <w:r w:rsidRPr="005702CA">
        <w:t>buyback arrangements, securities loan arrangements, contracts of insurance and managed investment schemes.</w:t>
      </w:r>
    </w:p>
    <w:p w14:paraId="3E4D7E02" w14:textId="77777777" w:rsidR="00B543F6" w:rsidRDefault="00D82506" w:rsidP="00B543F6">
      <w:pPr>
        <w:pStyle w:val="ActHead1"/>
      </w:pPr>
      <w:bookmarkStart w:id="24" w:name="_Toc131074632"/>
      <w:r w:rsidRPr="004C334B">
        <w:rPr>
          <w:rStyle w:val="CharChapNo"/>
        </w:rPr>
        <w:lastRenderedPageBreak/>
        <w:t>Schedule 1</w:t>
      </w:r>
      <w:r w:rsidR="00B543F6">
        <w:t>—</w:t>
      </w:r>
      <w:r w:rsidR="00B543F6" w:rsidRPr="004C334B">
        <w:rPr>
          <w:rStyle w:val="CharChapText"/>
        </w:rPr>
        <w:t>Approved bodies</w:t>
      </w:r>
      <w:bookmarkEnd w:id="24"/>
    </w:p>
    <w:p w14:paraId="3DE7F82E" w14:textId="77777777" w:rsidR="00B543F6" w:rsidRPr="005702CA" w:rsidRDefault="00B543F6" w:rsidP="00B543F6">
      <w:pPr>
        <w:pStyle w:val="notemargin"/>
      </w:pPr>
      <w:r w:rsidRPr="005702CA">
        <w:t>Note:</w:t>
      </w:r>
      <w:r w:rsidRPr="005702CA">
        <w:tab/>
        <w:t xml:space="preserve">See </w:t>
      </w:r>
      <w:r>
        <w:t xml:space="preserve">section </w:t>
      </w:r>
      <w:r w:rsidR="00B334D6">
        <w:t>15</w:t>
      </w:r>
      <w:r w:rsidRPr="005702CA">
        <w:t>.</w:t>
      </w:r>
    </w:p>
    <w:p w14:paraId="0728D44E" w14:textId="77777777" w:rsidR="00B543F6" w:rsidRPr="004C334B" w:rsidRDefault="00B543F6" w:rsidP="00B543F6">
      <w:pPr>
        <w:pStyle w:val="Header"/>
      </w:pPr>
      <w:r w:rsidRPr="004C334B">
        <w:rPr>
          <w:rStyle w:val="CharPartNo"/>
        </w:rPr>
        <w:t xml:space="preserve"> </w:t>
      </w:r>
      <w:r w:rsidRPr="004C334B">
        <w:rPr>
          <w:rStyle w:val="CharPartText"/>
        </w:rPr>
        <w:t xml:space="preserve"> </w:t>
      </w:r>
    </w:p>
    <w:p w14:paraId="446574C6" w14:textId="77777777" w:rsidR="00B543F6" w:rsidRPr="004C334B" w:rsidRDefault="00B543F6" w:rsidP="00B543F6">
      <w:pPr>
        <w:pStyle w:val="Header"/>
      </w:pPr>
      <w:r w:rsidRPr="004C334B">
        <w:rPr>
          <w:rStyle w:val="CharDivNo"/>
        </w:rPr>
        <w:t xml:space="preserve"> </w:t>
      </w:r>
      <w:r w:rsidRPr="004C334B">
        <w:rPr>
          <w:rStyle w:val="CharDivText"/>
        </w:rPr>
        <w:t xml:space="preserve"> </w:t>
      </w:r>
    </w:p>
    <w:p w14:paraId="033DB1DD" w14:textId="77777777" w:rsidR="00B543F6" w:rsidRPr="0080154E" w:rsidRDefault="00B543F6" w:rsidP="00B543F6">
      <w:pPr>
        <w:pStyle w:val="ActHead5"/>
      </w:pPr>
      <w:bookmarkStart w:id="25" w:name="_Toc131074633"/>
      <w:r w:rsidRPr="004C334B">
        <w:rPr>
          <w:rStyle w:val="CharSectno"/>
        </w:rPr>
        <w:t>1</w:t>
      </w:r>
      <w:r w:rsidRPr="0080154E">
        <w:t xml:space="preserve">  Approved bodies</w:t>
      </w:r>
      <w:bookmarkEnd w:id="25"/>
    </w:p>
    <w:p w14:paraId="70DD2E45" w14:textId="77777777" w:rsidR="00B543F6" w:rsidRDefault="00B543F6" w:rsidP="00B543F6">
      <w:pPr>
        <w:pStyle w:val="subsection"/>
      </w:pPr>
      <w:bookmarkStart w:id="26" w:name="_Hlk130221551"/>
      <w:r w:rsidRPr="005702CA">
        <w:tab/>
      </w:r>
      <w:r w:rsidRPr="005702CA">
        <w:tab/>
      </w:r>
      <w:r>
        <w:t xml:space="preserve">Each exchange, market, clearing house, body or entity listed </w:t>
      </w:r>
      <w:r w:rsidRPr="005702CA">
        <w:t xml:space="preserve">in the following table is an </w:t>
      </w:r>
      <w:r w:rsidRPr="005702CA">
        <w:rPr>
          <w:b/>
          <w:i/>
        </w:rPr>
        <w:t>approved</w:t>
      </w:r>
      <w:r>
        <w:rPr>
          <w:b/>
          <w:i/>
        </w:rPr>
        <w:t xml:space="preserve"> </w:t>
      </w:r>
      <w:r w:rsidRPr="005702CA">
        <w:rPr>
          <w:b/>
          <w:i/>
        </w:rPr>
        <w:t>body</w:t>
      </w:r>
      <w:r w:rsidRPr="005702CA">
        <w:t>.</w:t>
      </w:r>
    </w:p>
    <w:bookmarkEnd w:id="26"/>
    <w:p w14:paraId="7044F5BE" w14:textId="77777777" w:rsidR="00B543F6" w:rsidRPr="005702CA" w:rsidRDefault="00B543F6" w:rsidP="00B543F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15"/>
        <w:gridCol w:w="7714"/>
      </w:tblGrid>
      <w:tr w:rsidR="00B543F6" w:rsidRPr="00361AC4" w14:paraId="77677FC0" w14:textId="77777777" w:rsidTr="00D53133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94615A" w14:textId="77777777" w:rsidR="00B543F6" w:rsidRPr="005702CA" w:rsidRDefault="00B543F6" w:rsidP="00D82506">
            <w:pPr>
              <w:pStyle w:val="TableHeading"/>
            </w:pPr>
            <w:r w:rsidRPr="005702CA">
              <w:t>Approved bodies</w:t>
            </w:r>
          </w:p>
        </w:tc>
      </w:tr>
      <w:tr w:rsidR="00B543F6" w:rsidRPr="00361AC4" w14:paraId="35B42F7D" w14:textId="77777777" w:rsidTr="00D53133">
        <w:trPr>
          <w:tblHeader/>
        </w:trPr>
        <w:tc>
          <w:tcPr>
            <w:tcW w:w="47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9CE295" w14:textId="77777777" w:rsidR="00B543F6" w:rsidRPr="005702CA" w:rsidRDefault="00B543F6" w:rsidP="00D82506">
            <w:pPr>
              <w:pStyle w:val="TableHeading"/>
            </w:pPr>
            <w:r w:rsidRPr="005702CA">
              <w:t>Item</w:t>
            </w:r>
          </w:p>
        </w:tc>
        <w:tc>
          <w:tcPr>
            <w:tcW w:w="45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AD5575" w14:textId="77777777" w:rsidR="00B543F6" w:rsidRPr="005702CA" w:rsidRDefault="00B543F6" w:rsidP="00D82506">
            <w:pPr>
              <w:pStyle w:val="TableHeading"/>
            </w:pPr>
            <w:r>
              <w:t>Exchange, market, clearing house, body or entity</w:t>
            </w:r>
          </w:p>
        </w:tc>
      </w:tr>
      <w:tr w:rsidR="00B543F6" w:rsidRPr="00361AC4" w:rsidDel="00473B78" w14:paraId="6ED84695" w14:textId="77777777" w:rsidTr="00D53133">
        <w:tc>
          <w:tcPr>
            <w:tcW w:w="478" w:type="pct"/>
            <w:tcBorders>
              <w:top w:val="single" w:sz="12" w:space="0" w:color="auto"/>
            </w:tcBorders>
            <w:shd w:val="clear" w:color="auto" w:fill="auto"/>
          </w:tcPr>
          <w:p w14:paraId="5C8E9AE9" w14:textId="77777777" w:rsidR="00B543F6" w:rsidRPr="005702CA" w:rsidRDefault="00526612" w:rsidP="00D82506">
            <w:pPr>
              <w:pStyle w:val="Tabletext"/>
            </w:pPr>
            <w:r>
              <w:t>1</w:t>
            </w:r>
          </w:p>
        </w:tc>
        <w:tc>
          <w:tcPr>
            <w:tcW w:w="4522" w:type="pct"/>
            <w:tcBorders>
              <w:top w:val="single" w:sz="12" w:space="0" w:color="auto"/>
            </w:tcBorders>
            <w:shd w:val="clear" w:color="auto" w:fill="auto"/>
          </w:tcPr>
          <w:p w14:paraId="65D9C7F1" w14:textId="77777777" w:rsidR="00B543F6" w:rsidRPr="0003751E" w:rsidRDefault="00B543F6" w:rsidP="00056543">
            <w:pPr>
              <w:pStyle w:val="Tabletext"/>
            </w:pPr>
            <w:r w:rsidRPr="005702CA">
              <w:t>AB NASDAQ Vilnius (XLIT)</w:t>
            </w:r>
          </w:p>
        </w:tc>
      </w:tr>
      <w:tr w:rsidR="00B543F6" w:rsidRPr="00361AC4" w:rsidDel="00473B78" w14:paraId="1567F2BA" w14:textId="77777777" w:rsidTr="00D53133">
        <w:tc>
          <w:tcPr>
            <w:tcW w:w="478" w:type="pct"/>
            <w:shd w:val="clear" w:color="auto" w:fill="auto"/>
          </w:tcPr>
          <w:p w14:paraId="7A18C0C1" w14:textId="77777777" w:rsidR="00B543F6" w:rsidRPr="005702CA" w:rsidRDefault="00526612" w:rsidP="00D82506">
            <w:pPr>
              <w:pStyle w:val="Tabletext"/>
            </w:pPr>
            <w:r>
              <w:t>2</w:t>
            </w:r>
          </w:p>
        </w:tc>
        <w:tc>
          <w:tcPr>
            <w:tcW w:w="4522" w:type="pct"/>
            <w:shd w:val="clear" w:color="auto" w:fill="auto"/>
          </w:tcPr>
          <w:p w14:paraId="22A7AB6B" w14:textId="77777777" w:rsidR="00B543F6" w:rsidRPr="0003751E" w:rsidRDefault="00B543F6" w:rsidP="002D0829">
            <w:pPr>
              <w:pStyle w:val="Tabletext"/>
            </w:pPr>
            <w:r w:rsidRPr="005702CA">
              <w:t>ASX24</w:t>
            </w:r>
          </w:p>
        </w:tc>
      </w:tr>
      <w:tr w:rsidR="00B543F6" w:rsidRPr="00361AC4" w:rsidDel="00473B78" w14:paraId="5FEECB9A" w14:textId="77777777" w:rsidTr="00D53133">
        <w:tc>
          <w:tcPr>
            <w:tcW w:w="478" w:type="pct"/>
            <w:shd w:val="clear" w:color="auto" w:fill="auto"/>
          </w:tcPr>
          <w:p w14:paraId="4FD78EA7" w14:textId="77777777" w:rsidR="00B543F6" w:rsidRPr="005702CA" w:rsidDel="00473B78" w:rsidRDefault="00526612" w:rsidP="00D82506">
            <w:pPr>
              <w:pStyle w:val="Tabletext"/>
            </w:pPr>
            <w:r>
              <w:t>3</w:t>
            </w:r>
          </w:p>
        </w:tc>
        <w:tc>
          <w:tcPr>
            <w:tcW w:w="4522" w:type="pct"/>
            <w:shd w:val="clear" w:color="auto" w:fill="auto"/>
          </w:tcPr>
          <w:p w14:paraId="1B8888A4" w14:textId="77777777" w:rsidR="00B543F6" w:rsidRPr="005702CA" w:rsidDel="00473B78" w:rsidRDefault="00B543F6" w:rsidP="00D82506">
            <w:pPr>
              <w:pStyle w:val="Tabletext"/>
            </w:pPr>
            <w:r w:rsidRPr="005702CA">
              <w:t>ASX Clear (Futures) Pty Limited</w:t>
            </w:r>
          </w:p>
        </w:tc>
      </w:tr>
      <w:tr w:rsidR="00B543F6" w:rsidRPr="00361AC4" w:rsidDel="00473B78" w14:paraId="07B6F422" w14:textId="77777777" w:rsidTr="00D53133">
        <w:tc>
          <w:tcPr>
            <w:tcW w:w="478" w:type="pct"/>
            <w:shd w:val="clear" w:color="auto" w:fill="auto"/>
          </w:tcPr>
          <w:p w14:paraId="6705AC7C" w14:textId="77777777" w:rsidR="00B543F6" w:rsidRPr="005702CA" w:rsidDel="00473B78" w:rsidRDefault="00526612" w:rsidP="00D82506">
            <w:pPr>
              <w:pStyle w:val="Tabletext"/>
            </w:pPr>
            <w:r>
              <w:t>4</w:t>
            </w:r>
          </w:p>
        </w:tc>
        <w:tc>
          <w:tcPr>
            <w:tcW w:w="4522" w:type="pct"/>
            <w:shd w:val="clear" w:color="auto" w:fill="auto"/>
          </w:tcPr>
          <w:p w14:paraId="5FB6ED35" w14:textId="77777777" w:rsidR="00B543F6" w:rsidRPr="005702CA" w:rsidDel="00473B78" w:rsidRDefault="00B543F6" w:rsidP="00D82506">
            <w:pPr>
              <w:pStyle w:val="Tabletext"/>
            </w:pPr>
            <w:r w:rsidRPr="005702CA">
              <w:t>ASX Clear Pty Limited</w:t>
            </w:r>
          </w:p>
        </w:tc>
      </w:tr>
      <w:tr w:rsidR="00B543F6" w:rsidRPr="00361AC4" w:rsidDel="00473B78" w14:paraId="40857B76" w14:textId="77777777" w:rsidTr="00D53133">
        <w:tc>
          <w:tcPr>
            <w:tcW w:w="478" w:type="pct"/>
            <w:shd w:val="clear" w:color="auto" w:fill="auto"/>
          </w:tcPr>
          <w:p w14:paraId="10C062B8" w14:textId="77777777" w:rsidR="00B543F6" w:rsidRPr="005702CA" w:rsidRDefault="00526612" w:rsidP="00D82506">
            <w:pPr>
              <w:pStyle w:val="Tabletext"/>
            </w:pPr>
            <w:r>
              <w:t>5</w:t>
            </w:r>
          </w:p>
        </w:tc>
        <w:tc>
          <w:tcPr>
            <w:tcW w:w="4522" w:type="pct"/>
            <w:shd w:val="clear" w:color="auto" w:fill="auto"/>
          </w:tcPr>
          <w:p w14:paraId="3F97E052" w14:textId="77777777" w:rsidR="00B543F6" w:rsidRPr="005702CA" w:rsidRDefault="00B543F6" w:rsidP="00D82506">
            <w:pPr>
              <w:pStyle w:val="Tabletext"/>
            </w:pPr>
            <w:r w:rsidRPr="005702CA">
              <w:t>ASX operated by ASX Limited</w:t>
            </w:r>
          </w:p>
        </w:tc>
      </w:tr>
      <w:tr w:rsidR="00DE6407" w:rsidRPr="00361AC4" w:rsidDel="00473B78" w14:paraId="09D36FA6" w14:textId="77777777" w:rsidTr="0069065C">
        <w:tc>
          <w:tcPr>
            <w:tcW w:w="478" w:type="pct"/>
            <w:shd w:val="clear" w:color="auto" w:fill="auto"/>
          </w:tcPr>
          <w:p w14:paraId="5BDE3741" w14:textId="77777777" w:rsidR="00DE6407" w:rsidRPr="005702CA" w:rsidRDefault="00526612" w:rsidP="0069065C">
            <w:pPr>
              <w:pStyle w:val="Tabletext"/>
            </w:pPr>
            <w:r>
              <w:t>6</w:t>
            </w:r>
          </w:p>
        </w:tc>
        <w:tc>
          <w:tcPr>
            <w:tcW w:w="4522" w:type="pct"/>
            <w:shd w:val="clear" w:color="auto" w:fill="auto"/>
          </w:tcPr>
          <w:p w14:paraId="76FAAD33" w14:textId="77777777" w:rsidR="00DE6407" w:rsidRPr="00DE6407" w:rsidRDefault="00DE6407" w:rsidP="00973D66">
            <w:pPr>
              <w:pStyle w:val="Tabletext"/>
            </w:pPr>
            <w:r w:rsidRPr="005702CA">
              <w:t xml:space="preserve">ASX </w:t>
            </w:r>
            <w:r>
              <w:t>Settlement Pty Limited</w:t>
            </w:r>
          </w:p>
        </w:tc>
      </w:tr>
      <w:tr w:rsidR="00B543F6" w:rsidRPr="00361AC4" w:rsidDel="00473B78" w14:paraId="28E54C06" w14:textId="77777777" w:rsidTr="00D53133">
        <w:tc>
          <w:tcPr>
            <w:tcW w:w="478" w:type="pct"/>
            <w:shd w:val="clear" w:color="auto" w:fill="auto"/>
          </w:tcPr>
          <w:p w14:paraId="0F6ED8FF" w14:textId="77777777" w:rsidR="00B543F6" w:rsidRPr="005702CA" w:rsidRDefault="00526612" w:rsidP="00D82506">
            <w:pPr>
              <w:pStyle w:val="Tabletext"/>
            </w:pPr>
            <w:r>
              <w:t>7</w:t>
            </w:r>
          </w:p>
        </w:tc>
        <w:tc>
          <w:tcPr>
            <w:tcW w:w="4522" w:type="pct"/>
            <w:shd w:val="clear" w:color="auto" w:fill="auto"/>
          </w:tcPr>
          <w:p w14:paraId="2A877020" w14:textId="77777777" w:rsidR="000660E8" w:rsidRPr="005702CA" w:rsidRDefault="00B543F6" w:rsidP="00CB25B2">
            <w:pPr>
              <w:pStyle w:val="Tabletext"/>
            </w:pPr>
            <w:r w:rsidRPr="005702CA">
              <w:t>Athens Exchange (ATHEX)</w:t>
            </w:r>
          </w:p>
        </w:tc>
      </w:tr>
      <w:tr w:rsidR="00B543F6" w:rsidRPr="00361AC4" w:rsidDel="00473B78" w14:paraId="32F26574" w14:textId="77777777" w:rsidTr="00D53133">
        <w:tc>
          <w:tcPr>
            <w:tcW w:w="478" w:type="pct"/>
            <w:shd w:val="clear" w:color="auto" w:fill="auto"/>
          </w:tcPr>
          <w:p w14:paraId="7FA25832" w14:textId="77777777" w:rsidR="00B543F6" w:rsidRPr="005702CA" w:rsidRDefault="00526612" w:rsidP="00D82506">
            <w:pPr>
              <w:pStyle w:val="Tabletext"/>
            </w:pPr>
            <w:r>
              <w:t>8</w:t>
            </w:r>
          </w:p>
        </w:tc>
        <w:tc>
          <w:tcPr>
            <w:tcW w:w="4522" w:type="pct"/>
            <w:shd w:val="clear" w:color="auto" w:fill="auto"/>
          </w:tcPr>
          <w:p w14:paraId="121E6416" w14:textId="77777777" w:rsidR="00B543F6" w:rsidRPr="005702CA" w:rsidRDefault="00B543F6" w:rsidP="00D82506">
            <w:pPr>
              <w:pStyle w:val="Tabletext"/>
            </w:pPr>
            <w:r w:rsidRPr="005702CA">
              <w:t>Athens Exchange Clearing House (ATHEX Clear)</w:t>
            </w:r>
          </w:p>
        </w:tc>
      </w:tr>
      <w:tr w:rsidR="00DE6407" w:rsidRPr="00361AC4" w:rsidDel="00473B78" w14:paraId="2991CD9C" w14:textId="77777777" w:rsidTr="00D53133">
        <w:tc>
          <w:tcPr>
            <w:tcW w:w="478" w:type="pct"/>
            <w:shd w:val="clear" w:color="auto" w:fill="auto"/>
          </w:tcPr>
          <w:p w14:paraId="182AD53B" w14:textId="77777777" w:rsidR="00DE6407" w:rsidRDefault="00526612" w:rsidP="00D82506">
            <w:pPr>
              <w:pStyle w:val="Tabletext"/>
            </w:pPr>
            <w:r>
              <w:t>9</w:t>
            </w:r>
          </w:p>
        </w:tc>
        <w:tc>
          <w:tcPr>
            <w:tcW w:w="4522" w:type="pct"/>
            <w:shd w:val="clear" w:color="auto" w:fill="auto"/>
          </w:tcPr>
          <w:p w14:paraId="3E42F3DA" w14:textId="77777777" w:rsidR="00DE6407" w:rsidRPr="005702CA" w:rsidRDefault="00DE6407" w:rsidP="00D82506">
            <w:pPr>
              <w:pStyle w:val="Tabletext"/>
            </w:pPr>
            <w:r>
              <w:t>Austraclear Limited</w:t>
            </w:r>
          </w:p>
        </w:tc>
      </w:tr>
      <w:tr w:rsidR="00DE6407" w:rsidRPr="00361AC4" w:rsidDel="00473B78" w14:paraId="6A1AD408" w14:textId="77777777" w:rsidTr="0069065C">
        <w:tc>
          <w:tcPr>
            <w:tcW w:w="478" w:type="pct"/>
            <w:shd w:val="clear" w:color="auto" w:fill="auto"/>
          </w:tcPr>
          <w:p w14:paraId="5989A439" w14:textId="77777777" w:rsidR="00DE6407" w:rsidRDefault="00526612" w:rsidP="0069065C">
            <w:pPr>
              <w:pStyle w:val="Tabletext"/>
            </w:pPr>
            <w:r>
              <w:t>10</w:t>
            </w:r>
          </w:p>
        </w:tc>
        <w:tc>
          <w:tcPr>
            <w:tcW w:w="4522" w:type="pct"/>
            <w:shd w:val="clear" w:color="auto" w:fill="auto"/>
          </w:tcPr>
          <w:p w14:paraId="106E14A6" w14:textId="77777777" w:rsidR="00DE6407" w:rsidRPr="005702CA" w:rsidRDefault="00DE6407" w:rsidP="0069065C">
            <w:pPr>
              <w:pStyle w:val="Tabletext"/>
            </w:pPr>
            <w:r>
              <w:t>Australian Energy Market Operator Limited</w:t>
            </w:r>
          </w:p>
        </w:tc>
      </w:tr>
      <w:tr w:rsidR="00DE6407" w:rsidRPr="00361AC4" w:rsidDel="00473B78" w14:paraId="7638085D" w14:textId="77777777" w:rsidTr="00D53133">
        <w:tc>
          <w:tcPr>
            <w:tcW w:w="478" w:type="pct"/>
            <w:shd w:val="clear" w:color="auto" w:fill="auto"/>
          </w:tcPr>
          <w:p w14:paraId="22452BCC" w14:textId="77777777" w:rsidR="00DE6407" w:rsidRDefault="00526612" w:rsidP="00D82506">
            <w:pPr>
              <w:pStyle w:val="Tabletext"/>
            </w:pPr>
            <w:r>
              <w:t>11</w:t>
            </w:r>
          </w:p>
        </w:tc>
        <w:tc>
          <w:tcPr>
            <w:tcW w:w="4522" w:type="pct"/>
            <w:shd w:val="clear" w:color="auto" w:fill="auto"/>
          </w:tcPr>
          <w:p w14:paraId="52ADF25F" w14:textId="77777777" w:rsidR="00DE6407" w:rsidRDefault="00DE6407" w:rsidP="00D82506">
            <w:pPr>
              <w:pStyle w:val="Tabletext"/>
            </w:pPr>
            <w:r>
              <w:t>Bloomberg SEF LLC</w:t>
            </w:r>
          </w:p>
        </w:tc>
      </w:tr>
      <w:tr w:rsidR="00DE6407" w:rsidRPr="00361AC4" w:rsidDel="00473B78" w14:paraId="48A1F2ED" w14:textId="77777777" w:rsidTr="00D53133">
        <w:tc>
          <w:tcPr>
            <w:tcW w:w="478" w:type="pct"/>
            <w:shd w:val="clear" w:color="auto" w:fill="auto"/>
          </w:tcPr>
          <w:p w14:paraId="5EA5E087" w14:textId="77777777" w:rsidR="00DE6407" w:rsidRDefault="00526612" w:rsidP="00D82506">
            <w:pPr>
              <w:pStyle w:val="Tabletext"/>
            </w:pPr>
            <w:r>
              <w:t>12</w:t>
            </w:r>
          </w:p>
        </w:tc>
        <w:tc>
          <w:tcPr>
            <w:tcW w:w="4522" w:type="pct"/>
            <w:shd w:val="clear" w:color="auto" w:fill="auto"/>
          </w:tcPr>
          <w:p w14:paraId="1CA387EB" w14:textId="77777777" w:rsidR="00DE6407" w:rsidRDefault="00DE6407" w:rsidP="00D82506">
            <w:pPr>
              <w:pStyle w:val="Tabletext"/>
            </w:pPr>
            <w:r>
              <w:t>Bloomberg Tradebook Singapore Pte Ltd.</w:t>
            </w:r>
          </w:p>
        </w:tc>
      </w:tr>
      <w:tr w:rsidR="00DE6407" w:rsidRPr="00361AC4" w:rsidDel="00473B78" w14:paraId="16A358EF" w14:textId="77777777" w:rsidTr="0069065C">
        <w:tc>
          <w:tcPr>
            <w:tcW w:w="478" w:type="pct"/>
            <w:shd w:val="clear" w:color="auto" w:fill="auto"/>
          </w:tcPr>
          <w:p w14:paraId="07F13C8D" w14:textId="77777777" w:rsidR="00DE6407" w:rsidRDefault="00526612" w:rsidP="0069065C">
            <w:pPr>
              <w:pStyle w:val="Tabletext"/>
            </w:pPr>
            <w:r>
              <w:t>13</w:t>
            </w:r>
          </w:p>
        </w:tc>
        <w:tc>
          <w:tcPr>
            <w:tcW w:w="4522" w:type="pct"/>
            <w:shd w:val="clear" w:color="auto" w:fill="auto"/>
          </w:tcPr>
          <w:p w14:paraId="4CACA784" w14:textId="77777777" w:rsidR="00DE6407" w:rsidRDefault="00DE6407" w:rsidP="0069065C">
            <w:pPr>
              <w:pStyle w:val="Tabletext"/>
            </w:pPr>
            <w:r>
              <w:t>Bloomberg Trading Facility B.V.</w:t>
            </w:r>
          </w:p>
        </w:tc>
      </w:tr>
      <w:tr w:rsidR="00DE6407" w:rsidRPr="00361AC4" w:rsidDel="00473B78" w14:paraId="40F8146A" w14:textId="77777777" w:rsidTr="0069065C">
        <w:tc>
          <w:tcPr>
            <w:tcW w:w="478" w:type="pct"/>
            <w:shd w:val="clear" w:color="auto" w:fill="auto"/>
          </w:tcPr>
          <w:p w14:paraId="13978478" w14:textId="77777777" w:rsidR="00DE6407" w:rsidRDefault="00526612" w:rsidP="0069065C">
            <w:pPr>
              <w:pStyle w:val="Tabletext"/>
            </w:pPr>
            <w:r>
              <w:t>14</w:t>
            </w:r>
          </w:p>
        </w:tc>
        <w:tc>
          <w:tcPr>
            <w:tcW w:w="4522" w:type="pct"/>
            <w:shd w:val="clear" w:color="auto" w:fill="auto"/>
          </w:tcPr>
          <w:p w14:paraId="36C1B98D" w14:textId="77777777" w:rsidR="00DE6407" w:rsidRDefault="00DE6407" w:rsidP="0069065C">
            <w:pPr>
              <w:pStyle w:val="Tabletext"/>
            </w:pPr>
            <w:r>
              <w:t>Bloomberg Trading Facility Limited</w:t>
            </w:r>
          </w:p>
        </w:tc>
      </w:tr>
      <w:tr w:rsidR="000660E8" w:rsidRPr="00361AC4" w:rsidDel="00473B78" w14:paraId="1CC31118" w14:textId="77777777" w:rsidTr="00D53133">
        <w:tc>
          <w:tcPr>
            <w:tcW w:w="478" w:type="pct"/>
            <w:shd w:val="clear" w:color="auto" w:fill="auto"/>
          </w:tcPr>
          <w:p w14:paraId="0833F736" w14:textId="77777777" w:rsidR="000660E8" w:rsidRPr="005702CA" w:rsidRDefault="00526612" w:rsidP="00CB25B2">
            <w:pPr>
              <w:pStyle w:val="Tabletext"/>
            </w:pPr>
            <w:r>
              <w:t>15</w:t>
            </w:r>
          </w:p>
        </w:tc>
        <w:tc>
          <w:tcPr>
            <w:tcW w:w="4522" w:type="pct"/>
            <w:shd w:val="clear" w:color="auto" w:fill="auto"/>
          </w:tcPr>
          <w:p w14:paraId="4C9F77C8" w14:textId="77777777" w:rsidR="000660E8" w:rsidRPr="005702CA" w:rsidRDefault="000660E8" w:rsidP="00CB25B2">
            <w:pPr>
              <w:pStyle w:val="Tabletext"/>
            </w:pPr>
            <w:r w:rsidRPr="005702CA">
              <w:t>BME Clearing</w:t>
            </w:r>
          </w:p>
        </w:tc>
      </w:tr>
      <w:tr w:rsidR="00B543F6" w:rsidRPr="00361AC4" w:rsidDel="00473B78" w14:paraId="7A83C0D0" w14:textId="77777777" w:rsidTr="00D53133">
        <w:tc>
          <w:tcPr>
            <w:tcW w:w="478" w:type="pct"/>
            <w:shd w:val="clear" w:color="auto" w:fill="auto"/>
          </w:tcPr>
          <w:p w14:paraId="02738C9B" w14:textId="77777777" w:rsidR="00B543F6" w:rsidRPr="005702CA" w:rsidRDefault="00526612" w:rsidP="00D82506">
            <w:pPr>
              <w:pStyle w:val="Tabletext"/>
            </w:pPr>
            <w:r>
              <w:t>16</w:t>
            </w:r>
          </w:p>
        </w:tc>
        <w:tc>
          <w:tcPr>
            <w:tcW w:w="4522" w:type="pct"/>
            <w:shd w:val="clear" w:color="auto" w:fill="auto"/>
          </w:tcPr>
          <w:p w14:paraId="25E5C358" w14:textId="77777777" w:rsidR="00B543F6" w:rsidRPr="005702CA" w:rsidRDefault="00B543F6" w:rsidP="00D82506">
            <w:pPr>
              <w:pStyle w:val="Tabletext"/>
            </w:pPr>
            <w:r w:rsidRPr="005702CA">
              <w:t>Bombay Stock Exchange</w:t>
            </w:r>
          </w:p>
        </w:tc>
      </w:tr>
      <w:tr w:rsidR="00B543F6" w:rsidRPr="00361AC4" w:rsidDel="00473B78" w14:paraId="7F2C4D3C" w14:textId="77777777" w:rsidTr="00D53133">
        <w:tc>
          <w:tcPr>
            <w:tcW w:w="478" w:type="pct"/>
            <w:shd w:val="clear" w:color="auto" w:fill="auto"/>
          </w:tcPr>
          <w:p w14:paraId="2B88E519" w14:textId="77777777" w:rsidR="00B543F6" w:rsidRPr="005702CA" w:rsidRDefault="00526612" w:rsidP="00D82506">
            <w:pPr>
              <w:pStyle w:val="Tabletext"/>
            </w:pPr>
            <w:r>
              <w:t>17</w:t>
            </w:r>
          </w:p>
        </w:tc>
        <w:tc>
          <w:tcPr>
            <w:tcW w:w="4522" w:type="pct"/>
            <w:shd w:val="clear" w:color="auto" w:fill="auto"/>
          </w:tcPr>
          <w:p w14:paraId="3DC9BB89" w14:textId="77777777" w:rsidR="00B543F6" w:rsidRPr="005702CA" w:rsidRDefault="00B543F6" w:rsidP="00D82506">
            <w:pPr>
              <w:pStyle w:val="Tabletext"/>
            </w:pPr>
            <w:r w:rsidRPr="005702CA">
              <w:t>Borsa Istanbul</w:t>
            </w:r>
          </w:p>
        </w:tc>
      </w:tr>
      <w:tr w:rsidR="00B543F6" w:rsidRPr="00361AC4" w:rsidDel="00473B78" w14:paraId="1D317565" w14:textId="77777777" w:rsidTr="00D53133">
        <w:tc>
          <w:tcPr>
            <w:tcW w:w="478" w:type="pct"/>
            <w:shd w:val="clear" w:color="auto" w:fill="auto"/>
          </w:tcPr>
          <w:p w14:paraId="619BE829" w14:textId="77777777" w:rsidR="00B543F6" w:rsidRPr="005702CA" w:rsidRDefault="00526612" w:rsidP="00D82506">
            <w:pPr>
              <w:pStyle w:val="Tabletext"/>
            </w:pPr>
            <w:r>
              <w:t>18</w:t>
            </w:r>
          </w:p>
        </w:tc>
        <w:tc>
          <w:tcPr>
            <w:tcW w:w="4522" w:type="pct"/>
            <w:shd w:val="clear" w:color="auto" w:fill="auto"/>
          </w:tcPr>
          <w:p w14:paraId="3526665B" w14:textId="77777777" w:rsidR="00B543F6" w:rsidRPr="005702CA" w:rsidRDefault="00B543F6" w:rsidP="00D82506">
            <w:pPr>
              <w:pStyle w:val="Tabletext"/>
            </w:pPr>
            <w:r w:rsidRPr="005702CA">
              <w:t>Borsa Istanbul Futures &amp; Options Market</w:t>
            </w:r>
          </w:p>
        </w:tc>
      </w:tr>
      <w:tr w:rsidR="00B543F6" w:rsidRPr="00361AC4" w14:paraId="2DACB7E6" w14:textId="77777777" w:rsidTr="00D53133">
        <w:tc>
          <w:tcPr>
            <w:tcW w:w="478" w:type="pct"/>
            <w:shd w:val="clear" w:color="auto" w:fill="auto"/>
          </w:tcPr>
          <w:p w14:paraId="0D717059" w14:textId="77777777" w:rsidR="00B543F6" w:rsidRPr="005702CA" w:rsidRDefault="00526612" w:rsidP="00D82506">
            <w:pPr>
              <w:pStyle w:val="Tabletext"/>
            </w:pPr>
            <w:r>
              <w:t>19</w:t>
            </w:r>
          </w:p>
        </w:tc>
        <w:tc>
          <w:tcPr>
            <w:tcW w:w="4522" w:type="pct"/>
            <w:shd w:val="clear" w:color="auto" w:fill="auto"/>
          </w:tcPr>
          <w:p w14:paraId="53EFB2D7" w14:textId="77777777" w:rsidR="00B543F6" w:rsidRPr="005702CA" w:rsidRDefault="00B543F6" w:rsidP="00D82506">
            <w:pPr>
              <w:pStyle w:val="Tabletext"/>
            </w:pPr>
            <w:r w:rsidRPr="005702CA">
              <w:t>Boston Options Exchange</w:t>
            </w:r>
          </w:p>
        </w:tc>
      </w:tr>
      <w:tr w:rsidR="00B543F6" w:rsidRPr="00361AC4" w14:paraId="3BBF0C61" w14:textId="77777777" w:rsidTr="00D53133">
        <w:tc>
          <w:tcPr>
            <w:tcW w:w="478" w:type="pct"/>
            <w:shd w:val="clear" w:color="auto" w:fill="auto"/>
          </w:tcPr>
          <w:p w14:paraId="5617CB92" w14:textId="77777777" w:rsidR="00B543F6" w:rsidRPr="005702CA" w:rsidRDefault="00526612" w:rsidP="00D82506">
            <w:pPr>
              <w:pStyle w:val="Tabletext"/>
            </w:pPr>
            <w:r>
              <w:t>20</w:t>
            </w:r>
          </w:p>
        </w:tc>
        <w:tc>
          <w:tcPr>
            <w:tcW w:w="4522" w:type="pct"/>
            <w:shd w:val="clear" w:color="auto" w:fill="auto"/>
          </w:tcPr>
          <w:p w14:paraId="69E971C9" w14:textId="77777777" w:rsidR="00B543F6" w:rsidRPr="005702CA" w:rsidRDefault="00B543F6" w:rsidP="00D82506">
            <w:pPr>
              <w:pStyle w:val="Tabletext"/>
            </w:pPr>
            <w:r w:rsidRPr="005702CA">
              <w:t>Bourse de Montréal</w:t>
            </w:r>
          </w:p>
        </w:tc>
      </w:tr>
      <w:tr w:rsidR="00DE6407" w:rsidRPr="00361AC4" w14:paraId="00BF7A8B" w14:textId="77777777" w:rsidTr="0069065C">
        <w:tc>
          <w:tcPr>
            <w:tcW w:w="478" w:type="pct"/>
            <w:shd w:val="clear" w:color="auto" w:fill="auto"/>
          </w:tcPr>
          <w:p w14:paraId="2B4AAF58" w14:textId="77777777" w:rsidR="00DE6407" w:rsidRPr="005702CA" w:rsidRDefault="00526612" w:rsidP="0069065C">
            <w:pPr>
              <w:pStyle w:val="Tabletext"/>
            </w:pPr>
            <w:r>
              <w:t>21</w:t>
            </w:r>
          </w:p>
        </w:tc>
        <w:tc>
          <w:tcPr>
            <w:tcW w:w="4522" w:type="pct"/>
            <w:shd w:val="clear" w:color="auto" w:fill="auto"/>
          </w:tcPr>
          <w:p w14:paraId="6B358F18" w14:textId="77777777" w:rsidR="00DE6407" w:rsidRPr="005702CA" w:rsidRDefault="00DE6407" w:rsidP="0069065C">
            <w:pPr>
              <w:pStyle w:val="Tabletext"/>
            </w:pPr>
            <w:r w:rsidRPr="005702CA">
              <w:t>B</w:t>
            </w:r>
            <w:r>
              <w:t>rokerTec Europe Limited</w:t>
            </w:r>
          </w:p>
        </w:tc>
      </w:tr>
      <w:tr w:rsidR="000660E8" w:rsidRPr="00361AC4" w:rsidDel="00473B78" w14:paraId="53DD1D86" w14:textId="77777777" w:rsidTr="00D53133">
        <w:tc>
          <w:tcPr>
            <w:tcW w:w="478" w:type="pct"/>
            <w:shd w:val="clear" w:color="auto" w:fill="auto"/>
          </w:tcPr>
          <w:p w14:paraId="4CCCCC7C" w14:textId="77777777" w:rsidR="000660E8" w:rsidRPr="005702CA" w:rsidDel="00473B78" w:rsidRDefault="00526612" w:rsidP="00CB25B2">
            <w:pPr>
              <w:pStyle w:val="Tabletext"/>
            </w:pPr>
            <w:r>
              <w:t>22</w:t>
            </w:r>
          </w:p>
        </w:tc>
        <w:tc>
          <w:tcPr>
            <w:tcW w:w="4522" w:type="pct"/>
            <w:shd w:val="clear" w:color="auto" w:fill="auto"/>
          </w:tcPr>
          <w:p w14:paraId="67CD8E68" w14:textId="77777777" w:rsidR="000660E8" w:rsidRPr="005702CA" w:rsidDel="00473B78" w:rsidRDefault="000660E8" w:rsidP="00CB25B2">
            <w:pPr>
              <w:pStyle w:val="Tabletext"/>
            </w:pPr>
            <w:r>
              <w:t>B3 S.A.</w:t>
            </w:r>
          </w:p>
        </w:tc>
      </w:tr>
      <w:tr w:rsidR="00B543F6" w:rsidRPr="00361AC4" w14:paraId="58078063" w14:textId="77777777" w:rsidTr="00D53133">
        <w:tc>
          <w:tcPr>
            <w:tcW w:w="478" w:type="pct"/>
            <w:shd w:val="clear" w:color="auto" w:fill="auto"/>
          </w:tcPr>
          <w:p w14:paraId="64C26D2D" w14:textId="77777777" w:rsidR="00B543F6" w:rsidRPr="005702CA" w:rsidRDefault="00526612" w:rsidP="00D82506">
            <w:pPr>
              <w:pStyle w:val="Tabletext"/>
            </w:pPr>
            <w:r>
              <w:t>23</w:t>
            </w:r>
          </w:p>
        </w:tc>
        <w:tc>
          <w:tcPr>
            <w:tcW w:w="4522" w:type="pct"/>
            <w:shd w:val="clear" w:color="auto" w:fill="auto"/>
          </w:tcPr>
          <w:p w14:paraId="11E34CD7" w14:textId="77777777" w:rsidR="00B543F6" w:rsidRPr="005702CA" w:rsidRDefault="00B543F6" w:rsidP="00D82506">
            <w:pPr>
              <w:pStyle w:val="Tabletext"/>
            </w:pPr>
            <w:r w:rsidRPr="005702CA">
              <w:t>Budapesti Értéktözsde</w:t>
            </w:r>
          </w:p>
        </w:tc>
      </w:tr>
      <w:tr w:rsidR="00B543F6" w:rsidRPr="00361AC4" w14:paraId="6F70360B" w14:textId="77777777" w:rsidTr="00D53133">
        <w:tc>
          <w:tcPr>
            <w:tcW w:w="478" w:type="pct"/>
            <w:shd w:val="clear" w:color="auto" w:fill="auto"/>
          </w:tcPr>
          <w:p w14:paraId="32D53D38" w14:textId="77777777" w:rsidR="00B543F6" w:rsidRPr="005702CA" w:rsidRDefault="00526612" w:rsidP="00D82506">
            <w:pPr>
              <w:pStyle w:val="Tabletext"/>
            </w:pPr>
            <w:r>
              <w:t>24</w:t>
            </w:r>
          </w:p>
        </w:tc>
        <w:tc>
          <w:tcPr>
            <w:tcW w:w="4522" w:type="pct"/>
            <w:shd w:val="clear" w:color="auto" w:fill="auto"/>
          </w:tcPr>
          <w:p w14:paraId="399A4C5C" w14:textId="77777777" w:rsidR="00B543F6" w:rsidRPr="005702CA" w:rsidRDefault="00B543F6" w:rsidP="00D82506">
            <w:pPr>
              <w:pStyle w:val="Tabletext"/>
            </w:pPr>
            <w:r w:rsidRPr="005702CA">
              <w:t>Bursa Malaysia Derivatives (BMD)</w:t>
            </w:r>
          </w:p>
        </w:tc>
      </w:tr>
      <w:tr w:rsidR="000660E8" w:rsidRPr="00361AC4" w:rsidDel="00473B78" w14:paraId="675C26D6" w14:textId="77777777" w:rsidTr="00D53133">
        <w:tc>
          <w:tcPr>
            <w:tcW w:w="478" w:type="pct"/>
            <w:shd w:val="clear" w:color="auto" w:fill="auto"/>
          </w:tcPr>
          <w:p w14:paraId="3ED62EEB" w14:textId="77777777" w:rsidR="000660E8" w:rsidRPr="005702CA" w:rsidRDefault="00526612" w:rsidP="00CB25B2">
            <w:pPr>
              <w:pStyle w:val="Tabletext"/>
            </w:pPr>
            <w:r>
              <w:t>25</w:t>
            </w:r>
          </w:p>
        </w:tc>
        <w:tc>
          <w:tcPr>
            <w:tcW w:w="4522" w:type="pct"/>
            <w:shd w:val="clear" w:color="auto" w:fill="auto"/>
          </w:tcPr>
          <w:p w14:paraId="39D2CF01" w14:textId="77777777" w:rsidR="000660E8" w:rsidRPr="005702CA" w:rsidRDefault="000660E8" w:rsidP="00CB25B2">
            <w:pPr>
              <w:pStyle w:val="Tabletext"/>
            </w:pPr>
            <w:r w:rsidRPr="005702CA">
              <w:t>BZX Options Exchange</w:t>
            </w:r>
          </w:p>
        </w:tc>
      </w:tr>
      <w:tr w:rsidR="00B543F6" w:rsidRPr="00361AC4" w14:paraId="66A72A28" w14:textId="77777777" w:rsidTr="00D53133">
        <w:tc>
          <w:tcPr>
            <w:tcW w:w="478" w:type="pct"/>
            <w:shd w:val="clear" w:color="auto" w:fill="auto"/>
          </w:tcPr>
          <w:p w14:paraId="554AD8E6" w14:textId="77777777" w:rsidR="00B543F6" w:rsidRPr="005702CA" w:rsidRDefault="00526612" w:rsidP="00D82506">
            <w:pPr>
              <w:pStyle w:val="Tabletext"/>
            </w:pPr>
            <w:r>
              <w:t>26</w:t>
            </w:r>
          </w:p>
        </w:tc>
        <w:tc>
          <w:tcPr>
            <w:tcW w:w="4522" w:type="pct"/>
            <w:shd w:val="clear" w:color="auto" w:fill="auto"/>
          </w:tcPr>
          <w:p w14:paraId="336FE4BE" w14:textId="77777777" w:rsidR="00B543F6" w:rsidRPr="005702CA" w:rsidRDefault="00B543F6" w:rsidP="00D82506">
            <w:pPr>
              <w:pStyle w:val="Tabletext"/>
            </w:pPr>
            <w:r w:rsidRPr="005702CA">
              <w:t>Cantor Clearinghouse, L.P.</w:t>
            </w:r>
          </w:p>
        </w:tc>
      </w:tr>
      <w:tr w:rsidR="00B543F6" w:rsidRPr="00361AC4" w14:paraId="63126ED6" w14:textId="77777777" w:rsidTr="00D53133">
        <w:tc>
          <w:tcPr>
            <w:tcW w:w="478" w:type="pct"/>
            <w:shd w:val="clear" w:color="auto" w:fill="auto"/>
          </w:tcPr>
          <w:p w14:paraId="36093845" w14:textId="77777777" w:rsidR="00B543F6" w:rsidRPr="005702CA" w:rsidRDefault="00526612" w:rsidP="00D82506">
            <w:pPr>
              <w:pStyle w:val="Tabletext"/>
            </w:pPr>
            <w:r>
              <w:t>27</w:t>
            </w:r>
          </w:p>
        </w:tc>
        <w:tc>
          <w:tcPr>
            <w:tcW w:w="4522" w:type="pct"/>
            <w:shd w:val="clear" w:color="auto" w:fill="auto"/>
          </w:tcPr>
          <w:p w14:paraId="1AC06C96" w14:textId="77777777" w:rsidR="00B543F6" w:rsidRPr="005702CA" w:rsidRDefault="00B543F6" w:rsidP="00D82506">
            <w:pPr>
              <w:pStyle w:val="Tabletext"/>
            </w:pPr>
            <w:r w:rsidRPr="005702CA">
              <w:t>Cassa di Compensazione e Garanzia S.p.A (CCG)</w:t>
            </w:r>
          </w:p>
        </w:tc>
      </w:tr>
      <w:tr w:rsidR="00002F77" w:rsidRPr="00361AC4" w14:paraId="761B6A9F" w14:textId="77777777" w:rsidTr="00002F77">
        <w:tc>
          <w:tcPr>
            <w:tcW w:w="478" w:type="pct"/>
            <w:shd w:val="clear" w:color="auto" w:fill="auto"/>
          </w:tcPr>
          <w:p w14:paraId="5532F85C" w14:textId="77777777" w:rsidR="00002F77" w:rsidRPr="005702CA" w:rsidRDefault="00526612" w:rsidP="00002F77">
            <w:pPr>
              <w:pStyle w:val="Tabletext"/>
            </w:pPr>
            <w:r>
              <w:t>28</w:t>
            </w:r>
          </w:p>
        </w:tc>
        <w:tc>
          <w:tcPr>
            <w:tcW w:w="4522" w:type="pct"/>
            <w:shd w:val="clear" w:color="auto" w:fill="auto"/>
          </w:tcPr>
          <w:p w14:paraId="1F6EBB7D" w14:textId="77777777" w:rsidR="00002F77" w:rsidRPr="00002F77" w:rsidRDefault="00002F77" w:rsidP="00E1595F">
            <w:pPr>
              <w:pStyle w:val="Tabletext"/>
            </w:pPr>
            <w:r w:rsidRPr="005702CA">
              <w:t>C</w:t>
            </w:r>
            <w:r>
              <w:t>boe Exchange, Inc</w:t>
            </w:r>
          </w:p>
        </w:tc>
      </w:tr>
      <w:tr w:rsidR="00B543F6" w:rsidRPr="00361AC4" w14:paraId="3CD5AB81" w14:textId="77777777" w:rsidTr="00D53133">
        <w:tc>
          <w:tcPr>
            <w:tcW w:w="478" w:type="pct"/>
            <w:shd w:val="clear" w:color="auto" w:fill="auto"/>
          </w:tcPr>
          <w:p w14:paraId="14D64927" w14:textId="77777777" w:rsidR="00B543F6" w:rsidRPr="005702CA" w:rsidRDefault="00526612" w:rsidP="00D82506">
            <w:pPr>
              <w:pStyle w:val="Tabletext"/>
            </w:pPr>
            <w:r>
              <w:t>29</w:t>
            </w:r>
          </w:p>
        </w:tc>
        <w:tc>
          <w:tcPr>
            <w:tcW w:w="4522" w:type="pct"/>
            <w:shd w:val="clear" w:color="auto" w:fill="auto"/>
          </w:tcPr>
          <w:p w14:paraId="7BC12C84" w14:textId="77777777" w:rsidR="00B543F6" w:rsidRPr="005702CA" w:rsidRDefault="00B543F6" w:rsidP="00D82506">
            <w:pPr>
              <w:pStyle w:val="Tabletext"/>
            </w:pPr>
            <w:r w:rsidRPr="005702CA">
              <w:t>C</w:t>
            </w:r>
            <w:r w:rsidR="00E1595F">
              <w:t>boe</w:t>
            </w:r>
            <w:r w:rsidRPr="005702CA">
              <w:t xml:space="preserve"> Futures Exchange</w:t>
            </w:r>
          </w:p>
        </w:tc>
      </w:tr>
      <w:tr w:rsidR="00C35D61" w:rsidRPr="00361AC4" w14:paraId="340B119A" w14:textId="77777777" w:rsidTr="0069065C">
        <w:tc>
          <w:tcPr>
            <w:tcW w:w="478" w:type="pct"/>
            <w:shd w:val="clear" w:color="auto" w:fill="auto"/>
          </w:tcPr>
          <w:p w14:paraId="6C214EE6" w14:textId="77777777" w:rsidR="00C35D61" w:rsidRPr="005702CA" w:rsidRDefault="00526612" w:rsidP="0069065C">
            <w:pPr>
              <w:pStyle w:val="Tabletext"/>
            </w:pPr>
            <w:r>
              <w:t>30</w:t>
            </w:r>
          </w:p>
        </w:tc>
        <w:tc>
          <w:tcPr>
            <w:tcW w:w="4522" w:type="pct"/>
            <w:shd w:val="clear" w:color="auto" w:fill="auto"/>
          </w:tcPr>
          <w:p w14:paraId="54DCC1FE" w14:textId="77777777" w:rsidR="00C35D61" w:rsidRPr="005702CA" w:rsidRDefault="00C35D61" w:rsidP="0069065C">
            <w:pPr>
              <w:pStyle w:val="Tabletext"/>
            </w:pPr>
            <w:r w:rsidRPr="005702CA">
              <w:t>C</w:t>
            </w:r>
            <w:r>
              <w:t>boe FX Markets, LLC</w:t>
            </w:r>
          </w:p>
        </w:tc>
      </w:tr>
      <w:tr w:rsidR="000660E8" w:rsidRPr="00361AC4" w14:paraId="7E95E38D" w14:textId="77777777" w:rsidTr="00D53133">
        <w:tc>
          <w:tcPr>
            <w:tcW w:w="478" w:type="pct"/>
            <w:shd w:val="clear" w:color="auto" w:fill="auto"/>
          </w:tcPr>
          <w:p w14:paraId="27AF231A" w14:textId="77777777" w:rsidR="000660E8" w:rsidRPr="005702CA" w:rsidRDefault="00526612" w:rsidP="00CB25B2">
            <w:pPr>
              <w:pStyle w:val="Tabletext"/>
            </w:pPr>
            <w:r>
              <w:lastRenderedPageBreak/>
              <w:t>31</w:t>
            </w:r>
          </w:p>
        </w:tc>
        <w:tc>
          <w:tcPr>
            <w:tcW w:w="4522" w:type="pct"/>
            <w:shd w:val="clear" w:color="auto" w:fill="auto"/>
          </w:tcPr>
          <w:p w14:paraId="04E27457" w14:textId="77777777" w:rsidR="000660E8" w:rsidRPr="005702CA" w:rsidRDefault="000660E8" w:rsidP="00CB25B2">
            <w:pPr>
              <w:pStyle w:val="Tabletext"/>
            </w:pPr>
            <w:r w:rsidRPr="005702CA">
              <w:t>CBOT</w:t>
            </w:r>
          </w:p>
        </w:tc>
      </w:tr>
      <w:tr w:rsidR="00B543F6" w:rsidRPr="00361AC4" w14:paraId="541B3F92" w14:textId="77777777" w:rsidTr="00D53133">
        <w:tc>
          <w:tcPr>
            <w:tcW w:w="478" w:type="pct"/>
            <w:shd w:val="clear" w:color="auto" w:fill="auto"/>
          </w:tcPr>
          <w:p w14:paraId="57479008" w14:textId="77777777" w:rsidR="00B543F6" w:rsidRPr="005702CA" w:rsidRDefault="00526612" w:rsidP="00D82506">
            <w:pPr>
              <w:pStyle w:val="Tabletext"/>
            </w:pPr>
            <w:r>
              <w:t>32</w:t>
            </w:r>
          </w:p>
        </w:tc>
        <w:tc>
          <w:tcPr>
            <w:tcW w:w="4522" w:type="pct"/>
            <w:shd w:val="clear" w:color="auto" w:fill="auto"/>
          </w:tcPr>
          <w:p w14:paraId="6F6D6DD4" w14:textId="77777777" w:rsidR="00B543F6" w:rsidRPr="0003751E" w:rsidRDefault="00B543F6" w:rsidP="002D0829">
            <w:pPr>
              <w:pStyle w:val="Tabletext"/>
            </w:pPr>
            <w:r w:rsidRPr="005702CA">
              <w:t>CCP Austria Abwicklungsstelle für Börsengeschäfte GmbH (CCP.A)</w:t>
            </w:r>
          </w:p>
        </w:tc>
      </w:tr>
      <w:tr w:rsidR="00B543F6" w:rsidRPr="00361AC4" w14:paraId="3C1A838B" w14:textId="77777777" w:rsidTr="00D53133">
        <w:tc>
          <w:tcPr>
            <w:tcW w:w="478" w:type="pct"/>
            <w:shd w:val="clear" w:color="auto" w:fill="auto"/>
          </w:tcPr>
          <w:p w14:paraId="3462B110" w14:textId="77777777" w:rsidR="00B543F6" w:rsidRPr="005702CA" w:rsidRDefault="00526612" w:rsidP="00D82506">
            <w:pPr>
              <w:pStyle w:val="Tabletext"/>
            </w:pPr>
            <w:r>
              <w:t>33</w:t>
            </w:r>
          </w:p>
        </w:tc>
        <w:tc>
          <w:tcPr>
            <w:tcW w:w="4522" w:type="pct"/>
            <w:shd w:val="clear" w:color="auto" w:fill="auto"/>
          </w:tcPr>
          <w:p w14:paraId="492F714D" w14:textId="77777777" w:rsidR="00B543F6" w:rsidRPr="005702CA" w:rsidRDefault="00B543F6" w:rsidP="00D82506">
            <w:pPr>
              <w:pStyle w:val="Tabletext"/>
            </w:pPr>
            <w:r w:rsidRPr="005702CA">
              <w:t>CDSClear operated by LCH SA</w:t>
            </w:r>
          </w:p>
        </w:tc>
      </w:tr>
      <w:tr w:rsidR="00B543F6" w:rsidRPr="00361AC4" w14:paraId="1ECA425B" w14:textId="77777777" w:rsidTr="00D53133">
        <w:tc>
          <w:tcPr>
            <w:tcW w:w="478" w:type="pct"/>
            <w:shd w:val="clear" w:color="auto" w:fill="auto"/>
          </w:tcPr>
          <w:p w14:paraId="60354CE7" w14:textId="77777777" w:rsidR="00B543F6" w:rsidRPr="005702CA" w:rsidRDefault="00526612" w:rsidP="00D82506">
            <w:pPr>
              <w:pStyle w:val="Tabletext"/>
            </w:pPr>
            <w:r>
              <w:t>34</w:t>
            </w:r>
          </w:p>
        </w:tc>
        <w:tc>
          <w:tcPr>
            <w:tcW w:w="4522" w:type="pct"/>
            <w:shd w:val="clear" w:color="auto" w:fill="auto"/>
          </w:tcPr>
          <w:p w14:paraId="77D418D9" w14:textId="77777777" w:rsidR="00B543F6" w:rsidRPr="005702CA" w:rsidRDefault="00B543F6" w:rsidP="00D82506">
            <w:pPr>
              <w:pStyle w:val="Tabletext"/>
            </w:pPr>
            <w:r w:rsidRPr="005702CA">
              <w:t>CEGH Gas Exchange of Vienna Stock Exchange</w:t>
            </w:r>
          </w:p>
        </w:tc>
      </w:tr>
      <w:tr w:rsidR="00B543F6" w:rsidRPr="00361AC4" w14:paraId="70F186F3" w14:textId="77777777" w:rsidTr="00D53133">
        <w:tc>
          <w:tcPr>
            <w:tcW w:w="478" w:type="pct"/>
            <w:shd w:val="clear" w:color="auto" w:fill="auto"/>
          </w:tcPr>
          <w:p w14:paraId="50606AE9" w14:textId="77777777" w:rsidR="00B543F6" w:rsidRPr="005702CA" w:rsidRDefault="00526612" w:rsidP="00D82506">
            <w:pPr>
              <w:pStyle w:val="Tabletext"/>
            </w:pPr>
            <w:r>
              <w:t>35</w:t>
            </w:r>
          </w:p>
        </w:tc>
        <w:tc>
          <w:tcPr>
            <w:tcW w:w="4522" w:type="pct"/>
            <w:shd w:val="clear" w:color="auto" w:fill="auto"/>
          </w:tcPr>
          <w:p w14:paraId="1DF23BEC" w14:textId="77777777" w:rsidR="00B543F6" w:rsidRPr="005702CA" w:rsidRDefault="00B543F6" w:rsidP="00D82506">
            <w:pPr>
              <w:pStyle w:val="Tabletext"/>
            </w:pPr>
            <w:r w:rsidRPr="005702CA">
              <w:t>Central Depository (Pte) Limited</w:t>
            </w:r>
          </w:p>
        </w:tc>
      </w:tr>
      <w:tr w:rsidR="00B543F6" w:rsidRPr="00361AC4" w14:paraId="14651EFB" w14:textId="77777777" w:rsidTr="00D53133">
        <w:tc>
          <w:tcPr>
            <w:tcW w:w="478" w:type="pct"/>
            <w:shd w:val="clear" w:color="auto" w:fill="auto"/>
          </w:tcPr>
          <w:p w14:paraId="7CD31DA5" w14:textId="77777777" w:rsidR="00B543F6" w:rsidRPr="005702CA" w:rsidRDefault="00526612" w:rsidP="00D82506">
            <w:pPr>
              <w:pStyle w:val="Tabletext"/>
            </w:pPr>
            <w:r>
              <w:t>36</w:t>
            </w:r>
          </w:p>
        </w:tc>
        <w:tc>
          <w:tcPr>
            <w:tcW w:w="4522" w:type="pct"/>
            <w:shd w:val="clear" w:color="auto" w:fill="auto"/>
          </w:tcPr>
          <w:p w14:paraId="4A254F6F" w14:textId="77777777" w:rsidR="006118B4" w:rsidRPr="006118B4" w:rsidRDefault="00B543F6" w:rsidP="009431E7">
            <w:pPr>
              <w:pStyle w:val="Tabletext"/>
            </w:pPr>
            <w:r w:rsidRPr="005702CA">
              <w:t>Chicago Board Options Exchange (C</w:t>
            </w:r>
            <w:r w:rsidR="009431E7">
              <w:t>boe</w:t>
            </w:r>
            <w:r w:rsidRPr="005702CA">
              <w:t>)</w:t>
            </w:r>
          </w:p>
        </w:tc>
      </w:tr>
      <w:tr w:rsidR="00002F77" w:rsidRPr="00361AC4" w14:paraId="583A4B9F" w14:textId="77777777" w:rsidTr="00002F77">
        <w:tc>
          <w:tcPr>
            <w:tcW w:w="478" w:type="pct"/>
            <w:shd w:val="clear" w:color="auto" w:fill="auto"/>
          </w:tcPr>
          <w:p w14:paraId="06624BDE" w14:textId="77777777" w:rsidR="00002F77" w:rsidRPr="005702CA" w:rsidRDefault="00526612" w:rsidP="00002F77">
            <w:pPr>
              <w:pStyle w:val="Tabletext"/>
            </w:pPr>
            <w:r>
              <w:t>37</w:t>
            </w:r>
          </w:p>
        </w:tc>
        <w:tc>
          <w:tcPr>
            <w:tcW w:w="4522" w:type="pct"/>
            <w:shd w:val="clear" w:color="auto" w:fill="auto"/>
          </w:tcPr>
          <w:p w14:paraId="04053E79" w14:textId="77777777" w:rsidR="00002F77" w:rsidRPr="005702CA" w:rsidRDefault="00002F77" w:rsidP="00002F77">
            <w:pPr>
              <w:pStyle w:val="Tabletext"/>
            </w:pPr>
            <w:r w:rsidRPr="005702CA">
              <w:t xml:space="preserve">Chicago </w:t>
            </w:r>
            <w:r>
              <w:t>Mercantile Exchange Inc (CME)</w:t>
            </w:r>
          </w:p>
        </w:tc>
      </w:tr>
      <w:tr w:rsidR="00B543F6" w:rsidRPr="00361AC4" w14:paraId="7F56A1FB" w14:textId="77777777" w:rsidTr="00D53133">
        <w:tc>
          <w:tcPr>
            <w:tcW w:w="478" w:type="pct"/>
            <w:shd w:val="clear" w:color="auto" w:fill="auto"/>
          </w:tcPr>
          <w:p w14:paraId="4F73FE48" w14:textId="77777777" w:rsidR="00B543F6" w:rsidRPr="005702CA" w:rsidRDefault="00526612" w:rsidP="00D82506">
            <w:pPr>
              <w:pStyle w:val="Tabletext"/>
            </w:pPr>
            <w:r>
              <w:t>38</w:t>
            </w:r>
          </w:p>
        </w:tc>
        <w:tc>
          <w:tcPr>
            <w:tcW w:w="4522" w:type="pct"/>
            <w:shd w:val="clear" w:color="auto" w:fill="auto"/>
          </w:tcPr>
          <w:p w14:paraId="2FEF0319" w14:textId="77777777" w:rsidR="00B543F6" w:rsidRPr="005702CA" w:rsidRDefault="00B543F6" w:rsidP="00D82506">
            <w:pPr>
              <w:pStyle w:val="Tabletext"/>
            </w:pPr>
            <w:r w:rsidRPr="005702CA">
              <w:rPr>
                <w:lang w:eastAsia="en-US"/>
              </w:rPr>
              <w:t>China Financial Futures Exchange (CFFEX)</w:t>
            </w:r>
          </w:p>
        </w:tc>
      </w:tr>
      <w:tr w:rsidR="00B543F6" w:rsidRPr="00361AC4" w14:paraId="3660C57F" w14:textId="77777777" w:rsidTr="00D53133">
        <w:tc>
          <w:tcPr>
            <w:tcW w:w="478" w:type="pct"/>
            <w:shd w:val="clear" w:color="auto" w:fill="auto"/>
          </w:tcPr>
          <w:p w14:paraId="39911A76" w14:textId="77777777" w:rsidR="00B543F6" w:rsidRPr="005702CA" w:rsidRDefault="00526612" w:rsidP="00D82506">
            <w:pPr>
              <w:pStyle w:val="Tabletext"/>
            </w:pPr>
            <w:r>
              <w:t>39</w:t>
            </w:r>
          </w:p>
        </w:tc>
        <w:tc>
          <w:tcPr>
            <w:tcW w:w="4522" w:type="pct"/>
            <w:shd w:val="clear" w:color="auto" w:fill="auto"/>
          </w:tcPr>
          <w:p w14:paraId="0EB0F983" w14:textId="77777777" w:rsidR="00B543F6" w:rsidRPr="005702CA" w:rsidRDefault="00B543F6" w:rsidP="00D82506">
            <w:pPr>
              <w:pStyle w:val="Tabletext"/>
            </w:pPr>
            <w:r w:rsidRPr="005702CA">
              <w:t>CME Clearing</w:t>
            </w:r>
          </w:p>
        </w:tc>
      </w:tr>
      <w:tr w:rsidR="000660E8" w:rsidRPr="00361AC4" w14:paraId="12C25991" w14:textId="77777777" w:rsidTr="00D53133">
        <w:tc>
          <w:tcPr>
            <w:tcW w:w="478" w:type="pct"/>
            <w:shd w:val="clear" w:color="auto" w:fill="auto"/>
          </w:tcPr>
          <w:p w14:paraId="398567BD" w14:textId="77777777" w:rsidR="000660E8" w:rsidRPr="005702CA" w:rsidRDefault="00526612" w:rsidP="00CB25B2">
            <w:pPr>
              <w:pStyle w:val="Tabletext"/>
            </w:pPr>
            <w:r>
              <w:t>40</w:t>
            </w:r>
          </w:p>
        </w:tc>
        <w:tc>
          <w:tcPr>
            <w:tcW w:w="4522" w:type="pct"/>
            <w:shd w:val="clear" w:color="auto" w:fill="auto"/>
          </w:tcPr>
          <w:p w14:paraId="4DE985E4" w14:textId="77777777" w:rsidR="000660E8" w:rsidRPr="005702CA" w:rsidRDefault="000660E8" w:rsidP="00CB25B2">
            <w:pPr>
              <w:pStyle w:val="Tabletext"/>
            </w:pPr>
            <w:r w:rsidRPr="005702CA">
              <w:t>CME</w:t>
            </w:r>
            <w:r>
              <w:t xml:space="preserve"> operated by </w:t>
            </w:r>
            <w:r w:rsidRPr="005702CA">
              <w:t>Chicago Mercantile Exchange</w:t>
            </w:r>
            <w:r>
              <w:t xml:space="preserve"> Inc.</w:t>
            </w:r>
          </w:p>
        </w:tc>
      </w:tr>
      <w:tr w:rsidR="000660E8" w:rsidRPr="00361AC4" w14:paraId="5257CA7C" w14:textId="77777777" w:rsidTr="00D53133">
        <w:tc>
          <w:tcPr>
            <w:tcW w:w="478" w:type="pct"/>
            <w:shd w:val="clear" w:color="auto" w:fill="auto"/>
          </w:tcPr>
          <w:p w14:paraId="44F2CC11" w14:textId="77777777" w:rsidR="000660E8" w:rsidRPr="005702CA" w:rsidRDefault="00526612" w:rsidP="00CB25B2">
            <w:pPr>
              <w:pStyle w:val="Tabletext"/>
            </w:pPr>
            <w:r>
              <w:t>41</w:t>
            </w:r>
          </w:p>
        </w:tc>
        <w:tc>
          <w:tcPr>
            <w:tcW w:w="4522" w:type="pct"/>
            <w:shd w:val="clear" w:color="auto" w:fill="auto"/>
          </w:tcPr>
          <w:p w14:paraId="318B9174" w14:textId="77777777" w:rsidR="000660E8" w:rsidRPr="005702CA" w:rsidRDefault="000660E8" w:rsidP="00CB25B2">
            <w:pPr>
              <w:pStyle w:val="Tabletext"/>
            </w:pPr>
            <w:r w:rsidRPr="005702CA">
              <w:t xml:space="preserve">COMEX operated by </w:t>
            </w:r>
            <w:r>
              <w:t>Commodity Exchange, Inc.</w:t>
            </w:r>
          </w:p>
        </w:tc>
      </w:tr>
      <w:tr w:rsidR="00B543F6" w:rsidRPr="00361AC4" w14:paraId="2C765DFA" w14:textId="77777777" w:rsidTr="00D53133">
        <w:tc>
          <w:tcPr>
            <w:tcW w:w="478" w:type="pct"/>
            <w:shd w:val="clear" w:color="auto" w:fill="auto"/>
          </w:tcPr>
          <w:p w14:paraId="0CFFCB7F" w14:textId="77777777" w:rsidR="00B543F6" w:rsidRPr="005702CA" w:rsidRDefault="00526612" w:rsidP="00D82506">
            <w:pPr>
              <w:pStyle w:val="Tabletext"/>
            </w:pPr>
            <w:r>
              <w:t>42</w:t>
            </w:r>
          </w:p>
        </w:tc>
        <w:tc>
          <w:tcPr>
            <w:tcW w:w="4522" w:type="pct"/>
            <w:shd w:val="clear" w:color="auto" w:fill="auto"/>
          </w:tcPr>
          <w:p w14:paraId="4C2E6F73" w14:textId="77777777" w:rsidR="00B543F6" w:rsidRPr="005702CA" w:rsidRDefault="00B543F6" w:rsidP="00D82506">
            <w:pPr>
              <w:pStyle w:val="Tabletext"/>
            </w:pPr>
            <w:r w:rsidRPr="005702CA">
              <w:t>CommodityClear operated by LCH</w:t>
            </w:r>
            <w:r w:rsidR="000660E8">
              <w:t xml:space="preserve"> SA</w:t>
            </w:r>
          </w:p>
        </w:tc>
      </w:tr>
      <w:tr w:rsidR="00B543F6" w:rsidRPr="00361AC4" w14:paraId="041E39E6" w14:textId="77777777" w:rsidTr="00D53133">
        <w:tc>
          <w:tcPr>
            <w:tcW w:w="478" w:type="pct"/>
            <w:shd w:val="clear" w:color="auto" w:fill="auto"/>
          </w:tcPr>
          <w:p w14:paraId="5400196F" w14:textId="77777777" w:rsidR="00B543F6" w:rsidRPr="005702CA" w:rsidRDefault="00526612" w:rsidP="00D82506">
            <w:pPr>
              <w:pStyle w:val="Tabletext"/>
            </w:pPr>
            <w:r>
              <w:t>43</w:t>
            </w:r>
          </w:p>
        </w:tc>
        <w:tc>
          <w:tcPr>
            <w:tcW w:w="4522" w:type="pct"/>
            <w:shd w:val="clear" w:color="auto" w:fill="auto"/>
          </w:tcPr>
          <w:p w14:paraId="22DC9A75" w14:textId="77777777" w:rsidR="00B543F6" w:rsidRPr="005702CA" w:rsidRDefault="00B543F6" w:rsidP="00D82506">
            <w:pPr>
              <w:pStyle w:val="Tabletext"/>
            </w:pPr>
            <w:r w:rsidRPr="005702CA">
              <w:t>Dalian Commodity Exchange</w:t>
            </w:r>
          </w:p>
        </w:tc>
      </w:tr>
      <w:tr w:rsidR="00B543F6" w:rsidRPr="00361AC4" w14:paraId="34F709BE" w14:textId="77777777" w:rsidTr="00D53133">
        <w:tc>
          <w:tcPr>
            <w:tcW w:w="478" w:type="pct"/>
            <w:shd w:val="clear" w:color="auto" w:fill="auto"/>
          </w:tcPr>
          <w:p w14:paraId="169FD34C" w14:textId="77777777" w:rsidR="00B543F6" w:rsidRPr="005702CA" w:rsidRDefault="00526612" w:rsidP="00D82506">
            <w:pPr>
              <w:pStyle w:val="Tabletext"/>
            </w:pPr>
            <w:r>
              <w:t>44</w:t>
            </w:r>
          </w:p>
        </w:tc>
        <w:tc>
          <w:tcPr>
            <w:tcW w:w="4522" w:type="pct"/>
            <w:shd w:val="clear" w:color="auto" w:fill="auto"/>
          </w:tcPr>
          <w:p w14:paraId="0C79BA91" w14:textId="77777777" w:rsidR="00B543F6" w:rsidRPr="005702CA" w:rsidRDefault="00B543F6" w:rsidP="00D82506">
            <w:pPr>
              <w:pStyle w:val="Tabletext"/>
            </w:pPr>
            <w:r w:rsidRPr="005702CA">
              <w:t>Dubai Gold &amp; Commodities Exchange (DGCX)</w:t>
            </w:r>
          </w:p>
        </w:tc>
      </w:tr>
      <w:tr w:rsidR="00B543F6" w:rsidRPr="00361AC4" w14:paraId="716BCE50" w14:textId="77777777" w:rsidTr="00D53133">
        <w:tc>
          <w:tcPr>
            <w:tcW w:w="478" w:type="pct"/>
            <w:shd w:val="clear" w:color="auto" w:fill="auto"/>
          </w:tcPr>
          <w:p w14:paraId="043D994A" w14:textId="77777777" w:rsidR="00B543F6" w:rsidRPr="005702CA" w:rsidRDefault="00526612" w:rsidP="00D82506">
            <w:pPr>
              <w:pStyle w:val="Tabletext"/>
            </w:pPr>
            <w:r>
              <w:t>45</w:t>
            </w:r>
          </w:p>
        </w:tc>
        <w:tc>
          <w:tcPr>
            <w:tcW w:w="4522" w:type="pct"/>
            <w:shd w:val="clear" w:color="auto" w:fill="auto"/>
          </w:tcPr>
          <w:p w14:paraId="4A2E6880" w14:textId="77777777" w:rsidR="00B543F6" w:rsidRPr="005702CA" w:rsidRDefault="00B543F6" w:rsidP="00D82506">
            <w:pPr>
              <w:pStyle w:val="Tabletext"/>
            </w:pPr>
            <w:r w:rsidRPr="005702CA">
              <w:t>Dubai Mercantile Exchange (DME)</w:t>
            </w:r>
          </w:p>
        </w:tc>
      </w:tr>
      <w:tr w:rsidR="00B543F6" w:rsidRPr="00361AC4" w14:paraId="3AB7AFB2" w14:textId="77777777" w:rsidTr="00D53133">
        <w:tc>
          <w:tcPr>
            <w:tcW w:w="478" w:type="pct"/>
            <w:shd w:val="clear" w:color="auto" w:fill="auto"/>
          </w:tcPr>
          <w:p w14:paraId="4FD6CEC5" w14:textId="77777777" w:rsidR="00B543F6" w:rsidRPr="005702CA" w:rsidRDefault="00526612" w:rsidP="00D82506">
            <w:pPr>
              <w:pStyle w:val="Tabletext"/>
            </w:pPr>
            <w:r>
              <w:t>46</w:t>
            </w:r>
          </w:p>
        </w:tc>
        <w:tc>
          <w:tcPr>
            <w:tcW w:w="4522" w:type="pct"/>
            <w:shd w:val="clear" w:color="auto" w:fill="auto"/>
          </w:tcPr>
          <w:p w14:paraId="7EC73135" w14:textId="77777777" w:rsidR="00B543F6" w:rsidRPr="005702CA" w:rsidRDefault="00B543F6" w:rsidP="00D82506">
            <w:pPr>
              <w:pStyle w:val="Tabletext"/>
            </w:pPr>
            <w:r w:rsidRPr="005702CA">
              <w:t>Electronic Liquidity Exchange operated by ELX Futures LP</w:t>
            </w:r>
          </w:p>
        </w:tc>
      </w:tr>
      <w:tr w:rsidR="00B543F6" w:rsidRPr="00361AC4" w14:paraId="51D177B9" w14:textId="77777777" w:rsidTr="00D53133">
        <w:tc>
          <w:tcPr>
            <w:tcW w:w="478" w:type="pct"/>
            <w:shd w:val="clear" w:color="auto" w:fill="auto"/>
          </w:tcPr>
          <w:p w14:paraId="33DC19CE" w14:textId="77777777" w:rsidR="00B543F6" w:rsidRPr="005702CA" w:rsidRDefault="00526612" w:rsidP="00D82506">
            <w:pPr>
              <w:pStyle w:val="Tabletext"/>
            </w:pPr>
            <w:r>
              <w:t>47</w:t>
            </w:r>
          </w:p>
        </w:tc>
        <w:tc>
          <w:tcPr>
            <w:tcW w:w="4522" w:type="pct"/>
            <w:shd w:val="clear" w:color="auto" w:fill="auto"/>
          </w:tcPr>
          <w:p w14:paraId="1DD6BB05" w14:textId="77777777" w:rsidR="00B543F6" w:rsidRPr="005702CA" w:rsidRDefault="00B543F6" w:rsidP="00D82506">
            <w:pPr>
              <w:pStyle w:val="Tabletext"/>
            </w:pPr>
            <w:r w:rsidRPr="005702CA">
              <w:t>EPEX SPOT SE</w:t>
            </w:r>
          </w:p>
        </w:tc>
      </w:tr>
      <w:tr w:rsidR="00B543F6" w:rsidRPr="00361AC4" w14:paraId="3B215922" w14:textId="77777777" w:rsidTr="00D53133">
        <w:tc>
          <w:tcPr>
            <w:tcW w:w="478" w:type="pct"/>
            <w:shd w:val="clear" w:color="auto" w:fill="auto"/>
          </w:tcPr>
          <w:p w14:paraId="6BEAC3EE" w14:textId="77777777" w:rsidR="00B543F6" w:rsidRPr="005702CA" w:rsidRDefault="00526612" w:rsidP="00D82506">
            <w:pPr>
              <w:pStyle w:val="Tabletext"/>
            </w:pPr>
            <w:r>
              <w:t>48</w:t>
            </w:r>
          </w:p>
        </w:tc>
        <w:tc>
          <w:tcPr>
            <w:tcW w:w="4522" w:type="pct"/>
            <w:shd w:val="clear" w:color="auto" w:fill="auto"/>
          </w:tcPr>
          <w:p w14:paraId="286B657E" w14:textId="77777777" w:rsidR="00B543F6" w:rsidRPr="005702CA" w:rsidRDefault="00B543F6" w:rsidP="00D82506">
            <w:pPr>
              <w:pStyle w:val="Tabletext"/>
            </w:pPr>
            <w:r w:rsidRPr="005702CA">
              <w:t>Eurex Clearing AG</w:t>
            </w:r>
          </w:p>
        </w:tc>
      </w:tr>
      <w:tr w:rsidR="00B543F6" w:rsidRPr="00361AC4" w14:paraId="22948DF3" w14:textId="77777777" w:rsidTr="00D53133">
        <w:tc>
          <w:tcPr>
            <w:tcW w:w="478" w:type="pct"/>
            <w:shd w:val="clear" w:color="auto" w:fill="auto"/>
          </w:tcPr>
          <w:p w14:paraId="09653656" w14:textId="77777777" w:rsidR="00B543F6" w:rsidRPr="005702CA" w:rsidRDefault="00526612" w:rsidP="00D82506">
            <w:pPr>
              <w:pStyle w:val="Tabletext"/>
            </w:pPr>
            <w:r>
              <w:t>49</w:t>
            </w:r>
          </w:p>
        </w:tc>
        <w:tc>
          <w:tcPr>
            <w:tcW w:w="4522" w:type="pct"/>
            <w:shd w:val="clear" w:color="auto" w:fill="auto"/>
          </w:tcPr>
          <w:p w14:paraId="0AE23193" w14:textId="77777777" w:rsidR="00B543F6" w:rsidRPr="005702CA" w:rsidRDefault="00B543F6" w:rsidP="00D82506">
            <w:pPr>
              <w:pStyle w:val="Tabletext"/>
            </w:pPr>
            <w:r w:rsidRPr="005702CA">
              <w:t>Eurex Deutschland</w:t>
            </w:r>
          </w:p>
        </w:tc>
      </w:tr>
      <w:tr w:rsidR="00B543F6" w:rsidRPr="00361AC4" w14:paraId="22D40B6C" w14:textId="77777777" w:rsidTr="00D53133">
        <w:tc>
          <w:tcPr>
            <w:tcW w:w="478" w:type="pct"/>
            <w:shd w:val="clear" w:color="auto" w:fill="auto"/>
          </w:tcPr>
          <w:p w14:paraId="381669EF" w14:textId="77777777" w:rsidR="00B543F6" w:rsidRPr="005702CA" w:rsidRDefault="00526612" w:rsidP="00D82506">
            <w:pPr>
              <w:pStyle w:val="Tabletext"/>
            </w:pPr>
            <w:r>
              <w:t>50</w:t>
            </w:r>
          </w:p>
        </w:tc>
        <w:tc>
          <w:tcPr>
            <w:tcW w:w="4522" w:type="pct"/>
            <w:shd w:val="clear" w:color="auto" w:fill="auto"/>
          </w:tcPr>
          <w:p w14:paraId="4EEADAAD" w14:textId="77777777" w:rsidR="00B543F6" w:rsidRPr="005702CA" w:rsidRDefault="00B543F6" w:rsidP="00D82506">
            <w:pPr>
              <w:pStyle w:val="Tabletext"/>
            </w:pPr>
            <w:r w:rsidRPr="005702CA">
              <w:t>EuroGCplus operated by LCH SA</w:t>
            </w:r>
          </w:p>
        </w:tc>
      </w:tr>
      <w:tr w:rsidR="00B543F6" w:rsidRPr="00361AC4" w14:paraId="1030E9BC" w14:textId="77777777" w:rsidTr="00D53133">
        <w:tc>
          <w:tcPr>
            <w:tcW w:w="478" w:type="pct"/>
            <w:shd w:val="clear" w:color="auto" w:fill="auto"/>
          </w:tcPr>
          <w:p w14:paraId="3BC6E947" w14:textId="77777777" w:rsidR="00B543F6" w:rsidRPr="005702CA" w:rsidRDefault="00526612" w:rsidP="00D82506">
            <w:pPr>
              <w:pStyle w:val="Tabletext"/>
            </w:pPr>
            <w:r>
              <w:t>51</w:t>
            </w:r>
          </w:p>
        </w:tc>
        <w:tc>
          <w:tcPr>
            <w:tcW w:w="4522" w:type="pct"/>
            <w:shd w:val="clear" w:color="auto" w:fill="auto"/>
          </w:tcPr>
          <w:p w14:paraId="58F027BA" w14:textId="77777777" w:rsidR="00B543F6" w:rsidRPr="005702CA" w:rsidRDefault="00B543F6" w:rsidP="00D82506">
            <w:pPr>
              <w:pStyle w:val="Tabletext"/>
            </w:pPr>
            <w:r w:rsidRPr="005702CA">
              <w:t>Euronext Amsterdam Derivatives Regulated Market operated by Euronext Amsterdam NV</w:t>
            </w:r>
          </w:p>
        </w:tc>
      </w:tr>
      <w:tr w:rsidR="00B543F6" w:rsidRPr="00361AC4" w14:paraId="7248F80B" w14:textId="77777777" w:rsidTr="00D53133">
        <w:tc>
          <w:tcPr>
            <w:tcW w:w="478" w:type="pct"/>
            <w:shd w:val="clear" w:color="auto" w:fill="auto"/>
          </w:tcPr>
          <w:p w14:paraId="3F8378A2" w14:textId="77777777" w:rsidR="00B543F6" w:rsidRPr="005702CA" w:rsidRDefault="00526612" w:rsidP="00D82506">
            <w:pPr>
              <w:pStyle w:val="Tabletext"/>
            </w:pPr>
            <w:r>
              <w:t>52</w:t>
            </w:r>
          </w:p>
        </w:tc>
        <w:tc>
          <w:tcPr>
            <w:tcW w:w="4522" w:type="pct"/>
            <w:shd w:val="clear" w:color="auto" w:fill="auto"/>
          </w:tcPr>
          <w:p w14:paraId="31B7C68E" w14:textId="77777777" w:rsidR="00B543F6" w:rsidRPr="005702CA" w:rsidRDefault="00B543F6" w:rsidP="00D82506">
            <w:pPr>
              <w:pStyle w:val="Tabletext"/>
            </w:pPr>
            <w:r w:rsidRPr="005702CA">
              <w:t>Euronext Amsterdam Securities Regulated Market operated by Euronext Amsterdam NV</w:t>
            </w:r>
          </w:p>
        </w:tc>
      </w:tr>
      <w:tr w:rsidR="00B543F6" w:rsidRPr="00361AC4" w14:paraId="7382B148" w14:textId="77777777" w:rsidTr="00D53133">
        <w:tc>
          <w:tcPr>
            <w:tcW w:w="478" w:type="pct"/>
            <w:shd w:val="clear" w:color="auto" w:fill="auto"/>
          </w:tcPr>
          <w:p w14:paraId="7460C29E" w14:textId="77777777" w:rsidR="00B543F6" w:rsidRPr="005702CA" w:rsidRDefault="00526612" w:rsidP="00D82506">
            <w:pPr>
              <w:pStyle w:val="Tabletext"/>
            </w:pPr>
            <w:r>
              <w:t>53</w:t>
            </w:r>
          </w:p>
        </w:tc>
        <w:tc>
          <w:tcPr>
            <w:tcW w:w="4522" w:type="pct"/>
            <w:shd w:val="clear" w:color="auto" w:fill="auto"/>
          </w:tcPr>
          <w:p w14:paraId="3F1714B8" w14:textId="77777777" w:rsidR="00B543F6" w:rsidRPr="005702CA" w:rsidRDefault="00B543F6" w:rsidP="00D82506">
            <w:pPr>
              <w:pStyle w:val="Tabletext"/>
            </w:pPr>
            <w:r w:rsidRPr="005702CA">
              <w:t>Euronext Brussels Derivatives Regulated Market operated by Euronext Brussels SA/NV</w:t>
            </w:r>
          </w:p>
        </w:tc>
      </w:tr>
      <w:tr w:rsidR="00B543F6" w:rsidRPr="00361AC4" w14:paraId="2068A875" w14:textId="77777777" w:rsidTr="00D53133">
        <w:tc>
          <w:tcPr>
            <w:tcW w:w="478" w:type="pct"/>
            <w:shd w:val="clear" w:color="auto" w:fill="auto"/>
          </w:tcPr>
          <w:p w14:paraId="77D7FA35" w14:textId="77777777" w:rsidR="00B543F6" w:rsidRPr="005702CA" w:rsidRDefault="00526612" w:rsidP="00D82506">
            <w:pPr>
              <w:pStyle w:val="Tabletext"/>
            </w:pPr>
            <w:r>
              <w:t>54</w:t>
            </w:r>
          </w:p>
        </w:tc>
        <w:tc>
          <w:tcPr>
            <w:tcW w:w="4522" w:type="pct"/>
            <w:shd w:val="clear" w:color="auto" w:fill="auto"/>
          </w:tcPr>
          <w:p w14:paraId="33A6C88D" w14:textId="77777777" w:rsidR="00B543F6" w:rsidRPr="005702CA" w:rsidRDefault="00B543F6" w:rsidP="00D82506">
            <w:pPr>
              <w:pStyle w:val="Tabletext"/>
            </w:pPr>
            <w:r w:rsidRPr="005702CA">
              <w:t>Euronext Brussels Securities Regulated Market operated by Euronext Brussels SA/NV</w:t>
            </w:r>
          </w:p>
        </w:tc>
      </w:tr>
      <w:tr w:rsidR="00B543F6" w:rsidRPr="00361AC4" w14:paraId="4B437983" w14:textId="77777777" w:rsidTr="00D53133">
        <w:tc>
          <w:tcPr>
            <w:tcW w:w="478" w:type="pct"/>
            <w:shd w:val="clear" w:color="auto" w:fill="auto"/>
          </w:tcPr>
          <w:p w14:paraId="6A13652C" w14:textId="77777777" w:rsidR="00B543F6" w:rsidRPr="005702CA" w:rsidRDefault="00526612" w:rsidP="00D82506">
            <w:pPr>
              <w:pStyle w:val="Tabletext"/>
            </w:pPr>
            <w:r>
              <w:t>55</w:t>
            </w:r>
          </w:p>
        </w:tc>
        <w:tc>
          <w:tcPr>
            <w:tcW w:w="4522" w:type="pct"/>
            <w:shd w:val="clear" w:color="auto" w:fill="auto"/>
          </w:tcPr>
          <w:p w14:paraId="051D2C91" w14:textId="77777777" w:rsidR="00B543F6" w:rsidRPr="005702CA" w:rsidRDefault="00B543F6" w:rsidP="00D82506">
            <w:pPr>
              <w:pStyle w:val="Tabletext"/>
            </w:pPr>
            <w:r w:rsidRPr="005702CA">
              <w:t>Euronext Lisbon Derivatives Regulated Market operated by Euronext Lisbon – Sociedade Gestora de Mercados Regulamentados, S.A.</w:t>
            </w:r>
          </w:p>
        </w:tc>
      </w:tr>
      <w:tr w:rsidR="00B543F6" w:rsidRPr="00361AC4" w14:paraId="6FAE0014" w14:textId="77777777" w:rsidTr="00D53133">
        <w:tc>
          <w:tcPr>
            <w:tcW w:w="478" w:type="pct"/>
            <w:shd w:val="clear" w:color="auto" w:fill="auto"/>
          </w:tcPr>
          <w:p w14:paraId="76997153" w14:textId="77777777" w:rsidR="00B543F6" w:rsidRPr="005702CA" w:rsidRDefault="00526612" w:rsidP="00D82506">
            <w:pPr>
              <w:pStyle w:val="Tabletext"/>
            </w:pPr>
            <w:r>
              <w:t>56</w:t>
            </w:r>
          </w:p>
        </w:tc>
        <w:tc>
          <w:tcPr>
            <w:tcW w:w="4522" w:type="pct"/>
            <w:shd w:val="clear" w:color="auto" w:fill="auto"/>
          </w:tcPr>
          <w:p w14:paraId="779D7C14" w14:textId="77777777" w:rsidR="00B543F6" w:rsidRPr="005702CA" w:rsidRDefault="00B543F6" w:rsidP="00D82506">
            <w:pPr>
              <w:pStyle w:val="Tabletext"/>
            </w:pPr>
            <w:r w:rsidRPr="005702CA">
              <w:t>Euronext Lisbon Securities Regulated Market operated by Euronext Lisbon – Sociedade Gestora de Mercados Regulamentados, S.A.</w:t>
            </w:r>
          </w:p>
        </w:tc>
      </w:tr>
      <w:tr w:rsidR="00B543F6" w:rsidRPr="00361AC4" w14:paraId="0A6ADFE4" w14:textId="77777777" w:rsidTr="00D53133">
        <w:tc>
          <w:tcPr>
            <w:tcW w:w="478" w:type="pct"/>
            <w:shd w:val="clear" w:color="auto" w:fill="auto"/>
          </w:tcPr>
          <w:p w14:paraId="0145E001" w14:textId="77777777" w:rsidR="00B543F6" w:rsidRPr="005702CA" w:rsidRDefault="00526612" w:rsidP="00D82506">
            <w:pPr>
              <w:pStyle w:val="Tabletext"/>
            </w:pPr>
            <w:r>
              <w:t>57</w:t>
            </w:r>
          </w:p>
        </w:tc>
        <w:tc>
          <w:tcPr>
            <w:tcW w:w="4522" w:type="pct"/>
            <w:shd w:val="clear" w:color="auto" w:fill="auto"/>
          </w:tcPr>
          <w:p w14:paraId="70AF26A8" w14:textId="77777777" w:rsidR="00B543F6" w:rsidRPr="005702CA" w:rsidRDefault="00B543F6" w:rsidP="00D82506">
            <w:pPr>
              <w:pStyle w:val="Tabletext"/>
            </w:pPr>
            <w:r w:rsidRPr="005702CA">
              <w:t>Euronext London Securities Regulated Market operated by Euronext London Limited</w:t>
            </w:r>
          </w:p>
        </w:tc>
      </w:tr>
      <w:tr w:rsidR="00B543F6" w:rsidRPr="00361AC4" w14:paraId="238C5CED" w14:textId="77777777" w:rsidTr="00D53133">
        <w:tc>
          <w:tcPr>
            <w:tcW w:w="478" w:type="pct"/>
            <w:shd w:val="clear" w:color="auto" w:fill="auto"/>
          </w:tcPr>
          <w:p w14:paraId="411BD936" w14:textId="77777777" w:rsidR="00B543F6" w:rsidRPr="005702CA" w:rsidRDefault="00526612" w:rsidP="00D82506">
            <w:pPr>
              <w:pStyle w:val="Tabletext"/>
            </w:pPr>
            <w:r>
              <w:t>58</w:t>
            </w:r>
          </w:p>
        </w:tc>
        <w:tc>
          <w:tcPr>
            <w:tcW w:w="4522" w:type="pct"/>
            <w:shd w:val="clear" w:color="auto" w:fill="auto"/>
          </w:tcPr>
          <w:p w14:paraId="6468CCF9" w14:textId="77777777" w:rsidR="00B543F6" w:rsidRPr="005702CA" w:rsidRDefault="00B543F6" w:rsidP="00D82506">
            <w:pPr>
              <w:pStyle w:val="Tabletext"/>
            </w:pPr>
            <w:r w:rsidRPr="005702CA">
              <w:t>Euronext Paris Derivatives Regulated Market by Euronext Paris S.A.</w:t>
            </w:r>
          </w:p>
        </w:tc>
      </w:tr>
      <w:tr w:rsidR="00B543F6" w:rsidRPr="00361AC4" w14:paraId="03809853" w14:textId="77777777" w:rsidTr="00D53133">
        <w:tc>
          <w:tcPr>
            <w:tcW w:w="478" w:type="pct"/>
            <w:shd w:val="clear" w:color="auto" w:fill="auto"/>
          </w:tcPr>
          <w:p w14:paraId="5AD5BC39" w14:textId="77777777" w:rsidR="00B543F6" w:rsidRPr="005702CA" w:rsidRDefault="00455C28" w:rsidP="00D82506">
            <w:pPr>
              <w:pStyle w:val="Tabletext"/>
            </w:pPr>
            <w:r>
              <w:t>59</w:t>
            </w:r>
          </w:p>
        </w:tc>
        <w:tc>
          <w:tcPr>
            <w:tcW w:w="4522" w:type="pct"/>
            <w:shd w:val="clear" w:color="auto" w:fill="auto"/>
          </w:tcPr>
          <w:p w14:paraId="54A2C586" w14:textId="77777777" w:rsidR="00B543F6" w:rsidRPr="005702CA" w:rsidRDefault="00B543F6" w:rsidP="00D82506">
            <w:pPr>
              <w:pStyle w:val="Tabletext"/>
            </w:pPr>
            <w:r w:rsidRPr="005702CA">
              <w:t>Euronext Paris MATIF (Marché à Terme International de France) (XMAT)</w:t>
            </w:r>
          </w:p>
        </w:tc>
      </w:tr>
      <w:tr w:rsidR="00B543F6" w:rsidRPr="00361AC4" w14:paraId="659A5450" w14:textId="77777777" w:rsidTr="00D53133">
        <w:tc>
          <w:tcPr>
            <w:tcW w:w="478" w:type="pct"/>
            <w:shd w:val="clear" w:color="auto" w:fill="auto"/>
          </w:tcPr>
          <w:p w14:paraId="7760582E" w14:textId="77777777" w:rsidR="00B543F6" w:rsidRPr="005702CA" w:rsidRDefault="00455C28" w:rsidP="00D82506">
            <w:pPr>
              <w:pStyle w:val="Tabletext"/>
            </w:pPr>
            <w:r>
              <w:t>60</w:t>
            </w:r>
          </w:p>
        </w:tc>
        <w:tc>
          <w:tcPr>
            <w:tcW w:w="4522" w:type="pct"/>
            <w:shd w:val="clear" w:color="auto" w:fill="auto"/>
          </w:tcPr>
          <w:p w14:paraId="4623C71C" w14:textId="77777777" w:rsidR="00B543F6" w:rsidRPr="005702CA" w:rsidRDefault="00B543F6" w:rsidP="00D82506">
            <w:pPr>
              <w:pStyle w:val="Tabletext"/>
            </w:pPr>
            <w:r w:rsidRPr="005702CA">
              <w:t>Euronext Paris MONEP (Marché des Options Négociables de Paris) (XMON)</w:t>
            </w:r>
          </w:p>
        </w:tc>
      </w:tr>
      <w:tr w:rsidR="00455C28" w:rsidRPr="00361AC4" w14:paraId="4AE8FF6F" w14:textId="77777777" w:rsidTr="0011159F">
        <w:tc>
          <w:tcPr>
            <w:tcW w:w="478" w:type="pct"/>
            <w:shd w:val="clear" w:color="auto" w:fill="auto"/>
          </w:tcPr>
          <w:p w14:paraId="6CA1646A" w14:textId="77777777" w:rsidR="00455C28" w:rsidRPr="005702CA" w:rsidRDefault="00455C28" w:rsidP="0011159F">
            <w:pPr>
              <w:pStyle w:val="Tabletext"/>
            </w:pPr>
            <w:r>
              <w:t>61</w:t>
            </w:r>
          </w:p>
        </w:tc>
        <w:tc>
          <w:tcPr>
            <w:tcW w:w="4522" w:type="pct"/>
            <w:shd w:val="clear" w:color="auto" w:fill="auto"/>
          </w:tcPr>
          <w:p w14:paraId="0696312B" w14:textId="77777777" w:rsidR="00455C28" w:rsidRPr="005702CA" w:rsidRDefault="00455C28" w:rsidP="0011159F">
            <w:pPr>
              <w:pStyle w:val="Tabletext"/>
            </w:pPr>
            <w:r w:rsidRPr="005702CA">
              <w:t>Euronext Paris Securities Regulated Market by Euronext Paris S.A.</w:t>
            </w:r>
          </w:p>
        </w:tc>
      </w:tr>
      <w:tr w:rsidR="00B543F6" w:rsidRPr="00361AC4" w14:paraId="4B88422E" w14:textId="77777777" w:rsidTr="00D53133">
        <w:tc>
          <w:tcPr>
            <w:tcW w:w="478" w:type="pct"/>
            <w:shd w:val="clear" w:color="auto" w:fill="auto"/>
          </w:tcPr>
          <w:p w14:paraId="679C23BB" w14:textId="77777777" w:rsidR="00B543F6" w:rsidRPr="005702CA" w:rsidRDefault="00526612" w:rsidP="00D82506">
            <w:pPr>
              <w:pStyle w:val="Tabletext"/>
            </w:pPr>
            <w:r>
              <w:t>62</w:t>
            </w:r>
          </w:p>
        </w:tc>
        <w:tc>
          <w:tcPr>
            <w:tcW w:w="4522" w:type="pct"/>
            <w:shd w:val="clear" w:color="auto" w:fill="auto"/>
          </w:tcPr>
          <w:p w14:paraId="6C13B80A" w14:textId="77777777" w:rsidR="00B543F6" w:rsidRPr="005702CA" w:rsidRDefault="00B543F6" w:rsidP="00D82506">
            <w:pPr>
              <w:pStyle w:val="Tabletext"/>
            </w:pPr>
            <w:r w:rsidRPr="005702CA">
              <w:t>European Central Counterparty N.V. (EuroCCP)</w:t>
            </w:r>
          </w:p>
        </w:tc>
      </w:tr>
      <w:tr w:rsidR="00B543F6" w:rsidRPr="00361AC4" w14:paraId="653E6BF6" w14:textId="77777777" w:rsidTr="00D53133">
        <w:tc>
          <w:tcPr>
            <w:tcW w:w="478" w:type="pct"/>
            <w:shd w:val="clear" w:color="auto" w:fill="auto"/>
          </w:tcPr>
          <w:p w14:paraId="455FC3F0" w14:textId="77777777" w:rsidR="00B543F6" w:rsidRPr="005702CA" w:rsidRDefault="00526612" w:rsidP="00D82506">
            <w:pPr>
              <w:pStyle w:val="Tabletext"/>
            </w:pPr>
            <w:r>
              <w:t>63</w:t>
            </w:r>
          </w:p>
        </w:tc>
        <w:tc>
          <w:tcPr>
            <w:tcW w:w="4522" w:type="pct"/>
            <w:shd w:val="clear" w:color="auto" w:fill="auto"/>
          </w:tcPr>
          <w:p w14:paraId="05ECB73E" w14:textId="77777777" w:rsidR="00B543F6" w:rsidRPr="005702CA" w:rsidRDefault="00B543F6" w:rsidP="00D82506">
            <w:pPr>
              <w:pStyle w:val="Tabletext"/>
            </w:pPr>
            <w:r w:rsidRPr="005702CA">
              <w:t>European Climate Exchange (ECX)</w:t>
            </w:r>
          </w:p>
        </w:tc>
      </w:tr>
      <w:tr w:rsidR="00B543F6" w:rsidRPr="00361AC4" w14:paraId="1C0F1552" w14:textId="77777777" w:rsidTr="00D53133">
        <w:tc>
          <w:tcPr>
            <w:tcW w:w="478" w:type="pct"/>
            <w:shd w:val="clear" w:color="auto" w:fill="auto"/>
          </w:tcPr>
          <w:p w14:paraId="26C09D2D" w14:textId="77777777" w:rsidR="00B543F6" w:rsidRPr="005702CA" w:rsidRDefault="00526612" w:rsidP="00D82506">
            <w:pPr>
              <w:pStyle w:val="Tabletext"/>
            </w:pPr>
            <w:r>
              <w:t>64</w:t>
            </w:r>
          </w:p>
        </w:tc>
        <w:tc>
          <w:tcPr>
            <w:tcW w:w="4522" w:type="pct"/>
            <w:shd w:val="clear" w:color="auto" w:fill="auto"/>
          </w:tcPr>
          <w:p w14:paraId="465A94E6" w14:textId="77777777" w:rsidR="00B543F6" w:rsidRPr="005702CA" w:rsidRDefault="00B543F6" w:rsidP="00D82506">
            <w:pPr>
              <w:pStyle w:val="Tabletext"/>
            </w:pPr>
            <w:r w:rsidRPr="005702CA">
              <w:t>European Commodity Clearing AG</w:t>
            </w:r>
          </w:p>
        </w:tc>
      </w:tr>
      <w:tr w:rsidR="00B543F6" w:rsidRPr="00361AC4" w14:paraId="06223E60" w14:textId="77777777" w:rsidTr="00D53133">
        <w:tc>
          <w:tcPr>
            <w:tcW w:w="478" w:type="pct"/>
            <w:shd w:val="clear" w:color="auto" w:fill="auto"/>
          </w:tcPr>
          <w:p w14:paraId="09B1B57F" w14:textId="77777777" w:rsidR="00B543F6" w:rsidRPr="005702CA" w:rsidRDefault="00526612" w:rsidP="00D82506">
            <w:pPr>
              <w:pStyle w:val="Tabletext"/>
            </w:pPr>
            <w:r>
              <w:t>65</w:t>
            </w:r>
          </w:p>
        </w:tc>
        <w:tc>
          <w:tcPr>
            <w:tcW w:w="4522" w:type="pct"/>
            <w:shd w:val="clear" w:color="auto" w:fill="auto"/>
          </w:tcPr>
          <w:p w14:paraId="018C804A" w14:textId="77777777" w:rsidR="00B543F6" w:rsidRPr="005702CA" w:rsidRDefault="00B543F6" w:rsidP="00D82506">
            <w:pPr>
              <w:pStyle w:val="Tabletext"/>
            </w:pPr>
            <w:r w:rsidRPr="005702CA">
              <w:t>European Energy Exchange (EEX)</w:t>
            </w:r>
          </w:p>
        </w:tc>
      </w:tr>
      <w:tr w:rsidR="00002F77" w:rsidRPr="00361AC4" w14:paraId="4ACB7D22" w14:textId="77777777" w:rsidTr="00002F77">
        <w:tc>
          <w:tcPr>
            <w:tcW w:w="478" w:type="pct"/>
            <w:shd w:val="clear" w:color="auto" w:fill="auto"/>
          </w:tcPr>
          <w:p w14:paraId="6ABF91C9" w14:textId="77777777" w:rsidR="00002F77" w:rsidRPr="005702CA" w:rsidRDefault="00526612" w:rsidP="00002F77">
            <w:pPr>
              <w:pStyle w:val="Tabletext"/>
            </w:pPr>
            <w:r>
              <w:t>66</w:t>
            </w:r>
          </w:p>
        </w:tc>
        <w:tc>
          <w:tcPr>
            <w:tcW w:w="4522" w:type="pct"/>
            <w:shd w:val="clear" w:color="auto" w:fill="auto"/>
          </w:tcPr>
          <w:p w14:paraId="5248B819" w14:textId="77777777" w:rsidR="00002F77" w:rsidRPr="005702CA" w:rsidRDefault="00002F77" w:rsidP="00002F77">
            <w:pPr>
              <w:pStyle w:val="Tabletext"/>
            </w:pPr>
            <w:r>
              <w:t>Financial &amp; Risk Transaction Services Ireland Limited</w:t>
            </w:r>
          </w:p>
        </w:tc>
      </w:tr>
      <w:tr w:rsidR="00B543F6" w:rsidRPr="00361AC4" w14:paraId="7879E142" w14:textId="77777777" w:rsidTr="00D53133">
        <w:tc>
          <w:tcPr>
            <w:tcW w:w="478" w:type="pct"/>
            <w:shd w:val="clear" w:color="auto" w:fill="auto"/>
          </w:tcPr>
          <w:p w14:paraId="7B8C6A53" w14:textId="77777777" w:rsidR="00B543F6" w:rsidRPr="005702CA" w:rsidRDefault="00526612" w:rsidP="00D82506">
            <w:pPr>
              <w:pStyle w:val="Tabletext"/>
            </w:pPr>
            <w:r>
              <w:t>67</w:t>
            </w:r>
          </w:p>
        </w:tc>
        <w:tc>
          <w:tcPr>
            <w:tcW w:w="4522" w:type="pct"/>
            <w:shd w:val="clear" w:color="auto" w:fill="auto"/>
          </w:tcPr>
          <w:p w14:paraId="54D7DE59" w14:textId="77777777" w:rsidR="00B543F6" w:rsidRPr="005702CA" w:rsidRDefault="00B543F6" w:rsidP="00D82506">
            <w:pPr>
              <w:pStyle w:val="Tabletext"/>
            </w:pPr>
            <w:r w:rsidRPr="005702CA">
              <w:t>ForexClear operated by LCH</w:t>
            </w:r>
            <w:r w:rsidR="000660E8">
              <w:t xml:space="preserve"> </w:t>
            </w:r>
            <w:r w:rsidR="00C6145E">
              <w:t>Ltd</w:t>
            </w:r>
          </w:p>
        </w:tc>
      </w:tr>
      <w:tr w:rsidR="00B543F6" w:rsidRPr="00361AC4" w14:paraId="5E48E849" w14:textId="77777777" w:rsidTr="00D53133">
        <w:tc>
          <w:tcPr>
            <w:tcW w:w="478" w:type="pct"/>
            <w:shd w:val="clear" w:color="auto" w:fill="auto"/>
          </w:tcPr>
          <w:p w14:paraId="76C39483" w14:textId="77777777" w:rsidR="00B543F6" w:rsidRPr="005702CA" w:rsidRDefault="00526612" w:rsidP="00D82506">
            <w:pPr>
              <w:pStyle w:val="Tabletext"/>
            </w:pPr>
            <w:r>
              <w:t>68</w:t>
            </w:r>
          </w:p>
        </w:tc>
        <w:tc>
          <w:tcPr>
            <w:tcW w:w="4522" w:type="pct"/>
            <w:shd w:val="clear" w:color="auto" w:fill="auto"/>
          </w:tcPr>
          <w:p w14:paraId="48256963" w14:textId="77777777" w:rsidR="00B543F6" w:rsidRPr="005702CA" w:rsidRDefault="00B543F6" w:rsidP="00D82506">
            <w:pPr>
              <w:pStyle w:val="Tabletext"/>
            </w:pPr>
            <w:r w:rsidRPr="005702CA">
              <w:t>HKFE Clearing Corporation Limited (HKCC)</w:t>
            </w:r>
          </w:p>
        </w:tc>
      </w:tr>
      <w:tr w:rsidR="00B543F6" w:rsidRPr="00361AC4" w14:paraId="7B25C857" w14:textId="77777777" w:rsidTr="00D53133">
        <w:tc>
          <w:tcPr>
            <w:tcW w:w="478" w:type="pct"/>
            <w:shd w:val="clear" w:color="auto" w:fill="auto"/>
          </w:tcPr>
          <w:p w14:paraId="2E0412E2" w14:textId="77777777" w:rsidR="00B543F6" w:rsidRPr="005702CA" w:rsidRDefault="00526612" w:rsidP="00D82506">
            <w:pPr>
              <w:pStyle w:val="Tabletext"/>
            </w:pPr>
            <w:r>
              <w:lastRenderedPageBreak/>
              <w:t>69</w:t>
            </w:r>
          </w:p>
        </w:tc>
        <w:tc>
          <w:tcPr>
            <w:tcW w:w="4522" w:type="pct"/>
            <w:shd w:val="clear" w:color="auto" w:fill="auto"/>
          </w:tcPr>
          <w:p w14:paraId="6D554430" w14:textId="77777777" w:rsidR="00B543F6" w:rsidRPr="005702CA" w:rsidRDefault="00B543F6" w:rsidP="00D82506">
            <w:pPr>
              <w:pStyle w:val="Tabletext"/>
            </w:pPr>
            <w:r w:rsidRPr="005702CA">
              <w:t>Hong Kong Exchange and Clearing Ltd (HKEX)</w:t>
            </w:r>
          </w:p>
        </w:tc>
      </w:tr>
      <w:tr w:rsidR="00B543F6" w:rsidRPr="00361AC4" w14:paraId="45F33878" w14:textId="77777777" w:rsidTr="00D53133">
        <w:tc>
          <w:tcPr>
            <w:tcW w:w="478" w:type="pct"/>
            <w:shd w:val="clear" w:color="auto" w:fill="auto"/>
          </w:tcPr>
          <w:p w14:paraId="7383A8D0" w14:textId="77777777" w:rsidR="00B543F6" w:rsidRPr="005702CA" w:rsidRDefault="00526612" w:rsidP="00D82506">
            <w:pPr>
              <w:pStyle w:val="Tabletext"/>
            </w:pPr>
            <w:r>
              <w:t>70</w:t>
            </w:r>
          </w:p>
        </w:tc>
        <w:tc>
          <w:tcPr>
            <w:tcW w:w="4522" w:type="pct"/>
            <w:shd w:val="clear" w:color="auto" w:fill="auto"/>
          </w:tcPr>
          <w:p w14:paraId="1CF03378" w14:textId="77777777" w:rsidR="00B543F6" w:rsidRPr="005702CA" w:rsidRDefault="00B543F6" w:rsidP="00D82506">
            <w:pPr>
              <w:pStyle w:val="Tabletext"/>
            </w:pPr>
            <w:r w:rsidRPr="005702CA">
              <w:t>Hong Kong Futures Exchange Limited (HKFE)</w:t>
            </w:r>
          </w:p>
        </w:tc>
      </w:tr>
      <w:tr w:rsidR="00B543F6" w:rsidRPr="00361AC4" w14:paraId="088B6072" w14:textId="77777777" w:rsidTr="00D53133">
        <w:tc>
          <w:tcPr>
            <w:tcW w:w="478" w:type="pct"/>
            <w:shd w:val="clear" w:color="auto" w:fill="auto"/>
          </w:tcPr>
          <w:p w14:paraId="1ECA1E13" w14:textId="77777777" w:rsidR="00B543F6" w:rsidRPr="005702CA" w:rsidRDefault="00526612" w:rsidP="00D82506">
            <w:pPr>
              <w:pStyle w:val="Tabletext"/>
            </w:pPr>
            <w:r>
              <w:t>71</w:t>
            </w:r>
          </w:p>
        </w:tc>
        <w:tc>
          <w:tcPr>
            <w:tcW w:w="4522" w:type="pct"/>
            <w:shd w:val="clear" w:color="auto" w:fill="auto"/>
          </w:tcPr>
          <w:p w14:paraId="4AF08782" w14:textId="77777777" w:rsidR="00B543F6" w:rsidRPr="005702CA" w:rsidRDefault="00B543F6" w:rsidP="00D82506">
            <w:pPr>
              <w:pStyle w:val="Tabletext"/>
            </w:pPr>
            <w:r w:rsidRPr="005702CA">
              <w:t>Hong Kong Securities Clearing Company Limited (HKSCC)</w:t>
            </w:r>
          </w:p>
        </w:tc>
      </w:tr>
      <w:tr w:rsidR="00B543F6" w:rsidRPr="00361AC4" w14:paraId="6E73F4F2" w14:textId="77777777" w:rsidTr="00D53133">
        <w:tc>
          <w:tcPr>
            <w:tcW w:w="478" w:type="pct"/>
            <w:shd w:val="clear" w:color="auto" w:fill="auto"/>
          </w:tcPr>
          <w:p w14:paraId="65FF9D33" w14:textId="77777777" w:rsidR="00B543F6" w:rsidRPr="005702CA" w:rsidRDefault="00526612" w:rsidP="00D82506">
            <w:pPr>
              <w:pStyle w:val="Tabletext"/>
            </w:pPr>
            <w:r>
              <w:t>72</w:t>
            </w:r>
          </w:p>
        </w:tc>
        <w:tc>
          <w:tcPr>
            <w:tcW w:w="4522" w:type="pct"/>
            <w:shd w:val="clear" w:color="auto" w:fill="auto"/>
          </w:tcPr>
          <w:p w14:paraId="1A3E98AD" w14:textId="77777777" w:rsidR="00B543F6" w:rsidRPr="005702CA" w:rsidRDefault="00B543F6" w:rsidP="00D82506">
            <w:pPr>
              <w:pStyle w:val="Tabletext"/>
            </w:pPr>
            <w:r w:rsidRPr="005702CA">
              <w:t>Hungarian Power Exchange operated by HUPX Ltd</w:t>
            </w:r>
          </w:p>
        </w:tc>
      </w:tr>
      <w:tr w:rsidR="00002F77" w:rsidRPr="00361AC4" w14:paraId="1BB9FAC1" w14:textId="77777777" w:rsidTr="00002F77">
        <w:tc>
          <w:tcPr>
            <w:tcW w:w="478" w:type="pct"/>
            <w:shd w:val="clear" w:color="auto" w:fill="auto"/>
          </w:tcPr>
          <w:p w14:paraId="7188C86B" w14:textId="77777777" w:rsidR="00002F77" w:rsidRPr="005702CA" w:rsidRDefault="00526612" w:rsidP="00002F77">
            <w:pPr>
              <w:pStyle w:val="Tabletext"/>
            </w:pPr>
            <w:r>
              <w:t>73</w:t>
            </w:r>
          </w:p>
        </w:tc>
        <w:tc>
          <w:tcPr>
            <w:tcW w:w="4522" w:type="pct"/>
            <w:shd w:val="clear" w:color="auto" w:fill="auto"/>
          </w:tcPr>
          <w:p w14:paraId="277DAF47" w14:textId="77777777" w:rsidR="00002F77" w:rsidRPr="005702CA" w:rsidRDefault="00002F77" w:rsidP="00002F77">
            <w:pPr>
              <w:pStyle w:val="Tabletext"/>
            </w:pPr>
            <w:r w:rsidRPr="005702CA">
              <w:t xml:space="preserve">ICAP </w:t>
            </w:r>
            <w:r>
              <w:t>Brokers Pty Ltd</w:t>
            </w:r>
          </w:p>
        </w:tc>
      </w:tr>
      <w:tr w:rsidR="00B543F6" w:rsidRPr="00361AC4" w14:paraId="4848A38E" w14:textId="77777777" w:rsidTr="00D53133">
        <w:tc>
          <w:tcPr>
            <w:tcW w:w="478" w:type="pct"/>
            <w:shd w:val="clear" w:color="auto" w:fill="auto"/>
          </w:tcPr>
          <w:p w14:paraId="48D58E49" w14:textId="77777777" w:rsidR="00B543F6" w:rsidRPr="005702CA" w:rsidRDefault="00526612" w:rsidP="00D82506">
            <w:pPr>
              <w:pStyle w:val="Tabletext"/>
            </w:pPr>
            <w:r>
              <w:t>74</w:t>
            </w:r>
          </w:p>
        </w:tc>
        <w:tc>
          <w:tcPr>
            <w:tcW w:w="4522" w:type="pct"/>
            <w:shd w:val="clear" w:color="auto" w:fill="auto"/>
          </w:tcPr>
          <w:p w14:paraId="43C06DFF" w14:textId="77777777" w:rsidR="00B543F6" w:rsidRPr="005702CA" w:rsidRDefault="00B543F6" w:rsidP="00D82506">
            <w:pPr>
              <w:pStyle w:val="Tabletext"/>
            </w:pPr>
            <w:r w:rsidRPr="005702CA">
              <w:t>ICAP Securities and Derivatives Exchange (ISDX)</w:t>
            </w:r>
          </w:p>
        </w:tc>
      </w:tr>
      <w:tr w:rsidR="00B543F6" w:rsidRPr="00361AC4" w14:paraId="67011AF6" w14:textId="77777777" w:rsidTr="00D53133">
        <w:tc>
          <w:tcPr>
            <w:tcW w:w="478" w:type="pct"/>
            <w:shd w:val="clear" w:color="auto" w:fill="auto"/>
          </w:tcPr>
          <w:p w14:paraId="25B76936" w14:textId="77777777" w:rsidR="00B543F6" w:rsidRPr="005702CA" w:rsidRDefault="00526612" w:rsidP="00D82506">
            <w:pPr>
              <w:pStyle w:val="Tabletext"/>
            </w:pPr>
            <w:r>
              <w:t>75</w:t>
            </w:r>
          </w:p>
        </w:tc>
        <w:tc>
          <w:tcPr>
            <w:tcW w:w="4522" w:type="pct"/>
            <w:shd w:val="clear" w:color="auto" w:fill="auto"/>
          </w:tcPr>
          <w:p w14:paraId="084C024E" w14:textId="77777777" w:rsidR="00B543F6" w:rsidRPr="005702CA" w:rsidRDefault="00B543F6" w:rsidP="00D82506">
            <w:pPr>
              <w:pStyle w:val="Tabletext"/>
            </w:pPr>
            <w:r w:rsidRPr="005702CA">
              <w:t>ICE Clear Credit LLC</w:t>
            </w:r>
          </w:p>
        </w:tc>
      </w:tr>
      <w:tr w:rsidR="00B543F6" w:rsidRPr="00361AC4" w14:paraId="0D9968F6" w14:textId="77777777" w:rsidTr="00D53133">
        <w:tc>
          <w:tcPr>
            <w:tcW w:w="478" w:type="pct"/>
            <w:shd w:val="clear" w:color="auto" w:fill="auto"/>
          </w:tcPr>
          <w:p w14:paraId="30744B26" w14:textId="77777777" w:rsidR="00B543F6" w:rsidRPr="005702CA" w:rsidRDefault="00526612" w:rsidP="00D82506">
            <w:pPr>
              <w:pStyle w:val="Tabletext"/>
            </w:pPr>
            <w:r>
              <w:t>76</w:t>
            </w:r>
          </w:p>
        </w:tc>
        <w:tc>
          <w:tcPr>
            <w:tcW w:w="4522" w:type="pct"/>
            <w:shd w:val="clear" w:color="auto" w:fill="auto"/>
          </w:tcPr>
          <w:p w14:paraId="7873CD57" w14:textId="77777777" w:rsidR="00B543F6" w:rsidRPr="005702CA" w:rsidRDefault="00B543F6" w:rsidP="00D82506">
            <w:pPr>
              <w:pStyle w:val="Tabletext"/>
            </w:pPr>
            <w:r w:rsidRPr="005702CA">
              <w:t>ICE Clear Europe Limited</w:t>
            </w:r>
          </w:p>
        </w:tc>
      </w:tr>
      <w:tr w:rsidR="00B543F6" w:rsidRPr="00361AC4" w14:paraId="77B03F78" w14:textId="77777777" w:rsidTr="00D53133">
        <w:tc>
          <w:tcPr>
            <w:tcW w:w="478" w:type="pct"/>
            <w:shd w:val="clear" w:color="auto" w:fill="auto"/>
          </w:tcPr>
          <w:p w14:paraId="515C5DA3" w14:textId="77777777" w:rsidR="00B543F6" w:rsidRPr="005702CA" w:rsidRDefault="00526612" w:rsidP="00D82506">
            <w:pPr>
              <w:pStyle w:val="Tabletext"/>
            </w:pPr>
            <w:r>
              <w:t>77</w:t>
            </w:r>
          </w:p>
        </w:tc>
        <w:tc>
          <w:tcPr>
            <w:tcW w:w="4522" w:type="pct"/>
            <w:shd w:val="clear" w:color="auto" w:fill="auto"/>
          </w:tcPr>
          <w:p w14:paraId="5F811FDD" w14:textId="77777777" w:rsidR="00B543F6" w:rsidRPr="005702CA" w:rsidRDefault="00B543F6" w:rsidP="00D82506">
            <w:pPr>
              <w:pStyle w:val="Tabletext"/>
            </w:pPr>
            <w:r w:rsidRPr="005702CA">
              <w:t>ICE Clear Netherlands B.V.</w:t>
            </w:r>
          </w:p>
        </w:tc>
      </w:tr>
      <w:tr w:rsidR="00B543F6" w:rsidRPr="00361AC4" w14:paraId="55798EFC" w14:textId="77777777" w:rsidTr="00D53133">
        <w:tc>
          <w:tcPr>
            <w:tcW w:w="478" w:type="pct"/>
            <w:shd w:val="clear" w:color="auto" w:fill="auto"/>
          </w:tcPr>
          <w:p w14:paraId="3F7FC4CC" w14:textId="77777777" w:rsidR="00B543F6" w:rsidRPr="005702CA" w:rsidRDefault="00526612" w:rsidP="00D82506">
            <w:pPr>
              <w:pStyle w:val="Tabletext"/>
            </w:pPr>
            <w:r>
              <w:t>78</w:t>
            </w:r>
          </w:p>
        </w:tc>
        <w:tc>
          <w:tcPr>
            <w:tcW w:w="4522" w:type="pct"/>
            <w:shd w:val="clear" w:color="auto" w:fill="auto"/>
          </w:tcPr>
          <w:p w14:paraId="23AD96A9" w14:textId="77777777" w:rsidR="00B543F6" w:rsidRPr="005702CA" w:rsidRDefault="00B543F6" w:rsidP="00D82506">
            <w:pPr>
              <w:pStyle w:val="Tabletext"/>
            </w:pPr>
            <w:r w:rsidRPr="005702CA">
              <w:t>ICE Clear Singapore</w:t>
            </w:r>
          </w:p>
        </w:tc>
      </w:tr>
      <w:tr w:rsidR="00B543F6" w:rsidRPr="00361AC4" w14:paraId="26665755" w14:textId="77777777" w:rsidTr="00D53133">
        <w:tc>
          <w:tcPr>
            <w:tcW w:w="478" w:type="pct"/>
            <w:shd w:val="clear" w:color="auto" w:fill="auto"/>
          </w:tcPr>
          <w:p w14:paraId="336F3F3A" w14:textId="77777777" w:rsidR="00B543F6" w:rsidRPr="005702CA" w:rsidRDefault="00526612" w:rsidP="00D82506">
            <w:pPr>
              <w:pStyle w:val="Tabletext"/>
            </w:pPr>
            <w:r>
              <w:t>79</w:t>
            </w:r>
          </w:p>
        </w:tc>
        <w:tc>
          <w:tcPr>
            <w:tcW w:w="4522" w:type="pct"/>
            <w:shd w:val="clear" w:color="auto" w:fill="auto"/>
          </w:tcPr>
          <w:p w14:paraId="4DD95A34" w14:textId="77777777" w:rsidR="00B543F6" w:rsidRPr="005702CA" w:rsidRDefault="00B543F6" w:rsidP="00D82506">
            <w:pPr>
              <w:pStyle w:val="Tabletext"/>
            </w:pPr>
            <w:r w:rsidRPr="005702CA">
              <w:t>ICE Clear US, Inc</w:t>
            </w:r>
          </w:p>
        </w:tc>
      </w:tr>
      <w:tr w:rsidR="00B543F6" w:rsidRPr="00361AC4" w14:paraId="647286DF" w14:textId="77777777" w:rsidTr="00D53133">
        <w:tc>
          <w:tcPr>
            <w:tcW w:w="478" w:type="pct"/>
            <w:shd w:val="clear" w:color="auto" w:fill="auto"/>
          </w:tcPr>
          <w:p w14:paraId="3F311492" w14:textId="77777777" w:rsidR="00B543F6" w:rsidRPr="005702CA" w:rsidRDefault="00526612" w:rsidP="00D82506">
            <w:pPr>
              <w:pStyle w:val="Tabletext"/>
            </w:pPr>
            <w:r>
              <w:t>80</w:t>
            </w:r>
          </w:p>
        </w:tc>
        <w:tc>
          <w:tcPr>
            <w:tcW w:w="4522" w:type="pct"/>
            <w:shd w:val="clear" w:color="auto" w:fill="auto"/>
          </w:tcPr>
          <w:p w14:paraId="58EF03D2" w14:textId="77777777" w:rsidR="00B543F6" w:rsidRPr="005702CA" w:rsidRDefault="00B543F6" w:rsidP="00D82506">
            <w:pPr>
              <w:pStyle w:val="Tabletext"/>
            </w:pPr>
            <w:r w:rsidRPr="005702CA">
              <w:t xml:space="preserve">ICE Endex </w:t>
            </w:r>
            <w:r w:rsidR="000660E8">
              <w:t>Markets</w:t>
            </w:r>
            <w:r w:rsidRPr="005702CA">
              <w:t xml:space="preserve"> B.V.</w:t>
            </w:r>
          </w:p>
        </w:tc>
      </w:tr>
      <w:tr w:rsidR="00B543F6" w:rsidRPr="00361AC4" w14:paraId="7E1671BD" w14:textId="77777777" w:rsidTr="00D53133">
        <w:tc>
          <w:tcPr>
            <w:tcW w:w="478" w:type="pct"/>
            <w:shd w:val="clear" w:color="auto" w:fill="auto"/>
          </w:tcPr>
          <w:p w14:paraId="18AD1552" w14:textId="77777777" w:rsidR="00B543F6" w:rsidRPr="005702CA" w:rsidRDefault="00526612" w:rsidP="00D82506">
            <w:pPr>
              <w:pStyle w:val="Tabletext"/>
            </w:pPr>
            <w:r>
              <w:t>81</w:t>
            </w:r>
          </w:p>
        </w:tc>
        <w:tc>
          <w:tcPr>
            <w:tcW w:w="4522" w:type="pct"/>
            <w:shd w:val="clear" w:color="auto" w:fill="auto"/>
          </w:tcPr>
          <w:p w14:paraId="4317AB61" w14:textId="77777777" w:rsidR="00B543F6" w:rsidRPr="005702CA" w:rsidRDefault="00B543F6" w:rsidP="00D82506">
            <w:pPr>
              <w:pStyle w:val="Tabletext"/>
            </w:pPr>
            <w:r w:rsidRPr="005702CA">
              <w:t>ICE Futures Canada, Inc</w:t>
            </w:r>
          </w:p>
        </w:tc>
      </w:tr>
      <w:tr w:rsidR="00B543F6" w:rsidRPr="00361AC4" w14:paraId="39BD19CA" w14:textId="77777777" w:rsidTr="00D53133">
        <w:tc>
          <w:tcPr>
            <w:tcW w:w="478" w:type="pct"/>
            <w:shd w:val="clear" w:color="auto" w:fill="auto"/>
          </w:tcPr>
          <w:p w14:paraId="3E166722" w14:textId="77777777" w:rsidR="00B543F6" w:rsidRPr="005702CA" w:rsidRDefault="00526612" w:rsidP="00D82506">
            <w:pPr>
              <w:pStyle w:val="Tabletext"/>
            </w:pPr>
            <w:r>
              <w:t>82</w:t>
            </w:r>
          </w:p>
        </w:tc>
        <w:tc>
          <w:tcPr>
            <w:tcW w:w="4522" w:type="pct"/>
            <w:shd w:val="clear" w:color="auto" w:fill="auto"/>
          </w:tcPr>
          <w:p w14:paraId="7C7F4669" w14:textId="77777777" w:rsidR="00B543F6" w:rsidRPr="005702CA" w:rsidRDefault="00B543F6" w:rsidP="00D82506">
            <w:pPr>
              <w:pStyle w:val="Tabletext"/>
            </w:pPr>
            <w:r w:rsidRPr="005702CA">
              <w:t>ICE Futures Europe</w:t>
            </w:r>
          </w:p>
        </w:tc>
      </w:tr>
      <w:tr w:rsidR="00B543F6" w:rsidRPr="00361AC4" w14:paraId="56FB2E4F" w14:textId="77777777" w:rsidTr="00D53133">
        <w:tc>
          <w:tcPr>
            <w:tcW w:w="478" w:type="pct"/>
            <w:shd w:val="clear" w:color="auto" w:fill="auto"/>
          </w:tcPr>
          <w:p w14:paraId="269326BD" w14:textId="77777777" w:rsidR="00B543F6" w:rsidRPr="005702CA" w:rsidRDefault="00526612" w:rsidP="00D82506">
            <w:pPr>
              <w:pStyle w:val="Tabletext"/>
            </w:pPr>
            <w:r>
              <w:t>83</w:t>
            </w:r>
          </w:p>
        </w:tc>
        <w:tc>
          <w:tcPr>
            <w:tcW w:w="4522" w:type="pct"/>
            <w:shd w:val="clear" w:color="auto" w:fill="auto"/>
          </w:tcPr>
          <w:p w14:paraId="7641D7A8" w14:textId="77777777" w:rsidR="00B543F6" w:rsidRPr="005702CA" w:rsidRDefault="00B543F6" w:rsidP="00D82506">
            <w:pPr>
              <w:pStyle w:val="Tabletext"/>
            </w:pPr>
            <w:r w:rsidRPr="005702CA">
              <w:t>ICE Futures U.S., Inc</w:t>
            </w:r>
          </w:p>
        </w:tc>
      </w:tr>
      <w:tr w:rsidR="00B543F6" w:rsidRPr="00361AC4" w14:paraId="2C1A8882" w14:textId="77777777" w:rsidTr="00D53133">
        <w:tc>
          <w:tcPr>
            <w:tcW w:w="478" w:type="pct"/>
            <w:shd w:val="clear" w:color="auto" w:fill="auto"/>
          </w:tcPr>
          <w:p w14:paraId="7D2C6449" w14:textId="77777777" w:rsidR="00B543F6" w:rsidRPr="005702CA" w:rsidRDefault="00526612" w:rsidP="00D82506">
            <w:pPr>
              <w:pStyle w:val="Tabletext"/>
            </w:pPr>
            <w:r>
              <w:t>84</w:t>
            </w:r>
          </w:p>
        </w:tc>
        <w:tc>
          <w:tcPr>
            <w:tcW w:w="4522" w:type="pct"/>
            <w:shd w:val="clear" w:color="auto" w:fill="auto"/>
          </w:tcPr>
          <w:p w14:paraId="2B1051B0" w14:textId="77777777" w:rsidR="00B543F6" w:rsidRPr="005702CA" w:rsidRDefault="00B543F6" w:rsidP="00D82506">
            <w:pPr>
              <w:pStyle w:val="Tabletext"/>
            </w:pPr>
            <w:r w:rsidRPr="005702CA">
              <w:t>International Securities Exchange</w:t>
            </w:r>
          </w:p>
        </w:tc>
      </w:tr>
      <w:tr w:rsidR="00B543F6" w:rsidRPr="00361AC4" w14:paraId="1A946392" w14:textId="77777777" w:rsidTr="00D53133">
        <w:tc>
          <w:tcPr>
            <w:tcW w:w="478" w:type="pct"/>
            <w:shd w:val="clear" w:color="auto" w:fill="auto"/>
          </w:tcPr>
          <w:p w14:paraId="10F3A637" w14:textId="77777777" w:rsidR="00B543F6" w:rsidRPr="005702CA" w:rsidRDefault="00526612" w:rsidP="00D82506">
            <w:pPr>
              <w:pStyle w:val="Tabletext"/>
            </w:pPr>
            <w:r>
              <w:t>85</w:t>
            </w:r>
          </w:p>
        </w:tc>
        <w:tc>
          <w:tcPr>
            <w:tcW w:w="4522" w:type="pct"/>
            <w:shd w:val="clear" w:color="auto" w:fill="auto"/>
          </w:tcPr>
          <w:p w14:paraId="6E3C4E4A" w14:textId="77777777" w:rsidR="00B543F6" w:rsidRPr="005702CA" w:rsidRDefault="00B543F6" w:rsidP="00D82506">
            <w:pPr>
              <w:pStyle w:val="Tabletext"/>
            </w:pPr>
            <w:r w:rsidRPr="005702CA">
              <w:t>Italian Derivatives Market (IDEM)</w:t>
            </w:r>
          </w:p>
        </w:tc>
      </w:tr>
      <w:tr w:rsidR="00B543F6" w:rsidRPr="00361AC4" w14:paraId="1E92C348" w14:textId="77777777" w:rsidTr="00D53133">
        <w:tc>
          <w:tcPr>
            <w:tcW w:w="478" w:type="pct"/>
            <w:shd w:val="clear" w:color="auto" w:fill="auto"/>
          </w:tcPr>
          <w:p w14:paraId="49BCA717" w14:textId="77777777" w:rsidR="00B543F6" w:rsidRPr="005702CA" w:rsidRDefault="00526612" w:rsidP="00D82506">
            <w:pPr>
              <w:pStyle w:val="Tabletext"/>
            </w:pPr>
            <w:r>
              <w:t>86</w:t>
            </w:r>
          </w:p>
        </w:tc>
        <w:tc>
          <w:tcPr>
            <w:tcW w:w="4522" w:type="pct"/>
            <w:shd w:val="clear" w:color="auto" w:fill="auto"/>
          </w:tcPr>
          <w:p w14:paraId="6562E908" w14:textId="77777777" w:rsidR="00B543F6" w:rsidRPr="005702CA" w:rsidRDefault="00B543F6" w:rsidP="00D82506">
            <w:pPr>
              <w:pStyle w:val="Tabletext"/>
            </w:pPr>
            <w:r w:rsidRPr="005702CA">
              <w:t>Italian Stock Exchange operated by Borsa Italiana S.p.A</w:t>
            </w:r>
          </w:p>
        </w:tc>
      </w:tr>
      <w:tr w:rsidR="00B543F6" w:rsidRPr="00361AC4" w14:paraId="02163BDB" w14:textId="77777777" w:rsidTr="00D53133">
        <w:tc>
          <w:tcPr>
            <w:tcW w:w="478" w:type="pct"/>
            <w:shd w:val="clear" w:color="auto" w:fill="auto"/>
          </w:tcPr>
          <w:p w14:paraId="7F5A5FCB" w14:textId="77777777" w:rsidR="00B543F6" w:rsidRPr="005702CA" w:rsidRDefault="00526612" w:rsidP="00D82506">
            <w:pPr>
              <w:pStyle w:val="Tabletext"/>
            </w:pPr>
            <w:r>
              <w:t>87</w:t>
            </w:r>
          </w:p>
        </w:tc>
        <w:tc>
          <w:tcPr>
            <w:tcW w:w="4522" w:type="pct"/>
            <w:shd w:val="clear" w:color="auto" w:fill="auto"/>
          </w:tcPr>
          <w:p w14:paraId="4919E941" w14:textId="77777777" w:rsidR="00B543F6" w:rsidRPr="005702CA" w:rsidRDefault="00B543F6" w:rsidP="00D82506">
            <w:pPr>
              <w:pStyle w:val="Tabletext"/>
            </w:pPr>
            <w:r w:rsidRPr="005702CA">
              <w:t>Jakarta Futures Exchange (JFX)</w:t>
            </w:r>
          </w:p>
        </w:tc>
      </w:tr>
      <w:tr w:rsidR="00B543F6" w:rsidRPr="00361AC4" w14:paraId="69109F3F" w14:textId="77777777" w:rsidTr="00D53133">
        <w:tc>
          <w:tcPr>
            <w:tcW w:w="478" w:type="pct"/>
            <w:shd w:val="clear" w:color="auto" w:fill="auto"/>
          </w:tcPr>
          <w:p w14:paraId="2A0300D9" w14:textId="77777777" w:rsidR="00B543F6" w:rsidRPr="005702CA" w:rsidRDefault="00526612" w:rsidP="00D82506">
            <w:pPr>
              <w:pStyle w:val="Tabletext"/>
            </w:pPr>
            <w:r>
              <w:t>88</w:t>
            </w:r>
          </w:p>
        </w:tc>
        <w:tc>
          <w:tcPr>
            <w:tcW w:w="4522" w:type="pct"/>
            <w:shd w:val="clear" w:color="auto" w:fill="auto"/>
          </w:tcPr>
          <w:p w14:paraId="504458D4" w14:textId="77777777" w:rsidR="00B543F6" w:rsidRPr="005702CA" w:rsidRDefault="00B543F6" w:rsidP="00D82506">
            <w:pPr>
              <w:pStyle w:val="Tabletext"/>
            </w:pPr>
            <w:r w:rsidRPr="005702CA">
              <w:t>Japan Securities Clearing Corporation (JSCC)</w:t>
            </w:r>
          </w:p>
        </w:tc>
      </w:tr>
      <w:tr w:rsidR="00B543F6" w:rsidRPr="00361AC4" w14:paraId="653F5C96" w14:textId="77777777" w:rsidTr="00D53133">
        <w:tc>
          <w:tcPr>
            <w:tcW w:w="478" w:type="pct"/>
            <w:shd w:val="clear" w:color="auto" w:fill="auto"/>
          </w:tcPr>
          <w:p w14:paraId="3DBA12BF" w14:textId="77777777" w:rsidR="00B543F6" w:rsidRPr="005702CA" w:rsidRDefault="00526612" w:rsidP="00D82506">
            <w:pPr>
              <w:pStyle w:val="Tabletext"/>
            </w:pPr>
            <w:r>
              <w:t>89</w:t>
            </w:r>
          </w:p>
        </w:tc>
        <w:tc>
          <w:tcPr>
            <w:tcW w:w="4522" w:type="pct"/>
            <w:shd w:val="clear" w:color="auto" w:fill="auto"/>
          </w:tcPr>
          <w:p w14:paraId="266E0194" w14:textId="77777777" w:rsidR="00B543F6" w:rsidRPr="005702CA" w:rsidRDefault="00B543F6" w:rsidP="00D82506">
            <w:pPr>
              <w:pStyle w:val="Tabletext"/>
            </w:pPr>
            <w:r w:rsidRPr="005702CA">
              <w:t>Johannesburg Stock Exchange (JSE)</w:t>
            </w:r>
          </w:p>
        </w:tc>
      </w:tr>
      <w:tr w:rsidR="00B543F6" w:rsidRPr="00361AC4" w14:paraId="25DEC4EF" w14:textId="77777777" w:rsidTr="00D53133">
        <w:tc>
          <w:tcPr>
            <w:tcW w:w="478" w:type="pct"/>
            <w:shd w:val="clear" w:color="auto" w:fill="auto"/>
          </w:tcPr>
          <w:p w14:paraId="4ACFCDD1" w14:textId="77777777" w:rsidR="00B543F6" w:rsidRPr="005702CA" w:rsidRDefault="00526612" w:rsidP="00D82506">
            <w:pPr>
              <w:pStyle w:val="Tabletext"/>
            </w:pPr>
            <w:r>
              <w:t>90</w:t>
            </w:r>
          </w:p>
        </w:tc>
        <w:tc>
          <w:tcPr>
            <w:tcW w:w="4522" w:type="pct"/>
            <w:shd w:val="clear" w:color="auto" w:fill="auto"/>
          </w:tcPr>
          <w:p w14:paraId="2117B746" w14:textId="77777777" w:rsidR="00B543F6" w:rsidRPr="005702CA" w:rsidRDefault="00B543F6" w:rsidP="00D82506">
            <w:pPr>
              <w:pStyle w:val="Tabletext"/>
            </w:pPr>
            <w:r w:rsidRPr="005702CA">
              <w:t>JSE Commodity Derivatives Market</w:t>
            </w:r>
          </w:p>
        </w:tc>
      </w:tr>
      <w:tr w:rsidR="00B543F6" w:rsidRPr="00361AC4" w14:paraId="679C7AEE" w14:textId="77777777" w:rsidTr="00D53133">
        <w:tc>
          <w:tcPr>
            <w:tcW w:w="478" w:type="pct"/>
            <w:shd w:val="clear" w:color="auto" w:fill="auto"/>
          </w:tcPr>
          <w:p w14:paraId="6E35C9C1" w14:textId="77777777" w:rsidR="00B543F6" w:rsidRPr="005702CA" w:rsidRDefault="00526612" w:rsidP="00D82506">
            <w:pPr>
              <w:pStyle w:val="Tabletext"/>
            </w:pPr>
            <w:r>
              <w:t>91</w:t>
            </w:r>
          </w:p>
        </w:tc>
        <w:tc>
          <w:tcPr>
            <w:tcW w:w="4522" w:type="pct"/>
            <w:shd w:val="clear" w:color="auto" w:fill="auto"/>
          </w:tcPr>
          <w:p w14:paraId="2089F584" w14:textId="77777777" w:rsidR="00B543F6" w:rsidRPr="004D36C7" w:rsidRDefault="00B543F6" w:rsidP="00D82506">
            <w:pPr>
              <w:pStyle w:val="Tabletext"/>
            </w:pPr>
            <w:r w:rsidRPr="005702CA">
              <w:t>KDPW_CCP S.A.</w:t>
            </w:r>
          </w:p>
        </w:tc>
      </w:tr>
      <w:tr w:rsidR="00B543F6" w:rsidRPr="00361AC4" w14:paraId="122555C5" w14:textId="77777777" w:rsidTr="00D53133">
        <w:tc>
          <w:tcPr>
            <w:tcW w:w="478" w:type="pct"/>
            <w:shd w:val="clear" w:color="auto" w:fill="auto"/>
          </w:tcPr>
          <w:p w14:paraId="7924DC37" w14:textId="77777777" w:rsidR="00B543F6" w:rsidRPr="005702CA" w:rsidRDefault="00526612" w:rsidP="00D82506">
            <w:pPr>
              <w:pStyle w:val="Tabletext"/>
            </w:pPr>
            <w:r>
              <w:t>92</w:t>
            </w:r>
          </w:p>
        </w:tc>
        <w:tc>
          <w:tcPr>
            <w:tcW w:w="4522" w:type="pct"/>
            <w:shd w:val="clear" w:color="auto" w:fill="auto"/>
          </w:tcPr>
          <w:p w14:paraId="16212F6E" w14:textId="77777777" w:rsidR="00B543F6" w:rsidRPr="005702CA" w:rsidRDefault="00B543F6" w:rsidP="00D82506">
            <w:pPr>
              <w:pStyle w:val="Tabletext"/>
            </w:pPr>
            <w:r w:rsidRPr="005702CA">
              <w:t>Keler CCP</w:t>
            </w:r>
          </w:p>
        </w:tc>
      </w:tr>
      <w:tr w:rsidR="00B543F6" w:rsidRPr="00361AC4" w14:paraId="2207DC1B" w14:textId="77777777" w:rsidTr="00D53133">
        <w:tc>
          <w:tcPr>
            <w:tcW w:w="478" w:type="pct"/>
            <w:shd w:val="clear" w:color="auto" w:fill="auto"/>
          </w:tcPr>
          <w:p w14:paraId="3D5832FE" w14:textId="77777777" w:rsidR="00B543F6" w:rsidRPr="005702CA" w:rsidRDefault="00526612" w:rsidP="00D82506">
            <w:pPr>
              <w:pStyle w:val="Tabletext"/>
            </w:pPr>
            <w:r>
              <w:t>93</w:t>
            </w:r>
          </w:p>
        </w:tc>
        <w:tc>
          <w:tcPr>
            <w:tcW w:w="4522" w:type="pct"/>
            <w:shd w:val="clear" w:color="auto" w:fill="auto"/>
          </w:tcPr>
          <w:p w14:paraId="7BA91E99" w14:textId="77777777" w:rsidR="00B543F6" w:rsidRPr="005702CA" w:rsidRDefault="00B543F6" w:rsidP="00D82506">
            <w:pPr>
              <w:pStyle w:val="Tabletext"/>
            </w:pPr>
            <w:r w:rsidRPr="005702CA">
              <w:t>KOSPI Market operated by the Korea Exchange</w:t>
            </w:r>
          </w:p>
        </w:tc>
      </w:tr>
      <w:tr w:rsidR="00B543F6" w:rsidRPr="00361AC4" w14:paraId="631800D0" w14:textId="77777777" w:rsidTr="00D53133">
        <w:tc>
          <w:tcPr>
            <w:tcW w:w="478" w:type="pct"/>
            <w:shd w:val="clear" w:color="auto" w:fill="auto"/>
          </w:tcPr>
          <w:p w14:paraId="2293A97D" w14:textId="77777777" w:rsidR="00B543F6" w:rsidRPr="005702CA" w:rsidRDefault="00526612" w:rsidP="00D82506">
            <w:pPr>
              <w:pStyle w:val="Tabletext"/>
            </w:pPr>
            <w:r>
              <w:t>94</w:t>
            </w:r>
          </w:p>
        </w:tc>
        <w:tc>
          <w:tcPr>
            <w:tcW w:w="4522" w:type="pct"/>
            <w:shd w:val="clear" w:color="auto" w:fill="auto"/>
          </w:tcPr>
          <w:p w14:paraId="15D9E44C" w14:textId="77777777" w:rsidR="00B543F6" w:rsidRPr="005702CA" w:rsidRDefault="00B543F6" w:rsidP="00D82506">
            <w:pPr>
              <w:pStyle w:val="Tabletext"/>
            </w:pPr>
            <w:r w:rsidRPr="005702CA">
              <w:t>LME Clear Limited</w:t>
            </w:r>
          </w:p>
        </w:tc>
      </w:tr>
      <w:tr w:rsidR="00DE6407" w:rsidRPr="00361AC4" w14:paraId="7CE2DDD4" w14:textId="77777777" w:rsidTr="0069065C">
        <w:tc>
          <w:tcPr>
            <w:tcW w:w="478" w:type="pct"/>
            <w:shd w:val="clear" w:color="auto" w:fill="auto"/>
          </w:tcPr>
          <w:p w14:paraId="2AE41729" w14:textId="77777777" w:rsidR="00DE6407" w:rsidRPr="005702CA" w:rsidRDefault="00526612" w:rsidP="0069065C">
            <w:pPr>
              <w:pStyle w:val="Tabletext"/>
            </w:pPr>
            <w:r>
              <w:t>95</w:t>
            </w:r>
          </w:p>
        </w:tc>
        <w:tc>
          <w:tcPr>
            <w:tcW w:w="4522" w:type="pct"/>
            <w:shd w:val="clear" w:color="auto" w:fill="auto"/>
          </w:tcPr>
          <w:p w14:paraId="0B595371" w14:textId="77777777" w:rsidR="00DE6407" w:rsidRPr="005702CA" w:rsidRDefault="00DE6407" w:rsidP="0069065C">
            <w:pPr>
              <w:pStyle w:val="Tabletext"/>
            </w:pPr>
            <w:r>
              <w:t>MarketAxess Europe Limited</w:t>
            </w:r>
          </w:p>
        </w:tc>
      </w:tr>
      <w:tr w:rsidR="00DE6407" w:rsidRPr="00361AC4" w14:paraId="601D6A0E" w14:textId="77777777" w:rsidTr="0069065C">
        <w:tc>
          <w:tcPr>
            <w:tcW w:w="478" w:type="pct"/>
            <w:shd w:val="clear" w:color="auto" w:fill="auto"/>
          </w:tcPr>
          <w:p w14:paraId="26650EAB" w14:textId="77777777" w:rsidR="00DE6407" w:rsidRPr="005702CA" w:rsidRDefault="00526612" w:rsidP="0069065C">
            <w:pPr>
              <w:pStyle w:val="Tabletext"/>
            </w:pPr>
            <w:r>
              <w:t>96</w:t>
            </w:r>
          </w:p>
        </w:tc>
        <w:tc>
          <w:tcPr>
            <w:tcW w:w="4522" w:type="pct"/>
            <w:shd w:val="clear" w:color="auto" w:fill="auto"/>
          </w:tcPr>
          <w:p w14:paraId="0DF08B51" w14:textId="77777777" w:rsidR="00DE6407" w:rsidRPr="005702CA" w:rsidRDefault="00DE6407" w:rsidP="0069065C">
            <w:pPr>
              <w:pStyle w:val="Tabletext"/>
            </w:pPr>
            <w:r>
              <w:t>MarketAxess Singapore Pte Limited</w:t>
            </w:r>
          </w:p>
        </w:tc>
      </w:tr>
      <w:tr w:rsidR="00B543F6" w:rsidRPr="00361AC4" w14:paraId="3A71A7A8" w14:textId="77777777" w:rsidTr="00D53133">
        <w:tc>
          <w:tcPr>
            <w:tcW w:w="478" w:type="pct"/>
            <w:shd w:val="clear" w:color="auto" w:fill="auto"/>
          </w:tcPr>
          <w:p w14:paraId="637A8DCD" w14:textId="77777777" w:rsidR="00B543F6" w:rsidRPr="005702CA" w:rsidRDefault="00526612" w:rsidP="00D82506">
            <w:pPr>
              <w:pStyle w:val="Tabletext"/>
            </w:pPr>
            <w:r>
              <w:t>97</w:t>
            </w:r>
          </w:p>
        </w:tc>
        <w:tc>
          <w:tcPr>
            <w:tcW w:w="4522" w:type="pct"/>
            <w:shd w:val="clear" w:color="auto" w:fill="auto"/>
          </w:tcPr>
          <w:p w14:paraId="6F9ECED5" w14:textId="77777777" w:rsidR="00B543F6" w:rsidRPr="005702CA" w:rsidRDefault="00B543F6" w:rsidP="00D82506">
            <w:pPr>
              <w:pStyle w:val="Tabletext"/>
            </w:pPr>
            <w:r w:rsidRPr="005702CA">
              <w:t>Mercado Español de Futuros Financieros</w:t>
            </w:r>
          </w:p>
        </w:tc>
      </w:tr>
      <w:tr w:rsidR="00B543F6" w:rsidRPr="00361AC4" w14:paraId="5C936F3E" w14:textId="77777777" w:rsidTr="00D53133">
        <w:tc>
          <w:tcPr>
            <w:tcW w:w="478" w:type="pct"/>
            <w:shd w:val="clear" w:color="auto" w:fill="auto"/>
          </w:tcPr>
          <w:p w14:paraId="3539AFA0" w14:textId="77777777" w:rsidR="00B543F6" w:rsidRPr="005702CA" w:rsidRDefault="00526612" w:rsidP="00D82506">
            <w:pPr>
              <w:pStyle w:val="Tabletext"/>
            </w:pPr>
            <w:r>
              <w:t>98</w:t>
            </w:r>
          </w:p>
        </w:tc>
        <w:tc>
          <w:tcPr>
            <w:tcW w:w="4522" w:type="pct"/>
            <w:shd w:val="clear" w:color="auto" w:fill="auto"/>
          </w:tcPr>
          <w:p w14:paraId="01134D91" w14:textId="77777777" w:rsidR="00B543F6" w:rsidRPr="005702CA" w:rsidRDefault="00B543F6" w:rsidP="00D82506">
            <w:pPr>
              <w:pStyle w:val="Tabletext"/>
            </w:pPr>
            <w:r w:rsidRPr="005702CA">
              <w:t>Mexican Derivatives Exchange (MexDer)</w:t>
            </w:r>
          </w:p>
        </w:tc>
      </w:tr>
      <w:tr w:rsidR="00B543F6" w:rsidRPr="00361AC4" w14:paraId="0CB3597A" w14:textId="77777777" w:rsidTr="00D53133">
        <w:tc>
          <w:tcPr>
            <w:tcW w:w="478" w:type="pct"/>
            <w:shd w:val="clear" w:color="auto" w:fill="auto"/>
          </w:tcPr>
          <w:p w14:paraId="1F1F86E0" w14:textId="77777777" w:rsidR="00B543F6" w:rsidRPr="005702CA" w:rsidRDefault="00526612" w:rsidP="00D82506">
            <w:pPr>
              <w:pStyle w:val="Tabletext"/>
            </w:pPr>
            <w:r>
              <w:t>99</w:t>
            </w:r>
          </w:p>
        </w:tc>
        <w:tc>
          <w:tcPr>
            <w:tcW w:w="4522" w:type="pct"/>
            <w:shd w:val="clear" w:color="auto" w:fill="auto"/>
          </w:tcPr>
          <w:p w14:paraId="17860D27" w14:textId="77777777" w:rsidR="00B543F6" w:rsidRPr="005702CA" w:rsidRDefault="00B543F6" w:rsidP="00D82506">
            <w:pPr>
              <w:pStyle w:val="Tabletext"/>
            </w:pPr>
            <w:r w:rsidRPr="005702CA">
              <w:t>Minneapolis Grain Exchange, Inc.</w:t>
            </w:r>
          </w:p>
        </w:tc>
      </w:tr>
      <w:tr w:rsidR="00B543F6" w:rsidRPr="00361AC4" w14:paraId="082C9332" w14:textId="77777777" w:rsidTr="00D53133">
        <w:tc>
          <w:tcPr>
            <w:tcW w:w="478" w:type="pct"/>
            <w:shd w:val="clear" w:color="auto" w:fill="auto"/>
          </w:tcPr>
          <w:p w14:paraId="577C5BA9" w14:textId="77777777" w:rsidR="00B543F6" w:rsidRPr="005702CA" w:rsidRDefault="00526612" w:rsidP="00D82506">
            <w:pPr>
              <w:pStyle w:val="Tabletext"/>
            </w:pPr>
            <w:r>
              <w:t>100</w:t>
            </w:r>
          </w:p>
        </w:tc>
        <w:tc>
          <w:tcPr>
            <w:tcW w:w="4522" w:type="pct"/>
            <w:shd w:val="clear" w:color="auto" w:fill="auto"/>
          </w:tcPr>
          <w:p w14:paraId="58D54107" w14:textId="77777777" w:rsidR="00B543F6" w:rsidRPr="005702CA" w:rsidRDefault="00B543F6" w:rsidP="00D82506">
            <w:pPr>
              <w:pStyle w:val="Tabletext"/>
            </w:pPr>
            <w:r w:rsidRPr="005702CA">
              <w:t>Montréal Climate Exchange (MCex)</w:t>
            </w:r>
          </w:p>
        </w:tc>
      </w:tr>
      <w:tr w:rsidR="00B543F6" w:rsidRPr="00361AC4" w14:paraId="5F5C774C" w14:textId="77777777" w:rsidTr="00D53133">
        <w:tc>
          <w:tcPr>
            <w:tcW w:w="478" w:type="pct"/>
            <w:shd w:val="clear" w:color="auto" w:fill="auto"/>
          </w:tcPr>
          <w:p w14:paraId="31179CFD" w14:textId="77777777" w:rsidR="00B543F6" w:rsidRPr="005702CA" w:rsidRDefault="00526612" w:rsidP="00D82506">
            <w:pPr>
              <w:pStyle w:val="Tabletext"/>
            </w:pPr>
            <w:r>
              <w:t>101</w:t>
            </w:r>
          </w:p>
        </w:tc>
        <w:tc>
          <w:tcPr>
            <w:tcW w:w="4522" w:type="pct"/>
            <w:shd w:val="clear" w:color="auto" w:fill="auto"/>
          </w:tcPr>
          <w:p w14:paraId="71EE55BF" w14:textId="77777777" w:rsidR="00B543F6" w:rsidRPr="005702CA" w:rsidRDefault="00B543F6" w:rsidP="00D82506">
            <w:pPr>
              <w:pStyle w:val="Tabletext"/>
            </w:pPr>
            <w:r w:rsidRPr="005702CA">
              <w:t>NASDAQ BX, Inc.</w:t>
            </w:r>
          </w:p>
        </w:tc>
      </w:tr>
      <w:tr w:rsidR="00B543F6" w:rsidRPr="00361AC4" w14:paraId="5D364772" w14:textId="77777777" w:rsidTr="00D53133">
        <w:tc>
          <w:tcPr>
            <w:tcW w:w="478" w:type="pct"/>
            <w:shd w:val="clear" w:color="auto" w:fill="auto"/>
          </w:tcPr>
          <w:p w14:paraId="795982A3" w14:textId="77777777" w:rsidR="00B543F6" w:rsidRPr="005702CA" w:rsidRDefault="00526612" w:rsidP="00D82506">
            <w:pPr>
              <w:pStyle w:val="Tabletext"/>
            </w:pPr>
            <w:r>
              <w:t>102</w:t>
            </w:r>
          </w:p>
        </w:tc>
        <w:tc>
          <w:tcPr>
            <w:tcW w:w="4522" w:type="pct"/>
            <w:shd w:val="clear" w:color="auto" w:fill="auto"/>
          </w:tcPr>
          <w:p w14:paraId="79F593DC" w14:textId="77777777" w:rsidR="00B543F6" w:rsidRPr="005702CA" w:rsidRDefault="00B543F6" w:rsidP="00D82506">
            <w:pPr>
              <w:pStyle w:val="Tabletext"/>
            </w:pPr>
            <w:r w:rsidRPr="005702CA">
              <w:t>NASDAQ Commodities operated by NASDAQ Oslo ASA</w:t>
            </w:r>
          </w:p>
        </w:tc>
      </w:tr>
      <w:tr w:rsidR="00B543F6" w:rsidRPr="00361AC4" w14:paraId="6601810A" w14:textId="77777777" w:rsidTr="00D53133">
        <w:tc>
          <w:tcPr>
            <w:tcW w:w="478" w:type="pct"/>
            <w:shd w:val="clear" w:color="auto" w:fill="auto"/>
          </w:tcPr>
          <w:p w14:paraId="065FC93E" w14:textId="77777777" w:rsidR="00B543F6" w:rsidRPr="005702CA" w:rsidRDefault="00526612" w:rsidP="00D82506">
            <w:pPr>
              <w:pStyle w:val="Tabletext"/>
            </w:pPr>
            <w:r>
              <w:t>103</w:t>
            </w:r>
          </w:p>
        </w:tc>
        <w:tc>
          <w:tcPr>
            <w:tcW w:w="4522" w:type="pct"/>
            <w:shd w:val="clear" w:color="auto" w:fill="auto"/>
          </w:tcPr>
          <w:p w14:paraId="23B8076C" w14:textId="77777777" w:rsidR="00B543F6" w:rsidRPr="005702CA" w:rsidRDefault="00B543F6" w:rsidP="00D82506">
            <w:pPr>
              <w:pStyle w:val="Tabletext"/>
            </w:pPr>
            <w:r w:rsidRPr="005702CA">
              <w:t>NASDAQ Copenhagen A/S</w:t>
            </w:r>
          </w:p>
        </w:tc>
      </w:tr>
      <w:tr w:rsidR="00B543F6" w:rsidRPr="00361AC4" w14:paraId="39D56478" w14:textId="77777777" w:rsidTr="00D53133">
        <w:tc>
          <w:tcPr>
            <w:tcW w:w="478" w:type="pct"/>
            <w:shd w:val="clear" w:color="auto" w:fill="auto"/>
          </w:tcPr>
          <w:p w14:paraId="62C04F6C" w14:textId="77777777" w:rsidR="00B543F6" w:rsidRPr="005702CA" w:rsidRDefault="00526612" w:rsidP="00D82506">
            <w:pPr>
              <w:pStyle w:val="Tabletext"/>
            </w:pPr>
            <w:r>
              <w:t>104</w:t>
            </w:r>
          </w:p>
        </w:tc>
        <w:tc>
          <w:tcPr>
            <w:tcW w:w="4522" w:type="pct"/>
            <w:shd w:val="clear" w:color="auto" w:fill="auto"/>
          </w:tcPr>
          <w:p w14:paraId="06B3C691" w14:textId="77777777" w:rsidR="00B543F6" w:rsidRPr="005702CA" w:rsidRDefault="00B543F6" w:rsidP="00D82506">
            <w:pPr>
              <w:pStyle w:val="Tabletext"/>
            </w:pPr>
            <w:r w:rsidRPr="005702CA">
              <w:t>NASDAQ Derivatives Markets operated by NASDAQ Stockholm AB</w:t>
            </w:r>
          </w:p>
        </w:tc>
      </w:tr>
      <w:tr w:rsidR="00B543F6" w:rsidRPr="00361AC4" w14:paraId="5D9246DE" w14:textId="77777777" w:rsidTr="00D53133">
        <w:tc>
          <w:tcPr>
            <w:tcW w:w="478" w:type="pct"/>
            <w:shd w:val="clear" w:color="auto" w:fill="auto"/>
          </w:tcPr>
          <w:p w14:paraId="4A7C277C" w14:textId="77777777" w:rsidR="00B543F6" w:rsidRPr="005702CA" w:rsidRDefault="00526612" w:rsidP="00D82506">
            <w:pPr>
              <w:pStyle w:val="Tabletext"/>
            </w:pPr>
            <w:r>
              <w:t>105</w:t>
            </w:r>
          </w:p>
        </w:tc>
        <w:tc>
          <w:tcPr>
            <w:tcW w:w="4522" w:type="pct"/>
            <w:shd w:val="clear" w:color="auto" w:fill="auto"/>
          </w:tcPr>
          <w:p w14:paraId="18039C5C" w14:textId="77777777" w:rsidR="00B543F6" w:rsidRPr="005702CA" w:rsidRDefault="00B543F6" w:rsidP="00D82506">
            <w:pPr>
              <w:pStyle w:val="Tabletext"/>
            </w:pPr>
            <w:r w:rsidRPr="005702CA">
              <w:t>NASDAQ Futures (NFX) operated by NASDAQ Futures, Inc.</w:t>
            </w:r>
          </w:p>
        </w:tc>
      </w:tr>
      <w:tr w:rsidR="00B543F6" w:rsidRPr="00361AC4" w14:paraId="7ECB0932" w14:textId="77777777" w:rsidTr="00D53133">
        <w:tc>
          <w:tcPr>
            <w:tcW w:w="478" w:type="pct"/>
            <w:shd w:val="clear" w:color="auto" w:fill="auto"/>
          </w:tcPr>
          <w:p w14:paraId="4FB59D7F" w14:textId="77777777" w:rsidR="00B543F6" w:rsidRPr="005702CA" w:rsidRDefault="00526612" w:rsidP="00D82506">
            <w:pPr>
              <w:pStyle w:val="Tabletext"/>
            </w:pPr>
            <w:r>
              <w:t>106</w:t>
            </w:r>
          </w:p>
        </w:tc>
        <w:tc>
          <w:tcPr>
            <w:tcW w:w="4522" w:type="pct"/>
            <w:shd w:val="clear" w:color="auto" w:fill="auto"/>
          </w:tcPr>
          <w:p w14:paraId="0567EBBB" w14:textId="77777777" w:rsidR="00B543F6" w:rsidRPr="005702CA" w:rsidRDefault="00B543F6" w:rsidP="00D82506">
            <w:pPr>
              <w:pStyle w:val="Tabletext"/>
            </w:pPr>
            <w:r w:rsidRPr="005702CA">
              <w:t>NASDAQ Helsinki Ltd</w:t>
            </w:r>
          </w:p>
        </w:tc>
      </w:tr>
      <w:tr w:rsidR="00B543F6" w:rsidRPr="00361AC4" w14:paraId="6841045C" w14:textId="77777777" w:rsidTr="00D53133">
        <w:tc>
          <w:tcPr>
            <w:tcW w:w="478" w:type="pct"/>
            <w:shd w:val="clear" w:color="auto" w:fill="auto"/>
          </w:tcPr>
          <w:p w14:paraId="4E2CC012" w14:textId="77777777" w:rsidR="00B543F6" w:rsidRPr="005702CA" w:rsidRDefault="00526612" w:rsidP="00D82506">
            <w:pPr>
              <w:pStyle w:val="Tabletext"/>
            </w:pPr>
            <w:r>
              <w:t>107</w:t>
            </w:r>
          </w:p>
        </w:tc>
        <w:tc>
          <w:tcPr>
            <w:tcW w:w="4522" w:type="pct"/>
            <w:shd w:val="clear" w:color="auto" w:fill="auto"/>
          </w:tcPr>
          <w:p w14:paraId="25D14496" w14:textId="77777777" w:rsidR="00B543F6" w:rsidRPr="005702CA" w:rsidRDefault="00B543F6" w:rsidP="00D82506">
            <w:pPr>
              <w:pStyle w:val="Tabletext"/>
            </w:pPr>
            <w:r w:rsidRPr="005702CA">
              <w:t>NASDAQ Iceland hf.</w:t>
            </w:r>
          </w:p>
        </w:tc>
      </w:tr>
      <w:tr w:rsidR="00B543F6" w:rsidRPr="00361AC4" w14:paraId="59373283" w14:textId="77777777" w:rsidTr="00D53133">
        <w:tc>
          <w:tcPr>
            <w:tcW w:w="478" w:type="pct"/>
            <w:shd w:val="clear" w:color="auto" w:fill="auto"/>
          </w:tcPr>
          <w:p w14:paraId="21511D68" w14:textId="77777777" w:rsidR="00B543F6" w:rsidRPr="005702CA" w:rsidRDefault="00526612" w:rsidP="00D82506">
            <w:pPr>
              <w:pStyle w:val="Tabletext"/>
            </w:pPr>
            <w:r>
              <w:lastRenderedPageBreak/>
              <w:t>108</w:t>
            </w:r>
          </w:p>
        </w:tc>
        <w:tc>
          <w:tcPr>
            <w:tcW w:w="4522" w:type="pct"/>
            <w:shd w:val="clear" w:color="auto" w:fill="auto"/>
          </w:tcPr>
          <w:p w14:paraId="3FE1EC68" w14:textId="77777777" w:rsidR="00B543F6" w:rsidRPr="005702CA" w:rsidRDefault="00B543F6" w:rsidP="00D82506">
            <w:pPr>
              <w:pStyle w:val="Tabletext"/>
            </w:pPr>
            <w:r w:rsidRPr="005702CA">
              <w:t>NASDAQ NLX Ltd</w:t>
            </w:r>
          </w:p>
        </w:tc>
      </w:tr>
      <w:tr w:rsidR="00B543F6" w:rsidRPr="00361AC4" w14:paraId="45CF205C" w14:textId="77777777" w:rsidTr="00D53133">
        <w:tc>
          <w:tcPr>
            <w:tcW w:w="478" w:type="pct"/>
            <w:shd w:val="clear" w:color="auto" w:fill="auto"/>
          </w:tcPr>
          <w:p w14:paraId="3599B889" w14:textId="77777777" w:rsidR="00B543F6" w:rsidRPr="005702CA" w:rsidRDefault="00526612" w:rsidP="00D82506">
            <w:pPr>
              <w:pStyle w:val="Tabletext"/>
            </w:pPr>
            <w:r>
              <w:t>109</w:t>
            </w:r>
          </w:p>
        </w:tc>
        <w:tc>
          <w:tcPr>
            <w:tcW w:w="4522" w:type="pct"/>
            <w:shd w:val="clear" w:color="auto" w:fill="auto"/>
          </w:tcPr>
          <w:p w14:paraId="65493DA7" w14:textId="77777777" w:rsidR="00B543F6" w:rsidRPr="005702CA" w:rsidRDefault="00B543F6" w:rsidP="00D82506">
            <w:pPr>
              <w:pStyle w:val="Tabletext"/>
            </w:pPr>
            <w:r w:rsidRPr="005702CA">
              <w:t>NASDAQ OMX Armenia</w:t>
            </w:r>
          </w:p>
        </w:tc>
      </w:tr>
      <w:tr w:rsidR="00B543F6" w:rsidRPr="00361AC4" w14:paraId="4EB788FB" w14:textId="77777777" w:rsidTr="00D53133">
        <w:tc>
          <w:tcPr>
            <w:tcW w:w="478" w:type="pct"/>
            <w:shd w:val="clear" w:color="auto" w:fill="auto"/>
          </w:tcPr>
          <w:p w14:paraId="36194A74" w14:textId="77777777" w:rsidR="00B543F6" w:rsidRPr="005702CA" w:rsidRDefault="00526612" w:rsidP="00D82506">
            <w:pPr>
              <w:pStyle w:val="Tabletext"/>
            </w:pPr>
            <w:r>
              <w:t>110</w:t>
            </w:r>
          </w:p>
        </w:tc>
        <w:tc>
          <w:tcPr>
            <w:tcW w:w="4522" w:type="pct"/>
            <w:shd w:val="clear" w:color="auto" w:fill="auto"/>
          </w:tcPr>
          <w:p w14:paraId="034A269A" w14:textId="77777777" w:rsidR="00B543F6" w:rsidRPr="005702CA" w:rsidRDefault="00B543F6" w:rsidP="00D82506">
            <w:pPr>
              <w:pStyle w:val="Tabletext"/>
            </w:pPr>
            <w:r w:rsidRPr="005702CA">
              <w:t>NASDAQ PHLX LLC</w:t>
            </w:r>
          </w:p>
        </w:tc>
      </w:tr>
      <w:tr w:rsidR="00B543F6" w:rsidRPr="00361AC4" w14:paraId="6479FD7F" w14:textId="77777777" w:rsidTr="00D53133">
        <w:tc>
          <w:tcPr>
            <w:tcW w:w="478" w:type="pct"/>
            <w:shd w:val="clear" w:color="auto" w:fill="auto"/>
          </w:tcPr>
          <w:p w14:paraId="720EF760" w14:textId="77777777" w:rsidR="00B543F6" w:rsidRPr="005702CA" w:rsidRDefault="00526612" w:rsidP="00D82506">
            <w:pPr>
              <w:pStyle w:val="Tabletext"/>
            </w:pPr>
            <w:r>
              <w:t>111</w:t>
            </w:r>
          </w:p>
        </w:tc>
        <w:tc>
          <w:tcPr>
            <w:tcW w:w="4522" w:type="pct"/>
            <w:shd w:val="clear" w:color="auto" w:fill="auto"/>
          </w:tcPr>
          <w:p w14:paraId="433507D3" w14:textId="77777777" w:rsidR="00B543F6" w:rsidRPr="005702CA" w:rsidRDefault="00B543F6" w:rsidP="00D82506">
            <w:pPr>
              <w:pStyle w:val="Tabletext"/>
            </w:pPr>
            <w:r w:rsidRPr="005702CA">
              <w:t>NASDAQ PSX operated by NASDAQ PHLX LLC</w:t>
            </w:r>
          </w:p>
        </w:tc>
      </w:tr>
      <w:tr w:rsidR="00B543F6" w:rsidRPr="00361AC4" w14:paraId="604AACD7" w14:textId="77777777" w:rsidTr="00D53133">
        <w:tc>
          <w:tcPr>
            <w:tcW w:w="478" w:type="pct"/>
            <w:shd w:val="clear" w:color="auto" w:fill="auto"/>
          </w:tcPr>
          <w:p w14:paraId="36FED4CB" w14:textId="77777777" w:rsidR="00B543F6" w:rsidRPr="005702CA" w:rsidRDefault="00526612" w:rsidP="00D82506">
            <w:pPr>
              <w:pStyle w:val="Tabletext"/>
            </w:pPr>
            <w:r>
              <w:t>112</w:t>
            </w:r>
          </w:p>
        </w:tc>
        <w:tc>
          <w:tcPr>
            <w:tcW w:w="4522" w:type="pct"/>
            <w:shd w:val="clear" w:color="auto" w:fill="auto"/>
          </w:tcPr>
          <w:p w14:paraId="6936398C" w14:textId="77777777" w:rsidR="00B543F6" w:rsidRPr="005702CA" w:rsidRDefault="00B543F6" w:rsidP="00D82506">
            <w:pPr>
              <w:pStyle w:val="Tabletext"/>
            </w:pPr>
            <w:r w:rsidRPr="005702CA">
              <w:t>NASDAQ Riga, AS (XRIS)</w:t>
            </w:r>
          </w:p>
        </w:tc>
      </w:tr>
      <w:tr w:rsidR="00B543F6" w:rsidRPr="00361AC4" w14:paraId="608DB331" w14:textId="77777777" w:rsidTr="00D53133">
        <w:tc>
          <w:tcPr>
            <w:tcW w:w="478" w:type="pct"/>
            <w:shd w:val="clear" w:color="auto" w:fill="auto"/>
          </w:tcPr>
          <w:p w14:paraId="2BD58D0C" w14:textId="77777777" w:rsidR="00B543F6" w:rsidRPr="005702CA" w:rsidRDefault="00526612" w:rsidP="00D82506">
            <w:pPr>
              <w:pStyle w:val="Tabletext"/>
            </w:pPr>
            <w:r>
              <w:t>113</w:t>
            </w:r>
          </w:p>
        </w:tc>
        <w:tc>
          <w:tcPr>
            <w:tcW w:w="4522" w:type="pct"/>
            <w:shd w:val="clear" w:color="auto" w:fill="auto"/>
          </w:tcPr>
          <w:p w14:paraId="3A90D023" w14:textId="77777777" w:rsidR="00B543F6" w:rsidRPr="005702CA" w:rsidRDefault="00B543F6" w:rsidP="00D82506">
            <w:pPr>
              <w:pStyle w:val="Tabletext"/>
            </w:pPr>
            <w:r w:rsidRPr="005702CA">
              <w:t>NASDAQ Stockholm AB (XSTO)</w:t>
            </w:r>
          </w:p>
        </w:tc>
      </w:tr>
      <w:tr w:rsidR="00B543F6" w:rsidRPr="00361AC4" w14:paraId="4DFEF32A" w14:textId="77777777" w:rsidTr="00D53133">
        <w:tc>
          <w:tcPr>
            <w:tcW w:w="478" w:type="pct"/>
            <w:shd w:val="clear" w:color="auto" w:fill="auto"/>
          </w:tcPr>
          <w:p w14:paraId="37204EE5" w14:textId="77777777" w:rsidR="00B543F6" w:rsidRPr="005702CA" w:rsidRDefault="00526612" w:rsidP="00D82506">
            <w:pPr>
              <w:pStyle w:val="Tabletext"/>
            </w:pPr>
            <w:r>
              <w:t>114</w:t>
            </w:r>
          </w:p>
        </w:tc>
        <w:tc>
          <w:tcPr>
            <w:tcW w:w="4522" w:type="pct"/>
            <w:shd w:val="clear" w:color="auto" w:fill="auto"/>
          </w:tcPr>
          <w:p w14:paraId="6D7F76D6" w14:textId="77777777" w:rsidR="00B543F6" w:rsidRPr="005702CA" w:rsidRDefault="00B543F6" w:rsidP="00D82506">
            <w:pPr>
              <w:pStyle w:val="Tabletext"/>
            </w:pPr>
            <w:r w:rsidRPr="005702CA">
              <w:t>NASDAQ Tallinn AS (XTAL)</w:t>
            </w:r>
          </w:p>
        </w:tc>
      </w:tr>
      <w:tr w:rsidR="00B543F6" w:rsidRPr="00361AC4" w14:paraId="0E7147D5" w14:textId="77777777" w:rsidTr="00D53133">
        <w:tc>
          <w:tcPr>
            <w:tcW w:w="478" w:type="pct"/>
            <w:shd w:val="clear" w:color="auto" w:fill="auto"/>
          </w:tcPr>
          <w:p w14:paraId="48C3832D" w14:textId="77777777" w:rsidR="00B543F6" w:rsidRPr="005702CA" w:rsidRDefault="00526612" w:rsidP="00D82506">
            <w:pPr>
              <w:pStyle w:val="Tabletext"/>
            </w:pPr>
            <w:r>
              <w:t>115</w:t>
            </w:r>
          </w:p>
        </w:tc>
        <w:tc>
          <w:tcPr>
            <w:tcW w:w="4522" w:type="pct"/>
            <w:shd w:val="clear" w:color="auto" w:fill="auto"/>
          </w:tcPr>
          <w:p w14:paraId="0F8C24ED" w14:textId="77777777" w:rsidR="00B543F6" w:rsidRPr="005702CA" w:rsidRDefault="00B543F6" w:rsidP="00D82506">
            <w:pPr>
              <w:pStyle w:val="Tabletext"/>
            </w:pPr>
            <w:r w:rsidRPr="005702CA">
              <w:t>National Stock Exchange of India Ltd</w:t>
            </w:r>
          </w:p>
        </w:tc>
      </w:tr>
      <w:tr w:rsidR="00B543F6" w:rsidRPr="00361AC4" w14:paraId="2AAFE356" w14:textId="77777777" w:rsidTr="00D53133">
        <w:tc>
          <w:tcPr>
            <w:tcW w:w="478" w:type="pct"/>
            <w:shd w:val="clear" w:color="auto" w:fill="auto"/>
          </w:tcPr>
          <w:p w14:paraId="2ADD5E8B" w14:textId="77777777" w:rsidR="00B543F6" w:rsidRPr="005702CA" w:rsidRDefault="00526612" w:rsidP="00D82506">
            <w:pPr>
              <w:pStyle w:val="Tabletext"/>
            </w:pPr>
            <w:r>
              <w:t>116</w:t>
            </w:r>
          </w:p>
        </w:tc>
        <w:tc>
          <w:tcPr>
            <w:tcW w:w="4522" w:type="pct"/>
            <w:shd w:val="clear" w:color="auto" w:fill="auto"/>
          </w:tcPr>
          <w:p w14:paraId="0980BBC3" w14:textId="77777777" w:rsidR="00B543F6" w:rsidRPr="005702CA" w:rsidRDefault="00B543F6" w:rsidP="00D82506">
            <w:pPr>
              <w:pStyle w:val="Tabletext"/>
            </w:pPr>
            <w:r w:rsidRPr="005702CA">
              <w:t>New York Stock Exchange (NYSE) operated by the New York Stock Exchange LLC</w:t>
            </w:r>
          </w:p>
        </w:tc>
      </w:tr>
      <w:tr w:rsidR="00B543F6" w:rsidRPr="00361AC4" w14:paraId="7F9C51E0" w14:textId="77777777" w:rsidTr="00D53133">
        <w:tc>
          <w:tcPr>
            <w:tcW w:w="478" w:type="pct"/>
            <w:shd w:val="clear" w:color="auto" w:fill="auto"/>
          </w:tcPr>
          <w:p w14:paraId="38B11643" w14:textId="77777777" w:rsidR="00B543F6" w:rsidRPr="005702CA" w:rsidRDefault="00526612" w:rsidP="00D82506">
            <w:pPr>
              <w:pStyle w:val="Tabletext"/>
            </w:pPr>
            <w:r>
              <w:t>117</w:t>
            </w:r>
          </w:p>
        </w:tc>
        <w:tc>
          <w:tcPr>
            <w:tcW w:w="4522" w:type="pct"/>
            <w:shd w:val="clear" w:color="auto" w:fill="auto"/>
          </w:tcPr>
          <w:p w14:paraId="7CAFCEC5" w14:textId="77777777" w:rsidR="00B543F6" w:rsidRPr="005702CA" w:rsidRDefault="00B543F6" w:rsidP="00D82506">
            <w:pPr>
              <w:pStyle w:val="Tabletext"/>
            </w:pPr>
            <w:r w:rsidRPr="005702CA">
              <w:t>Nodal Clear, LLC</w:t>
            </w:r>
          </w:p>
        </w:tc>
      </w:tr>
      <w:tr w:rsidR="00B543F6" w:rsidRPr="00361AC4" w14:paraId="163BDD72" w14:textId="77777777" w:rsidTr="00D53133">
        <w:tc>
          <w:tcPr>
            <w:tcW w:w="478" w:type="pct"/>
            <w:shd w:val="clear" w:color="auto" w:fill="auto"/>
          </w:tcPr>
          <w:p w14:paraId="2AFDF763" w14:textId="77777777" w:rsidR="00B543F6" w:rsidRPr="005702CA" w:rsidRDefault="00526612" w:rsidP="00D82506">
            <w:pPr>
              <w:pStyle w:val="Tabletext"/>
            </w:pPr>
            <w:r>
              <w:t>118</w:t>
            </w:r>
          </w:p>
        </w:tc>
        <w:tc>
          <w:tcPr>
            <w:tcW w:w="4522" w:type="pct"/>
            <w:shd w:val="clear" w:color="auto" w:fill="auto"/>
          </w:tcPr>
          <w:p w14:paraId="6C0851ED" w14:textId="77777777" w:rsidR="00B543F6" w:rsidRPr="005702CA" w:rsidRDefault="00B543F6" w:rsidP="00D82506">
            <w:pPr>
              <w:pStyle w:val="Tabletext"/>
            </w:pPr>
            <w:r w:rsidRPr="005702CA">
              <w:t>Nodal Exchange, LLC</w:t>
            </w:r>
          </w:p>
        </w:tc>
      </w:tr>
      <w:tr w:rsidR="00B543F6" w:rsidRPr="00361AC4" w14:paraId="0AE1E828" w14:textId="77777777" w:rsidTr="00D53133">
        <w:tc>
          <w:tcPr>
            <w:tcW w:w="478" w:type="pct"/>
            <w:shd w:val="clear" w:color="auto" w:fill="auto"/>
          </w:tcPr>
          <w:p w14:paraId="11AB2B12" w14:textId="77777777" w:rsidR="00B543F6" w:rsidRPr="005702CA" w:rsidRDefault="00526612" w:rsidP="00D82506">
            <w:pPr>
              <w:pStyle w:val="Tabletext"/>
            </w:pPr>
            <w:r>
              <w:t>119</w:t>
            </w:r>
          </w:p>
        </w:tc>
        <w:tc>
          <w:tcPr>
            <w:tcW w:w="4522" w:type="pct"/>
            <w:shd w:val="clear" w:color="auto" w:fill="auto"/>
          </w:tcPr>
          <w:p w14:paraId="6E9FFE0B" w14:textId="77777777" w:rsidR="00B543F6" w:rsidRPr="005702CA" w:rsidRDefault="00B543F6" w:rsidP="00D82506">
            <w:pPr>
              <w:pStyle w:val="Tabletext"/>
            </w:pPr>
            <w:r w:rsidRPr="005702CA">
              <w:t>NYMEX Emissions operated by New York Mercantile Exchange, Inc.</w:t>
            </w:r>
          </w:p>
        </w:tc>
      </w:tr>
      <w:tr w:rsidR="00B543F6" w:rsidRPr="00361AC4" w14:paraId="5B552F89" w14:textId="77777777" w:rsidTr="00D53133">
        <w:tc>
          <w:tcPr>
            <w:tcW w:w="478" w:type="pct"/>
            <w:shd w:val="clear" w:color="auto" w:fill="auto"/>
          </w:tcPr>
          <w:p w14:paraId="1793F943" w14:textId="77777777" w:rsidR="00B543F6" w:rsidRPr="005702CA" w:rsidRDefault="00526612" w:rsidP="00D82506">
            <w:pPr>
              <w:pStyle w:val="Tabletext"/>
            </w:pPr>
            <w:r>
              <w:t>120</w:t>
            </w:r>
          </w:p>
        </w:tc>
        <w:tc>
          <w:tcPr>
            <w:tcW w:w="4522" w:type="pct"/>
            <w:shd w:val="clear" w:color="auto" w:fill="auto"/>
          </w:tcPr>
          <w:p w14:paraId="22CE31B2" w14:textId="77777777" w:rsidR="00B543F6" w:rsidRPr="005702CA" w:rsidRDefault="00B543F6" w:rsidP="00D82506">
            <w:pPr>
              <w:pStyle w:val="Tabletext"/>
            </w:pPr>
            <w:r w:rsidRPr="005702CA">
              <w:t>NYMEX operated by New York Mercantile Exchange, Inc.</w:t>
            </w:r>
          </w:p>
        </w:tc>
      </w:tr>
      <w:tr w:rsidR="00B543F6" w:rsidRPr="00361AC4" w14:paraId="785143DD" w14:textId="77777777" w:rsidTr="00D53133">
        <w:tc>
          <w:tcPr>
            <w:tcW w:w="478" w:type="pct"/>
            <w:shd w:val="clear" w:color="auto" w:fill="auto"/>
          </w:tcPr>
          <w:p w14:paraId="6E0D8B9C" w14:textId="77777777" w:rsidR="00B543F6" w:rsidRPr="005702CA" w:rsidRDefault="00526612" w:rsidP="00D82506">
            <w:pPr>
              <w:pStyle w:val="Tabletext"/>
            </w:pPr>
            <w:r>
              <w:t>12</w:t>
            </w:r>
            <w:r w:rsidR="00455C28">
              <w:t>1</w:t>
            </w:r>
          </w:p>
        </w:tc>
        <w:tc>
          <w:tcPr>
            <w:tcW w:w="4522" w:type="pct"/>
            <w:shd w:val="clear" w:color="auto" w:fill="auto"/>
          </w:tcPr>
          <w:p w14:paraId="18B1CEA5" w14:textId="77777777" w:rsidR="00B543F6" w:rsidRPr="005702CA" w:rsidRDefault="00B543F6" w:rsidP="00D82506">
            <w:pPr>
              <w:pStyle w:val="Tabletext"/>
            </w:pPr>
            <w:r w:rsidRPr="005702CA">
              <w:t>NYSE Amex Option operated by NYSE MKT LLC</w:t>
            </w:r>
          </w:p>
        </w:tc>
      </w:tr>
      <w:tr w:rsidR="00B543F6" w:rsidRPr="00361AC4" w14:paraId="556A05E8" w14:textId="77777777" w:rsidTr="00D53133">
        <w:tc>
          <w:tcPr>
            <w:tcW w:w="478" w:type="pct"/>
            <w:shd w:val="clear" w:color="auto" w:fill="auto"/>
          </w:tcPr>
          <w:p w14:paraId="60A570C4" w14:textId="77777777" w:rsidR="00B543F6" w:rsidRPr="005702CA" w:rsidRDefault="00526612" w:rsidP="00D82506">
            <w:pPr>
              <w:pStyle w:val="Tabletext"/>
            </w:pPr>
            <w:r>
              <w:t>12</w:t>
            </w:r>
            <w:r w:rsidR="00455C28">
              <w:t>2</w:t>
            </w:r>
          </w:p>
        </w:tc>
        <w:tc>
          <w:tcPr>
            <w:tcW w:w="4522" w:type="pct"/>
            <w:shd w:val="clear" w:color="auto" w:fill="auto"/>
          </w:tcPr>
          <w:p w14:paraId="45E3F63B" w14:textId="77777777" w:rsidR="00B543F6" w:rsidRPr="005702CA" w:rsidRDefault="00B543F6" w:rsidP="00D82506">
            <w:pPr>
              <w:pStyle w:val="Tabletext"/>
            </w:pPr>
            <w:r w:rsidRPr="005702CA">
              <w:t>NYSE Arca Equities operated by NYSE Arca Equities, Inc.</w:t>
            </w:r>
          </w:p>
        </w:tc>
      </w:tr>
      <w:tr w:rsidR="00B543F6" w:rsidRPr="00361AC4" w14:paraId="1F9D0EA0" w14:textId="77777777" w:rsidTr="00D53133">
        <w:tc>
          <w:tcPr>
            <w:tcW w:w="478" w:type="pct"/>
            <w:shd w:val="clear" w:color="auto" w:fill="auto"/>
          </w:tcPr>
          <w:p w14:paraId="5F717244" w14:textId="77777777" w:rsidR="00B543F6" w:rsidRPr="005702CA" w:rsidRDefault="00526612" w:rsidP="00D82506">
            <w:pPr>
              <w:pStyle w:val="Tabletext"/>
            </w:pPr>
            <w:r>
              <w:t>12</w:t>
            </w:r>
            <w:r w:rsidR="00455C28">
              <w:t>3</w:t>
            </w:r>
          </w:p>
        </w:tc>
        <w:tc>
          <w:tcPr>
            <w:tcW w:w="4522" w:type="pct"/>
            <w:shd w:val="clear" w:color="auto" w:fill="auto"/>
          </w:tcPr>
          <w:p w14:paraId="1E398481" w14:textId="77777777" w:rsidR="00B543F6" w:rsidRPr="005702CA" w:rsidRDefault="00B543F6" w:rsidP="00D82506">
            <w:pPr>
              <w:pStyle w:val="Tabletext"/>
            </w:pPr>
            <w:r w:rsidRPr="005702CA">
              <w:t>NYSE Arca Options operated by NYSE Arca Equities, Inc.</w:t>
            </w:r>
          </w:p>
        </w:tc>
      </w:tr>
      <w:tr w:rsidR="00455C28" w:rsidRPr="00361AC4" w14:paraId="4DD392C6" w14:textId="77777777" w:rsidTr="0011159F">
        <w:tc>
          <w:tcPr>
            <w:tcW w:w="478" w:type="pct"/>
            <w:shd w:val="clear" w:color="auto" w:fill="auto"/>
          </w:tcPr>
          <w:p w14:paraId="6746C7B8" w14:textId="77777777" w:rsidR="00455C28" w:rsidRPr="005702CA" w:rsidRDefault="00455C28" w:rsidP="0011159F">
            <w:pPr>
              <w:pStyle w:val="Tabletext"/>
            </w:pPr>
            <w:r>
              <w:t>124</w:t>
            </w:r>
          </w:p>
        </w:tc>
        <w:tc>
          <w:tcPr>
            <w:tcW w:w="4522" w:type="pct"/>
            <w:shd w:val="clear" w:color="auto" w:fill="auto"/>
          </w:tcPr>
          <w:p w14:paraId="2168D582" w14:textId="77777777" w:rsidR="00455C28" w:rsidRPr="005702CA" w:rsidRDefault="00455C28" w:rsidP="0011159F">
            <w:pPr>
              <w:pStyle w:val="Tabletext"/>
            </w:pPr>
            <w:r w:rsidRPr="005702CA">
              <w:t>NYSE MKT operated by NYSE MKT LLC</w:t>
            </w:r>
          </w:p>
        </w:tc>
      </w:tr>
      <w:tr w:rsidR="00B543F6" w:rsidRPr="00361AC4" w14:paraId="0C28826F" w14:textId="77777777" w:rsidTr="00D53133">
        <w:tc>
          <w:tcPr>
            <w:tcW w:w="478" w:type="pct"/>
            <w:shd w:val="clear" w:color="auto" w:fill="auto"/>
          </w:tcPr>
          <w:p w14:paraId="48B298C3" w14:textId="77777777" w:rsidR="00B543F6" w:rsidRPr="005702CA" w:rsidRDefault="00526612" w:rsidP="00D82506">
            <w:pPr>
              <w:pStyle w:val="Tabletext"/>
            </w:pPr>
            <w:r>
              <w:t>125</w:t>
            </w:r>
          </w:p>
        </w:tc>
        <w:tc>
          <w:tcPr>
            <w:tcW w:w="4522" w:type="pct"/>
            <w:shd w:val="clear" w:color="auto" w:fill="auto"/>
          </w:tcPr>
          <w:p w14:paraId="069B3AB9" w14:textId="77777777" w:rsidR="00B543F6" w:rsidRPr="005702CA" w:rsidRDefault="00B543F6" w:rsidP="00D82506">
            <w:pPr>
              <w:pStyle w:val="Tabletext"/>
            </w:pPr>
            <w:r w:rsidRPr="005702CA">
              <w:t>NZX Main Board operated by NZX Limited</w:t>
            </w:r>
          </w:p>
        </w:tc>
      </w:tr>
      <w:tr w:rsidR="00B543F6" w:rsidRPr="00361AC4" w14:paraId="79151727" w14:textId="77777777" w:rsidTr="00D53133">
        <w:tc>
          <w:tcPr>
            <w:tcW w:w="478" w:type="pct"/>
            <w:shd w:val="clear" w:color="auto" w:fill="auto"/>
          </w:tcPr>
          <w:p w14:paraId="09208AC9" w14:textId="77777777" w:rsidR="00B543F6" w:rsidRPr="005702CA" w:rsidRDefault="00526612" w:rsidP="00D82506">
            <w:pPr>
              <w:pStyle w:val="Tabletext"/>
            </w:pPr>
            <w:r>
              <w:t>126</w:t>
            </w:r>
          </w:p>
        </w:tc>
        <w:tc>
          <w:tcPr>
            <w:tcW w:w="4522" w:type="pct"/>
            <w:shd w:val="clear" w:color="auto" w:fill="auto"/>
          </w:tcPr>
          <w:p w14:paraId="4078E5CF" w14:textId="77777777" w:rsidR="00B543F6" w:rsidRPr="005702CA" w:rsidRDefault="00B543F6" w:rsidP="00D82506">
            <w:pPr>
              <w:pStyle w:val="Tabletext"/>
            </w:pPr>
            <w:r w:rsidRPr="005702CA">
              <w:t>OMIClear, C.C., S.A.</w:t>
            </w:r>
          </w:p>
        </w:tc>
      </w:tr>
      <w:tr w:rsidR="00B543F6" w:rsidRPr="00361AC4" w14:paraId="11B0FEEF" w14:textId="77777777" w:rsidTr="00D53133">
        <w:tc>
          <w:tcPr>
            <w:tcW w:w="478" w:type="pct"/>
            <w:shd w:val="clear" w:color="auto" w:fill="auto"/>
          </w:tcPr>
          <w:p w14:paraId="39263505" w14:textId="77777777" w:rsidR="00B543F6" w:rsidRPr="005702CA" w:rsidRDefault="00526612" w:rsidP="00D82506">
            <w:pPr>
              <w:pStyle w:val="Tabletext"/>
            </w:pPr>
            <w:r>
              <w:t>127</w:t>
            </w:r>
          </w:p>
        </w:tc>
        <w:tc>
          <w:tcPr>
            <w:tcW w:w="4522" w:type="pct"/>
            <w:shd w:val="clear" w:color="auto" w:fill="auto"/>
          </w:tcPr>
          <w:p w14:paraId="09CCD26B" w14:textId="77777777" w:rsidR="00B543F6" w:rsidRPr="005702CA" w:rsidRDefault="00B543F6" w:rsidP="00D82506">
            <w:pPr>
              <w:pStyle w:val="Tabletext"/>
            </w:pPr>
            <w:r w:rsidRPr="005702CA">
              <w:t>OneChicago LLC</w:t>
            </w:r>
          </w:p>
        </w:tc>
      </w:tr>
      <w:tr w:rsidR="00B543F6" w:rsidRPr="00361AC4" w14:paraId="1C6FDF44" w14:textId="77777777" w:rsidTr="00D53133">
        <w:tc>
          <w:tcPr>
            <w:tcW w:w="478" w:type="pct"/>
            <w:shd w:val="clear" w:color="auto" w:fill="auto"/>
          </w:tcPr>
          <w:p w14:paraId="4E30C2CE" w14:textId="77777777" w:rsidR="00B543F6" w:rsidRPr="005702CA" w:rsidRDefault="00526612" w:rsidP="00D82506">
            <w:pPr>
              <w:pStyle w:val="Tabletext"/>
            </w:pPr>
            <w:r>
              <w:t>128</w:t>
            </w:r>
          </w:p>
        </w:tc>
        <w:tc>
          <w:tcPr>
            <w:tcW w:w="4522" w:type="pct"/>
            <w:shd w:val="clear" w:color="auto" w:fill="auto"/>
          </w:tcPr>
          <w:p w14:paraId="3FAE4A94" w14:textId="77777777" w:rsidR="00B543F6" w:rsidRPr="005702CA" w:rsidRDefault="00B543F6" w:rsidP="00D82506">
            <w:pPr>
              <w:pStyle w:val="Tabletext"/>
            </w:pPr>
            <w:r w:rsidRPr="005702CA">
              <w:t>Osaka Exchange, Inc. (OSE)</w:t>
            </w:r>
          </w:p>
        </w:tc>
      </w:tr>
      <w:tr w:rsidR="00B543F6" w:rsidRPr="00361AC4" w14:paraId="5A7BA7A5" w14:textId="77777777" w:rsidTr="00D53133">
        <w:tc>
          <w:tcPr>
            <w:tcW w:w="478" w:type="pct"/>
            <w:shd w:val="clear" w:color="auto" w:fill="auto"/>
          </w:tcPr>
          <w:p w14:paraId="0AD502D5" w14:textId="77777777" w:rsidR="00B543F6" w:rsidRPr="005702CA" w:rsidRDefault="00526612" w:rsidP="00D82506">
            <w:pPr>
              <w:pStyle w:val="Tabletext"/>
            </w:pPr>
            <w:r>
              <w:t>129</w:t>
            </w:r>
          </w:p>
        </w:tc>
        <w:tc>
          <w:tcPr>
            <w:tcW w:w="4522" w:type="pct"/>
            <w:shd w:val="clear" w:color="auto" w:fill="auto"/>
          </w:tcPr>
          <w:p w14:paraId="28DA51AA" w14:textId="77777777" w:rsidR="00B543F6" w:rsidRPr="005702CA" w:rsidRDefault="00B543F6" w:rsidP="00D82506">
            <w:pPr>
              <w:pStyle w:val="Tabletext"/>
            </w:pPr>
            <w:r w:rsidRPr="005702CA">
              <w:t>Oslo Bors operated by Oslo Børs ASA</w:t>
            </w:r>
          </w:p>
        </w:tc>
      </w:tr>
      <w:tr w:rsidR="00B543F6" w:rsidRPr="00361AC4" w14:paraId="68E63311" w14:textId="77777777" w:rsidTr="00D53133">
        <w:tc>
          <w:tcPr>
            <w:tcW w:w="478" w:type="pct"/>
            <w:shd w:val="clear" w:color="auto" w:fill="auto"/>
          </w:tcPr>
          <w:p w14:paraId="54DB4A52" w14:textId="77777777" w:rsidR="00B543F6" w:rsidRPr="005702CA" w:rsidRDefault="00526612" w:rsidP="00D82506">
            <w:pPr>
              <w:pStyle w:val="Tabletext"/>
            </w:pPr>
            <w:r>
              <w:t>130</w:t>
            </w:r>
          </w:p>
        </w:tc>
        <w:tc>
          <w:tcPr>
            <w:tcW w:w="4522" w:type="pct"/>
            <w:shd w:val="clear" w:color="auto" w:fill="auto"/>
          </w:tcPr>
          <w:p w14:paraId="7BBEFC69" w14:textId="77777777" w:rsidR="00B543F6" w:rsidRPr="005702CA" w:rsidRDefault="00B543F6" w:rsidP="00D82506">
            <w:pPr>
              <w:pStyle w:val="Tabletext"/>
            </w:pPr>
            <w:r w:rsidRPr="005702CA">
              <w:t>OTC Clearing Hong Kong Limited (OTC Clear)</w:t>
            </w:r>
          </w:p>
        </w:tc>
      </w:tr>
      <w:tr w:rsidR="00B543F6" w:rsidRPr="00361AC4" w14:paraId="5E2A9DA4" w14:textId="77777777" w:rsidTr="00D53133">
        <w:tc>
          <w:tcPr>
            <w:tcW w:w="478" w:type="pct"/>
            <w:shd w:val="clear" w:color="auto" w:fill="auto"/>
          </w:tcPr>
          <w:p w14:paraId="6241F4CE" w14:textId="77777777" w:rsidR="00B543F6" w:rsidRPr="005702CA" w:rsidRDefault="00526612" w:rsidP="00D82506">
            <w:pPr>
              <w:pStyle w:val="Tabletext"/>
            </w:pPr>
            <w:r>
              <w:t>131</w:t>
            </w:r>
          </w:p>
        </w:tc>
        <w:tc>
          <w:tcPr>
            <w:tcW w:w="4522" w:type="pct"/>
            <w:shd w:val="clear" w:color="auto" w:fill="auto"/>
          </w:tcPr>
          <w:p w14:paraId="175976AE" w14:textId="77777777" w:rsidR="00B543F6" w:rsidRPr="005702CA" w:rsidRDefault="00B543F6" w:rsidP="00D82506">
            <w:pPr>
              <w:pStyle w:val="Tabletext"/>
            </w:pPr>
            <w:r w:rsidRPr="005702CA">
              <w:t>Power Exchange Central Europe, a.s. (PXE)</w:t>
            </w:r>
          </w:p>
        </w:tc>
      </w:tr>
      <w:tr w:rsidR="00B543F6" w:rsidRPr="00361AC4" w14:paraId="44B67FFA" w14:textId="77777777" w:rsidTr="00D53133">
        <w:tc>
          <w:tcPr>
            <w:tcW w:w="478" w:type="pct"/>
            <w:shd w:val="clear" w:color="auto" w:fill="auto"/>
          </w:tcPr>
          <w:p w14:paraId="23EE91C5" w14:textId="77777777" w:rsidR="00B543F6" w:rsidRPr="005702CA" w:rsidRDefault="00526612" w:rsidP="00D82506">
            <w:pPr>
              <w:pStyle w:val="Tabletext"/>
            </w:pPr>
            <w:r>
              <w:t>132</w:t>
            </w:r>
          </w:p>
        </w:tc>
        <w:tc>
          <w:tcPr>
            <w:tcW w:w="4522" w:type="pct"/>
            <w:shd w:val="clear" w:color="auto" w:fill="auto"/>
          </w:tcPr>
          <w:p w14:paraId="125AE958" w14:textId="77777777" w:rsidR="00B543F6" w:rsidRPr="005702CA" w:rsidRDefault="00B543F6" w:rsidP="00D82506">
            <w:pPr>
              <w:pStyle w:val="Tabletext"/>
            </w:pPr>
            <w:r w:rsidRPr="005702CA">
              <w:t>Powernext SA</w:t>
            </w:r>
          </w:p>
        </w:tc>
      </w:tr>
      <w:tr w:rsidR="00002F77" w:rsidRPr="00361AC4" w14:paraId="219D8EEB" w14:textId="77777777" w:rsidTr="00002F77">
        <w:tc>
          <w:tcPr>
            <w:tcW w:w="478" w:type="pct"/>
            <w:shd w:val="clear" w:color="auto" w:fill="auto"/>
          </w:tcPr>
          <w:p w14:paraId="28587DB4" w14:textId="77777777" w:rsidR="00002F77" w:rsidRPr="005702CA" w:rsidRDefault="00526612" w:rsidP="00002F77">
            <w:pPr>
              <w:pStyle w:val="Tabletext"/>
            </w:pPr>
            <w:r>
              <w:t>133</w:t>
            </w:r>
          </w:p>
        </w:tc>
        <w:tc>
          <w:tcPr>
            <w:tcW w:w="4522" w:type="pct"/>
            <w:shd w:val="clear" w:color="auto" w:fill="auto"/>
          </w:tcPr>
          <w:p w14:paraId="65DB1ABC" w14:textId="77777777" w:rsidR="00002F77" w:rsidRPr="005702CA" w:rsidRDefault="00002F77" w:rsidP="00002F77">
            <w:pPr>
              <w:pStyle w:val="Tabletext"/>
            </w:pPr>
            <w:r w:rsidRPr="005702CA">
              <w:t>Re</w:t>
            </w:r>
            <w:r>
              <w:t>finitiv Transaction Services Limited</w:t>
            </w:r>
          </w:p>
        </w:tc>
      </w:tr>
      <w:tr w:rsidR="00002F77" w:rsidRPr="00361AC4" w14:paraId="179429ED" w14:textId="77777777" w:rsidTr="00002F77">
        <w:tc>
          <w:tcPr>
            <w:tcW w:w="478" w:type="pct"/>
            <w:shd w:val="clear" w:color="auto" w:fill="auto"/>
          </w:tcPr>
          <w:p w14:paraId="34808113" w14:textId="77777777" w:rsidR="00002F77" w:rsidRPr="005702CA" w:rsidRDefault="00526612" w:rsidP="00002F77">
            <w:pPr>
              <w:pStyle w:val="Tabletext"/>
            </w:pPr>
            <w:r>
              <w:t>134</w:t>
            </w:r>
          </w:p>
        </w:tc>
        <w:tc>
          <w:tcPr>
            <w:tcW w:w="4522" w:type="pct"/>
            <w:shd w:val="clear" w:color="auto" w:fill="auto"/>
          </w:tcPr>
          <w:p w14:paraId="40E4761E" w14:textId="77777777" w:rsidR="00002F77" w:rsidRPr="005702CA" w:rsidRDefault="00002F77" w:rsidP="00973D66">
            <w:pPr>
              <w:pStyle w:val="Tabletext"/>
            </w:pPr>
            <w:r w:rsidRPr="005702CA">
              <w:t>Re</w:t>
            </w:r>
            <w:r>
              <w:t>finitiv Transaction Services Pte. Ltd.</w:t>
            </w:r>
          </w:p>
        </w:tc>
      </w:tr>
      <w:tr w:rsidR="00B543F6" w:rsidRPr="00361AC4" w14:paraId="5CA3629E" w14:textId="77777777" w:rsidTr="00D53133">
        <w:tc>
          <w:tcPr>
            <w:tcW w:w="478" w:type="pct"/>
            <w:shd w:val="clear" w:color="auto" w:fill="auto"/>
          </w:tcPr>
          <w:p w14:paraId="2A193873" w14:textId="77777777" w:rsidR="00B543F6" w:rsidRPr="005702CA" w:rsidRDefault="00526612" w:rsidP="00D82506">
            <w:pPr>
              <w:pStyle w:val="Tabletext"/>
            </w:pPr>
            <w:r>
              <w:t>135</w:t>
            </w:r>
          </w:p>
        </w:tc>
        <w:tc>
          <w:tcPr>
            <w:tcW w:w="4522" w:type="pct"/>
            <w:shd w:val="clear" w:color="auto" w:fill="auto"/>
          </w:tcPr>
          <w:p w14:paraId="249754F8" w14:textId="77777777" w:rsidR="00B543F6" w:rsidRPr="005702CA" w:rsidRDefault="00B543F6" w:rsidP="00D82506">
            <w:pPr>
              <w:pStyle w:val="Tabletext"/>
            </w:pPr>
            <w:r w:rsidRPr="005702CA">
              <w:t>RepoClear</w:t>
            </w:r>
            <w:r w:rsidR="00C6145E">
              <w:t xml:space="preserve"> Ltd</w:t>
            </w:r>
            <w:r w:rsidRPr="005702CA">
              <w:t xml:space="preserve"> operated by LCH</w:t>
            </w:r>
            <w:r w:rsidR="000660E8">
              <w:t xml:space="preserve"> </w:t>
            </w:r>
            <w:r w:rsidR="00C6145E">
              <w:t>Ltd</w:t>
            </w:r>
          </w:p>
        </w:tc>
      </w:tr>
      <w:tr w:rsidR="00B543F6" w:rsidRPr="00361AC4" w14:paraId="3B1A964B" w14:textId="77777777" w:rsidTr="00D53133">
        <w:tc>
          <w:tcPr>
            <w:tcW w:w="478" w:type="pct"/>
            <w:shd w:val="clear" w:color="auto" w:fill="auto"/>
          </w:tcPr>
          <w:p w14:paraId="030B2DE8" w14:textId="77777777" w:rsidR="00B543F6" w:rsidRPr="005702CA" w:rsidRDefault="00526612" w:rsidP="00D82506">
            <w:pPr>
              <w:pStyle w:val="Tabletext"/>
            </w:pPr>
            <w:r>
              <w:t>136</w:t>
            </w:r>
          </w:p>
        </w:tc>
        <w:tc>
          <w:tcPr>
            <w:tcW w:w="4522" w:type="pct"/>
            <w:shd w:val="clear" w:color="auto" w:fill="auto"/>
          </w:tcPr>
          <w:p w14:paraId="5EECBCF9" w14:textId="77777777" w:rsidR="00B543F6" w:rsidRPr="005702CA" w:rsidRDefault="00B543F6" w:rsidP="00D82506">
            <w:pPr>
              <w:pStyle w:val="Tabletext"/>
            </w:pPr>
            <w:r w:rsidRPr="005702CA">
              <w:t>RepoClear</w:t>
            </w:r>
            <w:r w:rsidR="00C6145E">
              <w:t xml:space="preserve"> SA</w:t>
            </w:r>
            <w:r w:rsidRPr="005702CA">
              <w:t xml:space="preserve"> operated by LCH SA</w:t>
            </w:r>
          </w:p>
        </w:tc>
      </w:tr>
      <w:tr w:rsidR="00B543F6" w:rsidRPr="00361AC4" w14:paraId="797BAE19" w14:textId="77777777" w:rsidTr="00D53133">
        <w:tc>
          <w:tcPr>
            <w:tcW w:w="478" w:type="pct"/>
            <w:shd w:val="clear" w:color="auto" w:fill="auto"/>
          </w:tcPr>
          <w:p w14:paraId="06049311" w14:textId="77777777" w:rsidR="00B543F6" w:rsidRPr="005702CA" w:rsidRDefault="00526612" w:rsidP="00D82506">
            <w:pPr>
              <w:pStyle w:val="Tabletext"/>
            </w:pPr>
            <w:r>
              <w:t>137</w:t>
            </w:r>
          </w:p>
        </w:tc>
        <w:tc>
          <w:tcPr>
            <w:tcW w:w="4522" w:type="pct"/>
            <w:shd w:val="clear" w:color="auto" w:fill="auto"/>
          </w:tcPr>
          <w:p w14:paraId="788AA227" w14:textId="77777777" w:rsidR="00B543F6" w:rsidRPr="005702CA" w:rsidRDefault="00B543F6" w:rsidP="00D82506">
            <w:pPr>
              <w:pStyle w:val="Tabletext"/>
            </w:pPr>
            <w:r w:rsidRPr="005702CA">
              <w:t>Shanghai Futures Exchange (SHFE)</w:t>
            </w:r>
          </w:p>
        </w:tc>
      </w:tr>
      <w:tr w:rsidR="00B543F6" w:rsidRPr="00361AC4" w14:paraId="71D0C78C" w14:textId="77777777" w:rsidTr="00D53133">
        <w:tc>
          <w:tcPr>
            <w:tcW w:w="478" w:type="pct"/>
            <w:shd w:val="clear" w:color="auto" w:fill="auto"/>
          </w:tcPr>
          <w:p w14:paraId="18D2DFB5" w14:textId="77777777" w:rsidR="00B543F6" w:rsidRPr="005702CA" w:rsidRDefault="00526612" w:rsidP="00D82506">
            <w:pPr>
              <w:pStyle w:val="Tabletext"/>
            </w:pPr>
            <w:r>
              <w:t>138</w:t>
            </w:r>
          </w:p>
        </w:tc>
        <w:tc>
          <w:tcPr>
            <w:tcW w:w="4522" w:type="pct"/>
            <w:shd w:val="clear" w:color="auto" w:fill="auto"/>
          </w:tcPr>
          <w:p w14:paraId="6CDCE882" w14:textId="77777777" w:rsidR="00B543F6" w:rsidRPr="005702CA" w:rsidRDefault="00B543F6" w:rsidP="00D82506">
            <w:pPr>
              <w:pStyle w:val="Tabletext"/>
            </w:pPr>
            <w:r w:rsidRPr="005702CA">
              <w:t>Singapore Exchange Derivatives Clearing Limited (SGX</w:t>
            </w:r>
            <w:r w:rsidR="00D82506">
              <w:noBreakHyphen/>
            </w:r>
            <w:r w:rsidRPr="005702CA">
              <w:t>DC)</w:t>
            </w:r>
          </w:p>
        </w:tc>
      </w:tr>
      <w:tr w:rsidR="00B543F6" w:rsidRPr="00361AC4" w14:paraId="758DEBA0" w14:textId="77777777" w:rsidTr="00D53133">
        <w:tc>
          <w:tcPr>
            <w:tcW w:w="478" w:type="pct"/>
            <w:shd w:val="clear" w:color="auto" w:fill="auto"/>
          </w:tcPr>
          <w:p w14:paraId="71843DAB" w14:textId="77777777" w:rsidR="00B543F6" w:rsidRPr="005702CA" w:rsidRDefault="00526612" w:rsidP="00D82506">
            <w:pPr>
              <w:pStyle w:val="Tabletext"/>
            </w:pPr>
            <w:r>
              <w:t>139</w:t>
            </w:r>
          </w:p>
        </w:tc>
        <w:tc>
          <w:tcPr>
            <w:tcW w:w="4522" w:type="pct"/>
            <w:shd w:val="clear" w:color="auto" w:fill="auto"/>
          </w:tcPr>
          <w:p w14:paraId="793EB40A" w14:textId="77777777" w:rsidR="00B543F6" w:rsidRPr="005702CA" w:rsidRDefault="00B543F6" w:rsidP="00D82506">
            <w:pPr>
              <w:pStyle w:val="Tabletext"/>
            </w:pPr>
            <w:r w:rsidRPr="005702CA">
              <w:t>Singapore Exchange Derivatives Trading Limited (SGX</w:t>
            </w:r>
            <w:r w:rsidR="00D82506">
              <w:noBreakHyphen/>
            </w:r>
            <w:r w:rsidRPr="005702CA">
              <w:t>DT)</w:t>
            </w:r>
          </w:p>
        </w:tc>
      </w:tr>
      <w:tr w:rsidR="00B543F6" w:rsidRPr="00361AC4" w14:paraId="129DBDA2" w14:textId="77777777" w:rsidTr="00D53133">
        <w:tc>
          <w:tcPr>
            <w:tcW w:w="478" w:type="pct"/>
            <w:shd w:val="clear" w:color="auto" w:fill="auto"/>
          </w:tcPr>
          <w:p w14:paraId="60954D0A" w14:textId="77777777" w:rsidR="00B543F6" w:rsidRPr="005702CA" w:rsidRDefault="00526612" w:rsidP="00D82506">
            <w:pPr>
              <w:pStyle w:val="Tabletext"/>
            </w:pPr>
            <w:r>
              <w:t>140</w:t>
            </w:r>
          </w:p>
        </w:tc>
        <w:tc>
          <w:tcPr>
            <w:tcW w:w="4522" w:type="pct"/>
            <w:shd w:val="clear" w:color="auto" w:fill="auto"/>
          </w:tcPr>
          <w:p w14:paraId="5AB95278" w14:textId="77777777" w:rsidR="00B543F6" w:rsidRPr="005702CA" w:rsidRDefault="00B543F6" w:rsidP="00D82506">
            <w:pPr>
              <w:pStyle w:val="Tabletext"/>
            </w:pPr>
            <w:r w:rsidRPr="005702CA">
              <w:t>Singapore Exchange Securities Trading Limited</w:t>
            </w:r>
            <w:r w:rsidRPr="005702CA" w:rsidDel="00CB038F">
              <w:t xml:space="preserve"> </w:t>
            </w:r>
            <w:r w:rsidRPr="005702CA">
              <w:t>(SGX</w:t>
            </w:r>
            <w:r w:rsidR="00D82506">
              <w:noBreakHyphen/>
            </w:r>
            <w:r w:rsidRPr="005702CA">
              <w:t>ST)</w:t>
            </w:r>
          </w:p>
        </w:tc>
      </w:tr>
      <w:tr w:rsidR="00B543F6" w:rsidRPr="00361AC4" w14:paraId="256F527C" w14:textId="77777777" w:rsidTr="00D53133">
        <w:tc>
          <w:tcPr>
            <w:tcW w:w="478" w:type="pct"/>
            <w:shd w:val="clear" w:color="auto" w:fill="auto"/>
          </w:tcPr>
          <w:p w14:paraId="4880A2E1" w14:textId="77777777" w:rsidR="00B543F6" w:rsidRPr="005702CA" w:rsidRDefault="00526612" w:rsidP="00D82506">
            <w:pPr>
              <w:pStyle w:val="Tabletext"/>
            </w:pPr>
            <w:r>
              <w:t>141</w:t>
            </w:r>
          </w:p>
        </w:tc>
        <w:tc>
          <w:tcPr>
            <w:tcW w:w="4522" w:type="pct"/>
            <w:shd w:val="clear" w:color="auto" w:fill="auto"/>
          </w:tcPr>
          <w:p w14:paraId="09F55FF8" w14:textId="77777777" w:rsidR="00B543F6" w:rsidRPr="005702CA" w:rsidRDefault="00B543F6" w:rsidP="00D82506">
            <w:pPr>
              <w:pStyle w:val="Tabletext"/>
            </w:pPr>
            <w:r w:rsidRPr="005702CA">
              <w:t>SIX x</w:t>
            </w:r>
            <w:r w:rsidR="00D82506">
              <w:noBreakHyphen/>
            </w:r>
            <w:r w:rsidRPr="005702CA">
              <w:t>clear Ltd</w:t>
            </w:r>
          </w:p>
        </w:tc>
      </w:tr>
      <w:tr w:rsidR="00DE6407" w:rsidRPr="00361AC4" w14:paraId="19174856" w14:textId="77777777" w:rsidTr="0069065C">
        <w:tc>
          <w:tcPr>
            <w:tcW w:w="478" w:type="pct"/>
            <w:shd w:val="clear" w:color="auto" w:fill="auto"/>
          </w:tcPr>
          <w:p w14:paraId="3ABC2B06" w14:textId="77777777" w:rsidR="00DE6407" w:rsidRPr="005702CA" w:rsidRDefault="00526612" w:rsidP="0069065C">
            <w:pPr>
              <w:pStyle w:val="Tabletext"/>
            </w:pPr>
            <w:r>
              <w:t>142</w:t>
            </w:r>
          </w:p>
        </w:tc>
        <w:tc>
          <w:tcPr>
            <w:tcW w:w="4522" w:type="pct"/>
            <w:shd w:val="clear" w:color="auto" w:fill="auto"/>
          </w:tcPr>
          <w:p w14:paraId="5FCB660F" w14:textId="77777777" w:rsidR="00DE6407" w:rsidRPr="000660E8" w:rsidRDefault="00DE6407" w:rsidP="0069065C">
            <w:pPr>
              <w:pStyle w:val="Tabletext"/>
            </w:pPr>
            <w:r w:rsidRPr="005702CA">
              <w:t>Swap</w:t>
            </w:r>
            <w:r>
              <w:t>Agent Limited</w:t>
            </w:r>
          </w:p>
        </w:tc>
      </w:tr>
      <w:tr w:rsidR="00B543F6" w:rsidRPr="00361AC4" w14:paraId="72C6F976" w14:textId="77777777" w:rsidTr="00D53133">
        <w:tc>
          <w:tcPr>
            <w:tcW w:w="478" w:type="pct"/>
            <w:shd w:val="clear" w:color="auto" w:fill="auto"/>
          </w:tcPr>
          <w:p w14:paraId="2D3EBA86" w14:textId="77777777" w:rsidR="00B543F6" w:rsidRPr="005702CA" w:rsidRDefault="00526612" w:rsidP="00D82506">
            <w:pPr>
              <w:pStyle w:val="Tabletext"/>
            </w:pPr>
            <w:r>
              <w:t>143</w:t>
            </w:r>
          </w:p>
        </w:tc>
        <w:tc>
          <w:tcPr>
            <w:tcW w:w="4522" w:type="pct"/>
            <w:shd w:val="clear" w:color="auto" w:fill="auto"/>
          </w:tcPr>
          <w:p w14:paraId="5A8671C2" w14:textId="77777777" w:rsidR="000660E8" w:rsidRPr="000660E8" w:rsidRDefault="00B543F6" w:rsidP="00056543">
            <w:pPr>
              <w:pStyle w:val="Tabletext"/>
            </w:pPr>
            <w:r w:rsidRPr="005702CA">
              <w:t>SwapClear operated by LCH</w:t>
            </w:r>
            <w:r w:rsidR="00056543">
              <w:t xml:space="preserve"> </w:t>
            </w:r>
            <w:r w:rsidR="000660E8">
              <w:t>Ltd</w:t>
            </w:r>
          </w:p>
        </w:tc>
      </w:tr>
      <w:tr w:rsidR="00B543F6" w:rsidRPr="00361AC4" w14:paraId="57330296" w14:textId="77777777" w:rsidTr="00D53133">
        <w:tc>
          <w:tcPr>
            <w:tcW w:w="478" w:type="pct"/>
            <w:shd w:val="clear" w:color="auto" w:fill="auto"/>
          </w:tcPr>
          <w:p w14:paraId="565D29D7" w14:textId="77777777" w:rsidR="00B543F6" w:rsidRPr="005702CA" w:rsidRDefault="00526612" w:rsidP="00D82506">
            <w:pPr>
              <w:pStyle w:val="Tabletext"/>
            </w:pPr>
            <w:r>
              <w:t>144</w:t>
            </w:r>
          </w:p>
        </w:tc>
        <w:tc>
          <w:tcPr>
            <w:tcW w:w="4522" w:type="pct"/>
            <w:shd w:val="clear" w:color="auto" w:fill="auto"/>
          </w:tcPr>
          <w:p w14:paraId="4F1AEE41" w14:textId="77777777" w:rsidR="00B543F6" w:rsidRPr="005702CA" w:rsidRDefault="00B543F6" w:rsidP="00D82506">
            <w:pPr>
              <w:pStyle w:val="Tabletext"/>
            </w:pPr>
            <w:r w:rsidRPr="005702CA">
              <w:t>Taiwan Futures Exchange (TAIFEX)</w:t>
            </w:r>
          </w:p>
        </w:tc>
      </w:tr>
      <w:tr w:rsidR="00B543F6" w:rsidRPr="00361AC4" w14:paraId="1511B178" w14:textId="77777777" w:rsidTr="00D53133">
        <w:tc>
          <w:tcPr>
            <w:tcW w:w="478" w:type="pct"/>
            <w:shd w:val="clear" w:color="auto" w:fill="auto"/>
          </w:tcPr>
          <w:p w14:paraId="5AF71F90" w14:textId="77777777" w:rsidR="00B543F6" w:rsidRPr="005702CA" w:rsidRDefault="00526612" w:rsidP="00D82506">
            <w:pPr>
              <w:pStyle w:val="Tabletext"/>
            </w:pPr>
            <w:r>
              <w:t>145</w:t>
            </w:r>
          </w:p>
        </w:tc>
        <w:tc>
          <w:tcPr>
            <w:tcW w:w="4522" w:type="pct"/>
            <w:shd w:val="clear" w:color="auto" w:fill="auto"/>
          </w:tcPr>
          <w:p w14:paraId="5582C6CE" w14:textId="77777777" w:rsidR="00B543F6" w:rsidRPr="005702CA" w:rsidRDefault="00B543F6" w:rsidP="00D82506">
            <w:pPr>
              <w:pStyle w:val="Tabletext"/>
            </w:pPr>
            <w:r w:rsidRPr="005702CA">
              <w:t>Tel Aviv Stock Exchange Ltd</w:t>
            </w:r>
          </w:p>
        </w:tc>
      </w:tr>
      <w:tr w:rsidR="00B543F6" w:rsidRPr="00361AC4" w14:paraId="6140C22D" w14:textId="77777777" w:rsidTr="00D53133">
        <w:tc>
          <w:tcPr>
            <w:tcW w:w="478" w:type="pct"/>
            <w:shd w:val="clear" w:color="auto" w:fill="auto"/>
          </w:tcPr>
          <w:p w14:paraId="62D1F9E5" w14:textId="77777777" w:rsidR="00B543F6" w:rsidRPr="005702CA" w:rsidRDefault="00526612" w:rsidP="00D82506">
            <w:pPr>
              <w:pStyle w:val="Tabletext"/>
            </w:pPr>
            <w:r>
              <w:t>146</w:t>
            </w:r>
          </w:p>
        </w:tc>
        <w:tc>
          <w:tcPr>
            <w:tcW w:w="4522" w:type="pct"/>
            <w:shd w:val="clear" w:color="auto" w:fill="auto"/>
          </w:tcPr>
          <w:p w14:paraId="2C6CB3F6" w14:textId="77777777" w:rsidR="00B543F6" w:rsidRPr="005702CA" w:rsidRDefault="00B543F6" w:rsidP="00D82506">
            <w:pPr>
              <w:pStyle w:val="Tabletext"/>
            </w:pPr>
            <w:r w:rsidRPr="005702CA">
              <w:t>Thailand Futures Exchange (TFEX) operated by the Thailand Futures Exchange Public Company Limited</w:t>
            </w:r>
          </w:p>
        </w:tc>
      </w:tr>
      <w:tr w:rsidR="00B543F6" w:rsidRPr="00361AC4" w14:paraId="4185F562" w14:textId="77777777" w:rsidTr="00D53133">
        <w:tc>
          <w:tcPr>
            <w:tcW w:w="478" w:type="pct"/>
            <w:shd w:val="clear" w:color="auto" w:fill="auto"/>
          </w:tcPr>
          <w:p w14:paraId="0C662213" w14:textId="77777777" w:rsidR="00B543F6" w:rsidRPr="005702CA" w:rsidRDefault="00526612" w:rsidP="00D82506">
            <w:pPr>
              <w:pStyle w:val="Tabletext"/>
            </w:pPr>
            <w:r>
              <w:lastRenderedPageBreak/>
              <w:t>147</w:t>
            </w:r>
          </w:p>
        </w:tc>
        <w:tc>
          <w:tcPr>
            <w:tcW w:w="4522" w:type="pct"/>
            <w:shd w:val="clear" w:color="auto" w:fill="auto"/>
          </w:tcPr>
          <w:p w14:paraId="4535F1B1" w14:textId="77777777" w:rsidR="000660E8" w:rsidRPr="000660E8" w:rsidRDefault="00B543F6" w:rsidP="00056543">
            <w:pPr>
              <w:pStyle w:val="Tabletext"/>
            </w:pPr>
            <w:r w:rsidRPr="005702CA">
              <w:t xml:space="preserve">The </w:t>
            </w:r>
            <w:r w:rsidR="00056543">
              <w:t>d</w:t>
            </w:r>
            <w:r w:rsidRPr="005702CA">
              <w:t>erivatives market operated by Moscow Exchange MICEX</w:t>
            </w:r>
            <w:r w:rsidR="00D82506">
              <w:noBreakHyphen/>
            </w:r>
            <w:r w:rsidRPr="005702CA">
              <w:t>RTS</w:t>
            </w:r>
          </w:p>
        </w:tc>
      </w:tr>
      <w:tr w:rsidR="00B543F6" w:rsidRPr="00361AC4" w14:paraId="4E85739B" w14:textId="77777777" w:rsidTr="00D53133">
        <w:tc>
          <w:tcPr>
            <w:tcW w:w="478" w:type="pct"/>
            <w:shd w:val="clear" w:color="auto" w:fill="auto"/>
          </w:tcPr>
          <w:p w14:paraId="4B238186" w14:textId="77777777" w:rsidR="00B543F6" w:rsidRPr="005702CA" w:rsidRDefault="00526612" w:rsidP="00D82506">
            <w:pPr>
              <w:pStyle w:val="Tabletext"/>
            </w:pPr>
            <w:r>
              <w:t>148</w:t>
            </w:r>
          </w:p>
        </w:tc>
        <w:tc>
          <w:tcPr>
            <w:tcW w:w="4522" w:type="pct"/>
            <w:shd w:val="clear" w:color="auto" w:fill="auto"/>
          </w:tcPr>
          <w:p w14:paraId="2C2CD21D" w14:textId="77777777" w:rsidR="00B543F6" w:rsidRPr="005702CA" w:rsidRDefault="00B543F6" w:rsidP="00D82506">
            <w:pPr>
              <w:pStyle w:val="Tabletext"/>
            </w:pPr>
            <w:r w:rsidRPr="005702CA">
              <w:t xml:space="preserve">The </w:t>
            </w:r>
            <w:r w:rsidR="00056543">
              <w:t>e</w:t>
            </w:r>
            <w:r w:rsidRPr="005702CA">
              <w:t xml:space="preserve">quity and </w:t>
            </w:r>
            <w:r w:rsidR="00056543">
              <w:t>b</w:t>
            </w:r>
            <w:r w:rsidRPr="005702CA">
              <w:t>ond market operated by Moscow Exchange MICEX</w:t>
            </w:r>
            <w:r w:rsidR="00D82506">
              <w:noBreakHyphen/>
            </w:r>
            <w:r w:rsidRPr="005702CA">
              <w:t>RTS</w:t>
            </w:r>
          </w:p>
        </w:tc>
      </w:tr>
      <w:tr w:rsidR="00B543F6" w:rsidRPr="00361AC4" w14:paraId="293301C1" w14:textId="77777777" w:rsidTr="00D53133">
        <w:tc>
          <w:tcPr>
            <w:tcW w:w="478" w:type="pct"/>
            <w:shd w:val="clear" w:color="auto" w:fill="auto"/>
          </w:tcPr>
          <w:p w14:paraId="70B0EFAD" w14:textId="77777777" w:rsidR="00B543F6" w:rsidRPr="005702CA" w:rsidRDefault="00526612" w:rsidP="00D82506">
            <w:pPr>
              <w:pStyle w:val="Tabletext"/>
            </w:pPr>
            <w:r>
              <w:t>149</w:t>
            </w:r>
          </w:p>
        </w:tc>
        <w:tc>
          <w:tcPr>
            <w:tcW w:w="4522" w:type="pct"/>
            <w:shd w:val="clear" w:color="auto" w:fill="auto"/>
          </w:tcPr>
          <w:p w14:paraId="4EE7AF0A" w14:textId="77777777" w:rsidR="00B543F6" w:rsidRPr="004D36C7" w:rsidRDefault="00B543F6" w:rsidP="002D0829">
            <w:pPr>
              <w:pStyle w:val="Tabletext"/>
            </w:pPr>
            <w:r w:rsidRPr="005702CA">
              <w:t xml:space="preserve">The </w:t>
            </w:r>
            <w:r w:rsidR="00056543">
              <w:t>e</w:t>
            </w:r>
            <w:r w:rsidRPr="005702CA">
              <w:t xml:space="preserve">quity </w:t>
            </w:r>
            <w:r w:rsidR="00056543">
              <w:t>d</w:t>
            </w:r>
            <w:r w:rsidRPr="005702CA">
              <w:t xml:space="preserve">erivatives </w:t>
            </w:r>
            <w:r w:rsidR="00056543">
              <w:t>m</w:t>
            </w:r>
            <w:r w:rsidRPr="005702CA">
              <w:t>arket operated by the Johannesburg Stock Exchange Limited</w:t>
            </w:r>
          </w:p>
        </w:tc>
      </w:tr>
      <w:tr w:rsidR="00B543F6" w:rsidRPr="00361AC4" w14:paraId="294E5B8D" w14:textId="77777777" w:rsidTr="00D53133">
        <w:tc>
          <w:tcPr>
            <w:tcW w:w="478" w:type="pct"/>
            <w:shd w:val="clear" w:color="auto" w:fill="auto"/>
          </w:tcPr>
          <w:p w14:paraId="24D70AE7" w14:textId="77777777" w:rsidR="00B543F6" w:rsidRPr="005702CA" w:rsidRDefault="00526612" w:rsidP="00D82506">
            <w:pPr>
              <w:pStyle w:val="Tabletext"/>
            </w:pPr>
            <w:r>
              <w:t>150</w:t>
            </w:r>
          </w:p>
        </w:tc>
        <w:tc>
          <w:tcPr>
            <w:tcW w:w="4522" w:type="pct"/>
            <w:shd w:val="clear" w:color="auto" w:fill="auto"/>
          </w:tcPr>
          <w:p w14:paraId="68CA05D3" w14:textId="77777777" w:rsidR="00B543F6" w:rsidRPr="005702CA" w:rsidRDefault="00B543F6" w:rsidP="00D82506">
            <w:pPr>
              <w:pStyle w:val="Tabletext"/>
            </w:pPr>
            <w:r w:rsidRPr="005702CA">
              <w:t>The London Metal Exchange</w:t>
            </w:r>
          </w:p>
        </w:tc>
      </w:tr>
      <w:tr w:rsidR="00B543F6" w:rsidRPr="00361AC4" w14:paraId="63D09BED" w14:textId="77777777" w:rsidTr="00D53133">
        <w:tc>
          <w:tcPr>
            <w:tcW w:w="478" w:type="pct"/>
            <w:shd w:val="clear" w:color="auto" w:fill="auto"/>
          </w:tcPr>
          <w:p w14:paraId="3E1AF947" w14:textId="77777777" w:rsidR="00B543F6" w:rsidRPr="005702CA" w:rsidRDefault="00526612" w:rsidP="00D82506">
            <w:pPr>
              <w:pStyle w:val="Tabletext"/>
            </w:pPr>
            <w:r>
              <w:t>151</w:t>
            </w:r>
          </w:p>
        </w:tc>
        <w:tc>
          <w:tcPr>
            <w:tcW w:w="4522" w:type="pct"/>
            <w:shd w:val="clear" w:color="auto" w:fill="auto"/>
          </w:tcPr>
          <w:p w14:paraId="2BD9F674" w14:textId="77777777" w:rsidR="00B543F6" w:rsidRPr="005702CA" w:rsidRDefault="00B543F6" w:rsidP="00D82506">
            <w:pPr>
              <w:pStyle w:val="Tabletext"/>
            </w:pPr>
            <w:r w:rsidRPr="005702CA">
              <w:t>The London Stock Exchange Derivatives Market</w:t>
            </w:r>
          </w:p>
        </w:tc>
      </w:tr>
      <w:tr w:rsidR="00B543F6" w:rsidRPr="00361AC4" w14:paraId="452D7AC6" w14:textId="77777777" w:rsidTr="00D53133">
        <w:tc>
          <w:tcPr>
            <w:tcW w:w="478" w:type="pct"/>
            <w:shd w:val="clear" w:color="auto" w:fill="auto"/>
          </w:tcPr>
          <w:p w14:paraId="54FAC07E" w14:textId="77777777" w:rsidR="00B543F6" w:rsidRPr="005702CA" w:rsidRDefault="00526612" w:rsidP="00D82506">
            <w:pPr>
              <w:pStyle w:val="Tabletext"/>
            </w:pPr>
            <w:r>
              <w:t>152</w:t>
            </w:r>
          </w:p>
        </w:tc>
        <w:tc>
          <w:tcPr>
            <w:tcW w:w="4522" w:type="pct"/>
            <w:shd w:val="clear" w:color="auto" w:fill="auto"/>
          </w:tcPr>
          <w:p w14:paraId="32B7831B" w14:textId="77777777" w:rsidR="00B543F6" w:rsidRPr="005702CA" w:rsidRDefault="00B543F6" w:rsidP="00D82506">
            <w:pPr>
              <w:pStyle w:val="Tabletext"/>
            </w:pPr>
            <w:r w:rsidRPr="005702CA">
              <w:t>The Main Market operated by the London Stock Exchange</w:t>
            </w:r>
          </w:p>
        </w:tc>
      </w:tr>
      <w:tr w:rsidR="00B543F6" w:rsidRPr="00361AC4" w14:paraId="6BD085C5" w14:textId="77777777" w:rsidTr="00D53133">
        <w:tc>
          <w:tcPr>
            <w:tcW w:w="478" w:type="pct"/>
            <w:shd w:val="clear" w:color="auto" w:fill="auto"/>
          </w:tcPr>
          <w:p w14:paraId="7CCBE135" w14:textId="77777777" w:rsidR="00B543F6" w:rsidRPr="005702CA" w:rsidRDefault="00526612" w:rsidP="00D82506">
            <w:pPr>
              <w:pStyle w:val="Tabletext"/>
            </w:pPr>
            <w:r>
              <w:t>153</w:t>
            </w:r>
          </w:p>
        </w:tc>
        <w:tc>
          <w:tcPr>
            <w:tcW w:w="4522" w:type="pct"/>
            <w:shd w:val="clear" w:color="auto" w:fill="auto"/>
          </w:tcPr>
          <w:p w14:paraId="348BA1F2" w14:textId="77777777" w:rsidR="00B543F6" w:rsidRPr="005702CA" w:rsidRDefault="00B543F6" w:rsidP="00D82506">
            <w:pPr>
              <w:pStyle w:val="Tabletext"/>
            </w:pPr>
            <w:r w:rsidRPr="005702CA">
              <w:t>The Official Market and Second Regulated Market operated by Wiener Börse AG</w:t>
            </w:r>
          </w:p>
        </w:tc>
      </w:tr>
      <w:tr w:rsidR="00B543F6" w:rsidRPr="00361AC4" w14:paraId="67C81056" w14:textId="77777777" w:rsidTr="00D53133">
        <w:tc>
          <w:tcPr>
            <w:tcW w:w="478" w:type="pct"/>
            <w:shd w:val="clear" w:color="auto" w:fill="auto"/>
          </w:tcPr>
          <w:p w14:paraId="39A8D3FF" w14:textId="77777777" w:rsidR="00B543F6" w:rsidRPr="005702CA" w:rsidRDefault="00526612" w:rsidP="00D82506">
            <w:pPr>
              <w:pStyle w:val="Tabletext"/>
            </w:pPr>
            <w:r>
              <w:t>154</w:t>
            </w:r>
          </w:p>
        </w:tc>
        <w:tc>
          <w:tcPr>
            <w:tcW w:w="4522" w:type="pct"/>
            <w:shd w:val="clear" w:color="auto" w:fill="auto"/>
          </w:tcPr>
          <w:p w14:paraId="1CD9BA2D" w14:textId="77777777" w:rsidR="00B543F6" w:rsidRPr="005702CA" w:rsidRDefault="00B543F6" w:rsidP="00D82506">
            <w:pPr>
              <w:pStyle w:val="Tabletext"/>
            </w:pPr>
            <w:r w:rsidRPr="005702CA">
              <w:t>The Options Clearing Corporation (OCC)</w:t>
            </w:r>
          </w:p>
        </w:tc>
      </w:tr>
      <w:tr w:rsidR="00B543F6" w:rsidRPr="00361AC4" w14:paraId="51C37895" w14:textId="77777777" w:rsidTr="00D53133">
        <w:tc>
          <w:tcPr>
            <w:tcW w:w="478" w:type="pct"/>
            <w:shd w:val="clear" w:color="auto" w:fill="auto"/>
          </w:tcPr>
          <w:p w14:paraId="012791BB" w14:textId="77777777" w:rsidR="00B543F6" w:rsidRPr="005702CA" w:rsidRDefault="00526612" w:rsidP="00D82506">
            <w:pPr>
              <w:pStyle w:val="Tabletext"/>
            </w:pPr>
            <w:r>
              <w:t>155</w:t>
            </w:r>
          </w:p>
        </w:tc>
        <w:tc>
          <w:tcPr>
            <w:tcW w:w="4522" w:type="pct"/>
            <w:shd w:val="clear" w:color="auto" w:fill="auto"/>
          </w:tcPr>
          <w:p w14:paraId="660E6848" w14:textId="77777777" w:rsidR="00B543F6" w:rsidRPr="005702CA" w:rsidRDefault="00B543F6" w:rsidP="00D82506">
            <w:pPr>
              <w:pStyle w:val="Tabletext"/>
            </w:pPr>
            <w:r w:rsidRPr="005702CA">
              <w:t>The SEHK Options Clearing House Limited (SEOCH)</w:t>
            </w:r>
          </w:p>
        </w:tc>
      </w:tr>
      <w:tr w:rsidR="00B543F6" w:rsidRPr="00361AC4" w14:paraId="24B47AEB" w14:textId="77777777" w:rsidTr="00D53133">
        <w:tc>
          <w:tcPr>
            <w:tcW w:w="478" w:type="pct"/>
            <w:shd w:val="clear" w:color="auto" w:fill="auto"/>
          </w:tcPr>
          <w:p w14:paraId="52F5DD0C" w14:textId="77777777" w:rsidR="00B543F6" w:rsidRPr="005702CA" w:rsidRDefault="00526612" w:rsidP="00D82506">
            <w:pPr>
              <w:pStyle w:val="Tabletext"/>
            </w:pPr>
            <w:r>
              <w:t>156</w:t>
            </w:r>
          </w:p>
        </w:tc>
        <w:tc>
          <w:tcPr>
            <w:tcW w:w="4522" w:type="pct"/>
            <w:shd w:val="clear" w:color="auto" w:fill="auto"/>
          </w:tcPr>
          <w:p w14:paraId="3D2DE4EF" w14:textId="77777777" w:rsidR="00B543F6" w:rsidRPr="005702CA" w:rsidRDefault="00B543F6" w:rsidP="00D82506">
            <w:pPr>
              <w:pStyle w:val="Tabletext"/>
            </w:pPr>
            <w:r w:rsidRPr="005702CA">
              <w:t>The Stock Exchange of Hong Kong Limited</w:t>
            </w:r>
          </w:p>
        </w:tc>
      </w:tr>
      <w:tr w:rsidR="00B543F6" w:rsidRPr="00361AC4" w14:paraId="49DEDAC8" w14:textId="77777777" w:rsidTr="00D53133">
        <w:tc>
          <w:tcPr>
            <w:tcW w:w="478" w:type="pct"/>
            <w:shd w:val="clear" w:color="auto" w:fill="auto"/>
          </w:tcPr>
          <w:p w14:paraId="3ADC57E6" w14:textId="77777777" w:rsidR="00B543F6" w:rsidRPr="005702CA" w:rsidRDefault="00526612" w:rsidP="00D82506">
            <w:pPr>
              <w:pStyle w:val="Tabletext"/>
            </w:pPr>
            <w:r>
              <w:t>157</w:t>
            </w:r>
          </w:p>
        </w:tc>
        <w:tc>
          <w:tcPr>
            <w:tcW w:w="4522" w:type="pct"/>
            <w:shd w:val="clear" w:color="auto" w:fill="auto"/>
          </w:tcPr>
          <w:p w14:paraId="3224D3D2" w14:textId="77777777" w:rsidR="00B543F6" w:rsidRPr="005702CA" w:rsidRDefault="00B543F6" w:rsidP="00D82506">
            <w:pPr>
              <w:pStyle w:val="Tabletext"/>
            </w:pPr>
            <w:r w:rsidRPr="005702CA">
              <w:t>Tokyo Commodity Exchange, Inc</w:t>
            </w:r>
          </w:p>
        </w:tc>
      </w:tr>
      <w:tr w:rsidR="00B543F6" w:rsidRPr="00361AC4" w14:paraId="24A1FF20" w14:textId="77777777" w:rsidTr="00D53133">
        <w:tc>
          <w:tcPr>
            <w:tcW w:w="478" w:type="pct"/>
            <w:shd w:val="clear" w:color="auto" w:fill="auto"/>
          </w:tcPr>
          <w:p w14:paraId="057C0D0A" w14:textId="77777777" w:rsidR="00B543F6" w:rsidRPr="005702CA" w:rsidRDefault="00526612" w:rsidP="00D82506">
            <w:pPr>
              <w:pStyle w:val="Tabletext"/>
            </w:pPr>
            <w:r>
              <w:t>158</w:t>
            </w:r>
          </w:p>
        </w:tc>
        <w:tc>
          <w:tcPr>
            <w:tcW w:w="4522" w:type="pct"/>
            <w:shd w:val="clear" w:color="auto" w:fill="auto"/>
          </w:tcPr>
          <w:p w14:paraId="030CFF12" w14:textId="77777777" w:rsidR="00B543F6" w:rsidRPr="005702CA" w:rsidRDefault="00B543F6" w:rsidP="00D82506">
            <w:pPr>
              <w:pStyle w:val="Tabletext"/>
            </w:pPr>
            <w:r w:rsidRPr="005702CA">
              <w:t>Tokyo Financial Exchange, Inc (TFX)</w:t>
            </w:r>
          </w:p>
        </w:tc>
      </w:tr>
      <w:tr w:rsidR="00B543F6" w:rsidRPr="00361AC4" w14:paraId="12C7A637" w14:textId="77777777" w:rsidTr="00D53133">
        <w:tc>
          <w:tcPr>
            <w:tcW w:w="478" w:type="pct"/>
            <w:shd w:val="clear" w:color="auto" w:fill="auto"/>
          </w:tcPr>
          <w:p w14:paraId="75C54132" w14:textId="77777777" w:rsidR="00B543F6" w:rsidRPr="005702CA" w:rsidRDefault="00526612" w:rsidP="00D82506">
            <w:pPr>
              <w:pStyle w:val="Tabletext"/>
            </w:pPr>
            <w:r>
              <w:t>159</w:t>
            </w:r>
          </w:p>
        </w:tc>
        <w:tc>
          <w:tcPr>
            <w:tcW w:w="4522" w:type="pct"/>
            <w:shd w:val="clear" w:color="auto" w:fill="auto"/>
          </w:tcPr>
          <w:p w14:paraId="2B631274" w14:textId="77777777" w:rsidR="00B543F6" w:rsidRPr="005702CA" w:rsidRDefault="00B543F6" w:rsidP="00D82506">
            <w:pPr>
              <w:pStyle w:val="Tabletext"/>
            </w:pPr>
            <w:r w:rsidRPr="005702CA">
              <w:t>Tokyo Stock Exchange, Inc. (TSE)</w:t>
            </w:r>
          </w:p>
        </w:tc>
      </w:tr>
      <w:tr w:rsidR="00B543F6" w:rsidRPr="00361AC4" w14:paraId="423C5B88" w14:textId="77777777" w:rsidTr="00D53133">
        <w:tc>
          <w:tcPr>
            <w:tcW w:w="478" w:type="pct"/>
            <w:shd w:val="clear" w:color="auto" w:fill="auto"/>
          </w:tcPr>
          <w:p w14:paraId="104036B1" w14:textId="77777777" w:rsidR="00B543F6" w:rsidRPr="005702CA" w:rsidRDefault="00526612" w:rsidP="00D82506">
            <w:pPr>
              <w:pStyle w:val="Tabletext"/>
            </w:pPr>
            <w:r>
              <w:t>160</w:t>
            </w:r>
          </w:p>
        </w:tc>
        <w:tc>
          <w:tcPr>
            <w:tcW w:w="4522" w:type="pct"/>
            <w:shd w:val="clear" w:color="auto" w:fill="auto"/>
          </w:tcPr>
          <w:p w14:paraId="0A7EEC4F" w14:textId="77777777" w:rsidR="00B543F6" w:rsidRPr="005702CA" w:rsidRDefault="00B543F6" w:rsidP="00D82506">
            <w:pPr>
              <w:pStyle w:val="Tabletext"/>
            </w:pPr>
            <w:r w:rsidRPr="005702CA">
              <w:t>Toronto Stock Exchange operated by TSX Inc.</w:t>
            </w:r>
          </w:p>
        </w:tc>
      </w:tr>
      <w:tr w:rsidR="00C35D61" w:rsidRPr="00361AC4" w14:paraId="573A0C44" w14:textId="77777777" w:rsidTr="0069065C">
        <w:tc>
          <w:tcPr>
            <w:tcW w:w="478" w:type="pct"/>
            <w:shd w:val="clear" w:color="auto" w:fill="auto"/>
          </w:tcPr>
          <w:p w14:paraId="2090392A" w14:textId="77777777" w:rsidR="00C35D61" w:rsidRPr="005702CA" w:rsidRDefault="00526612" w:rsidP="0069065C">
            <w:pPr>
              <w:pStyle w:val="Tabletext"/>
            </w:pPr>
            <w:r>
              <w:t>161</w:t>
            </w:r>
          </w:p>
        </w:tc>
        <w:tc>
          <w:tcPr>
            <w:tcW w:w="4522" w:type="pct"/>
            <w:shd w:val="clear" w:color="auto" w:fill="auto"/>
          </w:tcPr>
          <w:p w14:paraId="57EDC20B" w14:textId="77777777" w:rsidR="00C35D61" w:rsidRPr="005702CA" w:rsidRDefault="00C35D61" w:rsidP="0069065C">
            <w:pPr>
              <w:pStyle w:val="Tabletext"/>
            </w:pPr>
            <w:r w:rsidRPr="005702CA">
              <w:t>T</w:t>
            </w:r>
            <w:r>
              <w:t>radeWeb EU B.V.</w:t>
            </w:r>
          </w:p>
        </w:tc>
      </w:tr>
      <w:tr w:rsidR="00002F77" w:rsidRPr="00361AC4" w14:paraId="74355EA8" w14:textId="77777777" w:rsidTr="00002F77">
        <w:tc>
          <w:tcPr>
            <w:tcW w:w="478" w:type="pct"/>
            <w:shd w:val="clear" w:color="auto" w:fill="auto"/>
          </w:tcPr>
          <w:p w14:paraId="68F57899" w14:textId="77777777" w:rsidR="00002F77" w:rsidRPr="005702CA" w:rsidRDefault="00526612" w:rsidP="00002F77">
            <w:pPr>
              <w:pStyle w:val="Tabletext"/>
            </w:pPr>
            <w:r>
              <w:t>162</w:t>
            </w:r>
          </w:p>
        </w:tc>
        <w:tc>
          <w:tcPr>
            <w:tcW w:w="4522" w:type="pct"/>
            <w:shd w:val="clear" w:color="auto" w:fill="auto"/>
          </w:tcPr>
          <w:p w14:paraId="2C207500" w14:textId="77777777" w:rsidR="00002F77" w:rsidRPr="005702CA" w:rsidRDefault="00002F77" w:rsidP="00002F77">
            <w:pPr>
              <w:pStyle w:val="Tabletext"/>
            </w:pPr>
            <w:r w:rsidRPr="005702CA">
              <w:t>T</w:t>
            </w:r>
            <w:r>
              <w:t>radeWeb Europe Limited</w:t>
            </w:r>
          </w:p>
        </w:tc>
      </w:tr>
      <w:tr w:rsidR="00DE6407" w:rsidRPr="00361AC4" w14:paraId="659BD402" w14:textId="77777777" w:rsidTr="0069065C">
        <w:tc>
          <w:tcPr>
            <w:tcW w:w="478" w:type="pct"/>
            <w:shd w:val="clear" w:color="auto" w:fill="auto"/>
          </w:tcPr>
          <w:p w14:paraId="3E7D552F" w14:textId="77777777" w:rsidR="00DE6407" w:rsidRPr="005702CA" w:rsidRDefault="00526612" w:rsidP="0069065C">
            <w:pPr>
              <w:pStyle w:val="Tabletext"/>
            </w:pPr>
            <w:r>
              <w:t>163</w:t>
            </w:r>
          </w:p>
        </w:tc>
        <w:tc>
          <w:tcPr>
            <w:tcW w:w="4522" w:type="pct"/>
            <w:shd w:val="clear" w:color="auto" w:fill="auto"/>
          </w:tcPr>
          <w:p w14:paraId="6939B32E" w14:textId="77777777" w:rsidR="00DE6407" w:rsidRPr="005702CA" w:rsidRDefault="00DE6407" w:rsidP="0069065C">
            <w:pPr>
              <w:pStyle w:val="Tabletext"/>
            </w:pPr>
            <w:r w:rsidRPr="005702CA">
              <w:t>T</w:t>
            </w:r>
            <w:r>
              <w:t>riOptima AB</w:t>
            </w:r>
          </w:p>
        </w:tc>
      </w:tr>
      <w:tr w:rsidR="009E4473" w:rsidRPr="00361AC4" w14:paraId="704DB67C" w14:textId="77777777" w:rsidTr="0069065C">
        <w:tc>
          <w:tcPr>
            <w:tcW w:w="478" w:type="pct"/>
            <w:shd w:val="clear" w:color="auto" w:fill="auto"/>
          </w:tcPr>
          <w:p w14:paraId="26214AF0" w14:textId="77777777" w:rsidR="009E4473" w:rsidRPr="005702CA" w:rsidRDefault="00526612" w:rsidP="0069065C">
            <w:pPr>
              <w:pStyle w:val="Tabletext"/>
            </w:pPr>
            <w:r>
              <w:t>164</w:t>
            </w:r>
          </w:p>
        </w:tc>
        <w:tc>
          <w:tcPr>
            <w:tcW w:w="4522" w:type="pct"/>
            <w:shd w:val="clear" w:color="auto" w:fill="auto"/>
          </w:tcPr>
          <w:p w14:paraId="6644967A" w14:textId="77777777" w:rsidR="009E4473" w:rsidRPr="005702CA" w:rsidRDefault="009E4473" w:rsidP="0069065C">
            <w:pPr>
              <w:pStyle w:val="Tabletext"/>
            </w:pPr>
            <w:r>
              <w:t>Tullett Prebon (Australia) Pty Ltd</w:t>
            </w:r>
          </w:p>
        </w:tc>
      </w:tr>
      <w:tr w:rsidR="00002F77" w:rsidRPr="00361AC4" w14:paraId="7171C0E6" w14:textId="77777777" w:rsidTr="00002F77">
        <w:tc>
          <w:tcPr>
            <w:tcW w:w="478" w:type="pct"/>
            <w:shd w:val="clear" w:color="auto" w:fill="auto"/>
          </w:tcPr>
          <w:p w14:paraId="705EB006" w14:textId="77777777" w:rsidR="00002F77" w:rsidRPr="005702CA" w:rsidRDefault="00526612" w:rsidP="00002F77">
            <w:pPr>
              <w:pStyle w:val="Tabletext"/>
            </w:pPr>
            <w:r>
              <w:t>165</w:t>
            </w:r>
          </w:p>
        </w:tc>
        <w:tc>
          <w:tcPr>
            <w:tcW w:w="4522" w:type="pct"/>
            <w:shd w:val="clear" w:color="auto" w:fill="auto"/>
          </w:tcPr>
          <w:p w14:paraId="7B93D57B" w14:textId="77777777" w:rsidR="00002F77" w:rsidRPr="005702CA" w:rsidRDefault="00002F77" w:rsidP="00002F77">
            <w:pPr>
              <w:pStyle w:val="Tabletext"/>
            </w:pPr>
            <w:r w:rsidRPr="005702CA">
              <w:t>T</w:t>
            </w:r>
            <w:r>
              <w:t>W SEF LLC</w:t>
            </w:r>
          </w:p>
        </w:tc>
      </w:tr>
      <w:tr w:rsidR="00B543F6" w:rsidRPr="00361AC4" w14:paraId="4E93443E" w14:textId="77777777" w:rsidTr="00D53133">
        <w:tc>
          <w:tcPr>
            <w:tcW w:w="478" w:type="pct"/>
            <w:tcBorders>
              <w:bottom w:val="single" w:sz="2" w:space="0" w:color="auto"/>
            </w:tcBorders>
            <w:shd w:val="clear" w:color="auto" w:fill="auto"/>
          </w:tcPr>
          <w:p w14:paraId="34022314" w14:textId="77777777" w:rsidR="00B543F6" w:rsidRPr="005702CA" w:rsidRDefault="00526612" w:rsidP="00D82506">
            <w:pPr>
              <w:pStyle w:val="Tabletext"/>
            </w:pPr>
            <w:r>
              <w:t>166</w:t>
            </w:r>
          </w:p>
        </w:tc>
        <w:tc>
          <w:tcPr>
            <w:tcW w:w="4522" w:type="pct"/>
            <w:tcBorders>
              <w:bottom w:val="single" w:sz="2" w:space="0" w:color="auto"/>
            </w:tcBorders>
            <w:shd w:val="clear" w:color="auto" w:fill="auto"/>
          </w:tcPr>
          <w:p w14:paraId="510882EB" w14:textId="77777777" w:rsidR="00B543F6" w:rsidRPr="005702CA" w:rsidRDefault="00B543F6" w:rsidP="00D82506">
            <w:pPr>
              <w:pStyle w:val="Tabletext"/>
            </w:pPr>
            <w:r w:rsidRPr="005702CA">
              <w:t>Warsaw Stock Exchange (GPW)</w:t>
            </w:r>
          </w:p>
        </w:tc>
      </w:tr>
      <w:tr w:rsidR="00B543F6" w:rsidRPr="00361AC4" w14:paraId="51F467FE" w14:textId="77777777" w:rsidTr="00D53133"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ADD452" w14:textId="77777777" w:rsidR="00B543F6" w:rsidRPr="005702CA" w:rsidRDefault="00526612" w:rsidP="00D82506">
            <w:pPr>
              <w:pStyle w:val="Tabletext"/>
            </w:pPr>
            <w:r>
              <w:t>167</w:t>
            </w:r>
          </w:p>
        </w:tc>
        <w:tc>
          <w:tcPr>
            <w:tcW w:w="45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B70070" w14:textId="77777777" w:rsidR="00B543F6" w:rsidRDefault="00B543F6" w:rsidP="00D82506">
            <w:pPr>
              <w:pStyle w:val="Tabletext"/>
            </w:pPr>
            <w:r w:rsidRPr="005702CA">
              <w:t>A body</w:t>
            </w:r>
            <w:r>
              <w:t xml:space="preserve"> or entity</w:t>
            </w:r>
            <w:r w:rsidRPr="005702CA">
              <w:t xml:space="preserve"> that performs clearing house functions, in relation to an approved body </w:t>
            </w:r>
            <w:r>
              <w:t xml:space="preserve">(covered by another item of this table) </w:t>
            </w:r>
            <w:r w:rsidRPr="005702CA">
              <w:t>that does not itself perform those functions, in accordance with</w:t>
            </w:r>
            <w:r>
              <w:t>:</w:t>
            </w:r>
          </w:p>
          <w:p w14:paraId="4498C0CD" w14:textId="77777777" w:rsidR="00B543F6" w:rsidRDefault="00B543F6" w:rsidP="00D82506">
            <w:pPr>
              <w:pStyle w:val="Tablea"/>
            </w:pPr>
            <w:r>
              <w:t xml:space="preserve">(a) </w:t>
            </w:r>
            <w:r w:rsidRPr="005702CA">
              <w:t>the rules of the approved body</w:t>
            </w:r>
            <w:r>
              <w:t>;</w:t>
            </w:r>
            <w:r w:rsidRPr="005702CA">
              <w:t xml:space="preserve"> or</w:t>
            </w:r>
          </w:p>
          <w:p w14:paraId="33294979" w14:textId="77777777" w:rsidR="00B543F6" w:rsidRPr="0003751E" w:rsidRDefault="00B543F6" w:rsidP="00D82506">
            <w:pPr>
              <w:pStyle w:val="Tablea"/>
            </w:pPr>
            <w:r>
              <w:t xml:space="preserve">(b) </w:t>
            </w:r>
            <w:r w:rsidRPr="005702CA">
              <w:t xml:space="preserve">a law </w:t>
            </w:r>
            <w:r>
              <w:t>of the Commonwealth, a State, a Territory or a foreign country (</w:t>
            </w:r>
            <w:r w:rsidRPr="006A0F6B">
              <w:t>inclu</w:t>
            </w:r>
            <w:r w:rsidRPr="001B0CC2">
              <w:t>ding a part of a foreign country</w:t>
            </w:r>
            <w:r w:rsidRPr="005702CA">
              <w:t>)</w:t>
            </w:r>
          </w:p>
        </w:tc>
      </w:tr>
    </w:tbl>
    <w:p w14:paraId="28466E97" w14:textId="77777777" w:rsidR="00056543" w:rsidRDefault="00056543">
      <w:bookmarkStart w:id="27" w:name="CU_2646758"/>
      <w:bookmarkStart w:id="28" w:name="CU_5348120"/>
      <w:bookmarkEnd w:id="27"/>
      <w:bookmarkEnd w:id="28"/>
    </w:p>
    <w:p w14:paraId="310D5F3D" w14:textId="77777777" w:rsidR="00526612" w:rsidRPr="00526612" w:rsidRDefault="00526612" w:rsidP="00526612">
      <w:pPr>
        <w:pStyle w:val="Tabletext"/>
        <w:sectPr w:rsidR="00526612" w:rsidRPr="00526612" w:rsidSect="00B543F6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90B6C77" w14:textId="77777777" w:rsidR="00B543F6" w:rsidRDefault="00B543F6" w:rsidP="004C334B"/>
    <w:sectPr w:rsidR="00B543F6" w:rsidSect="00B543F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F928" w14:textId="77777777" w:rsidR="00594B22" w:rsidRDefault="00594B22" w:rsidP="00715914">
      <w:pPr>
        <w:spacing w:line="240" w:lineRule="auto"/>
      </w:pPr>
      <w:r>
        <w:separator/>
      </w:r>
    </w:p>
  </w:endnote>
  <w:endnote w:type="continuationSeparator" w:id="0">
    <w:p w14:paraId="1937DCA8" w14:textId="77777777" w:rsidR="00594B22" w:rsidRDefault="00594B2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11159F" w14:paraId="0F8F3976" w14:textId="77777777" w:rsidTr="00721C0A">
      <w:tc>
        <w:tcPr>
          <w:tcW w:w="8472" w:type="dxa"/>
        </w:tcPr>
        <w:p w14:paraId="6342AA61" w14:textId="77777777" w:rsidR="0011159F" w:rsidRDefault="0011159F" w:rsidP="00B543F6">
          <w:pPr>
            <w:spacing w:before="120"/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49C1EC4" w14:textId="77777777" w:rsidR="0011159F" w:rsidRPr="007500C8" w:rsidRDefault="0011159F" w:rsidP="00335BC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BF6EAEC" wp14:editId="5A9F505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5F167" w14:textId="77777777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6EAE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0DE5F167" w14:textId="77777777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6616" w14:textId="77777777" w:rsidR="0011159F" w:rsidRPr="00D675F1" w:rsidRDefault="0011159F" w:rsidP="00B543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1159F" w14:paraId="6096DB6C" w14:textId="77777777" w:rsidTr="00D82506">
      <w:tc>
        <w:tcPr>
          <w:tcW w:w="947" w:type="pct"/>
        </w:tcPr>
        <w:p w14:paraId="1380358F" w14:textId="77777777" w:rsidR="0011159F" w:rsidRDefault="0011159F" w:rsidP="00D825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8936114" w14:textId="77777777" w:rsidR="0011159F" w:rsidRDefault="0011159F" w:rsidP="00D825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00039A" w14:textId="77777777" w:rsidR="0011159F" w:rsidRDefault="0011159F" w:rsidP="00D825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9F" w14:paraId="6212600B" w14:textId="77777777" w:rsidTr="00D82506">
      <w:tc>
        <w:tcPr>
          <w:tcW w:w="5000" w:type="pct"/>
          <w:gridSpan w:val="3"/>
        </w:tcPr>
        <w:p w14:paraId="166CAC15" w14:textId="77777777" w:rsidR="0011159F" w:rsidRDefault="0011159F" w:rsidP="00D82506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5FB6B99" w14:textId="77777777" w:rsidR="0011159F" w:rsidRPr="00D675F1" w:rsidRDefault="0011159F" w:rsidP="00D82506">
    <w:pPr>
      <w:rPr>
        <w:sz w:val="18"/>
      </w:rPr>
    </w:pPr>
  </w:p>
  <w:p w14:paraId="495BB21C" w14:textId="77777777" w:rsidR="0011159F" w:rsidRPr="00D675F1" w:rsidRDefault="0011159F" w:rsidP="00D8250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92032" behindDoc="1" locked="1" layoutInCell="1" allowOverlap="1" wp14:anchorId="2B479969" wp14:editId="74D517F3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5773003" cy="395785"/>
              <wp:effectExtent l="0" t="0" r="0" b="4445"/>
              <wp:wrapNone/>
              <wp:docPr id="638" name="Text Box 63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EE698" w14:textId="7E48D725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79969" id="_x0000_t202" coordsize="21600,21600" o:spt="202" path="m,l,21600r21600,l21600,xe">
              <v:stroke joinstyle="miter"/>
              <v:path gradientshapeok="t" o:connecttype="rect"/>
            </v:shapetype>
            <v:shape id="Text Box 638" o:spid="_x0000_s1041" type="#_x0000_t202" alt="Sec-Footerprimary" style="position:absolute;margin-left:0;margin-top:.1pt;width:454.55pt;height:31.15pt;z-index:-2516244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" stroked="f" strokeweight=".5pt">
              <v:textbox>
                <w:txbxContent>
                  <w:p w14:paraId="295EE698" w14:textId="7E48D725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2EA4" w14:textId="77777777" w:rsidR="0011159F" w:rsidRDefault="0011159F">
    <w:pPr>
      <w:pBdr>
        <w:top w:val="single" w:sz="6" w:space="1" w:color="auto"/>
      </w:pBdr>
      <w:rPr>
        <w:sz w:val="18"/>
      </w:rPr>
    </w:pPr>
  </w:p>
  <w:p w14:paraId="43C5F3C3" w14:textId="77777777" w:rsidR="0011159F" w:rsidRDefault="0011159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E4FFE">
      <w:rPr>
        <w:i/>
        <w:noProof/>
        <w:sz w:val="18"/>
      </w:rPr>
      <w:t>Life Insurance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E4FF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1C2563CC" w14:textId="77777777" w:rsidR="0011159F" w:rsidRDefault="0011159F">
    <w:pPr>
      <w:rPr>
        <w:i/>
        <w:sz w:val="18"/>
      </w:rPr>
    </w:pPr>
    <w:r w:rsidRPr="00794164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1FE85F06" wp14:editId="30921AB5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5773003" cy="395785"/>
              <wp:effectExtent l="0" t="0" r="0" b="4445"/>
              <wp:wrapNone/>
              <wp:docPr id="640" name="Text Box 640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B2FDA" w14:textId="77777777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85F06" id="_x0000_t202" coordsize="21600,21600" o:spt="202" path="m,l,21600r21600,l21600,xe">
              <v:stroke joinstyle="miter"/>
              <v:path gradientshapeok="t" o:connecttype="rect"/>
            </v:shapetype>
            <v:shape id="Text Box 640" o:spid="_x0000_s1043" type="#_x0000_t202" alt="Sec-Footerfirstpage" style="position:absolute;margin-left:0;margin-top:.1pt;width:454.55pt;height:31.15pt;z-index:-2516234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lXgQ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" stroked="f" strokeweight=".5pt">
              <v:textbox>
                <w:txbxContent>
                  <w:p w14:paraId="5EEB2FDA" w14:textId="77777777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C1C1" w14:textId="77777777" w:rsidR="0011159F" w:rsidRPr="00E33C1C" w:rsidRDefault="0011159F" w:rsidP="00B543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159F" w14:paraId="70EAD76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6DF397" w14:textId="77777777" w:rsidR="0011159F" w:rsidRDefault="0011159F" w:rsidP="00721C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269F9A" w14:textId="77777777" w:rsidR="0011159F" w:rsidRDefault="0011159F" w:rsidP="00721C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C5B62E" w14:textId="77777777" w:rsidR="0011159F" w:rsidRDefault="0011159F" w:rsidP="00721C0A">
          <w:pPr>
            <w:spacing w:line="0" w:lineRule="atLeast"/>
            <w:jc w:val="right"/>
            <w:rPr>
              <w:sz w:val="18"/>
            </w:rPr>
          </w:pPr>
        </w:p>
      </w:tc>
    </w:tr>
    <w:tr w:rsidR="0011159F" w14:paraId="7848463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5587D1" w14:textId="77777777" w:rsidR="0011159F" w:rsidRDefault="0011159F" w:rsidP="00721C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7B9F450" w14:textId="77777777" w:rsidR="0011159F" w:rsidRPr="00ED79B6" w:rsidRDefault="0011159F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57BF7ADC" wp14:editId="67D920D6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5F300" w14:textId="77777777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F7AD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6" type="#_x0000_t202" alt="Sec-Footerevenpage" style="position:absolute;margin-left:0;margin-top:0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SLfwIAAG4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WLgJR2mmYhPS6h22BkOuqHxls8Vlu+e+fDEHE4JNgNOfnjEQ2rA7ENP&#10;UbIG9+tv7xGPzYtcShqcupL6nxvmBCX6q8G2vhqcn8cxTZfz8QS9Ie6UszzlmE19C9gVA9wxlicy&#10;4oPek9JB/YILYhatIosZjrZLGvbkbeh2AS4YLmazBMLBtCzcm4XlUXVMc2zO5/aFOdt3cMDef4D9&#10;fLLiTSN32ChpYLYJIFXq8mNW+wLgUKc56RdQ3Bqn94Q6rsnpKwA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u8WUi3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35F5F300" w14:textId="77777777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40F7" w14:textId="77777777" w:rsidR="0011159F" w:rsidRPr="00E33C1C" w:rsidRDefault="0011159F" w:rsidP="00B543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159F" w14:paraId="70DB50B4" w14:textId="77777777" w:rsidTr="00721C0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D1E8D2" w14:textId="77777777" w:rsidR="0011159F" w:rsidRDefault="0011159F" w:rsidP="00721C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D96C3" w14:textId="77777777" w:rsidR="0011159F" w:rsidRDefault="0011159F" w:rsidP="00721C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D5B7C" w14:textId="77777777" w:rsidR="0011159F" w:rsidRDefault="0011159F" w:rsidP="00721C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9F" w14:paraId="199C8F1D" w14:textId="77777777" w:rsidTr="00721C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B3ED1F" w14:textId="77777777" w:rsidR="0011159F" w:rsidRDefault="0011159F" w:rsidP="00721C0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62AFEA3" w14:textId="77777777" w:rsidR="0011159F" w:rsidRPr="00ED79B6" w:rsidRDefault="0011159F" w:rsidP="00472DBE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FCDA68F" wp14:editId="5F7B763E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37919" w14:textId="77777777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DA68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7" type="#_x0000_t202" alt="Sec-Footerprimary" style="position:absolute;margin-left:0;margin-top:0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tefw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psIJyj8xw0A6Nt3yh8PnumQ9PzOGUIBlw8sMjHlIDdh86&#10;iZINuF9/+x7xSF7UUlLj1BXU/9wyJyjRXw3S+ro3HMYxTZfhaNzHizvXrM41ZlvNAVnRwx1jeRIj&#10;PuiDKB1UL7ggZjEqqpjhGLug4SDOQ7sLcMFwMZslEA6mZeHeLC2PrmObIzmfmxfmbMfggNx/gMN8&#10;sskbIrfYaGlgtg0gVWJ5bHTb1e4BcKjTnHQLKG6N83tCndb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xHfbXn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18037919" w14:textId="77777777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804E" w14:textId="77777777" w:rsidR="0011159F" w:rsidRPr="00E33C1C" w:rsidRDefault="0011159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159F" w14:paraId="4818907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7AF066" w14:textId="77777777" w:rsidR="0011159F" w:rsidRDefault="0011159F" w:rsidP="00721C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655E82" w14:textId="77777777" w:rsidR="0011159F" w:rsidRDefault="0011159F" w:rsidP="00721C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778F8" w14:textId="77777777" w:rsidR="0011159F" w:rsidRDefault="0011159F" w:rsidP="00721C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9F" w14:paraId="3682254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6B2548" w14:textId="77777777" w:rsidR="0011159F" w:rsidRDefault="0011159F" w:rsidP="00721C0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9DC103F" w14:textId="77777777" w:rsidR="0011159F" w:rsidRPr="00ED79B6" w:rsidRDefault="0011159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CC24" w14:textId="77777777" w:rsidR="0011159F" w:rsidRDefault="0011159F" w:rsidP="00B543F6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11159F" w14:paraId="185B0F26" w14:textId="77777777" w:rsidTr="00721C0A">
      <w:tc>
        <w:tcPr>
          <w:tcW w:w="8472" w:type="dxa"/>
        </w:tcPr>
        <w:p w14:paraId="03817466" w14:textId="77777777" w:rsidR="0011159F" w:rsidRDefault="0011159F" w:rsidP="00721C0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860F114" w14:textId="77777777" w:rsidR="0011159F" w:rsidRPr="007500C8" w:rsidRDefault="0011159F" w:rsidP="007500C8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CDA66C3" wp14:editId="51A5070D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84C39" w14:textId="7430534F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A66C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20884C39" w14:textId="7430534F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BA82" w14:textId="77777777" w:rsidR="0011159F" w:rsidRPr="00ED79B6" w:rsidRDefault="0011159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5333" w14:textId="77777777" w:rsidR="0011159F" w:rsidRPr="00E33C1C" w:rsidRDefault="0011159F" w:rsidP="00B543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159F" w14:paraId="6C97235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699E3F" w14:textId="77777777" w:rsidR="0011159F" w:rsidRDefault="0011159F" w:rsidP="00721C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E8C51A" w14:textId="77777777" w:rsidR="0011159F" w:rsidRDefault="0011159F" w:rsidP="00721C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DE7E11" w14:textId="77777777" w:rsidR="0011159F" w:rsidRDefault="0011159F" w:rsidP="00721C0A">
          <w:pPr>
            <w:spacing w:line="0" w:lineRule="atLeast"/>
            <w:jc w:val="right"/>
            <w:rPr>
              <w:sz w:val="18"/>
            </w:rPr>
          </w:pPr>
        </w:p>
      </w:tc>
    </w:tr>
    <w:tr w:rsidR="0011159F" w14:paraId="271914D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32F620" w14:textId="77777777" w:rsidR="0011159F" w:rsidRDefault="0011159F" w:rsidP="00721C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8419FFA" w14:textId="77777777" w:rsidR="0011159F" w:rsidRPr="00ED79B6" w:rsidRDefault="0011159F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2E19C16" wp14:editId="042DE46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63152" w14:textId="77777777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19C1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3763152" w14:textId="77777777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5DDA" w14:textId="77777777" w:rsidR="0011159F" w:rsidRPr="00E33C1C" w:rsidRDefault="0011159F" w:rsidP="00B543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1159F" w14:paraId="12DB855B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9481A8" w14:textId="77777777" w:rsidR="0011159F" w:rsidRDefault="0011159F" w:rsidP="00721C0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33F07D7" w14:textId="77777777" w:rsidR="0011159F" w:rsidRDefault="0011159F" w:rsidP="00721C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1C75AF" w14:textId="77777777" w:rsidR="0011159F" w:rsidRDefault="0011159F" w:rsidP="00721C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9F" w14:paraId="789B321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97B22E" w14:textId="77777777" w:rsidR="0011159F" w:rsidRDefault="0011159F" w:rsidP="00721C0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4DCF8E9" w14:textId="77777777" w:rsidR="0011159F" w:rsidRPr="00ED79B6" w:rsidRDefault="0011159F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FA089FA" wp14:editId="7CDA22FE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537F1" w14:textId="3910FBBB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089F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785537F1" w14:textId="3910FBBB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349A" w14:textId="77777777" w:rsidR="0011159F" w:rsidRPr="00E33C1C" w:rsidRDefault="0011159F" w:rsidP="00B543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1159F" w14:paraId="0620E073" w14:textId="77777777" w:rsidTr="00D8250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026F30D" w14:textId="77777777" w:rsidR="0011159F" w:rsidRDefault="0011159F" w:rsidP="00D8250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1472458" w14:textId="77777777" w:rsidR="0011159F" w:rsidRDefault="0011159F" w:rsidP="00D825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14A3004" w14:textId="77777777" w:rsidR="0011159F" w:rsidRDefault="0011159F" w:rsidP="00D82506">
          <w:pPr>
            <w:spacing w:line="0" w:lineRule="atLeast"/>
            <w:jc w:val="right"/>
            <w:rPr>
              <w:sz w:val="18"/>
            </w:rPr>
          </w:pPr>
        </w:p>
      </w:tc>
    </w:tr>
    <w:tr w:rsidR="0011159F" w14:paraId="1AF6A9EB" w14:textId="77777777" w:rsidTr="00D825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64F4AD5" w14:textId="77777777" w:rsidR="0011159F" w:rsidRDefault="0011159F" w:rsidP="00D8250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3E15C5D" w14:textId="77777777" w:rsidR="0011159F" w:rsidRPr="00ED79B6" w:rsidRDefault="0011159F" w:rsidP="00D82506">
    <w:pPr>
      <w:rPr>
        <w:i/>
        <w:sz w:val="18"/>
      </w:rPr>
    </w:pPr>
  </w:p>
  <w:p w14:paraId="77A113E7" w14:textId="77777777" w:rsidR="0011159F" w:rsidRPr="00794164" w:rsidRDefault="0011159F" w:rsidP="00D8250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1E0FE263" wp14:editId="626CA3D0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5773003" cy="395785"/>
              <wp:effectExtent l="0" t="0" r="0" b="4445"/>
              <wp:wrapNone/>
              <wp:docPr id="632" name="Text Box 63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E46D1" w14:textId="21E943C8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FE263" id="_x0000_t202" coordsize="21600,21600" o:spt="202" path="m,l,21600r21600,l21600,xe">
              <v:stroke joinstyle="miter"/>
              <v:path gradientshapeok="t" o:connecttype="rect"/>
            </v:shapetype>
            <v:shape id="Text Box 632" o:spid="_x0000_s1036" type="#_x0000_t202" alt="Sec-Footerevenpage" style="position:absolute;margin-left:0;margin-top:.1pt;width:454.55pt;height:31.15pt;z-index:-2516285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" stroked="f" strokeweight=".5pt">
              <v:textbox>
                <w:txbxContent>
                  <w:p w14:paraId="4B4E46D1" w14:textId="21E943C8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A4B4" w14:textId="77777777" w:rsidR="0011159F" w:rsidRPr="00E33C1C" w:rsidRDefault="0011159F" w:rsidP="00B543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1159F" w14:paraId="5B15CF91" w14:textId="77777777" w:rsidTr="00D8250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4F34C8F" w14:textId="77777777" w:rsidR="0011159F" w:rsidRDefault="0011159F" w:rsidP="00D8250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4CCC226" w14:textId="77777777" w:rsidR="0011159F" w:rsidRDefault="0011159F" w:rsidP="00D825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E40E81F" w14:textId="77777777" w:rsidR="0011159F" w:rsidRDefault="0011159F" w:rsidP="00D825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9F" w14:paraId="2966CFEF" w14:textId="77777777" w:rsidTr="00D825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C8D380" w14:textId="77777777" w:rsidR="0011159F" w:rsidRDefault="0011159F" w:rsidP="00D82506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843D62B" w14:textId="77777777" w:rsidR="0011159F" w:rsidRPr="00ED79B6" w:rsidRDefault="0011159F" w:rsidP="00D82506">
    <w:pPr>
      <w:rPr>
        <w:i/>
        <w:sz w:val="18"/>
      </w:rPr>
    </w:pPr>
  </w:p>
  <w:p w14:paraId="0D7C215E" w14:textId="77777777" w:rsidR="0011159F" w:rsidRPr="00794164" w:rsidRDefault="0011159F" w:rsidP="00D8250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CD55713" wp14:editId="1F7A5F0D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5773003" cy="395785"/>
              <wp:effectExtent l="0" t="0" r="0" b="4445"/>
              <wp:wrapNone/>
              <wp:docPr id="633" name="Text Box 633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81184" w14:textId="0B241D87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55713" id="_x0000_t202" coordsize="21600,21600" o:spt="202" path="m,l,21600r21600,l21600,xe">
              <v:stroke joinstyle="miter"/>
              <v:path gradientshapeok="t" o:connecttype="rect"/>
            </v:shapetype>
            <v:shape id="Text Box 633" o:spid="_x0000_s1037" type="#_x0000_t202" alt="Sec-Footerprimary" style="position:absolute;margin-left:0;margin-top:.1pt;width:454.55pt;height:31.15pt;z-index:-2516305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" stroked="f" strokeweight=".5pt">
              <v:textbox>
                <w:txbxContent>
                  <w:p w14:paraId="2BB81184" w14:textId="0B241D87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0BA5" w14:textId="77777777" w:rsidR="0011159F" w:rsidRPr="00E33C1C" w:rsidRDefault="0011159F" w:rsidP="00B543F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159F" w14:paraId="15CF05C9" w14:textId="77777777" w:rsidTr="00D8250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578B96" w14:textId="77777777" w:rsidR="0011159F" w:rsidRDefault="0011159F" w:rsidP="00B543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92E0BE" w14:textId="77777777" w:rsidR="0011159F" w:rsidRDefault="0011159F" w:rsidP="00B543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4BE8E" w14:textId="77777777" w:rsidR="0011159F" w:rsidRDefault="0011159F" w:rsidP="00B543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9F" w14:paraId="0769418D" w14:textId="77777777" w:rsidTr="00D825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1DAC56" w14:textId="77777777" w:rsidR="0011159F" w:rsidRDefault="0011159F" w:rsidP="00B543F6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C047DAF" w14:textId="77777777" w:rsidR="0011159F" w:rsidRPr="00ED79B6" w:rsidRDefault="0011159F" w:rsidP="00B543F6">
    <w:pPr>
      <w:rPr>
        <w:i/>
        <w:sz w:val="18"/>
      </w:rPr>
    </w:pPr>
  </w:p>
  <w:p w14:paraId="03569D03" w14:textId="77777777" w:rsidR="0011159F" w:rsidRPr="00B543F6" w:rsidRDefault="0011159F" w:rsidP="00B543F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F283" w14:textId="77777777" w:rsidR="0011159F" w:rsidRPr="00D675F1" w:rsidRDefault="0011159F" w:rsidP="00B543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1159F" w14:paraId="09FF5E2A" w14:textId="77777777" w:rsidTr="00D82506">
      <w:tc>
        <w:tcPr>
          <w:tcW w:w="365" w:type="pct"/>
        </w:tcPr>
        <w:p w14:paraId="3C924D74" w14:textId="77777777" w:rsidR="0011159F" w:rsidRDefault="0011159F" w:rsidP="00D8250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B22805" w14:textId="77777777" w:rsidR="0011159F" w:rsidRDefault="0011159F" w:rsidP="00D825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FFE">
            <w:rPr>
              <w:i/>
              <w:sz w:val="18"/>
            </w:rPr>
            <w:t>Life Insurance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4B6203B" w14:textId="77777777" w:rsidR="0011159F" w:rsidRDefault="0011159F" w:rsidP="00D82506">
          <w:pPr>
            <w:spacing w:line="0" w:lineRule="atLeast"/>
            <w:jc w:val="right"/>
            <w:rPr>
              <w:sz w:val="18"/>
            </w:rPr>
          </w:pPr>
        </w:p>
      </w:tc>
    </w:tr>
    <w:tr w:rsidR="0011159F" w14:paraId="46D80FE6" w14:textId="77777777" w:rsidTr="00D82506">
      <w:tc>
        <w:tcPr>
          <w:tcW w:w="5000" w:type="pct"/>
          <w:gridSpan w:val="3"/>
        </w:tcPr>
        <w:p w14:paraId="24CC25EF" w14:textId="77777777" w:rsidR="0011159F" w:rsidRDefault="0011159F" w:rsidP="00D8250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9E6CEBB" w14:textId="77777777" w:rsidR="0011159F" w:rsidRPr="00D675F1" w:rsidRDefault="0011159F" w:rsidP="00D82506">
    <w:pPr>
      <w:rPr>
        <w:sz w:val="18"/>
      </w:rPr>
    </w:pPr>
    <w:r w:rsidRPr="00794164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49598407" wp14:editId="0A2AE95F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5773003" cy="395785"/>
              <wp:effectExtent l="0" t="0" r="0" b="4445"/>
              <wp:wrapNone/>
              <wp:docPr id="637" name="Text Box 63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87B67" w14:textId="08E4CD5C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98407" id="_x0000_t202" coordsize="21600,21600" o:spt="202" path="m,l,21600r21600,l21600,xe">
              <v:stroke joinstyle="miter"/>
              <v:path gradientshapeok="t" o:connecttype="rect"/>
            </v:shapetype>
            <v:shape id="Text Box 637" o:spid="_x0000_s1040" type="#_x0000_t202" alt="Sec-Footerevenpage" style="position:absolute;margin-left:0;margin-top:.1pt;width:454.55pt;height:31.15pt;z-index:-2516224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jz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" stroked="f" strokeweight=".5pt">
              <v:textbox>
                <w:txbxContent>
                  <w:p w14:paraId="55D87B67" w14:textId="08E4CD5C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B772" w14:textId="77777777" w:rsidR="00594B22" w:rsidRDefault="00594B22" w:rsidP="00715914">
      <w:pPr>
        <w:spacing w:line="240" w:lineRule="auto"/>
      </w:pPr>
      <w:r>
        <w:separator/>
      </w:r>
    </w:p>
  </w:footnote>
  <w:footnote w:type="continuationSeparator" w:id="0">
    <w:p w14:paraId="2C0379F4" w14:textId="77777777" w:rsidR="00594B22" w:rsidRDefault="00594B2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1046" w14:textId="77777777" w:rsidR="0011159F" w:rsidRPr="005F1388" w:rsidRDefault="0011159F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CB09AF5" wp14:editId="3E355FC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40E81" w14:textId="77777777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09AF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E740E81" w14:textId="77777777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46FE" w14:textId="08253A4B" w:rsidR="0011159F" w:rsidRPr="00D675F1" w:rsidRDefault="0011159F">
    <w:pPr>
      <w:jc w:val="right"/>
      <w:rPr>
        <w:sz w:val="20"/>
      </w:rPr>
    </w:pPr>
    <w:r w:rsidRPr="0079416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525062EE" wp14:editId="70F02F7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36" name="Text Box 636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DB9E1" w14:textId="6A5BBF2A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062EE" id="_x0000_t202" coordsize="21600,21600" o:spt="202" path="m,l,21600r21600,l21600,xe">
              <v:stroke joinstyle="miter"/>
              <v:path gradientshapeok="t" o:connecttype="rect"/>
            </v:shapetype>
            <v:shape id="Text Box 636" o:spid="_x0000_s1039" type="#_x0000_t202" alt="Sec-Headerprimary" style="position:absolute;left:0;text-align:left;margin-left:0;margin-top:-25pt;width:454.55pt;height:31.15pt;z-index:-2516275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0gQ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" stroked="f" strokeweight=".5pt">
              <v:textbox>
                <w:txbxContent>
                  <w:p w14:paraId="562DB9E1" w14:textId="6A5BBF2A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9B2BF4">
      <w:rPr>
        <w:noProof/>
        <w:sz w:val="20"/>
      </w:rPr>
      <w:t>Approved bodies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9B2BF4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</w:p>
  <w:p w14:paraId="0A7C42D6" w14:textId="4EAE451A" w:rsidR="0011159F" w:rsidRPr="00D675F1" w:rsidRDefault="0011159F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14:paraId="5C1CD270" w14:textId="0BE00CF9" w:rsidR="0011159F" w:rsidRPr="00D675F1" w:rsidRDefault="0011159F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14:paraId="58C1E7D8" w14:textId="77777777" w:rsidR="0011159F" w:rsidRPr="00D675F1" w:rsidRDefault="0011159F">
    <w:pPr>
      <w:jc w:val="right"/>
      <w:rPr>
        <w:b/>
      </w:rPr>
    </w:pPr>
  </w:p>
  <w:p w14:paraId="21E820D6" w14:textId="1BBAF827" w:rsidR="0011159F" w:rsidRPr="00D675F1" w:rsidRDefault="0011159F" w:rsidP="00B543F6">
    <w:pPr>
      <w:pBdr>
        <w:bottom w:val="single" w:sz="6" w:space="1" w:color="auto"/>
      </w:pBdr>
      <w:spacing w:after="120"/>
      <w:jc w:val="right"/>
    </w:pPr>
    <w:r w:rsidRPr="00D675F1">
      <w:t xml:space="preserve">Clause </w:t>
    </w:r>
    <w:fldSimple w:instr=" STYLEREF CharSectno ">
      <w:r w:rsidR="009B2BF4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5A7D" w14:textId="77777777" w:rsidR="0011159F" w:rsidRDefault="0011159F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1" locked="1" layoutInCell="1" allowOverlap="1" wp14:anchorId="2E04B812" wp14:editId="0616488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39" name="Text Box 639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C421F" w14:textId="77777777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4B812" id="_x0000_t202" coordsize="21600,21600" o:spt="202" path="m,l,21600r21600,l21600,xe">
              <v:stroke joinstyle="miter"/>
              <v:path gradientshapeok="t" o:connecttype="rect"/>
            </v:shapetype>
            <v:shape id="Text Box 639" o:spid="_x0000_s1042" type="#_x0000_t202" alt="Sec-Headerfirstpage" style="position:absolute;margin-left:0;margin-top:-25pt;width:454.55pt;height:31.15pt;z-index:-2516264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GgFmgo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639C421F" w14:textId="77777777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43BA" w14:textId="77777777" w:rsidR="0011159F" w:rsidRDefault="0011159F" w:rsidP="00715914">
    <w:pPr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70176E10" wp14:editId="4DE6539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8E798" w14:textId="77777777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76E1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4" type="#_x0000_t202" alt="Sec-Headerevenpage" style="position:absolute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wMgAIAAG4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HBkwNWBAiso98gMB+3QeMsXCp9vyXx4ZA6nBMmAkx8e8JAasPvQ&#10;SZRswP362/eIR/KilpIap66g/ueWOUGJ/mqQ1te94TCOaboMR+M+Xty5ZnWuMdvqFpAVPdwxlicx&#10;4oM+iNJB9YILYh6joooZjrELGg7ibWh3AS4YLubzBMLBtCwszZPl0XVscyTnc/PCnO0YHJD793CY&#10;TzZ5Q+QWGy0NzLcBpEosj41uu9o9AA51mpNuAcWtcX5PqNOanL0C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ZiqcDI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548E798" w14:textId="77777777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DE4FFE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DE4FFE">
      <w:rPr>
        <w:noProof/>
        <w:sz w:val="20"/>
      </w:rPr>
      <w:t>Approved bodies</w:t>
    </w:r>
    <w:r>
      <w:rPr>
        <w:sz w:val="20"/>
      </w:rPr>
      <w:fldChar w:fldCharType="end"/>
    </w:r>
  </w:p>
  <w:p w14:paraId="60A0375F" w14:textId="77777777" w:rsidR="0011159F" w:rsidRDefault="0011159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D791AA3" w14:textId="77777777" w:rsidR="0011159F" w:rsidRPr="007A1328" w:rsidRDefault="0011159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9FFEB55" w14:textId="77777777" w:rsidR="0011159F" w:rsidRPr="007A1328" w:rsidRDefault="0011159F" w:rsidP="00715914">
    <w:pPr>
      <w:rPr>
        <w:b/>
        <w:sz w:val="24"/>
      </w:rPr>
    </w:pPr>
  </w:p>
  <w:p w14:paraId="59F3E921" w14:textId="77777777" w:rsidR="0011159F" w:rsidRPr="007A1328" w:rsidRDefault="0011159F" w:rsidP="00B543F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E4FF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E4FF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D4B7" w14:textId="77777777" w:rsidR="0011159F" w:rsidRPr="007A1328" w:rsidRDefault="0011159F" w:rsidP="00715914">
    <w:pPr>
      <w:jc w:val="right"/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1822E5B0" wp14:editId="0DD24C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FB44C" w14:textId="77777777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2E5B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5" type="#_x0000_t202" alt="Sec-Headerprimary" style="position:absolute;left:0;text-align:left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PZgAIAAG4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HIgPGBAiso98gMB+3QeMsXCp/vnvnwxBxOCZIBJz884iE1YPeh&#10;kyjZgPv1t+8Rj+RFLSU1Tl1B/c8tc4IS/dUgrcf9y8s4pulyORxd4MWda1bnGrOt5oCs6OOOsTyJ&#10;ER/0QZQOqhdcELMYFVXMcIxd0HAQ56HdBbhguJjNEggH07Jwb5aWR9exzZGcz80Lc7ZjcEDuP8Bh&#10;PtnkDZFbbLQ0MNsGkCqxPDa67Wr3ADjUaU66BRS3xvk9oU5rcvoK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GZjT2Y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079FB44C" w14:textId="77777777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DE4FFE">
      <w:rPr>
        <w:noProof/>
        <w:sz w:val="20"/>
      </w:rPr>
      <w:t>Approved bodies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DE4FF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C7C2635" w14:textId="77777777" w:rsidR="0011159F" w:rsidRPr="007A1328" w:rsidRDefault="0011159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1D27BCC" w14:textId="77777777" w:rsidR="0011159F" w:rsidRPr="007A1328" w:rsidRDefault="0011159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2E411F4" w14:textId="77777777" w:rsidR="0011159F" w:rsidRPr="007A1328" w:rsidRDefault="0011159F" w:rsidP="00715914">
    <w:pPr>
      <w:jc w:val="right"/>
      <w:rPr>
        <w:b/>
        <w:sz w:val="24"/>
      </w:rPr>
    </w:pPr>
  </w:p>
  <w:p w14:paraId="3291BD78" w14:textId="77777777" w:rsidR="0011159F" w:rsidRPr="007A1328" w:rsidRDefault="0011159F" w:rsidP="00B543F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E4FF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E4FF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EBC7" w14:textId="77777777" w:rsidR="0011159F" w:rsidRPr="007A1328" w:rsidRDefault="0011159F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D230" w14:textId="77777777" w:rsidR="0011159F" w:rsidRPr="005F1388" w:rsidRDefault="0011159F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A826AB" wp14:editId="6DE02BA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B132E" w14:textId="7A2168FC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826AB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419B132E" w14:textId="7A2168FC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6F4A" w14:textId="77777777" w:rsidR="0011159F" w:rsidRPr="005F1388" w:rsidRDefault="0011159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F1C6" w14:textId="77777777" w:rsidR="0011159F" w:rsidRPr="00ED79B6" w:rsidRDefault="0011159F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30C711D" wp14:editId="4F5C34E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745C" w14:textId="77777777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C711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7A69745C" w14:textId="77777777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68F1" w14:textId="77777777" w:rsidR="0011159F" w:rsidRPr="00ED79B6" w:rsidRDefault="0011159F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1F65A9A8" wp14:editId="1A2A468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31FF4" w14:textId="7AEB1FBE" w:rsidR="0011159F" w:rsidRPr="00324EB0" w:rsidRDefault="0011159F" w:rsidP="00721C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5A9A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1931FF4" w14:textId="7AEB1FBE" w:rsidR="0011159F" w:rsidRPr="00324EB0" w:rsidRDefault="0011159F" w:rsidP="00721C0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8AE4" w14:textId="77777777" w:rsidR="0011159F" w:rsidRPr="00ED79B6" w:rsidRDefault="0011159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04A6" w14:textId="0B948F15" w:rsidR="0011159F" w:rsidRPr="00D675F1" w:rsidRDefault="0011159F">
    <w:pPr>
      <w:rPr>
        <w:sz w:val="20"/>
      </w:rPr>
    </w:pPr>
    <w:r w:rsidRPr="0079416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577D6F1F" wp14:editId="021CD40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30" name="Text Box 63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76C4" w14:textId="71660C04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D6F1F" id="_x0000_t202" coordsize="21600,21600" o:spt="202" path="m,l,21600r21600,l21600,xe">
              <v:stroke joinstyle="miter"/>
              <v:path gradientshapeok="t" o:connecttype="rect"/>
            </v:shapetype>
            <v:shape id="Text Box 630" o:spid="_x0000_s1034" type="#_x0000_t202" alt="Sec-Headerevenpage" style="position:absolute;margin-left:0;margin-top:-25pt;width:454.55pt;height:31.15pt;z-index:-2516316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30F576C4" w14:textId="71660C04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14:paraId="6733454B" w14:textId="5CB39D16" w:rsidR="0011159F" w:rsidRPr="00D675F1" w:rsidRDefault="0011159F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separate"/>
    </w:r>
    <w:r w:rsidR="009B2BF4">
      <w:rPr>
        <w:b/>
        <w:noProof/>
        <w:sz w:val="20"/>
      </w:rPr>
      <w:t>Part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separate"/>
    </w:r>
    <w:r w:rsidR="009B2BF4">
      <w:rPr>
        <w:noProof/>
        <w:sz w:val="20"/>
      </w:rPr>
      <w:t>Explanation of key concepts</w:t>
    </w:r>
    <w:r w:rsidRPr="00D675F1">
      <w:rPr>
        <w:sz w:val="20"/>
      </w:rPr>
      <w:fldChar w:fldCharType="end"/>
    </w:r>
  </w:p>
  <w:p w14:paraId="34F64B27" w14:textId="4C336EFA" w:rsidR="0011159F" w:rsidRPr="00D675F1" w:rsidRDefault="0011159F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14:paraId="67ADE923" w14:textId="77777777" w:rsidR="0011159F" w:rsidRPr="00D675F1" w:rsidRDefault="0011159F">
    <w:pPr>
      <w:rPr>
        <w:b/>
      </w:rPr>
    </w:pPr>
  </w:p>
  <w:p w14:paraId="15D5D8FB" w14:textId="535D64A3" w:rsidR="0011159F" w:rsidRPr="00D675F1" w:rsidRDefault="0011159F" w:rsidP="00B543F6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DE4FFE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9B2BF4">
      <w:rPr>
        <w:noProof/>
        <w:sz w:val="24"/>
      </w:rPr>
      <w:t>5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9B5A" w14:textId="41C64CEF" w:rsidR="0011159F" w:rsidRPr="00D675F1" w:rsidRDefault="0011159F">
    <w:pPr>
      <w:jc w:val="right"/>
      <w:rPr>
        <w:sz w:val="20"/>
      </w:rPr>
    </w:pPr>
    <w:r w:rsidRPr="0079416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6FFBDC2" wp14:editId="3C1F767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31" name="Text Box 631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67B88" w14:textId="7F733AFF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BDC2" id="_x0000_t202" coordsize="21600,21600" o:spt="202" path="m,l,21600r21600,l21600,xe">
              <v:stroke joinstyle="miter"/>
              <v:path gradientshapeok="t" o:connecttype="rect"/>
            </v:shapetype>
            <v:shape id="Text Box 631" o:spid="_x0000_s1035" type="#_x0000_t202" alt="Sec-Headerprimary" style="position:absolute;left:0;text-align:left;margin-left:0;margin-top:-25pt;width:454.55pt;height:31.15pt;z-index:-251632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6D267B88" w14:textId="7F733AFF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14:paraId="5A958996" w14:textId="4A68A1E6" w:rsidR="0011159F" w:rsidRPr="00D675F1" w:rsidRDefault="0011159F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="009B2BF4">
      <w:rPr>
        <w:sz w:val="20"/>
      </w:rPr>
      <w:fldChar w:fldCharType="separate"/>
    </w:r>
    <w:r w:rsidR="009B2BF4">
      <w:rPr>
        <w:noProof/>
        <w:sz w:val="20"/>
      </w:rPr>
      <w:t>Preliminary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="009B2BF4">
      <w:rPr>
        <w:b/>
        <w:sz w:val="20"/>
      </w:rPr>
      <w:fldChar w:fldCharType="separate"/>
    </w:r>
    <w:r w:rsidR="009B2BF4">
      <w:rPr>
        <w:b/>
        <w:noProof/>
        <w:sz w:val="20"/>
      </w:rPr>
      <w:t>Part 1</w:t>
    </w:r>
    <w:r w:rsidRPr="00D675F1">
      <w:rPr>
        <w:b/>
        <w:sz w:val="20"/>
      </w:rPr>
      <w:fldChar w:fldCharType="end"/>
    </w:r>
  </w:p>
  <w:p w14:paraId="35CC1AAE" w14:textId="4ADA2FED" w:rsidR="0011159F" w:rsidRPr="00D675F1" w:rsidRDefault="0011159F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14:paraId="72286138" w14:textId="77777777" w:rsidR="0011159F" w:rsidRPr="00D675F1" w:rsidRDefault="0011159F">
    <w:pPr>
      <w:jc w:val="right"/>
      <w:rPr>
        <w:b/>
      </w:rPr>
    </w:pPr>
  </w:p>
  <w:p w14:paraId="1226A3A6" w14:textId="1250B2DB" w:rsidR="0011159F" w:rsidRPr="00D675F1" w:rsidRDefault="0011159F" w:rsidP="00B543F6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DE4FFE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9B2BF4">
      <w:rPr>
        <w:noProof/>
        <w:sz w:val="24"/>
      </w:rPr>
      <w:t>1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2C48" w14:textId="409A104C" w:rsidR="0011159F" w:rsidRPr="00D675F1" w:rsidRDefault="0011159F">
    <w:pPr>
      <w:rPr>
        <w:sz w:val="20"/>
      </w:rPr>
    </w:pPr>
    <w:r w:rsidRPr="00794164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91008" behindDoc="1" locked="1" layoutInCell="1" allowOverlap="1" wp14:anchorId="349D45F9" wp14:editId="1092298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35" name="Text Box 63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42A2E" w14:textId="578514CE" w:rsidR="0011159F" w:rsidRPr="00324EB0" w:rsidRDefault="0011159F" w:rsidP="00D825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E4FF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2BF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D45F9" id="_x0000_t202" coordsize="21600,21600" o:spt="202" path="m,l,21600r21600,l21600,xe">
              <v:stroke joinstyle="miter"/>
              <v:path gradientshapeok="t" o:connecttype="rect"/>
            </v:shapetype>
            <v:shape id="Text Box 635" o:spid="_x0000_s1038" type="#_x0000_t202" alt="Sec-Headerevenpage" style="position:absolute;margin-left:0;margin-top:-25pt;width:454.55pt;height:31.15pt;z-index:-2516254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ph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HIgP6BAiso98gMB+3QeMsXCp/vnvnwxBxOCZIBJz884iE1YPeh&#10;kyjZgPv1t+8Rj+RFLSU1Tl1B/c8tc4IS/dUgra97w2Ec03QZjsZ9vLhzzepcY7bVHJAVPdwxlicx&#10;4oM+iNJB9YILYhajoooZjrELGg7iPLS7ABcMF7NZAuFgWhbuzdLy6Dq2OZLzuXlhznYMDsj9BzjM&#10;J5u8IXKLjZYGZtsAUiWWx0a3Xe0eAIc6zUm3gOLWOL8n1GlNTl8B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ZMS6YY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33042A2E" w14:textId="578514CE" w:rsidR="0011159F" w:rsidRPr="00324EB0" w:rsidRDefault="0011159F" w:rsidP="00D825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E4FF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2BF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9B2BF4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9B2BF4">
      <w:rPr>
        <w:noProof/>
        <w:sz w:val="20"/>
      </w:rPr>
      <w:t>Approved bodies</w:t>
    </w:r>
    <w:r w:rsidRPr="00D675F1">
      <w:rPr>
        <w:sz w:val="20"/>
      </w:rPr>
      <w:fldChar w:fldCharType="end"/>
    </w:r>
  </w:p>
  <w:p w14:paraId="72A795A7" w14:textId="172BC02D" w:rsidR="0011159F" w:rsidRPr="00D675F1" w:rsidRDefault="0011159F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14:paraId="22251D28" w14:textId="3CE03AF9" w:rsidR="0011159F" w:rsidRPr="00D675F1" w:rsidRDefault="0011159F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14:paraId="04DC5A2E" w14:textId="77777777" w:rsidR="0011159F" w:rsidRPr="00D675F1" w:rsidRDefault="0011159F">
    <w:pPr>
      <w:rPr>
        <w:b/>
      </w:rPr>
    </w:pPr>
  </w:p>
  <w:p w14:paraId="147C579A" w14:textId="084545A0" w:rsidR="0011159F" w:rsidRPr="00D675F1" w:rsidRDefault="0011159F" w:rsidP="00B543F6">
    <w:pPr>
      <w:pBdr>
        <w:bottom w:val="single" w:sz="6" w:space="1" w:color="auto"/>
      </w:pBdr>
      <w:spacing w:after="120"/>
    </w:pPr>
    <w:r w:rsidRPr="00D675F1">
      <w:t xml:space="preserve">Clause </w:t>
    </w:r>
    <w:fldSimple w:instr=" STYLEREF CharSectno ">
      <w:r w:rsidR="009B2BF4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98C"/>
    <w:multiLevelType w:val="hybridMultilevel"/>
    <w:tmpl w:val="85A8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8960AE"/>
    <w:multiLevelType w:val="multilevel"/>
    <w:tmpl w:val="0194FD9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879276027">
    <w:abstractNumId w:val="9"/>
  </w:num>
  <w:num w:numId="2" w16cid:durableId="164516946">
    <w:abstractNumId w:val="7"/>
  </w:num>
  <w:num w:numId="3" w16cid:durableId="1883208564">
    <w:abstractNumId w:val="6"/>
  </w:num>
  <w:num w:numId="4" w16cid:durableId="289749092">
    <w:abstractNumId w:val="5"/>
  </w:num>
  <w:num w:numId="5" w16cid:durableId="177039643">
    <w:abstractNumId w:val="4"/>
  </w:num>
  <w:num w:numId="6" w16cid:durableId="581185067">
    <w:abstractNumId w:val="8"/>
  </w:num>
  <w:num w:numId="7" w16cid:durableId="1343319008">
    <w:abstractNumId w:val="3"/>
  </w:num>
  <w:num w:numId="8" w16cid:durableId="992829730">
    <w:abstractNumId w:val="2"/>
  </w:num>
  <w:num w:numId="9" w16cid:durableId="874660597">
    <w:abstractNumId w:val="1"/>
  </w:num>
  <w:num w:numId="10" w16cid:durableId="1240293369">
    <w:abstractNumId w:val="0"/>
  </w:num>
  <w:num w:numId="11" w16cid:durableId="1188055722">
    <w:abstractNumId w:val="17"/>
  </w:num>
  <w:num w:numId="12" w16cid:durableId="814446138">
    <w:abstractNumId w:val="13"/>
  </w:num>
  <w:num w:numId="13" w16cid:durableId="978657220">
    <w:abstractNumId w:val="14"/>
  </w:num>
  <w:num w:numId="14" w16cid:durableId="737098956">
    <w:abstractNumId w:val="16"/>
  </w:num>
  <w:num w:numId="15" w16cid:durableId="1159924847">
    <w:abstractNumId w:val="15"/>
  </w:num>
  <w:num w:numId="16" w16cid:durableId="337735423">
    <w:abstractNumId w:val="11"/>
  </w:num>
  <w:num w:numId="17" w16cid:durableId="938637451">
    <w:abstractNumId w:val="19"/>
  </w:num>
  <w:num w:numId="18" w16cid:durableId="883492902">
    <w:abstractNumId w:val="18"/>
  </w:num>
  <w:num w:numId="19" w16cid:durableId="642929724">
    <w:abstractNumId w:val="17"/>
  </w:num>
  <w:num w:numId="20" w16cid:durableId="187452994">
    <w:abstractNumId w:val="10"/>
  </w:num>
  <w:num w:numId="21" w16cid:durableId="1542791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5FCD"/>
    <w:rsid w:val="00002F77"/>
    <w:rsid w:val="00004470"/>
    <w:rsid w:val="000109F3"/>
    <w:rsid w:val="000136AF"/>
    <w:rsid w:val="00032908"/>
    <w:rsid w:val="0003751E"/>
    <w:rsid w:val="00037812"/>
    <w:rsid w:val="00041F41"/>
    <w:rsid w:val="000437C1"/>
    <w:rsid w:val="000475FB"/>
    <w:rsid w:val="0005365D"/>
    <w:rsid w:val="00056543"/>
    <w:rsid w:val="00060C58"/>
    <w:rsid w:val="000614BF"/>
    <w:rsid w:val="00062EB0"/>
    <w:rsid w:val="000660E8"/>
    <w:rsid w:val="000840DD"/>
    <w:rsid w:val="000910D6"/>
    <w:rsid w:val="000A06F0"/>
    <w:rsid w:val="000B22DF"/>
    <w:rsid w:val="000B51FD"/>
    <w:rsid w:val="000B58FA"/>
    <w:rsid w:val="000B7E30"/>
    <w:rsid w:val="000C0834"/>
    <w:rsid w:val="000D05EF"/>
    <w:rsid w:val="000D5FCD"/>
    <w:rsid w:val="000E2261"/>
    <w:rsid w:val="000E7B3F"/>
    <w:rsid w:val="000F0A23"/>
    <w:rsid w:val="000F21C1"/>
    <w:rsid w:val="000F3EC7"/>
    <w:rsid w:val="000F590A"/>
    <w:rsid w:val="00101A84"/>
    <w:rsid w:val="00106045"/>
    <w:rsid w:val="0010745C"/>
    <w:rsid w:val="0011159F"/>
    <w:rsid w:val="00115A43"/>
    <w:rsid w:val="00116C09"/>
    <w:rsid w:val="00127FE6"/>
    <w:rsid w:val="00130517"/>
    <w:rsid w:val="00130ADD"/>
    <w:rsid w:val="00132CEB"/>
    <w:rsid w:val="00142B62"/>
    <w:rsid w:val="00142FC6"/>
    <w:rsid w:val="0014539C"/>
    <w:rsid w:val="00153893"/>
    <w:rsid w:val="00157B8B"/>
    <w:rsid w:val="00162645"/>
    <w:rsid w:val="00162C18"/>
    <w:rsid w:val="00166C2F"/>
    <w:rsid w:val="00170834"/>
    <w:rsid w:val="001721AC"/>
    <w:rsid w:val="0017574E"/>
    <w:rsid w:val="00175BF5"/>
    <w:rsid w:val="001769A7"/>
    <w:rsid w:val="0017711F"/>
    <w:rsid w:val="00180951"/>
    <w:rsid w:val="001809D7"/>
    <w:rsid w:val="00183865"/>
    <w:rsid w:val="001873A8"/>
    <w:rsid w:val="001939E1"/>
    <w:rsid w:val="00194C3E"/>
    <w:rsid w:val="00195382"/>
    <w:rsid w:val="001A2B18"/>
    <w:rsid w:val="001B0CC2"/>
    <w:rsid w:val="001C06FE"/>
    <w:rsid w:val="001C2936"/>
    <w:rsid w:val="001C5D6A"/>
    <w:rsid w:val="001C60F0"/>
    <w:rsid w:val="001C61C5"/>
    <w:rsid w:val="001C69C4"/>
    <w:rsid w:val="001D11F1"/>
    <w:rsid w:val="001D37EF"/>
    <w:rsid w:val="001E1753"/>
    <w:rsid w:val="001E3590"/>
    <w:rsid w:val="001E7407"/>
    <w:rsid w:val="001E7800"/>
    <w:rsid w:val="001F07BF"/>
    <w:rsid w:val="001F5D5E"/>
    <w:rsid w:val="001F6219"/>
    <w:rsid w:val="001F6CD4"/>
    <w:rsid w:val="002001B8"/>
    <w:rsid w:val="00206C4D"/>
    <w:rsid w:val="00207F25"/>
    <w:rsid w:val="0021053C"/>
    <w:rsid w:val="002150FD"/>
    <w:rsid w:val="00215AF1"/>
    <w:rsid w:val="00221931"/>
    <w:rsid w:val="00226562"/>
    <w:rsid w:val="00226F49"/>
    <w:rsid w:val="002321E8"/>
    <w:rsid w:val="002358A1"/>
    <w:rsid w:val="00236258"/>
    <w:rsid w:val="00236EEC"/>
    <w:rsid w:val="00237834"/>
    <w:rsid w:val="0024010F"/>
    <w:rsid w:val="00240749"/>
    <w:rsid w:val="00241359"/>
    <w:rsid w:val="00243018"/>
    <w:rsid w:val="002467E1"/>
    <w:rsid w:val="002564A4"/>
    <w:rsid w:val="002609F3"/>
    <w:rsid w:val="00262185"/>
    <w:rsid w:val="00265CE5"/>
    <w:rsid w:val="0026736C"/>
    <w:rsid w:val="00272068"/>
    <w:rsid w:val="0028067E"/>
    <w:rsid w:val="00281308"/>
    <w:rsid w:val="00284719"/>
    <w:rsid w:val="00296379"/>
    <w:rsid w:val="00297ECB"/>
    <w:rsid w:val="002A7BCF"/>
    <w:rsid w:val="002B30DF"/>
    <w:rsid w:val="002B3F3B"/>
    <w:rsid w:val="002B5115"/>
    <w:rsid w:val="002B5C28"/>
    <w:rsid w:val="002C4A40"/>
    <w:rsid w:val="002D043A"/>
    <w:rsid w:val="002D0829"/>
    <w:rsid w:val="002D364B"/>
    <w:rsid w:val="002D4EF6"/>
    <w:rsid w:val="002D6224"/>
    <w:rsid w:val="002E113C"/>
    <w:rsid w:val="002E2288"/>
    <w:rsid w:val="002E3F4B"/>
    <w:rsid w:val="002E428F"/>
    <w:rsid w:val="00301034"/>
    <w:rsid w:val="00304F8B"/>
    <w:rsid w:val="00307860"/>
    <w:rsid w:val="00312C09"/>
    <w:rsid w:val="00315174"/>
    <w:rsid w:val="00326B9A"/>
    <w:rsid w:val="00332E37"/>
    <w:rsid w:val="003354D2"/>
    <w:rsid w:val="00335BC6"/>
    <w:rsid w:val="003415D3"/>
    <w:rsid w:val="00344701"/>
    <w:rsid w:val="00352B0F"/>
    <w:rsid w:val="00356690"/>
    <w:rsid w:val="00360459"/>
    <w:rsid w:val="00361CD2"/>
    <w:rsid w:val="00361E34"/>
    <w:rsid w:val="00382645"/>
    <w:rsid w:val="00383A73"/>
    <w:rsid w:val="003A39E8"/>
    <w:rsid w:val="003B77A7"/>
    <w:rsid w:val="003C6231"/>
    <w:rsid w:val="003D0A42"/>
    <w:rsid w:val="003D0BFE"/>
    <w:rsid w:val="003D1FBE"/>
    <w:rsid w:val="003D2994"/>
    <w:rsid w:val="003D53E0"/>
    <w:rsid w:val="003D5700"/>
    <w:rsid w:val="003E275F"/>
    <w:rsid w:val="003E341B"/>
    <w:rsid w:val="003F1B3E"/>
    <w:rsid w:val="003F6366"/>
    <w:rsid w:val="00407AD7"/>
    <w:rsid w:val="00407CC9"/>
    <w:rsid w:val="004116CD"/>
    <w:rsid w:val="004144EC"/>
    <w:rsid w:val="00414758"/>
    <w:rsid w:val="00415191"/>
    <w:rsid w:val="00417EB9"/>
    <w:rsid w:val="00423B91"/>
    <w:rsid w:val="00424CA9"/>
    <w:rsid w:val="00431E9B"/>
    <w:rsid w:val="004379E3"/>
    <w:rsid w:val="00437E5C"/>
    <w:rsid w:val="0044015E"/>
    <w:rsid w:val="0044291A"/>
    <w:rsid w:val="00444ABD"/>
    <w:rsid w:val="00447FA4"/>
    <w:rsid w:val="004516BE"/>
    <w:rsid w:val="00455C28"/>
    <w:rsid w:val="00456450"/>
    <w:rsid w:val="0046111B"/>
    <w:rsid w:val="0046115A"/>
    <w:rsid w:val="00461C81"/>
    <w:rsid w:val="0046351B"/>
    <w:rsid w:val="00466B19"/>
    <w:rsid w:val="00467661"/>
    <w:rsid w:val="004705B7"/>
    <w:rsid w:val="00472DBE"/>
    <w:rsid w:val="00474A19"/>
    <w:rsid w:val="00495240"/>
    <w:rsid w:val="00496F97"/>
    <w:rsid w:val="004A6B0E"/>
    <w:rsid w:val="004B1051"/>
    <w:rsid w:val="004C334B"/>
    <w:rsid w:val="004C6AE8"/>
    <w:rsid w:val="004D3593"/>
    <w:rsid w:val="004D36C7"/>
    <w:rsid w:val="004D445D"/>
    <w:rsid w:val="004E063A"/>
    <w:rsid w:val="004E3911"/>
    <w:rsid w:val="004E4298"/>
    <w:rsid w:val="004E7BEC"/>
    <w:rsid w:val="004F2904"/>
    <w:rsid w:val="004F3AA8"/>
    <w:rsid w:val="004F53FA"/>
    <w:rsid w:val="00503DFF"/>
    <w:rsid w:val="00505D3D"/>
    <w:rsid w:val="00506AF6"/>
    <w:rsid w:val="005138AA"/>
    <w:rsid w:val="00516B8D"/>
    <w:rsid w:val="00520D32"/>
    <w:rsid w:val="00524E47"/>
    <w:rsid w:val="00526612"/>
    <w:rsid w:val="00537FBC"/>
    <w:rsid w:val="00551C03"/>
    <w:rsid w:val="00552A9D"/>
    <w:rsid w:val="00554954"/>
    <w:rsid w:val="005568B0"/>
    <w:rsid w:val="005574D1"/>
    <w:rsid w:val="00561570"/>
    <w:rsid w:val="00562185"/>
    <w:rsid w:val="00565279"/>
    <w:rsid w:val="00584518"/>
    <w:rsid w:val="00584811"/>
    <w:rsid w:val="00585784"/>
    <w:rsid w:val="0058782B"/>
    <w:rsid w:val="005902D1"/>
    <w:rsid w:val="00593AA6"/>
    <w:rsid w:val="00594161"/>
    <w:rsid w:val="00594749"/>
    <w:rsid w:val="00594B22"/>
    <w:rsid w:val="005A068C"/>
    <w:rsid w:val="005A1126"/>
    <w:rsid w:val="005A16FE"/>
    <w:rsid w:val="005B0EBB"/>
    <w:rsid w:val="005B2627"/>
    <w:rsid w:val="005B4067"/>
    <w:rsid w:val="005B66E5"/>
    <w:rsid w:val="005B7195"/>
    <w:rsid w:val="005C305B"/>
    <w:rsid w:val="005C3F41"/>
    <w:rsid w:val="005C5D4E"/>
    <w:rsid w:val="005D2D09"/>
    <w:rsid w:val="005D5770"/>
    <w:rsid w:val="005E4D5A"/>
    <w:rsid w:val="005F7611"/>
    <w:rsid w:val="00600219"/>
    <w:rsid w:val="00603DC4"/>
    <w:rsid w:val="006118B4"/>
    <w:rsid w:val="0061692E"/>
    <w:rsid w:val="00620076"/>
    <w:rsid w:val="00626727"/>
    <w:rsid w:val="006275C7"/>
    <w:rsid w:val="00633FD3"/>
    <w:rsid w:val="00651373"/>
    <w:rsid w:val="0065530D"/>
    <w:rsid w:val="00656AB9"/>
    <w:rsid w:val="00657ACA"/>
    <w:rsid w:val="00662513"/>
    <w:rsid w:val="00670EA1"/>
    <w:rsid w:val="00671A0D"/>
    <w:rsid w:val="0067206E"/>
    <w:rsid w:val="006728EA"/>
    <w:rsid w:val="00677CC2"/>
    <w:rsid w:val="006813B6"/>
    <w:rsid w:val="006845A1"/>
    <w:rsid w:val="00686231"/>
    <w:rsid w:val="006905DE"/>
    <w:rsid w:val="0069065C"/>
    <w:rsid w:val="0069207B"/>
    <w:rsid w:val="006944A8"/>
    <w:rsid w:val="006A0F6B"/>
    <w:rsid w:val="006B2659"/>
    <w:rsid w:val="006B2EA0"/>
    <w:rsid w:val="006B5789"/>
    <w:rsid w:val="006B5B4A"/>
    <w:rsid w:val="006B5CBA"/>
    <w:rsid w:val="006C30C5"/>
    <w:rsid w:val="006C6F25"/>
    <w:rsid w:val="006C7F8C"/>
    <w:rsid w:val="006D27FD"/>
    <w:rsid w:val="006D43E5"/>
    <w:rsid w:val="006D43F4"/>
    <w:rsid w:val="006D4779"/>
    <w:rsid w:val="006D6BE5"/>
    <w:rsid w:val="006E0932"/>
    <w:rsid w:val="006E131D"/>
    <w:rsid w:val="006E1CFD"/>
    <w:rsid w:val="006E44EE"/>
    <w:rsid w:val="006E45DA"/>
    <w:rsid w:val="006E6246"/>
    <w:rsid w:val="006F318F"/>
    <w:rsid w:val="006F4226"/>
    <w:rsid w:val="0070017E"/>
    <w:rsid w:val="007004A9"/>
    <w:rsid w:val="00700B2C"/>
    <w:rsid w:val="007050A2"/>
    <w:rsid w:val="0071044C"/>
    <w:rsid w:val="0071266A"/>
    <w:rsid w:val="00713084"/>
    <w:rsid w:val="00713321"/>
    <w:rsid w:val="00714F20"/>
    <w:rsid w:val="0071590F"/>
    <w:rsid w:val="00715914"/>
    <w:rsid w:val="00721C0A"/>
    <w:rsid w:val="0072291B"/>
    <w:rsid w:val="00723FD1"/>
    <w:rsid w:val="00726608"/>
    <w:rsid w:val="00731E00"/>
    <w:rsid w:val="00732A25"/>
    <w:rsid w:val="007440B7"/>
    <w:rsid w:val="007500C8"/>
    <w:rsid w:val="007503F7"/>
    <w:rsid w:val="00751DD4"/>
    <w:rsid w:val="0075529C"/>
    <w:rsid w:val="00756272"/>
    <w:rsid w:val="007633F9"/>
    <w:rsid w:val="00765F97"/>
    <w:rsid w:val="0076681A"/>
    <w:rsid w:val="007715C9"/>
    <w:rsid w:val="00771613"/>
    <w:rsid w:val="00774DB0"/>
    <w:rsid w:val="00774EDD"/>
    <w:rsid w:val="00774F07"/>
    <w:rsid w:val="007757EC"/>
    <w:rsid w:val="00783E89"/>
    <w:rsid w:val="0078668D"/>
    <w:rsid w:val="00793915"/>
    <w:rsid w:val="00796E84"/>
    <w:rsid w:val="007A5839"/>
    <w:rsid w:val="007A601D"/>
    <w:rsid w:val="007B1CBF"/>
    <w:rsid w:val="007B4150"/>
    <w:rsid w:val="007C2253"/>
    <w:rsid w:val="007C38ED"/>
    <w:rsid w:val="007D143A"/>
    <w:rsid w:val="007D5A63"/>
    <w:rsid w:val="007D7B81"/>
    <w:rsid w:val="007E08CC"/>
    <w:rsid w:val="007E163D"/>
    <w:rsid w:val="007E659D"/>
    <w:rsid w:val="007E667A"/>
    <w:rsid w:val="007F28C9"/>
    <w:rsid w:val="007F5460"/>
    <w:rsid w:val="00803587"/>
    <w:rsid w:val="00807626"/>
    <w:rsid w:val="008117E9"/>
    <w:rsid w:val="00824498"/>
    <w:rsid w:val="00841DA3"/>
    <w:rsid w:val="00851321"/>
    <w:rsid w:val="00851C30"/>
    <w:rsid w:val="008529C1"/>
    <w:rsid w:val="00856A31"/>
    <w:rsid w:val="00857A58"/>
    <w:rsid w:val="00864B24"/>
    <w:rsid w:val="00867B37"/>
    <w:rsid w:val="008754D0"/>
    <w:rsid w:val="008855C9"/>
    <w:rsid w:val="00886456"/>
    <w:rsid w:val="00891A09"/>
    <w:rsid w:val="00891AA3"/>
    <w:rsid w:val="00894AC0"/>
    <w:rsid w:val="00895B7C"/>
    <w:rsid w:val="008A220C"/>
    <w:rsid w:val="008A2546"/>
    <w:rsid w:val="008A46E1"/>
    <w:rsid w:val="008A4F43"/>
    <w:rsid w:val="008B2706"/>
    <w:rsid w:val="008B451A"/>
    <w:rsid w:val="008B5B31"/>
    <w:rsid w:val="008B66DE"/>
    <w:rsid w:val="008C3F20"/>
    <w:rsid w:val="008C65D0"/>
    <w:rsid w:val="008C7E27"/>
    <w:rsid w:val="008D0EE0"/>
    <w:rsid w:val="008E03F7"/>
    <w:rsid w:val="008E1817"/>
    <w:rsid w:val="008E6067"/>
    <w:rsid w:val="008E72DB"/>
    <w:rsid w:val="008F230F"/>
    <w:rsid w:val="008F319D"/>
    <w:rsid w:val="008F54E7"/>
    <w:rsid w:val="00903422"/>
    <w:rsid w:val="00907258"/>
    <w:rsid w:val="00915DF9"/>
    <w:rsid w:val="00917842"/>
    <w:rsid w:val="00920B00"/>
    <w:rsid w:val="009254C3"/>
    <w:rsid w:val="00926CDF"/>
    <w:rsid w:val="00932377"/>
    <w:rsid w:val="00932EE3"/>
    <w:rsid w:val="00933B5D"/>
    <w:rsid w:val="0093715C"/>
    <w:rsid w:val="009379C3"/>
    <w:rsid w:val="009431E7"/>
    <w:rsid w:val="009455C5"/>
    <w:rsid w:val="00945DCD"/>
    <w:rsid w:val="00947D5A"/>
    <w:rsid w:val="009526FE"/>
    <w:rsid w:val="009532A5"/>
    <w:rsid w:val="009709BE"/>
    <w:rsid w:val="00970E6D"/>
    <w:rsid w:val="00973199"/>
    <w:rsid w:val="00973D66"/>
    <w:rsid w:val="00981EAA"/>
    <w:rsid w:val="00982242"/>
    <w:rsid w:val="00985CF2"/>
    <w:rsid w:val="0098623D"/>
    <w:rsid w:val="009868E9"/>
    <w:rsid w:val="00986A18"/>
    <w:rsid w:val="009A4375"/>
    <w:rsid w:val="009A7E91"/>
    <w:rsid w:val="009B2BF4"/>
    <w:rsid w:val="009B3729"/>
    <w:rsid w:val="009B45A2"/>
    <w:rsid w:val="009B5AB3"/>
    <w:rsid w:val="009B6758"/>
    <w:rsid w:val="009B71C5"/>
    <w:rsid w:val="009C121A"/>
    <w:rsid w:val="009C124B"/>
    <w:rsid w:val="009C18F7"/>
    <w:rsid w:val="009C2E5E"/>
    <w:rsid w:val="009C692B"/>
    <w:rsid w:val="009D046C"/>
    <w:rsid w:val="009D0F2E"/>
    <w:rsid w:val="009D185D"/>
    <w:rsid w:val="009D3391"/>
    <w:rsid w:val="009D40D0"/>
    <w:rsid w:val="009E1604"/>
    <w:rsid w:val="009E4473"/>
    <w:rsid w:val="009E5CFC"/>
    <w:rsid w:val="009F7A2C"/>
    <w:rsid w:val="00A079CB"/>
    <w:rsid w:val="00A12128"/>
    <w:rsid w:val="00A137C8"/>
    <w:rsid w:val="00A15354"/>
    <w:rsid w:val="00A22C98"/>
    <w:rsid w:val="00A231E2"/>
    <w:rsid w:val="00A26B6D"/>
    <w:rsid w:val="00A30237"/>
    <w:rsid w:val="00A316EB"/>
    <w:rsid w:val="00A33FAF"/>
    <w:rsid w:val="00A35BE9"/>
    <w:rsid w:val="00A41A3A"/>
    <w:rsid w:val="00A52DAB"/>
    <w:rsid w:val="00A64912"/>
    <w:rsid w:val="00A70A74"/>
    <w:rsid w:val="00A82E04"/>
    <w:rsid w:val="00A84BE6"/>
    <w:rsid w:val="00A970AD"/>
    <w:rsid w:val="00AA14FC"/>
    <w:rsid w:val="00AA3520"/>
    <w:rsid w:val="00AB0825"/>
    <w:rsid w:val="00AB11D5"/>
    <w:rsid w:val="00AB2276"/>
    <w:rsid w:val="00AB3958"/>
    <w:rsid w:val="00AB5649"/>
    <w:rsid w:val="00AC01FA"/>
    <w:rsid w:val="00AC3CF8"/>
    <w:rsid w:val="00AD350E"/>
    <w:rsid w:val="00AD5641"/>
    <w:rsid w:val="00AD7889"/>
    <w:rsid w:val="00AE3652"/>
    <w:rsid w:val="00AF021B"/>
    <w:rsid w:val="00AF06CF"/>
    <w:rsid w:val="00AF2623"/>
    <w:rsid w:val="00B00330"/>
    <w:rsid w:val="00B05CF4"/>
    <w:rsid w:val="00B06990"/>
    <w:rsid w:val="00B07CDB"/>
    <w:rsid w:val="00B11C56"/>
    <w:rsid w:val="00B147A4"/>
    <w:rsid w:val="00B16A31"/>
    <w:rsid w:val="00B16E16"/>
    <w:rsid w:val="00B178A0"/>
    <w:rsid w:val="00B17DFD"/>
    <w:rsid w:val="00B20ECD"/>
    <w:rsid w:val="00B256B0"/>
    <w:rsid w:val="00B3062B"/>
    <w:rsid w:val="00B308FE"/>
    <w:rsid w:val="00B31C6A"/>
    <w:rsid w:val="00B334D6"/>
    <w:rsid w:val="00B33709"/>
    <w:rsid w:val="00B33B3C"/>
    <w:rsid w:val="00B364CD"/>
    <w:rsid w:val="00B369C6"/>
    <w:rsid w:val="00B50ADC"/>
    <w:rsid w:val="00B513FF"/>
    <w:rsid w:val="00B543F6"/>
    <w:rsid w:val="00B566B1"/>
    <w:rsid w:val="00B63834"/>
    <w:rsid w:val="00B65F8A"/>
    <w:rsid w:val="00B671EE"/>
    <w:rsid w:val="00B67272"/>
    <w:rsid w:val="00B67CA8"/>
    <w:rsid w:val="00B72734"/>
    <w:rsid w:val="00B80199"/>
    <w:rsid w:val="00B83204"/>
    <w:rsid w:val="00B85C6F"/>
    <w:rsid w:val="00B873BD"/>
    <w:rsid w:val="00B9112A"/>
    <w:rsid w:val="00BA0C87"/>
    <w:rsid w:val="00BA220B"/>
    <w:rsid w:val="00BA3A57"/>
    <w:rsid w:val="00BA691F"/>
    <w:rsid w:val="00BA6BDD"/>
    <w:rsid w:val="00BB4E1A"/>
    <w:rsid w:val="00BC015E"/>
    <w:rsid w:val="00BC25ED"/>
    <w:rsid w:val="00BC3B06"/>
    <w:rsid w:val="00BC76AC"/>
    <w:rsid w:val="00BD0ECB"/>
    <w:rsid w:val="00BD3B51"/>
    <w:rsid w:val="00BE2155"/>
    <w:rsid w:val="00BE2213"/>
    <w:rsid w:val="00BE6F49"/>
    <w:rsid w:val="00BE719A"/>
    <w:rsid w:val="00BE720A"/>
    <w:rsid w:val="00BF0D73"/>
    <w:rsid w:val="00BF2465"/>
    <w:rsid w:val="00BF30B4"/>
    <w:rsid w:val="00C00068"/>
    <w:rsid w:val="00C13151"/>
    <w:rsid w:val="00C22C15"/>
    <w:rsid w:val="00C25E7F"/>
    <w:rsid w:val="00C2746F"/>
    <w:rsid w:val="00C3214A"/>
    <w:rsid w:val="00C324A0"/>
    <w:rsid w:val="00C3300F"/>
    <w:rsid w:val="00C35D61"/>
    <w:rsid w:val="00C42BF8"/>
    <w:rsid w:val="00C45938"/>
    <w:rsid w:val="00C50043"/>
    <w:rsid w:val="00C6145E"/>
    <w:rsid w:val="00C6189B"/>
    <w:rsid w:val="00C64F64"/>
    <w:rsid w:val="00C70513"/>
    <w:rsid w:val="00C72B9A"/>
    <w:rsid w:val="00C73ACA"/>
    <w:rsid w:val="00C7573B"/>
    <w:rsid w:val="00C91C48"/>
    <w:rsid w:val="00C934CE"/>
    <w:rsid w:val="00C93C03"/>
    <w:rsid w:val="00C9690F"/>
    <w:rsid w:val="00CA3AEB"/>
    <w:rsid w:val="00CA74F1"/>
    <w:rsid w:val="00CA77C1"/>
    <w:rsid w:val="00CB25B2"/>
    <w:rsid w:val="00CB2C8E"/>
    <w:rsid w:val="00CB494C"/>
    <w:rsid w:val="00CB602E"/>
    <w:rsid w:val="00CC6959"/>
    <w:rsid w:val="00CD573F"/>
    <w:rsid w:val="00CD5864"/>
    <w:rsid w:val="00CE051D"/>
    <w:rsid w:val="00CE1335"/>
    <w:rsid w:val="00CE493D"/>
    <w:rsid w:val="00CE5FF6"/>
    <w:rsid w:val="00CE6BC3"/>
    <w:rsid w:val="00CF07FA"/>
    <w:rsid w:val="00CF0BB2"/>
    <w:rsid w:val="00CF3067"/>
    <w:rsid w:val="00CF3528"/>
    <w:rsid w:val="00CF3EE8"/>
    <w:rsid w:val="00CF549E"/>
    <w:rsid w:val="00CF79DE"/>
    <w:rsid w:val="00D02E37"/>
    <w:rsid w:val="00D050E6"/>
    <w:rsid w:val="00D13441"/>
    <w:rsid w:val="00D14C0C"/>
    <w:rsid w:val="00D150E7"/>
    <w:rsid w:val="00D32F65"/>
    <w:rsid w:val="00D347CB"/>
    <w:rsid w:val="00D3684B"/>
    <w:rsid w:val="00D37329"/>
    <w:rsid w:val="00D52DC2"/>
    <w:rsid w:val="00D53133"/>
    <w:rsid w:val="00D53BCC"/>
    <w:rsid w:val="00D549D7"/>
    <w:rsid w:val="00D61FED"/>
    <w:rsid w:val="00D67E8A"/>
    <w:rsid w:val="00D70DFB"/>
    <w:rsid w:val="00D71BD2"/>
    <w:rsid w:val="00D73ACE"/>
    <w:rsid w:val="00D74A25"/>
    <w:rsid w:val="00D75EFC"/>
    <w:rsid w:val="00D766DF"/>
    <w:rsid w:val="00D8179A"/>
    <w:rsid w:val="00D82506"/>
    <w:rsid w:val="00DA186E"/>
    <w:rsid w:val="00DA2AD8"/>
    <w:rsid w:val="00DA2D0B"/>
    <w:rsid w:val="00DA4116"/>
    <w:rsid w:val="00DB1967"/>
    <w:rsid w:val="00DB251C"/>
    <w:rsid w:val="00DB4630"/>
    <w:rsid w:val="00DC3AEE"/>
    <w:rsid w:val="00DC4F88"/>
    <w:rsid w:val="00DD0819"/>
    <w:rsid w:val="00DD2E1E"/>
    <w:rsid w:val="00DE2088"/>
    <w:rsid w:val="00DE4FFE"/>
    <w:rsid w:val="00DE6407"/>
    <w:rsid w:val="00DE6996"/>
    <w:rsid w:val="00DF7AEF"/>
    <w:rsid w:val="00E00BF2"/>
    <w:rsid w:val="00E05704"/>
    <w:rsid w:val="00E11E44"/>
    <w:rsid w:val="00E14131"/>
    <w:rsid w:val="00E1595F"/>
    <w:rsid w:val="00E20E26"/>
    <w:rsid w:val="00E275F4"/>
    <w:rsid w:val="00E310C1"/>
    <w:rsid w:val="00E3270E"/>
    <w:rsid w:val="00E338EF"/>
    <w:rsid w:val="00E34132"/>
    <w:rsid w:val="00E544BB"/>
    <w:rsid w:val="00E57493"/>
    <w:rsid w:val="00E602DA"/>
    <w:rsid w:val="00E662CB"/>
    <w:rsid w:val="00E7141A"/>
    <w:rsid w:val="00E715A0"/>
    <w:rsid w:val="00E74DC7"/>
    <w:rsid w:val="00E76806"/>
    <w:rsid w:val="00E76946"/>
    <w:rsid w:val="00E8075A"/>
    <w:rsid w:val="00E8172F"/>
    <w:rsid w:val="00E83596"/>
    <w:rsid w:val="00E85CA2"/>
    <w:rsid w:val="00E93738"/>
    <w:rsid w:val="00E94D5E"/>
    <w:rsid w:val="00EA3811"/>
    <w:rsid w:val="00EA3C70"/>
    <w:rsid w:val="00EA7100"/>
    <w:rsid w:val="00EA7F9F"/>
    <w:rsid w:val="00EB1274"/>
    <w:rsid w:val="00EB3E68"/>
    <w:rsid w:val="00EB506A"/>
    <w:rsid w:val="00EB6AD0"/>
    <w:rsid w:val="00EB6B45"/>
    <w:rsid w:val="00EC1223"/>
    <w:rsid w:val="00EC76ED"/>
    <w:rsid w:val="00ED2BB6"/>
    <w:rsid w:val="00ED34E1"/>
    <w:rsid w:val="00ED3973"/>
    <w:rsid w:val="00ED3B8D"/>
    <w:rsid w:val="00ED659C"/>
    <w:rsid w:val="00EE7075"/>
    <w:rsid w:val="00EE7646"/>
    <w:rsid w:val="00EF2E3A"/>
    <w:rsid w:val="00F018C0"/>
    <w:rsid w:val="00F04B27"/>
    <w:rsid w:val="00F072A7"/>
    <w:rsid w:val="00F078DC"/>
    <w:rsid w:val="00F1025B"/>
    <w:rsid w:val="00F11F39"/>
    <w:rsid w:val="00F12F22"/>
    <w:rsid w:val="00F217D7"/>
    <w:rsid w:val="00F304DF"/>
    <w:rsid w:val="00F327C1"/>
    <w:rsid w:val="00F32BA8"/>
    <w:rsid w:val="00F332A9"/>
    <w:rsid w:val="00F349F1"/>
    <w:rsid w:val="00F4350D"/>
    <w:rsid w:val="00F46AF7"/>
    <w:rsid w:val="00F5204D"/>
    <w:rsid w:val="00F567F7"/>
    <w:rsid w:val="00F62036"/>
    <w:rsid w:val="00F63436"/>
    <w:rsid w:val="00F65B52"/>
    <w:rsid w:val="00F672E0"/>
    <w:rsid w:val="00F67BCA"/>
    <w:rsid w:val="00F728B2"/>
    <w:rsid w:val="00F73BD6"/>
    <w:rsid w:val="00F753BC"/>
    <w:rsid w:val="00F76302"/>
    <w:rsid w:val="00F7713D"/>
    <w:rsid w:val="00F813FA"/>
    <w:rsid w:val="00F83989"/>
    <w:rsid w:val="00F85099"/>
    <w:rsid w:val="00F9379C"/>
    <w:rsid w:val="00F9472A"/>
    <w:rsid w:val="00F9632C"/>
    <w:rsid w:val="00F9771C"/>
    <w:rsid w:val="00FA1901"/>
    <w:rsid w:val="00FA1E52"/>
    <w:rsid w:val="00FA4DFB"/>
    <w:rsid w:val="00FA6C5C"/>
    <w:rsid w:val="00FB1409"/>
    <w:rsid w:val="00FB1ABB"/>
    <w:rsid w:val="00FD0D4A"/>
    <w:rsid w:val="00FD369D"/>
    <w:rsid w:val="00FD77F3"/>
    <w:rsid w:val="00FE1C5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9F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825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5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5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5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5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5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5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5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25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25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2506"/>
  </w:style>
  <w:style w:type="paragraph" w:customStyle="1" w:styleId="OPCParaBase">
    <w:name w:val="OPCParaBase"/>
    <w:qFormat/>
    <w:rsid w:val="00D825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25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25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25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link w:val="ActHead3Char"/>
    <w:qFormat/>
    <w:rsid w:val="00D825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25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25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25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25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25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25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2506"/>
  </w:style>
  <w:style w:type="paragraph" w:customStyle="1" w:styleId="Blocks">
    <w:name w:val="Blocks"/>
    <w:aliases w:val="bb"/>
    <w:basedOn w:val="OPCParaBase"/>
    <w:qFormat/>
    <w:rsid w:val="00D825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2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25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2506"/>
    <w:rPr>
      <w:i/>
    </w:rPr>
  </w:style>
  <w:style w:type="paragraph" w:customStyle="1" w:styleId="BoxList">
    <w:name w:val="BoxList"/>
    <w:aliases w:val="bl"/>
    <w:basedOn w:val="BoxText"/>
    <w:qFormat/>
    <w:rsid w:val="00D825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25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25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2506"/>
    <w:pPr>
      <w:ind w:left="1985" w:hanging="851"/>
    </w:pPr>
  </w:style>
  <w:style w:type="character" w:customStyle="1" w:styleId="CharAmPartNo">
    <w:name w:val="CharAmPartNo"/>
    <w:basedOn w:val="OPCCharBase"/>
    <w:qFormat/>
    <w:rsid w:val="00D82506"/>
  </w:style>
  <w:style w:type="character" w:customStyle="1" w:styleId="CharAmPartText">
    <w:name w:val="CharAmPartText"/>
    <w:basedOn w:val="OPCCharBase"/>
    <w:qFormat/>
    <w:rsid w:val="00D82506"/>
  </w:style>
  <w:style w:type="character" w:customStyle="1" w:styleId="CharAmSchNo">
    <w:name w:val="CharAmSchNo"/>
    <w:basedOn w:val="OPCCharBase"/>
    <w:qFormat/>
    <w:rsid w:val="00D82506"/>
  </w:style>
  <w:style w:type="character" w:customStyle="1" w:styleId="CharAmSchText">
    <w:name w:val="CharAmSchText"/>
    <w:basedOn w:val="OPCCharBase"/>
    <w:qFormat/>
    <w:rsid w:val="00D82506"/>
  </w:style>
  <w:style w:type="character" w:customStyle="1" w:styleId="CharBoldItalic">
    <w:name w:val="CharBoldItalic"/>
    <w:basedOn w:val="OPCCharBase"/>
    <w:uiPriority w:val="1"/>
    <w:qFormat/>
    <w:rsid w:val="00D825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2506"/>
  </w:style>
  <w:style w:type="character" w:customStyle="1" w:styleId="CharChapText">
    <w:name w:val="CharChapText"/>
    <w:basedOn w:val="OPCCharBase"/>
    <w:uiPriority w:val="1"/>
    <w:qFormat/>
    <w:rsid w:val="00D82506"/>
  </w:style>
  <w:style w:type="character" w:customStyle="1" w:styleId="CharDivNo">
    <w:name w:val="CharDivNo"/>
    <w:basedOn w:val="OPCCharBase"/>
    <w:uiPriority w:val="1"/>
    <w:qFormat/>
    <w:rsid w:val="00D82506"/>
  </w:style>
  <w:style w:type="character" w:customStyle="1" w:styleId="CharDivText">
    <w:name w:val="CharDivText"/>
    <w:basedOn w:val="OPCCharBase"/>
    <w:uiPriority w:val="1"/>
    <w:qFormat/>
    <w:rsid w:val="00D82506"/>
  </w:style>
  <w:style w:type="character" w:customStyle="1" w:styleId="CharItalic">
    <w:name w:val="CharItalic"/>
    <w:basedOn w:val="OPCCharBase"/>
    <w:uiPriority w:val="1"/>
    <w:qFormat/>
    <w:rsid w:val="00D82506"/>
    <w:rPr>
      <w:i/>
    </w:rPr>
  </w:style>
  <w:style w:type="character" w:customStyle="1" w:styleId="CharPartNo">
    <w:name w:val="CharPartNo"/>
    <w:basedOn w:val="OPCCharBase"/>
    <w:uiPriority w:val="1"/>
    <w:qFormat/>
    <w:rsid w:val="00D82506"/>
  </w:style>
  <w:style w:type="character" w:customStyle="1" w:styleId="CharPartText">
    <w:name w:val="CharPartText"/>
    <w:basedOn w:val="OPCCharBase"/>
    <w:uiPriority w:val="1"/>
    <w:qFormat/>
    <w:rsid w:val="00D82506"/>
  </w:style>
  <w:style w:type="character" w:customStyle="1" w:styleId="CharSectno">
    <w:name w:val="CharSectno"/>
    <w:basedOn w:val="OPCCharBase"/>
    <w:qFormat/>
    <w:rsid w:val="00D82506"/>
  </w:style>
  <w:style w:type="character" w:customStyle="1" w:styleId="CharSubdNo">
    <w:name w:val="CharSubdNo"/>
    <w:basedOn w:val="OPCCharBase"/>
    <w:uiPriority w:val="1"/>
    <w:qFormat/>
    <w:rsid w:val="00D82506"/>
  </w:style>
  <w:style w:type="character" w:customStyle="1" w:styleId="CharSubdText">
    <w:name w:val="CharSubdText"/>
    <w:basedOn w:val="OPCCharBase"/>
    <w:uiPriority w:val="1"/>
    <w:qFormat/>
    <w:rsid w:val="00D82506"/>
  </w:style>
  <w:style w:type="paragraph" w:customStyle="1" w:styleId="CTA--">
    <w:name w:val="CTA --"/>
    <w:basedOn w:val="OPCParaBase"/>
    <w:next w:val="Normal"/>
    <w:rsid w:val="00D825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25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25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25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25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25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25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25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25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25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25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25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25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25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25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25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825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25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25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25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25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25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25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25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25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825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25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25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25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25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25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25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25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25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25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825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25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25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25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25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25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25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25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25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25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D825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25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25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25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25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25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2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25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25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25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25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25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825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825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2506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25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825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825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25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825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25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25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25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25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25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25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25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82506"/>
    <w:rPr>
      <w:sz w:val="16"/>
    </w:rPr>
  </w:style>
  <w:style w:type="table" w:customStyle="1" w:styleId="CFlag">
    <w:name w:val="CFlag"/>
    <w:basedOn w:val="TableNormal"/>
    <w:uiPriority w:val="99"/>
    <w:rsid w:val="00D825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82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2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25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25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25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25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25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25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825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825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825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25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825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25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25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25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25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25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25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25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25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25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2506"/>
  </w:style>
  <w:style w:type="character" w:customStyle="1" w:styleId="CharSubPartNoCASA">
    <w:name w:val="CharSubPartNo(CASA)"/>
    <w:basedOn w:val="OPCCharBase"/>
    <w:uiPriority w:val="1"/>
    <w:rsid w:val="00D82506"/>
  </w:style>
  <w:style w:type="paragraph" w:customStyle="1" w:styleId="ENoteTTIndentHeadingSub">
    <w:name w:val="ENoteTTIndentHeadingSub"/>
    <w:aliases w:val="enTTHis"/>
    <w:basedOn w:val="OPCParaBase"/>
    <w:rsid w:val="00D825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25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25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25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25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25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2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2506"/>
    <w:rPr>
      <w:sz w:val="22"/>
    </w:rPr>
  </w:style>
  <w:style w:type="paragraph" w:customStyle="1" w:styleId="SOTextNote">
    <w:name w:val="SO TextNote"/>
    <w:aliases w:val="sont"/>
    <w:basedOn w:val="SOText"/>
    <w:qFormat/>
    <w:rsid w:val="00D825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25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2506"/>
    <w:rPr>
      <w:sz w:val="22"/>
    </w:rPr>
  </w:style>
  <w:style w:type="paragraph" w:customStyle="1" w:styleId="FileName">
    <w:name w:val="FileName"/>
    <w:basedOn w:val="Normal"/>
    <w:rsid w:val="00D82506"/>
  </w:style>
  <w:style w:type="paragraph" w:customStyle="1" w:styleId="TableHeading">
    <w:name w:val="TableHeading"/>
    <w:aliases w:val="th"/>
    <w:basedOn w:val="OPCParaBase"/>
    <w:next w:val="Tabletext"/>
    <w:rsid w:val="00D825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25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25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25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25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25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25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25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25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2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25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25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25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25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2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5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25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25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25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25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825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825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825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82506"/>
    <w:pPr>
      <w:ind w:left="240" w:hanging="240"/>
    </w:pPr>
  </w:style>
  <w:style w:type="paragraph" w:styleId="Index2">
    <w:name w:val="index 2"/>
    <w:basedOn w:val="Normal"/>
    <w:next w:val="Normal"/>
    <w:autoRedefine/>
    <w:rsid w:val="00D82506"/>
    <w:pPr>
      <w:ind w:left="480" w:hanging="240"/>
    </w:pPr>
  </w:style>
  <w:style w:type="paragraph" w:styleId="Index3">
    <w:name w:val="index 3"/>
    <w:basedOn w:val="Normal"/>
    <w:next w:val="Normal"/>
    <w:autoRedefine/>
    <w:rsid w:val="00D82506"/>
    <w:pPr>
      <w:ind w:left="720" w:hanging="240"/>
    </w:pPr>
  </w:style>
  <w:style w:type="paragraph" w:styleId="Index4">
    <w:name w:val="index 4"/>
    <w:basedOn w:val="Normal"/>
    <w:next w:val="Normal"/>
    <w:autoRedefine/>
    <w:rsid w:val="00D82506"/>
    <w:pPr>
      <w:ind w:left="960" w:hanging="240"/>
    </w:pPr>
  </w:style>
  <w:style w:type="paragraph" w:styleId="Index5">
    <w:name w:val="index 5"/>
    <w:basedOn w:val="Normal"/>
    <w:next w:val="Normal"/>
    <w:autoRedefine/>
    <w:rsid w:val="00D82506"/>
    <w:pPr>
      <w:ind w:left="1200" w:hanging="240"/>
    </w:pPr>
  </w:style>
  <w:style w:type="paragraph" w:styleId="Index6">
    <w:name w:val="index 6"/>
    <w:basedOn w:val="Normal"/>
    <w:next w:val="Normal"/>
    <w:autoRedefine/>
    <w:rsid w:val="00D82506"/>
    <w:pPr>
      <w:ind w:left="1440" w:hanging="240"/>
    </w:pPr>
  </w:style>
  <w:style w:type="paragraph" w:styleId="Index7">
    <w:name w:val="index 7"/>
    <w:basedOn w:val="Normal"/>
    <w:next w:val="Normal"/>
    <w:autoRedefine/>
    <w:rsid w:val="00D82506"/>
    <w:pPr>
      <w:ind w:left="1680" w:hanging="240"/>
    </w:pPr>
  </w:style>
  <w:style w:type="paragraph" w:styleId="Index8">
    <w:name w:val="index 8"/>
    <w:basedOn w:val="Normal"/>
    <w:next w:val="Normal"/>
    <w:autoRedefine/>
    <w:rsid w:val="00D82506"/>
    <w:pPr>
      <w:ind w:left="1920" w:hanging="240"/>
    </w:pPr>
  </w:style>
  <w:style w:type="paragraph" w:styleId="Index9">
    <w:name w:val="index 9"/>
    <w:basedOn w:val="Normal"/>
    <w:next w:val="Normal"/>
    <w:autoRedefine/>
    <w:rsid w:val="00D82506"/>
    <w:pPr>
      <w:ind w:left="2160" w:hanging="240"/>
    </w:pPr>
  </w:style>
  <w:style w:type="paragraph" w:styleId="NormalIndent">
    <w:name w:val="Normal Indent"/>
    <w:basedOn w:val="Normal"/>
    <w:rsid w:val="00D82506"/>
    <w:pPr>
      <w:ind w:left="720"/>
    </w:pPr>
  </w:style>
  <w:style w:type="paragraph" w:styleId="FootnoteText">
    <w:name w:val="footnote text"/>
    <w:basedOn w:val="Normal"/>
    <w:link w:val="FootnoteTextChar"/>
    <w:rsid w:val="00D825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2506"/>
  </w:style>
  <w:style w:type="paragraph" w:styleId="CommentText">
    <w:name w:val="annotation text"/>
    <w:basedOn w:val="Normal"/>
    <w:link w:val="CommentTextChar"/>
    <w:rsid w:val="00D825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2506"/>
  </w:style>
  <w:style w:type="paragraph" w:styleId="IndexHeading">
    <w:name w:val="index heading"/>
    <w:basedOn w:val="Normal"/>
    <w:next w:val="Index1"/>
    <w:rsid w:val="00D825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825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82506"/>
    <w:pPr>
      <w:ind w:left="480" w:hanging="480"/>
    </w:pPr>
  </w:style>
  <w:style w:type="paragraph" w:styleId="EnvelopeAddress">
    <w:name w:val="envelope address"/>
    <w:basedOn w:val="Normal"/>
    <w:rsid w:val="00D825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825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825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82506"/>
    <w:rPr>
      <w:sz w:val="16"/>
      <w:szCs w:val="16"/>
    </w:rPr>
  </w:style>
  <w:style w:type="character" w:styleId="PageNumber">
    <w:name w:val="page number"/>
    <w:basedOn w:val="DefaultParagraphFont"/>
    <w:rsid w:val="00D82506"/>
  </w:style>
  <w:style w:type="character" w:styleId="EndnoteReference">
    <w:name w:val="endnote reference"/>
    <w:basedOn w:val="DefaultParagraphFont"/>
    <w:rsid w:val="00D82506"/>
    <w:rPr>
      <w:vertAlign w:val="superscript"/>
    </w:rPr>
  </w:style>
  <w:style w:type="paragraph" w:styleId="EndnoteText">
    <w:name w:val="endnote text"/>
    <w:basedOn w:val="Normal"/>
    <w:link w:val="EndnoteTextChar"/>
    <w:rsid w:val="00D825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2506"/>
  </w:style>
  <w:style w:type="paragraph" w:styleId="TableofAuthorities">
    <w:name w:val="table of authorities"/>
    <w:basedOn w:val="Normal"/>
    <w:next w:val="Normal"/>
    <w:rsid w:val="00D82506"/>
    <w:pPr>
      <w:ind w:left="240" w:hanging="240"/>
    </w:pPr>
  </w:style>
  <w:style w:type="paragraph" w:styleId="MacroText">
    <w:name w:val="macro"/>
    <w:link w:val="MacroTextChar"/>
    <w:rsid w:val="00D825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825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825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82506"/>
    <w:pPr>
      <w:ind w:left="283" w:hanging="283"/>
    </w:pPr>
  </w:style>
  <w:style w:type="paragraph" w:styleId="ListBullet">
    <w:name w:val="List Bullet"/>
    <w:basedOn w:val="Normal"/>
    <w:autoRedefine/>
    <w:rsid w:val="00D825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825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82506"/>
    <w:pPr>
      <w:ind w:left="566" w:hanging="283"/>
    </w:pPr>
  </w:style>
  <w:style w:type="paragraph" w:styleId="List3">
    <w:name w:val="List 3"/>
    <w:basedOn w:val="Normal"/>
    <w:rsid w:val="00D82506"/>
    <w:pPr>
      <w:ind w:left="849" w:hanging="283"/>
    </w:pPr>
  </w:style>
  <w:style w:type="paragraph" w:styleId="List4">
    <w:name w:val="List 4"/>
    <w:basedOn w:val="Normal"/>
    <w:rsid w:val="00D82506"/>
    <w:pPr>
      <w:ind w:left="1132" w:hanging="283"/>
    </w:pPr>
  </w:style>
  <w:style w:type="paragraph" w:styleId="List5">
    <w:name w:val="List 5"/>
    <w:basedOn w:val="Normal"/>
    <w:rsid w:val="00D82506"/>
    <w:pPr>
      <w:ind w:left="1415" w:hanging="283"/>
    </w:pPr>
  </w:style>
  <w:style w:type="paragraph" w:styleId="ListBullet2">
    <w:name w:val="List Bullet 2"/>
    <w:basedOn w:val="Normal"/>
    <w:autoRedefine/>
    <w:rsid w:val="00D825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825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825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825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825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825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825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825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825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825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82506"/>
    <w:pPr>
      <w:ind w:left="4252"/>
    </w:pPr>
  </w:style>
  <w:style w:type="character" w:customStyle="1" w:styleId="ClosingChar">
    <w:name w:val="Closing Char"/>
    <w:basedOn w:val="DefaultParagraphFont"/>
    <w:link w:val="Closing"/>
    <w:rsid w:val="00D82506"/>
    <w:rPr>
      <w:sz w:val="22"/>
    </w:rPr>
  </w:style>
  <w:style w:type="paragraph" w:styleId="Signature">
    <w:name w:val="Signature"/>
    <w:basedOn w:val="Normal"/>
    <w:link w:val="SignatureChar"/>
    <w:rsid w:val="00D825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2506"/>
    <w:rPr>
      <w:sz w:val="22"/>
    </w:rPr>
  </w:style>
  <w:style w:type="paragraph" w:styleId="BodyText">
    <w:name w:val="Body Text"/>
    <w:basedOn w:val="Normal"/>
    <w:link w:val="BodyTextChar"/>
    <w:rsid w:val="00D825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2506"/>
    <w:rPr>
      <w:sz w:val="22"/>
    </w:rPr>
  </w:style>
  <w:style w:type="paragraph" w:styleId="BodyTextIndent">
    <w:name w:val="Body Text Indent"/>
    <w:basedOn w:val="Normal"/>
    <w:link w:val="BodyTextIndentChar"/>
    <w:rsid w:val="00D825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2506"/>
    <w:rPr>
      <w:sz w:val="22"/>
    </w:rPr>
  </w:style>
  <w:style w:type="paragraph" w:styleId="ListContinue">
    <w:name w:val="List Continue"/>
    <w:basedOn w:val="Normal"/>
    <w:rsid w:val="00D82506"/>
    <w:pPr>
      <w:spacing w:after="120"/>
      <w:ind w:left="283"/>
    </w:pPr>
  </w:style>
  <w:style w:type="paragraph" w:styleId="ListContinue2">
    <w:name w:val="List Continue 2"/>
    <w:basedOn w:val="Normal"/>
    <w:rsid w:val="00D82506"/>
    <w:pPr>
      <w:spacing w:after="120"/>
      <w:ind w:left="566"/>
    </w:pPr>
  </w:style>
  <w:style w:type="paragraph" w:styleId="ListContinue3">
    <w:name w:val="List Continue 3"/>
    <w:basedOn w:val="Normal"/>
    <w:rsid w:val="00D82506"/>
    <w:pPr>
      <w:spacing w:after="120"/>
      <w:ind w:left="849"/>
    </w:pPr>
  </w:style>
  <w:style w:type="paragraph" w:styleId="ListContinue4">
    <w:name w:val="List Continue 4"/>
    <w:basedOn w:val="Normal"/>
    <w:rsid w:val="00D82506"/>
    <w:pPr>
      <w:spacing w:after="120"/>
      <w:ind w:left="1132"/>
    </w:pPr>
  </w:style>
  <w:style w:type="paragraph" w:styleId="ListContinue5">
    <w:name w:val="List Continue 5"/>
    <w:basedOn w:val="Normal"/>
    <w:rsid w:val="00D825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825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825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825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825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82506"/>
  </w:style>
  <w:style w:type="character" w:customStyle="1" w:styleId="SalutationChar">
    <w:name w:val="Salutation Char"/>
    <w:basedOn w:val="DefaultParagraphFont"/>
    <w:link w:val="Salutation"/>
    <w:rsid w:val="00D82506"/>
    <w:rPr>
      <w:sz w:val="22"/>
    </w:rPr>
  </w:style>
  <w:style w:type="paragraph" w:styleId="Date">
    <w:name w:val="Date"/>
    <w:basedOn w:val="Normal"/>
    <w:next w:val="Normal"/>
    <w:link w:val="DateChar"/>
    <w:rsid w:val="00D82506"/>
  </w:style>
  <w:style w:type="character" w:customStyle="1" w:styleId="DateChar">
    <w:name w:val="Date Char"/>
    <w:basedOn w:val="DefaultParagraphFont"/>
    <w:link w:val="Date"/>
    <w:rsid w:val="00D82506"/>
    <w:rPr>
      <w:sz w:val="22"/>
    </w:rPr>
  </w:style>
  <w:style w:type="paragraph" w:styleId="BodyTextFirstIndent">
    <w:name w:val="Body Text First Indent"/>
    <w:basedOn w:val="BodyText"/>
    <w:link w:val="BodyTextFirstIndentChar"/>
    <w:rsid w:val="00D825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825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825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82506"/>
    <w:rPr>
      <w:sz w:val="22"/>
    </w:rPr>
  </w:style>
  <w:style w:type="paragraph" w:styleId="BodyText2">
    <w:name w:val="Body Text 2"/>
    <w:basedOn w:val="Normal"/>
    <w:link w:val="BodyText2Char"/>
    <w:rsid w:val="00D825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2506"/>
    <w:rPr>
      <w:sz w:val="22"/>
    </w:rPr>
  </w:style>
  <w:style w:type="paragraph" w:styleId="BodyText3">
    <w:name w:val="Body Text 3"/>
    <w:basedOn w:val="Normal"/>
    <w:link w:val="BodyText3Char"/>
    <w:rsid w:val="00D825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5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825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2506"/>
    <w:rPr>
      <w:sz w:val="22"/>
    </w:rPr>
  </w:style>
  <w:style w:type="paragraph" w:styleId="BodyTextIndent3">
    <w:name w:val="Body Text Indent 3"/>
    <w:basedOn w:val="Normal"/>
    <w:link w:val="BodyTextIndent3Char"/>
    <w:rsid w:val="00D825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2506"/>
    <w:rPr>
      <w:sz w:val="16"/>
      <w:szCs w:val="16"/>
    </w:rPr>
  </w:style>
  <w:style w:type="paragraph" w:styleId="BlockText">
    <w:name w:val="Block Text"/>
    <w:basedOn w:val="Normal"/>
    <w:rsid w:val="00D82506"/>
    <w:pPr>
      <w:spacing w:after="120"/>
      <w:ind w:left="1440" w:right="1440"/>
    </w:pPr>
  </w:style>
  <w:style w:type="character" w:styleId="Hyperlink">
    <w:name w:val="Hyperlink"/>
    <w:basedOn w:val="DefaultParagraphFont"/>
    <w:rsid w:val="00D82506"/>
    <w:rPr>
      <w:color w:val="0000FF"/>
      <w:u w:val="single"/>
    </w:rPr>
  </w:style>
  <w:style w:type="character" w:styleId="FollowedHyperlink">
    <w:name w:val="FollowedHyperlink"/>
    <w:basedOn w:val="DefaultParagraphFont"/>
    <w:rsid w:val="00D82506"/>
    <w:rPr>
      <w:color w:val="800080"/>
      <w:u w:val="single"/>
    </w:rPr>
  </w:style>
  <w:style w:type="character" w:styleId="Strong">
    <w:name w:val="Strong"/>
    <w:basedOn w:val="DefaultParagraphFont"/>
    <w:qFormat/>
    <w:rsid w:val="00D82506"/>
    <w:rPr>
      <w:b/>
      <w:bCs/>
    </w:rPr>
  </w:style>
  <w:style w:type="character" w:styleId="Emphasis">
    <w:name w:val="Emphasis"/>
    <w:basedOn w:val="DefaultParagraphFont"/>
    <w:qFormat/>
    <w:rsid w:val="00D82506"/>
    <w:rPr>
      <w:i/>
      <w:iCs/>
    </w:rPr>
  </w:style>
  <w:style w:type="paragraph" w:styleId="DocumentMap">
    <w:name w:val="Document Map"/>
    <w:basedOn w:val="Normal"/>
    <w:link w:val="DocumentMapChar"/>
    <w:rsid w:val="00D825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825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825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825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82506"/>
  </w:style>
  <w:style w:type="character" w:customStyle="1" w:styleId="E-mailSignatureChar">
    <w:name w:val="E-mail Signature Char"/>
    <w:basedOn w:val="DefaultParagraphFont"/>
    <w:link w:val="E-mailSignature"/>
    <w:rsid w:val="00D82506"/>
    <w:rPr>
      <w:sz w:val="22"/>
    </w:rPr>
  </w:style>
  <w:style w:type="paragraph" w:styleId="NormalWeb">
    <w:name w:val="Normal (Web)"/>
    <w:basedOn w:val="Normal"/>
    <w:rsid w:val="00D82506"/>
  </w:style>
  <w:style w:type="character" w:styleId="HTMLAcronym">
    <w:name w:val="HTML Acronym"/>
    <w:basedOn w:val="DefaultParagraphFont"/>
    <w:rsid w:val="00D82506"/>
  </w:style>
  <w:style w:type="paragraph" w:styleId="HTMLAddress">
    <w:name w:val="HTML Address"/>
    <w:basedOn w:val="Normal"/>
    <w:link w:val="HTMLAddressChar"/>
    <w:rsid w:val="00D825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82506"/>
    <w:rPr>
      <w:i/>
      <w:iCs/>
      <w:sz w:val="22"/>
    </w:rPr>
  </w:style>
  <w:style w:type="character" w:styleId="HTMLCite">
    <w:name w:val="HTML Cite"/>
    <w:basedOn w:val="DefaultParagraphFont"/>
    <w:rsid w:val="00D82506"/>
    <w:rPr>
      <w:i/>
      <w:iCs/>
    </w:rPr>
  </w:style>
  <w:style w:type="character" w:styleId="HTMLCode">
    <w:name w:val="HTML Code"/>
    <w:basedOn w:val="DefaultParagraphFont"/>
    <w:rsid w:val="00D825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82506"/>
    <w:rPr>
      <w:i/>
      <w:iCs/>
    </w:rPr>
  </w:style>
  <w:style w:type="character" w:styleId="HTMLKeyboard">
    <w:name w:val="HTML Keyboard"/>
    <w:basedOn w:val="DefaultParagraphFont"/>
    <w:rsid w:val="00D825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25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25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825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825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825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82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2506"/>
    <w:rPr>
      <w:b/>
      <w:bCs/>
    </w:rPr>
  </w:style>
  <w:style w:type="numbering" w:styleId="1ai">
    <w:name w:val="Outline List 1"/>
    <w:basedOn w:val="NoList"/>
    <w:rsid w:val="00D82506"/>
    <w:pPr>
      <w:numPr>
        <w:numId w:val="14"/>
      </w:numPr>
    </w:pPr>
  </w:style>
  <w:style w:type="numbering" w:styleId="111111">
    <w:name w:val="Outline List 2"/>
    <w:basedOn w:val="NoList"/>
    <w:rsid w:val="00D82506"/>
    <w:pPr>
      <w:numPr>
        <w:numId w:val="15"/>
      </w:numPr>
    </w:pPr>
  </w:style>
  <w:style w:type="numbering" w:styleId="ArticleSection">
    <w:name w:val="Outline List 3"/>
    <w:basedOn w:val="NoList"/>
    <w:rsid w:val="00D82506"/>
    <w:pPr>
      <w:numPr>
        <w:numId w:val="17"/>
      </w:numPr>
    </w:pPr>
  </w:style>
  <w:style w:type="table" w:styleId="TableSimple1">
    <w:name w:val="Table Simple 1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25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25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25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25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25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25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25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25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25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25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82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25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25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25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25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25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25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25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2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2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25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25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25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825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25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25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825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25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82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25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25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825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25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25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25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8250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825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25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25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25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82506"/>
  </w:style>
  <w:style w:type="character" w:customStyle="1" w:styleId="ActHead3Char">
    <w:name w:val="ActHead 3 Char"/>
    <w:aliases w:val="d Char"/>
    <w:link w:val="ActHead3"/>
    <w:rsid w:val="00933B5D"/>
    <w:rPr>
      <w:rFonts w:eastAsia="Times New Roman" w:cs="Times New Roman"/>
      <w:b/>
      <w:kern w:val="28"/>
      <w:sz w:val="28"/>
      <w:lang w:eastAsia="en-AU"/>
    </w:rPr>
  </w:style>
  <w:style w:type="character" w:customStyle="1" w:styleId="paragraphChar">
    <w:name w:val="paragraph Char"/>
    <w:aliases w:val="a Char"/>
    <w:link w:val="paragraph"/>
    <w:rsid w:val="00933B5D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6813B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2Char">
    <w:name w:val="subsection2 Char"/>
    <w:aliases w:val="ss2 Char"/>
    <w:link w:val="subsection2"/>
    <w:rsid w:val="008A220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5.wmf"/><Relationship Id="rId39" Type="http://schemas.openxmlformats.org/officeDocument/2006/relationships/header" Target="header12.xml"/><Relationship Id="rId21" Type="http://schemas.openxmlformats.org/officeDocument/2006/relationships/oleObject" Target="embeddings/oleObject1.bin"/><Relationship Id="rId34" Type="http://schemas.openxmlformats.org/officeDocument/2006/relationships/header" Target="header10.xml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4.wmf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7.xml"/><Relationship Id="rId44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oleObject" Target="embeddings/oleObject4.bin"/><Relationship Id="rId30" Type="http://schemas.openxmlformats.org/officeDocument/2006/relationships/footer" Target="footer6.xml"/><Relationship Id="rId35" Type="http://schemas.openxmlformats.org/officeDocument/2006/relationships/footer" Target="footer9.xml"/><Relationship Id="rId43" Type="http://schemas.openxmlformats.org/officeDocument/2006/relationships/header" Target="header14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oleObject" Target="embeddings/oleObject3.bin"/><Relationship Id="rId33" Type="http://schemas.openxmlformats.org/officeDocument/2006/relationships/header" Target="header9.xml"/><Relationship Id="rId38" Type="http://schemas.openxmlformats.org/officeDocument/2006/relationships/footer" Target="footer11.xml"/><Relationship Id="rId46" Type="http://schemas.openxmlformats.org/officeDocument/2006/relationships/theme" Target="theme/theme1.xml"/><Relationship Id="rId20" Type="http://schemas.openxmlformats.org/officeDocument/2006/relationships/image" Target="media/image2.wmf"/><Relationship Id="rId41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DF96-AE92-4760-B347-D7738E98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19</Pages>
  <Words>3857</Words>
  <Characters>19445</Characters>
  <Application>Microsoft Office Word</Application>
  <DocSecurity>2</DocSecurity>
  <PresentationFormat/>
  <Lines>720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Life Insurance Regulations 2023</vt:lpstr>
    </vt:vector>
  </TitlesOfParts>
  <Manager/>
  <Company/>
  <LinksUpToDate>false</LinksUpToDate>
  <CharactersWithSpaces>22655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Life Insurance Regulations 2023</dc:title>
  <dc:subject/>
  <dc:creator/>
  <cp:keywords/>
  <dc:description/>
  <cp:lastModifiedBy/>
  <cp:revision>1</cp:revision>
  <cp:lastPrinted>2023-03-23T02:09:00Z</cp:lastPrinted>
  <dcterms:created xsi:type="dcterms:W3CDTF">2023-03-30T02:19:00Z</dcterms:created>
  <dcterms:modified xsi:type="dcterms:W3CDTF">2023-04-11T06:51:00Z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Life Insurance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OPC66308</vt:lpwstr>
  </property>
  <property fmtid="{D5CDD505-2E9C-101B-9397-08002B2CF9AE}" pid="12" name="DLM">
    <vt:lpwstr> </vt:lpwstr>
  </property>
  <property fmtid="{D5CDD505-2E9C-101B-9397-08002B2CF9AE}" pid="13" name="Classification">
    <vt:lpwstr>EXPOSURE DRAFT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PC:D23/4690</vt:lpwstr>
  </property>
</Properties>
</file>