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21B7"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26379EBE" w14:textId="77777777" w:rsidR="00E24AA1" w:rsidRDefault="00E24AA1" w:rsidP="00E24AA1">
      <w:pPr>
        <w:pStyle w:val="Baseparagraphcentred"/>
      </w:pPr>
    </w:p>
    <w:p w14:paraId="71C9865F" w14:textId="77777777" w:rsidR="00D0599C" w:rsidRDefault="00D0599C" w:rsidP="00E24AA1">
      <w:pPr>
        <w:pStyle w:val="Baseparagraphcentred"/>
      </w:pPr>
    </w:p>
    <w:p w14:paraId="188A7B51" w14:textId="77777777" w:rsidR="00D0599C" w:rsidRDefault="00D0599C" w:rsidP="00E24AA1">
      <w:pPr>
        <w:pStyle w:val="Baseparagraphcentred"/>
      </w:pPr>
    </w:p>
    <w:p w14:paraId="6A041AC5" w14:textId="77777777" w:rsidR="00D0599C" w:rsidRDefault="00D0599C" w:rsidP="00E24AA1">
      <w:pPr>
        <w:pStyle w:val="Baseparagraphcentred"/>
      </w:pPr>
    </w:p>
    <w:p w14:paraId="3ED1B2CB" w14:textId="77777777" w:rsidR="00E24AA1" w:rsidRDefault="00E24AA1" w:rsidP="00E24AA1">
      <w:pPr>
        <w:pStyle w:val="Baseparagraphcentred"/>
      </w:pPr>
    </w:p>
    <w:p w14:paraId="0DC4F270" w14:textId="77777777" w:rsidR="00E24AA1" w:rsidRDefault="00E24AA1" w:rsidP="00E24AA1">
      <w:pPr>
        <w:pStyle w:val="Baseparagraphcentred"/>
        <w:pBdr>
          <w:bottom w:val="single" w:sz="4" w:space="1" w:color="auto"/>
        </w:pBdr>
      </w:pPr>
    </w:p>
    <w:p w14:paraId="57955A40" w14:textId="068FF387" w:rsidR="00E24AA1" w:rsidRPr="00E24AA1" w:rsidRDefault="00437EE8" w:rsidP="00E24AA1">
      <w:pPr>
        <w:pStyle w:val="BillName"/>
      </w:pPr>
      <w:bookmarkStart w:id="6" w:name="BillName"/>
      <w:bookmarkEnd w:id="6"/>
      <w:r w:rsidRPr="00437EE8">
        <w:t>Treasury Laws Amendment (</w:t>
      </w:r>
      <w:r w:rsidR="002D01BC">
        <w:t>Measures for Future Bills</w:t>
      </w:r>
      <w:r w:rsidRPr="00437EE8">
        <w:t>) Bill 2023</w:t>
      </w:r>
    </w:p>
    <w:p w14:paraId="17B41F7F" w14:textId="77777777" w:rsidR="00E24AA1" w:rsidRDefault="00E24AA1" w:rsidP="00E24AA1">
      <w:pPr>
        <w:pStyle w:val="Baseparagraphcentred"/>
        <w:pBdr>
          <w:top w:val="single" w:sz="4" w:space="1" w:color="auto"/>
        </w:pBdr>
      </w:pPr>
    </w:p>
    <w:p w14:paraId="7429013B" w14:textId="77777777" w:rsidR="00E24AA1" w:rsidRDefault="00E24AA1" w:rsidP="00E24AA1">
      <w:pPr>
        <w:pStyle w:val="Baseparagraphcentred"/>
      </w:pPr>
    </w:p>
    <w:p w14:paraId="64213A2E" w14:textId="77777777" w:rsidR="00E24AA1" w:rsidRDefault="00E24AA1" w:rsidP="00E24AA1">
      <w:pPr>
        <w:pStyle w:val="Baseparagraphcentred"/>
      </w:pPr>
    </w:p>
    <w:p w14:paraId="69C1D964" w14:textId="77777777" w:rsidR="00E24AA1" w:rsidRDefault="00E24AA1" w:rsidP="00E24AA1">
      <w:pPr>
        <w:pStyle w:val="Baseparagraphcentred"/>
      </w:pPr>
    </w:p>
    <w:p w14:paraId="7E2A0338" w14:textId="77777777" w:rsidR="003E6985" w:rsidRDefault="003E6985" w:rsidP="00E24AA1">
      <w:pPr>
        <w:pStyle w:val="Baseparagraphcentred"/>
      </w:pPr>
      <w:r>
        <w:t>EXPOSURE DRAFT EXPLANATORY MATERIALS</w:t>
      </w:r>
    </w:p>
    <w:p w14:paraId="24A133AE" w14:textId="7A0DCACD" w:rsidR="00E24AA1" w:rsidRDefault="00E24AA1" w:rsidP="00E24AA1">
      <w:pPr>
        <w:pStyle w:val="Baseparagraphcentred"/>
      </w:pPr>
    </w:p>
    <w:p w14:paraId="57486E48" w14:textId="77777777" w:rsidR="00E24AA1" w:rsidRDefault="00E24AA1" w:rsidP="00E24AA1">
      <w:pPr>
        <w:pStyle w:val="Baseparagraphcentred"/>
      </w:pPr>
    </w:p>
    <w:p w14:paraId="10BB925B" w14:textId="77777777" w:rsidR="00E24AA1" w:rsidRDefault="00E24AA1" w:rsidP="00E24AA1">
      <w:pPr>
        <w:pStyle w:val="ParaCentredNoSpacing"/>
      </w:pPr>
    </w:p>
    <w:p w14:paraId="06EA6A81" w14:textId="77777777" w:rsidR="00E24AA1" w:rsidRPr="00967273" w:rsidRDefault="00E24AA1" w:rsidP="00E24AA1">
      <w:pPr>
        <w:pStyle w:val="Normalparatextnonumbers"/>
        <w:jc w:val="center"/>
        <w:rPr>
          <w:rFonts w:cs="Calibri"/>
          <w:color w:val="000000" w:themeColor="text1"/>
        </w:rPr>
      </w:pPr>
    </w:p>
    <w:p w14:paraId="4AEB80E6" w14:textId="77777777" w:rsidR="00873094" w:rsidRDefault="00873094" w:rsidP="00873094">
      <w:pPr>
        <w:pStyle w:val="Normalparatextnonumbers"/>
      </w:pPr>
    </w:p>
    <w:p w14:paraId="47BCD13E" w14:textId="77777777" w:rsidR="00E24AA1" w:rsidRPr="00020288" w:rsidRDefault="00E24AA1" w:rsidP="00873094">
      <w:pPr>
        <w:pStyle w:val="Normalparatextnonumbers"/>
      </w:pPr>
    </w:p>
    <w:p w14:paraId="31B421A0"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667AB264"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46997514" w14:textId="2B0A5319" w:rsidR="003E6985" w:rsidRDefault="00873094" w:rsidP="003E6985">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3E6985">
        <w:rPr>
          <w:noProof/>
        </w:rPr>
        <w:t>Glossary</w:t>
      </w:r>
      <w:r w:rsidR="003E6985">
        <w:rPr>
          <w:noProof/>
        </w:rPr>
        <w:tab/>
      </w:r>
      <w:r w:rsidR="003E6985">
        <w:rPr>
          <w:noProof/>
        </w:rPr>
        <w:fldChar w:fldCharType="begin"/>
      </w:r>
      <w:r w:rsidR="003E6985">
        <w:rPr>
          <w:noProof/>
        </w:rPr>
        <w:instrText xml:space="preserve"> PAGEREF _Toc138165810 \h </w:instrText>
      </w:r>
      <w:r w:rsidR="003E6985">
        <w:rPr>
          <w:noProof/>
        </w:rPr>
      </w:r>
      <w:r w:rsidR="003E6985">
        <w:rPr>
          <w:noProof/>
        </w:rPr>
        <w:fldChar w:fldCharType="separate"/>
      </w:r>
      <w:r w:rsidR="003E6985">
        <w:rPr>
          <w:noProof/>
        </w:rPr>
        <w:t>iii</w:t>
      </w:r>
      <w:r w:rsidR="003E6985">
        <w:rPr>
          <w:noProof/>
        </w:rPr>
        <w:fldChar w:fldCharType="end"/>
      </w:r>
    </w:p>
    <w:p w14:paraId="082D57DC" w14:textId="4E6F9807" w:rsidR="003E6985" w:rsidRDefault="003E6985" w:rsidP="003E6985">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DD74DA">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sidR="00D0599C">
        <w:rPr>
          <w:rFonts w:asciiTheme="minorHAnsi" w:eastAsiaTheme="minorEastAsia" w:hAnsiTheme="minorHAnsi" w:cstheme="minorBidi"/>
          <w:bCs w:val="0"/>
          <w:noProof/>
          <w:sz w:val="22"/>
          <w:szCs w:val="22"/>
          <w:lang w:eastAsia="en-AU"/>
        </w:rPr>
        <w:tab/>
      </w:r>
      <w:r>
        <w:rPr>
          <w:noProof/>
        </w:rPr>
        <w:t>Denying deductions for payments relating to intangible assets connected with low corporate tax jurisdictions</w:t>
      </w:r>
      <w:r>
        <w:rPr>
          <w:noProof/>
        </w:rPr>
        <w:tab/>
      </w:r>
      <w:r>
        <w:rPr>
          <w:noProof/>
        </w:rPr>
        <w:fldChar w:fldCharType="begin"/>
      </w:r>
      <w:r>
        <w:rPr>
          <w:noProof/>
        </w:rPr>
        <w:instrText xml:space="preserve"> PAGEREF _Toc138165811 \h </w:instrText>
      </w:r>
      <w:r>
        <w:rPr>
          <w:noProof/>
        </w:rPr>
      </w:r>
      <w:r>
        <w:rPr>
          <w:noProof/>
        </w:rPr>
        <w:fldChar w:fldCharType="separate"/>
      </w:r>
      <w:r>
        <w:rPr>
          <w:noProof/>
        </w:rPr>
        <w:t>5</w:t>
      </w:r>
      <w:r>
        <w:rPr>
          <w:noProof/>
        </w:rPr>
        <w:fldChar w:fldCharType="end"/>
      </w:r>
    </w:p>
    <w:p w14:paraId="1203F20B" w14:textId="4E90535C" w:rsidR="00873094" w:rsidRPr="00020288" w:rsidRDefault="00873094" w:rsidP="00BC2E4A">
      <w:pPr>
        <w:pStyle w:val="TOC1"/>
      </w:pPr>
      <w:r w:rsidRPr="00BC2E4A">
        <w:fldChar w:fldCharType="end"/>
      </w:r>
    </w:p>
    <w:p w14:paraId="7313C73C" w14:textId="77777777" w:rsidR="00873094" w:rsidRPr="00020288" w:rsidRDefault="00873094" w:rsidP="00873094"/>
    <w:p w14:paraId="58CF4F71" w14:textId="77777777" w:rsidR="00873094" w:rsidRPr="00020288" w:rsidRDefault="00873094" w:rsidP="00873094"/>
    <w:p w14:paraId="24278BA0"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1C245058"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38165810"/>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382B03EE"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51BFF96F" w14:textId="77777777" w:rsidTr="002425D9">
        <w:tc>
          <w:tcPr>
            <w:tcW w:w="3776" w:type="dxa"/>
            <w:shd w:val="clear" w:color="auto" w:fill="auto"/>
          </w:tcPr>
          <w:p w14:paraId="654291A2"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45D9DB54" w14:textId="77777777" w:rsidR="00873094" w:rsidRPr="002E7A73" w:rsidRDefault="00873094" w:rsidP="00B7393A">
            <w:pPr>
              <w:pStyle w:val="Tableheaderrowtext"/>
            </w:pPr>
            <w:r w:rsidRPr="002E7A73">
              <w:t>Definition</w:t>
            </w:r>
          </w:p>
        </w:tc>
      </w:tr>
      <w:tr w:rsidR="007E53B4" w:rsidRPr="00020288" w14:paraId="5FD10AA3" w14:textId="77777777" w:rsidTr="002425D9">
        <w:tc>
          <w:tcPr>
            <w:tcW w:w="3776" w:type="dxa"/>
          </w:tcPr>
          <w:p w14:paraId="6D6906B7" w14:textId="543AD04F" w:rsidR="007E53B4" w:rsidRDefault="007E53B4" w:rsidP="002425D9">
            <w:pPr>
              <w:pStyle w:val="Normalparatextnonumbers"/>
            </w:pPr>
            <w:r w:rsidRPr="007E53B4">
              <w:t>ITAA 1936</w:t>
            </w:r>
          </w:p>
        </w:tc>
        <w:tc>
          <w:tcPr>
            <w:tcW w:w="3874" w:type="dxa"/>
          </w:tcPr>
          <w:p w14:paraId="71338061" w14:textId="5255D036" w:rsidR="007E53B4" w:rsidRPr="007E53B4" w:rsidRDefault="007E53B4" w:rsidP="002425D9">
            <w:pPr>
              <w:pStyle w:val="Normalparatextnonumbers"/>
              <w:rPr>
                <w:i/>
                <w:iCs/>
              </w:rPr>
            </w:pPr>
            <w:r w:rsidRPr="007E53B4">
              <w:rPr>
                <w:i/>
                <w:iCs/>
              </w:rPr>
              <w:t>Income Tax Assessment Act 1936</w:t>
            </w:r>
          </w:p>
        </w:tc>
      </w:tr>
      <w:tr w:rsidR="00873094" w:rsidRPr="00020288" w14:paraId="25E0905C" w14:textId="77777777" w:rsidTr="002425D9">
        <w:tc>
          <w:tcPr>
            <w:tcW w:w="3776" w:type="dxa"/>
          </w:tcPr>
          <w:p w14:paraId="4CD101F2" w14:textId="7BDD2A0F" w:rsidR="00873094" w:rsidRPr="00020288" w:rsidRDefault="004D17C6" w:rsidP="002425D9">
            <w:pPr>
              <w:pStyle w:val="Normalparatextnonumbers"/>
            </w:pPr>
            <w:r>
              <w:t>ITAA 1997</w:t>
            </w:r>
          </w:p>
        </w:tc>
        <w:tc>
          <w:tcPr>
            <w:tcW w:w="3874" w:type="dxa"/>
          </w:tcPr>
          <w:p w14:paraId="09448CF7" w14:textId="1A3AF8A4" w:rsidR="00873094" w:rsidRPr="00DA7D1C" w:rsidRDefault="00F1363A" w:rsidP="002425D9">
            <w:pPr>
              <w:pStyle w:val="Normalparatextnonumbers"/>
              <w:rPr>
                <w:i/>
              </w:rPr>
            </w:pPr>
            <w:r w:rsidRPr="00DA7D1C">
              <w:rPr>
                <w:i/>
              </w:rPr>
              <w:t xml:space="preserve">Income Tax Assessment Act </w:t>
            </w:r>
            <w:r w:rsidR="00353E6C" w:rsidRPr="00DA7D1C">
              <w:rPr>
                <w:i/>
                <w:iCs/>
              </w:rPr>
              <w:t>1997</w:t>
            </w:r>
          </w:p>
        </w:tc>
      </w:tr>
      <w:tr w:rsidR="00873094" w:rsidRPr="00020288" w14:paraId="59EC9BEE" w14:textId="77777777" w:rsidTr="002425D9">
        <w:tc>
          <w:tcPr>
            <w:tcW w:w="3776" w:type="dxa"/>
          </w:tcPr>
          <w:p w14:paraId="330EEED7" w14:textId="2C3EE037" w:rsidR="00873094" w:rsidRPr="00020288" w:rsidRDefault="004D17C6" w:rsidP="002425D9">
            <w:pPr>
              <w:pStyle w:val="Normalparatextnonumbers"/>
            </w:pPr>
            <w:r>
              <w:t>TAA 1953</w:t>
            </w:r>
          </w:p>
        </w:tc>
        <w:tc>
          <w:tcPr>
            <w:tcW w:w="3874" w:type="dxa"/>
          </w:tcPr>
          <w:p w14:paraId="5EED8AA4" w14:textId="1DCDC4FA" w:rsidR="00873094" w:rsidRPr="00DA7D1C" w:rsidRDefault="00776555" w:rsidP="002425D9">
            <w:pPr>
              <w:pStyle w:val="Normalparatextnonumbers"/>
              <w:rPr>
                <w:i/>
              </w:rPr>
            </w:pPr>
            <w:r w:rsidRPr="00DA7D1C">
              <w:rPr>
                <w:i/>
                <w:iCs/>
              </w:rPr>
              <w:t>Taxation Administration Act 1953</w:t>
            </w:r>
          </w:p>
        </w:tc>
      </w:tr>
      <w:tr w:rsidR="00873094" w:rsidRPr="00020288" w14:paraId="47D0F28D" w14:textId="77777777" w:rsidTr="002425D9">
        <w:tc>
          <w:tcPr>
            <w:tcW w:w="3776" w:type="dxa"/>
          </w:tcPr>
          <w:p w14:paraId="6526D7F2" w14:textId="018052DF" w:rsidR="00873094" w:rsidRPr="00020288" w:rsidRDefault="0070568F" w:rsidP="002425D9">
            <w:pPr>
              <w:pStyle w:val="Normalparatextnonumbers"/>
            </w:pPr>
            <w:r>
              <w:t>SGE</w:t>
            </w:r>
          </w:p>
        </w:tc>
        <w:tc>
          <w:tcPr>
            <w:tcW w:w="3874" w:type="dxa"/>
          </w:tcPr>
          <w:p w14:paraId="1E373AA1" w14:textId="30FAFB5C" w:rsidR="00873094" w:rsidRPr="00020288" w:rsidRDefault="0057306E" w:rsidP="002425D9">
            <w:pPr>
              <w:pStyle w:val="Normalparatextnonumbers"/>
            </w:pPr>
            <w:r>
              <w:t>Significant Global Entity</w:t>
            </w:r>
          </w:p>
        </w:tc>
      </w:tr>
      <w:tr w:rsidR="00873094" w:rsidRPr="00020288" w14:paraId="3994537D" w14:textId="77777777" w:rsidTr="002425D9">
        <w:tc>
          <w:tcPr>
            <w:tcW w:w="3776" w:type="dxa"/>
          </w:tcPr>
          <w:p w14:paraId="35F5F0AD" w14:textId="73983DA7" w:rsidR="00873094" w:rsidRPr="00020288" w:rsidRDefault="00163E89" w:rsidP="002425D9">
            <w:pPr>
              <w:pStyle w:val="Normalparatextnonumbers"/>
            </w:pPr>
            <w:r>
              <w:t>CFC</w:t>
            </w:r>
          </w:p>
        </w:tc>
        <w:tc>
          <w:tcPr>
            <w:tcW w:w="3874" w:type="dxa"/>
          </w:tcPr>
          <w:p w14:paraId="371EF471" w14:textId="1CF5F0FA" w:rsidR="00873094" w:rsidRPr="00020288" w:rsidRDefault="00341696" w:rsidP="002425D9">
            <w:pPr>
              <w:pStyle w:val="Normalparatextnonumbers"/>
            </w:pPr>
            <w:r>
              <w:t>Controlled Foreign Company</w:t>
            </w:r>
            <w:r w:rsidR="00E46876">
              <w:t xml:space="preserve"> </w:t>
            </w:r>
          </w:p>
        </w:tc>
      </w:tr>
      <w:tr w:rsidR="00873094" w:rsidRPr="00020288" w14:paraId="7D034750" w14:textId="77777777" w:rsidTr="002425D9">
        <w:tc>
          <w:tcPr>
            <w:tcW w:w="3776" w:type="dxa"/>
          </w:tcPr>
          <w:p w14:paraId="0A53C458" w14:textId="3BA183C0" w:rsidR="00873094" w:rsidRPr="00020288" w:rsidRDefault="0051798E" w:rsidP="002425D9">
            <w:pPr>
              <w:pStyle w:val="Normalparatextnonumbers"/>
            </w:pPr>
            <w:r>
              <w:t>OECD</w:t>
            </w:r>
          </w:p>
        </w:tc>
        <w:tc>
          <w:tcPr>
            <w:tcW w:w="3874" w:type="dxa"/>
          </w:tcPr>
          <w:p w14:paraId="4AA026F4" w14:textId="10797035" w:rsidR="00873094" w:rsidRPr="00020288" w:rsidRDefault="0051798E" w:rsidP="002425D9">
            <w:pPr>
              <w:pStyle w:val="Normalparatextnonumbers"/>
            </w:pPr>
            <w:r>
              <w:t xml:space="preserve">Organisation </w:t>
            </w:r>
            <w:r w:rsidR="00DA7D1C">
              <w:t>for Economic Co-operation and Development</w:t>
            </w:r>
          </w:p>
        </w:tc>
      </w:tr>
    </w:tbl>
    <w:p w14:paraId="70F5922D" w14:textId="77777777" w:rsidR="00873094" w:rsidRPr="00020288" w:rsidRDefault="00873094" w:rsidP="00873094"/>
    <w:p w14:paraId="2212AC5E" w14:textId="77777777" w:rsidR="00873094" w:rsidRPr="00020288" w:rsidRDefault="00873094" w:rsidP="00873094"/>
    <w:p w14:paraId="416B53A3"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5C69F0E6" w14:textId="77777777" w:rsidR="00E67894" w:rsidRPr="0073326A" w:rsidRDefault="00E67894" w:rsidP="00E67894">
      <w:pPr>
        <w:pStyle w:val="Chapterheading"/>
        <w:rPr>
          <w:rFonts w:hint="eastAsia"/>
        </w:rPr>
      </w:pPr>
      <w:bookmarkStart w:id="40" w:name="GeneralOutline"/>
      <w:bookmarkStart w:id="41" w:name="_Toc131093645"/>
      <w:bookmarkStart w:id="42" w:name="_Toc138165811"/>
      <w:bookmarkEnd w:id="26"/>
      <w:bookmarkEnd w:id="27"/>
      <w:bookmarkEnd w:id="28"/>
      <w:bookmarkEnd w:id="30"/>
      <w:bookmarkEnd w:id="31"/>
      <w:bookmarkEnd w:id="32"/>
      <w:bookmarkEnd w:id="33"/>
      <w:bookmarkEnd w:id="34"/>
      <w:bookmarkEnd w:id="35"/>
      <w:bookmarkEnd w:id="36"/>
      <w:bookmarkEnd w:id="37"/>
      <w:bookmarkEnd w:id="38"/>
      <w:bookmarkEnd w:id="39"/>
      <w:bookmarkEnd w:id="40"/>
      <w:r>
        <w:lastRenderedPageBreak/>
        <w:t>Denying deductions for payments relating to intangible assets connected with low corporate tax jurisdictions</w:t>
      </w:r>
      <w:bookmarkEnd w:id="41"/>
      <w:bookmarkEnd w:id="42"/>
    </w:p>
    <w:p w14:paraId="303285B2" w14:textId="1AFF987E" w:rsidR="00873094" w:rsidRDefault="004B0673" w:rsidP="00873094">
      <w:pPr>
        <w:rPr>
          <w:rFonts w:ascii="Helvitica" w:hAnsi="Helvitica"/>
          <w:sz w:val="40"/>
        </w:rPr>
      </w:pPr>
      <w:bookmarkStart w:id="43" w:name="Chapter1"/>
      <w:r>
        <w:rPr>
          <w:rFonts w:ascii="Helvitica" w:hAnsi="Helvitica"/>
          <w:sz w:val="40"/>
        </w:rPr>
        <w:t xml:space="preserve">Table of Contents: </w:t>
      </w:r>
    </w:p>
    <w:p w14:paraId="33C44321" w14:textId="3BB86922" w:rsidR="003E6985" w:rsidRDefault="004B0673">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3E6985">
        <w:t>Outline of chapter</w:t>
      </w:r>
      <w:r w:rsidR="003E6985">
        <w:rPr>
          <w:webHidden/>
        </w:rPr>
        <w:tab/>
      </w:r>
      <w:r w:rsidR="003E6985">
        <w:rPr>
          <w:webHidden/>
        </w:rPr>
        <w:fldChar w:fldCharType="begin"/>
      </w:r>
      <w:r w:rsidR="003E6985">
        <w:rPr>
          <w:webHidden/>
        </w:rPr>
        <w:instrText xml:space="preserve"> PAGEREF _Toc138165812 \h </w:instrText>
      </w:r>
      <w:r w:rsidR="003E6985">
        <w:rPr>
          <w:webHidden/>
        </w:rPr>
      </w:r>
      <w:r w:rsidR="003E6985">
        <w:rPr>
          <w:webHidden/>
        </w:rPr>
        <w:fldChar w:fldCharType="separate"/>
      </w:r>
      <w:r w:rsidR="003E6985">
        <w:rPr>
          <w:webHidden/>
        </w:rPr>
        <w:t>5</w:t>
      </w:r>
      <w:r w:rsidR="003E6985">
        <w:rPr>
          <w:webHidden/>
        </w:rPr>
        <w:fldChar w:fldCharType="end"/>
      </w:r>
    </w:p>
    <w:p w14:paraId="0B5012DF" w14:textId="41DEED01" w:rsidR="003E6985" w:rsidRDefault="003E6985">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_Toc138165813 \h </w:instrText>
      </w:r>
      <w:r>
        <w:rPr>
          <w:webHidden/>
        </w:rPr>
      </w:r>
      <w:r>
        <w:rPr>
          <w:webHidden/>
        </w:rPr>
        <w:fldChar w:fldCharType="separate"/>
      </w:r>
      <w:r>
        <w:rPr>
          <w:webHidden/>
        </w:rPr>
        <w:t>6</w:t>
      </w:r>
      <w:r>
        <w:rPr>
          <w:webHidden/>
        </w:rPr>
        <w:fldChar w:fldCharType="end"/>
      </w:r>
    </w:p>
    <w:p w14:paraId="19F0AC3D" w14:textId="35E6FBD5" w:rsidR="003E6985" w:rsidRDefault="003E6985">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_Toc138165814 \h </w:instrText>
      </w:r>
      <w:r>
        <w:rPr>
          <w:webHidden/>
        </w:rPr>
      </w:r>
      <w:r>
        <w:rPr>
          <w:webHidden/>
        </w:rPr>
        <w:fldChar w:fldCharType="separate"/>
      </w:r>
      <w:r>
        <w:rPr>
          <w:webHidden/>
        </w:rPr>
        <w:t>7</w:t>
      </w:r>
      <w:r>
        <w:rPr>
          <w:webHidden/>
        </w:rPr>
        <w:fldChar w:fldCharType="end"/>
      </w:r>
    </w:p>
    <w:p w14:paraId="410C4E9E" w14:textId="60D26F4F" w:rsidR="003E6985" w:rsidRDefault="003E6985">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_Toc138165815 \h </w:instrText>
      </w:r>
      <w:r>
        <w:rPr>
          <w:webHidden/>
        </w:rPr>
      </w:r>
      <w:r>
        <w:rPr>
          <w:webHidden/>
        </w:rPr>
        <w:fldChar w:fldCharType="separate"/>
      </w:r>
      <w:r>
        <w:rPr>
          <w:webHidden/>
        </w:rPr>
        <w:t>8</w:t>
      </w:r>
      <w:r>
        <w:rPr>
          <w:webHidden/>
        </w:rPr>
        <w:fldChar w:fldCharType="end"/>
      </w:r>
    </w:p>
    <w:p w14:paraId="1030CE8E" w14:textId="76C9D589" w:rsidR="003E6985" w:rsidRDefault="003E6985">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_Toc138165816 \h </w:instrText>
      </w:r>
      <w:r>
        <w:rPr>
          <w:webHidden/>
        </w:rPr>
      </w:r>
      <w:r>
        <w:rPr>
          <w:webHidden/>
        </w:rPr>
        <w:fldChar w:fldCharType="separate"/>
      </w:r>
      <w:r>
        <w:rPr>
          <w:webHidden/>
        </w:rPr>
        <w:t>26</w:t>
      </w:r>
      <w:r>
        <w:rPr>
          <w:webHidden/>
        </w:rPr>
        <w:fldChar w:fldCharType="end"/>
      </w:r>
    </w:p>
    <w:p w14:paraId="3B70D82E" w14:textId="78FA0CAE" w:rsidR="003E6985" w:rsidRDefault="003E6985">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_Toc138165817 \h </w:instrText>
      </w:r>
      <w:r>
        <w:rPr>
          <w:webHidden/>
        </w:rPr>
      </w:r>
      <w:r>
        <w:rPr>
          <w:webHidden/>
        </w:rPr>
        <w:fldChar w:fldCharType="separate"/>
      </w:r>
      <w:r>
        <w:rPr>
          <w:webHidden/>
        </w:rPr>
        <w:t>26</w:t>
      </w:r>
      <w:r>
        <w:rPr>
          <w:webHidden/>
        </w:rPr>
        <w:fldChar w:fldCharType="end"/>
      </w:r>
    </w:p>
    <w:p w14:paraId="0E6B0F7B" w14:textId="73223832" w:rsidR="004B0673" w:rsidRPr="00020288" w:rsidRDefault="004B0673" w:rsidP="004B0673">
      <w:r>
        <w:fldChar w:fldCharType="end"/>
      </w:r>
    </w:p>
    <w:p w14:paraId="22F4D7C5" w14:textId="77777777" w:rsidR="00873094" w:rsidRPr="00020288" w:rsidRDefault="00873094" w:rsidP="005D0844">
      <w:pPr>
        <w:pStyle w:val="Heading2"/>
        <w:rPr>
          <w:rFonts w:hint="eastAsia"/>
        </w:rPr>
      </w:pPr>
      <w:bookmarkStart w:id="44" w:name="_Toc138165812"/>
      <w:r w:rsidRPr="00020288">
        <w:t xml:space="preserve">Outline </w:t>
      </w:r>
      <w:r w:rsidRPr="005D0844">
        <w:t>of</w:t>
      </w:r>
      <w:r w:rsidRPr="00020288">
        <w:t xml:space="preserve"> chapter</w:t>
      </w:r>
      <w:bookmarkEnd w:id="44"/>
    </w:p>
    <w:p w14:paraId="3623935D" w14:textId="32EE4DBF" w:rsidR="002721E2" w:rsidRPr="001577A3" w:rsidRDefault="002721E2" w:rsidP="002721E2">
      <w:pPr>
        <w:pStyle w:val="Normalparatextwithnumbers"/>
      </w:pPr>
      <w:r w:rsidRPr="005371A6">
        <w:t xml:space="preserve">Schedule [x] of </w:t>
      </w:r>
      <w:r>
        <w:t>this</w:t>
      </w:r>
      <w:r w:rsidRPr="005371A6">
        <w:t xml:space="preserve"> </w:t>
      </w:r>
      <w:r>
        <w:t>B</w:t>
      </w:r>
      <w:r w:rsidRPr="005371A6">
        <w:t xml:space="preserve">ill </w:t>
      </w:r>
      <w:r>
        <w:t xml:space="preserve">amends the ITAA 1997 to introduce an anti-avoidance rule </w:t>
      </w:r>
      <w:r w:rsidRPr="005371A6">
        <w:t xml:space="preserve">designed to </w:t>
      </w:r>
      <w:r>
        <w:t xml:space="preserve">deter SGEs from avoiding income tax by structuring their arrangements so that income from exploiting </w:t>
      </w:r>
      <w:r w:rsidRPr="001577A3">
        <w:t xml:space="preserve">intangible assets </w:t>
      </w:r>
      <w:r>
        <w:t xml:space="preserve">is derived in a jurisdiction where no or low corporate tax rates apply, while deductions for payments </w:t>
      </w:r>
      <w:r w:rsidR="00F920E4">
        <w:t xml:space="preserve">made to associates that are </w:t>
      </w:r>
      <w:r>
        <w:t>attributable to intangible assets are claimed</w:t>
      </w:r>
      <w:r w:rsidR="00F920E4">
        <w:t xml:space="preserve"> by SGEs</w:t>
      </w:r>
      <w:r>
        <w:t xml:space="preserve"> in Australia. This rule prevents the SGE from claiming tax deductions for such payments.  </w:t>
      </w:r>
      <w:r w:rsidRPr="001577A3">
        <w:t xml:space="preserve"> </w:t>
      </w:r>
    </w:p>
    <w:p w14:paraId="305DD60B" w14:textId="0B7D15D7" w:rsidR="001A2FFB" w:rsidRDefault="00ED4DCC" w:rsidP="002721E2">
      <w:pPr>
        <w:pStyle w:val="Normalparatextwithnumbers"/>
      </w:pPr>
      <w:r>
        <w:t>Th</w:t>
      </w:r>
      <w:r w:rsidR="00287AC7">
        <w:t>ese amendments</w:t>
      </w:r>
      <w:r>
        <w:t xml:space="preserve"> will not disallow a deduction</w:t>
      </w:r>
      <w:r w:rsidR="00E41F03">
        <w:t xml:space="preserve"> </w:t>
      </w:r>
      <w:r w:rsidR="003B4119">
        <w:t xml:space="preserve">to the extent that the </w:t>
      </w:r>
      <w:r w:rsidR="00E41F03">
        <w:t>income derived in the low corporate tax jurisdiction is attributed</w:t>
      </w:r>
      <w:r w:rsidR="007F5A8A">
        <w:t xml:space="preserve"> and assessed</w:t>
      </w:r>
      <w:r w:rsidR="00E41F03">
        <w:t xml:space="preserve"> under Australia’s CFC rules or is</w:t>
      </w:r>
      <w:r w:rsidR="00D62417">
        <w:t xml:space="preserve"> or will be</w:t>
      </w:r>
      <w:r w:rsidR="00E41F03">
        <w:t xml:space="preserve"> subject to </w:t>
      </w:r>
      <w:r w:rsidR="00962D23">
        <w:t xml:space="preserve">certain </w:t>
      </w:r>
      <w:r w:rsidR="00E41F03">
        <w:t xml:space="preserve">foreign income tax at a rate of at least 15 per cent. </w:t>
      </w:r>
    </w:p>
    <w:p w14:paraId="681136D5" w14:textId="70CBF275" w:rsidR="009230A5" w:rsidRDefault="00E41F03" w:rsidP="002721E2">
      <w:pPr>
        <w:pStyle w:val="Normalparatextwithnumbers"/>
      </w:pPr>
      <w:r>
        <w:t xml:space="preserve">Additionally, to the extent that the payment made by the SGE consists of a royalty and the SGE has satisfied its </w:t>
      </w:r>
      <w:r w:rsidR="001A2FFB">
        <w:t xml:space="preserve">Australian </w:t>
      </w:r>
      <w:r>
        <w:t>withholding tax obligations in respect of that royalty, the amount of the deduction denied will be reduced to reflect the withholding tax paid.</w:t>
      </w:r>
    </w:p>
    <w:p w14:paraId="0DD92743" w14:textId="024339E8" w:rsidR="002721E2" w:rsidRDefault="009230A5" w:rsidP="002721E2">
      <w:pPr>
        <w:pStyle w:val="Normalparatextwithnumbers"/>
      </w:pPr>
      <w:r>
        <w:t>T</w:t>
      </w:r>
      <w:r w:rsidR="002721E2">
        <w:t xml:space="preserve">his anti-avoidance rule aims to prevent large multinationals from securing an unfair tax advantage over other Australian businesses and seeks to ensure that large multinational enterprises are paying their fair share of tax in Australia.  </w:t>
      </w:r>
    </w:p>
    <w:p w14:paraId="26065A90" w14:textId="1A21FB32" w:rsidR="00873094" w:rsidRPr="000E521B" w:rsidRDefault="002721E2" w:rsidP="000233D2">
      <w:pPr>
        <w:pStyle w:val="Normalparatextwithnumbers"/>
      </w:pPr>
      <w:r>
        <w:lastRenderedPageBreak/>
        <w:t>These amendments operate in respect of payments or credits</w:t>
      </w:r>
      <w:r w:rsidRPr="005371A6">
        <w:t xml:space="preserve"> a</w:t>
      </w:r>
      <w:r>
        <w:t>n</w:t>
      </w:r>
      <w:r w:rsidRPr="005371A6">
        <w:t xml:space="preserve"> SGE makes</w:t>
      </w:r>
      <w:r>
        <w:t xml:space="preserve"> to an associate, as well as liabilities incurred by an SGE </w:t>
      </w:r>
      <w:r w:rsidR="009D40FD">
        <w:t xml:space="preserve">that are owed to </w:t>
      </w:r>
      <w:r>
        <w:t xml:space="preserve">an associate, on or after 1 July 2023. </w:t>
      </w:r>
    </w:p>
    <w:p w14:paraId="13C50F67" w14:textId="77777777" w:rsidR="00873094" w:rsidRPr="00020288" w:rsidRDefault="00873094" w:rsidP="005D0844">
      <w:pPr>
        <w:pStyle w:val="Heading2"/>
        <w:rPr>
          <w:rFonts w:hint="eastAsia"/>
        </w:rPr>
      </w:pPr>
      <w:bookmarkStart w:id="45" w:name="_Toc138165813"/>
      <w:r w:rsidRPr="00020288">
        <w:t xml:space="preserve">Context of </w:t>
      </w:r>
      <w:r w:rsidRPr="005D0844">
        <w:t>amendments</w:t>
      </w:r>
      <w:bookmarkEnd w:id="45"/>
    </w:p>
    <w:p w14:paraId="67A8A212" w14:textId="740B9AA1" w:rsidR="002721E2" w:rsidRDefault="002721E2" w:rsidP="002721E2">
      <w:pPr>
        <w:pStyle w:val="Normalparatextwithnumbers"/>
        <w:numPr>
          <w:ilvl w:val="1"/>
          <w:numId w:val="23"/>
        </w:numPr>
      </w:pPr>
      <w:r>
        <w:t xml:space="preserve">These amendments will deliver on part of the </w:t>
      </w:r>
      <w:r w:rsidRPr="00460D2E">
        <w:t>Government</w:t>
      </w:r>
      <w:r>
        <w:t xml:space="preserve">’s </w:t>
      </w:r>
      <w:r w:rsidRPr="00460D2E">
        <w:t>multinational tax integrity package to address the tax avoidance practices of multinational enterprises</w:t>
      </w:r>
      <w:r>
        <w:t xml:space="preserve"> as announced in the October 2022-23 Budget. </w:t>
      </w:r>
      <w:r w:rsidRPr="00460D2E">
        <w:t>These changes form part of the Government’s commitment to ensur</w:t>
      </w:r>
      <w:r w:rsidR="00B44618">
        <w:t xml:space="preserve">e </w:t>
      </w:r>
      <w:r>
        <w:t>multinational enterprises</w:t>
      </w:r>
      <w:r w:rsidRPr="00460D2E">
        <w:t xml:space="preserve"> pay their fair share of tax in Australia to help fund vital services, repair the </w:t>
      </w:r>
      <w:proofErr w:type="gramStart"/>
      <w:r w:rsidRPr="00460D2E">
        <w:t>Budget</w:t>
      </w:r>
      <w:proofErr w:type="gramEnd"/>
      <w:r w:rsidRPr="00460D2E">
        <w:t xml:space="preserve"> and level the playing field for Australian businesses.</w:t>
      </w:r>
    </w:p>
    <w:p w14:paraId="0029AF07" w14:textId="77777777" w:rsidR="005D4A63" w:rsidRDefault="002721E2" w:rsidP="002721E2">
      <w:pPr>
        <w:pStyle w:val="Normalparatextwithnumbers"/>
        <w:numPr>
          <w:ilvl w:val="1"/>
          <w:numId w:val="23"/>
        </w:numPr>
        <w:jc w:val="both"/>
      </w:pPr>
      <w:r>
        <w:t>These amendments will complement Australia’s existing anti-avoidance provisions to deter tax avoidance behaviours of SGEs who exploit intangible assets to derive income in a low corporate tax jurisdiction</w:t>
      </w:r>
      <w:r w:rsidR="00506964">
        <w:t xml:space="preserve"> </w:t>
      </w:r>
      <w:r w:rsidR="00FE76F7">
        <w:t xml:space="preserve">while </w:t>
      </w:r>
      <w:r w:rsidR="0071340E">
        <w:t xml:space="preserve">generating </w:t>
      </w:r>
      <w:r w:rsidR="00506964">
        <w:t>an income tax deduction in Australia</w:t>
      </w:r>
      <w:r>
        <w:t>.</w:t>
      </w:r>
      <w:r w:rsidRPr="00460D2E">
        <w:t xml:space="preserve"> </w:t>
      </w:r>
    </w:p>
    <w:p w14:paraId="00C0DAF2" w14:textId="5D543AD0" w:rsidR="002721E2" w:rsidRDefault="002721E2" w:rsidP="002721E2">
      <w:pPr>
        <w:pStyle w:val="Normalparatextwithnumbers"/>
        <w:numPr>
          <w:ilvl w:val="1"/>
          <w:numId w:val="23"/>
        </w:numPr>
      </w:pPr>
      <w:r>
        <w:t xml:space="preserve">SGEs have significant scope as to how they structure their businesses. </w:t>
      </w:r>
      <w:r w:rsidR="008976B1">
        <w:t>Some SGEs have organised their functions and assets in such a way that enables subsidiaries to be charged for the use of services or assets</w:t>
      </w:r>
      <w:r w:rsidR="00D741E5">
        <w:t xml:space="preserve"> within the group.</w:t>
      </w:r>
      <w:r w:rsidR="00157884" w:rsidRPr="00157884">
        <w:t xml:space="preserve"> Where an SGE </w:t>
      </w:r>
      <w:proofErr w:type="gramStart"/>
      <w:r w:rsidR="00157884" w:rsidRPr="00157884">
        <w:t>is located in</w:t>
      </w:r>
      <w:proofErr w:type="gramEnd"/>
      <w:r w:rsidR="00157884" w:rsidRPr="00157884">
        <w:t xml:space="preserve"> Australia, </w:t>
      </w:r>
      <w:r>
        <w:t xml:space="preserve">these </w:t>
      </w:r>
      <w:r w:rsidR="000B2A6E">
        <w:t xml:space="preserve">charges </w:t>
      </w:r>
      <w:r>
        <w:t>will generally be deductible if they are not capital expenses or denied by a specific provision of the ITAA 1997 or ITAA 1936.</w:t>
      </w:r>
    </w:p>
    <w:p w14:paraId="019C383B" w14:textId="77777777" w:rsidR="002721E2" w:rsidRDefault="002721E2" w:rsidP="002721E2">
      <w:pPr>
        <w:pStyle w:val="Normalparatextwithnumbers"/>
        <w:numPr>
          <w:ilvl w:val="1"/>
          <w:numId w:val="23"/>
        </w:numPr>
      </w:pPr>
      <w:r>
        <w:t xml:space="preserve">Whilst some assets have, by their nature, particular physical locations, other assets, in particular intangible assets, are readily mobile. This allows them to </w:t>
      </w:r>
      <w:proofErr w:type="gramStart"/>
      <w:r>
        <w:t>be located in</w:t>
      </w:r>
      <w:proofErr w:type="gramEnd"/>
      <w:r>
        <w:t xml:space="preserve"> jurisdictions with either a low headline corporate income tax rate or a regime that preferentially taxes income from intellectual property, called a preferential patent box regime.</w:t>
      </w:r>
    </w:p>
    <w:p w14:paraId="6125D965" w14:textId="77777777" w:rsidR="002721E2" w:rsidRDefault="002721E2" w:rsidP="002721E2">
      <w:pPr>
        <w:pStyle w:val="Normalparatextwithnumbers"/>
        <w:numPr>
          <w:ilvl w:val="1"/>
          <w:numId w:val="23"/>
        </w:numPr>
      </w:pPr>
      <w:bookmarkStart w:id="46" w:name="_Hlk130311150"/>
      <w:r>
        <w:t>The OECD periodically assesses patent box regimes to determine if they lack sufficient economic substance requirements or are considered harmful tax practices.</w:t>
      </w:r>
    </w:p>
    <w:bookmarkEnd w:id="46"/>
    <w:p w14:paraId="0411D23E" w14:textId="044F8284" w:rsidR="002721E2" w:rsidRPr="001A6104" w:rsidRDefault="006F0A23" w:rsidP="002721E2">
      <w:pPr>
        <w:pStyle w:val="Normalparatextwithnumbers"/>
        <w:numPr>
          <w:ilvl w:val="1"/>
          <w:numId w:val="23"/>
        </w:numPr>
      </w:pPr>
      <w:r>
        <w:t xml:space="preserve">The </w:t>
      </w:r>
      <w:r w:rsidR="00B15D9C">
        <w:rPr>
          <w:i/>
        </w:rPr>
        <w:t xml:space="preserve">Countering Harmful Tax Practices More Effectively, </w:t>
      </w:r>
      <w:proofErr w:type="gramStart"/>
      <w:r w:rsidR="00B15D9C">
        <w:rPr>
          <w:i/>
        </w:rPr>
        <w:t>Taking into Account</w:t>
      </w:r>
      <w:proofErr w:type="gramEnd"/>
      <w:r w:rsidR="00B15D9C">
        <w:rPr>
          <w:i/>
        </w:rPr>
        <w:t xml:space="preserve"> Transparency and Substance Action 5</w:t>
      </w:r>
      <w:r w:rsidR="002D1349">
        <w:rPr>
          <w:i/>
          <w:iCs/>
        </w:rPr>
        <w:t xml:space="preserve"> 2015</w:t>
      </w:r>
      <w:r w:rsidR="00B15D9C">
        <w:rPr>
          <w:i/>
          <w:iCs/>
        </w:rPr>
        <w:t xml:space="preserve"> Final Report</w:t>
      </w:r>
      <w:r>
        <w:t xml:space="preserve"> has indicated that a</w:t>
      </w:r>
      <w:r w:rsidR="002721E2">
        <w:t xml:space="preserve"> jurisdiction’s patent box regime </w:t>
      </w:r>
      <w:r w:rsidR="00B2719F">
        <w:t xml:space="preserve">would </w:t>
      </w:r>
      <w:r w:rsidR="002721E2">
        <w:t xml:space="preserve">typically </w:t>
      </w:r>
      <w:r w:rsidR="009B34E4">
        <w:t xml:space="preserve">be </w:t>
      </w:r>
      <w:r w:rsidR="002721E2">
        <w:t xml:space="preserve">considered harmful if it provides tax concessions in that jurisdiction without requiring sufficient economic substance in the development of the relevant intangible asset there. </w:t>
      </w:r>
      <w:r w:rsidR="00B75B3A">
        <w:t>This is because s</w:t>
      </w:r>
      <w:r w:rsidR="002721E2">
        <w:t xml:space="preserve">uch patent box regimes facilitate uncommercial arrangements that aim to avoid income </w:t>
      </w:r>
      <w:r w:rsidR="002721E2" w:rsidRPr="001A6104">
        <w:t>tax by exploiting intangible assets where tax concessions are available.</w:t>
      </w:r>
    </w:p>
    <w:p w14:paraId="3ABB57E2" w14:textId="09C2B60D" w:rsidR="002721E2" w:rsidRPr="001A6104" w:rsidRDefault="002721E2" w:rsidP="002721E2">
      <w:pPr>
        <w:pStyle w:val="Normalparatextwithnumbers"/>
        <w:numPr>
          <w:ilvl w:val="1"/>
          <w:numId w:val="23"/>
        </w:numPr>
      </w:pPr>
      <w:r w:rsidRPr="001A6104">
        <w:t>This allows for SGEs to structure their business such that income from the exploitation of the intangible assets</w:t>
      </w:r>
      <w:r w:rsidRPr="00AC29CC">
        <w:t xml:space="preserve"> is derived </w:t>
      </w:r>
      <w:r w:rsidRPr="001A6104">
        <w:t>in the jurisdiction that provides the most favourable tax outcome.</w:t>
      </w:r>
      <w:r w:rsidR="009B0FEC">
        <w:t xml:space="preserve"> These amendments allow </w:t>
      </w:r>
      <w:r w:rsidR="006E22AE">
        <w:t xml:space="preserve">the Minister </w:t>
      </w:r>
      <w:r w:rsidR="00BE424F">
        <w:t>to determine, by legislative instrument,</w:t>
      </w:r>
      <w:r w:rsidR="006D6D89">
        <w:t xml:space="preserve"> a country </w:t>
      </w:r>
      <w:r w:rsidR="00C0228F">
        <w:t xml:space="preserve">to be a low corporate tax jurisdiction </w:t>
      </w:r>
      <w:r w:rsidR="003C4C70">
        <w:t xml:space="preserve">if the Minister is </w:t>
      </w:r>
      <w:r w:rsidR="00253EB4">
        <w:t>satisfied such</w:t>
      </w:r>
      <w:r w:rsidR="00A52DFF">
        <w:t xml:space="preserve"> </w:t>
      </w:r>
      <w:r w:rsidR="009B0FEC">
        <w:t xml:space="preserve">a </w:t>
      </w:r>
      <w:r w:rsidR="00A97B96">
        <w:t xml:space="preserve">patent box regime </w:t>
      </w:r>
      <w:r w:rsidR="00BE424F">
        <w:t xml:space="preserve">is </w:t>
      </w:r>
      <w:r w:rsidR="00A52DFF">
        <w:t>harmful</w:t>
      </w:r>
      <w:r w:rsidR="007E157B">
        <w:t>.</w:t>
      </w:r>
    </w:p>
    <w:p w14:paraId="40275E41" w14:textId="6235EECC" w:rsidR="002721E2" w:rsidRDefault="002721E2" w:rsidP="002721E2">
      <w:pPr>
        <w:pStyle w:val="Normalparatextwithnumbers"/>
        <w:numPr>
          <w:ilvl w:val="1"/>
          <w:numId w:val="23"/>
        </w:numPr>
      </w:pPr>
      <w:r>
        <w:lastRenderedPageBreak/>
        <w:t xml:space="preserve">SGEs may also mischaracterise payments that are in substance, but not legal form, made for the right or permission to exploit an intangible asset. SGEs may </w:t>
      </w:r>
      <w:proofErr w:type="gramStart"/>
      <w:r>
        <w:t>enter into</w:t>
      </w:r>
      <w:proofErr w:type="gramEnd"/>
      <w:r>
        <w:t xml:space="preserve"> arrangements with associates where, although the terms of the arrangements specifically preclude the transfer of any intangible assets, or consideration for the use of intangible assets, an examination of the substance of the arrangement demonstrates that the right to exploit or permission to exploit the intangible asset is a</w:t>
      </w:r>
      <w:r w:rsidR="00FF17FE">
        <w:t xml:space="preserve"> </w:t>
      </w:r>
      <w:r>
        <w:t>part of the arrangement.</w:t>
      </w:r>
    </w:p>
    <w:p w14:paraId="4157C5B2" w14:textId="2AB4C7EC" w:rsidR="002721E2" w:rsidRDefault="002721E2" w:rsidP="002721E2">
      <w:pPr>
        <w:pStyle w:val="Normalparatextwithnumbers"/>
        <w:numPr>
          <w:ilvl w:val="1"/>
          <w:numId w:val="23"/>
        </w:numPr>
      </w:pPr>
      <w:r>
        <w:t xml:space="preserve">SGEs may also </w:t>
      </w:r>
      <w:proofErr w:type="gramStart"/>
      <w:r>
        <w:t>enter into</w:t>
      </w:r>
      <w:proofErr w:type="gramEnd"/>
      <w:r>
        <w:t xml:space="preserve"> arrangements</w:t>
      </w:r>
      <w:r w:rsidR="004104F6">
        <w:t xml:space="preserve"> with associates</w:t>
      </w:r>
      <w:r>
        <w:t xml:space="preserve"> that involve the provision of services from </w:t>
      </w:r>
      <w:r w:rsidR="00BC5AB8">
        <w:t>an associate</w:t>
      </w:r>
      <w:r>
        <w:t xml:space="preserve"> and also the right or permission to exploit an intangible asset. These arrangements might assign no value to the right to exploit the intangible asset under the arrangement, instead specifying that the consideration paid is for services.</w:t>
      </w:r>
    </w:p>
    <w:p w14:paraId="5F480E96" w14:textId="4AD98189" w:rsidR="002721E2" w:rsidRDefault="002721E2" w:rsidP="002721E2">
      <w:pPr>
        <w:pStyle w:val="Normalparatextwithnumbers"/>
        <w:numPr>
          <w:ilvl w:val="1"/>
          <w:numId w:val="23"/>
        </w:numPr>
      </w:pPr>
      <w:r>
        <w:t xml:space="preserve">In </w:t>
      </w:r>
      <w:proofErr w:type="gramStart"/>
      <w:r>
        <w:t xml:space="preserve">both </w:t>
      </w:r>
      <w:r w:rsidR="00136EFA">
        <w:t>of these</w:t>
      </w:r>
      <w:proofErr w:type="gramEnd"/>
      <w:r w:rsidR="00136EFA">
        <w:t xml:space="preserve"> types of</w:t>
      </w:r>
      <w:r>
        <w:t xml:space="preserve"> arrangements, the mischaracterisation of the payment typically results in royalty withholding tax not being paid as the taxpayer recognises no part of the payment as being a royalty for the use of the intangible asset. </w:t>
      </w:r>
    </w:p>
    <w:p w14:paraId="6A6470EC" w14:textId="24E3FFFC" w:rsidR="002721E2" w:rsidRDefault="002721E2" w:rsidP="002721E2">
      <w:pPr>
        <w:pStyle w:val="Normalparatextwithnumbers"/>
        <w:numPr>
          <w:ilvl w:val="1"/>
          <w:numId w:val="23"/>
        </w:numPr>
      </w:pPr>
      <w:r>
        <w:t>An examination of the substance of the whole arrangement shows that despite the express provisions of the agreement to the contrary, the right to exploit</w:t>
      </w:r>
      <w:r w:rsidR="007968CD">
        <w:t>,</w:t>
      </w:r>
      <w:r>
        <w:t xml:space="preserve"> or </w:t>
      </w:r>
      <w:r w:rsidR="00BE2D45">
        <w:t xml:space="preserve">the </w:t>
      </w:r>
      <w:r>
        <w:t xml:space="preserve">exploitation </w:t>
      </w:r>
      <w:r w:rsidR="00AE5A34">
        <w:t>of</w:t>
      </w:r>
      <w:r w:rsidR="007968CD">
        <w:t>,</w:t>
      </w:r>
      <w:r>
        <w:t xml:space="preserve"> the intangible asset is of considerable value to the Australian resident entity and assigning no value to this asset is a mischaracterisation of the true substance of the arrangement, which </w:t>
      </w:r>
      <w:r w:rsidR="00BC5AB8">
        <w:t xml:space="preserve">is </w:t>
      </w:r>
      <w:r w:rsidR="001E724B">
        <w:t xml:space="preserve">more likely when </w:t>
      </w:r>
      <w:r>
        <w:t>dealing with associates</w:t>
      </w:r>
      <w:r w:rsidR="004E658C">
        <w:t>.</w:t>
      </w:r>
      <w:r w:rsidR="00CB06ED">
        <w:t xml:space="preserve"> </w:t>
      </w:r>
    </w:p>
    <w:p w14:paraId="2A4D052C" w14:textId="5A1AB5F0" w:rsidR="002721E2" w:rsidRDefault="001C250F" w:rsidP="002721E2">
      <w:pPr>
        <w:pStyle w:val="Normalparatextwithnumbers"/>
        <w:numPr>
          <w:ilvl w:val="1"/>
          <w:numId w:val="23"/>
        </w:numPr>
      </w:pPr>
      <w:r>
        <w:t xml:space="preserve">A tax advantage is obtained where </w:t>
      </w:r>
      <w:r w:rsidR="001325FD">
        <w:t>an</w:t>
      </w:r>
      <w:r w:rsidR="002721E2">
        <w:t xml:space="preserve"> SGE is entitled to a deduction for </w:t>
      </w:r>
      <w:r w:rsidR="001325FD">
        <w:t xml:space="preserve">a </w:t>
      </w:r>
      <w:r w:rsidR="002721E2">
        <w:t xml:space="preserve">payment made to </w:t>
      </w:r>
      <w:r w:rsidR="005751EB">
        <w:t xml:space="preserve">an </w:t>
      </w:r>
      <w:r w:rsidR="002721E2">
        <w:t xml:space="preserve">associate under </w:t>
      </w:r>
      <w:r w:rsidR="005751EB">
        <w:t xml:space="preserve">an </w:t>
      </w:r>
      <w:r w:rsidR="002721E2">
        <w:t>arrangement at Australia’s corporate</w:t>
      </w:r>
      <w:r w:rsidR="000C47A3">
        <w:t xml:space="preserve"> income tax</w:t>
      </w:r>
      <w:r w:rsidR="002721E2">
        <w:t xml:space="preserve"> rate, whilst foreign income from the exploitation of the intangible asset is derived in a jurisdiction with a much lower or no corporate income tax rate.</w:t>
      </w:r>
    </w:p>
    <w:p w14:paraId="39AB8B92" w14:textId="632C3008" w:rsidR="00FC19B4" w:rsidRDefault="002721E2" w:rsidP="00316124">
      <w:pPr>
        <w:pStyle w:val="Normalparatextwithnumbers"/>
        <w:numPr>
          <w:ilvl w:val="1"/>
          <w:numId w:val="23"/>
        </w:numPr>
      </w:pPr>
      <w:r>
        <w:t>Such arrangements result in insufficient tax being paid. The ability to avoid corporate income tax in this way encourages SGEs to take advantage of the highly mobile nature of intangible assets by structuring their arrangements to ensure that income from exploiting those assets is derived in jurisdictions that deliver the most tax effective outcomes.</w:t>
      </w:r>
    </w:p>
    <w:p w14:paraId="1DFD1336" w14:textId="77777777" w:rsidR="00873094" w:rsidRPr="00020288" w:rsidRDefault="00873094" w:rsidP="005D0844">
      <w:pPr>
        <w:pStyle w:val="Heading2"/>
        <w:rPr>
          <w:rFonts w:hint="eastAsia"/>
        </w:rPr>
      </w:pPr>
      <w:bookmarkStart w:id="47" w:name="_Toc138165814"/>
      <w:r w:rsidRPr="00020288">
        <w:t xml:space="preserve">Summary of </w:t>
      </w:r>
      <w:r w:rsidRPr="005D0844">
        <w:t>new</w:t>
      </w:r>
      <w:r w:rsidRPr="00020288">
        <w:t xml:space="preserve"> law</w:t>
      </w:r>
      <w:bookmarkEnd w:id="47"/>
    </w:p>
    <w:p w14:paraId="0FA9CBBF" w14:textId="2FA4F5AE" w:rsidR="002721E2" w:rsidRDefault="002721E2" w:rsidP="002721E2">
      <w:pPr>
        <w:pStyle w:val="Normalparatextwithnumbers"/>
        <w:numPr>
          <w:ilvl w:val="1"/>
          <w:numId w:val="23"/>
        </w:numPr>
      </w:pPr>
      <w:r>
        <w:t xml:space="preserve">Schedule [x] of this Bill amends the ITAA 1997 to introduce an anti-avoidance rule. This rule is designed to deter SGEs from avoiding income tax, including withholding tax, by structuring their arrangements so that income from exploiting intangible assets is derived in a low corporate tax jurisdiction by an associate of that SGE, while </w:t>
      </w:r>
      <w:r w:rsidR="00603CC7">
        <w:t xml:space="preserve">a </w:t>
      </w:r>
      <w:r>
        <w:t xml:space="preserve">deduction for </w:t>
      </w:r>
      <w:r w:rsidR="00603CC7">
        <w:t xml:space="preserve">a </w:t>
      </w:r>
      <w:r>
        <w:t xml:space="preserve">payment made by the SGE to an associate that </w:t>
      </w:r>
      <w:r w:rsidR="00603CC7">
        <w:t>is</w:t>
      </w:r>
      <w:r>
        <w:t xml:space="preserve"> attributable to th</w:t>
      </w:r>
      <w:r w:rsidR="00CA6BDE">
        <w:t xml:space="preserve">at </w:t>
      </w:r>
      <w:r w:rsidR="00512CD7">
        <w:t xml:space="preserve">intangible asset, or </w:t>
      </w:r>
      <w:r w:rsidR="00472A6B">
        <w:t>a related intangible asset</w:t>
      </w:r>
      <w:r w:rsidR="00892B86">
        <w:t xml:space="preserve">, </w:t>
      </w:r>
      <w:r>
        <w:t>are claimed in Australia. Under th</w:t>
      </w:r>
      <w:r w:rsidR="00213052">
        <w:t>ese amendments</w:t>
      </w:r>
      <w:r>
        <w:t>, no deduction is allowable for the payment made by the SGE to its associate.</w:t>
      </w:r>
    </w:p>
    <w:p w14:paraId="7FFA26C4" w14:textId="75E6FEA6" w:rsidR="002721E2" w:rsidRDefault="002721E2" w:rsidP="002721E2">
      <w:pPr>
        <w:pStyle w:val="Normalparatextwithnumbers"/>
      </w:pPr>
      <w:r>
        <w:lastRenderedPageBreak/>
        <w:t xml:space="preserve">Where an SGE makes a payment to an associate that is attributable to a right or permission to </w:t>
      </w:r>
      <w:r w:rsidR="008D4BEF">
        <w:t xml:space="preserve">acquire or </w:t>
      </w:r>
      <w:r>
        <w:t>exploit an intangible asset</w:t>
      </w:r>
      <w:r w:rsidR="00F30AC3">
        <w:t xml:space="preserve"> under an arrangement</w:t>
      </w:r>
      <w:r>
        <w:t xml:space="preserve">, and </w:t>
      </w:r>
      <w:proofErr w:type="gramStart"/>
      <w:r>
        <w:t>as a result of</w:t>
      </w:r>
      <w:proofErr w:type="gramEnd"/>
      <w:r>
        <w:t xml:space="preserve"> that or a related arrangement, income from the exploitation of those or related intangible assets is directly or indirectly derived by an associate of the SGE in a low corporate tax jurisdiction, the SGE will not be entitled to deduct an amount for that payment.</w:t>
      </w:r>
    </w:p>
    <w:p w14:paraId="3AAE18E0" w14:textId="046D69E5" w:rsidR="002721E2" w:rsidRDefault="002721E2" w:rsidP="002721E2">
      <w:pPr>
        <w:pStyle w:val="Normalparatextwithnumbers"/>
      </w:pPr>
      <w:r>
        <w:t>These amendments operate in respect of payments or credits</w:t>
      </w:r>
      <w:r w:rsidRPr="005371A6">
        <w:t xml:space="preserve"> a</w:t>
      </w:r>
      <w:r>
        <w:t>n</w:t>
      </w:r>
      <w:r w:rsidRPr="005371A6">
        <w:t xml:space="preserve"> SGE makes</w:t>
      </w:r>
      <w:r>
        <w:t xml:space="preserve"> to an associate, as well as liabilities incurred by an SGE from an associate, on or after 1 July 2023, under an arrangement</w:t>
      </w:r>
      <w:r w:rsidR="00E113CC">
        <w:t xml:space="preserve"> or a related arrangement of the kind referred to above</w:t>
      </w:r>
      <w:r>
        <w:t xml:space="preserve">, where </w:t>
      </w:r>
      <w:r w:rsidR="00CD18BD">
        <w:t>that arrangement</w:t>
      </w:r>
      <w:r w:rsidR="00AE36FE">
        <w:t xml:space="preserve"> (including</w:t>
      </w:r>
      <w:r w:rsidR="007749F5">
        <w:t xml:space="preserve"> with</w:t>
      </w:r>
      <w:r w:rsidR="00AE36FE">
        <w:t xml:space="preserve"> any</w:t>
      </w:r>
      <w:r w:rsidR="007749F5">
        <w:t xml:space="preserve"> other</w:t>
      </w:r>
      <w:r w:rsidR="00AE36FE">
        <w:t xml:space="preserve"> related arrangement)</w:t>
      </w:r>
      <w:r>
        <w:t xml:space="preserve"> or the acquisition or exercise of the right results in income from the exploitation of an intangible asset</w:t>
      </w:r>
      <w:r w:rsidR="007749F5">
        <w:t>, or a related intangible asset</w:t>
      </w:r>
      <w:r>
        <w:t xml:space="preserve"> being derived in a low corporate tax jurisdiction.</w:t>
      </w:r>
    </w:p>
    <w:p w14:paraId="350B88E8" w14:textId="7C103007" w:rsidR="00856248" w:rsidRDefault="00C45208" w:rsidP="00856248">
      <w:pPr>
        <w:pStyle w:val="Normalparatextwithnumbers"/>
      </w:pPr>
      <w:r>
        <w:t>Income will not be treated as being derived in a low corporate tax jurisdiction to</w:t>
      </w:r>
      <w:r w:rsidR="00856248">
        <w:t xml:space="preserve"> the extent that the income derived in the low corporate tax jurisdiction is attributed</w:t>
      </w:r>
      <w:r w:rsidR="00DC54CF">
        <w:t xml:space="preserve"> and assessed</w:t>
      </w:r>
      <w:r w:rsidR="00856248">
        <w:t xml:space="preserve"> under Australia’s CFC rules or is</w:t>
      </w:r>
      <w:r w:rsidR="00C86623">
        <w:t>,</w:t>
      </w:r>
      <w:r w:rsidR="000B2A6E">
        <w:t xml:space="preserve"> or will be</w:t>
      </w:r>
      <w:r w:rsidR="00C86623">
        <w:t>,</w:t>
      </w:r>
      <w:r w:rsidR="00856248">
        <w:t xml:space="preserve"> subject to foreign income tax at a rate of at least 15 per cent. </w:t>
      </w:r>
    </w:p>
    <w:p w14:paraId="10D6B432" w14:textId="065FAFCA" w:rsidR="00873094" w:rsidRPr="00020288" w:rsidRDefault="00856248" w:rsidP="009D5BB7">
      <w:pPr>
        <w:pStyle w:val="Normalparatextwithnumbers"/>
      </w:pPr>
      <w:r>
        <w:t xml:space="preserve">Additionally, to the extent that the payment made by the SGE consists of a royalty and the SGE has satisfied its Australian withholding tax obligations in respect of that royalty, </w:t>
      </w:r>
      <w:r w:rsidR="00DF5264">
        <w:t>the amount of the deduction denied will be adjusted to reflect that withholding amount.</w:t>
      </w:r>
    </w:p>
    <w:p w14:paraId="5E3AF0EA" w14:textId="6FDB8EFC" w:rsidR="00873094" w:rsidRPr="00020288" w:rsidRDefault="00873094" w:rsidP="00AF50CE">
      <w:pPr>
        <w:pStyle w:val="Heading2"/>
        <w:rPr>
          <w:rFonts w:hint="eastAsia"/>
        </w:rPr>
      </w:pPr>
    </w:p>
    <w:p w14:paraId="6CFE08FD" w14:textId="77777777" w:rsidR="00873094" w:rsidRPr="00020288" w:rsidRDefault="00873094" w:rsidP="00873094">
      <w:pPr>
        <w:pStyle w:val="Heading2"/>
        <w:numPr>
          <w:ilvl w:val="1"/>
          <w:numId w:val="2"/>
        </w:numPr>
        <w:tabs>
          <w:tab w:val="num" w:pos="567"/>
        </w:tabs>
        <w:ind w:left="567" w:hanging="567"/>
        <w:rPr>
          <w:rFonts w:hint="eastAsia"/>
        </w:rPr>
      </w:pPr>
      <w:bookmarkStart w:id="48" w:name="_Toc138165815"/>
      <w:r w:rsidRPr="00020288">
        <w:t>Detailed explanation of new law</w:t>
      </w:r>
      <w:bookmarkEnd w:id="48"/>
    </w:p>
    <w:p w14:paraId="30A8251D" w14:textId="0F130FB3" w:rsidR="00514B98" w:rsidRDefault="002721E2" w:rsidP="002721E2">
      <w:pPr>
        <w:pStyle w:val="Normalparatextwithnumbers"/>
        <w:numPr>
          <w:ilvl w:val="1"/>
          <w:numId w:val="23"/>
        </w:numPr>
      </w:pPr>
      <w:r>
        <w:t xml:space="preserve">These amendments deny a deduction for certain payments </w:t>
      </w:r>
      <w:r w:rsidR="00756CEC">
        <w:t>made by an SGE where</w:t>
      </w:r>
      <w:r w:rsidR="00B40028">
        <w:t>:</w:t>
      </w:r>
    </w:p>
    <w:p w14:paraId="2519EC0F" w14:textId="32A28F92" w:rsidR="006C4061" w:rsidRDefault="00925B5F" w:rsidP="00514B98">
      <w:pPr>
        <w:pStyle w:val="Dotpoint1"/>
      </w:pPr>
      <w:r>
        <w:t>the</w:t>
      </w:r>
      <w:r w:rsidR="00756CEC">
        <w:t xml:space="preserve"> payment is made to an associate</w:t>
      </w:r>
      <w:r w:rsidR="00E77E08">
        <w:t xml:space="preserve"> of that SGE</w:t>
      </w:r>
      <w:r w:rsidR="00756CEC">
        <w:t>, directly or indirectly through</w:t>
      </w:r>
      <w:r w:rsidR="00A9327A">
        <w:t xml:space="preserve"> one or more</w:t>
      </w:r>
      <w:r w:rsidR="00756CEC">
        <w:t xml:space="preserve"> interposed </w:t>
      </w:r>
      <w:proofErr w:type="gramStart"/>
      <w:r w:rsidR="00756CEC">
        <w:t>entities</w:t>
      </w:r>
      <w:r w:rsidR="00E77E08">
        <w:t>;</w:t>
      </w:r>
      <w:proofErr w:type="gramEnd"/>
    </w:p>
    <w:p w14:paraId="04304D83" w14:textId="45CA6957" w:rsidR="00514B98" w:rsidRDefault="00BF293F" w:rsidP="00514B98">
      <w:pPr>
        <w:pStyle w:val="Dotpoint1"/>
      </w:pPr>
      <w:r>
        <w:t>the payment is made under an arrangement and this arrangement</w:t>
      </w:r>
      <w:r w:rsidR="00AA0662">
        <w:t xml:space="preserve">, either alone or together with </w:t>
      </w:r>
      <w:r w:rsidR="004A706E">
        <w:t>any other related arrangement,</w:t>
      </w:r>
      <w:r>
        <w:t xml:space="preserve"> results in:</w:t>
      </w:r>
    </w:p>
    <w:p w14:paraId="4830B9B9" w14:textId="30516287" w:rsidR="00BF293F" w:rsidRDefault="00744134" w:rsidP="00BF293F">
      <w:pPr>
        <w:pStyle w:val="Dotpoint1"/>
        <w:numPr>
          <w:ilvl w:val="1"/>
          <w:numId w:val="17"/>
        </w:numPr>
      </w:pPr>
      <w:r>
        <w:t xml:space="preserve">the SGE </w:t>
      </w:r>
      <w:r w:rsidR="00C74735">
        <w:t>or an associate</w:t>
      </w:r>
      <w:r w:rsidR="00654B46">
        <w:t xml:space="preserve"> of the SGE</w:t>
      </w:r>
      <w:r w:rsidR="00C74735">
        <w:t xml:space="preserve"> </w:t>
      </w:r>
      <w:r w:rsidR="00C40C6C">
        <w:t>acquiring</w:t>
      </w:r>
      <w:r>
        <w:t xml:space="preserve"> either an intangible asset or a right to exploit an intangible asset or the SGE exploiting the intangible asset</w:t>
      </w:r>
      <w:r w:rsidR="00685320">
        <w:t xml:space="preserve">; </w:t>
      </w:r>
      <w:r w:rsidR="00654B46">
        <w:t>and</w:t>
      </w:r>
    </w:p>
    <w:p w14:paraId="2AD5E38B" w14:textId="0F1F0331" w:rsidR="0062203B" w:rsidRDefault="00087073" w:rsidP="002A545E">
      <w:pPr>
        <w:pStyle w:val="Dotpoint1"/>
        <w:numPr>
          <w:ilvl w:val="1"/>
          <w:numId w:val="17"/>
        </w:numPr>
      </w:pPr>
      <w:r>
        <w:t>t</w:t>
      </w:r>
      <w:r w:rsidR="00AA3A47">
        <w:t>h</w:t>
      </w:r>
      <w:r w:rsidR="00E11EBF">
        <w:t>e</w:t>
      </w:r>
      <w:r w:rsidR="00AA3A47">
        <w:t xml:space="preserve"> associate or another </w:t>
      </w:r>
      <w:r w:rsidR="007329EC">
        <w:t>associate of the SGE deriving income in a low corporate tax jurisdiction, directly or indirectly</w:t>
      </w:r>
      <w:r w:rsidR="00EE6A83">
        <w:t xml:space="preserve"> through one or more </w:t>
      </w:r>
      <w:r w:rsidR="007E5C46">
        <w:t>interposed entities</w:t>
      </w:r>
      <w:r w:rsidR="00A3752D">
        <w:t xml:space="preserve">, from either that intangible asset or a related intangible </w:t>
      </w:r>
      <w:r w:rsidR="00CF4123">
        <w:t>asset.</w:t>
      </w:r>
    </w:p>
    <w:p w14:paraId="332B983E" w14:textId="221DFE1F" w:rsidR="002721E2" w:rsidRPr="003F4961" w:rsidRDefault="00C85A41" w:rsidP="00E152DB">
      <w:pPr>
        <w:pStyle w:val="Normalparatextnonumbers"/>
        <w:ind w:left="709"/>
        <w:rPr>
          <w:rStyle w:val="References"/>
          <w:b w:val="0"/>
          <w:bCs w:val="0"/>
          <w:i w:val="0"/>
          <w:iCs w:val="0"/>
        </w:rPr>
      </w:pPr>
      <w:r>
        <w:lastRenderedPageBreak/>
        <w:t xml:space="preserve">To the extent that the payment </w:t>
      </w:r>
      <w:r w:rsidR="001675E1">
        <w:t xml:space="preserve">made by the SGE </w:t>
      </w:r>
      <w:r>
        <w:t>is attributable to the right to exploit the intangible asset</w:t>
      </w:r>
      <w:r w:rsidR="00A32F27">
        <w:t>,</w:t>
      </w:r>
      <w:r>
        <w:t xml:space="preserve"> the deduction will be denied.</w:t>
      </w:r>
      <w:r w:rsidR="002721E2">
        <w:t xml:space="preserve">  </w:t>
      </w:r>
      <w:r w:rsidR="002721E2">
        <w:br/>
      </w:r>
      <w:r w:rsidR="002721E2" w:rsidRPr="002E6A5E">
        <w:rPr>
          <w:rStyle w:val="References"/>
        </w:rPr>
        <w:t xml:space="preserve">[Schedule xx, item(s) </w:t>
      </w:r>
      <w:r w:rsidR="002721E2">
        <w:rPr>
          <w:rStyle w:val="References"/>
        </w:rPr>
        <w:t>2</w:t>
      </w:r>
      <w:r w:rsidR="002721E2" w:rsidRPr="002E6A5E">
        <w:rPr>
          <w:rStyle w:val="References"/>
        </w:rPr>
        <w:t xml:space="preserve">, </w:t>
      </w:r>
      <w:r w:rsidR="002721E2">
        <w:rPr>
          <w:rStyle w:val="References"/>
        </w:rPr>
        <w:t>section 26-110(2)</w:t>
      </w:r>
      <w:r w:rsidR="002721E2" w:rsidRPr="002E6A5E">
        <w:rPr>
          <w:rStyle w:val="References"/>
        </w:rPr>
        <w:t xml:space="preserve"> o</w:t>
      </w:r>
      <w:r w:rsidR="002721E2">
        <w:rPr>
          <w:rStyle w:val="References"/>
        </w:rPr>
        <w:t>f the ITAA 1997</w:t>
      </w:r>
      <w:r w:rsidR="002721E2" w:rsidRPr="002E6A5E">
        <w:rPr>
          <w:rStyle w:val="References"/>
        </w:rPr>
        <w:t xml:space="preserve">] </w:t>
      </w:r>
    </w:p>
    <w:p w14:paraId="071D9288" w14:textId="0AAA7882" w:rsidR="004267FA" w:rsidRDefault="004267FA" w:rsidP="00312102">
      <w:pPr>
        <w:pStyle w:val="Normalparatextwithnumbers"/>
        <w:numPr>
          <w:ilvl w:val="1"/>
          <w:numId w:val="23"/>
        </w:numPr>
      </w:pPr>
      <w:r>
        <w:t>The object of the legislation is to deter SGEs from avoiding corporate income tax</w:t>
      </w:r>
      <w:r w:rsidR="004A40CD">
        <w:t xml:space="preserve"> in Australia and globally</w:t>
      </w:r>
      <w:r w:rsidR="00030868">
        <w:t xml:space="preserve">. </w:t>
      </w:r>
      <w:r w:rsidR="00DE64BD" w:rsidRPr="00DE64BD">
        <w:t xml:space="preserve">No deduction for payments will be available where income </w:t>
      </w:r>
      <w:r w:rsidR="003808D5" w:rsidRPr="00DE64BD">
        <w:t xml:space="preserve">from exploiting intangible assets in a low corporate tax jurisdiction </w:t>
      </w:r>
      <w:r w:rsidR="00DE64BD" w:rsidRPr="00DE64BD">
        <w:t>is derived by an associate of the SGE.</w:t>
      </w:r>
      <w:r w:rsidR="00F112CD" w:rsidRPr="00F112CD">
        <w:t xml:space="preserve"> </w:t>
      </w:r>
      <w:r w:rsidR="00F112CD">
        <w:t xml:space="preserve">These amendments are designed to apply to existing structures, as well as to deter new structures, where the elements of the </w:t>
      </w:r>
      <w:r w:rsidR="00151C73">
        <w:t>amendments</w:t>
      </w:r>
      <w:r w:rsidR="00F112CD">
        <w:t xml:space="preserve"> are established.</w:t>
      </w:r>
      <w:r w:rsidR="00F112CD">
        <w:br/>
      </w:r>
      <w:r w:rsidR="00F112CD" w:rsidRPr="007A00CB">
        <w:rPr>
          <w:rStyle w:val="References"/>
        </w:rPr>
        <w:t>[Schedule xx, item</w:t>
      </w:r>
      <w:r w:rsidR="00F112CD">
        <w:rPr>
          <w:rStyle w:val="References"/>
        </w:rPr>
        <w:t xml:space="preserve"> 2</w:t>
      </w:r>
      <w:r w:rsidR="00F112CD" w:rsidRPr="007A00CB">
        <w:rPr>
          <w:rStyle w:val="References"/>
        </w:rPr>
        <w:t xml:space="preserve">, </w:t>
      </w:r>
      <w:r w:rsidR="00F112CD">
        <w:rPr>
          <w:rStyle w:val="References"/>
        </w:rPr>
        <w:t>subsection 26-110(1) of the ITAA 1997</w:t>
      </w:r>
      <w:r w:rsidR="00F112CD" w:rsidRPr="007A00CB">
        <w:rPr>
          <w:rStyle w:val="References"/>
        </w:rPr>
        <w:t xml:space="preserve">] </w:t>
      </w:r>
    </w:p>
    <w:p w14:paraId="19CA3545" w14:textId="7BBA74D9" w:rsidR="008613EE" w:rsidRDefault="008613EE" w:rsidP="002721E2">
      <w:pPr>
        <w:pStyle w:val="Normalparatextwithnumbers"/>
        <w:numPr>
          <w:ilvl w:val="1"/>
          <w:numId w:val="23"/>
        </w:numPr>
      </w:pPr>
      <w:r>
        <w:t xml:space="preserve">For the purposes of </w:t>
      </w:r>
      <w:r w:rsidR="00622A8A">
        <w:t>determining whether i</w:t>
      </w:r>
      <w:r w:rsidR="00F350BF">
        <w:t>ncome</w:t>
      </w:r>
      <w:r w:rsidR="00214285">
        <w:t xml:space="preserve"> is</w:t>
      </w:r>
      <w:r w:rsidR="00F350BF">
        <w:t xml:space="preserve"> derived </w:t>
      </w:r>
      <w:r w:rsidR="00214285">
        <w:t xml:space="preserve">by an associate </w:t>
      </w:r>
      <w:r w:rsidR="00F350BF">
        <w:t>in a low corporate tax jurisdiction</w:t>
      </w:r>
      <w:r w:rsidR="00A539FB" w:rsidRPr="00A539FB">
        <w:t xml:space="preserve"> </w:t>
      </w:r>
      <w:r w:rsidR="00A539FB">
        <w:t>from the exploitation of an intangible asset</w:t>
      </w:r>
      <w:r w:rsidR="001F41A3">
        <w:t xml:space="preserve"> to the extent that income</w:t>
      </w:r>
      <w:r w:rsidR="0007091A">
        <w:t>:</w:t>
      </w:r>
      <w:r w:rsidR="00622A8A">
        <w:t xml:space="preserve"> </w:t>
      </w:r>
    </w:p>
    <w:p w14:paraId="3EE1F4B5" w14:textId="4AA06727" w:rsidR="00CD5B0C" w:rsidRDefault="00E77DF6" w:rsidP="008613EE">
      <w:pPr>
        <w:pStyle w:val="Dotpoint1"/>
      </w:pPr>
      <w:r w:rsidDel="00FE05BC">
        <w:t xml:space="preserve">is </w:t>
      </w:r>
      <w:r>
        <w:t>attributed and assessed to a relevant taxpayer</w:t>
      </w:r>
      <w:r w:rsidR="00F22E29">
        <w:t xml:space="preserve"> under the Australian</w:t>
      </w:r>
      <w:r w:rsidR="00CD5B0C">
        <w:t xml:space="preserve"> CFC regime;</w:t>
      </w:r>
      <w:r w:rsidR="00FE05BC">
        <w:t xml:space="preserve"> </w:t>
      </w:r>
      <w:r w:rsidR="00B602FB">
        <w:t>or</w:t>
      </w:r>
    </w:p>
    <w:p w14:paraId="651F5381" w14:textId="7E81F947" w:rsidR="007C439C" w:rsidRDefault="00622A8A" w:rsidP="008613EE">
      <w:pPr>
        <w:pStyle w:val="Dotpoint1"/>
      </w:pPr>
      <w:r>
        <w:t xml:space="preserve">is </w:t>
      </w:r>
      <w:r w:rsidR="0023768B">
        <w:t>subject to foreign income tax at a rate of at least 15 per cent</w:t>
      </w:r>
    </w:p>
    <w:p w14:paraId="6812F9B1" w14:textId="22279C13" w:rsidR="00E02B15" w:rsidRDefault="00B602FB" w:rsidP="00731519">
      <w:pPr>
        <w:pStyle w:val="Dotpoint1"/>
        <w:numPr>
          <w:ilvl w:val="0"/>
          <w:numId w:val="0"/>
        </w:numPr>
      </w:pPr>
      <w:r>
        <w:t xml:space="preserve">That income </w:t>
      </w:r>
      <w:r w:rsidR="00E02B15">
        <w:t xml:space="preserve">is </w:t>
      </w:r>
      <w:r w:rsidR="009C2408">
        <w:t xml:space="preserve">taken </w:t>
      </w:r>
      <w:r w:rsidR="00E02B15">
        <w:t xml:space="preserve">not </w:t>
      </w:r>
      <w:r w:rsidR="00D249E3">
        <w:t xml:space="preserve">to be </w:t>
      </w:r>
      <w:r w:rsidR="00E02B15">
        <w:t>derived in a low corporate tax jurisdiction.</w:t>
      </w:r>
    </w:p>
    <w:p w14:paraId="64CD987E" w14:textId="26389EE5" w:rsidR="00BB65C7" w:rsidRDefault="00E05E09" w:rsidP="002F4B2E">
      <w:pPr>
        <w:pStyle w:val="Normalparatextnonumbers"/>
        <w:ind w:left="709"/>
      </w:pPr>
      <w:r>
        <w:t xml:space="preserve">Where </w:t>
      </w:r>
      <w:r w:rsidR="009A12A7">
        <w:t xml:space="preserve">all the income from the </w:t>
      </w:r>
      <w:r w:rsidR="001E481D">
        <w:t xml:space="preserve">exploitation of the intangible </w:t>
      </w:r>
      <w:r w:rsidR="003F4961">
        <w:t xml:space="preserve">asset that is </w:t>
      </w:r>
      <w:r w:rsidR="009A12A7">
        <w:t>derived by the associate in</w:t>
      </w:r>
      <w:r w:rsidR="003F4961">
        <w:t xml:space="preserve"> the low corporate tax jurisdiction falls </w:t>
      </w:r>
      <w:r w:rsidR="008B762B">
        <w:t>within</w:t>
      </w:r>
      <w:r w:rsidR="009F245C">
        <w:t xml:space="preserve"> either of</w:t>
      </w:r>
      <w:r w:rsidR="008B762B">
        <w:t xml:space="preserve"> these two categories</w:t>
      </w:r>
      <w:r w:rsidR="0009489A">
        <w:t>, no deduction will be denied under this provision.</w:t>
      </w:r>
      <w:r w:rsidR="002F4B2E">
        <w:br/>
      </w:r>
      <w:r w:rsidR="002F4B2E" w:rsidRPr="002F4B2E">
        <w:rPr>
          <w:rStyle w:val="References"/>
        </w:rPr>
        <w:t>[Schedule xx, item</w:t>
      </w:r>
      <w:r w:rsidR="002F4B2E">
        <w:rPr>
          <w:rStyle w:val="References"/>
        </w:rPr>
        <w:t xml:space="preserve"> 2</w:t>
      </w:r>
      <w:r w:rsidR="002F4B2E" w:rsidRPr="002F4B2E">
        <w:rPr>
          <w:rStyle w:val="References"/>
        </w:rPr>
        <w:t xml:space="preserve">, </w:t>
      </w:r>
      <w:r w:rsidR="00365200">
        <w:rPr>
          <w:rStyle w:val="References"/>
        </w:rPr>
        <w:t xml:space="preserve">paragraph </w:t>
      </w:r>
      <w:r w:rsidR="002F4B2E">
        <w:rPr>
          <w:rStyle w:val="References"/>
        </w:rPr>
        <w:t>26-110(</w:t>
      </w:r>
      <w:r w:rsidR="009738F0">
        <w:rPr>
          <w:rStyle w:val="References"/>
        </w:rPr>
        <w:t>4</w:t>
      </w:r>
      <w:r w:rsidR="002F4B2E">
        <w:rPr>
          <w:rStyle w:val="References"/>
        </w:rPr>
        <w:t>)</w:t>
      </w:r>
      <w:r w:rsidR="009738F0">
        <w:rPr>
          <w:rStyle w:val="References"/>
        </w:rPr>
        <w:t>(b)</w:t>
      </w:r>
      <w:r w:rsidR="00717695">
        <w:rPr>
          <w:rStyle w:val="References"/>
        </w:rPr>
        <w:t xml:space="preserve"> of the ITAA 1997</w:t>
      </w:r>
      <w:r w:rsidR="002F4B2E" w:rsidRPr="002F4B2E">
        <w:rPr>
          <w:rStyle w:val="References"/>
        </w:rPr>
        <w:t xml:space="preserve">] </w:t>
      </w:r>
      <w:r w:rsidR="007C439C">
        <w:t xml:space="preserve"> </w:t>
      </w:r>
      <w:r w:rsidR="0023768B">
        <w:t xml:space="preserve"> </w:t>
      </w:r>
    </w:p>
    <w:p w14:paraId="24456F8F" w14:textId="32BECDCE" w:rsidR="007A73B8" w:rsidRDefault="00E152DB" w:rsidP="00BB65C7">
      <w:pPr>
        <w:pStyle w:val="Normalparatextwithnumbers"/>
      </w:pPr>
      <w:r>
        <w:t>To the extent that the payment made by the SGE consists of a royalty</w:t>
      </w:r>
      <w:r w:rsidR="00A75345">
        <w:t>, that has been correctly characterised,</w:t>
      </w:r>
      <w:r>
        <w:t xml:space="preserve"> and the SGE has satisfied its Australian withholding tax obligations in respect of that royalty, </w:t>
      </w:r>
      <w:r w:rsidR="00A05B3C">
        <w:t>the amount of the deduction denied</w:t>
      </w:r>
      <w:r w:rsidR="00444126">
        <w:t xml:space="preserve"> by subsection 26-110(2) is reduced</w:t>
      </w:r>
      <w:r w:rsidR="00CA397B">
        <w:t xml:space="preserve"> </w:t>
      </w:r>
      <w:r w:rsidR="0041407E">
        <w:t xml:space="preserve">to reflect </w:t>
      </w:r>
      <w:r w:rsidR="00CA397B">
        <w:t>withholding</w:t>
      </w:r>
      <w:r w:rsidR="0041407E">
        <w:t xml:space="preserve"> tax paid</w:t>
      </w:r>
      <w:r w:rsidR="00CA397B">
        <w:t>.</w:t>
      </w:r>
      <w:r w:rsidR="007A73B8">
        <w:br/>
      </w:r>
      <w:r w:rsidR="007A73B8" w:rsidRPr="00606664">
        <w:rPr>
          <w:rStyle w:val="References"/>
        </w:rPr>
        <w:t xml:space="preserve">[Schedule xx, item </w:t>
      </w:r>
      <w:r w:rsidR="00A21927">
        <w:rPr>
          <w:rStyle w:val="References"/>
        </w:rPr>
        <w:t>2</w:t>
      </w:r>
      <w:r w:rsidR="007A73B8" w:rsidRPr="00606664">
        <w:rPr>
          <w:rStyle w:val="References"/>
        </w:rPr>
        <w:t xml:space="preserve">, </w:t>
      </w:r>
      <w:r w:rsidR="00A21927">
        <w:rPr>
          <w:rStyle w:val="References"/>
        </w:rPr>
        <w:t>subsection 26-110(</w:t>
      </w:r>
      <w:r w:rsidR="008C17EE">
        <w:rPr>
          <w:rStyle w:val="References"/>
        </w:rPr>
        <w:t>9</w:t>
      </w:r>
      <w:r w:rsidR="00A21927">
        <w:rPr>
          <w:rStyle w:val="References"/>
        </w:rPr>
        <w:t>)</w:t>
      </w:r>
      <w:r w:rsidR="00AD728C">
        <w:rPr>
          <w:rStyle w:val="References"/>
        </w:rPr>
        <w:t xml:space="preserve"> and </w:t>
      </w:r>
      <w:r w:rsidR="00032AB8">
        <w:rPr>
          <w:rStyle w:val="References"/>
        </w:rPr>
        <w:t>(</w:t>
      </w:r>
      <w:r w:rsidR="003E1142">
        <w:rPr>
          <w:rStyle w:val="References"/>
        </w:rPr>
        <w:t>1</w:t>
      </w:r>
      <w:r w:rsidR="008C17EE">
        <w:rPr>
          <w:rStyle w:val="References"/>
        </w:rPr>
        <w:t>0</w:t>
      </w:r>
      <w:r w:rsidR="00032AB8">
        <w:rPr>
          <w:rStyle w:val="References"/>
        </w:rPr>
        <w:t>)</w:t>
      </w:r>
      <w:r w:rsidR="00A21927">
        <w:rPr>
          <w:rStyle w:val="References"/>
        </w:rPr>
        <w:t xml:space="preserve"> of the ITAA 1997</w:t>
      </w:r>
      <w:r w:rsidR="007A73B8" w:rsidRPr="00606664">
        <w:rPr>
          <w:rStyle w:val="References"/>
        </w:rPr>
        <w:t xml:space="preserve">] </w:t>
      </w:r>
    </w:p>
    <w:p w14:paraId="47B2528D" w14:textId="7A39B4D7" w:rsidR="00AD37ED" w:rsidRDefault="002721E2" w:rsidP="002721E2">
      <w:pPr>
        <w:pStyle w:val="Normalparatextwithnumbers"/>
        <w:numPr>
          <w:ilvl w:val="1"/>
          <w:numId w:val="23"/>
        </w:numPr>
      </w:pPr>
      <w:r>
        <w:t xml:space="preserve">The amendments apply in relation to credits made by an SGE to an associate, or liabilities incurred by an SGE from an associate in the same way as the section applies in relation to payments. </w:t>
      </w:r>
      <w:r w:rsidR="0019741D">
        <w:t xml:space="preserve">The amendments apply to payments or credits made by an SGE to an associate, or liabilities incurred by an SGE which are owed to an associate, on or after 1 July 2023. </w:t>
      </w:r>
      <w:r w:rsidR="0019741D">
        <w:br/>
      </w:r>
      <w:r w:rsidR="0019741D" w:rsidRPr="002E03CC">
        <w:rPr>
          <w:rStyle w:val="References"/>
        </w:rPr>
        <w:t xml:space="preserve">[Schedule xx, </w:t>
      </w:r>
      <w:r w:rsidR="0019741D">
        <w:rPr>
          <w:rStyle w:val="References"/>
        </w:rPr>
        <w:t xml:space="preserve">item 2, </w:t>
      </w:r>
      <w:r w:rsidR="008C17EE">
        <w:rPr>
          <w:rStyle w:val="References"/>
        </w:rPr>
        <w:t xml:space="preserve">paragraph </w:t>
      </w:r>
      <w:r w:rsidR="0019741D">
        <w:rPr>
          <w:rStyle w:val="References"/>
        </w:rPr>
        <w:t>26-110(</w:t>
      </w:r>
      <w:r w:rsidR="003E1142">
        <w:rPr>
          <w:rStyle w:val="References"/>
        </w:rPr>
        <w:t>5</w:t>
      </w:r>
      <w:r w:rsidR="0019741D">
        <w:rPr>
          <w:rStyle w:val="References"/>
        </w:rPr>
        <w:t>)</w:t>
      </w:r>
      <w:r w:rsidR="008C17EE">
        <w:rPr>
          <w:rStyle w:val="References"/>
        </w:rPr>
        <w:t>(a)</w:t>
      </w:r>
      <w:r w:rsidR="0019741D">
        <w:rPr>
          <w:rStyle w:val="References"/>
        </w:rPr>
        <w:t xml:space="preserve"> of the ITAA 1997 and </w:t>
      </w:r>
      <w:r w:rsidR="0019741D" w:rsidRPr="009239B7">
        <w:rPr>
          <w:rStyle w:val="References"/>
        </w:rPr>
        <w:t>item</w:t>
      </w:r>
      <w:r w:rsidR="0019741D">
        <w:rPr>
          <w:rStyle w:val="References"/>
        </w:rPr>
        <w:t xml:space="preserve"> 5</w:t>
      </w:r>
      <w:r w:rsidR="0019741D" w:rsidRPr="009239B7">
        <w:rPr>
          <w:rStyle w:val="References"/>
        </w:rPr>
        <w:t xml:space="preserve">, </w:t>
      </w:r>
      <w:r w:rsidR="0019741D">
        <w:rPr>
          <w:rStyle w:val="References"/>
        </w:rPr>
        <w:t>application provision</w:t>
      </w:r>
      <w:r w:rsidR="0019741D" w:rsidRPr="002E03CC">
        <w:rPr>
          <w:rStyle w:val="References"/>
        </w:rPr>
        <w:t>]</w:t>
      </w:r>
    </w:p>
    <w:p w14:paraId="20EFCD93" w14:textId="6A69079C" w:rsidR="002721E2" w:rsidRDefault="002721E2" w:rsidP="00312102">
      <w:pPr>
        <w:pStyle w:val="Normalparatextwithnumbers"/>
        <w:numPr>
          <w:ilvl w:val="1"/>
          <w:numId w:val="23"/>
        </w:numPr>
      </w:pPr>
      <w:r>
        <w:t xml:space="preserve">The section also applies where the SGE or </w:t>
      </w:r>
      <w:r w:rsidR="00780C91">
        <w:t>its associate</w:t>
      </w:r>
      <w:r>
        <w:t xml:space="preserve"> does not acquire a right to exploit an intangible asset but is nevertheless permitted to exploit the intangible asset, whether that permission is express or implied.</w:t>
      </w:r>
      <w:r>
        <w:br/>
      </w:r>
      <w:r w:rsidRPr="008942AB">
        <w:rPr>
          <w:rStyle w:val="References"/>
        </w:rPr>
        <w:t>[Schedule xx, item</w:t>
      </w:r>
      <w:r>
        <w:rPr>
          <w:rStyle w:val="References"/>
        </w:rPr>
        <w:t xml:space="preserve"> 2</w:t>
      </w:r>
      <w:r w:rsidRPr="008942AB">
        <w:rPr>
          <w:rStyle w:val="References"/>
        </w:rPr>
        <w:t xml:space="preserve">, </w:t>
      </w:r>
      <w:r w:rsidR="00A4705E">
        <w:rPr>
          <w:rStyle w:val="References"/>
        </w:rPr>
        <w:t xml:space="preserve">paragraph </w:t>
      </w:r>
      <w:r>
        <w:rPr>
          <w:rStyle w:val="References"/>
        </w:rPr>
        <w:t>26-110(</w:t>
      </w:r>
      <w:r w:rsidR="003E1142">
        <w:rPr>
          <w:rStyle w:val="References"/>
        </w:rPr>
        <w:t>5</w:t>
      </w:r>
      <w:r>
        <w:rPr>
          <w:rStyle w:val="References"/>
        </w:rPr>
        <w:t>)</w:t>
      </w:r>
      <w:r w:rsidR="00A4705E">
        <w:rPr>
          <w:rStyle w:val="References"/>
        </w:rPr>
        <w:t>(b)</w:t>
      </w:r>
      <w:r w:rsidDel="00A4705E">
        <w:rPr>
          <w:rStyle w:val="References"/>
        </w:rPr>
        <w:t xml:space="preserve"> </w:t>
      </w:r>
      <w:r w:rsidRPr="008942AB">
        <w:rPr>
          <w:rStyle w:val="References"/>
        </w:rPr>
        <w:t xml:space="preserve">of </w:t>
      </w:r>
      <w:r>
        <w:rPr>
          <w:rStyle w:val="References"/>
        </w:rPr>
        <w:t>the ITAA 1997</w:t>
      </w:r>
      <w:r w:rsidRPr="008942AB">
        <w:rPr>
          <w:rStyle w:val="References"/>
        </w:rPr>
        <w:t xml:space="preserve">] </w:t>
      </w:r>
    </w:p>
    <w:p w14:paraId="79DABB75" w14:textId="4FE08AC3" w:rsidR="002721E2" w:rsidRDefault="00301252" w:rsidP="002721E2">
      <w:pPr>
        <w:pStyle w:val="Normalparatextwithnumbers"/>
        <w:numPr>
          <w:ilvl w:val="1"/>
          <w:numId w:val="23"/>
        </w:numPr>
      </w:pPr>
      <w:r>
        <w:t xml:space="preserve">SGE is defined in section 960-555 of the ITAA 1997. </w:t>
      </w:r>
      <w:r w:rsidR="002721E2">
        <w:t>The term ‘associate’ takes its meaning as defined in section 318 of the ITAA 1936.</w:t>
      </w:r>
    </w:p>
    <w:p w14:paraId="2FDFEC12" w14:textId="77777777" w:rsidR="002721E2" w:rsidRPr="007654B3" w:rsidRDefault="002721E2" w:rsidP="002721E2">
      <w:pPr>
        <w:pStyle w:val="Heading5"/>
        <w:numPr>
          <w:ilvl w:val="4"/>
          <w:numId w:val="2"/>
        </w:numPr>
        <w:rPr>
          <w:rFonts w:ascii="Times New Roman" w:eastAsiaTheme="minorHAnsi" w:hAnsi="Times New Roman" w:cstheme="minorBidi"/>
          <w:b w:val="0"/>
          <w:spacing w:val="0"/>
          <w:kern w:val="0"/>
          <w:sz w:val="22"/>
          <w:szCs w:val="22"/>
        </w:rPr>
      </w:pPr>
      <w:r w:rsidRPr="00FC5DAD">
        <w:lastRenderedPageBreak/>
        <w:t xml:space="preserve">Payments </w:t>
      </w:r>
      <w:r>
        <w:t>made by SGEs</w:t>
      </w:r>
      <w:r w:rsidRPr="00FC5DAD">
        <w:t xml:space="preserve"> to associates in connection </w:t>
      </w:r>
      <w:r w:rsidRPr="007654B3">
        <w:t>with</w:t>
      </w:r>
      <w:r>
        <w:t xml:space="preserve"> income from exploiting</w:t>
      </w:r>
      <w:r w:rsidRPr="007654B3">
        <w:t xml:space="preserve"> intangible assets </w:t>
      </w:r>
      <w:r>
        <w:t>being derived</w:t>
      </w:r>
      <w:r w:rsidRPr="007654B3">
        <w:t xml:space="preserve"> in low corporate tax jurisdictions</w:t>
      </w:r>
    </w:p>
    <w:p w14:paraId="3C704E13" w14:textId="0E9F4A0D" w:rsidR="002721E2" w:rsidRDefault="002721E2" w:rsidP="002721E2">
      <w:pPr>
        <w:pStyle w:val="Normalparatextwithnumbers"/>
        <w:numPr>
          <w:ilvl w:val="1"/>
          <w:numId w:val="23"/>
        </w:numPr>
      </w:pPr>
      <w:r>
        <w:t>These amendments apply where a payment or credit is made, or a liability is incurred</w:t>
      </w:r>
      <w:r w:rsidR="00F16B0A">
        <w:t>,</w:t>
      </w:r>
      <w:r>
        <w:t xml:space="preserve"> under an arrangement or a related arrangement that results in the SGE or </w:t>
      </w:r>
      <w:r w:rsidR="00C666BA">
        <w:t>an associate</w:t>
      </w:r>
      <w:r>
        <w:t xml:space="preserve"> acquiring an intangible asset or a right to exploit an intangible asset, or results in that </w:t>
      </w:r>
      <w:r w:rsidR="000A48FE">
        <w:t xml:space="preserve">SGE or its associate </w:t>
      </w:r>
      <w:r>
        <w:t xml:space="preserve">exploiting the intangible asset. </w:t>
      </w:r>
      <w:r w:rsidDel="00524F3C">
        <w:t xml:space="preserve">It is sufficient that </w:t>
      </w:r>
      <w:r w:rsidR="0006256D">
        <w:t>an SGE or its associate is permitted to exploit an intangible asset</w:t>
      </w:r>
      <w:r>
        <w:t>, whether the permission is expressed or implied.</w:t>
      </w:r>
      <w:r w:rsidR="00FB7773">
        <w:t xml:space="preserve"> </w:t>
      </w:r>
      <w:r>
        <w:br/>
      </w:r>
      <w:r w:rsidRPr="00DC5DF7">
        <w:rPr>
          <w:rStyle w:val="References"/>
        </w:rPr>
        <w:t>[Schedule xx, item</w:t>
      </w:r>
      <w:r>
        <w:rPr>
          <w:rStyle w:val="References"/>
        </w:rPr>
        <w:t xml:space="preserve"> 2</w:t>
      </w:r>
      <w:r w:rsidRPr="00DC5DF7">
        <w:rPr>
          <w:rStyle w:val="References"/>
        </w:rPr>
        <w:t xml:space="preserve">, </w:t>
      </w:r>
      <w:r w:rsidR="00BB191C">
        <w:rPr>
          <w:rStyle w:val="References"/>
        </w:rPr>
        <w:t>sub</w:t>
      </w:r>
      <w:r>
        <w:rPr>
          <w:rStyle w:val="References"/>
        </w:rPr>
        <w:t>paragraph 26-110(2)(</w:t>
      </w:r>
      <w:r w:rsidR="00FD389E">
        <w:rPr>
          <w:rStyle w:val="References"/>
        </w:rPr>
        <w:t>c</w:t>
      </w:r>
      <w:r>
        <w:rPr>
          <w:rStyle w:val="References"/>
        </w:rPr>
        <w:t>)</w:t>
      </w:r>
      <w:r w:rsidR="00FD389E">
        <w:rPr>
          <w:rStyle w:val="References"/>
        </w:rPr>
        <w:t>(</w:t>
      </w:r>
      <w:proofErr w:type="spellStart"/>
      <w:r w:rsidR="00FD389E">
        <w:rPr>
          <w:rStyle w:val="References"/>
        </w:rPr>
        <w:t>i</w:t>
      </w:r>
      <w:proofErr w:type="spellEnd"/>
      <w:r w:rsidR="00FD389E">
        <w:rPr>
          <w:rStyle w:val="References"/>
        </w:rPr>
        <w:t>)</w:t>
      </w:r>
      <w:r>
        <w:rPr>
          <w:rStyle w:val="References"/>
        </w:rPr>
        <w:t xml:space="preserve"> and subsection 26-110(</w:t>
      </w:r>
      <w:r w:rsidR="002A7207">
        <w:rPr>
          <w:rStyle w:val="References"/>
        </w:rPr>
        <w:t>5</w:t>
      </w:r>
      <w:r>
        <w:rPr>
          <w:rStyle w:val="References"/>
        </w:rPr>
        <w:t xml:space="preserve">) </w:t>
      </w:r>
      <w:r w:rsidRPr="00DC5DF7">
        <w:rPr>
          <w:rStyle w:val="References"/>
        </w:rPr>
        <w:t xml:space="preserve">of </w:t>
      </w:r>
      <w:r>
        <w:rPr>
          <w:rStyle w:val="References"/>
        </w:rPr>
        <w:t>the ITAA 1997</w:t>
      </w:r>
      <w:r w:rsidRPr="00DC5DF7">
        <w:rPr>
          <w:rStyle w:val="References"/>
        </w:rPr>
        <w:t>]</w:t>
      </w:r>
    </w:p>
    <w:p w14:paraId="3B6FF915" w14:textId="1BD6041E" w:rsidR="002721E2" w:rsidRDefault="002721E2" w:rsidP="002721E2">
      <w:pPr>
        <w:pStyle w:val="Normalparatextwithnumbers"/>
        <w:numPr>
          <w:ilvl w:val="1"/>
          <w:numId w:val="23"/>
        </w:numPr>
      </w:pPr>
      <w:r>
        <w:t xml:space="preserve">Exploiting an intangible asset takes a broad meaning. It includes using, marketing, selling, </w:t>
      </w:r>
      <w:proofErr w:type="gramStart"/>
      <w:r>
        <w:t>licensing</w:t>
      </w:r>
      <w:proofErr w:type="gramEnd"/>
      <w:r>
        <w:t xml:space="preserve"> and distributing the intangible asset. It also includes a supply, </w:t>
      </w:r>
      <w:proofErr w:type="gramStart"/>
      <w:r>
        <w:t>receipt</w:t>
      </w:r>
      <w:proofErr w:type="gramEnd"/>
      <w:r>
        <w:t xml:space="preserve"> or forbearance in respect of the asset, if paragraphs (c),</w:t>
      </w:r>
      <w:r w:rsidR="000121C1">
        <w:t xml:space="preserve"> </w:t>
      </w:r>
      <w:r>
        <w:t>(d),</w:t>
      </w:r>
      <w:r w:rsidR="000121C1">
        <w:t xml:space="preserve"> </w:t>
      </w:r>
      <w:r>
        <w:t xml:space="preserve">(da) or (f) of the definition of ‘royalty’ in subsection 6(1) </w:t>
      </w:r>
      <w:r w:rsidR="004F2FA5">
        <w:t xml:space="preserve">of the </w:t>
      </w:r>
      <w:r>
        <w:t>ITAA</w:t>
      </w:r>
      <w:r w:rsidR="004F2FA5">
        <w:t> </w:t>
      </w:r>
      <w:r>
        <w:t xml:space="preserve">1936 applies to that supply, reception or forbearance. Further, exploiting another </w:t>
      </w:r>
      <w:r w:rsidR="007A0F71">
        <w:t xml:space="preserve">intangible </w:t>
      </w:r>
      <w:r>
        <w:t xml:space="preserve">asset that is a right in respect of, or an interest in, the </w:t>
      </w:r>
      <w:r w:rsidR="00F26937">
        <w:t xml:space="preserve">intangible </w:t>
      </w:r>
      <w:r>
        <w:t>asset</w:t>
      </w:r>
      <w:r w:rsidR="00F26937">
        <w:t xml:space="preserve">, such as a licence over </w:t>
      </w:r>
      <w:r w:rsidR="00483E4A">
        <w:t>intellectual property,</w:t>
      </w:r>
      <w:r>
        <w:t xml:space="preserve"> or </w:t>
      </w:r>
      <w:r w:rsidR="00901786">
        <w:t xml:space="preserve">doing </w:t>
      </w:r>
      <w:r>
        <w:t xml:space="preserve">anything else in respect of the </w:t>
      </w:r>
      <w:r w:rsidR="00901786">
        <w:t>intan</w:t>
      </w:r>
      <w:r w:rsidR="00BC754B">
        <w:t xml:space="preserve">gible </w:t>
      </w:r>
      <w:r>
        <w:t>asset also constitutes exploiting an intangible asset.</w:t>
      </w:r>
      <w:r>
        <w:br/>
      </w:r>
      <w:r w:rsidRPr="009D57BA">
        <w:rPr>
          <w:rStyle w:val="References"/>
        </w:rPr>
        <w:t>[Schedule xx, item</w:t>
      </w:r>
      <w:r>
        <w:rPr>
          <w:rStyle w:val="References"/>
        </w:rPr>
        <w:t xml:space="preserve"> 2</w:t>
      </w:r>
      <w:r w:rsidRPr="009D57BA">
        <w:rPr>
          <w:rStyle w:val="References"/>
        </w:rPr>
        <w:t xml:space="preserve">, </w:t>
      </w:r>
      <w:r>
        <w:rPr>
          <w:rStyle w:val="References"/>
        </w:rPr>
        <w:t>subsection 26-110</w:t>
      </w:r>
      <w:r w:rsidR="00AF469F">
        <w:rPr>
          <w:rStyle w:val="References"/>
        </w:rPr>
        <w:t>(1</w:t>
      </w:r>
      <w:r w:rsidR="00672770">
        <w:rPr>
          <w:rStyle w:val="References"/>
        </w:rPr>
        <w:t>0</w:t>
      </w:r>
      <w:r>
        <w:rPr>
          <w:rStyle w:val="References"/>
        </w:rPr>
        <w:t>) of the ITAA 1997</w:t>
      </w:r>
      <w:r w:rsidRPr="009D57BA">
        <w:rPr>
          <w:rStyle w:val="References"/>
        </w:rPr>
        <w:t xml:space="preserve">] </w:t>
      </w:r>
    </w:p>
    <w:p w14:paraId="51B36DB9" w14:textId="192F62DF" w:rsidR="002721E2" w:rsidRDefault="002721E2" w:rsidP="002721E2">
      <w:pPr>
        <w:pStyle w:val="Normalparatextwithnumbers"/>
        <w:numPr>
          <w:ilvl w:val="1"/>
          <w:numId w:val="23"/>
        </w:numPr>
      </w:pPr>
      <w:r>
        <w:t xml:space="preserve">This definition is broad </w:t>
      </w:r>
      <w:proofErr w:type="gramStart"/>
      <w:r>
        <w:t>in order to</w:t>
      </w:r>
      <w:proofErr w:type="gramEnd"/>
      <w:r>
        <w:t xml:space="preserve"> capture the variety of ways in which intangible assets can be exploited </w:t>
      </w:r>
      <w:r w:rsidR="001C0840">
        <w:t>by</w:t>
      </w:r>
      <w:r>
        <w:t xml:space="preserve"> an SGE. </w:t>
      </w:r>
    </w:p>
    <w:p w14:paraId="6B853CE7" w14:textId="49F0C154" w:rsidR="002721E2" w:rsidRDefault="002721E2" w:rsidP="002721E2">
      <w:pPr>
        <w:pStyle w:val="Normalparatextwithnumbers"/>
        <w:numPr>
          <w:ilvl w:val="1"/>
          <w:numId w:val="23"/>
        </w:numPr>
      </w:pPr>
      <w:r>
        <w:t>The term ‘arrangement’ uses the existing definition of that term in subsection 995-1(1)</w:t>
      </w:r>
      <w:r w:rsidR="005B2BF8">
        <w:t xml:space="preserve"> of the ITAA 1997</w:t>
      </w:r>
      <w:r>
        <w:t xml:space="preserve">. This is a broad definition and will include not just the ordinary meaning </w:t>
      </w:r>
      <w:r w:rsidR="00390B92">
        <w:t>of</w:t>
      </w:r>
      <w:r>
        <w:t xml:space="preserve"> arrangement but also an </w:t>
      </w:r>
      <w:r w:rsidRPr="001C0727">
        <w:t xml:space="preserve">agreement, understanding, promise or undertaking, whether express or implied, and </w:t>
      </w:r>
      <w:proofErr w:type="gramStart"/>
      <w:r w:rsidRPr="001C0727">
        <w:t>whether or not</w:t>
      </w:r>
      <w:proofErr w:type="gramEnd"/>
      <w:r w:rsidRPr="001C0727">
        <w:t xml:space="preserve"> enforceable (or intended to be enforceable) by legal proceedings</w:t>
      </w:r>
      <w:r>
        <w:t>.</w:t>
      </w:r>
    </w:p>
    <w:p w14:paraId="717E5CEE" w14:textId="5E50F904" w:rsidR="002721E2" w:rsidRDefault="002721E2" w:rsidP="002721E2">
      <w:pPr>
        <w:pStyle w:val="Normalparatextwithnumbers"/>
        <w:numPr>
          <w:ilvl w:val="1"/>
          <w:numId w:val="23"/>
        </w:numPr>
      </w:pPr>
      <w:r>
        <w:t xml:space="preserve">In addition to ‘arrangement’ taking a broad meaning, the provision requires that the SGE or </w:t>
      </w:r>
      <w:r w:rsidR="00EF5233">
        <w:t>an associate</w:t>
      </w:r>
      <w:r>
        <w:t xml:space="preserve"> acquires</w:t>
      </w:r>
      <w:r w:rsidR="00753735">
        <w:t xml:space="preserve"> the intangible asset,</w:t>
      </w:r>
      <w:r>
        <w:t xml:space="preserve"> the right to exploit</w:t>
      </w:r>
      <w:r w:rsidR="00753735">
        <w:t xml:space="preserve"> the intangible asset</w:t>
      </w:r>
      <w:r>
        <w:t xml:space="preserve">, or </w:t>
      </w:r>
      <w:proofErr w:type="gramStart"/>
      <w:r>
        <w:t>actually exploits</w:t>
      </w:r>
      <w:proofErr w:type="gramEnd"/>
      <w:r w:rsidR="002E0EB0">
        <w:t xml:space="preserve"> the</w:t>
      </w:r>
      <w:r>
        <w:t xml:space="preserve"> intangible asset ‘</w:t>
      </w:r>
      <w:r w:rsidRPr="00AC29CC">
        <w:rPr>
          <w:i/>
          <w:iCs/>
        </w:rPr>
        <w:t>as a result of</w:t>
      </w:r>
      <w:r>
        <w:t xml:space="preserve">’ the arrangement under which the payment is made. This phrase, together with the broad meaning of ‘arrangement’, ensures that it is not necessary that the payment and the acquisition of the right to exploit or exploitation of an intangible asset is provided for in the same contract. This is an objective test that requires an examination of the whole of the arrangement, including collateral contracts and legally unenforceable understandings between the parties (per the definition of ‘arrangement’ in subsection 995-1(1) of the ITAA 1997). </w:t>
      </w:r>
      <w:r w:rsidR="001E52F0">
        <w:t xml:space="preserve">This is intended to </w:t>
      </w:r>
      <w:r w:rsidR="00F32F46">
        <w:t xml:space="preserve">allow the </w:t>
      </w:r>
      <w:r w:rsidR="00C57205">
        <w:t xml:space="preserve">true </w:t>
      </w:r>
      <w:r w:rsidR="00F32F46">
        <w:t xml:space="preserve">substance of </w:t>
      </w:r>
      <w:r w:rsidR="0010499E">
        <w:t xml:space="preserve">the understanding between associates to be </w:t>
      </w:r>
      <w:r w:rsidR="006920B2">
        <w:t>the relevant arrangement for this provision, which may be indicated</w:t>
      </w:r>
      <w:r w:rsidR="00BC23E9">
        <w:t>, for example,</w:t>
      </w:r>
      <w:r w:rsidR="006920B2">
        <w:t xml:space="preserve"> by </w:t>
      </w:r>
      <w:r w:rsidR="00BC23E9">
        <w:t xml:space="preserve">the </w:t>
      </w:r>
      <w:r w:rsidR="006920B2">
        <w:t>conduct of the associates</w:t>
      </w:r>
      <w:r w:rsidR="00C57205">
        <w:t xml:space="preserve"> or otherwise</w:t>
      </w:r>
      <w:r w:rsidR="006920B2">
        <w:t>.</w:t>
      </w:r>
      <w:r>
        <w:br/>
      </w:r>
      <w:r w:rsidRPr="00AC29CC">
        <w:rPr>
          <w:rStyle w:val="References"/>
        </w:rPr>
        <w:t>[Schedule xx, item</w:t>
      </w:r>
      <w:r>
        <w:rPr>
          <w:rStyle w:val="References"/>
        </w:rPr>
        <w:t xml:space="preserve"> 2</w:t>
      </w:r>
      <w:r w:rsidRPr="00AC29CC">
        <w:rPr>
          <w:rStyle w:val="References"/>
        </w:rPr>
        <w:t>, provision(s)</w:t>
      </w:r>
      <w:r>
        <w:rPr>
          <w:rStyle w:val="References"/>
        </w:rPr>
        <w:t xml:space="preserve"> subparagraph</w:t>
      </w:r>
      <w:r w:rsidRPr="00AC29CC">
        <w:rPr>
          <w:rStyle w:val="References"/>
        </w:rPr>
        <w:t xml:space="preserve"> </w:t>
      </w:r>
      <w:r>
        <w:rPr>
          <w:rStyle w:val="References"/>
        </w:rPr>
        <w:t>26-110(2)(</w:t>
      </w:r>
      <w:r w:rsidR="00437BC9">
        <w:rPr>
          <w:rStyle w:val="References"/>
        </w:rPr>
        <w:t>c</w:t>
      </w:r>
      <w:r>
        <w:rPr>
          <w:rStyle w:val="References"/>
        </w:rPr>
        <w:t>)</w:t>
      </w:r>
      <w:r w:rsidRPr="00AC29CC">
        <w:rPr>
          <w:rStyle w:val="References"/>
        </w:rPr>
        <w:t xml:space="preserve"> of </w:t>
      </w:r>
      <w:r>
        <w:rPr>
          <w:rStyle w:val="References"/>
        </w:rPr>
        <w:t>the ITAA 1997</w:t>
      </w:r>
      <w:r w:rsidRPr="00AC29CC">
        <w:rPr>
          <w:rStyle w:val="References"/>
        </w:rPr>
        <w:t xml:space="preserve">] </w:t>
      </w:r>
    </w:p>
    <w:p w14:paraId="17C00FC6" w14:textId="4009944C" w:rsidR="002721E2" w:rsidRDefault="002721E2" w:rsidP="002721E2">
      <w:pPr>
        <w:pStyle w:val="Normalparatextwithnumbers"/>
        <w:numPr>
          <w:ilvl w:val="1"/>
          <w:numId w:val="23"/>
        </w:numPr>
      </w:pPr>
      <w:r>
        <w:lastRenderedPageBreak/>
        <w:t xml:space="preserve">These amendments also apply where the right to exploit an intangible asset is acquired under an arrangement related to the one which provides for the payment from the SGE to its associate. This captures a situation where the SGE or another entity doesn’t acquire any express right to exploit an intangible asset under the arrangement providing for the payment, but </w:t>
      </w:r>
      <w:proofErr w:type="gramStart"/>
      <w:r>
        <w:t>as a result of</w:t>
      </w:r>
      <w:proofErr w:type="gramEnd"/>
      <w:r>
        <w:t xml:space="preserve"> a common understanding between associates, has access to intangible assets.</w:t>
      </w:r>
      <w:r>
        <w:br/>
      </w:r>
      <w:r w:rsidRPr="002E5A59">
        <w:rPr>
          <w:rStyle w:val="References"/>
        </w:rPr>
        <w:t>[Schedule xx, item</w:t>
      </w:r>
      <w:r>
        <w:rPr>
          <w:rStyle w:val="References"/>
        </w:rPr>
        <w:t xml:space="preserve"> 2</w:t>
      </w:r>
      <w:r w:rsidRPr="002E5A59">
        <w:rPr>
          <w:rStyle w:val="References"/>
        </w:rPr>
        <w:t>, p</w:t>
      </w:r>
      <w:r>
        <w:rPr>
          <w:rStyle w:val="References"/>
        </w:rPr>
        <w:t>aragraph 26-110(2)(</w:t>
      </w:r>
      <w:r w:rsidR="00437BC9">
        <w:rPr>
          <w:rStyle w:val="References"/>
        </w:rPr>
        <w:t>c</w:t>
      </w:r>
      <w:r>
        <w:rPr>
          <w:rStyle w:val="References"/>
        </w:rPr>
        <w:t>) of the ITAA 1997</w:t>
      </w:r>
      <w:r w:rsidRPr="002E5A59">
        <w:rPr>
          <w:rStyle w:val="References"/>
        </w:rPr>
        <w:t>]</w:t>
      </w:r>
    </w:p>
    <w:p w14:paraId="3E29D567" w14:textId="3B0FE87B" w:rsidR="002721E2" w:rsidRPr="00A46DBC" w:rsidRDefault="002721E2" w:rsidP="002721E2">
      <w:pPr>
        <w:pStyle w:val="Normalparatextwithnumbers"/>
      </w:pPr>
      <w:r w:rsidRPr="00A46DBC">
        <w:t xml:space="preserve">For example, </w:t>
      </w:r>
      <w:r w:rsidR="00334E3F">
        <w:t>a taxpayer</w:t>
      </w:r>
      <w:r w:rsidR="00B10252">
        <w:t xml:space="preserve"> </w:t>
      </w:r>
      <w:r w:rsidRPr="00A46DBC">
        <w:t>might enter into a distribution agreement for licences</w:t>
      </w:r>
      <w:r w:rsidR="00293098">
        <w:t xml:space="preserve"> over </w:t>
      </w:r>
      <w:r w:rsidR="005C1D43">
        <w:t>copyright</w:t>
      </w:r>
      <w:r w:rsidRPr="00A46DBC">
        <w:t xml:space="preserve"> as part of an arrangement with an associate in a low corporate tax jurisdiction. This arrangement may make no mention of any intangible assets but was made on the common understanding between the parties that the associate in the low corporate tax jurisdiction would make available, for no cost and without any written or formal agreement, access</w:t>
      </w:r>
      <w:r w:rsidR="00A76086">
        <w:t xml:space="preserve"> to</w:t>
      </w:r>
      <w:r w:rsidRPr="00A46DBC">
        <w:t xml:space="preserve"> </w:t>
      </w:r>
      <w:r w:rsidR="00932D96">
        <w:t>t</w:t>
      </w:r>
      <w:r w:rsidR="004B269C">
        <w:t xml:space="preserve">he </w:t>
      </w:r>
      <w:r w:rsidRPr="00A46DBC">
        <w:t>valuable information</w:t>
      </w:r>
      <w:r w:rsidR="005C1D43">
        <w:t xml:space="preserve"> su</w:t>
      </w:r>
      <w:r w:rsidR="00BF567C">
        <w:t>b</w:t>
      </w:r>
      <w:r w:rsidR="005C1D43">
        <w:t>ject to copyright</w:t>
      </w:r>
      <w:r w:rsidRPr="00A46DBC">
        <w:t xml:space="preserve"> that the </w:t>
      </w:r>
      <w:r w:rsidR="00334E3F">
        <w:t>taxpayer</w:t>
      </w:r>
      <w:r w:rsidRPr="00A46DBC">
        <w:t xml:space="preserve"> may use in its role as a distributor of the licences. This common understanding between the parties constitutes a related arrangement. </w:t>
      </w:r>
    </w:p>
    <w:p w14:paraId="65ECAC47" w14:textId="77777777" w:rsidR="002721E2" w:rsidRDefault="002721E2" w:rsidP="002721E2">
      <w:pPr>
        <w:pStyle w:val="Normalparatextwithnumbers"/>
        <w:numPr>
          <w:ilvl w:val="1"/>
          <w:numId w:val="23"/>
        </w:numPr>
      </w:pPr>
      <w:r>
        <w:t>As an anti-avoidance measure these amendments are intended to have a broad application. A deduction is proportionately denied where the payment is genuinely made as consideration for other things provided the result of the arrangement under which the payment is made, or a related arrangement, is that the SGE or another entity acquires an intangible asset, a right to exploit an intangible asset or exploits an intangible asset.</w:t>
      </w:r>
    </w:p>
    <w:p w14:paraId="439A1428" w14:textId="77777777" w:rsidR="002721E2" w:rsidRDefault="002721E2" w:rsidP="002721E2">
      <w:pPr>
        <w:pStyle w:val="ExampleHeading"/>
      </w:pPr>
    </w:p>
    <w:p w14:paraId="50F3652B" w14:textId="5DD2760F" w:rsidR="000E6849" w:rsidRDefault="00AC3738" w:rsidP="00AC3738">
      <w:pPr>
        <w:pStyle w:val="Exampletext"/>
      </w:pPr>
      <w:r>
        <w:t xml:space="preserve">Blue Co is an </w:t>
      </w:r>
      <w:proofErr w:type="gramStart"/>
      <w:r w:rsidR="00E408D1">
        <w:t>SGE</w:t>
      </w:r>
      <w:proofErr w:type="gramEnd"/>
      <w:r w:rsidR="00E408D1">
        <w:t xml:space="preserve"> and an </w:t>
      </w:r>
      <w:r>
        <w:t xml:space="preserve">Australian subsidiary of Hexagon Co. </w:t>
      </w:r>
      <w:r w:rsidR="00B16D26">
        <w:t>B</w:t>
      </w:r>
      <w:r w:rsidR="00D20935" w:rsidRPr="007A00CB">
        <w:t>lue Co &amp; Hexagon Co</w:t>
      </w:r>
      <w:r w:rsidR="00D20935" w:rsidRPr="00B9789B">
        <w:t xml:space="preserve"> are members </w:t>
      </w:r>
      <w:r w:rsidR="0043058F" w:rsidRPr="00B9789B">
        <w:t xml:space="preserve">of a group of entities of which </w:t>
      </w:r>
      <w:r w:rsidRPr="000F48AA">
        <w:t xml:space="preserve">Hexagon Co </w:t>
      </w:r>
      <w:r w:rsidR="00DF7FD6" w:rsidRPr="007A00CB">
        <w:t>is</w:t>
      </w:r>
      <w:r w:rsidR="0043058F" w:rsidRPr="00B9789B">
        <w:t xml:space="preserve"> the</w:t>
      </w:r>
      <w:r w:rsidR="00DF7FD6" w:rsidRPr="00B9789B">
        <w:t xml:space="preserve"> global parent entity</w:t>
      </w:r>
      <w:r w:rsidR="0043058F" w:rsidRPr="00B9789B">
        <w:t xml:space="preserve">.  </w:t>
      </w:r>
      <w:r w:rsidR="00123AAC" w:rsidRPr="00B9789B">
        <w:t>Hexagon Co is</w:t>
      </w:r>
      <w:r w:rsidR="0043058F" w:rsidRPr="00B9789B">
        <w:t xml:space="preserve"> </w:t>
      </w:r>
      <w:r>
        <w:t>headquartered in a foreign country</w:t>
      </w:r>
      <w:r w:rsidR="0019742D">
        <w:t>.  The</w:t>
      </w:r>
      <w:r w:rsidDel="004A4F48">
        <w:t xml:space="preserve"> </w:t>
      </w:r>
      <w:r>
        <w:t xml:space="preserve">business </w:t>
      </w:r>
      <w:r w:rsidR="0019742D">
        <w:t xml:space="preserve">of Hexagon Co </w:t>
      </w:r>
      <w:r>
        <w:t xml:space="preserve">is the manufacture and sale of clothing and shoes. Hexagon Co licenses the right to its trademark to White Co. </w:t>
      </w:r>
    </w:p>
    <w:p w14:paraId="09041FBF" w14:textId="34CA5388" w:rsidR="00AC3738" w:rsidRDefault="00AC3738" w:rsidP="00AC3738">
      <w:pPr>
        <w:pStyle w:val="Exampletext"/>
      </w:pPr>
      <w:r>
        <w:t xml:space="preserve">White Co is an associate of Blue Co and </w:t>
      </w:r>
      <w:proofErr w:type="gramStart"/>
      <w:r>
        <w:t>is located in</w:t>
      </w:r>
      <w:proofErr w:type="gramEnd"/>
      <w:r>
        <w:t xml:space="preserve"> a low corporate tax jurisdiction. </w:t>
      </w:r>
    </w:p>
    <w:p w14:paraId="7E42945C" w14:textId="450A9396" w:rsidR="00AC3738" w:rsidRDefault="00AC3738" w:rsidP="00AC3738">
      <w:pPr>
        <w:pStyle w:val="Exampletext"/>
      </w:pPr>
      <w:r>
        <w:t xml:space="preserve">White Co and Hexagon Co have a cost sharing agreement in relation to the development of various business strategies, </w:t>
      </w:r>
      <w:proofErr w:type="gramStart"/>
      <w:r>
        <w:t>processes</w:t>
      </w:r>
      <w:proofErr w:type="gramEnd"/>
      <w:r>
        <w:t xml:space="preserve"> and intellectual property, which includes the Hexagon Co trademark. As part of this cost sharing agreement Hexagon Co allows White Co to sub-license the trademark in certain jurisdictions including Australia.</w:t>
      </w:r>
    </w:p>
    <w:p w14:paraId="0BC9BA34" w14:textId="77777777" w:rsidR="00AC3738" w:rsidRDefault="00AC3738" w:rsidP="00AC3738">
      <w:pPr>
        <w:pStyle w:val="Exampletext"/>
      </w:pPr>
      <w:r>
        <w:t xml:space="preserve">Blue Co </w:t>
      </w:r>
      <w:proofErr w:type="gramStart"/>
      <w:r>
        <w:t>enters into</w:t>
      </w:r>
      <w:proofErr w:type="gramEnd"/>
      <w:r>
        <w:t xml:space="preserve"> an arrangement with White Co under which Blue Co is obliged to market and sell Hexagon Co’s clothing and shoes. As part of this arrangement Blue Co is granted a sub licence from White Co to use Hexagon Co’s trademark. This arrangement allows Blue Co to brand its local stores with Hexagon Co’s trademark and use that trademark as part of its general marketing strategy. The agreement between Blue Co and White Co specifies </w:t>
      </w:r>
      <w:r>
        <w:lastRenderedPageBreak/>
        <w:t xml:space="preserve">that Blue Co pay White Co a fee for management and other services. The agreement also authorises Blue Co to use any of the intellectual property necessary to fulfill its obligation to market and sell clothing and shoes. The agreement specifies that access to this intellectual property, which includes the trademark is provided to Blue Co at no cost. </w:t>
      </w:r>
    </w:p>
    <w:p w14:paraId="54F920B3" w14:textId="77777777" w:rsidR="00AC3738" w:rsidRDefault="00AC3738" w:rsidP="00AC3738">
      <w:pPr>
        <w:pStyle w:val="Exampletext"/>
      </w:pPr>
      <w:r>
        <w:t>The trademark is an intangible asset. Blue Co also acquires a right in respect of, or an interest in an intangible asset, being the sub licence that it has acquired to use the trademark.</w:t>
      </w:r>
    </w:p>
    <w:p w14:paraId="74685BA0" w14:textId="2DE1E76A" w:rsidR="00AC3738" w:rsidRDefault="00AC3738" w:rsidP="00AC3738">
      <w:pPr>
        <w:pStyle w:val="Exampletext"/>
      </w:pPr>
      <w:r>
        <w:t>As a result of the arrangement between White Co and Blue Co, Blue Co uses the trademark to brand its local retail stores where clothing and shoes are sold. The trademark is prominently displayed in all marketing material. Blue Co exploits the trademark within the meaning of exploit in subsection 26-110</w:t>
      </w:r>
      <w:r w:rsidR="00EF5233">
        <w:t>(10</w:t>
      </w:r>
      <w:r w:rsidDel="00EF5233">
        <w:t>)</w:t>
      </w:r>
      <w:r>
        <w:t xml:space="preserve"> by using the trademark to brand its shops and in its marketing material. By using the trademark, Blue Co also exploits the sub licence it has acquired. The payment made by Blue Co to White Co is income of White Co in the low corporate tax jurisdiction. This is income derived by White Co in a low corporate tax jurisdiction </w:t>
      </w:r>
      <w:proofErr w:type="gramStart"/>
      <w:r>
        <w:t>as a result of</w:t>
      </w:r>
      <w:proofErr w:type="gramEnd"/>
      <w:r>
        <w:t xml:space="preserve"> entering into the arrangement with Blue Co under which Blue Co exploits both intangible assets, being the trademark and the sub licence. Blue Co claims a deduction in Australia equal to the fees for management and other services</w:t>
      </w:r>
    </w:p>
    <w:p w14:paraId="46A5E1E8" w14:textId="77777777" w:rsidR="00952B4D" w:rsidRDefault="00AC3738" w:rsidP="001A015D">
      <w:pPr>
        <w:pStyle w:val="Exampletext"/>
      </w:pPr>
      <w:r w:rsidRPr="00AC3738">
        <w:t>As a result of the arrangements between the parties, and despite the contract providing these intangible assets are made available at no cost, Blue Co has acquired the right to use the trademark and exploits the sub licence. White Co derives income in the low corporate tax jurisdiction, being the management and services fees from Blue Co, from exploiting its licence. To the extent that the payment of these fees is attributable to the right to exploit the trademark and the sub licence by branding its shops and using the trademark as part of its marketing, the deduction for Blue Co is denied.</w:t>
      </w:r>
    </w:p>
    <w:p w14:paraId="43A38980" w14:textId="47881401" w:rsidR="00706EA4" w:rsidRPr="00857E8B" w:rsidRDefault="00706EA4" w:rsidP="00857E8B">
      <w:pPr>
        <w:pStyle w:val="ExampleHeading"/>
        <w:rPr>
          <w:rFonts w:eastAsiaTheme="minorHAnsi"/>
        </w:rPr>
      </w:pPr>
    </w:p>
    <w:p w14:paraId="12002511" w14:textId="2C502B43" w:rsidR="006506F3" w:rsidRDefault="006506F3" w:rsidP="006506F3">
      <w:pPr>
        <w:pStyle w:val="Exampletext"/>
        <w:rPr>
          <w:rFonts w:eastAsia="Calibri" w:cs="Times New Roman"/>
          <w:szCs w:val="21"/>
        </w:rPr>
      </w:pPr>
      <w:r>
        <w:rPr>
          <w:rFonts w:eastAsia="Calibri" w:cs="Times New Roman"/>
          <w:szCs w:val="21"/>
        </w:rPr>
        <w:t xml:space="preserve">The Green Co </w:t>
      </w:r>
      <w:r w:rsidR="0017643E">
        <w:rPr>
          <w:rFonts w:eastAsia="Calibri" w:cs="Times New Roman"/>
          <w:szCs w:val="21"/>
        </w:rPr>
        <w:t xml:space="preserve">is </w:t>
      </w:r>
      <w:r w:rsidR="00DF28DB">
        <w:rPr>
          <w:rFonts w:eastAsia="Calibri" w:cs="Times New Roman"/>
          <w:szCs w:val="21"/>
        </w:rPr>
        <w:t>a global parent entity</w:t>
      </w:r>
      <w:r w:rsidDel="0017643E">
        <w:rPr>
          <w:rFonts w:eastAsia="Calibri" w:cs="Times New Roman"/>
          <w:szCs w:val="21"/>
        </w:rPr>
        <w:t xml:space="preserve"> </w:t>
      </w:r>
      <w:r w:rsidR="00687D88">
        <w:rPr>
          <w:rFonts w:eastAsia="Calibri" w:cs="Times New Roman"/>
          <w:szCs w:val="21"/>
        </w:rPr>
        <w:t>that has annual global income of $1 b</w:t>
      </w:r>
      <w:r w:rsidR="005D751A">
        <w:rPr>
          <w:rFonts w:eastAsia="Calibri" w:cs="Times New Roman"/>
          <w:szCs w:val="21"/>
        </w:rPr>
        <w:t>illion or more</w:t>
      </w:r>
      <w:r w:rsidR="006C3AB4">
        <w:rPr>
          <w:rFonts w:eastAsia="Calibri" w:cs="Times New Roman"/>
          <w:szCs w:val="21"/>
        </w:rPr>
        <w:t>.</w:t>
      </w:r>
      <w:r w:rsidR="005D751A">
        <w:rPr>
          <w:rFonts w:eastAsia="Calibri" w:cs="Times New Roman"/>
          <w:szCs w:val="21"/>
        </w:rPr>
        <w:t xml:space="preserve"> </w:t>
      </w:r>
      <w:r>
        <w:t xml:space="preserve">Green Co </w:t>
      </w:r>
      <w:r w:rsidR="006C3AB4">
        <w:rPr>
          <w:rFonts w:eastAsia="Calibri" w:cs="Times New Roman"/>
          <w:szCs w:val="21"/>
        </w:rPr>
        <w:t>provides streaming services worldwide</w:t>
      </w:r>
      <w:r w:rsidR="004041DD">
        <w:rPr>
          <w:rFonts w:eastAsia="Calibri" w:cs="Times New Roman"/>
          <w:szCs w:val="21"/>
        </w:rPr>
        <w:t xml:space="preserve"> and</w:t>
      </w:r>
      <w:r w:rsidR="006C3AB4">
        <w:rPr>
          <w:rFonts w:eastAsia="Calibri" w:cs="Times New Roman"/>
          <w:szCs w:val="21"/>
        </w:rPr>
        <w:t xml:space="preserve"> </w:t>
      </w:r>
      <w:r>
        <w:t xml:space="preserve">developed and maintains </w:t>
      </w:r>
      <w:r>
        <w:rPr>
          <w:rFonts w:eastAsia="Calibri" w:cs="Times New Roman"/>
          <w:szCs w:val="21"/>
        </w:rPr>
        <w:t>sophisticated algorithms and associated technology to facilitate the delivery of streaming content. Green</w:t>
      </w:r>
      <w:r w:rsidRPr="00607CE7">
        <w:rPr>
          <w:rFonts w:eastAsia="Calibri" w:cs="Times New Roman"/>
          <w:szCs w:val="21"/>
        </w:rPr>
        <w:t xml:space="preserve"> Co is not located in a low corporate tax jurisdiction. </w:t>
      </w:r>
    </w:p>
    <w:p w14:paraId="515BF80A" w14:textId="1032A179" w:rsidR="002471E7" w:rsidRDefault="006506F3" w:rsidP="006506F3">
      <w:pPr>
        <w:pStyle w:val="Exampletext"/>
        <w:rPr>
          <w:rFonts w:eastAsia="Calibri" w:cs="Times New Roman"/>
          <w:szCs w:val="21"/>
        </w:rPr>
      </w:pPr>
      <w:r>
        <w:t>Triangle</w:t>
      </w:r>
      <w:r w:rsidRPr="00AD0BCE">
        <w:t xml:space="preserve"> Co</w:t>
      </w:r>
      <w:r w:rsidR="00C27C07">
        <w:t xml:space="preserve"> is</w:t>
      </w:r>
      <w:r w:rsidRPr="00AD0BCE">
        <w:t xml:space="preserve"> </w:t>
      </w:r>
      <w:r>
        <w:t>a member of</w:t>
      </w:r>
      <w:r w:rsidR="00C27C07">
        <w:t xml:space="preserve"> a group of entities</w:t>
      </w:r>
      <w:r>
        <w:t xml:space="preserve"> </w:t>
      </w:r>
      <w:r w:rsidR="0007459F">
        <w:t xml:space="preserve">where </w:t>
      </w:r>
      <w:r>
        <w:t xml:space="preserve">Green Co </w:t>
      </w:r>
      <w:r w:rsidR="009844A5">
        <w:t>is the global parent entity for that group</w:t>
      </w:r>
      <w:r w:rsidR="00D11D43">
        <w:t xml:space="preserve">. </w:t>
      </w:r>
      <w:r>
        <w:t xml:space="preserve"> </w:t>
      </w:r>
      <w:r w:rsidR="00923AE2">
        <w:t>Triangle Co</w:t>
      </w:r>
      <w:r>
        <w:t xml:space="preserve"> </w:t>
      </w:r>
      <w:proofErr w:type="gramStart"/>
      <w:r>
        <w:t>is located in</w:t>
      </w:r>
      <w:proofErr w:type="gramEnd"/>
      <w:r>
        <w:t xml:space="preserve"> </w:t>
      </w:r>
      <w:r w:rsidRPr="00706EA4">
        <w:rPr>
          <w:rFonts w:eastAsia="Calibri" w:cs="Times New Roman"/>
          <w:szCs w:val="21"/>
        </w:rPr>
        <w:t xml:space="preserve">a </w:t>
      </w:r>
      <w:r>
        <w:rPr>
          <w:rFonts w:eastAsia="Calibri" w:cs="Times New Roman"/>
          <w:szCs w:val="21"/>
        </w:rPr>
        <w:t>low corporate tax jurisdiction</w:t>
      </w:r>
      <w:r w:rsidRPr="00706EA4">
        <w:rPr>
          <w:rFonts w:eastAsia="Calibri" w:cs="Times New Roman"/>
          <w:szCs w:val="21"/>
        </w:rPr>
        <w:t>.</w:t>
      </w:r>
      <w:r>
        <w:rPr>
          <w:rFonts w:eastAsia="Calibri" w:cs="Times New Roman"/>
          <w:szCs w:val="21"/>
        </w:rPr>
        <w:t xml:space="preserve"> </w:t>
      </w:r>
    </w:p>
    <w:p w14:paraId="2A9AAB8F" w14:textId="36F47805" w:rsidR="006506F3" w:rsidRDefault="006506F3" w:rsidP="006506F3">
      <w:pPr>
        <w:pStyle w:val="Exampletext"/>
      </w:pPr>
      <w:r>
        <w:lastRenderedPageBreak/>
        <w:t xml:space="preserve">Green Co </w:t>
      </w:r>
      <w:r w:rsidRPr="004C07D1">
        <w:t xml:space="preserve">has </w:t>
      </w:r>
      <w:proofErr w:type="gramStart"/>
      <w:r w:rsidRPr="004C07D1">
        <w:t>entered into</w:t>
      </w:r>
      <w:proofErr w:type="gramEnd"/>
      <w:r w:rsidRPr="004C07D1">
        <w:t xml:space="preserve"> a cost-sharing arrangement with </w:t>
      </w:r>
      <w:r>
        <w:t>Triangle Co related to the development of these and future works</w:t>
      </w:r>
      <w:r w:rsidR="0073698B">
        <w:t xml:space="preserve"> subject to copyright</w:t>
      </w:r>
      <w:r w:rsidRPr="004C07D1">
        <w:t xml:space="preserve">. </w:t>
      </w:r>
      <w:r>
        <w:t xml:space="preserve">Under the arrangement, Triangle Co has the right to use and sub-license the copyrighted audio and visual content in a region including Australia. </w:t>
      </w:r>
    </w:p>
    <w:p w14:paraId="0789E574" w14:textId="65B4F7CD" w:rsidR="00766062" w:rsidRDefault="006506F3" w:rsidP="006506F3">
      <w:pPr>
        <w:pStyle w:val="Exampletext"/>
        <w:rPr>
          <w:rFonts w:eastAsia="Calibri" w:cs="Times New Roman"/>
          <w:szCs w:val="21"/>
        </w:rPr>
      </w:pPr>
      <w:r>
        <w:t>Red</w:t>
      </w:r>
      <w:r w:rsidRPr="00F34DD1">
        <w:t xml:space="preserve"> Co</w:t>
      </w:r>
      <w:r>
        <w:t xml:space="preserve">, </w:t>
      </w:r>
      <w:r w:rsidRPr="00706EA4">
        <w:rPr>
          <w:rFonts w:eastAsia="Calibri" w:cs="Times New Roman"/>
          <w:szCs w:val="21"/>
        </w:rPr>
        <w:t xml:space="preserve">an </w:t>
      </w:r>
      <w:r w:rsidR="00766062">
        <w:t xml:space="preserve">SGE, is </w:t>
      </w:r>
      <w:r w:rsidRPr="00706EA4">
        <w:rPr>
          <w:rFonts w:eastAsia="Calibri" w:cs="Times New Roman"/>
          <w:szCs w:val="21"/>
        </w:rPr>
        <w:t xml:space="preserve">an Australian subsidiary of </w:t>
      </w:r>
      <w:r>
        <w:rPr>
          <w:rFonts w:eastAsia="Calibri" w:cs="Times New Roman"/>
          <w:szCs w:val="21"/>
        </w:rPr>
        <w:t>Green</w:t>
      </w:r>
      <w:r w:rsidRPr="00706EA4">
        <w:rPr>
          <w:rFonts w:eastAsia="Calibri" w:cs="Times New Roman"/>
          <w:szCs w:val="21"/>
        </w:rPr>
        <w:t xml:space="preserve"> Co</w:t>
      </w:r>
      <w:r w:rsidR="00803B41">
        <w:rPr>
          <w:rFonts w:eastAsia="Calibri" w:cs="Times New Roman"/>
          <w:szCs w:val="21"/>
        </w:rPr>
        <w:t xml:space="preserve">.  It is also a member of the </w:t>
      </w:r>
      <w:r w:rsidR="00AC21A3">
        <w:rPr>
          <w:rFonts w:eastAsia="Calibri" w:cs="Times New Roman"/>
          <w:szCs w:val="21"/>
        </w:rPr>
        <w:t xml:space="preserve">same </w:t>
      </w:r>
      <w:r w:rsidR="00803B41">
        <w:rPr>
          <w:rFonts w:eastAsia="Calibri" w:cs="Times New Roman"/>
          <w:szCs w:val="21"/>
        </w:rPr>
        <w:t xml:space="preserve">group of entities, </w:t>
      </w:r>
      <w:r w:rsidR="007C054E">
        <w:rPr>
          <w:rFonts w:eastAsia="Calibri" w:cs="Times New Roman"/>
          <w:szCs w:val="21"/>
        </w:rPr>
        <w:t>which</w:t>
      </w:r>
      <w:r w:rsidR="00766062" w:rsidRPr="00766062">
        <w:rPr>
          <w:rFonts w:eastAsia="Calibri" w:cs="Times New Roman"/>
          <w:szCs w:val="21"/>
        </w:rPr>
        <w:t xml:space="preserve"> is consolidated for accounting purposes as a single group.  </w:t>
      </w:r>
    </w:p>
    <w:p w14:paraId="0AB45123" w14:textId="0169616C" w:rsidR="006506F3" w:rsidRPr="00131B14" w:rsidRDefault="00994EEB" w:rsidP="006506F3">
      <w:pPr>
        <w:pStyle w:val="Exampletext"/>
        <w:rPr>
          <w:rFonts w:eastAsia="Calibri" w:cs="Times New Roman"/>
          <w:szCs w:val="21"/>
        </w:rPr>
      </w:pPr>
      <w:r>
        <w:rPr>
          <w:rFonts w:eastAsia="Calibri" w:cs="Times New Roman"/>
          <w:szCs w:val="21"/>
        </w:rPr>
        <w:t xml:space="preserve">Red Co </w:t>
      </w:r>
      <w:proofErr w:type="gramStart"/>
      <w:r w:rsidR="006506F3">
        <w:rPr>
          <w:rFonts w:eastAsia="Calibri" w:cs="Times New Roman"/>
          <w:szCs w:val="21"/>
        </w:rPr>
        <w:t>entered into</w:t>
      </w:r>
      <w:proofErr w:type="gramEnd"/>
      <w:r w:rsidR="006506F3">
        <w:rPr>
          <w:rFonts w:eastAsia="Calibri" w:cs="Times New Roman"/>
          <w:szCs w:val="21"/>
        </w:rPr>
        <w:t xml:space="preserve"> an arrangement with Green Co under which Red Co pays a single undissected service fee to Green Co. These services include management advice, the use of Green Co’s trademark, as well as payments for the use of Green Co streaming technology to </w:t>
      </w:r>
      <w:r w:rsidR="006506F3" w:rsidRPr="00F34DD1">
        <w:t>distribute content</w:t>
      </w:r>
      <w:r w:rsidR="006506F3">
        <w:t xml:space="preserve"> for </w:t>
      </w:r>
      <w:r w:rsidR="006506F3" w:rsidRPr="00F34DD1">
        <w:t>broadcasting within Australia</w:t>
      </w:r>
      <w:r w:rsidR="006506F3">
        <w:t>.</w:t>
      </w:r>
      <w:r w:rsidR="006506F3">
        <w:rPr>
          <w:rFonts w:eastAsia="Calibri" w:cs="Times New Roman"/>
          <w:szCs w:val="21"/>
        </w:rPr>
        <w:t xml:space="preserve"> As part of this arrangement</w:t>
      </w:r>
      <w:r w:rsidR="006506F3" w:rsidRPr="00470212">
        <w:rPr>
          <w:rFonts w:eastAsia="Calibri" w:cs="Times New Roman"/>
          <w:szCs w:val="21"/>
        </w:rPr>
        <w:t xml:space="preserve">, </w:t>
      </w:r>
      <w:r w:rsidR="006506F3">
        <w:rPr>
          <w:rFonts w:eastAsia="Calibri" w:cs="Times New Roman"/>
          <w:szCs w:val="21"/>
        </w:rPr>
        <w:t>Red</w:t>
      </w:r>
      <w:r w:rsidR="006506F3" w:rsidRPr="00470212">
        <w:rPr>
          <w:rFonts w:eastAsia="Calibri" w:cs="Times New Roman"/>
          <w:szCs w:val="21"/>
        </w:rPr>
        <w:t xml:space="preserve"> Co </w:t>
      </w:r>
      <w:r w:rsidR="006506F3">
        <w:rPr>
          <w:rFonts w:eastAsia="Calibri" w:cs="Times New Roman"/>
          <w:szCs w:val="21"/>
        </w:rPr>
        <w:t>is permitted to run</w:t>
      </w:r>
      <w:r w:rsidR="006506F3" w:rsidRPr="00470212">
        <w:rPr>
          <w:rFonts w:eastAsia="Calibri" w:cs="Times New Roman"/>
          <w:szCs w:val="21"/>
        </w:rPr>
        <w:t xml:space="preserve"> advertisements </w:t>
      </w:r>
      <w:r w:rsidR="006506F3">
        <w:rPr>
          <w:rFonts w:eastAsia="Calibri" w:cs="Times New Roman"/>
          <w:szCs w:val="21"/>
        </w:rPr>
        <w:t>using Green Co’s technology</w:t>
      </w:r>
      <w:r w:rsidR="006506F3" w:rsidRPr="00470212">
        <w:rPr>
          <w:rFonts w:eastAsia="Calibri" w:cs="Times New Roman"/>
          <w:szCs w:val="21"/>
        </w:rPr>
        <w:t xml:space="preserve"> that are viewed by the Australian customers. </w:t>
      </w:r>
      <w:r w:rsidR="006506F3">
        <w:rPr>
          <w:rFonts w:eastAsia="Calibri" w:cs="Times New Roman"/>
          <w:szCs w:val="21"/>
        </w:rPr>
        <w:t>Red</w:t>
      </w:r>
      <w:r w:rsidR="006506F3" w:rsidRPr="00470212">
        <w:rPr>
          <w:rFonts w:eastAsia="Calibri" w:cs="Times New Roman"/>
          <w:szCs w:val="21"/>
        </w:rPr>
        <w:t xml:space="preserve"> Co receives both advertising and subscription revenues.</w:t>
      </w:r>
      <w:r w:rsidR="006506F3">
        <w:rPr>
          <w:rFonts w:eastAsia="Calibri" w:cs="Times New Roman"/>
          <w:szCs w:val="21"/>
        </w:rPr>
        <w:t xml:space="preserve"> Red Co also obtains content for streaming from other third</w:t>
      </w:r>
      <w:r w:rsidR="006506F3">
        <w:rPr>
          <w:rFonts w:eastAsia="Calibri" w:cs="Times New Roman"/>
          <w:szCs w:val="21"/>
        </w:rPr>
        <w:noBreakHyphen/>
        <w:t>party sources as part of its ordinary business operations.</w:t>
      </w:r>
      <w:r w:rsidR="006506F3" w:rsidRPr="003054B3">
        <w:t xml:space="preserve"> </w:t>
      </w:r>
    </w:p>
    <w:p w14:paraId="42996A6E" w14:textId="6D507D60" w:rsidR="006506F3" w:rsidRDefault="00B735D5" w:rsidP="006506F3">
      <w:pPr>
        <w:pStyle w:val="Exampletext"/>
        <w:rPr>
          <w:rFonts w:eastAsia="Calibri" w:cs="Times New Roman"/>
          <w:szCs w:val="21"/>
        </w:rPr>
      </w:pPr>
      <w:r>
        <w:rPr>
          <w:rFonts w:eastAsia="Calibri" w:cs="Times New Roman"/>
          <w:szCs w:val="21"/>
        </w:rPr>
        <w:t xml:space="preserve">Separate </w:t>
      </w:r>
      <w:r w:rsidR="00A21ECC">
        <w:rPr>
          <w:rFonts w:eastAsia="Calibri" w:cs="Times New Roman"/>
          <w:szCs w:val="21"/>
        </w:rPr>
        <w:t>from and unrelated to the arrangement between Red Co and Green Co</w:t>
      </w:r>
      <w:r w:rsidR="00552E0D">
        <w:rPr>
          <w:rFonts w:eastAsia="Calibri" w:cs="Times New Roman"/>
          <w:szCs w:val="21"/>
        </w:rPr>
        <w:t>,</w:t>
      </w:r>
      <w:r w:rsidR="00A21ECC">
        <w:rPr>
          <w:rFonts w:eastAsia="Calibri" w:cs="Times New Roman"/>
          <w:szCs w:val="21"/>
        </w:rPr>
        <w:t xml:space="preserve"> </w:t>
      </w:r>
      <w:r w:rsidR="006506F3">
        <w:rPr>
          <w:rFonts w:eastAsia="Calibri" w:cs="Times New Roman"/>
          <w:szCs w:val="21"/>
        </w:rPr>
        <w:t>Red</w:t>
      </w:r>
      <w:r w:rsidR="006506F3" w:rsidRPr="00706EA4">
        <w:rPr>
          <w:rFonts w:eastAsia="Calibri" w:cs="Times New Roman"/>
          <w:szCs w:val="21"/>
        </w:rPr>
        <w:t xml:space="preserve"> Co </w:t>
      </w:r>
      <w:r w:rsidR="00552E0D">
        <w:rPr>
          <w:rFonts w:eastAsia="Calibri" w:cs="Times New Roman"/>
          <w:szCs w:val="21"/>
        </w:rPr>
        <w:t xml:space="preserve">later </w:t>
      </w:r>
      <w:proofErr w:type="gramStart"/>
      <w:r w:rsidR="006506F3" w:rsidRPr="00706EA4">
        <w:rPr>
          <w:rFonts w:eastAsia="Calibri" w:cs="Times New Roman"/>
          <w:szCs w:val="21"/>
        </w:rPr>
        <w:t>entered into</w:t>
      </w:r>
      <w:proofErr w:type="gramEnd"/>
      <w:r w:rsidR="006506F3" w:rsidRPr="00706EA4">
        <w:rPr>
          <w:rFonts w:eastAsia="Calibri" w:cs="Times New Roman"/>
          <w:szCs w:val="21"/>
        </w:rPr>
        <w:t xml:space="preserve"> an arrangement with </w:t>
      </w:r>
      <w:r w:rsidR="006506F3">
        <w:rPr>
          <w:rFonts w:eastAsia="Calibri" w:cs="Times New Roman"/>
          <w:szCs w:val="21"/>
        </w:rPr>
        <w:t>Triangle</w:t>
      </w:r>
      <w:r w:rsidR="006506F3" w:rsidRPr="00706EA4">
        <w:rPr>
          <w:rFonts w:eastAsia="Calibri" w:cs="Times New Roman"/>
          <w:szCs w:val="21"/>
        </w:rPr>
        <w:t xml:space="preserve"> Co </w:t>
      </w:r>
      <w:r w:rsidR="006506F3">
        <w:rPr>
          <w:rFonts w:eastAsia="Calibri" w:cs="Times New Roman"/>
          <w:szCs w:val="21"/>
        </w:rPr>
        <w:t xml:space="preserve">under which Red Co pays a service fee to Triangle Co and is appointed the local distribution entity in Australia. Under the arrangement, Triangle Co permits Red Co to use the audio and visual content in its business of selling streaming subscriptions to Australian customers. The contract between Triangle Co and Red Co specifies that Red Co is permitted to use this content at no cost.  </w:t>
      </w:r>
    </w:p>
    <w:p w14:paraId="1294D914" w14:textId="77777777" w:rsidR="006506F3" w:rsidRDefault="006506F3" w:rsidP="006506F3">
      <w:pPr>
        <w:pStyle w:val="Exampletext"/>
      </w:pPr>
      <w:r>
        <w:t xml:space="preserve">Red Co is exploiting the following intangible assets: </w:t>
      </w:r>
    </w:p>
    <w:p w14:paraId="735882F1" w14:textId="77777777" w:rsidR="006506F3" w:rsidRDefault="006506F3" w:rsidP="00B9789B">
      <w:pPr>
        <w:pStyle w:val="Exampledotpoint1"/>
        <w:rPr>
          <w:rFonts w:eastAsia="Calibri" w:cs="Times New Roman"/>
          <w:szCs w:val="21"/>
        </w:rPr>
      </w:pPr>
      <w:r>
        <w:t>the Green Co trademark and the rights to use Green Co’s streaming technology</w:t>
      </w:r>
      <w:r>
        <w:rPr>
          <w:rFonts w:eastAsia="Calibri" w:cs="Times New Roman"/>
          <w:szCs w:val="21"/>
        </w:rPr>
        <w:t>, and</w:t>
      </w:r>
    </w:p>
    <w:p w14:paraId="25A45DF9" w14:textId="77777777" w:rsidR="006506F3" w:rsidRPr="00D51F50" w:rsidRDefault="006506F3" w:rsidP="00B9789B">
      <w:pPr>
        <w:pStyle w:val="Exampledotpoint1"/>
        <w:rPr>
          <w:rFonts w:eastAsia="Calibri" w:cs="Times New Roman"/>
          <w:szCs w:val="21"/>
        </w:rPr>
      </w:pPr>
      <w:r>
        <w:t>the copyright under the agreement with Triangle Co.</w:t>
      </w:r>
    </w:p>
    <w:p w14:paraId="2DB5EE34" w14:textId="77777777" w:rsidR="006506F3" w:rsidRPr="00425848" w:rsidRDefault="006506F3" w:rsidP="006506F3">
      <w:pPr>
        <w:pStyle w:val="Exampletext"/>
        <w:rPr>
          <w:rFonts w:eastAsia="Calibri" w:cs="Times New Roman"/>
          <w:i/>
          <w:iCs w:val="0"/>
          <w:szCs w:val="21"/>
        </w:rPr>
      </w:pPr>
      <w:r>
        <w:rPr>
          <w:rFonts w:eastAsia="Calibri" w:cs="Times New Roman"/>
          <w:i/>
          <w:iCs w:val="0"/>
          <w:szCs w:val="21"/>
        </w:rPr>
        <w:t>Payment to Green Co</w:t>
      </w:r>
    </w:p>
    <w:p w14:paraId="37800514" w14:textId="32215D06" w:rsidR="006506F3" w:rsidRPr="00607CE7" w:rsidRDefault="006506F3" w:rsidP="006506F3">
      <w:pPr>
        <w:pStyle w:val="Exampletext"/>
        <w:rPr>
          <w:rFonts w:eastAsia="Calibri" w:cs="Times New Roman"/>
          <w:szCs w:val="21"/>
        </w:rPr>
      </w:pPr>
      <w:r>
        <w:rPr>
          <w:rFonts w:eastAsia="Calibri" w:cs="Times New Roman"/>
          <w:szCs w:val="21"/>
        </w:rPr>
        <w:t xml:space="preserve">Although a portion of the undissected service fee that Red Co pays to Green Co is determined to be attributed to Red Co’s right to exploit the streaming technology and trademark, no deduction is denied under section 26-110. </w:t>
      </w:r>
      <w:r w:rsidR="002C09E5">
        <w:rPr>
          <w:rFonts w:eastAsia="Calibri" w:cs="Times New Roman"/>
          <w:szCs w:val="21"/>
        </w:rPr>
        <w:t>This is because, w</w:t>
      </w:r>
      <w:r>
        <w:rPr>
          <w:rFonts w:eastAsia="Calibri" w:cs="Times New Roman"/>
          <w:szCs w:val="21"/>
        </w:rPr>
        <w:t xml:space="preserve">hile income is being derived by an associate (Triangle Co) in a low corporate tax jurisdiction, </w:t>
      </w:r>
      <w:r w:rsidR="008109ED" w:rsidRPr="008109ED">
        <w:rPr>
          <w:rFonts w:eastAsia="Calibri" w:cs="Times New Roman"/>
          <w:szCs w:val="21"/>
        </w:rPr>
        <w:t xml:space="preserve">this did not result from an arrangement under which </w:t>
      </w:r>
      <w:r>
        <w:rPr>
          <w:rFonts w:eastAsia="Calibri" w:cs="Times New Roman"/>
          <w:szCs w:val="21"/>
        </w:rPr>
        <w:t xml:space="preserve">Red Co </w:t>
      </w:r>
      <w:r w:rsidR="008109ED" w:rsidRPr="008109ED">
        <w:rPr>
          <w:rFonts w:eastAsia="Calibri" w:cs="Times New Roman"/>
          <w:szCs w:val="21"/>
        </w:rPr>
        <w:t>acquired the rights</w:t>
      </w:r>
      <w:r>
        <w:rPr>
          <w:rFonts w:eastAsia="Calibri" w:cs="Times New Roman"/>
          <w:szCs w:val="21"/>
        </w:rPr>
        <w:t xml:space="preserve"> to </w:t>
      </w:r>
      <w:r w:rsidR="008109ED" w:rsidRPr="008109ED">
        <w:rPr>
          <w:rFonts w:eastAsia="Calibri" w:cs="Times New Roman"/>
          <w:szCs w:val="21"/>
        </w:rPr>
        <w:t>or exploited</w:t>
      </w:r>
      <w:r>
        <w:rPr>
          <w:rFonts w:eastAsia="Calibri" w:cs="Times New Roman"/>
          <w:szCs w:val="21"/>
        </w:rPr>
        <w:t xml:space="preserve"> the </w:t>
      </w:r>
      <w:r w:rsidR="008109ED" w:rsidRPr="008109ED">
        <w:rPr>
          <w:rFonts w:eastAsia="Calibri" w:cs="Times New Roman"/>
          <w:szCs w:val="21"/>
        </w:rPr>
        <w:t>streaming technology and trademark. The arrangement that resulted in</w:t>
      </w:r>
      <w:r>
        <w:rPr>
          <w:rFonts w:eastAsia="Calibri" w:cs="Times New Roman"/>
          <w:szCs w:val="21"/>
        </w:rPr>
        <w:t xml:space="preserve"> the </w:t>
      </w:r>
      <w:r w:rsidR="008109ED" w:rsidRPr="008109ED">
        <w:rPr>
          <w:rFonts w:eastAsia="Calibri" w:cs="Times New Roman"/>
          <w:szCs w:val="21"/>
        </w:rPr>
        <w:t>income being derived by Triangle Co is discussed below</w:t>
      </w:r>
    </w:p>
    <w:p w14:paraId="454F8EFB" w14:textId="77777777" w:rsidR="006506F3" w:rsidRPr="00425848" w:rsidRDefault="006506F3" w:rsidP="006506F3">
      <w:pPr>
        <w:pStyle w:val="Exampletext"/>
        <w:rPr>
          <w:i/>
          <w:iCs w:val="0"/>
        </w:rPr>
      </w:pPr>
      <w:r w:rsidRPr="00425848">
        <w:rPr>
          <w:i/>
          <w:iCs w:val="0"/>
        </w:rPr>
        <w:t>Payment to Triangle Co</w:t>
      </w:r>
    </w:p>
    <w:p w14:paraId="182D0E4D" w14:textId="77777777" w:rsidR="006506F3" w:rsidRDefault="006506F3" w:rsidP="006506F3">
      <w:pPr>
        <w:pStyle w:val="Exampletext"/>
        <w:rPr>
          <w:rFonts w:eastAsia="Calibri" w:cs="Times New Roman"/>
          <w:szCs w:val="21"/>
        </w:rPr>
      </w:pPr>
      <w:r>
        <w:lastRenderedPageBreak/>
        <w:t xml:space="preserve">Triangle Co derives income in a low corporate tax jurisdiction being the payments made by Red Co. Therefore, to </w:t>
      </w:r>
      <w:r>
        <w:rPr>
          <w:rFonts w:eastAsia="Calibri" w:cs="Times New Roman"/>
          <w:szCs w:val="21"/>
        </w:rPr>
        <w:t xml:space="preserve">the extent that the payments Red Co makes to Triangle Co are attributable to Red Co’s exploitation </w:t>
      </w:r>
      <w:r>
        <w:t>of the copyright over the content the deduction will be disallowed</w:t>
      </w:r>
      <w:r>
        <w:rPr>
          <w:rFonts w:eastAsia="Calibri" w:cs="Times New Roman"/>
          <w:szCs w:val="21"/>
        </w:rPr>
        <w:t>.</w:t>
      </w:r>
    </w:p>
    <w:p w14:paraId="6B507768" w14:textId="4069BA55" w:rsidR="00AD284B" w:rsidRPr="00495908" w:rsidRDefault="006506F3" w:rsidP="00495908">
      <w:pPr>
        <w:pStyle w:val="Exampletext"/>
        <w:rPr>
          <w:rFonts w:eastAsia="Calibri" w:cs="Times New Roman"/>
          <w:szCs w:val="21"/>
        </w:rPr>
      </w:pPr>
      <w:r>
        <w:rPr>
          <w:rFonts w:eastAsia="Calibri" w:cs="Times New Roman"/>
          <w:szCs w:val="21"/>
        </w:rPr>
        <w:t xml:space="preserve">While the contract specifies the payment made by Red Co to Triangle Co is for its appointment as a local distribution entity, part of that payment </w:t>
      </w:r>
      <w:proofErr w:type="gramStart"/>
      <w:r>
        <w:rPr>
          <w:rFonts w:eastAsia="Calibri" w:cs="Times New Roman"/>
          <w:szCs w:val="21"/>
        </w:rPr>
        <w:t>is considered to be</w:t>
      </w:r>
      <w:proofErr w:type="gramEnd"/>
      <w:r>
        <w:rPr>
          <w:rFonts w:eastAsia="Calibri" w:cs="Times New Roman"/>
          <w:szCs w:val="21"/>
        </w:rPr>
        <w:t xml:space="preserve"> an embedded royalty given the ability for Red Co to use Triangle Co’s copyright. Given Red Co has not satisfied its Australian withholding tax obligations in respect of this embedded royalty, the amount of the deduction that might otherwise be allowable is disallowed in full.</w:t>
      </w:r>
    </w:p>
    <w:p w14:paraId="27642186" w14:textId="4C17CFA8" w:rsidR="002A238A" w:rsidRDefault="002A238A" w:rsidP="002A238A">
      <w:pPr>
        <w:pStyle w:val="Normalparatextwithnumbers"/>
      </w:pPr>
      <w:r>
        <w:t xml:space="preserve">These amendments apply when the payment is made by the SGE directly to an associate, or through one or more other </w:t>
      </w:r>
      <w:r w:rsidRPr="00D11754">
        <w:t xml:space="preserve">entities (which may or may not </w:t>
      </w:r>
      <w:proofErr w:type="gramStart"/>
      <w:r w:rsidRPr="00D11754">
        <w:t>be</w:t>
      </w:r>
      <w:r>
        <w:t xml:space="preserve"> </w:t>
      </w:r>
      <w:r w:rsidRPr="00D11754">
        <w:t>located in</w:t>
      </w:r>
      <w:proofErr w:type="gramEnd"/>
      <w:r w:rsidRPr="00D11754">
        <w:t xml:space="preserve"> low corporate tax jurisdictions) to the</w:t>
      </w:r>
      <w:r>
        <w:t xml:space="preserve"> associate. This, together with the fact that the right to exploit, or the exploitation of, an intangible asset may arise under a related arrangement, ensures that SGEs cannot circumvent the operation of the section by making payments through other entities. It is also not relevant where the </w:t>
      </w:r>
      <w:r w:rsidR="00A9282B">
        <w:t xml:space="preserve">recipient </w:t>
      </w:r>
      <w:r>
        <w:t>of the SGE</w:t>
      </w:r>
      <w:r w:rsidR="00A9282B">
        <w:t>’s payment</w:t>
      </w:r>
      <w:r>
        <w:t xml:space="preserve"> is located</w:t>
      </w:r>
      <w:r w:rsidR="00260F87">
        <w:t>.</w:t>
      </w:r>
      <w:r>
        <w:br/>
      </w:r>
      <w:r w:rsidRPr="00AB19EC">
        <w:rPr>
          <w:rStyle w:val="References"/>
        </w:rPr>
        <w:t>[Schedule xx, item</w:t>
      </w:r>
      <w:r>
        <w:rPr>
          <w:rStyle w:val="References"/>
        </w:rPr>
        <w:t xml:space="preserve"> 2</w:t>
      </w:r>
      <w:r w:rsidRPr="00AB19EC">
        <w:rPr>
          <w:rStyle w:val="References"/>
        </w:rPr>
        <w:t xml:space="preserve">, </w:t>
      </w:r>
      <w:r>
        <w:rPr>
          <w:rStyle w:val="References"/>
        </w:rPr>
        <w:t>paragraphs 26-110(</w:t>
      </w:r>
      <w:r w:rsidR="001B6723">
        <w:rPr>
          <w:rStyle w:val="References"/>
        </w:rPr>
        <w:t>2</w:t>
      </w:r>
      <w:r>
        <w:rPr>
          <w:rStyle w:val="References"/>
        </w:rPr>
        <w:t>)(</w:t>
      </w:r>
      <w:r w:rsidR="001B6723">
        <w:rPr>
          <w:rStyle w:val="References"/>
        </w:rPr>
        <w:t>b</w:t>
      </w:r>
      <w:r>
        <w:rPr>
          <w:rStyle w:val="References"/>
        </w:rPr>
        <w:t>) and (</w:t>
      </w:r>
      <w:r w:rsidR="00781054">
        <w:rPr>
          <w:rStyle w:val="References"/>
        </w:rPr>
        <w:t>c</w:t>
      </w:r>
      <w:r>
        <w:rPr>
          <w:rStyle w:val="References"/>
        </w:rPr>
        <w:t>) of the ITAA 1997</w:t>
      </w:r>
      <w:r w:rsidRPr="00AB19EC">
        <w:rPr>
          <w:rStyle w:val="References"/>
        </w:rPr>
        <w:t xml:space="preserve">] </w:t>
      </w:r>
    </w:p>
    <w:p w14:paraId="321E1B11" w14:textId="0C982DF3" w:rsidR="002A238A" w:rsidRPr="001A1CE2" w:rsidRDefault="002A238A" w:rsidP="00312102">
      <w:pPr>
        <w:pStyle w:val="Normalparatextwithnumbers"/>
        <w:rPr>
          <w:rStyle w:val="References"/>
          <w:b w:val="0"/>
          <w:i w:val="0"/>
        </w:rPr>
      </w:pPr>
      <w:r>
        <w:t>Similarly, where income is derived in a low corporate tax jurisdiction by the recipient or another associate of the SGE from the exploitation of the intangible asset, or a related intangible asset, that income can be derived either directly from that exploitation or indirectly.</w:t>
      </w:r>
      <w:r w:rsidRPr="009D2996">
        <w:t xml:space="preserve"> </w:t>
      </w:r>
      <w:r w:rsidRPr="00CF623D">
        <w:t xml:space="preserve">Where </w:t>
      </w:r>
      <w:r>
        <w:t>income</w:t>
      </w:r>
      <w:r w:rsidRPr="00CF623D">
        <w:t xml:space="preserve"> is derived </w:t>
      </w:r>
      <w:r w:rsidR="000B7DEC">
        <w:t xml:space="preserve">or payments are made </w:t>
      </w:r>
      <w:r w:rsidRPr="00CF623D">
        <w:t>indirectly</w:t>
      </w:r>
      <w:r w:rsidR="00EE6DCE">
        <w:t xml:space="preserve"> through one or more entities</w:t>
      </w:r>
      <w:r w:rsidRPr="00CF623D">
        <w:t>, strict tracing through the flow of funds is not required</w:t>
      </w:r>
      <w:proofErr w:type="gramStart"/>
      <w:r>
        <w:t>, in particular,</w:t>
      </w:r>
      <w:r w:rsidRPr="00CF623D">
        <w:t xml:space="preserve"> it</w:t>
      </w:r>
      <w:proofErr w:type="gramEnd"/>
      <w:r w:rsidRPr="00CF623D">
        <w:t xml:space="preserve"> is not necessary to demonstrate that </w:t>
      </w:r>
      <w:r>
        <w:t xml:space="preserve">each </w:t>
      </w:r>
      <w:r w:rsidRPr="00CF623D">
        <w:t>payment</w:t>
      </w:r>
      <w:r w:rsidR="006722CB">
        <w:t xml:space="preserve"> or transfer</w:t>
      </w:r>
      <w:r w:rsidRPr="00CF623D">
        <w:t xml:space="preserve"> in a series </w:t>
      </w:r>
      <w:r>
        <w:t xml:space="preserve">funds the next payment </w:t>
      </w:r>
      <w:r w:rsidR="001C6FAD">
        <w:t xml:space="preserve">or transfer </w:t>
      </w:r>
      <w:r>
        <w:t xml:space="preserve">or is made one after the other. </w:t>
      </w:r>
      <w:r w:rsidRPr="00CF623D">
        <w:t xml:space="preserve">Rather, it is sufficient if </w:t>
      </w:r>
      <w:r w:rsidR="000F4552">
        <w:t>amounts are paid or transferred</w:t>
      </w:r>
      <w:r w:rsidRPr="00CF623D">
        <w:t xml:space="preserve"> </w:t>
      </w:r>
      <w:r w:rsidRPr="00BF4487">
        <w:t>between each entity.</w:t>
      </w:r>
      <w:r>
        <w:br/>
      </w:r>
      <w:r w:rsidRPr="007C7C27">
        <w:rPr>
          <w:rStyle w:val="References"/>
        </w:rPr>
        <w:t>[Schedule xx, item</w:t>
      </w:r>
      <w:r>
        <w:rPr>
          <w:rStyle w:val="References"/>
        </w:rPr>
        <w:t xml:space="preserve"> 2, </w:t>
      </w:r>
      <w:r w:rsidR="004A408D">
        <w:rPr>
          <w:rStyle w:val="References"/>
        </w:rPr>
        <w:t>sub</w:t>
      </w:r>
      <w:r>
        <w:rPr>
          <w:rStyle w:val="References"/>
        </w:rPr>
        <w:t>paragraph 26-110(2)(c)</w:t>
      </w:r>
      <w:r w:rsidR="004A408D">
        <w:rPr>
          <w:rStyle w:val="References"/>
        </w:rPr>
        <w:t>(ii)</w:t>
      </w:r>
      <w:r w:rsidR="00736CD4">
        <w:rPr>
          <w:rStyle w:val="References"/>
        </w:rPr>
        <w:t xml:space="preserve"> and </w:t>
      </w:r>
      <w:r w:rsidR="006B2299">
        <w:rPr>
          <w:rStyle w:val="References"/>
        </w:rPr>
        <w:t>subsection (</w:t>
      </w:r>
      <w:r w:rsidR="004A408D">
        <w:rPr>
          <w:rStyle w:val="References"/>
        </w:rPr>
        <w:t>3</w:t>
      </w:r>
      <w:r w:rsidR="006B2299">
        <w:rPr>
          <w:rStyle w:val="References"/>
        </w:rPr>
        <w:t>)</w:t>
      </w:r>
      <w:r>
        <w:rPr>
          <w:rStyle w:val="References"/>
        </w:rPr>
        <w:t xml:space="preserve"> of the ITAA 1997</w:t>
      </w:r>
      <w:r w:rsidRPr="007C7C27">
        <w:rPr>
          <w:rStyle w:val="References"/>
        </w:rPr>
        <w:t xml:space="preserve">] </w:t>
      </w:r>
    </w:p>
    <w:p w14:paraId="7AFA0A52" w14:textId="3DF08424" w:rsidR="00FF616A" w:rsidRDefault="000A0FBA" w:rsidP="00312102">
      <w:pPr>
        <w:pStyle w:val="Normalparatextwithnumbers"/>
      </w:pPr>
      <w:r>
        <w:t xml:space="preserve">Although strict tracing is not required, it must still </w:t>
      </w:r>
      <w:r w:rsidR="00B34DAE">
        <w:t>be the case</w:t>
      </w:r>
      <w:r>
        <w:t xml:space="preserve"> that the income derived in the low corporate tax jurisdiction </w:t>
      </w:r>
      <w:r w:rsidR="00E5798F">
        <w:t>is a result of the arrangement under which the SGE makes the payment</w:t>
      </w:r>
      <w:r w:rsidR="00065304">
        <w:t xml:space="preserve"> or </w:t>
      </w:r>
      <w:r w:rsidR="003E1FED">
        <w:t>under a related arrangement</w:t>
      </w:r>
      <w:r w:rsidR="00E5798F">
        <w:t xml:space="preserve">. </w:t>
      </w:r>
      <w:r w:rsidR="000A7CD8">
        <w:t xml:space="preserve">The existence of </w:t>
      </w:r>
      <w:r w:rsidR="00A824CE">
        <w:t xml:space="preserve">income being derived in a </w:t>
      </w:r>
      <w:r w:rsidR="000A7CD8">
        <w:t xml:space="preserve">low corporate tax jurisdiction </w:t>
      </w:r>
      <w:r w:rsidR="00096B31">
        <w:t xml:space="preserve">that </w:t>
      </w:r>
      <w:r w:rsidR="00A824CE">
        <w:t xml:space="preserve">is </w:t>
      </w:r>
      <w:r w:rsidR="00096B31">
        <w:t>not a result of the</w:t>
      </w:r>
      <w:r w:rsidR="00AA7F47">
        <w:t xml:space="preserve"> relevant</w:t>
      </w:r>
      <w:r w:rsidR="00096B31">
        <w:t xml:space="preserve"> arrangement</w:t>
      </w:r>
      <w:r w:rsidR="00096B31" w:rsidDel="00AA7F47">
        <w:t xml:space="preserve"> </w:t>
      </w:r>
      <w:r w:rsidR="00C104D5">
        <w:t>will not attract the operation of these amendments</w:t>
      </w:r>
      <w:r w:rsidR="00DA7949">
        <w:t xml:space="preserve"> to deny the SGE a deduction for the payment that is attributable to the right to exploit an intangible asset</w:t>
      </w:r>
      <w:r w:rsidR="00C104D5">
        <w:t>.</w:t>
      </w:r>
      <w:r w:rsidR="003158DF">
        <w:br/>
      </w:r>
      <w:r w:rsidR="003158DF" w:rsidRPr="001A1CE2">
        <w:rPr>
          <w:rStyle w:val="References"/>
        </w:rPr>
        <w:t>[Schedule xx, item</w:t>
      </w:r>
      <w:r w:rsidR="0007167F">
        <w:rPr>
          <w:rStyle w:val="References"/>
        </w:rPr>
        <w:t xml:space="preserve"> 2</w:t>
      </w:r>
      <w:r w:rsidR="003158DF" w:rsidRPr="001A1CE2">
        <w:rPr>
          <w:rStyle w:val="References"/>
        </w:rPr>
        <w:t xml:space="preserve">, </w:t>
      </w:r>
      <w:r w:rsidR="0007167F">
        <w:rPr>
          <w:rStyle w:val="References"/>
        </w:rPr>
        <w:t>paragraph 26-110(2)(c)(ii)</w:t>
      </w:r>
      <w:r w:rsidR="003158DF" w:rsidRPr="001A1CE2" w:rsidDel="00DA7949">
        <w:rPr>
          <w:rStyle w:val="References"/>
        </w:rPr>
        <w:t xml:space="preserve"> </w:t>
      </w:r>
      <w:r w:rsidR="003158DF" w:rsidDel="00DA7949">
        <w:rPr>
          <w:rStyle w:val="References"/>
        </w:rPr>
        <w:t>of</w:t>
      </w:r>
      <w:r w:rsidR="003158DF">
        <w:rPr>
          <w:rStyle w:val="References"/>
        </w:rPr>
        <w:t xml:space="preserve"> </w:t>
      </w:r>
      <w:r w:rsidR="0007167F">
        <w:rPr>
          <w:rStyle w:val="References"/>
        </w:rPr>
        <w:t>the ITAA 1997</w:t>
      </w:r>
      <w:r w:rsidR="003158DF" w:rsidRPr="001A1CE2">
        <w:rPr>
          <w:rStyle w:val="References"/>
        </w:rPr>
        <w:t xml:space="preserve">] </w:t>
      </w:r>
    </w:p>
    <w:p w14:paraId="48012548" w14:textId="77777777" w:rsidR="002721E2" w:rsidRDefault="002721E2" w:rsidP="002721E2">
      <w:pPr>
        <w:pStyle w:val="Heading5"/>
        <w:numPr>
          <w:ilvl w:val="4"/>
          <w:numId w:val="2"/>
        </w:numPr>
      </w:pPr>
      <w:r>
        <w:t>Mischaracterisation</w:t>
      </w:r>
    </w:p>
    <w:p w14:paraId="6F000748" w14:textId="737ECFDC" w:rsidR="00900C6F" w:rsidRDefault="00900C6F" w:rsidP="00900C6F">
      <w:pPr>
        <w:pStyle w:val="Normalparatextwithnumbers"/>
        <w:numPr>
          <w:ilvl w:val="1"/>
          <w:numId w:val="23"/>
        </w:numPr>
      </w:pPr>
      <w:r>
        <w:t xml:space="preserve">These amendments apply where </w:t>
      </w:r>
      <w:r w:rsidR="00D3189C">
        <w:t>under an arrangement</w:t>
      </w:r>
      <w:r w:rsidR="00373A2A">
        <w:t xml:space="preserve"> between associates,</w:t>
      </w:r>
      <w:r>
        <w:t xml:space="preserve"> a payment</w:t>
      </w:r>
      <w:r w:rsidR="00D3189C">
        <w:t xml:space="preserve"> </w:t>
      </w:r>
      <w:r w:rsidR="004A3E3F">
        <w:t xml:space="preserve">might </w:t>
      </w:r>
      <w:r w:rsidR="00C82C8F">
        <w:t xml:space="preserve">purportedly </w:t>
      </w:r>
      <w:r w:rsidR="004A3E3F">
        <w:t xml:space="preserve">be </w:t>
      </w:r>
      <w:r>
        <w:t xml:space="preserve">made for things, such as services or tangible goods, </w:t>
      </w:r>
      <w:r w:rsidR="00783F8F">
        <w:t>but</w:t>
      </w:r>
      <w:r>
        <w:t xml:space="preserve"> the arrangement also results in the SGE or </w:t>
      </w:r>
      <w:r w:rsidR="00EF42D0">
        <w:t>an associate</w:t>
      </w:r>
      <w:r>
        <w:t xml:space="preserve"> exploiting,</w:t>
      </w:r>
      <w:r w:rsidR="001442FF">
        <w:t xml:space="preserve"> </w:t>
      </w:r>
      <w:proofErr w:type="gramStart"/>
      <w:r w:rsidR="001442FF">
        <w:t>acquiring</w:t>
      </w:r>
      <w:proofErr w:type="gramEnd"/>
      <w:r>
        <w:t xml:space="preserve"> or acquiring a right to exploit, an intangible asset, even at no cost.</w:t>
      </w:r>
    </w:p>
    <w:p w14:paraId="6F2443F9" w14:textId="538F49B0" w:rsidR="00900C6F" w:rsidRDefault="00900C6F" w:rsidP="00900C6F">
      <w:pPr>
        <w:pStyle w:val="Normalparatextwithnumbers"/>
        <w:numPr>
          <w:ilvl w:val="1"/>
          <w:numId w:val="23"/>
        </w:numPr>
      </w:pPr>
      <w:r>
        <w:lastRenderedPageBreak/>
        <w:t>In these cases,</w:t>
      </w:r>
      <w:r w:rsidR="00783F8F">
        <w:t xml:space="preserve"> the payment may be </w:t>
      </w:r>
      <w:r w:rsidR="003254AA">
        <w:t>apportioned to deny</w:t>
      </w:r>
      <w:r>
        <w:t xml:space="preserve"> a deduction </w:t>
      </w:r>
      <w:r w:rsidR="00B86479">
        <w:t>to the extent that it is</w:t>
      </w:r>
      <w:r>
        <w:t xml:space="preserve"> attributable to </w:t>
      </w:r>
      <w:r w:rsidR="0006640B">
        <w:t xml:space="preserve">a </w:t>
      </w:r>
      <w:r>
        <w:t>right to exploit an intangible asset. Where</w:t>
      </w:r>
      <w:r w:rsidR="00567D80">
        <w:t>,</w:t>
      </w:r>
      <w:r>
        <w:t xml:space="preserve"> </w:t>
      </w:r>
      <w:proofErr w:type="gramStart"/>
      <w:r w:rsidR="000E7AF5">
        <w:t>as a result of</w:t>
      </w:r>
      <w:proofErr w:type="gramEnd"/>
      <w:r w:rsidR="000E7AF5">
        <w:t xml:space="preserve"> the </w:t>
      </w:r>
      <w:r w:rsidR="00656951">
        <w:t xml:space="preserve">relevant </w:t>
      </w:r>
      <w:r w:rsidR="000E7AF5">
        <w:t>arrangement</w:t>
      </w:r>
      <w:r w:rsidR="00567D80">
        <w:t>,</w:t>
      </w:r>
      <w:r w:rsidR="000E7AF5">
        <w:t xml:space="preserve"> an entity or its associates, acquires, </w:t>
      </w:r>
      <w:r w:rsidR="00E40C80">
        <w:t>acquires</w:t>
      </w:r>
      <w:r w:rsidR="000E7AF5">
        <w:t xml:space="preserve"> a right to or ac</w:t>
      </w:r>
      <w:r w:rsidR="00E40C80">
        <w:t>tually exploits an intangible asset (</w:t>
      </w:r>
      <w:r>
        <w:t xml:space="preserve">regardless of whether it is stated in the written contract that the payment is for services or tangible goods), a deduction for the payment will be denied to the extent that the payment is attributable to the right to exploit the intangible asset. As discussed at </w:t>
      </w:r>
      <w:r w:rsidRPr="00324E52">
        <w:t>paragraphs #1.</w:t>
      </w:r>
      <w:r w:rsidR="00A51AA1">
        <w:t>29</w:t>
      </w:r>
      <w:r w:rsidRPr="00324E52">
        <w:t xml:space="preserve"> and #1.</w:t>
      </w:r>
      <w:r w:rsidR="00873F20" w:rsidRPr="00324E52">
        <w:t>3</w:t>
      </w:r>
      <w:r w:rsidR="00A51AA1">
        <w:t>6</w:t>
      </w:r>
      <w:r w:rsidRPr="00324E52">
        <w:t xml:space="preserve"> above</w:t>
      </w:r>
      <w:r>
        <w:t xml:space="preserve">, where no express right to exploit is acquired under the arrangement, but the SGE or </w:t>
      </w:r>
      <w:r w:rsidR="00350DA2">
        <w:t>an associate</w:t>
      </w:r>
      <w:r>
        <w:t xml:space="preserve"> is permitted to exploit the intangible asset, the deduction will be similarly denied to the extent that it is attributable to that permission to exploit the intangible asset, whether that permission is express or implied.</w:t>
      </w:r>
      <w:r>
        <w:br/>
      </w:r>
      <w:r w:rsidRPr="004B78D9">
        <w:rPr>
          <w:rStyle w:val="References"/>
        </w:rPr>
        <w:t>[Schedule xx, item</w:t>
      </w:r>
      <w:r>
        <w:rPr>
          <w:rStyle w:val="References"/>
        </w:rPr>
        <w:t xml:space="preserve"> 2, subsection 26-110(2) and</w:t>
      </w:r>
      <w:r w:rsidR="0074570D">
        <w:rPr>
          <w:rStyle w:val="References"/>
        </w:rPr>
        <w:t xml:space="preserve"> paragraph</w:t>
      </w:r>
      <w:r>
        <w:rPr>
          <w:rStyle w:val="References"/>
        </w:rPr>
        <w:t xml:space="preserve"> </w:t>
      </w:r>
      <w:r w:rsidR="0074570D">
        <w:rPr>
          <w:rStyle w:val="References"/>
        </w:rPr>
        <w:t>26-110(5)(b)</w:t>
      </w:r>
      <w:r>
        <w:rPr>
          <w:rStyle w:val="References"/>
        </w:rPr>
        <w:t>) of the ITAA 1997</w:t>
      </w:r>
      <w:r w:rsidRPr="004B78D9">
        <w:rPr>
          <w:rStyle w:val="References"/>
        </w:rPr>
        <w:t xml:space="preserve">] </w:t>
      </w:r>
    </w:p>
    <w:p w14:paraId="15A6489D" w14:textId="472E9445" w:rsidR="006035DB" w:rsidRDefault="0006423D" w:rsidP="00900C6F">
      <w:pPr>
        <w:pStyle w:val="Normalparatextwithnumbers"/>
        <w:numPr>
          <w:ilvl w:val="1"/>
          <w:numId w:val="23"/>
        </w:numPr>
      </w:pPr>
      <w:r>
        <w:t xml:space="preserve">To </w:t>
      </w:r>
      <w:r w:rsidR="002C0EF9">
        <w:t xml:space="preserve">the extent that payments are mischaracterised </w:t>
      </w:r>
      <w:r w:rsidR="00BC2451">
        <w:t>by</w:t>
      </w:r>
      <w:r w:rsidR="002C0EF9">
        <w:t xml:space="preserve"> either</w:t>
      </w:r>
      <w:r w:rsidR="00BC2451">
        <w:t xml:space="preserve"> being</w:t>
      </w:r>
      <w:r w:rsidR="002C0EF9">
        <w:t xml:space="preserve"> described in contracts or agreements as entirely for </w:t>
      </w:r>
      <w:r w:rsidR="00B56B33">
        <w:t xml:space="preserve">something other than the intangible asset or </w:t>
      </w:r>
      <w:r w:rsidR="00E1006D">
        <w:t>the payment is not apportioned appropriately, th</w:t>
      </w:r>
      <w:r w:rsidR="00823AFF">
        <w:t>ese amendments</w:t>
      </w:r>
      <w:r w:rsidR="00E1006D">
        <w:t xml:space="preserve"> will allow the Commissioner to look to the substance of the </w:t>
      </w:r>
      <w:r w:rsidR="00823AFF">
        <w:t>arrangement</w:t>
      </w:r>
      <w:r w:rsidR="00E1006D">
        <w:t xml:space="preserve"> </w:t>
      </w:r>
      <w:r w:rsidR="008F29A3">
        <w:t xml:space="preserve">and the deduction will be denied </w:t>
      </w:r>
      <w:r w:rsidR="00C538FB">
        <w:t>for the portion that is</w:t>
      </w:r>
      <w:r w:rsidR="00815280">
        <w:t>,</w:t>
      </w:r>
      <w:r w:rsidR="008F290E">
        <w:t xml:space="preserve"> in</w:t>
      </w:r>
      <w:r w:rsidR="00C538FB">
        <w:t xml:space="preserve"> substance</w:t>
      </w:r>
      <w:r w:rsidR="00815280">
        <w:t>,</w:t>
      </w:r>
      <w:r w:rsidR="00C538FB">
        <w:t xml:space="preserve"> attributable to the intangible asset.</w:t>
      </w:r>
    </w:p>
    <w:p w14:paraId="5D509A2C" w14:textId="712AE529" w:rsidR="00900C6F" w:rsidRDefault="00900C6F" w:rsidP="00900C6F">
      <w:pPr>
        <w:pStyle w:val="Normalparatextwithnumbers"/>
        <w:numPr>
          <w:ilvl w:val="1"/>
          <w:numId w:val="23"/>
        </w:numPr>
      </w:pPr>
      <w:r>
        <w:t>This is designed to complement the anti-avoidance nature of these amendments. Mischaracterising payments that are, at least to some extent, effectively made to acquire a right or have permission to exploit an intangible asset as payments made for other things such as services or tangible goods, will not avoid the operation of this anti-avoidance rule.</w:t>
      </w:r>
    </w:p>
    <w:p w14:paraId="64A58F71" w14:textId="7D37734A" w:rsidR="00900C6F" w:rsidRDefault="00900C6F" w:rsidP="00900C6F">
      <w:pPr>
        <w:pStyle w:val="Heading5"/>
        <w:numPr>
          <w:ilvl w:val="4"/>
          <w:numId w:val="2"/>
        </w:numPr>
      </w:pPr>
      <w:r>
        <w:t>Intangible Assets</w:t>
      </w:r>
    </w:p>
    <w:p w14:paraId="3E7CD032" w14:textId="4CDC48D7" w:rsidR="00900C6F" w:rsidRDefault="00900C6F" w:rsidP="00900C6F">
      <w:pPr>
        <w:pStyle w:val="Normalparatextwithnumbers"/>
        <w:numPr>
          <w:ilvl w:val="1"/>
          <w:numId w:val="23"/>
        </w:numPr>
      </w:pPr>
      <w:r>
        <w:t>‘Intangible asset’ is an expression that is used in numerous other provisions in the ITAA 1997. In those provisions, it</w:t>
      </w:r>
      <w:r w:rsidR="00A64544">
        <w:t>s</w:t>
      </w:r>
      <w:r>
        <w:t xml:space="preserve"> meaning</w:t>
      </w:r>
      <w:r w:rsidR="00A64544">
        <w:t xml:space="preserve"> is</w:t>
      </w:r>
      <w:r>
        <w:t xml:space="preserve"> unaffected by the extensions to and carve-outs from the types of assets relevant for this section.</w:t>
      </w:r>
      <w:r>
        <w:br/>
      </w:r>
      <w:r w:rsidRPr="0047268F">
        <w:rPr>
          <w:rStyle w:val="References"/>
        </w:rPr>
        <w:t>[Schedule xx, item</w:t>
      </w:r>
      <w:r>
        <w:rPr>
          <w:rStyle w:val="References"/>
        </w:rPr>
        <w:t xml:space="preserve"> 2</w:t>
      </w:r>
      <w:r w:rsidRPr="0047268F">
        <w:rPr>
          <w:rStyle w:val="References"/>
        </w:rPr>
        <w:t xml:space="preserve">, </w:t>
      </w:r>
      <w:r>
        <w:rPr>
          <w:rStyle w:val="References"/>
        </w:rPr>
        <w:t>subsection 26-110(</w:t>
      </w:r>
      <w:r w:rsidR="00E82E6B">
        <w:rPr>
          <w:rStyle w:val="References"/>
        </w:rPr>
        <w:t>6</w:t>
      </w:r>
      <w:r>
        <w:rPr>
          <w:rStyle w:val="References"/>
        </w:rPr>
        <w:t>) of the ITAA 1997</w:t>
      </w:r>
      <w:r w:rsidRPr="0047268F">
        <w:rPr>
          <w:rStyle w:val="References"/>
        </w:rPr>
        <w:t xml:space="preserve">] </w:t>
      </w:r>
    </w:p>
    <w:p w14:paraId="2EEA6C37" w14:textId="68EA21C8" w:rsidR="00CB25A4" w:rsidRDefault="00A0189A" w:rsidP="00BC30C1">
      <w:pPr>
        <w:pStyle w:val="Normalparatextwithnumbers"/>
        <w:numPr>
          <w:ilvl w:val="1"/>
          <w:numId w:val="23"/>
        </w:numPr>
      </w:pPr>
      <w:r>
        <w:t xml:space="preserve">The term </w:t>
      </w:r>
      <w:r w:rsidR="00C66867">
        <w:t>‘intangible asset’</w:t>
      </w:r>
      <w:r w:rsidR="00BC30C1">
        <w:t xml:space="preserve"> takes </w:t>
      </w:r>
      <w:r w:rsidR="00C66867">
        <w:t>its</w:t>
      </w:r>
      <w:r w:rsidR="00BC30C1">
        <w:t xml:space="preserve"> ordinary meaning</w:t>
      </w:r>
      <w:r w:rsidR="007E159F">
        <w:t xml:space="preserve">, which </w:t>
      </w:r>
      <w:r w:rsidR="00BC30C1">
        <w:t>only capture</w:t>
      </w:r>
      <w:r w:rsidR="007E159F">
        <w:t>s</w:t>
      </w:r>
      <w:r w:rsidR="00BC30C1">
        <w:t xml:space="preserve"> things that are assets. </w:t>
      </w:r>
      <w:r w:rsidR="005F09CA">
        <w:t xml:space="preserve">It </w:t>
      </w:r>
      <w:r w:rsidR="00BC30C1">
        <w:t xml:space="preserve">is not intended </w:t>
      </w:r>
      <w:r w:rsidR="005F09CA">
        <w:t xml:space="preserve">for this term </w:t>
      </w:r>
      <w:r w:rsidR="00BC30C1">
        <w:t xml:space="preserve">to </w:t>
      </w:r>
      <w:r w:rsidR="00395B76">
        <w:t xml:space="preserve">adopt a definition </w:t>
      </w:r>
      <w:r w:rsidR="00D33AEE">
        <w:t>specific</w:t>
      </w:r>
      <w:r w:rsidR="00ED2FD5">
        <w:t>ally used</w:t>
      </w:r>
      <w:r w:rsidR="00BC30C1">
        <w:t xml:space="preserve"> for accounting or transfer pricing purposes. For example</w:t>
      </w:r>
      <w:r w:rsidR="00BD7720">
        <w:t>,</w:t>
      </w:r>
      <w:r w:rsidR="00BC30C1">
        <w:t xml:space="preserve"> </w:t>
      </w:r>
      <w:r w:rsidR="00244AA5">
        <w:t xml:space="preserve">workforce </w:t>
      </w:r>
      <w:r w:rsidR="00BC30C1">
        <w:t xml:space="preserve">synergies </w:t>
      </w:r>
      <w:r w:rsidR="00244AA5">
        <w:t>and other intangible</w:t>
      </w:r>
      <w:r w:rsidR="00DE4346">
        <w:t xml:space="preserve"> asset</w:t>
      </w:r>
      <w:r w:rsidR="00244AA5">
        <w:t xml:space="preserve">s recognised for accounting purposes </w:t>
      </w:r>
      <w:r w:rsidR="00605491">
        <w:t xml:space="preserve">that are not </w:t>
      </w:r>
      <w:r w:rsidR="00FD5B2D">
        <w:t xml:space="preserve">relevant </w:t>
      </w:r>
      <w:r w:rsidR="00682DB7">
        <w:t xml:space="preserve">assets </w:t>
      </w:r>
      <w:r w:rsidR="004236C5">
        <w:t>a</w:t>
      </w:r>
      <w:r w:rsidR="00682DB7">
        <w:t>re</w:t>
      </w:r>
      <w:r w:rsidR="00E459BB">
        <w:t xml:space="preserve"> </w:t>
      </w:r>
      <w:r w:rsidR="00FD5B2D">
        <w:t>not intended</w:t>
      </w:r>
      <w:r w:rsidR="00BC30C1">
        <w:t xml:space="preserve"> to be captured by the</w:t>
      </w:r>
      <w:r w:rsidR="00DE4346">
        <w:t>se amendments</w:t>
      </w:r>
      <w:r w:rsidR="00BC30C1">
        <w:t>.</w:t>
      </w:r>
      <w:r w:rsidR="0098319F">
        <w:t xml:space="preserve"> </w:t>
      </w:r>
    </w:p>
    <w:p w14:paraId="554BF3EA" w14:textId="5CF77373" w:rsidR="00900C6F" w:rsidRDefault="00DA4E6B" w:rsidP="00900C6F">
      <w:pPr>
        <w:pStyle w:val="Normalparatextwithnumbers"/>
        <w:numPr>
          <w:ilvl w:val="1"/>
          <w:numId w:val="23"/>
        </w:numPr>
      </w:pPr>
      <w:proofErr w:type="gramStart"/>
      <w:r>
        <w:t xml:space="preserve">Without limiting </w:t>
      </w:r>
      <w:r w:rsidR="00900C6F">
        <w:t>the ordinary meaning of that term</w:t>
      </w:r>
      <w:r>
        <w:t xml:space="preserve"> ‘intangible asset</w:t>
      </w:r>
      <w:r w:rsidR="00234CB6">
        <w:t>’, it</w:t>
      </w:r>
      <w:proofErr w:type="gramEnd"/>
      <w:r w:rsidR="00234CB6">
        <w:t xml:space="preserve"> is made clear that</w:t>
      </w:r>
      <w:r w:rsidR="00900C6F">
        <w:t xml:space="preserve"> </w:t>
      </w:r>
      <w:r w:rsidR="009F2EDF">
        <w:t>th</w:t>
      </w:r>
      <w:r w:rsidR="00D44E32">
        <w:t xml:space="preserve">e section </w:t>
      </w:r>
      <w:r w:rsidR="00D634C8">
        <w:t>also applies</w:t>
      </w:r>
      <w:r w:rsidR="00900C6F">
        <w:t xml:space="preserve"> in the same way in relation to the following:</w:t>
      </w:r>
    </w:p>
    <w:p w14:paraId="59F246D2" w14:textId="5BFAF1A0" w:rsidR="00900C6F" w:rsidRDefault="00E6088F" w:rsidP="00E72142">
      <w:pPr>
        <w:pStyle w:val="Exampledotpoint1"/>
      </w:pPr>
      <w:r>
        <w:t>any c</w:t>
      </w:r>
      <w:r w:rsidR="00181AE4">
        <w:t>opyright, patent</w:t>
      </w:r>
      <w:r w:rsidR="009D6C73">
        <w:t>, design or model</w:t>
      </w:r>
      <w:r w:rsidR="006820B1">
        <w:t>, plan, secret formula</w:t>
      </w:r>
      <w:r w:rsidR="00A83E36">
        <w:t xml:space="preserve"> or process, </w:t>
      </w:r>
      <w:proofErr w:type="gramStart"/>
      <w:r w:rsidR="00A83E36">
        <w:t>trade mark</w:t>
      </w:r>
      <w:proofErr w:type="gramEnd"/>
      <w:r w:rsidR="003616E4">
        <w:t xml:space="preserve"> or other like </w:t>
      </w:r>
      <w:r w:rsidR="00D63CE4">
        <w:t>property or right</w:t>
      </w:r>
      <w:r w:rsidR="00655EA1">
        <w:t xml:space="preserve">, as </w:t>
      </w:r>
      <w:r w:rsidR="00900C6F">
        <w:t xml:space="preserve">referred to in </w:t>
      </w:r>
      <w:r w:rsidR="00900C6F" w:rsidRPr="006E18A1">
        <w:t xml:space="preserve">paragraph (a) of the definition </w:t>
      </w:r>
      <w:r w:rsidR="00900C6F">
        <w:t>of ‘royalty’ in subsection 6(1) of the ITAA 1936</w:t>
      </w:r>
      <w:r w:rsidR="005A1541">
        <w:t xml:space="preserve">, as well as any ancillary and subsidiary assistance furnished as a </w:t>
      </w:r>
      <w:r w:rsidR="005A1541">
        <w:lastRenderedPageBreak/>
        <w:t xml:space="preserve">means of enabling the application or enjoyment of any </w:t>
      </w:r>
      <w:r w:rsidR="003D1231">
        <w:t xml:space="preserve">of </w:t>
      </w:r>
      <w:r w:rsidR="00E519FE">
        <w:t>such property o</w:t>
      </w:r>
      <w:r w:rsidR="005A1541">
        <w:t>r right</w:t>
      </w:r>
      <w:r w:rsidR="00900C6F">
        <w:t>;</w:t>
      </w:r>
    </w:p>
    <w:p w14:paraId="1F709A7F" w14:textId="73307387" w:rsidR="0094688E" w:rsidRDefault="0094688E" w:rsidP="00E72142">
      <w:pPr>
        <w:pStyle w:val="Exampledotpoint1"/>
      </w:pPr>
      <w:r>
        <w:t>scientific, technical industrial</w:t>
      </w:r>
      <w:r w:rsidR="00AA6408">
        <w:t xml:space="preserve"> or commercial knowledge</w:t>
      </w:r>
      <w:r w:rsidR="00DF0D87">
        <w:t xml:space="preserve"> or information as referred to in </w:t>
      </w:r>
      <w:r w:rsidR="00DF0D87" w:rsidRPr="006E18A1">
        <w:t>paragraph (</w:t>
      </w:r>
      <w:r w:rsidR="00DF0D87">
        <w:t>c</w:t>
      </w:r>
      <w:r w:rsidR="00DF0D87" w:rsidRPr="006E18A1">
        <w:t xml:space="preserve">) of the definition </w:t>
      </w:r>
      <w:r w:rsidR="00DF0D87">
        <w:t>of ‘royalty’ in subsection 6(1) of the ITAA 1936</w:t>
      </w:r>
      <w:r w:rsidR="00026E99">
        <w:t xml:space="preserve">, as well as any ancillary and subsidiary assistance furnished as a means of enabling the application or enjoyment of any </w:t>
      </w:r>
      <w:r w:rsidR="00A001F9">
        <w:t xml:space="preserve">knowledge or </w:t>
      </w:r>
      <w:proofErr w:type="gramStart"/>
      <w:r w:rsidR="00A001F9">
        <w:t>information</w:t>
      </w:r>
      <w:r w:rsidR="00DF0D87">
        <w:t>;</w:t>
      </w:r>
      <w:proofErr w:type="gramEnd"/>
    </w:p>
    <w:p w14:paraId="5B1E38B7" w14:textId="7ED58D22" w:rsidR="00DF0D87" w:rsidRDefault="00C84EB9" w:rsidP="00E72142">
      <w:pPr>
        <w:pStyle w:val="Exampledotpoint1"/>
      </w:pPr>
      <w:r>
        <w:t xml:space="preserve">visual </w:t>
      </w:r>
      <w:r w:rsidR="002A65A1">
        <w:t>images and/or sounds</w:t>
      </w:r>
      <w:r w:rsidR="009A344C">
        <w:t xml:space="preserve"> </w:t>
      </w:r>
      <w:r w:rsidR="000F1F75">
        <w:t>received</w:t>
      </w:r>
      <w:r w:rsidR="009A344C">
        <w:t>,</w:t>
      </w:r>
      <w:r w:rsidR="000F1F75">
        <w:t xml:space="preserve"> or used in connection with television or radio broadcasting,</w:t>
      </w:r>
      <w:r w:rsidR="00BF7CE2">
        <w:t xml:space="preserve"> </w:t>
      </w:r>
      <w:r w:rsidR="000E2366">
        <w:t xml:space="preserve">that are </w:t>
      </w:r>
      <w:r w:rsidR="00413502">
        <w:t>transmitted to the public</w:t>
      </w:r>
      <w:r w:rsidR="009C71A4">
        <w:t xml:space="preserve"> </w:t>
      </w:r>
      <w:r w:rsidR="003846D4">
        <w:t xml:space="preserve">either </w:t>
      </w:r>
      <w:r w:rsidR="009C71A4">
        <w:t>by sat</w:t>
      </w:r>
      <w:r w:rsidR="008D6630">
        <w:t>el</w:t>
      </w:r>
      <w:r w:rsidR="008E0155">
        <w:t>lite</w:t>
      </w:r>
      <w:r w:rsidR="00AC6443">
        <w:t xml:space="preserve"> or by</w:t>
      </w:r>
      <w:r w:rsidR="001D174E">
        <w:t xml:space="preserve"> cable, optic fibre </w:t>
      </w:r>
      <w:r w:rsidR="007D7B51">
        <w:t>or similar technology</w:t>
      </w:r>
      <w:r w:rsidR="00F91069">
        <w:t xml:space="preserve"> </w:t>
      </w:r>
      <w:r w:rsidR="000E2366">
        <w:t>as referred to in paragraph</w:t>
      </w:r>
      <w:r w:rsidR="007E3C46">
        <w:t>s</w:t>
      </w:r>
      <w:r w:rsidR="00CA449E" w:rsidRPr="006E18A1">
        <w:t xml:space="preserve"> (</w:t>
      </w:r>
      <w:r w:rsidR="00CA449E">
        <w:t>da</w:t>
      </w:r>
      <w:r w:rsidR="00CA449E" w:rsidRPr="006E18A1">
        <w:t>)</w:t>
      </w:r>
      <w:r w:rsidR="007E3C46">
        <w:t xml:space="preserve"> and (</w:t>
      </w:r>
      <w:proofErr w:type="spellStart"/>
      <w:r w:rsidR="007E3C46">
        <w:t>db</w:t>
      </w:r>
      <w:proofErr w:type="spellEnd"/>
      <w:r w:rsidR="007E3C46">
        <w:t>)</w:t>
      </w:r>
      <w:r w:rsidR="00CA449E" w:rsidRPr="006E18A1">
        <w:t xml:space="preserve"> of the definition </w:t>
      </w:r>
      <w:r w:rsidR="00CA449E">
        <w:t>of ‘royalty’ in subsection 6(1) of the ITAA 1936</w:t>
      </w:r>
      <w:proofErr w:type="gramStart"/>
      <w:r w:rsidR="007E3C46">
        <w:t>)</w:t>
      </w:r>
      <w:r w:rsidR="00860538">
        <w:t>;</w:t>
      </w:r>
      <w:proofErr w:type="gramEnd"/>
    </w:p>
    <w:p w14:paraId="468AA3D1" w14:textId="4E8F765C" w:rsidR="00CA449E" w:rsidRDefault="00A54D20" w:rsidP="00E72142">
      <w:pPr>
        <w:pStyle w:val="Exampledotpoint1"/>
      </w:pPr>
      <w:r>
        <w:t>some or all of the part</w:t>
      </w:r>
      <w:r w:rsidR="00D4259E">
        <w:t xml:space="preserve"> of the spectrum</w:t>
      </w:r>
      <w:r w:rsidR="00ED5AC6">
        <w:t xml:space="preserve"> specified in a spectrum</w:t>
      </w:r>
      <w:r w:rsidR="00D4259E">
        <w:t xml:space="preserve"> licence</w:t>
      </w:r>
      <w:r w:rsidR="004612CC">
        <w:t xml:space="preserve"> as referred to in paragraph (dc) of the </w:t>
      </w:r>
      <w:r w:rsidR="004612CC" w:rsidRPr="006E18A1">
        <w:t xml:space="preserve">definition </w:t>
      </w:r>
      <w:r w:rsidR="004612CC">
        <w:t>of ‘royalty’ in subsection 6(1) of the ITAA 1936</w:t>
      </w:r>
      <w:proofErr w:type="gramStart"/>
      <w:r w:rsidR="004612CC">
        <w:t>);</w:t>
      </w:r>
      <w:proofErr w:type="gramEnd"/>
    </w:p>
    <w:p w14:paraId="54DAA9FA" w14:textId="50CA48BC" w:rsidR="00860538" w:rsidRDefault="005943F5" w:rsidP="00E72142">
      <w:pPr>
        <w:pStyle w:val="Exampledotpoint1"/>
      </w:pPr>
      <w:r>
        <w:t>motion pictur</w:t>
      </w:r>
      <w:r w:rsidR="00B823FB">
        <w:t>e films</w:t>
      </w:r>
      <w:r w:rsidR="00ED0B61">
        <w:t xml:space="preserve">, </w:t>
      </w:r>
      <w:proofErr w:type="gramStart"/>
      <w:r w:rsidR="00ED0B61">
        <w:t>f</w:t>
      </w:r>
      <w:r w:rsidR="00914E37">
        <w:t>il</w:t>
      </w:r>
      <w:r w:rsidR="00ED0B61">
        <w:t>ms</w:t>
      </w:r>
      <w:proofErr w:type="gramEnd"/>
      <w:r w:rsidR="00ED0B61">
        <w:t xml:space="preserve"> or video ta</w:t>
      </w:r>
      <w:r w:rsidR="006856AB">
        <w:t xml:space="preserve">pes </w:t>
      </w:r>
      <w:r w:rsidR="00914E37">
        <w:t>for use in connexion with television</w:t>
      </w:r>
      <w:r w:rsidR="00A10566">
        <w:t xml:space="preserve">, </w:t>
      </w:r>
      <w:r w:rsidR="00482C90">
        <w:t xml:space="preserve">or tapes </w:t>
      </w:r>
      <w:r w:rsidR="001A6D08">
        <w:t>used in connexion with radio broadcasting</w:t>
      </w:r>
      <w:r w:rsidR="00314FD2">
        <w:t xml:space="preserve"> as referred to in paragraph (e) of the</w:t>
      </w:r>
      <w:r w:rsidR="00314FD2" w:rsidRPr="00314FD2">
        <w:t xml:space="preserve"> </w:t>
      </w:r>
      <w:r w:rsidR="00314FD2" w:rsidRPr="006E18A1">
        <w:t xml:space="preserve">definition </w:t>
      </w:r>
      <w:r w:rsidR="00314FD2">
        <w:t>of ‘royalty’ in subsection 6(1) of the ITAA 1936)</w:t>
      </w:r>
    </w:p>
    <w:p w14:paraId="74313746" w14:textId="0AD963DA" w:rsidR="00900C6F" w:rsidRDefault="00900C6F" w:rsidP="00900C6F">
      <w:pPr>
        <w:pStyle w:val="Exampledotpoint1"/>
      </w:pPr>
      <w:r>
        <w:t xml:space="preserve">a right in respect of, or an interest in, an </w:t>
      </w:r>
      <w:r w:rsidR="002D1288">
        <w:t xml:space="preserve">intangible </w:t>
      </w:r>
      <w:r>
        <w:t>asset</w:t>
      </w:r>
      <w:r w:rsidR="00705C95">
        <w:t xml:space="preserve"> </w:t>
      </w:r>
      <w:r w:rsidR="002C67ED">
        <w:t xml:space="preserve">(such as a licence </w:t>
      </w:r>
      <w:r w:rsidR="00340CAE">
        <w:t xml:space="preserve">or right </w:t>
      </w:r>
      <w:r w:rsidR="002C67ED">
        <w:t xml:space="preserve">in respect of </w:t>
      </w:r>
      <w:r w:rsidR="003F3B44">
        <w:t>a copyright or</w:t>
      </w:r>
      <w:r w:rsidR="00156CE1">
        <w:t xml:space="preserve"> </w:t>
      </w:r>
      <w:r w:rsidR="00557F25">
        <w:t>secret formula)</w:t>
      </w:r>
      <w:r>
        <w:t>; and</w:t>
      </w:r>
    </w:p>
    <w:p w14:paraId="1F225BDD" w14:textId="78AD83E3" w:rsidR="00900C6F" w:rsidRDefault="00900C6F" w:rsidP="00900C6F">
      <w:pPr>
        <w:pStyle w:val="Exampledotpoint1"/>
      </w:pPr>
      <w:r>
        <w:t>any</w:t>
      </w:r>
      <w:r w:rsidR="0006077D">
        <w:t>thing</w:t>
      </w:r>
      <w:r>
        <w:t xml:space="preserve"> prescribed by the regulations.</w:t>
      </w:r>
      <w:r>
        <w:br/>
      </w:r>
      <w:r w:rsidRPr="007467C6">
        <w:rPr>
          <w:rStyle w:val="References"/>
        </w:rPr>
        <w:t>[Schedule xx, item</w:t>
      </w:r>
      <w:r>
        <w:rPr>
          <w:rStyle w:val="References"/>
        </w:rPr>
        <w:t xml:space="preserve"> 2</w:t>
      </w:r>
      <w:r w:rsidRPr="007467C6">
        <w:rPr>
          <w:rStyle w:val="References"/>
        </w:rPr>
        <w:t xml:space="preserve">, </w:t>
      </w:r>
      <w:r>
        <w:rPr>
          <w:rStyle w:val="References"/>
        </w:rPr>
        <w:t>subsection 26-110(</w:t>
      </w:r>
      <w:r w:rsidR="00AF469F">
        <w:rPr>
          <w:rStyle w:val="References"/>
        </w:rPr>
        <w:t>6</w:t>
      </w:r>
      <w:r>
        <w:rPr>
          <w:rStyle w:val="References"/>
        </w:rPr>
        <w:t>) of the ITAA 1997</w:t>
      </w:r>
      <w:r w:rsidRPr="007467C6">
        <w:rPr>
          <w:rStyle w:val="References"/>
        </w:rPr>
        <w:t xml:space="preserve">] </w:t>
      </w:r>
    </w:p>
    <w:p w14:paraId="042AE243" w14:textId="6AFA0B38" w:rsidR="00900C6F" w:rsidRDefault="008812DB" w:rsidP="00900C6F">
      <w:pPr>
        <w:pStyle w:val="Normalparatextwithnumbers"/>
        <w:numPr>
          <w:ilvl w:val="1"/>
          <w:numId w:val="23"/>
        </w:numPr>
      </w:pPr>
      <w:r>
        <w:t xml:space="preserve">This clarifies that these amendments are intended to apply to each of </w:t>
      </w:r>
      <w:r w:rsidR="005D6EE6">
        <w:t xml:space="preserve">these </w:t>
      </w:r>
      <w:r w:rsidR="00D33D57">
        <w:t xml:space="preserve">items </w:t>
      </w:r>
      <w:r w:rsidR="005D6EE6">
        <w:t>which are mentioned in t</w:t>
      </w:r>
      <w:r w:rsidR="00F23E9D">
        <w:t>he definition of ‘royalty’ in subsection</w:t>
      </w:r>
      <w:r w:rsidR="00850B69">
        <w:t> </w:t>
      </w:r>
      <w:r w:rsidR="00F23E9D">
        <w:t>6(1) of the ITAA 1936</w:t>
      </w:r>
      <w:r w:rsidR="00850B69">
        <w:t>. However, p</w:t>
      </w:r>
      <w:r w:rsidR="000A175E">
        <w:t>aragraph (d) of th</w:t>
      </w:r>
      <w:r w:rsidR="00850B69">
        <w:t>at</w:t>
      </w:r>
      <w:r w:rsidR="000A175E">
        <w:t xml:space="preserve"> definition of </w:t>
      </w:r>
      <w:r w:rsidR="00677657">
        <w:t>‘royalty’</w:t>
      </w:r>
      <w:r w:rsidR="00677657" w:rsidDel="00850B69">
        <w:t xml:space="preserve"> </w:t>
      </w:r>
      <w:r w:rsidR="00677657">
        <w:t>refers to certain ancillary and subsidiary assistance that</w:t>
      </w:r>
      <w:r w:rsidR="00A822F4">
        <w:t xml:space="preserve"> enables </w:t>
      </w:r>
      <w:r w:rsidR="0006758A">
        <w:t xml:space="preserve">the application or enjoyment of other things listed in </w:t>
      </w:r>
      <w:r w:rsidR="00C91C0B">
        <w:t xml:space="preserve">paragraphs (a), (b) and </w:t>
      </w:r>
      <w:r w:rsidR="00C753E5">
        <w:t>(c) of</w:t>
      </w:r>
      <w:r w:rsidR="00C91C0B">
        <w:t xml:space="preserve"> </w:t>
      </w:r>
      <w:r w:rsidR="0006758A">
        <w:t>that definition.</w:t>
      </w:r>
      <w:r w:rsidR="00677657">
        <w:t xml:space="preserve"> </w:t>
      </w:r>
      <w:r w:rsidR="00900C6F">
        <w:t>The reference to ‘paragraph (b)’ in paragraph (d) is disregarded for the purposes of determining how this anti</w:t>
      </w:r>
      <w:r w:rsidR="0069293D">
        <w:noBreakHyphen/>
      </w:r>
      <w:r w:rsidR="00900C6F">
        <w:t>avoidance rule applies because paragraph (b) refers to tangible assets that are not in scope</w:t>
      </w:r>
      <w:r w:rsidR="005946D7">
        <w:t xml:space="preserve"> consistent with the operation of the other exceptions</w:t>
      </w:r>
      <w:r w:rsidR="00900C6F">
        <w:t>.</w:t>
      </w:r>
      <w:r w:rsidR="00900C6F">
        <w:br/>
      </w:r>
      <w:r w:rsidR="00900C6F" w:rsidRPr="003A0890">
        <w:rPr>
          <w:rStyle w:val="References"/>
        </w:rPr>
        <w:t>[Schedule xx, item</w:t>
      </w:r>
      <w:r w:rsidR="00900C6F">
        <w:rPr>
          <w:rStyle w:val="References"/>
        </w:rPr>
        <w:t xml:space="preserve"> 2</w:t>
      </w:r>
      <w:r w:rsidR="00900C6F" w:rsidRPr="003A0890">
        <w:rPr>
          <w:rStyle w:val="References"/>
        </w:rPr>
        <w:t xml:space="preserve">, </w:t>
      </w:r>
      <w:r w:rsidR="00900C6F">
        <w:rPr>
          <w:rStyle w:val="References"/>
        </w:rPr>
        <w:t>paragraph 26-110(</w:t>
      </w:r>
      <w:r w:rsidR="00AB38C4">
        <w:rPr>
          <w:rStyle w:val="References"/>
        </w:rPr>
        <w:t>6</w:t>
      </w:r>
      <w:r w:rsidR="00900C6F">
        <w:rPr>
          <w:rStyle w:val="References"/>
        </w:rPr>
        <w:t>)(</w:t>
      </w:r>
      <w:r w:rsidR="00146776">
        <w:rPr>
          <w:rStyle w:val="References"/>
        </w:rPr>
        <w:t>b</w:t>
      </w:r>
      <w:r w:rsidR="00900C6F" w:rsidDel="00146776">
        <w:rPr>
          <w:rStyle w:val="References"/>
        </w:rPr>
        <w:t xml:space="preserve">) </w:t>
      </w:r>
      <w:r w:rsidR="00900C6F">
        <w:rPr>
          <w:rStyle w:val="References"/>
        </w:rPr>
        <w:t>of the ITAA 1997</w:t>
      </w:r>
      <w:r w:rsidR="00900C6F" w:rsidRPr="003A0890">
        <w:rPr>
          <w:rStyle w:val="References"/>
        </w:rPr>
        <w:t xml:space="preserve">] </w:t>
      </w:r>
    </w:p>
    <w:p w14:paraId="616C42CA" w14:textId="5659EDCC" w:rsidR="00900C6F" w:rsidRDefault="00900C6F" w:rsidP="00900C6F">
      <w:pPr>
        <w:pStyle w:val="Normalparatextwithnumbers"/>
        <w:numPr>
          <w:ilvl w:val="1"/>
          <w:numId w:val="23"/>
        </w:numPr>
      </w:pPr>
      <w:r>
        <w:t>For the avoidance of doubt, the above listed assets are specified as falling within the operation of the</w:t>
      </w:r>
      <w:r w:rsidR="00574927">
        <w:t>se</w:t>
      </w:r>
      <w:r>
        <w:t xml:space="preserve"> amendments, </w:t>
      </w:r>
      <w:proofErr w:type="gramStart"/>
      <w:r>
        <w:t>whether or not</w:t>
      </w:r>
      <w:proofErr w:type="gramEnd"/>
      <w:r>
        <w:t xml:space="preserve"> they are already captured within the ordinary meaning of ‘intangible asset’, such as:</w:t>
      </w:r>
    </w:p>
    <w:p w14:paraId="114B3B8B" w14:textId="41EA0160" w:rsidR="00900C6F" w:rsidRDefault="005F0B2A" w:rsidP="00900C6F">
      <w:pPr>
        <w:pStyle w:val="Exampledotpoint1"/>
      </w:pPr>
      <w:r>
        <w:t>i</w:t>
      </w:r>
      <w:r w:rsidR="00900C6F">
        <w:t>ntellectual property</w:t>
      </w:r>
    </w:p>
    <w:p w14:paraId="0E37F627" w14:textId="49439E36" w:rsidR="00900C6F" w:rsidRDefault="005F0B2A" w:rsidP="00900C6F">
      <w:pPr>
        <w:pStyle w:val="Exampledotpoint1"/>
      </w:pPr>
      <w:r>
        <w:t>c</w:t>
      </w:r>
      <w:r w:rsidR="00900C6F">
        <w:t>opyright</w:t>
      </w:r>
    </w:p>
    <w:p w14:paraId="13EAE18E" w14:textId="42194B65" w:rsidR="00900C6F" w:rsidRDefault="005F0B2A" w:rsidP="00900C6F">
      <w:pPr>
        <w:pStyle w:val="Exampledotpoint1"/>
      </w:pPr>
      <w:r>
        <w:lastRenderedPageBreak/>
        <w:t>a</w:t>
      </w:r>
      <w:r w:rsidR="00900C6F">
        <w:t>ccess to customer databases</w:t>
      </w:r>
    </w:p>
    <w:p w14:paraId="34DBBE95" w14:textId="5F6E29FF" w:rsidR="00900C6F" w:rsidRDefault="005F0B2A" w:rsidP="00900C6F">
      <w:pPr>
        <w:pStyle w:val="Exampledotpoint1"/>
      </w:pPr>
      <w:r>
        <w:t>a</w:t>
      </w:r>
      <w:r w:rsidR="00900C6F">
        <w:t>lgorithms</w:t>
      </w:r>
    </w:p>
    <w:p w14:paraId="6D2B243B" w14:textId="67004ACF" w:rsidR="00900C6F" w:rsidRDefault="005F0B2A" w:rsidP="00900C6F">
      <w:pPr>
        <w:pStyle w:val="Exampledotpoint1"/>
      </w:pPr>
      <w:r>
        <w:t>s</w:t>
      </w:r>
      <w:r w:rsidR="00900C6F">
        <w:t xml:space="preserve">oftware </w:t>
      </w:r>
      <w:r w:rsidR="00D84F31">
        <w:t>l</w:t>
      </w:r>
      <w:r w:rsidR="00900C6F">
        <w:t>icences</w:t>
      </w:r>
    </w:p>
    <w:p w14:paraId="2B19DDED" w14:textId="6B6FE83D" w:rsidR="00900C6F" w:rsidRDefault="005F0B2A" w:rsidP="00900C6F">
      <w:pPr>
        <w:pStyle w:val="Exampledotpoint1"/>
      </w:pPr>
      <w:r>
        <w:t>l</w:t>
      </w:r>
      <w:r w:rsidR="00900C6F">
        <w:t>icences</w:t>
      </w:r>
    </w:p>
    <w:p w14:paraId="1A63958E" w14:textId="3F2D55CF" w:rsidR="00900C6F" w:rsidRDefault="005F0B2A" w:rsidP="00900C6F">
      <w:pPr>
        <w:pStyle w:val="Exampledotpoint1"/>
      </w:pPr>
      <w:r>
        <w:t>t</w:t>
      </w:r>
      <w:r w:rsidR="00900C6F">
        <w:t>rademarks</w:t>
      </w:r>
    </w:p>
    <w:p w14:paraId="796D34DC" w14:textId="4941C489" w:rsidR="00900C6F" w:rsidRDefault="005F0B2A" w:rsidP="00900C6F">
      <w:pPr>
        <w:pStyle w:val="Exampledotpoint1"/>
      </w:pPr>
      <w:r>
        <w:t>p</w:t>
      </w:r>
      <w:r w:rsidR="00900C6F">
        <w:t>atents</w:t>
      </w:r>
    </w:p>
    <w:p w14:paraId="6D91D8AD" w14:textId="585846CF" w:rsidR="00900C6F" w:rsidRDefault="005F0B2A" w:rsidP="00900C6F">
      <w:pPr>
        <w:pStyle w:val="Exampledotpoint1"/>
      </w:pPr>
      <w:r>
        <w:t>l</w:t>
      </w:r>
      <w:r w:rsidR="00900C6F">
        <w:t xml:space="preserve">eases, </w:t>
      </w:r>
      <w:proofErr w:type="gramStart"/>
      <w:r w:rsidR="00900C6F">
        <w:t>licences</w:t>
      </w:r>
      <w:proofErr w:type="gramEnd"/>
      <w:r w:rsidR="00900C6F">
        <w:t xml:space="preserve"> or other rights over</w:t>
      </w:r>
      <w:r w:rsidR="00936CC7">
        <w:t xml:space="preserve"> intangible</w:t>
      </w:r>
      <w:r w:rsidR="00900C6F">
        <w:t xml:space="preserve"> assets.</w:t>
      </w:r>
    </w:p>
    <w:p w14:paraId="1819DAFA" w14:textId="51B47D18" w:rsidR="00900C6F" w:rsidRPr="004E4B1E" w:rsidRDefault="00900C6F" w:rsidP="00900C6F">
      <w:pPr>
        <w:pStyle w:val="Normalparatextwithnumbers"/>
      </w:pPr>
      <w:r>
        <w:t>Given the evolving nature of intangible assets, these amendments include a r</w:t>
      </w:r>
      <w:r w:rsidRPr="004E4B1E">
        <w:t>egulation-making power to provide for the ability to</w:t>
      </w:r>
      <w:r>
        <w:t xml:space="preserve"> prescribe new assets to which the section applies. This </w:t>
      </w:r>
      <w:r w:rsidRPr="004E4B1E">
        <w:t>allow</w:t>
      </w:r>
      <w:r>
        <w:t>s</w:t>
      </w:r>
      <w:r w:rsidRPr="004E4B1E">
        <w:t xml:space="preserve"> the </w:t>
      </w:r>
      <w:r>
        <w:t>G</w:t>
      </w:r>
      <w:r w:rsidRPr="004E4B1E">
        <w:t>overnment to make timely changes to the regime</w:t>
      </w:r>
      <w:r>
        <w:t xml:space="preserve">. </w:t>
      </w:r>
      <w:r w:rsidRPr="004E4B1E">
        <w:t>The regulations would be subject to parliamentary scrutiny, including disallowance and sunset</w:t>
      </w:r>
      <w:r>
        <w:t>ting</w:t>
      </w:r>
      <w:r w:rsidRPr="004E4B1E">
        <w:t xml:space="preserve"> after </w:t>
      </w:r>
      <w:r>
        <w:t xml:space="preserve">10 </w:t>
      </w:r>
      <w:r w:rsidRPr="004E4B1E">
        <w:t>years.</w:t>
      </w:r>
      <w:r>
        <w:br/>
      </w:r>
      <w:r w:rsidRPr="00C82F51">
        <w:rPr>
          <w:rStyle w:val="References"/>
        </w:rPr>
        <w:t>[Schedule xx, item</w:t>
      </w:r>
      <w:r>
        <w:rPr>
          <w:rStyle w:val="References"/>
        </w:rPr>
        <w:t xml:space="preserve"> 2</w:t>
      </w:r>
      <w:r w:rsidRPr="00C82F51">
        <w:rPr>
          <w:rStyle w:val="References"/>
        </w:rPr>
        <w:t>, p</w:t>
      </w:r>
      <w:r>
        <w:rPr>
          <w:rStyle w:val="References"/>
        </w:rPr>
        <w:t>aragraph 26-110(</w:t>
      </w:r>
      <w:r w:rsidR="00285DF8">
        <w:rPr>
          <w:rStyle w:val="References"/>
        </w:rPr>
        <w:t>6</w:t>
      </w:r>
      <w:r>
        <w:rPr>
          <w:rStyle w:val="References"/>
        </w:rPr>
        <w:t>)(</w:t>
      </w:r>
      <w:r w:rsidR="003635F6">
        <w:rPr>
          <w:rStyle w:val="References"/>
        </w:rPr>
        <w:t>d</w:t>
      </w:r>
      <w:r>
        <w:rPr>
          <w:rStyle w:val="References"/>
        </w:rPr>
        <w:t>) of the ITAA 1997</w:t>
      </w:r>
      <w:r w:rsidRPr="00C82F51">
        <w:rPr>
          <w:rStyle w:val="References"/>
        </w:rPr>
        <w:t xml:space="preserve">] </w:t>
      </w:r>
    </w:p>
    <w:p w14:paraId="32F268A9" w14:textId="3732882B" w:rsidR="00900C6F" w:rsidRPr="001E6A9C" w:rsidRDefault="00900C6F" w:rsidP="00900C6F">
      <w:pPr>
        <w:pStyle w:val="Normalparatextwithnumbers"/>
      </w:pPr>
      <w:r>
        <w:t xml:space="preserve">These amendments do not apply to tangible assets, interests in land or </w:t>
      </w:r>
      <w:r w:rsidR="00570399">
        <w:t xml:space="preserve">certain </w:t>
      </w:r>
      <w:r>
        <w:t>financial arrangements. This is because these types of assets are less mobile or are subject to other regulatory frameworks. The assets this measure does not apply to are:</w:t>
      </w:r>
    </w:p>
    <w:p w14:paraId="18A5EBF2" w14:textId="289E980A" w:rsidR="00900C6F" w:rsidRPr="001E6A9C" w:rsidRDefault="00570399" w:rsidP="00900C6F">
      <w:pPr>
        <w:pStyle w:val="Exampledotpoint1"/>
      </w:pPr>
      <w:r>
        <w:t>a</w:t>
      </w:r>
      <w:r w:rsidR="00900C6F">
        <w:t xml:space="preserve"> right in respect of, or an interest in, a tangible asset</w:t>
      </w:r>
      <w:r w:rsidR="008023F4">
        <w:t xml:space="preserve"> (such as </w:t>
      </w:r>
      <w:r w:rsidR="00C07C5D">
        <w:t>a right to use a piece of industrial equipment under a hire agreement</w:t>
      </w:r>
      <w:r w:rsidR="00D86710">
        <w:t xml:space="preserve"> or a right to extract minerals</w:t>
      </w:r>
      <w:r w:rsidR="007C25E6">
        <w:t xml:space="preserve"> from the earth</w:t>
      </w:r>
      <w:proofErr w:type="gramStart"/>
      <w:r w:rsidR="00C07C5D">
        <w:t>)</w:t>
      </w:r>
      <w:r w:rsidR="00121771">
        <w:t>;</w:t>
      </w:r>
      <w:proofErr w:type="gramEnd"/>
    </w:p>
    <w:p w14:paraId="6FD81A8A" w14:textId="400BC02A" w:rsidR="00900C6F" w:rsidRDefault="00900C6F" w:rsidP="00542D5A">
      <w:pPr>
        <w:pStyle w:val="Exampledotpoint1"/>
      </w:pPr>
      <w:r>
        <w:t>an estate, interest or right in or over land</w:t>
      </w:r>
      <w:r w:rsidR="00542D5A">
        <w:t xml:space="preserve"> or a right in respect of such an estate, interest or right;</w:t>
      </w:r>
      <w:r w:rsidR="00DD42B2">
        <w:t xml:space="preserve"> (such as a lease over real property</w:t>
      </w:r>
      <w:r w:rsidR="00A32F01">
        <w:t>)</w:t>
      </w:r>
      <w:r w:rsidR="00DD42B2">
        <w:t xml:space="preserve"> </w:t>
      </w:r>
    </w:p>
    <w:p w14:paraId="507F0CA1" w14:textId="58A242B1" w:rsidR="00900C6F" w:rsidRDefault="00900C6F" w:rsidP="00900C6F">
      <w:pPr>
        <w:pStyle w:val="Exampledotpoint1"/>
      </w:pPr>
      <w:r>
        <w:t>a financial arrangement where</w:t>
      </w:r>
      <w:r w:rsidR="00057B28">
        <w:t xml:space="preserve"> the</w:t>
      </w:r>
      <w:r>
        <w:t xml:space="preserve"> T</w:t>
      </w:r>
      <w:r w:rsidR="00057B28">
        <w:t xml:space="preserve">axation of Financial </w:t>
      </w:r>
      <w:r w:rsidR="00027832">
        <w:t>Arrangement (</w:t>
      </w:r>
      <w:proofErr w:type="spellStart"/>
      <w:r w:rsidR="00027832">
        <w:t>ToFA</w:t>
      </w:r>
      <w:proofErr w:type="spellEnd"/>
      <w:r w:rsidR="00027832">
        <w:t>) regime under Division 230</w:t>
      </w:r>
      <w:r w:rsidR="008A4BB0">
        <w:t xml:space="preserve"> of the ITAA 1997</w:t>
      </w:r>
      <w:r w:rsidR="00027832">
        <w:t xml:space="preserve"> </w:t>
      </w:r>
      <w:r>
        <w:t xml:space="preserve">applies </w:t>
      </w:r>
      <w:r w:rsidR="00E92C54">
        <w:t xml:space="preserve">in relation </w:t>
      </w:r>
      <w:r>
        <w:t>to the gains and losses from that financial arrangement</w:t>
      </w:r>
      <w:r w:rsidR="000D7BE5">
        <w:t xml:space="preserve"> (such as </w:t>
      </w:r>
      <w:r w:rsidR="005641FA">
        <w:t>a</w:t>
      </w:r>
      <w:r w:rsidR="00BC7741">
        <w:t xml:space="preserve"> derivative </w:t>
      </w:r>
      <w:r w:rsidR="00057B28">
        <w:t xml:space="preserve">where the gains and losses are brought to account under </w:t>
      </w:r>
      <w:r w:rsidR="009B3C8C">
        <w:t xml:space="preserve">the </w:t>
      </w:r>
      <w:proofErr w:type="spellStart"/>
      <w:r w:rsidR="00057B28">
        <w:t>ToFA</w:t>
      </w:r>
      <w:proofErr w:type="spellEnd"/>
      <w:r w:rsidR="009B3C8C">
        <w:t xml:space="preserve"> regime</w:t>
      </w:r>
      <w:proofErr w:type="gramStart"/>
      <w:r w:rsidR="009B3C8C">
        <w:t>);</w:t>
      </w:r>
      <w:proofErr w:type="gramEnd"/>
      <w:r w:rsidR="00057B28">
        <w:t xml:space="preserve"> </w:t>
      </w:r>
    </w:p>
    <w:p w14:paraId="54C632E4" w14:textId="4AA5E514" w:rsidR="00B41599" w:rsidRDefault="000E7679" w:rsidP="00900C6F">
      <w:pPr>
        <w:pStyle w:val="Exampledotpoint1"/>
      </w:pPr>
      <w:r>
        <w:t xml:space="preserve">an equity interest </w:t>
      </w:r>
      <w:r w:rsidR="001A5DE7">
        <w:t xml:space="preserve">or a right or obligation in respect of an equity interest, </w:t>
      </w:r>
      <w:r>
        <w:t>that is</w:t>
      </w:r>
      <w:r w:rsidR="00772341">
        <w:t xml:space="preserve"> a financial arrangement</w:t>
      </w:r>
      <w:r w:rsidR="00704188">
        <w:t xml:space="preserve">, as referred to in </w:t>
      </w:r>
      <w:r w:rsidR="00772341">
        <w:t xml:space="preserve">section 230-50 </w:t>
      </w:r>
      <w:r w:rsidR="00BF278E">
        <w:t>of the ITAA 1997</w:t>
      </w:r>
      <w:r w:rsidR="008A1618">
        <w:t>,</w:t>
      </w:r>
      <w:r w:rsidR="00BF278E">
        <w:t xml:space="preserve"> </w:t>
      </w:r>
      <w:r w:rsidR="0058259F">
        <w:t xml:space="preserve">for which </w:t>
      </w:r>
      <w:r w:rsidR="00704188">
        <w:t>the gains and losses</w:t>
      </w:r>
      <w:r w:rsidR="0058259F">
        <w:t xml:space="preserve"> are not </w:t>
      </w:r>
      <w:r w:rsidR="004734B5">
        <w:t xml:space="preserve">brought to account under the </w:t>
      </w:r>
      <w:proofErr w:type="spellStart"/>
      <w:r w:rsidR="004734B5">
        <w:t>ToFA</w:t>
      </w:r>
      <w:proofErr w:type="spellEnd"/>
      <w:r w:rsidR="004734B5">
        <w:t xml:space="preserve"> regime</w:t>
      </w:r>
      <w:r w:rsidR="00531EE2">
        <w:t xml:space="preserve"> (t</w:t>
      </w:r>
      <w:r w:rsidR="00D7606D">
        <w:t xml:space="preserve">his ensures </w:t>
      </w:r>
      <w:r w:rsidR="00531EE2">
        <w:t xml:space="preserve">such </w:t>
      </w:r>
      <w:r w:rsidR="00415D61">
        <w:t>equity interests are carved out</w:t>
      </w:r>
      <w:r w:rsidR="0049644E">
        <w:t xml:space="preserve"> regardless of the </w:t>
      </w:r>
      <w:proofErr w:type="spellStart"/>
      <w:r w:rsidR="00553794">
        <w:t>ToFA</w:t>
      </w:r>
      <w:proofErr w:type="spellEnd"/>
      <w:r w:rsidR="00553794">
        <w:t xml:space="preserve"> </w:t>
      </w:r>
      <w:r w:rsidR="0049644E">
        <w:t>election a taxpayer has made</w:t>
      </w:r>
      <w:proofErr w:type="gramStart"/>
      <w:r w:rsidR="00553794">
        <w:t>);</w:t>
      </w:r>
      <w:proofErr w:type="gramEnd"/>
    </w:p>
    <w:p w14:paraId="0CFE4DBA" w14:textId="77777777" w:rsidR="001E210C" w:rsidRDefault="00900C6F" w:rsidP="00900C6F">
      <w:pPr>
        <w:pStyle w:val="Exampledotpoint1"/>
      </w:pPr>
      <w:r>
        <w:t xml:space="preserve">a right in respect of, or an interest in, an intangible asset that is already covered by any of the </w:t>
      </w:r>
      <w:proofErr w:type="gramStart"/>
      <w:r>
        <w:t>above</w:t>
      </w:r>
      <w:r w:rsidR="001E210C">
        <w:t>;</w:t>
      </w:r>
      <w:proofErr w:type="gramEnd"/>
    </w:p>
    <w:p w14:paraId="351456ED" w14:textId="215C41DC" w:rsidR="00900C6F" w:rsidRPr="001E6A9C" w:rsidRDefault="00CB24F4" w:rsidP="00900C6F">
      <w:pPr>
        <w:pStyle w:val="Exampledotpoint1"/>
      </w:pPr>
      <w:r>
        <w:t>anything prescribed by the regulations</w:t>
      </w:r>
      <w:r w:rsidR="00900C6F">
        <w:t>.</w:t>
      </w:r>
      <w:r w:rsidR="00900C6F">
        <w:br/>
      </w:r>
      <w:r w:rsidR="00900C6F" w:rsidRPr="00B47235">
        <w:rPr>
          <w:rStyle w:val="References"/>
        </w:rPr>
        <w:t>[Schedule xx, item</w:t>
      </w:r>
      <w:r w:rsidR="00900C6F">
        <w:rPr>
          <w:rStyle w:val="References"/>
        </w:rPr>
        <w:t xml:space="preserve"> 2</w:t>
      </w:r>
      <w:r w:rsidR="00900C6F" w:rsidRPr="00B47235">
        <w:rPr>
          <w:rStyle w:val="References"/>
        </w:rPr>
        <w:t>,</w:t>
      </w:r>
      <w:r w:rsidR="00900C6F">
        <w:rPr>
          <w:rStyle w:val="References"/>
        </w:rPr>
        <w:t xml:space="preserve"> </w:t>
      </w:r>
      <w:r w:rsidR="00A7349A">
        <w:rPr>
          <w:rStyle w:val="References"/>
        </w:rPr>
        <w:t>par</w:t>
      </w:r>
      <w:r w:rsidR="00291201">
        <w:rPr>
          <w:rStyle w:val="References"/>
        </w:rPr>
        <w:t>a</w:t>
      </w:r>
      <w:r w:rsidR="00A7349A">
        <w:rPr>
          <w:rStyle w:val="References"/>
        </w:rPr>
        <w:t xml:space="preserve">graphs </w:t>
      </w:r>
      <w:r w:rsidR="00900C6F">
        <w:rPr>
          <w:rStyle w:val="References"/>
        </w:rPr>
        <w:t>26</w:t>
      </w:r>
      <w:r w:rsidR="00291201">
        <w:rPr>
          <w:rStyle w:val="References"/>
        </w:rPr>
        <w:noBreakHyphen/>
      </w:r>
      <w:r w:rsidR="00900C6F">
        <w:rPr>
          <w:rStyle w:val="References"/>
        </w:rPr>
        <w:t>110(</w:t>
      </w:r>
      <w:r w:rsidR="003635F6">
        <w:rPr>
          <w:rStyle w:val="References"/>
        </w:rPr>
        <w:t>7</w:t>
      </w:r>
      <w:r w:rsidR="00900C6F">
        <w:rPr>
          <w:rStyle w:val="References"/>
        </w:rPr>
        <w:t>)</w:t>
      </w:r>
      <w:r w:rsidR="00A7349A">
        <w:rPr>
          <w:rStyle w:val="References"/>
        </w:rPr>
        <w:t xml:space="preserve">(a) to </w:t>
      </w:r>
      <w:r w:rsidR="00291201">
        <w:rPr>
          <w:rStyle w:val="References"/>
        </w:rPr>
        <w:t>(</w:t>
      </w:r>
      <w:r w:rsidR="003635F6">
        <w:rPr>
          <w:rStyle w:val="References"/>
        </w:rPr>
        <w:t>f</w:t>
      </w:r>
      <w:r w:rsidR="00291201">
        <w:rPr>
          <w:rStyle w:val="References"/>
        </w:rPr>
        <w:t>)</w:t>
      </w:r>
      <w:r w:rsidR="00900C6F">
        <w:rPr>
          <w:rStyle w:val="References"/>
        </w:rPr>
        <w:t xml:space="preserve"> of the ITAA 1997</w:t>
      </w:r>
      <w:r w:rsidR="00900C6F" w:rsidRPr="00B47235">
        <w:rPr>
          <w:rStyle w:val="References"/>
        </w:rPr>
        <w:t xml:space="preserve">] </w:t>
      </w:r>
    </w:p>
    <w:p w14:paraId="6857A527" w14:textId="246BFB6B" w:rsidR="00900C6F" w:rsidRDefault="00900C6F" w:rsidP="00900C6F">
      <w:pPr>
        <w:pStyle w:val="Normalparatextwithnumbers"/>
      </w:pPr>
      <w:r>
        <w:lastRenderedPageBreak/>
        <w:t xml:space="preserve">It is not intended for this anti-avoidance rule to inappropriately apply to </w:t>
      </w:r>
      <w:r w:rsidR="002A7EC8">
        <w:t xml:space="preserve">the extent </w:t>
      </w:r>
      <w:r w:rsidR="00CE3AFE">
        <w:t xml:space="preserve">that a </w:t>
      </w:r>
      <w:r>
        <w:t>genuine supply and distribution arrangement between associates</w:t>
      </w:r>
      <w:r w:rsidR="00F50F59">
        <w:t xml:space="preserve"> is attributable to any of the items listed above</w:t>
      </w:r>
      <w:r>
        <w:t xml:space="preserve">. For example, </w:t>
      </w:r>
      <w:r w:rsidR="00E06265">
        <w:t xml:space="preserve">where </w:t>
      </w:r>
      <w:proofErr w:type="spellStart"/>
      <w:proofErr w:type="gramStart"/>
      <w:r>
        <w:t>trade</w:t>
      </w:r>
      <w:r w:rsidR="00477912">
        <w:t xml:space="preserve"> </w:t>
      </w:r>
      <w:r>
        <w:t>marks</w:t>
      </w:r>
      <w:proofErr w:type="spellEnd"/>
      <w:proofErr w:type="gramEnd"/>
      <w:r>
        <w:t xml:space="preserve"> </w:t>
      </w:r>
      <w:r w:rsidR="00E06265">
        <w:t xml:space="preserve">are </w:t>
      </w:r>
      <w:r>
        <w:t>printed on finished goods that are marketed and sold by an SGE to customers,</w:t>
      </w:r>
      <w:r w:rsidR="00624DFD">
        <w:t xml:space="preserve"> this provision will not deny a deduction to</w:t>
      </w:r>
      <w:r w:rsidR="00C621F9">
        <w:t xml:space="preserve"> </w:t>
      </w:r>
      <w:r w:rsidR="006D44EC">
        <w:t>the</w:t>
      </w:r>
      <w:r w:rsidR="00A415EC">
        <w:t xml:space="preserve"> extent that the</w:t>
      </w:r>
      <w:r w:rsidR="006D44EC">
        <w:t xml:space="preserve"> payment</w:t>
      </w:r>
      <w:r w:rsidR="00A415EC">
        <w:t xml:space="preserve"> </w:t>
      </w:r>
      <w:r w:rsidR="00266815">
        <w:t>m</w:t>
      </w:r>
      <w:r w:rsidR="00A5764F">
        <w:t>a</w:t>
      </w:r>
      <w:r w:rsidR="00266815">
        <w:t xml:space="preserve">de by the SGE to an associate </w:t>
      </w:r>
      <w:r w:rsidR="00A415EC">
        <w:t>is</w:t>
      </w:r>
      <w:r w:rsidR="006D44EC">
        <w:t xml:space="preserve"> </w:t>
      </w:r>
      <w:r w:rsidR="00413B8A">
        <w:t xml:space="preserve">genuinely </w:t>
      </w:r>
      <w:r w:rsidR="006D44EC">
        <w:t>attributed to</w:t>
      </w:r>
      <w:r w:rsidR="00A415EC">
        <w:t xml:space="preserve"> </w:t>
      </w:r>
      <w:r w:rsidR="00266815">
        <w:t xml:space="preserve">the </w:t>
      </w:r>
      <w:r w:rsidR="00A415EC">
        <w:t>good and not the trade</w:t>
      </w:r>
      <w:r w:rsidR="00A10C1D">
        <w:t xml:space="preserve"> </w:t>
      </w:r>
      <w:r w:rsidR="00A415EC">
        <w:t>mark</w:t>
      </w:r>
      <w:r w:rsidR="006C2159">
        <w:t xml:space="preserve">. </w:t>
      </w:r>
      <w:r>
        <w:t>To ensure these arrangements are not inappropriately caught, the provisions</w:t>
      </w:r>
      <w:r w:rsidR="00DD2499">
        <w:t xml:space="preserve"> allow a payment to be apportioned</w:t>
      </w:r>
      <w:r w:rsidR="00117295">
        <w:t xml:space="preserve"> so that</w:t>
      </w:r>
      <w:r>
        <w:t xml:space="preserve"> the section </w:t>
      </w:r>
      <w:r w:rsidR="00117295">
        <w:t xml:space="preserve">is precluded </w:t>
      </w:r>
      <w:r>
        <w:t>from applying in relation to an intangible asset that is</w:t>
      </w:r>
      <w:r w:rsidRPr="00A24E18">
        <w:t xml:space="preserve"> </w:t>
      </w:r>
      <w:r>
        <w:t>a right in respect of, or an interest in:</w:t>
      </w:r>
    </w:p>
    <w:p w14:paraId="0567A7F5" w14:textId="77777777" w:rsidR="00900C6F" w:rsidRDefault="00900C6F" w:rsidP="00900C6F">
      <w:pPr>
        <w:pStyle w:val="Exampledotpoint1"/>
      </w:pPr>
      <w:r>
        <w:t>a tangible asset; or</w:t>
      </w:r>
    </w:p>
    <w:p w14:paraId="6439CD44" w14:textId="7608C569" w:rsidR="00900C6F" w:rsidRDefault="00900C6F" w:rsidP="00900C6F">
      <w:pPr>
        <w:pStyle w:val="Exampledotpoint1"/>
      </w:pPr>
      <w:r>
        <w:t xml:space="preserve">an intangible asset to which the section doesn’t </w:t>
      </w:r>
      <w:proofErr w:type="gramStart"/>
      <w:r>
        <w:t>apply</w:t>
      </w:r>
      <w:proofErr w:type="gramEnd"/>
      <w:r>
        <w:t xml:space="preserve"> and the payment relates to the tangible </w:t>
      </w:r>
      <w:r w:rsidR="0066178E">
        <w:t xml:space="preserve">asset </w:t>
      </w:r>
      <w:r>
        <w:t>or other excluded asset.</w:t>
      </w:r>
      <w:r>
        <w:br/>
      </w:r>
      <w:r w:rsidRPr="00444C5C">
        <w:rPr>
          <w:rStyle w:val="References"/>
        </w:rPr>
        <w:t>[Schedule xx, item</w:t>
      </w:r>
      <w:r>
        <w:rPr>
          <w:rStyle w:val="References"/>
        </w:rPr>
        <w:t xml:space="preserve"> 2</w:t>
      </w:r>
      <w:r w:rsidRPr="00444C5C">
        <w:rPr>
          <w:rStyle w:val="References"/>
        </w:rPr>
        <w:t>, p</w:t>
      </w:r>
      <w:r>
        <w:rPr>
          <w:rStyle w:val="References"/>
        </w:rPr>
        <w:t>aragraphs 26-110(1) and (</w:t>
      </w:r>
      <w:r w:rsidR="00FE5344">
        <w:rPr>
          <w:rStyle w:val="References"/>
        </w:rPr>
        <w:t>7</w:t>
      </w:r>
      <w:r>
        <w:rPr>
          <w:rStyle w:val="References"/>
        </w:rPr>
        <w:t>)(a) and (</w:t>
      </w:r>
      <w:r w:rsidR="007E5BDB">
        <w:rPr>
          <w:rStyle w:val="References"/>
        </w:rPr>
        <w:t>e</w:t>
      </w:r>
      <w:r>
        <w:rPr>
          <w:rStyle w:val="References"/>
        </w:rPr>
        <w:t>) of the ITAA 1997</w:t>
      </w:r>
      <w:r w:rsidRPr="00444C5C">
        <w:rPr>
          <w:rStyle w:val="References"/>
        </w:rPr>
        <w:t xml:space="preserve">] </w:t>
      </w:r>
    </w:p>
    <w:p w14:paraId="188488B7" w14:textId="396E3DBF" w:rsidR="00900C6F" w:rsidRDefault="00900C6F" w:rsidP="00900C6F">
      <w:pPr>
        <w:pStyle w:val="Normalparatextwithnumbers"/>
      </w:pPr>
      <w:r>
        <w:t xml:space="preserve">Arrangements that are the subject of these amendments often involve several intangible assets. </w:t>
      </w:r>
      <w:proofErr w:type="gramStart"/>
      <w:r>
        <w:t>In particular, some</w:t>
      </w:r>
      <w:proofErr w:type="gramEnd"/>
      <w:r>
        <w:t xml:space="preserve"> of these intangible assets may be interrelated to each other, such as via the granting of a licence over an intangible asset. For example, an entity that owns a patent may grant a licence to an associate conferring the right to use that patent without being in breach of the legal protection that the patent affords the owner. That associate may grant a sub</w:t>
      </w:r>
      <w:r>
        <w:noBreakHyphen/>
        <w:t xml:space="preserve">licence to another associate. In this example, the patent, the </w:t>
      </w:r>
      <w:proofErr w:type="gramStart"/>
      <w:r>
        <w:t>licence</w:t>
      </w:r>
      <w:proofErr w:type="gramEnd"/>
      <w:r>
        <w:t xml:space="preserve"> and the sub</w:t>
      </w:r>
      <w:r>
        <w:noBreakHyphen/>
        <w:t xml:space="preserve">licence are all intangible assets. If any of the patent, the </w:t>
      </w:r>
      <w:proofErr w:type="gramStart"/>
      <w:r>
        <w:t>licence</w:t>
      </w:r>
      <w:proofErr w:type="gramEnd"/>
      <w:r>
        <w:t xml:space="preserve"> or the sub</w:t>
      </w:r>
      <w:r>
        <w:noBreakHyphen/>
        <w:t>licence are exploited such that income is derived</w:t>
      </w:r>
      <w:r w:rsidR="003747C4">
        <w:t xml:space="preserve"> by an associate of the </w:t>
      </w:r>
      <w:r w:rsidR="00006BBF">
        <w:t>SGE</w:t>
      </w:r>
      <w:r>
        <w:t xml:space="preserve"> in a low corporate tax jurisdiction, subject to satisfying the remaining criteria of the provision, deductibility for the payment, credit or liability incurred will be denied.</w:t>
      </w:r>
    </w:p>
    <w:p w14:paraId="0340978F" w14:textId="77777777" w:rsidR="002721E2" w:rsidRDefault="002721E2" w:rsidP="002721E2">
      <w:pPr>
        <w:pStyle w:val="Heading5"/>
        <w:numPr>
          <w:ilvl w:val="0"/>
          <w:numId w:val="0"/>
        </w:numPr>
      </w:pPr>
      <w:r>
        <w:t>Exploiting an Asset</w:t>
      </w:r>
    </w:p>
    <w:p w14:paraId="6DDD3FD7" w14:textId="38EBD9EF" w:rsidR="00057357" w:rsidRDefault="00057357" w:rsidP="00057357">
      <w:pPr>
        <w:pStyle w:val="Normalparatextwithnumbers"/>
      </w:pPr>
      <w:r>
        <w:t xml:space="preserve">The deduction for the payment will be denied only to the extent that it is attributable to the right, or permission, of the SGE or </w:t>
      </w:r>
      <w:r w:rsidR="00632F43">
        <w:t>an associate</w:t>
      </w:r>
      <w:r>
        <w:t xml:space="preserve"> to exploit</w:t>
      </w:r>
      <w:r w:rsidR="00C2191A">
        <w:t xml:space="preserve"> or acquire</w:t>
      </w:r>
      <w:r>
        <w:t xml:space="preserve"> an intangible asset. In addition, an associate must derive income in a low corporate tax jurisdiction, directly or indirectly, from the exploitation of the intangible asset or </w:t>
      </w:r>
      <w:r w:rsidR="009938EB">
        <w:t>a related</w:t>
      </w:r>
      <w:r w:rsidR="0018550C">
        <w:t xml:space="preserve"> </w:t>
      </w:r>
      <w:r>
        <w:t>intangible asset</w:t>
      </w:r>
      <w:r w:rsidR="0018550C">
        <w:t xml:space="preserve"> under a related arrangement</w:t>
      </w:r>
      <w:r>
        <w:t>.</w:t>
      </w:r>
      <w:r w:rsidR="007955AC">
        <w:t xml:space="preserve"> This derivation must occur </w:t>
      </w:r>
      <w:proofErr w:type="gramStart"/>
      <w:r w:rsidR="007955AC">
        <w:t>as a result of</w:t>
      </w:r>
      <w:proofErr w:type="gramEnd"/>
      <w:r w:rsidR="007955AC">
        <w:t xml:space="preserve"> the arrangement or a related arrangement.</w:t>
      </w:r>
      <w:r>
        <w:t xml:space="preserve"> For these purposes, ‘exploiting an intangible asset’ is prescribed to have a broad meaning. </w:t>
      </w:r>
      <w:r>
        <w:br/>
      </w:r>
      <w:r w:rsidRPr="0024598F">
        <w:rPr>
          <w:rStyle w:val="References"/>
        </w:rPr>
        <w:t>[Schedule xx, item</w:t>
      </w:r>
      <w:r>
        <w:rPr>
          <w:rStyle w:val="References"/>
        </w:rPr>
        <w:t xml:space="preserve"> 2</w:t>
      </w:r>
      <w:r w:rsidRPr="0024598F">
        <w:rPr>
          <w:rStyle w:val="References"/>
        </w:rPr>
        <w:t xml:space="preserve">, </w:t>
      </w:r>
      <w:r>
        <w:rPr>
          <w:rStyle w:val="References"/>
        </w:rPr>
        <w:t>subsections 26-110(2) and (</w:t>
      </w:r>
      <w:r w:rsidR="00D2206F">
        <w:rPr>
          <w:rStyle w:val="References"/>
        </w:rPr>
        <w:t>1</w:t>
      </w:r>
      <w:r w:rsidR="006B20EF">
        <w:rPr>
          <w:rStyle w:val="References"/>
        </w:rPr>
        <w:t>0</w:t>
      </w:r>
      <w:r>
        <w:rPr>
          <w:rStyle w:val="References"/>
        </w:rPr>
        <w:t>) of the ITAA 1997</w:t>
      </w:r>
      <w:r w:rsidRPr="0024598F">
        <w:rPr>
          <w:rStyle w:val="References"/>
        </w:rPr>
        <w:t xml:space="preserve">] </w:t>
      </w:r>
    </w:p>
    <w:p w14:paraId="7A69ADDD" w14:textId="64F0A19B" w:rsidR="00057357" w:rsidRDefault="00057357" w:rsidP="00057357">
      <w:pPr>
        <w:pStyle w:val="Normalparatextwithnumbers"/>
      </w:pPr>
      <w:r>
        <w:t>The phrase ‘exploiting an intangible asset’, in the context of these provisions is intended to be broad to capture the variety of ways that SGEs benefit from intangible assets. It captures:</w:t>
      </w:r>
    </w:p>
    <w:p w14:paraId="433FF2B1" w14:textId="354366C2" w:rsidR="00057357" w:rsidRDefault="00057357" w:rsidP="00057357">
      <w:pPr>
        <w:pStyle w:val="Exampledotpoint1"/>
      </w:pPr>
      <w:r>
        <w:t xml:space="preserve">the use of, marketing, </w:t>
      </w:r>
      <w:r w:rsidR="004D4D53">
        <w:t xml:space="preserve">licensing, </w:t>
      </w:r>
      <w:r>
        <w:t xml:space="preserve">selling and distributing the intangible </w:t>
      </w:r>
      <w:proofErr w:type="gramStart"/>
      <w:r>
        <w:t>asset;</w:t>
      </w:r>
      <w:proofErr w:type="gramEnd"/>
    </w:p>
    <w:p w14:paraId="074E5070" w14:textId="5CDF4336" w:rsidR="00057357" w:rsidRDefault="00057357" w:rsidP="00057357">
      <w:pPr>
        <w:pStyle w:val="Exampledotpoint1"/>
      </w:pPr>
      <w:r>
        <w:lastRenderedPageBreak/>
        <w:t>the supply of an intangible asset mentioned in paragraph</w:t>
      </w:r>
      <w:r w:rsidR="007C5688">
        <w:t>s</w:t>
      </w:r>
      <w:r>
        <w:t xml:space="preserve"> (c)</w:t>
      </w:r>
      <w:r w:rsidR="003273B1">
        <w:t xml:space="preserve"> or (d)</w:t>
      </w:r>
      <w:r>
        <w:t xml:space="preserve"> of the definition of </w:t>
      </w:r>
      <w:r w:rsidR="00FE348A">
        <w:t>‘</w:t>
      </w:r>
      <w:r>
        <w:t>royalty</w:t>
      </w:r>
      <w:r w:rsidR="00FE348A">
        <w:t>’</w:t>
      </w:r>
      <w:r>
        <w:t xml:space="preserve"> </w:t>
      </w:r>
      <w:r w:rsidR="00FE348A">
        <w:t xml:space="preserve">in subsection 6(1) of the </w:t>
      </w:r>
      <w:r>
        <w:t xml:space="preserve">ITAA </w:t>
      </w:r>
      <w:proofErr w:type="gramStart"/>
      <w:r>
        <w:t>1936;</w:t>
      </w:r>
      <w:proofErr w:type="gramEnd"/>
      <w:r>
        <w:t xml:space="preserve"> </w:t>
      </w:r>
    </w:p>
    <w:p w14:paraId="62708DE3" w14:textId="1B8B8C06" w:rsidR="00057357" w:rsidRDefault="00057357" w:rsidP="00057357">
      <w:pPr>
        <w:pStyle w:val="Exampledotpoint1"/>
      </w:pPr>
      <w:r>
        <w:t xml:space="preserve">the reception of an intangible asset mentioned in paragraph (da) of the definition of ‘royalty’ in </w:t>
      </w:r>
      <w:r w:rsidR="00EB4578">
        <w:t xml:space="preserve">subsection 6(1) of </w:t>
      </w:r>
      <w:r>
        <w:t xml:space="preserve">the ITAA </w:t>
      </w:r>
      <w:proofErr w:type="gramStart"/>
      <w:r>
        <w:t>1936;</w:t>
      </w:r>
      <w:proofErr w:type="gramEnd"/>
    </w:p>
    <w:p w14:paraId="130015F5" w14:textId="5387762E" w:rsidR="00057357" w:rsidRDefault="00057357" w:rsidP="00057357">
      <w:pPr>
        <w:pStyle w:val="Exampledotpoint1"/>
      </w:pPr>
      <w:r>
        <w:t>the forbearance of an intangible asset mentioned in paragraph (f) of the definition of ‘royalty’ in</w:t>
      </w:r>
      <w:r w:rsidR="002D2AED">
        <w:t xml:space="preserve"> subsection 6(1) of</w:t>
      </w:r>
      <w:r>
        <w:t xml:space="preserve"> the ITAA </w:t>
      </w:r>
      <w:proofErr w:type="gramStart"/>
      <w:r>
        <w:t>1936</w:t>
      </w:r>
      <w:r w:rsidR="002D2AED">
        <w:t>;</w:t>
      </w:r>
      <w:proofErr w:type="gramEnd"/>
    </w:p>
    <w:p w14:paraId="05571F57" w14:textId="77777777" w:rsidR="00057357" w:rsidRDefault="00057357" w:rsidP="00057357">
      <w:pPr>
        <w:pStyle w:val="Exampledotpoint1"/>
      </w:pPr>
      <w:r>
        <w:t>exploiting another asset that is a right in respect of, or an interest in, the intangible asset; and</w:t>
      </w:r>
    </w:p>
    <w:p w14:paraId="7A59FD15" w14:textId="350E0B2B" w:rsidR="00057357" w:rsidRDefault="00057357" w:rsidP="00057357">
      <w:pPr>
        <w:pStyle w:val="Exampledotpoint1"/>
      </w:pPr>
      <w:r>
        <w:t>doing anything else in respect of the intangible asset.</w:t>
      </w:r>
      <w:r>
        <w:br/>
      </w:r>
      <w:r w:rsidRPr="00F63552">
        <w:rPr>
          <w:rStyle w:val="References"/>
        </w:rPr>
        <w:t>[Schedule xx, item</w:t>
      </w:r>
      <w:r>
        <w:rPr>
          <w:rStyle w:val="References"/>
        </w:rPr>
        <w:t xml:space="preserve"> 2</w:t>
      </w:r>
      <w:r w:rsidRPr="00F63552">
        <w:rPr>
          <w:rStyle w:val="References"/>
        </w:rPr>
        <w:t xml:space="preserve">, </w:t>
      </w:r>
      <w:r w:rsidR="002D2AED">
        <w:rPr>
          <w:rStyle w:val="References"/>
        </w:rPr>
        <w:t xml:space="preserve">paragraphs </w:t>
      </w:r>
      <w:r>
        <w:rPr>
          <w:rStyle w:val="References"/>
        </w:rPr>
        <w:t>26</w:t>
      </w:r>
      <w:r w:rsidR="002D2AED">
        <w:rPr>
          <w:rStyle w:val="References"/>
        </w:rPr>
        <w:noBreakHyphen/>
      </w:r>
      <w:r>
        <w:rPr>
          <w:rStyle w:val="References"/>
        </w:rPr>
        <w:t>110(</w:t>
      </w:r>
      <w:r w:rsidR="00D2206F">
        <w:rPr>
          <w:rStyle w:val="References"/>
        </w:rPr>
        <w:t>1</w:t>
      </w:r>
      <w:r w:rsidR="006B20EF">
        <w:rPr>
          <w:rStyle w:val="References"/>
        </w:rPr>
        <w:t>0</w:t>
      </w:r>
      <w:r>
        <w:rPr>
          <w:rStyle w:val="References"/>
        </w:rPr>
        <w:t>)</w:t>
      </w:r>
      <w:r w:rsidR="002D2AED">
        <w:rPr>
          <w:rStyle w:val="References"/>
        </w:rPr>
        <w:t>(a) to (e)</w:t>
      </w:r>
      <w:r>
        <w:rPr>
          <w:rStyle w:val="References"/>
        </w:rPr>
        <w:t xml:space="preserve"> of the ITAA 1997</w:t>
      </w:r>
      <w:r w:rsidRPr="00F63552">
        <w:rPr>
          <w:rStyle w:val="References"/>
        </w:rPr>
        <w:t xml:space="preserve">] </w:t>
      </w:r>
    </w:p>
    <w:p w14:paraId="37773B02" w14:textId="228929E9" w:rsidR="00520AA1" w:rsidRPr="00520AA1" w:rsidRDefault="00057357" w:rsidP="00057357">
      <w:pPr>
        <w:pStyle w:val="Normalparatextwithnumbers"/>
        <w:numPr>
          <w:ilvl w:val="1"/>
          <w:numId w:val="6"/>
        </w:numPr>
        <w:rPr>
          <w:rStyle w:val="References"/>
          <w:b w:val="0"/>
          <w:bCs w:val="0"/>
          <w:i w:val="0"/>
          <w:iCs w:val="0"/>
        </w:rPr>
      </w:pPr>
      <w:r>
        <w:t xml:space="preserve">The amendments apply to a broader range of circumstances than just </w:t>
      </w:r>
      <w:r w:rsidR="000B3BB8">
        <w:t xml:space="preserve">the </w:t>
      </w:r>
      <w:r>
        <w:t xml:space="preserve">‘use of </w:t>
      </w:r>
      <w:r w:rsidR="000B3BB8">
        <w:t xml:space="preserve">an </w:t>
      </w:r>
      <w:r>
        <w:t xml:space="preserve">intangible asset’ as the ways in which intangible assets can be exploited </w:t>
      </w:r>
      <w:r w:rsidR="000B3BB8">
        <w:t>by</w:t>
      </w:r>
      <w:r>
        <w:t xml:space="preserve"> an SGE is equally broad. In addition, as discussed at </w:t>
      </w:r>
      <w:r w:rsidRPr="00324E52">
        <w:t>paragraphs #1.</w:t>
      </w:r>
      <w:r w:rsidR="00A51AA1">
        <w:t>29</w:t>
      </w:r>
      <w:r w:rsidRPr="00324E52">
        <w:t>, #1.</w:t>
      </w:r>
      <w:r w:rsidR="002D2AED" w:rsidRPr="00324E52">
        <w:t>3</w:t>
      </w:r>
      <w:r w:rsidR="006E0166">
        <w:t>2</w:t>
      </w:r>
      <w:r w:rsidRPr="00324E52">
        <w:t xml:space="preserve"> and #1.</w:t>
      </w:r>
      <w:r w:rsidR="00152C71" w:rsidRPr="00324E52">
        <w:t>4</w:t>
      </w:r>
      <w:r w:rsidR="002944E9" w:rsidRPr="00324E52">
        <w:t>3</w:t>
      </w:r>
      <w:r w:rsidRPr="00324E52">
        <w:t xml:space="preserve"> above</w:t>
      </w:r>
      <w:r>
        <w:t>, the section applies to a permission to exploit an intangible asset in the same way that it applies to a right to exploit an intangible asset. As the arrangements subject to this anti</w:t>
      </w:r>
      <w:r w:rsidR="00875EE4">
        <w:noBreakHyphen/>
      </w:r>
      <w:r>
        <w:t xml:space="preserve">avoidance rule </w:t>
      </w:r>
      <w:proofErr w:type="gramStart"/>
      <w:r>
        <w:t>are</w:t>
      </w:r>
      <w:proofErr w:type="gramEnd"/>
      <w:r>
        <w:t xml:space="preserve"> between </w:t>
      </w:r>
      <w:r w:rsidR="006F6E63">
        <w:t>associates</w:t>
      </w:r>
      <w:r>
        <w:t xml:space="preserve">, the rights that are acquired might not </w:t>
      </w:r>
      <w:r w:rsidR="00E64F61">
        <w:t>constitute</w:t>
      </w:r>
      <w:r>
        <w:t xml:space="preserve"> legally enforceable rights. By extending the section to apply to </w:t>
      </w:r>
      <w:r w:rsidR="009C30E8">
        <w:t xml:space="preserve">a </w:t>
      </w:r>
      <w:r>
        <w:t xml:space="preserve">‘permission to exploit an intangible asset’, these amendments will also apply where the </w:t>
      </w:r>
      <w:r w:rsidR="00411A71">
        <w:t xml:space="preserve">ability </w:t>
      </w:r>
      <w:r>
        <w:t xml:space="preserve">to exploit the intangible asset is </w:t>
      </w:r>
      <w:r w:rsidR="004744BF">
        <w:t xml:space="preserve">implied via </w:t>
      </w:r>
      <w:r w:rsidR="000D4938">
        <w:t xml:space="preserve">the conduct </w:t>
      </w:r>
      <w:r w:rsidR="00EA6037">
        <w:t xml:space="preserve">of, </w:t>
      </w:r>
      <w:r w:rsidR="000D4938">
        <w:t xml:space="preserve">or </w:t>
      </w:r>
      <w:r>
        <w:t>an understanding between</w:t>
      </w:r>
      <w:r w:rsidR="00EA6037">
        <w:t>,</w:t>
      </w:r>
      <w:r>
        <w:t xml:space="preserve"> the </w:t>
      </w:r>
      <w:r w:rsidR="00EA6037">
        <w:t xml:space="preserve">related </w:t>
      </w:r>
      <w:r>
        <w:t>parties.</w:t>
      </w:r>
      <w:r>
        <w:br/>
      </w:r>
      <w:r w:rsidRPr="00B81D53">
        <w:rPr>
          <w:rStyle w:val="References"/>
        </w:rPr>
        <w:t>[Schedule xx, item</w:t>
      </w:r>
      <w:r>
        <w:rPr>
          <w:rStyle w:val="References"/>
        </w:rPr>
        <w:t xml:space="preserve"> 2</w:t>
      </w:r>
      <w:r w:rsidRPr="00B81D53">
        <w:rPr>
          <w:rStyle w:val="References"/>
        </w:rPr>
        <w:t xml:space="preserve">, </w:t>
      </w:r>
      <w:r w:rsidR="004E50AB">
        <w:rPr>
          <w:rStyle w:val="References"/>
        </w:rPr>
        <w:t xml:space="preserve">paragraph </w:t>
      </w:r>
      <w:r>
        <w:rPr>
          <w:rStyle w:val="References"/>
        </w:rPr>
        <w:t>26-110(</w:t>
      </w:r>
      <w:r w:rsidR="004E50AB">
        <w:rPr>
          <w:rStyle w:val="References"/>
        </w:rPr>
        <w:t>5</w:t>
      </w:r>
      <w:r>
        <w:rPr>
          <w:rStyle w:val="References"/>
        </w:rPr>
        <w:t>)</w:t>
      </w:r>
      <w:r w:rsidR="004E50AB">
        <w:rPr>
          <w:rStyle w:val="References"/>
        </w:rPr>
        <w:t>(b)</w:t>
      </w:r>
      <w:r>
        <w:rPr>
          <w:rStyle w:val="References"/>
        </w:rPr>
        <w:t xml:space="preserve"> of the ITAA 1997</w:t>
      </w:r>
      <w:r w:rsidRPr="00B81D53">
        <w:rPr>
          <w:rStyle w:val="References"/>
        </w:rPr>
        <w:t>]</w:t>
      </w:r>
    </w:p>
    <w:p w14:paraId="694EFC79" w14:textId="014B0E7B" w:rsidR="00057357" w:rsidRPr="000859DA" w:rsidRDefault="00057357" w:rsidP="00057357">
      <w:pPr>
        <w:pStyle w:val="Normalparatextwithnumbers"/>
        <w:rPr>
          <w:rStyle w:val="References"/>
          <w:b w:val="0"/>
          <w:bCs w:val="0"/>
          <w:i w:val="0"/>
          <w:iCs w:val="0"/>
        </w:rPr>
      </w:pPr>
      <w:r>
        <w:t xml:space="preserve">By extending the section to apply to </w:t>
      </w:r>
      <w:r w:rsidR="009C30E8">
        <w:t xml:space="preserve">a </w:t>
      </w:r>
      <w:r>
        <w:t xml:space="preserve">‘permission to exploit an intangible asset’, these amendments will also apply where the </w:t>
      </w:r>
      <w:r w:rsidR="00411A71">
        <w:t xml:space="preserve">ability </w:t>
      </w:r>
      <w:r>
        <w:t xml:space="preserve">to exploit the intangible asset is </w:t>
      </w:r>
      <w:r w:rsidR="004744BF">
        <w:t xml:space="preserve">implied via </w:t>
      </w:r>
      <w:r w:rsidR="000D4938">
        <w:t xml:space="preserve">the conduct </w:t>
      </w:r>
      <w:r w:rsidR="00EA6037">
        <w:t xml:space="preserve">of, </w:t>
      </w:r>
      <w:r w:rsidR="000D4938">
        <w:t xml:space="preserve">or </w:t>
      </w:r>
      <w:r>
        <w:t>an understanding between</w:t>
      </w:r>
      <w:r w:rsidR="00EA6037">
        <w:t>,</w:t>
      </w:r>
      <w:r>
        <w:t xml:space="preserve"> the </w:t>
      </w:r>
      <w:r w:rsidR="00EA6037">
        <w:t xml:space="preserve">related </w:t>
      </w:r>
      <w:r>
        <w:t>parties.</w:t>
      </w:r>
      <w:r>
        <w:br/>
      </w:r>
      <w:r w:rsidRPr="00B81D53">
        <w:rPr>
          <w:rStyle w:val="References"/>
        </w:rPr>
        <w:t>[Schedule xx, item</w:t>
      </w:r>
      <w:r>
        <w:rPr>
          <w:rStyle w:val="References"/>
        </w:rPr>
        <w:t xml:space="preserve"> 2</w:t>
      </w:r>
      <w:r w:rsidRPr="00B81D53">
        <w:rPr>
          <w:rStyle w:val="References"/>
        </w:rPr>
        <w:t xml:space="preserve">, </w:t>
      </w:r>
      <w:r w:rsidR="004E50AB">
        <w:rPr>
          <w:rStyle w:val="References"/>
        </w:rPr>
        <w:t xml:space="preserve">paragraph </w:t>
      </w:r>
      <w:r>
        <w:rPr>
          <w:rStyle w:val="References"/>
        </w:rPr>
        <w:t>26-110(</w:t>
      </w:r>
      <w:r w:rsidR="004E50AB">
        <w:rPr>
          <w:rStyle w:val="References"/>
        </w:rPr>
        <w:t>5</w:t>
      </w:r>
      <w:r>
        <w:rPr>
          <w:rStyle w:val="References"/>
        </w:rPr>
        <w:t>)</w:t>
      </w:r>
      <w:r w:rsidR="004E50AB">
        <w:rPr>
          <w:rStyle w:val="References"/>
        </w:rPr>
        <w:t>(b)</w:t>
      </w:r>
      <w:r>
        <w:rPr>
          <w:rStyle w:val="References"/>
        </w:rPr>
        <w:t xml:space="preserve"> of the ITAA 1997</w:t>
      </w:r>
      <w:r w:rsidRPr="00B81D53">
        <w:rPr>
          <w:rStyle w:val="References"/>
        </w:rPr>
        <w:t>]</w:t>
      </w:r>
    </w:p>
    <w:p w14:paraId="163892E3" w14:textId="34B4BADA" w:rsidR="00057357" w:rsidRDefault="00057357" w:rsidP="00057357">
      <w:pPr>
        <w:pStyle w:val="Normalparatextwithnumbers"/>
      </w:pPr>
      <w:r>
        <w:t xml:space="preserve">This is </w:t>
      </w:r>
      <w:r w:rsidR="00D457F2">
        <w:t>consistent</w:t>
      </w:r>
      <w:r>
        <w:t xml:space="preserve"> with the provision being an anti</w:t>
      </w:r>
      <w:r w:rsidR="0015003A">
        <w:noBreakHyphen/>
      </w:r>
      <w:r>
        <w:t>avoidance measure</w:t>
      </w:r>
      <w:r w:rsidR="005A4D77">
        <w:t>, as it is designed</w:t>
      </w:r>
      <w:r>
        <w:t xml:space="preserve"> to capture a broad spectrum of arrangements to minimise the risk of </w:t>
      </w:r>
      <w:r w:rsidR="00506EB2">
        <w:t xml:space="preserve">SGEs and their </w:t>
      </w:r>
      <w:r w:rsidRPr="00D25F3F">
        <w:t>associates</w:t>
      </w:r>
      <w:r w:rsidRPr="009C6362">
        <w:t xml:space="preserve"> structuring</w:t>
      </w:r>
      <w:r>
        <w:t xml:space="preserve"> </w:t>
      </w:r>
      <w:r w:rsidR="001719B3">
        <w:t xml:space="preserve">their </w:t>
      </w:r>
      <w:r>
        <w:t xml:space="preserve">arrangements in such a way </w:t>
      </w:r>
      <w:proofErr w:type="gramStart"/>
      <w:r>
        <w:t>so as to</w:t>
      </w:r>
      <w:proofErr w:type="gramEnd"/>
      <w:r>
        <w:t xml:space="preserve"> circumvent the operation of the provision. For the purposes of these amendments, examples of activities that would </w:t>
      </w:r>
      <w:proofErr w:type="gramStart"/>
      <w:r>
        <w:t>be considered to be</w:t>
      </w:r>
      <w:proofErr w:type="gramEnd"/>
      <w:r>
        <w:t xml:space="preserve"> within the meaning of exploiting an intangible asset are:</w:t>
      </w:r>
    </w:p>
    <w:p w14:paraId="0A088711" w14:textId="77777777" w:rsidR="00057357" w:rsidRDefault="00057357" w:rsidP="00057357">
      <w:pPr>
        <w:pStyle w:val="Dash"/>
        <w:numPr>
          <w:ilvl w:val="1"/>
          <w:numId w:val="24"/>
        </w:numPr>
      </w:pPr>
      <w:r>
        <w:t xml:space="preserve">the copying of an item of copyright or </w:t>
      </w:r>
      <w:proofErr w:type="gramStart"/>
      <w:r>
        <w:t>software;</w:t>
      </w:r>
      <w:proofErr w:type="gramEnd"/>
    </w:p>
    <w:p w14:paraId="04325A77" w14:textId="77777777" w:rsidR="00057357" w:rsidRDefault="00057357" w:rsidP="00057357">
      <w:pPr>
        <w:pStyle w:val="Dash"/>
        <w:numPr>
          <w:ilvl w:val="1"/>
          <w:numId w:val="24"/>
        </w:numPr>
      </w:pPr>
      <w:r>
        <w:t xml:space="preserve">the issuance of a licence key or other piece of information that allows access to a piece of software or a </w:t>
      </w:r>
      <w:proofErr w:type="gramStart"/>
      <w:r>
        <w:t>database;</w:t>
      </w:r>
      <w:proofErr w:type="gramEnd"/>
    </w:p>
    <w:p w14:paraId="1AC53F0E" w14:textId="77777777" w:rsidR="00057357" w:rsidRDefault="00057357" w:rsidP="00057357">
      <w:pPr>
        <w:pStyle w:val="Dash"/>
        <w:numPr>
          <w:ilvl w:val="1"/>
          <w:numId w:val="24"/>
        </w:numPr>
      </w:pPr>
      <w:r>
        <w:t xml:space="preserve">accessing information contained on a </w:t>
      </w:r>
      <w:proofErr w:type="gramStart"/>
      <w:r>
        <w:t>database;</w:t>
      </w:r>
      <w:proofErr w:type="gramEnd"/>
    </w:p>
    <w:p w14:paraId="1C10BBED" w14:textId="77777777" w:rsidR="00057357" w:rsidRDefault="00057357" w:rsidP="00057357">
      <w:pPr>
        <w:pStyle w:val="Dash"/>
        <w:numPr>
          <w:ilvl w:val="1"/>
          <w:numId w:val="24"/>
        </w:numPr>
      </w:pPr>
      <w:r>
        <w:t xml:space="preserve">the deploying of or accessing the output of an </w:t>
      </w:r>
      <w:proofErr w:type="gramStart"/>
      <w:r>
        <w:t>algorithm;</w:t>
      </w:r>
      <w:proofErr w:type="gramEnd"/>
    </w:p>
    <w:p w14:paraId="490643A5" w14:textId="1F8B86DD" w:rsidR="00057357" w:rsidRDefault="00057357" w:rsidP="00057357">
      <w:pPr>
        <w:pStyle w:val="Dash"/>
        <w:numPr>
          <w:ilvl w:val="1"/>
          <w:numId w:val="24"/>
        </w:numPr>
      </w:pPr>
      <w:r>
        <w:lastRenderedPageBreak/>
        <w:t xml:space="preserve">a </w:t>
      </w:r>
      <w:r w:rsidR="00992FFE">
        <w:t xml:space="preserve">use of a </w:t>
      </w:r>
      <w:r>
        <w:t xml:space="preserve">brand, </w:t>
      </w:r>
      <w:proofErr w:type="gramStart"/>
      <w:r>
        <w:t>trade</w:t>
      </w:r>
      <w:r w:rsidR="00992FFE">
        <w:t xml:space="preserve"> </w:t>
      </w:r>
      <w:r>
        <w:t>mark</w:t>
      </w:r>
      <w:proofErr w:type="gramEnd"/>
      <w:r>
        <w:t xml:space="preserve"> or other intangible asset that is a source of goodwill that can be used by an entity holding themselves out as a representative of that brand or </w:t>
      </w:r>
      <w:r w:rsidRPr="00C161D6">
        <w:t>group</w:t>
      </w:r>
      <w:r>
        <w:t>;</w:t>
      </w:r>
    </w:p>
    <w:p w14:paraId="105DF4E6" w14:textId="64272F14" w:rsidR="00057357" w:rsidRDefault="00057357" w:rsidP="00057357">
      <w:pPr>
        <w:pStyle w:val="Dash"/>
        <w:numPr>
          <w:ilvl w:val="1"/>
          <w:numId w:val="24"/>
        </w:numPr>
      </w:pPr>
      <w:r>
        <w:t xml:space="preserve">a right or obligation to distribute or sell products on behalf of an associate in return for consideration from either the associate or </w:t>
      </w:r>
      <w:proofErr w:type="gramStart"/>
      <w:r>
        <w:t>third party</w:t>
      </w:r>
      <w:proofErr w:type="gramEnd"/>
      <w:r>
        <w:t xml:space="preserve"> customers that involves marketing, selling or distributing the intangible asset even when that intangible asset is distributed directly from the offshore associate to the customer.</w:t>
      </w:r>
    </w:p>
    <w:p w14:paraId="158B3DC3" w14:textId="77777777" w:rsidR="002721E2" w:rsidRDefault="002721E2" w:rsidP="002721E2">
      <w:pPr>
        <w:pStyle w:val="Heading5"/>
        <w:numPr>
          <w:ilvl w:val="0"/>
          <w:numId w:val="0"/>
        </w:numPr>
      </w:pPr>
      <w:bookmarkStart w:id="49" w:name="tempbookmark"/>
      <w:bookmarkEnd w:id="49"/>
      <w:r>
        <w:t>Low corporate tax jurisdictions</w:t>
      </w:r>
    </w:p>
    <w:p w14:paraId="6FEAE74C" w14:textId="2869FDA7" w:rsidR="00171990" w:rsidRDefault="00171990" w:rsidP="00171990">
      <w:pPr>
        <w:pStyle w:val="Normalparatextwithnumbers"/>
        <w:numPr>
          <w:ilvl w:val="1"/>
          <w:numId w:val="23"/>
        </w:numPr>
      </w:pPr>
      <w:r>
        <w:t>Deductibility for an amount of the payment will be denied, subject to satisfying the remaining elements of the section, only if an associate of the SGE derives income in a low corporate tax jurisdiction from exploiting an intangible asset.</w:t>
      </w:r>
      <w:r>
        <w:br/>
      </w:r>
      <w:r w:rsidRPr="00321368">
        <w:rPr>
          <w:rStyle w:val="References"/>
        </w:rPr>
        <w:t>[Schedule xx, item</w:t>
      </w:r>
      <w:r>
        <w:rPr>
          <w:rStyle w:val="References"/>
        </w:rPr>
        <w:t xml:space="preserve"> 2</w:t>
      </w:r>
      <w:r w:rsidRPr="00321368">
        <w:rPr>
          <w:rStyle w:val="References"/>
        </w:rPr>
        <w:t xml:space="preserve">, </w:t>
      </w:r>
      <w:r w:rsidR="00016AF9">
        <w:rPr>
          <w:rStyle w:val="References"/>
        </w:rPr>
        <w:t>sub</w:t>
      </w:r>
      <w:r w:rsidRPr="00321368">
        <w:rPr>
          <w:rStyle w:val="References"/>
        </w:rPr>
        <w:t>p</w:t>
      </w:r>
      <w:r>
        <w:rPr>
          <w:rStyle w:val="References"/>
        </w:rPr>
        <w:t>aragraph 26-110(2)(c)</w:t>
      </w:r>
      <w:r w:rsidR="00016AF9">
        <w:rPr>
          <w:rStyle w:val="References"/>
        </w:rPr>
        <w:t>(ii)</w:t>
      </w:r>
      <w:r>
        <w:rPr>
          <w:rStyle w:val="References"/>
        </w:rPr>
        <w:t xml:space="preserve"> of the ITAA 1997</w:t>
      </w:r>
      <w:r w:rsidRPr="00321368">
        <w:rPr>
          <w:rStyle w:val="References"/>
        </w:rPr>
        <w:t xml:space="preserve">] </w:t>
      </w:r>
    </w:p>
    <w:p w14:paraId="21B8423A" w14:textId="754086DF" w:rsidR="00171990" w:rsidRPr="009D27C4" w:rsidRDefault="00171990" w:rsidP="00171990">
      <w:pPr>
        <w:pStyle w:val="Normalparatextwithnumbers"/>
        <w:numPr>
          <w:ilvl w:val="1"/>
          <w:numId w:val="23"/>
        </w:numPr>
        <w:rPr>
          <w:rStyle w:val="References"/>
          <w:b w:val="0"/>
          <w:bCs w:val="0"/>
          <w:i w:val="0"/>
          <w:iCs w:val="0"/>
        </w:rPr>
      </w:pPr>
      <w:r>
        <w:t>A low corporate tax jurisdiction</w:t>
      </w:r>
      <w:r w:rsidR="0040089F">
        <w:t xml:space="preserve"> for the purpose</w:t>
      </w:r>
      <w:r w:rsidR="008F6EB2">
        <w:t>s of subparagraph</w:t>
      </w:r>
      <w:r w:rsidR="00E2345F">
        <w:t> </w:t>
      </w:r>
      <w:r w:rsidR="0040089F">
        <w:t>26</w:t>
      </w:r>
      <w:r w:rsidR="00E2345F">
        <w:noBreakHyphen/>
      </w:r>
      <w:r w:rsidR="0040089F">
        <w:t>110</w:t>
      </w:r>
      <w:r w:rsidR="00874C3E">
        <w:t>(2)(c)(ii)</w:t>
      </w:r>
      <w:r>
        <w:t xml:space="preserve"> is one where the lowest corporate income tax rate under the laws of that foreign country, applicable to an SGE, is less than 15</w:t>
      </w:r>
      <w:r w:rsidR="00613A2B">
        <w:t xml:space="preserve"> per cent</w:t>
      </w:r>
      <w:r>
        <w:t xml:space="preserve"> or </w:t>
      </w:r>
      <w:r w:rsidR="00355ABF">
        <w:t xml:space="preserve">is </w:t>
      </w:r>
      <w:r>
        <w:t>nil.</w:t>
      </w:r>
      <w:r>
        <w:br/>
      </w:r>
      <w:r w:rsidRPr="00691886">
        <w:rPr>
          <w:rStyle w:val="References"/>
        </w:rPr>
        <w:t>[Schedule xx, item</w:t>
      </w:r>
      <w:r>
        <w:rPr>
          <w:rStyle w:val="References"/>
        </w:rPr>
        <w:t xml:space="preserve"> 2</w:t>
      </w:r>
      <w:r w:rsidRPr="00691886">
        <w:rPr>
          <w:rStyle w:val="References"/>
        </w:rPr>
        <w:t xml:space="preserve">, </w:t>
      </w:r>
      <w:r w:rsidR="00874C3E">
        <w:rPr>
          <w:rStyle w:val="References"/>
        </w:rPr>
        <w:t xml:space="preserve">paragraph </w:t>
      </w:r>
      <w:r>
        <w:rPr>
          <w:rStyle w:val="References"/>
        </w:rPr>
        <w:t>26-110(</w:t>
      </w:r>
      <w:r w:rsidR="00874C3E">
        <w:rPr>
          <w:rStyle w:val="References"/>
        </w:rPr>
        <w:t>4</w:t>
      </w:r>
      <w:r>
        <w:rPr>
          <w:rStyle w:val="References"/>
        </w:rPr>
        <w:t>)</w:t>
      </w:r>
      <w:r w:rsidR="00874C3E">
        <w:rPr>
          <w:rStyle w:val="References"/>
        </w:rPr>
        <w:t>(a)</w:t>
      </w:r>
      <w:r>
        <w:rPr>
          <w:rStyle w:val="References"/>
        </w:rPr>
        <w:t xml:space="preserve"> and item 3, subsection 960</w:t>
      </w:r>
      <w:r>
        <w:rPr>
          <w:rStyle w:val="References"/>
        </w:rPr>
        <w:noBreakHyphen/>
        <w:t>258(1) of the ITAA 1997</w:t>
      </w:r>
      <w:r w:rsidRPr="00691886">
        <w:rPr>
          <w:rStyle w:val="References"/>
        </w:rPr>
        <w:t xml:space="preserve">] </w:t>
      </w:r>
    </w:p>
    <w:p w14:paraId="10C90D8C" w14:textId="3246C93A" w:rsidR="00B5695E" w:rsidRDefault="00B00661" w:rsidP="00171990">
      <w:pPr>
        <w:pStyle w:val="Normalparatextwithnumbers"/>
        <w:numPr>
          <w:ilvl w:val="1"/>
          <w:numId w:val="23"/>
        </w:numPr>
      </w:pPr>
      <w:r>
        <w:t>The term ‘f</w:t>
      </w:r>
      <w:r w:rsidR="00B5695E">
        <w:t>oreign country</w:t>
      </w:r>
      <w:r>
        <w:t>’</w:t>
      </w:r>
      <w:r w:rsidR="00B5695E">
        <w:t xml:space="preserve"> in these amendments will take the same meaning </w:t>
      </w:r>
      <w:r w:rsidR="001F4EC6">
        <w:t xml:space="preserve">as </w:t>
      </w:r>
      <w:r w:rsidR="008C5369">
        <w:t>section 2B of the</w:t>
      </w:r>
      <w:r w:rsidR="001F4EC6">
        <w:t xml:space="preserve"> </w:t>
      </w:r>
      <w:r w:rsidR="00413F3A">
        <w:rPr>
          <w:i/>
          <w:iCs/>
        </w:rPr>
        <w:t>Acts Interpretation Act 1901</w:t>
      </w:r>
      <w:r w:rsidR="00413F3A">
        <w:t xml:space="preserve"> </w:t>
      </w:r>
      <w:r w:rsidR="00D668EE">
        <w:t>and refers to</w:t>
      </w:r>
      <w:r w:rsidR="00D668EE" w:rsidRPr="00D668EE">
        <w:t xml:space="preserve"> any country (</w:t>
      </w:r>
      <w:proofErr w:type="gramStart"/>
      <w:r w:rsidR="00D668EE" w:rsidRPr="00D668EE">
        <w:t>whether or not</w:t>
      </w:r>
      <w:proofErr w:type="gramEnd"/>
      <w:r w:rsidR="00D668EE" w:rsidRPr="00D668EE">
        <w:t xml:space="preserve"> an independent sovereign state) outside Australia and the external Territories</w:t>
      </w:r>
      <w:r w:rsidR="00EA3BA4">
        <w:t>.</w:t>
      </w:r>
    </w:p>
    <w:p w14:paraId="00213EF3" w14:textId="0F40A128" w:rsidR="00D878BE" w:rsidRDefault="006904A2" w:rsidP="00171990">
      <w:pPr>
        <w:pStyle w:val="Normalparatextwithnumbers"/>
        <w:numPr>
          <w:ilvl w:val="1"/>
          <w:numId w:val="23"/>
        </w:numPr>
      </w:pPr>
      <w:r>
        <w:t xml:space="preserve">In determining the rate of </w:t>
      </w:r>
      <w:r w:rsidR="00EF3A35">
        <w:t xml:space="preserve">corporate income tax </w:t>
      </w:r>
      <w:r w:rsidR="00AB2BEF">
        <w:t xml:space="preserve">in a jurisdiction for the purposes of determining </w:t>
      </w:r>
      <w:r w:rsidR="00601247">
        <w:t>if a jurisdiction is a low corporate tax jurisdiction</w:t>
      </w:r>
      <w:r w:rsidR="00662C07">
        <w:t>,</w:t>
      </w:r>
      <w:r w:rsidR="00601247">
        <w:t xml:space="preserve"> only the </w:t>
      </w:r>
      <w:r w:rsidR="009D27C4">
        <w:t xml:space="preserve">income </w:t>
      </w:r>
      <w:r w:rsidR="00601247">
        <w:t xml:space="preserve">tax rates applicable to </w:t>
      </w:r>
      <w:r w:rsidR="00180A9E">
        <w:t>income derived in the ordinary course of carrying on a business</w:t>
      </w:r>
      <w:r w:rsidR="002C49A0">
        <w:t xml:space="preserve"> are relevant</w:t>
      </w:r>
      <w:r w:rsidR="00662C07">
        <w:t>.</w:t>
      </w:r>
      <w:r w:rsidR="00662C07">
        <w:br/>
      </w:r>
      <w:r w:rsidR="00662C07" w:rsidRPr="00B9789B">
        <w:rPr>
          <w:rStyle w:val="References"/>
        </w:rPr>
        <w:t>[Schedule xx, item</w:t>
      </w:r>
      <w:r w:rsidR="00AD0F22">
        <w:rPr>
          <w:rStyle w:val="References"/>
        </w:rPr>
        <w:t xml:space="preserve"> 3</w:t>
      </w:r>
      <w:r w:rsidR="00662C07" w:rsidRPr="00B9789B">
        <w:rPr>
          <w:rStyle w:val="References"/>
        </w:rPr>
        <w:t xml:space="preserve">, </w:t>
      </w:r>
      <w:r w:rsidR="00AD0F22">
        <w:rPr>
          <w:rStyle w:val="References"/>
        </w:rPr>
        <w:t>paragraph 960-258(2)(</w:t>
      </w:r>
      <w:r w:rsidR="00477AD3">
        <w:rPr>
          <w:rStyle w:val="References"/>
        </w:rPr>
        <w:t>a)</w:t>
      </w:r>
      <w:r w:rsidR="002E2548">
        <w:rPr>
          <w:rStyle w:val="References"/>
        </w:rPr>
        <w:t xml:space="preserve"> of the ITAA 1997</w:t>
      </w:r>
      <w:r w:rsidR="00662C07" w:rsidRPr="00B9789B">
        <w:rPr>
          <w:rStyle w:val="References"/>
        </w:rPr>
        <w:t xml:space="preserve">] </w:t>
      </w:r>
    </w:p>
    <w:p w14:paraId="4852D550" w14:textId="2A94C00B" w:rsidR="00014F01" w:rsidRDefault="00180A9E" w:rsidP="00312102">
      <w:pPr>
        <w:pStyle w:val="Normalparatextwithnumbers"/>
        <w:numPr>
          <w:ilvl w:val="1"/>
          <w:numId w:val="23"/>
        </w:numPr>
      </w:pPr>
      <w:r>
        <w:t>D</w:t>
      </w:r>
      <w:r w:rsidR="00171990">
        <w:t xml:space="preserve">eductions, </w:t>
      </w:r>
      <w:r w:rsidR="00171990" w:rsidRPr="00F535CD">
        <w:t>offsets, tax credits, tax losses, tax treaties</w:t>
      </w:r>
      <w:r w:rsidR="00171990">
        <w:t xml:space="preserve">, </w:t>
      </w:r>
      <w:r w:rsidR="00171990" w:rsidRPr="00F535CD">
        <w:t>concessions for intra</w:t>
      </w:r>
      <w:r w:rsidR="00171990">
        <w:noBreakHyphen/>
      </w:r>
      <w:r w:rsidR="00171990" w:rsidRPr="00F535CD">
        <w:t>group dividends</w:t>
      </w:r>
      <w:r w:rsidR="001567CE">
        <w:t>,</w:t>
      </w:r>
      <w:r w:rsidR="00171990">
        <w:t xml:space="preserve"> </w:t>
      </w:r>
      <w:r w:rsidR="001567CE" w:rsidRPr="00CE789B">
        <w:t xml:space="preserve">exemptions for </w:t>
      </w:r>
      <w:proofErr w:type="gramStart"/>
      <w:r w:rsidR="001567CE" w:rsidRPr="00CE789B">
        <w:t>particular industries</w:t>
      </w:r>
      <w:proofErr w:type="gramEnd"/>
      <w:r w:rsidR="00016361">
        <w:t>,</w:t>
      </w:r>
      <w:r w:rsidR="001567CE" w:rsidRPr="00CE789B">
        <w:t xml:space="preserve"> exemptions for particular types of income</w:t>
      </w:r>
      <w:r w:rsidR="00D57C9D">
        <w:t>, and</w:t>
      </w:r>
      <w:r w:rsidR="001567CE">
        <w:t xml:space="preserve"> </w:t>
      </w:r>
      <w:r w:rsidR="00D57C9D">
        <w:t xml:space="preserve">income </w:t>
      </w:r>
      <w:r w:rsidR="00171990">
        <w:t xml:space="preserve">tax rates that apply </w:t>
      </w:r>
      <w:r w:rsidR="00DD4875">
        <w:t xml:space="preserve">only </w:t>
      </w:r>
      <w:r w:rsidR="00171990">
        <w:t>to foreign residents are disregarded</w:t>
      </w:r>
      <w:r w:rsidR="00DD4875">
        <w:t>.</w:t>
      </w:r>
      <w:r w:rsidR="005E58F6">
        <w:t xml:space="preserve"> Disregarding these </w:t>
      </w:r>
      <w:r w:rsidR="00783867">
        <w:t xml:space="preserve">items complements the reference to </w:t>
      </w:r>
      <w:r w:rsidR="003C5349">
        <w:t>‘</w:t>
      </w:r>
      <w:r w:rsidR="003C5349" w:rsidRPr="00E802B9">
        <w:rPr>
          <w:i/>
          <w:iCs/>
        </w:rPr>
        <w:t>the rate of corporate income tax</w:t>
      </w:r>
      <w:r w:rsidR="003C5349">
        <w:t>’ in subsection 960-258(1)</w:t>
      </w:r>
      <w:r w:rsidR="00351B9B">
        <w:t xml:space="preserve"> to </w:t>
      </w:r>
      <w:r w:rsidR="002559D9">
        <w:t>clarify</w:t>
      </w:r>
      <w:r w:rsidR="00351B9B">
        <w:t xml:space="preserve"> that </w:t>
      </w:r>
      <w:r w:rsidR="002559D9">
        <w:t xml:space="preserve">it is </w:t>
      </w:r>
      <w:r w:rsidR="00351B9B">
        <w:t xml:space="preserve">the </w:t>
      </w:r>
      <w:r w:rsidR="002559D9">
        <w:t xml:space="preserve">national </w:t>
      </w:r>
      <w:r w:rsidR="00351B9B">
        <w:t xml:space="preserve">headline corporate income tax rate </w:t>
      </w:r>
      <w:r w:rsidR="002559D9">
        <w:t xml:space="preserve">that </w:t>
      </w:r>
      <w:r w:rsidR="00351B9B">
        <w:t>is</w:t>
      </w:r>
      <w:r w:rsidR="002559D9">
        <w:t xml:space="preserve"> relevant for the purposes of determining whether a jurisdiction is a low corporate tax jurisdiction.</w:t>
      </w:r>
      <w:r w:rsidR="00171990">
        <w:t xml:space="preserve"> </w:t>
      </w:r>
      <w:r w:rsidR="00C37BAD">
        <w:t xml:space="preserve">The reference to </w:t>
      </w:r>
      <w:r w:rsidR="00E50C9D">
        <w:t>‘</w:t>
      </w:r>
      <w:r w:rsidR="00E50C9D" w:rsidRPr="00E802B9">
        <w:rPr>
          <w:i/>
          <w:iCs/>
        </w:rPr>
        <w:t>the laws of that foreign country</w:t>
      </w:r>
      <w:r w:rsidR="00E50C9D">
        <w:t xml:space="preserve">’ in </w:t>
      </w:r>
      <w:r w:rsidR="005B4362">
        <w:t>subsection 960-258(1)</w:t>
      </w:r>
      <w:r w:rsidR="00B43F38">
        <w:t xml:space="preserve"> clarifies that o</w:t>
      </w:r>
      <w:r w:rsidR="00171990">
        <w:t xml:space="preserve">nly national level corporate </w:t>
      </w:r>
      <w:r w:rsidR="00B43F38">
        <w:t xml:space="preserve">income </w:t>
      </w:r>
      <w:r w:rsidR="00171990">
        <w:t>tax is relevant for determining whether a foreign country is a low corporate tax jurisdiction.</w:t>
      </w:r>
      <w:r w:rsidR="00995E09" w:rsidRPr="00995E09">
        <w:t xml:space="preserve"> </w:t>
      </w:r>
      <w:r w:rsidR="00995E09">
        <w:t>The amendments require the identification of ‘</w:t>
      </w:r>
      <w:r w:rsidR="00995E09" w:rsidRPr="00C67F99">
        <w:rPr>
          <w:i/>
          <w:iCs/>
        </w:rPr>
        <w:t>the</w:t>
      </w:r>
      <w:r w:rsidR="00995E09">
        <w:rPr>
          <w:i/>
          <w:iCs/>
        </w:rPr>
        <w:t>’</w:t>
      </w:r>
      <w:r w:rsidR="00995E09">
        <w:t xml:space="preserve"> rate of corporate income tax, not any concessional rate of income tax that could apply in that foreign country to </w:t>
      </w:r>
      <w:proofErr w:type="gramStart"/>
      <w:r w:rsidR="00995E09">
        <w:t>particular taxpayers</w:t>
      </w:r>
      <w:proofErr w:type="gramEnd"/>
      <w:r w:rsidR="00995E09">
        <w:t xml:space="preserve"> or industries.</w:t>
      </w:r>
      <w:r w:rsidR="00171990">
        <w:br/>
      </w:r>
      <w:r w:rsidR="00171990" w:rsidRPr="008567C0">
        <w:rPr>
          <w:rStyle w:val="References"/>
        </w:rPr>
        <w:t>[Schedule xx, item</w:t>
      </w:r>
      <w:r w:rsidR="00171990">
        <w:rPr>
          <w:rStyle w:val="References"/>
        </w:rPr>
        <w:t xml:space="preserve"> 3</w:t>
      </w:r>
      <w:r w:rsidR="00171990" w:rsidRPr="008567C0">
        <w:rPr>
          <w:rStyle w:val="References"/>
        </w:rPr>
        <w:t xml:space="preserve">, </w:t>
      </w:r>
      <w:r w:rsidR="00D46288">
        <w:rPr>
          <w:rStyle w:val="References"/>
        </w:rPr>
        <w:t xml:space="preserve">subsection 960-258(1) and </w:t>
      </w:r>
      <w:r w:rsidR="00C20665">
        <w:rPr>
          <w:rStyle w:val="References"/>
        </w:rPr>
        <w:t>sub</w:t>
      </w:r>
      <w:r w:rsidR="00171990">
        <w:rPr>
          <w:rStyle w:val="References"/>
        </w:rPr>
        <w:t>paragraphs</w:t>
      </w:r>
      <w:r w:rsidR="00057CF4">
        <w:rPr>
          <w:rStyle w:val="References"/>
        </w:rPr>
        <w:t> </w:t>
      </w:r>
      <w:r w:rsidR="00171990">
        <w:rPr>
          <w:rStyle w:val="References"/>
        </w:rPr>
        <w:t>960</w:t>
      </w:r>
      <w:r w:rsidR="00057CF4">
        <w:rPr>
          <w:rStyle w:val="References"/>
        </w:rPr>
        <w:noBreakHyphen/>
      </w:r>
      <w:r w:rsidR="00171990">
        <w:rPr>
          <w:rStyle w:val="References"/>
        </w:rPr>
        <w:t>258(2)(</w:t>
      </w:r>
      <w:r w:rsidR="00C20665">
        <w:rPr>
          <w:rStyle w:val="References"/>
        </w:rPr>
        <w:t>b</w:t>
      </w:r>
      <w:r w:rsidR="00171990">
        <w:rPr>
          <w:rStyle w:val="References"/>
        </w:rPr>
        <w:t>)</w:t>
      </w:r>
      <w:r w:rsidR="00C20665">
        <w:rPr>
          <w:rStyle w:val="References"/>
        </w:rPr>
        <w:t>(</w:t>
      </w:r>
      <w:proofErr w:type="spellStart"/>
      <w:r w:rsidR="00C20665">
        <w:rPr>
          <w:rStyle w:val="References"/>
        </w:rPr>
        <w:t>i</w:t>
      </w:r>
      <w:proofErr w:type="spellEnd"/>
      <w:r w:rsidR="00C20665">
        <w:rPr>
          <w:rStyle w:val="References"/>
        </w:rPr>
        <w:t xml:space="preserve">) </w:t>
      </w:r>
      <w:r w:rsidR="00171990">
        <w:rPr>
          <w:rStyle w:val="References"/>
        </w:rPr>
        <w:t xml:space="preserve">and </w:t>
      </w:r>
      <w:r w:rsidR="00C20665">
        <w:rPr>
          <w:rStyle w:val="References"/>
        </w:rPr>
        <w:t>(ii</w:t>
      </w:r>
      <w:r w:rsidR="00171990">
        <w:rPr>
          <w:rStyle w:val="References"/>
        </w:rPr>
        <w:t>) of the ITAA 1997</w:t>
      </w:r>
      <w:r w:rsidR="00171990" w:rsidRPr="008567C0">
        <w:rPr>
          <w:rStyle w:val="References"/>
        </w:rPr>
        <w:t xml:space="preserve">] </w:t>
      </w:r>
    </w:p>
    <w:p w14:paraId="432DDADE" w14:textId="6D7D2E93" w:rsidR="00312102" w:rsidRDefault="00171990" w:rsidP="00312102">
      <w:pPr>
        <w:pStyle w:val="Normalparatextwithnumbers"/>
        <w:numPr>
          <w:ilvl w:val="1"/>
          <w:numId w:val="23"/>
        </w:numPr>
      </w:pPr>
      <w:r>
        <w:lastRenderedPageBreak/>
        <w:t xml:space="preserve">For foreign countries with progressive corporate income tax rates, only the highest rate will be relevant in determining whether that country is a low corporate tax rate jurisdiction. </w:t>
      </w:r>
      <w:r w:rsidR="00E555D3">
        <w:t xml:space="preserve">In </w:t>
      </w:r>
      <w:r w:rsidR="00052ACB">
        <w:t xml:space="preserve">determining the </w:t>
      </w:r>
      <w:r w:rsidR="00E555D3">
        <w:t>rate of corporate income tax under the laws of a foreign country,</w:t>
      </w:r>
      <w:r w:rsidR="00F62CA0">
        <w:t xml:space="preserve"> </w:t>
      </w:r>
      <w:r w:rsidR="00B74E0B">
        <w:t xml:space="preserve">the rate </w:t>
      </w:r>
      <w:r w:rsidR="00F83426">
        <w:t xml:space="preserve">income tax applicable to </w:t>
      </w:r>
      <w:r w:rsidR="00F62CA0">
        <w:t>ordinary business income that has not been disregarded</w:t>
      </w:r>
      <w:r w:rsidR="002B7BCA">
        <w:t xml:space="preserve"> under </w:t>
      </w:r>
      <w:r w:rsidR="00695FA6">
        <w:t>paragraph</w:t>
      </w:r>
      <w:r w:rsidR="002B7BCA">
        <w:t xml:space="preserve"> 960-258(2)</w:t>
      </w:r>
      <w:r w:rsidR="00695FA6">
        <w:t>(b)</w:t>
      </w:r>
      <w:r w:rsidR="00FA629F">
        <w:t xml:space="preserve">, </w:t>
      </w:r>
      <w:r w:rsidR="00E555D3">
        <w:t xml:space="preserve">is treated as nil </w:t>
      </w:r>
      <w:r w:rsidR="00F83426">
        <w:t>if</w:t>
      </w:r>
      <w:r>
        <w:t xml:space="preserve"> no income tax applies </w:t>
      </w:r>
      <w:r w:rsidR="00F83426">
        <w:t xml:space="preserve">to that </w:t>
      </w:r>
      <w:r>
        <w:t>amount</w:t>
      </w:r>
      <w:r w:rsidR="00B872B5">
        <w:t xml:space="preserve"> under the laws </w:t>
      </w:r>
      <w:r w:rsidR="00936E7F">
        <w:t>of</w:t>
      </w:r>
      <w:r w:rsidR="00B872B5">
        <w:t xml:space="preserve"> that foreign country. </w:t>
      </w:r>
      <w:r>
        <w:t>Where different income tax rates apply</w:t>
      </w:r>
      <w:r w:rsidR="00602F6C">
        <w:t xml:space="preserve"> to such income</w:t>
      </w:r>
      <w:r>
        <w:t>, only the lowest tax rate is relevant.</w:t>
      </w:r>
      <w:r>
        <w:br/>
      </w:r>
      <w:r w:rsidRPr="00493EB1">
        <w:rPr>
          <w:rStyle w:val="References"/>
        </w:rPr>
        <w:t>[Schedule xx, item</w:t>
      </w:r>
      <w:r>
        <w:rPr>
          <w:rStyle w:val="References"/>
        </w:rPr>
        <w:t xml:space="preserve"> 3</w:t>
      </w:r>
      <w:r w:rsidRPr="00493EB1">
        <w:rPr>
          <w:rStyle w:val="References"/>
        </w:rPr>
        <w:t xml:space="preserve">, </w:t>
      </w:r>
      <w:r>
        <w:rPr>
          <w:rStyle w:val="References"/>
        </w:rPr>
        <w:t>paragraphs 960-258</w:t>
      </w:r>
      <w:r w:rsidR="003320EE">
        <w:rPr>
          <w:rStyle w:val="References"/>
        </w:rPr>
        <w:t xml:space="preserve">(1)(a), </w:t>
      </w:r>
      <w:r>
        <w:rPr>
          <w:rStyle w:val="References"/>
        </w:rPr>
        <w:t>(2)(c)</w:t>
      </w:r>
      <w:r w:rsidR="00936E7F">
        <w:rPr>
          <w:rStyle w:val="References"/>
        </w:rPr>
        <w:t xml:space="preserve"> and</w:t>
      </w:r>
      <w:r>
        <w:rPr>
          <w:rStyle w:val="References"/>
        </w:rPr>
        <w:t xml:space="preserve"> (d) of the ITAA 1997</w:t>
      </w:r>
      <w:r w:rsidRPr="00493EB1">
        <w:rPr>
          <w:rStyle w:val="References"/>
        </w:rPr>
        <w:t xml:space="preserve">] </w:t>
      </w:r>
    </w:p>
    <w:p w14:paraId="1016164E" w14:textId="20B1C129" w:rsidR="00171990" w:rsidRPr="00312102" w:rsidRDefault="00171990" w:rsidP="00312102">
      <w:pPr>
        <w:pStyle w:val="Normalparatextwithnumbers"/>
        <w:numPr>
          <w:ilvl w:val="1"/>
          <w:numId w:val="23"/>
        </w:numPr>
        <w:rPr>
          <w:rStyle w:val="References"/>
          <w:b w:val="0"/>
          <w:bCs w:val="0"/>
          <w:i w:val="0"/>
          <w:iCs w:val="0"/>
        </w:rPr>
      </w:pPr>
      <w:r>
        <w:t>Th</w:t>
      </w:r>
      <w:r w:rsidR="00353CB1">
        <w:t>ese provisions</w:t>
      </w:r>
      <w:r>
        <w:t xml:space="preserve"> ensure that the amendments capture the relevant </w:t>
      </w:r>
      <w:r w:rsidR="001C42AB">
        <w:t>headline</w:t>
      </w:r>
      <w:r w:rsidR="00353CB1">
        <w:t xml:space="preserve"> corporate income tax </w:t>
      </w:r>
      <w:r>
        <w:t xml:space="preserve">rate that </w:t>
      </w:r>
      <w:r w:rsidR="00804D52">
        <w:t xml:space="preserve">ordinarily </w:t>
      </w:r>
      <w:r>
        <w:t>appl</w:t>
      </w:r>
      <w:r w:rsidR="00804D52">
        <w:t>ies</w:t>
      </w:r>
      <w:r>
        <w:t xml:space="preserve"> to the income of </w:t>
      </w:r>
      <w:r w:rsidR="00804D52">
        <w:t xml:space="preserve">an </w:t>
      </w:r>
      <w:r>
        <w:t>SGE. However, it will not capture concessional corporate income tax rate</w:t>
      </w:r>
      <w:r w:rsidR="00406F8C">
        <w:t xml:space="preserve">s that apply to </w:t>
      </w:r>
      <w:proofErr w:type="gramStart"/>
      <w:r w:rsidR="00406F8C">
        <w:t>particular taxpayers</w:t>
      </w:r>
      <w:proofErr w:type="gramEnd"/>
      <w:r w:rsidR="00406F8C">
        <w:t xml:space="preserve">, such as </w:t>
      </w:r>
      <w:r w:rsidR="002164C1">
        <w:t>on application by a particular taxpayer or rates that apply</w:t>
      </w:r>
      <w:r>
        <w:t xml:space="preserve"> for small or medium businesses, as such rates are not relevant for an SGE.</w:t>
      </w:r>
      <w:r>
        <w:br/>
      </w:r>
      <w:r w:rsidRPr="003E226B">
        <w:rPr>
          <w:rStyle w:val="References"/>
        </w:rPr>
        <w:t>[Schedule xx, item</w:t>
      </w:r>
      <w:r>
        <w:rPr>
          <w:rStyle w:val="References"/>
        </w:rPr>
        <w:t xml:space="preserve"> 2</w:t>
      </w:r>
      <w:r w:rsidRPr="003E226B">
        <w:rPr>
          <w:rStyle w:val="References"/>
        </w:rPr>
        <w:t xml:space="preserve">, </w:t>
      </w:r>
      <w:r w:rsidR="00203177">
        <w:rPr>
          <w:rStyle w:val="References"/>
        </w:rPr>
        <w:t xml:space="preserve">paragraph </w:t>
      </w:r>
      <w:r>
        <w:rPr>
          <w:rStyle w:val="References"/>
        </w:rPr>
        <w:t>26-110(</w:t>
      </w:r>
      <w:r w:rsidR="00203177">
        <w:rPr>
          <w:rStyle w:val="References"/>
        </w:rPr>
        <w:t>4</w:t>
      </w:r>
      <w:r>
        <w:rPr>
          <w:rStyle w:val="References"/>
        </w:rPr>
        <w:t>)</w:t>
      </w:r>
      <w:r w:rsidR="00203177">
        <w:rPr>
          <w:rStyle w:val="References"/>
        </w:rPr>
        <w:t>(a)</w:t>
      </w:r>
      <w:r>
        <w:rPr>
          <w:rStyle w:val="References"/>
        </w:rPr>
        <w:t xml:space="preserve"> of the ITAA 1997</w:t>
      </w:r>
      <w:r w:rsidRPr="003E226B">
        <w:rPr>
          <w:rStyle w:val="References"/>
        </w:rPr>
        <w:t xml:space="preserve">] </w:t>
      </w:r>
    </w:p>
    <w:p w14:paraId="727D7899" w14:textId="77777777" w:rsidR="006D4351" w:rsidRDefault="006D4351" w:rsidP="00952B4D">
      <w:pPr>
        <w:pStyle w:val="ExampleHeading"/>
      </w:pPr>
    </w:p>
    <w:p w14:paraId="589BC36E" w14:textId="73A56560" w:rsidR="00952B4D" w:rsidRDefault="00920696" w:rsidP="00952B4D">
      <w:pPr>
        <w:pStyle w:val="Exampletext"/>
      </w:pPr>
      <w:r>
        <w:t xml:space="preserve">Country A </w:t>
      </w:r>
      <w:r w:rsidR="00806B1C">
        <w:t xml:space="preserve">has </w:t>
      </w:r>
      <w:r w:rsidR="006611E0">
        <w:t>different</w:t>
      </w:r>
      <w:r w:rsidR="000720BB">
        <w:t xml:space="preserve"> corporate</w:t>
      </w:r>
      <w:r w:rsidR="006611E0">
        <w:t xml:space="preserve"> </w:t>
      </w:r>
      <w:r w:rsidR="00F0638B">
        <w:t xml:space="preserve">income </w:t>
      </w:r>
      <w:r w:rsidR="006611E0">
        <w:t>tax rates</w:t>
      </w:r>
      <w:r w:rsidR="00A62C21">
        <w:t xml:space="preserve"> that apply to SGEs in respect of</w:t>
      </w:r>
      <w:r w:rsidR="006611E0">
        <w:t xml:space="preserve"> different types of income. </w:t>
      </w:r>
      <w:r w:rsidR="007D70FF">
        <w:t>Trading income</w:t>
      </w:r>
      <w:r w:rsidR="00B33E9E">
        <w:t xml:space="preserve">, </w:t>
      </w:r>
      <w:r w:rsidR="004A242E">
        <w:t xml:space="preserve">ordinarily derived </w:t>
      </w:r>
      <w:r w:rsidR="00B33E9E">
        <w:t>from the carrying on of a business, is taxed at 10</w:t>
      </w:r>
      <w:r w:rsidR="009B619D">
        <w:t xml:space="preserve"> per</w:t>
      </w:r>
      <w:r w:rsidR="00D81DF6">
        <w:t xml:space="preserve"> </w:t>
      </w:r>
      <w:r w:rsidR="009B619D">
        <w:t>cent</w:t>
      </w:r>
      <w:r w:rsidR="00B33E9E">
        <w:t xml:space="preserve">, however </w:t>
      </w:r>
      <w:r w:rsidR="00FD7555">
        <w:t>passive income</w:t>
      </w:r>
      <w:r w:rsidR="00EC643C">
        <w:t xml:space="preserve"> derived</w:t>
      </w:r>
      <w:r w:rsidR="00FD7555">
        <w:t xml:space="preserve"> from investments</w:t>
      </w:r>
      <w:r w:rsidR="00F636B4">
        <w:t>,</w:t>
      </w:r>
      <w:r w:rsidR="0099597F">
        <w:t xml:space="preserve"> such as shares or </w:t>
      </w:r>
      <w:r w:rsidR="003335E5">
        <w:t>property</w:t>
      </w:r>
      <w:r w:rsidR="00F636B4">
        <w:t>,</w:t>
      </w:r>
      <w:r w:rsidR="003335E5">
        <w:t xml:space="preserve"> is taxed at 22</w:t>
      </w:r>
      <w:r w:rsidR="00F636B4">
        <w:t xml:space="preserve"> per cent</w:t>
      </w:r>
      <w:r w:rsidR="003335E5">
        <w:t xml:space="preserve">. Country A is a low corporate tax jurisdiction </w:t>
      </w:r>
      <w:r w:rsidR="00A03DFA">
        <w:t>under this definition</w:t>
      </w:r>
      <w:r w:rsidR="007107EE">
        <w:t xml:space="preserve"> as o</w:t>
      </w:r>
      <w:r w:rsidR="00A03DFA">
        <w:t>nly the 10</w:t>
      </w:r>
      <w:r w:rsidR="009B619D">
        <w:t xml:space="preserve"> per cent</w:t>
      </w:r>
      <w:r w:rsidR="00A03DFA">
        <w:t xml:space="preserve"> rate is relevant as that is the </w:t>
      </w:r>
      <w:r w:rsidR="00662A6D">
        <w:t xml:space="preserve">corporate income tax </w:t>
      </w:r>
      <w:r w:rsidR="00A03DFA">
        <w:t xml:space="preserve">rate at which </w:t>
      </w:r>
      <w:r w:rsidR="00336557">
        <w:t xml:space="preserve">income derived </w:t>
      </w:r>
      <w:r w:rsidR="00143718">
        <w:t xml:space="preserve">in </w:t>
      </w:r>
      <w:r w:rsidR="00336557">
        <w:t>the ordinary course of business is taxed.</w:t>
      </w:r>
      <w:r w:rsidR="00D20082">
        <w:t xml:space="preserve"> This is so even if the SGE also has passive income that is taxed at 22</w:t>
      </w:r>
      <w:r w:rsidR="00662A6D">
        <w:t xml:space="preserve"> per cent</w:t>
      </w:r>
      <w:r w:rsidR="00D12C1D">
        <w:t>.</w:t>
      </w:r>
    </w:p>
    <w:p w14:paraId="3C36847D" w14:textId="77777777" w:rsidR="00336557" w:rsidRDefault="00336557" w:rsidP="00336557">
      <w:pPr>
        <w:pStyle w:val="ExampleHeading"/>
      </w:pPr>
    </w:p>
    <w:p w14:paraId="6315DAFA" w14:textId="2B2F14D4" w:rsidR="00336557" w:rsidRDefault="00336557" w:rsidP="00336557">
      <w:pPr>
        <w:pStyle w:val="Exampletext"/>
      </w:pPr>
      <w:r>
        <w:t xml:space="preserve">Country B has a corporate headline </w:t>
      </w:r>
      <w:r w:rsidR="0071341D">
        <w:t xml:space="preserve">income </w:t>
      </w:r>
      <w:r>
        <w:t>tax rate</w:t>
      </w:r>
      <w:r w:rsidR="00DF181A">
        <w:t xml:space="preserve"> of 20</w:t>
      </w:r>
      <w:r w:rsidR="00D12C1D">
        <w:t xml:space="preserve"> per cent</w:t>
      </w:r>
      <w:r w:rsidR="00DF181A">
        <w:t xml:space="preserve">. Country B </w:t>
      </w:r>
      <w:r w:rsidR="00D3206F">
        <w:t xml:space="preserve">has a system of different </w:t>
      </w:r>
      <w:r w:rsidR="002D6F96">
        <w:t xml:space="preserve">income </w:t>
      </w:r>
      <w:r w:rsidR="00D3206F">
        <w:t>tax rates for different industries. For example</w:t>
      </w:r>
      <w:r w:rsidR="000E56E7">
        <w:t>,</w:t>
      </w:r>
      <w:r w:rsidR="00D3206F">
        <w:t xml:space="preserve"> Country B </w:t>
      </w:r>
      <w:r w:rsidR="00D57F2B">
        <w:t xml:space="preserve">taxes manufacturing business </w:t>
      </w:r>
      <w:r w:rsidR="00234AA5">
        <w:t xml:space="preserve">income </w:t>
      </w:r>
      <w:r w:rsidR="00D57F2B">
        <w:t xml:space="preserve">at </w:t>
      </w:r>
      <w:r w:rsidR="009B619D">
        <w:t xml:space="preserve">a rate of </w:t>
      </w:r>
      <w:r w:rsidR="00D57F2B">
        <w:t>10</w:t>
      </w:r>
      <w:r w:rsidR="009B619D">
        <w:t xml:space="preserve"> per</w:t>
      </w:r>
      <w:r w:rsidR="00D81DF6">
        <w:t xml:space="preserve"> </w:t>
      </w:r>
      <w:r w:rsidR="009B619D">
        <w:t>cent</w:t>
      </w:r>
      <w:r w:rsidR="00D57F2B">
        <w:t xml:space="preserve"> and taxes </w:t>
      </w:r>
      <w:r w:rsidR="00F63A88">
        <w:t xml:space="preserve">income from </w:t>
      </w:r>
      <w:r w:rsidR="00D81DF6">
        <w:t>o</w:t>
      </w:r>
      <w:r w:rsidR="002E2EED">
        <w:t xml:space="preserve">il </w:t>
      </w:r>
      <w:r w:rsidR="00682B57">
        <w:t xml:space="preserve">and </w:t>
      </w:r>
      <w:r w:rsidR="00D81DF6">
        <w:t>g</w:t>
      </w:r>
      <w:r w:rsidR="00682B57">
        <w:t>as exploration at 30</w:t>
      </w:r>
      <w:r w:rsidR="00A83EA4">
        <w:t xml:space="preserve"> per cent</w:t>
      </w:r>
      <w:r w:rsidR="00682B57">
        <w:t xml:space="preserve">. Country B also does not </w:t>
      </w:r>
      <w:r w:rsidR="00D20082">
        <w:t>impose</w:t>
      </w:r>
      <w:r w:rsidR="00682B57">
        <w:t xml:space="preserve"> any taxes on capital gains. </w:t>
      </w:r>
    </w:p>
    <w:p w14:paraId="35545CC6" w14:textId="0185CBEA" w:rsidR="004D07A6" w:rsidRDefault="004D07A6" w:rsidP="00336557">
      <w:pPr>
        <w:pStyle w:val="Exampletext"/>
      </w:pPr>
      <w:r>
        <w:t>In determining if Country B is a low corporate tax jurisdiction only the 20</w:t>
      </w:r>
      <w:r w:rsidR="001B21D5">
        <w:t xml:space="preserve"> per cent</w:t>
      </w:r>
      <w:r>
        <w:t xml:space="preserve"> </w:t>
      </w:r>
      <w:r w:rsidR="00444862">
        <w:t xml:space="preserve">income tax </w:t>
      </w:r>
      <w:r>
        <w:t xml:space="preserve">rate is relevant. </w:t>
      </w:r>
      <w:r w:rsidR="00C83B76">
        <w:t>The 10</w:t>
      </w:r>
      <w:r w:rsidR="00444862">
        <w:t xml:space="preserve"> per cent </w:t>
      </w:r>
      <w:r w:rsidR="00C83B76">
        <w:t xml:space="preserve">rate for the manufacturing businesses is a </w:t>
      </w:r>
      <w:r w:rsidR="009D5C1D">
        <w:t xml:space="preserve">concession for a particular industry and the </w:t>
      </w:r>
      <w:r w:rsidR="00AB0411">
        <w:t xml:space="preserve">no tax on capital gains is an exemption for a particular kind of income. </w:t>
      </w:r>
      <w:r w:rsidR="003315AC">
        <w:t>The 30</w:t>
      </w:r>
      <w:r w:rsidR="00E177ED">
        <w:t xml:space="preserve"> per cent income </w:t>
      </w:r>
      <w:r w:rsidR="003315AC">
        <w:t>tax</w:t>
      </w:r>
      <w:r w:rsidR="00E177ED">
        <w:t xml:space="preserve"> rate</w:t>
      </w:r>
      <w:r w:rsidR="003315AC">
        <w:t xml:space="preserve"> </w:t>
      </w:r>
      <w:r w:rsidR="00F47D03">
        <w:t xml:space="preserve">imposed </w:t>
      </w:r>
      <w:r w:rsidR="003315AC">
        <w:t xml:space="preserve">on </w:t>
      </w:r>
      <w:r w:rsidR="00E177ED">
        <w:t>o</w:t>
      </w:r>
      <w:r w:rsidR="003315AC">
        <w:t xml:space="preserve">il and </w:t>
      </w:r>
      <w:r w:rsidR="00E177ED">
        <w:t>g</w:t>
      </w:r>
      <w:r w:rsidR="003315AC">
        <w:t xml:space="preserve">as exploration </w:t>
      </w:r>
      <w:r w:rsidR="009E776D">
        <w:t xml:space="preserve">only applies to a particular industry so it is not </w:t>
      </w:r>
      <w:r w:rsidR="0006219D" w:rsidRPr="00B9789B">
        <w:rPr>
          <w:i/>
        </w:rPr>
        <w:t>the</w:t>
      </w:r>
      <w:r w:rsidR="0006219D">
        <w:t xml:space="preserve"> corporate income tax </w:t>
      </w:r>
      <w:r w:rsidR="003824AD">
        <w:t xml:space="preserve">rate </w:t>
      </w:r>
      <w:r w:rsidR="0006219D">
        <w:t>that</w:t>
      </w:r>
      <w:r w:rsidR="003824AD">
        <w:t xml:space="preserve"> applies to income derived </w:t>
      </w:r>
      <w:r w:rsidR="00E177ED">
        <w:t xml:space="preserve">by SGEs in the </w:t>
      </w:r>
      <w:r w:rsidR="003824AD">
        <w:t xml:space="preserve">ordinary course of business. Country B is not a low corporate tax jurisdiction because, the relevant </w:t>
      </w:r>
      <w:r w:rsidR="0089340F">
        <w:t xml:space="preserve">corporate income </w:t>
      </w:r>
      <w:r w:rsidR="003824AD">
        <w:t xml:space="preserve">tax rate is </w:t>
      </w:r>
      <w:r w:rsidR="00134678">
        <w:t>20</w:t>
      </w:r>
      <w:r w:rsidR="00E177ED">
        <w:t xml:space="preserve"> per cent.</w:t>
      </w:r>
    </w:p>
    <w:p w14:paraId="132177D4" w14:textId="5C5E3AE9" w:rsidR="00F217AE" w:rsidRDefault="009004ED" w:rsidP="009004ED">
      <w:pPr>
        <w:pStyle w:val="Heading5"/>
        <w:numPr>
          <w:ilvl w:val="0"/>
          <w:numId w:val="0"/>
        </w:numPr>
      </w:pPr>
      <w:r>
        <w:lastRenderedPageBreak/>
        <w:t>Disregarding Income from Intangible Assets that has been taxed</w:t>
      </w:r>
    </w:p>
    <w:p w14:paraId="37FCE429" w14:textId="2F998F2E" w:rsidR="007E6F93" w:rsidRDefault="00E06974" w:rsidP="007E6F93">
      <w:pPr>
        <w:pStyle w:val="Normalparatextwithnumbers"/>
        <w:numPr>
          <w:ilvl w:val="1"/>
          <w:numId w:val="23"/>
        </w:numPr>
      </w:pPr>
      <w:r>
        <w:t>In determining if income has been derived in a low corporate tax jurisdiction by an associate</w:t>
      </w:r>
      <w:r w:rsidR="00167CC5">
        <w:t>,</w:t>
      </w:r>
      <w:r w:rsidR="00894F95">
        <w:t xml:space="preserve"> </w:t>
      </w:r>
      <w:r w:rsidR="002312C0">
        <w:t>to the extent that an amount of income</w:t>
      </w:r>
      <w:r w:rsidR="00AA3432">
        <w:t xml:space="preserve"> </w:t>
      </w:r>
      <w:r w:rsidR="009A59D6">
        <w:t xml:space="preserve">has been </w:t>
      </w:r>
      <w:proofErr w:type="gramStart"/>
      <w:r w:rsidR="009A59D6">
        <w:t>taken into account</w:t>
      </w:r>
      <w:proofErr w:type="gramEnd"/>
      <w:r w:rsidR="009A59D6">
        <w:t xml:space="preserve"> under </w:t>
      </w:r>
      <w:r w:rsidR="00104028">
        <w:t>Section 456 and 457</w:t>
      </w:r>
      <w:r w:rsidR="009A59D6">
        <w:t xml:space="preserve"> of the ITAA 1936 </w:t>
      </w:r>
      <w:r w:rsidR="00BD342D">
        <w:t xml:space="preserve">and assessed </w:t>
      </w:r>
      <w:r w:rsidR="007574AE">
        <w:t>to a</w:t>
      </w:r>
      <w:r w:rsidR="007D1EFF">
        <w:t xml:space="preserve">ny </w:t>
      </w:r>
      <w:r w:rsidR="007574AE">
        <w:t xml:space="preserve">taxpayer </w:t>
      </w:r>
      <w:r w:rsidR="009A59D6">
        <w:t>as attributable income under the Australian CFC regime</w:t>
      </w:r>
      <w:r w:rsidR="00A92B6E">
        <w:t>,</w:t>
      </w:r>
      <w:r w:rsidR="002751E7">
        <w:t xml:space="preserve"> that income</w:t>
      </w:r>
      <w:r w:rsidR="00910959">
        <w:t xml:space="preserve"> is disregarded. In addition,</w:t>
      </w:r>
      <w:r w:rsidR="009A59D6">
        <w:t xml:space="preserve"> </w:t>
      </w:r>
      <w:r w:rsidR="002751E7">
        <w:t>to th</w:t>
      </w:r>
      <w:r w:rsidR="00157F1A">
        <w:t>e</w:t>
      </w:r>
      <w:r w:rsidR="002751E7">
        <w:t xml:space="preserve"> extent that any</w:t>
      </w:r>
      <w:r w:rsidR="00910959">
        <w:t xml:space="preserve"> </w:t>
      </w:r>
      <w:r w:rsidR="00C83DD6">
        <w:t xml:space="preserve">amount of </w:t>
      </w:r>
      <w:r w:rsidR="00910959">
        <w:t xml:space="preserve">income </w:t>
      </w:r>
      <w:r w:rsidR="00D93F44">
        <w:t>is</w:t>
      </w:r>
      <w:r w:rsidR="00AA3432">
        <w:t xml:space="preserve"> subject to foreign income tax at a rate of </w:t>
      </w:r>
      <w:r w:rsidR="001F5F10">
        <w:t xml:space="preserve">at least </w:t>
      </w:r>
      <w:r w:rsidR="00AA3432">
        <w:t>15</w:t>
      </w:r>
      <w:r w:rsidR="001F5F10">
        <w:t xml:space="preserve"> per cent</w:t>
      </w:r>
      <w:r w:rsidR="002751E7">
        <w:t>, that</w:t>
      </w:r>
      <w:r w:rsidR="00600575">
        <w:t xml:space="preserve"> amount</w:t>
      </w:r>
      <w:r w:rsidR="006115D0">
        <w:t xml:space="preserve"> of</w:t>
      </w:r>
      <w:r w:rsidR="002751E7">
        <w:t xml:space="preserve"> income</w:t>
      </w:r>
      <w:r w:rsidR="004F778D">
        <w:t xml:space="preserve"> is also disregarded.</w:t>
      </w:r>
      <w:r w:rsidR="0040776C">
        <w:t xml:space="preserve"> </w:t>
      </w:r>
      <w:r w:rsidR="00B03AFF">
        <w:t>To the extent</w:t>
      </w:r>
      <w:r w:rsidR="0040776C">
        <w:t xml:space="preserve"> the associate </w:t>
      </w:r>
      <w:r w:rsidR="003E3383">
        <w:t>derives</w:t>
      </w:r>
      <w:r w:rsidR="00E72891">
        <w:t xml:space="preserve"> other income</w:t>
      </w:r>
      <w:r w:rsidR="003E3383">
        <w:t xml:space="preserve"> in the low corporate tax jurisdiction from the exploitation of the relevant intangible </w:t>
      </w:r>
      <w:r w:rsidR="008452F1">
        <w:t>asset that is not attributed</w:t>
      </w:r>
      <w:r w:rsidR="00E84B3D">
        <w:t xml:space="preserve"> under the CFC regime or </w:t>
      </w:r>
      <w:r w:rsidR="00741D81">
        <w:t>subject to foreign income tax at</w:t>
      </w:r>
      <w:r w:rsidR="00D508E9">
        <w:t xml:space="preserve"> a rate of at least</w:t>
      </w:r>
      <w:r w:rsidR="00741D81">
        <w:t xml:space="preserve"> </w:t>
      </w:r>
      <w:r w:rsidR="0095626E">
        <w:t>15 per cent</w:t>
      </w:r>
      <w:r w:rsidR="00D508E9">
        <w:t xml:space="preserve"> as ou</w:t>
      </w:r>
      <w:r w:rsidR="0008138F">
        <w:t>tlined above</w:t>
      </w:r>
      <w:r w:rsidR="00D508E9">
        <w:t>,</w:t>
      </w:r>
      <w:r w:rsidR="0095626E">
        <w:t xml:space="preserve"> </w:t>
      </w:r>
      <w:r w:rsidR="008452F1">
        <w:t>subsection 26-110(2) will still operate</w:t>
      </w:r>
      <w:r w:rsidR="0008138F">
        <w:t xml:space="preserve"> to deny a deduction for the payment.</w:t>
      </w:r>
      <w:r w:rsidR="00AA3432">
        <w:t xml:space="preserve"> </w:t>
      </w:r>
      <w:r w:rsidR="007E6F93">
        <w:br/>
      </w:r>
      <w:r w:rsidR="007E6F93" w:rsidRPr="004F778D">
        <w:rPr>
          <w:rStyle w:val="References"/>
        </w:rPr>
        <w:t xml:space="preserve">[Schedule xx, item </w:t>
      </w:r>
      <w:r w:rsidR="009139DC">
        <w:rPr>
          <w:rStyle w:val="References"/>
        </w:rPr>
        <w:t>2</w:t>
      </w:r>
      <w:r w:rsidR="007E6F93" w:rsidRPr="004F778D">
        <w:rPr>
          <w:rStyle w:val="References"/>
        </w:rPr>
        <w:t xml:space="preserve">, </w:t>
      </w:r>
      <w:r w:rsidR="004F778D">
        <w:rPr>
          <w:rStyle w:val="References"/>
        </w:rPr>
        <w:t xml:space="preserve">paragraphs </w:t>
      </w:r>
      <w:r w:rsidR="00AD4DCF">
        <w:rPr>
          <w:rStyle w:val="References"/>
        </w:rPr>
        <w:t>26-110</w:t>
      </w:r>
      <w:r w:rsidR="004F778D">
        <w:rPr>
          <w:rStyle w:val="References"/>
        </w:rPr>
        <w:t>(</w:t>
      </w:r>
      <w:r w:rsidR="00B938CE">
        <w:rPr>
          <w:rStyle w:val="References"/>
        </w:rPr>
        <w:t>4</w:t>
      </w:r>
      <w:r w:rsidR="004F778D">
        <w:rPr>
          <w:rStyle w:val="References"/>
        </w:rPr>
        <w:t>)(a) and (b) of the</w:t>
      </w:r>
      <w:r w:rsidR="00AD4DCF">
        <w:rPr>
          <w:rStyle w:val="References"/>
        </w:rPr>
        <w:t xml:space="preserve"> ITAA 1997</w:t>
      </w:r>
      <w:r w:rsidR="007E6F93" w:rsidRPr="004F778D">
        <w:rPr>
          <w:rStyle w:val="References"/>
        </w:rPr>
        <w:t xml:space="preserve">] </w:t>
      </w:r>
    </w:p>
    <w:p w14:paraId="1ABCB901" w14:textId="5322D32C" w:rsidR="00AA3432" w:rsidRDefault="007207CF" w:rsidP="00312102">
      <w:pPr>
        <w:pStyle w:val="Normalparatextwithnumbers"/>
        <w:numPr>
          <w:ilvl w:val="1"/>
          <w:numId w:val="23"/>
        </w:numPr>
      </w:pPr>
      <w:r>
        <w:t xml:space="preserve">In determining the rate at which income is subject to foreign income tax, </w:t>
      </w:r>
      <w:r w:rsidR="007242FA">
        <w:t xml:space="preserve">these amendments use the existing definition of subject to foreign income tax in </w:t>
      </w:r>
      <w:r w:rsidR="00682C2E">
        <w:t xml:space="preserve">section 832-130 </w:t>
      </w:r>
      <w:r w:rsidR="008465B2">
        <w:t xml:space="preserve">of the </w:t>
      </w:r>
      <w:r w:rsidR="00682C2E">
        <w:t>ITAA 1997.</w:t>
      </w:r>
      <w:r w:rsidR="00F00A60" w:rsidRPr="00F00A60">
        <w:t xml:space="preserve"> </w:t>
      </w:r>
      <w:r w:rsidR="00F00A60">
        <w:t>This will include all income or profits where income tax is payable under a law of a foreign country because that amount of income or profit is included in the tax base of that law for that foreign tax period.</w:t>
      </w:r>
      <w:r w:rsidR="00594D16" w:rsidRPr="00594D16">
        <w:t xml:space="preserve"> </w:t>
      </w:r>
      <w:r w:rsidR="00594D16">
        <w:t>It will also include where income is attributed to a different entity by a provision of a law of a foreign country that corresponds to the Australian CFC rules under section 456 or 457 of the ITAA 1936.</w:t>
      </w:r>
    </w:p>
    <w:p w14:paraId="3E399C6A" w14:textId="053D4D3B" w:rsidR="009C5C37" w:rsidRDefault="009B23EA" w:rsidP="00312102">
      <w:pPr>
        <w:pStyle w:val="Normalparatextwithnumbers"/>
        <w:numPr>
          <w:ilvl w:val="1"/>
          <w:numId w:val="23"/>
        </w:numPr>
      </w:pPr>
      <w:r w:rsidDel="00F00A60">
        <w:t>This will include all income o</w:t>
      </w:r>
      <w:r w:rsidR="008D71AA" w:rsidDel="00F00A60">
        <w:t>r</w:t>
      </w:r>
      <w:r w:rsidDel="00F00A60">
        <w:t xml:space="preserve"> profits </w:t>
      </w:r>
      <w:r w:rsidR="005460D7" w:rsidDel="00F00A60">
        <w:t xml:space="preserve">where income tax is payable under a law of a foreign country because that amount of income or profit is included in the tax base of that </w:t>
      </w:r>
      <w:r w:rsidR="002E263C" w:rsidDel="00F00A60">
        <w:t>law for that foreign tax period.</w:t>
      </w:r>
    </w:p>
    <w:p w14:paraId="1FDFD032" w14:textId="4B8443FA" w:rsidR="00682C2E" w:rsidRDefault="008C2D41" w:rsidP="009C5C37">
      <w:pPr>
        <w:pStyle w:val="Normalparatextwithnumbers"/>
        <w:numPr>
          <w:ilvl w:val="1"/>
          <w:numId w:val="23"/>
        </w:numPr>
      </w:pPr>
      <w:r>
        <w:t xml:space="preserve">In determining the rate at which the income is subject to foreign income tax there are some modifications </w:t>
      </w:r>
      <w:r w:rsidR="00B0036C">
        <w:t xml:space="preserve">to the existing definition of </w:t>
      </w:r>
      <w:r w:rsidR="00450120">
        <w:t>‘</w:t>
      </w:r>
      <w:r w:rsidR="00B0036C">
        <w:t>subject to foreign income tax</w:t>
      </w:r>
      <w:r w:rsidR="00450120">
        <w:t>’</w:t>
      </w:r>
      <w:r w:rsidR="00B0036C">
        <w:t>. Specifically</w:t>
      </w:r>
      <w:r w:rsidR="000A3686">
        <w:t>,</w:t>
      </w:r>
      <w:r w:rsidR="009166DC">
        <w:t xml:space="preserve"> the exclusion of foreign hybrid </w:t>
      </w:r>
      <w:r w:rsidR="00BF43BA">
        <w:t xml:space="preserve">mismatch </w:t>
      </w:r>
      <w:r w:rsidR="009166DC">
        <w:t xml:space="preserve">rules and </w:t>
      </w:r>
      <w:r w:rsidR="00766CB3">
        <w:t>municip</w:t>
      </w:r>
      <w:r w:rsidR="00BF43BA">
        <w:t xml:space="preserve">ality </w:t>
      </w:r>
      <w:r w:rsidR="00CB6A5B">
        <w:t>and State taxes</w:t>
      </w:r>
      <w:r w:rsidR="009166DC">
        <w:t xml:space="preserve"> from that definition</w:t>
      </w:r>
      <w:r w:rsidR="008121AC">
        <w:t xml:space="preserve"> </w:t>
      </w:r>
      <w:r w:rsidR="00963DD5">
        <w:t xml:space="preserve">under </w:t>
      </w:r>
      <w:r w:rsidR="00B0036C">
        <w:t>subsection</w:t>
      </w:r>
      <w:r w:rsidR="003D7E22">
        <w:t xml:space="preserve"> 832-130(6) and paragraphs 832-130(7)(d) and (e)</w:t>
      </w:r>
      <w:r w:rsidR="00963DD5">
        <w:t xml:space="preserve"> are disregarded.</w:t>
      </w:r>
      <w:r w:rsidR="00AD4DCF">
        <w:br/>
      </w:r>
      <w:r w:rsidR="00AD4DCF" w:rsidRPr="008F5660">
        <w:rPr>
          <w:rStyle w:val="References"/>
        </w:rPr>
        <w:t xml:space="preserve">[Schedule xx, </w:t>
      </w:r>
      <w:r w:rsidR="006F7D98" w:rsidRPr="004F00E6">
        <w:rPr>
          <w:rStyle w:val="References"/>
        </w:rPr>
        <w:t xml:space="preserve">item </w:t>
      </w:r>
      <w:r w:rsidR="006F7D98">
        <w:rPr>
          <w:rStyle w:val="References"/>
        </w:rPr>
        <w:t>2</w:t>
      </w:r>
      <w:r w:rsidR="006F7D98" w:rsidRPr="004F00E6">
        <w:rPr>
          <w:rStyle w:val="References"/>
        </w:rPr>
        <w:t xml:space="preserve">, </w:t>
      </w:r>
      <w:r w:rsidR="006F7D98">
        <w:rPr>
          <w:rStyle w:val="References"/>
        </w:rPr>
        <w:t>sub</w:t>
      </w:r>
      <w:r w:rsidR="00BB4F83">
        <w:rPr>
          <w:rStyle w:val="References"/>
        </w:rPr>
        <w:t>paragraph</w:t>
      </w:r>
      <w:r w:rsidR="006F7D98">
        <w:rPr>
          <w:rStyle w:val="References"/>
        </w:rPr>
        <w:t xml:space="preserve"> 26-110 </w:t>
      </w:r>
      <w:r w:rsidR="00C23C2C">
        <w:rPr>
          <w:rStyle w:val="References"/>
        </w:rPr>
        <w:t>(</w:t>
      </w:r>
      <w:r w:rsidR="00BB4F83">
        <w:rPr>
          <w:rStyle w:val="References"/>
        </w:rPr>
        <w:t>4</w:t>
      </w:r>
      <w:r w:rsidR="00C23C2C">
        <w:rPr>
          <w:rStyle w:val="References"/>
        </w:rPr>
        <w:t>)</w:t>
      </w:r>
      <w:r w:rsidR="00BB4F83">
        <w:rPr>
          <w:rStyle w:val="References"/>
        </w:rPr>
        <w:t>(b)(ii)</w:t>
      </w:r>
      <w:r w:rsidR="006F7D98">
        <w:rPr>
          <w:rStyle w:val="References"/>
        </w:rPr>
        <w:t xml:space="preserve"> ITAA 1997</w:t>
      </w:r>
      <w:r w:rsidR="00AD4DCF" w:rsidRPr="008F5660">
        <w:rPr>
          <w:rStyle w:val="References"/>
        </w:rPr>
        <w:t xml:space="preserve">] </w:t>
      </w:r>
    </w:p>
    <w:p w14:paraId="1055F56A" w14:textId="4DB4F560" w:rsidR="0085639F" w:rsidRDefault="00EE6AE3" w:rsidP="004C2A7D">
      <w:pPr>
        <w:pStyle w:val="Normalparatextwithnumbers"/>
        <w:numPr>
          <w:ilvl w:val="1"/>
          <w:numId w:val="23"/>
        </w:numPr>
      </w:pPr>
      <w:r>
        <w:t>Disregarding s</w:t>
      </w:r>
      <w:r w:rsidR="003D7E22">
        <w:t xml:space="preserve">ubsection 832-130(6) </w:t>
      </w:r>
      <w:r>
        <w:t>will mean that if the payment is subject to foreign income tax at a rate of 15</w:t>
      </w:r>
      <w:r w:rsidR="00963DD5">
        <w:t xml:space="preserve"> per cent</w:t>
      </w:r>
      <w:r>
        <w:t xml:space="preserve"> or greater because of the application of foreign </w:t>
      </w:r>
      <w:r w:rsidR="0085639F">
        <w:t xml:space="preserve">hybrid mismatch rules of a foreign country it </w:t>
      </w:r>
      <w:r w:rsidR="00965229">
        <w:t>may</w:t>
      </w:r>
      <w:r w:rsidR="0085639F">
        <w:t xml:space="preserve"> be considered </w:t>
      </w:r>
      <w:r w:rsidR="00965229">
        <w:t xml:space="preserve">as subject to </w:t>
      </w:r>
      <w:r w:rsidR="001C0DE0">
        <w:t xml:space="preserve">foreign </w:t>
      </w:r>
      <w:r w:rsidR="0085639F">
        <w:t>tax for the</w:t>
      </w:r>
      <w:r w:rsidR="00296079">
        <w:t xml:space="preserve"> purpose of determining whether income is derived by an associate in a low corporate tax jurisdiction.</w:t>
      </w:r>
      <w:r w:rsidR="004C2A7D">
        <w:t xml:space="preserve"> </w:t>
      </w:r>
      <w:r w:rsidR="0085639F">
        <w:t xml:space="preserve">Subsection 832-130(6) </w:t>
      </w:r>
      <w:r w:rsidR="00452A6F">
        <w:t xml:space="preserve">was originally introduced to preserve Australia’s right to neutralise a hybrid mismatch even where a foreign country has also done </w:t>
      </w:r>
      <w:r w:rsidR="00C63A37">
        <w:t>so and is not required for these amendments.</w:t>
      </w:r>
    </w:p>
    <w:p w14:paraId="439E7301" w14:textId="140E1EB4" w:rsidR="00C63A37" w:rsidRDefault="00C63A37" w:rsidP="00894F95">
      <w:pPr>
        <w:pStyle w:val="Normalparatextwithnumbers"/>
        <w:numPr>
          <w:ilvl w:val="1"/>
          <w:numId w:val="23"/>
        </w:numPr>
      </w:pPr>
      <w:r>
        <w:t xml:space="preserve">Disregarding paragraphs 832-130(7)(d) and (e) ensures that </w:t>
      </w:r>
      <w:r w:rsidR="00B23EB5">
        <w:t xml:space="preserve">in determining if income derived in a low corporate tax jurisdiction is subject to foreign income tax at a rate of </w:t>
      </w:r>
      <w:r w:rsidR="008F5660">
        <w:t xml:space="preserve">at least </w:t>
      </w:r>
      <w:r w:rsidR="00B23EB5">
        <w:t>15</w:t>
      </w:r>
      <w:r w:rsidR="008F5660">
        <w:t xml:space="preserve"> per cent</w:t>
      </w:r>
      <w:r w:rsidR="00B23EB5">
        <w:t xml:space="preserve">, </w:t>
      </w:r>
      <w:r w:rsidR="008F5660">
        <w:t>S</w:t>
      </w:r>
      <w:r w:rsidR="00325D62">
        <w:t xml:space="preserve">tate and municipal taxes will be included. </w:t>
      </w:r>
    </w:p>
    <w:p w14:paraId="1C24AF68" w14:textId="02F4CAB4" w:rsidR="00452895" w:rsidRPr="009004ED" w:rsidRDefault="00452895" w:rsidP="008F5660">
      <w:pPr>
        <w:pStyle w:val="Normalparatextwithnumbers"/>
        <w:numPr>
          <w:ilvl w:val="1"/>
          <w:numId w:val="23"/>
        </w:numPr>
      </w:pPr>
      <w:r>
        <w:t>This ensure</w:t>
      </w:r>
      <w:r w:rsidR="00C81313">
        <w:t>s</w:t>
      </w:r>
      <w:r>
        <w:t xml:space="preserve"> that general compliance costs for th</w:t>
      </w:r>
      <w:r w:rsidR="0009781A">
        <w:t xml:space="preserve">ese amendments </w:t>
      </w:r>
      <w:r>
        <w:t xml:space="preserve">are </w:t>
      </w:r>
      <w:r w:rsidR="00AD0A7E">
        <w:t>minimised</w:t>
      </w:r>
      <w:r w:rsidR="0009781A">
        <w:t>,</w:t>
      </w:r>
      <w:r w:rsidR="00B40ED6">
        <w:t xml:space="preserve"> </w:t>
      </w:r>
      <w:r w:rsidR="00433266">
        <w:t>as the</w:t>
      </w:r>
      <w:r w:rsidR="00B40ED6">
        <w:t xml:space="preserve"> </w:t>
      </w:r>
      <w:r w:rsidR="000F3B8E">
        <w:t xml:space="preserve">national </w:t>
      </w:r>
      <w:r w:rsidR="00027EE2">
        <w:t xml:space="preserve">headline </w:t>
      </w:r>
      <w:r w:rsidR="002B3E69">
        <w:t xml:space="preserve">corporate </w:t>
      </w:r>
      <w:r w:rsidR="00027EE2">
        <w:t>income tax rate</w:t>
      </w:r>
      <w:r w:rsidR="00B40ED6">
        <w:t xml:space="preserve"> for </w:t>
      </w:r>
      <w:r w:rsidR="00AA7E35">
        <w:t>SGEs</w:t>
      </w:r>
      <w:r w:rsidR="00B40ED6">
        <w:t xml:space="preserve"> </w:t>
      </w:r>
      <w:r w:rsidR="000F3B8E">
        <w:t>is</w:t>
      </w:r>
      <w:r w:rsidR="00171BFE">
        <w:t xml:space="preserve"> used, however </w:t>
      </w:r>
      <w:r w:rsidR="0009781A">
        <w:t xml:space="preserve">no deduction is </w:t>
      </w:r>
      <w:r w:rsidR="0021678F">
        <w:t xml:space="preserve">denied </w:t>
      </w:r>
      <w:r w:rsidR="00B40ED6">
        <w:t xml:space="preserve">where </w:t>
      </w:r>
      <w:r w:rsidR="000F5F34">
        <w:t>income derived by</w:t>
      </w:r>
      <w:r w:rsidR="00B40ED6">
        <w:t xml:space="preserve"> associates in low </w:t>
      </w:r>
      <w:r w:rsidR="00B40ED6">
        <w:lastRenderedPageBreak/>
        <w:t xml:space="preserve">corporate tax jurisdictions are being taxed at a rate higher than the </w:t>
      </w:r>
      <w:r w:rsidR="00A068D8">
        <w:t xml:space="preserve">national </w:t>
      </w:r>
      <w:r w:rsidR="00B40ED6">
        <w:t xml:space="preserve">headline </w:t>
      </w:r>
      <w:r w:rsidR="003E08DA">
        <w:t>corporate</w:t>
      </w:r>
      <w:r w:rsidR="00B40ED6">
        <w:t xml:space="preserve"> </w:t>
      </w:r>
      <w:r w:rsidR="00AA7E35">
        <w:t xml:space="preserve">income tax </w:t>
      </w:r>
      <w:r w:rsidR="00B40ED6">
        <w:t>rate.</w:t>
      </w:r>
    </w:p>
    <w:p w14:paraId="47F7CA95" w14:textId="77777777" w:rsidR="00134678" w:rsidRDefault="00134678" w:rsidP="00540264">
      <w:pPr>
        <w:pStyle w:val="ExampleHeading"/>
      </w:pPr>
    </w:p>
    <w:p w14:paraId="4BC1FC11" w14:textId="7B9D4A7F" w:rsidR="00134678" w:rsidRDefault="00FB5B6E" w:rsidP="00134678">
      <w:pPr>
        <w:pStyle w:val="Exampletext"/>
      </w:pPr>
      <w:r>
        <w:t xml:space="preserve">Country C has a </w:t>
      </w:r>
      <w:r w:rsidR="00D53EC5">
        <w:t>f</w:t>
      </w:r>
      <w:r>
        <w:t xml:space="preserve">ederal corporate </w:t>
      </w:r>
      <w:r w:rsidR="005C43CF">
        <w:t xml:space="preserve">income </w:t>
      </w:r>
      <w:r>
        <w:t xml:space="preserve">tax rate of </w:t>
      </w:r>
      <w:r w:rsidR="005D188C">
        <w:t>12</w:t>
      </w:r>
      <w:r w:rsidR="005C43CF">
        <w:t xml:space="preserve"> per cent </w:t>
      </w:r>
      <w:r w:rsidR="003356DA">
        <w:t>and also levies</w:t>
      </w:r>
      <w:r w:rsidR="00FC5770">
        <w:t xml:space="preserve"> corporate</w:t>
      </w:r>
      <w:r w:rsidR="003356DA">
        <w:t xml:space="preserve"> </w:t>
      </w:r>
      <w:r w:rsidR="00E4592E">
        <w:t xml:space="preserve">income </w:t>
      </w:r>
      <w:r w:rsidR="003356DA">
        <w:t xml:space="preserve">taxes at a </w:t>
      </w:r>
      <w:proofErr w:type="gramStart"/>
      <w:r w:rsidR="003D2456">
        <w:t>S</w:t>
      </w:r>
      <w:r w:rsidR="003356DA">
        <w:t>tate</w:t>
      </w:r>
      <w:proofErr w:type="gramEnd"/>
      <w:r w:rsidR="003356DA">
        <w:t xml:space="preserve"> level</w:t>
      </w:r>
      <w:r w:rsidR="00B52B43">
        <w:t xml:space="preserve"> of between 2</w:t>
      </w:r>
      <w:r w:rsidR="00DB63EA">
        <w:t> </w:t>
      </w:r>
      <w:r w:rsidR="00B52B43">
        <w:t>and</w:t>
      </w:r>
      <w:r w:rsidR="000102D9">
        <w:t xml:space="preserve"> 10</w:t>
      </w:r>
      <w:r w:rsidR="0099202C">
        <w:t xml:space="preserve"> per cent on the same tax base as </w:t>
      </w:r>
      <w:r w:rsidR="00CA611A">
        <w:t xml:space="preserve">the </w:t>
      </w:r>
      <w:r w:rsidR="00CC4A2F">
        <w:t>f</w:t>
      </w:r>
      <w:r w:rsidR="00CA611A">
        <w:t>ederal corporate income tax rate</w:t>
      </w:r>
      <w:r w:rsidR="00FC5770">
        <w:t xml:space="preserve">. </w:t>
      </w:r>
      <w:r w:rsidR="00436F2B">
        <w:t>O</w:t>
      </w:r>
      <w:r w:rsidR="00FC5770">
        <w:t xml:space="preserve">nly the </w:t>
      </w:r>
      <w:r w:rsidR="00A46157">
        <w:t xml:space="preserve">federal </w:t>
      </w:r>
      <w:r w:rsidR="00FC5770">
        <w:t xml:space="preserve">corporate </w:t>
      </w:r>
      <w:r w:rsidR="00CA611A">
        <w:t xml:space="preserve">income </w:t>
      </w:r>
      <w:r w:rsidR="00FC5770">
        <w:t>tax rate is relevant for determining if a jurisdiction is a low corporate tax jurisdiction</w:t>
      </w:r>
      <w:r w:rsidR="000E4753">
        <w:t xml:space="preserve">. </w:t>
      </w:r>
      <w:r w:rsidR="00FC5770">
        <w:t>C</w:t>
      </w:r>
      <w:r w:rsidR="00BF4AF1">
        <w:t xml:space="preserve">onsequently, </w:t>
      </w:r>
      <w:r w:rsidR="00966F17">
        <w:t>C</w:t>
      </w:r>
      <w:r w:rsidR="00FC5770">
        <w:t>ountry C is a low corporate tax jurisdiction.</w:t>
      </w:r>
    </w:p>
    <w:p w14:paraId="65B9EA8D" w14:textId="1F7BDC8A" w:rsidR="00473C9E" w:rsidRDefault="00A87DAC" w:rsidP="003E4105">
      <w:pPr>
        <w:pStyle w:val="Exampletext"/>
      </w:pPr>
      <w:r w:rsidRPr="00C27ABB">
        <w:t xml:space="preserve">Octagon Co </w:t>
      </w:r>
      <w:proofErr w:type="gramStart"/>
      <w:r w:rsidRPr="00C27ABB">
        <w:t>is located in</w:t>
      </w:r>
      <w:proofErr w:type="gramEnd"/>
      <w:r w:rsidRPr="00C27ABB">
        <w:t xml:space="preserve"> Country C</w:t>
      </w:r>
      <w:r>
        <w:t xml:space="preserve">, within </w:t>
      </w:r>
      <w:r w:rsidRPr="00C27ABB">
        <w:t xml:space="preserve">a </w:t>
      </w:r>
      <w:r w:rsidR="004D22BD">
        <w:t>S</w:t>
      </w:r>
      <w:r w:rsidRPr="00C27ABB">
        <w:t xml:space="preserve">tate that imposes a </w:t>
      </w:r>
      <w:r w:rsidR="004D22BD">
        <w:t>S</w:t>
      </w:r>
      <w:r w:rsidRPr="00C27ABB">
        <w:t xml:space="preserve">tate corporate income tax rate of 10 per cent on the same tax base as Country C’s </w:t>
      </w:r>
      <w:r w:rsidR="00D53EC5">
        <w:t>f</w:t>
      </w:r>
      <w:r w:rsidRPr="00C27ABB">
        <w:t xml:space="preserve">ederal corporate income tax rate. </w:t>
      </w:r>
      <w:r w:rsidR="00F338C0">
        <w:t xml:space="preserve">Octagon Co is </w:t>
      </w:r>
      <w:r w:rsidR="001964C9">
        <w:t>a member</w:t>
      </w:r>
      <w:r w:rsidR="00DD39A6">
        <w:t xml:space="preserve"> of a group of entities </w:t>
      </w:r>
      <w:r w:rsidR="00AD6429">
        <w:t>that are consolidated for accounting purposes</w:t>
      </w:r>
      <w:r w:rsidR="00487766">
        <w:t>. T</w:t>
      </w:r>
      <w:r w:rsidR="00CE671C">
        <w:t xml:space="preserve">he global parent entity of that group </w:t>
      </w:r>
      <w:r w:rsidR="00120C34">
        <w:t>is an SGE.</w:t>
      </w:r>
    </w:p>
    <w:p w14:paraId="39CA2FD8" w14:textId="3EB02EA2" w:rsidR="00487766" w:rsidRDefault="005F650F" w:rsidP="003E4105">
      <w:pPr>
        <w:pStyle w:val="Exampletext"/>
      </w:pPr>
      <w:proofErr w:type="spellStart"/>
      <w:r>
        <w:t>Aus</w:t>
      </w:r>
      <w:proofErr w:type="spellEnd"/>
      <w:r>
        <w:t xml:space="preserve"> Co</w:t>
      </w:r>
      <w:r w:rsidR="00AC0A20">
        <w:t xml:space="preserve"> is an SGE located in Australia and </w:t>
      </w:r>
      <w:r w:rsidR="00AD602C">
        <w:t>is</w:t>
      </w:r>
      <w:r w:rsidR="00423080">
        <w:t xml:space="preserve"> also</w:t>
      </w:r>
      <w:r w:rsidR="00AD602C">
        <w:t xml:space="preserve"> </w:t>
      </w:r>
      <w:r w:rsidR="001601F0">
        <w:t xml:space="preserve">a </w:t>
      </w:r>
      <w:r w:rsidR="0006712E">
        <w:t>member</w:t>
      </w:r>
      <w:r>
        <w:t xml:space="preserve"> of </w:t>
      </w:r>
      <w:r w:rsidR="00AD602C">
        <w:t xml:space="preserve">that </w:t>
      </w:r>
      <w:r w:rsidR="0006712E">
        <w:t>same</w:t>
      </w:r>
      <w:r w:rsidR="00AD602C">
        <w:t xml:space="preserve"> </w:t>
      </w:r>
      <w:r>
        <w:t>group</w:t>
      </w:r>
      <w:r w:rsidR="00AD602C">
        <w:t xml:space="preserve"> of entities</w:t>
      </w:r>
      <w:r w:rsidR="00E17971">
        <w:t>.</w:t>
      </w:r>
    </w:p>
    <w:p w14:paraId="7AD997C4" w14:textId="4B272C98" w:rsidR="0066019F" w:rsidRDefault="003C6844" w:rsidP="003E4105">
      <w:pPr>
        <w:pStyle w:val="Exampletext"/>
      </w:pPr>
      <w:r>
        <w:t xml:space="preserve">Octagon Co derives incomes </w:t>
      </w:r>
      <w:proofErr w:type="gramStart"/>
      <w:r>
        <w:t>as a result of</w:t>
      </w:r>
      <w:proofErr w:type="gramEnd"/>
      <w:r>
        <w:t xml:space="preserve"> an arrangement </w:t>
      </w:r>
      <w:r w:rsidR="005B6585">
        <w:t xml:space="preserve">with </w:t>
      </w:r>
      <w:proofErr w:type="spellStart"/>
      <w:r w:rsidR="005B6585">
        <w:t>Aus</w:t>
      </w:r>
      <w:proofErr w:type="spellEnd"/>
      <w:r w:rsidR="005B6585">
        <w:t xml:space="preserve"> Co, </w:t>
      </w:r>
      <w:r>
        <w:t xml:space="preserve">under which </w:t>
      </w:r>
      <w:proofErr w:type="spellStart"/>
      <w:r>
        <w:t>Aus</w:t>
      </w:r>
      <w:proofErr w:type="spellEnd"/>
      <w:r>
        <w:t xml:space="preserve"> Co makes a payment to Octagon Co</w:t>
      </w:r>
      <w:r w:rsidR="00F35781">
        <w:t xml:space="preserve">n </w:t>
      </w:r>
      <w:r w:rsidR="00896688">
        <w:t xml:space="preserve">for a licence to exploit the intangible assets of Octagon Co. </w:t>
      </w:r>
    </w:p>
    <w:p w14:paraId="4D8899E5" w14:textId="20EA32A1" w:rsidR="00FC5770" w:rsidRPr="00134678" w:rsidRDefault="00334047" w:rsidP="003E4105">
      <w:pPr>
        <w:pStyle w:val="Exampletext"/>
      </w:pPr>
      <w:proofErr w:type="spellStart"/>
      <w:r>
        <w:t>Aus</w:t>
      </w:r>
      <w:proofErr w:type="spellEnd"/>
      <w:r>
        <w:t xml:space="preserve"> Co </w:t>
      </w:r>
      <w:r w:rsidR="00F96FFE">
        <w:t>can demonstrate that</w:t>
      </w:r>
      <w:r w:rsidR="008E2532">
        <w:t xml:space="preserve"> </w:t>
      </w:r>
      <w:r>
        <w:t>the income derived by Octagon Co</w:t>
      </w:r>
      <w:r w:rsidR="008E2532">
        <w:t xml:space="preserve"> in Country C has been subject to foreign </w:t>
      </w:r>
      <w:r w:rsidR="00457BE7">
        <w:t xml:space="preserve">income </w:t>
      </w:r>
      <w:r w:rsidR="008E2532">
        <w:t xml:space="preserve">tax </w:t>
      </w:r>
      <w:r w:rsidR="00F96FFE">
        <w:t>at a rate of 22</w:t>
      </w:r>
      <w:r w:rsidR="00AF234A">
        <w:t xml:space="preserve"> per cent</w:t>
      </w:r>
      <w:r w:rsidR="00D47AB8">
        <w:t xml:space="preserve">, being the aggregate of the </w:t>
      </w:r>
      <w:r w:rsidR="00D53EC5">
        <w:t>f</w:t>
      </w:r>
      <w:r w:rsidR="000847FF">
        <w:t>ederal and State corporate income taxes that apply</w:t>
      </w:r>
      <w:r w:rsidR="00B06A35">
        <w:t>.</w:t>
      </w:r>
      <w:r w:rsidR="00F96FFE">
        <w:t xml:space="preserve"> </w:t>
      </w:r>
      <w:proofErr w:type="spellStart"/>
      <w:r w:rsidR="00FF6222">
        <w:t>Aus</w:t>
      </w:r>
      <w:proofErr w:type="spellEnd"/>
      <w:r w:rsidR="00FF6222">
        <w:t xml:space="preserve"> Co</w:t>
      </w:r>
      <w:r w:rsidR="00F96FFE">
        <w:t xml:space="preserve"> </w:t>
      </w:r>
      <w:r w:rsidR="0079076D">
        <w:t>relies on</w:t>
      </w:r>
      <w:r w:rsidR="00F96FFE">
        <w:t xml:space="preserve"> </w:t>
      </w:r>
      <w:r w:rsidR="00FF6222">
        <w:t xml:space="preserve">the income </w:t>
      </w:r>
      <w:r w:rsidR="00F96FFE">
        <w:t>tax returns</w:t>
      </w:r>
      <w:r w:rsidR="000847FF">
        <w:t xml:space="preserve"> and supporting </w:t>
      </w:r>
      <w:r w:rsidR="0079076D">
        <w:t xml:space="preserve">detailed </w:t>
      </w:r>
      <w:r w:rsidR="00A26DCE">
        <w:t xml:space="preserve">tax working papers and other </w:t>
      </w:r>
      <w:r w:rsidR="000847FF">
        <w:t>information</w:t>
      </w:r>
      <w:r w:rsidR="00F96FFE">
        <w:t xml:space="preserve"> t</w:t>
      </w:r>
      <w:r w:rsidR="00B51F21">
        <w:t>o demonstrate this.</w:t>
      </w:r>
      <w:r w:rsidR="006F3DB3">
        <w:t xml:space="preserve"> Although </w:t>
      </w:r>
      <w:r w:rsidR="00452658">
        <w:t>the</w:t>
      </w:r>
      <w:r w:rsidR="006F3DB3">
        <w:t xml:space="preserve"> income </w:t>
      </w:r>
      <w:r w:rsidR="00452658">
        <w:t>is derived</w:t>
      </w:r>
      <w:r w:rsidR="006F3DB3">
        <w:t xml:space="preserve"> in a low corporate tax jurisdiction</w:t>
      </w:r>
      <w:r w:rsidR="00015BFC">
        <w:t>,</w:t>
      </w:r>
      <w:r w:rsidR="006F3DB3">
        <w:t xml:space="preserve"> </w:t>
      </w:r>
      <w:proofErr w:type="spellStart"/>
      <w:r w:rsidR="00DD2DDE">
        <w:t>Aus</w:t>
      </w:r>
      <w:proofErr w:type="spellEnd"/>
      <w:r w:rsidR="00DD2DDE">
        <w:t xml:space="preserve"> Co </w:t>
      </w:r>
      <w:r w:rsidR="006F3DB3">
        <w:t>can demonstrate</w:t>
      </w:r>
      <w:r w:rsidR="00457BE7">
        <w:t xml:space="preserve"> the income</w:t>
      </w:r>
      <w:r w:rsidR="006F3DB3">
        <w:t xml:space="preserve"> was subject to foreign income tax </w:t>
      </w:r>
      <w:r w:rsidR="00C56A7A">
        <w:t>at a rate of 22</w:t>
      </w:r>
      <w:r w:rsidR="002E0697">
        <w:t xml:space="preserve"> percent</w:t>
      </w:r>
      <w:r w:rsidR="000C4B2E">
        <w:t xml:space="preserve">. The income </w:t>
      </w:r>
      <w:r w:rsidR="00363FBF">
        <w:t>derived by Octagon Co</w:t>
      </w:r>
      <w:r w:rsidR="002E0697">
        <w:t xml:space="preserve"> </w:t>
      </w:r>
      <w:r w:rsidR="00DE7631">
        <w:t xml:space="preserve">from the payment made by </w:t>
      </w:r>
      <w:proofErr w:type="spellStart"/>
      <w:r w:rsidR="00DE7631">
        <w:t>Aus</w:t>
      </w:r>
      <w:proofErr w:type="spellEnd"/>
      <w:r w:rsidR="00DE7631">
        <w:t xml:space="preserve"> Co </w:t>
      </w:r>
      <w:r w:rsidR="00C56A7A">
        <w:t>is disregarded in determining if income is derived in a low corporate tax jurisdiction</w:t>
      </w:r>
      <w:r w:rsidR="002E0697">
        <w:t xml:space="preserve">. Consequently, </w:t>
      </w:r>
      <w:r w:rsidR="00C56A7A">
        <w:t xml:space="preserve">the deduction for </w:t>
      </w:r>
      <w:proofErr w:type="spellStart"/>
      <w:r w:rsidR="00C56A7A">
        <w:t>Aus</w:t>
      </w:r>
      <w:proofErr w:type="spellEnd"/>
      <w:r w:rsidR="00C56A7A">
        <w:t xml:space="preserve"> Co is not denied</w:t>
      </w:r>
      <w:r w:rsidR="00590EFD">
        <w:t xml:space="preserve"> </w:t>
      </w:r>
      <w:r w:rsidR="00960ED7">
        <w:t>under</w:t>
      </w:r>
      <w:r w:rsidR="00590EFD">
        <w:t xml:space="preserve"> </w:t>
      </w:r>
      <w:r w:rsidR="005C766E">
        <w:t>s</w:t>
      </w:r>
      <w:r w:rsidR="00960ED7">
        <w:t>ection</w:t>
      </w:r>
      <w:r w:rsidR="005C766E">
        <w:t xml:space="preserve"> 26</w:t>
      </w:r>
      <w:r w:rsidR="00960ED7">
        <w:noBreakHyphen/>
      </w:r>
      <w:r w:rsidR="005C766E">
        <w:t>110</w:t>
      </w:r>
      <w:r w:rsidR="00960ED7">
        <w:t xml:space="preserve"> of the ITAA 1997</w:t>
      </w:r>
      <w:r w:rsidR="00C56A7A">
        <w:t>.</w:t>
      </w:r>
    </w:p>
    <w:p w14:paraId="33E6E3FD" w14:textId="22FEF0EE" w:rsidR="001308C4" w:rsidRDefault="001308C4" w:rsidP="002721E2">
      <w:pPr>
        <w:pStyle w:val="Normalparatextwithnumbers"/>
        <w:numPr>
          <w:ilvl w:val="0"/>
          <w:numId w:val="0"/>
        </w:numPr>
        <w:rPr>
          <w:rStyle w:val="Heading5Char"/>
        </w:rPr>
      </w:pPr>
      <w:r>
        <w:rPr>
          <w:rStyle w:val="Heading5Char"/>
        </w:rPr>
        <w:t xml:space="preserve">Royalty </w:t>
      </w:r>
      <w:r w:rsidR="00914BDC">
        <w:rPr>
          <w:rStyle w:val="Heading5Char"/>
        </w:rPr>
        <w:t>Withholding Tax</w:t>
      </w:r>
    </w:p>
    <w:p w14:paraId="1775212D" w14:textId="7035E54B" w:rsidR="00914BDC" w:rsidRPr="007E143D" w:rsidRDefault="002F24CC" w:rsidP="009E596F">
      <w:pPr>
        <w:pStyle w:val="Normalparatextwithnumbers"/>
        <w:numPr>
          <w:ilvl w:val="1"/>
          <w:numId w:val="23"/>
        </w:numPr>
        <w:rPr>
          <w:rStyle w:val="References"/>
          <w:b w:val="0"/>
          <w:i w:val="0"/>
          <w:iCs w:val="0"/>
        </w:rPr>
      </w:pPr>
      <w:r>
        <w:rPr>
          <w:bCs/>
        </w:rPr>
        <w:t>Where a deduction would</w:t>
      </w:r>
      <w:r w:rsidR="006B178B">
        <w:rPr>
          <w:bCs/>
        </w:rPr>
        <w:t xml:space="preserve"> otherwise</w:t>
      </w:r>
      <w:r>
        <w:rPr>
          <w:bCs/>
        </w:rPr>
        <w:t xml:space="preserve"> be denied because of the operation of these amendments but </w:t>
      </w:r>
      <w:r w:rsidR="00A3343D">
        <w:rPr>
          <w:bCs/>
        </w:rPr>
        <w:t xml:space="preserve">the taxpayer has withheld an amount from a </w:t>
      </w:r>
      <w:r>
        <w:rPr>
          <w:bCs/>
        </w:rPr>
        <w:t>royalty</w:t>
      </w:r>
      <w:r w:rsidR="00A3343D">
        <w:rPr>
          <w:bCs/>
        </w:rPr>
        <w:t xml:space="preserve"> payment and </w:t>
      </w:r>
      <w:r w:rsidR="00B31D3A">
        <w:rPr>
          <w:bCs/>
        </w:rPr>
        <w:t xml:space="preserve">remitted </w:t>
      </w:r>
      <w:r w:rsidR="00A3343D">
        <w:rPr>
          <w:bCs/>
        </w:rPr>
        <w:t xml:space="preserve">it </w:t>
      </w:r>
      <w:r w:rsidR="00B31D3A">
        <w:rPr>
          <w:bCs/>
        </w:rPr>
        <w:t>to the Commissioner</w:t>
      </w:r>
      <w:r w:rsidR="0098668B">
        <w:rPr>
          <w:bCs/>
        </w:rPr>
        <w:t xml:space="preserve"> as required</w:t>
      </w:r>
      <w:r w:rsidR="00CA455D">
        <w:rPr>
          <w:bCs/>
        </w:rPr>
        <w:t xml:space="preserve"> and no other provision denies a deduction</w:t>
      </w:r>
      <w:r w:rsidR="006E69AB">
        <w:rPr>
          <w:bCs/>
        </w:rPr>
        <w:t xml:space="preserve">, </w:t>
      </w:r>
      <w:r w:rsidR="005D5A87">
        <w:rPr>
          <w:bCs/>
        </w:rPr>
        <w:t xml:space="preserve">the amount of the deduction denied will be reduced </w:t>
      </w:r>
      <w:r w:rsidR="00AB1FC7">
        <w:rPr>
          <w:bCs/>
        </w:rPr>
        <w:t>to reflect the withholdin</w:t>
      </w:r>
      <w:r w:rsidR="009D0464">
        <w:rPr>
          <w:bCs/>
        </w:rPr>
        <w:t>g tax paid</w:t>
      </w:r>
      <w:r w:rsidR="006E69AB">
        <w:rPr>
          <w:bCs/>
        </w:rPr>
        <w:t xml:space="preserve">. </w:t>
      </w:r>
      <w:r w:rsidR="009E596F">
        <w:rPr>
          <w:bCs/>
        </w:rPr>
        <w:t xml:space="preserve">This is to </w:t>
      </w:r>
      <w:r w:rsidR="00C51110">
        <w:rPr>
          <w:bCs/>
        </w:rPr>
        <w:t xml:space="preserve">recognise Australian withholding tax </w:t>
      </w:r>
      <w:r w:rsidR="00F2409C">
        <w:rPr>
          <w:bCs/>
        </w:rPr>
        <w:t>has been paid in relation to that amount</w:t>
      </w:r>
      <w:r w:rsidR="009E596F">
        <w:rPr>
          <w:bCs/>
        </w:rPr>
        <w:t xml:space="preserve"> where an amount has been withheld and remitted to the Commissioner on that payment.</w:t>
      </w:r>
      <w:r w:rsidR="00A03568" w:rsidRPr="009E596F">
        <w:rPr>
          <w:bCs/>
        </w:rPr>
        <w:br/>
      </w:r>
      <w:r w:rsidR="00A03568" w:rsidRPr="00A03568">
        <w:rPr>
          <w:rStyle w:val="References"/>
        </w:rPr>
        <w:t>[Schedule xx, item</w:t>
      </w:r>
      <w:r w:rsidR="00D204C4">
        <w:rPr>
          <w:rStyle w:val="References"/>
        </w:rPr>
        <w:t xml:space="preserve"> 2,</w:t>
      </w:r>
      <w:r w:rsidR="00212DDA">
        <w:rPr>
          <w:rStyle w:val="References"/>
        </w:rPr>
        <w:t xml:space="preserve"> subsection 26-110(</w:t>
      </w:r>
      <w:r w:rsidR="003A68BE">
        <w:rPr>
          <w:rStyle w:val="References"/>
        </w:rPr>
        <w:t>1</w:t>
      </w:r>
      <w:r w:rsidR="007E6AB3">
        <w:rPr>
          <w:rStyle w:val="References"/>
        </w:rPr>
        <w:t>0</w:t>
      </w:r>
      <w:r w:rsidR="00212DDA">
        <w:rPr>
          <w:rStyle w:val="References"/>
        </w:rPr>
        <w:t xml:space="preserve">) </w:t>
      </w:r>
      <w:r w:rsidR="00D204C4" w:rsidRPr="00312102">
        <w:rPr>
          <w:rStyle w:val="References"/>
        </w:rPr>
        <w:t>of the ITAA 1997</w:t>
      </w:r>
      <w:r w:rsidR="00A03568" w:rsidRPr="00312102">
        <w:rPr>
          <w:rStyle w:val="References"/>
        </w:rPr>
        <w:t>]</w:t>
      </w:r>
      <w:r w:rsidR="00A03568" w:rsidRPr="00A03568">
        <w:rPr>
          <w:rStyle w:val="References"/>
        </w:rPr>
        <w:t xml:space="preserve"> </w:t>
      </w:r>
    </w:p>
    <w:p w14:paraId="0F09424C" w14:textId="0D24F5A5" w:rsidR="005E0FE0" w:rsidRPr="009E596F" w:rsidRDefault="005E0FE0" w:rsidP="009E596F">
      <w:pPr>
        <w:pStyle w:val="Normalparatextwithnumbers"/>
        <w:numPr>
          <w:ilvl w:val="1"/>
          <w:numId w:val="23"/>
        </w:numPr>
        <w:rPr>
          <w:rStyle w:val="References"/>
          <w:b w:val="0"/>
          <w:i w:val="0"/>
          <w:iCs w:val="0"/>
        </w:rPr>
      </w:pPr>
      <w:r>
        <w:rPr>
          <w:rStyle w:val="References"/>
          <w:b w:val="0"/>
          <w:i w:val="0"/>
          <w:iCs w:val="0"/>
        </w:rPr>
        <w:t xml:space="preserve">This will also apply where </w:t>
      </w:r>
      <w:r w:rsidR="0093778C">
        <w:rPr>
          <w:rStyle w:val="References"/>
          <w:b w:val="0"/>
          <w:i w:val="0"/>
          <w:iCs w:val="0"/>
        </w:rPr>
        <w:t xml:space="preserve">the </w:t>
      </w:r>
      <w:r>
        <w:rPr>
          <w:rStyle w:val="References"/>
          <w:b w:val="0"/>
          <w:i w:val="0"/>
          <w:iCs w:val="0"/>
        </w:rPr>
        <w:t>royalty</w:t>
      </w:r>
      <w:r w:rsidR="0093778C">
        <w:rPr>
          <w:rStyle w:val="References"/>
          <w:b w:val="0"/>
          <w:i w:val="0"/>
          <w:iCs w:val="0"/>
        </w:rPr>
        <w:t xml:space="preserve"> payment is in </w:t>
      </w:r>
      <w:r w:rsidR="00EA5734">
        <w:rPr>
          <w:rStyle w:val="References"/>
          <w:b w:val="0"/>
          <w:i w:val="0"/>
          <w:iCs w:val="0"/>
        </w:rPr>
        <w:t xml:space="preserve">a </w:t>
      </w:r>
      <w:r w:rsidR="001F16AC">
        <w:rPr>
          <w:rStyle w:val="References"/>
          <w:b w:val="0"/>
          <w:i w:val="0"/>
          <w:iCs w:val="0"/>
        </w:rPr>
        <w:t>non-cash</w:t>
      </w:r>
      <w:r w:rsidR="00EA5734">
        <w:rPr>
          <w:rStyle w:val="References"/>
          <w:b w:val="0"/>
          <w:i w:val="0"/>
          <w:iCs w:val="0"/>
        </w:rPr>
        <w:t xml:space="preserve"> form</w:t>
      </w:r>
      <w:r w:rsidR="001F16AC">
        <w:rPr>
          <w:rStyle w:val="References"/>
          <w:b w:val="0"/>
          <w:i w:val="0"/>
          <w:iCs w:val="0"/>
        </w:rPr>
        <w:t xml:space="preserve"> and </w:t>
      </w:r>
      <w:r w:rsidR="00074622">
        <w:rPr>
          <w:rStyle w:val="References"/>
          <w:b w:val="0"/>
          <w:i w:val="0"/>
          <w:iCs w:val="0"/>
        </w:rPr>
        <w:t xml:space="preserve">the taxpayer </w:t>
      </w:r>
      <w:r w:rsidR="00760671">
        <w:rPr>
          <w:rStyle w:val="References"/>
          <w:b w:val="0"/>
          <w:i w:val="0"/>
          <w:iCs w:val="0"/>
        </w:rPr>
        <w:t>paid</w:t>
      </w:r>
      <w:r w:rsidR="00D42CBC">
        <w:rPr>
          <w:rStyle w:val="References"/>
          <w:b w:val="0"/>
          <w:i w:val="0"/>
          <w:iCs w:val="0"/>
        </w:rPr>
        <w:t xml:space="preserve"> </w:t>
      </w:r>
      <w:r w:rsidR="00D72E5B">
        <w:rPr>
          <w:rStyle w:val="References"/>
          <w:b w:val="0"/>
          <w:i w:val="0"/>
          <w:iCs w:val="0"/>
        </w:rPr>
        <w:t xml:space="preserve">an amount </w:t>
      </w:r>
      <w:r w:rsidR="00760671">
        <w:rPr>
          <w:rStyle w:val="References"/>
          <w:b w:val="0"/>
          <w:i w:val="0"/>
          <w:iCs w:val="0"/>
        </w:rPr>
        <w:t xml:space="preserve">to the Commissioner that is </w:t>
      </w:r>
      <w:r w:rsidR="00AE5E4B">
        <w:rPr>
          <w:rStyle w:val="References"/>
          <w:b w:val="0"/>
          <w:i w:val="0"/>
          <w:iCs w:val="0"/>
        </w:rPr>
        <w:t xml:space="preserve">equivalent to what would </w:t>
      </w:r>
      <w:r w:rsidR="00AE5E4B">
        <w:rPr>
          <w:rStyle w:val="References"/>
          <w:b w:val="0"/>
          <w:i w:val="0"/>
          <w:iCs w:val="0"/>
        </w:rPr>
        <w:lastRenderedPageBreak/>
        <w:t xml:space="preserve">have been required if </w:t>
      </w:r>
      <w:r w:rsidR="00A70BC0">
        <w:rPr>
          <w:rStyle w:val="References"/>
          <w:b w:val="0"/>
          <w:i w:val="0"/>
          <w:iCs w:val="0"/>
        </w:rPr>
        <w:t>it</w:t>
      </w:r>
      <w:r w:rsidR="00AE5E4B">
        <w:rPr>
          <w:rStyle w:val="References"/>
          <w:b w:val="0"/>
          <w:i w:val="0"/>
          <w:iCs w:val="0"/>
        </w:rPr>
        <w:t xml:space="preserve"> was a payment of money equal to the market value of the benefit</w:t>
      </w:r>
      <w:r w:rsidR="0005769C">
        <w:rPr>
          <w:rStyle w:val="References"/>
          <w:b w:val="0"/>
          <w:i w:val="0"/>
          <w:iCs w:val="0"/>
        </w:rPr>
        <w:t>.</w:t>
      </w:r>
      <w:r w:rsidR="00AE5E4B">
        <w:rPr>
          <w:rStyle w:val="References"/>
          <w:b w:val="0"/>
          <w:i w:val="0"/>
          <w:iCs w:val="0"/>
        </w:rPr>
        <w:br/>
      </w:r>
      <w:r w:rsidR="00AE5E4B" w:rsidRPr="007E143D">
        <w:rPr>
          <w:rStyle w:val="References"/>
        </w:rPr>
        <w:t xml:space="preserve">[Schedule xx, item </w:t>
      </w:r>
      <w:r w:rsidR="00AE5E4B">
        <w:rPr>
          <w:rStyle w:val="References"/>
        </w:rPr>
        <w:t>2</w:t>
      </w:r>
      <w:r w:rsidR="00AE5E4B" w:rsidRPr="007E143D">
        <w:rPr>
          <w:rStyle w:val="References"/>
        </w:rPr>
        <w:t>,</w:t>
      </w:r>
      <w:r w:rsidR="00AE5E4B">
        <w:rPr>
          <w:rStyle w:val="References"/>
        </w:rPr>
        <w:t xml:space="preserve"> </w:t>
      </w:r>
      <w:r w:rsidR="00734C10">
        <w:rPr>
          <w:rStyle w:val="References"/>
        </w:rPr>
        <w:t xml:space="preserve">subparagraph </w:t>
      </w:r>
      <w:r w:rsidR="00FF45B9">
        <w:rPr>
          <w:rStyle w:val="References"/>
        </w:rPr>
        <w:t>26-110(</w:t>
      </w:r>
      <w:r w:rsidR="004C6374">
        <w:rPr>
          <w:rStyle w:val="References"/>
        </w:rPr>
        <w:t>8</w:t>
      </w:r>
      <w:r w:rsidR="00FF45B9">
        <w:rPr>
          <w:rStyle w:val="References"/>
        </w:rPr>
        <w:t>)(</w:t>
      </w:r>
      <w:r w:rsidR="00236413">
        <w:rPr>
          <w:rStyle w:val="References"/>
        </w:rPr>
        <w:t>c</w:t>
      </w:r>
      <w:r w:rsidR="00FF45B9">
        <w:rPr>
          <w:rStyle w:val="References"/>
        </w:rPr>
        <w:t>)(</w:t>
      </w:r>
      <w:r w:rsidR="003653B4">
        <w:rPr>
          <w:rStyle w:val="References"/>
        </w:rPr>
        <w:t>i</w:t>
      </w:r>
      <w:r w:rsidR="00FF45B9">
        <w:rPr>
          <w:rStyle w:val="References"/>
        </w:rPr>
        <w:t>i)</w:t>
      </w:r>
      <w:r w:rsidR="00AE5E4B" w:rsidRPr="007E143D">
        <w:rPr>
          <w:rStyle w:val="References"/>
        </w:rPr>
        <w:t xml:space="preserve"> of </w:t>
      </w:r>
      <w:r w:rsidR="00FF45B9">
        <w:rPr>
          <w:rStyle w:val="References"/>
        </w:rPr>
        <w:t>the ITAA 1997</w:t>
      </w:r>
      <w:r w:rsidR="00AE5E4B" w:rsidRPr="007E143D">
        <w:rPr>
          <w:rStyle w:val="References"/>
        </w:rPr>
        <w:t xml:space="preserve">] </w:t>
      </w:r>
    </w:p>
    <w:p w14:paraId="3AF2A5B0" w14:textId="32E5F482" w:rsidR="000B09BE" w:rsidRPr="007B5022" w:rsidRDefault="005A5148" w:rsidP="007B5022">
      <w:pPr>
        <w:pStyle w:val="Normalparatextwithnumbers"/>
        <w:numPr>
          <w:ilvl w:val="1"/>
          <w:numId w:val="23"/>
        </w:numPr>
        <w:rPr>
          <w:bCs/>
        </w:rPr>
      </w:pPr>
      <w:r>
        <w:rPr>
          <w:bCs/>
        </w:rPr>
        <w:t>The amount</w:t>
      </w:r>
      <w:r w:rsidR="003340C5">
        <w:rPr>
          <w:bCs/>
        </w:rPr>
        <w:t xml:space="preserve"> of the</w:t>
      </w:r>
      <w:r>
        <w:rPr>
          <w:bCs/>
        </w:rPr>
        <w:t xml:space="preserve"> </w:t>
      </w:r>
      <w:r w:rsidR="00944C24">
        <w:rPr>
          <w:bCs/>
        </w:rPr>
        <w:t xml:space="preserve">reduction </w:t>
      </w:r>
      <w:r>
        <w:rPr>
          <w:bCs/>
        </w:rPr>
        <w:t xml:space="preserve">is the </w:t>
      </w:r>
      <w:r w:rsidR="0005769C">
        <w:rPr>
          <w:bCs/>
        </w:rPr>
        <w:t>amount paid to the Commissioner</w:t>
      </w:r>
      <w:r>
        <w:rPr>
          <w:bCs/>
        </w:rPr>
        <w:t xml:space="preserve"> </w:t>
      </w:r>
      <w:r w:rsidR="00C844CC">
        <w:rPr>
          <w:bCs/>
        </w:rPr>
        <w:t xml:space="preserve">divided by the corporate income tax rate that applies to </w:t>
      </w:r>
      <w:r w:rsidR="00BB264C">
        <w:rPr>
          <w:bCs/>
        </w:rPr>
        <w:t xml:space="preserve">the </w:t>
      </w:r>
      <w:r w:rsidR="00C844CC">
        <w:rPr>
          <w:bCs/>
        </w:rPr>
        <w:t>SGE.</w:t>
      </w:r>
      <w:r>
        <w:rPr>
          <w:bCs/>
        </w:rPr>
        <w:t xml:space="preserve"> </w:t>
      </w:r>
      <w:r w:rsidR="00C844CC">
        <w:rPr>
          <w:bCs/>
        </w:rPr>
        <w:t xml:space="preserve">Therefore, where the full payment by a taxpayer to an associate is characterised correctly as a royalty and </w:t>
      </w:r>
      <w:r w:rsidR="008836CB">
        <w:rPr>
          <w:bCs/>
        </w:rPr>
        <w:t xml:space="preserve">an amount is withheld from that </w:t>
      </w:r>
      <w:r w:rsidR="00C844CC">
        <w:rPr>
          <w:bCs/>
        </w:rPr>
        <w:t>royalty</w:t>
      </w:r>
      <w:r w:rsidR="00FF7967">
        <w:rPr>
          <w:bCs/>
        </w:rPr>
        <w:t xml:space="preserve"> at a rate of 30 per cent and remitted to the Commissioner, </w:t>
      </w:r>
      <w:r w:rsidR="00BB264C">
        <w:rPr>
          <w:bCs/>
        </w:rPr>
        <w:t xml:space="preserve">provided no other provision denies the deduction, </w:t>
      </w:r>
      <w:r w:rsidR="001F5EDE">
        <w:rPr>
          <w:bCs/>
        </w:rPr>
        <w:t>the full amount of the royalty</w:t>
      </w:r>
      <w:r w:rsidR="00FF7967">
        <w:rPr>
          <w:bCs/>
        </w:rPr>
        <w:t xml:space="preserve"> will </w:t>
      </w:r>
      <w:r w:rsidR="007B5022">
        <w:rPr>
          <w:bCs/>
        </w:rPr>
        <w:t xml:space="preserve">be </w:t>
      </w:r>
      <w:r w:rsidR="00A7581B">
        <w:rPr>
          <w:bCs/>
        </w:rPr>
        <w:t>deductible</w:t>
      </w:r>
      <w:r w:rsidR="00FF5918">
        <w:rPr>
          <w:bCs/>
        </w:rPr>
        <w:t xml:space="preserve"> </w:t>
      </w:r>
      <w:r w:rsidR="00A7581B">
        <w:rPr>
          <w:bCs/>
        </w:rPr>
        <w:t xml:space="preserve">despite the operation of </w:t>
      </w:r>
      <w:r w:rsidR="00FF5918">
        <w:rPr>
          <w:bCs/>
        </w:rPr>
        <w:t>subsection 26-110(2) of the ITAA 1997</w:t>
      </w:r>
      <w:r w:rsidR="007B5022">
        <w:rPr>
          <w:bCs/>
        </w:rPr>
        <w:t>.</w:t>
      </w:r>
      <w:r w:rsidR="005E21DB">
        <w:rPr>
          <w:bCs/>
        </w:rPr>
        <w:t xml:space="preserve"> This rule applies only to the extent </w:t>
      </w:r>
      <w:r w:rsidR="00054005">
        <w:rPr>
          <w:bCs/>
        </w:rPr>
        <w:t>that the payment for which a deduction is claimed consists of a royalty</w:t>
      </w:r>
      <w:r w:rsidR="006B178B">
        <w:rPr>
          <w:bCs/>
        </w:rPr>
        <w:t xml:space="preserve"> and withholding tax has been remitted</w:t>
      </w:r>
      <w:r w:rsidR="00054005">
        <w:rPr>
          <w:bCs/>
        </w:rPr>
        <w:t>.</w:t>
      </w:r>
      <w:r w:rsidR="006C2FCA">
        <w:rPr>
          <w:bCs/>
        </w:rPr>
        <w:t xml:space="preserve"> </w:t>
      </w:r>
      <w:r w:rsidR="00453F98">
        <w:rPr>
          <w:bCs/>
        </w:rPr>
        <w:t xml:space="preserve">If the payment for which the deduction is denied includes amounts that </w:t>
      </w:r>
      <w:r w:rsidR="0041745C">
        <w:rPr>
          <w:bCs/>
        </w:rPr>
        <w:t>do</w:t>
      </w:r>
      <w:r w:rsidR="00453F98">
        <w:rPr>
          <w:bCs/>
        </w:rPr>
        <w:t xml:space="preserve"> not </w:t>
      </w:r>
      <w:r w:rsidR="0041745C">
        <w:rPr>
          <w:bCs/>
        </w:rPr>
        <w:t xml:space="preserve">consist of </w:t>
      </w:r>
      <w:r w:rsidR="00453F98">
        <w:rPr>
          <w:bCs/>
        </w:rPr>
        <w:t xml:space="preserve">a royalty, </w:t>
      </w:r>
      <w:r w:rsidR="0041745C">
        <w:rPr>
          <w:bCs/>
        </w:rPr>
        <w:t>there is no reduction under this rule and those amounts may</w:t>
      </w:r>
      <w:r w:rsidR="00453F98">
        <w:rPr>
          <w:bCs/>
        </w:rPr>
        <w:t xml:space="preserve"> still be denied.</w:t>
      </w:r>
      <w:r w:rsidR="007B5022">
        <w:rPr>
          <w:bCs/>
        </w:rPr>
        <w:br/>
      </w:r>
      <w:r w:rsidR="007B5022" w:rsidRPr="007B5022">
        <w:rPr>
          <w:rStyle w:val="References"/>
        </w:rPr>
        <w:t>[Schedule xx, item</w:t>
      </w:r>
      <w:r w:rsidR="007B5022">
        <w:rPr>
          <w:rStyle w:val="References"/>
        </w:rPr>
        <w:t xml:space="preserve"> 2</w:t>
      </w:r>
      <w:r w:rsidR="00FC032D">
        <w:rPr>
          <w:rStyle w:val="References"/>
        </w:rPr>
        <w:t xml:space="preserve">, </w:t>
      </w:r>
      <w:r w:rsidR="001D672B">
        <w:rPr>
          <w:rStyle w:val="References"/>
        </w:rPr>
        <w:t>subsections 26-110</w:t>
      </w:r>
      <w:r w:rsidR="00054005">
        <w:rPr>
          <w:rStyle w:val="References"/>
        </w:rPr>
        <w:t xml:space="preserve"> </w:t>
      </w:r>
      <w:r w:rsidR="001D672B">
        <w:rPr>
          <w:rStyle w:val="References"/>
        </w:rPr>
        <w:t>(</w:t>
      </w:r>
      <w:r w:rsidR="004C6374">
        <w:rPr>
          <w:rStyle w:val="References"/>
        </w:rPr>
        <w:t>8</w:t>
      </w:r>
      <w:r w:rsidR="001D672B">
        <w:rPr>
          <w:rStyle w:val="References"/>
        </w:rPr>
        <w:t>)</w:t>
      </w:r>
      <w:r w:rsidR="00054005">
        <w:rPr>
          <w:rStyle w:val="References"/>
        </w:rPr>
        <w:t xml:space="preserve"> and (</w:t>
      </w:r>
      <w:r w:rsidR="004C6374">
        <w:rPr>
          <w:rStyle w:val="References"/>
        </w:rPr>
        <w:t>9</w:t>
      </w:r>
      <w:r w:rsidR="00054005">
        <w:rPr>
          <w:rStyle w:val="References"/>
        </w:rPr>
        <w:t>)</w:t>
      </w:r>
      <w:r w:rsidR="001D672B">
        <w:rPr>
          <w:rStyle w:val="References"/>
        </w:rPr>
        <w:t xml:space="preserve"> </w:t>
      </w:r>
      <w:r w:rsidR="007B5022" w:rsidRPr="00312102">
        <w:rPr>
          <w:rStyle w:val="References"/>
        </w:rPr>
        <w:t xml:space="preserve">of </w:t>
      </w:r>
      <w:r w:rsidR="00FC032D" w:rsidRPr="00312102">
        <w:rPr>
          <w:rStyle w:val="References"/>
        </w:rPr>
        <w:t>the ITAA 1997</w:t>
      </w:r>
      <w:r w:rsidR="007B5022" w:rsidRPr="007B5022">
        <w:rPr>
          <w:rStyle w:val="References"/>
        </w:rPr>
        <w:t xml:space="preserve">] </w:t>
      </w:r>
    </w:p>
    <w:p w14:paraId="49320539" w14:textId="1B20739F" w:rsidR="005E59C0" w:rsidRDefault="005E59C0" w:rsidP="00914BDC">
      <w:pPr>
        <w:pStyle w:val="Normalparatextwithnumbers"/>
        <w:numPr>
          <w:ilvl w:val="1"/>
          <w:numId w:val="23"/>
        </w:numPr>
        <w:rPr>
          <w:bCs/>
        </w:rPr>
      </w:pPr>
      <w:r>
        <w:rPr>
          <w:bCs/>
        </w:rPr>
        <w:t>If the full payment by a taxpayer to an associate is char</w:t>
      </w:r>
      <w:r w:rsidR="009B185A">
        <w:rPr>
          <w:bCs/>
        </w:rPr>
        <w:t>ac</w:t>
      </w:r>
      <w:r>
        <w:rPr>
          <w:bCs/>
        </w:rPr>
        <w:t>terised</w:t>
      </w:r>
      <w:r w:rsidR="009B185A">
        <w:rPr>
          <w:bCs/>
        </w:rPr>
        <w:t xml:space="preserve"> </w:t>
      </w:r>
      <w:r>
        <w:rPr>
          <w:bCs/>
        </w:rPr>
        <w:t xml:space="preserve">correctly as a royalty and </w:t>
      </w:r>
      <w:r w:rsidR="009B185A">
        <w:rPr>
          <w:bCs/>
        </w:rPr>
        <w:t xml:space="preserve">the taxpayer has </w:t>
      </w:r>
      <w:r>
        <w:rPr>
          <w:bCs/>
        </w:rPr>
        <w:t>withh</w:t>
      </w:r>
      <w:r w:rsidR="009B185A">
        <w:rPr>
          <w:bCs/>
        </w:rPr>
        <w:t>e</w:t>
      </w:r>
      <w:r>
        <w:rPr>
          <w:bCs/>
        </w:rPr>
        <w:t>ld</w:t>
      </w:r>
      <w:r w:rsidR="009B185A">
        <w:rPr>
          <w:bCs/>
        </w:rPr>
        <w:t xml:space="preserve"> an amount from that royalty at a rate of 10 per cent and remitted that amount to the Commissioner</w:t>
      </w:r>
      <w:r w:rsidR="001462D9">
        <w:rPr>
          <w:bCs/>
        </w:rPr>
        <w:t>, as required under a double tax agreement</w:t>
      </w:r>
      <w:r w:rsidR="009B185A">
        <w:rPr>
          <w:bCs/>
        </w:rPr>
        <w:t>,</w:t>
      </w:r>
      <w:r w:rsidR="00E11EE3">
        <w:rPr>
          <w:bCs/>
        </w:rPr>
        <w:t xml:space="preserve"> noting that rates may very under a double tax agreement,</w:t>
      </w:r>
      <w:r w:rsidR="009B185A">
        <w:rPr>
          <w:bCs/>
        </w:rPr>
        <w:t xml:space="preserve"> </w:t>
      </w:r>
      <w:r>
        <w:rPr>
          <w:bCs/>
        </w:rPr>
        <w:t xml:space="preserve">the </w:t>
      </w:r>
      <w:r w:rsidR="009B185A">
        <w:rPr>
          <w:bCs/>
        </w:rPr>
        <w:t xml:space="preserve">amount of the </w:t>
      </w:r>
      <w:r>
        <w:rPr>
          <w:bCs/>
        </w:rPr>
        <w:t xml:space="preserve">deduction </w:t>
      </w:r>
      <w:r w:rsidR="00FF615C">
        <w:rPr>
          <w:bCs/>
        </w:rPr>
        <w:t>is the withholding amount d</w:t>
      </w:r>
      <w:r w:rsidR="00A83C89">
        <w:rPr>
          <w:bCs/>
        </w:rPr>
        <w:t>i</w:t>
      </w:r>
      <w:r w:rsidR="00FF615C">
        <w:rPr>
          <w:bCs/>
        </w:rPr>
        <w:t xml:space="preserve">vided by the corporate tax rate </w:t>
      </w:r>
      <w:r w:rsidR="00DD2BE8">
        <w:rPr>
          <w:bCs/>
        </w:rPr>
        <w:t xml:space="preserve">applicable to the SGE for the income year. </w:t>
      </w:r>
      <w:r w:rsidR="009B185A">
        <w:rPr>
          <w:bCs/>
        </w:rPr>
        <w:br/>
      </w:r>
      <w:r w:rsidR="009B185A" w:rsidRPr="009B185A">
        <w:rPr>
          <w:rStyle w:val="References"/>
        </w:rPr>
        <w:t>[Schedule xx, item</w:t>
      </w:r>
      <w:r w:rsidR="009B185A">
        <w:rPr>
          <w:rStyle w:val="References"/>
        </w:rPr>
        <w:t xml:space="preserve"> 2, </w:t>
      </w:r>
      <w:r w:rsidR="006330FB">
        <w:rPr>
          <w:rStyle w:val="References"/>
        </w:rPr>
        <w:t>subsections 26-110(</w:t>
      </w:r>
      <w:r w:rsidR="004C6374">
        <w:rPr>
          <w:rStyle w:val="References"/>
        </w:rPr>
        <w:t>8</w:t>
      </w:r>
      <w:r w:rsidR="006330FB">
        <w:rPr>
          <w:rStyle w:val="References"/>
        </w:rPr>
        <w:t>) and (</w:t>
      </w:r>
      <w:r w:rsidR="004C6374">
        <w:rPr>
          <w:rStyle w:val="References"/>
        </w:rPr>
        <w:t>9</w:t>
      </w:r>
      <w:r w:rsidR="006330FB">
        <w:rPr>
          <w:rStyle w:val="References"/>
        </w:rPr>
        <w:t xml:space="preserve">) </w:t>
      </w:r>
      <w:r w:rsidR="009B185A" w:rsidRPr="00312102">
        <w:rPr>
          <w:rStyle w:val="References"/>
        </w:rPr>
        <w:t>of the ITAA 1997</w:t>
      </w:r>
      <w:r w:rsidR="009B185A" w:rsidRPr="009B185A">
        <w:rPr>
          <w:rStyle w:val="References"/>
        </w:rPr>
        <w:t xml:space="preserve">] </w:t>
      </w:r>
    </w:p>
    <w:p w14:paraId="367764DE" w14:textId="77777777" w:rsidR="005E59C0" w:rsidRPr="005E59C0" w:rsidRDefault="005E59C0" w:rsidP="00540264">
      <w:pPr>
        <w:pStyle w:val="ExampleHeading"/>
        <w:rPr>
          <w:rFonts w:eastAsiaTheme="minorHAnsi"/>
        </w:rPr>
      </w:pPr>
    </w:p>
    <w:p w14:paraId="093DE2BD" w14:textId="31F006E1" w:rsidR="004E22E2" w:rsidRDefault="00640DFD" w:rsidP="0010759C">
      <w:pPr>
        <w:pStyle w:val="Exampletext"/>
      </w:pPr>
      <w:proofErr w:type="spellStart"/>
      <w:r>
        <w:t>Aus</w:t>
      </w:r>
      <w:proofErr w:type="spellEnd"/>
      <w:r>
        <w:t xml:space="preserve"> Co</w:t>
      </w:r>
      <w:r w:rsidR="00EA227E">
        <w:t>, an SGE</w:t>
      </w:r>
      <w:r w:rsidR="008E736B">
        <w:t xml:space="preserve"> located in Australia</w:t>
      </w:r>
      <w:r w:rsidR="00EA227E">
        <w:t>,</w:t>
      </w:r>
      <w:r>
        <w:t xml:space="preserve"> makes a payment </w:t>
      </w:r>
      <w:r w:rsidR="002221BE">
        <w:t xml:space="preserve">of $130 </w:t>
      </w:r>
      <w:r>
        <w:t xml:space="preserve">to </w:t>
      </w:r>
      <w:r w:rsidR="001C7F52">
        <w:t xml:space="preserve">an associate, </w:t>
      </w:r>
      <w:r w:rsidR="0093012F">
        <w:t>Rectangle Co</w:t>
      </w:r>
      <w:r w:rsidR="00331A1E">
        <w:t>.</w:t>
      </w:r>
      <w:r w:rsidR="0010759C">
        <w:t xml:space="preserve"> </w:t>
      </w:r>
      <w:r w:rsidR="00331A1E">
        <w:t xml:space="preserve">Both </w:t>
      </w:r>
      <w:proofErr w:type="spellStart"/>
      <w:r w:rsidR="00331A1E">
        <w:t>Aus</w:t>
      </w:r>
      <w:proofErr w:type="spellEnd"/>
      <w:r w:rsidR="00331A1E">
        <w:t xml:space="preserve"> Co and Rectangle Co are</w:t>
      </w:r>
      <w:r w:rsidR="0010759C">
        <w:t xml:space="preserve"> SGEs and</w:t>
      </w:r>
      <w:r w:rsidR="00331A1E">
        <w:t xml:space="preserve"> members of </w:t>
      </w:r>
      <w:r w:rsidR="00356FFF">
        <w:t>a group of entities</w:t>
      </w:r>
      <w:r w:rsidR="00CC1B3E">
        <w:t xml:space="preserve"> where</w:t>
      </w:r>
      <w:r w:rsidR="001D5EEA">
        <w:t xml:space="preserve"> </w:t>
      </w:r>
      <w:r w:rsidR="00D47D84">
        <w:t xml:space="preserve">Rectangle Co </w:t>
      </w:r>
      <w:r w:rsidR="000E1F18">
        <w:t xml:space="preserve">is the global parent entity </w:t>
      </w:r>
      <w:r w:rsidR="00E048E3">
        <w:t xml:space="preserve">of that </w:t>
      </w:r>
      <w:r w:rsidR="00331A1E">
        <w:t>g</w:t>
      </w:r>
      <w:r w:rsidR="00D47D84">
        <w:t>roup</w:t>
      </w:r>
      <w:r w:rsidR="007F1454">
        <w:t>. Rectangle Co</w:t>
      </w:r>
      <w:r w:rsidR="00C46DB3">
        <w:t xml:space="preserve"> is </w:t>
      </w:r>
      <w:r w:rsidR="00B87DE0">
        <w:t xml:space="preserve">headquartered in </w:t>
      </w:r>
      <w:r w:rsidR="00E31AC6">
        <w:t>a low corporate tax jurisdiction.</w:t>
      </w:r>
    </w:p>
    <w:p w14:paraId="03078304" w14:textId="4E764650" w:rsidR="00B319CE" w:rsidRDefault="00A82966" w:rsidP="005E59C0">
      <w:pPr>
        <w:pStyle w:val="Exampletext"/>
      </w:pPr>
      <w:r>
        <w:t xml:space="preserve">Of the $130 </w:t>
      </w:r>
      <w:r w:rsidR="00E31AC6">
        <w:t xml:space="preserve">payment that </w:t>
      </w:r>
      <w:proofErr w:type="spellStart"/>
      <w:r w:rsidR="00E31AC6">
        <w:t>Aus</w:t>
      </w:r>
      <w:proofErr w:type="spellEnd"/>
      <w:r w:rsidR="00E31AC6">
        <w:t xml:space="preserve"> Co makes to Rectangle Co</w:t>
      </w:r>
      <w:r w:rsidR="00CF5634">
        <w:t>, $100</w:t>
      </w:r>
      <w:r w:rsidR="00E31AC6">
        <w:t xml:space="preserve"> is attributable to </w:t>
      </w:r>
      <w:proofErr w:type="spellStart"/>
      <w:r w:rsidR="00AE6F55">
        <w:t>Aus</w:t>
      </w:r>
      <w:proofErr w:type="spellEnd"/>
      <w:r w:rsidR="00AE6F55">
        <w:t xml:space="preserve"> Co’s </w:t>
      </w:r>
      <w:r w:rsidR="00E31AC6">
        <w:t xml:space="preserve">right to exploit </w:t>
      </w:r>
      <w:r w:rsidR="00C04184">
        <w:t>copyright</w:t>
      </w:r>
      <w:r w:rsidR="00CF5634">
        <w:t xml:space="preserve"> and consists of a royalty</w:t>
      </w:r>
      <w:r w:rsidR="00B319CE">
        <w:t>.</w:t>
      </w:r>
      <w:r w:rsidR="00B319CE" w:rsidRPr="00B319CE">
        <w:t xml:space="preserve"> </w:t>
      </w:r>
      <w:r w:rsidR="00B319CE">
        <w:t xml:space="preserve"> Rectangle Co </w:t>
      </w:r>
      <w:proofErr w:type="gramStart"/>
      <w:r w:rsidR="00B319CE">
        <w:t>is located in</w:t>
      </w:r>
      <w:proofErr w:type="gramEnd"/>
      <w:r w:rsidR="00B319CE">
        <w:t xml:space="preserve"> a jurisdiction </w:t>
      </w:r>
      <w:r w:rsidR="00D7189A">
        <w:t xml:space="preserve">with who Australia has </w:t>
      </w:r>
      <w:r w:rsidR="00B319CE">
        <w:t xml:space="preserve">a </w:t>
      </w:r>
      <w:r w:rsidR="00D7189A">
        <w:t xml:space="preserve">double </w:t>
      </w:r>
      <w:r w:rsidR="00B319CE">
        <w:t>tax</w:t>
      </w:r>
      <w:r w:rsidR="00D7189A">
        <w:t xml:space="preserve"> agreement</w:t>
      </w:r>
      <w:r w:rsidR="00C04184">
        <w:t xml:space="preserve"> and </w:t>
      </w:r>
      <w:r w:rsidR="00B319CE">
        <w:t>the relevant royalty withholding</w:t>
      </w:r>
      <w:r w:rsidR="000662B8">
        <w:t xml:space="preserve"> tax</w:t>
      </w:r>
      <w:r w:rsidR="00B319CE">
        <w:t xml:space="preserve"> rate is capped at 10 per cent</w:t>
      </w:r>
      <w:r w:rsidR="00D7189A">
        <w:t xml:space="preserve"> in accordance with that </w:t>
      </w:r>
      <w:r w:rsidR="004F4857">
        <w:t>agreement</w:t>
      </w:r>
      <w:r w:rsidR="00B319CE">
        <w:t>.</w:t>
      </w:r>
      <w:r w:rsidR="00D35D46">
        <w:t xml:space="preserve"> Therefore, </w:t>
      </w:r>
      <w:proofErr w:type="spellStart"/>
      <w:r w:rsidR="00D35D46">
        <w:t>Aus</w:t>
      </w:r>
      <w:proofErr w:type="spellEnd"/>
      <w:r w:rsidR="00D35D46">
        <w:t xml:space="preserve"> Co withheld an amount of $10 and remitted it to the Commissioner.</w:t>
      </w:r>
    </w:p>
    <w:p w14:paraId="23EC2BB6" w14:textId="7CC6BE12" w:rsidR="001D03CB" w:rsidRPr="00914BDC" w:rsidRDefault="00E56F6A" w:rsidP="005E59C0">
      <w:pPr>
        <w:pStyle w:val="Exampletext"/>
        <w:rPr>
          <w:bCs/>
        </w:rPr>
      </w:pPr>
      <w:r>
        <w:t xml:space="preserve">The Commissioner </w:t>
      </w:r>
      <w:r w:rsidR="00CA5158">
        <w:t xml:space="preserve">commences a review </w:t>
      </w:r>
      <w:r w:rsidR="00471EA4">
        <w:t xml:space="preserve">of </w:t>
      </w:r>
      <w:proofErr w:type="spellStart"/>
      <w:r w:rsidR="00471EA4">
        <w:t>Aus</w:t>
      </w:r>
      <w:proofErr w:type="spellEnd"/>
      <w:r w:rsidR="00471EA4">
        <w:t xml:space="preserve"> Co’s income tax </w:t>
      </w:r>
      <w:r w:rsidR="00C05C1C">
        <w:t xml:space="preserve">return for the relevant income tax year. As part of that review, it is </w:t>
      </w:r>
      <w:r>
        <w:t xml:space="preserve">determined that the entire </w:t>
      </w:r>
      <w:r w:rsidR="000E3AB0">
        <w:t>$130</w:t>
      </w:r>
      <w:r w:rsidR="003F3F58">
        <w:t xml:space="preserve"> </w:t>
      </w:r>
      <w:r w:rsidR="00EB349B">
        <w:t xml:space="preserve">is a payment </w:t>
      </w:r>
      <w:r w:rsidR="00D772BA">
        <w:t xml:space="preserve">attributable to the right to exploit an intangible asset and </w:t>
      </w:r>
      <w:r w:rsidR="00AC5E6F">
        <w:t xml:space="preserve">all </w:t>
      </w:r>
      <w:r w:rsidR="00D772BA">
        <w:t xml:space="preserve">the requirements for the deduction to be denied </w:t>
      </w:r>
      <w:r w:rsidR="00AC5E6F">
        <w:t xml:space="preserve">under </w:t>
      </w:r>
      <w:r w:rsidR="004F4857">
        <w:t>subsection 26-110(2)</w:t>
      </w:r>
      <w:r w:rsidR="002106C0">
        <w:t xml:space="preserve"> of the ITAA 1997</w:t>
      </w:r>
      <w:r w:rsidR="00AC5E6F">
        <w:t xml:space="preserve"> </w:t>
      </w:r>
      <w:r w:rsidR="00D772BA">
        <w:t xml:space="preserve">are </w:t>
      </w:r>
      <w:r w:rsidR="00277C8D">
        <w:t>established.</w:t>
      </w:r>
    </w:p>
    <w:p w14:paraId="51D561C9" w14:textId="2595F68D" w:rsidR="00277C8D" w:rsidRPr="00914BDC" w:rsidRDefault="0091784C" w:rsidP="005E59C0">
      <w:pPr>
        <w:pStyle w:val="Exampletext"/>
      </w:pPr>
      <w:r>
        <w:t xml:space="preserve">Given </w:t>
      </w:r>
      <w:proofErr w:type="spellStart"/>
      <w:r>
        <w:t>Aus</w:t>
      </w:r>
      <w:proofErr w:type="spellEnd"/>
      <w:r>
        <w:t xml:space="preserve"> Co has withheld an amount of </w:t>
      </w:r>
      <w:r w:rsidR="009558EE">
        <w:t>$</w:t>
      </w:r>
      <w:r w:rsidR="00BD40DB">
        <w:t>1</w:t>
      </w:r>
      <w:r w:rsidR="009558EE">
        <w:t>0</w:t>
      </w:r>
      <w:r w:rsidR="00DA043D">
        <w:t xml:space="preserve"> </w:t>
      </w:r>
      <w:r w:rsidR="009558EE">
        <w:t xml:space="preserve">and remitted it to the Commissioner, </w:t>
      </w:r>
      <w:proofErr w:type="spellStart"/>
      <w:r w:rsidR="00245A18">
        <w:t>Aus</w:t>
      </w:r>
      <w:proofErr w:type="spellEnd"/>
      <w:r w:rsidR="00245A18">
        <w:t xml:space="preserve"> Co can claim a deduction of </w:t>
      </w:r>
      <w:r w:rsidR="002370EE">
        <w:t>$</w:t>
      </w:r>
      <w:r w:rsidR="004B6C9E">
        <w:t>33</w:t>
      </w:r>
      <w:r w:rsidR="009C2959">
        <w:t xml:space="preserve">, being </w:t>
      </w:r>
      <w:r w:rsidR="009558EE">
        <w:t>the</w:t>
      </w:r>
      <w:r w:rsidR="009C2959">
        <w:t xml:space="preserve"> </w:t>
      </w:r>
      <w:r w:rsidR="009C2959">
        <w:lastRenderedPageBreak/>
        <w:t xml:space="preserve">withholding amount </w:t>
      </w:r>
      <w:r w:rsidR="000846FA">
        <w:t xml:space="preserve">of $10 </w:t>
      </w:r>
      <w:r w:rsidR="009C2959">
        <w:t>divided by the applicable corporate tax rate</w:t>
      </w:r>
      <w:r w:rsidR="000846FA">
        <w:t xml:space="preserve"> of 30 per cent</w:t>
      </w:r>
      <w:r w:rsidR="009C2959">
        <w:t xml:space="preserve">. </w:t>
      </w:r>
      <w:r w:rsidR="000846FA">
        <w:t>The remaining $</w:t>
      </w:r>
      <w:r w:rsidR="004B6C9E">
        <w:t>97</w:t>
      </w:r>
      <w:r w:rsidR="000846FA">
        <w:t xml:space="preserve"> is not deductible </w:t>
      </w:r>
      <w:r w:rsidR="007E46F5">
        <w:t>pursuant to subsection 26-110(2) of the ITAA 1997.</w:t>
      </w:r>
    </w:p>
    <w:p w14:paraId="3A625F57" w14:textId="33FE0A88" w:rsidR="002721E2" w:rsidRDefault="002721E2" w:rsidP="002721E2">
      <w:pPr>
        <w:pStyle w:val="Normalparatextwithnumbers"/>
        <w:numPr>
          <w:ilvl w:val="0"/>
          <w:numId w:val="0"/>
        </w:numPr>
      </w:pPr>
      <w:r w:rsidRPr="00D0547D">
        <w:rPr>
          <w:rStyle w:val="Heading5Char"/>
        </w:rPr>
        <w:t>Tax Preferential Patent Box Regime</w:t>
      </w:r>
      <w:r>
        <w:t xml:space="preserve"> </w:t>
      </w:r>
    </w:p>
    <w:p w14:paraId="6AF05E80" w14:textId="63B18329" w:rsidR="004E397B" w:rsidRDefault="004E397B" w:rsidP="004E397B">
      <w:pPr>
        <w:pStyle w:val="Normalparatextwithnumbers"/>
        <w:numPr>
          <w:ilvl w:val="1"/>
          <w:numId w:val="23"/>
        </w:numPr>
      </w:pPr>
      <w:r>
        <w:t xml:space="preserve">These amendments also apply to deny deductions for payments to associates where income from exploiting the intangible asset is derived in a jurisdiction determined by </w:t>
      </w:r>
      <w:r w:rsidR="00F57C81">
        <w:t xml:space="preserve">the </w:t>
      </w:r>
      <w:r>
        <w:t>Minister as providing for a preferential patent box regime without sufficient economic substance in that jurisdiction.</w:t>
      </w:r>
      <w:r>
        <w:br/>
      </w:r>
      <w:r w:rsidRPr="00A8795C">
        <w:rPr>
          <w:rStyle w:val="References"/>
        </w:rPr>
        <w:t>[Schedule xx, item</w:t>
      </w:r>
      <w:r>
        <w:rPr>
          <w:rStyle w:val="References"/>
        </w:rPr>
        <w:t xml:space="preserve"> 3</w:t>
      </w:r>
      <w:r w:rsidRPr="00A8795C">
        <w:rPr>
          <w:rStyle w:val="References"/>
        </w:rPr>
        <w:t xml:space="preserve">, </w:t>
      </w:r>
      <w:r>
        <w:rPr>
          <w:rStyle w:val="References"/>
        </w:rPr>
        <w:t>subsection 960-258(</w:t>
      </w:r>
      <w:r w:rsidR="009542C8">
        <w:rPr>
          <w:rStyle w:val="References"/>
        </w:rPr>
        <w:t>4</w:t>
      </w:r>
      <w:r>
        <w:rPr>
          <w:rStyle w:val="References"/>
        </w:rPr>
        <w:t>) of the ITAA 1997</w:t>
      </w:r>
      <w:r w:rsidRPr="00A8795C">
        <w:rPr>
          <w:rStyle w:val="References"/>
        </w:rPr>
        <w:t xml:space="preserve">] </w:t>
      </w:r>
    </w:p>
    <w:p w14:paraId="226642CC" w14:textId="77777777" w:rsidR="004E397B" w:rsidRDefault="004E397B" w:rsidP="004E397B">
      <w:pPr>
        <w:pStyle w:val="Normalparatextwithnumbers"/>
        <w:numPr>
          <w:ilvl w:val="1"/>
          <w:numId w:val="23"/>
        </w:numPr>
      </w:pPr>
      <w:r>
        <w:t>A patent-box regime is a regime that typically provides tax concessions, usually in the form of a concessional rate of tax, for income that is derived by the exploitation of intellectual property. A regime of this kind usually involves income that is derived from the ownership of patents and offers these concessions to encourage companies to locate and/or develop their intellectual property onshore in those countries.</w:t>
      </w:r>
    </w:p>
    <w:p w14:paraId="481D4DF9" w14:textId="3A0FB8A1" w:rsidR="004E397B" w:rsidRDefault="004E397B" w:rsidP="004E397B">
      <w:pPr>
        <w:pStyle w:val="Normalparatextwithnumbers"/>
        <w:numPr>
          <w:ilvl w:val="1"/>
          <w:numId w:val="23"/>
        </w:numPr>
      </w:pPr>
      <w:r>
        <w:t xml:space="preserve">This amendment is not designed to capture all patent-box regimes, </w:t>
      </w:r>
      <w:r w:rsidR="00805728">
        <w:t xml:space="preserve">rather it </w:t>
      </w:r>
      <w:r>
        <w:t xml:space="preserve">only </w:t>
      </w:r>
      <w:r w:rsidR="00805728">
        <w:t xml:space="preserve">intends to </w:t>
      </w:r>
      <w:r w:rsidR="005A7F91">
        <w:t xml:space="preserve">apply in respect of </w:t>
      </w:r>
      <w:r>
        <w:t xml:space="preserve">those </w:t>
      </w:r>
      <w:r w:rsidR="005A7F91">
        <w:t xml:space="preserve">regimes </w:t>
      </w:r>
      <w:r>
        <w:t>that provide tax concessions without requiring sufficient economic activity to develop the relevant intellectual property in the country which provides the patent box concession.</w:t>
      </w:r>
    </w:p>
    <w:p w14:paraId="27451656" w14:textId="77777777" w:rsidR="004E397B" w:rsidRPr="00DF2A9A" w:rsidRDefault="004E397B" w:rsidP="004E397B">
      <w:pPr>
        <w:pStyle w:val="Normalparatextwithnumbers"/>
        <w:numPr>
          <w:ilvl w:val="1"/>
          <w:numId w:val="23"/>
        </w:numPr>
      </w:pPr>
      <w:r>
        <w:t xml:space="preserve">The OECD periodically reviews preferential tax regimes, including those focused on intellectual property, such as patent box regimes, to determine if sufficient economic substance exists. This is done through the </w:t>
      </w:r>
      <w:r>
        <w:rPr>
          <w:i/>
          <w:iCs/>
        </w:rPr>
        <w:t xml:space="preserve">OECD Forum on harmful tax practices. </w:t>
      </w:r>
    </w:p>
    <w:p w14:paraId="5332B75C" w14:textId="39DACCA4" w:rsidR="00F2093D" w:rsidRDefault="00F2093D" w:rsidP="00F2093D">
      <w:pPr>
        <w:pStyle w:val="Normalparatextwithnumbers"/>
      </w:pPr>
      <w:r>
        <w:t xml:space="preserve">The Minister may make a legislative instrument to determine a foreign country if the Minister is satisfied that the income tax laws of the foreign country provide for a preferential patent box regime without sufficient economic substance. This is intended to ensure that any harmful patent-box regimes are captured. The power </w:t>
      </w:r>
      <w:r w:rsidR="00ED50B7">
        <w:t>to make a legislative instrument</w:t>
      </w:r>
      <w:r>
        <w:t xml:space="preserve"> ensure</w:t>
      </w:r>
      <w:r w:rsidR="006A00FB">
        <w:t>s</w:t>
      </w:r>
      <w:r>
        <w:t xml:space="preserve"> the legislation can quickly adapt to changes in patent-box regimes in other countries or the introduction of new patent box regimes in other countries.</w:t>
      </w:r>
      <w:r w:rsidR="00B83599">
        <w:br/>
      </w:r>
      <w:r w:rsidR="00B83599" w:rsidRPr="00B83599">
        <w:rPr>
          <w:rStyle w:val="References"/>
        </w:rPr>
        <w:t>[Schedule xx, item</w:t>
      </w:r>
      <w:r w:rsidR="00B83599">
        <w:rPr>
          <w:rStyle w:val="References"/>
        </w:rPr>
        <w:t xml:space="preserve"> </w:t>
      </w:r>
      <w:r w:rsidR="00B83599" w:rsidRPr="00F2093D">
        <w:rPr>
          <w:rStyle w:val="References"/>
        </w:rPr>
        <w:t>3, subsection 960-258(4) of the ITAA 1997</w:t>
      </w:r>
      <w:r w:rsidR="00B83599" w:rsidRPr="00B83599">
        <w:rPr>
          <w:rStyle w:val="References"/>
        </w:rPr>
        <w:t xml:space="preserve">] </w:t>
      </w:r>
      <w:r>
        <w:t xml:space="preserve"> </w:t>
      </w:r>
    </w:p>
    <w:p w14:paraId="024AD077" w14:textId="354BAE35" w:rsidR="004E397B" w:rsidRDefault="004E397B" w:rsidP="004E397B">
      <w:pPr>
        <w:pStyle w:val="Normalparatextwithnumbers"/>
        <w:numPr>
          <w:ilvl w:val="1"/>
          <w:numId w:val="23"/>
        </w:numPr>
      </w:pPr>
      <w:r>
        <w:t xml:space="preserve">In determining a jurisdiction, the Minister may have regard to any relevant findings, determinations, </w:t>
      </w:r>
      <w:r w:rsidRPr="0000400B">
        <w:t>advice, reports or other publications of the Council of the OECD, such as</w:t>
      </w:r>
      <w:r w:rsidRPr="004337C4">
        <w:rPr>
          <w:i/>
          <w:iCs/>
        </w:rPr>
        <w:t xml:space="preserve"> </w:t>
      </w:r>
      <w:r>
        <w:rPr>
          <w:i/>
          <w:iCs/>
        </w:rPr>
        <w:t>“</w:t>
      </w:r>
      <w:r w:rsidRPr="004337C4">
        <w:rPr>
          <w:i/>
          <w:iCs/>
        </w:rPr>
        <w:t>Harmful Tax Practices – 2018 Progress Report on Preferential Regimes</w:t>
      </w:r>
      <w:r w:rsidRPr="004337C4">
        <w:t xml:space="preserve"> and the </w:t>
      </w:r>
      <w:r w:rsidRPr="004337C4">
        <w:rPr>
          <w:i/>
          <w:iCs/>
        </w:rPr>
        <w:t>Harmful Tax Practices – Peer Review Results – Inclusive Framework on BEPS: Action 5</w:t>
      </w:r>
      <w:r>
        <w:rPr>
          <w:i/>
          <w:iCs/>
        </w:rPr>
        <w:t>”</w:t>
      </w:r>
      <w:r w:rsidRPr="004337C4">
        <w:t xml:space="preserve"> and the most recent conclusions of the OECD </w:t>
      </w:r>
      <w:r>
        <w:rPr>
          <w:i/>
          <w:iCs/>
        </w:rPr>
        <w:t>Forum on harmful tax practices</w:t>
      </w:r>
      <w:r w:rsidRPr="004337C4">
        <w:t xml:space="preserve"> in this regard</w:t>
      </w:r>
      <w:r>
        <w:t>.</w:t>
      </w:r>
      <w:r>
        <w:br/>
      </w:r>
      <w:r w:rsidRPr="00CA64CF">
        <w:rPr>
          <w:rStyle w:val="References"/>
        </w:rPr>
        <w:t xml:space="preserve">[Schedule xx, </w:t>
      </w:r>
      <w:r w:rsidRPr="00A32E5C">
        <w:rPr>
          <w:rStyle w:val="References"/>
        </w:rPr>
        <w:t>item</w:t>
      </w:r>
      <w:r>
        <w:rPr>
          <w:rStyle w:val="References"/>
        </w:rPr>
        <w:t xml:space="preserve"> 3</w:t>
      </w:r>
      <w:r w:rsidRPr="00A32E5C">
        <w:rPr>
          <w:rStyle w:val="References"/>
        </w:rPr>
        <w:t xml:space="preserve">, </w:t>
      </w:r>
      <w:r>
        <w:rPr>
          <w:rStyle w:val="References"/>
        </w:rPr>
        <w:t>subsection 960-258(</w:t>
      </w:r>
      <w:r w:rsidR="009542C8">
        <w:rPr>
          <w:rStyle w:val="References"/>
        </w:rPr>
        <w:t>5</w:t>
      </w:r>
      <w:r>
        <w:rPr>
          <w:rStyle w:val="References"/>
        </w:rPr>
        <w:t>) of the ITAA 1997</w:t>
      </w:r>
      <w:r w:rsidRPr="00CA64CF">
        <w:rPr>
          <w:rStyle w:val="References"/>
        </w:rPr>
        <w:t xml:space="preserve">] </w:t>
      </w:r>
    </w:p>
    <w:p w14:paraId="0B2C1902" w14:textId="77777777" w:rsidR="004E397B" w:rsidRDefault="004E397B" w:rsidP="004E397B">
      <w:pPr>
        <w:pStyle w:val="Normalparatextwithnumbers"/>
      </w:pPr>
      <w:r w:rsidRPr="004E4B1E">
        <w:t xml:space="preserve">The legislative instrument would be subject to disallowance and </w:t>
      </w:r>
      <w:r>
        <w:t xml:space="preserve">would </w:t>
      </w:r>
      <w:r w:rsidRPr="004E4B1E">
        <w:t xml:space="preserve">sunset after </w:t>
      </w:r>
      <w:r>
        <w:t>10</w:t>
      </w:r>
      <w:r w:rsidRPr="004E4B1E">
        <w:t xml:space="preserve"> years and will therefore be subject to appropriate parliamentary scrutiny.</w:t>
      </w:r>
    </w:p>
    <w:p w14:paraId="508078F9" w14:textId="45F61165" w:rsidR="00D52884" w:rsidRDefault="00F2093D" w:rsidP="00F2093D">
      <w:pPr>
        <w:pStyle w:val="Normalparatextwithnumbers"/>
        <w:numPr>
          <w:ilvl w:val="0"/>
          <w:numId w:val="0"/>
        </w:numPr>
        <w:rPr>
          <w:rStyle w:val="Heading5Char"/>
        </w:rPr>
      </w:pPr>
      <w:r w:rsidRPr="003B6E0A">
        <w:rPr>
          <w:rStyle w:val="Heading5Char"/>
        </w:rPr>
        <w:t>Penalties</w:t>
      </w:r>
    </w:p>
    <w:p w14:paraId="3CC475B4" w14:textId="3DD7E79A" w:rsidR="005D04FF" w:rsidRDefault="00CC6D9D" w:rsidP="00564D0C">
      <w:pPr>
        <w:pStyle w:val="Normalparatextwithnumbers"/>
        <w:numPr>
          <w:ilvl w:val="1"/>
          <w:numId w:val="23"/>
        </w:numPr>
      </w:pPr>
      <w:r>
        <w:t>These amendments also contain a</w:t>
      </w:r>
      <w:r w:rsidR="000C7CC2">
        <w:t xml:space="preserve"> doubling</w:t>
      </w:r>
      <w:r>
        <w:t xml:space="preserve"> </w:t>
      </w:r>
      <w:r w:rsidR="00B464AD">
        <w:t>of the base</w:t>
      </w:r>
      <w:r>
        <w:t xml:space="preserve"> penalty amounts where </w:t>
      </w:r>
      <w:r w:rsidR="006D776D">
        <w:t>the penalty results from an application of these amendments</w:t>
      </w:r>
      <w:r w:rsidR="00B83599">
        <w:t>.</w:t>
      </w:r>
      <w:r w:rsidR="000A4014">
        <w:t xml:space="preserve"> </w:t>
      </w:r>
      <w:r w:rsidR="005D04FF">
        <w:t xml:space="preserve">This is in addition </w:t>
      </w:r>
      <w:r w:rsidR="005D04FF">
        <w:lastRenderedPageBreak/>
        <w:t>to the doubling</w:t>
      </w:r>
      <w:r w:rsidR="00174447">
        <w:t xml:space="preserve"> of </w:t>
      </w:r>
      <w:r w:rsidR="009E10C5">
        <w:t xml:space="preserve">the </w:t>
      </w:r>
      <w:r w:rsidR="00174447">
        <w:t>base penalty amount</w:t>
      </w:r>
      <w:r w:rsidR="009E10C5">
        <w:t>s</w:t>
      </w:r>
      <w:r w:rsidR="005D04FF">
        <w:t xml:space="preserve"> that</w:t>
      </w:r>
      <w:r w:rsidR="00174447">
        <w:t xml:space="preserve"> </w:t>
      </w:r>
      <w:r w:rsidR="003505EB">
        <w:t xml:space="preserve">already applies to a penalty </w:t>
      </w:r>
      <w:r w:rsidR="009E10C5">
        <w:t>of</w:t>
      </w:r>
      <w:r w:rsidR="00A31D12">
        <w:t xml:space="preserve"> an SGE</w:t>
      </w:r>
      <w:r w:rsidR="000A4014">
        <w:t>.</w:t>
      </w:r>
      <w:r w:rsidR="00A31D12">
        <w:t xml:space="preserve"> </w:t>
      </w:r>
    </w:p>
    <w:p w14:paraId="6640B7FC" w14:textId="417D07BD" w:rsidR="00F2093D" w:rsidRPr="00312102" w:rsidRDefault="006D776D" w:rsidP="00312102">
      <w:pPr>
        <w:pStyle w:val="Normalparatextwithnumbers"/>
        <w:numPr>
          <w:ilvl w:val="1"/>
          <w:numId w:val="23"/>
        </w:numPr>
        <w:rPr>
          <w:rStyle w:val="Heading5Char"/>
          <w:rFonts w:ascii="Times New Roman" w:eastAsiaTheme="minorHAnsi" w:hAnsi="Times New Roman" w:cstheme="minorBidi"/>
          <w:b w:val="0"/>
          <w:spacing w:val="0"/>
          <w:kern w:val="0"/>
          <w:sz w:val="22"/>
          <w:szCs w:val="22"/>
        </w:rPr>
      </w:pPr>
      <w:r>
        <w:t xml:space="preserve">Where the penalty in question is a shortfall penalty for either </w:t>
      </w:r>
      <w:r w:rsidR="005C5B41">
        <w:t>a false or misleading statement or a failure to take reasonable care</w:t>
      </w:r>
      <w:r w:rsidR="002A50EB">
        <w:t>,</w:t>
      </w:r>
      <w:r w:rsidR="005C5B41">
        <w:t xml:space="preserve"> the base penalty amount will be doubled to the extent that the shortfall results from the application </w:t>
      </w:r>
      <w:r w:rsidR="000A2B18">
        <w:t>of these amendments</w:t>
      </w:r>
      <w:r w:rsidR="00BF342D">
        <w:t>.</w:t>
      </w:r>
      <w:r w:rsidR="00BF342D" w:rsidRPr="00BF342D">
        <w:t xml:space="preserve"> </w:t>
      </w:r>
      <w:r w:rsidR="00BF342D">
        <w:t>The base penalty amounts will also be doubled in respect of false and misleading statements that do not produce a shortfall.</w:t>
      </w:r>
      <w:r w:rsidR="0006455F">
        <w:br/>
      </w:r>
      <w:r w:rsidR="0006455F" w:rsidRPr="00D051CA">
        <w:rPr>
          <w:rStyle w:val="References"/>
        </w:rPr>
        <w:t xml:space="preserve">[Schedule xx, item </w:t>
      </w:r>
      <w:r w:rsidR="0006455F">
        <w:rPr>
          <w:rStyle w:val="References"/>
        </w:rPr>
        <w:t>5</w:t>
      </w:r>
      <w:r w:rsidR="0006455F" w:rsidRPr="00D051CA">
        <w:rPr>
          <w:rStyle w:val="References"/>
        </w:rPr>
        <w:t xml:space="preserve">, </w:t>
      </w:r>
      <w:r w:rsidR="00BF342D">
        <w:rPr>
          <w:rStyle w:val="References"/>
        </w:rPr>
        <w:t xml:space="preserve">paragraphs </w:t>
      </w:r>
      <w:r w:rsidR="00835BE6">
        <w:rPr>
          <w:rStyle w:val="References"/>
        </w:rPr>
        <w:t>284-90(1</w:t>
      </w:r>
      <w:proofErr w:type="gramStart"/>
      <w:r w:rsidR="00835BE6">
        <w:rPr>
          <w:rStyle w:val="References"/>
        </w:rPr>
        <w:t>C)</w:t>
      </w:r>
      <w:r w:rsidR="00BF342D">
        <w:rPr>
          <w:rStyle w:val="References"/>
        </w:rPr>
        <w:t>(</w:t>
      </w:r>
      <w:proofErr w:type="gramEnd"/>
      <w:r w:rsidR="00BF342D">
        <w:rPr>
          <w:rStyle w:val="References"/>
        </w:rPr>
        <w:t>a) and (b)</w:t>
      </w:r>
      <w:r w:rsidR="00835BE6">
        <w:rPr>
          <w:rStyle w:val="References"/>
        </w:rPr>
        <w:t xml:space="preserve"> </w:t>
      </w:r>
      <w:r w:rsidR="0081155B">
        <w:rPr>
          <w:rStyle w:val="References"/>
        </w:rPr>
        <w:t xml:space="preserve">of the </w:t>
      </w:r>
      <w:r w:rsidR="00835BE6">
        <w:rPr>
          <w:rStyle w:val="References"/>
        </w:rPr>
        <w:t>TAA 1953</w:t>
      </w:r>
      <w:r w:rsidR="0006455F" w:rsidRPr="00D051CA">
        <w:rPr>
          <w:rStyle w:val="References"/>
        </w:rPr>
        <w:t xml:space="preserve">] </w:t>
      </w:r>
    </w:p>
    <w:p w14:paraId="68ABBE8E" w14:textId="575667D2" w:rsidR="00873094" w:rsidRPr="00020288" w:rsidRDefault="00873094" w:rsidP="002721E2">
      <w:pPr>
        <w:pStyle w:val="Normalparatextwithnumbers"/>
        <w:numPr>
          <w:ilvl w:val="0"/>
          <w:numId w:val="0"/>
        </w:numPr>
      </w:pPr>
    </w:p>
    <w:p w14:paraId="5D9A66ED" w14:textId="77777777" w:rsidR="00873094" w:rsidRPr="00020288" w:rsidRDefault="00873094" w:rsidP="005D0844">
      <w:pPr>
        <w:pStyle w:val="Heading2"/>
        <w:rPr>
          <w:rFonts w:hint="eastAsia"/>
        </w:rPr>
      </w:pPr>
      <w:bookmarkStart w:id="50" w:name="_Toc138165816"/>
      <w:bookmarkStart w:id="51" w:name="_Toc78193246"/>
      <w:bookmarkStart w:id="52" w:name="_Toc78193403"/>
      <w:bookmarkStart w:id="53" w:name="_Toc78548476"/>
      <w:bookmarkStart w:id="54" w:name="_Toc78549747"/>
      <w:bookmarkStart w:id="55" w:name="_Toc78549791"/>
      <w:r w:rsidRPr="005D0844">
        <w:t>Consequential</w:t>
      </w:r>
      <w:r w:rsidRPr="00020288">
        <w:t xml:space="preserve"> amendments</w:t>
      </w:r>
      <w:bookmarkEnd w:id="50"/>
    </w:p>
    <w:p w14:paraId="076B7EE6" w14:textId="60CEC5A4" w:rsidR="00873094" w:rsidRPr="00020288" w:rsidRDefault="002721E2" w:rsidP="002721E2">
      <w:pPr>
        <w:pStyle w:val="Normalparatextwithnumbers"/>
        <w:numPr>
          <w:ilvl w:val="1"/>
          <w:numId w:val="23"/>
        </w:numPr>
      </w:pPr>
      <w:r>
        <w:t>Schedule [x] of this Bill makes consequential amendments to insert a reference to this section in the list of provisions about deductions in section</w:t>
      </w:r>
      <w:r w:rsidR="0092563A">
        <w:t> </w:t>
      </w:r>
      <w:r>
        <w:t>12</w:t>
      </w:r>
      <w:r w:rsidR="0092563A">
        <w:noBreakHyphen/>
      </w:r>
      <w:r>
        <w:t xml:space="preserve">5 of the ITAA 1997. The Bill also inserts new definitions of the </w:t>
      </w:r>
      <w:proofErr w:type="gramStart"/>
      <w:r>
        <w:t>terms</w:t>
      </w:r>
      <w:proofErr w:type="gramEnd"/>
      <w:r>
        <w:t xml:space="preserve"> ‘</w:t>
      </w:r>
      <w:r w:rsidRPr="00FA3EC7">
        <w:rPr>
          <w:i/>
          <w:iCs/>
        </w:rPr>
        <w:t>exploit</w:t>
      </w:r>
      <w:r w:rsidR="00BE1BE2">
        <w:rPr>
          <w:i/>
          <w:iCs/>
        </w:rPr>
        <w:t>’</w:t>
      </w:r>
      <w:r w:rsidRPr="00B9789B">
        <w:t xml:space="preserve"> an intangible </w:t>
      </w:r>
      <w:r w:rsidRPr="00E802B9">
        <w:t>asset</w:t>
      </w:r>
      <w:r>
        <w:t xml:space="preserve"> and ‘</w:t>
      </w:r>
      <w:r w:rsidRPr="00B673A0">
        <w:rPr>
          <w:i/>
          <w:iCs/>
        </w:rPr>
        <w:t>low corporate tax jurisdiction</w:t>
      </w:r>
      <w:r>
        <w:t>’ into subsection 995-1(1) of the ITAA 1997.</w:t>
      </w:r>
      <w:r>
        <w:br/>
      </w:r>
      <w:r w:rsidRPr="00CB70CC">
        <w:rPr>
          <w:rStyle w:val="References"/>
        </w:rPr>
        <w:t>[Schedule xx, item</w:t>
      </w:r>
      <w:r>
        <w:rPr>
          <w:rStyle w:val="References"/>
        </w:rPr>
        <w:t xml:space="preserve"> 1, section 12-5 of the ITAA 1997 and item 4, subsection 995-1(1) of the ITAA 1997</w:t>
      </w:r>
      <w:r w:rsidRPr="00CB70CC">
        <w:rPr>
          <w:rStyle w:val="References"/>
        </w:rPr>
        <w:t xml:space="preserve">] </w:t>
      </w:r>
    </w:p>
    <w:p w14:paraId="65F100F4" w14:textId="77777777" w:rsidR="00873094" w:rsidRPr="00020288" w:rsidRDefault="00873094" w:rsidP="00AF50CE">
      <w:pPr>
        <w:pStyle w:val="Heading2"/>
        <w:rPr>
          <w:rFonts w:hint="eastAsia"/>
        </w:rPr>
      </w:pPr>
      <w:bookmarkStart w:id="56" w:name="_Toc138165817"/>
      <w:r w:rsidRPr="00020288">
        <w:t xml:space="preserve">Commencement, </w:t>
      </w:r>
      <w:r w:rsidRPr="00AF50CE">
        <w:t>application</w:t>
      </w:r>
      <w:r w:rsidRPr="00020288">
        <w:t>, and transitional provisions</w:t>
      </w:r>
      <w:bookmarkEnd w:id="56"/>
    </w:p>
    <w:p w14:paraId="274EEAD7" w14:textId="77777777" w:rsidR="002721E2" w:rsidRDefault="002721E2" w:rsidP="002721E2">
      <w:pPr>
        <w:pStyle w:val="Normalparatextwithnumbers"/>
      </w:pPr>
      <w:r>
        <w:t>The amendments commence the day after Royal Assent.</w:t>
      </w:r>
    </w:p>
    <w:p w14:paraId="69BE70EC" w14:textId="69ABACC3" w:rsidR="00873094" w:rsidRPr="00020288" w:rsidRDefault="002721E2" w:rsidP="002721E2">
      <w:pPr>
        <w:pStyle w:val="Normalparatextwithnumbers"/>
      </w:pPr>
      <w:bookmarkStart w:id="57" w:name="_Hlk135216448"/>
      <w:r>
        <w:t>The amendments apply to all payments made or credited or liabilities incurred after 1 July 2023.</w:t>
      </w:r>
    </w:p>
    <w:bookmarkEnd w:id="57"/>
    <w:p w14:paraId="4C1A7EAF" w14:textId="65AD2D86" w:rsidR="00873094" w:rsidRDefault="00873094" w:rsidP="006479AC">
      <w:pPr>
        <w:pStyle w:val="Normalparatextnonumbers"/>
      </w:pPr>
    </w:p>
    <w:p w14:paraId="2F7AE34E" w14:textId="77777777" w:rsidR="00873094" w:rsidRDefault="00873094" w:rsidP="00873094">
      <w:pPr>
        <w:spacing w:after="0" w:line="360" w:lineRule="auto"/>
        <w:contextualSpacing/>
      </w:pPr>
      <w:bookmarkStart w:id="58" w:name="_Hlk83390738"/>
      <w:bookmarkEnd w:id="43"/>
    </w:p>
    <w:bookmarkEnd w:id="5"/>
    <w:bookmarkEnd w:id="51"/>
    <w:bookmarkEnd w:id="52"/>
    <w:bookmarkEnd w:id="53"/>
    <w:bookmarkEnd w:id="54"/>
    <w:bookmarkEnd w:id="55"/>
    <w:bookmarkEnd w:id="58"/>
    <w:p w14:paraId="356CB6E8" w14:textId="77777777" w:rsidR="00B77D03" w:rsidRDefault="00B77D03" w:rsidP="003E6985">
      <w:pPr>
        <w:pStyle w:val="Normalparatextnonumbers"/>
      </w:pPr>
    </w:p>
    <w:sectPr w:rsidR="00B77D03" w:rsidSect="00000BFC">
      <w:headerReference w:type="first" r:id="rId22"/>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6E43" w14:textId="77777777" w:rsidR="0094579E" w:rsidRDefault="0094579E">
      <w:pPr>
        <w:spacing w:before="0" w:after="0"/>
      </w:pPr>
      <w:r>
        <w:separator/>
      </w:r>
    </w:p>
  </w:endnote>
  <w:endnote w:type="continuationSeparator" w:id="0">
    <w:p w14:paraId="113C3F4B" w14:textId="77777777" w:rsidR="0094579E" w:rsidRDefault="0094579E">
      <w:pPr>
        <w:spacing w:before="0" w:after="0"/>
      </w:pPr>
      <w:r>
        <w:continuationSeparator/>
      </w:r>
    </w:p>
  </w:endnote>
  <w:endnote w:type="continuationNotice" w:id="1">
    <w:p w14:paraId="054DE63E" w14:textId="77777777" w:rsidR="0094579E" w:rsidRDefault="009457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FE1B7"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0399"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39A8" w14:textId="77777777" w:rsidR="007A2DBD" w:rsidRPr="00091474" w:rsidRDefault="007A2DBD" w:rsidP="003E6985">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F912" w14:textId="77777777" w:rsidR="0094579E" w:rsidRDefault="0094579E">
      <w:pPr>
        <w:spacing w:before="0" w:after="0"/>
      </w:pPr>
      <w:r>
        <w:separator/>
      </w:r>
    </w:p>
  </w:footnote>
  <w:footnote w:type="continuationSeparator" w:id="0">
    <w:p w14:paraId="354F08AB" w14:textId="77777777" w:rsidR="0094579E" w:rsidRDefault="0094579E">
      <w:pPr>
        <w:spacing w:before="0" w:after="0"/>
      </w:pPr>
      <w:r>
        <w:continuationSeparator/>
      </w:r>
    </w:p>
  </w:footnote>
  <w:footnote w:type="continuationNotice" w:id="1">
    <w:p w14:paraId="5722F98D" w14:textId="77777777" w:rsidR="0094579E" w:rsidRDefault="0094579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DC16" w14:textId="77777777" w:rsidR="007A2DBD" w:rsidRDefault="00151A50">
    <w:pPr>
      <w:pStyle w:val="Header"/>
    </w:pPr>
    <w:r>
      <w:rPr>
        <w:noProof/>
      </w:rPr>
      <w:pict w14:anchorId="633D63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8786"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25F85" w14:textId="19E9FE01"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2F0210">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04DB"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DD2A" w14:textId="29A2582B" w:rsidR="007A2DBD" w:rsidRPr="003E6985" w:rsidRDefault="00151A50" w:rsidP="003E6985">
    <w:pPr>
      <w:pStyle w:val="leftheader"/>
    </w:pPr>
    <w:r>
      <w:fldChar w:fldCharType="begin"/>
    </w:r>
    <w:r>
      <w:instrText xml:space="preserve"> STYLEREF "Chapter heading" \* MERGEFORMAT </w:instrText>
    </w:r>
    <w:r>
      <w:fldChar w:fldCharType="separate"/>
    </w:r>
    <w:r>
      <w:rPr>
        <w:noProof/>
      </w:rPr>
      <w:t>Denying deductions for payments relating to intangible assets connected with low corporate tax jurisdictions</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D696" w14:textId="7D060D56" w:rsidR="007A2DBD" w:rsidRPr="003E6985" w:rsidRDefault="00151A50" w:rsidP="003E6985">
    <w:pPr>
      <w:pStyle w:val="rightheader"/>
    </w:pPr>
    <w:r>
      <w:fldChar w:fldCharType="begin"/>
    </w:r>
    <w:r>
      <w:instrText xml:space="preserve"> STYLEREF "Bill Name" \* MERGEFORMAT </w:instrText>
    </w:r>
    <w:r>
      <w:fldChar w:fldCharType="separate"/>
    </w:r>
    <w:r>
      <w:rPr>
        <w:noProof/>
      </w:rPr>
      <w:t>Treasury Laws Amendment (Measures for Future Bills) Bill 2023</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F34F"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11AD" w14:textId="77777777" w:rsidR="003E6985" w:rsidRDefault="003E6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C4209342"/>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59B3708A"/>
    <w:multiLevelType w:val="hybridMultilevel"/>
    <w:tmpl w:val="5AC6DFC6"/>
    <w:lvl w:ilvl="0" w:tplc="DB76E1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E3079F"/>
    <w:multiLevelType w:val="hybridMultilevel"/>
    <w:tmpl w:val="C5F00366"/>
    <w:lvl w:ilvl="0" w:tplc="B95A5CF6">
      <w:numFmt w:val="bullet"/>
      <w:lvlText w:val="-"/>
      <w:lvlJc w:val="left"/>
      <w:pPr>
        <w:ind w:left="1494" w:hanging="360"/>
      </w:pPr>
      <w:rPr>
        <w:rFonts w:ascii="Times New Roman" w:eastAsiaTheme="minorHAnsi"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1" w15:restartNumberingAfterBreak="0">
    <w:nsid w:val="6834693A"/>
    <w:multiLevelType w:val="multilevel"/>
    <w:tmpl w:val="85C2FAEE"/>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480" w:hanging="360"/>
      </w:pPr>
    </w:lvl>
    <w:lvl w:ilvl="4">
      <w:start w:val="1"/>
      <w:numFmt w:val="lowerLetter"/>
      <w:lvlText w:val="(%5)"/>
      <w:lvlJc w:val="left"/>
      <w:pPr>
        <w:ind w:left="2840" w:hanging="360"/>
      </w:pPr>
    </w:lvl>
    <w:lvl w:ilvl="5">
      <w:start w:val="1"/>
      <w:numFmt w:val="lowerRoman"/>
      <w:lvlText w:val="(%6)"/>
      <w:lvlJc w:val="left"/>
      <w:pPr>
        <w:ind w:left="3200" w:hanging="360"/>
      </w:pPr>
    </w:lvl>
    <w:lvl w:ilvl="6">
      <w:start w:val="1"/>
      <w:numFmt w:val="decimal"/>
      <w:lvlText w:val="%7."/>
      <w:lvlJc w:val="left"/>
      <w:pPr>
        <w:ind w:left="3560" w:hanging="360"/>
      </w:pPr>
    </w:lvl>
    <w:lvl w:ilvl="7">
      <w:start w:val="1"/>
      <w:numFmt w:val="lowerLetter"/>
      <w:lvlText w:val="%8."/>
      <w:lvlJc w:val="left"/>
      <w:pPr>
        <w:ind w:left="3920" w:hanging="360"/>
      </w:pPr>
    </w:lvl>
    <w:lvl w:ilvl="8">
      <w:start w:val="1"/>
      <w:numFmt w:val="lowerRoman"/>
      <w:lvlText w:val="%9."/>
      <w:lvlJc w:val="left"/>
      <w:pPr>
        <w:ind w:left="4280" w:hanging="360"/>
      </w:pPr>
    </w:lvl>
  </w:abstractNum>
  <w:abstractNum w:abstractNumId="12"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6D2DBE"/>
    <w:multiLevelType w:val="hybridMultilevel"/>
    <w:tmpl w:val="A8C03E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B1A6F02"/>
    <w:multiLevelType w:val="hybridMultilevel"/>
    <w:tmpl w:val="560EE258"/>
    <w:lvl w:ilvl="0" w:tplc="62663CE4">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7"/>
  </w:num>
  <w:num w:numId="10">
    <w:abstractNumId w:val="7"/>
  </w:num>
  <w:num w:numId="11">
    <w:abstractNumId w:val="5"/>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4"/>
  </w:num>
  <w:num w:numId="14">
    <w:abstractNumId w:val="9"/>
  </w:num>
  <w:num w:numId="15">
    <w:abstractNumId w:val="12"/>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8"/>
  </w:num>
  <w:num w:numId="20">
    <w:abstractNumId w:val="15"/>
  </w:num>
  <w:num w:numId="21">
    <w:abstractNumId w:val="14"/>
  </w:num>
  <w:num w:numId="22">
    <w:abstractNumId w:val="1"/>
  </w:num>
  <w:num w:numId="2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1"/>
  </w:num>
  <w:num w:numId="25">
    <w:abstractNumId w:val="6"/>
  </w:num>
  <w:num w:numId="26">
    <w:abstractNumId w:val="16"/>
  </w:num>
  <w:num w:numId="27">
    <w:abstractNumId w:val="14"/>
  </w:num>
  <w:num w:numId="28">
    <w:abstractNumId w:val="3"/>
  </w:num>
  <w:num w:numId="29">
    <w:abstractNumId w:val="3"/>
  </w:num>
  <w:num w:numId="30">
    <w:abstractNumId w:val="3"/>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9C3"/>
    <w:rsid w:val="00000BFC"/>
    <w:rsid w:val="000017AB"/>
    <w:rsid w:val="00001F2D"/>
    <w:rsid w:val="000027A5"/>
    <w:rsid w:val="00002A1C"/>
    <w:rsid w:val="00002E56"/>
    <w:rsid w:val="000038E3"/>
    <w:rsid w:val="00003DD3"/>
    <w:rsid w:val="0000457F"/>
    <w:rsid w:val="00004DA7"/>
    <w:rsid w:val="00005330"/>
    <w:rsid w:val="000059BE"/>
    <w:rsid w:val="00005A47"/>
    <w:rsid w:val="00006346"/>
    <w:rsid w:val="00006BBF"/>
    <w:rsid w:val="00006F96"/>
    <w:rsid w:val="00007A6D"/>
    <w:rsid w:val="000102D9"/>
    <w:rsid w:val="00010580"/>
    <w:rsid w:val="0001073D"/>
    <w:rsid w:val="00010861"/>
    <w:rsid w:val="000111E8"/>
    <w:rsid w:val="00011A40"/>
    <w:rsid w:val="000121C1"/>
    <w:rsid w:val="00012661"/>
    <w:rsid w:val="0001287E"/>
    <w:rsid w:val="00012D8E"/>
    <w:rsid w:val="00012F20"/>
    <w:rsid w:val="00013CFE"/>
    <w:rsid w:val="000140D8"/>
    <w:rsid w:val="00014C10"/>
    <w:rsid w:val="00014F01"/>
    <w:rsid w:val="00015BFC"/>
    <w:rsid w:val="00016361"/>
    <w:rsid w:val="0001652E"/>
    <w:rsid w:val="00016AF9"/>
    <w:rsid w:val="00016D70"/>
    <w:rsid w:val="00016F33"/>
    <w:rsid w:val="000173B6"/>
    <w:rsid w:val="00017B8A"/>
    <w:rsid w:val="00017BFE"/>
    <w:rsid w:val="00021DAA"/>
    <w:rsid w:val="0002213C"/>
    <w:rsid w:val="00022414"/>
    <w:rsid w:val="00022A3A"/>
    <w:rsid w:val="000233D2"/>
    <w:rsid w:val="000235BC"/>
    <w:rsid w:val="000240DE"/>
    <w:rsid w:val="00024128"/>
    <w:rsid w:val="000246AA"/>
    <w:rsid w:val="00025007"/>
    <w:rsid w:val="0002522C"/>
    <w:rsid w:val="00025499"/>
    <w:rsid w:val="00025C40"/>
    <w:rsid w:val="00026049"/>
    <w:rsid w:val="00026E99"/>
    <w:rsid w:val="00027547"/>
    <w:rsid w:val="000275B2"/>
    <w:rsid w:val="00027725"/>
    <w:rsid w:val="0002780A"/>
    <w:rsid w:val="00027832"/>
    <w:rsid w:val="00027841"/>
    <w:rsid w:val="00027EE2"/>
    <w:rsid w:val="00027F25"/>
    <w:rsid w:val="00030868"/>
    <w:rsid w:val="00030C00"/>
    <w:rsid w:val="0003138D"/>
    <w:rsid w:val="00031714"/>
    <w:rsid w:val="00032030"/>
    <w:rsid w:val="000325B2"/>
    <w:rsid w:val="00032AB8"/>
    <w:rsid w:val="00032D88"/>
    <w:rsid w:val="00033E45"/>
    <w:rsid w:val="00033F6B"/>
    <w:rsid w:val="000345AB"/>
    <w:rsid w:val="00034790"/>
    <w:rsid w:val="000352F9"/>
    <w:rsid w:val="000353F7"/>
    <w:rsid w:val="000356D8"/>
    <w:rsid w:val="00035845"/>
    <w:rsid w:val="000367ED"/>
    <w:rsid w:val="00037EC0"/>
    <w:rsid w:val="00040058"/>
    <w:rsid w:val="00040A2B"/>
    <w:rsid w:val="00040B4B"/>
    <w:rsid w:val="000410E3"/>
    <w:rsid w:val="00041200"/>
    <w:rsid w:val="00041348"/>
    <w:rsid w:val="00042E8C"/>
    <w:rsid w:val="0004344E"/>
    <w:rsid w:val="00043484"/>
    <w:rsid w:val="00043505"/>
    <w:rsid w:val="00044505"/>
    <w:rsid w:val="00044F38"/>
    <w:rsid w:val="00046855"/>
    <w:rsid w:val="0004686C"/>
    <w:rsid w:val="00046A46"/>
    <w:rsid w:val="00047137"/>
    <w:rsid w:val="000473CC"/>
    <w:rsid w:val="00047456"/>
    <w:rsid w:val="0004748F"/>
    <w:rsid w:val="00047A27"/>
    <w:rsid w:val="00047FF2"/>
    <w:rsid w:val="000507DD"/>
    <w:rsid w:val="00050B21"/>
    <w:rsid w:val="00050C04"/>
    <w:rsid w:val="00052ACB"/>
    <w:rsid w:val="00052C16"/>
    <w:rsid w:val="000530F2"/>
    <w:rsid w:val="00053ABE"/>
    <w:rsid w:val="00054005"/>
    <w:rsid w:val="00055BD7"/>
    <w:rsid w:val="00057357"/>
    <w:rsid w:val="0005769C"/>
    <w:rsid w:val="000576E3"/>
    <w:rsid w:val="00057B28"/>
    <w:rsid w:val="00057CF4"/>
    <w:rsid w:val="00057F4B"/>
    <w:rsid w:val="00060175"/>
    <w:rsid w:val="000604FF"/>
    <w:rsid w:val="0006077D"/>
    <w:rsid w:val="000610D8"/>
    <w:rsid w:val="000612A4"/>
    <w:rsid w:val="000614E1"/>
    <w:rsid w:val="00061B59"/>
    <w:rsid w:val="00061F4A"/>
    <w:rsid w:val="0006219D"/>
    <w:rsid w:val="0006256D"/>
    <w:rsid w:val="00062673"/>
    <w:rsid w:val="000628BF"/>
    <w:rsid w:val="000630E3"/>
    <w:rsid w:val="00063498"/>
    <w:rsid w:val="0006351A"/>
    <w:rsid w:val="00063A32"/>
    <w:rsid w:val="00063F78"/>
    <w:rsid w:val="00064003"/>
    <w:rsid w:val="0006423D"/>
    <w:rsid w:val="0006455F"/>
    <w:rsid w:val="00064B37"/>
    <w:rsid w:val="00064B89"/>
    <w:rsid w:val="00064CAD"/>
    <w:rsid w:val="000651D1"/>
    <w:rsid w:val="00065304"/>
    <w:rsid w:val="000662B8"/>
    <w:rsid w:val="0006640B"/>
    <w:rsid w:val="0006642F"/>
    <w:rsid w:val="000669AA"/>
    <w:rsid w:val="0006712E"/>
    <w:rsid w:val="0006758A"/>
    <w:rsid w:val="00067788"/>
    <w:rsid w:val="0006793D"/>
    <w:rsid w:val="000705D9"/>
    <w:rsid w:val="0007091A"/>
    <w:rsid w:val="00071348"/>
    <w:rsid w:val="0007167F"/>
    <w:rsid w:val="000720BB"/>
    <w:rsid w:val="00073402"/>
    <w:rsid w:val="000737C6"/>
    <w:rsid w:val="0007459F"/>
    <w:rsid w:val="00074622"/>
    <w:rsid w:val="00074F97"/>
    <w:rsid w:val="000759B7"/>
    <w:rsid w:val="00077568"/>
    <w:rsid w:val="00077877"/>
    <w:rsid w:val="00077B84"/>
    <w:rsid w:val="00077BE2"/>
    <w:rsid w:val="00077EB1"/>
    <w:rsid w:val="00080284"/>
    <w:rsid w:val="0008138F"/>
    <w:rsid w:val="0008196A"/>
    <w:rsid w:val="00081FEE"/>
    <w:rsid w:val="00082500"/>
    <w:rsid w:val="00082636"/>
    <w:rsid w:val="0008286D"/>
    <w:rsid w:val="000838DC"/>
    <w:rsid w:val="00083C55"/>
    <w:rsid w:val="000846FA"/>
    <w:rsid w:val="000847FF"/>
    <w:rsid w:val="00084EE0"/>
    <w:rsid w:val="000855D5"/>
    <w:rsid w:val="000857C5"/>
    <w:rsid w:val="00086856"/>
    <w:rsid w:val="00086D5A"/>
    <w:rsid w:val="00087073"/>
    <w:rsid w:val="00087266"/>
    <w:rsid w:val="00087644"/>
    <w:rsid w:val="00087C88"/>
    <w:rsid w:val="00087DCA"/>
    <w:rsid w:val="00087F47"/>
    <w:rsid w:val="00087FE9"/>
    <w:rsid w:val="00090A2C"/>
    <w:rsid w:val="0009172D"/>
    <w:rsid w:val="00091748"/>
    <w:rsid w:val="00092019"/>
    <w:rsid w:val="0009244A"/>
    <w:rsid w:val="00092CA3"/>
    <w:rsid w:val="00093184"/>
    <w:rsid w:val="00093346"/>
    <w:rsid w:val="000938B3"/>
    <w:rsid w:val="00093ECF"/>
    <w:rsid w:val="0009489A"/>
    <w:rsid w:val="00094AE5"/>
    <w:rsid w:val="00094CE5"/>
    <w:rsid w:val="00094D4F"/>
    <w:rsid w:val="00095100"/>
    <w:rsid w:val="000958EB"/>
    <w:rsid w:val="000968E3"/>
    <w:rsid w:val="00096B31"/>
    <w:rsid w:val="000970D7"/>
    <w:rsid w:val="000972F2"/>
    <w:rsid w:val="0009781A"/>
    <w:rsid w:val="00097E96"/>
    <w:rsid w:val="00097FAB"/>
    <w:rsid w:val="000A047C"/>
    <w:rsid w:val="000A0FBA"/>
    <w:rsid w:val="000A155C"/>
    <w:rsid w:val="000A175E"/>
    <w:rsid w:val="000A18DF"/>
    <w:rsid w:val="000A1BE1"/>
    <w:rsid w:val="000A2B18"/>
    <w:rsid w:val="000A3208"/>
    <w:rsid w:val="000A3230"/>
    <w:rsid w:val="000A3686"/>
    <w:rsid w:val="000A3755"/>
    <w:rsid w:val="000A3A23"/>
    <w:rsid w:val="000A3F37"/>
    <w:rsid w:val="000A4014"/>
    <w:rsid w:val="000A4053"/>
    <w:rsid w:val="000A44DA"/>
    <w:rsid w:val="000A48FE"/>
    <w:rsid w:val="000A5120"/>
    <w:rsid w:val="000A583E"/>
    <w:rsid w:val="000A614C"/>
    <w:rsid w:val="000A69BA"/>
    <w:rsid w:val="000A6ADC"/>
    <w:rsid w:val="000A6BB2"/>
    <w:rsid w:val="000A6BBF"/>
    <w:rsid w:val="000A6C44"/>
    <w:rsid w:val="000A74AD"/>
    <w:rsid w:val="000A79DF"/>
    <w:rsid w:val="000A7CD8"/>
    <w:rsid w:val="000A7D76"/>
    <w:rsid w:val="000B0169"/>
    <w:rsid w:val="000B09BE"/>
    <w:rsid w:val="000B10BE"/>
    <w:rsid w:val="000B1357"/>
    <w:rsid w:val="000B143B"/>
    <w:rsid w:val="000B1458"/>
    <w:rsid w:val="000B1657"/>
    <w:rsid w:val="000B18DD"/>
    <w:rsid w:val="000B1FED"/>
    <w:rsid w:val="000B2151"/>
    <w:rsid w:val="000B23B7"/>
    <w:rsid w:val="000B2427"/>
    <w:rsid w:val="000B26AE"/>
    <w:rsid w:val="000B2A6E"/>
    <w:rsid w:val="000B378D"/>
    <w:rsid w:val="000B38BF"/>
    <w:rsid w:val="000B3A5D"/>
    <w:rsid w:val="000B3A78"/>
    <w:rsid w:val="000B3BB8"/>
    <w:rsid w:val="000B3D39"/>
    <w:rsid w:val="000B4D7C"/>
    <w:rsid w:val="000B4EB9"/>
    <w:rsid w:val="000B5210"/>
    <w:rsid w:val="000B5269"/>
    <w:rsid w:val="000B5314"/>
    <w:rsid w:val="000B5D35"/>
    <w:rsid w:val="000B5DA9"/>
    <w:rsid w:val="000B6AD4"/>
    <w:rsid w:val="000B6B3E"/>
    <w:rsid w:val="000B73E3"/>
    <w:rsid w:val="000B7D6E"/>
    <w:rsid w:val="000B7DEC"/>
    <w:rsid w:val="000C0149"/>
    <w:rsid w:val="000C0BBB"/>
    <w:rsid w:val="000C1541"/>
    <w:rsid w:val="000C1C5E"/>
    <w:rsid w:val="000C2986"/>
    <w:rsid w:val="000C2BFD"/>
    <w:rsid w:val="000C2CEF"/>
    <w:rsid w:val="000C2ECE"/>
    <w:rsid w:val="000C3014"/>
    <w:rsid w:val="000C32AA"/>
    <w:rsid w:val="000C3776"/>
    <w:rsid w:val="000C3E55"/>
    <w:rsid w:val="000C3F8E"/>
    <w:rsid w:val="000C40C9"/>
    <w:rsid w:val="000C47A3"/>
    <w:rsid w:val="000C4B2E"/>
    <w:rsid w:val="000C4F2A"/>
    <w:rsid w:val="000C5E68"/>
    <w:rsid w:val="000C5EBA"/>
    <w:rsid w:val="000C5FA4"/>
    <w:rsid w:val="000C62F5"/>
    <w:rsid w:val="000C6641"/>
    <w:rsid w:val="000C7789"/>
    <w:rsid w:val="000C7A5D"/>
    <w:rsid w:val="000C7BB2"/>
    <w:rsid w:val="000C7CC2"/>
    <w:rsid w:val="000D03F0"/>
    <w:rsid w:val="000D07A3"/>
    <w:rsid w:val="000D119D"/>
    <w:rsid w:val="000D1A3E"/>
    <w:rsid w:val="000D1B8F"/>
    <w:rsid w:val="000D22BC"/>
    <w:rsid w:val="000D27C1"/>
    <w:rsid w:val="000D3398"/>
    <w:rsid w:val="000D3C1F"/>
    <w:rsid w:val="000D3EFA"/>
    <w:rsid w:val="000D3FAF"/>
    <w:rsid w:val="000D4938"/>
    <w:rsid w:val="000D4CC3"/>
    <w:rsid w:val="000D4EC8"/>
    <w:rsid w:val="000D4F40"/>
    <w:rsid w:val="000D5F50"/>
    <w:rsid w:val="000D60D3"/>
    <w:rsid w:val="000D634E"/>
    <w:rsid w:val="000D666D"/>
    <w:rsid w:val="000D6F2C"/>
    <w:rsid w:val="000D75FB"/>
    <w:rsid w:val="000D7A5E"/>
    <w:rsid w:val="000D7BE5"/>
    <w:rsid w:val="000E0360"/>
    <w:rsid w:val="000E08CA"/>
    <w:rsid w:val="000E0D70"/>
    <w:rsid w:val="000E12CC"/>
    <w:rsid w:val="000E1442"/>
    <w:rsid w:val="000E160E"/>
    <w:rsid w:val="000E19D4"/>
    <w:rsid w:val="000E1B0D"/>
    <w:rsid w:val="000E1F18"/>
    <w:rsid w:val="000E2366"/>
    <w:rsid w:val="000E24D9"/>
    <w:rsid w:val="000E256C"/>
    <w:rsid w:val="000E2AAC"/>
    <w:rsid w:val="000E2D20"/>
    <w:rsid w:val="000E2D38"/>
    <w:rsid w:val="000E2D72"/>
    <w:rsid w:val="000E3310"/>
    <w:rsid w:val="000E3AB0"/>
    <w:rsid w:val="000E43AF"/>
    <w:rsid w:val="000E44CC"/>
    <w:rsid w:val="000E44F3"/>
    <w:rsid w:val="000E4675"/>
    <w:rsid w:val="000E4753"/>
    <w:rsid w:val="000E48BF"/>
    <w:rsid w:val="000E4A3E"/>
    <w:rsid w:val="000E4D39"/>
    <w:rsid w:val="000E4F7F"/>
    <w:rsid w:val="000E521B"/>
    <w:rsid w:val="000E53A5"/>
    <w:rsid w:val="000E556B"/>
    <w:rsid w:val="000E56E7"/>
    <w:rsid w:val="000E5F15"/>
    <w:rsid w:val="000E5F7A"/>
    <w:rsid w:val="000E666A"/>
    <w:rsid w:val="000E6849"/>
    <w:rsid w:val="000E6A1F"/>
    <w:rsid w:val="000E6F0B"/>
    <w:rsid w:val="000E7679"/>
    <w:rsid w:val="000E7AF5"/>
    <w:rsid w:val="000F10F0"/>
    <w:rsid w:val="000F15AA"/>
    <w:rsid w:val="000F1F75"/>
    <w:rsid w:val="000F314A"/>
    <w:rsid w:val="000F35BB"/>
    <w:rsid w:val="000F3B8E"/>
    <w:rsid w:val="000F4552"/>
    <w:rsid w:val="000F48AA"/>
    <w:rsid w:val="000F5380"/>
    <w:rsid w:val="000F5F33"/>
    <w:rsid w:val="000F5F34"/>
    <w:rsid w:val="000F5F9E"/>
    <w:rsid w:val="000F6BD5"/>
    <w:rsid w:val="000F70D1"/>
    <w:rsid w:val="000F743B"/>
    <w:rsid w:val="000F7582"/>
    <w:rsid w:val="000F75EB"/>
    <w:rsid w:val="000F7C12"/>
    <w:rsid w:val="000F7CE9"/>
    <w:rsid w:val="00101F12"/>
    <w:rsid w:val="0010275A"/>
    <w:rsid w:val="00102788"/>
    <w:rsid w:val="00103737"/>
    <w:rsid w:val="00103AA8"/>
    <w:rsid w:val="00104028"/>
    <w:rsid w:val="00104197"/>
    <w:rsid w:val="001044F4"/>
    <w:rsid w:val="001048BC"/>
    <w:rsid w:val="0010499E"/>
    <w:rsid w:val="001049BA"/>
    <w:rsid w:val="00104C43"/>
    <w:rsid w:val="00104FDB"/>
    <w:rsid w:val="00105048"/>
    <w:rsid w:val="00105334"/>
    <w:rsid w:val="0010539E"/>
    <w:rsid w:val="00105E85"/>
    <w:rsid w:val="00106355"/>
    <w:rsid w:val="001064C7"/>
    <w:rsid w:val="00106D9E"/>
    <w:rsid w:val="00106E99"/>
    <w:rsid w:val="00106FDC"/>
    <w:rsid w:val="0010759C"/>
    <w:rsid w:val="0010762D"/>
    <w:rsid w:val="00107A75"/>
    <w:rsid w:val="00110712"/>
    <w:rsid w:val="00111311"/>
    <w:rsid w:val="00112076"/>
    <w:rsid w:val="001124BD"/>
    <w:rsid w:val="00113139"/>
    <w:rsid w:val="00113CAE"/>
    <w:rsid w:val="0011457B"/>
    <w:rsid w:val="001149FA"/>
    <w:rsid w:val="00114CFB"/>
    <w:rsid w:val="00115509"/>
    <w:rsid w:val="0011670F"/>
    <w:rsid w:val="00117295"/>
    <w:rsid w:val="00117775"/>
    <w:rsid w:val="001179AE"/>
    <w:rsid w:val="00120C34"/>
    <w:rsid w:val="00120F34"/>
    <w:rsid w:val="0012120A"/>
    <w:rsid w:val="00121211"/>
    <w:rsid w:val="00121771"/>
    <w:rsid w:val="001227A2"/>
    <w:rsid w:val="00123AAC"/>
    <w:rsid w:val="00124602"/>
    <w:rsid w:val="001247B8"/>
    <w:rsid w:val="00125CF3"/>
    <w:rsid w:val="00125D74"/>
    <w:rsid w:val="00126087"/>
    <w:rsid w:val="001260DF"/>
    <w:rsid w:val="00126179"/>
    <w:rsid w:val="00126953"/>
    <w:rsid w:val="00126FCD"/>
    <w:rsid w:val="0012705A"/>
    <w:rsid w:val="00130120"/>
    <w:rsid w:val="001302EA"/>
    <w:rsid w:val="001308C4"/>
    <w:rsid w:val="00130B49"/>
    <w:rsid w:val="00130DB3"/>
    <w:rsid w:val="00131B01"/>
    <w:rsid w:val="00131B14"/>
    <w:rsid w:val="001325FD"/>
    <w:rsid w:val="00132620"/>
    <w:rsid w:val="00133E5C"/>
    <w:rsid w:val="00134678"/>
    <w:rsid w:val="00134C75"/>
    <w:rsid w:val="00134EAD"/>
    <w:rsid w:val="00135BBE"/>
    <w:rsid w:val="00135D90"/>
    <w:rsid w:val="00136120"/>
    <w:rsid w:val="00136163"/>
    <w:rsid w:val="00136899"/>
    <w:rsid w:val="00136C25"/>
    <w:rsid w:val="00136EFA"/>
    <w:rsid w:val="0013791B"/>
    <w:rsid w:val="00140016"/>
    <w:rsid w:val="0014039D"/>
    <w:rsid w:val="00140994"/>
    <w:rsid w:val="00140B00"/>
    <w:rsid w:val="001412CA"/>
    <w:rsid w:val="00141701"/>
    <w:rsid w:val="00141E24"/>
    <w:rsid w:val="00142187"/>
    <w:rsid w:val="00142570"/>
    <w:rsid w:val="001427C3"/>
    <w:rsid w:val="001429CD"/>
    <w:rsid w:val="00143249"/>
    <w:rsid w:val="00143718"/>
    <w:rsid w:val="00143741"/>
    <w:rsid w:val="00144216"/>
    <w:rsid w:val="001442FF"/>
    <w:rsid w:val="001443A5"/>
    <w:rsid w:val="001448F7"/>
    <w:rsid w:val="00144A14"/>
    <w:rsid w:val="00144BD4"/>
    <w:rsid w:val="00144D47"/>
    <w:rsid w:val="0014541D"/>
    <w:rsid w:val="001459E2"/>
    <w:rsid w:val="001461A7"/>
    <w:rsid w:val="00146242"/>
    <w:rsid w:val="001462D9"/>
    <w:rsid w:val="00146776"/>
    <w:rsid w:val="00146AFB"/>
    <w:rsid w:val="00146CD2"/>
    <w:rsid w:val="00147D58"/>
    <w:rsid w:val="0015003A"/>
    <w:rsid w:val="00150398"/>
    <w:rsid w:val="00150EF5"/>
    <w:rsid w:val="001511EC"/>
    <w:rsid w:val="0015129D"/>
    <w:rsid w:val="001516D4"/>
    <w:rsid w:val="00151A50"/>
    <w:rsid w:val="00151C73"/>
    <w:rsid w:val="00152781"/>
    <w:rsid w:val="001528E0"/>
    <w:rsid w:val="00152C54"/>
    <w:rsid w:val="00152C71"/>
    <w:rsid w:val="001542D8"/>
    <w:rsid w:val="00155AFB"/>
    <w:rsid w:val="00156279"/>
    <w:rsid w:val="0015665E"/>
    <w:rsid w:val="001567CE"/>
    <w:rsid w:val="00156CE1"/>
    <w:rsid w:val="00157668"/>
    <w:rsid w:val="00157884"/>
    <w:rsid w:val="00157DC3"/>
    <w:rsid w:val="00157F1A"/>
    <w:rsid w:val="00157FCF"/>
    <w:rsid w:val="001601F0"/>
    <w:rsid w:val="001618DF"/>
    <w:rsid w:val="001621F2"/>
    <w:rsid w:val="001630C3"/>
    <w:rsid w:val="001633D8"/>
    <w:rsid w:val="00163457"/>
    <w:rsid w:val="00163C37"/>
    <w:rsid w:val="00163E44"/>
    <w:rsid w:val="00163E89"/>
    <w:rsid w:val="0016431B"/>
    <w:rsid w:val="00164ECF"/>
    <w:rsid w:val="00164F20"/>
    <w:rsid w:val="001650CA"/>
    <w:rsid w:val="00165431"/>
    <w:rsid w:val="00166764"/>
    <w:rsid w:val="001675E1"/>
    <w:rsid w:val="00167CC5"/>
    <w:rsid w:val="00167FF3"/>
    <w:rsid w:val="00170C78"/>
    <w:rsid w:val="00171532"/>
    <w:rsid w:val="00171843"/>
    <w:rsid w:val="00171990"/>
    <w:rsid w:val="001719B3"/>
    <w:rsid w:val="00171BFE"/>
    <w:rsid w:val="00172149"/>
    <w:rsid w:val="00172714"/>
    <w:rsid w:val="001731DC"/>
    <w:rsid w:val="001741A2"/>
    <w:rsid w:val="00174447"/>
    <w:rsid w:val="00175CF1"/>
    <w:rsid w:val="0017643E"/>
    <w:rsid w:val="00176FDA"/>
    <w:rsid w:val="0017713E"/>
    <w:rsid w:val="001774ED"/>
    <w:rsid w:val="00177666"/>
    <w:rsid w:val="0017779F"/>
    <w:rsid w:val="00177C43"/>
    <w:rsid w:val="00177F7F"/>
    <w:rsid w:val="001802A1"/>
    <w:rsid w:val="00180844"/>
    <w:rsid w:val="00180A9E"/>
    <w:rsid w:val="00180E07"/>
    <w:rsid w:val="00180F4B"/>
    <w:rsid w:val="001813A6"/>
    <w:rsid w:val="001814B1"/>
    <w:rsid w:val="00181AE4"/>
    <w:rsid w:val="0018375C"/>
    <w:rsid w:val="001839DB"/>
    <w:rsid w:val="00183ACD"/>
    <w:rsid w:val="00183EFB"/>
    <w:rsid w:val="00184207"/>
    <w:rsid w:val="00184286"/>
    <w:rsid w:val="001845C3"/>
    <w:rsid w:val="00184862"/>
    <w:rsid w:val="0018550C"/>
    <w:rsid w:val="00185627"/>
    <w:rsid w:val="00185A9C"/>
    <w:rsid w:val="00186960"/>
    <w:rsid w:val="00187057"/>
    <w:rsid w:val="0018715F"/>
    <w:rsid w:val="001913A8"/>
    <w:rsid w:val="00191492"/>
    <w:rsid w:val="00192296"/>
    <w:rsid w:val="00192685"/>
    <w:rsid w:val="0019312C"/>
    <w:rsid w:val="001946A5"/>
    <w:rsid w:val="00194E4F"/>
    <w:rsid w:val="0019547E"/>
    <w:rsid w:val="001955A0"/>
    <w:rsid w:val="00195D1C"/>
    <w:rsid w:val="00195EF3"/>
    <w:rsid w:val="001960BF"/>
    <w:rsid w:val="001961A8"/>
    <w:rsid w:val="001963F2"/>
    <w:rsid w:val="001964C9"/>
    <w:rsid w:val="0019724D"/>
    <w:rsid w:val="0019741D"/>
    <w:rsid w:val="0019742D"/>
    <w:rsid w:val="00197CDF"/>
    <w:rsid w:val="001A015D"/>
    <w:rsid w:val="001A017D"/>
    <w:rsid w:val="001A071D"/>
    <w:rsid w:val="001A0787"/>
    <w:rsid w:val="001A0C8C"/>
    <w:rsid w:val="001A0CB1"/>
    <w:rsid w:val="001A0DE1"/>
    <w:rsid w:val="001A1173"/>
    <w:rsid w:val="001A1588"/>
    <w:rsid w:val="001A1CE2"/>
    <w:rsid w:val="001A2207"/>
    <w:rsid w:val="001A22DF"/>
    <w:rsid w:val="001A2593"/>
    <w:rsid w:val="001A2867"/>
    <w:rsid w:val="001A293E"/>
    <w:rsid w:val="001A298B"/>
    <w:rsid w:val="001A2F61"/>
    <w:rsid w:val="001A2FFB"/>
    <w:rsid w:val="001A4D36"/>
    <w:rsid w:val="001A55D5"/>
    <w:rsid w:val="001A57AC"/>
    <w:rsid w:val="001A5DE7"/>
    <w:rsid w:val="001A6333"/>
    <w:rsid w:val="001A6D08"/>
    <w:rsid w:val="001A78BD"/>
    <w:rsid w:val="001B01DA"/>
    <w:rsid w:val="001B075B"/>
    <w:rsid w:val="001B07FA"/>
    <w:rsid w:val="001B1306"/>
    <w:rsid w:val="001B1D99"/>
    <w:rsid w:val="001B1F76"/>
    <w:rsid w:val="001B2036"/>
    <w:rsid w:val="001B21D5"/>
    <w:rsid w:val="001B25EB"/>
    <w:rsid w:val="001B3051"/>
    <w:rsid w:val="001B30EF"/>
    <w:rsid w:val="001B3BA9"/>
    <w:rsid w:val="001B41D1"/>
    <w:rsid w:val="001B4612"/>
    <w:rsid w:val="001B4C3C"/>
    <w:rsid w:val="001B4EC5"/>
    <w:rsid w:val="001B5AAE"/>
    <w:rsid w:val="001B5C33"/>
    <w:rsid w:val="001B5CD9"/>
    <w:rsid w:val="001B5F67"/>
    <w:rsid w:val="001B5F91"/>
    <w:rsid w:val="001B6723"/>
    <w:rsid w:val="001B6F04"/>
    <w:rsid w:val="001C0605"/>
    <w:rsid w:val="001C0840"/>
    <w:rsid w:val="001C0D81"/>
    <w:rsid w:val="001C0DE0"/>
    <w:rsid w:val="001C0FCF"/>
    <w:rsid w:val="001C1D14"/>
    <w:rsid w:val="001C2227"/>
    <w:rsid w:val="001C223D"/>
    <w:rsid w:val="001C250F"/>
    <w:rsid w:val="001C26B3"/>
    <w:rsid w:val="001C2B16"/>
    <w:rsid w:val="001C334E"/>
    <w:rsid w:val="001C377B"/>
    <w:rsid w:val="001C42AB"/>
    <w:rsid w:val="001C4E00"/>
    <w:rsid w:val="001C55ED"/>
    <w:rsid w:val="001C5CBF"/>
    <w:rsid w:val="001C66E3"/>
    <w:rsid w:val="001C6B05"/>
    <w:rsid w:val="001C6FAD"/>
    <w:rsid w:val="001C72FB"/>
    <w:rsid w:val="001C7618"/>
    <w:rsid w:val="001C77B2"/>
    <w:rsid w:val="001C7F09"/>
    <w:rsid w:val="001C7F52"/>
    <w:rsid w:val="001D03CB"/>
    <w:rsid w:val="001D06DD"/>
    <w:rsid w:val="001D07B2"/>
    <w:rsid w:val="001D0966"/>
    <w:rsid w:val="001D174E"/>
    <w:rsid w:val="001D1D6B"/>
    <w:rsid w:val="001D2620"/>
    <w:rsid w:val="001D296F"/>
    <w:rsid w:val="001D3521"/>
    <w:rsid w:val="001D362F"/>
    <w:rsid w:val="001D545F"/>
    <w:rsid w:val="001D5703"/>
    <w:rsid w:val="001D58F4"/>
    <w:rsid w:val="001D5AF2"/>
    <w:rsid w:val="001D5EEA"/>
    <w:rsid w:val="001D672B"/>
    <w:rsid w:val="001D713E"/>
    <w:rsid w:val="001E0159"/>
    <w:rsid w:val="001E01BF"/>
    <w:rsid w:val="001E070A"/>
    <w:rsid w:val="001E16CE"/>
    <w:rsid w:val="001E210C"/>
    <w:rsid w:val="001E246A"/>
    <w:rsid w:val="001E32E4"/>
    <w:rsid w:val="001E3481"/>
    <w:rsid w:val="001E358A"/>
    <w:rsid w:val="001E378A"/>
    <w:rsid w:val="001E3BA0"/>
    <w:rsid w:val="001E3CAA"/>
    <w:rsid w:val="001E3CC6"/>
    <w:rsid w:val="001E465C"/>
    <w:rsid w:val="001E481D"/>
    <w:rsid w:val="001E489E"/>
    <w:rsid w:val="001E496B"/>
    <w:rsid w:val="001E49D6"/>
    <w:rsid w:val="001E4B65"/>
    <w:rsid w:val="001E4F02"/>
    <w:rsid w:val="001E52F0"/>
    <w:rsid w:val="001E5C9C"/>
    <w:rsid w:val="001E5CA6"/>
    <w:rsid w:val="001E6303"/>
    <w:rsid w:val="001E6BA4"/>
    <w:rsid w:val="001E71A6"/>
    <w:rsid w:val="001E724B"/>
    <w:rsid w:val="001E7902"/>
    <w:rsid w:val="001E7BDA"/>
    <w:rsid w:val="001E7EFB"/>
    <w:rsid w:val="001F05C3"/>
    <w:rsid w:val="001F0D2C"/>
    <w:rsid w:val="001F16AC"/>
    <w:rsid w:val="001F174B"/>
    <w:rsid w:val="001F191C"/>
    <w:rsid w:val="001F210D"/>
    <w:rsid w:val="001F214C"/>
    <w:rsid w:val="001F2AD7"/>
    <w:rsid w:val="001F315B"/>
    <w:rsid w:val="001F41A3"/>
    <w:rsid w:val="001F4EC6"/>
    <w:rsid w:val="001F52ED"/>
    <w:rsid w:val="001F5C53"/>
    <w:rsid w:val="001F5E42"/>
    <w:rsid w:val="001F5EDE"/>
    <w:rsid w:val="001F5F10"/>
    <w:rsid w:val="001F6B7C"/>
    <w:rsid w:val="001F7EEF"/>
    <w:rsid w:val="002011C9"/>
    <w:rsid w:val="0020164D"/>
    <w:rsid w:val="00201E87"/>
    <w:rsid w:val="002020D7"/>
    <w:rsid w:val="00202731"/>
    <w:rsid w:val="00202992"/>
    <w:rsid w:val="00203177"/>
    <w:rsid w:val="00203696"/>
    <w:rsid w:val="00203810"/>
    <w:rsid w:val="00203F2E"/>
    <w:rsid w:val="00204113"/>
    <w:rsid w:val="00204804"/>
    <w:rsid w:val="00204C78"/>
    <w:rsid w:val="00205255"/>
    <w:rsid w:val="00205340"/>
    <w:rsid w:val="00205B29"/>
    <w:rsid w:val="00205C32"/>
    <w:rsid w:val="0020696A"/>
    <w:rsid w:val="00210104"/>
    <w:rsid w:val="002102F0"/>
    <w:rsid w:val="002106C0"/>
    <w:rsid w:val="00210919"/>
    <w:rsid w:val="00210A94"/>
    <w:rsid w:val="00210CAF"/>
    <w:rsid w:val="00210DF6"/>
    <w:rsid w:val="0021102B"/>
    <w:rsid w:val="002112AB"/>
    <w:rsid w:val="00211445"/>
    <w:rsid w:val="00211F20"/>
    <w:rsid w:val="002128E6"/>
    <w:rsid w:val="00212DDA"/>
    <w:rsid w:val="00213052"/>
    <w:rsid w:val="00213146"/>
    <w:rsid w:val="00214285"/>
    <w:rsid w:val="00214425"/>
    <w:rsid w:val="0021503F"/>
    <w:rsid w:val="002163EA"/>
    <w:rsid w:val="002164C1"/>
    <w:rsid w:val="002166E3"/>
    <w:rsid w:val="0021678F"/>
    <w:rsid w:val="00217515"/>
    <w:rsid w:val="00217C8D"/>
    <w:rsid w:val="00220083"/>
    <w:rsid w:val="00220468"/>
    <w:rsid w:val="002208FF"/>
    <w:rsid w:val="002212DC"/>
    <w:rsid w:val="00221804"/>
    <w:rsid w:val="002221BE"/>
    <w:rsid w:val="0022244B"/>
    <w:rsid w:val="002224FC"/>
    <w:rsid w:val="00222C63"/>
    <w:rsid w:val="00224413"/>
    <w:rsid w:val="00224524"/>
    <w:rsid w:val="002251C2"/>
    <w:rsid w:val="00225781"/>
    <w:rsid w:val="00225952"/>
    <w:rsid w:val="00225E4B"/>
    <w:rsid w:val="00225F88"/>
    <w:rsid w:val="0022618D"/>
    <w:rsid w:val="0022697E"/>
    <w:rsid w:val="00226A4F"/>
    <w:rsid w:val="002300A1"/>
    <w:rsid w:val="00230120"/>
    <w:rsid w:val="002306D1"/>
    <w:rsid w:val="00230C17"/>
    <w:rsid w:val="002312C0"/>
    <w:rsid w:val="00231882"/>
    <w:rsid w:val="00231C91"/>
    <w:rsid w:val="00231D36"/>
    <w:rsid w:val="00232151"/>
    <w:rsid w:val="00232AA3"/>
    <w:rsid w:val="00233B47"/>
    <w:rsid w:val="00233E17"/>
    <w:rsid w:val="0023409D"/>
    <w:rsid w:val="00234AA5"/>
    <w:rsid w:val="00234CB6"/>
    <w:rsid w:val="00235793"/>
    <w:rsid w:val="0023592A"/>
    <w:rsid w:val="00235D73"/>
    <w:rsid w:val="00235E87"/>
    <w:rsid w:val="00236413"/>
    <w:rsid w:val="00236727"/>
    <w:rsid w:val="002368B8"/>
    <w:rsid w:val="00236B66"/>
    <w:rsid w:val="002370EE"/>
    <w:rsid w:val="0023768B"/>
    <w:rsid w:val="002417D4"/>
    <w:rsid w:val="00241976"/>
    <w:rsid w:val="00242496"/>
    <w:rsid w:val="002425D9"/>
    <w:rsid w:val="00242B2A"/>
    <w:rsid w:val="002430C4"/>
    <w:rsid w:val="00243729"/>
    <w:rsid w:val="00243A03"/>
    <w:rsid w:val="002443DB"/>
    <w:rsid w:val="002443DE"/>
    <w:rsid w:val="00244AA5"/>
    <w:rsid w:val="00244BAF"/>
    <w:rsid w:val="00244D27"/>
    <w:rsid w:val="002453C2"/>
    <w:rsid w:val="0024598F"/>
    <w:rsid w:val="002459C6"/>
    <w:rsid w:val="00245A18"/>
    <w:rsid w:val="00246696"/>
    <w:rsid w:val="002471E7"/>
    <w:rsid w:val="0024784F"/>
    <w:rsid w:val="00247A1B"/>
    <w:rsid w:val="00250844"/>
    <w:rsid w:val="00250D71"/>
    <w:rsid w:val="00251132"/>
    <w:rsid w:val="002515C9"/>
    <w:rsid w:val="00251834"/>
    <w:rsid w:val="00252A77"/>
    <w:rsid w:val="00252B0B"/>
    <w:rsid w:val="00252E63"/>
    <w:rsid w:val="00253B6C"/>
    <w:rsid w:val="00253D08"/>
    <w:rsid w:val="00253EB4"/>
    <w:rsid w:val="00254848"/>
    <w:rsid w:val="002548D3"/>
    <w:rsid w:val="00254B0A"/>
    <w:rsid w:val="00254C16"/>
    <w:rsid w:val="00254D8A"/>
    <w:rsid w:val="0025501D"/>
    <w:rsid w:val="0025528E"/>
    <w:rsid w:val="002559D9"/>
    <w:rsid w:val="00255E49"/>
    <w:rsid w:val="0025639F"/>
    <w:rsid w:val="002566C8"/>
    <w:rsid w:val="00256A22"/>
    <w:rsid w:val="00257212"/>
    <w:rsid w:val="0025742B"/>
    <w:rsid w:val="0026041C"/>
    <w:rsid w:val="00260B8B"/>
    <w:rsid w:val="00260E13"/>
    <w:rsid w:val="00260F87"/>
    <w:rsid w:val="0026263A"/>
    <w:rsid w:val="00262764"/>
    <w:rsid w:val="00262C52"/>
    <w:rsid w:val="00262E31"/>
    <w:rsid w:val="00263621"/>
    <w:rsid w:val="00263AEF"/>
    <w:rsid w:val="002642A2"/>
    <w:rsid w:val="002646DD"/>
    <w:rsid w:val="00265101"/>
    <w:rsid w:val="0026544C"/>
    <w:rsid w:val="00265A42"/>
    <w:rsid w:val="00265ED9"/>
    <w:rsid w:val="00266815"/>
    <w:rsid w:val="00266ADA"/>
    <w:rsid w:val="00266C3C"/>
    <w:rsid w:val="0026761C"/>
    <w:rsid w:val="002678EE"/>
    <w:rsid w:val="00267F9C"/>
    <w:rsid w:val="0027049B"/>
    <w:rsid w:val="002704BC"/>
    <w:rsid w:val="00270BA5"/>
    <w:rsid w:val="00271129"/>
    <w:rsid w:val="002721E2"/>
    <w:rsid w:val="00272221"/>
    <w:rsid w:val="00272761"/>
    <w:rsid w:val="002741FB"/>
    <w:rsid w:val="002745C0"/>
    <w:rsid w:val="002747AF"/>
    <w:rsid w:val="00274AAB"/>
    <w:rsid w:val="00274ADD"/>
    <w:rsid w:val="00274D5C"/>
    <w:rsid w:val="00274D91"/>
    <w:rsid w:val="002751E7"/>
    <w:rsid w:val="0027635D"/>
    <w:rsid w:val="002766F2"/>
    <w:rsid w:val="00276753"/>
    <w:rsid w:val="002776A0"/>
    <w:rsid w:val="00277A93"/>
    <w:rsid w:val="00277C8D"/>
    <w:rsid w:val="00277D3F"/>
    <w:rsid w:val="002807E0"/>
    <w:rsid w:val="00280FA9"/>
    <w:rsid w:val="00282186"/>
    <w:rsid w:val="0028230B"/>
    <w:rsid w:val="0028239C"/>
    <w:rsid w:val="0028254F"/>
    <w:rsid w:val="0028280C"/>
    <w:rsid w:val="00282F7D"/>
    <w:rsid w:val="00283046"/>
    <w:rsid w:val="0028315C"/>
    <w:rsid w:val="002832A2"/>
    <w:rsid w:val="00283481"/>
    <w:rsid w:val="00283B1F"/>
    <w:rsid w:val="00283B45"/>
    <w:rsid w:val="002844A4"/>
    <w:rsid w:val="00284A4E"/>
    <w:rsid w:val="0028592D"/>
    <w:rsid w:val="00285DF8"/>
    <w:rsid w:val="00286854"/>
    <w:rsid w:val="00286FBA"/>
    <w:rsid w:val="002872AB"/>
    <w:rsid w:val="00287541"/>
    <w:rsid w:val="00287AC7"/>
    <w:rsid w:val="00287DE2"/>
    <w:rsid w:val="002900E8"/>
    <w:rsid w:val="00290122"/>
    <w:rsid w:val="0029055D"/>
    <w:rsid w:val="00291201"/>
    <w:rsid w:val="002913BD"/>
    <w:rsid w:val="0029192C"/>
    <w:rsid w:val="00291C30"/>
    <w:rsid w:val="002927F5"/>
    <w:rsid w:val="00292C97"/>
    <w:rsid w:val="00293098"/>
    <w:rsid w:val="002935AC"/>
    <w:rsid w:val="00293CC2"/>
    <w:rsid w:val="00293DDB"/>
    <w:rsid w:val="002944E9"/>
    <w:rsid w:val="002947E3"/>
    <w:rsid w:val="00294F12"/>
    <w:rsid w:val="00295EB9"/>
    <w:rsid w:val="00296079"/>
    <w:rsid w:val="002960C1"/>
    <w:rsid w:val="0029620F"/>
    <w:rsid w:val="00296743"/>
    <w:rsid w:val="0029675B"/>
    <w:rsid w:val="00296797"/>
    <w:rsid w:val="0029684A"/>
    <w:rsid w:val="00296D2C"/>
    <w:rsid w:val="00297081"/>
    <w:rsid w:val="0029776E"/>
    <w:rsid w:val="002978DC"/>
    <w:rsid w:val="002A029E"/>
    <w:rsid w:val="002A045E"/>
    <w:rsid w:val="002A1779"/>
    <w:rsid w:val="002A1E4D"/>
    <w:rsid w:val="002A2137"/>
    <w:rsid w:val="002A238A"/>
    <w:rsid w:val="002A300D"/>
    <w:rsid w:val="002A33B2"/>
    <w:rsid w:val="002A3454"/>
    <w:rsid w:val="002A3B60"/>
    <w:rsid w:val="002A3FC0"/>
    <w:rsid w:val="002A42EF"/>
    <w:rsid w:val="002A439D"/>
    <w:rsid w:val="002A48B7"/>
    <w:rsid w:val="002A50EB"/>
    <w:rsid w:val="002A5148"/>
    <w:rsid w:val="002A519B"/>
    <w:rsid w:val="002A52E5"/>
    <w:rsid w:val="002A5416"/>
    <w:rsid w:val="002A545E"/>
    <w:rsid w:val="002A623D"/>
    <w:rsid w:val="002A6483"/>
    <w:rsid w:val="002A65A1"/>
    <w:rsid w:val="002A6970"/>
    <w:rsid w:val="002A6B53"/>
    <w:rsid w:val="002A6D96"/>
    <w:rsid w:val="002A7207"/>
    <w:rsid w:val="002A7938"/>
    <w:rsid w:val="002A7A48"/>
    <w:rsid w:val="002A7EC8"/>
    <w:rsid w:val="002A7FEC"/>
    <w:rsid w:val="002B0B66"/>
    <w:rsid w:val="002B0B67"/>
    <w:rsid w:val="002B13DC"/>
    <w:rsid w:val="002B1D9E"/>
    <w:rsid w:val="002B2298"/>
    <w:rsid w:val="002B2A00"/>
    <w:rsid w:val="002B34F1"/>
    <w:rsid w:val="002B37B9"/>
    <w:rsid w:val="002B3E69"/>
    <w:rsid w:val="002B46B6"/>
    <w:rsid w:val="002B58D6"/>
    <w:rsid w:val="002B623C"/>
    <w:rsid w:val="002B6525"/>
    <w:rsid w:val="002B696D"/>
    <w:rsid w:val="002B6EBA"/>
    <w:rsid w:val="002B6F60"/>
    <w:rsid w:val="002B7533"/>
    <w:rsid w:val="002B75AB"/>
    <w:rsid w:val="002B7BCA"/>
    <w:rsid w:val="002C0054"/>
    <w:rsid w:val="002C029A"/>
    <w:rsid w:val="002C09E5"/>
    <w:rsid w:val="002C0EF9"/>
    <w:rsid w:val="002C1155"/>
    <w:rsid w:val="002C14AC"/>
    <w:rsid w:val="002C1952"/>
    <w:rsid w:val="002C1C5F"/>
    <w:rsid w:val="002C2A0C"/>
    <w:rsid w:val="002C2B8B"/>
    <w:rsid w:val="002C2CDD"/>
    <w:rsid w:val="002C3700"/>
    <w:rsid w:val="002C3E3F"/>
    <w:rsid w:val="002C472E"/>
    <w:rsid w:val="002C49A0"/>
    <w:rsid w:val="002C56B1"/>
    <w:rsid w:val="002C67ED"/>
    <w:rsid w:val="002C6BD7"/>
    <w:rsid w:val="002C6E53"/>
    <w:rsid w:val="002C7369"/>
    <w:rsid w:val="002C78D6"/>
    <w:rsid w:val="002C7B6F"/>
    <w:rsid w:val="002D01BC"/>
    <w:rsid w:val="002D080A"/>
    <w:rsid w:val="002D0867"/>
    <w:rsid w:val="002D0BB4"/>
    <w:rsid w:val="002D0C17"/>
    <w:rsid w:val="002D1288"/>
    <w:rsid w:val="002D1349"/>
    <w:rsid w:val="002D143D"/>
    <w:rsid w:val="002D1844"/>
    <w:rsid w:val="002D1ADF"/>
    <w:rsid w:val="002D1C11"/>
    <w:rsid w:val="002D1C2A"/>
    <w:rsid w:val="002D1CE2"/>
    <w:rsid w:val="002D255C"/>
    <w:rsid w:val="002D279D"/>
    <w:rsid w:val="002D29C8"/>
    <w:rsid w:val="002D2AED"/>
    <w:rsid w:val="002D2B46"/>
    <w:rsid w:val="002D2C24"/>
    <w:rsid w:val="002D2CD2"/>
    <w:rsid w:val="002D3CCC"/>
    <w:rsid w:val="002D489C"/>
    <w:rsid w:val="002D6499"/>
    <w:rsid w:val="002D6F96"/>
    <w:rsid w:val="002D7339"/>
    <w:rsid w:val="002D769F"/>
    <w:rsid w:val="002D7EB1"/>
    <w:rsid w:val="002E022E"/>
    <w:rsid w:val="002E062E"/>
    <w:rsid w:val="002E0697"/>
    <w:rsid w:val="002E0EB0"/>
    <w:rsid w:val="002E12C7"/>
    <w:rsid w:val="002E19DE"/>
    <w:rsid w:val="002E1F76"/>
    <w:rsid w:val="002E20E8"/>
    <w:rsid w:val="002E2548"/>
    <w:rsid w:val="002E263C"/>
    <w:rsid w:val="002E2A41"/>
    <w:rsid w:val="002E2EED"/>
    <w:rsid w:val="002E3020"/>
    <w:rsid w:val="002E31D8"/>
    <w:rsid w:val="002E3BB1"/>
    <w:rsid w:val="002E3DB8"/>
    <w:rsid w:val="002E45E5"/>
    <w:rsid w:val="002E4D85"/>
    <w:rsid w:val="002E5A67"/>
    <w:rsid w:val="002E5F84"/>
    <w:rsid w:val="002E65D7"/>
    <w:rsid w:val="002E7FD9"/>
    <w:rsid w:val="002F0210"/>
    <w:rsid w:val="002F139A"/>
    <w:rsid w:val="002F1907"/>
    <w:rsid w:val="002F1CB0"/>
    <w:rsid w:val="002F2224"/>
    <w:rsid w:val="002F24CC"/>
    <w:rsid w:val="002F2B75"/>
    <w:rsid w:val="002F2E13"/>
    <w:rsid w:val="002F2E6A"/>
    <w:rsid w:val="002F2FE8"/>
    <w:rsid w:val="002F34FF"/>
    <w:rsid w:val="002F35E8"/>
    <w:rsid w:val="002F46C9"/>
    <w:rsid w:val="002F4834"/>
    <w:rsid w:val="002F4B2E"/>
    <w:rsid w:val="002F4B60"/>
    <w:rsid w:val="002F5302"/>
    <w:rsid w:val="002F54B9"/>
    <w:rsid w:val="002F5D23"/>
    <w:rsid w:val="002F620B"/>
    <w:rsid w:val="002F6AC0"/>
    <w:rsid w:val="002F71A6"/>
    <w:rsid w:val="002F7D93"/>
    <w:rsid w:val="002F7E22"/>
    <w:rsid w:val="003007F1"/>
    <w:rsid w:val="00300B29"/>
    <w:rsid w:val="00301252"/>
    <w:rsid w:val="003012E0"/>
    <w:rsid w:val="00301434"/>
    <w:rsid w:val="0030173E"/>
    <w:rsid w:val="0030175E"/>
    <w:rsid w:val="00301DD0"/>
    <w:rsid w:val="00301DE6"/>
    <w:rsid w:val="00302E69"/>
    <w:rsid w:val="003047AE"/>
    <w:rsid w:val="00304DEF"/>
    <w:rsid w:val="003050C1"/>
    <w:rsid w:val="003055D1"/>
    <w:rsid w:val="00305D3A"/>
    <w:rsid w:val="003060C1"/>
    <w:rsid w:val="003064B9"/>
    <w:rsid w:val="00307996"/>
    <w:rsid w:val="00307A9C"/>
    <w:rsid w:val="00307ABD"/>
    <w:rsid w:val="00310013"/>
    <w:rsid w:val="00310281"/>
    <w:rsid w:val="0031103C"/>
    <w:rsid w:val="0031112E"/>
    <w:rsid w:val="00312102"/>
    <w:rsid w:val="00312493"/>
    <w:rsid w:val="00313174"/>
    <w:rsid w:val="00313720"/>
    <w:rsid w:val="00314B7E"/>
    <w:rsid w:val="00314DFA"/>
    <w:rsid w:val="00314FD2"/>
    <w:rsid w:val="003153F6"/>
    <w:rsid w:val="003155CA"/>
    <w:rsid w:val="003158DF"/>
    <w:rsid w:val="00315CA9"/>
    <w:rsid w:val="00315D81"/>
    <w:rsid w:val="0031603F"/>
    <w:rsid w:val="00316124"/>
    <w:rsid w:val="0031622F"/>
    <w:rsid w:val="003164F9"/>
    <w:rsid w:val="00316924"/>
    <w:rsid w:val="00316D4F"/>
    <w:rsid w:val="00316F8B"/>
    <w:rsid w:val="003178FB"/>
    <w:rsid w:val="00320499"/>
    <w:rsid w:val="003206CD"/>
    <w:rsid w:val="0032130B"/>
    <w:rsid w:val="00321F7F"/>
    <w:rsid w:val="0032205F"/>
    <w:rsid w:val="0032273A"/>
    <w:rsid w:val="003229D0"/>
    <w:rsid w:val="00323030"/>
    <w:rsid w:val="0032315E"/>
    <w:rsid w:val="00323347"/>
    <w:rsid w:val="00323555"/>
    <w:rsid w:val="00323707"/>
    <w:rsid w:val="003242B7"/>
    <w:rsid w:val="00324475"/>
    <w:rsid w:val="003245B0"/>
    <w:rsid w:val="00324C41"/>
    <w:rsid w:val="00324E52"/>
    <w:rsid w:val="003251BD"/>
    <w:rsid w:val="003254AA"/>
    <w:rsid w:val="00325B23"/>
    <w:rsid w:val="00325D62"/>
    <w:rsid w:val="00326982"/>
    <w:rsid w:val="00326E29"/>
    <w:rsid w:val="00326F97"/>
    <w:rsid w:val="003273B1"/>
    <w:rsid w:val="00327857"/>
    <w:rsid w:val="00327B4B"/>
    <w:rsid w:val="003302DD"/>
    <w:rsid w:val="00331144"/>
    <w:rsid w:val="003315AC"/>
    <w:rsid w:val="00331A1E"/>
    <w:rsid w:val="00331F5B"/>
    <w:rsid w:val="003320EE"/>
    <w:rsid w:val="00332FA0"/>
    <w:rsid w:val="003335E5"/>
    <w:rsid w:val="0033396B"/>
    <w:rsid w:val="00334047"/>
    <w:rsid w:val="003340C5"/>
    <w:rsid w:val="00334492"/>
    <w:rsid w:val="003344C8"/>
    <w:rsid w:val="00334B65"/>
    <w:rsid w:val="00334DD9"/>
    <w:rsid w:val="00334E3F"/>
    <w:rsid w:val="003356DA"/>
    <w:rsid w:val="00335E40"/>
    <w:rsid w:val="00336222"/>
    <w:rsid w:val="00336557"/>
    <w:rsid w:val="00337289"/>
    <w:rsid w:val="00340059"/>
    <w:rsid w:val="0034017F"/>
    <w:rsid w:val="0034055C"/>
    <w:rsid w:val="0034074F"/>
    <w:rsid w:val="003407BF"/>
    <w:rsid w:val="00340CAE"/>
    <w:rsid w:val="003411A1"/>
    <w:rsid w:val="00341696"/>
    <w:rsid w:val="00341CDB"/>
    <w:rsid w:val="00342120"/>
    <w:rsid w:val="00343A29"/>
    <w:rsid w:val="00343E79"/>
    <w:rsid w:val="00344642"/>
    <w:rsid w:val="0034489A"/>
    <w:rsid w:val="00345449"/>
    <w:rsid w:val="003454AB"/>
    <w:rsid w:val="003466A1"/>
    <w:rsid w:val="0034674F"/>
    <w:rsid w:val="00346859"/>
    <w:rsid w:val="00346AD1"/>
    <w:rsid w:val="00346C77"/>
    <w:rsid w:val="00346C87"/>
    <w:rsid w:val="00346F49"/>
    <w:rsid w:val="00346FE3"/>
    <w:rsid w:val="003470CD"/>
    <w:rsid w:val="00350048"/>
    <w:rsid w:val="00350194"/>
    <w:rsid w:val="003501A9"/>
    <w:rsid w:val="00350229"/>
    <w:rsid w:val="003505EB"/>
    <w:rsid w:val="0035079D"/>
    <w:rsid w:val="003509C9"/>
    <w:rsid w:val="00350DA2"/>
    <w:rsid w:val="00350F76"/>
    <w:rsid w:val="00351066"/>
    <w:rsid w:val="003510A8"/>
    <w:rsid w:val="0035114F"/>
    <w:rsid w:val="00351274"/>
    <w:rsid w:val="003519A5"/>
    <w:rsid w:val="00351A76"/>
    <w:rsid w:val="00351B2B"/>
    <w:rsid w:val="00351B9B"/>
    <w:rsid w:val="00351D4D"/>
    <w:rsid w:val="003524E7"/>
    <w:rsid w:val="00352867"/>
    <w:rsid w:val="00352E2A"/>
    <w:rsid w:val="00353714"/>
    <w:rsid w:val="003538E8"/>
    <w:rsid w:val="00353963"/>
    <w:rsid w:val="00353CB1"/>
    <w:rsid w:val="00353E6C"/>
    <w:rsid w:val="00354A91"/>
    <w:rsid w:val="0035548B"/>
    <w:rsid w:val="0035566B"/>
    <w:rsid w:val="003556BF"/>
    <w:rsid w:val="00355ABF"/>
    <w:rsid w:val="00355E92"/>
    <w:rsid w:val="003569C0"/>
    <w:rsid w:val="00356FFF"/>
    <w:rsid w:val="003570BC"/>
    <w:rsid w:val="0035769D"/>
    <w:rsid w:val="003616E4"/>
    <w:rsid w:val="00361D25"/>
    <w:rsid w:val="00361F2A"/>
    <w:rsid w:val="00361FD9"/>
    <w:rsid w:val="0036219E"/>
    <w:rsid w:val="003622ED"/>
    <w:rsid w:val="003623D7"/>
    <w:rsid w:val="00363121"/>
    <w:rsid w:val="003635F6"/>
    <w:rsid w:val="003639EC"/>
    <w:rsid w:val="00363FBF"/>
    <w:rsid w:val="0036444D"/>
    <w:rsid w:val="00364AA2"/>
    <w:rsid w:val="00364C0B"/>
    <w:rsid w:val="00364DEA"/>
    <w:rsid w:val="00364FFC"/>
    <w:rsid w:val="00365200"/>
    <w:rsid w:val="003653B4"/>
    <w:rsid w:val="0036594D"/>
    <w:rsid w:val="00365C7F"/>
    <w:rsid w:val="0036739E"/>
    <w:rsid w:val="003677F3"/>
    <w:rsid w:val="0036790F"/>
    <w:rsid w:val="00367943"/>
    <w:rsid w:val="00367D4F"/>
    <w:rsid w:val="00367E46"/>
    <w:rsid w:val="003700E1"/>
    <w:rsid w:val="00370222"/>
    <w:rsid w:val="00370CDB"/>
    <w:rsid w:val="00371160"/>
    <w:rsid w:val="00371E6E"/>
    <w:rsid w:val="00372475"/>
    <w:rsid w:val="003729CA"/>
    <w:rsid w:val="00372FA0"/>
    <w:rsid w:val="00373A2A"/>
    <w:rsid w:val="00373BF9"/>
    <w:rsid w:val="003747C4"/>
    <w:rsid w:val="003752B7"/>
    <w:rsid w:val="00375AA9"/>
    <w:rsid w:val="00375AE1"/>
    <w:rsid w:val="0037626B"/>
    <w:rsid w:val="003771D8"/>
    <w:rsid w:val="0038041B"/>
    <w:rsid w:val="003808D5"/>
    <w:rsid w:val="00380C3E"/>
    <w:rsid w:val="003813D2"/>
    <w:rsid w:val="0038143D"/>
    <w:rsid w:val="00381554"/>
    <w:rsid w:val="003815E6"/>
    <w:rsid w:val="003818CB"/>
    <w:rsid w:val="00381FE9"/>
    <w:rsid w:val="003824AD"/>
    <w:rsid w:val="00382E9A"/>
    <w:rsid w:val="0038314B"/>
    <w:rsid w:val="003839AD"/>
    <w:rsid w:val="003839B2"/>
    <w:rsid w:val="00383D31"/>
    <w:rsid w:val="003844DA"/>
    <w:rsid w:val="003846D4"/>
    <w:rsid w:val="003849B6"/>
    <w:rsid w:val="00384CE2"/>
    <w:rsid w:val="00385970"/>
    <w:rsid w:val="00385EE9"/>
    <w:rsid w:val="00385FDA"/>
    <w:rsid w:val="00386C46"/>
    <w:rsid w:val="00387280"/>
    <w:rsid w:val="00387402"/>
    <w:rsid w:val="003875A0"/>
    <w:rsid w:val="00387695"/>
    <w:rsid w:val="00387843"/>
    <w:rsid w:val="00387DB3"/>
    <w:rsid w:val="00390B92"/>
    <w:rsid w:val="00390C0B"/>
    <w:rsid w:val="00390FE7"/>
    <w:rsid w:val="0039184E"/>
    <w:rsid w:val="0039227A"/>
    <w:rsid w:val="0039255C"/>
    <w:rsid w:val="00392732"/>
    <w:rsid w:val="00392E09"/>
    <w:rsid w:val="00392F2B"/>
    <w:rsid w:val="00393143"/>
    <w:rsid w:val="0039391C"/>
    <w:rsid w:val="00393E43"/>
    <w:rsid w:val="003944A4"/>
    <w:rsid w:val="00394B26"/>
    <w:rsid w:val="0039507F"/>
    <w:rsid w:val="00395B76"/>
    <w:rsid w:val="00396416"/>
    <w:rsid w:val="00396470"/>
    <w:rsid w:val="003971ED"/>
    <w:rsid w:val="00397990"/>
    <w:rsid w:val="003A01FB"/>
    <w:rsid w:val="003A0372"/>
    <w:rsid w:val="003A252D"/>
    <w:rsid w:val="003A25C1"/>
    <w:rsid w:val="003A263F"/>
    <w:rsid w:val="003A2853"/>
    <w:rsid w:val="003A3ABC"/>
    <w:rsid w:val="003A504C"/>
    <w:rsid w:val="003A5AEA"/>
    <w:rsid w:val="003A65D1"/>
    <w:rsid w:val="003A65D4"/>
    <w:rsid w:val="003A68BE"/>
    <w:rsid w:val="003A698E"/>
    <w:rsid w:val="003A6FEE"/>
    <w:rsid w:val="003B044E"/>
    <w:rsid w:val="003B14D2"/>
    <w:rsid w:val="003B1A6E"/>
    <w:rsid w:val="003B29EA"/>
    <w:rsid w:val="003B3D5B"/>
    <w:rsid w:val="003B3DD9"/>
    <w:rsid w:val="003B3E54"/>
    <w:rsid w:val="003B4119"/>
    <w:rsid w:val="003B4131"/>
    <w:rsid w:val="003B454F"/>
    <w:rsid w:val="003B4CA9"/>
    <w:rsid w:val="003B575A"/>
    <w:rsid w:val="003B6733"/>
    <w:rsid w:val="003B6A96"/>
    <w:rsid w:val="003B6E0A"/>
    <w:rsid w:val="003B713F"/>
    <w:rsid w:val="003C0436"/>
    <w:rsid w:val="003C1242"/>
    <w:rsid w:val="003C141C"/>
    <w:rsid w:val="003C1830"/>
    <w:rsid w:val="003C189D"/>
    <w:rsid w:val="003C22BB"/>
    <w:rsid w:val="003C2EF5"/>
    <w:rsid w:val="003C34D0"/>
    <w:rsid w:val="003C3903"/>
    <w:rsid w:val="003C4760"/>
    <w:rsid w:val="003C4C70"/>
    <w:rsid w:val="003C4FBD"/>
    <w:rsid w:val="003C5349"/>
    <w:rsid w:val="003C6844"/>
    <w:rsid w:val="003C72BE"/>
    <w:rsid w:val="003C76B6"/>
    <w:rsid w:val="003D05BE"/>
    <w:rsid w:val="003D0E9A"/>
    <w:rsid w:val="003D1231"/>
    <w:rsid w:val="003D2456"/>
    <w:rsid w:val="003D2CBD"/>
    <w:rsid w:val="003D39B3"/>
    <w:rsid w:val="003D3F25"/>
    <w:rsid w:val="003D5030"/>
    <w:rsid w:val="003D5129"/>
    <w:rsid w:val="003D536C"/>
    <w:rsid w:val="003D6404"/>
    <w:rsid w:val="003D68F0"/>
    <w:rsid w:val="003D7188"/>
    <w:rsid w:val="003D71E8"/>
    <w:rsid w:val="003D7E22"/>
    <w:rsid w:val="003E0052"/>
    <w:rsid w:val="003E0205"/>
    <w:rsid w:val="003E08DA"/>
    <w:rsid w:val="003E1142"/>
    <w:rsid w:val="003E121F"/>
    <w:rsid w:val="003E1C2A"/>
    <w:rsid w:val="003E1EE8"/>
    <w:rsid w:val="003E1FED"/>
    <w:rsid w:val="003E2613"/>
    <w:rsid w:val="003E30BF"/>
    <w:rsid w:val="003E3383"/>
    <w:rsid w:val="003E4105"/>
    <w:rsid w:val="003E5AEE"/>
    <w:rsid w:val="003E5DC3"/>
    <w:rsid w:val="003E5F5C"/>
    <w:rsid w:val="003E6384"/>
    <w:rsid w:val="003E6539"/>
    <w:rsid w:val="003E66F1"/>
    <w:rsid w:val="003E6985"/>
    <w:rsid w:val="003E6C8D"/>
    <w:rsid w:val="003E710B"/>
    <w:rsid w:val="003E72A5"/>
    <w:rsid w:val="003E7512"/>
    <w:rsid w:val="003E7CBE"/>
    <w:rsid w:val="003E7FFB"/>
    <w:rsid w:val="003F0191"/>
    <w:rsid w:val="003F0537"/>
    <w:rsid w:val="003F0FB2"/>
    <w:rsid w:val="003F10A9"/>
    <w:rsid w:val="003F11A1"/>
    <w:rsid w:val="003F1AD7"/>
    <w:rsid w:val="003F1C5A"/>
    <w:rsid w:val="003F2AF3"/>
    <w:rsid w:val="003F3056"/>
    <w:rsid w:val="003F3895"/>
    <w:rsid w:val="003F38A9"/>
    <w:rsid w:val="003F3B44"/>
    <w:rsid w:val="003F3C5F"/>
    <w:rsid w:val="003F3F58"/>
    <w:rsid w:val="003F4961"/>
    <w:rsid w:val="003F4B90"/>
    <w:rsid w:val="003F52A4"/>
    <w:rsid w:val="003F65F7"/>
    <w:rsid w:val="0040011D"/>
    <w:rsid w:val="0040089F"/>
    <w:rsid w:val="00400E9E"/>
    <w:rsid w:val="004015BB"/>
    <w:rsid w:val="004015D9"/>
    <w:rsid w:val="0040190B"/>
    <w:rsid w:val="00401F27"/>
    <w:rsid w:val="0040214F"/>
    <w:rsid w:val="004027C0"/>
    <w:rsid w:val="004027E9"/>
    <w:rsid w:val="00402C7F"/>
    <w:rsid w:val="00402F82"/>
    <w:rsid w:val="00403479"/>
    <w:rsid w:val="0040370B"/>
    <w:rsid w:val="00403C7D"/>
    <w:rsid w:val="00403E15"/>
    <w:rsid w:val="004041DD"/>
    <w:rsid w:val="00404375"/>
    <w:rsid w:val="00404C05"/>
    <w:rsid w:val="00404C7E"/>
    <w:rsid w:val="00405805"/>
    <w:rsid w:val="00406A4B"/>
    <w:rsid w:val="00406F8C"/>
    <w:rsid w:val="004072AC"/>
    <w:rsid w:val="0040776C"/>
    <w:rsid w:val="004104F6"/>
    <w:rsid w:val="00410FA4"/>
    <w:rsid w:val="0041143F"/>
    <w:rsid w:val="00411586"/>
    <w:rsid w:val="00411A71"/>
    <w:rsid w:val="00411F90"/>
    <w:rsid w:val="004121C9"/>
    <w:rsid w:val="004132FD"/>
    <w:rsid w:val="00413502"/>
    <w:rsid w:val="004137C1"/>
    <w:rsid w:val="00413B08"/>
    <w:rsid w:val="00413B8A"/>
    <w:rsid w:val="00413E5C"/>
    <w:rsid w:val="00413F3A"/>
    <w:rsid w:val="00414017"/>
    <w:rsid w:val="0041407E"/>
    <w:rsid w:val="0041488A"/>
    <w:rsid w:val="00414B37"/>
    <w:rsid w:val="00414EE8"/>
    <w:rsid w:val="004151ED"/>
    <w:rsid w:val="00415D61"/>
    <w:rsid w:val="00416E30"/>
    <w:rsid w:val="0041745C"/>
    <w:rsid w:val="00417609"/>
    <w:rsid w:val="00417F34"/>
    <w:rsid w:val="0042069B"/>
    <w:rsid w:val="00420A4C"/>
    <w:rsid w:val="004212A8"/>
    <w:rsid w:val="00421820"/>
    <w:rsid w:val="004221FC"/>
    <w:rsid w:val="00422A68"/>
    <w:rsid w:val="00422D8E"/>
    <w:rsid w:val="00423080"/>
    <w:rsid w:val="004231A7"/>
    <w:rsid w:val="004236C5"/>
    <w:rsid w:val="004256D4"/>
    <w:rsid w:val="00425912"/>
    <w:rsid w:val="00425EA3"/>
    <w:rsid w:val="004267FA"/>
    <w:rsid w:val="00426A82"/>
    <w:rsid w:val="00426E8F"/>
    <w:rsid w:val="004271E2"/>
    <w:rsid w:val="004271F2"/>
    <w:rsid w:val="0042764C"/>
    <w:rsid w:val="00427A22"/>
    <w:rsid w:val="00427EDF"/>
    <w:rsid w:val="00427F1C"/>
    <w:rsid w:val="00430509"/>
    <w:rsid w:val="0043058F"/>
    <w:rsid w:val="00430A32"/>
    <w:rsid w:val="00430D34"/>
    <w:rsid w:val="00430F51"/>
    <w:rsid w:val="00431F59"/>
    <w:rsid w:val="00432517"/>
    <w:rsid w:val="00432812"/>
    <w:rsid w:val="00432BC5"/>
    <w:rsid w:val="00432D8C"/>
    <w:rsid w:val="00433266"/>
    <w:rsid w:val="00433977"/>
    <w:rsid w:val="00433B49"/>
    <w:rsid w:val="00433EDF"/>
    <w:rsid w:val="004355E1"/>
    <w:rsid w:val="004356C6"/>
    <w:rsid w:val="00435E80"/>
    <w:rsid w:val="00436759"/>
    <w:rsid w:val="0043698B"/>
    <w:rsid w:val="00436A2A"/>
    <w:rsid w:val="00436F2B"/>
    <w:rsid w:val="004373C6"/>
    <w:rsid w:val="0043793A"/>
    <w:rsid w:val="00437A8B"/>
    <w:rsid w:val="00437BC9"/>
    <w:rsid w:val="00437D77"/>
    <w:rsid w:val="00437EE8"/>
    <w:rsid w:val="00440873"/>
    <w:rsid w:val="00440A6E"/>
    <w:rsid w:val="00441440"/>
    <w:rsid w:val="00441744"/>
    <w:rsid w:val="00441959"/>
    <w:rsid w:val="00441D32"/>
    <w:rsid w:val="00442267"/>
    <w:rsid w:val="0044227B"/>
    <w:rsid w:val="004423F3"/>
    <w:rsid w:val="00442831"/>
    <w:rsid w:val="00442860"/>
    <w:rsid w:val="00442B87"/>
    <w:rsid w:val="00443A0C"/>
    <w:rsid w:val="00444126"/>
    <w:rsid w:val="00444353"/>
    <w:rsid w:val="00444573"/>
    <w:rsid w:val="004445FD"/>
    <w:rsid w:val="00444862"/>
    <w:rsid w:val="00444AD4"/>
    <w:rsid w:val="00445555"/>
    <w:rsid w:val="00445949"/>
    <w:rsid w:val="00446459"/>
    <w:rsid w:val="0044653E"/>
    <w:rsid w:val="00446608"/>
    <w:rsid w:val="004470A3"/>
    <w:rsid w:val="00447149"/>
    <w:rsid w:val="00450120"/>
    <w:rsid w:val="00450A19"/>
    <w:rsid w:val="00450DB2"/>
    <w:rsid w:val="00450E54"/>
    <w:rsid w:val="00451332"/>
    <w:rsid w:val="00452307"/>
    <w:rsid w:val="0045234F"/>
    <w:rsid w:val="00452362"/>
    <w:rsid w:val="00452658"/>
    <w:rsid w:val="00452895"/>
    <w:rsid w:val="004529D9"/>
    <w:rsid w:val="00452A6F"/>
    <w:rsid w:val="00452AEB"/>
    <w:rsid w:val="00452BBE"/>
    <w:rsid w:val="00452C4F"/>
    <w:rsid w:val="00452C9A"/>
    <w:rsid w:val="00453F5C"/>
    <w:rsid w:val="00453F98"/>
    <w:rsid w:val="00454180"/>
    <w:rsid w:val="0045455D"/>
    <w:rsid w:val="0045549A"/>
    <w:rsid w:val="00455E7C"/>
    <w:rsid w:val="004561B2"/>
    <w:rsid w:val="00456223"/>
    <w:rsid w:val="004572D7"/>
    <w:rsid w:val="00457417"/>
    <w:rsid w:val="00457638"/>
    <w:rsid w:val="004579EF"/>
    <w:rsid w:val="00457A6B"/>
    <w:rsid w:val="00457BE7"/>
    <w:rsid w:val="00460133"/>
    <w:rsid w:val="004603EF"/>
    <w:rsid w:val="0046057D"/>
    <w:rsid w:val="00460B07"/>
    <w:rsid w:val="004612CC"/>
    <w:rsid w:val="00461AB6"/>
    <w:rsid w:val="0046253F"/>
    <w:rsid w:val="004626F3"/>
    <w:rsid w:val="004632E9"/>
    <w:rsid w:val="004635E6"/>
    <w:rsid w:val="00463DA5"/>
    <w:rsid w:val="004642B3"/>
    <w:rsid w:val="0046444A"/>
    <w:rsid w:val="004650B9"/>
    <w:rsid w:val="004661A4"/>
    <w:rsid w:val="004668D7"/>
    <w:rsid w:val="00466E2C"/>
    <w:rsid w:val="00466E59"/>
    <w:rsid w:val="00467593"/>
    <w:rsid w:val="00467D51"/>
    <w:rsid w:val="004701C4"/>
    <w:rsid w:val="00470212"/>
    <w:rsid w:val="004704BF"/>
    <w:rsid w:val="004712FE"/>
    <w:rsid w:val="00471D53"/>
    <w:rsid w:val="00471EA4"/>
    <w:rsid w:val="00472A6B"/>
    <w:rsid w:val="00472B61"/>
    <w:rsid w:val="00472CF8"/>
    <w:rsid w:val="00472E1F"/>
    <w:rsid w:val="004734B5"/>
    <w:rsid w:val="00473925"/>
    <w:rsid w:val="00473C9E"/>
    <w:rsid w:val="0047402F"/>
    <w:rsid w:val="004742DC"/>
    <w:rsid w:val="004744BF"/>
    <w:rsid w:val="00474938"/>
    <w:rsid w:val="004753C3"/>
    <w:rsid w:val="0047593B"/>
    <w:rsid w:val="00477567"/>
    <w:rsid w:val="00477912"/>
    <w:rsid w:val="00477AD3"/>
    <w:rsid w:val="00477C04"/>
    <w:rsid w:val="00480602"/>
    <w:rsid w:val="00481005"/>
    <w:rsid w:val="004812BC"/>
    <w:rsid w:val="00481368"/>
    <w:rsid w:val="004817CF"/>
    <w:rsid w:val="0048271C"/>
    <w:rsid w:val="00482745"/>
    <w:rsid w:val="00482C90"/>
    <w:rsid w:val="004835C4"/>
    <w:rsid w:val="004837E5"/>
    <w:rsid w:val="00483CEC"/>
    <w:rsid w:val="00483E4A"/>
    <w:rsid w:val="00484484"/>
    <w:rsid w:val="004853A0"/>
    <w:rsid w:val="00485468"/>
    <w:rsid w:val="00485A41"/>
    <w:rsid w:val="00485FD0"/>
    <w:rsid w:val="0048632E"/>
    <w:rsid w:val="00486DE2"/>
    <w:rsid w:val="00487364"/>
    <w:rsid w:val="00487453"/>
    <w:rsid w:val="0048766C"/>
    <w:rsid w:val="00487766"/>
    <w:rsid w:val="0048784D"/>
    <w:rsid w:val="004879B0"/>
    <w:rsid w:val="004879C1"/>
    <w:rsid w:val="00487A3F"/>
    <w:rsid w:val="00487E29"/>
    <w:rsid w:val="00490409"/>
    <w:rsid w:val="00490676"/>
    <w:rsid w:val="00490920"/>
    <w:rsid w:val="004911AA"/>
    <w:rsid w:val="00492729"/>
    <w:rsid w:val="00492B7E"/>
    <w:rsid w:val="00492E45"/>
    <w:rsid w:val="00492E76"/>
    <w:rsid w:val="00493CF6"/>
    <w:rsid w:val="00493E0C"/>
    <w:rsid w:val="0049442E"/>
    <w:rsid w:val="00495877"/>
    <w:rsid w:val="00495908"/>
    <w:rsid w:val="0049624C"/>
    <w:rsid w:val="0049644E"/>
    <w:rsid w:val="00496642"/>
    <w:rsid w:val="00496C21"/>
    <w:rsid w:val="004971E2"/>
    <w:rsid w:val="00497256"/>
    <w:rsid w:val="004A0406"/>
    <w:rsid w:val="004A087C"/>
    <w:rsid w:val="004A0EC3"/>
    <w:rsid w:val="004A0F49"/>
    <w:rsid w:val="004A12E7"/>
    <w:rsid w:val="004A13FF"/>
    <w:rsid w:val="004A1FBE"/>
    <w:rsid w:val="004A242E"/>
    <w:rsid w:val="004A29FE"/>
    <w:rsid w:val="004A2A17"/>
    <w:rsid w:val="004A3E3F"/>
    <w:rsid w:val="004A4014"/>
    <w:rsid w:val="004A408D"/>
    <w:rsid w:val="004A40CD"/>
    <w:rsid w:val="004A42B3"/>
    <w:rsid w:val="004A4F48"/>
    <w:rsid w:val="004A5197"/>
    <w:rsid w:val="004A548D"/>
    <w:rsid w:val="004A5767"/>
    <w:rsid w:val="004A5F06"/>
    <w:rsid w:val="004A6638"/>
    <w:rsid w:val="004A6B0A"/>
    <w:rsid w:val="004A706E"/>
    <w:rsid w:val="004A78B9"/>
    <w:rsid w:val="004A7A31"/>
    <w:rsid w:val="004B0673"/>
    <w:rsid w:val="004B0963"/>
    <w:rsid w:val="004B1C70"/>
    <w:rsid w:val="004B1F33"/>
    <w:rsid w:val="004B201A"/>
    <w:rsid w:val="004B2286"/>
    <w:rsid w:val="004B24FA"/>
    <w:rsid w:val="004B269C"/>
    <w:rsid w:val="004B2E8F"/>
    <w:rsid w:val="004B32D4"/>
    <w:rsid w:val="004B496D"/>
    <w:rsid w:val="004B576B"/>
    <w:rsid w:val="004B5A14"/>
    <w:rsid w:val="004B64D8"/>
    <w:rsid w:val="004B6C9E"/>
    <w:rsid w:val="004B6E00"/>
    <w:rsid w:val="004B7CCD"/>
    <w:rsid w:val="004B7E6D"/>
    <w:rsid w:val="004B7FDC"/>
    <w:rsid w:val="004C07D1"/>
    <w:rsid w:val="004C12E3"/>
    <w:rsid w:val="004C1357"/>
    <w:rsid w:val="004C198C"/>
    <w:rsid w:val="004C1E03"/>
    <w:rsid w:val="004C20AA"/>
    <w:rsid w:val="004C2648"/>
    <w:rsid w:val="004C2A7D"/>
    <w:rsid w:val="004C323E"/>
    <w:rsid w:val="004C332A"/>
    <w:rsid w:val="004C36CE"/>
    <w:rsid w:val="004C3876"/>
    <w:rsid w:val="004C3B9F"/>
    <w:rsid w:val="004C501B"/>
    <w:rsid w:val="004C5474"/>
    <w:rsid w:val="004C5790"/>
    <w:rsid w:val="004C5888"/>
    <w:rsid w:val="004C607C"/>
    <w:rsid w:val="004C61DC"/>
    <w:rsid w:val="004C624D"/>
    <w:rsid w:val="004C6374"/>
    <w:rsid w:val="004C714F"/>
    <w:rsid w:val="004D003D"/>
    <w:rsid w:val="004D07A6"/>
    <w:rsid w:val="004D081D"/>
    <w:rsid w:val="004D0DA5"/>
    <w:rsid w:val="004D1654"/>
    <w:rsid w:val="004D17C6"/>
    <w:rsid w:val="004D19FE"/>
    <w:rsid w:val="004D1CE7"/>
    <w:rsid w:val="004D22BD"/>
    <w:rsid w:val="004D2A4E"/>
    <w:rsid w:val="004D2E48"/>
    <w:rsid w:val="004D39E6"/>
    <w:rsid w:val="004D4D53"/>
    <w:rsid w:val="004D5706"/>
    <w:rsid w:val="004D5828"/>
    <w:rsid w:val="004D58ED"/>
    <w:rsid w:val="004D656D"/>
    <w:rsid w:val="004D6B26"/>
    <w:rsid w:val="004D784E"/>
    <w:rsid w:val="004D7A2F"/>
    <w:rsid w:val="004D7F30"/>
    <w:rsid w:val="004E0484"/>
    <w:rsid w:val="004E0706"/>
    <w:rsid w:val="004E09AB"/>
    <w:rsid w:val="004E0CAF"/>
    <w:rsid w:val="004E12DC"/>
    <w:rsid w:val="004E17A5"/>
    <w:rsid w:val="004E19DB"/>
    <w:rsid w:val="004E22E2"/>
    <w:rsid w:val="004E2A44"/>
    <w:rsid w:val="004E2BFE"/>
    <w:rsid w:val="004E2FD2"/>
    <w:rsid w:val="004E397B"/>
    <w:rsid w:val="004E4AAB"/>
    <w:rsid w:val="004E5005"/>
    <w:rsid w:val="004E50AB"/>
    <w:rsid w:val="004E596B"/>
    <w:rsid w:val="004E5D2A"/>
    <w:rsid w:val="004E5E09"/>
    <w:rsid w:val="004E6078"/>
    <w:rsid w:val="004E658C"/>
    <w:rsid w:val="004E6ABD"/>
    <w:rsid w:val="004E7C2F"/>
    <w:rsid w:val="004E7C40"/>
    <w:rsid w:val="004F0347"/>
    <w:rsid w:val="004F0950"/>
    <w:rsid w:val="004F0991"/>
    <w:rsid w:val="004F10B4"/>
    <w:rsid w:val="004F1DC4"/>
    <w:rsid w:val="004F1FED"/>
    <w:rsid w:val="004F23C3"/>
    <w:rsid w:val="004F2EF3"/>
    <w:rsid w:val="004F2FA5"/>
    <w:rsid w:val="004F32A0"/>
    <w:rsid w:val="004F39A6"/>
    <w:rsid w:val="004F3B27"/>
    <w:rsid w:val="004F3B3E"/>
    <w:rsid w:val="004F3E09"/>
    <w:rsid w:val="004F4602"/>
    <w:rsid w:val="004F4857"/>
    <w:rsid w:val="004F50CC"/>
    <w:rsid w:val="004F52CA"/>
    <w:rsid w:val="004F5703"/>
    <w:rsid w:val="004F57D5"/>
    <w:rsid w:val="004F6773"/>
    <w:rsid w:val="004F7169"/>
    <w:rsid w:val="004F755C"/>
    <w:rsid w:val="004F778D"/>
    <w:rsid w:val="004F7C15"/>
    <w:rsid w:val="004F7C25"/>
    <w:rsid w:val="00501AA3"/>
    <w:rsid w:val="00502111"/>
    <w:rsid w:val="00503CB6"/>
    <w:rsid w:val="00503F81"/>
    <w:rsid w:val="005040E8"/>
    <w:rsid w:val="0050478F"/>
    <w:rsid w:val="0050490F"/>
    <w:rsid w:val="00505320"/>
    <w:rsid w:val="00505347"/>
    <w:rsid w:val="00505993"/>
    <w:rsid w:val="005066F5"/>
    <w:rsid w:val="00506964"/>
    <w:rsid w:val="00506B22"/>
    <w:rsid w:val="00506BFB"/>
    <w:rsid w:val="00506C57"/>
    <w:rsid w:val="00506C6C"/>
    <w:rsid w:val="00506EB2"/>
    <w:rsid w:val="005071C7"/>
    <w:rsid w:val="00507371"/>
    <w:rsid w:val="005075CD"/>
    <w:rsid w:val="005079B0"/>
    <w:rsid w:val="005108D3"/>
    <w:rsid w:val="005109BE"/>
    <w:rsid w:val="005114B1"/>
    <w:rsid w:val="00512228"/>
    <w:rsid w:val="00512693"/>
    <w:rsid w:val="00512B20"/>
    <w:rsid w:val="00512BD2"/>
    <w:rsid w:val="00512CD6"/>
    <w:rsid w:val="00512CD7"/>
    <w:rsid w:val="0051313F"/>
    <w:rsid w:val="0051340C"/>
    <w:rsid w:val="00513DAE"/>
    <w:rsid w:val="0051482C"/>
    <w:rsid w:val="00514B98"/>
    <w:rsid w:val="0051589C"/>
    <w:rsid w:val="00515E30"/>
    <w:rsid w:val="00516698"/>
    <w:rsid w:val="00516D17"/>
    <w:rsid w:val="00516D74"/>
    <w:rsid w:val="005174B8"/>
    <w:rsid w:val="0051783A"/>
    <w:rsid w:val="0051798E"/>
    <w:rsid w:val="00517CC8"/>
    <w:rsid w:val="00517D6E"/>
    <w:rsid w:val="005206F7"/>
    <w:rsid w:val="00520AA1"/>
    <w:rsid w:val="00520C67"/>
    <w:rsid w:val="00521196"/>
    <w:rsid w:val="005212DB"/>
    <w:rsid w:val="0052201C"/>
    <w:rsid w:val="00522192"/>
    <w:rsid w:val="00522785"/>
    <w:rsid w:val="00523C10"/>
    <w:rsid w:val="005248E0"/>
    <w:rsid w:val="00524F3C"/>
    <w:rsid w:val="00524F56"/>
    <w:rsid w:val="0052526E"/>
    <w:rsid w:val="005253CE"/>
    <w:rsid w:val="005257D6"/>
    <w:rsid w:val="005257E9"/>
    <w:rsid w:val="005259F3"/>
    <w:rsid w:val="00526816"/>
    <w:rsid w:val="00526ADA"/>
    <w:rsid w:val="0052727D"/>
    <w:rsid w:val="00527FDA"/>
    <w:rsid w:val="00530845"/>
    <w:rsid w:val="005319FC"/>
    <w:rsid w:val="00531C67"/>
    <w:rsid w:val="00531EE2"/>
    <w:rsid w:val="00532248"/>
    <w:rsid w:val="00532584"/>
    <w:rsid w:val="005328F1"/>
    <w:rsid w:val="00532B37"/>
    <w:rsid w:val="005331A0"/>
    <w:rsid w:val="00533377"/>
    <w:rsid w:val="0053391C"/>
    <w:rsid w:val="00533B80"/>
    <w:rsid w:val="00533EC8"/>
    <w:rsid w:val="00534094"/>
    <w:rsid w:val="005347AC"/>
    <w:rsid w:val="00534C55"/>
    <w:rsid w:val="00535513"/>
    <w:rsid w:val="0053565A"/>
    <w:rsid w:val="005356CB"/>
    <w:rsid w:val="00535B83"/>
    <w:rsid w:val="00537853"/>
    <w:rsid w:val="00540264"/>
    <w:rsid w:val="00540E9A"/>
    <w:rsid w:val="00541693"/>
    <w:rsid w:val="0054210B"/>
    <w:rsid w:val="0054264B"/>
    <w:rsid w:val="0054274C"/>
    <w:rsid w:val="00542D5A"/>
    <w:rsid w:val="00542EBD"/>
    <w:rsid w:val="00543A78"/>
    <w:rsid w:val="005442A6"/>
    <w:rsid w:val="00545087"/>
    <w:rsid w:val="005460D7"/>
    <w:rsid w:val="0054611D"/>
    <w:rsid w:val="0054669E"/>
    <w:rsid w:val="005470FB"/>
    <w:rsid w:val="00547912"/>
    <w:rsid w:val="00550AF2"/>
    <w:rsid w:val="00550CA6"/>
    <w:rsid w:val="005515C0"/>
    <w:rsid w:val="00551A3D"/>
    <w:rsid w:val="00552226"/>
    <w:rsid w:val="00552E0D"/>
    <w:rsid w:val="0055359F"/>
    <w:rsid w:val="0055366D"/>
    <w:rsid w:val="005536CD"/>
    <w:rsid w:val="00553794"/>
    <w:rsid w:val="00553E4B"/>
    <w:rsid w:val="005542F6"/>
    <w:rsid w:val="0055473A"/>
    <w:rsid w:val="00555537"/>
    <w:rsid w:val="0055571A"/>
    <w:rsid w:val="00555B4C"/>
    <w:rsid w:val="0055626B"/>
    <w:rsid w:val="00556917"/>
    <w:rsid w:val="00556986"/>
    <w:rsid w:val="00556E3B"/>
    <w:rsid w:val="00556E68"/>
    <w:rsid w:val="00557757"/>
    <w:rsid w:val="0055780F"/>
    <w:rsid w:val="00557C3C"/>
    <w:rsid w:val="00557F25"/>
    <w:rsid w:val="005600E3"/>
    <w:rsid w:val="005612A2"/>
    <w:rsid w:val="00561733"/>
    <w:rsid w:val="00562536"/>
    <w:rsid w:val="00562BF4"/>
    <w:rsid w:val="00563273"/>
    <w:rsid w:val="0056354D"/>
    <w:rsid w:val="00563647"/>
    <w:rsid w:val="005636AA"/>
    <w:rsid w:val="005641FA"/>
    <w:rsid w:val="0056451E"/>
    <w:rsid w:val="005647D0"/>
    <w:rsid w:val="00564D0C"/>
    <w:rsid w:val="0056675C"/>
    <w:rsid w:val="0056727A"/>
    <w:rsid w:val="0056767A"/>
    <w:rsid w:val="00567CCA"/>
    <w:rsid w:val="00567D80"/>
    <w:rsid w:val="00570399"/>
    <w:rsid w:val="00570449"/>
    <w:rsid w:val="00570536"/>
    <w:rsid w:val="00571516"/>
    <w:rsid w:val="0057163B"/>
    <w:rsid w:val="00571A19"/>
    <w:rsid w:val="005723B6"/>
    <w:rsid w:val="00572A52"/>
    <w:rsid w:val="00572D13"/>
    <w:rsid w:val="0057306E"/>
    <w:rsid w:val="0057319B"/>
    <w:rsid w:val="005742A2"/>
    <w:rsid w:val="005744FC"/>
    <w:rsid w:val="00574927"/>
    <w:rsid w:val="00574E61"/>
    <w:rsid w:val="00575021"/>
    <w:rsid w:val="005751EB"/>
    <w:rsid w:val="00575D7D"/>
    <w:rsid w:val="00575E2E"/>
    <w:rsid w:val="00576176"/>
    <w:rsid w:val="00576F2A"/>
    <w:rsid w:val="00577503"/>
    <w:rsid w:val="0058259F"/>
    <w:rsid w:val="00583060"/>
    <w:rsid w:val="00583538"/>
    <w:rsid w:val="00583A27"/>
    <w:rsid w:val="00583A5C"/>
    <w:rsid w:val="00585E78"/>
    <w:rsid w:val="00586144"/>
    <w:rsid w:val="00587184"/>
    <w:rsid w:val="005874BA"/>
    <w:rsid w:val="00590EFD"/>
    <w:rsid w:val="00591899"/>
    <w:rsid w:val="00591D95"/>
    <w:rsid w:val="0059200B"/>
    <w:rsid w:val="0059244F"/>
    <w:rsid w:val="00592A88"/>
    <w:rsid w:val="00593317"/>
    <w:rsid w:val="00593585"/>
    <w:rsid w:val="00593768"/>
    <w:rsid w:val="00593CFE"/>
    <w:rsid w:val="005943F5"/>
    <w:rsid w:val="005946D7"/>
    <w:rsid w:val="005948B2"/>
    <w:rsid w:val="00594C19"/>
    <w:rsid w:val="00594D16"/>
    <w:rsid w:val="00595179"/>
    <w:rsid w:val="00595571"/>
    <w:rsid w:val="005960B7"/>
    <w:rsid w:val="00596AAE"/>
    <w:rsid w:val="005A0532"/>
    <w:rsid w:val="005A0E9F"/>
    <w:rsid w:val="005A0EC8"/>
    <w:rsid w:val="005A12A4"/>
    <w:rsid w:val="005A1541"/>
    <w:rsid w:val="005A1897"/>
    <w:rsid w:val="005A1EF0"/>
    <w:rsid w:val="005A1F01"/>
    <w:rsid w:val="005A24F1"/>
    <w:rsid w:val="005A339D"/>
    <w:rsid w:val="005A3AA3"/>
    <w:rsid w:val="005A3DC6"/>
    <w:rsid w:val="005A41F6"/>
    <w:rsid w:val="005A4D77"/>
    <w:rsid w:val="005A4E33"/>
    <w:rsid w:val="005A5148"/>
    <w:rsid w:val="005A571D"/>
    <w:rsid w:val="005A5C06"/>
    <w:rsid w:val="005A61EC"/>
    <w:rsid w:val="005A6919"/>
    <w:rsid w:val="005A7C29"/>
    <w:rsid w:val="005A7F91"/>
    <w:rsid w:val="005B00C7"/>
    <w:rsid w:val="005B0984"/>
    <w:rsid w:val="005B0A12"/>
    <w:rsid w:val="005B146B"/>
    <w:rsid w:val="005B1C20"/>
    <w:rsid w:val="005B201C"/>
    <w:rsid w:val="005B215A"/>
    <w:rsid w:val="005B2B5D"/>
    <w:rsid w:val="005B2BF8"/>
    <w:rsid w:val="005B3A13"/>
    <w:rsid w:val="005B4362"/>
    <w:rsid w:val="005B4644"/>
    <w:rsid w:val="005B4ACB"/>
    <w:rsid w:val="005B4E17"/>
    <w:rsid w:val="005B652B"/>
    <w:rsid w:val="005B6585"/>
    <w:rsid w:val="005B72F1"/>
    <w:rsid w:val="005B7579"/>
    <w:rsid w:val="005B78C6"/>
    <w:rsid w:val="005B7963"/>
    <w:rsid w:val="005C07D0"/>
    <w:rsid w:val="005C0977"/>
    <w:rsid w:val="005C0DD0"/>
    <w:rsid w:val="005C1184"/>
    <w:rsid w:val="005C14C4"/>
    <w:rsid w:val="005C1A77"/>
    <w:rsid w:val="005C1D43"/>
    <w:rsid w:val="005C1E4A"/>
    <w:rsid w:val="005C1F3A"/>
    <w:rsid w:val="005C218E"/>
    <w:rsid w:val="005C2567"/>
    <w:rsid w:val="005C2944"/>
    <w:rsid w:val="005C2BD1"/>
    <w:rsid w:val="005C311B"/>
    <w:rsid w:val="005C43CF"/>
    <w:rsid w:val="005C5B41"/>
    <w:rsid w:val="005C671C"/>
    <w:rsid w:val="005C7462"/>
    <w:rsid w:val="005C766E"/>
    <w:rsid w:val="005D04FF"/>
    <w:rsid w:val="005D0844"/>
    <w:rsid w:val="005D1028"/>
    <w:rsid w:val="005D10AA"/>
    <w:rsid w:val="005D11C9"/>
    <w:rsid w:val="005D13D9"/>
    <w:rsid w:val="005D169F"/>
    <w:rsid w:val="005D17C5"/>
    <w:rsid w:val="005D188C"/>
    <w:rsid w:val="005D1C52"/>
    <w:rsid w:val="005D1FC3"/>
    <w:rsid w:val="005D32E7"/>
    <w:rsid w:val="005D3858"/>
    <w:rsid w:val="005D4A63"/>
    <w:rsid w:val="005D5907"/>
    <w:rsid w:val="005D5A08"/>
    <w:rsid w:val="005D5A87"/>
    <w:rsid w:val="005D5F12"/>
    <w:rsid w:val="005D5FF7"/>
    <w:rsid w:val="005D623F"/>
    <w:rsid w:val="005D640B"/>
    <w:rsid w:val="005D6EE6"/>
    <w:rsid w:val="005D6F43"/>
    <w:rsid w:val="005D751A"/>
    <w:rsid w:val="005D7A3B"/>
    <w:rsid w:val="005E07D2"/>
    <w:rsid w:val="005E0A9F"/>
    <w:rsid w:val="005E0FE0"/>
    <w:rsid w:val="005E1252"/>
    <w:rsid w:val="005E1542"/>
    <w:rsid w:val="005E15F1"/>
    <w:rsid w:val="005E1811"/>
    <w:rsid w:val="005E19A9"/>
    <w:rsid w:val="005E1B6A"/>
    <w:rsid w:val="005E21DB"/>
    <w:rsid w:val="005E31A5"/>
    <w:rsid w:val="005E351E"/>
    <w:rsid w:val="005E426E"/>
    <w:rsid w:val="005E4A6C"/>
    <w:rsid w:val="005E4D97"/>
    <w:rsid w:val="005E523D"/>
    <w:rsid w:val="005E52A3"/>
    <w:rsid w:val="005E58F6"/>
    <w:rsid w:val="005E59C0"/>
    <w:rsid w:val="005E6341"/>
    <w:rsid w:val="005E72B1"/>
    <w:rsid w:val="005E752E"/>
    <w:rsid w:val="005E7A7A"/>
    <w:rsid w:val="005F0408"/>
    <w:rsid w:val="005F0777"/>
    <w:rsid w:val="005F09CA"/>
    <w:rsid w:val="005F0B2A"/>
    <w:rsid w:val="005F0B9D"/>
    <w:rsid w:val="005F142C"/>
    <w:rsid w:val="005F3945"/>
    <w:rsid w:val="005F4175"/>
    <w:rsid w:val="005F43F1"/>
    <w:rsid w:val="005F4741"/>
    <w:rsid w:val="005F650F"/>
    <w:rsid w:val="005F6859"/>
    <w:rsid w:val="005F7423"/>
    <w:rsid w:val="005F7988"/>
    <w:rsid w:val="005F7C8E"/>
    <w:rsid w:val="005F7ED7"/>
    <w:rsid w:val="00600575"/>
    <w:rsid w:val="00600724"/>
    <w:rsid w:val="00600943"/>
    <w:rsid w:val="00600F7A"/>
    <w:rsid w:val="00601247"/>
    <w:rsid w:val="00601973"/>
    <w:rsid w:val="006019E9"/>
    <w:rsid w:val="006020FF"/>
    <w:rsid w:val="006026D8"/>
    <w:rsid w:val="00602F6C"/>
    <w:rsid w:val="00603055"/>
    <w:rsid w:val="006035DB"/>
    <w:rsid w:val="0060362B"/>
    <w:rsid w:val="00603A15"/>
    <w:rsid w:val="00603CC7"/>
    <w:rsid w:val="006042C2"/>
    <w:rsid w:val="0060475E"/>
    <w:rsid w:val="00604856"/>
    <w:rsid w:val="006049F5"/>
    <w:rsid w:val="00604DC6"/>
    <w:rsid w:val="00605491"/>
    <w:rsid w:val="006058BA"/>
    <w:rsid w:val="00606664"/>
    <w:rsid w:val="00606876"/>
    <w:rsid w:val="00607270"/>
    <w:rsid w:val="006075E2"/>
    <w:rsid w:val="006100A2"/>
    <w:rsid w:val="00610615"/>
    <w:rsid w:val="0061085F"/>
    <w:rsid w:val="00610FB7"/>
    <w:rsid w:val="0061113A"/>
    <w:rsid w:val="006115D0"/>
    <w:rsid w:val="006116E0"/>
    <w:rsid w:val="006129A6"/>
    <w:rsid w:val="00613A2B"/>
    <w:rsid w:val="00613C0D"/>
    <w:rsid w:val="00613C65"/>
    <w:rsid w:val="00613EFE"/>
    <w:rsid w:val="00614721"/>
    <w:rsid w:val="00614C1A"/>
    <w:rsid w:val="00614DEA"/>
    <w:rsid w:val="00614FF4"/>
    <w:rsid w:val="0061550F"/>
    <w:rsid w:val="00615987"/>
    <w:rsid w:val="006162DD"/>
    <w:rsid w:val="006168CD"/>
    <w:rsid w:val="00616A2D"/>
    <w:rsid w:val="0061760B"/>
    <w:rsid w:val="00620035"/>
    <w:rsid w:val="0062010C"/>
    <w:rsid w:val="00621105"/>
    <w:rsid w:val="0062153F"/>
    <w:rsid w:val="00621994"/>
    <w:rsid w:val="00621B1E"/>
    <w:rsid w:val="0062203B"/>
    <w:rsid w:val="00622763"/>
    <w:rsid w:val="00622A41"/>
    <w:rsid w:val="00622A8A"/>
    <w:rsid w:val="0062335A"/>
    <w:rsid w:val="006233F0"/>
    <w:rsid w:val="006235C8"/>
    <w:rsid w:val="0062375B"/>
    <w:rsid w:val="00624905"/>
    <w:rsid w:val="00624B38"/>
    <w:rsid w:val="00624DFD"/>
    <w:rsid w:val="00625298"/>
    <w:rsid w:val="00626A06"/>
    <w:rsid w:val="0062702F"/>
    <w:rsid w:val="00627372"/>
    <w:rsid w:val="006277AA"/>
    <w:rsid w:val="00627A00"/>
    <w:rsid w:val="00627AA0"/>
    <w:rsid w:val="00630353"/>
    <w:rsid w:val="00630725"/>
    <w:rsid w:val="00630FD8"/>
    <w:rsid w:val="00631A78"/>
    <w:rsid w:val="00631B64"/>
    <w:rsid w:val="00631FC5"/>
    <w:rsid w:val="00632C55"/>
    <w:rsid w:val="00632F43"/>
    <w:rsid w:val="006330FB"/>
    <w:rsid w:val="0063374D"/>
    <w:rsid w:val="0063402C"/>
    <w:rsid w:val="00634BB1"/>
    <w:rsid w:val="00634D90"/>
    <w:rsid w:val="00634EB1"/>
    <w:rsid w:val="00634F09"/>
    <w:rsid w:val="00635593"/>
    <w:rsid w:val="00635661"/>
    <w:rsid w:val="0063574E"/>
    <w:rsid w:val="006357AA"/>
    <w:rsid w:val="00635BB7"/>
    <w:rsid w:val="00635EB3"/>
    <w:rsid w:val="006365DA"/>
    <w:rsid w:val="00636A25"/>
    <w:rsid w:val="00636B38"/>
    <w:rsid w:val="0063741C"/>
    <w:rsid w:val="0063799C"/>
    <w:rsid w:val="00637CF6"/>
    <w:rsid w:val="006400F6"/>
    <w:rsid w:val="006405F0"/>
    <w:rsid w:val="006406E4"/>
    <w:rsid w:val="006407BB"/>
    <w:rsid w:val="00640B7B"/>
    <w:rsid w:val="00640DFD"/>
    <w:rsid w:val="0064118A"/>
    <w:rsid w:val="006412E7"/>
    <w:rsid w:val="00642420"/>
    <w:rsid w:val="0064275A"/>
    <w:rsid w:val="0064338C"/>
    <w:rsid w:val="006443DE"/>
    <w:rsid w:val="00644ED4"/>
    <w:rsid w:val="00646B43"/>
    <w:rsid w:val="00646D8F"/>
    <w:rsid w:val="0064707B"/>
    <w:rsid w:val="00647154"/>
    <w:rsid w:val="006479AC"/>
    <w:rsid w:val="00647FA8"/>
    <w:rsid w:val="006500F4"/>
    <w:rsid w:val="006506F3"/>
    <w:rsid w:val="00650AD4"/>
    <w:rsid w:val="00651834"/>
    <w:rsid w:val="006519E8"/>
    <w:rsid w:val="00652143"/>
    <w:rsid w:val="0065219B"/>
    <w:rsid w:val="0065260F"/>
    <w:rsid w:val="00652949"/>
    <w:rsid w:val="00652A74"/>
    <w:rsid w:val="00653502"/>
    <w:rsid w:val="00653AE7"/>
    <w:rsid w:val="00653EEB"/>
    <w:rsid w:val="0065479F"/>
    <w:rsid w:val="00654B46"/>
    <w:rsid w:val="00654E7E"/>
    <w:rsid w:val="0065509E"/>
    <w:rsid w:val="006550E5"/>
    <w:rsid w:val="00655B02"/>
    <w:rsid w:val="00655BC1"/>
    <w:rsid w:val="00655C16"/>
    <w:rsid w:val="00655EA1"/>
    <w:rsid w:val="00656951"/>
    <w:rsid w:val="00656BB0"/>
    <w:rsid w:val="0066019F"/>
    <w:rsid w:val="00660396"/>
    <w:rsid w:val="006611E0"/>
    <w:rsid w:val="0066178E"/>
    <w:rsid w:val="00661833"/>
    <w:rsid w:val="006622CB"/>
    <w:rsid w:val="00662A6D"/>
    <w:rsid w:val="00662C07"/>
    <w:rsid w:val="00663132"/>
    <w:rsid w:val="00663542"/>
    <w:rsid w:val="00663C55"/>
    <w:rsid w:val="00663E8C"/>
    <w:rsid w:val="0066455F"/>
    <w:rsid w:val="00664B08"/>
    <w:rsid w:val="00664FA2"/>
    <w:rsid w:val="00665C31"/>
    <w:rsid w:val="00665EB8"/>
    <w:rsid w:val="00666083"/>
    <w:rsid w:val="0066728C"/>
    <w:rsid w:val="006677EB"/>
    <w:rsid w:val="00667AA5"/>
    <w:rsid w:val="00667B4D"/>
    <w:rsid w:val="00667B70"/>
    <w:rsid w:val="00667C57"/>
    <w:rsid w:val="00670FD8"/>
    <w:rsid w:val="00671877"/>
    <w:rsid w:val="00671FF4"/>
    <w:rsid w:val="006722CB"/>
    <w:rsid w:val="00672770"/>
    <w:rsid w:val="006730ED"/>
    <w:rsid w:val="006731B2"/>
    <w:rsid w:val="0067330E"/>
    <w:rsid w:val="00673437"/>
    <w:rsid w:val="00674BFA"/>
    <w:rsid w:val="00674E16"/>
    <w:rsid w:val="006752EF"/>
    <w:rsid w:val="00675515"/>
    <w:rsid w:val="006756C8"/>
    <w:rsid w:val="00675953"/>
    <w:rsid w:val="00676478"/>
    <w:rsid w:val="00676915"/>
    <w:rsid w:val="00677657"/>
    <w:rsid w:val="00677679"/>
    <w:rsid w:val="00677C46"/>
    <w:rsid w:val="00680005"/>
    <w:rsid w:val="00681AFE"/>
    <w:rsid w:val="006820B1"/>
    <w:rsid w:val="00682B57"/>
    <w:rsid w:val="00682C2E"/>
    <w:rsid w:val="00682CAC"/>
    <w:rsid w:val="00682DB7"/>
    <w:rsid w:val="00683045"/>
    <w:rsid w:val="006831D5"/>
    <w:rsid w:val="00683847"/>
    <w:rsid w:val="006845DA"/>
    <w:rsid w:val="00684D6E"/>
    <w:rsid w:val="00685320"/>
    <w:rsid w:val="006856AB"/>
    <w:rsid w:val="0068575E"/>
    <w:rsid w:val="00685834"/>
    <w:rsid w:val="00686047"/>
    <w:rsid w:val="00686B1A"/>
    <w:rsid w:val="00687731"/>
    <w:rsid w:val="00687A0C"/>
    <w:rsid w:val="00687D88"/>
    <w:rsid w:val="006904A2"/>
    <w:rsid w:val="00690EC2"/>
    <w:rsid w:val="006920B2"/>
    <w:rsid w:val="0069293D"/>
    <w:rsid w:val="00692C8E"/>
    <w:rsid w:val="006930F3"/>
    <w:rsid w:val="0069458E"/>
    <w:rsid w:val="00694A45"/>
    <w:rsid w:val="00695FA6"/>
    <w:rsid w:val="006960FB"/>
    <w:rsid w:val="00696426"/>
    <w:rsid w:val="0069688B"/>
    <w:rsid w:val="00696ACA"/>
    <w:rsid w:val="00696D0B"/>
    <w:rsid w:val="00697082"/>
    <w:rsid w:val="00697229"/>
    <w:rsid w:val="00697C5A"/>
    <w:rsid w:val="00697F16"/>
    <w:rsid w:val="006A00FB"/>
    <w:rsid w:val="006A0148"/>
    <w:rsid w:val="006A0B00"/>
    <w:rsid w:val="006A0CF9"/>
    <w:rsid w:val="006A0F1F"/>
    <w:rsid w:val="006A14F2"/>
    <w:rsid w:val="006A16A9"/>
    <w:rsid w:val="006A1748"/>
    <w:rsid w:val="006A1FC3"/>
    <w:rsid w:val="006A23AE"/>
    <w:rsid w:val="006A2717"/>
    <w:rsid w:val="006A2BC6"/>
    <w:rsid w:val="006A314A"/>
    <w:rsid w:val="006A35C0"/>
    <w:rsid w:val="006A3BEC"/>
    <w:rsid w:val="006A4431"/>
    <w:rsid w:val="006A4A1D"/>
    <w:rsid w:val="006A4AF6"/>
    <w:rsid w:val="006A4B3C"/>
    <w:rsid w:val="006A4D37"/>
    <w:rsid w:val="006A503E"/>
    <w:rsid w:val="006A6303"/>
    <w:rsid w:val="006A6336"/>
    <w:rsid w:val="006A64B4"/>
    <w:rsid w:val="006A6EFC"/>
    <w:rsid w:val="006A7076"/>
    <w:rsid w:val="006B021A"/>
    <w:rsid w:val="006B0A1E"/>
    <w:rsid w:val="006B0D5A"/>
    <w:rsid w:val="006B122D"/>
    <w:rsid w:val="006B168E"/>
    <w:rsid w:val="006B178B"/>
    <w:rsid w:val="006B20EF"/>
    <w:rsid w:val="006B2299"/>
    <w:rsid w:val="006B2857"/>
    <w:rsid w:val="006B3E58"/>
    <w:rsid w:val="006B439A"/>
    <w:rsid w:val="006B486D"/>
    <w:rsid w:val="006B4A98"/>
    <w:rsid w:val="006B523D"/>
    <w:rsid w:val="006B557D"/>
    <w:rsid w:val="006B578E"/>
    <w:rsid w:val="006B5DA4"/>
    <w:rsid w:val="006B5E83"/>
    <w:rsid w:val="006B7626"/>
    <w:rsid w:val="006B7B88"/>
    <w:rsid w:val="006C0371"/>
    <w:rsid w:val="006C180A"/>
    <w:rsid w:val="006C18C2"/>
    <w:rsid w:val="006C192F"/>
    <w:rsid w:val="006C19E9"/>
    <w:rsid w:val="006C1E6B"/>
    <w:rsid w:val="006C1F9F"/>
    <w:rsid w:val="006C2159"/>
    <w:rsid w:val="006C2FCA"/>
    <w:rsid w:val="006C35E6"/>
    <w:rsid w:val="006C3AB4"/>
    <w:rsid w:val="006C4061"/>
    <w:rsid w:val="006C40A4"/>
    <w:rsid w:val="006C5118"/>
    <w:rsid w:val="006C5270"/>
    <w:rsid w:val="006C5445"/>
    <w:rsid w:val="006C634E"/>
    <w:rsid w:val="006C67F6"/>
    <w:rsid w:val="006C7A81"/>
    <w:rsid w:val="006C7E32"/>
    <w:rsid w:val="006D0525"/>
    <w:rsid w:val="006D160A"/>
    <w:rsid w:val="006D1B2F"/>
    <w:rsid w:val="006D2492"/>
    <w:rsid w:val="006D294E"/>
    <w:rsid w:val="006D2C74"/>
    <w:rsid w:val="006D3519"/>
    <w:rsid w:val="006D3612"/>
    <w:rsid w:val="006D3643"/>
    <w:rsid w:val="006D393D"/>
    <w:rsid w:val="006D39FA"/>
    <w:rsid w:val="006D4351"/>
    <w:rsid w:val="006D43FA"/>
    <w:rsid w:val="006D44EC"/>
    <w:rsid w:val="006D4E36"/>
    <w:rsid w:val="006D5E75"/>
    <w:rsid w:val="006D5F32"/>
    <w:rsid w:val="006D609D"/>
    <w:rsid w:val="006D621A"/>
    <w:rsid w:val="006D62F5"/>
    <w:rsid w:val="006D69FD"/>
    <w:rsid w:val="006D6D89"/>
    <w:rsid w:val="006D76C4"/>
    <w:rsid w:val="006D776D"/>
    <w:rsid w:val="006E0166"/>
    <w:rsid w:val="006E0237"/>
    <w:rsid w:val="006E0BFC"/>
    <w:rsid w:val="006E1D6A"/>
    <w:rsid w:val="006E22AE"/>
    <w:rsid w:val="006E340B"/>
    <w:rsid w:val="006E3806"/>
    <w:rsid w:val="006E3D29"/>
    <w:rsid w:val="006E3FB5"/>
    <w:rsid w:val="006E525A"/>
    <w:rsid w:val="006E527F"/>
    <w:rsid w:val="006E5B6B"/>
    <w:rsid w:val="006E5FB5"/>
    <w:rsid w:val="006E699E"/>
    <w:rsid w:val="006E69AB"/>
    <w:rsid w:val="006E6AD2"/>
    <w:rsid w:val="006E6EC2"/>
    <w:rsid w:val="006E6F8D"/>
    <w:rsid w:val="006E7528"/>
    <w:rsid w:val="006E753F"/>
    <w:rsid w:val="006E7EC9"/>
    <w:rsid w:val="006F07BE"/>
    <w:rsid w:val="006F0A23"/>
    <w:rsid w:val="006F0ED7"/>
    <w:rsid w:val="006F1426"/>
    <w:rsid w:val="006F16A8"/>
    <w:rsid w:val="006F17BD"/>
    <w:rsid w:val="006F17BF"/>
    <w:rsid w:val="006F25BB"/>
    <w:rsid w:val="006F328E"/>
    <w:rsid w:val="006F33C4"/>
    <w:rsid w:val="006F3DB3"/>
    <w:rsid w:val="006F3DF7"/>
    <w:rsid w:val="006F3E1E"/>
    <w:rsid w:val="006F4400"/>
    <w:rsid w:val="006F4A51"/>
    <w:rsid w:val="006F551D"/>
    <w:rsid w:val="006F5E1B"/>
    <w:rsid w:val="006F627B"/>
    <w:rsid w:val="006F68BE"/>
    <w:rsid w:val="006F6E63"/>
    <w:rsid w:val="006F78EC"/>
    <w:rsid w:val="006F7D98"/>
    <w:rsid w:val="0070039D"/>
    <w:rsid w:val="00700C7C"/>
    <w:rsid w:val="00700CCE"/>
    <w:rsid w:val="00700CFB"/>
    <w:rsid w:val="00700E73"/>
    <w:rsid w:val="00700F4F"/>
    <w:rsid w:val="0070176F"/>
    <w:rsid w:val="00701FAB"/>
    <w:rsid w:val="007026DA"/>
    <w:rsid w:val="007027BF"/>
    <w:rsid w:val="00702966"/>
    <w:rsid w:val="00703454"/>
    <w:rsid w:val="0070361D"/>
    <w:rsid w:val="00703905"/>
    <w:rsid w:val="00703C1C"/>
    <w:rsid w:val="00704188"/>
    <w:rsid w:val="00705143"/>
    <w:rsid w:val="00705548"/>
    <w:rsid w:val="0070568F"/>
    <w:rsid w:val="00705C95"/>
    <w:rsid w:val="007064D8"/>
    <w:rsid w:val="00706922"/>
    <w:rsid w:val="00706C02"/>
    <w:rsid w:val="00706EA4"/>
    <w:rsid w:val="00707A59"/>
    <w:rsid w:val="00707DB9"/>
    <w:rsid w:val="007107EE"/>
    <w:rsid w:val="00710EEC"/>
    <w:rsid w:val="00711154"/>
    <w:rsid w:val="00711D47"/>
    <w:rsid w:val="0071221F"/>
    <w:rsid w:val="00712562"/>
    <w:rsid w:val="0071293A"/>
    <w:rsid w:val="00712BF5"/>
    <w:rsid w:val="00712C67"/>
    <w:rsid w:val="00713367"/>
    <w:rsid w:val="0071340E"/>
    <w:rsid w:val="0071341D"/>
    <w:rsid w:val="007145E8"/>
    <w:rsid w:val="00714D66"/>
    <w:rsid w:val="007150F5"/>
    <w:rsid w:val="00715913"/>
    <w:rsid w:val="00715D8B"/>
    <w:rsid w:val="00715F3A"/>
    <w:rsid w:val="00716DB5"/>
    <w:rsid w:val="00717695"/>
    <w:rsid w:val="00717997"/>
    <w:rsid w:val="00720330"/>
    <w:rsid w:val="0072045D"/>
    <w:rsid w:val="007207CF"/>
    <w:rsid w:val="00720A86"/>
    <w:rsid w:val="00721B4E"/>
    <w:rsid w:val="00722625"/>
    <w:rsid w:val="0072290F"/>
    <w:rsid w:val="00723063"/>
    <w:rsid w:val="007233D9"/>
    <w:rsid w:val="007237DA"/>
    <w:rsid w:val="007242FA"/>
    <w:rsid w:val="00724BB4"/>
    <w:rsid w:val="00725DCF"/>
    <w:rsid w:val="007262DA"/>
    <w:rsid w:val="00726580"/>
    <w:rsid w:val="0072665C"/>
    <w:rsid w:val="00726D8D"/>
    <w:rsid w:val="0072723C"/>
    <w:rsid w:val="0072729A"/>
    <w:rsid w:val="007273DD"/>
    <w:rsid w:val="00730622"/>
    <w:rsid w:val="00730C9F"/>
    <w:rsid w:val="007312A7"/>
    <w:rsid w:val="00731519"/>
    <w:rsid w:val="007316F6"/>
    <w:rsid w:val="00731BE4"/>
    <w:rsid w:val="00732699"/>
    <w:rsid w:val="007328D8"/>
    <w:rsid w:val="00732990"/>
    <w:rsid w:val="007329EC"/>
    <w:rsid w:val="0073326A"/>
    <w:rsid w:val="00733290"/>
    <w:rsid w:val="0073386D"/>
    <w:rsid w:val="00733E12"/>
    <w:rsid w:val="00734238"/>
    <w:rsid w:val="007346D7"/>
    <w:rsid w:val="00734C10"/>
    <w:rsid w:val="0073523B"/>
    <w:rsid w:val="007352BF"/>
    <w:rsid w:val="007365AF"/>
    <w:rsid w:val="007368F2"/>
    <w:rsid w:val="0073698B"/>
    <w:rsid w:val="007369F9"/>
    <w:rsid w:val="00736C22"/>
    <w:rsid w:val="00736CD4"/>
    <w:rsid w:val="0073777A"/>
    <w:rsid w:val="00737792"/>
    <w:rsid w:val="00737C4A"/>
    <w:rsid w:val="00741CEA"/>
    <w:rsid w:val="00741D81"/>
    <w:rsid w:val="00742006"/>
    <w:rsid w:val="00742171"/>
    <w:rsid w:val="007426A8"/>
    <w:rsid w:val="00742AC5"/>
    <w:rsid w:val="00742DB9"/>
    <w:rsid w:val="00743873"/>
    <w:rsid w:val="00743A9C"/>
    <w:rsid w:val="00744134"/>
    <w:rsid w:val="007445E5"/>
    <w:rsid w:val="00744824"/>
    <w:rsid w:val="0074570D"/>
    <w:rsid w:val="007457AD"/>
    <w:rsid w:val="007465F5"/>
    <w:rsid w:val="00746A9C"/>
    <w:rsid w:val="00746C6B"/>
    <w:rsid w:val="00746EA7"/>
    <w:rsid w:val="0074748F"/>
    <w:rsid w:val="007479A1"/>
    <w:rsid w:val="00747C9B"/>
    <w:rsid w:val="00750C3A"/>
    <w:rsid w:val="007513BF"/>
    <w:rsid w:val="007517A8"/>
    <w:rsid w:val="00751DF4"/>
    <w:rsid w:val="00752137"/>
    <w:rsid w:val="00752190"/>
    <w:rsid w:val="00753191"/>
    <w:rsid w:val="0075337A"/>
    <w:rsid w:val="00753735"/>
    <w:rsid w:val="00753879"/>
    <w:rsid w:val="00753949"/>
    <w:rsid w:val="00753B3E"/>
    <w:rsid w:val="007557A9"/>
    <w:rsid w:val="00755A3C"/>
    <w:rsid w:val="007560FB"/>
    <w:rsid w:val="00756CEC"/>
    <w:rsid w:val="00756D44"/>
    <w:rsid w:val="00756D7B"/>
    <w:rsid w:val="007574AE"/>
    <w:rsid w:val="00757EB7"/>
    <w:rsid w:val="0076017E"/>
    <w:rsid w:val="007602DD"/>
    <w:rsid w:val="00760671"/>
    <w:rsid w:val="00760A94"/>
    <w:rsid w:val="007616A8"/>
    <w:rsid w:val="007616CB"/>
    <w:rsid w:val="00761B37"/>
    <w:rsid w:val="00761D5E"/>
    <w:rsid w:val="00762C1C"/>
    <w:rsid w:val="00763484"/>
    <w:rsid w:val="00763524"/>
    <w:rsid w:val="00763C93"/>
    <w:rsid w:val="00764205"/>
    <w:rsid w:val="00764A61"/>
    <w:rsid w:val="0076580B"/>
    <w:rsid w:val="00766062"/>
    <w:rsid w:val="00766AE2"/>
    <w:rsid w:val="00766B37"/>
    <w:rsid w:val="00766CB3"/>
    <w:rsid w:val="00766D47"/>
    <w:rsid w:val="007671ED"/>
    <w:rsid w:val="00767728"/>
    <w:rsid w:val="00767FF9"/>
    <w:rsid w:val="00770628"/>
    <w:rsid w:val="00770CD6"/>
    <w:rsid w:val="007711F7"/>
    <w:rsid w:val="00771677"/>
    <w:rsid w:val="00772341"/>
    <w:rsid w:val="007730CF"/>
    <w:rsid w:val="00773203"/>
    <w:rsid w:val="00773268"/>
    <w:rsid w:val="007737A7"/>
    <w:rsid w:val="007749F5"/>
    <w:rsid w:val="00774A80"/>
    <w:rsid w:val="00774FE1"/>
    <w:rsid w:val="007750F7"/>
    <w:rsid w:val="00775613"/>
    <w:rsid w:val="007762D4"/>
    <w:rsid w:val="00776555"/>
    <w:rsid w:val="0077695D"/>
    <w:rsid w:val="0077696D"/>
    <w:rsid w:val="00776E1A"/>
    <w:rsid w:val="0077714F"/>
    <w:rsid w:val="007774E7"/>
    <w:rsid w:val="00777A92"/>
    <w:rsid w:val="00777ADA"/>
    <w:rsid w:val="00777C37"/>
    <w:rsid w:val="00777EEC"/>
    <w:rsid w:val="007801AB"/>
    <w:rsid w:val="00780C91"/>
    <w:rsid w:val="00780E81"/>
    <w:rsid w:val="00780ED6"/>
    <w:rsid w:val="00781054"/>
    <w:rsid w:val="007812BB"/>
    <w:rsid w:val="00781634"/>
    <w:rsid w:val="0078282C"/>
    <w:rsid w:val="00782B47"/>
    <w:rsid w:val="0078304D"/>
    <w:rsid w:val="00783867"/>
    <w:rsid w:val="00783A6C"/>
    <w:rsid w:val="00783F8F"/>
    <w:rsid w:val="007845F2"/>
    <w:rsid w:val="0078465C"/>
    <w:rsid w:val="00784B02"/>
    <w:rsid w:val="00784BB7"/>
    <w:rsid w:val="007850A3"/>
    <w:rsid w:val="007857AC"/>
    <w:rsid w:val="007860FB"/>
    <w:rsid w:val="00786524"/>
    <w:rsid w:val="0078679C"/>
    <w:rsid w:val="00786CB7"/>
    <w:rsid w:val="007877BE"/>
    <w:rsid w:val="00787CBB"/>
    <w:rsid w:val="0079076D"/>
    <w:rsid w:val="007909A0"/>
    <w:rsid w:val="0079107F"/>
    <w:rsid w:val="00791C31"/>
    <w:rsid w:val="0079219C"/>
    <w:rsid w:val="00792C0D"/>
    <w:rsid w:val="00793285"/>
    <w:rsid w:val="00793C30"/>
    <w:rsid w:val="00793CF6"/>
    <w:rsid w:val="007945B8"/>
    <w:rsid w:val="00794BC0"/>
    <w:rsid w:val="007955AC"/>
    <w:rsid w:val="00795631"/>
    <w:rsid w:val="00795B06"/>
    <w:rsid w:val="00795F7C"/>
    <w:rsid w:val="00796742"/>
    <w:rsid w:val="007968CD"/>
    <w:rsid w:val="00797C94"/>
    <w:rsid w:val="00797CC3"/>
    <w:rsid w:val="007A00CB"/>
    <w:rsid w:val="007A0670"/>
    <w:rsid w:val="007A0F71"/>
    <w:rsid w:val="007A1A8F"/>
    <w:rsid w:val="007A1D79"/>
    <w:rsid w:val="007A2A99"/>
    <w:rsid w:val="007A2ADB"/>
    <w:rsid w:val="007A2DBD"/>
    <w:rsid w:val="007A41E7"/>
    <w:rsid w:val="007A4766"/>
    <w:rsid w:val="007A4D46"/>
    <w:rsid w:val="007A53ED"/>
    <w:rsid w:val="007A5421"/>
    <w:rsid w:val="007A542E"/>
    <w:rsid w:val="007A579B"/>
    <w:rsid w:val="007A6090"/>
    <w:rsid w:val="007A6BB1"/>
    <w:rsid w:val="007A71F0"/>
    <w:rsid w:val="007A73B8"/>
    <w:rsid w:val="007A7865"/>
    <w:rsid w:val="007B02A8"/>
    <w:rsid w:val="007B0516"/>
    <w:rsid w:val="007B08FB"/>
    <w:rsid w:val="007B0910"/>
    <w:rsid w:val="007B140A"/>
    <w:rsid w:val="007B1509"/>
    <w:rsid w:val="007B1C2C"/>
    <w:rsid w:val="007B1D34"/>
    <w:rsid w:val="007B2712"/>
    <w:rsid w:val="007B271F"/>
    <w:rsid w:val="007B2C5B"/>
    <w:rsid w:val="007B3832"/>
    <w:rsid w:val="007B3B41"/>
    <w:rsid w:val="007B3C89"/>
    <w:rsid w:val="007B414C"/>
    <w:rsid w:val="007B4AD3"/>
    <w:rsid w:val="007B4E0B"/>
    <w:rsid w:val="007B5022"/>
    <w:rsid w:val="007B5BB7"/>
    <w:rsid w:val="007B6304"/>
    <w:rsid w:val="007B67AA"/>
    <w:rsid w:val="007B7CAB"/>
    <w:rsid w:val="007C03BB"/>
    <w:rsid w:val="007C054E"/>
    <w:rsid w:val="007C088C"/>
    <w:rsid w:val="007C1F94"/>
    <w:rsid w:val="007C2449"/>
    <w:rsid w:val="007C25E6"/>
    <w:rsid w:val="007C276C"/>
    <w:rsid w:val="007C2EDD"/>
    <w:rsid w:val="007C436D"/>
    <w:rsid w:val="007C439C"/>
    <w:rsid w:val="007C5688"/>
    <w:rsid w:val="007C5F7C"/>
    <w:rsid w:val="007C6371"/>
    <w:rsid w:val="007C7ABC"/>
    <w:rsid w:val="007D0737"/>
    <w:rsid w:val="007D0F2A"/>
    <w:rsid w:val="007D1EFF"/>
    <w:rsid w:val="007D28C7"/>
    <w:rsid w:val="007D34A9"/>
    <w:rsid w:val="007D34B9"/>
    <w:rsid w:val="007D34CB"/>
    <w:rsid w:val="007D3A1B"/>
    <w:rsid w:val="007D3F4D"/>
    <w:rsid w:val="007D3FAE"/>
    <w:rsid w:val="007D4A45"/>
    <w:rsid w:val="007D4C57"/>
    <w:rsid w:val="007D537D"/>
    <w:rsid w:val="007D6CB3"/>
    <w:rsid w:val="007D6F6C"/>
    <w:rsid w:val="007D70FF"/>
    <w:rsid w:val="007D767F"/>
    <w:rsid w:val="007D7B51"/>
    <w:rsid w:val="007E0C89"/>
    <w:rsid w:val="007E0FF0"/>
    <w:rsid w:val="007E0FFA"/>
    <w:rsid w:val="007E143D"/>
    <w:rsid w:val="007E14CE"/>
    <w:rsid w:val="007E157B"/>
    <w:rsid w:val="007E159F"/>
    <w:rsid w:val="007E1C3C"/>
    <w:rsid w:val="007E1ED8"/>
    <w:rsid w:val="007E2375"/>
    <w:rsid w:val="007E2579"/>
    <w:rsid w:val="007E267C"/>
    <w:rsid w:val="007E28C0"/>
    <w:rsid w:val="007E3A5B"/>
    <w:rsid w:val="007E3C46"/>
    <w:rsid w:val="007E3C48"/>
    <w:rsid w:val="007E3F77"/>
    <w:rsid w:val="007E46F5"/>
    <w:rsid w:val="007E476E"/>
    <w:rsid w:val="007E4D79"/>
    <w:rsid w:val="007E4E22"/>
    <w:rsid w:val="007E53B4"/>
    <w:rsid w:val="007E53B5"/>
    <w:rsid w:val="007E56E0"/>
    <w:rsid w:val="007E5BDB"/>
    <w:rsid w:val="007E5C46"/>
    <w:rsid w:val="007E5D67"/>
    <w:rsid w:val="007E5E29"/>
    <w:rsid w:val="007E62B0"/>
    <w:rsid w:val="007E6AB3"/>
    <w:rsid w:val="007E6F93"/>
    <w:rsid w:val="007E7043"/>
    <w:rsid w:val="007E7292"/>
    <w:rsid w:val="007E76C2"/>
    <w:rsid w:val="007E7A26"/>
    <w:rsid w:val="007F047B"/>
    <w:rsid w:val="007F0A48"/>
    <w:rsid w:val="007F104C"/>
    <w:rsid w:val="007F1454"/>
    <w:rsid w:val="007F1B1D"/>
    <w:rsid w:val="007F2EA9"/>
    <w:rsid w:val="007F2EE3"/>
    <w:rsid w:val="007F3252"/>
    <w:rsid w:val="007F3A47"/>
    <w:rsid w:val="007F3A49"/>
    <w:rsid w:val="007F3B53"/>
    <w:rsid w:val="007F3DD3"/>
    <w:rsid w:val="007F3FEE"/>
    <w:rsid w:val="007F4D44"/>
    <w:rsid w:val="007F5A8A"/>
    <w:rsid w:val="007F5DDC"/>
    <w:rsid w:val="007F6A0D"/>
    <w:rsid w:val="007F700B"/>
    <w:rsid w:val="007F7DCA"/>
    <w:rsid w:val="00800BFB"/>
    <w:rsid w:val="00800C29"/>
    <w:rsid w:val="0080192A"/>
    <w:rsid w:val="008023F4"/>
    <w:rsid w:val="008024ED"/>
    <w:rsid w:val="0080252C"/>
    <w:rsid w:val="008025F8"/>
    <w:rsid w:val="0080267E"/>
    <w:rsid w:val="008031A9"/>
    <w:rsid w:val="00803B41"/>
    <w:rsid w:val="00803BF2"/>
    <w:rsid w:val="00804D52"/>
    <w:rsid w:val="00804E7D"/>
    <w:rsid w:val="00805728"/>
    <w:rsid w:val="00805EAE"/>
    <w:rsid w:val="0080607F"/>
    <w:rsid w:val="00806190"/>
    <w:rsid w:val="0080696C"/>
    <w:rsid w:val="008069B5"/>
    <w:rsid w:val="00806B1C"/>
    <w:rsid w:val="00806DC6"/>
    <w:rsid w:val="00807441"/>
    <w:rsid w:val="0080764D"/>
    <w:rsid w:val="008079F3"/>
    <w:rsid w:val="00810063"/>
    <w:rsid w:val="0081082A"/>
    <w:rsid w:val="008109ED"/>
    <w:rsid w:val="00810FE9"/>
    <w:rsid w:val="008111C7"/>
    <w:rsid w:val="0081155B"/>
    <w:rsid w:val="00812071"/>
    <w:rsid w:val="008121AC"/>
    <w:rsid w:val="008122EA"/>
    <w:rsid w:val="0081294F"/>
    <w:rsid w:val="008132B7"/>
    <w:rsid w:val="008135EB"/>
    <w:rsid w:val="00813745"/>
    <w:rsid w:val="00813CB5"/>
    <w:rsid w:val="0081417A"/>
    <w:rsid w:val="00814C9F"/>
    <w:rsid w:val="00814E7B"/>
    <w:rsid w:val="00815280"/>
    <w:rsid w:val="00815608"/>
    <w:rsid w:val="00816DDF"/>
    <w:rsid w:val="00816E45"/>
    <w:rsid w:val="00817C4F"/>
    <w:rsid w:val="00820069"/>
    <w:rsid w:val="008206E1"/>
    <w:rsid w:val="00820844"/>
    <w:rsid w:val="008208E0"/>
    <w:rsid w:val="00820D9A"/>
    <w:rsid w:val="00820E83"/>
    <w:rsid w:val="008215FE"/>
    <w:rsid w:val="00821640"/>
    <w:rsid w:val="0082212C"/>
    <w:rsid w:val="0082225F"/>
    <w:rsid w:val="0082284C"/>
    <w:rsid w:val="008233BA"/>
    <w:rsid w:val="00823827"/>
    <w:rsid w:val="00823AFF"/>
    <w:rsid w:val="00823BD8"/>
    <w:rsid w:val="00823E5C"/>
    <w:rsid w:val="00824E0C"/>
    <w:rsid w:val="00825736"/>
    <w:rsid w:val="00825AF4"/>
    <w:rsid w:val="00826D5F"/>
    <w:rsid w:val="00827235"/>
    <w:rsid w:val="00827E5A"/>
    <w:rsid w:val="008309A7"/>
    <w:rsid w:val="00830A1C"/>
    <w:rsid w:val="00830DEE"/>
    <w:rsid w:val="00831290"/>
    <w:rsid w:val="00831468"/>
    <w:rsid w:val="008316A9"/>
    <w:rsid w:val="008321EE"/>
    <w:rsid w:val="008325E7"/>
    <w:rsid w:val="008329C3"/>
    <w:rsid w:val="00832F48"/>
    <w:rsid w:val="00834094"/>
    <w:rsid w:val="00834AD9"/>
    <w:rsid w:val="00835BE6"/>
    <w:rsid w:val="00835F8F"/>
    <w:rsid w:val="008376D5"/>
    <w:rsid w:val="00837E48"/>
    <w:rsid w:val="00840882"/>
    <w:rsid w:val="00840CAE"/>
    <w:rsid w:val="008410B9"/>
    <w:rsid w:val="008414A8"/>
    <w:rsid w:val="00841CFC"/>
    <w:rsid w:val="00841E2A"/>
    <w:rsid w:val="0084262B"/>
    <w:rsid w:val="0084325C"/>
    <w:rsid w:val="008440B9"/>
    <w:rsid w:val="008449F6"/>
    <w:rsid w:val="00844A59"/>
    <w:rsid w:val="008452F1"/>
    <w:rsid w:val="00845F11"/>
    <w:rsid w:val="00845F63"/>
    <w:rsid w:val="008465B2"/>
    <w:rsid w:val="00847716"/>
    <w:rsid w:val="008505AD"/>
    <w:rsid w:val="008507CD"/>
    <w:rsid w:val="00850B69"/>
    <w:rsid w:val="008517D6"/>
    <w:rsid w:val="00852A6F"/>
    <w:rsid w:val="00852D52"/>
    <w:rsid w:val="00853068"/>
    <w:rsid w:val="008530CD"/>
    <w:rsid w:val="00853E93"/>
    <w:rsid w:val="008541DF"/>
    <w:rsid w:val="00854F3B"/>
    <w:rsid w:val="00855315"/>
    <w:rsid w:val="00855880"/>
    <w:rsid w:val="00855D4E"/>
    <w:rsid w:val="00855EBB"/>
    <w:rsid w:val="00856050"/>
    <w:rsid w:val="0085608B"/>
    <w:rsid w:val="00856248"/>
    <w:rsid w:val="0085639F"/>
    <w:rsid w:val="00856D7A"/>
    <w:rsid w:val="00857A03"/>
    <w:rsid w:val="00857A87"/>
    <w:rsid w:val="00857B27"/>
    <w:rsid w:val="00857E8B"/>
    <w:rsid w:val="00860421"/>
    <w:rsid w:val="008604A7"/>
    <w:rsid w:val="00860538"/>
    <w:rsid w:val="008608A3"/>
    <w:rsid w:val="00860C6F"/>
    <w:rsid w:val="008610E3"/>
    <w:rsid w:val="008613EE"/>
    <w:rsid w:val="0086190D"/>
    <w:rsid w:val="00861D2A"/>
    <w:rsid w:val="008628D3"/>
    <w:rsid w:val="0086312A"/>
    <w:rsid w:val="00863A07"/>
    <w:rsid w:val="00863EED"/>
    <w:rsid w:val="00863EFC"/>
    <w:rsid w:val="008640B3"/>
    <w:rsid w:val="0086431A"/>
    <w:rsid w:val="008644C1"/>
    <w:rsid w:val="0086519A"/>
    <w:rsid w:val="00865257"/>
    <w:rsid w:val="00867BAF"/>
    <w:rsid w:val="00867CEF"/>
    <w:rsid w:val="00870012"/>
    <w:rsid w:val="00870071"/>
    <w:rsid w:val="008710F3"/>
    <w:rsid w:val="00871C35"/>
    <w:rsid w:val="00871E07"/>
    <w:rsid w:val="00872177"/>
    <w:rsid w:val="00872590"/>
    <w:rsid w:val="0087271C"/>
    <w:rsid w:val="0087305C"/>
    <w:rsid w:val="00873094"/>
    <w:rsid w:val="00873CE4"/>
    <w:rsid w:val="00873F20"/>
    <w:rsid w:val="0087431C"/>
    <w:rsid w:val="00874C3E"/>
    <w:rsid w:val="008751E6"/>
    <w:rsid w:val="00875CF3"/>
    <w:rsid w:val="00875EE4"/>
    <w:rsid w:val="008772C6"/>
    <w:rsid w:val="0087744C"/>
    <w:rsid w:val="00877908"/>
    <w:rsid w:val="008802C9"/>
    <w:rsid w:val="008803A3"/>
    <w:rsid w:val="00880AFC"/>
    <w:rsid w:val="008812DB"/>
    <w:rsid w:val="008814D1"/>
    <w:rsid w:val="008817F5"/>
    <w:rsid w:val="00882217"/>
    <w:rsid w:val="00882D2F"/>
    <w:rsid w:val="008836CB"/>
    <w:rsid w:val="008837DA"/>
    <w:rsid w:val="00883A1C"/>
    <w:rsid w:val="0088405B"/>
    <w:rsid w:val="008840D1"/>
    <w:rsid w:val="008845F3"/>
    <w:rsid w:val="00884690"/>
    <w:rsid w:val="00884B7E"/>
    <w:rsid w:val="00884B91"/>
    <w:rsid w:val="00885A14"/>
    <w:rsid w:val="00885C32"/>
    <w:rsid w:val="00885C80"/>
    <w:rsid w:val="00886558"/>
    <w:rsid w:val="00886FAE"/>
    <w:rsid w:val="008879CD"/>
    <w:rsid w:val="00887DFF"/>
    <w:rsid w:val="008908BE"/>
    <w:rsid w:val="00890B1B"/>
    <w:rsid w:val="00890DFE"/>
    <w:rsid w:val="00891AA8"/>
    <w:rsid w:val="00891AFF"/>
    <w:rsid w:val="00891CD8"/>
    <w:rsid w:val="00892B1E"/>
    <w:rsid w:val="00892B86"/>
    <w:rsid w:val="0089340F"/>
    <w:rsid w:val="00893492"/>
    <w:rsid w:val="008935EC"/>
    <w:rsid w:val="00893A47"/>
    <w:rsid w:val="00894077"/>
    <w:rsid w:val="00894886"/>
    <w:rsid w:val="00894F95"/>
    <w:rsid w:val="00895336"/>
    <w:rsid w:val="00896148"/>
    <w:rsid w:val="00896688"/>
    <w:rsid w:val="0089699E"/>
    <w:rsid w:val="00896AD9"/>
    <w:rsid w:val="008976B1"/>
    <w:rsid w:val="008977D6"/>
    <w:rsid w:val="008A0B8B"/>
    <w:rsid w:val="008A0F04"/>
    <w:rsid w:val="008A105A"/>
    <w:rsid w:val="008A1227"/>
    <w:rsid w:val="008A1618"/>
    <w:rsid w:val="008A222B"/>
    <w:rsid w:val="008A2611"/>
    <w:rsid w:val="008A284F"/>
    <w:rsid w:val="008A2C43"/>
    <w:rsid w:val="008A4202"/>
    <w:rsid w:val="008A4355"/>
    <w:rsid w:val="008A443D"/>
    <w:rsid w:val="008A4BB0"/>
    <w:rsid w:val="008A4F88"/>
    <w:rsid w:val="008A5297"/>
    <w:rsid w:val="008A5A27"/>
    <w:rsid w:val="008A5B73"/>
    <w:rsid w:val="008A60F1"/>
    <w:rsid w:val="008A7204"/>
    <w:rsid w:val="008A7294"/>
    <w:rsid w:val="008A75BE"/>
    <w:rsid w:val="008A786E"/>
    <w:rsid w:val="008B1581"/>
    <w:rsid w:val="008B1D8A"/>
    <w:rsid w:val="008B258B"/>
    <w:rsid w:val="008B2CE1"/>
    <w:rsid w:val="008B2D84"/>
    <w:rsid w:val="008B3494"/>
    <w:rsid w:val="008B35D1"/>
    <w:rsid w:val="008B4C36"/>
    <w:rsid w:val="008B5728"/>
    <w:rsid w:val="008B5B9B"/>
    <w:rsid w:val="008B6300"/>
    <w:rsid w:val="008B6619"/>
    <w:rsid w:val="008B670C"/>
    <w:rsid w:val="008B6F0B"/>
    <w:rsid w:val="008B762B"/>
    <w:rsid w:val="008B7741"/>
    <w:rsid w:val="008B7958"/>
    <w:rsid w:val="008B7D22"/>
    <w:rsid w:val="008C039C"/>
    <w:rsid w:val="008C0618"/>
    <w:rsid w:val="008C17EE"/>
    <w:rsid w:val="008C1C54"/>
    <w:rsid w:val="008C2709"/>
    <w:rsid w:val="008C2C5E"/>
    <w:rsid w:val="008C2D41"/>
    <w:rsid w:val="008C3406"/>
    <w:rsid w:val="008C3585"/>
    <w:rsid w:val="008C3FC9"/>
    <w:rsid w:val="008C4174"/>
    <w:rsid w:val="008C41BF"/>
    <w:rsid w:val="008C4274"/>
    <w:rsid w:val="008C45B1"/>
    <w:rsid w:val="008C5369"/>
    <w:rsid w:val="008C5717"/>
    <w:rsid w:val="008C6986"/>
    <w:rsid w:val="008C7338"/>
    <w:rsid w:val="008C7BE2"/>
    <w:rsid w:val="008C7E3C"/>
    <w:rsid w:val="008D0A5F"/>
    <w:rsid w:val="008D14D5"/>
    <w:rsid w:val="008D1B4A"/>
    <w:rsid w:val="008D2375"/>
    <w:rsid w:val="008D246C"/>
    <w:rsid w:val="008D2622"/>
    <w:rsid w:val="008D344F"/>
    <w:rsid w:val="008D35AF"/>
    <w:rsid w:val="008D38C3"/>
    <w:rsid w:val="008D461F"/>
    <w:rsid w:val="008D4BA7"/>
    <w:rsid w:val="008D4BEF"/>
    <w:rsid w:val="008D4F56"/>
    <w:rsid w:val="008D4FAB"/>
    <w:rsid w:val="008D56C3"/>
    <w:rsid w:val="008D61E5"/>
    <w:rsid w:val="008D6630"/>
    <w:rsid w:val="008D6B3A"/>
    <w:rsid w:val="008D6B4E"/>
    <w:rsid w:val="008D6B9B"/>
    <w:rsid w:val="008D71AA"/>
    <w:rsid w:val="008D7A7B"/>
    <w:rsid w:val="008D7CAA"/>
    <w:rsid w:val="008D7D16"/>
    <w:rsid w:val="008E00F2"/>
    <w:rsid w:val="008E0155"/>
    <w:rsid w:val="008E06DB"/>
    <w:rsid w:val="008E0B0D"/>
    <w:rsid w:val="008E12DF"/>
    <w:rsid w:val="008E1A4A"/>
    <w:rsid w:val="008E1BEC"/>
    <w:rsid w:val="008E2532"/>
    <w:rsid w:val="008E31D5"/>
    <w:rsid w:val="008E3D7A"/>
    <w:rsid w:val="008E3DC9"/>
    <w:rsid w:val="008E4BAC"/>
    <w:rsid w:val="008E5A5A"/>
    <w:rsid w:val="008E5C84"/>
    <w:rsid w:val="008E6657"/>
    <w:rsid w:val="008E6B27"/>
    <w:rsid w:val="008E6FC8"/>
    <w:rsid w:val="008E709E"/>
    <w:rsid w:val="008E736B"/>
    <w:rsid w:val="008F04A6"/>
    <w:rsid w:val="008F16A2"/>
    <w:rsid w:val="008F194E"/>
    <w:rsid w:val="008F290E"/>
    <w:rsid w:val="008F29A3"/>
    <w:rsid w:val="008F2C91"/>
    <w:rsid w:val="008F2FFA"/>
    <w:rsid w:val="008F3030"/>
    <w:rsid w:val="008F36AC"/>
    <w:rsid w:val="008F3727"/>
    <w:rsid w:val="008F4511"/>
    <w:rsid w:val="008F4B1A"/>
    <w:rsid w:val="008F51AD"/>
    <w:rsid w:val="008F51F2"/>
    <w:rsid w:val="008F5567"/>
    <w:rsid w:val="008F5660"/>
    <w:rsid w:val="008F6061"/>
    <w:rsid w:val="008F6EB2"/>
    <w:rsid w:val="008F6F68"/>
    <w:rsid w:val="009004ED"/>
    <w:rsid w:val="00900744"/>
    <w:rsid w:val="00900C6F"/>
    <w:rsid w:val="00901786"/>
    <w:rsid w:val="00901A9C"/>
    <w:rsid w:val="0090263A"/>
    <w:rsid w:val="009027FF"/>
    <w:rsid w:val="00903ECD"/>
    <w:rsid w:val="00903ECE"/>
    <w:rsid w:val="009045D5"/>
    <w:rsid w:val="00904D5B"/>
    <w:rsid w:val="00904D8E"/>
    <w:rsid w:val="009059DF"/>
    <w:rsid w:val="00905F76"/>
    <w:rsid w:val="009063A0"/>
    <w:rsid w:val="009069B5"/>
    <w:rsid w:val="00906A9D"/>
    <w:rsid w:val="0090713D"/>
    <w:rsid w:val="00907EB9"/>
    <w:rsid w:val="00910959"/>
    <w:rsid w:val="0091196C"/>
    <w:rsid w:val="009119BD"/>
    <w:rsid w:val="009119C2"/>
    <w:rsid w:val="0091217A"/>
    <w:rsid w:val="0091273C"/>
    <w:rsid w:val="009139DC"/>
    <w:rsid w:val="00914BDC"/>
    <w:rsid w:val="00914E37"/>
    <w:rsid w:val="009152BF"/>
    <w:rsid w:val="00915329"/>
    <w:rsid w:val="009154CE"/>
    <w:rsid w:val="0091576E"/>
    <w:rsid w:val="00915CEC"/>
    <w:rsid w:val="0091600E"/>
    <w:rsid w:val="00916504"/>
    <w:rsid w:val="009166DC"/>
    <w:rsid w:val="00917313"/>
    <w:rsid w:val="0091784C"/>
    <w:rsid w:val="0091788A"/>
    <w:rsid w:val="00920138"/>
    <w:rsid w:val="00920696"/>
    <w:rsid w:val="00920708"/>
    <w:rsid w:val="00921139"/>
    <w:rsid w:val="00921EAF"/>
    <w:rsid w:val="0092291C"/>
    <w:rsid w:val="00922FAB"/>
    <w:rsid w:val="009230A5"/>
    <w:rsid w:val="00923A78"/>
    <w:rsid w:val="00923AE2"/>
    <w:rsid w:val="00923B8D"/>
    <w:rsid w:val="00923DEF"/>
    <w:rsid w:val="0092448F"/>
    <w:rsid w:val="00924921"/>
    <w:rsid w:val="009249C0"/>
    <w:rsid w:val="00925310"/>
    <w:rsid w:val="0092546B"/>
    <w:rsid w:val="0092563A"/>
    <w:rsid w:val="00925B5F"/>
    <w:rsid w:val="00925FDB"/>
    <w:rsid w:val="00926383"/>
    <w:rsid w:val="00926E39"/>
    <w:rsid w:val="009271DA"/>
    <w:rsid w:val="009275EE"/>
    <w:rsid w:val="00927979"/>
    <w:rsid w:val="00927D64"/>
    <w:rsid w:val="0093012F"/>
    <w:rsid w:val="00930865"/>
    <w:rsid w:val="00930ACD"/>
    <w:rsid w:val="00930B8E"/>
    <w:rsid w:val="009310F6"/>
    <w:rsid w:val="00931110"/>
    <w:rsid w:val="00931285"/>
    <w:rsid w:val="00931601"/>
    <w:rsid w:val="00931E09"/>
    <w:rsid w:val="009322B9"/>
    <w:rsid w:val="0093297F"/>
    <w:rsid w:val="00932D96"/>
    <w:rsid w:val="00932E32"/>
    <w:rsid w:val="009332EF"/>
    <w:rsid w:val="00933A17"/>
    <w:rsid w:val="00933CF9"/>
    <w:rsid w:val="00933DC0"/>
    <w:rsid w:val="00933E81"/>
    <w:rsid w:val="009340E4"/>
    <w:rsid w:val="0093466F"/>
    <w:rsid w:val="009353AB"/>
    <w:rsid w:val="00935A63"/>
    <w:rsid w:val="00935B08"/>
    <w:rsid w:val="00935DCC"/>
    <w:rsid w:val="00935EC1"/>
    <w:rsid w:val="00936412"/>
    <w:rsid w:val="00936CC7"/>
    <w:rsid w:val="00936E7F"/>
    <w:rsid w:val="0093710E"/>
    <w:rsid w:val="00937254"/>
    <w:rsid w:val="009373AF"/>
    <w:rsid w:val="0093754B"/>
    <w:rsid w:val="0093778C"/>
    <w:rsid w:val="00937940"/>
    <w:rsid w:val="00937BA9"/>
    <w:rsid w:val="00937CBD"/>
    <w:rsid w:val="009402C5"/>
    <w:rsid w:val="0094040E"/>
    <w:rsid w:val="00940551"/>
    <w:rsid w:val="0094191C"/>
    <w:rsid w:val="009429DC"/>
    <w:rsid w:val="00942D5E"/>
    <w:rsid w:val="00942FBC"/>
    <w:rsid w:val="00943075"/>
    <w:rsid w:val="0094418B"/>
    <w:rsid w:val="00944C24"/>
    <w:rsid w:val="00944C8B"/>
    <w:rsid w:val="00945319"/>
    <w:rsid w:val="0094579E"/>
    <w:rsid w:val="00945B9C"/>
    <w:rsid w:val="00945D82"/>
    <w:rsid w:val="00945DEC"/>
    <w:rsid w:val="00945F85"/>
    <w:rsid w:val="009460BB"/>
    <w:rsid w:val="00946112"/>
    <w:rsid w:val="00946392"/>
    <w:rsid w:val="0094688E"/>
    <w:rsid w:val="00950132"/>
    <w:rsid w:val="0095076E"/>
    <w:rsid w:val="00950B67"/>
    <w:rsid w:val="00951A76"/>
    <w:rsid w:val="00951B70"/>
    <w:rsid w:val="00951D4C"/>
    <w:rsid w:val="00952421"/>
    <w:rsid w:val="00952B4D"/>
    <w:rsid w:val="00952DAB"/>
    <w:rsid w:val="00954070"/>
    <w:rsid w:val="009542C8"/>
    <w:rsid w:val="00954640"/>
    <w:rsid w:val="00954AE7"/>
    <w:rsid w:val="00954CF4"/>
    <w:rsid w:val="009558EE"/>
    <w:rsid w:val="00955B9E"/>
    <w:rsid w:val="00955CA1"/>
    <w:rsid w:val="00955FB7"/>
    <w:rsid w:val="0095625F"/>
    <w:rsid w:val="0095626E"/>
    <w:rsid w:val="009564CF"/>
    <w:rsid w:val="00956689"/>
    <w:rsid w:val="009568CF"/>
    <w:rsid w:val="00956AD4"/>
    <w:rsid w:val="00956DC2"/>
    <w:rsid w:val="00957637"/>
    <w:rsid w:val="00957803"/>
    <w:rsid w:val="009601D7"/>
    <w:rsid w:val="00960490"/>
    <w:rsid w:val="009608FC"/>
    <w:rsid w:val="00960ED7"/>
    <w:rsid w:val="00961AF6"/>
    <w:rsid w:val="00961B0B"/>
    <w:rsid w:val="00961BB9"/>
    <w:rsid w:val="00962938"/>
    <w:rsid w:val="00962D23"/>
    <w:rsid w:val="00963178"/>
    <w:rsid w:val="00963352"/>
    <w:rsid w:val="0096380E"/>
    <w:rsid w:val="009639AB"/>
    <w:rsid w:val="00963CDB"/>
    <w:rsid w:val="00963DD5"/>
    <w:rsid w:val="00963F04"/>
    <w:rsid w:val="009642D5"/>
    <w:rsid w:val="00964388"/>
    <w:rsid w:val="00964F2A"/>
    <w:rsid w:val="00965229"/>
    <w:rsid w:val="0096559F"/>
    <w:rsid w:val="0096568C"/>
    <w:rsid w:val="00965FC4"/>
    <w:rsid w:val="009663B9"/>
    <w:rsid w:val="00966650"/>
    <w:rsid w:val="00966668"/>
    <w:rsid w:val="00966F17"/>
    <w:rsid w:val="009673E0"/>
    <w:rsid w:val="0096743F"/>
    <w:rsid w:val="00967FDB"/>
    <w:rsid w:val="0097055A"/>
    <w:rsid w:val="00970D74"/>
    <w:rsid w:val="009719DB"/>
    <w:rsid w:val="00971A83"/>
    <w:rsid w:val="00971ABE"/>
    <w:rsid w:val="00972CF8"/>
    <w:rsid w:val="00972E09"/>
    <w:rsid w:val="009732E4"/>
    <w:rsid w:val="00973695"/>
    <w:rsid w:val="009738F0"/>
    <w:rsid w:val="00973DF7"/>
    <w:rsid w:val="009747C3"/>
    <w:rsid w:val="00974D10"/>
    <w:rsid w:val="009756D8"/>
    <w:rsid w:val="00976675"/>
    <w:rsid w:val="009767E1"/>
    <w:rsid w:val="00977775"/>
    <w:rsid w:val="00977826"/>
    <w:rsid w:val="00981185"/>
    <w:rsid w:val="00981292"/>
    <w:rsid w:val="009814C4"/>
    <w:rsid w:val="00982173"/>
    <w:rsid w:val="00982A08"/>
    <w:rsid w:val="00983019"/>
    <w:rsid w:val="00983026"/>
    <w:rsid w:val="0098319F"/>
    <w:rsid w:val="009844A5"/>
    <w:rsid w:val="009848A0"/>
    <w:rsid w:val="009850FE"/>
    <w:rsid w:val="00985929"/>
    <w:rsid w:val="00985A3A"/>
    <w:rsid w:val="0098668B"/>
    <w:rsid w:val="00986E45"/>
    <w:rsid w:val="00987354"/>
    <w:rsid w:val="009873C1"/>
    <w:rsid w:val="009876A1"/>
    <w:rsid w:val="00987971"/>
    <w:rsid w:val="00987B3C"/>
    <w:rsid w:val="00987C81"/>
    <w:rsid w:val="00990746"/>
    <w:rsid w:val="00990E3F"/>
    <w:rsid w:val="00991F94"/>
    <w:rsid w:val="0099202C"/>
    <w:rsid w:val="0099263A"/>
    <w:rsid w:val="00992995"/>
    <w:rsid w:val="00992C8A"/>
    <w:rsid w:val="00992FFE"/>
    <w:rsid w:val="009936C2"/>
    <w:rsid w:val="0099381D"/>
    <w:rsid w:val="009938EB"/>
    <w:rsid w:val="009940C6"/>
    <w:rsid w:val="00994462"/>
    <w:rsid w:val="0099474C"/>
    <w:rsid w:val="00994EEB"/>
    <w:rsid w:val="00995319"/>
    <w:rsid w:val="00995890"/>
    <w:rsid w:val="0099597F"/>
    <w:rsid w:val="00995A2E"/>
    <w:rsid w:val="00995D99"/>
    <w:rsid w:val="00995E09"/>
    <w:rsid w:val="009960D6"/>
    <w:rsid w:val="00996290"/>
    <w:rsid w:val="00996800"/>
    <w:rsid w:val="00996DB4"/>
    <w:rsid w:val="009974F0"/>
    <w:rsid w:val="00997E9E"/>
    <w:rsid w:val="009A013B"/>
    <w:rsid w:val="009A0AA7"/>
    <w:rsid w:val="009A12A7"/>
    <w:rsid w:val="009A12CD"/>
    <w:rsid w:val="009A1994"/>
    <w:rsid w:val="009A22A2"/>
    <w:rsid w:val="009A2486"/>
    <w:rsid w:val="009A27EB"/>
    <w:rsid w:val="009A3295"/>
    <w:rsid w:val="009A3430"/>
    <w:rsid w:val="009A344C"/>
    <w:rsid w:val="009A3530"/>
    <w:rsid w:val="009A3AB0"/>
    <w:rsid w:val="009A3FAB"/>
    <w:rsid w:val="009A4EEE"/>
    <w:rsid w:val="009A5797"/>
    <w:rsid w:val="009A599B"/>
    <w:rsid w:val="009A59D6"/>
    <w:rsid w:val="009A6EAB"/>
    <w:rsid w:val="009A7383"/>
    <w:rsid w:val="009A7512"/>
    <w:rsid w:val="009A76D2"/>
    <w:rsid w:val="009A7B68"/>
    <w:rsid w:val="009B0152"/>
    <w:rsid w:val="009B0A46"/>
    <w:rsid w:val="009B0FEC"/>
    <w:rsid w:val="009B1417"/>
    <w:rsid w:val="009B1832"/>
    <w:rsid w:val="009B185A"/>
    <w:rsid w:val="009B18D9"/>
    <w:rsid w:val="009B1D12"/>
    <w:rsid w:val="009B1F19"/>
    <w:rsid w:val="009B23EA"/>
    <w:rsid w:val="009B24F2"/>
    <w:rsid w:val="009B2672"/>
    <w:rsid w:val="009B26BF"/>
    <w:rsid w:val="009B2FB6"/>
    <w:rsid w:val="009B34E4"/>
    <w:rsid w:val="009B34E6"/>
    <w:rsid w:val="009B3C8C"/>
    <w:rsid w:val="009B419C"/>
    <w:rsid w:val="009B4461"/>
    <w:rsid w:val="009B4912"/>
    <w:rsid w:val="009B5535"/>
    <w:rsid w:val="009B619D"/>
    <w:rsid w:val="009B6F4E"/>
    <w:rsid w:val="009B7198"/>
    <w:rsid w:val="009B71BA"/>
    <w:rsid w:val="009B747C"/>
    <w:rsid w:val="009B7952"/>
    <w:rsid w:val="009B7957"/>
    <w:rsid w:val="009C018D"/>
    <w:rsid w:val="009C066D"/>
    <w:rsid w:val="009C1159"/>
    <w:rsid w:val="009C1F82"/>
    <w:rsid w:val="009C2408"/>
    <w:rsid w:val="009C247F"/>
    <w:rsid w:val="009C2563"/>
    <w:rsid w:val="009C259B"/>
    <w:rsid w:val="009C2959"/>
    <w:rsid w:val="009C2C43"/>
    <w:rsid w:val="009C2E76"/>
    <w:rsid w:val="009C30E8"/>
    <w:rsid w:val="009C341D"/>
    <w:rsid w:val="009C3921"/>
    <w:rsid w:val="009C3ADA"/>
    <w:rsid w:val="009C3EA3"/>
    <w:rsid w:val="009C3FA9"/>
    <w:rsid w:val="009C4B72"/>
    <w:rsid w:val="009C5512"/>
    <w:rsid w:val="009C587D"/>
    <w:rsid w:val="009C5C37"/>
    <w:rsid w:val="009C5C63"/>
    <w:rsid w:val="009C6362"/>
    <w:rsid w:val="009C64AA"/>
    <w:rsid w:val="009C6715"/>
    <w:rsid w:val="009C6941"/>
    <w:rsid w:val="009C71A4"/>
    <w:rsid w:val="009C71D7"/>
    <w:rsid w:val="009C742F"/>
    <w:rsid w:val="009C7AB7"/>
    <w:rsid w:val="009D0132"/>
    <w:rsid w:val="009D0464"/>
    <w:rsid w:val="009D095E"/>
    <w:rsid w:val="009D0C91"/>
    <w:rsid w:val="009D1C79"/>
    <w:rsid w:val="009D1CF6"/>
    <w:rsid w:val="009D24B5"/>
    <w:rsid w:val="009D27C4"/>
    <w:rsid w:val="009D2B08"/>
    <w:rsid w:val="009D2F94"/>
    <w:rsid w:val="009D3C6B"/>
    <w:rsid w:val="009D3F6F"/>
    <w:rsid w:val="009D40FD"/>
    <w:rsid w:val="009D48A3"/>
    <w:rsid w:val="009D5BB7"/>
    <w:rsid w:val="009D5C1D"/>
    <w:rsid w:val="009D5E53"/>
    <w:rsid w:val="009D6C73"/>
    <w:rsid w:val="009E0855"/>
    <w:rsid w:val="009E0F8D"/>
    <w:rsid w:val="009E10C5"/>
    <w:rsid w:val="009E116F"/>
    <w:rsid w:val="009E1BE8"/>
    <w:rsid w:val="009E1E79"/>
    <w:rsid w:val="009E1ECF"/>
    <w:rsid w:val="009E25A5"/>
    <w:rsid w:val="009E278E"/>
    <w:rsid w:val="009E39C4"/>
    <w:rsid w:val="009E43A6"/>
    <w:rsid w:val="009E4530"/>
    <w:rsid w:val="009E4660"/>
    <w:rsid w:val="009E4EE7"/>
    <w:rsid w:val="009E596F"/>
    <w:rsid w:val="009E5E9A"/>
    <w:rsid w:val="009E6207"/>
    <w:rsid w:val="009E7267"/>
    <w:rsid w:val="009E776D"/>
    <w:rsid w:val="009E77B1"/>
    <w:rsid w:val="009E7B7E"/>
    <w:rsid w:val="009F0665"/>
    <w:rsid w:val="009F2278"/>
    <w:rsid w:val="009F245C"/>
    <w:rsid w:val="009F26D3"/>
    <w:rsid w:val="009F2EB8"/>
    <w:rsid w:val="009F2EDF"/>
    <w:rsid w:val="009F31E1"/>
    <w:rsid w:val="009F3800"/>
    <w:rsid w:val="009F3ABD"/>
    <w:rsid w:val="009F3FA5"/>
    <w:rsid w:val="009F4353"/>
    <w:rsid w:val="009F44C7"/>
    <w:rsid w:val="009F47CF"/>
    <w:rsid w:val="009F4912"/>
    <w:rsid w:val="009F4C8A"/>
    <w:rsid w:val="009F4F18"/>
    <w:rsid w:val="009F52E9"/>
    <w:rsid w:val="009F5750"/>
    <w:rsid w:val="009F5C9A"/>
    <w:rsid w:val="009F613A"/>
    <w:rsid w:val="009F666B"/>
    <w:rsid w:val="009F6849"/>
    <w:rsid w:val="009F6896"/>
    <w:rsid w:val="009F7177"/>
    <w:rsid w:val="009F7287"/>
    <w:rsid w:val="00A00176"/>
    <w:rsid w:val="00A001F9"/>
    <w:rsid w:val="00A007A1"/>
    <w:rsid w:val="00A01540"/>
    <w:rsid w:val="00A0189A"/>
    <w:rsid w:val="00A01C8B"/>
    <w:rsid w:val="00A02A78"/>
    <w:rsid w:val="00A02AC4"/>
    <w:rsid w:val="00A0311D"/>
    <w:rsid w:val="00A0342F"/>
    <w:rsid w:val="00A03483"/>
    <w:rsid w:val="00A03568"/>
    <w:rsid w:val="00A038BD"/>
    <w:rsid w:val="00A03D29"/>
    <w:rsid w:val="00A03DFA"/>
    <w:rsid w:val="00A03FA5"/>
    <w:rsid w:val="00A0473C"/>
    <w:rsid w:val="00A0476F"/>
    <w:rsid w:val="00A048DB"/>
    <w:rsid w:val="00A04B2C"/>
    <w:rsid w:val="00A04BF2"/>
    <w:rsid w:val="00A0508D"/>
    <w:rsid w:val="00A054D0"/>
    <w:rsid w:val="00A05B3C"/>
    <w:rsid w:val="00A061EB"/>
    <w:rsid w:val="00A06666"/>
    <w:rsid w:val="00A068D8"/>
    <w:rsid w:val="00A069F7"/>
    <w:rsid w:val="00A07438"/>
    <w:rsid w:val="00A07C8D"/>
    <w:rsid w:val="00A10131"/>
    <w:rsid w:val="00A10566"/>
    <w:rsid w:val="00A10C1D"/>
    <w:rsid w:val="00A10CCA"/>
    <w:rsid w:val="00A11026"/>
    <w:rsid w:val="00A11D07"/>
    <w:rsid w:val="00A11FC0"/>
    <w:rsid w:val="00A13795"/>
    <w:rsid w:val="00A137E5"/>
    <w:rsid w:val="00A13BEA"/>
    <w:rsid w:val="00A13CB3"/>
    <w:rsid w:val="00A14B48"/>
    <w:rsid w:val="00A14B53"/>
    <w:rsid w:val="00A14C41"/>
    <w:rsid w:val="00A14F20"/>
    <w:rsid w:val="00A1593E"/>
    <w:rsid w:val="00A1612F"/>
    <w:rsid w:val="00A16C5E"/>
    <w:rsid w:val="00A170FE"/>
    <w:rsid w:val="00A179C5"/>
    <w:rsid w:val="00A17BA9"/>
    <w:rsid w:val="00A2071D"/>
    <w:rsid w:val="00A207C5"/>
    <w:rsid w:val="00A213F9"/>
    <w:rsid w:val="00A21927"/>
    <w:rsid w:val="00A21A26"/>
    <w:rsid w:val="00A21ECC"/>
    <w:rsid w:val="00A22190"/>
    <w:rsid w:val="00A223CE"/>
    <w:rsid w:val="00A22E0F"/>
    <w:rsid w:val="00A23141"/>
    <w:rsid w:val="00A24E7C"/>
    <w:rsid w:val="00A25ACE"/>
    <w:rsid w:val="00A25FFF"/>
    <w:rsid w:val="00A260F0"/>
    <w:rsid w:val="00A26211"/>
    <w:rsid w:val="00A266B0"/>
    <w:rsid w:val="00A2698E"/>
    <w:rsid w:val="00A26C75"/>
    <w:rsid w:val="00A26DCE"/>
    <w:rsid w:val="00A26E47"/>
    <w:rsid w:val="00A272E6"/>
    <w:rsid w:val="00A2766B"/>
    <w:rsid w:val="00A30E2F"/>
    <w:rsid w:val="00A31192"/>
    <w:rsid w:val="00A3195D"/>
    <w:rsid w:val="00A31D12"/>
    <w:rsid w:val="00A31E76"/>
    <w:rsid w:val="00A32847"/>
    <w:rsid w:val="00A3291E"/>
    <w:rsid w:val="00A32D6D"/>
    <w:rsid w:val="00A32F01"/>
    <w:rsid w:val="00A32F27"/>
    <w:rsid w:val="00A3343D"/>
    <w:rsid w:val="00A3386E"/>
    <w:rsid w:val="00A33BF3"/>
    <w:rsid w:val="00A34108"/>
    <w:rsid w:val="00A342E3"/>
    <w:rsid w:val="00A353D5"/>
    <w:rsid w:val="00A35421"/>
    <w:rsid w:val="00A360D3"/>
    <w:rsid w:val="00A36217"/>
    <w:rsid w:val="00A362FD"/>
    <w:rsid w:val="00A36B09"/>
    <w:rsid w:val="00A36E3A"/>
    <w:rsid w:val="00A36FD3"/>
    <w:rsid w:val="00A37277"/>
    <w:rsid w:val="00A3752D"/>
    <w:rsid w:val="00A402A5"/>
    <w:rsid w:val="00A4074B"/>
    <w:rsid w:val="00A4135B"/>
    <w:rsid w:val="00A4136C"/>
    <w:rsid w:val="00A414F0"/>
    <w:rsid w:val="00A415EC"/>
    <w:rsid w:val="00A418A3"/>
    <w:rsid w:val="00A4192C"/>
    <w:rsid w:val="00A41EAB"/>
    <w:rsid w:val="00A420D1"/>
    <w:rsid w:val="00A42385"/>
    <w:rsid w:val="00A42906"/>
    <w:rsid w:val="00A43BE3"/>
    <w:rsid w:val="00A44029"/>
    <w:rsid w:val="00A444AF"/>
    <w:rsid w:val="00A450AC"/>
    <w:rsid w:val="00A456A7"/>
    <w:rsid w:val="00A45DBA"/>
    <w:rsid w:val="00A46157"/>
    <w:rsid w:val="00A4684B"/>
    <w:rsid w:val="00A46B41"/>
    <w:rsid w:val="00A46B97"/>
    <w:rsid w:val="00A4705E"/>
    <w:rsid w:val="00A4763C"/>
    <w:rsid w:val="00A477FD"/>
    <w:rsid w:val="00A50263"/>
    <w:rsid w:val="00A50270"/>
    <w:rsid w:val="00A50B69"/>
    <w:rsid w:val="00A51043"/>
    <w:rsid w:val="00A5124D"/>
    <w:rsid w:val="00A516B9"/>
    <w:rsid w:val="00A5175F"/>
    <w:rsid w:val="00A51AA1"/>
    <w:rsid w:val="00A51C8A"/>
    <w:rsid w:val="00A5217B"/>
    <w:rsid w:val="00A5218C"/>
    <w:rsid w:val="00A52250"/>
    <w:rsid w:val="00A52340"/>
    <w:rsid w:val="00A5236C"/>
    <w:rsid w:val="00A5294C"/>
    <w:rsid w:val="00A52DFF"/>
    <w:rsid w:val="00A537F9"/>
    <w:rsid w:val="00A539FB"/>
    <w:rsid w:val="00A53A28"/>
    <w:rsid w:val="00A549E2"/>
    <w:rsid w:val="00A54D20"/>
    <w:rsid w:val="00A55258"/>
    <w:rsid w:val="00A5559C"/>
    <w:rsid w:val="00A565A8"/>
    <w:rsid w:val="00A56980"/>
    <w:rsid w:val="00A56B03"/>
    <w:rsid w:val="00A56BBA"/>
    <w:rsid w:val="00A56DEA"/>
    <w:rsid w:val="00A57106"/>
    <w:rsid w:val="00A5764F"/>
    <w:rsid w:val="00A60619"/>
    <w:rsid w:val="00A60BEF"/>
    <w:rsid w:val="00A60D5A"/>
    <w:rsid w:val="00A60DB4"/>
    <w:rsid w:val="00A61D5A"/>
    <w:rsid w:val="00A61F17"/>
    <w:rsid w:val="00A620D4"/>
    <w:rsid w:val="00A625F2"/>
    <w:rsid w:val="00A62C21"/>
    <w:rsid w:val="00A6375C"/>
    <w:rsid w:val="00A637AC"/>
    <w:rsid w:val="00A637CD"/>
    <w:rsid w:val="00A63A51"/>
    <w:rsid w:val="00A64544"/>
    <w:rsid w:val="00A64CD2"/>
    <w:rsid w:val="00A651BC"/>
    <w:rsid w:val="00A65728"/>
    <w:rsid w:val="00A65A15"/>
    <w:rsid w:val="00A65DA5"/>
    <w:rsid w:val="00A669F8"/>
    <w:rsid w:val="00A66A67"/>
    <w:rsid w:val="00A66FFA"/>
    <w:rsid w:val="00A672B3"/>
    <w:rsid w:val="00A673B2"/>
    <w:rsid w:val="00A676A7"/>
    <w:rsid w:val="00A70BC0"/>
    <w:rsid w:val="00A70E6A"/>
    <w:rsid w:val="00A70F09"/>
    <w:rsid w:val="00A7111A"/>
    <w:rsid w:val="00A714C6"/>
    <w:rsid w:val="00A7271F"/>
    <w:rsid w:val="00A72CC9"/>
    <w:rsid w:val="00A7349A"/>
    <w:rsid w:val="00A7384F"/>
    <w:rsid w:val="00A73A26"/>
    <w:rsid w:val="00A73CE7"/>
    <w:rsid w:val="00A7449E"/>
    <w:rsid w:val="00A749A2"/>
    <w:rsid w:val="00A74B1A"/>
    <w:rsid w:val="00A75345"/>
    <w:rsid w:val="00A7581B"/>
    <w:rsid w:val="00A75C2B"/>
    <w:rsid w:val="00A76086"/>
    <w:rsid w:val="00A7615D"/>
    <w:rsid w:val="00A76AAC"/>
    <w:rsid w:val="00A775E1"/>
    <w:rsid w:val="00A77660"/>
    <w:rsid w:val="00A80183"/>
    <w:rsid w:val="00A80784"/>
    <w:rsid w:val="00A81955"/>
    <w:rsid w:val="00A81E7A"/>
    <w:rsid w:val="00A822F4"/>
    <w:rsid w:val="00A82418"/>
    <w:rsid w:val="00A824CE"/>
    <w:rsid w:val="00A828D0"/>
    <w:rsid w:val="00A82966"/>
    <w:rsid w:val="00A82E03"/>
    <w:rsid w:val="00A82F89"/>
    <w:rsid w:val="00A83439"/>
    <w:rsid w:val="00A834A2"/>
    <w:rsid w:val="00A836B2"/>
    <w:rsid w:val="00A83C89"/>
    <w:rsid w:val="00A83E36"/>
    <w:rsid w:val="00A83EA4"/>
    <w:rsid w:val="00A8458F"/>
    <w:rsid w:val="00A84D62"/>
    <w:rsid w:val="00A84E17"/>
    <w:rsid w:val="00A850B7"/>
    <w:rsid w:val="00A855B9"/>
    <w:rsid w:val="00A85AD2"/>
    <w:rsid w:val="00A85CDE"/>
    <w:rsid w:val="00A85E24"/>
    <w:rsid w:val="00A85E2A"/>
    <w:rsid w:val="00A86076"/>
    <w:rsid w:val="00A8614A"/>
    <w:rsid w:val="00A86BF4"/>
    <w:rsid w:val="00A86CB5"/>
    <w:rsid w:val="00A87731"/>
    <w:rsid w:val="00A87B6F"/>
    <w:rsid w:val="00A87DAC"/>
    <w:rsid w:val="00A908A4"/>
    <w:rsid w:val="00A90A0D"/>
    <w:rsid w:val="00A90EA7"/>
    <w:rsid w:val="00A91042"/>
    <w:rsid w:val="00A924E0"/>
    <w:rsid w:val="00A927E5"/>
    <w:rsid w:val="00A9282B"/>
    <w:rsid w:val="00A92B6E"/>
    <w:rsid w:val="00A9327A"/>
    <w:rsid w:val="00A935B3"/>
    <w:rsid w:val="00A93856"/>
    <w:rsid w:val="00A93A75"/>
    <w:rsid w:val="00A93B1A"/>
    <w:rsid w:val="00A9434C"/>
    <w:rsid w:val="00A9588A"/>
    <w:rsid w:val="00A9621E"/>
    <w:rsid w:val="00A96447"/>
    <w:rsid w:val="00A964E3"/>
    <w:rsid w:val="00A965A0"/>
    <w:rsid w:val="00A9763E"/>
    <w:rsid w:val="00A97B96"/>
    <w:rsid w:val="00A97CD9"/>
    <w:rsid w:val="00A97EAF"/>
    <w:rsid w:val="00AA0662"/>
    <w:rsid w:val="00AA1C10"/>
    <w:rsid w:val="00AA1CB1"/>
    <w:rsid w:val="00AA2654"/>
    <w:rsid w:val="00AA2996"/>
    <w:rsid w:val="00AA2C19"/>
    <w:rsid w:val="00AA2FF0"/>
    <w:rsid w:val="00AA30AF"/>
    <w:rsid w:val="00AA3432"/>
    <w:rsid w:val="00AA344D"/>
    <w:rsid w:val="00AA3A47"/>
    <w:rsid w:val="00AA3C7C"/>
    <w:rsid w:val="00AA4E83"/>
    <w:rsid w:val="00AA5019"/>
    <w:rsid w:val="00AA506C"/>
    <w:rsid w:val="00AA50F1"/>
    <w:rsid w:val="00AA61D4"/>
    <w:rsid w:val="00AA624C"/>
    <w:rsid w:val="00AA6408"/>
    <w:rsid w:val="00AA6974"/>
    <w:rsid w:val="00AA7071"/>
    <w:rsid w:val="00AA7350"/>
    <w:rsid w:val="00AA76D4"/>
    <w:rsid w:val="00AA78E4"/>
    <w:rsid w:val="00AA78E5"/>
    <w:rsid w:val="00AA7E35"/>
    <w:rsid w:val="00AA7F47"/>
    <w:rsid w:val="00AB0411"/>
    <w:rsid w:val="00AB197A"/>
    <w:rsid w:val="00AB1FC7"/>
    <w:rsid w:val="00AB2861"/>
    <w:rsid w:val="00AB2BEF"/>
    <w:rsid w:val="00AB2D59"/>
    <w:rsid w:val="00AB2E1A"/>
    <w:rsid w:val="00AB3348"/>
    <w:rsid w:val="00AB339E"/>
    <w:rsid w:val="00AB36DE"/>
    <w:rsid w:val="00AB38C4"/>
    <w:rsid w:val="00AB43F4"/>
    <w:rsid w:val="00AB4F1C"/>
    <w:rsid w:val="00AB5241"/>
    <w:rsid w:val="00AB63C1"/>
    <w:rsid w:val="00AB6455"/>
    <w:rsid w:val="00AB6763"/>
    <w:rsid w:val="00AB6B59"/>
    <w:rsid w:val="00AB6BBC"/>
    <w:rsid w:val="00AB6BEA"/>
    <w:rsid w:val="00AB792A"/>
    <w:rsid w:val="00AB7AB1"/>
    <w:rsid w:val="00AC0A20"/>
    <w:rsid w:val="00AC0A82"/>
    <w:rsid w:val="00AC0A9D"/>
    <w:rsid w:val="00AC0CE0"/>
    <w:rsid w:val="00AC1462"/>
    <w:rsid w:val="00AC21A3"/>
    <w:rsid w:val="00AC2259"/>
    <w:rsid w:val="00AC253D"/>
    <w:rsid w:val="00AC29BB"/>
    <w:rsid w:val="00AC3184"/>
    <w:rsid w:val="00AC36E3"/>
    <w:rsid w:val="00AC3738"/>
    <w:rsid w:val="00AC394E"/>
    <w:rsid w:val="00AC3AD8"/>
    <w:rsid w:val="00AC580C"/>
    <w:rsid w:val="00AC5E6F"/>
    <w:rsid w:val="00AC6417"/>
    <w:rsid w:val="00AC6443"/>
    <w:rsid w:val="00AC6D2D"/>
    <w:rsid w:val="00AC6ED5"/>
    <w:rsid w:val="00AC731A"/>
    <w:rsid w:val="00AD0785"/>
    <w:rsid w:val="00AD0A7E"/>
    <w:rsid w:val="00AD0BCE"/>
    <w:rsid w:val="00AD0EEA"/>
    <w:rsid w:val="00AD0F22"/>
    <w:rsid w:val="00AD15F7"/>
    <w:rsid w:val="00AD258D"/>
    <w:rsid w:val="00AD26D2"/>
    <w:rsid w:val="00AD284B"/>
    <w:rsid w:val="00AD2D88"/>
    <w:rsid w:val="00AD37ED"/>
    <w:rsid w:val="00AD409C"/>
    <w:rsid w:val="00AD44DE"/>
    <w:rsid w:val="00AD4DCF"/>
    <w:rsid w:val="00AD5DAF"/>
    <w:rsid w:val="00AD602C"/>
    <w:rsid w:val="00AD6429"/>
    <w:rsid w:val="00AD6B27"/>
    <w:rsid w:val="00AD70F1"/>
    <w:rsid w:val="00AD728C"/>
    <w:rsid w:val="00AD7A19"/>
    <w:rsid w:val="00AE0464"/>
    <w:rsid w:val="00AE0FA8"/>
    <w:rsid w:val="00AE15AB"/>
    <w:rsid w:val="00AE18DE"/>
    <w:rsid w:val="00AE1A6B"/>
    <w:rsid w:val="00AE1CBD"/>
    <w:rsid w:val="00AE210F"/>
    <w:rsid w:val="00AE3562"/>
    <w:rsid w:val="00AE35C8"/>
    <w:rsid w:val="00AE36FE"/>
    <w:rsid w:val="00AE3974"/>
    <w:rsid w:val="00AE5042"/>
    <w:rsid w:val="00AE5A34"/>
    <w:rsid w:val="00AE5BCA"/>
    <w:rsid w:val="00AE5E4B"/>
    <w:rsid w:val="00AE5E6E"/>
    <w:rsid w:val="00AE66AC"/>
    <w:rsid w:val="00AE6E2A"/>
    <w:rsid w:val="00AE6F55"/>
    <w:rsid w:val="00AF0C6C"/>
    <w:rsid w:val="00AF0CA7"/>
    <w:rsid w:val="00AF0EC1"/>
    <w:rsid w:val="00AF1739"/>
    <w:rsid w:val="00AF1CEA"/>
    <w:rsid w:val="00AF21A3"/>
    <w:rsid w:val="00AF2317"/>
    <w:rsid w:val="00AF234A"/>
    <w:rsid w:val="00AF2A2D"/>
    <w:rsid w:val="00AF2E27"/>
    <w:rsid w:val="00AF3061"/>
    <w:rsid w:val="00AF3078"/>
    <w:rsid w:val="00AF343A"/>
    <w:rsid w:val="00AF3497"/>
    <w:rsid w:val="00AF3524"/>
    <w:rsid w:val="00AF3F0B"/>
    <w:rsid w:val="00AF469F"/>
    <w:rsid w:val="00AF4746"/>
    <w:rsid w:val="00AF50CE"/>
    <w:rsid w:val="00AF5225"/>
    <w:rsid w:val="00AF6C04"/>
    <w:rsid w:val="00AF706C"/>
    <w:rsid w:val="00AF7A9D"/>
    <w:rsid w:val="00AF7CC4"/>
    <w:rsid w:val="00AF7EC7"/>
    <w:rsid w:val="00AF7F7E"/>
    <w:rsid w:val="00B0036C"/>
    <w:rsid w:val="00B00449"/>
    <w:rsid w:val="00B00661"/>
    <w:rsid w:val="00B008F8"/>
    <w:rsid w:val="00B01361"/>
    <w:rsid w:val="00B0137F"/>
    <w:rsid w:val="00B0158C"/>
    <w:rsid w:val="00B01C2E"/>
    <w:rsid w:val="00B02422"/>
    <w:rsid w:val="00B02FCC"/>
    <w:rsid w:val="00B03AFF"/>
    <w:rsid w:val="00B03E12"/>
    <w:rsid w:val="00B04993"/>
    <w:rsid w:val="00B04BA4"/>
    <w:rsid w:val="00B04C29"/>
    <w:rsid w:val="00B05E15"/>
    <w:rsid w:val="00B05E96"/>
    <w:rsid w:val="00B0678D"/>
    <w:rsid w:val="00B068EB"/>
    <w:rsid w:val="00B0699E"/>
    <w:rsid w:val="00B06A35"/>
    <w:rsid w:val="00B06C7A"/>
    <w:rsid w:val="00B07271"/>
    <w:rsid w:val="00B072B1"/>
    <w:rsid w:val="00B0781D"/>
    <w:rsid w:val="00B10252"/>
    <w:rsid w:val="00B10B05"/>
    <w:rsid w:val="00B10E35"/>
    <w:rsid w:val="00B1140C"/>
    <w:rsid w:val="00B11676"/>
    <w:rsid w:val="00B11E67"/>
    <w:rsid w:val="00B11EE2"/>
    <w:rsid w:val="00B12232"/>
    <w:rsid w:val="00B1231D"/>
    <w:rsid w:val="00B12C95"/>
    <w:rsid w:val="00B13805"/>
    <w:rsid w:val="00B1381B"/>
    <w:rsid w:val="00B1405E"/>
    <w:rsid w:val="00B1445F"/>
    <w:rsid w:val="00B1449E"/>
    <w:rsid w:val="00B14614"/>
    <w:rsid w:val="00B15273"/>
    <w:rsid w:val="00B1529E"/>
    <w:rsid w:val="00B15402"/>
    <w:rsid w:val="00B15D9C"/>
    <w:rsid w:val="00B16D26"/>
    <w:rsid w:val="00B16DFB"/>
    <w:rsid w:val="00B17609"/>
    <w:rsid w:val="00B17943"/>
    <w:rsid w:val="00B200B3"/>
    <w:rsid w:val="00B200E9"/>
    <w:rsid w:val="00B20208"/>
    <w:rsid w:val="00B20B3F"/>
    <w:rsid w:val="00B2244F"/>
    <w:rsid w:val="00B22922"/>
    <w:rsid w:val="00B234A5"/>
    <w:rsid w:val="00B23EB5"/>
    <w:rsid w:val="00B23F14"/>
    <w:rsid w:val="00B248C0"/>
    <w:rsid w:val="00B255C5"/>
    <w:rsid w:val="00B25609"/>
    <w:rsid w:val="00B2590E"/>
    <w:rsid w:val="00B25C31"/>
    <w:rsid w:val="00B2624E"/>
    <w:rsid w:val="00B263D1"/>
    <w:rsid w:val="00B26B02"/>
    <w:rsid w:val="00B26BAA"/>
    <w:rsid w:val="00B26BB9"/>
    <w:rsid w:val="00B2719F"/>
    <w:rsid w:val="00B27469"/>
    <w:rsid w:val="00B275FF"/>
    <w:rsid w:val="00B2783E"/>
    <w:rsid w:val="00B279C6"/>
    <w:rsid w:val="00B27AAA"/>
    <w:rsid w:val="00B27AF4"/>
    <w:rsid w:val="00B30CCF"/>
    <w:rsid w:val="00B30E45"/>
    <w:rsid w:val="00B30F72"/>
    <w:rsid w:val="00B31798"/>
    <w:rsid w:val="00B319CE"/>
    <w:rsid w:val="00B31D3A"/>
    <w:rsid w:val="00B31E62"/>
    <w:rsid w:val="00B32357"/>
    <w:rsid w:val="00B3244E"/>
    <w:rsid w:val="00B32913"/>
    <w:rsid w:val="00B32D35"/>
    <w:rsid w:val="00B33AD4"/>
    <w:rsid w:val="00B33D4D"/>
    <w:rsid w:val="00B33E9E"/>
    <w:rsid w:val="00B34458"/>
    <w:rsid w:val="00B346A4"/>
    <w:rsid w:val="00B34851"/>
    <w:rsid w:val="00B34DAE"/>
    <w:rsid w:val="00B352DC"/>
    <w:rsid w:val="00B35F22"/>
    <w:rsid w:val="00B36395"/>
    <w:rsid w:val="00B36649"/>
    <w:rsid w:val="00B36D2C"/>
    <w:rsid w:val="00B36DF9"/>
    <w:rsid w:val="00B36F64"/>
    <w:rsid w:val="00B376A3"/>
    <w:rsid w:val="00B40028"/>
    <w:rsid w:val="00B4071D"/>
    <w:rsid w:val="00B40B53"/>
    <w:rsid w:val="00B40ED6"/>
    <w:rsid w:val="00B41599"/>
    <w:rsid w:val="00B41742"/>
    <w:rsid w:val="00B41928"/>
    <w:rsid w:val="00B419FA"/>
    <w:rsid w:val="00B41F24"/>
    <w:rsid w:val="00B425B9"/>
    <w:rsid w:val="00B43544"/>
    <w:rsid w:val="00B43F38"/>
    <w:rsid w:val="00B4434B"/>
    <w:rsid w:val="00B443DC"/>
    <w:rsid w:val="00B44618"/>
    <w:rsid w:val="00B44BB7"/>
    <w:rsid w:val="00B44F33"/>
    <w:rsid w:val="00B45036"/>
    <w:rsid w:val="00B4556E"/>
    <w:rsid w:val="00B4587E"/>
    <w:rsid w:val="00B4592F"/>
    <w:rsid w:val="00B464AD"/>
    <w:rsid w:val="00B46980"/>
    <w:rsid w:val="00B46B57"/>
    <w:rsid w:val="00B46CAE"/>
    <w:rsid w:val="00B471E5"/>
    <w:rsid w:val="00B47414"/>
    <w:rsid w:val="00B4748E"/>
    <w:rsid w:val="00B50566"/>
    <w:rsid w:val="00B507DE"/>
    <w:rsid w:val="00B50A91"/>
    <w:rsid w:val="00B513E3"/>
    <w:rsid w:val="00B51F21"/>
    <w:rsid w:val="00B523B9"/>
    <w:rsid w:val="00B5273C"/>
    <w:rsid w:val="00B52B43"/>
    <w:rsid w:val="00B52E8B"/>
    <w:rsid w:val="00B53E7D"/>
    <w:rsid w:val="00B53FC6"/>
    <w:rsid w:val="00B5419F"/>
    <w:rsid w:val="00B55069"/>
    <w:rsid w:val="00B551C1"/>
    <w:rsid w:val="00B555DC"/>
    <w:rsid w:val="00B5562C"/>
    <w:rsid w:val="00B5695E"/>
    <w:rsid w:val="00B56B33"/>
    <w:rsid w:val="00B5722E"/>
    <w:rsid w:val="00B57368"/>
    <w:rsid w:val="00B573A2"/>
    <w:rsid w:val="00B602FB"/>
    <w:rsid w:val="00B60CBD"/>
    <w:rsid w:val="00B61173"/>
    <w:rsid w:val="00B61182"/>
    <w:rsid w:val="00B61190"/>
    <w:rsid w:val="00B615CE"/>
    <w:rsid w:val="00B61C11"/>
    <w:rsid w:val="00B61EF2"/>
    <w:rsid w:val="00B61FED"/>
    <w:rsid w:val="00B6264B"/>
    <w:rsid w:val="00B62E6A"/>
    <w:rsid w:val="00B637DF"/>
    <w:rsid w:val="00B6380E"/>
    <w:rsid w:val="00B63837"/>
    <w:rsid w:val="00B63F95"/>
    <w:rsid w:val="00B6443E"/>
    <w:rsid w:val="00B64F21"/>
    <w:rsid w:val="00B65580"/>
    <w:rsid w:val="00B65CF9"/>
    <w:rsid w:val="00B65DA9"/>
    <w:rsid w:val="00B65EC2"/>
    <w:rsid w:val="00B66083"/>
    <w:rsid w:val="00B669DD"/>
    <w:rsid w:val="00B66D33"/>
    <w:rsid w:val="00B66D3B"/>
    <w:rsid w:val="00B66E00"/>
    <w:rsid w:val="00B67366"/>
    <w:rsid w:val="00B7002A"/>
    <w:rsid w:val="00B709A4"/>
    <w:rsid w:val="00B719FA"/>
    <w:rsid w:val="00B71E75"/>
    <w:rsid w:val="00B7232D"/>
    <w:rsid w:val="00B72496"/>
    <w:rsid w:val="00B72530"/>
    <w:rsid w:val="00B72A07"/>
    <w:rsid w:val="00B72E18"/>
    <w:rsid w:val="00B72F6C"/>
    <w:rsid w:val="00B732E8"/>
    <w:rsid w:val="00B735D5"/>
    <w:rsid w:val="00B736A9"/>
    <w:rsid w:val="00B737B7"/>
    <w:rsid w:val="00B7393A"/>
    <w:rsid w:val="00B73A34"/>
    <w:rsid w:val="00B74727"/>
    <w:rsid w:val="00B747A2"/>
    <w:rsid w:val="00B7489F"/>
    <w:rsid w:val="00B74939"/>
    <w:rsid w:val="00B74E0B"/>
    <w:rsid w:val="00B75B3A"/>
    <w:rsid w:val="00B75D3C"/>
    <w:rsid w:val="00B75E81"/>
    <w:rsid w:val="00B76A0C"/>
    <w:rsid w:val="00B7716C"/>
    <w:rsid w:val="00B772E2"/>
    <w:rsid w:val="00B77CBB"/>
    <w:rsid w:val="00B77D03"/>
    <w:rsid w:val="00B8047B"/>
    <w:rsid w:val="00B809CE"/>
    <w:rsid w:val="00B80D43"/>
    <w:rsid w:val="00B81592"/>
    <w:rsid w:val="00B81601"/>
    <w:rsid w:val="00B8187E"/>
    <w:rsid w:val="00B823FB"/>
    <w:rsid w:val="00B82F2B"/>
    <w:rsid w:val="00B83599"/>
    <w:rsid w:val="00B83A69"/>
    <w:rsid w:val="00B83E19"/>
    <w:rsid w:val="00B84476"/>
    <w:rsid w:val="00B84A03"/>
    <w:rsid w:val="00B84AC1"/>
    <w:rsid w:val="00B8541A"/>
    <w:rsid w:val="00B85517"/>
    <w:rsid w:val="00B85D91"/>
    <w:rsid w:val="00B86145"/>
    <w:rsid w:val="00B861D3"/>
    <w:rsid w:val="00B86360"/>
    <w:rsid w:val="00B86479"/>
    <w:rsid w:val="00B86D66"/>
    <w:rsid w:val="00B8723E"/>
    <w:rsid w:val="00B872B5"/>
    <w:rsid w:val="00B87627"/>
    <w:rsid w:val="00B87B82"/>
    <w:rsid w:val="00B87DE0"/>
    <w:rsid w:val="00B90BA1"/>
    <w:rsid w:val="00B90CC0"/>
    <w:rsid w:val="00B912FF"/>
    <w:rsid w:val="00B919CA"/>
    <w:rsid w:val="00B91DF1"/>
    <w:rsid w:val="00B9249F"/>
    <w:rsid w:val="00B929D2"/>
    <w:rsid w:val="00B92B97"/>
    <w:rsid w:val="00B93211"/>
    <w:rsid w:val="00B935D0"/>
    <w:rsid w:val="00B938CE"/>
    <w:rsid w:val="00B939DC"/>
    <w:rsid w:val="00B93A70"/>
    <w:rsid w:val="00B93C65"/>
    <w:rsid w:val="00B93FA2"/>
    <w:rsid w:val="00B94083"/>
    <w:rsid w:val="00B94BF8"/>
    <w:rsid w:val="00B94C60"/>
    <w:rsid w:val="00B95049"/>
    <w:rsid w:val="00B957D3"/>
    <w:rsid w:val="00B9594A"/>
    <w:rsid w:val="00B9618B"/>
    <w:rsid w:val="00B96479"/>
    <w:rsid w:val="00B96EF3"/>
    <w:rsid w:val="00B9789B"/>
    <w:rsid w:val="00BA010A"/>
    <w:rsid w:val="00BA01DE"/>
    <w:rsid w:val="00BA05F5"/>
    <w:rsid w:val="00BA0647"/>
    <w:rsid w:val="00BA06F7"/>
    <w:rsid w:val="00BA0DB7"/>
    <w:rsid w:val="00BA1574"/>
    <w:rsid w:val="00BA1A63"/>
    <w:rsid w:val="00BA1A72"/>
    <w:rsid w:val="00BA21EA"/>
    <w:rsid w:val="00BA2B3D"/>
    <w:rsid w:val="00BA42EC"/>
    <w:rsid w:val="00BA49E9"/>
    <w:rsid w:val="00BA53A2"/>
    <w:rsid w:val="00BA54C2"/>
    <w:rsid w:val="00BA551D"/>
    <w:rsid w:val="00BA6267"/>
    <w:rsid w:val="00BA6B09"/>
    <w:rsid w:val="00BA6D60"/>
    <w:rsid w:val="00BA73DC"/>
    <w:rsid w:val="00BA7B8F"/>
    <w:rsid w:val="00BB0714"/>
    <w:rsid w:val="00BB0B7A"/>
    <w:rsid w:val="00BB0D36"/>
    <w:rsid w:val="00BB0D4C"/>
    <w:rsid w:val="00BB191C"/>
    <w:rsid w:val="00BB1BC8"/>
    <w:rsid w:val="00BB1E01"/>
    <w:rsid w:val="00BB2095"/>
    <w:rsid w:val="00BB217F"/>
    <w:rsid w:val="00BB264C"/>
    <w:rsid w:val="00BB3348"/>
    <w:rsid w:val="00BB3356"/>
    <w:rsid w:val="00BB3A06"/>
    <w:rsid w:val="00BB4F83"/>
    <w:rsid w:val="00BB5586"/>
    <w:rsid w:val="00BB5719"/>
    <w:rsid w:val="00BB5BFA"/>
    <w:rsid w:val="00BB65C7"/>
    <w:rsid w:val="00BB661B"/>
    <w:rsid w:val="00BB6C3A"/>
    <w:rsid w:val="00BC083F"/>
    <w:rsid w:val="00BC096E"/>
    <w:rsid w:val="00BC0F0E"/>
    <w:rsid w:val="00BC1B9E"/>
    <w:rsid w:val="00BC1F24"/>
    <w:rsid w:val="00BC23E9"/>
    <w:rsid w:val="00BC2451"/>
    <w:rsid w:val="00BC2E4A"/>
    <w:rsid w:val="00BC30C1"/>
    <w:rsid w:val="00BC324A"/>
    <w:rsid w:val="00BC3F19"/>
    <w:rsid w:val="00BC3F1E"/>
    <w:rsid w:val="00BC45B6"/>
    <w:rsid w:val="00BC45F5"/>
    <w:rsid w:val="00BC5AB8"/>
    <w:rsid w:val="00BC5E7F"/>
    <w:rsid w:val="00BC6767"/>
    <w:rsid w:val="00BC6B17"/>
    <w:rsid w:val="00BC71EB"/>
    <w:rsid w:val="00BC754B"/>
    <w:rsid w:val="00BC7741"/>
    <w:rsid w:val="00BC793A"/>
    <w:rsid w:val="00BD0043"/>
    <w:rsid w:val="00BD00E9"/>
    <w:rsid w:val="00BD0593"/>
    <w:rsid w:val="00BD0751"/>
    <w:rsid w:val="00BD083C"/>
    <w:rsid w:val="00BD0B50"/>
    <w:rsid w:val="00BD0CD7"/>
    <w:rsid w:val="00BD190B"/>
    <w:rsid w:val="00BD2C86"/>
    <w:rsid w:val="00BD342D"/>
    <w:rsid w:val="00BD38FF"/>
    <w:rsid w:val="00BD3C9B"/>
    <w:rsid w:val="00BD3EF4"/>
    <w:rsid w:val="00BD40DB"/>
    <w:rsid w:val="00BD4287"/>
    <w:rsid w:val="00BD51FB"/>
    <w:rsid w:val="00BD5742"/>
    <w:rsid w:val="00BD63E8"/>
    <w:rsid w:val="00BD6594"/>
    <w:rsid w:val="00BD7720"/>
    <w:rsid w:val="00BE0240"/>
    <w:rsid w:val="00BE0427"/>
    <w:rsid w:val="00BE09D7"/>
    <w:rsid w:val="00BE1BE2"/>
    <w:rsid w:val="00BE1FC0"/>
    <w:rsid w:val="00BE2122"/>
    <w:rsid w:val="00BE2BC6"/>
    <w:rsid w:val="00BE2D45"/>
    <w:rsid w:val="00BE2D73"/>
    <w:rsid w:val="00BE35C2"/>
    <w:rsid w:val="00BE424F"/>
    <w:rsid w:val="00BE4751"/>
    <w:rsid w:val="00BE5BC9"/>
    <w:rsid w:val="00BE692A"/>
    <w:rsid w:val="00BE6D3E"/>
    <w:rsid w:val="00BE6E58"/>
    <w:rsid w:val="00BE7EBE"/>
    <w:rsid w:val="00BF0152"/>
    <w:rsid w:val="00BF17D0"/>
    <w:rsid w:val="00BF19A5"/>
    <w:rsid w:val="00BF2344"/>
    <w:rsid w:val="00BF2495"/>
    <w:rsid w:val="00BF278E"/>
    <w:rsid w:val="00BF293F"/>
    <w:rsid w:val="00BF2B5E"/>
    <w:rsid w:val="00BF30EB"/>
    <w:rsid w:val="00BF31D9"/>
    <w:rsid w:val="00BF342D"/>
    <w:rsid w:val="00BF36E0"/>
    <w:rsid w:val="00BF3861"/>
    <w:rsid w:val="00BF3A79"/>
    <w:rsid w:val="00BF43BA"/>
    <w:rsid w:val="00BF4AF1"/>
    <w:rsid w:val="00BF567C"/>
    <w:rsid w:val="00BF597D"/>
    <w:rsid w:val="00BF5F9A"/>
    <w:rsid w:val="00BF61BA"/>
    <w:rsid w:val="00BF633B"/>
    <w:rsid w:val="00BF6C6A"/>
    <w:rsid w:val="00BF7603"/>
    <w:rsid w:val="00BF7CE2"/>
    <w:rsid w:val="00BF7FA6"/>
    <w:rsid w:val="00C000EF"/>
    <w:rsid w:val="00C0024D"/>
    <w:rsid w:val="00C01262"/>
    <w:rsid w:val="00C0228F"/>
    <w:rsid w:val="00C03122"/>
    <w:rsid w:val="00C033A1"/>
    <w:rsid w:val="00C034FA"/>
    <w:rsid w:val="00C03504"/>
    <w:rsid w:val="00C038D9"/>
    <w:rsid w:val="00C04078"/>
    <w:rsid w:val="00C04147"/>
    <w:rsid w:val="00C0416B"/>
    <w:rsid w:val="00C04184"/>
    <w:rsid w:val="00C04383"/>
    <w:rsid w:val="00C04D3A"/>
    <w:rsid w:val="00C04E08"/>
    <w:rsid w:val="00C05AD9"/>
    <w:rsid w:val="00C05C1C"/>
    <w:rsid w:val="00C05E3A"/>
    <w:rsid w:val="00C0629E"/>
    <w:rsid w:val="00C0715B"/>
    <w:rsid w:val="00C07C5D"/>
    <w:rsid w:val="00C07FA2"/>
    <w:rsid w:val="00C104D5"/>
    <w:rsid w:val="00C11A97"/>
    <w:rsid w:val="00C11D90"/>
    <w:rsid w:val="00C1200D"/>
    <w:rsid w:val="00C12380"/>
    <w:rsid w:val="00C1242F"/>
    <w:rsid w:val="00C12979"/>
    <w:rsid w:val="00C144FA"/>
    <w:rsid w:val="00C14B4A"/>
    <w:rsid w:val="00C14B5D"/>
    <w:rsid w:val="00C14DEB"/>
    <w:rsid w:val="00C15229"/>
    <w:rsid w:val="00C1598C"/>
    <w:rsid w:val="00C161D6"/>
    <w:rsid w:val="00C16A52"/>
    <w:rsid w:val="00C17FBC"/>
    <w:rsid w:val="00C201E8"/>
    <w:rsid w:val="00C20665"/>
    <w:rsid w:val="00C2087B"/>
    <w:rsid w:val="00C2118E"/>
    <w:rsid w:val="00C21250"/>
    <w:rsid w:val="00C2191A"/>
    <w:rsid w:val="00C21C49"/>
    <w:rsid w:val="00C225FA"/>
    <w:rsid w:val="00C22994"/>
    <w:rsid w:val="00C22E40"/>
    <w:rsid w:val="00C23C2C"/>
    <w:rsid w:val="00C23E5C"/>
    <w:rsid w:val="00C23FEB"/>
    <w:rsid w:val="00C24DBE"/>
    <w:rsid w:val="00C258D5"/>
    <w:rsid w:val="00C2649F"/>
    <w:rsid w:val="00C26588"/>
    <w:rsid w:val="00C26886"/>
    <w:rsid w:val="00C26ABA"/>
    <w:rsid w:val="00C2721C"/>
    <w:rsid w:val="00C27ABB"/>
    <w:rsid w:val="00C27C07"/>
    <w:rsid w:val="00C27CF6"/>
    <w:rsid w:val="00C30213"/>
    <w:rsid w:val="00C304C6"/>
    <w:rsid w:val="00C30CBB"/>
    <w:rsid w:val="00C318CD"/>
    <w:rsid w:val="00C32318"/>
    <w:rsid w:val="00C3233A"/>
    <w:rsid w:val="00C324BF"/>
    <w:rsid w:val="00C325FA"/>
    <w:rsid w:val="00C343C6"/>
    <w:rsid w:val="00C3455C"/>
    <w:rsid w:val="00C35718"/>
    <w:rsid w:val="00C359E8"/>
    <w:rsid w:val="00C3622F"/>
    <w:rsid w:val="00C36E8B"/>
    <w:rsid w:val="00C372FE"/>
    <w:rsid w:val="00C37567"/>
    <w:rsid w:val="00C37BAD"/>
    <w:rsid w:val="00C40150"/>
    <w:rsid w:val="00C409CC"/>
    <w:rsid w:val="00C40AE1"/>
    <w:rsid w:val="00C40C6C"/>
    <w:rsid w:val="00C41588"/>
    <w:rsid w:val="00C41861"/>
    <w:rsid w:val="00C4293E"/>
    <w:rsid w:val="00C42B2C"/>
    <w:rsid w:val="00C44AC3"/>
    <w:rsid w:val="00C45208"/>
    <w:rsid w:val="00C46899"/>
    <w:rsid w:val="00C46C7F"/>
    <w:rsid w:val="00C46DB3"/>
    <w:rsid w:val="00C47521"/>
    <w:rsid w:val="00C50B24"/>
    <w:rsid w:val="00C5110F"/>
    <w:rsid w:val="00C51110"/>
    <w:rsid w:val="00C51482"/>
    <w:rsid w:val="00C517A5"/>
    <w:rsid w:val="00C51EC0"/>
    <w:rsid w:val="00C51FF3"/>
    <w:rsid w:val="00C522E3"/>
    <w:rsid w:val="00C52510"/>
    <w:rsid w:val="00C52760"/>
    <w:rsid w:val="00C52773"/>
    <w:rsid w:val="00C530F1"/>
    <w:rsid w:val="00C53277"/>
    <w:rsid w:val="00C538FB"/>
    <w:rsid w:val="00C539F8"/>
    <w:rsid w:val="00C54010"/>
    <w:rsid w:val="00C543B1"/>
    <w:rsid w:val="00C54A15"/>
    <w:rsid w:val="00C554FC"/>
    <w:rsid w:val="00C5596B"/>
    <w:rsid w:val="00C56150"/>
    <w:rsid w:val="00C5691A"/>
    <w:rsid w:val="00C56A7A"/>
    <w:rsid w:val="00C57052"/>
    <w:rsid w:val="00C57205"/>
    <w:rsid w:val="00C5768B"/>
    <w:rsid w:val="00C57945"/>
    <w:rsid w:val="00C57DA2"/>
    <w:rsid w:val="00C601BF"/>
    <w:rsid w:val="00C615D1"/>
    <w:rsid w:val="00C61686"/>
    <w:rsid w:val="00C621F9"/>
    <w:rsid w:val="00C628E1"/>
    <w:rsid w:val="00C6354D"/>
    <w:rsid w:val="00C63A37"/>
    <w:rsid w:val="00C63EFC"/>
    <w:rsid w:val="00C641FA"/>
    <w:rsid w:val="00C64DBE"/>
    <w:rsid w:val="00C64F26"/>
    <w:rsid w:val="00C663C9"/>
    <w:rsid w:val="00C666BA"/>
    <w:rsid w:val="00C66867"/>
    <w:rsid w:val="00C706F3"/>
    <w:rsid w:val="00C71BAF"/>
    <w:rsid w:val="00C71C05"/>
    <w:rsid w:val="00C72A81"/>
    <w:rsid w:val="00C7302B"/>
    <w:rsid w:val="00C736A3"/>
    <w:rsid w:val="00C74166"/>
    <w:rsid w:val="00C742E1"/>
    <w:rsid w:val="00C74735"/>
    <w:rsid w:val="00C74A02"/>
    <w:rsid w:val="00C74B22"/>
    <w:rsid w:val="00C74D66"/>
    <w:rsid w:val="00C7508F"/>
    <w:rsid w:val="00C750B4"/>
    <w:rsid w:val="00C753E5"/>
    <w:rsid w:val="00C7553B"/>
    <w:rsid w:val="00C75A2D"/>
    <w:rsid w:val="00C75B23"/>
    <w:rsid w:val="00C75DF5"/>
    <w:rsid w:val="00C7680C"/>
    <w:rsid w:val="00C76AEC"/>
    <w:rsid w:val="00C76EEA"/>
    <w:rsid w:val="00C77807"/>
    <w:rsid w:val="00C77CC7"/>
    <w:rsid w:val="00C811E7"/>
    <w:rsid w:val="00C81313"/>
    <w:rsid w:val="00C816B1"/>
    <w:rsid w:val="00C81E9D"/>
    <w:rsid w:val="00C823E1"/>
    <w:rsid w:val="00C8272A"/>
    <w:rsid w:val="00C82C8F"/>
    <w:rsid w:val="00C83212"/>
    <w:rsid w:val="00C83772"/>
    <w:rsid w:val="00C83B76"/>
    <w:rsid w:val="00C83DD6"/>
    <w:rsid w:val="00C842E5"/>
    <w:rsid w:val="00C844CC"/>
    <w:rsid w:val="00C84EB9"/>
    <w:rsid w:val="00C85A41"/>
    <w:rsid w:val="00C85E87"/>
    <w:rsid w:val="00C86623"/>
    <w:rsid w:val="00C86A01"/>
    <w:rsid w:val="00C86A3C"/>
    <w:rsid w:val="00C86C8C"/>
    <w:rsid w:val="00C90253"/>
    <w:rsid w:val="00C903E2"/>
    <w:rsid w:val="00C9166D"/>
    <w:rsid w:val="00C91C0B"/>
    <w:rsid w:val="00C92E3C"/>
    <w:rsid w:val="00C93E28"/>
    <w:rsid w:val="00C95059"/>
    <w:rsid w:val="00C952C2"/>
    <w:rsid w:val="00C96273"/>
    <w:rsid w:val="00C96F83"/>
    <w:rsid w:val="00CA1074"/>
    <w:rsid w:val="00CA1331"/>
    <w:rsid w:val="00CA13DB"/>
    <w:rsid w:val="00CA1564"/>
    <w:rsid w:val="00CA1C7B"/>
    <w:rsid w:val="00CA2060"/>
    <w:rsid w:val="00CA2240"/>
    <w:rsid w:val="00CA2D42"/>
    <w:rsid w:val="00CA3328"/>
    <w:rsid w:val="00CA3805"/>
    <w:rsid w:val="00CA397B"/>
    <w:rsid w:val="00CA3ACF"/>
    <w:rsid w:val="00CA3AED"/>
    <w:rsid w:val="00CA449E"/>
    <w:rsid w:val="00CA44BF"/>
    <w:rsid w:val="00CA455D"/>
    <w:rsid w:val="00CA4903"/>
    <w:rsid w:val="00CA49E7"/>
    <w:rsid w:val="00CA511C"/>
    <w:rsid w:val="00CA5158"/>
    <w:rsid w:val="00CA59CE"/>
    <w:rsid w:val="00CA6034"/>
    <w:rsid w:val="00CA611A"/>
    <w:rsid w:val="00CA6233"/>
    <w:rsid w:val="00CA63B3"/>
    <w:rsid w:val="00CA650F"/>
    <w:rsid w:val="00CA6BDE"/>
    <w:rsid w:val="00CA7C96"/>
    <w:rsid w:val="00CA7FC5"/>
    <w:rsid w:val="00CB06ED"/>
    <w:rsid w:val="00CB1078"/>
    <w:rsid w:val="00CB1386"/>
    <w:rsid w:val="00CB1DA5"/>
    <w:rsid w:val="00CB1DF6"/>
    <w:rsid w:val="00CB1EE9"/>
    <w:rsid w:val="00CB2021"/>
    <w:rsid w:val="00CB2429"/>
    <w:rsid w:val="00CB24F4"/>
    <w:rsid w:val="00CB25A4"/>
    <w:rsid w:val="00CB2874"/>
    <w:rsid w:val="00CB2BDD"/>
    <w:rsid w:val="00CB2EBB"/>
    <w:rsid w:val="00CB3478"/>
    <w:rsid w:val="00CB38CE"/>
    <w:rsid w:val="00CB39BF"/>
    <w:rsid w:val="00CB3A15"/>
    <w:rsid w:val="00CB3CB6"/>
    <w:rsid w:val="00CB3CC0"/>
    <w:rsid w:val="00CB4AD3"/>
    <w:rsid w:val="00CB4F57"/>
    <w:rsid w:val="00CB5F3F"/>
    <w:rsid w:val="00CB6A5B"/>
    <w:rsid w:val="00CB6EFA"/>
    <w:rsid w:val="00CB717B"/>
    <w:rsid w:val="00CB722B"/>
    <w:rsid w:val="00CB7B4E"/>
    <w:rsid w:val="00CB7E2C"/>
    <w:rsid w:val="00CC0025"/>
    <w:rsid w:val="00CC01C7"/>
    <w:rsid w:val="00CC0EEF"/>
    <w:rsid w:val="00CC11DE"/>
    <w:rsid w:val="00CC1956"/>
    <w:rsid w:val="00CC1B3E"/>
    <w:rsid w:val="00CC1F67"/>
    <w:rsid w:val="00CC2D4D"/>
    <w:rsid w:val="00CC2F45"/>
    <w:rsid w:val="00CC30B6"/>
    <w:rsid w:val="00CC47C8"/>
    <w:rsid w:val="00CC4912"/>
    <w:rsid w:val="00CC4A2F"/>
    <w:rsid w:val="00CC4A9E"/>
    <w:rsid w:val="00CC52D4"/>
    <w:rsid w:val="00CC5377"/>
    <w:rsid w:val="00CC5952"/>
    <w:rsid w:val="00CC62EB"/>
    <w:rsid w:val="00CC6A5C"/>
    <w:rsid w:val="00CC6D9D"/>
    <w:rsid w:val="00CC6DB3"/>
    <w:rsid w:val="00CC7F83"/>
    <w:rsid w:val="00CD0C8C"/>
    <w:rsid w:val="00CD101B"/>
    <w:rsid w:val="00CD18BD"/>
    <w:rsid w:val="00CD19AC"/>
    <w:rsid w:val="00CD1EE9"/>
    <w:rsid w:val="00CD2BF9"/>
    <w:rsid w:val="00CD2C4A"/>
    <w:rsid w:val="00CD3358"/>
    <w:rsid w:val="00CD348B"/>
    <w:rsid w:val="00CD34F1"/>
    <w:rsid w:val="00CD38CE"/>
    <w:rsid w:val="00CD4BBD"/>
    <w:rsid w:val="00CD5B0C"/>
    <w:rsid w:val="00CD5E73"/>
    <w:rsid w:val="00CD5EF9"/>
    <w:rsid w:val="00CD62CA"/>
    <w:rsid w:val="00CD634B"/>
    <w:rsid w:val="00CD6DAD"/>
    <w:rsid w:val="00CD770F"/>
    <w:rsid w:val="00CD7A72"/>
    <w:rsid w:val="00CD7C86"/>
    <w:rsid w:val="00CD7D96"/>
    <w:rsid w:val="00CE0631"/>
    <w:rsid w:val="00CE0794"/>
    <w:rsid w:val="00CE141D"/>
    <w:rsid w:val="00CE2639"/>
    <w:rsid w:val="00CE2BBE"/>
    <w:rsid w:val="00CE35AE"/>
    <w:rsid w:val="00CE360D"/>
    <w:rsid w:val="00CE3AFE"/>
    <w:rsid w:val="00CE3BF8"/>
    <w:rsid w:val="00CE481A"/>
    <w:rsid w:val="00CE4F0E"/>
    <w:rsid w:val="00CE4F42"/>
    <w:rsid w:val="00CE528F"/>
    <w:rsid w:val="00CE52E4"/>
    <w:rsid w:val="00CE5704"/>
    <w:rsid w:val="00CE5B6B"/>
    <w:rsid w:val="00CE671C"/>
    <w:rsid w:val="00CE678E"/>
    <w:rsid w:val="00CE6A09"/>
    <w:rsid w:val="00CE6B0C"/>
    <w:rsid w:val="00CE77B9"/>
    <w:rsid w:val="00CF04CD"/>
    <w:rsid w:val="00CF0DB1"/>
    <w:rsid w:val="00CF16E1"/>
    <w:rsid w:val="00CF1AE1"/>
    <w:rsid w:val="00CF2C5B"/>
    <w:rsid w:val="00CF30DB"/>
    <w:rsid w:val="00CF35AC"/>
    <w:rsid w:val="00CF378A"/>
    <w:rsid w:val="00CF39F5"/>
    <w:rsid w:val="00CF39F6"/>
    <w:rsid w:val="00CF4123"/>
    <w:rsid w:val="00CF48AC"/>
    <w:rsid w:val="00CF49D1"/>
    <w:rsid w:val="00CF5011"/>
    <w:rsid w:val="00CF5634"/>
    <w:rsid w:val="00CF58E7"/>
    <w:rsid w:val="00CF6524"/>
    <w:rsid w:val="00CF7277"/>
    <w:rsid w:val="00D001F8"/>
    <w:rsid w:val="00D00BED"/>
    <w:rsid w:val="00D00C0C"/>
    <w:rsid w:val="00D00E49"/>
    <w:rsid w:val="00D00F8A"/>
    <w:rsid w:val="00D01D27"/>
    <w:rsid w:val="00D020C9"/>
    <w:rsid w:val="00D0237E"/>
    <w:rsid w:val="00D02443"/>
    <w:rsid w:val="00D025DC"/>
    <w:rsid w:val="00D02601"/>
    <w:rsid w:val="00D03526"/>
    <w:rsid w:val="00D037BF"/>
    <w:rsid w:val="00D03B08"/>
    <w:rsid w:val="00D03CB5"/>
    <w:rsid w:val="00D04320"/>
    <w:rsid w:val="00D045E2"/>
    <w:rsid w:val="00D046BD"/>
    <w:rsid w:val="00D04933"/>
    <w:rsid w:val="00D04955"/>
    <w:rsid w:val="00D05008"/>
    <w:rsid w:val="00D050DF"/>
    <w:rsid w:val="00D051CA"/>
    <w:rsid w:val="00D05206"/>
    <w:rsid w:val="00D05955"/>
    <w:rsid w:val="00D0599C"/>
    <w:rsid w:val="00D05EBC"/>
    <w:rsid w:val="00D06FDF"/>
    <w:rsid w:val="00D07026"/>
    <w:rsid w:val="00D07E16"/>
    <w:rsid w:val="00D10BDB"/>
    <w:rsid w:val="00D10CF4"/>
    <w:rsid w:val="00D10D3C"/>
    <w:rsid w:val="00D11038"/>
    <w:rsid w:val="00D11048"/>
    <w:rsid w:val="00D11269"/>
    <w:rsid w:val="00D115B4"/>
    <w:rsid w:val="00D11841"/>
    <w:rsid w:val="00D11AB3"/>
    <w:rsid w:val="00D11C9E"/>
    <w:rsid w:val="00D11D43"/>
    <w:rsid w:val="00D1223A"/>
    <w:rsid w:val="00D1242F"/>
    <w:rsid w:val="00D1247D"/>
    <w:rsid w:val="00D12486"/>
    <w:rsid w:val="00D12C1D"/>
    <w:rsid w:val="00D12CAF"/>
    <w:rsid w:val="00D136EB"/>
    <w:rsid w:val="00D13968"/>
    <w:rsid w:val="00D1408E"/>
    <w:rsid w:val="00D1440F"/>
    <w:rsid w:val="00D15B51"/>
    <w:rsid w:val="00D15FCD"/>
    <w:rsid w:val="00D17134"/>
    <w:rsid w:val="00D1738B"/>
    <w:rsid w:val="00D173B0"/>
    <w:rsid w:val="00D17A64"/>
    <w:rsid w:val="00D20082"/>
    <w:rsid w:val="00D20477"/>
    <w:rsid w:val="00D204C4"/>
    <w:rsid w:val="00D2073F"/>
    <w:rsid w:val="00D20935"/>
    <w:rsid w:val="00D21B7A"/>
    <w:rsid w:val="00D21D17"/>
    <w:rsid w:val="00D2206F"/>
    <w:rsid w:val="00D22CF9"/>
    <w:rsid w:val="00D22FD7"/>
    <w:rsid w:val="00D23182"/>
    <w:rsid w:val="00D23B68"/>
    <w:rsid w:val="00D23C2C"/>
    <w:rsid w:val="00D24632"/>
    <w:rsid w:val="00D249E3"/>
    <w:rsid w:val="00D254AA"/>
    <w:rsid w:val="00D25F3F"/>
    <w:rsid w:val="00D2693D"/>
    <w:rsid w:val="00D27027"/>
    <w:rsid w:val="00D27617"/>
    <w:rsid w:val="00D27E2C"/>
    <w:rsid w:val="00D27E5C"/>
    <w:rsid w:val="00D314A9"/>
    <w:rsid w:val="00D3189C"/>
    <w:rsid w:val="00D3199F"/>
    <w:rsid w:val="00D3206F"/>
    <w:rsid w:val="00D3216D"/>
    <w:rsid w:val="00D325F3"/>
    <w:rsid w:val="00D32DDB"/>
    <w:rsid w:val="00D33AEE"/>
    <w:rsid w:val="00D33AF3"/>
    <w:rsid w:val="00D33C1F"/>
    <w:rsid w:val="00D33D57"/>
    <w:rsid w:val="00D3464B"/>
    <w:rsid w:val="00D34E72"/>
    <w:rsid w:val="00D35D46"/>
    <w:rsid w:val="00D366DF"/>
    <w:rsid w:val="00D370B0"/>
    <w:rsid w:val="00D370FD"/>
    <w:rsid w:val="00D375D3"/>
    <w:rsid w:val="00D377D1"/>
    <w:rsid w:val="00D37DE0"/>
    <w:rsid w:val="00D37E4D"/>
    <w:rsid w:val="00D40204"/>
    <w:rsid w:val="00D40654"/>
    <w:rsid w:val="00D4083B"/>
    <w:rsid w:val="00D41153"/>
    <w:rsid w:val="00D41ECA"/>
    <w:rsid w:val="00D42362"/>
    <w:rsid w:val="00D4248D"/>
    <w:rsid w:val="00D4259E"/>
    <w:rsid w:val="00D42CBC"/>
    <w:rsid w:val="00D4452C"/>
    <w:rsid w:val="00D44E32"/>
    <w:rsid w:val="00D450BF"/>
    <w:rsid w:val="00D457F2"/>
    <w:rsid w:val="00D459A1"/>
    <w:rsid w:val="00D45EE4"/>
    <w:rsid w:val="00D46288"/>
    <w:rsid w:val="00D47325"/>
    <w:rsid w:val="00D47AB8"/>
    <w:rsid w:val="00D47D84"/>
    <w:rsid w:val="00D5060F"/>
    <w:rsid w:val="00D50696"/>
    <w:rsid w:val="00D508E9"/>
    <w:rsid w:val="00D51365"/>
    <w:rsid w:val="00D51CDD"/>
    <w:rsid w:val="00D51FC5"/>
    <w:rsid w:val="00D52884"/>
    <w:rsid w:val="00D52B0D"/>
    <w:rsid w:val="00D52EA4"/>
    <w:rsid w:val="00D52FE3"/>
    <w:rsid w:val="00D53E51"/>
    <w:rsid w:val="00D53E76"/>
    <w:rsid w:val="00D53EC5"/>
    <w:rsid w:val="00D53F57"/>
    <w:rsid w:val="00D5408E"/>
    <w:rsid w:val="00D54D59"/>
    <w:rsid w:val="00D55076"/>
    <w:rsid w:val="00D552A9"/>
    <w:rsid w:val="00D55E09"/>
    <w:rsid w:val="00D56BB6"/>
    <w:rsid w:val="00D5714A"/>
    <w:rsid w:val="00D57C9D"/>
    <w:rsid w:val="00D57CC6"/>
    <w:rsid w:val="00D57F2B"/>
    <w:rsid w:val="00D600F8"/>
    <w:rsid w:val="00D6022F"/>
    <w:rsid w:val="00D60FAB"/>
    <w:rsid w:val="00D610AC"/>
    <w:rsid w:val="00D613C8"/>
    <w:rsid w:val="00D620B0"/>
    <w:rsid w:val="00D62417"/>
    <w:rsid w:val="00D62D5A"/>
    <w:rsid w:val="00D62F18"/>
    <w:rsid w:val="00D6334C"/>
    <w:rsid w:val="00D634C8"/>
    <w:rsid w:val="00D637C4"/>
    <w:rsid w:val="00D63AE1"/>
    <w:rsid w:val="00D63B96"/>
    <w:rsid w:val="00D63C19"/>
    <w:rsid w:val="00D63CE4"/>
    <w:rsid w:val="00D641C4"/>
    <w:rsid w:val="00D64219"/>
    <w:rsid w:val="00D642AB"/>
    <w:rsid w:val="00D6476A"/>
    <w:rsid w:val="00D64C60"/>
    <w:rsid w:val="00D658F5"/>
    <w:rsid w:val="00D65B58"/>
    <w:rsid w:val="00D65D3F"/>
    <w:rsid w:val="00D668BB"/>
    <w:rsid w:val="00D668EE"/>
    <w:rsid w:val="00D670F3"/>
    <w:rsid w:val="00D67952"/>
    <w:rsid w:val="00D703D5"/>
    <w:rsid w:val="00D7166A"/>
    <w:rsid w:val="00D7189A"/>
    <w:rsid w:val="00D71A86"/>
    <w:rsid w:val="00D71F18"/>
    <w:rsid w:val="00D72B95"/>
    <w:rsid w:val="00D72E5B"/>
    <w:rsid w:val="00D732F4"/>
    <w:rsid w:val="00D741E5"/>
    <w:rsid w:val="00D74417"/>
    <w:rsid w:val="00D74716"/>
    <w:rsid w:val="00D750C3"/>
    <w:rsid w:val="00D7575E"/>
    <w:rsid w:val="00D758A3"/>
    <w:rsid w:val="00D75989"/>
    <w:rsid w:val="00D7606D"/>
    <w:rsid w:val="00D761EC"/>
    <w:rsid w:val="00D7687D"/>
    <w:rsid w:val="00D76D13"/>
    <w:rsid w:val="00D772BA"/>
    <w:rsid w:val="00D775E4"/>
    <w:rsid w:val="00D77680"/>
    <w:rsid w:val="00D80138"/>
    <w:rsid w:val="00D80357"/>
    <w:rsid w:val="00D80F0D"/>
    <w:rsid w:val="00D81496"/>
    <w:rsid w:val="00D81DF6"/>
    <w:rsid w:val="00D8226D"/>
    <w:rsid w:val="00D83A9C"/>
    <w:rsid w:val="00D845CF"/>
    <w:rsid w:val="00D845E8"/>
    <w:rsid w:val="00D847C7"/>
    <w:rsid w:val="00D84C86"/>
    <w:rsid w:val="00D84D84"/>
    <w:rsid w:val="00D84F31"/>
    <w:rsid w:val="00D85918"/>
    <w:rsid w:val="00D85956"/>
    <w:rsid w:val="00D85A8E"/>
    <w:rsid w:val="00D85D04"/>
    <w:rsid w:val="00D86710"/>
    <w:rsid w:val="00D86715"/>
    <w:rsid w:val="00D86F2D"/>
    <w:rsid w:val="00D878BE"/>
    <w:rsid w:val="00D87C62"/>
    <w:rsid w:val="00D900AE"/>
    <w:rsid w:val="00D904DB"/>
    <w:rsid w:val="00D912DB"/>
    <w:rsid w:val="00D91483"/>
    <w:rsid w:val="00D919AD"/>
    <w:rsid w:val="00D91DDD"/>
    <w:rsid w:val="00D927FE"/>
    <w:rsid w:val="00D92A53"/>
    <w:rsid w:val="00D92BCE"/>
    <w:rsid w:val="00D92D54"/>
    <w:rsid w:val="00D93B1D"/>
    <w:rsid w:val="00D93F44"/>
    <w:rsid w:val="00D950A0"/>
    <w:rsid w:val="00D9545F"/>
    <w:rsid w:val="00D95FC4"/>
    <w:rsid w:val="00D96292"/>
    <w:rsid w:val="00D96A0E"/>
    <w:rsid w:val="00D96F25"/>
    <w:rsid w:val="00D97603"/>
    <w:rsid w:val="00D97DC8"/>
    <w:rsid w:val="00DA043D"/>
    <w:rsid w:val="00DA1161"/>
    <w:rsid w:val="00DA134D"/>
    <w:rsid w:val="00DA14A7"/>
    <w:rsid w:val="00DA1721"/>
    <w:rsid w:val="00DA315B"/>
    <w:rsid w:val="00DA3496"/>
    <w:rsid w:val="00DA3504"/>
    <w:rsid w:val="00DA45D9"/>
    <w:rsid w:val="00DA4DE4"/>
    <w:rsid w:val="00DA4E6B"/>
    <w:rsid w:val="00DA51B5"/>
    <w:rsid w:val="00DA5348"/>
    <w:rsid w:val="00DA62FE"/>
    <w:rsid w:val="00DA64A3"/>
    <w:rsid w:val="00DA65A5"/>
    <w:rsid w:val="00DA6B06"/>
    <w:rsid w:val="00DA6B41"/>
    <w:rsid w:val="00DA6E9C"/>
    <w:rsid w:val="00DA7949"/>
    <w:rsid w:val="00DA7C91"/>
    <w:rsid w:val="00DA7D1C"/>
    <w:rsid w:val="00DB01BC"/>
    <w:rsid w:val="00DB0291"/>
    <w:rsid w:val="00DB038A"/>
    <w:rsid w:val="00DB05AE"/>
    <w:rsid w:val="00DB072A"/>
    <w:rsid w:val="00DB09E7"/>
    <w:rsid w:val="00DB0A95"/>
    <w:rsid w:val="00DB17D7"/>
    <w:rsid w:val="00DB1D6A"/>
    <w:rsid w:val="00DB24F6"/>
    <w:rsid w:val="00DB270D"/>
    <w:rsid w:val="00DB28E8"/>
    <w:rsid w:val="00DB2946"/>
    <w:rsid w:val="00DB4ABE"/>
    <w:rsid w:val="00DB5E66"/>
    <w:rsid w:val="00DB63EA"/>
    <w:rsid w:val="00DB72A5"/>
    <w:rsid w:val="00DB7780"/>
    <w:rsid w:val="00DB7D0E"/>
    <w:rsid w:val="00DC075D"/>
    <w:rsid w:val="00DC0B2E"/>
    <w:rsid w:val="00DC0C7B"/>
    <w:rsid w:val="00DC17FA"/>
    <w:rsid w:val="00DC297B"/>
    <w:rsid w:val="00DC3949"/>
    <w:rsid w:val="00DC3F1D"/>
    <w:rsid w:val="00DC43F2"/>
    <w:rsid w:val="00DC548F"/>
    <w:rsid w:val="00DC54CF"/>
    <w:rsid w:val="00DC618A"/>
    <w:rsid w:val="00DC64A6"/>
    <w:rsid w:val="00DC689E"/>
    <w:rsid w:val="00DC68A5"/>
    <w:rsid w:val="00DC6DD8"/>
    <w:rsid w:val="00DC74A6"/>
    <w:rsid w:val="00DC7B37"/>
    <w:rsid w:val="00DC7DE2"/>
    <w:rsid w:val="00DD02EC"/>
    <w:rsid w:val="00DD0AC1"/>
    <w:rsid w:val="00DD1409"/>
    <w:rsid w:val="00DD1A77"/>
    <w:rsid w:val="00DD1D65"/>
    <w:rsid w:val="00DD2499"/>
    <w:rsid w:val="00DD2BE8"/>
    <w:rsid w:val="00DD2C2B"/>
    <w:rsid w:val="00DD2DDE"/>
    <w:rsid w:val="00DD2E7C"/>
    <w:rsid w:val="00DD3871"/>
    <w:rsid w:val="00DD39A6"/>
    <w:rsid w:val="00DD3F37"/>
    <w:rsid w:val="00DD40D2"/>
    <w:rsid w:val="00DD419B"/>
    <w:rsid w:val="00DD42B2"/>
    <w:rsid w:val="00DD4875"/>
    <w:rsid w:val="00DD4ACF"/>
    <w:rsid w:val="00DD4B93"/>
    <w:rsid w:val="00DD581E"/>
    <w:rsid w:val="00DD650D"/>
    <w:rsid w:val="00DD6655"/>
    <w:rsid w:val="00DD6891"/>
    <w:rsid w:val="00DD6B5D"/>
    <w:rsid w:val="00DD6CB7"/>
    <w:rsid w:val="00DD6E81"/>
    <w:rsid w:val="00DD6FF0"/>
    <w:rsid w:val="00DD7B34"/>
    <w:rsid w:val="00DE0887"/>
    <w:rsid w:val="00DE1318"/>
    <w:rsid w:val="00DE1FF4"/>
    <w:rsid w:val="00DE22DF"/>
    <w:rsid w:val="00DE2600"/>
    <w:rsid w:val="00DE2A8F"/>
    <w:rsid w:val="00DE2CEC"/>
    <w:rsid w:val="00DE2E99"/>
    <w:rsid w:val="00DE4140"/>
    <w:rsid w:val="00DE42A0"/>
    <w:rsid w:val="00DE4346"/>
    <w:rsid w:val="00DE448D"/>
    <w:rsid w:val="00DE47D6"/>
    <w:rsid w:val="00DE57DB"/>
    <w:rsid w:val="00DE5A75"/>
    <w:rsid w:val="00DE64BD"/>
    <w:rsid w:val="00DE66C6"/>
    <w:rsid w:val="00DE6830"/>
    <w:rsid w:val="00DE6917"/>
    <w:rsid w:val="00DE69F7"/>
    <w:rsid w:val="00DE6B0A"/>
    <w:rsid w:val="00DE6E50"/>
    <w:rsid w:val="00DE6E92"/>
    <w:rsid w:val="00DE6EBD"/>
    <w:rsid w:val="00DE6EE4"/>
    <w:rsid w:val="00DE761C"/>
    <w:rsid w:val="00DE7631"/>
    <w:rsid w:val="00DF0D87"/>
    <w:rsid w:val="00DF181A"/>
    <w:rsid w:val="00DF26B8"/>
    <w:rsid w:val="00DF28DB"/>
    <w:rsid w:val="00DF2A9A"/>
    <w:rsid w:val="00DF2E9B"/>
    <w:rsid w:val="00DF33AB"/>
    <w:rsid w:val="00DF34CB"/>
    <w:rsid w:val="00DF37CC"/>
    <w:rsid w:val="00DF3D04"/>
    <w:rsid w:val="00DF4026"/>
    <w:rsid w:val="00DF4725"/>
    <w:rsid w:val="00DF49EF"/>
    <w:rsid w:val="00DF4C53"/>
    <w:rsid w:val="00DF5264"/>
    <w:rsid w:val="00DF5D0C"/>
    <w:rsid w:val="00DF647C"/>
    <w:rsid w:val="00DF69EB"/>
    <w:rsid w:val="00DF6D76"/>
    <w:rsid w:val="00DF6FF0"/>
    <w:rsid w:val="00DF7197"/>
    <w:rsid w:val="00DF7216"/>
    <w:rsid w:val="00DF72DE"/>
    <w:rsid w:val="00DF782B"/>
    <w:rsid w:val="00DF7FD6"/>
    <w:rsid w:val="00E006FB"/>
    <w:rsid w:val="00E00FCA"/>
    <w:rsid w:val="00E01080"/>
    <w:rsid w:val="00E0123E"/>
    <w:rsid w:val="00E017E1"/>
    <w:rsid w:val="00E01FBA"/>
    <w:rsid w:val="00E020D6"/>
    <w:rsid w:val="00E0210D"/>
    <w:rsid w:val="00E0224A"/>
    <w:rsid w:val="00E02B15"/>
    <w:rsid w:val="00E0333E"/>
    <w:rsid w:val="00E0340D"/>
    <w:rsid w:val="00E036F6"/>
    <w:rsid w:val="00E03AE0"/>
    <w:rsid w:val="00E048E3"/>
    <w:rsid w:val="00E05E09"/>
    <w:rsid w:val="00E061FB"/>
    <w:rsid w:val="00E06265"/>
    <w:rsid w:val="00E06974"/>
    <w:rsid w:val="00E06D7A"/>
    <w:rsid w:val="00E1006D"/>
    <w:rsid w:val="00E1009E"/>
    <w:rsid w:val="00E100BD"/>
    <w:rsid w:val="00E10F9C"/>
    <w:rsid w:val="00E113CC"/>
    <w:rsid w:val="00E1142A"/>
    <w:rsid w:val="00E11C57"/>
    <w:rsid w:val="00E11EBF"/>
    <w:rsid w:val="00E11EE3"/>
    <w:rsid w:val="00E11FCD"/>
    <w:rsid w:val="00E1246E"/>
    <w:rsid w:val="00E12B3E"/>
    <w:rsid w:val="00E12E03"/>
    <w:rsid w:val="00E14029"/>
    <w:rsid w:val="00E14626"/>
    <w:rsid w:val="00E147CE"/>
    <w:rsid w:val="00E14A73"/>
    <w:rsid w:val="00E14CC8"/>
    <w:rsid w:val="00E1506B"/>
    <w:rsid w:val="00E152DB"/>
    <w:rsid w:val="00E1690E"/>
    <w:rsid w:val="00E16DFF"/>
    <w:rsid w:val="00E17028"/>
    <w:rsid w:val="00E177ED"/>
    <w:rsid w:val="00E17971"/>
    <w:rsid w:val="00E17D90"/>
    <w:rsid w:val="00E20714"/>
    <w:rsid w:val="00E20DE3"/>
    <w:rsid w:val="00E20DF7"/>
    <w:rsid w:val="00E229DC"/>
    <w:rsid w:val="00E230CE"/>
    <w:rsid w:val="00E2336E"/>
    <w:rsid w:val="00E2345F"/>
    <w:rsid w:val="00E23B34"/>
    <w:rsid w:val="00E23C87"/>
    <w:rsid w:val="00E24AA1"/>
    <w:rsid w:val="00E24BA1"/>
    <w:rsid w:val="00E24CDB"/>
    <w:rsid w:val="00E252C3"/>
    <w:rsid w:val="00E2539A"/>
    <w:rsid w:val="00E259AB"/>
    <w:rsid w:val="00E25BD3"/>
    <w:rsid w:val="00E25C88"/>
    <w:rsid w:val="00E25C96"/>
    <w:rsid w:val="00E26A06"/>
    <w:rsid w:val="00E26B56"/>
    <w:rsid w:val="00E26EE0"/>
    <w:rsid w:val="00E27D54"/>
    <w:rsid w:val="00E30743"/>
    <w:rsid w:val="00E30C03"/>
    <w:rsid w:val="00E315E2"/>
    <w:rsid w:val="00E31916"/>
    <w:rsid w:val="00E31AC6"/>
    <w:rsid w:val="00E31DAD"/>
    <w:rsid w:val="00E326A8"/>
    <w:rsid w:val="00E32FB8"/>
    <w:rsid w:val="00E34052"/>
    <w:rsid w:val="00E34191"/>
    <w:rsid w:val="00E34A5A"/>
    <w:rsid w:val="00E34D5F"/>
    <w:rsid w:val="00E34DAC"/>
    <w:rsid w:val="00E3572D"/>
    <w:rsid w:val="00E36A85"/>
    <w:rsid w:val="00E36C39"/>
    <w:rsid w:val="00E36F60"/>
    <w:rsid w:val="00E37650"/>
    <w:rsid w:val="00E376E3"/>
    <w:rsid w:val="00E377FA"/>
    <w:rsid w:val="00E4035E"/>
    <w:rsid w:val="00E406AA"/>
    <w:rsid w:val="00E408D1"/>
    <w:rsid w:val="00E40C80"/>
    <w:rsid w:val="00E41207"/>
    <w:rsid w:val="00E41275"/>
    <w:rsid w:val="00E41CC9"/>
    <w:rsid w:val="00E41F03"/>
    <w:rsid w:val="00E41F31"/>
    <w:rsid w:val="00E41F98"/>
    <w:rsid w:val="00E43529"/>
    <w:rsid w:val="00E43891"/>
    <w:rsid w:val="00E43C88"/>
    <w:rsid w:val="00E44E8B"/>
    <w:rsid w:val="00E4573C"/>
    <w:rsid w:val="00E4592E"/>
    <w:rsid w:val="00E459BB"/>
    <w:rsid w:val="00E45F03"/>
    <w:rsid w:val="00E46876"/>
    <w:rsid w:val="00E46AEA"/>
    <w:rsid w:val="00E50554"/>
    <w:rsid w:val="00E50A61"/>
    <w:rsid w:val="00E50C9D"/>
    <w:rsid w:val="00E50CEA"/>
    <w:rsid w:val="00E51040"/>
    <w:rsid w:val="00E5131F"/>
    <w:rsid w:val="00E519FE"/>
    <w:rsid w:val="00E51A8A"/>
    <w:rsid w:val="00E5220C"/>
    <w:rsid w:val="00E52375"/>
    <w:rsid w:val="00E534B9"/>
    <w:rsid w:val="00E542D9"/>
    <w:rsid w:val="00E55045"/>
    <w:rsid w:val="00E555D3"/>
    <w:rsid w:val="00E55CCB"/>
    <w:rsid w:val="00E565C0"/>
    <w:rsid w:val="00E56D33"/>
    <w:rsid w:val="00E56D4F"/>
    <w:rsid w:val="00E56F65"/>
    <w:rsid w:val="00E56F6A"/>
    <w:rsid w:val="00E572E2"/>
    <w:rsid w:val="00E57971"/>
    <w:rsid w:val="00E5798F"/>
    <w:rsid w:val="00E579A0"/>
    <w:rsid w:val="00E57A8A"/>
    <w:rsid w:val="00E60441"/>
    <w:rsid w:val="00E6088F"/>
    <w:rsid w:val="00E60AF6"/>
    <w:rsid w:val="00E61050"/>
    <w:rsid w:val="00E61594"/>
    <w:rsid w:val="00E6182A"/>
    <w:rsid w:val="00E6189D"/>
    <w:rsid w:val="00E61CB4"/>
    <w:rsid w:val="00E6279F"/>
    <w:rsid w:val="00E63408"/>
    <w:rsid w:val="00E63DDE"/>
    <w:rsid w:val="00E64A39"/>
    <w:rsid w:val="00E64F61"/>
    <w:rsid w:val="00E65076"/>
    <w:rsid w:val="00E654D8"/>
    <w:rsid w:val="00E65B62"/>
    <w:rsid w:val="00E670E7"/>
    <w:rsid w:val="00E67894"/>
    <w:rsid w:val="00E70206"/>
    <w:rsid w:val="00E70543"/>
    <w:rsid w:val="00E7132D"/>
    <w:rsid w:val="00E72142"/>
    <w:rsid w:val="00E72862"/>
    <w:rsid w:val="00E72891"/>
    <w:rsid w:val="00E72B07"/>
    <w:rsid w:val="00E72E3D"/>
    <w:rsid w:val="00E73051"/>
    <w:rsid w:val="00E737CB"/>
    <w:rsid w:val="00E73B26"/>
    <w:rsid w:val="00E73B9C"/>
    <w:rsid w:val="00E73D9F"/>
    <w:rsid w:val="00E7468C"/>
    <w:rsid w:val="00E74E45"/>
    <w:rsid w:val="00E751A3"/>
    <w:rsid w:val="00E75E56"/>
    <w:rsid w:val="00E77169"/>
    <w:rsid w:val="00E7751B"/>
    <w:rsid w:val="00E77CBD"/>
    <w:rsid w:val="00E77DF6"/>
    <w:rsid w:val="00E77E08"/>
    <w:rsid w:val="00E802B9"/>
    <w:rsid w:val="00E80386"/>
    <w:rsid w:val="00E803A3"/>
    <w:rsid w:val="00E803F3"/>
    <w:rsid w:val="00E80543"/>
    <w:rsid w:val="00E817EF"/>
    <w:rsid w:val="00E81F2E"/>
    <w:rsid w:val="00E8277B"/>
    <w:rsid w:val="00E82BEE"/>
    <w:rsid w:val="00E82E6B"/>
    <w:rsid w:val="00E841BD"/>
    <w:rsid w:val="00E84B3D"/>
    <w:rsid w:val="00E857A5"/>
    <w:rsid w:val="00E85D31"/>
    <w:rsid w:val="00E8601C"/>
    <w:rsid w:val="00E86F35"/>
    <w:rsid w:val="00E871AD"/>
    <w:rsid w:val="00E87A85"/>
    <w:rsid w:val="00E90883"/>
    <w:rsid w:val="00E910FA"/>
    <w:rsid w:val="00E92751"/>
    <w:rsid w:val="00E92935"/>
    <w:rsid w:val="00E92C54"/>
    <w:rsid w:val="00E92E7C"/>
    <w:rsid w:val="00E93DEB"/>
    <w:rsid w:val="00E949CE"/>
    <w:rsid w:val="00E94AAB"/>
    <w:rsid w:val="00E94BEC"/>
    <w:rsid w:val="00E94C14"/>
    <w:rsid w:val="00E94C25"/>
    <w:rsid w:val="00E95EB2"/>
    <w:rsid w:val="00E95F4F"/>
    <w:rsid w:val="00E96B8C"/>
    <w:rsid w:val="00E96E67"/>
    <w:rsid w:val="00E97C6E"/>
    <w:rsid w:val="00EA002B"/>
    <w:rsid w:val="00EA07FD"/>
    <w:rsid w:val="00EA1483"/>
    <w:rsid w:val="00EA14C5"/>
    <w:rsid w:val="00EA201C"/>
    <w:rsid w:val="00EA2144"/>
    <w:rsid w:val="00EA227E"/>
    <w:rsid w:val="00EA22A1"/>
    <w:rsid w:val="00EA2730"/>
    <w:rsid w:val="00EA2C38"/>
    <w:rsid w:val="00EA2E21"/>
    <w:rsid w:val="00EA2F4C"/>
    <w:rsid w:val="00EA339B"/>
    <w:rsid w:val="00EA3469"/>
    <w:rsid w:val="00EA3BA4"/>
    <w:rsid w:val="00EA411A"/>
    <w:rsid w:val="00EA431D"/>
    <w:rsid w:val="00EA4A0F"/>
    <w:rsid w:val="00EA554C"/>
    <w:rsid w:val="00EA56C4"/>
    <w:rsid w:val="00EA5734"/>
    <w:rsid w:val="00EA5E84"/>
    <w:rsid w:val="00EA5FFC"/>
    <w:rsid w:val="00EA6037"/>
    <w:rsid w:val="00EA682B"/>
    <w:rsid w:val="00EA6925"/>
    <w:rsid w:val="00EA6CD9"/>
    <w:rsid w:val="00EA7043"/>
    <w:rsid w:val="00EA7CAC"/>
    <w:rsid w:val="00EA7CC8"/>
    <w:rsid w:val="00EB0831"/>
    <w:rsid w:val="00EB15AA"/>
    <w:rsid w:val="00EB15BE"/>
    <w:rsid w:val="00EB19FF"/>
    <w:rsid w:val="00EB289D"/>
    <w:rsid w:val="00EB2C01"/>
    <w:rsid w:val="00EB349B"/>
    <w:rsid w:val="00EB3964"/>
    <w:rsid w:val="00EB3FD5"/>
    <w:rsid w:val="00EB4578"/>
    <w:rsid w:val="00EB63E2"/>
    <w:rsid w:val="00EB7399"/>
    <w:rsid w:val="00EC0237"/>
    <w:rsid w:val="00EC21AD"/>
    <w:rsid w:val="00EC21F2"/>
    <w:rsid w:val="00EC25D4"/>
    <w:rsid w:val="00EC2AE2"/>
    <w:rsid w:val="00EC35B8"/>
    <w:rsid w:val="00EC3FA0"/>
    <w:rsid w:val="00EC4619"/>
    <w:rsid w:val="00EC4BE6"/>
    <w:rsid w:val="00EC50FC"/>
    <w:rsid w:val="00EC5697"/>
    <w:rsid w:val="00EC5AC8"/>
    <w:rsid w:val="00EC5FDA"/>
    <w:rsid w:val="00EC618A"/>
    <w:rsid w:val="00EC643C"/>
    <w:rsid w:val="00EC65D8"/>
    <w:rsid w:val="00EC6E0E"/>
    <w:rsid w:val="00EC703B"/>
    <w:rsid w:val="00EC73BB"/>
    <w:rsid w:val="00EC7420"/>
    <w:rsid w:val="00EC7423"/>
    <w:rsid w:val="00EC788C"/>
    <w:rsid w:val="00EC7AC6"/>
    <w:rsid w:val="00EC7E61"/>
    <w:rsid w:val="00ED0647"/>
    <w:rsid w:val="00ED067B"/>
    <w:rsid w:val="00ED0B61"/>
    <w:rsid w:val="00ED0E01"/>
    <w:rsid w:val="00ED120D"/>
    <w:rsid w:val="00ED1294"/>
    <w:rsid w:val="00ED16D5"/>
    <w:rsid w:val="00ED1CD7"/>
    <w:rsid w:val="00ED27AA"/>
    <w:rsid w:val="00ED2AC4"/>
    <w:rsid w:val="00ED2DE8"/>
    <w:rsid w:val="00ED2FD5"/>
    <w:rsid w:val="00ED2FE6"/>
    <w:rsid w:val="00ED3148"/>
    <w:rsid w:val="00ED3DDA"/>
    <w:rsid w:val="00ED3E5C"/>
    <w:rsid w:val="00ED47C0"/>
    <w:rsid w:val="00ED4DCC"/>
    <w:rsid w:val="00ED5068"/>
    <w:rsid w:val="00ED50B7"/>
    <w:rsid w:val="00ED583E"/>
    <w:rsid w:val="00ED5AC6"/>
    <w:rsid w:val="00ED5E39"/>
    <w:rsid w:val="00ED5FD2"/>
    <w:rsid w:val="00ED610D"/>
    <w:rsid w:val="00ED63DF"/>
    <w:rsid w:val="00ED73E9"/>
    <w:rsid w:val="00ED772A"/>
    <w:rsid w:val="00ED7731"/>
    <w:rsid w:val="00ED7C5B"/>
    <w:rsid w:val="00EE1805"/>
    <w:rsid w:val="00EE1C2D"/>
    <w:rsid w:val="00EE1EBD"/>
    <w:rsid w:val="00EE212E"/>
    <w:rsid w:val="00EE2231"/>
    <w:rsid w:val="00EE264D"/>
    <w:rsid w:val="00EE2C82"/>
    <w:rsid w:val="00EE34C3"/>
    <w:rsid w:val="00EE35A8"/>
    <w:rsid w:val="00EE3749"/>
    <w:rsid w:val="00EE387E"/>
    <w:rsid w:val="00EE3C10"/>
    <w:rsid w:val="00EE4444"/>
    <w:rsid w:val="00EE4524"/>
    <w:rsid w:val="00EE4843"/>
    <w:rsid w:val="00EE4DFE"/>
    <w:rsid w:val="00EE5009"/>
    <w:rsid w:val="00EE509F"/>
    <w:rsid w:val="00EE50EA"/>
    <w:rsid w:val="00EE538C"/>
    <w:rsid w:val="00EE57C9"/>
    <w:rsid w:val="00EE57F1"/>
    <w:rsid w:val="00EE5A84"/>
    <w:rsid w:val="00EE5D37"/>
    <w:rsid w:val="00EE5FC2"/>
    <w:rsid w:val="00EE61E6"/>
    <w:rsid w:val="00EE6321"/>
    <w:rsid w:val="00EE6789"/>
    <w:rsid w:val="00EE67BE"/>
    <w:rsid w:val="00EE6A83"/>
    <w:rsid w:val="00EE6AE3"/>
    <w:rsid w:val="00EE6DCE"/>
    <w:rsid w:val="00EE7128"/>
    <w:rsid w:val="00EE781B"/>
    <w:rsid w:val="00EE7878"/>
    <w:rsid w:val="00EE7E7E"/>
    <w:rsid w:val="00EE7EC5"/>
    <w:rsid w:val="00EF0298"/>
    <w:rsid w:val="00EF0E5B"/>
    <w:rsid w:val="00EF182A"/>
    <w:rsid w:val="00EF248A"/>
    <w:rsid w:val="00EF2E93"/>
    <w:rsid w:val="00EF2F89"/>
    <w:rsid w:val="00EF350D"/>
    <w:rsid w:val="00EF385D"/>
    <w:rsid w:val="00EF397C"/>
    <w:rsid w:val="00EF3A35"/>
    <w:rsid w:val="00EF3AEC"/>
    <w:rsid w:val="00EF3C7A"/>
    <w:rsid w:val="00EF4172"/>
    <w:rsid w:val="00EF42D0"/>
    <w:rsid w:val="00EF4A9C"/>
    <w:rsid w:val="00EF5233"/>
    <w:rsid w:val="00EF53AA"/>
    <w:rsid w:val="00EF5F3D"/>
    <w:rsid w:val="00EF6CE9"/>
    <w:rsid w:val="00EF6D9E"/>
    <w:rsid w:val="00EF6DB8"/>
    <w:rsid w:val="00EF717E"/>
    <w:rsid w:val="00EF76A8"/>
    <w:rsid w:val="00EF7DD9"/>
    <w:rsid w:val="00F00529"/>
    <w:rsid w:val="00F00A60"/>
    <w:rsid w:val="00F01382"/>
    <w:rsid w:val="00F025B6"/>
    <w:rsid w:val="00F0279B"/>
    <w:rsid w:val="00F0340A"/>
    <w:rsid w:val="00F0357D"/>
    <w:rsid w:val="00F04001"/>
    <w:rsid w:val="00F04C67"/>
    <w:rsid w:val="00F04DE2"/>
    <w:rsid w:val="00F05765"/>
    <w:rsid w:val="00F057D0"/>
    <w:rsid w:val="00F059C8"/>
    <w:rsid w:val="00F06046"/>
    <w:rsid w:val="00F06129"/>
    <w:rsid w:val="00F0638B"/>
    <w:rsid w:val="00F064D0"/>
    <w:rsid w:val="00F06646"/>
    <w:rsid w:val="00F0694B"/>
    <w:rsid w:val="00F07C0C"/>
    <w:rsid w:val="00F07D4C"/>
    <w:rsid w:val="00F101DD"/>
    <w:rsid w:val="00F10EB3"/>
    <w:rsid w:val="00F112CD"/>
    <w:rsid w:val="00F112EA"/>
    <w:rsid w:val="00F11632"/>
    <w:rsid w:val="00F11715"/>
    <w:rsid w:val="00F11E2E"/>
    <w:rsid w:val="00F11FEE"/>
    <w:rsid w:val="00F13577"/>
    <w:rsid w:val="00F1363A"/>
    <w:rsid w:val="00F136EB"/>
    <w:rsid w:val="00F1385B"/>
    <w:rsid w:val="00F142AC"/>
    <w:rsid w:val="00F1483B"/>
    <w:rsid w:val="00F151F8"/>
    <w:rsid w:val="00F1523C"/>
    <w:rsid w:val="00F154EC"/>
    <w:rsid w:val="00F159C0"/>
    <w:rsid w:val="00F1614E"/>
    <w:rsid w:val="00F162C0"/>
    <w:rsid w:val="00F168C5"/>
    <w:rsid w:val="00F16998"/>
    <w:rsid w:val="00F16B0A"/>
    <w:rsid w:val="00F16C15"/>
    <w:rsid w:val="00F16D9B"/>
    <w:rsid w:val="00F1703F"/>
    <w:rsid w:val="00F170AA"/>
    <w:rsid w:val="00F1789E"/>
    <w:rsid w:val="00F179D2"/>
    <w:rsid w:val="00F2060C"/>
    <w:rsid w:val="00F2093D"/>
    <w:rsid w:val="00F209F8"/>
    <w:rsid w:val="00F20DBC"/>
    <w:rsid w:val="00F20EEA"/>
    <w:rsid w:val="00F20F5B"/>
    <w:rsid w:val="00F217AE"/>
    <w:rsid w:val="00F220A6"/>
    <w:rsid w:val="00F227BA"/>
    <w:rsid w:val="00F22852"/>
    <w:rsid w:val="00F22B42"/>
    <w:rsid w:val="00F22E29"/>
    <w:rsid w:val="00F22F58"/>
    <w:rsid w:val="00F2301A"/>
    <w:rsid w:val="00F23AD1"/>
    <w:rsid w:val="00F23E9D"/>
    <w:rsid w:val="00F23F46"/>
    <w:rsid w:val="00F2409C"/>
    <w:rsid w:val="00F24243"/>
    <w:rsid w:val="00F248E5"/>
    <w:rsid w:val="00F25397"/>
    <w:rsid w:val="00F254C2"/>
    <w:rsid w:val="00F25591"/>
    <w:rsid w:val="00F2692E"/>
    <w:rsid w:val="00F26937"/>
    <w:rsid w:val="00F26F1B"/>
    <w:rsid w:val="00F27DFF"/>
    <w:rsid w:val="00F30415"/>
    <w:rsid w:val="00F30AC3"/>
    <w:rsid w:val="00F31CE0"/>
    <w:rsid w:val="00F31DCA"/>
    <w:rsid w:val="00F324BD"/>
    <w:rsid w:val="00F32F46"/>
    <w:rsid w:val="00F337B1"/>
    <w:rsid w:val="00F338C0"/>
    <w:rsid w:val="00F339F8"/>
    <w:rsid w:val="00F33CDD"/>
    <w:rsid w:val="00F34654"/>
    <w:rsid w:val="00F34AAB"/>
    <w:rsid w:val="00F34DD1"/>
    <w:rsid w:val="00F350BF"/>
    <w:rsid w:val="00F35507"/>
    <w:rsid w:val="00F35781"/>
    <w:rsid w:val="00F358F5"/>
    <w:rsid w:val="00F35CD3"/>
    <w:rsid w:val="00F360D9"/>
    <w:rsid w:val="00F362B3"/>
    <w:rsid w:val="00F365F5"/>
    <w:rsid w:val="00F36AFC"/>
    <w:rsid w:val="00F37093"/>
    <w:rsid w:val="00F3727F"/>
    <w:rsid w:val="00F37DCA"/>
    <w:rsid w:val="00F40CBF"/>
    <w:rsid w:val="00F41058"/>
    <w:rsid w:val="00F41090"/>
    <w:rsid w:val="00F41A5F"/>
    <w:rsid w:val="00F426D8"/>
    <w:rsid w:val="00F42F70"/>
    <w:rsid w:val="00F43181"/>
    <w:rsid w:val="00F43C3E"/>
    <w:rsid w:val="00F440DC"/>
    <w:rsid w:val="00F446AA"/>
    <w:rsid w:val="00F448D7"/>
    <w:rsid w:val="00F44D42"/>
    <w:rsid w:val="00F44FD9"/>
    <w:rsid w:val="00F453E0"/>
    <w:rsid w:val="00F45433"/>
    <w:rsid w:val="00F45845"/>
    <w:rsid w:val="00F45CDC"/>
    <w:rsid w:val="00F46104"/>
    <w:rsid w:val="00F46308"/>
    <w:rsid w:val="00F46343"/>
    <w:rsid w:val="00F47AAF"/>
    <w:rsid w:val="00F47BF3"/>
    <w:rsid w:val="00F47D03"/>
    <w:rsid w:val="00F5030B"/>
    <w:rsid w:val="00F50355"/>
    <w:rsid w:val="00F507CD"/>
    <w:rsid w:val="00F5088E"/>
    <w:rsid w:val="00F50F59"/>
    <w:rsid w:val="00F51B1D"/>
    <w:rsid w:val="00F52A5E"/>
    <w:rsid w:val="00F52B04"/>
    <w:rsid w:val="00F535EF"/>
    <w:rsid w:val="00F545CC"/>
    <w:rsid w:val="00F54DBC"/>
    <w:rsid w:val="00F5504A"/>
    <w:rsid w:val="00F554CF"/>
    <w:rsid w:val="00F55B28"/>
    <w:rsid w:val="00F56192"/>
    <w:rsid w:val="00F56506"/>
    <w:rsid w:val="00F57066"/>
    <w:rsid w:val="00F57C81"/>
    <w:rsid w:val="00F60046"/>
    <w:rsid w:val="00F60BAB"/>
    <w:rsid w:val="00F60F62"/>
    <w:rsid w:val="00F613E3"/>
    <w:rsid w:val="00F61576"/>
    <w:rsid w:val="00F61AB7"/>
    <w:rsid w:val="00F62519"/>
    <w:rsid w:val="00F626CE"/>
    <w:rsid w:val="00F62AE6"/>
    <w:rsid w:val="00F62B0C"/>
    <w:rsid w:val="00F62CA0"/>
    <w:rsid w:val="00F636B4"/>
    <w:rsid w:val="00F63863"/>
    <w:rsid w:val="00F63A88"/>
    <w:rsid w:val="00F63E00"/>
    <w:rsid w:val="00F643CC"/>
    <w:rsid w:val="00F64CE3"/>
    <w:rsid w:val="00F652BF"/>
    <w:rsid w:val="00F6591F"/>
    <w:rsid w:val="00F659A6"/>
    <w:rsid w:val="00F670A2"/>
    <w:rsid w:val="00F67C45"/>
    <w:rsid w:val="00F67C82"/>
    <w:rsid w:val="00F7012D"/>
    <w:rsid w:val="00F70487"/>
    <w:rsid w:val="00F70D6D"/>
    <w:rsid w:val="00F71310"/>
    <w:rsid w:val="00F7160B"/>
    <w:rsid w:val="00F72149"/>
    <w:rsid w:val="00F722A2"/>
    <w:rsid w:val="00F72997"/>
    <w:rsid w:val="00F72AEE"/>
    <w:rsid w:val="00F72CB1"/>
    <w:rsid w:val="00F73672"/>
    <w:rsid w:val="00F73676"/>
    <w:rsid w:val="00F73F81"/>
    <w:rsid w:val="00F7434B"/>
    <w:rsid w:val="00F748FD"/>
    <w:rsid w:val="00F74A9C"/>
    <w:rsid w:val="00F75336"/>
    <w:rsid w:val="00F76029"/>
    <w:rsid w:val="00F76127"/>
    <w:rsid w:val="00F7629C"/>
    <w:rsid w:val="00F76B06"/>
    <w:rsid w:val="00F76DFB"/>
    <w:rsid w:val="00F80CF9"/>
    <w:rsid w:val="00F81B0E"/>
    <w:rsid w:val="00F83426"/>
    <w:rsid w:val="00F83B96"/>
    <w:rsid w:val="00F83BD6"/>
    <w:rsid w:val="00F83CFD"/>
    <w:rsid w:val="00F84E0B"/>
    <w:rsid w:val="00F852FF"/>
    <w:rsid w:val="00F85FD1"/>
    <w:rsid w:val="00F863E0"/>
    <w:rsid w:val="00F86776"/>
    <w:rsid w:val="00F86F01"/>
    <w:rsid w:val="00F86FC4"/>
    <w:rsid w:val="00F87ABE"/>
    <w:rsid w:val="00F91069"/>
    <w:rsid w:val="00F91A50"/>
    <w:rsid w:val="00F91CDE"/>
    <w:rsid w:val="00F920E4"/>
    <w:rsid w:val="00F92317"/>
    <w:rsid w:val="00F92F56"/>
    <w:rsid w:val="00F947D4"/>
    <w:rsid w:val="00F94D06"/>
    <w:rsid w:val="00F96458"/>
    <w:rsid w:val="00F96628"/>
    <w:rsid w:val="00F96853"/>
    <w:rsid w:val="00F96903"/>
    <w:rsid w:val="00F96B3B"/>
    <w:rsid w:val="00F96CDF"/>
    <w:rsid w:val="00F96FFE"/>
    <w:rsid w:val="00F97412"/>
    <w:rsid w:val="00F97425"/>
    <w:rsid w:val="00F97689"/>
    <w:rsid w:val="00FA17EE"/>
    <w:rsid w:val="00FA2461"/>
    <w:rsid w:val="00FA29F4"/>
    <w:rsid w:val="00FA2AEA"/>
    <w:rsid w:val="00FA33DC"/>
    <w:rsid w:val="00FA3856"/>
    <w:rsid w:val="00FA3F30"/>
    <w:rsid w:val="00FA4908"/>
    <w:rsid w:val="00FA497A"/>
    <w:rsid w:val="00FA50AD"/>
    <w:rsid w:val="00FA5937"/>
    <w:rsid w:val="00FA598B"/>
    <w:rsid w:val="00FA5D08"/>
    <w:rsid w:val="00FA629F"/>
    <w:rsid w:val="00FA636F"/>
    <w:rsid w:val="00FA684C"/>
    <w:rsid w:val="00FB0AEB"/>
    <w:rsid w:val="00FB2393"/>
    <w:rsid w:val="00FB2676"/>
    <w:rsid w:val="00FB2EBF"/>
    <w:rsid w:val="00FB3197"/>
    <w:rsid w:val="00FB3517"/>
    <w:rsid w:val="00FB426F"/>
    <w:rsid w:val="00FB45E5"/>
    <w:rsid w:val="00FB4C19"/>
    <w:rsid w:val="00FB4EB2"/>
    <w:rsid w:val="00FB5B6E"/>
    <w:rsid w:val="00FB5E3C"/>
    <w:rsid w:val="00FB6224"/>
    <w:rsid w:val="00FB6559"/>
    <w:rsid w:val="00FB6BB0"/>
    <w:rsid w:val="00FB6C9B"/>
    <w:rsid w:val="00FB7773"/>
    <w:rsid w:val="00FB7C6F"/>
    <w:rsid w:val="00FC0317"/>
    <w:rsid w:val="00FC032D"/>
    <w:rsid w:val="00FC19B4"/>
    <w:rsid w:val="00FC1DE2"/>
    <w:rsid w:val="00FC2A49"/>
    <w:rsid w:val="00FC2DB3"/>
    <w:rsid w:val="00FC3211"/>
    <w:rsid w:val="00FC3847"/>
    <w:rsid w:val="00FC45C9"/>
    <w:rsid w:val="00FC4AD7"/>
    <w:rsid w:val="00FC4DAC"/>
    <w:rsid w:val="00FC5770"/>
    <w:rsid w:val="00FC5790"/>
    <w:rsid w:val="00FC60AD"/>
    <w:rsid w:val="00FC67B5"/>
    <w:rsid w:val="00FC6963"/>
    <w:rsid w:val="00FC6987"/>
    <w:rsid w:val="00FC6A52"/>
    <w:rsid w:val="00FC6B30"/>
    <w:rsid w:val="00FD0436"/>
    <w:rsid w:val="00FD0927"/>
    <w:rsid w:val="00FD0F6E"/>
    <w:rsid w:val="00FD0FB9"/>
    <w:rsid w:val="00FD13E4"/>
    <w:rsid w:val="00FD1B48"/>
    <w:rsid w:val="00FD25C2"/>
    <w:rsid w:val="00FD27A7"/>
    <w:rsid w:val="00FD2D2B"/>
    <w:rsid w:val="00FD2F04"/>
    <w:rsid w:val="00FD30B7"/>
    <w:rsid w:val="00FD3313"/>
    <w:rsid w:val="00FD3697"/>
    <w:rsid w:val="00FD389E"/>
    <w:rsid w:val="00FD39FC"/>
    <w:rsid w:val="00FD3B67"/>
    <w:rsid w:val="00FD3DA9"/>
    <w:rsid w:val="00FD3F6C"/>
    <w:rsid w:val="00FD500D"/>
    <w:rsid w:val="00FD5617"/>
    <w:rsid w:val="00FD5B2D"/>
    <w:rsid w:val="00FD5B39"/>
    <w:rsid w:val="00FD5BBD"/>
    <w:rsid w:val="00FD7305"/>
    <w:rsid w:val="00FD7555"/>
    <w:rsid w:val="00FE0221"/>
    <w:rsid w:val="00FE0262"/>
    <w:rsid w:val="00FE05AC"/>
    <w:rsid w:val="00FE05BC"/>
    <w:rsid w:val="00FE0CA6"/>
    <w:rsid w:val="00FE0D44"/>
    <w:rsid w:val="00FE13C8"/>
    <w:rsid w:val="00FE2322"/>
    <w:rsid w:val="00FE263C"/>
    <w:rsid w:val="00FE2969"/>
    <w:rsid w:val="00FE2DBD"/>
    <w:rsid w:val="00FE308C"/>
    <w:rsid w:val="00FE3236"/>
    <w:rsid w:val="00FE3290"/>
    <w:rsid w:val="00FE348A"/>
    <w:rsid w:val="00FE3F73"/>
    <w:rsid w:val="00FE4205"/>
    <w:rsid w:val="00FE4ECE"/>
    <w:rsid w:val="00FE4F73"/>
    <w:rsid w:val="00FE5159"/>
    <w:rsid w:val="00FE5344"/>
    <w:rsid w:val="00FE547A"/>
    <w:rsid w:val="00FE5801"/>
    <w:rsid w:val="00FE5BF8"/>
    <w:rsid w:val="00FE5C6A"/>
    <w:rsid w:val="00FE5D5F"/>
    <w:rsid w:val="00FE5E26"/>
    <w:rsid w:val="00FE617D"/>
    <w:rsid w:val="00FE6429"/>
    <w:rsid w:val="00FE64FB"/>
    <w:rsid w:val="00FE6905"/>
    <w:rsid w:val="00FE76F7"/>
    <w:rsid w:val="00FE791C"/>
    <w:rsid w:val="00FF00B8"/>
    <w:rsid w:val="00FF0436"/>
    <w:rsid w:val="00FF1631"/>
    <w:rsid w:val="00FF17CC"/>
    <w:rsid w:val="00FF17FE"/>
    <w:rsid w:val="00FF1DF6"/>
    <w:rsid w:val="00FF2324"/>
    <w:rsid w:val="00FF33F7"/>
    <w:rsid w:val="00FF442D"/>
    <w:rsid w:val="00FF45B9"/>
    <w:rsid w:val="00FF45EE"/>
    <w:rsid w:val="00FF4CC0"/>
    <w:rsid w:val="00FF5143"/>
    <w:rsid w:val="00FF5918"/>
    <w:rsid w:val="00FF59E2"/>
    <w:rsid w:val="00FF6041"/>
    <w:rsid w:val="00FF615C"/>
    <w:rsid w:val="00FF616A"/>
    <w:rsid w:val="00FF6222"/>
    <w:rsid w:val="00FF6C7A"/>
    <w:rsid w:val="00FF705D"/>
    <w:rsid w:val="00FF74B9"/>
    <w:rsid w:val="00FF767F"/>
    <w:rsid w:val="00FF7967"/>
    <w:rsid w:val="00FF7AF5"/>
    <w:rsid w:val="03D5755E"/>
    <w:rsid w:val="085AFACC"/>
    <w:rsid w:val="0D38402F"/>
    <w:rsid w:val="0FBC9C62"/>
    <w:rsid w:val="119ECD1E"/>
    <w:rsid w:val="15BE8FDD"/>
    <w:rsid w:val="1C1C9885"/>
    <w:rsid w:val="2059D796"/>
    <w:rsid w:val="20F8007F"/>
    <w:rsid w:val="29F0F12D"/>
    <w:rsid w:val="2F505342"/>
    <w:rsid w:val="339FFDA9"/>
    <w:rsid w:val="35328802"/>
    <w:rsid w:val="3D298603"/>
    <w:rsid w:val="3EEA57B8"/>
    <w:rsid w:val="4BF80028"/>
    <w:rsid w:val="4FCC36A9"/>
    <w:rsid w:val="502FE278"/>
    <w:rsid w:val="518C4E3D"/>
    <w:rsid w:val="560E4396"/>
    <w:rsid w:val="5DCD64A3"/>
    <w:rsid w:val="62831212"/>
    <w:rsid w:val="674D9467"/>
    <w:rsid w:val="6B0FDD54"/>
    <w:rsid w:val="720593FC"/>
    <w:rsid w:val="7B7BCC13"/>
    <w:rsid w:val="7CB907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B2E1A"/>
  <w15:chartTrackingRefBased/>
  <w15:docId w15:val="{0196F21E-FBE6-4094-BFA1-FF22BF27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link w:val="NormalparatextnonumbersChar"/>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29"/>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29"/>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29"/>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customStyle="1" w:styleId="NormalparatextnonumbersChar">
    <w:name w:val="Normal para text (no numbers) Char"/>
    <w:basedOn w:val="DefaultParagraphFont"/>
    <w:link w:val="Normalparatextnonumbers"/>
    <w:rsid w:val="008329C3"/>
    <w:rPr>
      <w:rFonts w:ascii="Times New Roman" w:hAnsi="Times New Roman"/>
    </w:rPr>
  </w:style>
  <w:style w:type="character" w:customStyle="1" w:styleId="NormalparatextwithnumbersChar">
    <w:name w:val="Normal para text (with numbers) Char"/>
    <w:basedOn w:val="NormalparatextnonumbersChar"/>
    <w:link w:val="Normalparatextwithnumbers"/>
    <w:rsid w:val="002721E2"/>
    <w:rPr>
      <w:rFonts w:ascii="Times New Roman" w:hAnsi="Times New Roman"/>
    </w:rPr>
  </w:style>
  <w:style w:type="character" w:styleId="CommentReference">
    <w:name w:val="annotation reference"/>
    <w:basedOn w:val="DefaultParagraphFont"/>
    <w:uiPriority w:val="99"/>
    <w:semiHidden/>
    <w:unhideWhenUsed/>
    <w:rsid w:val="002721E2"/>
    <w:rPr>
      <w:sz w:val="16"/>
      <w:szCs w:val="16"/>
    </w:rPr>
  </w:style>
  <w:style w:type="paragraph" w:styleId="CommentText">
    <w:name w:val="annotation text"/>
    <w:basedOn w:val="Normal"/>
    <w:link w:val="CommentTextChar"/>
    <w:uiPriority w:val="99"/>
    <w:unhideWhenUsed/>
    <w:rsid w:val="002721E2"/>
    <w:rPr>
      <w:sz w:val="20"/>
      <w:szCs w:val="20"/>
    </w:rPr>
  </w:style>
  <w:style w:type="character" w:customStyle="1" w:styleId="CommentTextChar">
    <w:name w:val="Comment Text Char"/>
    <w:basedOn w:val="DefaultParagraphFont"/>
    <w:link w:val="CommentText"/>
    <w:uiPriority w:val="99"/>
    <w:rsid w:val="002721E2"/>
    <w:rPr>
      <w:rFonts w:ascii="Times New Roman" w:hAnsi="Times New Roman"/>
      <w:sz w:val="20"/>
      <w:szCs w:val="20"/>
    </w:rPr>
  </w:style>
  <w:style w:type="character" w:styleId="Mention">
    <w:name w:val="Mention"/>
    <w:basedOn w:val="DefaultParagraphFont"/>
    <w:uiPriority w:val="99"/>
    <w:unhideWhenUsed/>
    <w:rsid w:val="002721E2"/>
    <w:rPr>
      <w:color w:val="2B579A"/>
      <w:shd w:val="clear" w:color="auto" w:fill="E1DFDD"/>
    </w:rPr>
  </w:style>
  <w:style w:type="paragraph" w:customStyle="1" w:styleId="Bullet">
    <w:name w:val="Bullet"/>
    <w:basedOn w:val="Normal"/>
    <w:rsid w:val="002721E2"/>
    <w:pPr>
      <w:tabs>
        <w:tab w:val="num" w:pos="520"/>
      </w:tabs>
      <w:ind w:left="520" w:hanging="520"/>
    </w:pPr>
  </w:style>
  <w:style w:type="paragraph" w:customStyle="1" w:styleId="DoubleDot">
    <w:name w:val="Double Dot"/>
    <w:basedOn w:val="Normal"/>
    <w:rsid w:val="002721E2"/>
    <w:pPr>
      <w:tabs>
        <w:tab w:val="num" w:pos="1560"/>
      </w:tabs>
      <w:ind w:left="1560" w:hanging="520"/>
    </w:pPr>
  </w:style>
  <w:style w:type="paragraph" w:styleId="ListParagraph">
    <w:name w:val="List Paragraph"/>
    <w:basedOn w:val="Normal"/>
    <w:uiPriority w:val="34"/>
    <w:qFormat/>
    <w:rsid w:val="002721E2"/>
    <w:pPr>
      <w:ind w:left="720"/>
      <w:contextualSpacing/>
    </w:pPr>
  </w:style>
  <w:style w:type="paragraph" w:styleId="TOC4">
    <w:name w:val="toc 4"/>
    <w:basedOn w:val="Normal"/>
    <w:next w:val="Normal"/>
    <w:autoRedefine/>
    <w:uiPriority w:val="39"/>
    <w:semiHidden/>
    <w:unhideWhenUsed/>
    <w:rsid w:val="00DE42A0"/>
    <w:pPr>
      <w:spacing w:after="100"/>
      <w:ind w:left="660"/>
    </w:pPr>
  </w:style>
  <w:style w:type="paragraph" w:styleId="TOC5">
    <w:name w:val="toc 5"/>
    <w:basedOn w:val="Normal"/>
    <w:next w:val="Normal"/>
    <w:autoRedefine/>
    <w:uiPriority w:val="39"/>
    <w:semiHidden/>
    <w:unhideWhenUsed/>
    <w:rsid w:val="00DE42A0"/>
    <w:pPr>
      <w:spacing w:after="100"/>
      <w:ind w:left="880"/>
    </w:pPr>
  </w:style>
  <w:style w:type="paragraph" w:styleId="TOC6">
    <w:name w:val="toc 6"/>
    <w:basedOn w:val="Normal"/>
    <w:next w:val="Normal"/>
    <w:autoRedefine/>
    <w:uiPriority w:val="39"/>
    <w:semiHidden/>
    <w:unhideWhenUsed/>
    <w:rsid w:val="00DE42A0"/>
    <w:pPr>
      <w:spacing w:after="100"/>
      <w:ind w:left="1100"/>
    </w:pPr>
  </w:style>
  <w:style w:type="paragraph" w:styleId="TOC7">
    <w:name w:val="toc 7"/>
    <w:basedOn w:val="Normal"/>
    <w:next w:val="Normal"/>
    <w:autoRedefine/>
    <w:uiPriority w:val="39"/>
    <w:semiHidden/>
    <w:unhideWhenUsed/>
    <w:rsid w:val="00DE42A0"/>
    <w:pPr>
      <w:spacing w:after="100"/>
      <w:ind w:left="1320"/>
    </w:pPr>
  </w:style>
  <w:style w:type="paragraph" w:styleId="TOC8">
    <w:name w:val="toc 8"/>
    <w:basedOn w:val="Normal"/>
    <w:next w:val="Normal"/>
    <w:autoRedefine/>
    <w:uiPriority w:val="39"/>
    <w:semiHidden/>
    <w:unhideWhenUsed/>
    <w:rsid w:val="00DE42A0"/>
    <w:pPr>
      <w:spacing w:after="100"/>
      <w:ind w:left="1540"/>
    </w:pPr>
  </w:style>
  <w:style w:type="paragraph" w:styleId="TOC9">
    <w:name w:val="toc 9"/>
    <w:basedOn w:val="Normal"/>
    <w:next w:val="Normal"/>
    <w:autoRedefine/>
    <w:uiPriority w:val="39"/>
    <w:semiHidden/>
    <w:unhideWhenUsed/>
    <w:rsid w:val="00DE42A0"/>
    <w:pPr>
      <w:spacing w:after="100"/>
      <w:ind w:left="1760"/>
    </w:pPr>
  </w:style>
  <w:style w:type="paragraph" w:styleId="CommentSubject">
    <w:name w:val="annotation subject"/>
    <w:basedOn w:val="CommentText"/>
    <w:next w:val="CommentText"/>
    <w:link w:val="CommentSubjectChar"/>
    <w:uiPriority w:val="99"/>
    <w:semiHidden/>
    <w:unhideWhenUsed/>
    <w:rsid w:val="0088405B"/>
    <w:rPr>
      <w:b/>
      <w:bCs/>
    </w:rPr>
  </w:style>
  <w:style w:type="character" w:customStyle="1" w:styleId="CommentSubjectChar">
    <w:name w:val="Comment Subject Char"/>
    <w:basedOn w:val="CommentTextChar"/>
    <w:link w:val="CommentSubject"/>
    <w:uiPriority w:val="99"/>
    <w:semiHidden/>
    <w:rsid w:val="0088405B"/>
    <w:rPr>
      <w:rFonts w:ascii="Times New Roman" w:hAnsi="Times New Roman"/>
      <w:b/>
      <w:bCs/>
      <w:sz w:val="20"/>
      <w:szCs w:val="20"/>
    </w:rPr>
  </w:style>
  <w:style w:type="character" w:styleId="FollowedHyperlink">
    <w:name w:val="FollowedHyperlink"/>
    <w:basedOn w:val="DefaultParagraphFont"/>
    <w:uiPriority w:val="99"/>
    <w:semiHidden/>
    <w:unhideWhenUsed/>
    <w:rsid w:val="00B11EE2"/>
    <w:rPr>
      <w:color w:val="954F72" w:themeColor="followedHyperlink"/>
      <w:u w:val="single"/>
    </w:rPr>
  </w:style>
  <w:style w:type="character" w:customStyle="1" w:styleId="ui-provider">
    <w:name w:val="ui-provider"/>
    <w:basedOn w:val="DefaultParagraphFont"/>
    <w:rsid w:val="00CB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873735225">
      <w:bodyDiv w:val="1"/>
      <w:marLeft w:val="0"/>
      <w:marRight w:val="0"/>
      <w:marTop w:val="0"/>
      <w:marBottom w:val="0"/>
      <w:divBdr>
        <w:top w:val="none" w:sz="0" w:space="0" w:color="auto"/>
        <w:left w:val="none" w:sz="0" w:space="0" w:color="auto"/>
        <w:bottom w:val="none" w:sz="0" w:space="0" w:color="auto"/>
        <w:right w:val="none" w:sz="0" w:space="0" w:color="auto"/>
      </w:divBdr>
    </w:div>
    <w:div w:id="998967159">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21462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mail" ma:contentTypeID="0x0101003ECC5A3B3DB5EC46B1D76B9A37FC8269008557E70EFB715A4FA878E33E5B557D02" ma:contentTypeVersion="40" ma:contentTypeDescription="" ma:contentTypeScope="" ma:versionID="6b9c0eb8e8180d43b4ba76876322cfb7">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85aeb6df59fe51b70f177c63d25dc67"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5D7SUYYWNZQE-304961098-883</_dlc_DocId>
    <TaxCatchAll xmlns="ff38c824-6e29-4496-8487-69f397e7ed29">
      <Value>28</Value>
      <Value>75</Value>
      <Value>74</Value>
      <Value>3</Value>
      <Value>1</Value>
      <Value>153</Value>
    </TaxCatchAll>
    <_dlc_DocIdUrl xmlns="fe39d773-a83d-4623-ae74-f25711a76616">
      <Url>https://austreasury.sharepoint.com/sites/leg-meas-function/_layouts/15/DocIdRedir.aspx?ID=5D7SUYYWNZQE-304961098-883</Url>
      <Description>5D7SUYYWNZQE-304961098-883</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MailIn-Reply-To xmlns="fe39d773-a83d-4623-ae74-f25711a76616" xsi:nil="true"/>
    <Cc xmlns="fe39d773-a83d-4623-ae74-f25711a76616" xsi:nil="true"/>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Budget</Measureorigin>
    <PT_x002f_Measure_x0020_No. xmlns="ff38c824-6e29-4496-8487-69f397e7ed29">TSY/47/0154</PT_x002f_Measure_x0020_No.>
    <From1 xmlns="fe39d773-a83d-4623-ae74-f25711a76616" xsi:nil="true"/>
    <MailSubject xmlns="fe39d773-a83d-4623-ae74-f25711a76616" xsi:nil="true"/>
    <Keydoc xmlns="a289cb20-8bb9-401f-8d7b-706fb1a2988d" xsi:nil="true"/>
    <Act_x0028_s_x0029_beingamended xmlns="a289cb20-8bb9-401f-8d7b-706fb1a2988d" xsi:nil="true"/>
    <Date12 xmlns="fe39d773-a83d-4623-ae74-f25711a76616" xsi:nil="true"/>
    <MailReferences xmlns="fe39d773-a83d-4623-ae74-f25711a76616" xsi:nil="true"/>
    <OriginalSubject xmlns="fe39d773-a83d-4623-ae74-f25711a76616" xsi:nil="true"/>
    <Projectname xmlns="a289cb20-8bb9-401f-8d7b-706fb1a2988d">Multinational tax integrity package</Projectname>
    <oae75e2df9d943898d59cb03ca0993c5 xmlns="fe39d773-a83d-4623-ae74-f25711a76616"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EmailAttachments xmlns="fe39d773-a83d-4623-ae74-f25711a76616">false</EmailAttachments>
    <MailTo xmlns="fe39d773-a83d-4623-ae74-f25711a76616"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Info xmlns="http://schemas.microsoft.com/office/infopath/2007/PartnerControls">
          <TermName xmlns="http://schemas.microsoft.com/office/infopath/2007/PartnerControls">International Tax</TermName>
          <TermId xmlns="http://schemas.microsoft.com/office/infopath/2007/PartnerControls">b05bf1ba-bcc0-4933-8357-98e437f07462</TermId>
        </TermInfo>
      </Terms>
    </gfba5f33532c49208d2320ce38cc3c2b>
  </documentManagement>
</p:properties>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15BE2E5E-0D50-456C-AC77-B7762AD1D42A}">
  <ds:schemaRefs>
    <ds:schemaRef ds:uri="http://schemas.microsoft.com/sharepoint/events"/>
  </ds:schemaRefs>
</ds:datastoreItem>
</file>

<file path=customXml/itemProps4.xml><?xml version="1.0" encoding="utf-8"?>
<ds:datastoreItem xmlns:ds="http://schemas.openxmlformats.org/officeDocument/2006/customXml" ds:itemID="{4455A7F7-3932-454D-B413-2F4787702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B365E2-A817-49FA-9295-CAB62986032D}">
  <ds:schemaRef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289cb20-8bb9-401f-8d7b-706fb1a2988d"/>
    <ds:schemaRef ds:uri="fe39d773-a83d-4623-ae74-f25711a76616"/>
    <ds:schemaRef ds:uri="http://schemas.microsoft.com/office/2006/documentManagement/types"/>
    <ds:schemaRef ds:uri="ff38c824-6e29-4496-8487-69f397e7ed29"/>
    <ds:schemaRef ds:uri="http://schemas.microsoft.com/sharepoint/v3"/>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Pri-EM.dotx</Template>
  <TotalTime>81</TotalTime>
  <Pages>28</Pages>
  <Words>9528</Words>
  <Characters>48264</Characters>
  <Application>Microsoft Office Word</Application>
  <DocSecurity>0</DocSecurity>
  <Lines>956</Lines>
  <Paragraphs>217</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Future Bills) Bill 2023</vt:lpstr>
    </vt:vector>
  </TitlesOfParts>
  <Company/>
  <LinksUpToDate>false</LinksUpToDate>
  <CharactersWithSpaces>57713</CharactersWithSpaces>
  <SharedDoc>false</SharedDoc>
  <HLinks>
    <vt:vector size="102" baseType="variant">
      <vt:variant>
        <vt:i4>720987</vt:i4>
      </vt:variant>
      <vt:variant>
        <vt:i4>108</vt:i4>
      </vt:variant>
      <vt:variant>
        <vt:i4>0</vt:i4>
      </vt:variant>
      <vt:variant>
        <vt:i4>5</vt:i4>
      </vt:variant>
      <vt:variant>
        <vt:lpwstr>https://www.ag.gov.au/rights-and-protections/human-rights-and-anti-discrimination/human-rights-scrutiny/public-sector-guidance-sheets</vt:lpwstr>
      </vt:variant>
      <vt:variant>
        <vt:lpwstr/>
      </vt:variant>
      <vt:variant>
        <vt:i4>2359344</vt:i4>
      </vt:variant>
      <vt:variant>
        <vt:i4>105</vt:i4>
      </vt:variant>
      <vt:variant>
        <vt:i4>0</vt:i4>
      </vt:variant>
      <vt:variant>
        <vt:i4>5</vt:i4>
      </vt:variant>
      <vt:variant>
        <vt:lpwstr>https://www.ag.gov.au/rights-and-protections/human-rights-and-anti-discrimination/human-rights-scrutiny/tools-assessing-compatibility-human-rights</vt:lpwstr>
      </vt:variant>
      <vt:variant>
        <vt:lpwstr/>
      </vt:variant>
      <vt:variant>
        <vt:i4>2621502</vt:i4>
      </vt:variant>
      <vt:variant>
        <vt:i4>102</vt:i4>
      </vt:variant>
      <vt:variant>
        <vt:i4>0</vt:i4>
      </vt:variant>
      <vt:variant>
        <vt:i4>5</vt:i4>
      </vt:variant>
      <vt:variant>
        <vt:lpwstr>https://www.aph.gov.au/-/media/Committees/Senate/committee/humanrights_ctte/guidance_notes/guidance_note_2/guidance_note_2.pdf?la=en&amp;hash=7D924E6F330668005C288BCDCDAC6ADE1719502D</vt:lpwstr>
      </vt:variant>
      <vt:variant>
        <vt:lpwstr/>
      </vt:variant>
      <vt:variant>
        <vt:i4>2818108</vt:i4>
      </vt:variant>
      <vt:variant>
        <vt:i4>99</vt:i4>
      </vt:variant>
      <vt:variant>
        <vt:i4>0</vt:i4>
      </vt:variant>
      <vt:variant>
        <vt:i4>5</vt:i4>
      </vt:variant>
      <vt:variant>
        <vt:lpwstr>https://www.aph.gov.au/-/media/Committees/Senate/committee/humanrights_ctte/guidance_notes/guidance_note_1/01_Guidance_Note.pdf?la=en&amp;hash=4CE0BFF2F3CA3C32EAD58AD932DB73E89494455D</vt:lpwstr>
      </vt:variant>
      <vt:variant>
        <vt:lpwstr/>
      </vt:variant>
      <vt:variant>
        <vt:i4>5308456</vt:i4>
      </vt:variant>
      <vt:variant>
        <vt:i4>96</vt:i4>
      </vt:variant>
      <vt:variant>
        <vt:i4>0</vt:i4>
      </vt:variant>
      <vt:variant>
        <vt:i4>5</vt:i4>
      </vt:variant>
      <vt:variant>
        <vt:lpwstr>https://www.aph.gov.au/Parliamentary_Business/Committees/Joint/Human_Rights/Guidance_Notes_and_Resources</vt:lpwstr>
      </vt:variant>
      <vt:variant>
        <vt:lpwstr/>
      </vt:variant>
      <vt:variant>
        <vt:i4>5308456</vt:i4>
      </vt:variant>
      <vt:variant>
        <vt:i4>93</vt:i4>
      </vt:variant>
      <vt:variant>
        <vt:i4>0</vt:i4>
      </vt:variant>
      <vt:variant>
        <vt:i4>5</vt:i4>
      </vt:variant>
      <vt:variant>
        <vt:lpwstr>https://www.aph.gov.au/Parliamentary_Business/Committees/Joint/Human_Rights/Guidance_Notes_and_Resources</vt:lpwstr>
      </vt:variant>
      <vt:variant>
        <vt:lpwstr/>
      </vt:variant>
      <vt:variant>
        <vt:i4>4456526</vt:i4>
      </vt:variant>
      <vt:variant>
        <vt:i4>75</vt:i4>
      </vt:variant>
      <vt:variant>
        <vt:i4>0</vt:i4>
      </vt:variant>
      <vt:variant>
        <vt:i4>5</vt:i4>
      </vt:variant>
      <vt:variant>
        <vt:lpwstr>https://connectonline.asic.gov.au/RegistrySearch/faces/landing/bn/SearchBnRegisters.jspx?_adf.ctrl-state=127wl9zvyc_4</vt:lpwstr>
      </vt:variant>
      <vt:variant>
        <vt:lpwstr/>
      </vt:variant>
      <vt:variant>
        <vt:i4>1179696</vt:i4>
      </vt:variant>
      <vt:variant>
        <vt:i4>72</vt:i4>
      </vt:variant>
      <vt:variant>
        <vt:i4>0</vt:i4>
      </vt:variant>
      <vt:variant>
        <vt:i4>5</vt:i4>
      </vt:variant>
      <vt:variant>
        <vt:lpwstr>http://intra/corporate/legislation_management/em-style-guide</vt:lpwstr>
      </vt:variant>
      <vt:variant>
        <vt:lpwstr/>
      </vt:variant>
      <vt:variant>
        <vt:i4>1179696</vt:i4>
      </vt:variant>
      <vt:variant>
        <vt:i4>69</vt:i4>
      </vt:variant>
      <vt:variant>
        <vt:i4>0</vt:i4>
      </vt:variant>
      <vt:variant>
        <vt:i4>5</vt:i4>
      </vt:variant>
      <vt:variant>
        <vt:lpwstr>http://intra/corporate/legislation_management/em-style-guide</vt:lpwstr>
      </vt:variant>
      <vt:variant>
        <vt:lpwstr/>
      </vt:variant>
      <vt:variant>
        <vt:i4>1179696</vt:i4>
      </vt:variant>
      <vt:variant>
        <vt:i4>66</vt:i4>
      </vt:variant>
      <vt:variant>
        <vt:i4>0</vt:i4>
      </vt:variant>
      <vt:variant>
        <vt:i4>5</vt:i4>
      </vt:variant>
      <vt:variant>
        <vt:lpwstr>http://intra/corporate/legislation_management/em-style-guide</vt:lpwstr>
      </vt:variant>
      <vt:variant>
        <vt:lpwstr/>
      </vt:variant>
      <vt:variant>
        <vt:i4>1179696</vt:i4>
      </vt:variant>
      <vt:variant>
        <vt:i4>63</vt:i4>
      </vt:variant>
      <vt:variant>
        <vt:i4>0</vt:i4>
      </vt:variant>
      <vt:variant>
        <vt:i4>5</vt:i4>
      </vt:variant>
      <vt:variant>
        <vt:lpwstr>http://intra/corporate/legislation_management/em-style-guide</vt:lpwstr>
      </vt:variant>
      <vt:variant>
        <vt:lpwstr/>
      </vt:variant>
      <vt:variant>
        <vt:i4>1179696</vt:i4>
      </vt:variant>
      <vt:variant>
        <vt:i4>15</vt:i4>
      </vt:variant>
      <vt:variant>
        <vt:i4>0</vt:i4>
      </vt:variant>
      <vt:variant>
        <vt:i4>5</vt:i4>
      </vt:variant>
      <vt:variant>
        <vt:lpwstr>http://intra/corporate/legislation_management/em-style-guide</vt:lpwstr>
      </vt:variant>
      <vt:variant>
        <vt:lpwstr/>
      </vt:variant>
      <vt:variant>
        <vt:i4>1179696</vt:i4>
      </vt:variant>
      <vt:variant>
        <vt:i4>12</vt:i4>
      </vt:variant>
      <vt:variant>
        <vt:i4>0</vt:i4>
      </vt:variant>
      <vt:variant>
        <vt:i4>5</vt:i4>
      </vt:variant>
      <vt:variant>
        <vt:lpwstr>http://intra/corporate/legislation_management/em-style-guide</vt:lpwstr>
      </vt:variant>
      <vt:variant>
        <vt:lpwstr/>
      </vt:variant>
      <vt:variant>
        <vt:i4>1179696</vt:i4>
      </vt:variant>
      <vt:variant>
        <vt:i4>9</vt:i4>
      </vt:variant>
      <vt:variant>
        <vt:i4>0</vt:i4>
      </vt:variant>
      <vt:variant>
        <vt:i4>5</vt:i4>
      </vt:variant>
      <vt:variant>
        <vt:lpwstr>http://intra/corporate/legislation_management/em-style-guide</vt:lpwstr>
      </vt:variant>
      <vt:variant>
        <vt:lpwstr/>
      </vt:variant>
      <vt:variant>
        <vt:i4>1179696</vt:i4>
      </vt:variant>
      <vt:variant>
        <vt:i4>6</vt:i4>
      </vt:variant>
      <vt:variant>
        <vt:i4>0</vt:i4>
      </vt:variant>
      <vt:variant>
        <vt:i4>5</vt:i4>
      </vt:variant>
      <vt:variant>
        <vt:lpwstr>http://intra/corporate/legislation_management/em-style-guide</vt:lpwstr>
      </vt:variant>
      <vt:variant>
        <vt:lpwstr/>
      </vt:variant>
      <vt:variant>
        <vt:i4>4456470</vt:i4>
      </vt:variant>
      <vt:variant>
        <vt:i4>3</vt:i4>
      </vt:variant>
      <vt:variant>
        <vt:i4>0</vt:i4>
      </vt:variant>
      <vt:variant>
        <vt:i4>5</vt:i4>
      </vt:variant>
      <vt:variant>
        <vt:lpwstr>https://pmc.gov.au/sites/default/files/publications/legislation-handbook-2017.pdf</vt:lpwstr>
      </vt:variant>
      <vt:variant>
        <vt:lpwstr/>
      </vt:variant>
      <vt:variant>
        <vt:i4>1179696</vt:i4>
      </vt:variant>
      <vt:variant>
        <vt:i4>0</vt:i4>
      </vt:variant>
      <vt:variant>
        <vt:i4>0</vt:i4>
      </vt:variant>
      <vt:variant>
        <vt:i4>5</vt:i4>
      </vt:variant>
      <vt:variant>
        <vt:lpwstr>http://intra/corporate/legislation_management/em-style-guide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Future Bills) Bill 2023</dc:title>
  <dc:subject/>
  <dc:creator>Australian Government</dc:creator>
  <cp:keywords/>
  <dc:description/>
  <cp:lastModifiedBy>Hill, Christine</cp:lastModifiedBy>
  <cp:revision>15</cp:revision>
  <dcterms:created xsi:type="dcterms:W3CDTF">2023-06-20T05:03:00Z</dcterms:created>
  <dcterms:modified xsi:type="dcterms:W3CDTF">2023-06-22T07:43:00Z</dcterms:modified>
</cp:coreProperties>
</file>