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2A19"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02BAD60E" w14:textId="77777777" w:rsidR="00E24AA1" w:rsidRDefault="00E24AA1" w:rsidP="00E24AA1">
      <w:pPr>
        <w:pStyle w:val="Baseparagraphcentred"/>
      </w:pPr>
    </w:p>
    <w:p w14:paraId="54B289D0" w14:textId="77777777" w:rsidR="00E24AA1" w:rsidRDefault="00E24AA1" w:rsidP="00E24AA1">
      <w:pPr>
        <w:pStyle w:val="Baseparagraphcentred"/>
      </w:pPr>
      <w:r>
        <w:t>THE PARLIAMENT OF THE COMMONWEALTH OF AUSTRALIA</w:t>
      </w:r>
    </w:p>
    <w:p w14:paraId="605DC947" w14:textId="77777777" w:rsidR="00E24AA1" w:rsidRDefault="00E24AA1" w:rsidP="00E24AA1">
      <w:pPr>
        <w:pStyle w:val="Baseparagraphcentred"/>
      </w:pPr>
    </w:p>
    <w:p w14:paraId="08FF9C09" w14:textId="77777777" w:rsidR="00E24AA1" w:rsidRDefault="00E24AA1" w:rsidP="00E24AA1">
      <w:pPr>
        <w:pStyle w:val="Baseparagraphcentred"/>
      </w:pPr>
    </w:p>
    <w:p w14:paraId="5111C6AE" w14:textId="77777777" w:rsidR="00E24AA1" w:rsidRDefault="00E24AA1" w:rsidP="00E24AA1">
      <w:pPr>
        <w:pStyle w:val="Baseparagraphcentred"/>
      </w:pPr>
    </w:p>
    <w:p w14:paraId="31FFF101" w14:textId="24C5AF0D" w:rsidR="00E24AA1" w:rsidRDefault="00AB5892" w:rsidP="00E24AA1">
      <w:pPr>
        <w:pStyle w:val="Baseparagraphcentred"/>
      </w:pPr>
      <w:r>
        <w:t>HOUSE OF REPRESENTATIVES</w:t>
      </w:r>
    </w:p>
    <w:p w14:paraId="42CD8D81" w14:textId="77777777" w:rsidR="00E24AA1" w:rsidRDefault="00E24AA1" w:rsidP="00E24AA1">
      <w:pPr>
        <w:pStyle w:val="Baseparagraphcentred"/>
      </w:pPr>
    </w:p>
    <w:p w14:paraId="62BA550B" w14:textId="77777777" w:rsidR="00E24AA1" w:rsidRDefault="00E24AA1" w:rsidP="00E24AA1">
      <w:pPr>
        <w:pStyle w:val="Baseparagraphcentred"/>
      </w:pPr>
    </w:p>
    <w:p w14:paraId="215D7644" w14:textId="77777777" w:rsidR="00E24AA1" w:rsidRDefault="00E24AA1" w:rsidP="00E24AA1">
      <w:pPr>
        <w:pStyle w:val="Baseparagraphcentred"/>
        <w:pBdr>
          <w:bottom w:val="single" w:sz="4" w:space="1" w:color="auto"/>
        </w:pBdr>
      </w:pPr>
    </w:p>
    <w:p w14:paraId="198EDE6E" w14:textId="5C24E928" w:rsidR="00E24AA1" w:rsidRPr="00E24AA1" w:rsidRDefault="007C322F" w:rsidP="00E24AA1">
      <w:pPr>
        <w:pStyle w:val="BillName"/>
      </w:pPr>
      <w:bookmarkStart w:id="6" w:name="BillName"/>
      <w:bookmarkStart w:id="7" w:name="_Hlk137823661"/>
      <w:bookmarkEnd w:id="6"/>
      <w:r w:rsidRPr="007C322F">
        <w:t>Treasury Laws Amendment (Measures for Consultation) Bill 2023: Non-arm’s Length Expense Rules for Superannuation Funds</w:t>
      </w:r>
    </w:p>
    <w:bookmarkEnd w:id="7"/>
    <w:p w14:paraId="18F7DFA1" w14:textId="77777777" w:rsidR="00E24AA1" w:rsidRDefault="00E24AA1" w:rsidP="00E24AA1">
      <w:pPr>
        <w:pStyle w:val="Baseparagraphcentred"/>
        <w:pBdr>
          <w:top w:val="single" w:sz="4" w:space="1" w:color="auto"/>
        </w:pBdr>
      </w:pPr>
    </w:p>
    <w:p w14:paraId="784AE9C5" w14:textId="77777777" w:rsidR="00E24AA1" w:rsidRDefault="00E24AA1" w:rsidP="00E24AA1">
      <w:pPr>
        <w:pStyle w:val="Baseparagraphcentred"/>
      </w:pPr>
    </w:p>
    <w:p w14:paraId="6CF712F0" w14:textId="77777777" w:rsidR="00E24AA1" w:rsidRDefault="00E24AA1" w:rsidP="00E24AA1">
      <w:pPr>
        <w:pStyle w:val="Baseparagraphcentred"/>
      </w:pPr>
    </w:p>
    <w:p w14:paraId="5D9E8270" w14:textId="77777777" w:rsidR="00E24AA1" w:rsidRDefault="00E24AA1" w:rsidP="00E24AA1">
      <w:pPr>
        <w:pStyle w:val="Baseparagraphcentred"/>
      </w:pPr>
    </w:p>
    <w:p w14:paraId="105D4497" w14:textId="77777777" w:rsidR="006C1AA2" w:rsidRDefault="006C1AA2" w:rsidP="00E24AA1">
      <w:pPr>
        <w:pStyle w:val="Baseparagraphcentred"/>
      </w:pPr>
      <w:r>
        <w:t>EXPOSURE DRAFT EXPLANATORY MATERIALS</w:t>
      </w:r>
    </w:p>
    <w:p w14:paraId="6247A2BA" w14:textId="0E2DDBFD" w:rsidR="00E24AA1" w:rsidRDefault="00E24AA1" w:rsidP="00E24AA1">
      <w:pPr>
        <w:pStyle w:val="Baseparagraphcentred"/>
      </w:pPr>
    </w:p>
    <w:p w14:paraId="713AAF48" w14:textId="77777777" w:rsidR="00E24AA1" w:rsidRDefault="00E24AA1" w:rsidP="00E24AA1">
      <w:pPr>
        <w:pStyle w:val="Baseparagraphcentred"/>
      </w:pPr>
    </w:p>
    <w:p w14:paraId="736344B4" w14:textId="77777777" w:rsidR="00E24AA1" w:rsidRDefault="00E24AA1" w:rsidP="00E24AA1">
      <w:pPr>
        <w:pStyle w:val="ParaCentredNoSpacing"/>
      </w:pPr>
    </w:p>
    <w:p w14:paraId="424FAECB" w14:textId="77777777" w:rsidR="00E24AA1" w:rsidRPr="00967273" w:rsidRDefault="00E24AA1" w:rsidP="00E24AA1">
      <w:pPr>
        <w:pStyle w:val="Normalparatextnonumbers"/>
        <w:jc w:val="center"/>
        <w:rPr>
          <w:rFonts w:cs="Calibri"/>
          <w:color w:val="000000" w:themeColor="text1"/>
        </w:rPr>
      </w:pPr>
    </w:p>
    <w:p w14:paraId="1A5E8F57" w14:textId="77777777" w:rsidR="00873094" w:rsidRDefault="00873094" w:rsidP="00873094">
      <w:pPr>
        <w:pStyle w:val="Normalparatextnonumbers"/>
      </w:pPr>
    </w:p>
    <w:p w14:paraId="38ADCCB4" w14:textId="77777777" w:rsidR="00E24AA1" w:rsidRPr="00020288" w:rsidRDefault="00E24AA1" w:rsidP="00873094">
      <w:pPr>
        <w:pStyle w:val="Normalparatextnonumbers"/>
      </w:pPr>
    </w:p>
    <w:p w14:paraId="7E92F5E5"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66F05098"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ACE2DE1" w14:textId="43BFFE13" w:rsidR="006C1AA2" w:rsidRDefault="00873094" w:rsidP="006C1AA2">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6C1AA2">
        <w:rPr>
          <w:noProof/>
        </w:rPr>
        <w:t>Glossary</w:t>
      </w:r>
      <w:r w:rsidR="006C1AA2">
        <w:rPr>
          <w:noProof/>
        </w:rPr>
        <w:tab/>
      </w:r>
      <w:r w:rsidR="006C1AA2">
        <w:rPr>
          <w:noProof/>
        </w:rPr>
        <w:fldChar w:fldCharType="begin"/>
      </w:r>
      <w:r w:rsidR="006C1AA2">
        <w:rPr>
          <w:noProof/>
        </w:rPr>
        <w:instrText xml:space="preserve"> PAGEREF _Toc137219116 \h </w:instrText>
      </w:r>
      <w:r w:rsidR="006C1AA2">
        <w:rPr>
          <w:noProof/>
        </w:rPr>
      </w:r>
      <w:r w:rsidR="006C1AA2">
        <w:rPr>
          <w:noProof/>
        </w:rPr>
        <w:fldChar w:fldCharType="separate"/>
      </w:r>
      <w:r w:rsidR="002150F2">
        <w:rPr>
          <w:noProof/>
        </w:rPr>
        <w:t>iii</w:t>
      </w:r>
      <w:r w:rsidR="006C1AA2">
        <w:rPr>
          <w:noProof/>
        </w:rPr>
        <w:fldChar w:fldCharType="end"/>
      </w:r>
    </w:p>
    <w:p w14:paraId="12C2E569" w14:textId="390E7152" w:rsidR="006C1AA2" w:rsidRDefault="006C1AA2" w:rsidP="006C1AA2">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F0476D">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Non-Arm’s length expense rules for superannuation funds</w:t>
      </w:r>
      <w:r>
        <w:rPr>
          <w:noProof/>
        </w:rPr>
        <w:tab/>
      </w:r>
      <w:r>
        <w:rPr>
          <w:noProof/>
        </w:rPr>
        <w:fldChar w:fldCharType="begin"/>
      </w:r>
      <w:r>
        <w:rPr>
          <w:noProof/>
        </w:rPr>
        <w:instrText xml:space="preserve"> PAGEREF _Toc137219117 \h </w:instrText>
      </w:r>
      <w:r>
        <w:rPr>
          <w:noProof/>
        </w:rPr>
      </w:r>
      <w:r>
        <w:rPr>
          <w:noProof/>
        </w:rPr>
        <w:fldChar w:fldCharType="separate"/>
      </w:r>
      <w:r w:rsidR="002150F2">
        <w:rPr>
          <w:noProof/>
        </w:rPr>
        <w:t>5</w:t>
      </w:r>
      <w:r>
        <w:rPr>
          <w:noProof/>
        </w:rPr>
        <w:fldChar w:fldCharType="end"/>
      </w:r>
    </w:p>
    <w:p w14:paraId="4630A4B1" w14:textId="59E7AA5C" w:rsidR="00873094" w:rsidRPr="00020288" w:rsidRDefault="00873094" w:rsidP="00BC2E4A">
      <w:pPr>
        <w:pStyle w:val="TOC1"/>
      </w:pPr>
      <w:r w:rsidRPr="00BC2E4A">
        <w:fldChar w:fldCharType="end"/>
      </w:r>
    </w:p>
    <w:p w14:paraId="678A163D" w14:textId="77777777" w:rsidR="00873094" w:rsidRPr="00020288" w:rsidRDefault="00873094" w:rsidP="00873094"/>
    <w:p w14:paraId="37840AD6" w14:textId="77777777" w:rsidR="00873094" w:rsidRPr="00020288" w:rsidRDefault="00873094" w:rsidP="00873094"/>
    <w:p w14:paraId="5FA08410"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2BF74F3A"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37219116"/>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9A72FBF"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28342D3" w14:textId="77777777" w:rsidTr="002425D9">
        <w:tc>
          <w:tcPr>
            <w:tcW w:w="3776" w:type="dxa"/>
            <w:shd w:val="clear" w:color="auto" w:fill="auto"/>
          </w:tcPr>
          <w:p w14:paraId="2DDF9DC3"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76B4007A" w14:textId="77777777" w:rsidR="00873094" w:rsidRPr="002E7A73" w:rsidRDefault="00873094" w:rsidP="00B7393A">
            <w:pPr>
              <w:pStyle w:val="Tableheaderrowtext"/>
            </w:pPr>
            <w:r w:rsidRPr="002E7A73">
              <w:t>Definition</w:t>
            </w:r>
          </w:p>
        </w:tc>
      </w:tr>
      <w:tr w:rsidR="00873094" w:rsidRPr="00020288" w14:paraId="2579D092" w14:textId="77777777" w:rsidTr="002425D9">
        <w:tc>
          <w:tcPr>
            <w:tcW w:w="3776" w:type="dxa"/>
          </w:tcPr>
          <w:p w14:paraId="30A79842" w14:textId="14B1DE52" w:rsidR="00873094" w:rsidRPr="00020288" w:rsidRDefault="00475BE1" w:rsidP="002425D9">
            <w:pPr>
              <w:pStyle w:val="Normalparatextnonumbers"/>
            </w:pPr>
            <w:r>
              <w:t>The Bill</w:t>
            </w:r>
          </w:p>
        </w:tc>
        <w:tc>
          <w:tcPr>
            <w:tcW w:w="3874" w:type="dxa"/>
          </w:tcPr>
          <w:p w14:paraId="2888DC57" w14:textId="1EA26C90" w:rsidR="00873094" w:rsidRPr="00020288" w:rsidRDefault="00E83682" w:rsidP="002425D9">
            <w:pPr>
              <w:pStyle w:val="Normalparatextnonumbers"/>
            </w:pPr>
            <w:r w:rsidRPr="0049393C">
              <w:rPr>
                <w:i/>
                <w:iCs/>
              </w:rPr>
              <w:t>Treasury Laws Amendment (Measures for Consultation) Bill 2023</w:t>
            </w:r>
          </w:p>
        </w:tc>
      </w:tr>
      <w:tr w:rsidR="00873094" w:rsidRPr="00020288" w14:paraId="400E0BDE" w14:textId="77777777" w:rsidTr="002425D9">
        <w:tc>
          <w:tcPr>
            <w:tcW w:w="3776" w:type="dxa"/>
          </w:tcPr>
          <w:p w14:paraId="4D433825" w14:textId="71F5A420" w:rsidR="00873094" w:rsidRPr="00020288" w:rsidRDefault="00475BE1" w:rsidP="002425D9">
            <w:pPr>
              <w:pStyle w:val="Normalparatextnonumbers"/>
            </w:pPr>
            <w:r>
              <w:t>ITAA 1997</w:t>
            </w:r>
          </w:p>
        </w:tc>
        <w:tc>
          <w:tcPr>
            <w:tcW w:w="3874" w:type="dxa"/>
          </w:tcPr>
          <w:p w14:paraId="26CDCBBE" w14:textId="4EEB00FE" w:rsidR="00873094" w:rsidRPr="00205087" w:rsidRDefault="0064614C" w:rsidP="002425D9">
            <w:pPr>
              <w:pStyle w:val="Normalparatextnonumbers"/>
              <w:rPr>
                <w:i/>
                <w:iCs/>
              </w:rPr>
            </w:pPr>
            <w:r w:rsidRPr="00205087">
              <w:rPr>
                <w:i/>
                <w:iCs/>
              </w:rPr>
              <w:t>Income Tax Assessment Act 1997</w:t>
            </w:r>
          </w:p>
        </w:tc>
      </w:tr>
      <w:tr w:rsidR="00873094" w:rsidRPr="00020288" w14:paraId="21B62CC6" w14:textId="77777777" w:rsidTr="002425D9">
        <w:tc>
          <w:tcPr>
            <w:tcW w:w="3776" w:type="dxa"/>
          </w:tcPr>
          <w:p w14:paraId="75EA274D" w14:textId="450D33BB" w:rsidR="00873094" w:rsidRPr="00020288" w:rsidRDefault="00475BE1" w:rsidP="002425D9">
            <w:pPr>
              <w:pStyle w:val="Normalparatextnonumbers"/>
            </w:pPr>
            <w:r>
              <w:t>SMSF</w:t>
            </w:r>
          </w:p>
        </w:tc>
        <w:tc>
          <w:tcPr>
            <w:tcW w:w="3874" w:type="dxa"/>
          </w:tcPr>
          <w:p w14:paraId="32F2A524" w14:textId="7F584023" w:rsidR="00873094" w:rsidRPr="00020288" w:rsidRDefault="00A04F30" w:rsidP="002425D9">
            <w:pPr>
              <w:pStyle w:val="Normalparatextnonumbers"/>
            </w:pPr>
            <w:proofErr w:type="spellStart"/>
            <w:r>
              <w:t>Self managed</w:t>
            </w:r>
            <w:proofErr w:type="spellEnd"/>
            <w:r>
              <w:t xml:space="preserve"> super fund</w:t>
            </w:r>
            <w:r w:rsidR="0064614C">
              <w:t xml:space="preserve"> as defined in </w:t>
            </w:r>
            <w:r w:rsidR="0064614C" w:rsidRPr="00205087">
              <w:rPr>
                <w:rStyle w:val="References"/>
                <w:b w:val="0"/>
                <w:bCs w:val="0"/>
                <w:i w:val="0"/>
                <w:iCs w:val="0"/>
              </w:rPr>
              <w:t>section 17A</w:t>
            </w:r>
            <w:r w:rsidR="0064614C" w:rsidRPr="00205087">
              <w:rPr>
                <w:b/>
              </w:rPr>
              <w:t xml:space="preserve"> </w:t>
            </w:r>
            <w:r w:rsidR="0064614C" w:rsidRPr="00CF3F31">
              <w:rPr>
                <w:bCs/>
              </w:rPr>
              <w:t>of the</w:t>
            </w:r>
            <w:r w:rsidR="0064614C" w:rsidRPr="00205087">
              <w:rPr>
                <w:b/>
              </w:rPr>
              <w:t xml:space="preserve"> </w:t>
            </w:r>
            <w:r w:rsidR="00CF3F31" w:rsidRPr="00205087">
              <w:rPr>
                <w:rStyle w:val="References"/>
                <w:b w:val="0"/>
                <w:bCs w:val="0"/>
              </w:rPr>
              <w:t>Superannuation Industry (Supervision) Act 1993</w:t>
            </w:r>
          </w:p>
        </w:tc>
      </w:tr>
    </w:tbl>
    <w:p w14:paraId="4AE7E523" w14:textId="77777777" w:rsidR="00873094" w:rsidRPr="00020288" w:rsidRDefault="00873094" w:rsidP="00873094"/>
    <w:p w14:paraId="3D4E3F4A" w14:textId="77777777" w:rsidR="00873094" w:rsidRPr="00020288" w:rsidRDefault="00873094" w:rsidP="00873094">
      <w:pPr>
        <w:pStyle w:val="Heading1"/>
        <w:rPr>
          <w:rFonts w:hint="eastAsia"/>
        </w:r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4615AAC1" w14:textId="62D65CCA" w:rsidR="00873094" w:rsidRPr="0073326A" w:rsidRDefault="00AD34A3" w:rsidP="00777A92">
      <w:pPr>
        <w:pStyle w:val="Chapterheading"/>
        <w:rPr>
          <w:rFonts w:hint="eastAsia"/>
        </w:rPr>
      </w:pPr>
      <w:bookmarkStart w:id="41" w:name="GeneralOutline"/>
      <w:bookmarkStart w:id="42" w:name="_Toc137219117"/>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 xml:space="preserve">Non-Arm’s length </w:t>
      </w:r>
      <w:r w:rsidR="00586C68">
        <w:t>expense rules for superannuation funds</w:t>
      </w:r>
      <w:bookmarkEnd w:id="42"/>
    </w:p>
    <w:p w14:paraId="075A163D" w14:textId="2B92C693" w:rsidR="00873094" w:rsidRDefault="00475BE1" w:rsidP="00873094">
      <w:pPr>
        <w:rPr>
          <w:rFonts w:ascii="Helvitica" w:hAnsi="Helvitica"/>
          <w:sz w:val="40"/>
        </w:rPr>
      </w:pPr>
      <w:bookmarkStart w:id="43" w:name="Chapter1"/>
      <w:r>
        <w:rPr>
          <w:rFonts w:ascii="Helvitica" w:hAnsi="Helvitica"/>
          <w:sz w:val="40"/>
        </w:rPr>
        <w:t xml:space="preserve">Table of Contents: </w:t>
      </w:r>
    </w:p>
    <w:p w14:paraId="36BDB20F" w14:textId="6C09E5E6" w:rsidR="006C1AA2" w:rsidRDefault="00475BE1">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6C1AA2">
        <w:t>Outline of chapter</w:t>
      </w:r>
      <w:r w:rsidR="006C1AA2">
        <w:rPr>
          <w:webHidden/>
        </w:rPr>
        <w:tab/>
      </w:r>
      <w:r w:rsidR="006C1AA2">
        <w:rPr>
          <w:webHidden/>
        </w:rPr>
        <w:fldChar w:fldCharType="begin"/>
      </w:r>
      <w:r w:rsidR="006C1AA2">
        <w:rPr>
          <w:webHidden/>
        </w:rPr>
        <w:instrText xml:space="preserve"> PAGEREF _Toc137219118 \h </w:instrText>
      </w:r>
      <w:r w:rsidR="006C1AA2">
        <w:rPr>
          <w:webHidden/>
        </w:rPr>
      </w:r>
      <w:r w:rsidR="006C1AA2">
        <w:rPr>
          <w:webHidden/>
        </w:rPr>
        <w:fldChar w:fldCharType="separate"/>
      </w:r>
      <w:r w:rsidR="002150F2">
        <w:rPr>
          <w:webHidden/>
        </w:rPr>
        <w:t>5</w:t>
      </w:r>
      <w:r w:rsidR="006C1AA2">
        <w:rPr>
          <w:webHidden/>
        </w:rPr>
        <w:fldChar w:fldCharType="end"/>
      </w:r>
    </w:p>
    <w:p w14:paraId="2664C144" w14:textId="0438689B" w:rsidR="006C1AA2" w:rsidRDefault="006C1AA2">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_Toc137219119 \h </w:instrText>
      </w:r>
      <w:r>
        <w:rPr>
          <w:webHidden/>
        </w:rPr>
      </w:r>
      <w:r>
        <w:rPr>
          <w:webHidden/>
        </w:rPr>
        <w:fldChar w:fldCharType="separate"/>
      </w:r>
      <w:r w:rsidR="002150F2">
        <w:rPr>
          <w:webHidden/>
        </w:rPr>
        <w:t>6</w:t>
      </w:r>
      <w:r>
        <w:rPr>
          <w:webHidden/>
        </w:rPr>
        <w:fldChar w:fldCharType="end"/>
      </w:r>
    </w:p>
    <w:p w14:paraId="0257230D" w14:textId="5A6646F5" w:rsidR="006C1AA2" w:rsidRDefault="006C1AA2">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_Toc137219120 \h </w:instrText>
      </w:r>
      <w:r>
        <w:rPr>
          <w:webHidden/>
        </w:rPr>
      </w:r>
      <w:r>
        <w:rPr>
          <w:webHidden/>
        </w:rPr>
        <w:fldChar w:fldCharType="separate"/>
      </w:r>
      <w:r w:rsidR="002150F2">
        <w:rPr>
          <w:webHidden/>
        </w:rPr>
        <w:t>7</w:t>
      </w:r>
      <w:r>
        <w:rPr>
          <w:webHidden/>
        </w:rPr>
        <w:fldChar w:fldCharType="end"/>
      </w:r>
    </w:p>
    <w:p w14:paraId="63E858ED" w14:textId="0DF3E85D" w:rsidR="006C1AA2" w:rsidRDefault="006C1AA2">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_Toc137219121 \h </w:instrText>
      </w:r>
      <w:r>
        <w:rPr>
          <w:webHidden/>
        </w:rPr>
      </w:r>
      <w:r>
        <w:rPr>
          <w:webHidden/>
        </w:rPr>
        <w:fldChar w:fldCharType="separate"/>
      </w:r>
      <w:r w:rsidR="002150F2">
        <w:rPr>
          <w:webHidden/>
        </w:rPr>
        <w:t>7</w:t>
      </w:r>
      <w:r>
        <w:rPr>
          <w:webHidden/>
        </w:rPr>
        <w:fldChar w:fldCharType="end"/>
      </w:r>
    </w:p>
    <w:p w14:paraId="63A86692" w14:textId="057789C2" w:rsidR="006C1AA2" w:rsidRDefault="006C1AA2">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_Toc137219122 \h </w:instrText>
      </w:r>
      <w:r>
        <w:rPr>
          <w:webHidden/>
        </w:rPr>
      </w:r>
      <w:r>
        <w:rPr>
          <w:webHidden/>
        </w:rPr>
        <w:fldChar w:fldCharType="separate"/>
      </w:r>
      <w:r w:rsidR="002150F2">
        <w:rPr>
          <w:webHidden/>
        </w:rPr>
        <w:t>18</w:t>
      </w:r>
      <w:r>
        <w:rPr>
          <w:webHidden/>
        </w:rPr>
        <w:fldChar w:fldCharType="end"/>
      </w:r>
    </w:p>
    <w:p w14:paraId="4E73E427" w14:textId="6FF474CA" w:rsidR="006C1AA2" w:rsidRDefault="006C1AA2">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_Toc137219123 \h </w:instrText>
      </w:r>
      <w:r>
        <w:rPr>
          <w:webHidden/>
        </w:rPr>
      </w:r>
      <w:r>
        <w:rPr>
          <w:webHidden/>
        </w:rPr>
        <w:fldChar w:fldCharType="separate"/>
      </w:r>
      <w:r w:rsidR="002150F2">
        <w:rPr>
          <w:webHidden/>
        </w:rPr>
        <w:t>18</w:t>
      </w:r>
      <w:r>
        <w:rPr>
          <w:webHidden/>
        </w:rPr>
        <w:fldChar w:fldCharType="end"/>
      </w:r>
    </w:p>
    <w:p w14:paraId="6E65A848" w14:textId="4F048256" w:rsidR="00475BE1" w:rsidRPr="00020288" w:rsidRDefault="00475BE1" w:rsidP="00475BE1">
      <w:r>
        <w:fldChar w:fldCharType="end"/>
      </w:r>
    </w:p>
    <w:p w14:paraId="72A434D3" w14:textId="77777777" w:rsidR="00873094" w:rsidRPr="00020288" w:rsidRDefault="00873094" w:rsidP="005D0844">
      <w:pPr>
        <w:pStyle w:val="Heading2"/>
        <w:rPr>
          <w:rFonts w:hint="eastAsia"/>
        </w:rPr>
      </w:pPr>
      <w:bookmarkStart w:id="44" w:name="_Toc137219118"/>
      <w:r w:rsidRPr="00020288">
        <w:t xml:space="preserve">Outline </w:t>
      </w:r>
      <w:r w:rsidRPr="005D0844">
        <w:t>of</w:t>
      </w:r>
      <w:r w:rsidRPr="00020288">
        <w:t xml:space="preserve"> chapter</w:t>
      </w:r>
      <w:bookmarkEnd w:id="44"/>
    </w:p>
    <w:p w14:paraId="208B7A04" w14:textId="4098E879" w:rsidR="00873094" w:rsidRDefault="00475BE1" w:rsidP="000E521B">
      <w:pPr>
        <w:pStyle w:val="Normalparatextwithnumbers"/>
      </w:pPr>
      <w:r>
        <w:t>Schedule [x] of the Bill makes changes to the rules for non-arm</w:t>
      </w:r>
      <w:r w:rsidR="00A3627B">
        <w:t>’</w:t>
      </w:r>
      <w:r>
        <w:t>s length expenses for superannuation funds.</w:t>
      </w:r>
    </w:p>
    <w:p w14:paraId="7D84F147" w14:textId="73CBA804" w:rsidR="00475BE1" w:rsidRDefault="00475BE1" w:rsidP="000E521B">
      <w:pPr>
        <w:pStyle w:val="Normalparatextwithnumbers"/>
      </w:pPr>
      <w:r>
        <w:t xml:space="preserve">These changes improve the operation of the rules in relation to expenses that are incurred on </w:t>
      </w:r>
      <w:r w:rsidR="009410A2">
        <w:t xml:space="preserve">a </w:t>
      </w:r>
      <w:r>
        <w:t>non-arm</w:t>
      </w:r>
      <w:r w:rsidR="00097886">
        <w:t>’</w:t>
      </w:r>
      <w:r>
        <w:t>s length basis</w:t>
      </w:r>
      <w:r w:rsidR="00BF0631">
        <w:t>,</w:t>
      </w:r>
      <w:r w:rsidR="004272E8">
        <w:t xml:space="preserve"> </w:t>
      </w:r>
      <w:r w:rsidR="004272E8" w:rsidRPr="004272E8">
        <w:t xml:space="preserve">referred to as non-arm’s length expenses (including where expenses are not incurred), introduced </w:t>
      </w:r>
      <w:r w:rsidR="00717031">
        <w:t>by</w:t>
      </w:r>
      <w:r w:rsidR="004272E8" w:rsidRPr="004272E8">
        <w:t xml:space="preserve"> the </w:t>
      </w:r>
      <w:r w:rsidR="004272E8" w:rsidRPr="00860902">
        <w:rPr>
          <w:i/>
          <w:iCs/>
        </w:rPr>
        <w:t xml:space="preserve">Treasury Laws Amendment (2018 Superannuation Measures No. 1) </w:t>
      </w:r>
      <w:r w:rsidR="00E40A2C" w:rsidRPr="00860902">
        <w:rPr>
          <w:i/>
          <w:iCs/>
        </w:rPr>
        <w:t xml:space="preserve">Act </w:t>
      </w:r>
      <w:r w:rsidR="004272E8" w:rsidRPr="00860902">
        <w:rPr>
          <w:i/>
          <w:iCs/>
        </w:rPr>
        <w:t>2019</w:t>
      </w:r>
      <w:r>
        <w:t>.</w:t>
      </w:r>
    </w:p>
    <w:p w14:paraId="1B65B75B" w14:textId="3F5E364C" w:rsidR="00475BE1" w:rsidRDefault="00475BE1" w:rsidP="000E521B">
      <w:pPr>
        <w:pStyle w:val="Normalparatextwithnumbers"/>
      </w:pPr>
      <w:r>
        <w:t xml:space="preserve">Schedule [x] of the </w:t>
      </w:r>
      <w:r w:rsidR="00EF610A">
        <w:t>B</w:t>
      </w:r>
      <w:r>
        <w:t>ill will exempt large</w:t>
      </w:r>
      <w:r w:rsidR="00E74CFF">
        <w:t xml:space="preserve"> </w:t>
      </w:r>
      <w:r>
        <w:t>APRA</w:t>
      </w:r>
      <w:r w:rsidR="00E74CFF">
        <w:t>-</w:t>
      </w:r>
      <w:r>
        <w:t>regulated funds</w:t>
      </w:r>
      <w:r w:rsidR="002A4CDA">
        <w:t>, including exempt public sector superannuation funds</w:t>
      </w:r>
      <w:r w:rsidR="00623F68">
        <w:t>,</w:t>
      </w:r>
      <w:r>
        <w:t xml:space="preserve"> from the</w:t>
      </w:r>
      <w:r w:rsidR="00EF610A">
        <w:t xml:space="preserve"> non-arm’s length income</w:t>
      </w:r>
      <w:r>
        <w:t xml:space="preserve"> rules related to non-arm</w:t>
      </w:r>
      <w:r w:rsidR="00097886">
        <w:t>’</w:t>
      </w:r>
      <w:r>
        <w:t xml:space="preserve">s length expenses, although these funds will still be subject </w:t>
      </w:r>
      <w:r w:rsidR="00A33DC2">
        <w:t>to the remaining non-arm’s length income</w:t>
      </w:r>
      <w:r>
        <w:t xml:space="preserve"> rules for income derived on a non-arm</w:t>
      </w:r>
      <w:r w:rsidR="00097886">
        <w:t>’</w:t>
      </w:r>
      <w:r>
        <w:t>s length basis.</w:t>
      </w:r>
    </w:p>
    <w:p w14:paraId="545FECE9" w14:textId="66F99BA9" w:rsidR="00475BE1" w:rsidRDefault="00475BE1" w:rsidP="000E521B">
      <w:pPr>
        <w:pStyle w:val="Normalparatextwithnumbers"/>
      </w:pPr>
      <w:r>
        <w:t>For SMSFs and small</w:t>
      </w:r>
      <w:r w:rsidR="00E74CFF">
        <w:t xml:space="preserve"> </w:t>
      </w:r>
      <w:r>
        <w:t>A</w:t>
      </w:r>
      <w:r w:rsidR="001E7376">
        <w:t>PRA</w:t>
      </w:r>
      <w:r w:rsidR="00E74CFF">
        <w:t>-</w:t>
      </w:r>
      <w:r>
        <w:t>regulated funds these amendments will apply different treatment depending on the type of expense that is incurred on a non</w:t>
      </w:r>
      <w:r w:rsidR="00A9679B">
        <w:noBreakHyphen/>
      </w:r>
      <w:r>
        <w:t>arm</w:t>
      </w:r>
      <w:r w:rsidR="00097886">
        <w:t>’</w:t>
      </w:r>
      <w:r>
        <w:t>s length basis.</w:t>
      </w:r>
    </w:p>
    <w:p w14:paraId="286F8B61" w14:textId="62A16557" w:rsidR="00475BE1" w:rsidRDefault="000B31A5" w:rsidP="000E521B">
      <w:pPr>
        <w:pStyle w:val="Normalparatextwithnumbers"/>
      </w:pPr>
      <w:r>
        <w:t>A</w:t>
      </w:r>
      <w:r w:rsidR="00120F79">
        <w:t>ny</w:t>
      </w:r>
      <w:r>
        <w:t xml:space="preserve"> n</w:t>
      </w:r>
      <w:r w:rsidR="00B57DA6">
        <w:t>on</w:t>
      </w:r>
      <w:r w:rsidR="00B6041B">
        <w:t>-</w:t>
      </w:r>
      <w:r w:rsidR="00B57DA6">
        <w:t>arm’s length e</w:t>
      </w:r>
      <w:r w:rsidR="00B97811">
        <w:t xml:space="preserve">xpense </w:t>
      </w:r>
      <w:r>
        <w:t>will</w:t>
      </w:r>
      <w:r w:rsidR="008D4BCC">
        <w:t xml:space="preserve"> be</w:t>
      </w:r>
      <w:r w:rsidR="009A668D">
        <w:t xml:space="preserve"> either </w:t>
      </w:r>
      <w:r w:rsidR="00120F79">
        <w:t xml:space="preserve">a </w:t>
      </w:r>
      <w:r w:rsidR="009A668D">
        <w:t xml:space="preserve">specific expense or </w:t>
      </w:r>
      <w:r w:rsidR="00120F79">
        <w:t xml:space="preserve">a </w:t>
      </w:r>
      <w:r w:rsidR="009A668D">
        <w:t xml:space="preserve">general expense. </w:t>
      </w:r>
      <w:r w:rsidR="00F12294">
        <w:t xml:space="preserve">A general expense will be an expense </w:t>
      </w:r>
      <w:r w:rsidR="004A2D8B">
        <w:t xml:space="preserve">that is not related to gaining or producing income from a </w:t>
      </w:r>
      <w:r w:rsidR="008D4BCC">
        <w:t xml:space="preserve">particular </w:t>
      </w:r>
      <w:r w:rsidR="004A2D8B">
        <w:t>asset of the fund</w:t>
      </w:r>
      <w:r w:rsidR="0054331E">
        <w:t>.</w:t>
      </w:r>
      <w:r w:rsidR="004A2D8B">
        <w:t xml:space="preserve"> </w:t>
      </w:r>
      <w:r w:rsidR="0054331E">
        <w:t>A</w:t>
      </w:r>
      <w:r w:rsidR="004A2D8B">
        <w:t xml:space="preserve"> specific expense will be </w:t>
      </w:r>
      <w:r w:rsidR="00AD3CB0">
        <w:t>any other expense. An expense incurred in</w:t>
      </w:r>
      <w:r w:rsidR="004F2D31">
        <w:t xml:space="preserve"> </w:t>
      </w:r>
      <w:r w:rsidR="008A4A2F">
        <w:t xml:space="preserve">relation to </w:t>
      </w:r>
      <w:r w:rsidR="00AD3CB0">
        <w:t xml:space="preserve">gaining or producing income </w:t>
      </w:r>
      <w:r w:rsidR="00B57112">
        <w:t xml:space="preserve">as a beneficiary of a </w:t>
      </w:r>
      <w:r w:rsidR="008A4A2F">
        <w:t>trust</w:t>
      </w:r>
      <w:r w:rsidR="00B57112">
        <w:t xml:space="preserve"> through holding</w:t>
      </w:r>
      <w:r w:rsidR="008A4A2F">
        <w:t xml:space="preserve"> or acquiring a fixed entitlement to t</w:t>
      </w:r>
      <w:r w:rsidR="00B57112">
        <w:t>he</w:t>
      </w:r>
      <w:r w:rsidR="008A4A2F">
        <w:t xml:space="preserve"> income</w:t>
      </w:r>
      <w:r w:rsidR="0079273A">
        <w:t xml:space="preserve"> </w:t>
      </w:r>
      <w:r w:rsidR="00B57112">
        <w:t>of a trust</w:t>
      </w:r>
      <w:r w:rsidR="0079273A">
        <w:t xml:space="preserve"> </w:t>
      </w:r>
      <w:r w:rsidR="00AD3CB0">
        <w:t>will always be a specific expense.</w:t>
      </w:r>
    </w:p>
    <w:p w14:paraId="4833E08A" w14:textId="64B9AC92" w:rsidR="004A2D8B" w:rsidRDefault="00AD3CB0" w:rsidP="000E521B">
      <w:pPr>
        <w:pStyle w:val="Normalparatextwithnumbers"/>
      </w:pPr>
      <w:r>
        <w:lastRenderedPageBreak/>
        <w:t>For</w:t>
      </w:r>
      <w:r w:rsidR="002D4500">
        <w:t xml:space="preserve"> specific expenses the existing treatment will continue to apply, </w:t>
      </w:r>
      <w:r w:rsidR="008E66D6">
        <w:t>and the amount of income that will be taxed as non-arm</w:t>
      </w:r>
      <w:r w:rsidR="00097886">
        <w:t>’</w:t>
      </w:r>
      <w:r w:rsidR="008E66D6">
        <w:t xml:space="preserve">s length income will be the amount of income </w:t>
      </w:r>
      <w:r w:rsidR="004A2FF1">
        <w:t>derived</w:t>
      </w:r>
      <w:r w:rsidR="008E66D6">
        <w:t xml:space="preserve"> from the scheme </w:t>
      </w:r>
      <w:r w:rsidR="00313B41">
        <w:t>in which the parties were not dealing at arm’s length</w:t>
      </w:r>
      <w:r w:rsidR="006E4D79">
        <w:t>.</w:t>
      </w:r>
    </w:p>
    <w:p w14:paraId="32D4A945" w14:textId="1DC1752D" w:rsidR="00E75335" w:rsidRDefault="00E75335" w:rsidP="00E75335">
      <w:pPr>
        <w:pStyle w:val="Normalparatextwithnumbers"/>
      </w:pPr>
      <w:r>
        <w:t xml:space="preserve">For general expenses the amount of income that will be taxed as non-arm’s length income will be twice the difference between the amount of the expense that </w:t>
      </w:r>
      <w:r w:rsidR="00AC745D">
        <w:t>might</w:t>
      </w:r>
      <w:r>
        <w:t xml:space="preserve"> have </w:t>
      </w:r>
      <w:r w:rsidR="00727E65">
        <w:t xml:space="preserve">been </w:t>
      </w:r>
      <w:r w:rsidR="00AC745D">
        <w:t xml:space="preserve">expected to </w:t>
      </w:r>
      <w:r>
        <w:t>be incurred had the parties been dealing at arm’s length</w:t>
      </w:r>
      <w:r w:rsidR="00677DC7">
        <w:t>,</w:t>
      </w:r>
      <w:r>
        <w:t xml:space="preserve"> and the amount the entity did incur.</w:t>
      </w:r>
      <w:r w:rsidR="00A56956">
        <w:t xml:space="preserve"> Where the entity did not incur an</w:t>
      </w:r>
      <w:r w:rsidR="00AC745D">
        <w:t>y</w:t>
      </w:r>
      <w:r w:rsidR="00A56956">
        <w:t xml:space="preserve"> expense, the amount of income that will be taxed as non-arm’s length income will be twice the amount that might have been </w:t>
      </w:r>
      <w:r w:rsidR="00AC745D">
        <w:t xml:space="preserve">expected to be </w:t>
      </w:r>
      <w:r w:rsidR="00A56956">
        <w:t>incurred had the parties been dealing at arm’s length.</w:t>
      </w:r>
    </w:p>
    <w:p w14:paraId="236E7A55" w14:textId="2FF90AD7" w:rsidR="00E75335" w:rsidRDefault="00E75335" w:rsidP="00E75335">
      <w:pPr>
        <w:pStyle w:val="Normalparatextwithnumbers"/>
      </w:pPr>
      <w:r>
        <w:t>The total amount of a small complying superannuation fund’s non-arm’s length component will be capped at an entity’s taxable income for the year not including any assessable contributions</w:t>
      </w:r>
      <w:r w:rsidR="00BA6377">
        <w:t xml:space="preserve"> </w:t>
      </w:r>
      <w:r w:rsidR="002F5544">
        <w:t>or</w:t>
      </w:r>
      <w:r w:rsidR="00575A0B">
        <w:t xml:space="preserve"> any</w:t>
      </w:r>
      <w:r w:rsidR="00BA6377">
        <w:t xml:space="preserve"> deductions against assessable contributions</w:t>
      </w:r>
      <w:r>
        <w:t>.</w:t>
      </w:r>
      <w:r w:rsidR="00541806">
        <w:t xml:space="preserve"> </w:t>
      </w:r>
    </w:p>
    <w:p w14:paraId="0EF8F491" w14:textId="0A60E6B7" w:rsidR="008B472E" w:rsidRPr="000E521B" w:rsidRDefault="008B472E" w:rsidP="000E521B">
      <w:pPr>
        <w:pStyle w:val="Normalparatextwithnumbers"/>
      </w:pPr>
      <w:r>
        <w:t>These changes will apply to</w:t>
      </w:r>
      <w:r w:rsidR="00851F97">
        <w:t xml:space="preserve"> income derived</w:t>
      </w:r>
      <w:r w:rsidR="00851F97" w:rsidRPr="002C2CE8">
        <w:t xml:space="preserve"> </w:t>
      </w:r>
      <w:r w:rsidR="00851F97">
        <w:t>in the 2023-24 income year or a later income year, and</w:t>
      </w:r>
      <w:r>
        <w:t xml:space="preserve"> </w:t>
      </w:r>
      <w:r w:rsidR="00B32DD6">
        <w:t>expenses incurred or expected to have been incurred on or after 1 July 2023</w:t>
      </w:r>
      <w:r w:rsidR="004825E2">
        <w:t>.</w:t>
      </w:r>
    </w:p>
    <w:p w14:paraId="397EC082" w14:textId="41B80607" w:rsidR="00873094" w:rsidRDefault="00873094" w:rsidP="00CF3C3E">
      <w:pPr>
        <w:pStyle w:val="Heading2"/>
        <w:rPr>
          <w:rFonts w:hint="eastAsia"/>
        </w:rPr>
      </w:pPr>
      <w:bookmarkStart w:id="45" w:name="_Toc137219119"/>
      <w:r w:rsidRPr="00020288">
        <w:t xml:space="preserve">Context of </w:t>
      </w:r>
      <w:r w:rsidRPr="005D0844">
        <w:t>amendments</w:t>
      </w:r>
      <w:bookmarkEnd w:id="45"/>
    </w:p>
    <w:p w14:paraId="6C96BBC8" w14:textId="73521968" w:rsidR="00C46D24" w:rsidRDefault="00975499" w:rsidP="00873094">
      <w:pPr>
        <w:pStyle w:val="Normalparatextwithnumbers"/>
        <w:numPr>
          <w:ilvl w:val="1"/>
          <w:numId w:val="3"/>
        </w:numPr>
      </w:pPr>
      <w:r>
        <w:t xml:space="preserve">Superannuation industry </w:t>
      </w:r>
      <w:r w:rsidR="00613F5D">
        <w:t>s</w:t>
      </w:r>
      <w:r w:rsidR="00EF66AF">
        <w:t xml:space="preserve">takeholders raised a range of concerns </w:t>
      </w:r>
      <w:r w:rsidR="00AF6FCF">
        <w:t xml:space="preserve">with the original 2019 amendments contained in the </w:t>
      </w:r>
      <w:r w:rsidR="00AF6FCF">
        <w:rPr>
          <w:i/>
          <w:iCs/>
        </w:rPr>
        <w:t>Treasury Laws Amendment (2018 Superannuation Measures No. 1) Act 2019</w:t>
      </w:r>
      <w:r w:rsidR="00AF6FCF">
        <w:t xml:space="preserve"> </w:t>
      </w:r>
      <w:r w:rsidR="00114E45">
        <w:t xml:space="preserve">through </w:t>
      </w:r>
      <w:r w:rsidR="005C3F36">
        <w:t>c</w:t>
      </w:r>
      <w:r w:rsidR="00F4406A">
        <w:t xml:space="preserve">onsultation </w:t>
      </w:r>
      <w:r w:rsidR="00835336">
        <w:t>in March 2023</w:t>
      </w:r>
      <w:r w:rsidR="00292D5C">
        <w:t xml:space="preserve"> </w:t>
      </w:r>
      <w:r w:rsidR="00F4406A">
        <w:t>on the non-arm’s length expense provisions</w:t>
      </w:r>
      <w:r w:rsidR="00114E45">
        <w:t>.</w:t>
      </w:r>
      <w:r w:rsidR="00F4406A">
        <w:t xml:space="preserve"> </w:t>
      </w:r>
      <w:r w:rsidR="00D6545D">
        <w:t>Stakeholders also raised concerns with potential amendments to the non-arm’s length expense provisions released for consultation in January 2023</w:t>
      </w:r>
      <w:r w:rsidR="00F4406A">
        <w:t xml:space="preserve">. </w:t>
      </w:r>
      <w:r w:rsidR="0073065E">
        <w:t xml:space="preserve">Stakeholders </w:t>
      </w:r>
      <w:r w:rsidR="00A63210">
        <w:t>expressed concerns</w:t>
      </w:r>
      <w:r w:rsidR="002C0DEE">
        <w:t xml:space="preserve"> that t</w:t>
      </w:r>
      <w:r w:rsidR="00A037A1">
        <w:t>he current law can lead to harsh outcomes</w:t>
      </w:r>
      <w:r w:rsidR="00233DF6">
        <w:t xml:space="preserve"> for relatively minor breaches</w:t>
      </w:r>
      <w:r w:rsidR="005E7A75">
        <w:t xml:space="preserve">, </w:t>
      </w:r>
      <w:r w:rsidR="00BD458D">
        <w:t>related to</w:t>
      </w:r>
      <w:r w:rsidR="00EF7394">
        <w:t xml:space="preserve"> </w:t>
      </w:r>
      <w:r w:rsidR="008E15B2">
        <w:t>expenses such as accounting fees that have</w:t>
      </w:r>
      <w:r w:rsidR="00EF7394">
        <w:t xml:space="preserve"> a sufficient nexus to all income of the fund. </w:t>
      </w:r>
      <w:r w:rsidR="00233DF6">
        <w:t xml:space="preserve">In these circumstances, </w:t>
      </w:r>
      <w:r w:rsidR="00E1152E">
        <w:t xml:space="preserve">a small advantage obtained </w:t>
      </w:r>
      <w:r w:rsidR="006C1F1B">
        <w:t xml:space="preserve">by minimising an expense </w:t>
      </w:r>
      <w:r w:rsidR="000929DD">
        <w:t xml:space="preserve">through </w:t>
      </w:r>
      <w:r w:rsidR="00E1152E">
        <w:t>a</w:t>
      </w:r>
      <w:r w:rsidR="00A037A1">
        <w:t xml:space="preserve"> non-arm’s length </w:t>
      </w:r>
      <w:r w:rsidR="000929DD">
        <w:t xml:space="preserve">transaction </w:t>
      </w:r>
      <w:r w:rsidR="00A037A1">
        <w:t xml:space="preserve">can result in </w:t>
      </w:r>
      <w:r w:rsidR="00C0426B">
        <w:t xml:space="preserve">all income of the fund for that year </w:t>
      </w:r>
      <w:r w:rsidR="00A037A1">
        <w:t>being</w:t>
      </w:r>
      <w:r w:rsidR="00C0426B">
        <w:t xml:space="preserve"> taxed at </w:t>
      </w:r>
      <w:r w:rsidR="00FD72A5">
        <w:t xml:space="preserve">the </w:t>
      </w:r>
      <w:r w:rsidR="00BB2C07">
        <w:t>highest marginal rate</w:t>
      </w:r>
      <w:r w:rsidR="00C0426B">
        <w:t>.</w:t>
      </w:r>
    </w:p>
    <w:p w14:paraId="2415D35D" w14:textId="773AAECF" w:rsidR="00786F5F" w:rsidRDefault="009673EA" w:rsidP="00873094">
      <w:pPr>
        <w:pStyle w:val="Normalparatextwithnumbers"/>
        <w:numPr>
          <w:ilvl w:val="1"/>
          <w:numId w:val="3"/>
        </w:numPr>
      </w:pPr>
      <w:r>
        <w:t xml:space="preserve">When the non-arm’s length expense </w:t>
      </w:r>
      <w:r w:rsidR="00786F5F">
        <w:t xml:space="preserve">provisions </w:t>
      </w:r>
      <w:r w:rsidR="002B1BEE">
        <w:t>were enacted</w:t>
      </w:r>
      <w:r w:rsidR="0019180D">
        <w:t xml:space="preserve">, they applied to </w:t>
      </w:r>
      <w:r w:rsidR="002B1BEE">
        <w:t>the 2018-19 income year and future income years</w:t>
      </w:r>
      <w:r w:rsidR="009559AC">
        <w:t xml:space="preserve">. Expenses incurred before the provisions were enacted could </w:t>
      </w:r>
      <w:r w:rsidR="000F497F">
        <w:t>be c</w:t>
      </w:r>
      <w:r w:rsidR="009B70D4">
        <w:t>overed by the provisions</w:t>
      </w:r>
      <w:r w:rsidR="007739CC">
        <w:t xml:space="preserve"> and </w:t>
      </w:r>
      <w:r w:rsidR="009559AC">
        <w:t xml:space="preserve">result in income </w:t>
      </w:r>
      <w:r w:rsidR="00D1673D">
        <w:t xml:space="preserve">in </w:t>
      </w:r>
      <w:r w:rsidR="007739CC">
        <w:t xml:space="preserve">later income </w:t>
      </w:r>
      <w:r w:rsidR="00D1673D">
        <w:t xml:space="preserve">years being taxed at </w:t>
      </w:r>
      <w:r w:rsidR="009F56E5">
        <w:t xml:space="preserve">the </w:t>
      </w:r>
      <w:r w:rsidR="00BB2C07">
        <w:t>highest marginal rate</w:t>
      </w:r>
      <w:r w:rsidR="00D1673D">
        <w:t>.</w:t>
      </w:r>
    </w:p>
    <w:p w14:paraId="5635C412" w14:textId="6EB4C850" w:rsidR="000929DD" w:rsidRPr="00020288" w:rsidRDefault="000929DD" w:rsidP="00873094">
      <w:pPr>
        <w:pStyle w:val="Normalparatextwithnumbers"/>
        <w:numPr>
          <w:ilvl w:val="1"/>
          <w:numId w:val="3"/>
        </w:numPr>
      </w:pPr>
      <w:r>
        <w:t xml:space="preserve">The current </w:t>
      </w:r>
      <w:r w:rsidR="00782F29">
        <w:t>provisions</w:t>
      </w:r>
      <w:r>
        <w:t xml:space="preserve"> </w:t>
      </w:r>
      <w:r w:rsidR="00782F29">
        <w:t>apply equally to all complying superannuation funds, rather than being ta</w:t>
      </w:r>
      <w:r w:rsidR="00103CC3">
        <w:t>ilored</w:t>
      </w:r>
      <w:r w:rsidR="00782F29">
        <w:t xml:space="preserve"> to the level of risk.</w:t>
      </w:r>
      <w:r>
        <w:t xml:space="preserve"> </w:t>
      </w:r>
      <w:r w:rsidR="00C87E4D">
        <w:t>For l</w:t>
      </w:r>
      <w:r>
        <w:t xml:space="preserve">arge funds </w:t>
      </w:r>
      <w:r w:rsidR="00CB1754">
        <w:t xml:space="preserve">there is a lower risk that these funds will </w:t>
      </w:r>
      <w:r w:rsidR="001E2664">
        <w:t xml:space="preserve">gain a tax advantage by </w:t>
      </w:r>
      <w:r w:rsidR="00CB1754">
        <w:t>engag</w:t>
      </w:r>
      <w:r w:rsidR="001E2664">
        <w:t>ing</w:t>
      </w:r>
      <w:r w:rsidR="00CB1754">
        <w:t xml:space="preserve"> in schemes with related parties to incur losses or outgoings at less than arm</w:t>
      </w:r>
      <w:r w:rsidR="006A10F7">
        <w:t>’</w:t>
      </w:r>
      <w:r w:rsidR="00CB1754">
        <w:t>s</w:t>
      </w:r>
      <w:r w:rsidR="00A644B8">
        <w:t xml:space="preserve"> </w:t>
      </w:r>
      <w:r w:rsidR="0029654B">
        <w:t>length.</w:t>
      </w:r>
      <w:r w:rsidR="0029654B">
        <w:rPr>
          <w:rStyle w:val="CommentReference"/>
        </w:rPr>
        <w:t xml:space="preserve"> </w:t>
      </w:r>
      <w:r w:rsidR="0029654B">
        <w:t>Due</w:t>
      </w:r>
      <w:r w:rsidR="008177AF">
        <w:t xml:space="preserve"> to the lower </w:t>
      </w:r>
      <w:r w:rsidR="0029654B">
        <w:t>risk</w:t>
      </w:r>
      <w:r w:rsidR="009D1545">
        <w:t>,</w:t>
      </w:r>
      <w:r w:rsidR="0029654B">
        <w:t xml:space="preserve"> exempting these funds will exempt them from additional compliance burdens to account for this lower tax integrity risk</w:t>
      </w:r>
      <w:r w:rsidR="00431ADA">
        <w:t>.</w:t>
      </w:r>
    </w:p>
    <w:p w14:paraId="1E909CA4" w14:textId="1463B460" w:rsidR="00873094" w:rsidRPr="00020288" w:rsidRDefault="00873094" w:rsidP="00C34CF3">
      <w:pPr>
        <w:pStyle w:val="Normalparatextwithnumbers"/>
        <w:numPr>
          <w:ilvl w:val="0"/>
          <w:numId w:val="0"/>
        </w:numPr>
        <w:ind w:left="709" w:hanging="709"/>
      </w:pPr>
    </w:p>
    <w:p w14:paraId="522B8C15" w14:textId="77777777" w:rsidR="00873094" w:rsidRPr="00020288" w:rsidRDefault="00873094" w:rsidP="00AF50CE">
      <w:pPr>
        <w:pStyle w:val="Heading2"/>
        <w:rPr>
          <w:rFonts w:hint="eastAsia"/>
        </w:rPr>
      </w:pPr>
      <w:bookmarkStart w:id="46" w:name="_Toc137219120"/>
      <w:r w:rsidRPr="00AF50CE">
        <w:lastRenderedPageBreak/>
        <w:t>Comparison</w:t>
      </w:r>
      <w:r w:rsidRPr="00020288">
        <w:t xml:space="preserve"> of key features of new law and current law</w:t>
      </w:r>
      <w:bookmarkEnd w:id="46"/>
    </w:p>
    <w:p w14:paraId="25FE0182"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322FDDA0"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1C8CA6D4"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5AE8DB3F"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0B0416DB" w14:textId="77777777" w:rsidTr="002425D9">
        <w:tc>
          <w:tcPr>
            <w:tcW w:w="3776" w:type="dxa"/>
          </w:tcPr>
          <w:p w14:paraId="7155FF84" w14:textId="44B0CF1B" w:rsidR="00873094" w:rsidRPr="00020288" w:rsidRDefault="000D2173" w:rsidP="002425D9">
            <w:pPr>
              <w:pStyle w:val="Tabletext"/>
            </w:pPr>
            <w:r>
              <w:t>N</w:t>
            </w:r>
            <w:r w:rsidR="000F01B5">
              <w:t>on-arm’s length expenses</w:t>
            </w:r>
            <w:r w:rsidR="00C44EAC">
              <w:t xml:space="preserve"> rules don’t apply to </w:t>
            </w:r>
            <w:r w:rsidR="002A7AB5">
              <w:t xml:space="preserve">large </w:t>
            </w:r>
            <w:r w:rsidR="00C44EAC">
              <w:t xml:space="preserve">APRA-regulated funds </w:t>
            </w:r>
            <w:r w:rsidR="00312E0C">
              <w:t>and exempt public sector superannuation funds</w:t>
            </w:r>
            <w:r w:rsidR="00C44EAC">
              <w:t xml:space="preserve"> </w:t>
            </w:r>
          </w:p>
        </w:tc>
        <w:tc>
          <w:tcPr>
            <w:tcW w:w="3874" w:type="dxa"/>
          </w:tcPr>
          <w:p w14:paraId="0B38543B" w14:textId="031A5A65" w:rsidR="00873094" w:rsidRPr="00020288" w:rsidRDefault="000D2173" w:rsidP="002425D9">
            <w:pPr>
              <w:pStyle w:val="Tabletext"/>
            </w:pPr>
            <w:r>
              <w:t>N</w:t>
            </w:r>
            <w:r w:rsidR="000F01B5">
              <w:t>on-arm’s length expense</w:t>
            </w:r>
            <w:r w:rsidR="00C44EAC">
              <w:t xml:space="preserve"> rules apply to all complying superannuation funds</w:t>
            </w:r>
          </w:p>
        </w:tc>
      </w:tr>
      <w:tr w:rsidR="00873094" w:rsidRPr="00020288" w14:paraId="4C8BC3A5" w14:textId="77777777" w:rsidTr="002425D9">
        <w:tc>
          <w:tcPr>
            <w:tcW w:w="3776" w:type="dxa"/>
          </w:tcPr>
          <w:p w14:paraId="36ED849C" w14:textId="262B43AC" w:rsidR="00873094" w:rsidRPr="00020288" w:rsidRDefault="00B07DF2" w:rsidP="002425D9">
            <w:pPr>
              <w:pStyle w:val="Tabletext"/>
            </w:pPr>
            <w:r>
              <w:t>For SMSFs and SAFs, g</w:t>
            </w:r>
            <w:r w:rsidR="00150EDA">
              <w:t xml:space="preserve">eneral </w:t>
            </w:r>
            <w:r w:rsidR="00BA78DA">
              <w:t xml:space="preserve">non-arm’s length </w:t>
            </w:r>
            <w:r w:rsidR="00150EDA">
              <w:t>expenses result in</w:t>
            </w:r>
            <w:r w:rsidR="007C61C5">
              <w:t xml:space="preserve"> a maximum of</w:t>
            </w:r>
            <w:r w:rsidR="0032789B">
              <w:t xml:space="preserve"> </w:t>
            </w:r>
            <w:r w:rsidR="004C398D">
              <w:t>twice the difference between the amount that would have been expected at arm’s length and the amount actually incurred</w:t>
            </w:r>
            <w:r w:rsidR="00145F58">
              <w:t xml:space="preserve"> being </w:t>
            </w:r>
            <w:r w:rsidR="007C61C5">
              <w:t>non-arm’s length income</w:t>
            </w:r>
            <w:r w:rsidR="00CC686A">
              <w:t>, with no deductions applying against that amount</w:t>
            </w:r>
            <w:r w:rsidR="00DD6BB3">
              <w:t xml:space="preserve">. The total amount </w:t>
            </w:r>
            <w:r w:rsidR="0032789B">
              <w:t xml:space="preserve">taxed at </w:t>
            </w:r>
            <w:r w:rsidR="004E4604">
              <w:t>the</w:t>
            </w:r>
            <w:r w:rsidR="007C61C5">
              <w:t xml:space="preserve"> highest marginal rate</w:t>
            </w:r>
            <w:r w:rsidR="0032789B">
              <w:t xml:space="preserve"> is then </w:t>
            </w:r>
            <w:r w:rsidR="00A510D2">
              <w:t xml:space="preserve">capped to </w:t>
            </w:r>
            <w:r w:rsidR="005C1CA6">
              <w:t>income minus deductions, excluding assessable contributions and deductions against them.</w:t>
            </w:r>
          </w:p>
        </w:tc>
        <w:tc>
          <w:tcPr>
            <w:tcW w:w="3874" w:type="dxa"/>
          </w:tcPr>
          <w:p w14:paraId="51051F3A" w14:textId="19054030" w:rsidR="00873094" w:rsidRPr="00020288" w:rsidRDefault="00150EDA" w:rsidP="002425D9">
            <w:pPr>
              <w:pStyle w:val="Tabletext"/>
            </w:pPr>
            <w:r>
              <w:t xml:space="preserve">General expenses result in all fund income being </w:t>
            </w:r>
            <w:r w:rsidR="001F5EA7">
              <w:t xml:space="preserve">taxed at </w:t>
            </w:r>
            <w:r w:rsidR="00507A4E">
              <w:t xml:space="preserve">the </w:t>
            </w:r>
            <w:r w:rsidR="00BB2C07">
              <w:t>highest marginal rate</w:t>
            </w:r>
          </w:p>
        </w:tc>
      </w:tr>
      <w:tr w:rsidR="00873094" w:rsidRPr="00020288" w14:paraId="6CFA5D5F" w14:textId="77777777" w:rsidTr="002425D9">
        <w:tc>
          <w:tcPr>
            <w:tcW w:w="3776" w:type="dxa"/>
          </w:tcPr>
          <w:p w14:paraId="28DD6709" w14:textId="4A29BF04" w:rsidR="00873094" w:rsidRPr="00020288" w:rsidRDefault="00E1045B" w:rsidP="002425D9">
            <w:pPr>
              <w:pStyle w:val="Tabletext"/>
            </w:pPr>
            <w:r>
              <w:t>Expenses incurred</w:t>
            </w:r>
            <w:r w:rsidR="007C61C5">
              <w:t xml:space="preserve"> or expected to have been incurred</w:t>
            </w:r>
            <w:r>
              <w:t xml:space="preserve"> before 1 July 2018 </w:t>
            </w:r>
            <w:r w:rsidR="00FC4301">
              <w:t>cannot result in the application of</w:t>
            </w:r>
            <w:r w:rsidR="0077139C">
              <w:t xml:space="preserve"> the non-arm’s length expense rules</w:t>
            </w:r>
          </w:p>
        </w:tc>
        <w:tc>
          <w:tcPr>
            <w:tcW w:w="3874" w:type="dxa"/>
          </w:tcPr>
          <w:p w14:paraId="50C692CB" w14:textId="6A30AF9E" w:rsidR="00873094" w:rsidRPr="00020288" w:rsidRDefault="000951B9" w:rsidP="002425D9">
            <w:pPr>
              <w:pStyle w:val="Tabletext"/>
            </w:pPr>
            <w:r>
              <w:t>Expenses incurred</w:t>
            </w:r>
            <w:r w:rsidR="007C61C5">
              <w:t xml:space="preserve"> or expected to have been incurred</w:t>
            </w:r>
            <w:r>
              <w:t xml:space="preserve"> before 1 July 2018 can result in </w:t>
            </w:r>
            <w:r w:rsidR="001D6F3B">
              <w:t xml:space="preserve">the application of the </w:t>
            </w:r>
            <w:r w:rsidR="000F01B5">
              <w:t xml:space="preserve">non-arm’s length </w:t>
            </w:r>
            <w:r w:rsidR="001D6F3B">
              <w:t>expense rules</w:t>
            </w:r>
            <w:r>
              <w:t xml:space="preserve"> in </w:t>
            </w:r>
            <w:r w:rsidR="00260424">
              <w:t xml:space="preserve">relation to income derived in </w:t>
            </w:r>
            <w:r>
              <w:t>2018</w:t>
            </w:r>
            <w:r w:rsidR="00E1045B">
              <w:t xml:space="preserve">-19 </w:t>
            </w:r>
            <w:r w:rsidR="00FC4301">
              <w:t>and/or</w:t>
            </w:r>
            <w:r w:rsidR="00E1045B">
              <w:t xml:space="preserve"> future income years</w:t>
            </w:r>
          </w:p>
        </w:tc>
      </w:tr>
    </w:tbl>
    <w:p w14:paraId="5E18CE5F" w14:textId="77777777" w:rsidR="00873094" w:rsidRPr="00020288" w:rsidRDefault="00873094" w:rsidP="00873094">
      <w:pPr>
        <w:pStyle w:val="Heading2"/>
        <w:numPr>
          <w:ilvl w:val="1"/>
          <w:numId w:val="2"/>
        </w:numPr>
        <w:tabs>
          <w:tab w:val="num" w:pos="567"/>
        </w:tabs>
        <w:ind w:left="567" w:hanging="567"/>
        <w:rPr>
          <w:rFonts w:hint="eastAsia"/>
        </w:rPr>
      </w:pPr>
      <w:bookmarkStart w:id="47" w:name="_Toc137219121"/>
      <w:r w:rsidRPr="00020288">
        <w:t>Detailed explanation of new law</w:t>
      </w:r>
      <w:bookmarkEnd w:id="47"/>
    </w:p>
    <w:p w14:paraId="78B20CDE" w14:textId="145635F2" w:rsidR="00873094" w:rsidRDefault="00253510" w:rsidP="00873094">
      <w:pPr>
        <w:pStyle w:val="Normalparatextwithnumbers"/>
        <w:numPr>
          <w:ilvl w:val="1"/>
          <w:numId w:val="3"/>
        </w:numPr>
      </w:pPr>
      <w:r>
        <w:t>These amendments make changes to the non-arm</w:t>
      </w:r>
      <w:r w:rsidR="009C7FC6">
        <w:t>’</w:t>
      </w:r>
      <w:r>
        <w:t xml:space="preserve">s length expense rules for superannuation funds. </w:t>
      </w:r>
      <w:r w:rsidR="00380B70">
        <w:t xml:space="preserve">These changes </w:t>
      </w:r>
      <w:r w:rsidR="00791A4F">
        <w:t>improve the operation of the non-arm</w:t>
      </w:r>
      <w:r w:rsidR="009C7FC6">
        <w:t>’</w:t>
      </w:r>
      <w:r w:rsidR="00791A4F">
        <w:t>s length expense rules</w:t>
      </w:r>
      <w:r w:rsidR="005C40CA">
        <w:t xml:space="preserve"> and </w:t>
      </w:r>
      <w:r w:rsidR="0059489E">
        <w:t>restrict the operation of the rules.</w:t>
      </w:r>
    </w:p>
    <w:p w14:paraId="5182977E" w14:textId="25886DF6" w:rsidR="0059489E" w:rsidRDefault="0059489E" w:rsidP="00205087">
      <w:pPr>
        <w:pStyle w:val="Heading5"/>
      </w:pPr>
      <w:r>
        <w:t>Different approaches for different funds</w:t>
      </w:r>
    </w:p>
    <w:p w14:paraId="67FDE87E" w14:textId="10D58621" w:rsidR="00BF3C24" w:rsidRDefault="00AB1CEE" w:rsidP="003F64D4">
      <w:pPr>
        <w:pStyle w:val="Normalparatextwithnumbers"/>
      </w:pPr>
      <w:r>
        <w:t>The</w:t>
      </w:r>
      <w:r w:rsidR="00C8302C">
        <w:t xml:space="preserve">se amendments apply different approaches to different funds based on the size of the funds. </w:t>
      </w:r>
      <w:r w:rsidR="00E67551">
        <w:t xml:space="preserve">The non-arm’s length expense rules will only apply to small superannuation funds and </w:t>
      </w:r>
      <w:r w:rsidR="003D5828">
        <w:t xml:space="preserve">SMSFs. </w:t>
      </w:r>
      <w:r w:rsidR="00BF3C24">
        <w:t xml:space="preserve">The existing definition of SMSF in </w:t>
      </w:r>
      <w:r w:rsidR="00510712">
        <w:t>section </w:t>
      </w:r>
      <w:r w:rsidR="00BF3C24">
        <w:t>995-1 of the ITAA 1997 will be used. A small complying superannuation entity will be any regulated superannuation fund that has 6 or fewer members.</w:t>
      </w:r>
      <w:r w:rsidR="00BF3C24">
        <w:br/>
      </w:r>
      <w:r w:rsidR="00BF3C24" w:rsidRPr="00BB2602">
        <w:rPr>
          <w:rStyle w:val="References"/>
        </w:rPr>
        <w:t>[Schedule xx, item</w:t>
      </w:r>
      <w:r w:rsidR="00BF3C24">
        <w:rPr>
          <w:rStyle w:val="References"/>
        </w:rPr>
        <w:t xml:space="preserve"> 4</w:t>
      </w:r>
      <w:r w:rsidR="00BF3C24" w:rsidRPr="00BB2602">
        <w:rPr>
          <w:rStyle w:val="References"/>
        </w:rPr>
        <w:t xml:space="preserve">, </w:t>
      </w:r>
      <w:r w:rsidR="004F756F">
        <w:rPr>
          <w:rStyle w:val="References"/>
        </w:rPr>
        <w:t>paragraph</w:t>
      </w:r>
      <w:r w:rsidR="00BF3C24">
        <w:rPr>
          <w:rStyle w:val="References"/>
        </w:rPr>
        <w:t xml:space="preserve"> 295-550(8)</w:t>
      </w:r>
      <w:r w:rsidR="004F756F">
        <w:rPr>
          <w:rStyle w:val="References"/>
        </w:rPr>
        <w:t>(a)</w:t>
      </w:r>
      <w:r w:rsidR="00BF3C24">
        <w:rPr>
          <w:rStyle w:val="References"/>
        </w:rPr>
        <w:t xml:space="preserve"> of the ITAA 1997</w:t>
      </w:r>
      <w:r w:rsidR="00BF3C24" w:rsidRPr="00BB2602">
        <w:rPr>
          <w:rStyle w:val="References"/>
        </w:rPr>
        <w:t xml:space="preserve">] </w:t>
      </w:r>
    </w:p>
    <w:p w14:paraId="2DF25712" w14:textId="62395B82" w:rsidR="002F48F4" w:rsidRDefault="003D5828" w:rsidP="00F615FE">
      <w:pPr>
        <w:pStyle w:val="Normalparatextwithnumbers"/>
      </w:pPr>
      <w:r>
        <w:t>All other complying superannuation entities</w:t>
      </w:r>
      <w:r w:rsidR="006F3137">
        <w:t xml:space="preserve"> </w:t>
      </w:r>
      <w:r>
        <w:t>will be exempt from the non-arm’s length expense rules.</w:t>
      </w:r>
      <w:r w:rsidR="006F3137">
        <w:t xml:space="preserve"> Th</w:t>
      </w:r>
      <w:r w:rsidR="000C2D7A">
        <w:t xml:space="preserve">ese </w:t>
      </w:r>
      <w:r w:rsidR="003F48D2">
        <w:t>larger entities include</w:t>
      </w:r>
      <w:r w:rsidR="0009283D">
        <w:t xml:space="preserve"> </w:t>
      </w:r>
      <w:r w:rsidR="006F3137">
        <w:t xml:space="preserve">APRA-regulated funds with </w:t>
      </w:r>
      <w:r w:rsidR="00F07B1E">
        <w:lastRenderedPageBreak/>
        <w:t>more</w:t>
      </w:r>
      <w:r w:rsidR="006F3137">
        <w:t xml:space="preserve"> than 6 members</w:t>
      </w:r>
      <w:r w:rsidR="00653D7E">
        <w:t xml:space="preserve">, pooled superannuation trusts, </w:t>
      </w:r>
      <w:r w:rsidR="00ED2EFD">
        <w:t>approved deposit funds,</w:t>
      </w:r>
      <w:r w:rsidR="006F3137">
        <w:t xml:space="preserve"> and exempt public sector superannuation funds.</w:t>
      </w:r>
      <w:r w:rsidR="002F48F4">
        <w:t xml:space="preserve"> </w:t>
      </w:r>
      <w:r w:rsidR="008E083F">
        <w:t xml:space="preserve">The nature of the transactions </w:t>
      </w:r>
      <w:r w:rsidR="0009283D">
        <w:t>that these entities</w:t>
      </w:r>
      <w:r w:rsidR="008E083F">
        <w:t xml:space="preserve"> engage in means they have less incentive to </w:t>
      </w:r>
      <w:proofErr w:type="gramStart"/>
      <w:r w:rsidR="008E083F">
        <w:t>enter into</w:t>
      </w:r>
      <w:proofErr w:type="gramEnd"/>
      <w:r w:rsidR="008E083F">
        <w:t xml:space="preserve"> schemes of the kind which result in tax arbitrage.</w:t>
      </w:r>
      <w:r w:rsidR="006F07B8">
        <w:br/>
      </w:r>
      <w:r w:rsidR="006F07B8" w:rsidRPr="00CF3C3E">
        <w:rPr>
          <w:rStyle w:val="References"/>
        </w:rPr>
        <w:t>[Schedule xx, item</w:t>
      </w:r>
      <w:r w:rsidR="006F07B8">
        <w:rPr>
          <w:rStyle w:val="References"/>
        </w:rPr>
        <w:t xml:space="preserve"> 1</w:t>
      </w:r>
      <w:r w:rsidR="006F07B8" w:rsidRPr="00CF3C3E">
        <w:rPr>
          <w:rStyle w:val="References"/>
        </w:rPr>
        <w:t xml:space="preserve">, </w:t>
      </w:r>
      <w:r w:rsidR="007F34E1">
        <w:rPr>
          <w:rStyle w:val="References"/>
        </w:rPr>
        <w:t>subsection</w:t>
      </w:r>
      <w:r w:rsidR="001E503C">
        <w:rPr>
          <w:rStyle w:val="References"/>
        </w:rPr>
        <w:t>s</w:t>
      </w:r>
      <w:r w:rsidR="007F34E1">
        <w:rPr>
          <w:rStyle w:val="References"/>
        </w:rPr>
        <w:t xml:space="preserve"> 295-545(2)</w:t>
      </w:r>
      <w:r w:rsidR="006F07B8" w:rsidRPr="00CF3C3E">
        <w:rPr>
          <w:rStyle w:val="References"/>
        </w:rPr>
        <w:t xml:space="preserve"> </w:t>
      </w:r>
      <w:r w:rsidR="005371D5">
        <w:rPr>
          <w:rStyle w:val="References"/>
        </w:rPr>
        <w:t xml:space="preserve">and 295-550(5) </w:t>
      </w:r>
      <w:r w:rsidR="006F07B8" w:rsidRPr="00CF3C3E">
        <w:rPr>
          <w:rStyle w:val="References"/>
        </w:rPr>
        <w:t xml:space="preserve">of </w:t>
      </w:r>
      <w:r w:rsidR="007F34E1">
        <w:rPr>
          <w:rStyle w:val="References"/>
        </w:rPr>
        <w:t>the ITAA 1997</w:t>
      </w:r>
      <w:r w:rsidR="006F07B8" w:rsidRPr="00CF3C3E">
        <w:rPr>
          <w:rStyle w:val="References"/>
        </w:rPr>
        <w:t xml:space="preserve">] </w:t>
      </w:r>
    </w:p>
    <w:p w14:paraId="12BD924E" w14:textId="06635DB0" w:rsidR="0059489E" w:rsidRDefault="008E083F" w:rsidP="00F615FE">
      <w:pPr>
        <w:pStyle w:val="Normalparatextwithnumbers"/>
      </w:pPr>
      <w:r>
        <w:t xml:space="preserve">By contrast, members of smaller funds may have the capacity to control or influence the arrangements of the fund to directly inflate their superannuation balance though non-arm’s length expenses to take advantage of lower tax rates. The tax penalty for </w:t>
      </w:r>
      <w:r w:rsidR="003F0338">
        <w:t>non-arm’s length expenses</w:t>
      </w:r>
      <w:r>
        <w:t xml:space="preserve"> is a strong disincentive from using </w:t>
      </w:r>
      <w:bookmarkStart w:id="48" w:name="_Hlk136864894"/>
      <w:r>
        <w:t xml:space="preserve">non-arm’s length arrangements </w:t>
      </w:r>
      <w:bookmarkEnd w:id="48"/>
      <w:r>
        <w:t>for small funds which cannot be adequately addressed through other provisions such as those related to contributions and trustee responsibilities</w:t>
      </w:r>
      <w:r w:rsidR="00B973D3">
        <w:t>.</w:t>
      </w:r>
    </w:p>
    <w:p w14:paraId="46C7277E" w14:textId="7E60A891" w:rsidR="00CF43A4" w:rsidRDefault="00CF43A4" w:rsidP="0059489E">
      <w:pPr>
        <w:pStyle w:val="Normalparatextwithnumbers"/>
      </w:pPr>
      <w:r>
        <w:t xml:space="preserve">For </w:t>
      </w:r>
      <w:r w:rsidR="00C325AE">
        <w:t>s</w:t>
      </w:r>
      <w:r>
        <w:t xml:space="preserve">maller funds the rules will apply a different approach based on the kind of loss, </w:t>
      </w:r>
      <w:r w:rsidR="0064668E">
        <w:t>outgoing</w:t>
      </w:r>
      <w:r>
        <w:t xml:space="preserve"> or expense that</w:t>
      </w:r>
      <w:r w:rsidR="008E083F">
        <w:t xml:space="preserve"> </w:t>
      </w:r>
      <w:r w:rsidR="002D1F3B">
        <w:t>is</w:t>
      </w:r>
      <w:r w:rsidR="00247F61">
        <w:t>,</w:t>
      </w:r>
      <w:r w:rsidR="002D1F3B">
        <w:t xml:space="preserve"> </w:t>
      </w:r>
      <w:r w:rsidR="008E083F">
        <w:t>or should have been</w:t>
      </w:r>
      <w:r w:rsidR="00247F61">
        <w:t>,</w:t>
      </w:r>
      <w:r>
        <w:t xml:space="preserve"> in</w:t>
      </w:r>
      <w:r w:rsidR="0064668E">
        <w:t>curred. Whilst specific expenses will continue to be subject to the existing treatment</w:t>
      </w:r>
      <w:r w:rsidR="000B2858">
        <w:t>,</w:t>
      </w:r>
      <w:r w:rsidR="0064668E">
        <w:t xml:space="preserve"> the consequences of </w:t>
      </w:r>
      <w:r w:rsidR="00CE0BBE">
        <w:t>gaining an advantage through a non-arm’s length transaction</w:t>
      </w:r>
      <w:r w:rsidR="0064668E">
        <w:t xml:space="preserve"> in relation to general expenses will be lessened.</w:t>
      </w:r>
    </w:p>
    <w:p w14:paraId="639D7E4B" w14:textId="23A52172" w:rsidR="00BC5292" w:rsidRDefault="00F15AE8" w:rsidP="0059489E">
      <w:pPr>
        <w:pStyle w:val="Normalparatextwithnumbers"/>
      </w:pPr>
      <w:r>
        <w:t xml:space="preserve">This is achieved by amending the existing non-arm’s length expense provision in </w:t>
      </w:r>
      <w:r w:rsidR="004D2D8C">
        <w:t xml:space="preserve">paragraph 295-550(1)(b) so that </w:t>
      </w:r>
      <w:r w:rsidR="0056425D">
        <w:t>it does</w:t>
      </w:r>
      <w:r w:rsidR="004D2D8C">
        <w:t xml:space="preserve"> not apply to expenses incurred that are covered under subsection 295-550(</w:t>
      </w:r>
      <w:r w:rsidR="00BE3755">
        <w:t>9</w:t>
      </w:r>
      <w:r w:rsidR="004D2D8C">
        <w:t xml:space="preserve">), which covers general </w:t>
      </w:r>
      <w:r w:rsidR="00301193">
        <w:t xml:space="preserve">arm’s length </w:t>
      </w:r>
      <w:r w:rsidR="004D2D8C">
        <w:t xml:space="preserve">expenses </w:t>
      </w:r>
      <w:r w:rsidR="00EB5F80">
        <w:t>where an expense is incurred that is less than what might have been expected</w:t>
      </w:r>
      <w:r w:rsidR="00BC5292">
        <w:t xml:space="preserve"> to be incurred</w:t>
      </w:r>
      <w:r w:rsidR="00EB5F80">
        <w:t xml:space="preserve"> at arm’s length</w:t>
      </w:r>
      <w:r w:rsidR="004D2D8C">
        <w:t>.</w:t>
      </w:r>
    </w:p>
    <w:p w14:paraId="3B793438" w14:textId="0DA4DF6B" w:rsidR="00F15AE8" w:rsidRDefault="004B52A2" w:rsidP="0059489E">
      <w:pPr>
        <w:pStyle w:val="Normalparatextwithnumbers"/>
      </w:pPr>
      <w:r>
        <w:t>Similarly,</w:t>
      </w:r>
      <w:r w:rsidR="00EB5F80">
        <w:t xml:space="preserve"> </w:t>
      </w:r>
      <w:r w:rsidR="00301193">
        <w:t xml:space="preserve">paragraph </w:t>
      </w:r>
      <w:r w:rsidR="0056425D">
        <w:t>295-550(1)(c)</w:t>
      </w:r>
      <w:r w:rsidR="00301193">
        <w:t xml:space="preserve"> is amended so that it </w:t>
      </w:r>
      <w:r w:rsidR="00096CBB">
        <w:t>does not apply to expenses covered under subsection 295-550(8), which covers</w:t>
      </w:r>
      <w:r w:rsidR="00301193">
        <w:t xml:space="preserve"> general arm’s length expenses where no expense </w:t>
      </w:r>
      <w:r w:rsidR="003A0951">
        <w:t>was</w:t>
      </w:r>
      <w:r w:rsidR="00301193">
        <w:t xml:space="preserve"> incurred</w:t>
      </w:r>
      <w:r w:rsidR="00E7451E">
        <w:t xml:space="preserve"> but might have been expected to be incurred at arm’s length</w:t>
      </w:r>
      <w:r w:rsidR="00301193">
        <w:t>.</w:t>
      </w:r>
      <w:r w:rsidR="00F176BA" w:rsidRPr="00F176BA">
        <w:rPr>
          <w:rStyle w:val="References"/>
        </w:rPr>
        <w:t xml:space="preserve"> </w:t>
      </w:r>
      <w:r w:rsidR="000F5C00">
        <w:rPr>
          <w:rStyle w:val="References"/>
        </w:rPr>
        <w:br/>
      </w:r>
      <w:r w:rsidR="00F176BA" w:rsidRPr="00BB2602">
        <w:rPr>
          <w:rStyle w:val="References"/>
        </w:rPr>
        <w:t>[Schedule xx, item</w:t>
      </w:r>
      <w:r w:rsidR="00F176BA">
        <w:rPr>
          <w:rStyle w:val="References"/>
        </w:rPr>
        <w:t xml:space="preserve"> 2</w:t>
      </w:r>
      <w:r w:rsidR="00F176BA" w:rsidRPr="00BB2602">
        <w:rPr>
          <w:rStyle w:val="References"/>
        </w:rPr>
        <w:t xml:space="preserve">, </w:t>
      </w:r>
      <w:r w:rsidR="00F176BA">
        <w:rPr>
          <w:rStyle w:val="References"/>
        </w:rPr>
        <w:t>subsection 295-550(1) of the ITAA 1997</w:t>
      </w:r>
      <w:r w:rsidR="00F176BA" w:rsidRPr="00BB2602">
        <w:rPr>
          <w:rStyle w:val="References"/>
        </w:rPr>
        <w:t>]</w:t>
      </w:r>
    </w:p>
    <w:p w14:paraId="1D39AB27" w14:textId="0BA1AD23" w:rsidR="00B062E9" w:rsidRDefault="00B062E9" w:rsidP="0059489E">
      <w:pPr>
        <w:pStyle w:val="Normalparatextwithnumbers"/>
      </w:pPr>
      <w:r>
        <w:t>To implement this approach there will also be amendments to the way that the non</w:t>
      </w:r>
      <w:r w:rsidR="003F6F8E">
        <w:t>-arm’s length component</w:t>
      </w:r>
      <w:r w:rsidR="00884926">
        <w:t xml:space="preserve"> is calculated</w:t>
      </w:r>
      <w:r w:rsidR="003F6F8E">
        <w:t xml:space="preserve"> for the 2 types of funds.</w:t>
      </w:r>
    </w:p>
    <w:p w14:paraId="54D78BB8" w14:textId="547BC6FE" w:rsidR="001C7A5F" w:rsidRDefault="003F6F8E" w:rsidP="0059489E">
      <w:pPr>
        <w:pStyle w:val="Normalparatextwithnumbers"/>
      </w:pPr>
      <w:r>
        <w:t>Large</w:t>
      </w:r>
      <w:r w:rsidR="009861DC">
        <w:t xml:space="preserve"> APRA-regulated</w:t>
      </w:r>
      <w:r>
        <w:t xml:space="preserve"> funds</w:t>
      </w:r>
      <w:r w:rsidR="00312E0C">
        <w:t xml:space="preserve"> and exempt public sector superannuation</w:t>
      </w:r>
      <w:r>
        <w:t xml:space="preserve"> funds will continue to calculate their non-arm’s length component in the same way they do now</w:t>
      </w:r>
      <w:r w:rsidR="00590071">
        <w:t xml:space="preserve"> but the rules in relation to non-arm’s length expenses</w:t>
      </w:r>
      <w:r w:rsidR="00893120">
        <w:t xml:space="preserve"> will not apply to these entities</w:t>
      </w:r>
      <w:r>
        <w:t>.</w:t>
      </w:r>
    </w:p>
    <w:p w14:paraId="09878480" w14:textId="393B6006" w:rsidR="00803339" w:rsidRDefault="005E1872" w:rsidP="00803339">
      <w:pPr>
        <w:pStyle w:val="Normalparatextwithnumbers"/>
      </w:pPr>
      <w:r>
        <w:t>For small funds</w:t>
      </w:r>
      <w:r w:rsidR="007A6F2B">
        <w:t xml:space="preserve">, </w:t>
      </w:r>
      <w:r w:rsidR="001705E9">
        <w:t xml:space="preserve">there is a change to the deduction rules </w:t>
      </w:r>
      <w:r w:rsidR="008302F7">
        <w:t>in relation to general expenses</w:t>
      </w:r>
      <w:r w:rsidR="009544BA">
        <w:t>. This is because the new approach for</w:t>
      </w:r>
      <w:r w:rsidR="00135F62">
        <w:t xml:space="preserve"> calculating the consequence of a non-arm’s length </w:t>
      </w:r>
      <w:r w:rsidR="00F06598">
        <w:t>general expense</w:t>
      </w:r>
      <w:r w:rsidR="008E5117">
        <w:t xml:space="preserve"> </w:t>
      </w:r>
      <w:proofErr w:type="gramStart"/>
      <w:r w:rsidR="00F06598">
        <w:t>takes into account</w:t>
      </w:r>
      <w:proofErr w:type="gramEnd"/>
      <w:r w:rsidR="00F06598">
        <w:t xml:space="preserve"> any amount </w:t>
      </w:r>
      <w:r w:rsidR="00637817">
        <w:t xml:space="preserve">actually incurred </w:t>
      </w:r>
      <w:r w:rsidR="005349EA">
        <w:t xml:space="preserve">in relation to </w:t>
      </w:r>
      <w:r w:rsidR="008E5117">
        <w:t>the general expense</w:t>
      </w:r>
      <w:r w:rsidR="004A260A">
        <w:t xml:space="preserve">, so </w:t>
      </w:r>
      <w:r w:rsidR="00E84B1A">
        <w:t>there is no deduction available to small superannuation funds and SMSFs for the amount actually incurred</w:t>
      </w:r>
      <w:r w:rsidR="002E6184">
        <w:t>.</w:t>
      </w:r>
    </w:p>
    <w:p w14:paraId="79C316B8" w14:textId="2B8DEFB7" w:rsidR="00667550" w:rsidRDefault="00D53FBE" w:rsidP="0059489E">
      <w:pPr>
        <w:pStyle w:val="Normalparatextwithnumbers"/>
      </w:pPr>
      <w:r>
        <w:t>Another change for small funds is that</w:t>
      </w:r>
      <w:r w:rsidR="006B1BF8">
        <w:t xml:space="preserve"> a cap is </w:t>
      </w:r>
      <w:r w:rsidR="00EA6966">
        <w:t xml:space="preserve">introduced </w:t>
      </w:r>
      <w:r w:rsidR="00013D0D">
        <w:t>on the</w:t>
      </w:r>
      <w:r>
        <w:t>ir</w:t>
      </w:r>
      <w:r w:rsidR="00013D0D">
        <w:t xml:space="preserve"> total non</w:t>
      </w:r>
      <w:r w:rsidR="00C35220">
        <w:noBreakHyphen/>
      </w:r>
      <w:r w:rsidR="00013D0D">
        <w:t xml:space="preserve">arm’s length component to ensure that </w:t>
      </w:r>
      <w:r w:rsidR="009D1A94">
        <w:t xml:space="preserve">assessable </w:t>
      </w:r>
      <w:r w:rsidR="00013D0D">
        <w:t xml:space="preserve">contributions </w:t>
      </w:r>
      <w:r w:rsidR="006067B0">
        <w:t xml:space="preserve">and related deductions </w:t>
      </w:r>
      <w:r w:rsidR="007375FA">
        <w:t xml:space="preserve">are always </w:t>
      </w:r>
      <w:r w:rsidR="00597D86">
        <w:t>part of the low tax component</w:t>
      </w:r>
      <w:r w:rsidR="00013D0D">
        <w:t xml:space="preserve">. </w:t>
      </w:r>
      <w:r w:rsidR="00F92B97" w:rsidRPr="00F92B97">
        <w:t xml:space="preserve">Assessable contributions </w:t>
      </w:r>
      <w:r w:rsidR="003365BE">
        <w:t xml:space="preserve">are </w:t>
      </w:r>
      <w:r w:rsidR="00F92B97" w:rsidRPr="00F92B97">
        <w:t>subject to other tax</w:t>
      </w:r>
      <w:r w:rsidR="0037068C">
        <w:t>ing provisions</w:t>
      </w:r>
      <w:r w:rsidR="00B12FB2">
        <w:t>,</w:t>
      </w:r>
      <w:r w:rsidR="00ED4A69">
        <w:t xml:space="preserve"> </w:t>
      </w:r>
      <w:r w:rsidR="00945DA2">
        <w:t xml:space="preserve">and it is not intended they </w:t>
      </w:r>
      <w:r w:rsidR="00C759DE">
        <w:t xml:space="preserve">also potentially </w:t>
      </w:r>
      <w:r w:rsidR="00945DA2">
        <w:t xml:space="preserve">be </w:t>
      </w:r>
      <w:r w:rsidR="0044163D">
        <w:t xml:space="preserve">subject to </w:t>
      </w:r>
      <w:r w:rsidR="001504DE">
        <w:t xml:space="preserve">higher rates of </w:t>
      </w:r>
      <w:r w:rsidR="00945DA2" w:rsidRPr="00F92B97">
        <w:t xml:space="preserve">tax </w:t>
      </w:r>
      <w:r w:rsidR="00F75699">
        <w:t>under the</w:t>
      </w:r>
      <w:r w:rsidR="00945DA2" w:rsidRPr="00F92B97">
        <w:t xml:space="preserve"> non-arm’s length income</w:t>
      </w:r>
      <w:r w:rsidR="00F75699">
        <w:t xml:space="preserve"> provisions</w:t>
      </w:r>
      <w:r w:rsidR="00C759DE">
        <w:t>.</w:t>
      </w:r>
    </w:p>
    <w:p w14:paraId="6B6AB188" w14:textId="0B96CC0B" w:rsidR="00667550" w:rsidRDefault="0028648B" w:rsidP="0059489E">
      <w:pPr>
        <w:pStyle w:val="Normalparatextwithnumbers"/>
      </w:pPr>
      <w:r>
        <w:lastRenderedPageBreak/>
        <w:t xml:space="preserve">These amendments do not alter the existing meaning or definition of </w:t>
      </w:r>
      <w:r w:rsidR="00FD1EE8">
        <w:t>‘</w:t>
      </w:r>
      <w:r>
        <w:t>contribution</w:t>
      </w:r>
      <w:r w:rsidR="00FD1EE8">
        <w:t>’</w:t>
      </w:r>
      <w:r w:rsidR="00410B23">
        <w:t xml:space="preserve">. Contribution takes its ordinary meaning as it does in other parts of the ITAA 1997, </w:t>
      </w:r>
      <w:r w:rsidR="00D41EA7">
        <w:t>for example</w:t>
      </w:r>
      <w:r w:rsidR="00410B23">
        <w:t xml:space="preserve"> </w:t>
      </w:r>
      <w:r w:rsidR="00D41EA7">
        <w:t>s</w:t>
      </w:r>
      <w:r w:rsidR="00410B23">
        <w:t>ection 285-1 of the ITAA 1997</w:t>
      </w:r>
      <w:r w:rsidR="003240FE">
        <w:t xml:space="preserve">, </w:t>
      </w:r>
      <w:r w:rsidR="00641F7D">
        <w:t xml:space="preserve">and </w:t>
      </w:r>
      <w:r w:rsidR="003240FE">
        <w:t xml:space="preserve">nothing in </w:t>
      </w:r>
      <w:r w:rsidR="00FB5B02">
        <w:t xml:space="preserve">the Schedule </w:t>
      </w:r>
      <w:r w:rsidR="003240FE">
        <w:t>disturbs that meaning.</w:t>
      </w:r>
    </w:p>
    <w:p w14:paraId="3AFFF482" w14:textId="5971E9D3" w:rsidR="003F6F8E" w:rsidRDefault="00B42CBB" w:rsidP="0059489E">
      <w:pPr>
        <w:pStyle w:val="Normalparatextwithnumbers"/>
      </w:pPr>
      <w:r>
        <w:t>A small fund’s</w:t>
      </w:r>
      <w:r w:rsidR="005E1872">
        <w:t xml:space="preserve"> non-arm’s length component will be calculated as the lesser of:</w:t>
      </w:r>
    </w:p>
    <w:p w14:paraId="7636B13E" w14:textId="740B51FA" w:rsidR="00D90B70" w:rsidRDefault="00D90B70" w:rsidP="0023150B">
      <w:pPr>
        <w:pStyle w:val="Dotpoint1"/>
      </w:pPr>
      <w:r>
        <w:t>The sum of</w:t>
      </w:r>
      <w:r w:rsidR="00FC1498">
        <w:t>:</w:t>
      </w:r>
    </w:p>
    <w:p w14:paraId="21D691A9" w14:textId="7F43030E" w:rsidR="00F57572" w:rsidRDefault="00FC1498" w:rsidP="00D90B70">
      <w:pPr>
        <w:pStyle w:val="Dotpoint2"/>
      </w:pPr>
      <w:r>
        <w:t>a</w:t>
      </w:r>
      <w:r w:rsidR="00E823D9">
        <w:t xml:space="preserve">ny non-arm’s length income amount </w:t>
      </w:r>
      <w:r w:rsidR="00B44213">
        <w:t xml:space="preserve">(other than non-arm’s length income </w:t>
      </w:r>
      <w:proofErr w:type="gramStart"/>
      <w:r w:rsidR="00B44213">
        <w:t>as a result of</w:t>
      </w:r>
      <w:proofErr w:type="gramEnd"/>
      <w:r w:rsidR="00B44213">
        <w:t xml:space="preserve"> a general expense) </w:t>
      </w:r>
      <w:r w:rsidR="00E823D9">
        <w:t>less any deduction attributable to that non-arm’s length income amount</w:t>
      </w:r>
      <w:r w:rsidR="0009169A">
        <w:t>;</w:t>
      </w:r>
      <w:r w:rsidR="008A6547">
        <w:t xml:space="preserve"> </w:t>
      </w:r>
      <w:r w:rsidR="00696533">
        <w:t>plus</w:t>
      </w:r>
    </w:p>
    <w:p w14:paraId="769EF278" w14:textId="7F85E545" w:rsidR="005C31DC" w:rsidRDefault="00BF56AE" w:rsidP="00D90B70">
      <w:pPr>
        <w:pStyle w:val="Dotpoint2"/>
      </w:pPr>
      <w:r>
        <w:t xml:space="preserve">any non-arm’s length income </w:t>
      </w:r>
      <w:proofErr w:type="gramStart"/>
      <w:r>
        <w:t>as a result of</w:t>
      </w:r>
      <w:proofErr w:type="gramEnd"/>
      <w:r>
        <w:t xml:space="preserve"> a general expense</w:t>
      </w:r>
      <w:r w:rsidR="00FC1498">
        <w:t xml:space="preserve">; </w:t>
      </w:r>
      <w:r w:rsidR="008D5258">
        <w:t>or</w:t>
      </w:r>
    </w:p>
    <w:p w14:paraId="635A6687" w14:textId="7DABD495" w:rsidR="00262B52" w:rsidRDefault="00022B8C" w:rsidP="00205087">
      <w:pPr>
        <w:pStyle w:val="Dotpoint1"/>
      </w:pPr>
      <w:r>
        <w:t>The total</w:t>
      </w:r>
      <w:r w:rsidR="00D20D22">
        <w:t xml:space="preserve"> of an entity’s taxable income for the year</w:t>
      </w:r>
      <w:r w:rsidR="00CF313D">
        <w:t xml:space="preserve">, </w:t>
      </w:r>
      <w:r w:rsidR="00A25D60">
        <w:t>excluding</w:t>
      </w:r>
      <w:r w:rsidR="00CF313D">
        <w:t xml:space="preserve"> any contributions that are part of an entity’s assessable income </w:t>
      </w:r>
      <w:r w:rsidR="00A25D60">
        <w:t xml:space="preserve">(this is achieved </w:t>
      </w:r>
      <w:r w:rsidR="00CF313D">
        <w:t>by subtracting them</w:t>
      </w:r>
      <w:r w:rsidR="00E9645D">
        <w:t xml:space="preserve"> from the calculation</w:t>
      </w:r>
      <w:r w:rsidR="00A25D60">
        <w:t>)</w:t>
      </w:r>
      <w:r w:rsidR="00CF313D">
        <w:t xml:space="preserve">, and </w:t>
      </w:r>
      <w:r w:rsidR="00A25D60">
        <w:t>excluding</w:t>
      </w:r>
      <w:r w:rsidR="00CF313D">
        <w:t xml:space="preserve"> any deductions against </w:t>
      </w:r>
      <w:r w:rsidR="00150CD0">
        <w:t xml:space="preserve">those contributions </w:t>
      </w:r>
      <w:r w:rsidR="00A25D60">
        <w:t xml:space="preserve">(this is achieved </w:t>
      </w:r>
      <w:r w:rsidR="00150CD0">
        <w:t>by adding them</w:t>
      </w:r>
      <w:r w:rsidR="00E9645D">
        <w:t xml:space="preserve"> to the calculation</w:t>
      </w:r>
      <w:r w:rsidR="00A25D60">
        <w:t>)</w:t>
      </w:r>
      <w:r w:rsidR="00150CD0">
        <w:t>.</w:t>
      </w:r>
    </w:p>
    <w:p w14:paraId="699FFB89" w14:textId="783A2CA4" w:rsidR="00557936" w:rsidRDefault="001573B1" w:rsidP="00150CD0">
      <w:pPr>
        <w:pStyle w:val="Bullet"/>
        <w:numPr>
          <w:ilvl w:val="0"/>
          <w:numId w:val="0"/>
        </w:numPr>
        <w:ind w:left="709"/>
        <w:rPr>
          <w:rStyle w:val="References"/>
        </w:rPr>
      </w:pPr>
      <w:r w:rsidRPr="00205087">
        <w:rPr>
          <w:rStyle w:val="References"/>
        </w:rPr>
        <w:t>[Schedule xx, item</w:t>
      </w:r>
      <w:r>
        <w:rPr>
          <w:rStyle w:val="References"/>
        </w:rPr>
        <w:t xml:space="preserve"> 1</w:t>
      </w:r>
      <w:r w:rsidRPr="00205087">
        <w:rPr>
          <w:rStyle w:val="References"/>
        </w:rPr>
        <w:t xml:space="preserve">, </w:t>
      </w:r>
      <w:r>
        <w:rPr>
          <w:rStyle w:val="References"/>
        </w:rPr>
        <w:t>s</w:t>
      </w:r>
      <w:r w:rsidR="009E2815">
        <w:rPr>
          <w:rStyle w:val="References"/>
        </w:rPr>
        <w:t>ubs</w:t>
      </w:r>
      <w:r>
        <w:rPr>
          <w:rStyle w:val="References"/>
        </w:rPr>
        <w:t>ection 295-545(2A) of the ITAA 1997</w:t>
      </w:r>
      <w:r w:rsidRPr="00205087">
        <w:rPr>
          <w:rStyle w:val="References"/>
        </w:rPr>
        <w:t>]</w:t>
      </w:r>
    </w:p>
    <w:p w14:paraId="5B0E900E" w14:textId="7DAE8826" w:rsidR="00C8774E" w:rsidRDefault="00EA1C27" w:rsidP="00205087">
      <w:pPr>
        <w:pStyle w:val="Heading5"/>
      </w:pPr>
      <w:r>
        <w:t>Types of</w:t>
      </w:r>
      <w:r w:rsidR="00C8774E">
        <w:t xml:space="preserve"> Expenses</w:t>
      </w:r>
    </w:p>
    <w:p w14:paraId="7564B1FB" w14:textId="06628102" w:rsidR="00C8774E" w:rsidRPr="00020288" w:rsidRDefault="00651C66" w:rsidP="00C8774E">
      <w:pPr>
        <w:pStyle w:val="Normalparatextwithnumbers"/>
      </w:pPr>
      <w:r>
        <w:t xml:space="preserve">When a small superannuation fund or an SMSF </w:t>
      </w:r>
      <w:r w:rsidR="005C0B01">
        <w:t xml:space="preserve">incurs a loss, </w:t>
      </w:r>
      <w:r w:rsidR="00BB6190">
        <w:t>outgoing</w:t>
      </w:r>
      <w:r w:rsidR="005C0B01">
        <w:t xml:space="preserve"> </w:t>
      </w:r>
      <w:r w:rsidR="00BB7E11">
        <w:t xml:space="preserve">or expense as a part of a scheme with related parties </w:t>
      </w:r>
      <w:r w:rsidR="00833A26">
        <w:t xml:space="preserve">and that expense is </w:t>
      </w:r>
      <w:r w:rsidR="007E1106">
        <w:t>related to earning income from a particular asset of the fund</w:t>
      </w:r>
      <w:r w:rsidR="007C1FF1">
        <w:t>,</w:t>
      </w:r>
      <w:r w:rsidR="007E1106">
        <w:t xml:space="preserve"> that will be a specific expense</w:t>
      </w:r>
      <w:r w:rsidR="00835297">
        <w:t xml:space="preserve"> for the purposes of these provisions</w:t>
      </w:r>
      <w:r w:rsidR="007E1106">
        <w:t>.</w:t>
      </w:r>
      <w:r w:rsidR="00DF155C">
        <w:br/>
      </w:r>
      <w:r w:rsidR="00DF155C" w:rsidRPr="00DF155C">
        <w:rPr>
          <w:rStyle w:val="References"/>
        </w:rPr>
        <w:t>[</w:t>
      </w:r>
      <w:r w:rsidR="00DF155C" w:rsidRPr="00F2451B">
        <w:rPr>
          <w:rStyle w:val="References"/>
        </w:rPr>
        <w:t xml:space="preserve">Schedule xx, </w:t>
      </w:r>
      <w:r w:rsidR="00DF155C" w:rsidRPr="00BB2602">
        <w:rPr>
          <w:rStyle w:val="References"/>
        </w:rPr>
        <w:t>item</w:t>
      </w:r>
      <w:r w:rsidR="00DF155C">
        <w:rPr>
          <w:rStyle w:val="References"/>
        </w:rPr>
        <w:t xml:space="preserve"> 2</w:t>
      </w:r>
      <w:r w:rsidR="00DF155C" w:rsidRPr="00BB2602">
        <w:rPr>
          <w:rStyle w:val="References"/>
        </w:rPr>
        <w:t xml:space="preserve">, </w:t>
      </w:r>
      <w:r w:rsidR="00DF155C">
        <w:rPr>
          <w:rStyle w:val="References"/>
        </w:rPr>
        <w:t>paragraphs 295-550(1)(b) and (c) of the ITAA 1997</w:t>
      </w:r>
      <w:r w:rsidR="00DF155C" w:rsidRPr="00F2451B">
        <w:rPr>
          <w:rStyle w:val="References"/>
        </w:rPr>
        <w:t>]</w:t>
      </w:r>
      <w:r w:rsidR="00DF155C" w:rsidRPr="00DF155C">
        <w:rPr>
          <w:rStyle w:val="References"/>
        </w:rPr>
        <w:t xml:space="preserve">] </w:t>
      </w:r>
    </w:p>
    <w:p w14:paraId="5D5E9104" w14:textId="66F03AD2" w:rsidR="006716B9" w:rsidRDefault="006716B9" w:rsidP="00C8774E">
      <w:pPr>
        <w:pStyle w:val="Normalparatextwithnumbers"/>
      </w:pPr>
      <w:r>
        <w:t xml:space="preserve">This will also apply where an expense is not incurred but is expected to be incurred, </w:t>
      </w:r>
      <w:r w:rsidR="00135AF8">
        <w:t xml:space="preserve">which is referred to as </w:t>
      </w:r>
      <w:r>
        <w:t>an expected expense.</w:t>
      </w:r>
    </w:p>
    <w:p w14:paraId="6FDE8E82" w14:textId="4F3AAF56" w:rsidR="00EA1C27" w:rsidRDefault="001C7C9B" w:rsidP="00C8774E">
      <w:pPr>
        <w:pStyle w:val="Normalparatextwithnumbers"/>
      </w:pPr>
      <w:r>
        <w:t xml:space="preserve">A general expense is an expense that is incurred </w:t>
      </w:r>
      <w:r w:rsidR="00520269">
        <w:t xml:space="preserve">otherwise than </w:t>
      </w:r>
      <w:r w:rsidR="004C4AD8">
        <w:t xml:space="preserve">in </w:t>
      </w:r>
      <w:r w:rsidR="003A6D61">
        <w:t xml:space="preserve">gaining or producing income from any </w:t>
      </w:r>
      <w:r w:rsidR="003909A5">
        <w:t xml:space="preserve">particular asset </w:t>
      </w:r>
      <w:r w:rsidR="003A6D61">
        <w:t xml:space="preserve">or assets of the fund </w:t>
      </w:r>
      <w:r w:rsidR="00D948AF">
        <w:t>(</w:t>
      </w:r>
      <w:r w:rsidR="003A6D61">
        <w:t>including the acquisition of the asset itself</w:t>
      </w:r>
      <w:r w:rsidR="00D948AF">
        <w:t>)</w:t>
      </w:r>
      <w:r w:rsidR="003A6D61">
        <w:t>.</w:t>
      </w:r>
      <w:r w:rsidR="00000629">
        <w:br/>
      </w:r>
      <w:r w:rsidR="00000629" w:rsidRPr="00000629">
        <w:rPr>
          <w:rStyle w:val="References"/>
        </w:rPr>
        <w:t>[Schedule xx</w:t>
      </w:r>
      <w:r w:rsidR="00107951" w:rsidRPr="00BB2602">
        <w:rPr>
          <w:rStyle w:val="References"/>
        </w:rPr>
        <w:t>, item</w:t>
      </w:r>
      <w:r w:rsidR="00107951">
        <w:rPr>
          <w:rStyle w:val="References"/>
        </w:rPr>
        <w:t xml:space="preserve"> 4</w:t>
      </w:r>
      <w:r w:rsidR="00107951" w:rsidRPr="00BB2602">
        <w:rPr>
          <w:rStyle w:val="References"/>
        </w:rPr>
        <w:t xml:space="preserve">, </w:t>
      </w:r>
      <w:r w:rsidR="00107951">
        <w:rPr>
          <w:rStyle w:val="References"/>
        </w:rPr>
        <w:t>subsection</w:t>
      </w:r>
      <w:r w:rsidR="003C7141">
        <w:rPr>
          <w:rStyle w:val="References"/>
        </w:rPr>
        <w:t>s</w:t>
      </w:r>
      <w:r w:rsidR="00107951">
        <w:rPr>
          <w:rStyle w:val="References"/>
        </w:rPr>
        <w:t xml:space="preserve"> 295-550(8) </w:t>
      </w:r>
      <w:r w:rsidR="006C7D94">
        <w:rPr>
          <w:rStyle w:val="References"/>
        </w:rPr>
        <w:t xml:space="preserve">and 295-550(9) </w:t>
      </w:r>
      <w:r w:rsidR="00107951">
        <w:rPr>
          <w:rStyle w:val="References"/>
        </w:rPr>
        <w:t>of the ITAA 1997</w:t>
      </w:r>
      <w:r w:rsidR="00000629" w:rsidRPr="00000629">
        <w:rPr>
          <w:rStyle w:val="References"/>
        </w:rPr>
        <w:t>]</w:t>
      </w:r>
    </w:p>
    <w:p w14:paraId="73D98F19" w14:textId="2CA882DF" w:rsidR="00DF155C" w:rsidRDefault="005B4A02" w:rsidP="00C8774E">
      <w:pPr>
        <w:pStyle w:val="Normalparatextwithnumbers"/>
      </w:pPr>
      <w:r>
        <w:t xml:space="preserve">For the purposes of this </w:t>
      </w:r>
      <w:r w:rsidR="00E177A0">
        <w:t xml:space="preserve">explanatory memorandum, </w:t>
      </w:r>
      <w:r w:rsidR="00791A46">
        <w:t xml:space="preserve">any </w:t>
      </w:r>
      <w:r w:rsidR="00B2574C">
        <w:t>other</w:t>
      </w:r>
      <w:r w:rsidR="00E177A0">
        <w:t xml:space="preserve"> expense incurred as part of a scheme where </w:t>
      </w:r>
      <w:r w:rsidR="00C24301">
        <w:t xml:space="preserve">entities are not dealing with each other at arm’s length </w:t>
      </w:r>
      <w:r w:rsidR="0028405A">
        <w:t xml:space="preserve">and </w:t>
      </w:r>
      <w:r w:rsidR="00F82675">
        <w:t>where the</w:t>
      </w:r>
      <w:r w:rsidR="00C24301">
        <w:t xml:space="preserve"> expense is less that would have been expected to have been incurred had the parties been dealing with each other at arm’s length (including not being incurred where it would have been expected to have been incurred)</w:t>
      </w:r>
      <w:r w:rsidR="00320BFC">
        <w:t xml:space="preserve"> and that expense is in relation to a particular asset </w:t>
      </w:r>
      <w:r w:rsidR="00992323">
        <w:t xml:space="preserve">or assets </w:t>
      </w:r>
      <w:r w:rsidR="00320BFC">
        <w:t>it</w:t>
      </w:r>
      <w:r w:rsidR="00C24301">
        <w:t xml:space="preserve"> </w:t>
      </w:r>
      <w:r w:rsidR="001F7938">
        <w:t>is referred to as a specific expense</w:t>
      </w:r>
      <w:r w:rsidR="00000629">
        <w:t>.</w:t>
      </w:r>
      <w:r w:rsidR="001F7938">
        <w:t xml:space="preserve"> This term is not defined in the legislation but</w:t>
      </w:r>
      <w:r w:rsidR="00320BFC">
        <w:t xml:space="preserve"> is used to</w:t>
      </w:r>
      <w:r w:rsidR="001F7938">
        <w:t xml:space="preserve"> differentiate these expenses from general expenses.</w:t>
      </w:r>
    </w:p>
    <w:p w14:paraId="4F4551AB" w14:textId="78947F03" w:rsidR="00092FEF" w:rsidRDefault="00543004" w:rsidP="00C8774E">
      <w:pPr>
        <w:pStyle w:val="Normalparatextwithnumbers"/>
      </w:pPr>
      <w:r>
        <w:t xml:space="preserve">Even where the income from the particular asset or assets comprises </w:t>
      </w:r>
      <w:proofErr w:type="gramStart"/>
      <w:r>
        <w:t>all of</w:t>
      </w:r>
      <w:proofErr w:type="gramEnd"/>
      <w:r>
        <w:t xml:space="preserve"> the income of the fund in a particular year, the expense will still be a specific expense if it relates to </w:t>
      </w:r>
      <w:r w:rsidR="006A5103">
        <w:t>the particular asset or assets</w:t>
      </w:r>
      <w:r w:rsidR="00764CB0">
        <w:t>.</w:t>
      </w:r>
    </w:p>
    <w:p w14:paraId="665B096C" w14:textId="75C793EE" w:rsidR="007E1106" w:rsidRPr="00020288" w:rsidRDefault="006716B9" w:rsidP="00C8774E">
      <w:pPr>
        <w:pStyle w:val="Normalparatextwithnumbers"/>
      </w:pPr>
      <w:r>
        <w:lastRenderedPageBreak/>
        <w:t xml:space="preserve">To establish which category of expense </w:t>
      </w:r>
      <w:r w:rsidR="00D429B8">
        <w:t>a loss, outgoing or expense falls into</w:t>
      </w:r>
      <w:r w:rsidR="005845BE">
        <w:t>,</w:t>
      </w:r>
      <w:r w:rsidR="00D429B8">
        <w:t xml:space="preserve"> it will be necessary to examine </w:t>
      </w:r>
      <w:proofErr w:type="gramStart"/>
      <w:r w:rsidR="00C42049">
        <w:t>whether or not</w:t>
      </w:r>
      <w:proofErr w:type="gramEnd"/>
      <w:r w:rsidR="00C42049">
        <w:t xml:space="preserve"> the expense </w:t>
      </w:r>
      <w:r w:rsidR="006A599F">
        <w:t>is incurred in relation to a particular asset or assets of the fund</w:t>
      </w:r>
      <w:r w:rsidR="00FC38FE">
        <w:t>. W</w:t>
      </w:r>
      <w:r w:rsidR="00D429B8">
        <w:t xml:space="preserve">here </w:t>
      </w:r>
      <w:r w:rsidR="003E5EED">
        <w:t>an expense is incurred in relation to a</w:t>
      </w:r>
      <w:r w:rsidR="00D429B8">
        <w:t xml:space="preserve"> particular asset or assets of the fund </w:t>
      </w:r>
      <w:r w:rsidR="00AD05BC">
        <w:t>it</w:t>
      </w:r>
      <w:r w:rsidR="005B77C9">
        <w:t xml:space="preserve"> be a specific expense. </w:t>
      </w:r>
      <w:r w:rsidR="00A60B2E">
        <w:t xml:space="preserve">In addition to the </w:t>
      </w:r>
      <w:r w:rsidR="005B77C9">
        <w:t>acquisition of an asset itself</w:t>
      </w:r>
      <w:r w:rsidR="00A60B2E">
        <w:t>,</w:t>
      </w:r>
      <w:r w:rsidR="005B77C9">
        <w:t xml:space="preserve"> some examples of the types of expenses that would fall within specific expenses would be as follows:</w:t>
      </w:r>
    </w:p>
    <w:p w14:paraId="2CD4021A" w14:textId="331E6A9C" w:rsidR="005B77C9" w:rsidRDefault="00961455" w:rsidP="005B77C9">
      <w:pPr>
        <w:pStyle w:val="Dotpoint1"/>
      </w:pPr>
      <w:r>
        <w:t xml:space="preserve">maintenance </w:t>
      </w:r>
      <w:r w:rsidR="00996038">
        <w:t xml:space="preserve">expenses for </w:t>
      </w:r>
      <w:r w:rsidR="00383E00">
        <w:t>a rental property</w:t>
      </w:r>
    </w:p>
    <w:p w14:paraId="1A178756" w14:textId="30ECA762" w:rsidR="00383E00" w:rsidRDefault="00961455" w:rsidP="005B77C9">
      <w:pPr>
        <w:pStyle w:val="Dotpoint1"/>
      </w:pPr>
      <w:r>
        <w:t xml:space="preserve">investment </w:t>
      </w:r>
      <w:r w:rsidR="00383E00">
        <w:t xml:space="preserve">advice fees for a particular pool </w:t>
      </w:r>
      <w:r w:rsidR="00CC5EEB">
        <w:t>of investments</w:t>
      </w:r>
    </w:p>
    <w:p w14:paraId="3B3B2F85" w14:textId="01DE23BC" w:rsidR="00CC5EEB" w:rsidRDefault="00961455" w:rsidP="005B77C9">
      <w:pPr>
        <w:pStyle w:val="Dotpoint1"/>
      </w:pPr>
      <w:r>
        <w:t xml:space="preserve">a </w:t>
      </w:r>
      <w:r w:rsidR="003A15FB">
        <w:t>limited recourse borrowing arrangement for the purchase of a specific asset</w:t>
      </w:r>
    </w:p>
    <w:p w14:paraId="2B396C8A" w14:textId="420DA190" w:rsidR="00697FBD" w:rsidRPr="00020288" w:rsidRDefault="00961455" w:rsidP="005B77C9">
      <w:pPr>
        <w:pStyle w:val="Dotpoint1"/>
      </w:pPr>
      <w:r>
        <w:t xml:space="preserve">the </w:t>
      </w:r>
      <w:r w:rsidR="00697FBD">
        <w:t>purchase of an asset such as a rental property or shares</w:t>
      </w:r>
    </w:p>
    <w:p w14:paraId="64323D69" w14:textId="7513FE1A" w:rsidR="007A725E" w:rsidRDefault="001F7938" w:rsidP="00DC4322">
      <w:pPr>
        <w:pStyle w:val="Normalparatextwithnumbers"/>
      </w:pPr>
      <w:r>
        <w:t>Although this list provides some guidance about what type</w:t>
      </w:r>
      <w:r w:rsidR="005F21C3">
        <w:t>s</w:t>
      </w:r>
      <w:r>
        <w:t xml:space="preserve"> of expenses are specific expenses</w:t>
      </w:r>
      <w:r w:rsidR="006D6C62">
        <w:t>,</w:t>
      </w:r>
      <w:r>
        <w:t xml:space="preserve"> it is not intended to be an exhaustive list and each expense must be considered in relation to the facts and circumstances in which it is incurred. For example</w:t>
      </w:r>
      <w:r w:rsidR="008E5C66">
        <w:t>, e</w:t>
      </w:r>
      <w:r w:rsidR="00C02804" w:rsidRPr="00C02804">
        <w:t xml:space="preserve">xpenses related to income derived by </w:t>
      </w:r>
      <w:r w:rsidR="00724D80">
        <w:t>an</w:t>
      </w:r>
      <w:r w:rsidR="00C02804" w:rsidRPr="00C02804">
        <w:t xml:space="preserve"> entity as a beneficiary of a trust through holding or acquiring a fixed entitlement to the income of a trust will always be specific expense</w:t>
      </w:r>
      <w:r w:rsidR="00737457">
        <w:t>s</w:t>
      </w:r>
      <w:r w:rsidR="00C02804" w:rsidRPr="00C02804">
        <w:t xml:space="preserve">. </w:t>
      </w:r>
      <w:r w:rsidR="00C32E65">
        <w:t xml:space="preserve">This is because such expenses will always be related to a particular asset or assets as a fixed entitlement is itself a particular asset. </w:t>
      </w:r>
      <w:r w:rsidR="009049E3" w:rsidRPr="00C02804">
        <w:t xml:space="preserve">No changes are made to </w:t>
      </w:r>
      <w:r w:rsidR="009049E3" w:rsidRPr="00860902">
        <w:t>how</w:t>
      </w:r>
      <w:r w:rsidR="009049E3">
        <w:t xml:space="preserve"> </w:t>
      </w:r>
      <w:r w:rsidR="009049E3" w:rsidRPr="00C02804">
        <w:t xml:space="preserve">the existing </w:t>
      </w:r>
      <w:r w:rsidR="009049E3" w:rsidRPr="009049E3">
        <w:t xml:space="preserve">provisions </w:t>
      </w:r>
      <w:r w:rsidR="009049E3" w:rsidRPr="00860902">
        <w:t>apply in circumstances where specific expenses are non-arm’s length expenses</w:t>
      </w:r>
      <w:r w:rsidR="009049E3">
        <w:t xml:space="preserve"> </w:t>
      </w:r>
      <w:r w:rsidR="009049E3" w:rsidRPr="00C02804">
        <w:t xml:space="preserve">beyond excluding </w:t>
      </w:r>
      <w:r w:rsidR="009049E3">
        <w:t>l</w:t>
      </w:r>
      <w:r w:rsidR="009049E3" w:rsidRPr="00C02804">
        <w:t>arge APRA regulated funds</w:t>
      </w:r>
      <w:r w:rsidR="009049E3">
        <w:t xml:space="preserve"> and exempt public sector superannuation funds</w:t>
      </w:r>
      <w:r w:rsidR="00FD346C">
        <w:t>.</w:t>
      </w:r>
      <w:r w:rsidR="00F102DC">
        <w:br/>
      </w:r>
      <w:r w:rsidR="00F102DC" w:rsidRPr="00F102DC">
        <w:rPr>
          <w:rStyle w:val="References"/>
        </w:rPr>
        <w:t>[Schedule xx</w:t>
      </w:r>
      <w:r w:rsidR="00FD346C" w:rsidRPr="00BB2602">
        <w:rPr>
          <w:rStyle w:val="References"/>
        </w:rPr>
        <w:t>, item</w:t>
      </w:r>
      <w:r w:rsidR="00FD346C">
        <w:rPr>
          <w:rStyle w:val="References"/>
        </w:rPr>
        <w:t xml:space="preserve"> 3</w:t>
      </w:r>
      <w:r w:rsidR="00FD346C" w:rsidRPr="00BB2602">
        <w:rPr>
          <w:rStyle w:val="References"/>
        </w:rPr>
        <w:t xml:space="preserve">, </w:t>
      </w:r>
      <w:r w:rsidR="00FD346C">
        <w:rPr>
          <w:rStyle w:val="References"/>
        </w:rPr>
        <w:t>paragraphs 295-550(5)(b) and (c) of the ITAA 1997</w:t>
      </w:r>
      <w:r w:rsidR="00F102DC" w:rsidRPr="00F102DC">
        <w:rPr>
          <w:rStyle w:val="References"/>
        </w:rPr>
        <w:t xml:space="preserve">] </w:t>
      </w:r>
    </w:p>
    <w:p w14:paraId="56EBF93A" w14:textId="3E21D43E" w:rsidR="003A15FB" w:rsidRPr="00020288" w:rsidRDefault="00945989" w:rsidP="00785195">
      <w:pPr>
        <w:pStyle w:val="Normalparatextwithnumbers"/>
      </w:pPr>
      <w:r>
        <w:t xml:space="preserve">Where a specific expense is incurred </w:t>
      </w:r>
      <w:proofErr w:type="gramStart"/>
      <w:r>
        <w:t>as a result of</w:t>
      </w:r>
      <w:proofErr w:type="gramEnd"/>
      <w:r>
        <w:t xml:space="preserve"> a scheme in which the parties are not dealing with each other at arm</w:t>
      </w:r>
      <w:r w:rsidR="008D7D64">
        <w:t>’</w:t>
      </w:r>
      <w:r>
        <w:t>s length</w:t>
      </w:r>
      <w:r w:rsidR="00FD346C">
        <w:t xml:space="preserve"> and the entity is a small complying superannuation entity</w:t>
      </w:r>
      <w:r w:rsidR="007C7955">
        <w:t>,</w:t>
      </w:r>
      <w:r>
        <w:t xml:space="preserve"> the amount of income that </w:t>
      </w:r>
      <w:r w:rsidR="009C3E8A">
        <w:t xml:space="preserve">will become </w:t>
      </w:r>
      <w:r w:rsidR="007C7955">
        <w:t xml:space="preserve">non-arm’s length </w:t>
      </w:r>
      <w:r w:rsidR="009C3E8A">
        <w:t xml:space="preserve">income is </w:t>
      </w:r>
      <w:r w:rsidR="00AF44E1">
        <w:t>the same as the existing treatment prior to these amendments.</w:t>
      </w:r>
      <w:r w:rsidR="00FD346C">
        <w:br/>
      </w:r>
      <w:r w:rsidR="00FD346C" w:rsidRPr="00FD346C">
        <w:rPr>
          <w:rStyle w:val="References"/>
        </w:rPr>
        <w:t>[Schedule xx</w:t>
      </w:r>
      <w:r w:rsidR="00072568" w:rsidRPr="00BB2602">
        <w:rPr>
          <w:rStyle w:val="References"/>
        </w:rPr>
        <w:t>, item</w:t>
      </w:r>
      <w:r w:rsidR="00072568">
        <w:rPr>
          <w:rStyle w:val="References"/>
        </w:rPr>
        <w:t xml:space="preserve"> </w:t>
      </w:r>
      <w:r w:rsidR="00346FE6">
        <w:rPr>
          <w:rStyle w:val="References"/>
        </w:rPr>
        <w:t>2</w:t>
      </w:r>
      <w:r w:rsidR="00072568" w:rsidRPr="00BB2602">
        <w:rPr>
          <w:rStyle w:val="References"/>
        </w:rPr>
        <w:t xml:space="preserve">, </w:t>
      </w:r>
      <w:r w:rsidR="00346FE6">
        <w:rPr>
          <w:rStyle w:val="References"/>
        </w:rPr>
        <w:t>parag</w:t>
      </w:r>
      <w:r w:rsidR="002F3815">
        <w:rPr>
          <w:rStyle w:val="References"/>
        </w:rPr>
        <w:t>raphs</w:t>
      </w:r>
      <w:r w:rsidR="00072568">
        <w:rPr>
          <w:rStyle w:val="References"/>
        </w:rPr>
        <w:t xml:space="preserve"> 295-550</w:t>
      </w:r>
      <w:r w:rsidR="002F3815">
        <w:rPr>
          <w:rStyle w:val="References"/>
        </w:rPr>
        <w:t>(1)(b) and (c)</w:t>
      </w:r>
      <w:r w:rsidR="00072568">
        <w:rPr>
          <w:rStyle w:val="References"/>
        </w:rPr>
        <w:t xml:space="preserve"> of the ITAA 1997</w:t>
      </w:r>
      <w:r w:rsidR="00FD346C" w:rsidRPr="00FD346C">
        <w:rPr>
          <w:rStyle w:val="References"/>
        </w:rPr>
        <w:t xml:space="preserve">] </w:t>
      </w:r>
    </w:p>
    <w:p w14:paraId="6A6A6F90" w14:textId="5BF78E68" w:rsidR="00AF44E1" w:rsidRPr="00020288" w:rsidRDefault="00AF44E1" w:rsidP="00785195">
      <w:pPr>
        <w:pStyle w:val="Normalparatextwithnumbers"/>
      </w:pPr>
      <w:proofErr w:type="gramStart"/>
      <w:r>
        <w:t>All of</w:t>
      </w:r>
      <w:proofErr w:type="gramEnd"/>
      <w:r>
        <w:t xml:space="preserve"> t</w:t>
      </w:r>
      <w:r w:rsidR="00F461A7">
        <w:t xml:space="preserve">he ordinary or </w:t>
      </w:r>
      <w:r w:rsidR="00727452">
        <w:t>statutory</w:t>
      </w:r>
      <w:r w:rsidR="00F461A7">
        <w:t xml:space="preserve"> income that results from the scheme </w:t>
      </w:r>
      <w:r w:rsidR="00697E08">
        <w:t>will be non-arm</w:t>
      </w:r>
      <w:r w:rsidR="008D7D64">
        <w:t>’</w:t>
      </w:r>
      <w:r w:rsidR="00697E08">
        <w:t>s length income.</w:t>
      </w:r>
    </w:p>
    <w:p w14:paraId="059620C6" w14:textId="05E62D2B" w:rsidR="00AD0FC7" w:rsidRDefault="00D874DB" w:rsidP="00785195">
      <w:pPr>
        <w:pStyle w:val="Normalparatextwithnumbers"/>
      </w:pPr>
      <w:r>
        <w:t xml:space="preserve">These amendments apply a different treatment to general expenses. General expenses </w:t>
      </w:r>
      <w:r w:rsidR="004F6D63">
        <w:t xml:space="preserve">will have a </w:t>
      </w:r>
      <w:r w:rsidR="003C3668">
        <w:t xml:space="preserve">sufficient </w:t>
      </w:r>
      <w:r w:rsidR="004F6D63">
        <w:t>nexus to the entirety of the income of the fund</w:t>
      </w:r>
      <w:r w:rsidR="006C0A23">
        <w:t>, rather than a particular asset or assets of the fund</w:t>
      </w:r>
      <w:r w:rsidR="004F6D63">
        <w:t xml:space="preserve">. </w:t>
      </w:r>
      <w:r w:rsidR="00AD0FC7">
        <w:t xml:space="preserve">These will usually relate to the operation or obligations of the </w:t>
      </w:r>
      <w:proofErr w:type="gramStart"/>
      <w:r w:rsidR="00AD0FC7">
        <w:t>fund as a whole</w:t>
      </w:r>
      <w:proofErr w:type="gramEnd"/>
      <w:r w:rsidR="00AD0FC7">
        <w:t>.</w:t>
      </w:r>
      <w:r w:rsidR="00346FE6">
        <w:br/>
      </w:r>
      <w:r w:rsidR="00346FE6" w:rsidRPr="00346FE6">
        <w:rPr>
          <w:rStyle w:val="References"/>
        </w:rPr>
        <w:t>[Schedule xx</w:t>
      </w:r>
      <w:r w:rsidR="00346FE6" w:rsidRPr="00BB2602">
        <w:rPr>
          <w:rStyle w:val="References"/>
        </w:rPr>
        <w:t>, item</w:t>
      </w:r>
      <w:r w:rsidR="00346FE6">
        <w:rPr>
          <w:rStyle w:val="References"/>
        </w:rPr>
        <w:t xml:space="preserve"> 4</w:t>
      </w:r>
      <w:r w:rsidR="00346FE6" w:rsidRPr="00BB2602">
        <w:rPr>
          <w:rStyle w:val="References"/>
        </w:rPr>
        <w:t xml:space="preserve">, </w:t>
      </w:r>
      <w:r w:rsidR="0078401C">
        <w:rPr>
          <w:rStyle w:val="References"/>
        </w:rPr>
        <w:t>paragraph</w:t>
      </w:r>
      <w:r w:rsidR="00346FE6">
        <w:rPr>
          <w:rStyle w:val="References"/>
        </w:rPr>
        <w:t xml:space="preserve"> 295-550 (8)</w:t>
      </w:r>
      <w:r w:rsidR="0078401C">
        <w:rPr>
          <w:rStyle w:val="References"/>
        </w:rPr>
        <w:t>(b)</w:t>
      </w:r>
      <w:r w:rsidR="00346FE6">
        <w:rPr>
          <w:rStyle w:val="References"/>
        </w:rPr>
        <w:t xml:space="preserve"> of the ITAA 1997</w:t>
      </w:r>
      <w:r w:rsidR="00346FE6" w:rsidRPr="00346FE6">
        <w:rPr>
          <w:rStyle w:val="References"/>
        </w:rPr>
        <w:t xml:space="preserve">] </w:t>
      </w:r>
    </w:p>
    <w:p w14:paraId="0C94C28C" w14:textId="0A070D4B" w:rsidR="00D874DB" w:rsidRDefault="00B0412E" w:rsidP="00785195">
      <w:pPr>
        <w:pStyle w:val="Normalparatextwithnumbers"/>
      </w:pPr>
      <w:r>
        <w:t>Currently, t</w:t>
      </w:r>
      <w:r w:rsidR="00AD0FC7">
        <w:t>his can result in the entire income of the fund becoming non-arm</w:t>
      </w:r>
      <w:r w:rsidR="008D7D64">
        <w:t>’</w:t>
      </w:r>
      <w:r w:rsidR="00AD0FC7">
        <w:t xml:space="preserve">s length income and being taxed at a higher rate, even when the </w:t>
      </w:r>
      <w:r w:rsidR="00E76D35">
        <w:t>expense that is incurred on a non</w:t>
      </w:r>
      <w:r w:rsidR="00CF7A1E">
        <w:t>-arm</w:t>
      </w:r>
      <w:r w:rsidR="008D7D64">
        <w:t>’</w:t>
      </w:r>
      <w:r w:rsidR="00CF7A1E">
        <w:t xml:space="preserve">s length basis </w:t>
      </w:r>
      <w:r w:rsidR="004E7359">
        <w:t xml:space="preserve">or not incurred at all can be </w:t>
      </w:r>
      <w:r w:rsidR="00D46716">
        <w:t>relatively small</w:t>
      </w:r>
      <w:r w:rsidR="00394219">
        <w:t>.</w:t>
      </w:r>
      <w:r w:rsidR="005D19E9">
        <w:t xml:space="preserve"> </w:t>
      </w:r>
      <w:r w:rsidR="00D874DB">
        <w:t xml:space="preserve"> </w:t>
      </w:r>
    </w:p>
    <w:p w14:paraId="17201F01" w14:textId="3156C9AA" w:rsidR="00697E08" w:rsidRPr="00020288" w:rsidRDefault="004C138D" w:rsidP="00205087">
      <w:pPr>
        <w:pStyle w:val="Heading5"/>
      </w:pPr>
      <w:r>
        <w:lastRenderedPageBreak/>
        <w:t>General Expenses</w:t>
      </w:r>
      <w:r w:rsidR="00394219">
        <w:t xml:space="preserve"> Treatment</w:t>
      </w:r>
    </w:p>
    <w:p w14:paraId="0CF06A61" w14:textId="2FDF409E" w:rsidR="00AB602A" w:rsidRPr="00020288" w:rsidRDefault="00647929" w:rsidP="001A4FAE">
      <w:pPr>
        <w:pStyle w:val="Normalparatextwithnumbers"/>
      </w:pPr>
      <w:r>
        <w:t>Under these amendments, w</w:t>
      </w:r>
      <w:r w:rsidR="00394219">
        <w:t xml:space="preserve">hen the expense that is incurred on </w:t>
      </w:r>
      <w:r w:rsidR="000F41F7">
        <w:t xml:space="preserve">a </w:t>
      </w:r>
      <w:r w:rsidR="00394219">
        <w:t>non-arm</w:t>
      </w:r>
      <w:r w:rsidR="00B0412E">
        <w:t>’</w:t>
      </w:r>
      <w:r w:rsidR="00394219">
        <w:t>s length basis is</w:t>
      </w:r>
      <w:r w:rsidR="00AC0E01">
        <w:t xml:space="preserve"> a</w:t>
      </w:r>
      <w:r w:rsidR="00394219">
        <w:t xml:space="preserve"> </w:t>
      </w:r>
      <w:r w:rsidR="002D46D4">
        <w:t xml:space="preserve">general </w:t>
      </w:r>
      <w:r w:rsidR="00397BE4">
        <w:t>expense</w:t>
      </w:r>
      <w:r w:rsidR="0041347C">
        <w:t xml:space="preserve"> the income that </w:t>
      </w:r>
      <w:r w:rsidR="006A341C">
        <w:t xml:space="preserve">is </w:t>
      </w:r>
      <w:r w:rsidR="0041347C">
        <w:t>non-arm</w:t>
      </w:r>
      <w:r w:rsidR="008D7D64">
        <w:t>’</w:t>
      </w:r>
      <w:r w:rsidR="0041347C">
        <w:t xml:space="preserve">s length income </w:t>
      </w:r>
      <w:r w:rsidR="008A03CD">
        <w:t xml:space="preserve">as a result of the scheme will be limited by the </w:t>
      </w:r>
      <w:proofErr w:type="gramStart"/>
      <w:r w:rsidR="008A03CD">
        <w:t>2 factor</w:t>
      </w:r>
      <w:proofErr w:type="gramEnd"/>
      <w:r w:rsidR="008A03CD">
        <w:t xml:space="preserve"> approach.</w:t>
      </w:r>
      <w:r w:rsidR="00AB602A">
        <w:t xml:space="preserve"> This will be </w:t>
      </w:r>
      <w:r w:rsidR="001A4FAE">
        <w:t>t</w:t>
      </w:r>
      <w:r w:rsidR="002A6C2E">
        <w:t>wice the amount of the differen</w:t>
      </w:r>
      <w:r w:rsidR="004C6AE5">
        <w:t>ce</w:t>
      </w:r>
      <w:r w:rsidR="002A6C2E">
        <w:t xml:space="preserve"> between the </w:t>
      </w:r>
      <w:r w:rsidR="00657855">
        <w:t xml:space="preserve">actual </w:t>
      </w:r>
      <w:r w:rsidR="002A6C2E">
        <w:t xml:space="preserve">amount </w:t>
      </w:r>
      <w:r w:rsidR="00657855">
        <w:t xml:space="preserve">of </w:t>
      </w:r>
      <w:r w:rsidR="002A6C2E">
        <w:t xml:space="preserve">the </w:t>
      </w:r>
      <w:r w:rsidR="00657855">
        <w:t xml:space="preserve">expense </w:t>
      </w:r>
      <w:r w:rsidR="00645C84">
        <w:t xml:space="preserve">incurred and </w:t>
      </w:r>
      <w:r w:rsidR="00C06549">
        <w:t xml:space="preserve">the amount of the expense that </w:t>
      </w:r>
      <w:r w:rsidR="004D4815">
        <w:t xml:space="preserve">might </w:t>
      </w:r>
      <w:r w:rsidR="00C06549">
        <w:t xml:space="preserve">have been </w:t>
      </w:r>
      <w:r w:rsidR="003E35A7">
        <w:t>expected if the parties had been dealing at arm</w:t>
      </w:r>
      <w:r w:rsidR="004D4815">
        <w:t>’</w:t>
      </w:r>
      <w:r w:rsidR="003E35A7">
        <w:t>s</w:t>
      </w:r>
      <w:r w:rsidR="00A644B8">
        <w:t xml:space="preserve"> </w:t>
      </w:r>
      <w:r w:rsidR="003E35A7">
        <w:t>length.</w:t>
      </w:r>
      <w:r w:rsidR="008B6768">
        <w:t xml:space="preserve"> </w:t>
      </w:r>
      <w:r w:rsidR="00A70AE1">
        <w:t xml:space="preserve">Where no expense was incurred, </w:t>
      </w:r>
      <w:r w:rsidR="0038700E">
        <w:t xml:space="preserve">the amount would be </w:t>
      </w:r>
      <w:r w:rsidR="009E0714">
        <w:t xml:space="preserve">twice the amount that </w:t>
      </w:r>
      <w:r w:rsidR="0038700E">
        <w:t xml:space="preserve">might </w:t>
      </w:r>
      <w:r w:rsidR="009E0714">
        <w:t xml:space="preserve">have been expected if the expense </w:t>
      </w:r>
      <w:r w:rsidR="0038700E">
        <w:t>had been at arm’s length.</w:t>
      </w:r>
      <w:r w:rsidR="0078401C">
        <w:br/>
      </w:r>
      <w:r w:rsidR="0078401C" w:rsidRPr="0078401C">
        <w:rPr>
          <w:rStyle w:val="References"/>
        </w:rPr>
        <w:t>[Schedule xx</w:t>
      </w:r>
      <w:r w:rsidR="00CC20D4" w:rsidRPr="00BB2602">
        <w:rPr>
          <w:rStyle w:val="References"/>
        </w:rPr>
        <w:t>, item</w:t>
      </w:r>
      <w:r w:rsidR="00CC20D4">
        <w:rPr>
          <w:rStyle w:val="References"/>
        </w:rPr>
        <w:t xml:space="preserve"> 4</w:t>
      </w:r>
      <w:r w:rsidR="00CC20D4" w:rsidRPr="00BB2602">
        <w:rPr>
          <w:rStyle w:val="References"/>
        </w:rPr>
        <w:t xml:space="preserve">, </w:t>
      </w:r>
      <w:r w:rsidR="00CC20D4">
        <w:rPr>
          <w:rStyle w:val="References"/>
        </w:rPr>
        <w:t>subsection 295-550(</w:t>
      </w:r>
      <w:r w:rsidR="0091798C">
        <w:rPr>
          <w:rStyle w:val="References"/>
        </w:rPr>
        <w:t>8</w:t>
      </w:r>
      <w:r w:rsidR="00CC20D4">
        <w:rPr>
          <w:rStyle w:val="References"/>
        </w:rPr>
        <w:t>) of the ITAA 1997</w:t>
      </w:r>
      <w:r w:rsidR="0078401C" w:rsidRPr="0078401C">
        <w:rPr>
          <w:rStyle w:val="References"/>
        </w:rPr>
        <w:t xml:space="preserve">] </w:t>
      </w:r>
    </w:p>
    <w:p w14:paraId="372F66DD" w14:textId="22BEC43E" w:rsidR="00FE6BFB" w:rsidRDefault="00FE6BFB" w:rsidP="00394219">
      <w:pPr>
        <w:pStyle w:val="Normalparatextwithnumbers"/>
      </w:pPr>
      <w:r>
        <w:t>Although not intended to be an exhaustive list</w:t>
      </w:r>
      <w:r w:rsidR="000D57E5">
        <w:t>,</w:t>
      </w:r>
      <w:r>
        <w:t xml:space="preserve"> some of the items that</w:t>
      </w:r>
      <w:r w:rsidR="00257586">
        <w:t xml:space="preserve"> would </w:t>
      </w:r>
      <w:r w:rsidR="000D57E5">
        <w:t xml:space="preserve">be </w:t>
      </w:r>
      <w:r w:rsidR="00257586">
        <w:t xml:space="preserve">expected to fall within the category of general expenses </w:t>
      </w:r>
      <w:r w:rsidR="00400584">
        <w:t>are</w:t>
      </w:r>
      <w:r w:rsidR="00257586">
        <w:t>:</w:t>
      </w:r>
    </w:p>
    <w:p w14:paraId="45627A39" w14:textId="22C75955" w:rsidR="00257586" w:rsidRDefault="00127A14" w:rsidP="00257586">
      <w:pPr>
        <w:pStyle w:val="Exampledotpoint1"/>
      </w:pPr>
      <w:r>
        <w:t xml:space="preserve">actuarial </w:t>
      </w:r>
      <w:r w:rsidR="002A70D9">
        <w:t>costs</w:t>
      </w:r>
    </w:p>
    <w:p w14:paraId="485EF453" w14:textId="54BAC714" w:rsidR="002A70D9" w:rsidRDefault="00127A14" w:rsidP="00257586">
      <w:pPr>
        <w:pStyle w:val="Exampledotpoint1"/>
      </w:pPr>
      <w:r>
        <w:t xml:space="preserve">accountant </w:t>
      </w:r>
      <w:r w:rsidR="002A70D9">
        <w:t>fees</w:t>
      </w:r>
    </w:p>
    <w:p w14:paraId="12484511" w14:textId="1C7422C2" w:rsidR="002A70D9" w:rsidRDefault="00127A14" w:rsidP="00257586">
      <w:pPr>
        <w:pStyle w:val="Exampledotpoint1"/>
      </w:pPr>
      <w:r>
        <w:t xml:space="preserve">fees </w:t>
      </w:r>
      <w:r w:rsidR="002A70D9">
        <w:t>to an auditor</w:t>
      </w:r>
    </w:p>
    <w:p w14:paraId="7CA495A6" w14:textId="2E6633CF" w:rsidR="002A70D9" w:rsidRDefault="00127A14" w:rsidP="00257586">
      <w:pPr>
        <w:pStyle w:val="Exampledotpoint1"/>
      </w:pPr>
      <w:r>
        <w:t xml:space="preserve">administrative </w:t>
      </w:r>
      <w:r w:rsidR="00D3736F">
        <w:t>costs in managing the fund</w:t>
      </w:r>
    </w:p>
    <w:p w14:paraId="3BDAEA25" w14:textId="21DE630B" w:rsidR="00D3736F" w:rsidRDefault="00127A14" w:rsidP="00257586">
      <w:pPr>
        <w:pStyle w:val="Exampledotpoint1"/>
      </w:pPr>
      <w:r>
        <w:t xml:space="preserve">trustee </w:t>
      </w:r>
      <w:r w:rsidR="00D3736F">
        <w:t>fees</w:t>
      </w:r>
    </w:p>
    <w:p w14:paraId="30F00755" w14:textId="373D811A" w:rsidR="00D3736F" w:rsidRDefault="00127A14" w:rsidP="00257586">
      <w:pPr>
        <w:pStyle w:val="Exampledotpoint1"/>
      </w:pPr>
      <w:r>
        <w:t xml:space="preserve">costs </w:t>
      </w:r>
      <w:r w:rsidR="00C40E84">
        <w:t>of complying with the regulatory obligations of the fund</w:t>
      </w:r>
    </w:p>
    <w:p w14:paraId="25200402" w14:textId="4D8E81C2" w:rsidR="00C40E84" w:rsidRDefault="00127A14" w:rsidP="00CF3C3E">
      <w:pPr>
        <w:pStyle w:val="Exampledotpoint1"/>
      </w:pPr>
      <w:r>
        <w:t xml:space="preserve">investment </w:t>
      </w:r>
      <w:r w:rsidR="00C40E84">
        <w:t xml:space="preserve">adviser fees, where those fees relate </w:t>
      </w:r>
      <w:r w:rsidR="000D57E5">
        <w:t xml:space="preserve">generally </w:t>
      </w:r>
      <w:r w:rsidR="00C40E84">
        <w:t xml:space="preserve">to the </w:t>
      </w:r>
      <w:r w:rsidR="000D57E5">
        <w:t>operation</w:t>
      </w:r>
      <w:r w:rsidR="00C40E84">
        <w:t xml:space="preserve"> of the fund and not </w:t>
      </w:r>
      <w:r w:rsidR="00EF6F0A">
        <w:t xml:space="preserve">to </w:t>
      </w:r>
      <w:r w:rsidR="00C40E84">
        <w:t>a specific investment</w:t>
      </w:r>
      <w:r w:rsidR="00EF6F0A">
        <w:t xml:space="preserve"> or a particular pool of investments</w:t>
      </w:r>
    </w:p>
    <w:p w14:paraId="4D4A2E93" w14:textId="25DE12EB" w:rsidR="009E0714" w:rsidRPr="00962721" w:rsidRDefault="00231A72" w:rsidP="00394219">
      <w:pPr>
        <w:pStyle w:val="Normalparatextwithnumbers"/>
        <w:rPr>
          <w:rStyle w:val="References"/>
          <w:b w:val="0"/>
          <w:bCs w:val="0"/>
          <w:i w:val="0"/>
          <w:iCs w:val="0"/>
        </w:rPr>
      </w:pPr>
      <w:r>
        <w:t xml:space="preserve">As </w:t>
      </w:r>
      <w:r w:rsidR="0014373A">
        <w:t xml:space="preserve">the amount of </w:t>
      </w:r>
      <w:r w:rsidR="00A16A84">
        <w:t xml:space="preserve">any expense actually incurred has already been taken into account in the </w:t>
      </w:r>
      <w:proofErr w:type="gramStart"/>
      <w:r w:rsidR="00A16A84">
        <w:t>2 factor</w:t>
      </w:r>
      <w:proofErr w:type="gramEnd"/>
      <w:r w:rsidR="00A16A84">
        <w:t xml:space="preserve"> approach, deductions will not apply to the non-arm’s length income for general expenses. However, a new cap </w:t>
      </w:r>
      <w:r w:rsidR="00023BF0">
        <w:t>applies to limit</w:t>
      </w:r>
      <w:r w:rsidR="00A16A84">
        <w:t xml:space="preserve"> the total non</w:t>
      </w:r>
      <w:r w:rsidR="003C0F64">
        <w:t>-</w:t>
      </w:r>
      <w:r w:rsidR="00A16A84">
        <w:t xml:space="preserve">arm’s length component, which is the amount currently taxed at </w:t>
      </w:r>
      <w:r w:rsidR="009F56E5">
        <w:t xml:space="preserve">the </w:t>
      </w:r>
      <w:r w:rsidR="00BB2C07">
        <w:t>highest marginal rate</w:t>
      </w:r>
      <w:r w:rsidR="00A16A84">
        <w:t>.</w:t>
      </w:r>
      <w:r>
        <w:t xml:space="preserve"> </w:t>
      </w:r>
      <w:r w:rsidR="00766752">
        <w:t xml:space="preserve">The non-arm’s length component will be capped at an </w:t>
      </w:r>
      <w:r w:rsidR="00C751F0">
        <w:t xml:space="preserve">amount equal to the entity’s total taxable income for the year </w:t>
      </w:r>
      <w:r w:rsidR="006178E9">
        <w:t xml:space="preserve">other than </w:t>
      </w:r>
      <w:r w:rsidR="004B7B5F">
        <w:t>assessable contributions</w:t>
      </w:r>
      <w:r w:rsidR="00007D0B">
        <w:t xml:space="preserve"> and excluding deductions against assessable contributions.</w:t>
      </w:r>
      <w:r w:rsidR="002745D9">
        <w:t xml:space="preserve"> This cap will apply </w:t>
      </w:r>
      <w:r w:rsidR="00CB3BCD">
        <w:t>where it results in a smaller amount</w:t>
      </w:r>
      <w:r w:rsidR="002745D9">
        <w:t xml:space="preserve"> </w:t>
      </w:r>
      <w:r w:rsidR="00F364C9">
        <w:t xml:space="preserve">than </w:t>
      </w:r>
      <w:r w:rsidR="00306662">
        <w:t>the</w:t>
      </w:r>
      <w:r w:rsidR="00CE5570">
        <w:t xml:space="preserve"> combination of</w:t>
      </w:r>
      <w:r w:rsidR="002745D9">
        <w:t xml:space="preserve"> </w:t>
      </w:r>
      <w:r w:rsidR="00741450">
        <w:t xml:space="preserve">amounts calculated under </w:t>
      </w:r>
      <w:r w:rsidR="002745D9">
        <w:t xml:space="preserve">the </w:t>
      </w:r>
      <w:proofErr w:type="gramStart"/>
      <w:r w:rsidR="002745D9">
        <w:t>2 factor</w:t>
      </w:r>
      <w:proofErr w:type="gramEnd"/>
      <w:r w:rsidR="002745D9">
        <w:t xml:space="preserve"> approach </w:t>
      </w:r>
      <w:r w:rsidR="00C95F51">
        <w:t xml:space="preserve">for general expenses </w:t>
      </w:r>
      <w:r w:rsidR="00CE5570">
        <w:t>and the</w:t>
      </w:r>
      <w:r w:rsidR="00C95F51">
        <w:t xml:space="preserve"> existing treatment for </w:t>
      </w:r>
      <w:r w:rsidR="00640976">
        <w:t xml:space="preserve">other </w:t>
      </w:r>
      <w:r w:rsidR="006471DC">
        <w:t xml:space="preserve">amounts of </w:t>
      </w:r>
      <w:r w:rsidR="00640976">
        <w:t xml:space="preserve">non-arm’s </w:t>
      </w:r>
      <w:r w:rsidR="00D63D03">
        <w:t xml:space="preserve">length </w:t>
      </w:r>
      <w:r w:rsidR="00743217">
        <w:t>income</w:t>
      </w:r>
      <w:r w:rsidR="002745D9">
        <w:t xml:space="preserve">. If the cap </w:t>
      </w:r>
      <w:r w:rsidR="007833DB">
        <w:t xml:space="preserve">calculation results in a negative number, </w:t>
      </w:r>
      <w:r w:rsidR="00CE5570">
        <w:t>the non-arm’s length component will be zero.</w:t>
      </w:r>
      <w:r w:rsidR="0091798C">
        <w:br/>
      </w:r>
      <w:r w:rsidR="0091798C" w:rsidRPr="0091798C">
        <w:rPr>
          <w:rStyle w:val="References"/>
        </w:rPr>
        <w:t>[Schedule xx</w:t>
      </w:r>
      <w:r w:rsidR="0091798C" w:rsidRPr="00BB2602">
        <w:rPr>
          <w:rStyle w:val="References"/>
        </w:rPr>
        <w:t>, item</w:t>
      </w:r>
      <w:r w:rsidR="0091798C">
        <w:rPr>
          <w:rStyle w:val="References"/>
        </w:rPr>
        <w:t xml:space="preserve"> 4</w:t>
      </w:r>
      <w:r w:rsidR="0091798C" w:rsidRPr="00BB2602">
        <w:rPr>
          <w:rStyle w:val="References"/>
        </w:rPr>
        <w:t xml:space="preserve">, </w:t>
      </w:r>
      <w:r w:rsidR="0091798C">
        <w:rPr>
          <w:rStyle w:val="References"/>
        </w:rPr>
        <w:t>subsection 295-5</w:t>
      </w:r>
      <w:r w:rsidR="00C54D71">
        <w:rPr>
          <w:rStyle w:val="References"/>
        </w:rPr>
        <w:t>45</w:t>
      </w:r>
      <w:r w:rsidR="0091798C">
        <w:rPr>
          <w:rStyle w:val="References"/>
        </w:rPr>
        <w:t>(</w:t>
      </w:r>
      <w:r w:rsidR="00535DBF">
        <w:rPr>
          <w:rStyle w:val="References"/>
        </w:rPr>
        <w:t>2A</w:t>
      </w:r>
      <w:r w:rsidR="0091798C">
        <w:rPr>
          <w:rStyle w:val="References"/>
        </w:rPr>
        <w:t>) of the ITAA 1997</w:t>
      </w:r>
      <w:r w:rsidR="0091798C" w:rsidRPr="0091798C">
        <w:rPr>
          <w:rStyle w:val="References"/>
        </w:rPr>
        <w:t xml:space="preserve">] </w:t>
      </w:r>
    </w:p>
    <w:p w14:paraId="649F66DD" w14:textId="28E77D7C" w:rsidR="008C1FEA" w:rsidRDefault="00DC63CF" w:rsidP="00394219">
      <w:pPr>
        <w:pStyle w:val="Normalparatextwithnumbers"/>
      </w:pPr>
      <w:r>
        <w:t>In this way the maximum amount of non-arm</w:t>
      </w:r>
      <w:r w:rsidR="008D7D64">
        <w:t>’</w:t>
      </w:r>
      <w:r>
        <w:t xml:space="preserve">s length </w:t>
      </w:r>
      <w:r w:rsidR="00025060">
        <w:t>component</w:t>
      </w:r>
      <w:r w:rsidR="00A46FDD">
        <w:t xml:space="preserve"> will </w:t>
      </w:r>
      <w:r w:rsidR="00796008">
        <w:t xml:space="preserve">not exceed taxable income for the year and will </w:t>
      </w:r>
      <w:r w:rsidR="00A46FDD">
        <w:t>never include contributions even if there is no other income of the fund.</w:t>
      </w:r>
    </w:p>
    <w:p w14:paraId="18E3C87B" w14:textId="77777777" w:rsidR="007E32CA" w:rsidRDefault="007E32CA" w:rsidP="007E32CA">
      <w:pPr>
        <w:pStyle w:val="ExampleHeading"/>
      </w:pPr>
    </w:p>
    <w:p w14:paraId="1E98C047" w14:textId="2B817E51" w:rsidR="00D23562" w:rsidRDefault="00A235B1" w:rsidP="00205087">
      <w:pPr>
        <w:pStyle w:val="Exampletext"/>
      </w:pPr>
      <w:r>
        <w:t>Al</w:t>
      </w:r>
      <w:r w:rsidR="00116747">
        <w:t xml:space="preserve"> is the sole trustee of their </w:t>
      </w:r>
      <w:r w:rsidR="003A3B7D">
        <w:t xml:space="preserve">SMSF of which they are the sole member. </w:t>
      </w:r>
      <w:r>
        <w:t>Al</w:t>
      </w:r>
      <w:r w:rsidR="003A3B7D">
        <w:t xml:space="preserve"> </w:t>
      </w:r>
      <w:r w:rsidR="008078AA">
        <w:t xml:space="preserve">is an accountant and provides general accounting services </w:t>
      </w:r>
      <w:r w:rsidR="00BD7CA8">
        <w:t>worth $3,000</w:t>
      </w:r>
      <w:r w:rsidR="005B3400" w:rsidRPr="005B3400">
        <w:t xml:space="preserve"> </w:t>
      </w:r>
      <w:r w:rsidR="005B3400">
        <w:t>to their SMSF, which the SMSF acquires free of charge</w:t>
      </w:r>
      <w:r w:rsidR="00C03B17">
        <w:t>.</w:t>
      </w:r>
    </w:p>
    <w:p w14:paraId="7B935D40" w14:textId="6CB8A164" w:rsidR="00160CEC" w:rsidRDefault="00D751AB" w:rsidP="00205087">
      <w:pPr>
        <w:pStyle w:val="Exampletext"/>
      </w:pPr>
      <w:r>
        <w:t xml:space="preserve">The </w:t>
      </w:r>
      <w:r w:rsidR="00B61013">
        <w:t xml:space="preserve">acquisition </w:t>
      </w:r>
      <w:r>
        <w:t xml:space="preserve">of accounting services </w:t>
      </w:r>
      <w:r w:rsidR="00B61013">
        <w:t xml:space="preserve">by the SMSF </w:t>
      </w:r>
      <w:r w:rsidR="00011966">
        <w:t xml:space="preserve">constitutes a </w:t>
      </w:r>
      <w:r w:rsidR="001528FC">
        <w:t xml:space="preserve">scheme </w:t>
      </w:r>
      <w:r w:rsidR="00057AAD">
        <w:t>between Al and their SMSF</w:t>
      </w:r>
      <w:r w:rsidR="001528FC">
        <w:t xml:space="preserve"> </w:t>
      </w:r>
      <w:r w:rsidR="00D23562">
        <w:t>in which the parties were not dealing with each other at arm’s length,</w:t>
      </w:r>
      <w:r w:rsidR="00057AAD">
        <w:t xml:space="preserve"> </w:t>
      </w:r>
      <w:r w:rsidR="008C5B33">
        <w:t xml:space="preserve">and </w:t>
      </w:r>
      <w:r w:rsidR="00B22FA6">
        <w:t xml:space="preserve">no expense was incurred when </w:t>
      </w:r>
      <w:r w:rsidR="00AB6379">
        <w:t xml:space="preserve">the SMSF would have been expected to have incurred an expense </w:t>
      </w:r>
      <w:r w:rsidR="00C05A7D">
        <w:t xml:space="preserve">in respect of its acquisition </w:t>
      </w:r>
      <w:r w:rsidR="00AB6379">
        <w:t xml:space="preserve">had the parties been at arm’s length, </w:t>
      </w:r>
      <w:r w:rsidR="00A2133B">
        <w:t>so t</w:t>
      </w:r>
      <w:r w:rsidR="00655025">
        <w:t>he non-arm’s length expenditure provisions apply</w:t>
      </w:r>
      <w:r w:rsidR="00FC17EF">
        <w:t xml:space="preserve">. The accounting services were general in nature and did not relate to any particular asset or assets so are a general </w:t>
      </w:r>
      <w:r w:rsidR="00BA07F5">
        <w:t xml:space="preserve">non-arm’s length </w:t>
      </w:r>
      <w:r w:rsidR="00FC17EF">
        <w:t>expense</w:t>
      </w:r>
      <w:r w:rsidR="00BA07F5">
        <w:t xml:space="preserve"> captured under subsection 295-550(</w:t>
      </w:r>
      <w:r w:rsidR="00D72A21">
        <w:t>9</w:t>
      </w:r>
      <w:r w:rsidR="00BA07F5">
        <w:t>).</w:t>
      </w:r>
    </w:p>
    <w:p w14:paraId="16F8F780" w14:textId="058E1CFE" w:rsidR="00F06E7E" w:rsidRDefault="00111F2B" w:rsidP="00205087">
      <w:pPr>
        <w:pStyle w:val="Exampletext"/>
      </w:pPr>
      <w:r>
        <w:t xml:space="preserve">The total income of the </w:t>
      </w:r>
      <w:r w:rsidR="005723F8">
        <w:t>SMSF in 2023-24 is $</w:t>
      </w:r>
      <w:r w:rsidR="00581353">
        <w:t>2</w:t>
      </w:r>
      <w:r w:rsidR="005723F8">
        <w:t>0</w:t>
      </w:r>
      <w:r w:rsidR="00F06E7E">
        <w:t xml:space="preserve">,000 </w:t>
      </w:r>
      <w:r w:rsidR="00063232">
        <w:t xml:space="preserve">in rent from a rental property </w:t>
      </w:r>
      <w:r w:rsidR="00F06E7E">
        <w:t>to which $</w:t>
      </w:r>
      <w:r w:rsidR="00581353">
        <w:t>5</w:t>
      </w:r>
      <w:r w:rsidR="00F06E7E">
        <w:t xml:space="preserve">,000 in </w:t>
      </w:r>
      <w:r w:rsidR="003E4FFB">
        <w:t xml:space="preserve">eligible </w:t>
      </w:r>
      <w:r w:rsidR="00F06E7E">
        <w:t xml:space="preserve">deductions </w:t>
      </w:r>
      <w:r w:rsidR="00063232">
        <w:t xml:space="preserve">for maintenance </w:t>
      </w:r>
      <w:r w:rsidR="00F06E7E">
        <w:t>apply</w:t>
      </w:r>
      <w:r w:rsidR="00432BB8">
        <w:t xml:space="preserve">, </w:t>
      </w:r>
      <w:r w:rsidR="00554589">
        <w:t xml:space="preserve">resulting in </w:t>
      </w:r>
      <w:r w:rsidR="00432BB8">
        <w:t>a taxable income in 2023</w:t>
      </w:r>
      <w:r w:rsidR="00554589">
        <w:t>-24 of $15,000</w:t>
      </w:r>
      <w:r w:rsidR="00F06E7E">
        <w:t>.</w:t>
      </w:r>
      <w:r w:rsidR="00D01A99">
        <w:t xml:space="preserve"> No assessable contributions were made in that income year.</w:t>
      </w:r>
    </w:p>
    <w:p w14:paraId="34AD2D6A" w14:textId="02146C0C" w:rsidR="000A392E" w:rsidRDefault="000A392E" w:rsidP="00205087">
      <w:pPr>
        <w:pStyle w:val="Exampletext"/>
      </w:pPr>
      <w:r>
        <w:t>As no expense was incurred</w:t>
      </w:r>
      <w:r w:rsidR="00607A80">
        <w:t xml:space="preserve"> towards the general accounting services</w:t>
      </w:r>
      <w:r>
        <w:t xml:space="preserve">, the amount of non-arm’s length income </w:t>
      </w:r>
      <w:r w:rsidR="00602C01">
        <w:t xml:space="preserve">under </w:t>
      </w:r>
      <w:r w:rsidR="00994DFD">
        <w:t xml:space="preserve">the 2 factor approach in </w:t>
      </w:r>
      <w:r w:rsidR="00E1048F">
        <w:t>(2</w:t>
      </w:r>
      <w:proofErr w:type="gramStart"/>
      <w:r w:rsidR="00E1048F">
        <w:t>A)(</w:t>
      </w:r>
      <w:proofErr w:type="gramEnd"/>
      <w:r w:rsidR="00E1048F">
        <w:t>a)(ii</w:t>
      </w:r>
      <w:r w:rsidR="00602C01">
        <w:t xml:space="preserve">) </w:t>
      </w:r>
      <w:r w:rsidR="0019409C">
        <w:t xml:space="preserve">will be </w:t>
      </w:r>
      <w:r w:rsidR="00E12CE1">
        <w:t xml:space="preserve">twice the amount that might have been expected to have been incurred, or twice </w:t>
      </w:r>
      <w:r w:rsidR="00AF6751">
        <w:t xml:space="preserve">the </w:t>
      </w:r>
      <w:r w:rsidR="00E12CE1">
        <w:t xml:space="preserve">$3,000 </w:t>
      </w:r>
      <w:r w:rsidR="00AF6751">
        <w:t xml:space="preserve">value of the services </w:t>
      </w:r>
      <w:r w:rsidR="00E12CE1">
        <w:t>which is $6,000.</w:t>
      </w:r>
    </w:p>
    <w:p w14:paraId="08D16D47" w14:textId="2AB7A35E" w:rsidR="005505B6" w:rsidRDefault="00602C01" w:rsidP="005505B6">
      <w:pPr>
        <w:pStyle w:val="Exampletext"/>
      </w:pPr>
      <w:r>
        <w:t>Applying the cap on the total non-arm’s length component</w:t>
      </w:r>
      <w:r w:rsidR="00E60942">
        <w:t xml:space="preserve">, </w:t>
      </w:r>
      <w:r w:rsidR="001A73EF">
        <w:t xml:space="preserve">the cap amount is </w:t>
      </w:r>
      <w:r w:rsidR="00AF6751">
        <w:t xml:space="preserve">the total of income other than assessable contributions, minus deductions other than deductions </w:t>
      </w:r>
      <w:r w:rsidR="001B448A">
        <w:t xml:space="preserve">against assessable contributions. In this case, </w:t>
      </w:r>
      <w:r w:rsidR="00FD04D5">
        <w:t>the cap is the $</w:t>
      </w:r>
      <w:r w:rsidR="00E4787D">
        <w:t>2</w:t>
      </w:r>
      <w:r w:rsidR="00FD04D5">
        <w:t>0,000 in rental income minus the $</w:t>
      </w:r>
      <w:r w:rsidR="00E4787D">
        <w:t>5</w:t>
      </w:r>
      <w:r w:rsidR="00FD04D5">
        <w:t xml:space="preserve">,000 in deductions against that rental income, giving </w:t>
      </w:r>
      <w:r w:rsidR="00FD3D70">
        <w:t>$</w:t>
      </w:r>
      <w:r w:rsidR="00E4787D">
        <w:t>15</w:t>
      </w:r>
      <w:r w:rsidR="00FD3D70">
        <w:t xml:space="preserve">,000. </w:t>
      </w:r>
      <w:r w:rsidR="005505B6">
        <w:t>As the cap on the</w:t>
      </w:r>
      <w:r w:rsidR="005505B6" w:rsidRPr="00AF5DAC">
        <w:t xml:space="preserve"> </w:t>
      </w:r>
      <w:r w:rsidR="005505B6">
        <w:t xml:space="preserve">total non-arm’s length component is higher than the non-arm’s length component arrived at above, the non-arm’s length component remains at $6,000 to be taxed at the highest marginal rate. </w:t>
      </w:r>
      <w:r w:rsidR="009E1429" w:rsidRPr="009E1429">
        <w:t>This leaves a low-tax component of $9,000. The low tax component is any remaining taxable income after calculating the non-arm’s length component.</w:t>
      </w:r>
      <w:r w:rsidR="009E1429">
        <w:t xml:space="preserve"> </w:t>
      </w:r>
    </w:p>
    <w:p w14:paraId="0FE3ADEF" w14:textId="77777777" w:rsidR="00562D0E" w:rsidRDefault="00562D0E" w:rsidP="00562D0E">
      <w:pPr>
        <w:pStyle w:val="ExampleHeading"/>
      </w:pPr>
    </w:p>
    <w:p w14:paraId="2C946133" w14:textId="74B6AF97" w:rsidR="00562D0E" w:rsidRDefault="006D2F61" w:rsidP="00562D0E">
      <w:pPr>
        <w:pStyle w:val="Exampletext"/>
      </w:pPr>
      <w:r>
        <w:t>Min</w:t>
      </w:r>
      <w:r w:rsidR="00562D0E">
        <w:t xml:space="preserve"> is the sole trustee of their SMSF. </w:t>
      </w:r>
      <w:r>
        <w:t>Min</w:t>
      </w:r>
      <w:r w:rsidR="00562D0E">
        <w:t xml:space="preserve"> is a lawyer and provides general legal services </w:t>
      </w:r>
      <w:r w:rsidR="006F4AB4">
        <w:t xml:space="preserve">worth $10,000 </w:t>
      </w:r>
      <w:r w:rsidR="00562D0E">
        <w:t>to their SMSF</w:t>
      </w:r>
      <w:r w:rsidR="005F602F">
        <w:t xml:space="preserve"> which the SMSF acquires</w:t>
      </w:r>
      <w:r w:rsidR="007F6AD0">
        <w:t xml:space="preserve"> for</w:t>
      </w:r>
      <w:r w:rsidR="00562D0E">
        <w:t xml:space="preserve"> $5,000.</w:t>
      </w:r>
    </w:p>
    <w:p w14:paraId="53619DEB" w14:textId="509242EC" w:rsidR="00562D0E" w:rsidRDefault="006D2F61" w:rsidP="00562D0E">
      <w:pPr>
        <w:pStyle w:val="Exampletext"/>
      </w:pPr>
      <w:r>
        <w:t>Min</w:t>
      </w:r>
      <w:r w:rsidR="00562D0E">
        <w:t xml:space="preserve"> offers the same services </w:t>
      </w:r>
      <w:r>
        <w:t>s</w:t>
      </w:r>
      <w:r w:rsidR="00562D0E">
        <w:t xml:space="preserve">he provides to SMSF to the </w:t>
      </w:r>
      <w:proofErr w:type="gramStart"/>
      <w:r w:rsidR="00562D0E">
        <w:t>general public</w:t>
      </w:r>
      <w:proofErr w:type="gramEnd"/>
      <w:r w:rsidR="00562D0E">
        <w:t xml:space="preserve"> and the market value of these services is readily apparent from the fee schedule available on </w:t>
      </w:r>
      <w:r>
        <w:t>Min</w:t>
      </w:r>
      <w:r w:rsidR="00562D0E">
        <w:t>’s website.</w:t>
      </w:r>
    </w:p>
    <w:p w14:paraId="62F429A5" w14:textId="3A0B7F18" w:rsidR="00562D0E" w:rsidRDefault="00562D0E" w:rsidP="00562D0E">
      <w:pPr>
        <w:pStyle w:val="Exampletext"/>
      </w:pPr>
      <w:r>
        <w:lastRenderedPageBreak/>
        <w:t xml:space="preserve">The </w:t>
      </w:r>
      <w:r w:rsidR="00B61013">
        <w:t xml:space="preserve">acquisition </w:t>
      </w:r>
      <w:r>
        <w:t>of legal services</w:t>
      </w:r>
      <w:r w:rsidR="00B61013">
        <w:t xml:space="preserve"> by the SMSF</w:t>
      </w:r>
      <w:r>
        <w:t xml:space="preserve"> constitutes a scheme between </w:t>
      </w:r>
      <w:r w:rsidR="006D2F61">
        <w:t>Min</w:t>
      </w:r>
      <w:r>
        <w:t xml:space="preserve"> and their SMSF in which the parties were not dealing with each other at arm’s length, and the expense was incurred at a value less than what the SMSF would have been expected to have incur as an expense had the parties been dealing at arm’s length, so the non-arm’s length expenditure provisions apply. The legal services were general in nature and did not relate to any particular asset or assets so are a general non-arm’s length expense captured under subsection 295-550(</w:t>
      </w:r>
      <w:r w:rsidR="007B1246">
        <w:t>8</w:t>
      </w:r>
      <w:r>
        <w:t>).</w:t>
      </w:r>
    </w:p>
    <w:p w14:paraId="4BEE80A6" w14:textId="77777777" w:rsidR="00562D0E" w:rsidRDefault="00562D0E" w:rsidP="00562D0E">
      <w:pPr>
        <w:pStyle w:val="Exampletext"/>
      </w:pPr>
      <w:r>
        <w:t xml:space="preserve">The total income of the SMSF in 2023-24 is $23,000 in rent from a rental property to which $10,000 in eligible deductions for maintenance apply. No assessable contributions were made in that income year. </w:t>
      </w:r>
    </w:p>
    <w:p w14:paraId="17CA34C0" w14:textId="58282217" w:rsidR="00562D0E" w:rsidRDefault="00562D0E" w:rsidP="00562D0E">
      <w:pPr>
        <w:pStyle w:val="Exampletext"/>
      </w:pPr>
      <w:r>
        <w:t xml:space="preserve">The taxable income is </w:t>
      </w:r>
      <w:r w:rsidR="009D622F">
        <w:t>calculated as</w:t>
      </w:r>
      <w:r>
        <w:t xml:space="preserve"> $23,000</w:t>
      </w:r>
      <w:r w:rsidR="009D622F">
        <w:t xml:space="preserve"> in rent income minus </w:t>
      </w:r>
      <w:r>
        <w:t>$10,000</w:t>
      </w:r>
      <w:r w:rsidR="009D622F">
        <w:t xml:space="preserve"> in deductions minus </w:t>
      </w:r>
      <w:r>
        <w:t xml:space="preserve">$5,000 </w:t>
      </w:r>
      <w:r w:rsidR="003548AE">
        <w:t xml:space="preserve">charged for legal services, </w:t>
      </w:r>
      <w:r w:rsidR="00756A10">
        <w:t>equalling</w:t>
      </w:r>
      <w:r>
        <w:t xml:space="preserve"> $8,000.</w:t>
      </w:r>
    </w:p>
    <w:p w14:paraId="4356786D" w14:textId="11B97FC7" w:rsidR="00562D0E" w:rsidRDefault="00562D0E" w:rsidP="00562D0E">
      <w:pPr>
        <w:pStyle w:val="Exampletext"/>
      </w:pPr>
      <w:r>
        <w:t xml:space="preserve">As </w:t>
      </w:r>
      <w:r w:rsidR="00B61248">
        <w:t>a</w:t>
      </w:r>
      <w:r>
        <w:t xml:space="preserve"> </w:t>
      </w:r>
      <w:r w:rsidR="00B14936">
        <w:t xml:space="preserve">general </w:t>
      </w:r>
      <w:r>
        <w:t xml:space="preserve">expense </w:t>
      </w:r>
      <w:r w:rsidR="001C6E28">
        <w:t xml:space="preserve">of $5,000 </w:t>
      </w:r>
      <w:r>
        <w:t xml:space="preserve">was incurred, </w:t>
      </w:r>
      <w:r w:rsidR="00B61248">
        <w:t xml:space="preserve">which </w:t>
      </w:r>
      <w:r w:rsidR="001C6E28">
        <w:t>w</w:t>
      </w:r>
      <w:r w:rsidR="00B61248">
        <w:t>ould have been $10,000</w:t>
      </w:r>
      <w:r w:rsidR="001C6E28">
        <w:t xml:space="preserve"> at arm’s length</w:t>
      </w:r>
      <w:r w:rsidR="00B61248">
        <w:t xml:space="preserve">, </w:t>
      </w:r>
      <w:r>
        <w:t xml:space="preserve">the amount of non-arm’s length income under the </w:t>
      </w:r>
      <w:proofErr w:type="gramStart"/>
      <w:r>
        <w:t>2 factor</w:t>
      </w:r>
      <w:proofErr w:type="gramEnd"/>
      <w:r>
        <w:t xml:space="preserve"> approach will be twice the amount of the difference between what was incurred and what would have been expected to have been incurred had the parties been dealing at arm’s length, which is twice the difference between the 2 figures or $10,000.</w:t>
      </w:r>
    </w:p>
    <w:p w14:paraId="6756BCCB" w14:textId="63DEA0CF" w:rsidR="00562D0E" w:rsidRDefault="00562D0E" w:rsidP="00562D0E">
      <w:pPr>
        <w:pStyle w:val="Exampletext"/>
      </w:pPr>
      <w:r>
        <w:t xml:space="preserve">Applying the cap on the total non-arm’s length component, the cap amount is the total of income other than assessable contributions, minus deductions other than deductions against assessable contributions. In this case, the cap is the $23,000 in rental income minus the $15,000 in deductions, giving $8,000. This </w:t>
      </w:r>
      <w:r w:rsidR="00E01C5E">
        <w:t>cap</w:t>
      </w:r>
      <w:r>
        <w:t xml:space="preserve"> is lower than the non-arm’s length component arrived at above, so the non-arm’s length component becomes $8,000 instead of the $10,000 arrived at by applying the </w:t>
      </w:r>
      <w:proofErr w:type="gramStart"/>
      <w:r w:rsidR="007A1DD7">
        <w:t>2</w:t>
      </w:r>
      <w:r>
        <w:t xml:space="preserve"> factor</w:t>
      </w:r>
      <w:proofErr w:type="gramEnd"/>
      <w:r>
        <w:t xml:space="preserve"> approach.</w:t>
      </w:r>
    </w:p>
    <w:p w14:paraId="0595B7BA" w14:textId="77777777" w:rsidR="00562D0E" w:rsidRDefault="00562D0E" w:rsidP="00562D0E">
      <w:pPr>
        <w:pStyle w:val="Exampletext"/>
      </w:pPr>
      <w:r>
        <w:t xml:space="preserve">This leaves a low-tax component of $0. The low tax component is any remaining taxable income after calculating the non-arm’s length component. </w:t>
      </w:r>
    </w:p>
    <w:p w14:paraId="5BB61756" w14:textId="77777777" w:rsidR="00562D0E" w:rsidRDefault="00562D0E" w:rsidP="00562D0E">
      <w:pPr>
        <w:pStyle w:val="ExampleHeading"/>
      </w:pPr>
    </w:p>
    <w:p w14:paraId="6244AFBD" w14:textId="7A44A854" w:rsidR="00266F30" w:rsidRDefault="00331EF7" w:rsidP="00562D0E">
      <w:pPr>
        <w:pStyle w:val="Exampletext"/>
      </w:pPr>
      <w:r>
        <w:t>Andrew</w:t>
      </w:r>
      <w:r w:rsidR="00562D0E">
        <w:t xml:space="preserve"> is the sole trustee of their </w:t>
      </w:r>
      <w:proofErr w:type="gramStart"/>
      <w:r w:rsidR="00562D0E">
        <w:t>SMSF</w:t>
      </w:r>
      <w:proofErr w:type="gramEnd"/>
      <w:r w:rsidR="00562D0E">
        <w:t xml:space="preserve"> and the only members of the fund are </w:t>
      </w:r>
      <w:r>
        <w:t>Andrew</w:t>
      </w:r>
      <w:r w:rsidR="00562D0E">
        <w:t xml:space="preserve"> and </w:t>
      </w:r>
      <w:r>
        <w:t>Andrew</w:t>
      </w:r>
      <w:r w:rsidR="00562D0E">
        <w:t xml:space="preserve">’s spouse Stephanie. </w:t>
      </w:r>
    </w:p>
    <w:p w14:paraId="7092D333" w14:textId="5D276FCC" w:rsidR="00266F30" w:rsidRDefault="00266F30" w:rsidP="00266F30">
      <w:pPr>
        <w:pStyle w:val="Exampletext"/>
      </w:pPr>
      <w:r>
        <w:t>Andrew is a lawyer and provides general legal services to the SMSF</w:t>
      </w:r>
      <w:r w:rsidR="00473FBF">
        <w:t xml:space="preserve"> </w:t>
      </w:r>
      <w:r w:rsidR="005A383E">
        <w:t xml:space="preserve">worth $2,000 </w:t>
      </w:r>
      <w:r w:rsidR="00BC6239">
        <w:t xml:space="preserve">which the SMSF acquires at no </w:t>
      </w:r>
      <w:r w:rsidR="005A383E">
        <w:t>charge</w:t>
      </w:r>
      <w:r>
        <w:t>. The market rate for these services is $</w:t>
      </w:r>
      <w:r w:rsidR="006D2A9B">
        <w:t>2</w:t>
      </w:r>
      <w:r w:rsidR="00254953">
        <w:t xml:space="preserve">,000 </w:t>
      </w:r>
      <w:r w:rsidR="00587B6D">
        <w:t xml:space="preserve">which </w:t>
      </w:r>
      <w:r>
        <w:t xml:space="preserve">is readily apparent from the fee schedule available on </w:t>
      </w:r>
      <w:r w:rsidR="00453922">
        <w:t>Andrew</w:t>
      </w:r>
      <w:r>
        <w:t>’s website.</w:t>
      </w:r>
    </w:p>
    <w:p w14:paraId="0EE3BAC1" w14:textId="606CACE1" w:rsidR="00266F30" w:rsidRDefault="00453922" w:rsidP="00453922">
      <w:pPr>
        <w:pStyle w:val="Exampletext"/>
      </w:pPr>
      <w:r>
        <w:lastRenderedPageBreak/>
        <w:t xml:space="preserve">The </w:t>
      </w:r>
      <w:r w:rsidR="00317ACA">
        <w:t>acquisition</w:t>
      </w:r>
      <w:r>
        <w:t xml:space="preserve"> of legal services </w:t>
      </w:r>
      <w:r w:rsidR="00317ACA">
        <w:t xml:space="preserve">by the SMSF </w:t>
      </w:r>
      <w:r>
        <w:t xml:space="preserve">constitutes a scheme </w:t>
      </w:r>
      <w:r w:rsidR="00DC169A">
        <w:t>in which</w:t>
      </w:r>
      <w:r>
        <w:t xml:space="preserve"> the SMSF</w:t>
      </w:r>
      <w:r w:rsidR="00DC169A">
        <w:t xml:space="preserve"> and Andrew</w:t>
      </w:r>
      <w:r>
        <w:t xml:space="preserve"> </w:t>
      </w:r>
      <w:r w:rsidR="00DC169A">
        <w:t>a</w:t>
      </w:r>
      <w:r>
        <w:t xml:space="preserve">re not dealing with each other at arm’s length, and the expense was incurred at a value less than what the SMSF </w:t>
      </w:r>
      <w:r w:rsidR="007E2AE4">
        <w:t>might</w:t>
      </w:r>
      <w:r>
        <w:t xml:space="preserve"> have been expected to have incur</w:t>
      </w:r>
      <w:r w:rsidR="007E2AE4">
        <w:t>red</w:t>
      </w:r>
      <w:r>
        <w:t xml:space="preserve"> at arm’s length. The legal services were general in nature and did not relate to any particular asset or assets so are a general non-arm’s length expense captured under subsection 295-550(</w:t>
      </w:r>
      <w:r w:rsidR="004F1E19">
        <w:t>9</w:t>
      </w:r>
      <w:r>
        <w:t>).</w:t>
      </w:r>
    </w:p>
    <w:p w14:paraId="73AA23FE" w14:textId="36FA908F" w:rsidR="00562D0E" w:rsidRDefault="00562D0E" w:rsidP="00562D0E">
      <w:pPr>
        <w:pStyle w:val="Exampletext"/>
      </w:pPr>
      <w:r>
        <w:t xml:space="preserve">Stephanie is an investment advisor and provides advice on the investment strategy of the </w:t>
      </w:r>
      <w:proofErr w:type="gramStart"/>
      <w:r>
        <w:t>fund as a whole</w:t>
      </w:r>
      <w:r w:rsidR="00E25E1B">
        <w:t>,</w:t>
      </w:r>
      <w:r>
        <w:t xml:space="preserve"> not</w:t>
      </w:r>
      <w:proofErr w:type="gramEnd"/>
      <w:r>
        <w:t xml:space="preserve"> on any specific investment</w:t>
      </w:r>
      <w:r w:rsidR="00DE1DF8">
        <w:t xml:space="preserve"> or pool of investments</w:t>
      </w:r>
      <w:r>
        <w:t xml:space="preserve">. </w:t>
      </w:r>
      <w:r w:rsidR="00317ACA">
        <w:t>T</w:t>
      </w:r>
      <w:r>
        <w:t>he market value of these services is $2,000</w:t>
      </w:r>
      <w:r w:rsidR="00317ACA">
        <w:t xml:space="preserve"> which the SMSF acquires at no charge</w:t>
      </w:r>
      <w:r>
        <w:t>.</w:t>
      </w:r>
    </w:p>
    <w:p w14:paraId="6133BABC" w14:textId="66D892A2" w:rsidR="00562D0E" w:rsidRDefault="00562D0E" w:rsidP="00562D0E">
      <w:pPr>
        <w:pStyle w:val="Exampletext"/>
      </w:pPr>
      <w:r>
        <w:t xml:space="preserve">The </w:t>
      </w:r>
      <w:r w:rsidR="00117D12">
        <w:t>acquisition of</w:t>
      </w:r>
      <w:r>
        <w:t xml:space="preserve"> investment advice for free constitutes a scheme in which the SMSF and Stephanie are not dealing with each at arm’s length, the advice is valuable and is provided at no cost and the facts establish that Stephanie can and does charge $2,000 for the same service provided to unrelated parties. These services were general in nature, being advice </w:t>
      </w:r>
      <w:r w:rsidR="00B97FFD">
        <w:t xml:space="preserve">acquired </w:t>
      </w:r>
      <w:r w:rsidR="002D09A5">
        <w:t xml:space="preserve">by the SMSF </w:t>
      </w:r>
      <w:r>
        <w:t xml:space="preserve">on </w:t>
      </w:r>
      <w:r w:rsidR="002D09A5">
        <w:t>its general</w:t>
      </w:r>
      <w:r>
        <w:t xml:space="preserve"> investment </w:t>
      </w:r>
      <w:r w:rsidR="00EF2787">
        <w:t>strategies</w:t>
      </w:r>
      <w:r w:rsidR="00462EE6">
        <w:t>,</w:t>
      </w:r>
      <w:r>
        <w:t xml:space="preserve"> </w:t>
      </w:r>
      <w:r w:rsidR="00462EE6">
        <w:t xml:space="preserve">and </w:t>
      </w:r>
      <w:r>
        <w:t xml:space="preserve">do not relate to any particular asset </w:t>
      </w:r>
      <w:r w:rsidR="0063171B">
        <w:t xml:space="preserve">or assets </w:t>
      </w:r>
      <w:r>
        <w:t xml:space="preserve">of the fund. They are therefore </w:t>
      </w:r>
      <w:r w:rsidR="00BC68A2">
        <w:t>a general non-arm’s length expense</w:t>
      </w:r>
      <w:r>
        <w:t xml:space="preserve"> captured under subsection 295-550(</w:t>
      </w:r>
      <w:r w:rsidR="004F1E19">
        <w:t>9</w:t>
      </w:r>
      <w:r>
        <w:t>).</w:t>
      </w:r>
    </w:p>
    <w:p w14:paraId="188FBB0E" w14:textId="1D7E2CCA" w:rsidR="00562D0E" w:rsidRDefault="00562D0E" w:rsidP="00562D0E">
      <w:pPr>
        <w:pStyle w:val="Exampletext"/>
      </w:pPr>
      <w:r>
        <w:t xml:space="preserve">The total income from the SMSF in 2023-24 is $22,000, this is earned from a </w:t>
      </w:r>
      <w:r w:rsidR="000D0F1B">
        <w:t>rental property</w:t>
      </w:r>
      <w:r>
        <w:t>. There are $7,000 of deductions associated with this income resulting in taxable income for 2023-24 being $15,000.</w:t>
      </w:r>
    </w:p>
    <w:p w14:paraId="5D07CC1F" w14:textId="533A1EBC" w:rsidR="00562D0E" w:rsidRDefault="002A443C" w:rsidP="00562D0E">
      <w:pPr>
        <w:pStyle w:val="Exampletext"/>
      </w:pPr>
      <w:r>
        <w:t>There were two general non-arm’s length expenses</w:t>
      </w:r>
      <w:r w:rsidR="003652E2">
        <w:t xml:space="preserve"> fo</w:t>
      </w:r>
      <w:r w:rsidR="000C2E88">
        <w:t xml:space="preserve">r which </w:t>
      </w:r>
      <w:r w:rsidR="004F7EC8">
        <w:t xml:space="preserve">a total of $4,000 might have been expected to </w:t>
      </w:r>
      <w:r w:rsidR="00722B3E">
        <w:t>be</w:t>
      </w:r>
      <w:r w:rsidR="004F7EC8">
        <w:t xml:space="preserve"> incurred had the parties been dealing at arm’s length, </w:t>
      </w:r>
      <w:r w:rsidR="00722B3E">
        <w:t>but</w:t>
      </w:r>
      <w:r w:rsidR="004F7EC8">
        <w:t xml:space="preserve"> </w:t>
      </w:r>
      <w:r w:rsidR="000C2E88">
        <w:t>no expense was incurred</w:t>
      </w:r>
      <w:r w:rsidR="00722B3E">
        <w:t xml:space="preserve"> for either</w:t>
      </w:r>
      <w:r w:rsidR="000C2E88">
        <w:t>.</w:t>
      </w:r>
      <w:r>
        <w:t xml:space="preserve"> </w:t>
      </w:r>
      <w:r w:rsidR="000C2E88">
        <w:t>T</w:t>
      </w:r>
      <w:r w:rsidR="00562D0E">
        <w:t xml:space="preserve">he amount of non-arm’s length income under the </w:t>
      </w:r>
      <w:proofErr w:type="gramStart"/>
      <w:r w:rsidR="00562D0E">
        <w:t>2 factor</w:t>
      </w:r>
      <w:proofErr w:type="gramEnd"/>
      <w:r w:rsidR="00562D0E">
        <w:t xml:space="preserve"> approach would be $</w:t>
      </w:r>
      <w:r w:rsidR="003652E2">
        <w:t>8</w:t>
      </w:r>
      <w:r w:rsidR="00562D0E">
        <w:t>,000 representing twice the amount of the expense</w:t>
      </w:r>
      <w:r w:rsidR="003652E2">
        <w:t>s</w:t>
      </w:r>
      <w:r w:rsidR="00562D0E">
        <w:t xml:space="preserve"> that w</w:t>
      </w:r>
      <w:r w:rsidR="003652E2">
        <w:t>ere</w:t>
      </w:r>
      <w:r w:rsidR="00562D0E">
        <w:t xml:space="preserve"> not incurred but should have been.</w:t>
      </w:r>
    </w:p>
    <w:p w14:paraId="0F2E9868" w14:textId="77B9EE88" w:rsidR="00562D0E" w:rsidRDefault="00562D0E" w:rsidP="00562D0E">
      <w:pPr>
        <w:pStyle w:val="Exampletext"/>
      </w:pPr>
      <w:r>
        <w:t>Applying the cap on the total non-arm’s length component under the 295-545(2</w:t>
      </w:r>
      <w:proofErr w:type="gramStart"/>
      <w:r>
        <w:t>A)(</w:t>
      </w:r>
      <w:proofErr w:type="gramEnd"/>
      <w:r>
        <w:t xml:space="preserve">b), the non-arm’s length component cap will be $15,000. As the cap is higher than the amount calculated under the </w:t>
      </w:r>
      <w:proofErr w:type="gramStart"/>
      <w:r>
        <w:t>2 factor</w:t>
      </w:r>
      <w:proofErr w:type="gramEnd"/>
      <w:r>
        <w:t xml:space="preserve"> approach, the non-arm’s length component remains $</w:t>
      </w:r>
      <w:r w:rsidR="006237DB">
        <w:t>8</w:t>
      </w:r>
      <w:r>
        <w:t>,000.</w:t>
      </w:r>
    </w:p>
    <w:p w14:paraId="626DA239" w14:textId="32466EBF" w:rsidR="00562D0E" w:rsidRDefault="00562D0E" w:rsidP="00595583">
      <w:pPr>
        <w:pStyle w:val="Exampletext"/>
      </w:pPr>
      <w:r>
        <w:t>This leaves a low-tax component of $</w:t>
      </w:r>
      <w:r w:rsidR="006237DB">
        <w:t>7</w:t>
      </w:r>
      <w:r>
        <w:t>,00</w:t>
      </w:r>
      <w:r w:rsidR="00EA0953">
        <w:t>0</w:t>
      </w:r>
      <w:r w:rsidR="00B350C8">
        <w:t>.</w:t>
      </w:r>
      <w:r w:rsidR="00B350C8" w:rsidRPr="00B350C8">
        <w:t xml:space="preserve"> </w:t>
      </w:r>
      <w:r w:rsidR="00B350C8">
        <w:t>The low tax component is any remaining taxable income after calculating the non-arm’s length component.</w:t>
      </w:r>
    </w:p>
    <w:p w14:paraId="22F54BCF" w14:textId="77777777" w:rsidR="00562D0E" w:rsidRDefault="00562D0E" w:rsidP="00562D0E">
      <w:pPr>
        <w:pStyle w:val="ExampleHeading"/>
      </w:pPr>
    </w:p>
    <w:p w14:paraId="376A1BA4" w14:textId="7CCDA923" w:rsidR="00562D0E" w:rsidRDefault="00241AED" w:rsidP="00562D0E">
      <w:pPr>
        <w:pStyle w:val="Exampletext"/>
      </w:pPr>
      <w:bookmarkStart w:id="49" w:name="_Hlk137049395"/>
      <w:r>
        <w:t>Jai</w:t>
      </w:r>
      <w:r w:rsidR="00562D0E">
        <w:t xml:space="preserve"> is the sole trustee of their SMSF of which they are the sole member. </w:t>
      </w:r>
      <w:r>
        <w:t>Jai</w:t>
      </w:r>
      <w:r w:rsidR="00562D0E">
        <w:t xml:space="preserve"> is an accountant and provides general accounting services to their SMSF worth $3,000</w:t>
      </w:r>
      <w:r w:rsidR="0034517E">
        <w:t xml:space="preserve"> which the SMSF acquires free of charge</w:t>
      </w:r>
      <w:r w:rsidR="00562D0E">
        <w:t>.</w:t>
      </w:r>
    </w:p>
    <w:p w14:paraId="7CB33B71" w14:textId="0CA6CA5D" w:rsidR="00562D0E" w:rsidRDefault="00562D0E" w:rsidP="00562D0E">
      <w:pPr>
        <w:pStyle w:val="Exampletext"/>
      </w:pPr>
      <w:r>
        <w:lastRenderedPageBreak/>
        <w:t xml:space="preserve">The </w:t>
      </w:r>
      <w:r w:rsidR="004A18CA">
        <w:t xml:space="preserve">acquisition </w:t>
      </w:r>
      <w:r>
        <w:t xml:space="preserve">of accounting services </w:t>
      </w:r>
      <w:r w:rsidR="004A18CA">
        <w:t xml:space="preserve">by the SMSF </w:t>
      </w:r>
      <w:r>
        <w:t xml:space="preserve">constitutes a scheme between </w:t>
      </w:r>
      <w:r w:rsidR="00241AED">
        <w:t>Jai</w:t>
      </w:r>
      <w:r>
        <w:t xml:space="preserve"> and their SMSF in which the parties were not dealing with each other at arm’s length, and no expense was incurred when the SMSF would have been expected to have incurred an expense had the parties been </w:t>
      </w:r>
      <w:r w:rsidR="005434EA">
        <w:t xml:space="preserve">dealing </w:t>
      </w:r>
      <w:r>
        <w:t>at arm’s length. The accounting services were general in nature and did not relate to any particular asset or assets so are a general non-arm’s length expense captured under subsection 295-550(</w:t>
      </w:r>
      <w:r w:rsidR="00487A0F">
        <w:t>9</w:t>
      </w:r>
      <w:r>
        <w:t>).</w:t>
      </w:r>
    </w:p>
    <w:p w14:paraId="02FC483A" w14:textId="75ADFCA4" w:rsidR="00562D0E" w:rsidRDefault="00562D0E" w:rsidP="00562D0E">
      <w:pPr>
        <w:pStyle w:val="Exampletext"/>
      </w:pPr>
      <w:r>
        <w:t>The total income of the SMSF in 2023-24 is $20,000 in rent from a rental property to which $5,000 in eligible deductions for interest apply. No assessable contributions were made in that income year.</w:t>
      </w:r>
    </w:p>
    <w:p w14:paraId="236B9B62" w14:textId="2EC21BE3" w:rsidR="00562D0E" w:rsidRDefault="00241AED" w:rsidP="00562D0E">
      <w:pPr>
        <w:pStyle w:val="Exampletext"/>
      </w:pPr>
      <w:proofErr w:type="spellStart"/>
      <w:r>
        <w:t>Jai</w:t>
      </w:r>
      <w:r w:rsidR="00562D0E">
        <w:t>’s</w:t>
      </w:r>
      <w:proofErr w:type="spellEnd"/>
      <w:r w:rsidR="00562D0E">
        <w:t xml:space="preserve"> spouse Sam is a licensed builder and</w:t>
      </w:r>
      <w:r w:rsidR="00562D0E" w:rsidRPr="002D5792">
        <w:t xml:space="preserve"> </w:t>
      </w:r>
      <w:r w:rsidR="00562D0E">
        <w:t xml:space="preserve">blocks time out of their work calendar to conduct renovations on the </w:t>
      </w:r>
      <w:r w:rsidR="0094645F">
        <w:t xml:space="preserve">rental </w:t>
      </w:r>
      <w:r w:rsidR="00562D0E">
        <w:t>property worth $3,000 for which they charge nothing.</w:t>
      </w:r>
    </w:p>
    <w:p w14:paraId="7234CEED" w14:textId="67B49420" w:rsidR="00562D0E" w:rsidRDefault="00562D0E" w:rsidP="00562D0E">
      <w:pPr>
        <w:pStyle w:val="Exampletext"/>
      </w:pPr>
      <w:r>
        <w:t xml:space="preserve">The renovations were an expense incurred in deriving income from a particular asset, the asset being the rental property. The renovations are a specific non-arm’s length expense to which </w:t>
      </w:r>
      <w:r w:rsidR="00A84075">
        <w:t xml:space="preserve">paragraph </w:t>
      </w:r>
      <w:r>
        <w:t>295-550(1)(c) applies.</w:t>
      </w:r>
    </w:p>
    <w:p w14:paraId="6EF34026" w14:textId="0865040E" w:rsidR="00562D0E" w:rsidRDefault="00562D0E" w:rsidP="00562D0E">
      <w:pPr>
        <w:pStyle w:val="Exampletext"/>
      </w:pPr>
      <w:r>
        <w:t>The taxable income of the fund in 2023-24 will be $20,000 in rental income minus $5,000 in deductions, which equals $15,000.</w:t>
      </w:r>
    </w:p>
    <w:p w14:paraId="3CB042D9" w14:textId="3D6A39DB" w:rsidR="00B66EA9" w:rsidRDefault="00562D0E" w:rsidP="00562D0E">
      <w:pPr>
        <w:pStyle w:val="Exampletext"/>
      </w:pPr>
      <w:r>
        <w:t xml:space="preserve">When calculating the non-arm’s length component, the fund must account for a non-arm’s length specific expense related to the $20,000 in rental income and a general non-arm’s length expense related to the accounting services. </w:t>
      </w:r>
    </w:p>
    <w:p w14:paraId="5D94F2A8" w14:textId="59D3894B" w:rsidR="00FA0FA0" w:rsidRDefault="0050553F" w:rsidP="00562D0E">
      <w:pPr>
        <w:pStyle w:val="Exampletext"/>
      </w:pPr>
      <w:r>
        <w:t xml:space="preserve">In relation to the specific expense, </w:t>
      </w:r>
      <w:r w:rsidR="00AB30DA">
        <w:t xml:space="preserve">the amount under </w:t>
      </w:r>
      <w:r>
        <w:t>s</w:t>
      </w:r>
      <w:r w:rsidR="00307024">
        <w:t>ub</w:t>
      </w:r>
      <w:r w:rsidR="00756D40">
        <w:t>paragraph</w:t>
      </w:r>
      <w:r w:rsidR="00307024">
        <w:t xml:space="preserve"> </w:t>
      </w:r>
      <w:r w:rsidR="00562D0E">
        <w:t>295-545(2</w:t>
      </w:r>
      <w:proofErr w:type="gramStart"/>
      <w:r w:rsidR="00562D0E">
        <w:t>A)</w:t>
      </w:r>
      <w:r w:rsidR="00C6590F">
        <w:t>(</w:t>
      </w:r>
      <w:proofErr w:type="gramEnd"/>
      <w:r w:rsidR="00C6590F">
        <w:t>a)(</w:t>
      </w:r>
      <w:proofErr w:type="spellStart"/>
      <w:r w:rsidR="00C6590F">
        <w:t>i</w:t>
      </w:r>
      <w:proofErr w:type="spellEnd"/>
      <w:r w:rsidR="00C6590F">
        <w:t xml:space="preserve">) </w:t>
      </w:r>
      <w:r w:rsidR="00AB30DA">
        <w:t>is</w:t>
      </w:r>
      <w:r w:rsidR="00695360">
        <w:t xml:space="preserve"> the </w:t>
      </w:r>
      <w:r w:rsidR="00E719D1">
        <w:t xml:space="preserve">non-arm’s length income </w:t>
      </w:r>
      <w:r w:rsidR="00172C4F">
        <w:t xml:space="preserve">arising from the specific non-arm’s length expense </w:t>
      </w:r>
      <w:r w:rsidR="00D5409E">
        <w:t>under</w:t>
      </w:r>
      <w:r w:rsidR="00B56D7C">
        <w:t xml:space="preserve"> subsection </w:t>
      </w:r>
      <w:r w:rsidR="000B400B">
        <w:t>295-550(1)</w:t>
      </w:r>
      <w:r w:rsidR="00172C4F">
        <w:t xml:space="preserve"> minus</w:t>
      </w:r>
      <w:r w:rsidR="00756D40">
        <w:t xml:space="preserve"> attributable deductions, which is the $20,000 in rental income minus the $5,000 in rental attributable deductions</w:t>
      </w:r>
      <w:r w:rsidR="00172C4F">
        <w:t xml:space="preserve"> resulting in $15,000</w:t>
      </w:r>
      <w:r w:rsidR="00756D40">
        <w:t xml:space="preserve">. </w:t>
      </w:r>
    </w:p>
    <w:p w14:paraId="1CC4224E" w14:textId="3BE4CCE0" w:rsidR="005F6816" w:rsidRDefault="00FA0FA0" w:rsidP="00562D0E">
      <w:pPr>
        <w:pStyle w:val="Exampletext"/>
      </w:pPr>
      <w:r>
        <w:t>In relation to the general expense,</w:t>
      </w:r>
      <w:r w:rsidR="00C6590F">
        <w:t xml:space="preserve"> </w:t>
      </w:r>
      <w:r w:rsidR="005114DD">
        <w:t xml:space="preserve">the amount under </w:t>
      </w:r>
      <w:r>
        <w:t>subparagraph 295-</w:t>
      </w:r>
      <w:r w:rsidR="00E67043">
        <w:t>545(2</w:t>
      </w:r>
      <w:proofErr w:type="gramStart"/>
      <w:r w:rsidR="00E67043">
        <w:t>A)(</w:t>
      </w:r>
      <w:proofErr w:type="gramEnd"/>
      <w:r w:rsidR="00E67043">
        <w:t xml:space="preserve">a)(ii) </w:t>
      </w:r>
      <w:r w:rsidR="005114DD">
        <w:t>is</w:t>
      </w:r>
      <w:r w:rsidR="00562D0E">
        <w:t xml:space="preserve"> </w:t>
      </w:r>
      <w:r w:rsidR="00E67043">
        <w:t>the</w:t>
      </w:r>
      <w:r w:rsidR="00761591">
        <w:t xml:space="preserve"> non-arm’s length income arising from the general non-arm’s length expense under subsection 295-550(9)</w:t>
      </w:r>
      <w:r w:rsidR="00833CFE">
        <w:t>,</w:t>
      </w:r>
      <w:r w:rsidR="00761591">
        <w:t xml:space="preserve"> which </w:t>
      </w:r>
      <w:r w:rsidR="005114DD">
        <w:t>sets out</w:t>
      </w:r>
      <w:r w:rsidR="00833CFE">
        <w:t xml:space="preserve"> the </w:t>
      </w:r>
      <w:r w:rsidR="00E67043">
        <w:t>2 factor approach</w:t>
      </w:r>
      <w:r w:rsidR="00833CFE">
        <w:t>, which i</w:t>
      </w:r>
      <w:r w:rsidR="009D253B">
        <w:t xml:space="preserve">n this case is </w:t>
      </w:r>
      <w:r w:rsidR="003B2E5A">
        <w:t>2x $3,000 which equals $6,000.</w:t>
      </w:r>
      <w:r w:rsidR="00833CFE">
        <w:t xml:space="preserve"> </w:t>
      </w:r>
    </w:p>
    <w:p w14:paraId="44349B5D" w14:textId="0DA6E8A3" w:rsidR="00E67043" w:rsidRDefault="005F6816" w:rsidP="00562D0E">
      <w:pPr>
        <w:pStyle w:val="Exampletext"/>
      </w:pPr>
      <w:r>
        <w:t>The sum of the amounts under subparagraphs 295-545(2</w:t>
      </w:r>
      <w:proofErr w:type="gramStart"/>
      <w:r>
        <w:t>A)(</w:t>
      </w:r>
      <w:proofErr w:type="gramEnd"/>
      <w:r>
        <w:t>a)(</w:t>
      </w:r>
      <w:proofErr w:type="spellStart"/>
      <w:r>
        <w:t>i</w:t>
      </w:r>
      <w:proofErr w:type="spellEnd"/>
      <w:r>
        <w:t>) and (ii) is $15,000 + $6,000 which equals $21,000.</w:t>
      </w:r>
    </w:p>
    <w:p w14:paraId="2960CCA8" w14:textId="54CC19DE" w:rsidR="00055FB9" w:rsidRDefault="00055FB9" w:rsidP="00562D0E">
      <w:pPr>
        <w:pStyle w:val="Exampletext"/>
      </w:pPr>
      <w:r>
        <w:t>The cap on the non-arm’s length component under paragraph 295-5</w:t>
      </w:r>
      <w:r w:rsidR="00B514B2">
        <w:t>45(2</w:t>
      </w:r>
      <w:proofErr w:type="gramStart"/>
      <w:r w:rsidR="00B514B2">
        <w:t>A)(</w:t>
      </w:r>
      <w:proofErr w:type="gramEnd"/>
      <w:r w:rsidR="00B514B2">
        <w:t xml:space="preserve">b) is the entity’s taxable income excluding assessable contributions and any deductions against assessable contributions. In this case, </w:t>
      </w:r>
      <w:r w:rsidR="004D6AA3">
        <w:t>this is $15,000 as there are no assessable contributions or deductions against them.</w:t>
      </w:r>
    </w:p>
    <w:p w14:paraId="067783FF" w14:textId="0614B91A" w:rsidR="00562D0E" w:rsidRDefault="000C3587" w:rsidP="0079633F">
      <w:pPr>
        <w:pStyle w:val="Exampletext"/>
      </w:pPr>
      <w:r>
        <w:lastRenderedPageBreak/>
        <w:t>T</w:t>
      </w:r>
      <w:r w:rsidR="00562D0E">
        <w:t>he amount of the non-arm’s component is the less</w:t>
      </w:r>
      <w:r w:rsidR="008D436C">
        <w:t>er</w:t>
      </w:r>
      <w:r w:rsidR="00562D0E">
        <w:t xml:space="preserve"> of</w:t>
      </w:r>
      <w:r w:rsidR="009B4393">
        <w:t xml:space="preserve"> the amount under paragraph 295-545(2</w:t>
      </w:r>
      <w:proofErr w:type="gramStart"/>
      <w:r w:rsidR="009B4393">
        <w:t>A)(</w:t>
      </w:r>
      <w:proofErr w:type="gramEnd"/>
      <w:r w:rsidR="009B4393">
        <w:t>a) and the amount under paragraph 295-545(2A)(b)</w:t>
      </w:r>
      <w:r w:rsidR="0079633F">
        <w:t>. As $15,000 is less than $21,000, the total non-arm’s length component is $15,000</w:t>
      </w:r>
      <w:r w:rsidR="009B4393">
        <w:t xml:space="preserve">. </w:t>
      </w:r>
      <w:bookmarkEnd w:id="49"/>
    </w:p>
    <w:p w14:paraId="0FCA5476" w14:textId="090E52C2" w:rsidR="000864B1" w:rsidRDefault="008E483C" w:rsidP="00562D0E">
      <w:pPr>
        <w:pStyle w:val="Exampletext"/>
      </w:pPr>
      <w:r w:rsidRPr="008E483C">
        <w:t>This leaves a low-tax component of $0. The low tax component is any remaining taxable income after calculating the non-arm’s length component.</w:t>
      </w:r>
    </w:p>
    <w:p w14:paraId="320F7114" w14:textId="77777777" w:rsidR="00562D0E" w:rsidRDefault="00562D0E" w:rsidP="00562D0E">
      <w:pPr>
        <w:pStyle w:val="ExampleHeading"/>
      </w:pPr>
    </w:p>
    <w:p w14:paraId="159D18D8" w14:textId="18F93888" w:rsidR="005E1DA7" w:rsidRDefault="0024205C" w:rsidP="005E1DA7">
      <w:pPr>
        <w:pStyle w:val="Exampletext"/>
      </w:pPr>
      <w:r>
        <w:t>Ma</w:t>
      </w:r>
      <w:r w:rsidR="002B4DF1">
        <w:t>lia is one of four members of a small superannuation fund.</w:t>
      </w:r>
      <w:r w:rsidR="005E1DA7">
        <w:t xml:space="preserve"> </w:t>
      </w:r>
      <w:r>
        <w:t>Malia</w:t>
      </w:r>
      <w:r w:rsidR="005E1DA7">
        <w:t xml:space="preserve"> is an accountant and provides general accounting services to the</w:t>
      </w:r>
      <w:r>
        <w:t xml:space="preserve"> small superannuation fund</w:t>
      </w:r>
      <w:r w:rsidR="005E1DA7">
        <w:t xml:space="preserve"> </w:t>
      </w:r>
      <w:r w:rsidR="00604FBC">
        <w:t xml:space="preserve">worth $10,000 which the small superannuation fund acquires </w:t>
      </w:r>
      <w:r w:rsidR="00085EE8">
        <w:t>for $5,000</w:t>
      </w:r>
      <w:r w:rsidR="00604FBC">
        <w:t>.</w:t>
      </w:r>
    </w:p>
    <w:p w14:paraId="46CEC2AD" w14:textId="401A573E" w:rsidR="005E1DA7" w:rsidRDefault="005E1DA7" w:rsidP="005E1DA7">
      <w:pPr>
        <w:pStyle w:val="Exampletext"/>
      </w:pPr>
      <w:r>
        <w:t xml:space="preserve">The </w:t>
      </w:r>
      <w:r w:rsidR="00604FBC">
        <w:t xml:space="preserve">acquisition </w:t>
      </w:r>
      <w:r>
        <w:t xml:space="preserve">of accounting services </w:t>
      </w:r>
      <w:r w:rsidR="00604FBC">
        <w:t xml:space="preserve">by the fund </w:t>
      </w:r>
      <w:r>
        <w:t xml:space="preserve">constitutes a scheme between </w:t>
      </w:r>
      <w:r w:rsidR="00AC7F41">
        <w:t xml:space="preserve">Malia and </w:t>
      </w:r>
      <w:r w:rsidR="004929A5">
        <w:t>the small superannuation fund</w:t>
      </w:r>
      <w:r>
        <w:t xml:space="preserve"> at arm’s length, and no expense was incurred when the </w:t>
      </w:r>
      <w:r w:rsidR="004929A5">
        <w:t>small superannuation fund</w:t>
      </w:r>
      <w:r>
        <w:t xml:space="preserve"> would have been expected to have incurred an expense had the parties been </w:t>
      </w:r>
      <w:r w:rsidR="005A3857">
        <w:t xml:space="preserve">dealing </w:t>
      </w:r>
      <w:r>
        <w:t>at arm’s length, so the non-arm’s length expenditure provisions apply. The accounting services were general in nature and did not relate to any particular asset or assets so are a general non-arm’s length expense captured under subsection 295-550(</w:t>
      </w:r>
      <w:r w:rsidR="00487A0F">
        <w:t>8</w:t>
      </w:r>
      <w:r>
        <w:t>).</w:t>
      </w:r>
    </w:p>
    <w:p w14:paraId="12886606" w14:textId="47203D9E" w:rsidR="007E2806" w:rsidRDefault="005E1DA7" w:rsidP="005E1DA7">
      <w:pPr>
        <w:pStyle w:val="Exampletext"/>
      </w:pPr>
      <w:r>
        <w:t xml:space="preserve">The total income of the </w:t>
      </w:r>
      <w:r w:rsidR="003D20EF">
        <w:t>small superannuation fund</w:t>
      </w:r>
      <w:r>
        <w:t xml:space="preserve"> in 2023-24 is $2</w:t>
      </w:r>
      <w:r w:rsidR="00085EE8">
        <w:t>3</w:t>
      </w:r>
      <w:r>
        <w:t>,000 in rent from a rental property</w:t>
      </w:r>
      <w:r w:rsidR="00820957">
        <w:t xml:space="preserve"> which is rented </w:t>
      </w:r>
      <w:r w:rsidR="007650F9">
        <w:t>to</w:t>
      </w:r>
      <w:r w:rsidR="00820957">
        <w:t xml:space="preserve"> Malia’s accounting business</w:t>
      </w:r>
      <w:r w:rsidR="007E2806">
        <w:t xml:space="preserve">. Had the property been rented at arm’s length, it </w:t>
      </w:r>
      <w:r w:rsidR="00733E64">
        <w:t xml:space="preserve">might have been expected to receive $15,000 </w:t>
      </w:r>
      <w:r w:rsidR="002F3ABD">
        <w:t xml:space="preserve">in rent </w:t>
      </w:r>
      <w:r w:rsidR="00733E64">
        <w:t xml:space="preserve">based on </w:t>
      </w:r>
      <w:r w:rsidR="0070407C">
        <w:t xml:space="preserve">known </w:t>
      </w:r>
      <w:r w:rsidR="00733E64">
        <w:t>rent</w:t>
      </w:r>
      <w:r w:rsidR="00202982">
        <w:t>s</w:t>
      </w:r>
      <w:r w:rsidR="00733E64">
        <w:t xml:space="preserve"> for comparable </w:t>
      </w:r>
      <w:r w:rsidR="00F5774C">
        <w:t xml:space="preserve">tenanted </w:t>
      </w:r>
      <w:r w:rsidR="00733E64">
        <w:t>commercial properties.</w:t>
      </w:r>
    </w:p>
    <w:p w14:paraId="4CC9E4ED" w14:textId="6B9BACCA" w:rsidR="000D1D72" w:rsidRDefault="000D1D72" w:rsidP="005E1DA7">
      <w:pPr>
        <w:pStyle w:val="Exampletext"/>
      </w:pPr>
      <w:r>
        <w:t xml:space="preserve">The rental arrangement constitutes a scheme between Malia’s accounting business and </w:t>
      </w:r>
      <w:r w:rsidR="00715961">
        <w:t>the small superannuation fund at arm’s length</w:t>
      </w:r>
      <w:r w:rsidR="00A76D4E">
        <w:t>, resulting in a higher rental income than the rental income that might have resulted had the property been rented at arm’s length.</w:t>
      </w:r>
      <w:r w:rsidR="00E916CB">
        <w:t xml:space="preserve"> The non-arm’s length income provisions apply</w:t>
      </w:r>
      <w:r w:rsidR="00533DF1">
        <w:t xml:space="preserve"> under </w:t>
      </w:r>
      <w:r w:rsidR="00A04ADD">
        <w:t>paragraph 295-550(1)(a)</w:t>
      </w:r>
      <w:r w:rsidR="00E916CB">
        <w:t xml:space="preserve"> </w:t>
      </w:r>
      <w:r w:rsidR="00DF007A">
        <w:t>to make the rental income non arm’s length income.</w:t>
      </w:r>
      <w:r w:rsidR="00E916CB">
        <w:t xml:space="preserve"> </w:t>
      </w:r>
    </w:p>
    <w:p w14:paraId="213D4C7C" w14:textId="0E3840F5" w:rsidR="005E1DA7" w:rsidRDefault="00CD5724" w:rsidP="00C20B93">
      <w:pPr>
        <w:pStyle w:val="Exampletext"/>
      </w:pPr>
      <w:r>
        <w:t xml:space="preserve">Maintenance was carried out on the commercial property </w:t>
      </w:r>
      <w:r w:rsidR="00107522">
        <w:t xml:space="preserve">at arm’s length </w:t>
      </w:r>
      <w:r w:rsidR="005257E6">
        <w:t>constituting $</w:t>
      </w:r>
      <w:r w:rsidR="00085EE8">
        <w:t>10</w:t>
      </w:r>
      <w:r w:rsidR="005257E6">
        <w:t>,000 in eligible deductions.</w:t>
      </w:r>
      <w:r w:rsidR="00C20B93">
        <w:t xml:space="preserve"> </w:t>
      </w:r>
      <w:r w:rsidR="005E1DA7">
        <w:t>No assessable contributions were made in that income year.</w:t>
      </w:r>
    </w:p>
    <w:p w14:paraId="61DB9859" w14:textId="24080B0D" w:rsidR="00551E23" w:rsidRDefault="00551E23" w:rsidP="00C20B93">
      <w:pPr>
        <w:pStyle w:val="Exampletext"/>
      </w:pPr>
      <w:r>
        <w:t xml:space="preserve">The taxable income </w:t>
      </w:r>
      <w:r w:rsidR="0020185B">
        <w:t>of the fund in 2023-24</w:t>
      </w:r>
      <w:r>
        <w:t xml:space="preserve"> </w:t>
      </w:r>
      <w:r w:rsidR="0020185B">
        <w:t>will be</w:t>
      </w:r>
      <w:r>
        <w:t xml:space="preserve"> $2</w:t>
      </w:r>
      <w:r w:rsidR="00085EE8">
        <w:t>3</w:t>
      </w:r>
      <w:r>
        <w:t xml:space="preserve">,000 </w:t>
      </w:r>
      <w:r w:rsidR="00F14206">
        <w:t xml:space="preserve">rental income </w:t>
      </w:r>
      <w:r>
        <w:t>minus $</w:t>
      </w:r>
      <w:r w:rsidR="00085EE8">
        <w:t>10</w:t>
      </w:r>
      <w:r w:rsidR="00181D2B">
        <w:t>,000</w:t>
      </w:r>
      <w:r w:rsidR="00F14206">
        <w:t xml:space="preserve"> </w:t>
      </w:r>
      <w:r w:rsidR="003F245A">
        <w:t xml:space="preserve">in </w:t>
      </w:r>
      <w:r w:rsidR="00F14206">
        <w:t>deductions</w:t>
      </w:r>
      <w:r w:rsidR="00085EE8">
        <w:t xml:space="preserve"> for property </w:t>
      </w:r>
      <w:r w:rsidR="00706A9B">
        <w:t>maintenance and minus $5,000 incurred for accounting services</w:t>
      </w:r>
      <w:r w:rsidR="003F245A">
        <w:t>, which equals $</w:t>
      </w:r>
      <w:r w:rsidR="00706A9B">
        <w:t>8</w:t>
      </w:r>
      <w:r w:rsidR="003F245A">
        <w:t>,000.</w:t>
      </w:r>
    </w:p>
    <w:p w14:paraId="4D19D10A" w14:textId="5313676F" w:rsidR="00562D0E" w:rsidRPr="005719AB" w:rsidRDefault="000D0A0B" w:rsidP="00DB49DD">
      <w:pPr>
        <w:pStyle w:val="Exampletext"/>
      </w:pPr>
      <w:r>
        <w:t xml:space="preserve">Under 295-550(1), the $23,000 of property income of the fund is non-arm’s length income. The non-arm’s length component will be calculated by adding the non-arm’s length </w:t>
      </w:r>
      <w:r w:rsidR="00B365D4">
        <w:t xml:space="preserve">rental </w:t>
      </w:r>
      <w:r w:rsidR="00BF70DA">
        <w:t xml:space="preserve">income </w:t>
      </w:r>
      <w:r>
        <w:t xml:space="preserve">of $23,000 </w:t>
      </w:r>
      <w:r>
        <w:lastRenderedPageBreak/>
        <w:t xml:space="preserve">minus the related deduction of $10,000 plus the </w:t>
      </w:r>
      <w:r w:rsidR="00AC7DA0">
        <w:t xml:space="preserve">amount derived from </w:t>
      </w:r>
      <w:r>
        <w:t>2 factor approach for the general expense of $10,000</w:t>
      </w:r>
      <w:r w:rsidR="00E35BFC">
        <w:t>, giving a total of</w:t>
      </w:r>
      <w:r w:rsidR="00FD4B9D">
        <w:t xml:space="preserve"> </w:t>
      </w:r>
      <w:r w:rsidR="00192871">
        <w:t>$</w:t>
      </w:r>
      <w:r w:rsidR="009C17D1">
        <w:t>23,000</w:t>
      </w:r>
      <w:r>
        <w:t>. However, the non-arm’s length component cap</w:t>
      </w:r>
      <w:r w:rsidR="00AB17EB">
        <w:t xml:space="preserve"> in</w:t>
      </w:r>
      <w:r w:rsidR="00937C3E">
        <w:t xml:space="preserve"> </w:t>
      </w:r>
      <w:r w:rsidR="00E5597E">
        <w:t>paragraph 295-545</w:t>
      </w:r>
      <w:r w:rsidR="00937C3E">
        <w:t>(2</w:t>
      </w:r>
      <w:proofErr w:type="gramStart"/>
      <w:r w:rsidR="00937C3E">
        <w:t>A)(</w:t>
      </w:r>
      <w:proofErr w:type="gramEnd"/>
      <w:r w:rsidR="00937C3E">
        <w:t>b)</w:t>
      </w:r>
      <w:r>
        <w:t xml:space="preserve"> equivalent to taxable income of $8,000 will limit the non-arm’s length component to $8,000.</w:t>
      </w:r>
      <w:r w:rsidR="00DB49DD" w:rsidRPr="008E483C">
        <w:t>This leaves a low-tax component of $0. The low tax component is any remaining taxable income after calculating the non-arm’s length component.</w:t>
      </w:r>
    </w:p>
    <w:p w14:paraId="20B99422" w14:textId="77777777" w:rsidR="00562D0E" w:rsidRDefault="00562D0E" w:rsidP="00562D0E">
      <w:pPr>
        <w:pStyle w:val="ExampleHeading"/>
      </w:pPr>
    </w:p>
    <w:p w14:paraId="604B8B65" w14:textId="5EB1CD9D" w:rsidR="00B14319" w:rsidRDefault="009C6089" w:rsidP="00B14319">
      <w:pPr>
        <w:pStyle w:val="Exampletext"/>
      </w:pPr>
      <w:r>
        <w:t>Tanya</w:t>
      </w:r>
      <w:r w:rsidR="00B14319">
        <w:t xml:space="preserve"> is the sole trustee of</w:t>
      </w:r>
      <w:r w:rsidR="002C1A80">
        <w:t xml:space="preserve"> her</w:t>
      </w:r>
      <w:r w:rsidR="00B14319">
        <w:t xml:space="preserve"> SMSF. </w:t>
      </w:r>
      <w:r>
        <w:t>Tanya</w:t>
      </w:r>
      <w:r w:rsidR="00B14319">
        <w:t xml:space="preserve"> is a lawyer and provides general legal services to </w:t>
      </w:r>
      <w:r w:rsidR="002C1A80">
        <w:t>her</w:t>
      </w:r>
      <w:r w:rsidR="00B14319">
        <w:t xml:space="preserve"> SMSF</w:t>
      </w:r>
      <w:r w:rsidR="00B01730">
        <w:t xml:space="preserve"> worth $17,000, which the SMSF acquires for </w:t>
      </w:r>
      <w:r w:rsidR="00B14319">
        <w:t>$</w:t>
      </w:r>
      <w:r w:rsidR="000F53A0">
        <w:t>12</w:t>
      </w:r>
      <w:r w:rsidR="00B14319">
        <w:t>,000.</w:t>
      </w:r>
    </w:p>
    <w:p w14:paraId="4D2F9215" w14:textId="6629F90B" w:rsidR="00B14319" w:rsidRDefault="009C6089" w:rsidP="00B14319">
      <w:pPr>
        <w:pStyle w:val="Exampletext"/>
      </w:pPr>
      <w:r>
        <w:t>Tanya</w:t>
      </w:r>
      <w:r w:rsidR="00B14319">
        <w:t xml:space="preserve"> offers the same services she provides t</w:t>
      </w:r>
      <w:r w:rsidR="005C0794">
        <w:t>he</w:t>
      </w:r>
      <w:r w:rsidR="00B14319">
        <w:t xml:space="preserve"> SMSF to the </w:t>
      </w:r>
      <w:proofErr w:type="gramStart"/>
      <w:r w:rsidR="00B14319">
        <w:t>general public</w:t>
      </w:r>
      <w:proofErr w:type="gramEnd"/>
      <w:r w:rsidR="00B14319">
        <w:t xml:space="preserve"> and the market value of these services is readily apparent from the fee schedule available on </w:t>
      </w:r>
      <w:r>
        <w:t>Tanya’s</w:t>
      </w:r>
      <w:r w:rsidR="00B14319">
        <w:t xml:space="preserve"> website.</w:t>
      </w:r>
    </w:p>
    <w:p w14:paraId="35041B27" w14:textId="13171045" w:rsidR="00B14319" w:rsidRDefault="00B14319" w:rsidP="00B14319">
      <w:pPr>
        <w:pStyle w:val="Exampletext"/>
      </w:pPr>
      <w:r>
        <w:t xml:space="preserve">The </w:t>
      </w:r>
      <w:r w:rsidR="00F04AF1">
        <w:t xml:space="preserve">acquisition </w:t>
      </w:r>
      <w:r>
        <w:t xml:space="preserve">of legal services </w:t>
      </w:r>
      <w:r w:rsidR="00F04AF1">
        <w:t xml:space="preserve">by the SMSF </w:t>
      </w:r>
      <w:r>
        <w:t xml:space="preserve">constitutes a scheme between </w:t>
      </w:r>
      <w:r w:rsidR="009C6089">
        <w:t>Tanya</w:t>
      </w:r>
      <w:r>
        <w:t xml:space="preserve"> and their SMSF in which the parties were not dealing with each other at arm’s length, and the expense was incurred at a value less than what the SMSF would have been expected to have incur</w:t>
      </w:r>
      <w:r w:rsidR="001A5DAA">
        <w:t>red</w:t>
      </w:r>
      <w:r>
        <w:t xml:space="preserve"> as an expense had the parties been dealing at arm’s length, so the non-arm’s length expenditure provisions apply. The legal services were general in nature and did not relate to any particular asset or assets so are a general non-arm’s length expense captured under subsection 295-550(</w:t>
      </w:r>
      <w:r w:rsidR="006D7FA4">
        <w:t>8</w:t>
      </w:r>
      <w:r>
        <w:t>).</w:t>
      </w:r>
    </w:p>
    <w:p w14:paraId="799273BE" w14:textId="17D5BE91" w:rsidR="00B14319" w:rsidRDefault="00B14319" w:rsidP="00B14319">
      <w:pPr>
        <w:pStyle w:val="Exampletext"/>
      </w:pPr>
      <w:r>
        <w:t xml:space="preserve">The </w:t>
      </w:r>
      <w:r w:rsidR="00F134BD">
        <w:t>taxable</w:t>
      </w:r>
      <w:r>
        <w:t xml:space="preserve"> income of the SMSF in 2023-24 is $</w:t>
      </w:r>
      <w:r w:rsidR="00F47E15">
        <w:t>3</w:t>
      </w:r>
      <w:r w:rsidR="002C4132">
        <w:t>4</w:t>
      </w:r>
      <w:r>
        <w:t>,000 in rent from a rental property</w:t>
      </w:r>
      <w:r w:rsidR="00942B5F">
        <w:t>,</w:t>
      </w:r>
      <w:r>
        <w:t xml:space="preserve"> </w:t>
      </w:r>
      <w:r w:rsidR="001A5DAA">
        <w:t>to which</w:t>
      </w:r>
      <w:r>
        <w:t xml:space="preserve"> $1</w:t>
      </w:r>
      <w:r w:rsidR="00B51301">
        <w:t>5</w:t>
      </w:r>
      <w:r>
        <w:t xml:space="preserve">,000 in eligible deductions for </w:t>
      </w:r>
      <w:r w:rsidR="006A29B9">
        <w:t xml:space="preserve">property </w:t>
      </w:r>
      <w:r>
        <w:t>maintenance</w:t>
      </w:r>
      <w:r w:rsidR="001A5DAA">
        <w:t xml:space="preserve"> apply</w:t>
      </w:r>
      <w:r w:rsidR="0031675D">
        <w:t xml:space="preserve">, </w:t>
      </w:r>
      <w:r w:rsidR="006D5C3B">
        <w:t>together with</w:t>
      </w:r>
      <w:r w:rsidR="00B243C6">
        <w:t xml:space="preserve"> a $12,000 deduction for the legal services, </w:t>
      </w:r>
      <w:r w:rsidR="0031675D">
        <w:t>plus</w:t>
      </w:r>
      <w:r w:rsidR="00F003DE">
        <w:t xml:space="preserve"> $10,000 </w:t>
      </w:r>
      <w:r w:rsidR="006D5C3B">
        <w:t>in</w:t>
      </w:r>
      <w:r>
        <w:t xml:space="preserve"> assessable contributions</w:t>
      </w:r>
      <w:r w:rsidR="0031675D">
        <w:t xml:space="preserve"> </w:t>
      </w:r>
      <w:r w:rsidR="006D5C3B">
        <w:t>to which</w:t>
      </w:r>
      <w:r w:rsidR="006A29B9">
        <w:t xml:space="preserve"> </w:t>
      </w:r>
      <w:r w:rsidR="002C1A80">
        <w:t xml:space="preserve">a </w:t>
      </w:r>
      <w:r w:rsidR="00982494">
        <w:t>$</w:t>
      </w:r>
      <w:r w:rsidR="00184C46">
        <w:t>1</w:t>
      </w:r>
      <w:r w:rsidR="00E72355">
        <w:t>,</w:t>
      </w:r>
      <w:r w:rsidR="00184C46">
        <w:t>0</w:t>
      </w:r>
      <w:r w:rsidR="00982494">
        <w:t xml:space="preserve">00 deduction </w:t>
      </w:r>
      <w:r w:rsidR="006D5C3B">
        <w:t>applies</w:t>
      </w:r>
      <w:r w:rsidR="00FC527E">
        <w:t>.</w:t>
      </w:r>
      <w:r w:rsidR="00AC583E">
        <w:t xml:space="preserve"> The taxable income of the fund </w:t>
      </w:r>
      <w:r w:rsidR="00C6476D">
        <w:t xml:space="preserve">will be </w:t>
      </w:r>
      <w:r w:rsidR="00AF068D">
        <w:t>$16,000.</w:t>
      </w:r>
    </w:p>
    <w:p w14:paraId="22B80E54" w14:textId="1694C7E9" w:rsidR="00262858" w:rsidRDefault="00262858" w:rsidP="00262858">
      <w:pPr>
        <w:pStyle w:val="Exampletext"/>
      </w:pPr>
      <w:r>
        <w:t xml:space="preserve">In relation to the general expense, the </w:t>
      </w:r>
      <w:proofErr w:type="gramStart"/>
      <w:r>
        <w:t>2 factor</w:t>
      </w:r>
      <w:proofErr w:type="gramEnd"/>
      <w:r>
        <w:t xml:space="preserve"> approach under subsection 295-550(8) </w:t>
      </w:r>
      <w:r w:rsidR="005B6C3E">
        <w:t>gives</w:t>
      </w:r>
      <w:r>
        <w:t xml:space="preserve"> twice the difference between the $12,000 that was incurred </w:t>
      </w:r>
      <w:r w:rsidR="00DA7CE1">
        <w:t xml:space="preserve">for legal services </w:t>
      </w:r>
      <w:r>
        <w:t>and the $17,000 value of the expense had parties been dealing at arm’s length, which gives $10,000.</w:t>
      </w:r>
    </w:p>
    <w:p w14:paraId="026F324B" w14:textId="76FF79DD" w:rsidR="00B14319" w:rsidRDefault="00B14319" w:rsidP="00B14319">
      <w:pPr>
        <w:pStyle w:val="Exampletext"/>
      </w:pPr>
      <w:r>
        <w:t xml:space="preserve">The </w:t>
      </w:r>
      <w:r w:rsidR="00AC0D51">
        <w:t xml:space="preserve">cap on </w:t>
      </w:r>
      <w:r w:rsidR="00246B9C">
        <w:t>the non</w:t>
      </w:r>
      <w:r w:rsidR="0072273A">
        <w:t>-arm’s length component</w:t>
      </w:r>
      <w:r>
        <w:t xml:space="preserve"> </w:t>
      </w:r>
      <w:r w:rsidR="002C4132">
        <w:t xml:space="preserve">for the purposes of </w:t>
      </w:r>
      <w:r w:rsidR="00815B19">
        <w:t xml:space="preserve">paragraph </w:t>
      </w:r>
      <w:r w:rsidR="002C4132">
        <w:t>295-545(2</w:t>
      </w:r>
      <w:proofErr w:type="gramStart"/>
      <w:r w:rsidR="002C4132">
        <w:t>A)(</w:t>
      </w:r>
      <w:proofErr w:type="gramEnd"/>
      <w:r w:rsidR="002C4132">
        <w:t>b)</w:t>
      </w:r>
      <w:r>
        <w:t xml:space="preserve"> is calculated as $</w:t>
      </w:r>
      <w:r w:rsidR="000C0921">
        <w:t>16</w:t>
      </w:r>
      <w:r>
        <w:t xml:space="preserve">,000 </w:t>
      </w:r>
      <w:r w:rsidR="000E2859">
        <w:t xml:space="preserve">in </w:t>
      </w:r>
      <w:r w:rsidR="000C0921">
        <w:t xml:space="preserve">taxable </w:t>
      </w:r>
      <w:r w:rsidR="000E2859">
        <w:t>income</w:t>
      </w:r>
      <w:r>
        <w:t xml:space="preserve"> </w:t>
      </w:r>
      <w:r w:rsidR="002B1B3C">
        <w:t>minus</w:t>
      </w:r>
      <w:r>
        <w:t xml:space="preserve"> </w:t>
      </w:r>
      <w:r w:rsidR="002C4132">
        <w:t xml:space="preserve"> </w:t>
      </w:r>
      <w:r w:rsidR="00195286">
        <w:t>less t</w:t>
      </w:r>
      <w:r w:rsidR="002C4132">
        <w:t xml:space="preserve">he $10,000 in assessable contributions </w:t>
      </w:r>
      <w:r w:rsidR="00A22775">
        <w:t>plus</w:t>
      </w:r>
      <w:r w:rsidR="009862E8">
        <w:t xml:space="preserve"> the $</w:t>
      </w:r>
      <w:r w:rsidR="00874864">
        <w:t>1</w:t>
      </w:r>
      <w:r w:rsidR="00351891">
        <w:t>,</w:t>
      </w:r>
      <w:r w:rsidR="00874864">
        <w:t>0</w:t>
      </w:r>
      <w:r w:rsidR="009862E8">
        <w:t>00 deduction incurred in relation to the assessable contributions</w:t>
      </w:r>
      <w:r w:rsidR="00195286">
        <w:t>, equalling $7,000</w:t>
      </w:r>
      <w:r w:rsidR="009862E8">
        <w:t>.</w:t>
      </w:r>
      <w:r w:rsidR="00F66DBD">
        <w:t xml:space="preserve"> As this is lower than the $10,000 calculated by applying the </w:t>
      </w:r>
      <w:proofErr w:type="gramStart"/>
      <w:r w:rsidR="00F66DBD">
        <w:t>2 factor</w:t>
      </w:r>
      <w:proofErr w:type="gramEnd"/>
      <w:r w:rsidR="00F66DBD">
        <w:t xml:space="preserve"> approach, the cap applies to limit the non-arm’s length component to $</w:t>
      </w:r>
      <w:r w:rsidR="004A3907">
        <w:t>7</w:t>
      </w:r>
      <w:r w:rsidR="00F66DBD">
        <w:t>,000.</w:t>
      </w:r>
    </w:p>
    <w:p w14:paraId="67266E98" w14:textId="6C2DAF85" w:rsidR="00F66DBD" w:rsidRPr="005719AB" w:rsidRDefault="00F66DBD" w:rsidP="00F66DBD">
      <w:pPr>
        <w:pStyle w:val="Exampletext"/>
      </w:pPr>
      <w:r w:rsidRPr="008E483C">
        <w:lastRenderedPageBreak/>
        <w:t>This leaves a low-tax component of $</w:t>
      </w:r>
      <w:r w:rsidR="00004B7F">
        <w:t>9,000</w:t>
      </w:r>
      <w:r w:rsidR="00185351">
        <w:t>.</w:t>
      </w:r>
      <w:r w:rsidR="001B35A2">
        <w:t xml:space="preserve"> </w:t>
      </w:r>
      <w:r w:rsidRPr="008E483C">
        <w:t>The low tax component is any remaining taxable income after calculating the non-arm’s length component.</w:t>
      </w:r>
    </w:p>
    <w:p w14:paraId="5789F98F" w14:textId="65474837" w:rsidR="00CE7AD6" w:rsidRPr="00020288" w:rsidRDefault="00546C2B" w:rsidP="00205087">
      <w:pPr>
        <w:pStyle w:val="Exampletext"/>
      </w:pPr>
      <w:r>
        <w:t xml:space="preserve">The low tax component for this fund would be equal to the amount of assessable contributions excluded from the non-arm’s length component </w:t>
      </w:r>
      <w:r w:rsidR="0002683C">
        <w:t>minus deductions attributable to the</w:t>
      </w:r>
      <w:r w:rsidR="001B35A2">
        <w:t>m</w:t>
      </w:r>
      <w:r w:rsidR="00593ADE">
        <w:t xml:space="preserve">. This ensures the assessable contributions </w:t>
      </w:r>
      <w:r w:rsidR="003370DD">
        <w:t>are never taxed at the highest marginal rate.</w:t>
      </w:r>
    </w:p>
    <w:p w14:paraId="42AFCE42" w14:textId="77777777" w:rsidR="00873094" w:rsidRPr="00020288" w:rsidRDefault="00873094" w:rsidP="005D0844">
      <w:pPr>
        <w:pStyle w:val="Heading2"/>
        <w:rPr>
          <w:rFonts w:hint="eastAsia"/>
        </w:rPr>
      </w:pPr>
      <w:bookmarkStart w:id="50" w:name="_Toc137219122"/>
      <w:bookmarkStart w:id="51" w:name="_Toc78193246"/>
      <w:bookmarkStart w:id="52" w:name="_Toc78193403"/>
      <w:bookmarkStart w:id="53" w:name="_Toc78548476"/>
      <w:bookmarkStart w:id="54" w:name="_Toc78549747"/>
      <w:bookmarkStart w:id="55" w:name="_Toc78549791"/>
      <w:r w:rsidRPr="005D0844">
        <w:t>Consequential</w:t>
      </w:r>
      <w:r w:rsidRPr="00020288">
        <w:t xml:space="preserve"> amendments</w:t>
      </w:r>
      <w:bookmarkEnd w:id="50"/>
    </w:p>
    <w:p w14:paraId="6D88849A" w14:textId="3F7BA2BF" w:rsidR="00873094" w:rsidRPr="00020288" w:rsidRDefault="00EB60B6" w:rsidP="00873094">
      <w:pPr>
        <w:pStyle w:val="Normalparatextwithnumbers"/>
        <w:numPr>
          <w:ilvl w:val="1"/>
          <w:numId w:val="3"/>
        </w:numPr>
      </w:pPr>
      <w:r>
        <w:t xml:space="preserve">Schedule </w:t>
      </w:r>
      <w:r w:rsidR="00D60D62">
        <w:t xml:space="preserve">[x] of this </w:t>
      </w:r>
      <w:r w:rsidR="002914DB">
        <w:t>B</w:t>
      </w:r>
      <w:r w:rsidR="00D60D62">
        <w:t>ill makes consequential changes</w:t>
      </w:r>
      <w:r w:rsidR="00B620AE">
        <w:t xml:space="preserve"> to the</w:t>
      </w:r>
      <w:r w:rsidR="00D60D62">
        <w:t xml:space="preserve"> </w:t>
      </w:r>
      <w:r w:rsidR="008F5466">
        <w:rPr>
          <w:i/>
          <w:iCs/>
        </w:rPr>
        <w:t>Treasury Laws Amendment (2018 Superannuation Measures No.1) Act 2019</w:t>
      </w:r>
      <w:r w:rsidR="008F5466">
        <w:t xml:space="preserve"> </w:t>
      </w:r>
      <w:r w:rsidR="00B33117">
        <w:t xml:space="preserve">so that Act is taken </w:t>
      </w:r>
      <w:r w:rsidR="000E3129">
        <w:t xml:space="preserve">to </w:t>
      </w:r>
      <w:r w:rsidR="00EE696E">
        <w:t xml:space="preserve">not apply and never </w:t>
      </w:r>
      <w:r w:rsidR="00B620AE">
        <w:t xml:space="preserve">to </w:t>
      </w:r>
      <w:r w:rsidR="00EE696E">
        <w:t xml:space="preserve">have applied to a loss, outgoing or expenditure that </w:t>
      </w:r>
      <w:r w:rsidR="008933CA">
        <w:t>wa</w:t>
      </w:r>
      <w:r w:rsidR="00EE696E">
        <w:t xml:space="preserve">s, </w:t>
      </w:r>
      <w:r w:rsidR="00BD200A">
        <w:t>or might have been expected to be</w:t>
      </w:r>
      <w:r w:rsidR="008933CA">
        <w:t>,</w:t>
      </w:r>
      <w:r w:rsidR="00BD200A">
        <w:t xml:space="preserve"> incurred before the 2018-19 income year</w:t>
      </w:r>
      <w:r w:rsidR="00353A63">
        <w:t>.</w:t>
      </w:r>
      <w:r w:rsidR="0091798C">
        <w:br/>
      </w:r>
      <w:r w:rsidR="0091798C" w:rsidRPr="0091798C">
        <w:rPr>
          <w:rStyle w:val="References"/>
        </w:rPr>
        <w:t xml:space="preserve">[Schedule xx, items </w:t>
      </w:r>
      <w:r w:rsidR="0091798C">
        <w:rPr>
          <w:rStyle w:val="References"/>
        </w:rPr>
        <w:t>8 and 9</w:t>
      </w:r>
      <w:r w:rsidR="0091798C" w:rsidRPr="0091798C">
        <w:rPr>
          <w:rStyle w:val="References"/>
        </w:rPr>
        <w:t xml:space="preserve">, </w:t>
      </w:r>
      <w:r w:rsidR="00A31A50">
        <w:rPr>
          <w:rStyle w:val="References"/>
        </w:rPr>
        <w:t>subitem</w:t>
      </w:r>
      <w:r w:rsidR="001D24BA">
        <w:rPr>
          <w:rStyle w:val="References"/>
        </w:rPr>
        <w:t xml:space="preserve"> 4 </w:t>
      </w:r>
      <w:r w:rsidR="00A31A50">
        <w:rPr>
          <w:rStyle w:val="References"/>
        </w:rPr>
        <w:t xml:space="preserve">of </w:t>
      </w:r>
      <w:r w:rsidR="001D24BA">
        <w:rPr>
          <w:rStyle w:val="References"/>
        </w:rPr>
        <w:t>Schedule 2</w:t>
      </w:r>
      <w:r w:rsidR="0091798C" w:rsidRPr="0091798C">
        <w:rPr>
          <w:rStyle w:val="References"/>
        </w:rPr>
        <w:t xml:space="preserve"> </w:t>
      </w:r>
      <w:r w:rsidR="00A31A50">
        <w:rPr>
          <w:rStyle w:val="References"/>
        </w:rPr>
        <w:t xml:space="preserve">to </w:t>
      </w:r>
      <w:r w:rsidR="0020116D">
        <w:rPr>
          <w:rStyle w:val="References"/>
        </w:rPr>
        <w:t>the Treasury Laws Amendment (2018 Superannuation Measures No.</w:t>
      </w:r>
      <w:r w:rsidR="00FC1A20">
        <w:rPr>
          <w:rStyle w:val="References"/>
        </w:rPr>
        <w:t xml:space="preserve"> </w:t>
      </w:r>
      <w:r w:rsidR="0020116D">
        <w:rPr>
          <w:rStyle w:val="References"/>
        </w:rPr>
        <w:t>1) Act 2019</w:t>
      </w:r>
      <w:r w:rsidR="0091798C" w:rsidRPr="0091798C">
        <w:rPr>
          <w:rStyle w:val="References"/>
        </w:rPr>
        <w:t xml:space="preserve">] </w:t>
      </w:r>
    </w:p>
    <w:p w14:paraId="6F7550C4" w14:textId="051F53FB" w:rsidR="00353A63" w:rsidRPr="00020288" w:rsidRDefault="00353A63" w:rsidP="00873094">
      <w:pPr>
        <w:pStyle w:val="Normalparatextwithnumbers"/>
        <w:numPr>
          <w:ilvl w:val="1"/>
          <w:numId w:val="3"/>
        </w:numPr>
      </w:pPr>
      <w:r>
        <w:t xml:space="preserve">This ensures that Act will not </w:t>
      </w:r>
      <w:r w:rsidR="00116555">
        <w:t xml:space="preserve">make </w:t>
      </w:r>
      <w:r w:rsidR="00D37E3B">
        <w:t xml:space="preserve">income </w:t>
      </w:r>
      <w:r w:rsidR="000F01B5">
        <w:t>non-arm’s length income</w:t>
      </w:r>
      <w:r w:rsidR="00D37E3B">
        <w:t xml:space="preserve"> w</w:t>
      </w:r>
      <w:r w:rsidR="00D3243E">
        <w:t>h</w:t>
      </w:r>
      <w:r w:rsidR="00D37E3B">
        <w:t xml:space="preserve">ere it results from </w:t>
      </w:r>
      <w:r w:rsidR="00B700EA">
        <w:t xml:space="preserve">an expense incurred prior to the enactment of the measure. </w:t>
      </w:r>
      <w:r w:rsidR="002C2A4F" w:rsidRPr="00EC1394">
        <w:t xml:space="preserve">This will limit the application of the </w:t>
      </w:r>
      <w:r w:rsidR="000F01B5">
        <w:t>non-arm’s length expenses</w:t>
      </w:r>
      <w:r w:rsidR="002C2A4F" w:rsidRPr="00EC1394">
        <w:t xml:space="preserve"> rules to dealings which were entered into after the rules came into effect, from which point trustees could have reasonably taken steps to avoid </w:t>
      </w:r>
      <w:r w:rsidR="00C53331">
        <w:t xml:space="preserve">incurring higher </w:t>
      </w:r>
      <w:r w:rsidR="002F07F7">
        <w:t>rates of tax</w:t>
      </w:r>
      <w:r w:rsidR="000619BB">
        <w:t xml:space="preserve"> under</w:t>
      </w:r>
      <w:r w:rsidR="00C53331" w:rsidRPr="00EC1394">
        <w:t xml:space="preserve"> </w:t>
      </w:r>
      <w:r w:rsidR="002C2A4F" w:rsidRPr="00EC1394">
        <w:t>the rules.</w:t>
      </w:r>
    </w:p>
    <w:p w14:paraId="69BB9A0F" w14:textId="77777777" w:rsidR="00873094" w:rsidRPr="00020288" w:rsidRDefault="00873094" w:rsidP="00AF50CE">
      <w:pPr>
        <w:pStyle w:val="Heading2"/>
        <w:rPr>
          <w:rFonts w:hint="eastAsia"/>
        </w:rPr>
      </w:pPr>
      <w:bookmarkStart w:id="56" w:name="_Toc137219123"/>
      <w:r w:rsidRPr="00020288">
        <w:t xml:space="preserve">Commencement, </w:t>
      </w:r>
      <w:r w:rsidRPr="00AF50CE">
        <w:t>application</w:t>
      </w:r>
      <w:r w:rsidRPr="00020288">
        <w:t>, and transitional provisions</w:t>
      </w:r>
      <w:bookmarkEnd w:id="56"/>
    </w:p>
    <w:p w14:paraId="5D122224" w14:textId="1A319CB0" w:rsidR="00873094" w:rsidRPr="00020288" w:rsidRDefault="00BE671B" w:rsidP="00873094">
      <w:pPr>
        <w:pStyle w:val="Normalparatextwithnumbers"/>
        <w:numPr>
          <w:ilvl w:val="1"/>
          <w:numId w:val="3"/>
        </w:numPr>
      </w:pPr>
      <w:r>
        <w:t xml:space="preserve">The amendments commence on the </w:t>
      </w:r>
      <w:r w:rsidR="001B3E39">
        <w:t>start of the first quarter after the day the Act receives Royal Assent.</w:t>
      </w:r>
      <w:r w:rsidR="0020116D">
        <w:br/>
      </w:r>
      <w:r w:rsidR="0020116D" w:rsidRPr="0020116D">
        <w:rPr>
          <w:rStyle w:val="References"/>
        </w:rPr>
        <w:t>[Schedule xx, item</w:t>
      </w:r>
      <w:r w:rsidR="00E7037A">
        <w:rPr>
          <w:rStyle w:val="References"/>
        </w:rPr>
        <w:t xml:space="preserve"> 7</w:t>
      </w:r>
      <w:r w:rsidR="0020116D" w:rsidRPr="0020116D">
        <w:rPr>
          <w:rStyle w:val="References"/>
        </w:rPr>
        <w:t xml:space="preserve">, </w:t>
      </w:r>
      <w:r w:rsidR="00E7037A">
        <w:rPr>
          <w:rStyle w:val="References"/>
        </w:rPr>
        <w:t>Application provision</w:t>
      </w:r>
      <w:r w:rsidR="0020116D" w:rsidRPr="0020116D">
        <w:rPr>
          <w:rStyle w:val="References"/>
        </w:rPr>
        <w:t xml:space="preserve">] </w:t>
      </w:r>
      <w:bookmarkEnd w:id="5"/>
      <w:bookmarkEnd w:id="43"/>
      <w:bookmarkEnd w:id="51"/>
      <w:bookmarkEnd w:id="52"/>
      <w:bookmarkEnd w:id="53"/>
      <w:bookmarkEnd w:id="54"/>
      <w:bookmarkEnd w:id="55"/>
    </w:p>
    <w:sectPr w:rsidR="00873094" w:rsidRPr="00020288" w:rsidSect="00000BFC">
      <w:head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23DA" w14:textId="77777777" w:rsidR="00027361" w:rsidRDefault="00027361">
      <w:pPr>
        <w:spacing w:before="0" w:after="0"/>
      </w:pPr>
      <w:r>
        <w:separator/>
      </w:r>
    </w:p>
  </w:endnote>
  <w:endnote w:type="continuationSeparator" w:id="0">
    <w:p w14:paraId="2D917D8E" w14:textId="77777777" w:rsidR="00027361" w:rsidRDefault="00027361">
      <w:pPr>
        <w:spacing w:before="0" w:after="0"/>
      </w:pPr>
      <w:r>
        <w:continuationSeparator/>
      </w:r>
    </w:p>
  </w:endnote>
  <w:endnote w:type="continuationNotice" w:id="1">
    <w:p w14:paraId="78DC6110" w14:textId="77777777" w:rsidR="00027361" w:rsidRDefault="000273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AC06"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368"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1E6B" w14:textId="77777777" w:rsidR="007A2DBD" w:rsidRPr="00091474" w:rsidRDefault="007A2DBD" w:rsidP="006C1AA2">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67CB" w14:textId="77777777" w:rsidR="00027361" w:rsidRDefault="00027361">
      <w:pPr>
        <w:spacing w:before="0" w:after="0"/>
      </w:pPr>
      <w:r>
        <w:separator/>
      </w:r>
    </w:p>
  </w:footnote>
  <w:footnote w:type="continuationSeparator" w:id="0">
    <w:p w14:paraId="28B64CB8" w14:textId="77777777" w:rsidR="00027361" w:rsidRDefault="00027361">
      <w:pPr>
        <w:spacing w:before="0" w:after="0"/>
      </w:pPr>
      <w:r>
        <w:continuationSeparator/>
      </w:r>
    </w:p>
  </w:footnote>
  <w:footnote w:type="continuationNotice" w:id="1">
    <w:p w14:paraId="389AC494" w14:textId="77777777" w:rsidR="00027361" w:rsidRDefault="000273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5613644C" w14:textId="77777777" w:rsidR="007A2DBD" w:rsidRDefault="00B11815">
        <w:pPr>
          <w:pStyle w:val="Header"/>
        </w:pPr>
        <w:r>
          <w:rPr>
            <w:noProof/>
          </w:rPr>
          <w:pict w14:anchorId="29679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63A5"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C3C0" w14:textId="71262991"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2150F2">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6870"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A7CB" w14:textId="476C0D3E" w:rsidR="007A2DBD" w:rsidRPr="006C1AA2" w:rsidRDefault="00B11815" w:rsidP="006C1AA2">
    <w:pPr>
      <w:pStyle w:val="leftheader"/>
    </w:pPr>
    <w:r>
      <w:fldChar w:fldCharType="begin"/>
    </w:r>
    <w:r>
      <w:instrText xml:space="preserve"> STYLEREF "Chapter heading" \* MERGEFORMAT </w:instrText>
    </w:r>
    <w:r>
      <w:fldChar w:fldCharType="separate"/>
    </w:r>
    <w:r>
      <w:rPr>
        <w:noProof/>
      </w:rPr>
      <w:t>Non-Arm’s length expense rules for superannuation funds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E6F4" w14:textId="4B7040CC" w:rsidR="007A2DBD" w:rsidRPr="006C1AA2" w:rsidRDefault="00B11815" w:rsidP="006C1AA2">
    <w:pPr>
      <w:pStyle w:val="rightheader"/>
    </w:pPr>
    <w:r>
      <w:fldChar w:fldCharType="begin"/>
    </w:r>
    <w:r>
      <w:instrText xml:space="preserve"> STYLEREF "Bill Name" \* MERGEFORMAT </w:instrText>
    </w:r>
    <w:r>
      <w:fldChar w:fldCharType="separate"/>
    </w:r>
    <w:r>
      <w:rPr>
        <w:noProof/>
      </w:rPr>
      <w:t>Treasury Laws Amendment (Measures for Consultation) Bill 2023: Non-arm’s Length Expense Rules for Superannuation Funds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7FDB"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A014" w14:textId="77777777" w:rsidR="006C1AA2" w:rsidRDefault="006C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46FF56A7"/>
    <w:multiLevelType w:val="multilevel"/>
    <w:tmpl w:val="7740316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4732D3C8"/>
    <w:lvl w:ilvl="0" w:tplc="17100FF6">
      <w:start w:val="1"/>
      <w:numFmt w:val="bullet"/>
      <w:pStyle w:val="Dotpoint2"/>
      <w:lvlText w:val="‒"/>
      <w:lvlJc w:val="left"/>
      <w:pPr>
        <w:ind w:left="1800" w:hanging="360"/>
      </w:pPr>
      <w:rPr>
        <w:rFonts w:ascii="Times New Roman" w:hAnsi="Times New Roman" w:cs="Times New Roman" w:hint="default"/>
        <w:b w:val="0"/>
        <w:i w:val="0"/>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462045838">
    <w:abstractNumId w:val="0"/>
  </w:num>
  <w:num w:numId="2" w16cid:durableId="980231959">
    <w:abstractNumId w:val="11"/>
  </w:num>
  <w:num w:numId="3" w16cid:durableId="19277155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74024561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12650850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054963566">
    <w:abstractNumId w:val="3"/>
  </w:num>
  <w:num w:numId="7" w16cid:durableId="3992120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637078608">
    <w:abstractNumId w:val="4"/>
  </w:num>
  <w:num w:numId="9" w16cid:durableId="1033193177">
    <w:abstractNumId w:val="13"/>
  </w:num>
  <w:num w:numId="10" w16cid:durableId="521822388">
    <w:abstractNumId w:val="7"/>
  </w:num>
  <w:num w:numId="11" w16cid:durableId="294484496">
    <w:abstractNumId w:val="5"/>
  </w:num>
  <w:num w:numId="12" w16cid:durableId="57216100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09239854">
    <w:abstractNumId w:val="11"/>
  </w:num>
  <w:num w:numId="14" w16cid:durableId="1882939922">
    <w:abstractNumId w:val="9"/>
  </w:num>
  <w:num w:numId="15" w16cid:durableId="1311866530">
    <w:abstractNumId w:val="10"/>
  </w:num>
  <w:num w:numId="16" w16cid:durableId="172066511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303316725">
    <w:abstractNumId w:val="4"/>
  </w:num>
  <w:num w:numId="18" w16cid:durableId="324020970">
    <w:abstractNumId w:val="2"/>
  </w:num>
  <w:num w:numId="19" w16cid:durableId="141191799">
    <w:abstractNumId w:val="8"/>
  </w:num>
  <w:num w:numId="20" w16cid:durableId="696934381">
    <w:abstractNumId w:val="12"/>
  </w:num>
  <w:num w:numId="21" w16cid:durableId="2057046099">
    <w:abstractNumId w:val="11"/>
  </w:num>
  <w:num w:numId="22" w16cid:durableId="1713652416">
    <w:abstractNumId w:val="1"/>
  </w:num>
  <w:num w:numId="23" w16cid:durableId="1457946110">
    <w:abstractNumId w:val="3"/>
  </w:num>
  <w:num w:numId="24" w16cid:durableId="568153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911153">
    <w:abstractNumId w:val="13"/>
  </w:num>
  <w:num w:numId="26" w16cid:durableId="1682855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DF"/>
    <w:rsid w:val="00000629"/>
    <w:rsid w:val="00000BFC"/>
    <w:rsid w:val="0000126C"/>
    <w:rsid w:val="000018E2"/>
    <w:rsid w:val="000019CF"/>
    <w:rsid w:val="00002356"/>
    <w:rsid w:val="000044C1"/>
    <w:rsid w:val="00004B7F"/>
    <w:rsid w:val="0000597E"/>
    <w:rsid w:val="00007D0B"/>
    <w:rsid w:val="00011966"/>
    <w:rsid w:val="000120F2"/>
    <w:rsid w:val="00013D0D"/>
    <w:rsid w:val="00014722"/>
    <w:rsid w:val="0001499C"/>
    <w:rsid w:val="00014C94"/>
    <w:rsid w:val="00015E14"/>
    <w:rsid w:val="000162E5"/>
    <w:rsid w:val="00016EA7"/>
    <w:rsid w:val="00016EFD"/>
    <w:rsid w:val="00017B24"/>
    <w:rsid w:val="00017B8A"/>
    <w:rsid w:val="00017E95"/>
    <w:rsid w:val="00017F41"/>
    <w:rsid w:val="0002004B"/>
    <w:rsid w:val="000202A3"/>
    <w:rsid w:val="00021254"/>
    <w:rsid w:val="00021DAA"/>
    <w:rsid w:val="000229FE"/>
    <w:rsid w:val="00022B8C"/>
    <w:rsid w:val="000230EB"/>
    <w:rsid w:val="000233A0"/>
    <w:rsid w:val="00023BF0"/>
    <w:rsid w:val="00025060"/>
    <w:rsid w:val="0002683C"/>
    <w:rsid w:val="00027361"/>
    <w:rsid w:val="0002747A"/>
    <w:rsid w:val="000277D3"/>
    <w:rsid w:val="00027D5A"/>
    <w:rsid w:val="0003011E"/>
    <w:rsid w:val="00030F8D"/>
    <w:rsid w:val="000311F7"/>
    <w:rsid w:val="00033828"/>
    <w:rsid w:val="000351B3"/>
    <w:rsid w:val="00035379"/>
    <w:rsid w:val="00035B9C"/>
    <w:rsid w:val="00036349"/>
    <w:rsid w:val="000375A3"/>
    <w:rsid w:val="00040058"/>
    <w:rsid w:val="0004073A"/>
    <w:rsid w:val="00040E0E"/>
    <w:rsid w:val="00041348"/>
    <w:rsid w:val="00041EEC"/>
    <w:rsid w:val="00041EED"/>
    <w:rsid w:val="00042B73"/>
    <w:rsid w:val="000446ED"/>
    <w:rsid w:val="00045121"/>
    <w:rsid w:val="000456D7"/>
    <w:rsid w:val="0004790D"/>
    <w:rsid w:val="00047FF2"/>
    <w:rsid w:val="000508EA"/>
    <w:rsid w:val="00051F70"/>
    <w:rsid w:val="00052AFB"/>
    <w:rsid w:val="00052F04"/>
    <w:rsid w:val="00053F2A"/>
    <w:rsid w:val="0005402C"/>
    <w:rsid w:val="000552C0"/>
    <w:rsid w:val="00055FB9"/>
    <w:rsid w:val="00057AAD"/>
    <w:rsid w:val="000614BE"/>
    <w:rsid w:val="000619BB"/>
    <w:rsid w:val="00062936"/>
    <w:rsid w:val="00063232"/>
    <w:rsid w:val="000639A8"/>
    <w:rsid w:val="00063E2E"/>
    <w:rsid w:val="000641DE"/>
    <w:rsid w:val="000646AC"/>
    <w:rsid w:val="000666E0"/>
    <w:rsid w:val="0006674C"/>
    <w:rsid w:val="00070ABB"/>
    <w:rsid w:val="00071BDE"/>
    <w:rsid w:val="00072568"/>
    <w:rsid w:val="000725AF"/>
    <w:rsid w:val="000726B1"/>
    <w:rsid w:val="000746AE"/>
    <w:rsid w:val="00076B9C"/>
    <w:rsid w:val="00076FCB"/>
    <w:rsid w:val="00077AB4"/>
    <w:rsid w:val="00081995"/>
    <w:rsid w:val="00082A28"/>
    <w:rsid w:val="00084BFF"/>
    <w:rsid w:val="00084F66"/>
    <w:rsid w:val="0008502E"/>
    <w:rsid w:val="00085E66"/>
    <w:rsid w:val="00085EE8"/>
    <w:rsid w:val="00085EFD"/>
    <w:rsid w:val="000864B1"/>
    <w:rsid w:val="00087F3D"/>
    <w:rsid w:val="00087F47"/>
    <w:rsid w:val="00087FE9"/>
    <w:rsid w:val="00090A2C"/>
    <w:rsid w:val="0009169A"/>
    <w:rsid w:val="000916CE"/>
    <w:rsid w:val="0009283D"/>
    <w:rsid w:val="000929DD"/>
    <w:rsid w:val="00092FEF"/>
    <w:rsid w:val="000930BA"/>
    <w:rsid w:val="00093F63"/>
    <w:rsid w:val="0009434E"/>
    <w:rsid w:val="000951B9"/>
    <w:rsid w:val="00096003"/>
    <w:rsid w:val="00096CBB"/>
    <w:rsid w:val="00097886"/>
    <w:rsid w:val="000A0C96"/>
    <w:rsid w:val="000A0D30"/>
    <w:rsid w:val="000A3230"/>
    <w:rsid w:val="000A392E"/>
    <w:rsid w:val="000A41EA"/>
    <w:rsid w:val="000A4228"/>
    <w:rsid w:val="000A55AF"/>
    <w:rsid w:val="000A686A"/>
    <w:rsid w:val="000A7069"/>
    <w:rsid w:val="000A7094"/>
    <w:rsid w:val="000A7301"/>
    <w:rsid w:val="000A7967"/>
    <w:rsid w:val="000B016F"/>
    <w:rsid w:val="000B16CB"/>
    <w:rsid w:val="000B2858"/>
    <w:rsid w:val="000B31A5"/>
    <w:rsid w:val="000B38BE"/>
    <w:rsid w:val="000B400B"/>
    <w:rsid w:val="000B5825"/>
    <w:rsid w:val="000B627B"/>
    <w:rsid w:val="000B6B3E"/>
    <w:rsid w:val="000B7D6E"/>
    <w:rsid w:val="000C018E"/>
    <w:rsid w:val="000C0921"/>
    <w:rsid w:val="000C2D7A"/>
    <w:rsid w:val="000C2E88"/>
    <w:rsid w:val="000C301E"/>
    <w:rsid w:val="000C3587"/>
    <w:rsid w:val="000C46CE"/>
    <w:rsid w:val="000C635D"/>
    <w:rsid w:val="000D0A0B"/>
    <w:rsid w:val="000D0F1B"/>
    <w:rsid w:val="000D1D72"/>
    <w:rsid w:val="000D2173"/>
    <w:rsid w:val="000D2834"/>
    <w:rsid w:val="000D4CC3"/>
    <w:rsid w:val="000D4F49"/>
    <w:rsid w:val="000D520D"/>
    <w:rsid w:val="000D5477"/>
    <w:rsid w:val="000D5482"/>
    <w:rsid w:val="000D57E5"/>
    <w:rsid w:val="000E04CB"/>
    <w:rsid w:val="000E2859"/>
    <w:rsid w:val="000E29D3"/>
    <w:rsid w:val="000E2F88"/>
    <w:rsid w:val="000E302F"/>
    <w:rsid w:val="000E3129"/>
    <w:rsid w:val="000E376D"/>
    <w:rsid w:val="000E4D39"/>
    <w:rsid w:val="000E521B"/>
    <w:rsid w:val="000E6DB2"/>
    <w:rsid w:val="000E745C"/>
    <w:rsid w:val="000E75F7"/>
    <w:rsid w:val="000F01B5"/>
    <w:rsid w:val="000F0865"/>
    <w:rsid w:val="000F17B7"/>
    <w:rsid w:val="000F1A79"/>
    <w:rsid w:val="000F2456"/>
    <w:rsid w:val="000F2889"/>
    <w:rsid w:val="000F3ECF"/>
    <w:rsid w:val="000F41F7"/>
    <w:rsid w:val="000F497F"/>
    <w:rsid w:val="000F53A0"/>
    <w:rsid w:val="000F5C00"/>
    <w:rsid w:val="000F6A60"/>
    <w:rsid w:val="000F7D8E"/>
    <w:rsid w:val="00101B44"/>
    <w:rsid w:val="00102CD5"/>
    <w:rsid w:val="00103157"/>
    <w:rsid w:val="00103CC3"/>
    <w:rsid w:val="00105E85"/>
    <w:rsid w:val="00105F7A"/>
    <w:rsid w:val="001064C7"/>
    <w:rsid w:val="001068CF"/>
    <w:rsid w:val="00106FDC"/>
    <w:rsid w:val="00107522"/>
    <w:rsid w:val="00107951"/>
    <w:rsid w:val="00107FAD"/>
    <w:rsid w:val="00110625"/>
    <w:rsid w:val="001111AF"/>
    <w:rsid w:val="00111375"/>
    <w:rsid w:val="0011174B"/>
    <w:rsid w:val="0011184F"/>
    <w:rsid w:val="00111F2B"/>
    <w:rsid w:val="00112E35"/>
    <w:rsid w:val="00113754"/>
    <w:rsid w:val="00113DD5"/>
    <w:rsid w:val="0011415D"/>
    <w:rsid w:val="00114E45"/>
    <w:rsid w:val="00115509"/>
    <w:rsid w:val="00116555"/>
    <w:rsid w:val="00116747"/>
    <w:rsid w:val="00117D12"/>
    <w:rsid w:val="001206EA"/>
    <w:rsid w:val="00120F79"/>
    <w:rsid w:val="001227A2"/>
    <w:rsid w:val="00127760"/>
    <w:rsid w:val="00127A14"/>
    <w:rsid w:val="00130A98"/>
    <w:rsid w:val="001311FF"/>
    <w:rsid w:val="00132549"/>
    <w:rsid w:val="001338BB"/>
    <w:rsid w:val="00135521"/>
    <w:rsid w:val="00135AF8"/>
    <w:rsid w:val="00135F62"/>
    <w:rsid w:val="00135FFF"/>
    <w:rsid w:val="00141701"/>
    <w:rsid w:val="00141750"/>
    <w:rsid w:val="00141A24"/>
    <w:rsid w:val="0014373A"/>
    <w:rsid w:val="0014432E"/>
    <w:rsid w:val="0014439C"/>
    <w:rsid w:val="0014518F"/>
    <w:rsid w:val="00145F58"/>
    <w:rsid w:val="00147520"/>
    <w:rsid w:val="001504DE"/>
    <w:rsid w:val="00150634"/>
    <w:rsid w:val="00150CD0"/>
    <w:rsid w:val="00150D94"/>
    <w:rsid w:val="00150EDA"/>
    <w:rsid w:val="00152593"/>
    <w:rsid w:val="001528FC"/>
    <w:rsid w:val="00154C22"/>
    <w:rsid w:val="0015684B"/>
    <w:rsid w:val="001573B1"/>
    <w:rsid w:val="00157FCF"/>
    <w:rsid w:val="00160CEC"/>
    <w:rsid w:val="001619E2"/>
    <w:rsid w:val="0016251D"/>
    <w:rsid w:val="001627B3"/>
    <w:rsid w:val="00163457"/>
    <w:rsid w:val="00163D7D"/>
    <w:rsid w:val="0016467E"/>
    <w:rsid w:val="00164F5D"/>
    <w:rsid w:val="0016537D"/>
    <w:rsid w:val="0016745E"/>
    <w:rsid w:val="001702B5"/>
    <w:rsid w:val="001705E9"/>
    <w:rsid w:val="00170C78"/>
    <w:rsid w:val="00170E82"/>
    <w:rsid w:val="00172575"/>
    <w:rsid w:val="0017287A"/>
    <w:rsid w:val="00172C4F"/>
    <w:rsid w:val="001741A2"/>
    <w:rsid w:val="00174B30"/>
    <w:rsid w:val="0017501D"/>
    <w:rsid w:val="0018014E"/>
    <w:rsid w:val="00180A93"/>
    <w:rsid w:val="00180D5D"/>
    <w:rsid w:val="00180DFA"/>
    <w:rsid w:val="0018189D"/>
    <w:rsid w:val="00181A75"/>
    <w:rsid w:val="00181D2B"/>
    <w:rsid w:val="00182931"/>
    <w:rsid w:val="001835C2"/>
    <w:rsid w:val="00183F52"/>
    <w:rsid w:val="001840B1"/>
    <w:rsid w:val="00184C46"/>
    <w:rsid w:val="00184DCD"/>
    <w:rsid w:val="00185351"/>
    <w:rsid w:val="00186548"/>
    <w:rsid w:val="0019180D"/>
    <w:rsid w:val="00192871"/>
    <w:rsid w:val="00192925"/>
    <w:rsid w:val="00193AA6"/>
    <w:rsid w:val="0019409C"/>
    <w:rsid w:val="00194AAB"/>
    <w:rsid w:val="00195286"/>
    <w:rsid w:val="001957FB"/>
    <w:rsid w:val="00195D1C"/>
    <w:rsid w:val="00195DD2"/>
    <w:rsid w:val="001A0C28"/>
    <w:rsid w:val="001A0FE3"/>
    <w:rsid w:val="001A1177"/>
    <w:rsid w:val="001A4774"/>
    <w:rsid w:val="001A4FAE"/>
    <w:rsid w:val="001A5DAA"/>
    <w:rsid w:val="001A6602"/>
    <w:rsid w:val="001A70D8"/>
    <w:rsid w:val="001A73EF"/>
    <w:rsid w:val="001B0477"/>
    <w:rsid w:val="001B07FA"/>
    <w:rsid w:val="001B08AE"/>
    <w:rsid w:val="001B1306"/>
    <w:rsid w:val="001B354A"/>
    <w:rsid w:val="001B35A2"/>
    <w:rsid w:val="001B3E39"/>
    <w:rsid w:val="001B3F47"/>
    <w:rsid w:val="001B448A"/>
    <w:rsid w:val="001B5D12"/>
    <w:rsid w:val="001B6332"/>
    <w:rsid w:val="001B635F"/>
    <w:rsid w:val="001B71FD"/>
    <w:rsid w:val="001C0907"/>
    <w:rsid w:val="001C30D6"/>
    <w:rsid w:val="001C4A08"/>
    <w:rsid w:val="001C595E"/>
    <w:rsid w:val="001C5CBF"/>
    <w:rsid w:val="001C6E28"/>
    <w:rsid w:val="001C72F2"/>
    <w:rsid w:val="001C7476"/>
    <w:rsid w:val="001C7A5F"/>
    <w:rsid w:val="001C7C9B"/>
    <w:rsid w:val="001D0583"/>
    <w:rsid w:val="001D0C8D"/>
    <w:rsid w:val="001D24BA"/>
    <w:rsid w:val="001D381C"/>
    <w:rsid w:val="001D3B1C"/>
    <w:rsid w:val="001D59CF"/>
    <w:rsid w:val="001D65B8"/>
    <w:rsid w:val="001D6D52"/>
    <w:rsid w:val="001D6F3B"/>
    <w:rsid w:val="001E01BF"/>
    <w:rsid w:val="001E02A2"/>
    <w:rsid w:val="001E19B8"/>
    <w:rsid w:val="001E208A"/>
    <w:rsid w:val="001E2664"/>
    <w:rsid w:val="001E503C"/>
    <w:rsid w:val="001E6D06"/>
    <w:rsid w:val="001E6EA4"/>
    <w:rsid w:val="001E7376"/>
    <w:rsid w:val="001F0961"/>
    <w:rsid w:val="001F1EDE"/>
    <w:rsid w:val="001F4534"/>
    <w:rsid w:val="001F5EA7"/>
    <w:rsid w:val="001F6426"/>
    <w:rsid w:val="001F70DA"/>
    <w:rsid w:val="001F7938"/>
    <w:rsid w:val="00200642"/>
    <w:rsid w:val="0020116D"/>
    <w:rsid w:val="0020185B"/>
    <w:rsid w:val="00202982"/>
    <w:rsid w:val="00203814"/>
    <w:rsid w:val="00203C08"/>
    <w:rsid w:val="00204E43"/>
    <w:rsid w:val="00205087"/>
    <w:rsid w:val="00205F06"/>
    <w:rsid w:val="00206C1B"/>
    <w:rsid w:val="00207742"/>
    <w:rsid w:val="00210A15"/>
    <w:rsid w:val="00214026"/>
    <w:rsid w:val="002150F2"/>
    <w:rsid w:val="00215679"/>
    <w:rsid w:val="0021579B"/>
    <w:rsid w:val="00215AC3"/>
    <w:rsid w:val="00215B64"/>
    <w:rsid w:val="00216D2E"/>
    <w:rsid w:val="00217A41"/>
    <w:rsid w:val="00220815"/>
    <w:rsid w:val="00220EC0"/>
    <w:rsid w:val="00221007"/>
    <w:rsid w:val="0022129F"/>
    <w:rsid w:val="002238CB"/>
    <w:rsid w:val="0022551C"/>
    <w:rsid w:val="002265D2"/>
    <w:rsid w:val="00226EBE"/>
    <w:rsid w:val="002277F8"/>
    <w:rsid w:val="002300D8"/>
    <w:rsid w:val="00230C17"/>
    <w:rsid w:val="0023150B"/>
    <w:rsid w:val="00231A72"/>
    <w:rsid w:val="0023276B"/>
    <w:rsid w:val="00232CF6"/>
    <w:rsid w:val="00233DF6"/>
    <w:rsid w:val="0023409D"/>
    <w:rsid w:val="002355C7"/>
    <w:rsid w:val="0023598D"/>
    <w:rsid w:val="00235AE7"/>
    <w:rsid w:val="00236448"/>
    <w:rsid w:val="00236D59"/>
    <w:rsid w:val="00237171"/>
    <w:rsid w:val="00237ECF"/>
    <w:rsid w:val="002407AA"/>
    <w:rsid w:val="00241874"/>
    <w:rsid w:val="00241AED"/>
    <w:rsid w:val="0024205C"/>
    <w:rsid w:val="002425D9"/>
    <w:rsid w:val="00242B2A"/>
    <w:rsid w:val="00243B6E"/>
    <w:rsid w:val="00244CC2"/>
    <w:rsid w:val="0024569A"/>
    <w:rsid w:val="00245EB0"/>
    <w:rsid w:val="00246B9C"/>
    <w:rsid w:val="002473EA"/>
    <w:rsid w:val="00247427"/>
    <w:rsid w:val="0024784F"/>
    <w:rsid w:val="00247D20"/>
    <w:rsid w:val="00247F61"/>
    <w:rsid w:val="00250844"/>
    <w:rsid w:val="00250C9D"/>
    <w:rsid w:val="00250FC4"/>
    <w:rsid w:val="00251702"/>
    <w:rsid w:val="00253510"/>
    <w:rsid w:val="00254953"/>
    <w:rsid w:val="00256C13"/>
    <w:rsid w:val="00256C88"/>
    <w:rsid w:val="00256F13"/>
    <w:rsid w:val="00257586"/>
    <w:rsid w:val="00257684"/>
    <w:rsid w:val="00260249"/>
    <w:rsid w:val="00260424"/>
    <w:rsid w:val="0026091A"/>
    <w:rsid w:val="00260B8B"/>
    <w:rsid w:val="00260D14"/>
    <w:rsid w:val="00261944"/>
    <w:rsid w:val="00262858"/>
    <w:rsid w:val="00262B52"/>
    <w:rsid w:val="00263693"/>
    <w:rsid w:val="00263F94"/>
    <w:rsid w:val="00265FDF"/>
    <w:rsid w:val="00266F30"/>
    <w:rsid w:val="00267587"/>
    <w:rsid w:val="002704BC"/>
    <w:rsid w:val="002706EC"/>
    <w:rsid w:val="00270B06"/>
    <w:rsid w:val="00270C76"/>
    <w:rsid w:val="00271C49"/>
    <w:rsid w:val="00273B5C"/>
    <w:rsid w:val="002745D9"/>
    <w:rsid w:val="00274D5C"/>
    <w:rsid w:val="002759A0"/>
    <w:rsid w:val="002762F8"/>
    <w:rsid w:val="00276753"/>
    <w:rsid w:val="00276B4A"/>
    <w:rsid w:val="00276CEA"/>
    <w:rsid w:val="00280A50"/>
    <w:rsid w:val="00280FA9"/>
    <w:rsid w:val="00282927"/>
    <w:rsid w:val="002830C1"/>
    <w:rsid w:val="0028405A"/>
    <w:rsid w:val="002855FE"/>
    <w:rsid w:val="00286001"/>
    <w:rsid w:val="00286033"/>
    <w:rsid w:val="0028648B"/>
    <w:rsid w:val="00286873"/>
    <w:rsid w:val="002872AB"/>
    <w:rsid w:val="00290B03"/>
    <w:rsid w:val="002914DB"/>
    <w:rsid w:val="002928C6"/>
    <w:rsid w:val="00292AEC"/>
    <w:rsid w:val="00292D5C"/>
    <w:rsid w:val="002935AC"/>
    <w:rsid w:val="0029654B"/>
    <w:rsid w:val="00296782"/>
    <w:rsid w:val="00297081"/>
    <w:rsid w:val="00297909"/>
    <w:rsid w:val="00297DEF"/>
    <w:rsid w:val="00297F33"/>
    <w:rsid w:val="002A0274"/>
    <w:rsid w:val="002A12A1"/>
    <w:rsid w:val="002A2137"/>
    <w:rsid w:val="002A2C7F"/>
    <w:rsid w:val="002A3678"/>
    <w:rsid w:val="002A42F2"/>
    <w:rsid w:val="002A443C"/>
    <w:rsid w:val="002A4CDA"/>
    <w:rsid w:val="002A52E5"/>
    <w:rsid w:val="002A5671"/>
    <w:rsid w:val="002A6C2E"/>
    <w:rsid w:val="002A70D9"/>
    <w:rsid w:val="002A77A7"/>
    <w:rsid w:val="002A7AB5"/>
    <w:rsid w:val="002B0B67"/>
    <w:rsid w:val="002B1163"/>
    <w:rsid w:val="002B13DC"/>
    <w:rsid w:val="002B1B3C"/>
    <w:rsid w:val="002B1BEE"/>
    <w:rsid w:val="002B1D9E"/>
    <w:rsid w:val="002B2BA6"/>
    <w:rsid w:val="002B4710"/>
    <w:rsid w:val="002B4DF1"/>
    <w:rsid w:val="002B5309"/>
    <w:rsid w:val="002B600D"/>
    <w:rsid w:val="002B623C"/>
    <w:rsid w:val="002B63D3"/>
    <w:rsid w:val="002B65D0"/>
    <w:rsid w:val="002B6F60"/>
    <w:rsid w:val="002B7E22"/>
    <w:rsid w:val="002C0DEE"/>
    <w:rsid w:val="002C17FA"/>
    <w:rsid w:val="002C1A80"/>
    <w:rsid w:val="002C26E7"/>
    <w:rsid w:val="002C2A4F"/>
    <w:rsid w:val="002C40E3"/>
    <w:rsid w:val="002C4132"/>
    <w:rsid w:val="002C44F4"/>
    <w:rsid w:val="002C5AE0"/>
    <w:rsid w:val="002C5D57"/>
    <w:rsid w:val="002C78D6"/>
    <w:rsid w:val="002D080A"/>
    <w:rsid w:val="002D09A5"/>
    <w:rsid w:val="002D0D91"/>
    <w:rsid w:val="002D1129"/>
    <w:rsid w:val="002D1F3B"/>
    <w:rsid w:val="002D3CA2"/>
    <w:rsid w:val="002D3D4B"/>
    <w:rsid w:val="002D4500"/>
    <w:rsid w:val="002D46D4"/>
    <w:rsid w:val="002D486C"/>
    <w:rsid w:val="002D586E"/>
    <w:rsid w:val="002D597E"/>
    <w:rsid w:val="002E0FFF"/>
    <w:rsid w:val="002E148A"/>
    <w:rsid w:val="002E2B0A"/>
    <w:rsid w:val="002E2DC6"/>
    <w:rsid w:val="002E349B"/>
    <w:rsid w:val="002E5039"/>
    <w:rsid w:val="002E6184"/>
    <w:rsid w:val="002E6269"/>
    <w:rsid w:val="002F0093"/>
    <w:rsid w:val="002F07F7"/>
    <w:rsid w:val="002F0ABC"/>
    <w:rsid w:val="002F109F"/>
    <w:rsid w:val="002F1CB0"/>
    <w:rsid w:val="002F2760"/>
    <w:rsid w:val="002F3815"/>
    <w:rsid w:val="002F3ABD"/>
    <w:rsid w:val="002F3BDE"/>
    <w:rsid w:val="002F48F4"/>
    <w:rsid w:val="002F4B60"/>
    <w:rsid w:val="002F4D44"/>
    <w:rsid w:val="002F5302"/>
    <w:rsid w:val="002F5544"/>
    <w:rsid w:val="002F64B2"/>
    <w:rsid w:val="002F7A0C"/>
    <w:rsid w:val="00301193"/>
    <w:rsid w:val="00301498"/>
    <w:rsid w:val="00301908"/>
    <w:rsid w:val="003024B9"/>
    <w:rsid w:val="00302D48"/>
    <w:rsid w:val="003033FB"/>
    <w:rsid w:val="00303491"/>
    <w:rsid w:val="00306662"/>
    <w:rsid w:val="00306C08"/>
    <w:rsid w:val="00307024"/>
    <w:rsid w:val="00312D60"/>
    <w:rsid w:val="00312E0C"/>
    <w:rsid w:val="003136D2"/>
    <w:rsid w:val="00313B41"/>
    <w:rsid w:val="00313E00"/>
    <w:rsid w:val="00313E98"/>
    <w:rsid w:val="003148EF"/>
    <w:rsid w:val="003153A7"/>
    <w:rsid w:val="00315D81"/>
    <w:rsid w:val="0031675D"/>
    <w:rsid w:val="00317518"/>
    <w:rsid w:val="00317ACA"/>
    <w:rsid w:val="00320BFC"/>
    <w:rsid w:val="003210C8"/>
    <w:rsid w:val="0032278B"/>
    <w:rsid w:val="003240FE"/>
    <w:rsid w:val="003249A3"/>
    <w:rsid w:val="00324B98"/>
    <w:rsid w:val="00326F42"/>
    <w:rsid w:val="00327023"/>
    <w:rsid w:val="003272A0"/>
    <w:rsid w:val="0032789B"/>
    <w:rsid w:val="00330589"/>
    <w:rsid w:val="00331EF7"/>
    <w:rsid w:val="0033216F"/>
    <w:rsid w:val="0033226D"/>
    <w:rsid w:val="00334099"/>
    <w:rsid w:val="0033565D"/>
    <w:rsid w:val="003359A0"/>
    <w:rsid w:val="00335F40"/>
    <w:rsid w:val="003365BE"/>
    <w:rsid w:val="00336C18"/>
    <w:rsid w:val="003370DD"/>
    <w:rsid w:val="00340901"/>
    <w:rsid w:val="00340B6F"/>
    <w:rsid w:val="003427FA"/>
    <w:rsid w:val="00343580"/>
    <w:rsid w:val="003441A3"/>
    <w:rsid w:val="0034435A"/>
    <w:rsid w:val="003443A3"/>
    <w:rsid w:val="00344C09"/>
    <w:rsid w:val="0034517E"/>
    <w:rsid w:val="00345E6F"/>
    <w:rsid w:val="00346BFD"/>
    <w:rsid w:val="00346D38"/>
    <w:rsid w:val="00346FE6"/>
    <w:rsid w:val="00350B22"/>
    <w:rsid w:val="003510A8"/>
    <w:rsid w:val="00351274"/>
    <w:rsid w:val="00351891"/>
    <w:rsid w:val="00351D4D"/>
    <w:rsid w:val="00353A63"/>
    <w:rsid w:val="003548AE"/>
    <w:rsid w:val="00354EA6"/>
    <w:rsid w:val="003556BF"/>
    <w:rsid w:val="00355D7B"/>
    <w:rsid w:val="00356D22"/>
    <w:rsid w:val="0035761F"/>
    <w:rsid w:val="00357F61"/>
    <w:rsid w:val="00360614"/>
    <w:rsid w:val="00361138"/>
    <w:rsid w:val="00361649"/>
    <w:rsid w:val="003636FC"/>
    <w:rsid w:val="003637E4"/>
    <w:rsid w:val="00363A2F"/>
    <w:rsid w:val="00364668"/>
    <w:rsid w:val="003652E2"/>
    <w:rsid w:val="003667B7"/>
    <w:rsid w:val="00366B65"/>
    <w:rsid w:val="00367420"/>
    <w:rsid w:val="0036790F"/>
    <w:rsid w:val="00367ABB"/>
    <w:rsid w:val="0037068C"/>
    <w:rsid w:val="00374C29"/>
    <w:rsid w:val="0037505E"/>
    <w:rsid w:val="00376012"/>
    <w:rsid w:val="00377F36"/>
    <w:rsid w:val="00380B70"/>
    <w:rsid w:val="0038122A"/>
    <w:rsid w:val="00381600"/>
    <w:rsid w:val="00381C82"/>
    <w:rsid w:val="00381FA4"/>
    <w:rsid w:val="003821D9"/>
    <w:rsid w:val="00382FDB"/>
    <w:rsid w:val="00383E00"/>
    <w:rsid w:val="00383EA9"/>
    <w:rsid w:val="00384AD1"/>
    <w:rsid w:val="00386E58"/>
    <w:rsid w:val="0038700E"/>
    <w:rsid w:val="00387152"/>
    <w:rsid w:val="00387402"/>
    <w:rsid w:val="003909A5"/>
    <w:rsid w:val="0039162B"/>
    <w:rsid w:val="003918FC"/>
    <w:rsid w:val="00392909"/>
    <w:rsid w:val="0039391C"/>
    <w:rsid w:val="00394219"/>
    <w:rsid w:val="00394E42"/>
    <w:rsid w:val="00394EB8"/>
    <w:rsid w:val="00395EF0"/>
    <w:rsid w:val="00396011"/>
    <w:rsid w:val="003971ED"/>
    <w:rsid w:val="0039729C"/>
    <w:rsid w:val="00397BE4"/>
    <w:rsid w:val="003A0372"/>
    <w:rsid w:val="003A047F"/>
    <w:rsid w:val="003A0951"/>
    <w:rsid w:val="003A15FB"/>
    <w:rsid w:val="003A245E"/>
    <w:rsid w:val="003A2F16"/>
    <w:rsid w:val="003A3895"/>
    <w:rsid w:val="003A3B7D"/>
    <w:rsid w:val="003A54A3"/>
    <w:rsid w:val="003A6D61"/>
    <w:rsid w:val="003A7913"/>
    <w:rsid w:val="003B073E"/>
    <w:rsid w:val="003B0B0D"/>
    <w:rsid w:val="003B1B03"/>
    <w:rsid w:val="003B2E5A"/>
    <w:rsid w:val="003B3F03"/>
    <w:rsid w:val="003B5A44"/>
    <w:rsid w:val="003B7D00"/>
    <w:rsid w:val="003B7E10"/>
    <w:rsid w:val="003C0C4C"/>
    <w:rsid w:val="003C0F64"/>
    <w:rsid w:val="003C137C"/>
    <w:rsid w:val="003C169F"/>
    <w:rsid w:val="003C22DD"/>
    <w:rsid w:val="003C3405"/>
    <w:rsid w:val="003C3668"/>
    <w:rsid w:val="003C391E"/>
    <w:rsid w:val="003C3FF1"/>
    <w:rsid w:val="003C530A"/>
    <w:rsid w:val="003C56B6"/>
    <w:rsid w:val="003C6FC7"/>
    <w:rsid w:val="003C7141"/>
    <w:rsid w:val="003C7C2A"/>
    <w:rsid w:val="003D102E"/>
    <w:rsid w:val="003D17A8"/>
    <w:rsid w:val="003D1914"/>
    <w:rsid w:val="003D20EF"/>
    <w:rsid w:val="003D36F1"/>
    <w:rsid w:val="003D5740"/>
    <w:rsid w:val="003D5828"/>
    <w:rsid w:val="003D7811"/>
    <w:rsid w:val="003E0F4B"/>
    <w:rsid w:val="003E2B5E"/>
    <w:rsid w:val="003E35A7"/>
    <w:rsid w:val="003E4DD3"/>
    <w:rsid w:val="003E4FFB"/>
    <w:rsid w:val="003E5EED"/>
    <w:rsid w:val="003E7B63"/>
    <w:rsid w:val="003E7F64"/>
    <w:rsid w:val="003F0338"/>
    <w:rsid w:val="003F0499"/>
    <w:rsid w:val="003F0D1D"/>
    <w:rsid w:val="003F183F"/>
    <w:rsid w:val="003F1AD7"/>
    <w:rsid w:val="003F245A"/>
    <w:rsid w:val="003F3221"/>
    <w:rsid w:val="003F3702"/>
    <w:rsid w:val="003F48D2"/>
    <w:rsid w:val="003F6F8E"/>
    <w:rsid w:val="003F72B1"/>
    <w:rsid w:val="003F7540"/>
    <w:rsid w:val="003F777B"/>
    <w:rsid w:val="00400584"/>
    <w:rsid w:val="004005A8"/>
    <w:rsid w:val="004009E2"/>
    <w:rsid w:val="00401A3B"/>
    <w:rsid w:val="00403DE1"/>
    <w:rsid w:val="0040405E"/>
    <w:rsid w:val="00404207"/>
    <w:rsid w:val="00405211"/>
    <w:rsid w:val="00405C08"/>
    <w:rsid w:val="00410118"/>
    <w:rsid w:val="00410B23"/>
    <w:rsid w:val="00411DE6"/>
    <w:rsid w:val="00411EA7"/>
    <w:rsid w:val="004129B1"/>
    <w:rsid w:val="0041347C"/>
    <w:rsid w:val="00414017"/>
    <w:rsid w:val="00414F6A"/>
    <w:rsid w:val="00414FBD"/>
    <w:rsid w:val="00417980"/>
    <w:rsid w:val="00420012"/>
    <w:rsid w:val="00420719"/>
    <w:rsid w:val="004211FB"/>
    <w:rsid w:val="004212D4"/>
    <w:rsid w:val="00421576"/>
    <w:rsid w:val="004220C9"/>
    <w:rsid w:val="00422D3B"/>
    <w:rsid w:val="0042458D"/>
    <w:rsid w:val="00425B1E"/>
    <w:rsid w:val="00425DA0"/>
    <w:rsid w:val="004272E8"/>
    <w:rsid w:val="00427EDF"/>
    <w:rsid w:val="00430A32"/>
    <w:rsid w:val="00431ADA"/>
    <w:rsid w:val="00432BB8"/>
    <w:rsid w:val="004335E5"/>
    <w:rsid w:val="00433BB4"/>
    <w:rsid w:val="00433E52"/>
    <w:rsid w:val="004341C7"/>
    <w:rsid w:val="00436366"/>
    <w:rsid w:val="00440375"/>
    <w:rsid w:val="004414B3"/>
    <w:rsid w:val="0044163D"/>
    <w:rsid w:val="00441783"/>
    <w:rsid w:val="00443A68"/>
    <w:rsid w:val="00443FB8"/>
    <w:rsid w:val="004453FF"/>
    <w:rsid w:val="004472AB"/>
    <w:rsid w:val="0045261C"/>
    <w:rsid w:val="00452906"/>
    <w:rsid w:val="00453922"/>
    <w:rsid w:val="00454557"/>
    <w:rsid w:val="00455029"/>
    <w:rsid w:val="0045588A"/>
    <w:rsid w:val="00456B5A"/>
    <w:rsid w:val="004603EF"/>
    <w:rsid w:val="00461397"/>
    <w:rsid w:val="00462356"/>
    <w:rsid w:val="00462EE6"/>
    <w:rsid w:val="00463523"/>
    <w:rsid w:val="004650CF"/>
    <w:rsid w:val="0046628B"/>
    <w:rsid w:val="00470CEC"/>
    <w:rsid w:val="00470F23"/>
    <w:rsid w:val="00472B38"/>
    <w:rsid w:val="00473FBF"/>
    <w:rsid w:val="00474FCF"/>
    <w:rsid w:val="0047593B"/>
    <w:rsid w:val="00475BE1"/>
    <w:rsid w:val="00476430"/>
    <w:rsid w:val="00477C04"/>
    <w:rsid w:val="00477DE1"/>
    <w:rsid w:val="0048026F"/>
    <w:rsid w:val="004811A5"/>
    <w:rsid w:val="004825E2"/>
    <w:rsid w:val="004829DA"/>
    <w:rsid w:val="00483B62"/>
    <w:rsid w:val="00483D2E"/>
    <w:rsid w:val="0048471C"/>
    <w:rsid w:val="00485FD0"/>
    <w:rsid w:val="00486E0D"/>
    <w:rsid w:val="004873BF"/>
    <w:rsid w:val="00487957"/>
    <w:rsid w:val="00487A0F"/>
    <w:rsid w:val="00487D47"/>
    <w:rsid w:val="00490607"/>
    <w:rsid w:val="00491079"/>
    <w:rsid w:val="00491473"/>
    <w:rsid w:val="00491FCF"/>
    <w:rsid w:val="00492729"/>
    <w:rsid w:val="004929A5"/>
    <w:rsid w:val="004929EC"/>
    <w:rsid w:val="0049489A"/>
    <w:rsid w:val="00495F3A"/>
    <w:rsid w:val="00496642"/>
    <w:rsid w:val="00496C21"/>
    <w:rsid w:val="004971E2"/>
    <w:rsid w:val="004A0D1F"/>
    <w:rsid w:val="004A10B0"/>
    <w:rsid w:val="004A18CA"/>
    <w:rsid w:val="004A260A"/>
    <w:rsid w:val="004A2D8B"/>
    <w:rsid w:val="004A2FF1"/>
    <w:rsid w:val="004A3907"/>
    <w:rsid w:val="004A5C97"/>
    <w:rsid w:val="004A699B"/>
    <w:rsid w:val="004B1C70"/>
    <w:rsid w:val="004B1F33"/>
    <w:rsid w:val="004B1F5A"/>
    <w:rsid w:val="004B1FA4"/>
    <w:rsid w:val="004B4B2F"/>
    <w:rsid w:val="004B52A2"/>
    <w:rsid w:val="004B5B50"/>
    <w:rsid w:val="004B6040"/>
    <w:rsid w:val="004B7B5F"/>
    <w:rsid w:val="004B7EFE"/>
    <w:rsid w:val="004C0805"/>
    <w:rsid w:val="004C138D"/>
    <w:rsid w:val="004C26A7"/>
    <w:rsid w:val="004C37DB"/>
    <w:rsid w:val="004C398D"/>
    <w:rsid w:val="004C4AD8"/>
    <w:rsid w:val="004C54F4"/>
    <w:rsid w:val="004C65BF"/>
    <w:rsid w:val="004C6AE5"/>
    <w:rsid w:val="004C6E6F"/>
    <w:rsid w:val="004C78EC"/>
    <w:rsid w:val="004C7EA7"/>
    <w:rsid w:val="004D00D3"/>
    <w:rsid w:val="004D10BC"/>
    <w:rsid w:val="004D1FFF"/>
    <w:rsid w:val="004D27CC"/>
    <w:rsid w:val="004D2D8C"/>
    <w:rsid w:val="004D3E51"/>
    <w:rsid w:val="004D41A1"/>
    <w:rsid w:val="004D4815"/>
    <w:rsid w:val="004D492C"/>
    <w:rsid w:val="004D5BC0"/>
    <w:rsid w:val="004D6AA3"/>
    <w:rsid w:val="004D78CA"/>
    <w:rsid w:val="004E0C9F"/>
    <w:rsid w:val="004E10DB"/>
    <w:rsid w:val="004E1602"/>
    <w:rsid w:val="004E2166"/>
    <w:rsid w:val="004E256B"/>
    <w:rsid w:val="004E3341"/>
    <w:rsid w:val="004E397F"/>
    <w:rsid w:val="004E4604"/>
    <w:rsid w:val="004E4B45"/>
    <w:rsid w:val="004E5758"/>
    <w:rsid w:val="004E5CFF"/>
    <w:rsid w:val="004E671E"/>
    <w:rsid w:val="004E6A47"/>
    <w:rsid w:val="004E6BB6"/>
    <w:rsid w:val="004E7359"/>
    <w:rsid w:val="004E75C4"/>
    <w:rsid w:val="004E7C62"/>
    <w:rsid w:val="004F1DA6"/>
    <w:rsid w:val="004F1E19"/>
    <w:rsid w:val="004F23C3"/>
    <w:rsid w:val="004F2B47"/>
    <w:rsid w:val="004F2D31"/>
    <w:rsid w:val="004F328D"/>
    <w:rsid w:val="004F56B9"/>
    <w:rsid w:val="004F62E2"/>
    <w:rsid w:val="004F639A"/>
    <w:rsid w:val="004F6BD8"/>
    <w:rsid w:val="004F6D63"/>
    <w:rsid w:val="004F73A3"/>
    <w:rsid w:val="004F756F"/>
    <w:rsid w:val="004F7C15"/>
    <w:rsid w:val="004F7D79"/>
    <w:rsid w:val="004F7DF5"/>
    <w:rsid w:val="004F7EC8"/>
    <w:rsid w:val="0050065B"/>
    <w:rsid w:val="00503811"/>
    <w:rsid w:val="00503EFF"/>
    <w:rsid w:val="00504540"/>
    <w:rsid w:val="00504CD5"/>
    <w:rsid w:val="00505347"/>
    <w:rsid w:val="0050553F"/>
    <w:rsid w:val="00505A81"/>
    <w:rsid w:val="005066F5"/>
    <w:rsid w:val="00507342"/>
    <w:rsid w:val="005076C3"/>
    <w:rsid w:val="00507A4E"/>
    <w:rsid w:val="0051047B"/>
    <w:rsid w:val="00510712"/>
    <w:rsid w:val="00511083"/>
    <w:rsid w:val="005114DD"/>
    <w:rsid w:val="0051307C"/>
    <w:rsid w:val="00513A59"/>
    <w:rsid w:val="005160AE"/>
    <w:rsid w:val="00517D6E"/>
    <w:rsid w:val="00520269"/>
    <w:rsid w:val="0052198E"/>
    <w:rsid w:val="00521C54"/>
    <w:rsid w:val="005230B2"/>
    <w:rsid w:val="00524583"/>
    <w:rsid w:val="005257E6"/>
    <w:rsid w:val="00525925"/>
    <w:rsid w:val="00527CE4"/>
    <w:rsid w:val="00527FAD"/>
    <w:rsid w:val="005300F7"/>
    <w:rsid w:val="00531943"/>
    <w:rsid w:val="00531C67"/>
    <w:rsid w:val="00531E8F"/>
    <w:rsid w:val="00533DF1"/>
    <w:rsid w:val="0053402D"/>
    <w:rsid w:val="005349EA"/>
    <w:rsid w:val="005356CB"/>
    <w:rsid w:val="00535DBF"/>
    <w:rsid w:val="005360EB"/>
    <w:rsid w:val="0053659F"/>
    <w:rsid w:val="0053719D"/>
    <w:rsid w:val="005371D5"/>
    <w:rsid w:val="0054013A"/>
    <w:rsid w:val="00540833"/>
    <w:rsid w:val="00541806"/>
    <w:rsid w:val="00542C95"/>
    <w:rsid w:val="00543004"/>
    <w:rsid w:val="0054331E"/>
    <w:rsid w:val="005434EA"/>
    <w:rsid w:val="0054386E"/>
    <w:rsid w:val="00543C91"/>
    <w:rsid w:val="005443C1"/>
    <w:rsid w:val="00544894"/>
    <w:rsid w:val="005459E6"/>
    <w:rsid w:val="00545BDF"/>
    <w:rsid w:val="00546C2B"/>
    <w:rsid w:val="0054749D"/>
    <w:rsid w:val="00547558"/>
    <w:rsid w:val="00547802"/>
    <w:rsid w:val="005505B6"/>
    <w:rsid w:val="005515C0"/>
    <w:rsid w:val="005517EB"/>
    <w:rsid w:val="00551E23"/>
    <w:rsid w:val="00553794"/>
    <w:rsid w:val="0055445C"/>
    <w:rsid w:val="00554589"/>
    <w:rsid w:val="0055617B"/>
    <w:rsid w:val="00557537"/>
    <w:rsid w:val="005577CA"/>
    <w:rsid w:val="00557936"/>
    <w:rsid w:val="00562D0E"/>
    <w:rsid w:val="00563AED"/>
    <w:rsid w:val="0056425D"/>
    <w:rsid w:val="00564723"/>
    <w:rsid w:val="0056675C"/>
    <w:rsid w:val="0057163B"/>
    <w:rsid w:val="00571B07"/>
    <w:rsid w:val="00572380"/>
    <w:rsid w:val="005723F8"/>
    <w:rsid w:val="0057250A"/>
    <w:rsid w:val="0057282C"/>
    <w:rsid w:val="0057371C"/>
    <w:rsid w:val="005752CA"/>
    <w:rsid w:val="00575A0B"/>
    <w:rsid w:val="00575B38"/>
    <w:rsid w:val="00577764"/>
    <w:rsid w:val="00577A4E"/>
    <w:rsid w:val="00581353"/>
    <w:rsid w:val="005813AE"/>
    <w:rsid w:val="00581EED"/>
    <w:rsid w:val="00582914"/>
    <w:rsid w:val="00583126"/>
    <w:rsid w:val="0058312F"/>
    <w:rsid w:val="005833C5"/>
    <w:rsid w:val="00584538"/>
    <w:rsid w:val="005845BE"/>
    <w:rsid w:val="00584760"/>
    <w:rsid w:val="0058514F"/>
    <w:rsid w:val="00586C68"/>
    <w:rsid w:val="00587B6D"/>
    <w:rsid w:val="00590071"/>
    <w:rsid w:val="0059200B"/>
    <w:rsid w:val="00592534"/>
    <w:rsid w:val="005933FF"/>
    <w:rsid w:val="00593ADE"/>
    <w:rsid w:val="00593CFE"/>
    <w:rsid w:val="0059456C"/>
    <w:rsid w:val="0059489E"/>
    <w:rsid w:val="00595583"/>
    <w:rsid w:val="00595E33"/>
    <w:rsid w:val="00596009"/>
    <w:rsid w:val="0059663D"/>
    <w:rsid w:val="005973E3"/>
    <w:rsid w:val="00597D86"/>
    <w:rsid w:val="00597EB3"/>
    <w:rsid w:val="00597EC5"/>
    <w:rsid w:val="005A0047"/>
    <w:rsid w:val="005A0929"/>
    <w:rsid w:val="005A1ACD"/>
    <w:rsid w:val="005A383E"/>
    <w:rsid w:val="005A3857"/>
    <w:rsid w:val="005A3AA3"/>
    <w:rsid w:val="005A4F77"/>
    <w:rsid w:val="005A5107"/>
    <w:rsid w:val="005A5ED1"/>
    <w:rsid w:val="005A60AB"/>
    <w:rsid w:val="005A69A7"/>
    <w:rsid w:val="005A711B"/>
    <w:rsid w:val="005A7BA3"/>
    <w:rsid w:val="005B00DB"/>
    <w:rsid w:val="005B0375"/>
    <w:rsid w:val="005B304F"/>
    <w:rsid w:val="005B30EB"/>
    <w:rsid w:val="005B3400"/>
    <w:rsid w:val="005B4768"/>
    <w:rsid w:val="005B4A02"/>
    <w:rsid w:val="005B5B8B"/>
    <w:rsid w:val="005B6C3E"/>
    <w:rsid w:val="005B6C86"/>
    <w:rsid w:val="005B77C9"/>
    <w:rsid w:val="005C020B"/>
    <w:rsid w:val="005C0794"/>
    <w:rsid w:val="005C0B01"/>
    <w:rsid w:val="005C1CA6"/>
    <w:rsid w:val="005C1F27"/>
    <w:rsid w:val="005C2393"/>
    <w:rsid w:val="005C2BD1"/>
    <w:rsid w:val="005C31DC"/>
    <w:rsid w:val="005C34F9"/>
    <w:rsid w:val="005C3A6A"/>
    <w:rsid w:val="005C3D69"/>
    <w:rsid w:val="005C3F36"/>
    <w:rsid w:val="005C40CA"/>
    <w:rsid w:val="005C48E2"/>
    <w:rsid w:val="005D0844"/>
    <w:rsid w:val="005D169F"/>
    <w:rsid w:val="005D1952"/>
    <w:rsid w:val="005D19E9"/>
    <w:rsid w:val="005D20E6"/>
    <w:rsid w:val="005D2782"/>
    <w:rsid w:val="005D2DF9"/>
    <w:rsid w:val="005D33B9"/>
    <w:rsid w:val="005D3FA9"/>
    <w:rsid w:val="005D5F12"/>
    <w:rsid w:val="005D7362"/>
    <w:rsid w:val="005E096B"/>
    <w:rsid w:val="005E14F1"/>
    <w:rsid w:val="005E1542"/>
    <w:rsid w:val="005E1872"/>
    <w:rsid w:val="005E1D17"/>
    <w:rsid w:val="005E1DA7"/>
    <w:rsid w:val="005E2022"/>
    <w:rsid w:val="005E25BF"/>
    <w:rsid w:val="005E4188"/>
    <w:rsid w:val="005E4D14"/>
    <w:rsid w:val="005E4DAC"/>
    <w:rsid w:val="005E61CC"/>
    <w:rsid w:val="005E6C8E"/>
    <w:rsid w:val="005E7129"/>
    <w:rsid w:val="005E7A75"/>
    <w:rsid w:val="005F208C"/>
    <w:rsid w:val="005F21C3"/>
    <w:rsid w:val="005F2D84"/>
    <w:rsid w:val="005F300A"/>
    <w:rsid w:val="005F5028"/>
    <w:rsid w:val="005F5987"/>
    <w:rsid w:val="005F602F"/>
    <w:rsid w:val="005F6202"/>
    <w:rsid w:val="005F63BA"/>
    <w:rsid w:val="005F665E"/>
    <w:rsid w:val="005F67D3"/>
    <w:rsid w:val="005F6816"/>
    <w:rsid w:val="005F7515"/>
    <w:rsid w:val="005F787A"/>
    <w:rsid w:val="00600094"/>
    <w:rsid w:val="00601800"/>
    <w:rsid w:val="00602410"/>
    <w:rsid w:val="00602C01"/>
    <w:rsid w:val="006042C2"/>
    <w:rsid w:val="00604FBC"/>
    <w:rsid w:val="006060D2"/>
    <w:rsid w:val="006064CA"/>
    <w:rsid w:val="006067B0"/>
    <w:rsid w:val="00607A80"/>
    <w:rsid w:val="00607E83"/>
    <w:rsid w:val="006104F2"/>
    <w:rsid w:val="00610EFE"/>
    <w:rsid w:val="00611EAF"/>
    <w:rsid w:val="006136AA"/>
    <w:rsid w:val="00613F5D"/>
    <w:rsid w:val="006178E9"/>
    <w:rsid w:val="006200E6"/>
    <w:rsid w:val="0062160C"/>
    <w:rsid w:val="00622763"/>
    <w:rsid w:val="0062355A"/>
    <w:rsid w:val="006235C8"/>
    <w:rsid w:val="006237DB"/>
    <w:rsid w:val="00623F68"/>
    <w:rsid w:val="00624905"/>
    <w:rsid w:val="00624908"/>
    <w:rsid w:val="00624BCF"/>
    <w:rsid w:val="00624D7C"/>
    <w:rsid w:val="0062515A"/>
    <w:rsid w:val="006276B9"/>
    <w:rsid w:val="00630725"/>
    <w:rsid w:val="0063171B"/>
    <w:rsid w:val="00632327"/>
    <w:rsid w:val="006357FB"/>
    <w:rsid w:val="00637817"/>
    <w:rsid w:val="00640650"/>
    <w:rsid w:val="00640976"/>
    <w:rsid w:val="00641705"/>
    <w:rsid w:val="00641E0A"/>
    <w:rsid w:val="00641F7D"/>
    <w:rsid w:val="00642420"/>
    <w:rsid w:val="0064294F"/>
    <w:rsid w:val="006429A1"/>
    <w:rsid w:val="00642E9D"/>
    <w:rsid w:val="00643171"/>
    <w:rsid w:val="00643392"/>
    <w:rsid w:val="00643E57"/>
    <w:rsid w:val="00644B4E"/>
    <w:rsid w:val="00645229"/>
    <w:rsid w:val="006458C1"/>
    <w:rsid w:val="00645C84"/>
    <w:rsid w:val="006460BC"/>
    <w:rsid w:val="0064614C"/>
    <w:rsid w:val="0064668E"/>
    <w:rsid w:val="006471DC"/>
    <w:rsid w:val="00647929"/>
    <w:rsid w:val="006479AC"/>
    <w:rsid w:val="00651A98"/>
    <w:rsid w:val="00651C66"/>
    <w:rsid w:val="00652926"/>
    <w:rsid w:val="006537D6"/>
    <w:rsid w:val="00653965"/>
    <w:rsid w:val="00653D7E"/>
    <w:rsid w:val="0065410F"/>
    <w:rsid w:val="00655025"/>
    <w:rsid w:val="0065560B"/>
    <w:rsid w:val="0065574D"/>
    <w:rsid w:val="006558CA"/>
    <w:rsid w:val="00655FF5"/>
    <w:rsid w:val="00656315"/>
    <w:rsid w:val="00657855"/>
    <w:rsid w:val="00657FB4"/>
    <w:rsid w:val="00661227"/>
    <w:rsid w:val="0066159C"/>
    <w:rsid w:val="006631E9"/>
    <w:rsid w:val="00663539"/>
    <w:rsid w:val="00667550"/>
    <w:rsid w:val="006716B9"/>
    <w:rsid w:val="00674248"/>
    <w:rsid w:val="00674402"/>
    <w:rsid w:val="00674502"/>
    <w:rsid w:val="00675AC2"/>
    <w:rsid w:val="00675EC2"/>
    <w:rsid w:val="006762B6"/>
    <w:rsid w:val="006764D9"/>
    <w:rsid w:val="00676F86"/>
    <w:rsid w:val="006776CA"/>
    <w:rsid w:val="00677DC7"/>
    <w:rsid w:val="006812B0"/>
    <w:rsid w:val="006827D7"/>
    <w:rsid w:val="00682C79"/>
    <w:rsid w:val="00683847"/>
    <w:rsid w:val="00683AF8"/>
    <w:rsid w:val="00685FED"/>
    <w:rsid w:val="006864A5"/>
    <w:rsid w:val="00686F2F"/>
    <w:rsid w:val="00687379"/>
    <w:rsid w:val="006902DA"/>
    <w:rsid w:val="0069051D"/>
    <w:rsid w:val="00690FD3"/>
    <w:rsid w:val="006920FF"/>
    <w:rsid w:val="006939A8"/>
    <w:rsid w:val="006940C2"/>
    <w:rsid w:val="00694D54"/>
    <w:rsid w:val="00695360"/>
    <w:rsid w:val="00696533"/>
    <w:rsid w:val="006968D7"/>
    <w:rsid w:val="00697E08"/>
    <w:rsid w:val="00697FBD"/>
    <w:rsid w:val="006A0959"/>
    <w:rsid w:val="006A1020"/>
    <w:rsid w:val="006A10F7"/>
    <w:rsid w:val="006A1E61"/>
    <w:rsid w:val="006A1F36"/>
    <w:rsid w:val="006A1F5B"/>
    <w:rsid w:val="006A243A"/>
    <w:rsid w:val="006A2789"/>
    <w:rsid w:val="006A29B9"/>
    <w:rsid w:val="006A2BC6"/>
    <w:rsid w:val="006A31F2"/>
    <w:rsid w:val="006A341C"/>
    <w:rsid w:val="006A5016"/>
    <w:rsid w:val="006A5103"/>
    <w:rsid w:val="006A54CE"/>
    <w:rsid w:val="006A599F"/>
    <w:rsid w:val="006A730A"/>
    <w:rsid w:val="006B0B9B"/>
    <w:rsid w:val="006B147C"/>
    <w:rsid w:val="006B1816"/>
    <w:rsid w:val="006B1BF8"/>
    <w:rsid w:val="006B22C9"/>
    <w:rsid w:val="006B326A"/>
    <w:rsid w:val="006B39C9"/>
    <w:rsid w:val="006B4EDF"/>
    <w:rsid w:val="006B4F10"/>
    <w:rsid w:val="006B6F83"/>
    <w:rsid w:val="006B771B"/>
    <w:rsid w:val="006B78AE"/>
    <w:rsid w:val="006C0A23"/>
    <w:rsid w:val="006C0F3D"/>
    <w:rsid w:val="006C0F46"/>
    <w:rsid w:val="006C0F6A"/>
    <w:rsid w:val="006C192F"/>
    <w:rsid w:val="006C1AA2"/>
    <w:rsid w:val="006C1C3F"/>
    <w:rsid w:val="006C1F1B"/>
    <w:rsid w:val="006C3135"/>
    <w:rsid w:val="006C3749"/>
    <w:rsid w:val="006C40A4"/>
    <w:rsid w:val="006C413C"/>
    <w:rsid w:val="006C4285"/>
    <w:rsid w:val="006C67F6"/>
    <w:rsid w:val="006C7164"/>
    <w:rsid w:val="006C7814"/>
    <w:rsid w:val="006C7B50"/>
    <w:rsid w:val="006C7D94"/>
    <w:rsid w:val="006D098C"/>
    <w:rsid w:val="006D09F1"/>
    <w:rsid w:val="006D2537"/>
    <w:rsid w:val="006D276D"/>
    <w:rsid w:val="006D2A9B"/>
    <w:rsid w:val="006D2B16"/>
    <w:rsid w:val="006D2F61"/>
    <w:rsid w:val="006D310A"/>
    <w:rsid w:val="006D5C3B"/>
    <w:rsid w:val="006D6C62"/>
    <w:rsid w:val="006D7FA4"/>
    <w:rsid w:val="006E022F"/>
    <w:rsid w:val="006E0237"/>
    <w:rsid w:val="006E2286"/>
    <w:rsid w:val="006E36AE"/>
    <w:rsid w:val="006E472B"/>
    <w:rsid w:val="006E4D79"/>
    <w:rsid w:val="006E5EFA"/>
    <w:rsid w:val="006E65D0"/>
    <w:rsid w:val="006E699E"/>
    <w:rsid w:val="006E6E34"/>
    <w:rsid w:val="006F0020"/>
    <w:rsid w:val="006F07B8"/>
    <w:rsid w:val="006F0F4F"/>
    <w:rsid w:val="006F1AF7"/>
    <w:rsid w:val="006F3137"/>
    <w:rsid w:val="006F43F6"/>
    <w:rsid w:val="006F4AB4"/>
    <w:rsid w:val="006F4B21"/>
    <w:rsid w:val="006F5DD0"/>
    <w:rsid w:val="00701AE5"/>
    <w:rsid w:val="00701D67"/>
    <w:rsid w:val="00703344"/>
    <w:rsid w:val="0070407C"/>
    <w:rsid w:val="00704BA5"/>
    <w:rsid w:val="00706A9B"/>
    <w:rsid w:val="00706D3E"/>
    <w:rsid w:val="007079CE"/>
    <w:rsid w:val="007107E8"/>
    <w:rsid w:val="00711E7D"/>
    <w:rsid w:val="007137EE"/>
    <w:rsid w:val="00713E76"/>
    <w:rsid w:val="007145E8"/>
    <w:rsid w:val="00715961"/>
    <w:rsid w:val="00715B55"/>
    <w:rsid w:val="00717031"/>
    <w:rsid w:val="00717698"/>
    <w:rsid w:val="007176ED"/>
    <w:rsid w:val="0071775A"/>
    <w:rsid w:val="00720D63"/>
    <w:rsid w:val="0072273A"/>
    <w:rsid w:val="00722B3E"/>
    <w:rsid w:val="00724921"/>
    <w:rsid w:val="00724D80"/>
    <w:rsid w:val="00725C14"/>
    <w:rsid w:val="0072675E"/>
    <w:rsid w:val="00727452"/>
    <w:rsid w:val="00727656"/>
    <w:rsid w:val="00727E65"/>
    <w:rsid w:val="0073065E"/>
    <w:rsid w:val="00730982"/>
    <w:rsid w:val="00730E1C"/>
    <w:rsid w:val="007316F6"/>
    <w:rsid w:val="00731BE4"/>
    <w:rsid w:val="00732897"/>
    <w:rsid w:val="00733177"/>
    <w:rsid w:val="0073326A"/>
    <w:rsid w:val="0073350D"/>
    <w:rsid w:val="00733E64"/>
    <w:rsid w:val="00734238"/>
    <w:rsid w:val="00735F1C"/>
    <w:rsid w:val="00737457"/>
    <w:rsid w:val="007375FA"/>
    <w:rsid w:val="00740527"/>
    <w:rsid w:val="00741450"/>
    <w:rsid w:val="00741A0E"/>
    <w:rsid w:val="007426A8"/>
    <w:rsid w:val="007429EA"/>
    <w:rsid w:val="00743217"/>
    <w:rsid w:val="007434C3"/>
    <w:rsid w:val="007437C0"/>
    <w:rsid w:val="00743B42"/>
    <w:rsid w:val="007450B0"/>
    <w:rsid w:val="00745EA3"/>
    <w:rsid w:val="00746148"/>
    <w:rsid w:val="0074697D"/>
    <w:rsid w:val="00746F17"/>
    <w:rsid w:val="007470C7"/>
    <w:rsid w:val="007479A1"/>
    <w:rsid w:val="00747F23"/>
    <w:rsid w:val="00750075"/>
    <w:rsid w:val="00750585"/>
    <w:rsid w:val="00750C5A"/>
    <w:rsid w:val="00751369"/>
    <w:rsid w:val="00752137"/>
    <w:rsid w:val="00752190"/>
    <w:rsid w:val="00752266"/>
    <w:rsid w:val="00752344"/>
    <w:rsid w:val="0075323E"/>
    <w:rsid w:val="007538CA"/>
    <w:rsid w:val="00754509"/>
    <w:rsid w:val="00755FF4"/>
    <w:rsid w:val="00756A10"/>
    <w:rsid w:val="00756B0D"/>
    <w:rsid w:val="00756D0D"/>
    <w:rsid w:val="00756D40"/>
    <w:rsid w:val="007574C5"/>
    <w:rsid w:val="00757BE1"/>
    <w:rsid w:val="0076038F"/>
    <w:rsid w:val="00761591"/>
    <w:rsid w:val="00762674"/>
    <w:rsid w:val="00763484"/>
    <w:rsid w:val="00764924"/>
    <w:rsid w:val="00764CB0"/>
    <w:rsid w:val="007650F9"/>
    <w:rsid w:val="007654B9"/>
    <w:rsid w:val="00765E02"/>
    <w:rsid w:val="00766752"/>
    <w:rsid w:val="00766AE2"/>
    <w:rsid w:val="00766B37"/>
    <w:rsid w:val="0077139C"/>
    <w:rsid w:val="00771CE9"/>
    <w:rsid w:val="007733F8"/>
    <w:rsid w:val="0077396E"/>
    <w:rsid w:val="007739CC"/>
    <w:rsid w:val="00774F71"/>
    <w:rsid w:val="007769FE"/>
    <w:rsid w:val="00777A92"/>
    <w:rsid w:val="00777B02"/>
    <w:rsid w:val="00780016"/>
    <w:rsid w:val="00781742"/>
    <w:rsid w:val="007829F2"/>
    <w:rsid w:val="00782F29"/>
    <w:rsid w:val="007833DB"/>
    <w:rsid w:val="00783B92"/>
    <w:rsid w:val="00783CBC"/>
    <w:rsid w:val="0078401C"/>
    <w:rsid w:val="00784033"/>
    <w:rsid w:val="00784930"/>
    <w:rsid w:val="007850A3"/>
    <w:rsid w:val="00785195"/>
    <w:rsid w:val="00786842"/>
    <w:rsid w:val="00786B37"/>
    <w:rsid w:val="00786F5F"/>
    <w:rsid w:val="007873F1"/>
    <w:rsid w:val="0078776B"/>
    <w:rsid w:val="00790999"/>
    <w:rsid w:val="00790D19"/>
    <w:rsid w:val="00791A46"/>
    <w:rsid w:val="00791A4F"/>
    <w:rsid w:val="00791D71"/>
    <w:rsid w:val="00792447"/>
    <w:rsid w:val="0079273A"/>
    <w:rsid w:val="0079465D"/>
    <w:rsid w:val="0079562B"/>
    <w:rsid w:val="00796008"/>
    <w:rsid w:val="0079633F"/>
    <w:rsid w:val="00796AA7"/>
    <w:rsid w:val="00796FE9"/>
    <w:rsid w:val="007A1DD7"/>
    <w:rsid w:val="007A2DBD"/>
    <w:rsid w:val="007A39D7"/>
    <w:rsid w:val="007A4A67"/>
    <w:rsid w:val="007A6F2B"/>
    <w:rsid w:val="007A725E"/>
    <w:rsid w:val="007B084F"/>
    <w:rsid w:val="007B1246"/>
    <w:rsid w:val="007B1509"/>
    <w:rsid w:val="007B2870"/>
    <w:rsid w:val="007B3B06"/>
    <w:rsid w:val="007B4BF7"/>
    <w:rsid w:val="007B5E7B"/>
    <w:rsid w:val="007B6304"/>
    <w:rsid w:val="007B6940"/>
    <w:rsid w:val="007B715D"/>
    <w:rsid w:val="007C137C"/>
    <w:rsid w:val="007C1F94"/>
    <w:rsid w:val="007C1FF1"/>
    <w:rsid w:val="007C246E"/>
    <w:rsid w:val="007C2901"/>
    <w:rsid w:val="007C2FA7"/>
    <w:rsid w:val="007C322F"/>
    <w:rsid w:val="007C3BBB"/>
    <w:rsid w:val="007C3C69"/>
    <w:rsid w:val="007C430A"/>
    <w:rsid w:val="007C6144"/>
    <w:rsid w:val="007C61C5"/>
    <w:rsid w:val="007C6371"/>
    <w:rsid w:val="007C6553"/>
    <w:rsid w:val="007C7703"/>
    <w:rsid w:val="007C7955"/>
    <w:rsid w:val="007D0737"/>
    <w:rsid w:val="007D082A"/>
    <w:rsid w:val="007D1D90"/>
    <w:rsid w:val="007D30FD"/>
    <w:rsid w:val="007D31FC"/>
    <w:rsid w:val="007D6B07"/>
    <w:rsid w:val="007D6E80"/>
    <w:rsid w:val="007E0DD4"/>
    <w:rsid w:val="007E1106"/>
    <w:rsid w:val="007E1765"/>
    <w:rsid w:val="007E1D74"/>
    <w:rsid w:val="007E1ED8"/>
    <w:rsid w:val="007E2806"/>
    <w:rsid w:val="007E2AE4"/>
    <w:rsid w:val="007E32CA"/>
    <w:rsid w:val="007E4717"/>
    <w:rsid w:val="007E4C22"/>
    <w:rsid w:val="007E4C2A"/>
    <w:rsid w:val="007E5094"/>
    <w:rsid w:val="007E62B0"/>
    <w:rsid w:val="007E750B"/>
    <w:rsid w:val="007F05C2"/>
    <w:rsid w:val="007F0E02"/>
    <w:rsid w:val="007F1CEC"/>
    <w:rsid w:val="007F23E0"/>
    <w:rsid w:val="007F34E1"/>
    <w:rsid w:val="007F3B53"/>
    <w:rsid w:val="007F53CB"/>
    <w:rsid w:val="007F5F8D"/>
    <w:rsid w:val="007F6AD0"/>
    <w:rsid w:val="00801549"/>
    <w:rsid w:val="0080219D"/>
    <w:rsid w:val="00803339"/>
    <w:rsid w:val="00803FC2"/>
    <w:rsid w:val="008043D1"/>
    <w:rsid w:val="0080495B"/>
    <w:rsid w:val="008049F9"/>
    <w:rsid w:val="00804D82"/>
    <w:rsid w:val="00804F28"/>
    <w:rsid w:val="00805C37"/>
    <w:rsid w:val="00806762"/>
    <w:rsid w:val="00806DC6"/>
    <w:rsid w:val="008078AA"/>
    <w:rsid w:val="00807B45"/>
    <w:rsid w:val="00807B4F"/>
    <w:rsid w:val="008111C7"/>
    <w:rsid w:val="008132B7"/>
    <w:rsid w:val="0081436D"/>
    <w:rsid w:val="008159B1"/>
    <w:rsid w:val="00815B19"/>
    <w:rsid w:val="00816558"/>
    <w:rsid w:val="008177AF"/>
    <w:rsid w:val="0081790D"/>
    <w:rsid w:val="0082069C"/>
    <w:rsid w:val="00820957"/>
    <w:rsid w:val="0082284C"/>
    <w:rsid w:val="00822F58"/>
    <w:rsid w:val="00824267"/>
    <w:rsid w:val="008247BF"/>
    <w:rsid w:val="008257E6"/>
    <w:rsid w:val="00825987"/>
    <w:rsid w:val="008302F7"/>
    <w:rsid w:val="0083382A"/>
    <w:rsid w:val="00833A26"/>
    <w:rsid w:val="00833CF6"/>
    <w:rsid w:val="00833CFE"/>
    <w:rsid w:val="00835297"/>
    <w:rsid w:val="00835336"/>
    <w:rsid w:val="00837A88"/>
    <w:rsid w:val="00840701"/>
    <w:rsid w:val="00840882"/>
    <w:rsid w:val="00842BAC"/>
    <w:rsid w:val="00843F93"/>
    <w:rsid w:val="00844780"/>
    <w:rsid w:val="008454CC"/>
    <w:rsid w:val="00846E62"/>
    <w:rsid w:val="00851F97"/>
    <w:rsid w:val="00852B5B"/>
    <w:rsid w:val="00852EDF"/>
    <w:rsid w:val="00854B7F"/>
    <w:rsid w:val="00856252"/>
    <w:rsid w:val="0085713D"/>
    <w:rsid w:val="008572FC"/>
    <w:rsid w:val="00857DD9"/>
    <w:rsid w:val="008603EE"/>
    <w:rsid w:val="00860734"/>
    <w:rsid w:val="00860902"/>
    <w:rsid w:val="0086239E"/>
    <w:rsid w:val="00870071"/>
    <w:rsid w:val="008712D1"/>
    <w:rsid w:val="00871759"/>
    <w:rsid w:val="00873094"/>
    <w:rsid w:val="00874864"/>
    <w:rsid w:val="008752E7"/>
    <w:rsid w:val="0087755B"/>
    <w:rsid w:val="00877F97"/>
    <w:rsid w:val="00880EA3"/>
    <w:rsid w:val="00881976"/>
    <w:rsid w:val="00881CF7"/>
    <w:rsid w:val="008830A1"/>
    <w:rsid w:val="00883A1C"/>
    <w:rsid w:val="00883FF2"/>
    <w:rsid w:val="00884389"/>
    <w:rsid w:val="00884926"/>
    <w:rsid w:val="0088696B"/>
    <w:rsid w:val="0088738A"/>
    <w:rsid w:val="00892460"/>
    <w:rsid w:val="00892D47"/>
    <w:rsid w:val="00893120"/>
    <w:rsid w:val="008933CA"/>
    <w:rsid w:val="0089373C"/>
    <w:rsid w:val="008944A8"/>
    <w:rsid w:val="00894AE1"/>
    <w:rsid w:val="00894D69"/>
    <w:rsid w:val="00894EEB"/>
    <w:rsid w:val="008953C1"/>
    <w:rsid w:val="00896A02"/>
    <w:rsid w:val="00897113"/>
    <w:rsid w:val="008978A3"/>
    <w:rsid w:val="008A03CD"/>
    <w:rsid w:val="008A0AD1"/>
    <w:rsid w:val="008A0E5C"/>
    <w:rsid w:val="008A34CB"/>
    <w:rsid w:val="008A47A7"/>
    <w:rsid w:val="008A4A2F"/>
    <w:rsid w:val="008A5A27"/>
    <w:rsid w:val="008A6547"/>
    <w:rsid w:val="008A7FC3"/>
    <w:rsid w:val="008B1998"/>
    <w:rsid w:val="008B1C3D"/>
    <w:rsid w:val="008B29A3"/>
    <w:rsid w:val="008B3EE8"/>
    <w:rsid w:val="008B472E"/>
    <w:rsid w:val="008B4AB9"/>
    <w:rsid w:val="008B4C84"/>
    <w:rsid w:val="008B524F"/>
    <w:rsid w:val="008B6768"/>
    <w:rsid w:val="008B6F2D"/>
    <w:rsid w:val="008B738E"/>
    <w:rsid w:val="008B7CFD"/>
    <w:rsid w:val="008C0FC5"/>
    <w:rsid w:val="008C1FEA"/>
    <w:rsid w:val="008C2625"/>
    <w:rsid w:val="008C324E"/>
    <w:rsid w:val="008C4FA0"/>
    <w:rsid w:val="008C5127"/>
    <w:rsid w:val="008C5717"/>
    <w:rsid w:val="008C5B33"/>
    <w:rsid w:val="008C73AF"/>
    <w:rsid w:val="008D0966"/>
    <w:rsid w:val="008D0F1C"/>
    <w:rsid w:val="008D29D2"/>
    <w:rsid w:val="008D2C70"/>
    <w:rsid w:val="008D436C"/>
    <w:rsid w:val="008D4402"/>
    <w:rsid w:val="008D4BCC"/>
    <w:rsid w:val="008D4C99"/>
    <w:rsid w:val="008D5258"/>
    <w:rsid w:val="008D63DC"/>
    <w:rsid w:val="008D683B"/>
    <w:rsid w:val="008D6BDE"/>
    <w:rsid w:val="008D7D64"/>
    <w:rsid w:val="008E083F"/>
    <w:rsid w:val="008E128F"/>
    <w:rsid w:val="008E1473"/>
    <w:rsid w:val="008E15B2"/>
    <w:rsid w:val="008E16A8"/>
    <w:rsid w:val="008E1E32"/>
    <w:rsid w:val="008E20BF"/>
    <w:rsid w:val="008E20E8"/>
    <w:rsid w:val="008E35A7"/>
    <w:rsid w:val="008E385C"/>
    <w:rsid w:val="008E3DC9"/>
    <w:rsid w:val="008E483C"/>
    <w:rsid w:val="008E5090"/>
    <w:rsid w:val="008E5117"/>
    <w:rsid w:val="008E5435"/>
    <w:rsid w:val="008E5B4A"/>
    <w:rsid w:val="008E5C66"/>
    <w:rsid w:val="008E66D6"/>
    <w:rsid w:val="008E789A"/>
    <w:rsid w:val="008E7DFE"/>
    <w:rsid w:val="008F0133"/>
    <w:rsid w:val="008F0EE6"/>
    <w:rsid w:val="008F1BCF"/>
    <w:rsid w:val="008F2A6E"/>
    <w:rsid w:val="008F3EB9"/>
    <w:rsid w:val="008F5466"/>
    <w:rsid w:val="008F6328"/>
    <w:rsid w:val="008F65EB"/>
    <w:rsid w:val="00900601"/>
    <w:rsid w:val="00900F9A"/>
    <w:rsid w:val="00903EAD"/>
    <w:rsid w:val="009049E3"/>
    <w:rsid w:val="00904BD5"/>
    <w:rsid w:val="009052A0"/>
    <w:rsid w:val="0090573C"/>
    <w:rsid w:val="009065A8"/>
    <w:rsid w:val="0090725A"/>
    <w:rsid w:val="00907EB9"/>
    <w:rsid w:val="0091074C"/>
    <w:rsid w:val="00911446"/>
    <w:rsid w:val="00911774"/>
    <w:rsid w:val="00913BA7"/>
    <w:rsid w:val="00913FC7"/>
    <w:rsid w:val="00913FE2"/>
    <w:rsid w:val="0091798C"/>
    <w:rsid w:val="00917A64"/>
    <w:rsid w:val="00923C53"/>
    <w:rsid w:val="00923E0A"/>
    <w:rsid w:val="009256D3"/>
    <w:rsid w:val="009263F5"/>
    <w:rsid w:val="00927301"/>
    <w:rsid w:val="009275EE"/>
    <w:rsid w:val="009277E4"/>
    <w:rsid w:val="00932868"/>
    <w:rsid w:val="0093304C"/>
    <w:rsid w:val="00934FC4"/>
    <w:rsid w:val="00935391"/>
    <w:rsid w:val="0093573F"/>
    <w:rsid w:val="009359DD"/>
    <w:rsid w:val="009370E9"/>
    <w:rsid w:val="00937C3E"/>
    <w:rsid w:val="00940114"/>
    <w:rsid w:val="009410A2"/>
    <w:rsid w:val="0094111D"/>
    <w:rsid w:val="00941545"/>
    <w:rsid w:val="00941996"/>
    <w:rsid w:val="00942370"/>
    <w:rsid w:val="00942B5F"/>
    <w:rsid w:val="009454DE"/>
    <w:rsid w:val="00945989"/>
    <w:rsid w:val="00945DA2"/>
    <w:rsid w:val="00945DEC"/>
    <w:rsid w:val="0094645F"/>
    <w:rsid w:val="00946856"/>
    <w:rsid w:val="0094711B"/>
    <w:rsid w:val="00947990"/>
    <w:rsid w:val="00947F35"/>
    <w:rsid w:val="009515F1"/>
    <w:rsid w:val="009531CF"/>
    <w:rsid w:val="00953471"/>
    <w:rsid w:val="009544BA"/>
    <w:rsid w:val="009559AC"/>
    <w:rsid w:val="0095681F"/>
    <w:rsid w:val="00956C00"/>
    <w:rsid w:val="00960BF4"/>
    <w:rsid w:val="00961455"/>
    <w:rsid w:val="009619D9"/>
    <w:rsid w:val="009621D3"/>
    <w:rsid w:val="00962350"/>
    <w:rsid w:val="00962721"/>
    <w:rsid w:val="00963258"/>
    <w:rsid w:val="00963CA3"/>
    <w:rsid w:val="0096434E"/>
    <w:rsid w:val="00966650"/>
    <w:rsid w:val="00966C1B"/>
    <w:rsid w:val="00966CBE"/>
    <w:rsid w:val="009672E2"/>
    <w:rsid w:val="009673E0"/>
    <w:rsid w:val="009673EA"/>
    <w:rsid w:val="00970A9D"/>
    <w:rsid w:val="0097190D"/>
    <w:rsid w:val="009723A8"/>
    <w:rsid w:val="0097270F"/>
    <w:rsid w:val="00972BFF"/>
    <w:rsid w:val="00972F4C"/>
    <w:rsid w:val="0097305C"/>
    <w:rsid w:val="0097315F"/>
    <w:rsid w:val="009732E4"/>
    <w:rsid w:val="0097449E"/>
    <w:rsid w:val="009747C3"/>
    <w:rsid w:val="00974C8D"/>
    <w:rsid w:val="00975432"/>
    <w:rsid w:val="00975499"/>
    <w:rsid w:val="00976E86"/>
    <w:rsid w:val="00977625"/>
    <w:rsid w:val="00980330"/>
    <w:rsid w:val="009820DF"/>
    <w:rsid w:val="00982494"/>
    <w:rsid w:val="00982CCF"/>
    <w:rsid w:val="00983106"/>
    <w:rsid w:val="009861DC"/>
    <w:rsid w:val="009862E8"/>
    <w:rsid w:val="009870D9"/>
    <w:rsid w:val="00987AD4"/>
    <w:rsid w:val="00990D3E"/>
    <w:rsid w:val="00992323"/>
    <w:rsid w:val="00992C15"/>
    <w:rsid w:val="0099381D"/>
    <w:rsid w:val="009939EA"/>
    <w:rsid w:val="00994DFD"/>
    <w:rsid w:val="00996038"/>
    <w:rsid w:val="009A00A3"/>
    <w:rsid w:val="009A055E"/>
    <w:rsid w:val="009A0A1A"/>
    <w:rsid w:val="009A16C7"/>
    <w:rsid w:val="009A1994"/>
    <w:rsid w:val="009A219D"/>
    <w:rsid w:val="009A2200"/>
    <w:rsid w:val="009A29E9"/>
    <w:rsid w:val="009A30AA"/>
    <w:rsid w:val="009A3338"/>
    <w:rsid w:val="009A4C80"/>
    <w:rsid w:val="009A5488"/>
    <w:rsid w:val="009A668D"/>
    <w:rsid w:val="009A73AA"/>
    <w:rsid w:val="009B0BDE"/>
    <w:rsid w:val="009B15FC"/>
    <w:rsid w:val="009B1B15"/>
    <w:rsid w:val="009B4393"/>
    <w:rsid w:val="009B43BA"/>
    <w:rsid w:val="009B48B4"/>
    <w:rsid w:val="009B70D4"/>
    <w:rsid w:val="009B7569"/>
    <w:rsid w:val="009C084F"/>
    <w:rsid w:val="009C17D1"/>
    <w:rsid w:val="009C1950"/>
    <w:rsid w:val="009C1E8F"/>
    <w:rsid w:val="009C25E5"/>
    <w:rsid w:val="009C25E8"/>
    <w:rsid w:val="009C3BFE"/>
    <w:rsid w:val="009C3E8A"/>
    <w:rsid w:val="009C5006"/>
    <w:rsid w:val="009C5940"/>
    <w:rsid w:val="009C6089"/>
    <w:rsid w:val="009C6445"/>
    <w:rsid w:val="009C6D6E"/>
    <w:rsid w:val="009C7995"/>
    <w:rsid w:val="009C7FC6"/>
    <w:rsid w:val="009D095E"/>
    <w:rsid w:val="009D1326"/>
    <w:rsid w:val="009D1545"/>
    <w:rsid w:val="009D1A94"/>
    <w:rsid w:val="009D246F"/>
    <w:rsid w:val="009D253B"/>
    <w:rsid w:val="009D25C2"/>
    <w:rsid w:val="009D2A8E"/>
    <w:rsid w:val="009D2CD9"/>
    <w:rsid w:val="009D5063"/>
    <w:rsid w:val="009D5FAE"/>
    <w:rsid w:val="009D622F"/>
    <w:rsid w:val="009D6C68"/>
    <w:rsid w:val="009D72C6"/>
    <w:rsid w:val="009D7B9E"/>
    <w:rsid w:val="009D7FE0"/>
    <w:rsid w:val="009E0233"/>
    <w:rsid w:val="009E0714"/>
    <w:rsid w:val="009E1429"/>
    <w:rsid w:val="009E2815"/>
    <w:rsid w:val="009E2B28"/>
    <w:rsid w:val="009E2E9B"/>
    <w:rsid w:val="009E40BD"/>
    <w:rsid w:val="009E6B6F"/>
    <w:rsid w:val="009F00F1"/>
    <w:rsid w:val="009F01D2"/>
    <w:rsid w:val="009F04ED"/>
    <w:rsid w:val="009F066B"/>
    <w:rsid w:val="009F195E"/>
    <w:rsid w:val="009F1A1C"/>
    <w:rsid w:val="009F2C42"/>
    <w:rsid w:val="009F3FA5"/>
    <w:rsid w:val="009F495B"/>
    <w:rsid w:val="009F56E5"/>
    <w:rsid w:val="009F5A45"/>
    <w:rsid w:val="009F5D2C"/>
    <w:rsid w:val="009F5E09"/>
    <w:rsid w:val="009F6C75"/>
    <w:rsid w:val="009F7F16"/>
    <w:rsid w:val="00A00886"/>
    <w:rsid w:val="00A01702"/>
    <w:rsid w:val="00A02D33"/>
    <w:rsid w:val="00A0331A"/>
    <w:rsid w:val="00A037A1"/>
    <w:rsid w:val="00A04ADD"/>
    <w:rsid w:val="00A04BF2"/>
    <w:rsid w:val="00A04D1C"/>
    <w:rsid w:val="00A04E32"/>
    <w:rsid w:val="00A04F30"/>
    <w:rsid w:val="00A04FB8"/>
    <w:rsid w:val="00A0519B"/>
    <w:rsid w:val="00A055EC"/>
    <w:rsid w:val="00A064E2"/>
    <w:rsid w:val="00A07070"/>
    <w:rsid w:val="00A0736F"/>
    <w:rsid w:val="00A07C8D"/>
    <w:rsid w:val="00A100B3"/>
    <w:rsid w:val="00A1116E"/>
    <w:rsid w:val="00A11FED"/>
    <w:rsid w:val="00A12B58"/>
    <w:rsid w:val="00A12E3B"/>
    <w:rsid w:val="00A12F73"/>
    <w:rsid w:val="00A13508"/>
    <w:rsid w:val="00A13BEA"/>
    <w:rsid w:val="00A14B48"/>
    <w:rsid w:val="00A152AD"/>
    <w:rsid w:val="00A16A84"/>
    <w:rsid w:val="00A170CE"/>
    <w:rsid w:val="00A1744E"/>
    <w:rsid w:val="00A17CB6"/>
    <w:rsid w:val="00A2133B"/>
    <w:rsid w:val="00A218C2"/>
    <w:rsid w:val="00A21EA9"/>
    <w:rsid w:val="00A2262B"/>
    <w:rsid w:val="00A22775"/>
    <w:rsid w:val="00A235B1"/>
    <w:rsid w:val="00A25467"/>
    <w:rsid w:val="00A25D60"/>
    <w:rsid w:val="00A26C75"/>
    <w:rsid w:val="00A271BE"/>
    <w:rsid w:val="00A31A50"/>
    <w:rsid w:val="00A32CE3"/>
    <w:rsid w:val="00A33DC2"/>
    <w:rsid w:val="00A3476A"/>
    <w:rsid w:val="00A358B4"/>
    <w:rsid w:val="00A3627B"/>
    <w:rsid w:val="00A37E7D"/>
    <w:rsid w:val="00A417AE"/>
    <w:rsid w:val="00A444AF"/>
    <w:rsid w:val="00A44AF7"/>
    <w:rsid w:val="00A46807"/>
    <w:rsid w:val="00A46F73"/>
    <w:rsid w:val="00A46FDD"/>
    <w:rsid w:val="00A47196"/>
    <w:rsid w:val="00A50270"/>
    <w:rsid w:val="00A50485"/>
    <w:rsid w:val="00A509B0"/>
    <w:rsid w:val="00A510D2"/>
    <w:rsid w:val="00A5176C"/>
    <w:rsid w:val="00A51ABA"/>
    <w:rsid w:val="00A5290F"/>
    <w:rsid w:val="00A53B29"/>
    <w:rsid w:val="00A54471"/>
    <w:rsid w:val="00A54ABF"/>
    <w:rsid w:val="00A55E14"/>
    <w:rsid w:val="00A56956"/>
    <w:rsid w:val="00A60250"/>
    <w:rsid w:val="00A60B2E"/>
    <w:rsid w:val="00A60D86"/>
    <w:rsid w:val="00A61C71"/>
    <w:rsid w:val="00A61E72"/>
    <w:rsid w:val="00A628CE"/>
    <w:rsid w:val="00A62A83"/>
    <w:rsid w:val="00A62D95"/>
    <w:rsid w:val="00A63210"/>
    <w:rsid w:val="00A63A51"/>
    <w:rsid w:val="00A644B8"/>
    <w:rsid w:val="00A649FA"/>
    <w:rsid w:val="00A70AE1"/>
    <w:rsid w:val="00A70DC2"/>
    <w:rsid w:val="00A70F09"/>
    <w:rsid w:val="00A710A9"/>
    <w:rsid w:val="00A7111A"/>
    <w:rsid w:val="00A713C5"/>
    <w:rsid w:val="00A71A8F"/>
    <w:rsid w:val="00A7350E"/>
    <w:rsid w:val="00A742E6"/>
    <w:rsid w:val="00A74346"/>
    <w:rsid w:val="00A74B1A"/>
    <w:rsid w:val="00A766C5"/>
    <w:rsid w:val="00A7675B"/>
    <w:rsid w:val="00A76D4E"/>
    <w:rsid w:val="00A771A8"/>
    <w:rsid w:val="00A82C18"/>
    <w:rsid w:val="00A82E1A"/>
    <w:rsid w:val="00A839E5"/>
    <w:rsid w:val="00A84075"/>
    <w:rsid w:val="00A84AD0"/>
    <w:rsid w:val="00A854A1"/>
    <w:rsid w:val="00A855B9"/>
    <w:rsid w:val="00A85B0F"/>
    <w:rsid w:val="00A85CDE"/>
    <w:rsid w:val="00A85E7F"/>
    <w:rsid w:val="00A91C7A"/>
    <w:rsid w:val="00A923E3"/>
    <w:rsid w:val="00A928CA"/>
    <w:rsid w:val="00A94497"/>
    <w:rsid w:val="00A95228"/>
    <w:rsid w:val="00A9588A"/>
    <w:rsid w:val="00A95E67"/>
    <w:rsid w:val="00A9679B"/>
    <w:rsid w:val="00A96F55"/>
    <w:rsid w:val="00A97D4B"/>
    <w:rsid w:val="00AA1571"/>
    <w:rsid w:val="00AA1712"/>
    <w:rsid w:val="00AA2654"/>
    <w:rsid w:val="00AA34F0"/>
    <w:rsid w:val="00AA3BC4"/>
    <w:rsid w:val="00AA3D84"/>
    <w:rsid w:val="00AA4518"/>
    <w:rsid w:val="00AA6A3C"/>
    <w:rsid w:val="00AA773A"/>
    <w:rsid w:val="00AB075C"/>
    <w:rsid w:val="00AB17B6"/>
    <w:rsid w:val="00AB17EB"/>
    <w:rsid w:val="00AB1CEE"/>
    <w:rsid w:val="00AB2F11"/>
    <w:rsid w:val="00AB2F45"/>
    <w:rsid w:val="00AB30DA"/>
    <w:rsid w:val="00AB3C02"/>
    <w:rsid w:val="00AB5892"/>
    <w:rsid w:val="00AB602A"/>
    <w:rsid w:val="00AB6379"/>
    <w:rsid w:val="00AB66A2"/>
    <w:rsid w:val="00AC0CBE"/>
    <w:rsid w:val="00AC0D51"/>
    <w:rsid w:val="00AC0E01"/>
    <w:rsid w:val="00AC1CD6"/>
    <w:rsid w:val="00AC3AD8"/>
    <w:rsid w:val="00AC3C21"/>
    <w:rsid w:val="00AC4532"/>
    <w:rsid w:val="00AC45E9"/>
    <w:rsid w:val="00AC583E"/>
    <w:rsid w:val="00AC5CE7"/>
    <w:rsid w:val="00AC5D21"/>
    <w:rsid w:val="00AC695C"/>
    <w:rsid w:val="00AC6C44"/>
    <w:rsid w:val="00AC7156"/>
    <w:rsid w:val="00AC7180"/>
    <w:rsid w:val="00AC745D"/>
    <w:rsid w:val="00AC7A03"/>
    <w:rsid w:val="00AC7C1C"/>
    <w:rsid w:val="00AC7DA0"/>
    <w:rsid w:val="00AC7F41"/>
    <w:rsid w:val="00AD05BC"/>
    <w:rsid w:val="00AD0B6F"/>
    <w:rsid w:val="00AD0FC7"/>
    <w:rsid w:val="00AD1D97"/>
    <w:rsid w:val="00AD2D16"/>
    <w:rsid w:val="00AD34A3"/>
    <w:rsid w:val="00AD3CB0"/>
    <w:rsid w:val="00AD6D29"/>
    <w:rsid w:val="00AD7E9F"/>
    <w:rsid w:val="00AE28A3"/>
    <w:rsid w:val="00AE2DE9"/>
    <w:rsid w:val="00AE3403"/>
    <w:rsid w:val="00AE370C"/>
    <w:rsid w:val="00AE3C9D"/>
    <w:rsid w:val="00AE410B"/>
    <w:rsid w:val="00AE4177"/>
    <w:rsid w:val="00AE4736"/>
    <w:rsid w:val="00AE5D63"/>
    <w:rsid w:val="00AE62D3"/>
    <w:rsid w:val="00AE66AC"/>
    <w:rsid w:val="00AE73C0"/>
    <w:rsid w:val="00AE7705"/>
    <w:rsid w:val="00AE7802"/>
    <w:rsid w:val="00AF068D"/>
    <w:rsid w:val="00AF0EA0"/>
    <w:rsid w:val="00AF269F"/>
    <w:rsid w:val="00AF3B92"/>
    <w:rsid w:val="00AF42CB"/>
    <w:rsid w:val="00AF4446"/>
    <w:rsid w:val="00AF4490"/>
    <w:rsid w:val="00AF44E1"/>
    <w:rsid w:val="00AF4974"/>
    <w:rsid w:val="00AF4F8C"/>
    <w:rsid w:val="00AF50CE"/>
    <w:rsid w:val="00AF6751"/>
    <w:rsid w:val="00AF6FCF"/>
    <w:rsid w:val="00AF7CC4"/>
    <w:rsid w:val="00B00D21"/>
    <w:rsid w:val="00B01730"/>
    <w:rsid w:val="00B02D52"/>
    <w:rsid w:val="00B0412E"/>
    <w:rsid w:val="00B04F23"/>
    <w:rsid w:val="00B06135"/>
    <w:rsid w:val="00B062E9"/>
    <w:rsid w:val="00B06C7A"/>
    <w:rsid w:val="00B07271"/>
    <w:rsid w:val="00B0727E"/>
    <w:rsid w:val="00B07932"/>
    <w:rsid w:val="00B07DF2"/>
    <w:rsid w:val="00B1044C"/>
    <w:rsid w:val="00B108E0"/>
    <w:rsid w:val="00B11815"/>
    <w:rsid w:val="00B12FB2"/>
    <w:rsid w:val="00B14319"/>
    <w:rsid w:val="00B14936"/>
    <w:rsid w:val="00B17499"/>
    <w:rsid w:val="00B17B95"/>
    <w:rsid w:val="00B227E9"/>
    <w:rsid w:val="00B229AB"/>
    <w:rsid w:val="00B22E7A"/>
    <w:rsid w:val="00B22FA6"/>
    <w:rsid w:val="00B243C6"/>
    <w:rsid w:val="00B246C9"/>
    <w:rsid w:val="00B24F53"/>
    <w:rsid w:val="00B255C5"/>
    <w:rsid w:val="00B2574C"/>
    <w:rsid w:val="00B26128"/>
    <w:rsid w:val="00B27CA0"/>
    <w:rsid w:val="00B301BD"/>
    <w:rsid w:val="00B3241B"/>
    <w:rsid w:val="00B32DD6"/>
    <w:rsid w:val="00B33117"/>
    <w:rsid w:val="00B34741"/>
    <w:rsid w:val="00B34900"/>
    <w:rsid w:val="00B350C8"/>
    <w:rsid w:val="00B365D4"/>
    <w:rsid w:val="00B36649"/>
    <w:rsid w:val="00B36C7E"/>
    <w:rsid w:val="00B36D6B"/>
    <w:rsid w:val="00B41B47"/>
    <w:rsid w:val="00B42C9B"/>
    <w:rsid w:val="00B42CBB"/>
    <w:rsid w:val="00B42CCE"/>
    <w:rsid w:val="00B43F38"/>
    <w:rsid w:val="00B43FA0"/>
    <w:rsid w:val="00B44213"/>
    <w:rsid w:val="00B44450"/>
    <w:rsid w:val="00B44C10"/>
    <w:rsid w:val="00B45287"/>
    <w:rsid w:val="00B4570B"/>
    <w:rsid w:val="00B4640C"/>
    <w:rsid w:val="00B472F5"/>
    <w:rsid w:val="00B47A9D"/>
    <w:rsid w:val="00B47E8A"/>
    <w:rsid w:val="00B50072"/>
    <w:rsid w:val="00B51301"/>
    <w:rsid w:val="00B514B2"/>
    <w:rsid w:val="00B5177D"/>
    <w:rsid w:val="00B52020"/>
    <w:rsid w:val="00B523DB"/>
    <w:rsid w:val="00B54B16"/>
    <w:rsid w:val="00B55487"/>
    <w:rsid w:val="00B5608B"/>
    <w:rsid w:val="00B56D7C"/>
    <w:rsid w:val="00B57112"/>
    <w:rsid w:val="00B57BF0"/>
    <w:rsid w:val="00B57DA6"/>
    <w:rsid w:val="00B6041B"/>
    <w:rsid w:val="00B608EF"/>
    <w:rsid w:val="00B60B10"/>
    <w:rsid w:val="00B60CEC"/>
    <w:rsid w:val="00B61013"/>
    <w:rsid w:val="00B61248"/>
    <w:rsid w:val="00B619E6"/>
    <w:rsid w:val="00B61EF2"/>
    <w:rsid w:val="00B620AE"/>
    <w:rsid w:val="00B64519"/>
    <w:rsid w:val="00B64B88"/>
    <w:rsid w:val="00B656DF"/>
    <w:rsid w:val="00B65CF9"/>
    <w:rsid w:val="00B66EA9"/>
    <w:rsid w:val="00B700EA"/>
    <w:rsid w:val="00B70FA3"/>
    <w:rsid w:val="00B71927"/>
    <w:rsid w:val="00B72373"/>
    <w:rsid w:val="00B730D8"/>
    <w:rsid w:val="00B7393A"/>
    <w:rsid w:val="00B73A9C"/>
    <w:rsid w:val="00B75C7D"/>
    <w:rsid w:val="00B7773C"/>
    <w:rsid w:val="00B777DA"/>
    <w:rsid w:val="00B77D03"/>
    <w:rsid w:val="00B8029D"/>
    <w:rsid w:val="00B802C0"/>
    <w:rsid w:val="00B812D7"/>
    <w:rsid w:val="00B8187E"/>
    <w:rsid w:val="00B828F3"/>
    <w:rsid w:val="00B83491"/>
    <w:rsid w:val="00B83AD6"/>
    <w:rsid w:val="00B83C0A"/>
    <w:rsid w:val="00B85B4C"/>
    <w:rsid w:val="00B905C1"/>
    <w:rsid w:val="00B90DD6"/>
    <w:rsid w:val="00B91023"/>
    <w:rsid w:val="00B910A8"/>
    <w:rsid w:val="00B92204"/>
    <w:rsid w:val="00B929E3"/>
    <w:rsid w:val="00B92C24"/>
    <w:rsid w:val="00B93CD3"/>
    <w:rsid w:val="00B93D56"/>
    <w:rsid w:val="00B940CF"/>
    <w:rsid w:val="00B94994"/>
    <w:rsid w:val="00B96479"/>
    <w:rsid w:val="00B969EC"/>
    <w:rsid w:val="00B96A9F"/>
    <w:rsid w:val="00B96B1F"/>
    <w:rsid w:val="00B973D3"/>
    <w:rsid w:val="00B97811"/>
    <w:rsid w:val="00B97FFD"/>
    <w:rsid w:val="00BA07F5"/>
    <w:rsid w:val="00BA1005"/>
    <w:rsid w:val="00BA54C2"/>
    <w:rsid w:val="00BA552C"/>
    <w:rsid w:val="00BA5F57"/>
    <w:rsid w:val="00BA6377"/>
    <w:rsid w:val="00BA78DA"/>
    <w:rsid w:val="00BA7CE0"/>
    <w:rsid w:val="00BB2602"/>
    <w:rsid w:val="00BB2C07"/>
    <w:rsid w:val="00BB3DE9"/>
    <w:rsid w:val="00BB6190"/>
    <w:rsid w:val="00BB76B6"/>
    <w:rsid w:val="00BB7E11"/>
    <w:rsid w:val="00BC025C"/>
    <w:rsid w:val="00BC111E"/>
    <w:rsid w:val="00BC1B94"/>
    <w:rsid w:val="00BC28DB"/>
    <w:rsid w:val="00BC2E4A"/>
    <w:rsid w:val="00BC2FC0"/>
    <w:rsid w:val="00BC3A67"/>
    <w:rsid w:val="00BC3F1E"/>
    <w:rsid w:val="00BC3FF4"/>
    <w:rsid w:val="00BC40FC"/>
    <w:rsid w:val="00BC5292"/>
    <w:rsid w:val="00BC6239"/>
    <w:rsid w:val="00BC64CA"/>
    <w:rsid w:val="00BC65A6"/>
    <w:rsid w:val="00BC67F0"/>
    <w:rsid w:val="00BC68A2"/>
    <w:rsid w:val="00BC7455"/>
    <w:rsid w:val="00BD0751"/>
    <w:rsid w:val="00BD0EC2"/>
    <w:rsid w:val="00BD200A"/>
    <w:rsid w:val="00BD38FF"/>
    <w:rsid w:val="00BD39A9"/>
    <w:rsid w:val="00BD4135"/>
    <w:rsid w:val="00BD458D"/>
    <w:rsid w:val="00BD7B63"/>
    <w:rsid w:val="00BD7CA8"/>
    <w:rsid w:val="00BE01D2"/>
    <w:rsid w:val="00BE10C0"/>
    <w:rsid w:val="00BE1E56"/>
    <w:rsid w:val="00BE1E87"/>
    <w:rsid w:val="00BE2E48"/>
    <w:rsid w:val="00BE3755"/>
    <w:rsid w:val="00BE3A69"/>
    <w:rsid w:val="00BE3AF6"/>
    <w:rsid w:val="00BE4317"/>
    <w:rsid w:val="00BE4B35"/>
    <w:rsid w:val="00BE50A5"/>
    <w:rsid w:val="00BE5BC9"/>
    <w:rsid w:val="00BE61B4"/>
    <w:rsid w:val="00BE671B"/>
    <w:rsid w:val="00BE6847"/>
    <w:rsid w:val="00BE78A3"/>
    <w:rsid w:val="00BF0631"/>
    <w:rsid w:val="00BF24A8"/>
    <w:rsid w:val="00BF2C8E"/>
    <w:rsid w:val="00BF3C24"/>
    <w:rsid w:val="00BF4011"/>
    <w:rsid w:val="00BF4864"/>
    <w:rsid w:val="00BF4F76"/>
    <w:rsid w:val="00BF56AE"/>
    <w:rsid w:val="00BF5ED9"/>
    <w:rsid w:val="00BF70DA"/>
    <w:rsid w:val="00BF760C"/>
    <w:rsid w:val="00BF7842"/>
    <w:rsid w:val="00C02804"/>
    <w:rsid w:val="00C03B17"/>
    <w:rsid w:val="00C0426B"/>
    <w:rsid w:val="00C05A7D"/>
    <w:rsid w:val="00C06549"/>
    <w:rsid w:val="00C067BF"/>
    <w:rsid w:val="00C10AF9"/>
    <w:rsid w:val="00C119DC"/>
    <w:rsid w:val="00C11E74"/>
    <w:rsid w:val="00C14031"/>
    <w:rsid w:val="00C16550"/>
    <w:rsid w:val="00C166B9"/>
    <w:rsid w:val="00C16ADC"/>
    <w:rsid w:val="00C2083C"/>
    <w:rsid w:val="00C2087B"/>
    <w:rsid w:val="00C20B93"/>
    <w:rsid w:val="00C227F3"/>
    <w:rsid w:val="00C23A98"/>
    <w:rsid w:val="00C23EE9"/>
    <w:rsid w:val="00C24301"/>
    <w:rsid w:val="00C245CC"/>
    <w:rsid w:val="00C24636"/>
    <w:rsid w:val="00C250C1"/>
    <w:rsid w:val="00C256A5"/>
    <w:rsid w:val="00C2649F"/>
    <w:rsid w:val="00C26D6E"/>
    <w:rsid w:val="00C27143"/>
    <w:rsid w:val="00C325AE"/>
    <w:rsid w:val="00C328E9"/>
    <w:rsid w:val="00C32E65"/>
    <w:rsid w:val="00C33AC8"/>
    <w:rsid w:val="00C34CF3"/>
    <w:rsid w:val="00C351F9"/>
    <w:rsid w:val="00C35220"/>
    <w:rsid w:val="00C35249"/>
    <w:rsid w:val="00C3608D"/>
    <w:rsid w:val="00C360F9"/>
    <w:rsid w:val="00C36ACD"/>
    <w:rsid w:val="00C40E84"/>
    <w:rsid w:val="00C42049"/>
    <w:rsid w:val="00C426D0"/>
    <w:rsid w:val="00C4357C"/>
    <w:rsid w:val="00C444ED"/>
    <w:rsid w:val="00C44825"/>
    <w:rsid w:val="00C44EAC"/>
    <w:rsid w:val="00C45D3F"/>
    <w:rsid w:val="00C46D24"/>
    <w:rsid w:val="00C477FA"/>
    <w:rsid w:val="00C47DBD"/>
    <w:rsid w:val="00C50902"/>
    <w:rsid w:val="00C51689"/>
    <w:rsid w:val="00C5255D"/>
    <w:rsid w:val="00C529C9"/>
    <w:rsid w:val="00C53331"/>
    <w:rsid w:val="00C547E0"/>
    <w:rsid w:val="00C54D71"/>
    <w:rsid w:val="00C5592A"/>
    <w:rsid w:val="00C56C07"/>
    <w:rsid w:val="00C57052"/>
    <w:rsid w:val="00C5756C"/>
    <w:rsid w:val="00C57F11"/>
    <w:rsid w:val="00C6048D"/>
    <w:rsid w:val="00C61558"/>
    <w:rsid w:val="00C62626"/>
    <w:rsid w:val="00C6476D"/>
    <w:rsid w:val="00C6590F"/>
    <w:rsid w:val="00C65A80"/>
    <w:rsid w:val="00C67DA5"/>
    <w:rsid w:val="00C70A1D"/>
    <w:rsid w:val="00C72B58"/>
    <w:rsid w:val="00C72CC6"/>
    <w:rsid w:val="00C74682"/>
    <w:rsid w:val="00C751F0"/>
    <w:rsid w:val="00C759DE"/>
    <w:rsid w:val="00C75FE1"/>
    <w:rsid w:val="00C76911"/>
    <w:rsid w:val="00C80D0A"/>
    <w:rsid w:val="00C814B7"/>
    <w:rsid w:val="00C82E64"/>
    <w:rsid w:val="00C8302C"/>
    <w:rsid w:val="00C83856"/>
    <w:rsid w:val="00C85823"/>
    <w:rsid w:val="00C867AB"/>
    <w:rsid w:val="00C8774E"/>
    <w:rsid w:val="00C878A3"/>
    <w:rsid w:val="00C87E4D"/>
    <w:rsid w:val="00C87F21"/>
    <w:rsid w:val="00C901F0"/>
    <w:rsid w:val="00C90B80"/>
    <w:rsid w:val="00C91BCA"/>
    <w:rsid w:val="00C932BD"/>
    <w:rsid w:val="00C93E28"/>
    <w:rsid w:val="00C94B5E"/>
    <w:rsid w:val="00C94C80"/>
    <w:rsid w:val="00C95F51"/>
    <w:rsid w:val="00C95FB0"/>
    <w:rsid w:val="00C96525"/>
    <w:rsid w:val="00C96D38"/>
    <w:rsid w:val="00CA07D2"/>
    <w:rsid w:val="00CA159E"/>
    <w:rsid w:val="00CA3BB4"/>
    <w:rsid w:val="00CA3E95"/>
    <w:rsid w:val="00CA4721"/>
    <w:rsid w:val="00CA4E9D"/>
    <w:rsid w:val="00CA59C9"/>
    <w:rsid w:val="00CA66C7"/>
    <w:rsid w:val="00CA6F44"/>
    <w:rsid w:val="00CA74CE"/>
    <w:rsid w:val="00CB0F81"/>
    <w:rsid w:val="00CB1556"/>
    <w:rsid w:val="00CB1754"/>
    <w:rsid w:val="00CB1DB8"/>
    <w:rsid w:val="00CB29A4"/>
    <w:rsid w:val="00CB2C45"/>
    <w:rsid w:val="00CB3BCD"/>
    <w:rsid w:val="00CB3CB6"/>
    <w:rsid w:val="00CB3E3C"/>
    <w:rsid w:val="00CB449F"/>
    <w:rsid w:val="00CB4BB1"/>
    <w:rsid w:val="00CB4F57"/>
    <w:rsid w:val="00CB583F"/>
    <w:rsid w:val="00CB5D2F"/>
    <w:rsid w:val="00CB7C92"/>
    <w:rsid w:val="00CB7CA1"/>
    <w:rsid w:val="00CC0025"/>
    <w:rsid w:val="00CC20D4"/>
    <w:rsid w:val="00CC26DA"/>
    <w:rsid w:val="00CC5EEB"/>
    <w:rsid w:val="00CC686A"/>
    <w:rsid w:val="00CC76CF"/>
    <w:rsid w:val="00CD11A6"/>
    <w:rsid w:val="00CD1CBB"/>
    <w:rsid w:val="00CD1D91"/>
    <w:rsid w:val="00CD3358"/>
    <w:rsid w:val="00CD5724"/>
    <w:rsid w:val="00CD75CB"/>
    <w:rsid w:val="00CE0BBE"/>
    <w:rsid w:val="00CE19EB"/>
    <w:rsid w:val="00CE1C0D"/>
    <w:rsid w:val="00CE2639"/>
    <w:rsid w:val="00CE5570"/>
    <w:rsid w:val="00CE5B6B"/>
    <w:rsid w:val="00CE7AD6"/>
    <w:rsid w:val="00CE7D48"/>
    <w:rsid w:val="00CF04CD"/>
    <w:rsid w:val="00CF04EB"/>
    <w:rsid w:val="00CF14A9"/>
    <w:rsid w:val="00CF16E1"/>
    <w:rsid w:val="00CF2112"/>
    <w:rsid w:val="00CF313D"/>
    <w:rsid w:val="00CF337A"/>
    <w:rsid w:val="00CF3C3E"/>
    <w:rsid w:val="00CF3F31"/>
    <w:rsid w:val="00CF43A4"/>
    <w:rsid w:val="00CF6524"/>
    <w:rsid w:val="00CF720B"/>
    <w:rsid w:val="00CF7A1E"/>
    <w:rsid w:val="00D0001E"/>
    <w:rsid w:val="00D00068"/>
    <w:rsid w:val="00D01A99"/>
    <w:rsid w:val="00D02601"/>
    <w:rsid w:val="00D03E80"/>
    <w:rsid w:val="00D04320"/>
    <w:rsid w:val="00D04933"/>
    <w:rsid w:val="00D05295"/>
    <w:rsid w:val="00D06466"/>
    <w:rsid w:val="00D071C0"/>
    <w:rsid w:val="00D10A32"/>
    <w:rsid w:val="00D10B6E"/>
    <w:rsid w:val="00D11DDF"/>
    <w:rsid w:val="00D12905"/>
    <w:rsid w:val="00D161E6"/>
    <w:rsid w:val="00D1673D"/>
    <w:rsid w:val="00D16884"/>
    <w:rsid w:val="00D16CBF"/>
    <w:rsid w:val="00D17F57"/>
    <w:rsid w:val="00D2023B"/>
    <w:rsid w:val="00D20C9F"/>
    <w:rsid w:val="00D20D22"/>
    <w:rsid w:val="00D21163"/>
    <w:rsid w:val="00D21255"/>
    <w:rsid w:val="00D21B7A"/>
    <w:rsid w:val="00D22D7C"/>
    <w:rsid w:val="00D23562"/>
    <w:rsid w:val="00D23A27"/>
    <w:rsid w:val="00D2410A"/>
    <w:rsid w:val="00D251BE"/>
    <w:rsid w:val="00D2574E"/>
    <w:rsid w:val="00D31CAF"/>
    <w:rsid w:val="00D3243E"/>
    <w:rsid w:val="00D328BD"/>
    <w:rsid w:val="00D33AF3"/>
    <w:rsid w:val="00D34CF0"/>
    <w:rsid w:val="00D34E72"/>
    <w:rsid w:val="00D35E9B"/>
    <w:rsid w:val="00D366DF"/>
    <w:rsid w:val="00D36D6F"/>
    <w:rsid w:val="00D3736F"/>
    <w:rsid w:val="00D37D6A"/>
    <w:rsid w:val="00D37E3B"/>
    <w:rsid w:val="00D4083B"/>
    <w:rsid w:val="00D41581"/>
    <w:rsid w:val="00D41B2A"/>
    <w:rsid w:val="00D41EA7"/>
    <w:rsid w:val="00D4285F"/>
    <w:rsid w:val="00D429B8"/>
    <w:rsid w:val="00D431C8"/>
    <w:rsid w:val="00D43431"/>
    <w:rsid w:val="00D43640"/>
    <w:rsid w:val="00D43BF0"/>
    <w:rsid w:val="00D46716"/>
    <w:rsid w:val="00D509A6"/>
    <w:rsid w:val="00D5147E"/>
    <w:rsid w:val="00D525FE"/>
    <w:rsid w:val="00D52A83"/>
    <w:rsid w:val="00D53FBE"/>
    <w:rsid w:val="00D5409E"/>
    <w:rsid w:val="00D54CBF"/>
    <w:rsid w:val="00D55266"/>
    <w:rsid w:val="00D56585"/>
    <w:rsid w:val="00D56900"/>
    <w:rsid w:val="00D57A70"/>
    <w:rsid w:val="00D603CB"/>
    <w:rsid w:val="00D60928"/>
    <w:rsid w:val="00D60D62"/>
    <w:rsid w:val="00D62D5A"/>
    <w:rsid w:val="00D6326C"/>
    <w:rsid w:val="00D63D03"/>
    <w:rsid w:val="00D6412A"/>
    <w:rsid w:val="00D6545D"/>
    <w:rsid w:val="00D659A1"/>
    <w:rsid w:val="00D66F84"/>
    <w:rsid w:val="00D678FA"/>
    <w:rsid w:val="00D67A3E"/>
    <w:rsid w:val="00D67E07"/>
    <w:rsid w:val="00D70A68"/>
    <w:rsid w:val="00D7166A"/>
    <w:rsid w:val="00D71A3D"/>
    <w:rsid w:val="00D71A86"/>
    <w:rsid w:val="00D72A21"/>
    <w:rsid w:val="00D750C3"/>
    <w:rsid w:val="00D751AB"/>
    <w:rsid w:val="00D75EC1"/>
    <w:rsid w:val="00D81099"/>
    <w:rsid w:val="00D8211D"/>
    <w:rsid w:val="00D82664"/>
    <w:rsid w:val="00D83763"/>
    <w:rsid w:val="00D83B34"/>
    <w:rsid w:val="00D8434B"/>
    <w:rsid w:val="00D847F9"/>
    <w:rsid w:val="00D85918"/>
    <w:rsid w:val="00D85956"/>
    <w:rsid w:val="00D85D04"/>
    <w:rsid w:val="00D862CF"/>
    <w:rsid w:val="00D86DFA"/>
    <w:rsid w:val="00D871A6"/>
    <w:rsid w:val="00D874DB"/>
    <w:rsid w:val="00D905C2"/>
    <w:rsid w:val="00D90B70"/>
    <w:rsid w:val="00D91BA1"/>
    <w:rsid w:val="00D91C39"/>
    <w:rsid w:val="00D92D54"/>
    <w:rsid w:val="00D92DDE"/>
    <w:rsid w:val="00D948AF"/>
    <w:rsid w:val="00D96B51"/>
    <w:rsid w:val="00D97B64"/>
    <w:rsid w:val="00DA0095"/>
    <w:rsid w:val="00DA04F7"/>
    <w:rsid w:val="00DA1400"/>
    <w:rsid w:val="00DA2630"/>
    <w:rsid w:val="00DA3496"/>
    <w:rsid w:val="00DA4222"/>
    <w:rsid w:val="00DA4FA1"/>
    <w:rsid w:val="00DA5498"/>
    <w:rsid w:val="00DA54A5"/>
    <w:rsid w:val="00DA6A8D"/>
    <w:rsid w:val="00DA7CE1"/>
    <w:rsid w:val="00DB0A95"/>
    <w:rsid w:val="00DB11DC"/>
    <w:rsid w:val="00DB406C"/>
    <w:rsid w:val="00DB4908"/>
    <w:rsid w:val="00DB49DD"/>
    <w:rsid w:val="00DB4E9E"/>
    <w:rsid w:val="00DB5166"/>
    <w:rsid w:val="00DB604F"/>
    <w:rsid w:val="00DB6113"/>
    <w:rsid w:val="00DB6D96"/>
    <w:rsid w:val="00DB794D"/>
    <w:rsid w:val="00DC045C"/>
    <w:rsid w:val="00DC0FDF"/>
    <w:rsid w:val="00DC169A"/>
    <w:rsid w:val="00DC18E6"/>
    <w:rsid w:val="00DC36E4"/>
    <w:rsid w:val="00DC3964"/>
    <w:rsid w:val="00DC4113"/>
    <w:rsid w:val="00DC63CF"/>
    <w:rsid w:val="00DC6733"/>
    <w:rsid w:val="00DC6F9C"/>
    <w:rsid w:val="00DC7533"/>
    <w:rsid w:val="00DC762D"/>
    <w:rsid w:val="00DD0228"/>
    <w:rsid w:val="00DD06B9"/>
    <w:rsid w:val="00DD1ED5"/>
    <w:rsid w:val="00DD23A5"/>
    <w:rsid w:val="00DD2844"/>
    <w:rsid w:val="00DD5E25"/>
    <w:rsid w:val="00DD6655"/>
    <w:rsid w:val="00DD6BB3"/>
    <w:rsid w:val="00DD6CB7"/>
    <w:rsid w:val="00DE0197"/>
    <w:rsid w:val="00DE0C83"/>
    <w:rsid w:val="00DE1BF6"/>
    <w:rsid w:val="00DE1DF8"/>
    <w:rsid w:val="00DE40FD"/>
    <w:rsid w:val="00DE4998"/>
    <w:rsid w:val="00DE5CFF"/>
    <w:rsid w:val="00DE6EBD"/>
    <w:rsid w:val="00DE72FC"/>
    <w:rsid w:val="00DF002B"/>
    <w:rsid w:val="00DF007A"/>
    <w:rsid w:val="00DF0366"/>
    <w:rsid w:val="00DF0823"/>
    <w:rsid w:val="00DF09F2"/>
    <w:rsid w:val="00DF155C"/>
    <w:rsid w:val="00DF19FD"/>
    <w:rsid w:val="00DF2822"/>
    <w:rsid w:val="00DF2863"/>
    <w:rsid w:val="00DF3D54"/>
    <w:rsid w:val="00DF4958"/>
    <w:rsid w:val="00DF5D0C"/>
    <w:rsid w:val="00DF647C"/>
    <w:rsid w:val="00E00C4C"/>
    <w:rsid w:val="00E01C5E"/>
    <w:rsid w:val="00E020D6"/>
    <w:rsid w:val="00E04145"/>
    <w:rsid w:val="00E053CC"/>
    <w:rsid w:val="00E067C4"/>
    <w:rsid w:val="00E073DA"/>
    <w:rsid w:val="00E07EFD"/>
    <w:rsid w:val="00E10188"/>
    <w:rsid w:val="00E1045B"/>
    <w:rsid w:val="00E1048F"/>
    <w:rsid w:val="00E10A32"/>
    <w:rsid w:val="00E1142A"/>
    <w:rsid w:val="00E1152E"/>
    <w:rsid w:val="00E1232E"/>
    <w:rsid w:val="00E12678"/>
    <w:rsid w:val="00E12CE1"/>
    <w:rsid w:val="00E15DCD"/>
    <w:rsid w:val="00E1758E"/>
    <w:rsid w:val="00E177A0"/>
    <w:rsid w:val="00E17D90"/>
    <w:rsid w:val="00E17F4F"/>
    <w:rsid w:val="00E200CC"/>
    <w:rsid w:val="00E21236"/>
    <w:rsid w:val="00E21326"/>
    <w:rsid w:val="00E22FAA"/>
    <w:rsid w:val="00E23082"/>
    <w:rsid w:val="00E2336E"/>
    <w:rsid w:val="00E23EBF"/>
    <w:rsid w:val="00E24805"/>
    <w:rsid w:val="00E24939"/>
    <w:rsid w:val="00E24AA1"/>
    <w:rsid w:val="00E24DDF"/>
    <w:rsid w:val="00E24F9A"/>
    <w:rsid w:val="00E25C23"/>
    <w:rsid w:val="00E25E1B"/>
    <w:rsid w:val="00E25E8F"/>
    <w:rsid w:val="00E2676B"/>
    <w:rsid w:val="00E26B56"/>
    <w:rsid w:val="00E27D54"/>
    <w:rsid w:val="00E3048E"/>
    <w:rsid w:val="00E30545"/>
    <w:rsid w:val="00E305F3"/>
    <w:rsid w:val="00E32343"/>
    <w:rsid w:val="00E32484"/>
    <w:rsid w:val="00E3253A"/>
    <w:rsid w:val="00E326A8"/>
    <w:rsid w:val="00E328C0"/>
    <w:rsid w:val="00E3315B"/>
    <w:rsid w:val="00E35BFC"/>
    <w:rsid w:val="00E36CED"/>
    <w:rsid w:val="00E402B9"/>
    <w:rsid w:val="00E40900"/>
    <w:rsid w:val="00E40A2C"/>
    <w:rsid w:val="00E44045"/>
    <w:rsid w:val="00E443CA"/>
    <w:rsid w:val="00E444E5"/>
    <w:rsid w:val="00E4465C"/>
    <w:rsid w:val="00E45EE2"/>
    <w:rsid w:val="00E46AEA"/>
    <w:rsid w:val="00E4787D"/>
    <w:rsid w:val="00E50554"/>
    <w:rsid w:val="00E50AFB"/>
    <w:rsid w:val="00E52684"/>
    <w:rsid w:val="00E52A81"/>
    <w:rsid w:val="00E558BA"/>
    <w:rsid w:val="00E5597E"/>
    <w:rsid w:val="00E55D4D"/>
    <w:rsid w:val="00E57963"/>
    <w:rsid w:val="00E57971"/>
    <w:rsid w:val="00E604CE"/>
    <w:rsid w:val="00E60942"/>
    <w:rsid w:val="00E6103D"/>
    <w:rsid w:val="00E62CA7"/>
    <w:rsid w:val="00E64B55"/>
    <w:rsid w:val="00E65159"/>
    <w:rsid w:val="00E6587F"/>
    <w:rsid w:val="00E65BE4"/>
    <w:rsid w:val="00E66960"/>
    <w:rsid w:val="00E66F3A"/>
    <w:rsid w:val="00E67043"/>
    <w:rsid w:val="00E67551"/>
    <w:rsid w:val="00E679A8"/>
    <w:rsid w:val="00E7037A"/>
    <w:rsid w:val="00E7096E"/>
    <w:rsid w:val="00E70BEF"/>
    <w:rsid w:val="00E719D1"/>
    <w:rsid w:val="00E72355"/>
    <w:rsid w:val="00E72862"/>
    <w:rsid w:val="00E7451E"/>
    <w:rsid w:val="00E74CFF"/>
    <w:rsid w:val="00E750B2"/>
    <w:rsid w:val="00E75235"/>
    <w:rsid w:val="00E75335"/>
    <w:rsid w:val="00E767B4"/>
    <w:rsid w:val="00E76945"/>
    <w:rsid w:val="00E76A14"/>
    <w:rsid w:val="00E76D35"/>
    <w:rsid w:val="00E76FA7"/>
    <w:rsid w:val="00E7751B"/>
    <w:rsid w:val="00E77893"/>
    <w:rsid w:val="00E77C12"/>
    <w:rsid w:val="00E80B91"/>
    <w:rsid w:val="00E823D9"/>
    <w:rsid w:val="00E82569"/>
    <w:rsid w:val="00E82FE3"/>
    <w:rsid w:val="00E83682"/>
    <w:rsid w:val="00E836B3"/>
    <w:rsid w:val="00E842DA"/>
    <w:rsid w:val="00E84B1A"/>
    <w:rsid w:val="00E857DE"/>
    <w:rsid w:val="00E91665"/>
    <w:rsid w:val="00E916CB"/>
    <w:rsid w:val="00E92E7C"/>
    <w:rsid w:val="00E93232"/>
    <w:rsid w:val="00E93266"/>
    <w:rsid w:val="00E938F4"/>
    <w:rsid w:val="00E93DEB"/>
    <w:rsid w:val="00E95EB2"/>
    <w:rsid w:val="00E9645D"/>
    <w:rsid w:val="00E97AA4"/>
    <w:rsid w:val="00E97F57"/>
    <w:rsid w:val="00EA0184"/>
    <w:rsid w:val="00EA0953"/>
    <w:rsid w:val="00EA1948"/>
    <w:rsid w:val="00EA1C27"/>
    <w:rsid w:val="00EA2682"/>
    <w:rsid w:val="00EA2D4B"/>
    <w:rsid w:val="00EA4E70"/>
    <w:rsid w:val="00EA59B0"/>
    <w:rsid w:val="00EA6966"/>
    <w:rsid w:val="00EB04FB"/>
    <w:rsid w:val="00EB05F7"/>
    <w:rsid w:val="00EB1820"/>
    <w:rsid w:val="00EB2A01"/>
    <w:rsid w:val="00EB3AC4"/>
    <w:rsid w:val="00EB3BAA"/>
    <w:rsid w:val="00EB5DC3"/>
    <w:rsid w:val="00EB5F80"/>
    <w:rsid w:val="00EB60B6"/>
    <w:rsid w:val="00EB7599"/>
    <w:rsid w:val="00EC080F"/>
    <w:rsid w:val="00EC14E8"/>
    <w:rsid w:val="00EC19A9"/>
    <w:rsid w:val="00EC2457"/>
    <w:rsid w:val="00EC2CA0"/>
    <w:rsid w:val="00EC2F4D"/>
    <w:rsid w:val="00EC3285"/>
    <w:rsid w:val="00EC3574"/>
    <w:rsid w:val="00EC3AE6"/>
    <w:rsid w:val="00EC43F1"/>
    <w:rsid w:val="00EC6410"/>
    <w:rsid w:val="00ED0E0C"/>
    <w:rsid w:val="00ED2EFD"/>
    <w:rsid w:val="00ED2FE6"/>
    <w:rsid w:val="00ED311A"/>
    <w:rsid w:val="00ED31B7"/>
    <w:rsid w:val="00ED4A69"/>
    <w:rsid w:val="00ED5019"/>
    <w:rsid w:val="00ED5E39"/>
    <w:rsid w:val="00ED7D1C"/>
    <w:rsid w:val="00EE0DF5"/>
    <w:rsid w:val="00EE1FB1"/>
    <w:rsid w:val="00EE2433"/>
    <w:rsid w:val="00EE3CBC"/>
    <w:rsid w:val="00EE4E78"/>
    <w:rsid w:val="00EE5AB7"/>
    <w:rsid w:val="00EE696E"/>
    <w:rsid w:val="00EE70CF"/>
    <w:rsid w:val="00EE7D39"/>
    <w:rsid w:val="00EF05BB"/>
    <w:rsid w:val="00EF068A"/>
    <w:rsid w:val="00EF0E5B"/>
    <w:rsid w:val="00EF11DF"/>
    <w:rsid w:val="00EF22E9"/>
    <w:rsid w:val="00EF2787"/>
    <w:rsid w:val="00EF2BC0"/>
    <w:rsid w:val="00EF300B"/>
    <w:rsid w:val="00EF4474"/>
    <w:rsid w:val="00EF4C33"/>
    <w:rsid w:val="00EF58F4"/>
    <w:rsid w:val="00EF59BC"/>
    <w:rsid w:val="00EF610A"/>
    <w:rsid w:val="00EF66AF"/>
    <w:rsid w:val="00EF6DB8"/>
    <w:rsid w:val="00EF6F0A"/>
    <w:rsid w:val="00EF6F2E"/>
    <w:rsid w:val="00EF7394"/>
    <w:rsid w:val="00EF75EE"/>
    <w:rsid w:val="00EF76C2"/>
    <w:rsid w:val="00EF7BA2"/>
    <w:rsid w:val="00F003DE"/>
    <w:rsid w:val="00F024FA"/>
    <w:rsid w:val="00F0479D"/>
    <w:rsid w:val="00F04AF1"/>
    <w:rsid w:val="00F04C67"/>
    <w:rsid w:val="00F05813"/>
    <w:rsid w:val="00F06598"/>
    <w:rsid w:val="00F06E7E"/>
    <w:rsid w:val="00F07B1E"/>
    <w:rsid w:val="00F102DC"/>
    <w:rsid w:val="00F10439"/>
    <w:rsid w:val="00F12294"/>
    <w:rsid w:val="00F134BD"/>
    <w:rsid w:val="00F1408A"/>
    <w:rsid w:val="00F14206"/>
    <w:rsid w:val="00F14F2D"/>
    <w:rsid w:val="00F150CD"/>
    <w:rsid w:val="00F15AE8"/>
    <w:rsid w:val="00F16A18"/>
    <w:rsid w:val="00F16C15"/>
    <w:rsid w:val="00F176BA"/>
    <w:rsid w:val="00F204C2"/>
    <w:rsid w:val="00F209F8"/>
    <w:rsid w:val="00F2128C"/>
    <w:rsid w:val="00F21974"/>
    <w:rsid w:val="00F2205D"/>
    <w:rsid w:val="00F22F58"/>
    <w:rsid w:val="00F22F9A"/>
    <w:rsid w:val="00F244FA"/>
    <w:rsid w:val="00F2451B"/>
    <w:rsid w:val="00F24E49"/>
    <w:rsid w:val="00F24FED"/>
    <w:rsid w:val="00F254C2"/>
    <w:rsid w:val="00F305A5"/>
    <w:rsid w:val="00F3209D"/>
    <w:rsid w:val="00F3216C"/>
    <w:rsid w:val="00F32A5A"/>
    <w:rsid w:val="00F33F95"/>
    <w:rsid w:val="00F364C9"/>
    <w:rsid w:val="00F36D5D"/>
    <w:rsid w:val="00F37486"/>
    <w:rsid w:val="00F37B8A"/>
    <w:rsid w:val="00F40750"/>
    <w:rsid w:val="00F426D8"/>
    <w:rsid w:val="00F42D49"/>
    <w:rsid w:val="00F430E0"/>
    <w:rsid w:val="00F4391C"/>
    <w:rsid w:val="00F4406A"/>
    <w:rsid w:val="00F448A5"/>
    <w:rsid w:val="00F461A7"/>
    <w:rsid w:val="00F470D0"/>
    <w:rsid w:val="00F47663"/>
    <w:rsid w:val="00F47E15"/>
    <w:rsid w:val="00F51720"/>
    <w:rsid w:val="00F52986"/>
    <w:rsid w:val="00F554CF"/>
    <w:rsid w:val="00F5573B"/>
    <w:rsid w:val="00F55B56"/>
    <w:rsid w:val="00F55E1D"/>
    <w:rsid w:val="00F56F4F"/>
    <w:rsid w:val="00F571F9"/>
    <w:rsid w:val="00F57572"/>
    <w:rsid w:val="00F5763F"/>
    <w:rsid w:val="00F5774C"/>
    <w:rsid w:val="00F607C4"/>
    <w:rsid w:val="00F6184E"/>
    <w:rsid w:val="00F62519"/>
    <w:rsid w:val="00F645FF"/>
    <w:rsid w:val="00F65351"/>
    <w:rsid w:val="00F65CEB"/>
    <w:rsid w:val="00F65DCE"/>
    <w:rsid w:val="00F662BC"/>
    <w:rsid w:val="00F6687B"/>
    <w:rsid w:val="00F668F5"/>
    <w:rsid w:val="00F66DBD"/>
    <w:rsid w:val="00F71310"/>
    <w:rsid w:val="00F72AEE"/>
    <w:rsid w:val="00F743C1"/>
    <w:rsid w:val="00F74C83"/>
    <w:rsid w:val="00F75699"/>
    <w:rsid w:val="00F76029"/>
    <w:rsid w:val="00F7652A"/>
    <w:rsid w:val="00F77E39"/>
    <w:rsid w:val="00F77F66"/>
    <w:rsid w:val="00F8003C"/>
    <w:rsid w:val="00F820DC"/>
    <w:rsid w:val="00F8245F"/>
    <w:rsid w:val="00F82675"/>
    <w:rsid w:val="00F83E4E"/>
    <w:rsid w:val="00F849BC"/>
    <w:rsid w:val="00F84B1F"/>
    <w:rsid w:val="00F8634D"/>
    <w:rsid w:val="00F917F8"/>
    <w:rsid w:val="00F91D37"/>
    <w:rsid w:val="00F92B97"/>
    <w:rsid w:val="00F9624F"/>
    <w:rsid w:val="00F963A1"/>
    <w:rsid w:val="00F96AA0"/>
    <w:rsid w:val="00F9730E"/>
    <w:rsid w:val="00F97868"/>
    <w:rsid w:val="00FA0FA0"/>
    <w:rsid w:val="00FA30B7"/>
    <w:rsid w:val="00FA35B5"/>
    <w:rsid w:val="00FA6DB6"/>
    <w:rsid w:val="00FA7D9F"/>
    <w:rsid w:val="00FB01DC"/>
    <w:rsid w:val="00FB0A3F"/>
    <w:rsid w:val="00FB18B5"/>
    <w:rsid w:val="00FB2ABF"/>
    <w:rsid w:val="00FB35EC"/>
    <w:rsid w:val="00FB48ED"/>
    <w:rsid w:val="00FB5892"/>
    <w:rsid w:val="00FB5B02"/>
    <w:rsid w:val="00FB5CFE"/>
    <w:rsid w:val="00FB6C54"/>
    <w:rsid w:val="00FB7CA0"/>
    <w:rsid w:val="00FC00B8"/>
    <w:rsid w:val="00FC0765"/>
    <w:rsid w:val="00FC1498"/>
    <w:rsid w:val="00FC17EF"/>
    <w:rsid w:val="00FC1A20"/>
    <w:rsid w:val="00FC2762"/>
    <w:rsid w:val="00FC2E83"/>
    <w:rsid w:val="00FC3565"/>
    <w:rsid w:val="00FC38FE"/>
    <w:rsid w:val="00FC3962"/>
    <w:rsid w:val="00FC4301"/>
    <w:rsid w:val="00FC4C42"/>
    <w:rsid w:val="00FC527E"/>
    <w:rsid w:val="00FC535A"/>
    <w:rsid w:val="00FC5686"/>
    <w:rsid w:val="00FC6916"/>
    <w:rsid w:val="00FD0349"/>
    <w:rsid w:val="00FD04D5"/>
    <w:rsid w:val="00FD0780"/>
    <w:rsid w:val="00FD1EE8"/>
    <w:rsid w:val="00FD22AD"/>
    <w:rsid w:val="00FD2B03"/>
    <w:rsid w:val="00FD326F"/>
    <w:rsid w:val="00FD346C"/>
    <w:rsid w:val="00FD36FB"/>
    <w:rsid w:val="00FD3D70"/>
    <w:rsid w:val="00FD480E"/>
    <w:rsid w:val="00FD4B9D"/>
    <w:rsid w:val="00FD5106"/>
    <w:rsid w:val="00FD552F"/>
    <w:rsid w:val="00FD72A5"/>
    <w:rsid w:val="00FD752B"/>
    <w:rsid w:val="00FD7F9E"/>
    <w:rsid w:val="00FE05B8"/>
    <w:rsid w:val="00FE0F57"/>
    <w:rsid w:val="00FE2322"/>
    <w:rsid w:val="00FE38CA"/>
    <w:rsid w:val="00FE5418"/>
    <w:rsid w:val="00FE6774"/>
    <w:rsid w:val="00FE6BFB"/>
    <w:rsid w:val="00FE78C8"/>
    <w:rsid w:val="00FE7ADF"/>
    <w:rsid w:val="00FF00B5"/>
    <w:rsid w:val="00FF02C4"/>
    <w:rsid w:val="00FF09B6"/>
    <w:rsid w:val="00FF1864"/>
    <w:rsid w:val="00FF1C71"/>
    <w:rsid w:val="00FF2218"/>
    <w:rsid w:val="00FF3826"/>
    <w:rsid w:val="00FF3943"/>
    <w:rsid w:val="00FF4332"/>
    <w:rsid w:val="00FF458E"/>
    <w:rsid w:val="00FF4641"/>
    <w:rsid w:val="00FF4B3B"/>
    <w:rsid w:val="00FF581F"/>
    <w:rsid w:val="00FF5FA1"/>
    <w:rsid w:val="00FF6C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B3396"/>
  <w15:chartTrackingRefBased/>
  <w15:docId w15:val="{72B269CD-CD6D-4A26-BC93-548B076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6"/>
      </w:numPr>
      <w:tabs>
        <w:tab w:val="num" w:pos="532"/>
      </w:tabs>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link w:val="Dotpoint2Char"/>
    <w:uiPriority w:val="1"/>
    <w:rsid w:val="000E521B"/>
    <w:pPr>
      <w:numPr>
        <w:numId w:val="9"/>
      </w:numPr>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DD23A5"/>
    <w:rPr>
      <w:sz w:val="16"/>
      <w:szCs w:val="16"/>
    </w:rPr>
  </w:style>
  <w:style w:type="paragraph" w:styleId="CommentText">
    <w:name w:val="annotation text"/>
    <w:basedOn w:val="Normal"/>
    <w:link w:val="CommentTextChar"/>
    <w:uiPriority w:val="99"/>
    <w:unhideWhenUsed/>
    <w:rsid w:val="00DD23A5"/>
    <w:rPr>
      <w:sz w:val="20"/>
      <w:szCs w:val="20"/>
    </w:rPr>
  </w:style>
  <w:style w:type="character" w:customStyle="1" w:styleId="CommentTextChar">
    <w:name w:val="Comment Text Char"/>
    <w:basedOn w:val="DefaultParagraphFont"/>
    <w:link w:val="CommentText"/>
    <w:uiPriority w:val="99"/>
    <w:rsid w:val="00DD23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23A5"/>
    <w:rPr>
      <w:b/>
      <w:bCs/>
    </w:rPr>
  </w:style>
  <w:style w:type="character" w:customStyle="1" w:styleId="CommentSubjectChar">
    <w:name w:val="Comment Subject Char"/>
    <w:basedOn w:val="CommentTextChar"/>
    <w:link w:val="CommentSubject"/>
    <w:uiPriority w:val="99"/>
    <w:semiHidden/>
    <w:rsid w:val="00DD23A5"/>
    <w:rPr>
      <w:rFonts w:ascii="Times New Roman" w:hAnsi="Times New Roman"/>
      <w:b/>
      <w:bCs/>
      <w:sz w:val="20"/>
      <w:szCs w:val="20"/>
    </w:rPr>
  </w:style>
  <w:style w:type="paragraph" w:styleId="TOC4">
    <w:name w:val="toc 4"/>
    <w:basedOn w:val="Normal"/>
    <w:next w:val="Normal"/>
    <w:autoRedefine/>
    <w:uiPriority w:val="39"/>
    <w:semiHidden/>
    <w:unhideWhenUsed/>
    <w:rsid w:val="00475BE1"/>
    <w:pPr>
      <w:spacing w:after="100"/>
      <w:ind w:left="660"/>
    </w:pPr>
  </w:style>
  <w:style w:type="paragraph" w:styleId="TOC5">
    <w:name w:val="toc 5"/>
    <w:basedOn w:val="Normal"/>
    <w:next w:val="Normal"/>
    <w:autoRedefine/>
    <w:uiPriority w:val="39"/>
    <w:semiHidden/>
    <w:unhideWhenUsed/>
    <w:rsid w:val="00475BE1"/>
    <w:pPr>
      <w:spacing w:after="100"/>
      <w:ind w:left="880"/>
    </w:pPr>
  </w:style>
  <w:style w:type="paragraph" w:styleId="TOC6">
    <w:name w:val="toc 6"/>
    <w:basedOn w:val="Normal"/>
    <w:next w:val="Normal"/>
    <w:autoRedefine/>
    <w:uiPriority w:val="39"/>
    <w:semiHidden/>
    <w:unhideWhenUsed/>
    <w:rsid w:val="00475BE1"/>
    <w:pPr>
      <w:spacing w:after="100"/>
      <w:ind w:left="1100"/>
    </w:pPr>
  </w:style>
  <w:style w:type="paragraph" w:styleId="TOC7">
    <w:name w:val="toc 7"/>
    <w:basedOn w:val="Normal"/>
    <w:next w:val="Normal"/>
    <w:autoRedefine/>
    <w:uiPriority w:val="39"/>
    <w:semiHidden/>
    <w:unhideWhenUsed/>
    <w:rsid w:val="00475BE1"/>
    <w:pPr>
      <w:spacing w:after="100"/>
      <w:ind w:left="1320"/>
    </w:pPr>
  </w:style>
  <w:style w:type="paragraph" w:styleId="TOC8">
    <w:name w:val="toc 8"/>
    <w:basedOn w:val="Normal"/>
    <w:next w:val="Normal"/>
    <w:autoRedefine/>
    <w:uiPriority w:val="39"/>
    <w:semiHidden/>
    <w:unhideWhenUsed/>
    <w:rsid w:val="00475BE1"/>
    <w:pPr>
      <w:spacing w:after="100"/>
      <w:ind w:left="1540"/>
    </w:pPr>
  </w:style>
  <w:style w:type="paragraph" w:styleId="TOC9">
    <w:name w:val="toc 9"/>
    <w:basedOn w:val="Normal"/>
    <w:next w:val="Normal"/>
    <w:autoRedefine/>
    <w:uiPriority w:val="39"/>
    <w:semiHidden/>
    <w:unhideWhenUsed/>
    <w:rsid w:val="00475BE1"/>
    <w:pPr>
      <w:spacing w:after="100"/>
      <w:ind w:left="1760"/>
    </w:pPr>
  </w:style>
  <w:style w:type="character" w:customStyle="1" w:styleId="ui-provider">
    <w:name w:val="ui-provider"/>
    <w:basedOn w:val="DefaultParagraphFont"/>
    <w:rsid w:val="00784930"/>
  </w:style>
  <w:style w:type="character" w:customStyle="1" w:styleId="NormalparatextnonumbersChar">
    <w:name w:val="Normal para text (no numbers) Char"/>
    <w:basedOn w:val="DefaultParagraphFont"/>
    <w:link w:val="Normalparatextnonumbers"/>
    <w:locked/>
    <w:rsid w:val="00BE6847"/>
    <w:rPr>
      <w:rFonts w:ascii="Times New Roman" w:hAnsi="Times New Roman"/>
    </w:rPr>
  </w:style>
  <w:style w:type="character" w:customStyle="1" w:styleId="NormalparatextwithnumbersChar">
    <w:name w:val="Normal para text (with numbers) Char"/>
    <w:basedOn w:val="NormalparatextnonumbersChar"/>
    <w:link w:val="Normalparatextwithnumbers"/>
    <w:locked/>
    <w:rsid w:val="00BE6847"/>
    <w:rPr>
      <w:rFonts w:ascii="Times New Roman" w:hAnsi="Times New Roman"/>
    </w:rPr>
  </w:style>
  <w:style w:type="character" w:styleId="Mention">
    <w:name w:val="Mention"/>
    <w:basedOn w:val="DefaultParagraphFont"/>
    <w:uiPriority w:val="99"/>
    <w:unhideWhenUsed/>
    <w:rsid w:val="00420012"/>
    <w:rPr>
      <w:color w:val="2B579A"/>
      <w:shd w:val="clear" w:color="auto" w:fill="E1DFDD"/>
    </w:rPr>
  </w:style>
  <w:style w:type="paragraph" w:customStyle="1" w:styleId="Bullet">
    <w:name w:val="Bullet"/>
    <w:basedOn w:val="Normal"/>
    <w:link w:val="BulletChar"/>
    <w:rsid w:val="00150CD0"/>
    <w:pPr>
      <w:numPr>
        <w:numId w:val="26"/>
      </w:numPr>
    </w:pPr>
  </w:style>
  <w:style w:type="character" w:customStyle="1" w:styleId="Dotpoint2Char">
    <w:name w:val="Dot point 2 Char"/>
    <w:basedOn w:val="Dotpoint1Char"/>
    <w:link w:val="Dotpoint2"/>
    <w:uiPriority w:val="1"/>
    <w:rsid w:val="00150CD0"/>
    <w:rPr>
      <w:rFonts w:ascii="Times New Roman" w:hAnsi="Times New Roman"/>
    </w:rPr>
  </w:style>
  <w:style w:type="character" w:customStyle="1" w:styleId="BulletChar">
    <w:name w:val="Bullet Char"/>
    <w:basedOn w:val="Dotpoint2Char"/>
    <w:link w:val="Bullet"/>
    <w:rsid w:val="00150CD0"/>
    <w:rPr>
      <w:rFonts w:ascii="Times New Roman" w:hAnsi="Times New Roman"/>
    </w:rPr>
  </w:style>
  <w:style w:type="paragraph" w:customStyle="1" w:styleId="DoubleDot">
    <w:name w:val="Double Dot"/>
    <w:basedOn w:val="Normal"/>
    <w:link w:val="DoubleDotChar"/>
    <w:rsid w:val="00150CD0"/>
    <w:pPr>
      <w:numPr>
        <w:ilvl w:val="2"/>
        <w:numId w:val="26"/>
      </w:numPr>
    </w:pPr>
  </w:style>
  <w:style w:type="character" w:customStyle="1" w:styleId="DoubleDotChar">
    <w:name w:val="Double Dot Char"/>
    <w:basedOn w:val="Dotpoint2Char"/>
    <w:link w:val="DoubleDot"/>
    <w:rsid w:val="00150CD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03768">
      <w:bodyDiv w:val="1"/>
      <w:marLeft w:val="0"/>
      <w:marRight w:val="0"/>
      <w:marTop w:val="0"/>
      <w:marBottom w:val="0"/>
      <w:divBdr>
        <w:top w:val="none" w:sz="0" w:space="0" w:color="auto"/>
        <w:left w:val="none" w:sz="0" w:space="0" w:color="auto"/>
        <w:bottom w:val="none" w:sz="0" w:space="0" w:color="auto"/>
        <w:right w:val="none" w:sz="0" w:space="0" w:color="auto"/>
      </w:divBdr>
    </w:div>
    <w:div w:id="661857516">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254902551">
      <w:bodyDiv w:val="1"/>
      <w:marLeft w:val="0"/>
      <w:marRight w:val="0"/>
      <w:marTop w:val="0"/>
      <w:marBottom w:val="0"/>
      <w:divBdr>
        <w:top w:val="none" w:sz="0" w:space="0" w:color="auto"/>
        <w:left w:val="none" w:sz="0" w:space="0" w:color="auto"/>
        <w:bottom w:val="none" w:sz="0" w:space="0" w:color="auto"/>
        <w:right w:val="none" w:sz="0" w:space="0" w:color="auto"/>
      </w:divBdr>
    </w:div>
    <w:div w:id="1434980873">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534805533">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2" ma:contentTypeDescription="Create a new document." ma:contentTypeScope="" ma:versionID="4cf9f4b0927b76c2a2c197dac395910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c62ea071742f26d2caad23434b44f7f"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5D7SUYYWNZQE-981606584-559</_dlc_DocId>
    <TaxCatchAll xmlns="ff38c824-6e29-4496-8487-69f397e7ed29">
      <Value>153</Value>
      <Value>66</Value>
      <Value>1</Value>
      <Value>28</Value>
    </TaxCatchAll>
    <_dlc_DocIdUrl xmlns="fe39d773-a83d-4623-ae74-f25711a76616">
      <Url>https://austreasury.sharepoint.com/sites/leg-meas-function/_layouts/15/DocIdRedir.aspx?ID=5D7SUYYWNZQE-981606584-559</Url>
      <Description>5D7SUYYWNZQE-981606584-559</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TSY/46/1105</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2.xml><?xml version="1.0" encoding="utf-8"?>
<ds:datastoreItem xmlns:ds="http://schemas.openxmlformats.org/officeDocument/2006/customXml" ds:itemID="{2070F93D-D8D3-4A8A-A2F3-6686E49B1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58F4D-ABA7-4F52-A86E-47A925E1329F}">
  <ds:schemaRefs>
    <ds:schemaRef ds:uri="http://schemas.microsoft.com/sharepoint/events"/>
  </ds:schemaRefs>
</ds:datastoreItem>
</file>

<file path=customXml/itemProps4.xml><?xml version="1.0" encoding="utf-8"?>
<ds:datastoreItem xmlns:ds="http://schemas.openxmlformats.org/officeDocument/2006/customXml" ds:itemID="{6AB365E2-A817-49FA-9295-CAB62986032D}">
  <ds:schemaRefs>
    <ds:schemaRef ds:uri="http://schemas.microsoft.com/office/infopath/2007/PartnerControls"/>
    <ds:schemaRef ds:uri="ff38c824-6e29-4496-8487-69f397e7ed29"/>
    <ds:schemaRef ds:uri="a289cb20-8bb9-401f-8d7b-706fb1a2988d"/>
    <ds:schemaRef ds:uri="http://schemas.microsoft.com/office/2006/documentManagement/types"/>
    <ds:schemaRef ds:uri="http://schemas.microsoft.com/sharepoint/v3"/>
    <ds:schemaRef ds:uri="http://www.w3.org/XML/1998/namespace"/>
    <ds:schemaRef ds:uri="http://purl.org/dc/elements/1.1/"/>
    <ds:schemaRef ds:uri="fe39d773-a83d-4623-ae74-f25711a76616"/>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7</TotalTime>
  <Pages>20</Pages>
  <Words>5470</Words>
  <Characters>28390</Characters>
  <Application>Microsoft Office Word</Application>
  <DocSecurity>0</DocSecurity>
  <Lines>617</Lines>
  <Paragraphs>189</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(Measures For Consultation) Bill 2023: Non-Arm’s Length Expense Rules For Superannuation Funds</vt:lpstr>
    </vt:vector>
  </TitlesOfParts>
  <Company/>
  <LinksUpToDate>false</LinksUpToDate>
  <CharactersWithSpaces>33671</CharactersWithSpaces>
  <SharedDoc>false</SharedDoc>
  <HLinks>
    <vt:vector size="102" baseType="variant">
      <vt:variant>
        <vt:i4>720987</vt:i4>
      </vt:variant>
      <vt:variant>
        <vt:i4>93</vt:i4>
      </vt:variant>
      <vt:variant>
        <vt:i4>0</vt:i4>
      </vt:variant>
      <vt:variant>
        <vt:i4>5</vt:i4>
      </vt:variant>
      <vt:variant>
        <vt:lpwstr>https://www.ag.gov.au/rights-and-protections/human-rights-and-anti-discrimination/human-rights-scrutiny/public-sector-guidance-sheets</vt:lpwstr>
      </vt:variant>
      <vt:variant>
        <vt:lpwstr/>
      </vt:variant>
      <vt:variant>
        <vt:i4>2359344</vt:i4>
      </vt:variant>
      <vt:variant>
        <vt:i4>90</vt:i4>
      </vt:variant>
      <vt:variant>
        <vt:i4>0</vt:i4>
      </vt:variant>
      <vt:variant>
        <vt:i4>5</vt:i4>
      </vt:variant>
      <vt:variant>
        <vt:lpwstr>https://www.ag.gov.au/rights-and-protections/human-rights-and-anti-discrimination/human-rights-scrutiny/tools-assessing-compatibility-human-rights</vt:lpwstr>
      </vt:variant>
      <vt:variant>
        <vt:lpwstr/>
      </vt:variant>
      <vt:variant>
        <vt:i4>2621502</vt:i4>
      </vt:variant>
      <vt:variant>
        <vt:i4>87</vt:i4>
      </vt:variant>
      <vt:variant>
        <vt:i4>0</vt:i4>
      </vt:variant>
      <vt:variant>
        <vt:i4>5</vt:i4>
      </vt:variant>
      <vt:variant>
        <vt:lpwstr>https://www.aph.gov.au/-/media/Committees/Senate/committee/humanrights_ctte/guidance_notes/guidance_note_2/guidance_note_2.pdf?la=en&amp;hash=7D924E6F330668005C288BCDCDAC6ADE1719502D</vt:lpwstr>
      </vt:variant>
      <vt:variant>
        <vt:lpwstr/>
      </vt:variant>
      <vt:variant>
        <vt:i4>2818108</vt:i4>
      </vt:variant>
      <vt:variant>
        <vt:i4>84</vt:i4>
      </vt:variant>
      <vt:variant>
        <vt:i4>0</vt:i4>
      </vt:variant>
      <vt:variant>
        <vt:i4>5</vt:i4>
      </vt:variant>
      <vt:variant>
        <vt:lpwstr>https://www.aph.gov.au/-/media/Committees/Senate/committee/humanrights_ctte/guidance_notes/guidance_note_1/01_Guidance_Note.pdf?la=en&amp;hash=4CE0BFF2F3CA3C32EAD58AD932DB73E89494455D</vt:lpwstr>
      </vt:variant>
      <vt:variant>
        <vt:lpwstr/>
      </vt:variant>
      <vt:variant>
        <vt:i4>5308456</vt:i4>
      </vt:variant>
      <vt:variant>
        <vt:i4>81</vt:i4>
      </vt:variant>
      <vt:variant>
        <vt:i4>0</vt:i4>
      </vt:variant>
      <vt:variant>
        <vt:i4>5</vt:i4>
      </vt:variant>
      <vt:variant>
        <vt:lpwstr>https://www.aph.gov.au/Parliamentary_Business/Committees/Joint/Human_Rights/Guidance_Notes_and_Resources</vt:lpwstr>
      </vt:variant>
      <vt:variant>
        <vt:lpwstr/>
      </vt:variant>
      <vt:variant>
        <vt:i4>5308456</vt:i4>
      </vt:variant>
      <vt:variant>
        <vt:i4>78</vt:i4>
      </vt:variant>
      <vt:variant>
        <vt:i4>0</vt:i4>
      </vt:variant>
      <vt:variant>
        <vt:i4>5</vt:i4>
      </vt:variant>
      <vt:variant>
        <vt:lpwstr>https://www.aph.gov.au/Parliamentary_Business/Committees/Joint/Human_Rights/Guidance_Notes_and_Resources</vt:lpwstr>
      </vt:variant>
      <vt:variant>
        <vt:lpwstr/>
      </vt:variant>
      <vt:variant>
        <vt:i4>4456526</vt:i4>
      </vt:variant>
      <vt:variant>
        <vt:i4>75</vt:i4>
      </vt:variant>
      <vt:variant>
        <vt:i4>0</vt:i4>
      </vt:variant>
      <vt:variant>
        <vt:i4>5</vt:i4>
      </vt:variant>
      <vt:variant>
        <vt:lpwstr>https://connectonline.asic.gov.au/RegistrySearch/faces/landing/bn/SearchBnRegisters.jspx?_adf.ctrl-state=127wl9zvyc_4</vt:lpwstr>
      </vt:variant>
      <vt:variant>
        <vt:lpwstr/>
      </vt:variant>
      <vt:variant>
        <vt:i4>1179696</vt:i4>
      </vt:variant>
      <vt:variant>
        <vt:i4>72</vt:i4>
      </vt:variant>
      <vt:variant>
        <vt:i4>0</vt:i4>
      </vt:variant>
      <vt:variant>
        <vt:i4>5</vt:i4>
      </vt:variant>
      <vt:variant>
        <vt:lpwstr>http://intra/corporate/legislation_management/em-style-guide</vt:lpwstr>
      </vt:variant>
      <vt:variant>
        <vt:lpwstr/>
      </vt:variant>
      <vt:variant>
        <vt:i4>1179696</vt:i4>
      </vt:variant>
      <vt:variant>
        <vt:i4>69</vt:i4>
      </vt:variant>
      <vt:variant>
        <vt:i4>0</vt:i4>
      </vt:variant>
      <vt:variant>
        <vt:i4>5</vt:i4>
      </vt:variant>
      <vt:variant>
        <vt:lpwstr>http://intra/corporate/legislation_management/em-style-guide</vt:lpwstr>
      </vt:variant>
      <vt:variant>
        <vt:lpwstr/>
      </vt:variant>
      <vt:variant>
        <vt:i4>1179696</vt:i4>
      </vt:variant>
      <vt:variant>
        <vt:i4>66</vt:i4>
      </vt:variant>
      <vt:variant>
        <vt:i4>0</vt:i4>
      </vt:variant>
      <vt:variant>
        <vt:i4>5</vt:i4>
      </vt:variant>
      <vt:variant>
        <vt:lpwstr>http://intra/corporate/legislation_management/em-style-guide</vt:lpwstr>
      </vt:variant>
      <vt:variant>
        <vt:lpwstr/>
      </vt:variant>
      <vt:variant>
        <vt:i4>1179696</vt:i4>
      </vt:variant>
      <vt:variant>
        <vt:i4>63</vt:i4>
      </vt:variant>
      <vt:variant>
        <vt:i4>0</vt:i4>
      </vt:variant>
      <vt:variant>
        <vt:i4>5</vt:i4>
      </vt:variant>
      <vt:variant>
        <vt:lpwstr>http://intra/corporate/legislation_management/em-style-guide</vt:lpwstr>
      </vt:variant>
      <vt:variant>
        <vt:lpwstr/>
      </vt:variant>
      <vt:variant>
        <vt:i4>1179696</vt:i4>
      </vt:variant>
      <vt:variant>
        <vt:i4>15</vt:i4>
      </vt:variant>
      <vt:variant>
        <vt:i4>0</vt:i4>
      </vt:variant>
      <vt:variant>
        <vt:i4>5</vt:i4>
      </vt:variant>
      <vt:variant>
        <vt:lpwstr>http://intra/corporate/legislation_management/em-style-guide</vt:lpwstr>
      </vt:variant>
      <vt:variant>
        <vt:lpwstr/>
      </vt:variant>
      <vt:variant>
        <vt:i4>1179696</vt:i4>
      </vt:variant>
      <vt:variant>
        <vt:i4>12</vt:i4>
      </vt:variant>
      <vt:variant>
        <vt:i4>0</vt:i4>
      </vt:variant>
      <vt:variant>
        <vt:i4>5</vt:i4>
      </vt:variant>
      <vt:variant>
        <vt:lpwstr>http://intra/corporate/legislation_management/em-style-guide</vt:lpwstr>
      </vt:variant>
      <vt:variant>
        <vt:lpwstr/>
      </vt:variant>
      <vt:variant>
        <vt:i4>1179696</vt:i4>
      </vt:variant>
      <vt:variant>
        <vt:i4>9</vt:i4>
      </vt:variant>
      <vt:variant>
        <vt:i4>0</vt:i4>
      </vt:variant>
      <vt:variant>
        <vt:i4>5</vt:i4>
      </vt:variant>
      <vt:variant>
        <vt:lpwstr>http://intra/corporate/legislation_management/em-style-guide</vt:lpwstr>
      </vt:variant>
      <vt:variant>
        <vt:lpwstr/>
      </vt:variant>
      <vt:variant>
        <vt:i4>1179696</vt:i4>
      </vt:variant>
      <vt:variant>
        <vt:i4>6</vt:i4>
      </vt:variant>
      <vt:variant>
        <vt:i4>0</vt:i4>
      </vt:variant>
      <vt:variant>
        <vt:i4>5</vt:i4>
      </vt:variant>
      <vt:variant>
        <vt:lpwstr>http://intra/corporate/legislation_management/em-style-guide</vt:lpwstr>
      </vt:variant>
      <vt:variant>
        <vt:lpwstr/>
      </vt:variant>
      <vt:variant>
        <vt:i4>4456470</vt:i4>
      </vt:variant>
      <vt:variant>
        <vt:i4>3</vt:i4>
      </vt:variant>
      <vt:variant>
        <vt:i4>0</vt:i4>
      </vt:variant>
      <vt:variant>
        <vt:i4>5</vt:i4>
      </vt:variant>
      <vt:variant>
        <vt:lpwstr>https://pmc.gov.au/sites/default/files/publications/legislation-handbook-2017.pdf</vt:lpwstr>
      </vt:variant>
      <vt:variant>
        <vt:lpwstr/>
      </vt:variant>
      <vt:variant>
        <vt:i4>1179696</vt:i4>
      </vt:variant>
      <vt:variant>
        <vt:i4>0</vt:i4>
      </vt:variant>
      <vt:variant>
        <vt:i4>0</vt:i4>
      </vt:variant>
      <vt:variant>
        <vt:i4>5</vt:i4>
      </vt:variant>
      <vt:variant>
        <vt:lpwstr>http://intra/corporate/legislation_management/em-style-guide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(Measures For Consultation) Bill 2023: Non-Arm’s Length Expense Rules For Superannuation Funds</dc:title>
  <dc:subject/>
  <dc:creator>Australian Government</dc:creator>
  <cp:keywords/>
  <dc:description/>
  <cp:lastModifiedBy>van der Hoeven, Megan</cp:lastModifiedBy>
  <cp:revision>3</cp:revision>
  <cp:lastPrinted>2023-06-16T02:03:00Z</cp:lastPrinted>
  <dcterms:created xsi:type="dcterms:W3CDTF">2023-06-16T05:54:00Z</dcterms:created>
  <dcterms:modified xsi:type="dcterms:W3CDTF">2023-06-16T06:01:00Z</dcterms:modified>
</cp:coreProperties>
</file>